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97291" w14:textId="77777777" w:rsidR="00A96CDC" w:rsidRDefault="00AA0D19" w:rsidP="005A5BD5">
      <w:pPr>
        <w:jc w:val="center"/>
        <w:rPr>
          <w:rFonts w:eastAsia="Calibri"/>
          <w:b/>
          <w:szCs w:val="22"/>
          <w:lang w:eastAsia="de-DE" w:bidi="de-DE"/>
        </w:rPr>
      </w:pPr>
      <w:r>
        <w:rPr>
          <w:rFonts w:eastAsia="Calibri"/>
          <w:b/>
          <w:szCs w:val="22"/>
          <w:lang w:eastAsia="de-DE" w:bidi="de-DE"/>
        </w:rPr>
        <w:t>27.</w:t>
      </w:r>
      <w:r w:rsidR="004A2100">
        <w:rPr>
          <w:rFonts w:eastAsia="Calibri"/>
          <w:b/>
          <w:szCs w:val="22"/>
          <w:lang w:eastAsia="de-DE" w:bidi="de-DE"/>
        </w:rPr>
        <w:t xml:space="preserve"> </w:t>
      </w:r>
      <w:r w:rsidR="005A5BD5" w:rsidRPr="002616E4">
        <w:rPr>
          <w:rFonts w:eastAsia="Calibri"/>
          <w:b/>
          <w:szCs w:val="22"/>
          <w:lang w:eastAsia="de-DE" w:bidi="de-DE"/>
        </w:rPr>
        <w:t>AUGUST 1993 - KÖNIGLICHER ERLASS ZUR AUSFÜHRUNG DES EINKOMMENSTEUERGESETZBUCHES 1992</w:t>
      </w:r>
      <w:r w:rsidR="00A96CDC">
        <w:rPr>
          <w:rFonts w:eastAsia="Calibri"/>
          <w:b/>
          <w:szCs w:val="22"/>
          <w:lang w:eastAsia="de-DE" w:bidi="de-DE"/>
        </w:rPr>
        <w:t xml:space="preserve"> </w:t>
      </w:r>
    </w:p>
    <w:p w14:paraId="03CD2C73" w14:textId="77777777" w:rsidR="00806E25" w:rsidRPr="00D308A5" w:rsidRDefault="00806E25"/>
    <w:p w14:paraId="712EF058" w14:textId="77777777" w:rsidR="00806E25" w:rsidRDefault="00806E25"/>
    <w:p w14:paraId="30C7657E" w14:textId="77777777" w:rsidR="004C2C7D" w:rsidRDefault="004C2C7D">
      <w:r>
        <w:t>(</w:t>
      </w:r>
      <w:r>
        <w:softHyphen/>
        <w:t xml:space="preserve">- Art. 1 bis 82: </w:t>
      </w:r>
      <w:r>
        <w:rPr>
          <w:i/>
        </w:rPr>
        <w:t>Belgisches Staatsblatt</w:t>
      </w:r>
      <w:r>
        <w:t xml:space="preserve"> vom 27. Juli 2015,</w:t>
      </w:r>
    </w:p>
    <w:p w14:paraId="6C8D609F" w14:textId="77777777" w:rsidR="00EE1CF6" w:rsidRDefault="004C2C7D">
      <w:r>
        <w:t xml:space="preserve">- Art. 83 bis </w:t>
      </w:r>
      <w:r w:rsidR="00C43814">
        <w:t xml:space="preserve">125: </w:t>
      </w:r>
      <w:r w:rsidR="00C43814">
        <w:rPr>
          <w:i/>
        </w:rPr>
        <w:t>Belgisches Staatsblatt</w:t>
      </w:r>
      <w:r w:rsidR="00C43814">
        <w:t xml:space="preserve"> vom 19. November 2015</w:t>
      </w:r>
      <w:r w:rsidR="00CA0347">
        <w:t>,</w:t>
      </w:r>
    </w:p>
    <w:p w14:paraId="06C0A967" w14:textId="77777777" w:rsidR="004C2C7D" w:rsidRPr="00C43814" w:rsidRDefault="00EE1CF6">
      <w:r>
        <w:t>- Art. 125</w:t>
      </w:r>
      <w:r w:rsidRPr="00CA0347">
        <w:rPr>
          <w:i/>
        </w:rPr>
        <w:t>bis</w:t>
      </w:r>
      <w:r>
        <w:t xml:space="preserve"> bis 257: </w:t>
      </w:r>
      <w:r>
        <w:rPr>
          <w:i/>
        </w:rPr>
        <w:t>Belgisches Staatsblatt</w:t>
      </w:r>
      <w:r>
        <w:t xml:space="preserve"> vom 4.</w:t>
      </w:r>
      <w:r w:rsidR="00CA0347">
        <w:t> März 2016</w:t>
      </w:r>
      <w:r w:rsidR="00C43814">
        <w:t>)</w:t>
      </w:r>
    </w:p>
    <w:p w14:paraId="282F8ECA" w14:textId="77777777" w:rsidR="00C43814" w:rsidRDefault="00C43814" w:rsidP="000F5F44">
      <w:pPr>
        <w:jc w:val="both"/>
        <w:rPr>
          <w:i/>
        </w:rPr>
      </w:pPr>
    </w:p>
    <w:p w14:paraId="4385A1F7" w14:textId="77777777" w:rsidR="00C43814" w:rsidRDefault="00C43814" w:rsidP="000F5F44">
      <w:pPr>
        <w:jc w:val="both"/>
        <w:rPr>
          <w:i/>
        </w:rPr>
      </w:pPr>
    </w:p>
    <w:p w14:paraId="2E719DBB" w14:textId="699FF9AE" w:rsidR="00C43814" w:rsidRDefault="00C43814" w:rsidP="0099653B">
      <w:pPr>
        <w:autoSpaceDE w:val="0"/>
        <w:autoSpaceDN w:val="0"/>
        <w:adjustRightInd w:val="0"/>
        <w:jc w:val="center"/>
      </w:pPr>
      <w:r w:rsidRPr="003A35D2">
        <w:t>Konsolidierung</w:t>
      </w:r>
    </w:p>
    <w:p w14:paraId="5AA91F0A" w14:textId="1E28CBEB" w:rsidR="0099653B" w:rsidRPr="003A35D2" w:rsidRDefault="0099653B" w:rsidP="0099653B">
      <w:pPr>
        <w:autoSpaceDE w:val="0"/>
        <w:autoSpaceDN w:val="0"/>
        <w:adjustRightInd w:val="0"/>
        <w:jc w:val="center"/>
      </w:pPr>
    </w:p>
    <w:p w14:paraId="57BCC99A" w14:textId="77777777" w:rsidR="00C43814" w:rsidRPr="003A35D2" w:rsidRDefault="00C43814" w:rsidP="00C43814">
      <w:pPr>
        <w:autoSpaceDE w:val="0"/>
        <w:autoSpaceDN w:val="0"/>
        <w:adjustRightInd w:val="0"/>
      </w:pPr>
    </w:p>
    <w:p w14:paraId="008EFB68" w14:textId="77777777" w:rsidR="00C43814" w:rsidRPr="003A35D2" w:rsidRDefault="00C43814" w:rsidP="00C43814">
      <w:pPr>
        <w:autoSpaceDE w:val="0"/>
        <w:autoSpaceDN w:val="0"/>
        <w:adjustRightInd w:val="0"/>
        <w:jc w:val="both"/>
        <w:rPr>
          <w:b/>
          <w:bCs/>
        </w:rPr>
      </w:pPr>
      <w:r w:rsidRPr="003A35D2">
        <w:rPr>
          <w:i/>
          <w:iCs/>
        </w:rPr>
        <w:t>Die vorliegende Konsolidierung enthält die Abänderungen, die vorgenommen worden sind durch:</w:t>
      </w:r>
    </w:p>
    <w:p w14:paraId="084F6BD3" w14:textId="77777777" w:rsidR="00806E25" w:rsidRPr="00D308A5" w:rsidRDefault="00806E25" w:rsidP="000F5F44">
      <w:pPr>
        <w:jc w:val="both"/>
      </w:pPr>
    </w:p>
    <w:p w14:paraId="69E8231E" w14:textId="77777777" w:rsidR="005A5BD5" w:rsidRPr="00CF1706" w:rsidRDefault="005A5BD5" w:rsidP="005A5BD5">
      <w:pPr>
        <w:jc w:val="both"/>
        <w:rPr>
          <w:color w:val="000000"/>
        </w:rPr>
      </w:pPr>
      <w:r w:rsidRPr="00CF1706">
        <w:rPr>
          <w:color w:val="000000"/>
        </w:rPr>
        <w:t>- den Königlichen Erlass vom 27. August 1993 zur Ausführung des Einkommen</w:t>
      </w:r>
      <w:r w:rsidRPr="00CF1706">
        <w:rPr>
          <w:color w:val="000000"/>
        </w:rPr>
        <w:softHyphen/>
        <w:t>steuergesetzbuches 1992,</w:t>
      </w:r>
    </w:p>
    <w:p w14:paraId="09981459" w14:textId="77777777" w:rsidR="005A5BD5" w:rsidRPr="00CF1706" w:rsidRDefault="005A5BD5" w:rsidP="005A5BD5">
      <w:pPr>
        <w:jc w:val="both"/>
        <w:rPr>
          <w:color w:val="000000"/>
        </w:rPr>
      </w:pPr>
    </w:p>
    <w:p w14:paraId="2A515F6B" w14:textId="77777777" w:rsidR="005A5BD5" w:rsidRPr="00CF1706" w:rsidRDefault="005A5BD5" w:rsidP="005A5BD5">
      <w:pPr>
        <w:jc w:val="both"/>
        <w:rPr>
          <w:color w:val="000000"/>
        </w:rPr>
      </w:pPr>
      <w:r w:rsidRPr="00CF1706">
        <w:rPr>
          <w:color w:val="000000"/>
        </w:rPr>
        <w:t xml:space="preserve">- den Königlichen Erlass vom 22. Oktober 1993 </w:t>
      </w:r>
      <w:r>
        <w:rPr>
          <w:color w:val="000000"/>
        </w:rPr>
        <w:t xml:space="preserve">zur Abänderung des </w:t>
      </w:r>
      <w:r w:rsidRPr="00CF1706">
        <w:rPr>
          <w:color w:val="000000"/>
        </w:rPr>
        <w:t>KE/EStGB 92,</w:t>
      </w:r>
    </w:p>
    <w:p w14:paraId="0EC6517C" w14:textId="77777777" w:rsidR="005A5BD5" w:rsidRPr="00CF1706" w:rsidRDefault="005A5BD5" w:rsidP="005A5BD5">
      <w:pPr>
        <w:jc w:val="both"/>
        <w:rPr>
          <w:color w:val="000000"/>
        </w:rPr>
      </w:pPr>
    </w:p>
    <w:p w14:paraId="6930ABB4" w14:textId="7FB780A5" w:rsidR="005A5BD5" w:rsidRPr="00CF1706" w:rsidRDefault="005A5BD5" w:rsidP="005A5BD5">
      <w:pPr>
        <w:jc w:val="both"/>
        <w:rPr>
          <w:color w:val="000000"/>
        </w:rPr>
      </w:pPr>
      <w:r w:rsidRPr="00CF1706">
        <w:rPr>
          <w:color w:val="000000"/>
        </w:rPr>
        <w:t xml:space="preserve">- den Königlichen Erlass vom 13. Dezember 1993 </w:t>
      </w:r>
      <w:r>
        <w:rPr>
          <w:color w:val="000000"/>
        </w:rPr>
        <w:t xml:space="preserve">zur Abänderung des Königlichen Erlasses </w:t>
      </w:r>
      <w:r w:rsidRPr="00CF1706">
        <w:rPr>
          <w:color w:val="000000"/>
        </w:rPr>
        <w:t>EStGB 92</w:t>
      </w:r>
      <w:r w:rsidR="009C0099">
        <w:rPr>
          <w:color w:val="000000"/>
        </w:rPr>
        <w:t>A</w:t>
      </w:r>
      <w:r>
        <w:rPr>
          <w:color w:val="000000"/>
        </w:rPr>
        <w:t xml:space="preserve"> </w:t>
      </w:r>
      <w:r w:rsidRPr="005E2ECF">
        <w:rPr>
          <w:color w:val="000000"/>
        </w:rPr>
        <w:t xml:space="preserve">hinsichtlich der Steuerbefreiung </w:t>
      </w:r>
      <w:r>
        <w:rPr>
          <w:color w:val="000000"/>
        </w:rPr>
        <w:t>für</w:t>
      </w:r>
      <w:r w:rsidRPr="005E2ECF">
        <w:rPr>
          <w:color w:val="000000"/>
        </w:rPr>
        <w:t xml:space="preserve"> Preise und Zuschüsse, die Wissenschaftlern, Schriftstellern oder Künstlern gezahlt oder zuerkannt werden</w:t>
      </w:r>
      <w:r w:rsidRPr="00CF1706">
        <w:rPr>
          <w:color w:val="000000"/>
        </w:rPr>
        <w:t>,</w:t>
      </w:r>
    </w:p>
    <w:p w14:paraId="0B38184C" w14:textId="77777777" w:rsidR="005A5BD5" w:rsidRPr="00CF1706" w:rsidRDefault="005A5BD5" w:rsidP="005A5BD5">
      <w:pPr>
        <w:jc w:val="both"/>
        <w:rPr>
          <w:color w:val="000000"/>
        </w:rPr>
      </w:pPr>
    </w:p>
    <w:p w14:paraId="0208D169" w14:textId="77777777" w:rsidR="005A5BD5" w:rsidRPr="00CF1706" w:rsidRDefault="005A5BD5" w:rsidP="005A5BD5">
      <w:pPr>
        <w:jc w:val="both"/>
        <w:rPr>
          <w:color w:val="000000"/>
        </w:rPr>
      </w:pPr>
      <w:r w:rsidRPr="00CF1706">
        <w:rPr>
          <w:color w:val="000000"/>
        </w:rPr>
        <w:t xml:space="preserve">- den Königlichen Erlass vom 30. Dezember 1993 </w:t>
      </w:r>
      <w:r>
        <w:rPr>
          <w:color w:val="000000"/>
        </w:rPr>
        <w:t>zur Abänderung des KE/EStGB </w:t>
      </w:r>
      <w:r w:rsidRPr="00F629D6">
        <w:rPr>
          <w:color w:val="000000"/>
        </w:rPr>
        <w:t>92 hinsichtlich des Berufssteuervorabzugs</w:t>
      </w:r>
      <w:r w:rsidRPr="00CF1706">
        <w:rPr>
          <w:color w:val="000000"/>
        </w:rPr>
        <w:t>,</w:t>
      </w:r>
    </w:p>
    <w:p w14:paraId="27566CA8" w14:textId="77777777" w:rsidR="005A5BD5" w:rsidRPr="00CF1706" w:rsidRDefault="005A5BD5" w:rsidP="005A5BD5">
      <w:pPr>
        <w:jc w:val="both"/>
        <w:rPr>
          <w:color w:val="000000"/>
        </w:rPr>
      </w:pPr>
    </w:p>
    <w:p w14:paraId="399335C3" w14:textId="77777777" w:rsidR="005A5BD5" w:rsidRPr="00CF1706" w:rsidRDefault="005A5BD5" w:rsidP="005A5BD5">
      <w:pPr>
        <w:jc w:val="both"/>
        <w:rPr>
          <w:color w:val="000000"/>
        </w:rPr>
      </w:pPr>
      <w:r w:rsidRPr="00CF1706">
        <w:rPr>
          <w:color w:val="000000"/>
        </w:rPr>
        <w:t xml:space="preserve">- den Königlichen Erlass vom 20. Januar 1994 </w:t>
      </w:r>
      <w:r>
        <w:rPr>
          <w:color w:val="000000"/>
        </w:rPr>
        <w:t>zur Abänderung des KE/EStGB </w:t>
      </w:r>
      <w:r w:rsidRPr="00F629D6">
        <w:rPr>
          <w:color w:val="000000"/>
        </w:rPr>
        <w:t>92 hinsichtlich</w:t>
      </w:r>
      <w:r>
        <w:rPr>
          <w:color w:val="000000"/>
        </w:rPr>
        <w:t xml:space="preserve"> der </w:t>
      </w:r>
      <w:r w:rsidRPr="001060ED">
        <w:rPr>
          <w:color w:val="000000"/>
        </w:rPr>
        <w:t>Verwendung</w:t>
      </w:r>
      <w:r>
        <w:rPr>
          <w:color w:val="000000"/>
        </w:rPr>
        <w:t xml:space="preserve"> magnetischer Datenträger</w:t>
      </w:r>
      <w:r w:rsidRPr="00CF1706">
        <w:rPr>
          <w:color w:val="000000"/>
        </w:rPr>
        <w:t>,</w:t>
      </w:r>
    </w:p>
    <w:p w14:paraId="5F824451" w14:textId="77777777" w:rsidR="005A5BD5" w:rsidRPr="00CF1706" w:rsidRDefault="005A5BD5" w:rsidP="005A5BD5">
      <w:pPr>
        <w:jc w:val="both"/>
        <w:rPr>
          <w:color w:val="000000"/>
        </w:rPr>
      </w:pPr>
    </w:p>
    <w:p w14:paraId="2383C666" w14:textId="77777777" w:rsidR="005A5BD5" w:rsidRPr="00CF1706" w:rsidRDefault="005A5BD5" w:rsidP="005A5BD5">
      <w:pPr>
        <w:jc w:val="both"/>
        <w:rPr>
          <w:color w:val="000000"/>
        </w:rPr>
      </w:pPr>
      <w:r w:rsidRPr="00CF1706">
        <w:rPr>
          <w:color w:val="000000"/>
        </w:rPr>
        <w:t xml:space="preserve">- den Königlichen Erlass vom 18. Februar 1994 </w:t>
      </w:r>
      <w:r>
        <w:rPr>
          <w:color w:val="000000"/>
        </w:rPr>
        <w:t>zur Abänderung des KE/EStGB </w:t>
      </w:r>
      <w:r w:rsidRPr="00F629D6">
        <w:rPr>
          <w:color w:val="000000"/>
        </w:rPr>
        <w:t>92 hinsichtlich</w:t>
      </w:r>
      <w:r>
        <w:rPr>
          <w:color w:val="000000"/>
        </w:rPr>
        <w:t xml:space="preserve"> des </w:t>
      </w:r>
      <w:r w:rsidRPr="00BC04D2">
        <w:rPr>
          <w:color w:val="000000"/>
        </w:rPr>
        <w:t>Neubewertungskoeffizient</w:t>
      </w:r>
      <w:r>
        <w:rPr>
          <w:color w:val="000000"/>
        </w:rPr>
        <w:t>en</w:t>
      </w:r>
      <w:r w:rsidRPr="00BC04D2">
        <w:rPr>
          <w:color w:val="000000"/>
        </w:rPr>
        <w:t xml:space="preserve"> für Katastereinkommen</w:t>
      </w:r>
      <w:r>
        <w:rPr>
          <w:color w:val="000000"/>
        </w:rPr>
        <w:t xml:space="preserve"> und der </w:t>
      </w:r>
      <w:r w:rsidRPr="00BC04D2">
        <w:rPr>
          <w:color w:val="000000"/>
        </w:rPr>
        <w:t>Pauschal</w:t>
      </w:r>
      <w:r>
        <w:rPr>
          <w:color w:val="000000"/>
        </w:rPr>
        <w:softHyphen/>
      </w:r>
      <w:r w:rsidRPr="00BC04D2">
        <w:rPr>
          <w:color w:val="000000"/>
        </w:rPr>
        <w:t>veranschlagung von anders als in bar erhaltenen Vorteilen jeglicher Art</w:t>
      </w:r>
      <w:r w:rsidRPr="00CF1706">
        <w:rPr>
          <w:color w:val="000000"/>
        </w:rPr>
        <w:t>,</w:t>
      </w:r>
    </w:p>
    <w:p w14:paraId="115EEAE9" w14:textId="77777777" w:rsidR="005A5BD5" w:rsidRPr="00CF1706" w:rsidRDefault="005A5BD5" w:rsidP="005A5BD5">
      <w:pPr>
        <w:jc w:val="both"/>
        <w:rPr>
          <w:color w:val="000000"/>
        </w:rPr>
      </w:pPr>
    </w:p>
    <w:p w14:paraId="01669470" w14:textId="77777777" w:rsidR="005A5BD5" w:rsidRPr="00CF1706" w:rsidRDefault="005A5BD5" w:rsidP="005A5BD5">
      <w:pPr>
        <w:jc w:val="both"/>
        <w:rPr>
          <w:color w:val="000000"/>
        </w:rPr>
      </w:pPr>
      <w:r w:rsidRPr="00CF1706">
        <w:rPr>
          <w:color w:val="000000"/>
        </w:rPr>
        <w:t>- den Königlichen Erlass vom 28. März 1994</w:t>
      </w:r>
      <w:r>
        <w:rPr>
          <w:color w:val="000000"/>
        </w:rPr>
        <w:t xml:space="preserve"> zur Abänderung des KE/EStGB </w:t>
      </w:r>
      <w:r w:rsidRPr="00F629D6">
        <w:rPr>
          <w:color w:val="000000"/>
        </w:rPr>
        <w:t>92</w:t>
      </w:r>
      <w:r w:rsidRPr="00CF1706">
        <w:rPr>
          <w:color w:val="000000"/>
        </w:rPr>
        <w:t xml:space="preserve"> </w:t>
      </w:r>
      <w:r w:rsidRPr="00BC04D2">
        <w:rPr>
          <w:color w:val="000000"/>
        </w:rPr>
        <w:t xml:space="preserve">hinsichtlich der Steuerbefreiung </w:t>
      </w:r>
      <w:r>
        <w:rPr>
          <w:color w:val="000000"/>
        </w:rPr>
        <w:t>für</w:t>
      </w:r>
      <w:r w:rsidRPr="00BC04D2">
        <w:rPr>
          <w:color w:val="000000"/>
        </w:rPr>
        <w:t xml:space="preserve"> Preise und Zuschüsse, die Wissenschaftlern, Schriftstellern oder Künstlern gezahlt oder zuerkannt werden</w:t>
      </w:r>
      <w:r w:rsidRPr="00CF1706">
        <w:rPr>
          <w:color w:val="000000"/>
        </w:rPr>
        <w:t>,</w:t>
      </w:r>
    </w:p>
    <w:p w14:paraId="57592B1B" w14:textId="77777777" w:rsidR="005A5BD5" w:rsidRPr="00CF1706" w:rsidRDefault="005A5BD5" w:rsidP="005A5BD5">
      <w:pPr>
        <w:jc w:val="both"/>
        <w:rPr>
          <w:color w:val="000000"/>
        </w:rPr>
      </w:pPr>
    </w:p>
    <w:p w14:paraId="12D7A146" w14:textId="77777777" w:rsidR="005A5BD5" w:rsidRPr="00CF1706" w:rsidRDefault="005A5BD5" w:rsidP="005A5BD5">
      <w:pPr>
        <w:jc w:val="both"/>
        <w:rPr>
          <w:color w:val="000000"/>
        </w:rPr>
      </w:pPr>
      <w:r w:rsidRPr="00CF1706">
        <w:rPr>
          <w:color w:val="000000"/>
        </w:rPr>
        <w:t xml:space="preserve">- den Königlichen Erlass vom 9. Mai 1994 </w:t>
      </w:r>
      <w:r>
        <w:rPr>
          <w:color w:val="000000"/>
        </w:rPr>
        <w:t>zur Abänderung des KE/EStGB </w:t>
      </w:r>
      <w:r w:rsidRPr="00F629D6">
        <w:rPr>
          <w:color w:val="000000"/>
        </w:rPr>
        <w:t>92 hinsichtlich</w:t>
      </w:r>
      <w:r>
        <w:rPr>
          <w:color w:val="000000"/>
        </w:rPr>
        <w:t xml:space="preserve"> der Befreiung </w:t>
      </w:r>
      <w:r w:rsidRPr="00E314CD">
        <w:rPr>
          <w:color w:val="000000"/>
        </w:rPr>
        <w:t>von der Erklärungspflicht</w:t>
      </w:r>
      <w:r w:rsidRPr="00CF1706">
        <w:rPr>
          <w:color w:val="000000"/>
        </w:rPr>
        <w:t>,</w:t>
      </w:r>
    </w:p>
    <w:p w14:paraId="7552C009" w14:textId="77777777" w:rsidR="005A5BD5" w:rsidRPr="00CF1706" w:rsidRDefault="005A5BD5" w:rsidP="005A5BD5">
      <w:pPr>
        <w:jc w:val="both"/>
        <w:rPr>
          <w:color w:val="000000"/>
        </w:rPr>
      </w:pPr>
    </w:p>
    <w:p w14:paraId="029E0FA9" w14:textId="77777777" w:rsidR="005A5BD5" w:rsidRPr="00CF1706" w:rsidRDefault="005A5BD5" w:rsidP="005A5BD5">
      <w:pPr>
        <w:jc w:val="both"/>
        <w:rPr>
          <w:color w:val="000000"/>
        </w:rPr>
      </w:pPr>
      <w:r w:rsidRPr="00CF1706">
        <w:rPr>
          <w:color w:val="000000"/>
        </w:rPr>
        <w:t xml:space="preserve">- den Königlichen Erlass vom 26. Mai 1994 </w:t>
      </w:r>
      <w:r w:rsidRPr="00704B54">
        <w:rPr>
          <w:color w:val="000000"/>
        </w:rPr>
        <w:t xml:space="preserve">über die </w:t>
      </w:r>
      <w:r w:rsidRPr="008E4B68">
        <w:rPr>
          <w:color w:val="000000"/>
        </w:rPr>
        <w:t xml:space="preserve">Einbehaltung </w:t>
      </w:r>
      <w:r w:rsidRPr="00704B54">
        <w:rPr>
          <w:color w:val="000000"/>
        </w:rPr>
        <w:t>und die Vergütung des Mobiliensteuervorabzugs gemäß Kapitel 1 des</w:t>
      </w:r>
      <w:r>
        <w:rPr>
          <w:color w:val="000000"/>
        </w:rPr>
        <w:t xml:space="preserve"> </w:t>
      </w:r>
      <w:r w:rsidRPr="00EE6B11">
        <w:rPr>
          <w:color w:val="000000"/>
        </w:rPr>
        <w:t>Gesetz</w:t>
      </w:r>
      <w:r>
        <w:rPr>
          <w:color w:val="000000"/>
        </w:rPr>
        <w:t>es vom 6. August 1993</w:t>
      </w:r>
      <w:r w:rsidRPr="00EE6B11">
        <w:rPr>
          <w:color w:val="000000"/>
        </w:rPr>
        <w:t xml:space="preserve"> über Geschäfte mit bestimmten Wertpapieren </w:t>
      </w:r>
      <w:r w:rsidRPr="00CF1706">
        <w:rPr>
          <w:i/>
          <w:color w:val="000000"/>
        </w:rPr>
        <w:t>(I)</w:t>
      </w:r>
      <w:r w:rsidRPr="00CF1706">
        <w:rPr>
          <w:color w:val="000000"/>
        </w:rPr>
        <w:t>,</w:t>
      </w:r>
    </w:p>
    <w:p w14:paraId="04CB7993" w14:textId="77777777" w:rsidR="005A5BD5" w:rsidRDefault="005A5BD5" w:rsidP="005A5BD5">
      <w:pPr>
        <w:jc w:val="both"/>
        <w:rPr>
          <w:color w:val="000000"/>
        </w:rPr>
      </w:pPr>
    </w:p>
    <w:p w14:paraId="0D03B235" w14:textId="77777777" w:rsidR="005A5BD5" w:rsidRPr="00CF1706" w:rsidRDefault="005A5BD5" w:rsidP="005A5BD5">
      <w:pPr>
        <w:jc w:val="both"/>
        <w:rPr>
          <w:color w:val="000000"/>
        </w:rPr>
      </w:pPr>
      <w:r w:rsidRPr="00CF1706">
        <w:rPr>
          <w:color w:val="000000"/>
        </w:rPr>
        <w:t xml:space="preserve">- den Königlichen Erlass vom 26. Mai 1994 </w:t>
      </w:r>
      <w:r>
        <w:rPr>
          <w:color w:val="000000"/>
        </w:rPr>
        <w:t>zur Abänderung des KE/EStGB </w:t>
      </w:r>
      <w:r w:rsidRPr="00F629D6">
        <w:rPr>
          <w:color w:val="000000"/>
        </w:rPr>
        <w:t>92 hinsichtlich</w:t>
      </w:r>
      <w:r w:rsidRPr="00CF1706">
        <w:rPr>
          <w:color w:val="000000"/>
        </w:rPr>
        <w:t xml:space="preserve"> </w:t>
      </w:r>
      <w:r>
        <w:rPr>
          <w:color w:val="000000"/>
        </w:rPr>
        <w:t xml:space="preserve">des </w:t>
      </w:r>
      <w:r w:rsidRPr="000B664E">
        <w:rPr>
          <w:color w:val="000000"/>
        </w:rPr>
        <w:t>Mobiliensteuervorabzug</w:t>
      </w:r>
      <w:r>
        <w:rPr>
          <w:color w:val="000000"/>
        </w:rPr>
        <w:t>s</w:t>
      </w:r>
      <w:r w:rsidRPr="00CF1706">
        <w:rPr>
          <w:color w:val="000000"/>
        </w:rPr>
        <w:t xml:space="preserve"> </w:t>
      </w:r>
      <w:r w:rsidRPr="00CF1706">
        <w:rPr>
          <w:i/>
          <w:color w:val="000000"/>
        </w:rPr>
        <w:t>(II)</w:t>
      </w:r>
      <w:r w:rsidRPr="00CF1706">
        <w:rPr>
          <w:color w:val="000000"/>
        </w:rPr>
        <w:t>,</w:t>
      </w:r>
    </w:p>
    <w:p w14:paraId="61D84F65" w14:textId="77777777" w:rsidR="005A5BD5" w:rsidRPr="00CF1706" w:rsidRDefault="005A5BD5" w:rsidP="005A5BD5">
      <w:pPr>
        <w:jc w:val="both"/>
        <w:rPr>
          <w:color w:val="000000"/>
        </w:rPr>
      </w:pPr>
    </w:p>
    <w:p w14:paraId="426AB075" w14:textId="77777777" w:rsidR="005A5BD5" w:rsidRPr="00CF1706" w:rsidRDefault="005A5BD5" w:rsidP="005A5BD5">
      <w:pPr>
        <w:jc w:val="both"/>
        <w:rPr>
          <w:color w:val="000000"/>
        </w:rPr>
      </w:pPr>
      <w:r w:rsidRPr="00CF1706">
        <w:rPr>
          <w:color w:val="000000"/>
        </w:rPr>
        <w:t xml:space="preserve">- den Königlichen Erlass vom 30. Juli 1994 </w:t>
      </w:r>
      <w:r>
        <w:rPr>
          <w:color w:val="000000"/>
        </w:rPr>
        <w:t>zur Abänderung des KE/EStGB </w:t>
      </w:r>
      <w:r w:rsidRPr="00F629D6">
        <w:rPr>
          <w:color w:val="000000"/>
        </w:rPr>
        <w:t>92 hinsichtlich des Berufssteuervorabzugs</w:t>
      </w:r>
      <w:r w:rsidRPr="00CF1706">
        <w:rPr>
          <w:color w:val="000000"/>
        </w:rPr>
        <w:t>,</w:t>
      </w:r>
    </w:p>
    <w:p w14:paraId="1200587D" w14:textId="77777777" w:rsidR="005A5BD5" w:rsidRPr="00CF1706" w:rsidRDefault="005A5BD5" w:rsidP="005A5BD5">
      <w:pPr>
        <w:jc w:val="both"/>
        <w:rPr>
          <w:color w:val="000000"/>
        </w:rPr>
      </w:pPr>
    </w:p>
    <w:p w14:paraId="324F8109" w14:textId="5310A4E8" w:rsidR="005A5BD5" w:rsidRPr="00CF1706" w:rsidRDefault="005A5BD5" w:rsidP="005A5BD5">
      <w:pPr>
        <w:jc w:val="both"/>
        <w:rPr>
          <w:color w:val="000000"/>
        </w:rPr>
      </w:pPr>
      <w:r w:rsidRPr="00CF1706">
        <w:rPr>
          <w:color w:val="000000"/>
        </w:rPr>
        <w:t xml:space="preserve">- den Königlichen Erlass vom 12. August 1994 </w:t>
      </w:r>
      <w:r>
        <w:rPr>
          <w:color w:val="000000"/>
        </w:rPr>
        <w:t>zur Abänderung des KE/EStGB </w:t>
      </w:r>
      <w:r w:rsidRPr="00F629D6">
        <w:rPr>
          <w:color w:val="000000"/>
        </w:rPr>
        <w:t>92</w:t>
      </w:r>
      <w:r>
        <w:rPr>
          <w:color w:val="000000"/>
        </w:rPr>
        <w:t xml:space="preserve"> hinsichtlich der </w:t>
      </w:r>
      <w:r w:rsidRPr="00503B2A">
        <w:rPr>
          <w:color w:val="000000"/>
        </w:rPr>
        <w:t>Steuerermäßigung</w:t>
      </w:r>
      <w:r>
        <w:rPr>
          <w:color w:val="000000"/>
        </w:rPr>
        <w:t xml:space="preserve"> </w:t>
      </w:r>
      <w:r w:rsidRPr="00503B2A">
        <w:rPr>
          <w:color w:val="000000"/>
        </w:rPr>
        <w:t xml:space="preserve">für Ausgaben, die </w:t>
      </w:r>
      <w:r>
        <w:rPr>
          <w:color w:val="000000"/>
        </w:rPr>
        <w:t>einer</w:t>
      </w:r>
      <w:r w:rsidRPr="00503B2A">
        <w:rPr>
          <w:color w:val="000000"/>
        </w:rPr>
        <w:t xml:space="preserve"> lokalen Beschäftigungsagentur gezahlt werden</w:t>
      </w:r>
      <w:r w:rsidR="0083222B">
        <w:rPr>
          <w:i/>
          <w:color w:val="000000"/>
        </w:rPr>
        <w:t> </w:t>
      </w:r>
      <w:r w:rsidRPr="00CF1706">
        <w:rPr>
          <w:i/>
          <w:color w:val="000000"/>
        </w:rPr>
        <w:t>(I)</w:t>
      </w:r>
      <w:r w:rsidRPr="00CF1706">
        <w:rPr>
          <w:color w:val="000000"/>
        </w:rPr>
        <w:t>,</w:t>
      </w:r>
    </w:p>
    <w:p w14:paraId="2F161701" w14:textId="77777777" w:rsidR="005A5BD5" w:rsidRPr="00CF1706" w:rsidRDefault="005A5BD5" w:rsidP="005A5BD5">
      <w:pPr>
        <w:jc w:val="both"/>
        <w:rPr>
          <w:color w:val="000000"/>
        </w:rPr>
      </w:pPr>
    </w:p>
    <w:p w14:paraId="7D7D47F1" w14:textId="77777777" w:rsidR="005A5BD5" w:rsidRPr="00CF1706" w:rsidRDefault="005A5BD5" w:rsidP="005A5BD5">
      <w:pPr>
        <w:jc w:val="both"/>
        <w:rPr>
          <w:color w:val="000000"/>
        </w:rPr>
      </w:pPr>
      <w:r w:rsidRPr="00CF1706">
        <w:rPr>
          <w:color w:val="000000"/>
        </w:rPr>
        <w:t xml:space="preserve">- den Königlichen Erlass vom 12. August 1994 </w:t>
      </w:r>
      <w:r>
        <w:rPr>
          <w:color w:val="000000"/>
        </w:rPr>
        <w:t>zur Abänderung des KE/EStGB </w:t>
      </w:r>
      <w:r w:rsidRPr="00F629D6">
        <w:rPr>
          <w:color w:val="000000"/>
        </w:rPr>
        <w:t>92</w:t>
      </w:r>
      <w:r w:rsidRPr="00CF1706">
        <w:rPr>
          <w:color w:val="000000"/>
        </w:rPr>
        <w:t xml:space="preserve"> </w:t>
      </w:r>
      <w:r w:rsidRPr="00CF1706">
        <w:rPr>
          <w:i/>
          <w:color w:val="000000"/>
        </w:rPr>
        <w:t>(II)</w:t>
      </w:r>
      <w:r w:rsidRPr="00CF1706">
        <w:rPr>
          <w:color w:val="000000"/>
        </w:rPr>
        <w:t>,</w:t>
      </w:r>
    </w:p>
    <w:p w14:paraId="4A3DECCD" w14:textId="77777777" w:rsidR="005A5BD5" w:rsidRPr="00CF1706" w:rsidRDefault="005A5BD5" w:rsidP="005A5BD5">
      <w:pPr>
        <w:jc w:val="both"/>
        <w:rPr>
          <w:color w:val="000000"/>
        </w:rPr>
      </w:pPr>
    </w:p>
    <w:p w14:paraId="44B23EE0" w14:textId="77777777" w:rsidR="005A5BD5" w:rsidRPr="00CF1706" w:rsidRDefault="005A5BD5" w:rsidP="005A5BD5">
      <w:pPr>
        <w:jc w:val="both"/>
        <w:rPr>
          <w:color w:val="000000"/>
        </w:rPr>
      </w:pPr>
      <w:r w:rsidRPr="00CF1706">
        <w:rPr>
          <w:color w:val="000000"/>
        </w:rPr>
        <w:t>- den Königlichen Erlass vom 24. August 1994</w:t>
      </w:r>
      <w:r>
        <w:rPr>
          <w:color w:val="000000"/>
        </w:rPr>
        <w:t xml:space="preserve"> zur Abänderung des KE/EStGB </w:t>
      </w:r>
      <w:r w:rsidRPr="00F629D6">
        <w:rPr>
          <w:color w:val="000000"/>
        </w:rPr>
        <w:t>92</w:t>
      </w:r>
      <w:r>
        <w:rPr>
          <w:color w:val="000000"/>
        </w:rPr>
        <w:t xml:space="preserve"> hinsichtlich der </w:t>
      </w:r>
      <w:r w:rsidRPr="00503B2A">
        <w:rPr>
          <w:color w:val="000000"/>
        </w:rPr>
        <w:t>Steuerermäßigung</w:t>
      </w:r>
      <w:r w:rsidRPr="00CF1706">
        <w:rPr>
          <w:color w:val="000000"/>
        </w:rPr>
        <w:t xml:space="preserve"> </w:t>
      </w:r>
      <w:r w:rsidRPr="00B33293">
        <w:rPr>
          <w:color w:val="000000"/>
        </w:rPr>
        <w:t xml:space="preserve">für Ausgaben, </w:t>
      </w:r>
      <w:r w:rsidRPr="008E4B68">
        <w:rPr>
          <w:color w:val="000000"/>
        </w:rPr>
        <w:t>die für Leistungen im Rahmen der lokalen Beschäftigungsagenturen gezahlt werden</w:t>
      </w:r>
      <w:r>
        <w:rPr>
          <w:color w:val="000000"/>
        </w:rPr>
        <w:t>,</w:t>
      </w:r>
    </w:p>
    <w:p w14:paraId="0522FF61" w14:textId="77777777" w:rsidR="005A5BD5" w:rsidRPr="00CF1706" w:rsidRDefault="005A5BD5" w:rsidP="005A5BD5">
      <w:pPr>
        <w:jc w:val="both"/>
        <w:rPr>
          <w:color w:val="000000"/>
        </w:rPr>
      </w:pPr>
    </w:p>
    <w:p w14:paraId="2AABE436" w14:textId="77777777" w:rsidR="005A5BD5" w:rsidRPr="00CF1706" w:rsidRDefault="005A5BD5" w:rsidP="005A5BD5">
      <w:pPr>
        <w:jc w:val="both"/>
        <w:rPr>
          <w:color w:val="000000"/>
        </w:rPr>
      </w:pPr>
      <w:r w:rsidRPr="00CF1706">
        <w:rPr>
          <w:color w:val="000000"/>
        </w:rPr>
        <w:t xml:space="preserve">- den Königlichen Erlass vom 15. September 1994 </w:t>
      </w:r>
      <w:r>
        <w:rPr>
          <w:color w:val="000000"/>
        </w:rPr>
        <w:t>zur Abänderung des KE/EStGB </w:t>
      </w:r>
      <w:r w:rsidRPr="00F629D6">
        <w:rPr>
          <w:color w:val="000000"/>
        </w:rPr>
        <w:t>92</w:t>
      </w:r>
      <w:r>
        <w:rPr>
          <w:color w:val="000000"/>
        </w:rPr>
        <w:t xml:space="preserve"> hinsichtlich</w:t>
      </w:r>
      <w:r w:rsidRPr="00CF1706">
        <w:rPr>
          <w:color w:val="000000"/>
        </w:rPr>
        <w:t xml:space="preserve"> </w:t>
      </w:r>
      <w:r>
        <w:rPr>
          <w:color w:val="000000"/>
        </w:rPr>
        <w:t>der Tätigkeiten der Vermittler von Arbeitskräften</w:t>
      </w:r>
      <w:r w:rsidRPr="00CF1706">
        <w:rPr>
          <w:i/>
          <w:color w:val="000000"/>
        </w:rPr>
        <w:t>,</w:t>
      </w:r>
    </w:p>
    <w:p w14:paraId="1F5EB965" w14:textId="77777777" w:rsidR="005A5BD5" w:rsidRPr="00CF1706" w:rsidRDefault="005A5BD5" w:rsidP="005A5BD5">
      <w:pPr>
        <w:jc w:val="both"/>
        <w:rPr>
          <w:color w:val="000000"/>
        </w:rPr>
      </w:pPr>
    </w:p>
    <w:p w14:paraId="0FFB2000" w14:textId="77777777" w:rsidR="005A5BD5" w:rsidRPr="00CF1706" w:rsidRDefault="005A5BD5" w:rsidP="005A5BD5">
      <w:pPr>
        <w:jc w:val="both"/>
        <w:rPr>
          <w:color w:val="000000"/>
        </w:rPr>
      </w:pPr>
      <w:r w:rsidRPr="00CF1706">
        <w:rPr>
          <w:color w:val="000000"/>
        </w:rPr>
        <w:t xml:space="preserve">- den Königlichen Erlass vom 7. Oktober 1994 </w:t>
      </w:r>
      <w:r>
        <w:rPr>
          <w:color w:val="000000"/>
        </w:rPr>
        <w:t>zur Abänderung des KE/EStGB </w:t>
      </w:r>
      <w:r w:rsidRPr="00F629D6">
        <w:rPr>
          <w:color w:val="000000"/>
        </w:rPr>
        <w:t>92</w:t>
      </w:r>
      <w:r>
        <w:rPr>
          <w:color w:val="000000"/>
        </w:rPr>
        <w:t xml:space="preserve"> hinsichtlich </w:t>
      </w:r>
      <w:r w:rsidRPr="00BC04D2">
        <w:rPr>
          <w:color w:val="000000"/>
        </w:rPr>
        <w:t xml:space="preserve">der Steuerbefreiung </w:t>
      </w:r>
      <w:r>
        <w:rPr>
          <w:color w:val="000000"/>
        </w:rPr>
        <w:t>für</w:t>
      </w:r>
      <w:r w:rsidRPr="00BC04D2">
        <w:rPr>
          <w:color w:val="000000"/>
        </w:rPr>
        <w:t xml:space="preserve"> Preise und Zuschüsse, die Wissenschaftlern, Schriftstellern oder Künstlern gezahlt oder zuerkannt werden</w:t>
      </w:r>
      <w:r w:rsidRPr="00CF1706">
        <w:rPr>
          <w:color w:val="000000"/>
        </w:rPr>
        <w:t>,</w:t>
      </w:r>
    </w:p>
    <w:p w14:paraId="30075E57" w14:textId="77777777" w:rsidR="005A5BD5" w:rsidRPr="00CF1706" w:rsidRDefault="005A5BD5" w:rsidP="005A5BD5">
      <w:pPr>
        <w:jc w:val="both"/>
        <w:rPr>
          <w:color w:val="000000"/>
        </w:rPr>
      </w:pPr>
    </w:p>
    <w:p w14:paraId="25BB0E3E" w14:textId="77777777" w:rsidR="005A5BD5" w:rsidRPr="00CF1706" w:rsidRDefault="005A5BD5" w:rsidP="005A5BD5">
      <w:pPr>
        <w:jc w:val="both"/>
        <w:rPr>
          <w:color w:val="000000"/>
        </w:rPr>
      </w:pPr>
      <w:r w:rsidRPr="00CF1706">
        <w:rPr>
          <w:color w:val="000000"/>
        </w:rPr>
        <w:t xml:space="preserve">- den Königlichen Erlass vom 21. Dezember 1994 </w:t>
      </w:r>
      <w:r>
        <w:rPr>
          <w:color w:val="000000"/>
        </w:rPr>
        <w:t>zur Abänderung des KE/EStGB </w:t>
      </w:r>
      <w:r w:rsidRPr="00F629D6">
        <w:rPr>
          <w:color w:val="000000"/>
        </w:rPr>
        <w:t>92 hinsichtlich des Berufssteuervorabzugs</w:t>
      </w:r>
      <w:r w:rsidRPr="00CF1706">
        <w:rPr>
          <w:color w:val="000000"/>
        </w:rPr>
        <w:t>,</w:t>
      </w:r>
    </w:p>
    <w:p w14:paraId="141E23D0" w14:textId="77777777" w:rsidR="005A5BD5" w:rsidRPr="00CF1706" w:rsidRDefault="005A5BD5" w:rsidP="005A5BD5">
      <w:pPr>
        <w:jc w:val="both"/>
        <w:rPr>
          <w:color w:val="000000"/>
        </w:rPr>
      </w:pPr>
    </w:p>
    <w:p w14:paraId="63509A62" w14:textId="77777777" w:rsidR="005A5BD5" w:rsidRPr="00CF1706" w:rsidRDefault="005A5BD5" w:rsidP="005A5BD5">
      <w:pPr>
        <w:jc w:val="both"/>
        <w:rPr>
          <w:color w:val="000000"/>
        </w:rPr>
      </w:pPr>
      <w:r w:rsidRPr="00CF1706">
        <w:rPr>
          <w:color w:val="000000"/>
        </w:rPr>
        <w:t xml:space="preserve">- den Königlichen Erlass vom 3. Januar 1995 </w:t>
      </w:r>
      <w:r>
        <w:rPr>
          <w:color w:val="000000"/>
        </w:rPr>
        <w:t>zur Abänderung des KE/EStGB </w:t>
      </w:r>
      <w:r w:rsidRPr="00F629D6">
        <w:rPr>
          <w:color w:val="000000"/>
        </w:rPr>
        <w:t>92</w:t>
      </w:r>
      <w:r w:rsidRPr="00CF1706">
        <w:rPr>
          <w:color w:val="000000"/>
        </w:rPr>
        <w:t>,</w:t>
      </w:r>
    </w:p>
    <w:p w14:paraId="263F87CE" w14:textId="77777777" w:rsidR="005A5BD5" w:rsidRPr="00CF1706" w:rsidRDefault="005A5BD5" w:rsidP="005A5BD5">
      <w:pPr>
        <w:jc w:val="both"/>
        <w:rPr>
          <w:color w:val="000000"/>
        </w:rPr>
      </w:pPr>
    </w:p>
    <w:p w14:paraId="6E49BA62" w14:textId="77777777" w:rsidR="005A5BD5" w:rsidRPr="00CF1706" w:rsidRDefault="005A5BD5" w:rsidP="005A5BD5">
      <w:pPr>
        <w:jc w:val="both"/>
        <w:rPr>
          <w:color w:val="000000"/>
        </w:rPr>
      </w:pPr>
      <w:r w:rsidRPr="00CF1706">
        <w:rPr>
          <w:color w:val="000000"/>
        </w:rPr>
        <w:t xml:space="preserve">- den Königlichen Erlass vom 10. Februar 1995 </w:t>
      </w:r>
      <w:r>
        <w:rPr>
          <w:color w:val="000000"/>
        </w:rPr>
        <w:t>zur Abänderung des KE/EStGB </w:t>
      </w:r>
      <w:r w:rsidRPr="00F629D6">
        <w:rPr>
          <w:color w:val="000000"/>
        </w:rPr>
        <w:t>92</w:t>
      </w:r>
      <w:r>
        <w:rPr>
          <w:color w:val="000000"/>
        </w:rPr>
        <w:t xml:space="preserve"> hinsichtlich</w:t>
      </w:r>
      <w:r w:rsidRPr="00CF1706">
        <w:rPr>
          <w:color w:val="000000"/>
        </w:rPr>
        <w:t xml:space="preserve"> </w:t>
      </w:r>
      <w:r>
        <w:rPr>
          <w:color w:val="000000"/>
        </w:rPr>
        <w:t>der Tätigkeiten der Vermittler von Arbeitskräften</w:t>
      </w:r>
      <w:r w:rsidRPr="00CF1706">
        <w:rPr>
          <w:color w:val="000000"/>
        </w:rPr>
        <w:t>,</w:t>
      </w:r>
    </w:p>
    <w:p w14:paraId="1D80258F" w14:textId="77777777" w:rsidR="005A5BD5" w:rsidRPr="00CF1706" w:rsidRDefault="005A5BD5" w:rsidP="005A5BD5">
      <w:pPr>
        <w:jc w:val="both"/>
        <w:rPr>
          <w:color w:val="000000"/>
        </w:rPr>
      </w:pPr>
    </w:p>
    <w:p w14:paraId="582D9E6A" w14:textId="77777777" w:rsidR="005A5BD5" w:rsidRPr="009B7718" w:rsidRDefault="005A5BD5" w:rsidP="005A5BD5">
      <w:pPr>
        <w:jc w:val="both"/>
        <w:rPr>
          <w:color w:val="000000"/>
        </w:rPr>
      </w:pPr>
      <w:r w:rsidRPr="00CF1706">
        <w:rPr>
          <w:color w:val="000000"/>
        </w:rPr>
        <w:t>- den Königlichen Erlass vom 7. </w:t>
      </w:r>
      <w:r w:rsidRPr="009B7718">
        <w:rPr>
          <w:color w:val="000000"/>
        </w:rPr>
        <w:t>März 1995</w:t>
      </w:r>
      <w:r>
        <w:rPr>
          <w:color w:val="000000"/>
        </w:rPr>
        <w:t xml:space="preserve"> zur Abänderung des KE/EStGB </w:t>
      </w:r>
      <w:r w:rsidRPr="00F629D6">
        <w:rPr>
          <w:color w:val="000000"/>
        </w:rPr>
        <w:t>92</w:t>
      </w:r>
      <w:r>
        <w:rPr>
          <w:color w:val="000000"/>
        </w:rPr>
        <w:t xml:space="preserve"> hinsichtlich</w:t>
      </w:r>
      <w:r w:rsidRPr="009B7718">
        <w:rPr>
          <w:color w:val="000000"/>
        </w:rPr>
        <w:t xml:space="preserve"> </w:t>
      </w:r>
      <w:r>
        <w:rPr>
          <w:color w:val="000000"/>
        </w:rPr>
        <w:t xml:space="preserve">der </w:t>
      </w:r>
      <w:r w:rsidRPr="00BC04D2">
        <w:rPr>
          <w:color w:val="000000"/>
        </w:rPr>
        <w:t>Pauschalveranschlagung von anders als in bar erhaltenen Vorteilen jeglicher Art</w:t>
      </w:r>
      <w:r w:rsidRPr="009B7718">
        <w:rPr>
          <w:color w:val="000000"/>
        </w:rPr>
        <w:t>,</w:t>
      </w:r>
    </w:p>
    <w:p w14:paraId="69231C93" w14:textId="77777777" w:rsidR="005A5BD5" w:rsidRPr="009B7718" w:rsidRDefault="005A5BD5" w:rsidP="005A5BD5">
      <w:pPr>
        <w:jc w:val="both"/>
        <w:rPr>
          <w:color w:val="000000"/>
        </w:rPr>
      </w:pPr>
    </w:p>
    <w:p w14:paraId="030C2BF7" w14:textId="77777777" w:rsidR="005A5BD5" w:rsidRPr="00CF1706" w:rsidRDefault="005A5BD5" w:rsidP="005A5BD5">
      <w:pPr>
        <w:jc w:val="both"/>
        <w:rPr>
          <w:color w:val="000000"/>
        </w:rPr>
      </w:pPr>
      <w:r w:rsidRPr="00CF1706">
        <w:rPr>
          <w:color w:val="000000"/>
        </w:rPr>
        <w:t xml:space="preserve">- den Königlichen Erlass vom 13. März 1995 </w:t>
      </w:r>
      <w:r>
        <w:rPr>
          <w:color w:val="000000"/>
        </w:rPr>
        <w:t>zur Abänderung des KE/EStGB </w:t>
      </w:r>
      <w:r w:rsidRPr="00F629D6">
        <w:rPr>
          <w:color w:val="000000"/>
        </w:rPr>
        <w:t>92</w:t>
      </w:r>
      <w:r>
        <w:rPr>
          <w:color w:val="000000"/>
        </w:rPr>
        <w:t xml:space="preserve"> hinsichtlich der </w:t>
      </w:r>
      <w:r w:rsidRPr="009B7718">
        <w:rPr>
          <w:color w:val="000000"/>
        </w:rPr>
        <w:t>Vorauszahlung</w:t>
      </w:r>
      <w:r>
        <w:rPr>
          <w:color w:val="000000"/>
        </w:rPr>
        <w:t>en</w:t>
      </w:r>
      <w:r w:rsidRPr="00CF1706">
        <w:rPr>
          <w:color w:val="000000"/>
        </w:rPr>
        <w:t>,</w:t>
      </w:r>
    </w:p>
    <w:p w14:paraId="04FF602D" w14:textId="77777777" w:rsidR="005A5BD5" w:rsidRPr="00CF1706" w:rsidRDefault="005A5BD5" w:rsidP="005A5BD5">
      <w:pPr>
        <w:jc w:val="both"/>
        <w:rPr>
          <w:color w:val="000000"/>
        </w:rPr>
      </w:pPr>
    </w:p>
    <w:p w14:paraId="54194FBA" w14:textId="77777777" w:rsidR="005A5BD5" w:rsidRPr="00CF1706" w:rsidRDefault="005A5BD5" w:rsidP="005A5BD5">
      <w:pPr>
        <w:jc w:val="both"/>
        <w:rPr>
          <w:color w:val="000000"/>
        </w:rPr>
      </w:pPr>
      <w:r w:rsidRPr="00CF1706">
        <w:rPr>
          <w:color w:val="000000"/>
        </w:rPr>
        <w:t xml:space="preserve">- den Königlichen Erlass vom 20. März 1995 </w:t>
      </w:r>
      <w:r>
        <w:rPr>
          <w:color w:val="000000"/>
        </w:rPr>
        <w:t>zur Abänderung des KE/EStGB </w:t>
      </w:r>
      <w:r w:rsidRPr="00F629D6">
        <w:rPr>
          <w:color w:val="000000"/>
        </w:rPr>
        <w:t>92 hinsichtlich</w:t>
      </w:r>
      <w:r>
        <w:rPr>
          <w:color w:val="000000"/>
        </w:rPr>
        <w:t xml:space="preserve"> des </w:t>
      </w:r>
      <w:r w:rsidRPr="00BC04D2">
        <w:rPr>
          <w:color w:val="000000"/>
        </w:rPr>
        <w:t>Neubewertungskoeffizient</w:t>
      </w:r>
      <w:r>
        <w:rPr>
          <w:color w:val="000000"/>
        </w:rPr>
        <w:t>en</w:t>
      </w:r>
      <w:r w:rsidRPr="00BC04D2">
        <w:rPr>
          <w:color w:val="000000"/>
        </w:rPr>
        <w:t xml:space="preserve"> für Katastereinkommen</w:t>
      </w:r>
      <w:r w:rsidRPr="00CF1706">
        <w:rPr>
          <w:color w:val="000000"/>
        </w:rPr>
        <w:t>,</w:t>
      </w:r>
    </w:p>
    <w:p w14:paraId="6A1477F0" w14:textId="77777777" w:rsidR="005A5BD5" w:rsidRPr="00CF1706" w:rsidRDefault="005A5BD5" w:rsidP="005A5BD5">
      <w:pPr>
        <w:jc w:val="both"/>
        <w:rPr>
          <w:color w:val="000000"/>
        </w:rPr>
      </w:pPr>
    </w:p>
    <w:p w14:paraId="2E4A19E4" w14:textId="77777777" w:rsidR="005A5BD5" w:rsidRPr="00CF1706" w:rsidRDefault="005A5BD5" w:rsidP="005A5BD5">
      <w:pPr>
        <w:jc w:val="both"/>
        <w:rPr>
          <w:color w:val="000000"/>
        </w:rPr>
      </w:pPr>
      <w:r w:rsidRPr="00CF1706">
        <w:rPr>
          <w:color w:val="000000"/>
        </w:rPr>
        <w:t xml:space="preserve">- den Königlichen Erlass vom 4. April 1995 </w:t>
      </w:r>
      <w:r>
        <w:rPr>
          <w:color w:val="000000"/>
        </w:rPr>
        <w:t>zur Abänderung des KE/EStGB </w:t>
      </w:r>
      <w:r w:rsidRPr="00F629D6">
        <w:rPr>
          <w:color w:val="000000"/>
        </w:rPr>
        <w:t>92 hinsichtlich</w:t>
      </w:r>
      <w:r>
        <w:rPr>
          <w:color w:val="000000"/>
        </w:rPr>
        <w:t xml:space="preserve"> des </w:t>
      </w:r>
      <w:r w:rsidRPr="00954E27">
        <w:rPr>
          <w:color w:val="000000"/>
        </w:rPr>
        <w:t>Untersuchungs</w:t>
      </w:r>
      <w:r>
        <w:rPr>
          <w:color w:val="000000"/>
        </w:rPr>
        <w:t>- und Kontroll</w:t>
      </w:r>
      <w:r w:rsidRPr="00954E27">
        <w:rPr>
          <w:color w:val="000000"/>
        </w:rPr>
        <w:t>recht</w:t>
      </w:r>
      <w:r>
        <w:rPr>
          <w:color w:val="000000"/>
        </w:rPr>
        <w:t>s</w:t>
      </w:r>
      <w:r w:rsidRPr="00CF1706">
        <w:rPr>
          <w:color w:val="000000"/>
        </w:rPr>
        <w:t>,</w:t>
      </w:r>
    </w:p>
    <w:p w14:paraId="6BD0024A" w14:textId="77777777" w:rsidR="005A5BD5" w:rsidRPr="00CF1706" w:rsidRDefault="005A5BD5" w:rsidP="005A5BD5">
      <w:pPr>
        <w:jc w:val="both"/>
        <w:rPr>
          <w:color w:val="000000"/>
        </w:rPr>
      </w:pPr>
    </w:p>
    <w:p w14:paraId="25F4AF25" w14:textId="77777777" w:rsidR="005A5BD5" w:rsidRPr="00CF1706" w:rsidRDefault="005A5BD5" w:rsidP="005A5BD5">
      <w:pPr>
        <w:jc w:val="both"/>
        <w:rPr>
          <w:color w:val="000000"/>
        </w:rPr>
      </w:pPr>
      <w:r w:rsidRPr="00CF1706">
        <w:rPr>
          <w:color w:val="000000"/>
        </w:rPr>
        <w:t xml:space="preserve">- den Königlichen Erlass vom 5. April 1995 </w:t>
      </w:r>
      <w:r>
        <w:rPr>
          <w:color w:val="000000"/>
        </w:rPr>
        <w:t>zur Abänderung des KE/EStGB </w:t>
      </w:r>
      <w:r w:rsidRPr="00F629D6">
        <w:rPr>
          <w:color w:val="000000"/>
        </w:rPr>
        <w:t>92</w:t>
      </w:r>
      <w:r>
        <w:rPr>
          <w:color w:val="000000"/>
        </w:rPr>
        <w:t xml:space="preserve"> hinsichtlich</w:t>
      </w:r>
      <w:r w:rsidRPr="009B7718">
        <w:rPr>
          <w:color w:val="000000"/>
        </w:rPr>
        <w:t xml:space="preserve"> </w:t>
      </w:r>
      <w:r>
        <w:rPr>
          <w:color w:val="000000"/>
        </w:rPr>
        <w:t xml:space="preserve">der </w:t>
      </w:r>
      <w:r w:rsidRPr="00BC04D2">
        <w:rPr>
          <w:color w:val="000000"/>
        </w:rPr>
        <w:t>Pauschalveranschlagung von anders als in bar erhaltenen Vorteilen jeglicher Art</w:t>
      </w:r>
      <w:r w:rsidRPr="00CF1706">
        <w:rPr>
          <w:color w:val="000000"/>
        </w:rPr>
        <w:t>,</w:t>
      </w:r>
    </w:p>
    <w:p w14:paraId="36EFE566" w14:textId="77777777" w:rsidR="005A5BD5" w:rsidRPr="00CF1706" w:rsidRDefault="005A5BD5" w:rsidP="005A5BD5">
      <w:pPr>
        <w:jc w:val="both"/>
        <w:rPr>
          <w:color w:val="000000"/>
        </w:rPr>
      </w:pPr>
    </w:p>
    <w:p w14:paraId="2C40546B" w14:textId="77777777" w:rsidR="005A5BD5" w:rsidRDefault="005A5BD5" w:rsidP="005A5BD5">
      <w:pPr>
        <w:jc w:val="both"/>
        <w:rPr>
          <w:color w:val="000000"/>
        </w:rPr>
      </w:pPr>
      <w:r w:rsidRPr="00CF1706">
        <w:rPr>
          <w:color w:val="000000"/>
        </w:rPr>
        <w:t>- den Königlichen Erlass vom 7. April 1995 zur Abänderung des Gesetzes vom 17. Juni 1991 zur Organisation des öffentlichen Kreditsektors und des Besitzes der Beteiligungen des öffentlichen Sektors an bestimmten privatrechtlichen Finanzgesellschaften und zur Festlegung verschiedener anderer Bestimmungen in Bezug auf den Verkauf von Aktiva,</w:t>
      </w:r>
    </w:p>
    <w:p w14:paraId="3AF368F5" w14:textId="77777777" w:rsidR="005A5BD5" w:rsidRDefault="005A5BD5" w:rsidP="005A5BD5">
      <w:pPr>
        <w:jc w:val="both"/>
        <w:rPr>
          <w:color w:val="000000"/>
        </w:rPr>
      </w:pPr>
    </w:p>
    <w:p w14:paraId="270E61E9" w14:textId="77777777" w:rsidR="005A5BD5" w:rsidRPr="00CF1706" w:rsidRDefault="005A5BD5" w:rsidP="005A5BD5">
      <w:pPr>
        <w:jc w:val="both"/>
        <w:rPr>
          <w:color w:val="000000"/>
        </w:rPr>
      </w:pPr>
      <w:r w:rsidRPr="00CF1706">
        <w:rPr>
          <w:color w:val="000000"/>
        </w:rPr>
        <w:t xml:space="preserve">- den Königlichen Erlass vom 10. April 1995 </w:t>
      </w:r>
      <w:r>
        <w:rPr>
          <w:color w:val="000000"/>
        </w:rPr>
        <w:t>zur Abänderung des KE/EStGB </w:t>
      </w:r>
      <w:r w:rsidRPr="00F629D6">
        <w:rPr>
          <w:color w:val="000000"/>
        </w:rPr>
        <w:t>92 hinsichtlich</w:t>
      </w:r>
      <w:r w:rsidRPr="00CF1706">
        <w:rPr>
          <w:color w:val="000000"/>
        </w:rPr>
        <w:t xml:space="preserve"> </w:t>
      </w:r>
      <w:r>
        <w:rPr>
          <w:color w:val="000000"/>
        </w:rPr>
        <w:t xml:space="preserve">des </w:t>
      </w:r>
      <w:r w:rsidRPr="000B664E">
        <w:rPr>
          <w:color w:val="000000"/>
        </w:rPr>
        <w:t>Mobiliensteuervorabzug</w:t>
      </w:r>
      <w:r>
        <w:rPr>
          <w:color w:val="000000"/>
        </w:rPr>
        <w:t>s</w:t>
      </w:r>
      <w:r w:rsidRPr="00CF1706">
        <w:rPr>
          <w:color w:val="000000"/>
        </w:rPr>
        <w:t>,</w:t>
      </w:r>
    </w:p>
    <w:p w14:paraId="6DCEF87D" w14:textId="77777777" w:rsidR="005A5BD5" w:rsidRPr="00CF1706" w:rsidRDefault="005A5BD5" w:rsidP="005A5BD5">
      <w:pPr>
        <w:jc w:val="both"/>
        <w:rPr>
          <w:color w:val="000000"/>
        </w:rPr>
      </w:pPr>
    </w:p>
    <w:p w14:paraId="381FD33D" w14:textId="77777777" w:rsidR="005A5BD5" w:rsidRPr="00CF1706" w:rsidRDefault="005A5BD5" w:rsidP="005A5BD5">
      <w:pPr>
        <w:jc w:val="both"/>
        <w:rPr>
          <w:color w:val="000000"/>
        </w:rPr>
      </w:pPr>
      <w:r w:rsidRPr="00CF1706">
        <w:rPr>
          <w:color w:val="000000"/>
        </w:rPr>
        <w:lastRenderedPageBreak/>
        <w:t xml:space="preserve">- den Königlichen Erlass vom 30. Mai 1995 </w:t>
      </w:r>
      <w:r>
        <w:rPr>
          <w:color w:val="000000"/>
        </w:rPr>
        <w:t>zur Abänderung des KE/EStGB </w:t>
      </w:r>
      <w:r w:rsidRPr="00F629D6">
        <w:rPr>
          <w:color w:val="000000"/>
        </w:rPr>
        <w:t>92 hinsichtlich</w:t>
      </w:r>
      <w:r w:rsidRPr="00CF1706">
        <w:rPr>
          <w:color w:val="000000"/>
        </w:rPr>
        <w:t xml:space="preserve"> </w:t>
      </w:r>
      <w:r>
        <w:rPr>
          <w:color w:val="000000"/>
        </w:rPr>
        <w:t xml:space="preserve">des </w:t>
      </w:r>
      <w:r w:rsidRPr="000B664E">
        <w:rPr>
          <w:color w:val="000000"/>
        </w:rPr>
        <w:t>Mobiliensteuervorabzug</w:t>
      </w:r>
      <w:r>
        <w:rPr>
          <w:color w:val="000000"/>
        </w:rPr>
        <w:t>s</w:t>
      </w:r>
      <w:r w:rsidRPr="00CF1706">
        <w:rPr>
          <w:color w:val="000000"/>
        </w:rPr>
        <w:t>,</w:t>
      </w:r>
    </w:p>
    <w:p w14:paraId="37F7A081" w14:textId="77777777" w:rsidR="005A5BD5" w:rsidRPr="00CF1706" w:rsidRDefault="005A5BD5" w:rsidP="005A5BD5">
      <w:pPr>
        <w:jc w:val="both"/>
        <w:rPr>
          <w:color w:val="000000"/>
        </w:rPr>
      </w:pPr>
    </w:p>
    <w:p w14:paraId="31D54A6F" w14:textId="77777777" w:rsidR="005A5BD5" w:rsidRPr="00CF1706" w:rsidRDefault="005A5BD5" w:rsidP="005A5BD5">
      <w:pPr>
        <w:jc w:val="both"/>
        <w:rPr>
          <w:color w:val="000000"/>
        </w:rPr>
      </w:pPr>
      <w:r w:rsidRPr="00CF1706">
        <w:rPr>
          <w:color w:val="000000"/>
        </w:rPr>
        <w:t xml:space="preserve">- den Königlichen Erlass vom 1. September 1995 </w:t>
      </w:r>
      <w:r>
        <w:rPr>
          <w:color w:val="000000"/>
        </w:rPr>
        <w:t>zur Abänderung des KE/EStGB </w:t>
      </w:r>
      <w:r w:rsidRPr="00F629D6">
        <w:rPr>
          <w:color w:val="000000"/>
        </w:rPr>
        <w:t>92 hinsichtlich</w:t>
      </w:r>
      <w:r w:rsidRPr="00CF1706">
        <w:rPr>
          <w:color w:val="000000"/>
        </w:rPr>
        <w:t xml:space="preserve"> </w:t>
      </w:r>
      <w:r>
        <w:rPr>
          <w:color w:val="000000"/>
        </w:rPr>
        <w:t xml:space="preserve">der unverschlossenen Hinterlegung bestimmter ab dem 1. Januar 1994 ausgegebener </w:t>
      </w:r>
      <w:r w:rsidRPr="0071476D">
        <w:rPr>
          <w:color w:val="000000"/>
        </w:rPr>
        <w:t>Aktien oder Anteile</w:t>
      </w:r>
      <w:r>
        <w:rPr>
          <w:color w:val="000000"/>
        </w:rPr>
        <w:t xml:space="preserve"> </w:t>
      </w:r>
      <w:r w:rsidRPr="00CF1706">
        <w:rPr>
          <w:i/>
          <w:color w:val="000000"/>
        </w:rPr>
        <w:t>(I)</w:t>
      </w:r>
      <w:r w:rsidRPr="00CF1706">
        <w:rPr>
          <w:color w:val="000000"/>
        </w:rPr>
        <w:t>,</w:t>
      </w:r>
    </w:p>
    <w:p w14:paraId="5E95486F" w14:textId="77777777" w:rsidR="005A5BD5" w:rsidRPr="00CF1706" w:rsidRDefault="005A5BD5" w:rsidP="005A5BD5">
      <w:pPr>
        <w:jc w:val="both"/>
        <w:rPr>
          <w:color w:val="000000"/>
        </w:rPr>
      </w:pPr>
    </w:p>
    <w:p w14:paraId="2008A870" w14:textId="77777777" w:rsidR="005A5BD5" w:rsidRPr="00CF1706" w:rsidRDefault="005A5BD5" w:rsidP="005A5BD5">
      <w:pPr>
        <w:jc w:val="both"/>
        <w:rPr>
          <w:color w:val="000000"/>
        </w:rPr>
      </w:pPr>
      <w:r w:rsidRPr="00CF1706">
        <w:rPr>
          <w:color w:val="000000"/>
        </w:rPr>
        <w:t xml:space="preserve">- den Königlichen Erlass vom 1. September 1995 </w:t>
      </w:r>
      <w:r>
        <w:rPr>
          <w:color w:val="000000"/>
        </w:rPr>
        <w:t>zur Abänderung des KE/EStGB </w:t>
      </w:r>
      <w:r w:rsidRPr="00F629D6">
        <w:rPr>
          <w:color w:val="000000"/>
        </w:rPr>
        <w:t>92</w:t>
      </w:r>
      <w:r>
        <w:rPr>
          <w:color w:val="000000"/>
        </w:rPr>
        <w:t xml:space="preserve"> insbesondere hinsichtlich des </w:t>
      </w:r>
      <w:r w:rsidRPr="00A87EC5">
        <w:rPr>
          <w:color w:val="000000"/>
        </w:rPr>
        <w:t>langfristige</w:t>
      </w:r>
      <w:r>
        <w:rPr>
          <w:color w:val="000000"/>
        </w:rPr>
        <w:t>n</w:t>
      </w:r>
      <w:r w:rsidRPr="00A87EC5">
        <w:rPr>
          <w:color w:val="000000"/>
        </w:rPr>
        <w:t xml:space="preserve"> Sparen</w:t>
      </w:r>
      <w:r>
        <w:rPr>
          <w:color w:val="000000"/>
        </w:rPr>
        <w:t>s</w:t>
      </w:r>
      <w:r w:rsidRPr="00CF1706">
        <w:rPr>
          <w:color w:val="000000"/>
        </w:rPr>
        <w:t xml:space="preserve"> </w:t>
      </w:r>
      <w:r w:rsidRPr="00CF1706">
        <w:rPr>
          <w:i/>
          <w:color w:val="000000"/>
        </w:rPr>
        <w:t>(II)</w:t>
      </w:r>
      <w:r w:rsidRPr="00CF1706">
        <w:rPr>
          <w:color w:val="000000"/>
        </w:rPr>
        <w:t>,</w:t>
      </w:r>
    </w:p>
    <w:p w14:paraId="07328990" w14:textId="77777777" w:rsidR="005A5BD5" w:rsidRPr="00CF1706" w:rsidRDefault="005A5BD5" w:rsidP="005A5BD5">
      <w:pPr>
        <w:jc w:val="both"/>
        <w:rPr>
          <w:color w:val="000000"/>
        </w:rPr>
      </w:pPr>
    </w:p>
    <w:p w14:paraId="38D4079E" w14:textId="77777777" w:rsidR="005A5BD5" w:rsidRPr="00CF1706" w:rsidRDefault="005A5BD5" w:rsidP="005A5BD5">
      <w:pPr>
        <w:jc w:val="both"/>
        <w:rPr>
          <w:color w:val="000000"/>
        </w:rPr>
      </w:pPr>
      <w:r w:rsidRPr="00CF1706">
        <w:rPr>
          <w:color w:val="000000"/>
        </w:rPr>
        <w:t xml:space="preserve">- den Königlichen Erlass vom 14. Dezember 1995 </w:t>
      </w:r>
      <w:r>
        <w:rPr>
          <w:color w:val="000000"/>
        </w:rPr>
        <w:t>zur Abänderung des KE/EStGB </w:t>
      </w:r>
      <w:r w:rsidRPr="00F629D6">
        <w:rPr>
          <w:color w:val="000000"/>
        </w:rPr>
        <w:t>92 hinsichtlich des Berufssteuervorabzugs</w:t>
      </w:r>
      <w:r w:rsidRPr="00CF1706">
        <w:rPr>
          <w:color w:val="000000"/>
        </w:rPr>
        <w:t>,</w:t>
      </w:r>
    </w:p>
    <w:p w14:paraId="39351BFB" w14:textId="77777777" w:rsidR="005A5BD5" w:rsidRPr="00CF1706" w:rsidRDefault="005A5BD5" w:rsidP="005A5BD5">
      <w:pPr>
        <w:jc w:val="both"/>
        <w:rPr>
          <w:color w:val="000000"/>
        </w:rPr>
      </w:pPr>
    </w:p>
    <w:p w14:paraId="457F2F05" w14:textId="77777777" w:rsidR="005A5BD5" w:rsidRPr="00CF1706" w:rsidRDefault="005A5BD5" w:rsidP="005A5BD5">
      <w:pPr>
        <w:jc w:val="both"/>
        <w:rPr>
          <w:color w:val="000000"/>
        </w:rPr>
      </w:pPr>
      <w:r w:rsidRPr="00CF1706">
        <w:rPr>
          <w:color w:val="000000"/>
        </w:rPr>
        <w:t xml:space="preserve">- den Königlichen Erlass vom 20. Dezember 1995 </w:t>
      </w:r>
      <w:r>
        <w:rPr>
          <w:color w:val="000000"/>
        </w:rPr>
        <w:t>zur Abänderung des KE/EStGB </w:t>
      </w:r>
      <w:r w:rsidRPr="00F629D6">
        <w:rPr>
          <w:color w:val="000000"/>
        </w:rPr>
        <w:t>92 hinsichtlich</w:t>
      </w:r>
      <w:r w:rsidRPr="00CD06A0">
        <w:rPr>
          <w:color w:val="000000"/>
        </w:rPr>
        <w:t xml:space="preserve"> </w:t>
      </w:r>
      <w:r>
        <w:rPr>
          <w:color w:val="000000"/>
        </w:rPr>
        <w:t xml:space="preserve">der </w:t>
      </w:r>
      <w:r w:rsidRPr="00CD06A0">
        <w:rPr>
          <w:color w:val="000000"/>
        </w:rPr>
        <w:t>Wertminderungen auf Forderungen</w:t>
      </w:r>
      <w:r w:rsidRPr="00CF1706">
        <w:rPr>
          <w:color w:val="000000"/>
        </w:rPr>
        <w:t>,</w:t>
      </w:r>
    </w:p>
    <w:p w14:paraId="3B3BAD8E" w14:textId="77777777" w:rsidR="005A5BD5" w:rsidRPr="00CF1706" w:rsidRDefault="005A5BD5" w:rsidP="005A5BD5">
      <w:pPr>
        <w:jc w:val="both"/>
        <w:rPr>
          <w:color w:val="000000"/>
        </w:rPr>
      </w:pPr>
    </w:p>
    <w:p w14:paraId="7B7DF926" w14:textId="77777777" w:rsidR="005A5BD5" w:rsidRPr="00CF1706" w:rsidRDefault="005A5BD5" w:rsidP="005A5BD5">
      <w:pPr>
        <w:jc w:val="both"/>
        <w:rPr>
          <w:color w:val="000000"/>
        </w:rPr>
      </w:pPr>
      <w:r w:rsidRPr="00CF1706">
        <w:rPr>
          <w:color w:val="000000"/>
        </w:rPr>
        <w:t>- den Königlichen Erlass vom 22. Dezember 1995 zur Abänderung in Bezug auf die Steuerbefreiung für Zusatzpersonal, das in Belgien in der wissenschaftlichen Forschung tätig ist, des EStGB 92 und des KE/EStGB 92,</w:t>
      </w:r>
    </w:p>
    <w:p w14:paraId="2ACC1B78" w14:textId="77777777" w:rsidR="005A5BD5" w:rsidRPr="00CF1706" w:rsidRDefault="005A5BD5" w:rsidP="005A5BD5">
      <w:pPr>
        <w:jc w:val="both"/>
        <w:rPr>
          <w:color w:val="000000"/>
        </w:rPr>
      </w:pPr>
    </w:p>
    <w:p w14:paraId="73469D63" w14:textId="77777777" w:rsidR="005A5BD5" w:rsidRPr="00CF1706" w:rsidRDefault="005A5BD5" w:rsidP="005A5BD5">
      <w:pPr>
        <w:jc w:val="both"/>
        <w:rPr>
          <w:color w:val="000000"/>
        </w:rPr>
      </w:pPr>
      <w:r>
        <w:rPr>
          <w:color w:val="000000"/>
        </w:rPr>
        <w:t xml:space="preserve">- den Königlichen Erlass </w:t>
      </w:r>
      <w:r w:rsidRPr="00704B54">
        <w:rPr>
          <w:color w:val="000000"/>
        </w:rPr>
        <w:t>vom 8. Januar</w:t>
      </w:r>
      <w:r w:rsidRPr="00CF1706">
        <w:rPr>
          <w:color w:val="000000"/>
        </w:rPr>
        <w:t xml:space="preserve"> 1996 </w:t>
      </w:r>
      <w:r>
        <w:rPr>
          <w:color w:val="000000"/>
        </w:rPr>
        <w:t xml:space="preserve">zur Abänderung des </w:t>
      </w:r>
      <w:r w:rsidRPr="00CF1706">
        <w:rPr>
          <w:color w:val="000000"/>
        </w:rPr>
        <w:t>Königlichen Erlass</w:t>
      </w:r>
      <w:r>
        <w:rPr>
          <w:color w:val="000000"/>
        </w:rPr>
        <w:t>es</w:t>
      </w:r>
      <w:r w:rsidRPr="00CF1706">
        <w:rPr>
          <w:color w:val="000000"/>
        </w:rPr>
        <w:t xml:space="preserve"> vom 10. Februar 1995 </w:t>
      </w:r>
      <w:r>
        <w:rPr>
          <w:color w:val="000000"/>
        </w:rPr>
        <w:t>zur Abänderung des KE/EStGB </w:t>
      </w:r>
      <w:r w:rsidRPr="00F629D6">
        <w:rPr>
          <w:color w:val="000000"/>
        </w:rPr>
        <w:t>92</w:t>
      </w:r>
      <w:r>
        <w:rPr>
          <w:color w:val="000000"/>
        </w:rPr>
        <w:t xml:space="preserve"> hinsichtlich</w:t>
      </w:r>
      <w:r w:rsidRPr="00CF1706">
        <w:rPr>
          <w:color w:val="000000"/>
        </w:rPr>
        <w:t xml:space="preserve"> </w:t>
      </w:r>
      <w:r>
        <w:rPr>
          <w:color w:val="000000"/>
        </w:rPr>
        <w:t>der Tätigkeiten der Vermittler von Arbeitskräften</w:t>
      </w:r>
      <w:r w:rsidRPr="00CF1706">
        <w:rPr>
          <w:color w:val="000000"/>
        </w:rPr>
        <w:t>,</w:t>
      </w:r>
    </w:p>
    <w:p w14:paraId="7710D426" w14:textId="77777777" w:rsidR="005A5BD5" w:rsidRPr="00CF1706" w:rsidRDefault="005A5BD5" w:rsidP="005A5BD5">
      <w:pPr>
        <w:jc w:val="both"/>
        <w:rPr>
          <w:color w:val="000000"/>
        </w:rPr>
      </w:pPr>
    </w:p>
    <w:p w14:paraId="5BA7B94D" w14:textId="77777777" w:rsidR="005A5BD5" w:rsidRPr="00CF1706" w:rsidRDefault="005A5BD5" w:rsidP="005A5BD5">
      <w:pPr>
        <w:jc w:val="both"/>
        <w:rPr>
          <w:color w:val="000000"/>
        </w:rPr>
      </w:pPr>
      <w:r w:rsidRPr="00CF1706">
        <w:rPr>
          <w:color w:val="000000"/>
        </w:rPr>
        <w:t xml:space="preserve">- den Königlichen Erlass vom 9. Januar 1996 </w:t>
      </w:r>
      <w:r>
        <w:rPr>
          <w:color w:val="000000"/>
        </w:rPr>
        <w:t>zur Abänderung des KE/EStGB </w:t>
      </w:r>
      <w:r w:rsidRPr="00F629D6">
        <w:rPr>
          <w:color w:val="000000"/>
        </w:rPr>
        <w:t>92</w:t>
      </w:r>
      <w:r>
        <w:rPr>
          <w:color w:val="000000"/>
        </w:rPr>
        <w:t xml:space="preserve"> hinsichtlich der Steuerbefreiung für bestimmte </w:t>
      </w:r>
      <w:r w:rsidRPr="00FE7B09">
        <w:rPr>
          <w:color w:val="000000"/>
        </w:rPr>
        <w:t>unentgeltliche Zuwendung</w:t>
      </w:r>
      <w:r>
        <w:rPr>
          <w:color w:val="000000"/>
        </w:rPr>
        <w:t>en</w:t>
      </w:r>
      <w:r w:rsidRPr="00CF1706">
        <w:rPr>
          <w:color w:val="000000"/>
        </w:rPr>
        <w:t>,</w:t>
      </w:r>
    </w:p>
    <w:p w14:paraId="4C7CB6C8" w14:textId="77777777" w:rsidR="005A5BD5" w:rsidRPr="00CF1706" w:rsidRDefault="005A5BD5" w:rsidP="005A5BD5">
      <w:pPr>
        <w:jc w:val="both"/>
        <w:rPr>
          <w:color w:val="000000"/>
        </w:rPr>
      </w:pPr>
    </w:p>
    <w:p w14:paraId="677D0180" w14:textId="77777777" w:rsidR="005A5BD5" w:rsidRPr="00CF1706" w:rsidRDefault="005A5BD5" w:rsidP="005A5BD5">
      <w:pPr>
        <w:jc w:val="both"/>
        <w:rPr>
          <w:color w:val="000000"/>
        </w:rPr>
      </w:pPr>
      <w:r w:rsidRPr="00CF1706">
        <w:rPr>
          <w:color w:val="000000"/>
        </w:rPr>
        <w:t xml:space="preserve">- den Königlichen Erlass vom 31. Januar 1996 </w:t>
      </w:r>
      <w:r>
        <w:rPr>
          <w:color w:val="000000"/>
        </w:rPr>
        <w:t>zur Abänderung des KE/EStGB </w:t>
      </w:r>
      <w:r w:rsidRPr="00F629D6">
        <w:rPr>
          <w:color w:val="000000"/>
        </w:rPr>
        <w:t>92</w:t>
      </w:r>
      <w:r>
        <w:rPr>
          <w:color w:val="000000"/>
        </w:rPr>
        <w:t xml:space="preserve"> hinsichtlich des </w:t>
      </w:r>
      <w:r w:rsidRPr="00FE7B09">
        <w:rPr>
          <w:color w:val="000000"/>
        </w:rPr>
        <w:t>Investitionsabzug</w:t>
      </w:r>
      <w:r>
        <w:rPr>
          <w:color w:val="000000"/>
        </w:rPr>
        <w:t>s</w:t>
      </w:r>
      <w:r w:rsidRPr="00CF1706">
        <w:rPr>
          <w:color w:val="000000"/>
        </w:rPr>
        <w:t>,</w:t>
      </w:r>
    </w:p>
    <w:p w14:paraId="41AF8C74" w14:textId="77777777" w:rsidR="005A5BD5" w:rsidRPr="00CF1706" w:rsidRDefault="005A5BD5" w:rsidP="005A5BD5">
      <w:pPr>
        <w:jc w:val="both"/>
        <w:rPr>
          <w:color w:val="000000"/>
        </w:rPr>
      </w:pPr>
    </w:p>
    <w:p w14:paraId="06AC08C6" w14:textId="77777777" w:rsidR="005A5BD5" w:rsidRPr="00CF1706" w:rsidRDefault="005A5BD5" w:rsidP="005A5BD5">
      <w:pPr>
        <w:jc w:val="both"/>
        <w:rPr>
          <w:color w:val="000000"/>
        </w:rPr>
      </w:pPr>
      <w:r w:rsidRPr="00CF1706">
        <w:rPr>
          <w:color w:val="000000"/>
        </w:rPr>
        <w:t>- den Entscheid Nr. 58.169</w:t>
      </w:r>
      <w:r>
        <w:rPr>
          <w:color w:val="000000"/>
        </w:rPr>
        <w:t xml:space="preserve"> </w:t>
      </w:r>
      <w:r w:rsidRPr="00CF1706">
        <w:rPr>
          <w:color w:val="000000"/>
        </w:rPr>
        <w:t>des Staat</w:t>
      </w:r>
      <w:r>
        <w:rPr>
          <w:color w:val="000000"/>
        </w:rPr>
        <w:t>s</w:t>
      </w:r>
      <w:r w:rsidRPr="00CF1706">
        <w:rPr>
          <w:color w:val="000000"/>
        </w:rPr>
        <w:t>rates vom 16. Februar 1996,</w:t>
      </w:r>
    </w:p>
    <w:p w14:paraId="10D9441D" w14:textId="77777777" w:rsidR="005A5BD5" w:rsidRPr="00CF1706" w:rsidRDefault="005A5BD5" w:rsidP="005A5BD5">
      <w:pPr>
        <w:jc w:val="both"/>
        <w:rPr>
          <w:color w:val="000000"/>
        </w:rPr>
      </w:pPr>
    </w:p>
    <w:p w14:paraId="7A16B824" w14:textId="77777777" w:rsidR="005A5BD5" w:rsidRPr="00CF1706" w:rsidRDefault="005A5BD5" w:rsidP="005A5BD5">
      <w:pPr>
        <w:jc w:val="both"/>
        <w:rPr>
          <w:color w:val="000000"/>
        </w:rPr>
      </w:pPr>
      <w:r w:rsidRPr="00CF1706">
        <w:rPr>
          <w:color w:val="000000"/>
        </w:rPr>
        <w:t xml:space="preserve">- den Königlichen Erlass vom 6. März 1996 </w:t>
      </w:r>
      <w:r>
        <w:rPr>
          <w:color w:val="000000"/>
        </w:rPr>
        <w:t>zur Abänderung des KE/EStGB </w:t>
      </w:r>
      <w:r w:rsidRPr="00F629D6">
        <w:rPr>
          <w:color w:val="000000"/>
        </w:rPr>
        <w:t>92</w:t>
      </w:r>
      <w:r w:rsidRPr="00CF1706">
        <w:rPr>
          <w:color w:val="000000"/>
        </w:rPr>
        <w:t>,</w:t>
      </w:r>
    </w:p>
    <w:p w14:paraId="54A33257" w14:textId="77777777" w:rsidR="005A5BD5" w:rsidRPr="00CF1706" w:rsidRDefault="005A5BD5" w:rsidP="005A5BD5">
      <w:pPr>
        <w:jc w:val="both"/>
        <w:rPr>
          <w:color w:val="000000"/>
        </w:rPr>
      </w:pPr>
    </w:p>
    <w:p w14:paraId="13CF17CA" w14:textId="77777777" w:rsidR="005A5BD5" w:rsidRPr="00CF1706" w:rsidRDefault="005A5BD5" w:rsidP="005A5BD5">
      <w:pPr>
        <w:jc w:val="both"/>
        <w:rPr>
          <w:color w:val="000000"/>
        </w:rPr>
      </w:pPr>
      <w:r w:rsidRPr="00CF1706">
        <w:rPr>
          <w:color w:val="000000"/>
        </w:rPr>
        <w:t xml:space="preserve">- den Königlichen Erlass vom 30. Juni 1996 </w:t>
      </w:r>
      <w:r>
        <w:rPr>
          <w:color w:val="000000"/>
        </w:rPr>
        <w:t>zur Abänderung des KE/EStGB </w:t>
      </w:r>
      <w:r w:rsidRPr="00F629D6">
        <w:rPr>
          <w:color w:val="000000"/>
        </w:rPr>
        <w:t>92 hinsichtlich des Berufssteuervorabzugs</w:t>
      </w:r>
      <w:r w:rsidRPr="00CF1706">
        <w:rPr>
          <w:color w:val="000000"/>
        </w:rPr>
        <w:t>,</w:t>
      </w:r>
    </w:p>
    <w:p w14:paraId="0AD04E3E" w14:textId="77777777" w:rsidR="005A5BD5" w:rsidRPr="00CF1706" w:rsidRDefault="005A5BD5" w:rsidP="005A5BD5">
      <w:pPr>
        <w:jc w:val="both"/>
        <w:rPr>
          <w:color w:val="000000"/>
        </w:rPr>
      </w:pPr>
    </w:p>
    <w:p w14:paraId="74565A4A" w14:textId="77777777" w:rsidR="005A5BD5" w:rsidRPr="00CF1706" w:rsidRDefault="005A5BD5" w:rsidP="005A5BD5">
      <w:pPr>
        <w:jc w:val="both"/>
        <w:rPr>
          <w:color w:val="000000"/>
        </w:rPr>
      </w:pPr>
      <w:r w:rsidRPr="00CF1706">
        <w:rPr>
          <w:color w:val="000000"/>
        </w:rPr>
        <w:t xml:space="preserve">- den Königlichen Erlass vom 17. Oktober 1996 </w:t>
      </w:r>
      <w:r w:rsidRPr="0097592B">
        <w:rPr>
          <w:color w:val="000000"/>
        </w:rPr>
        <w:t>zur Abänderun</w:t>
      </w:r>
      <w:r>
        <w:rPr>
          <w:color w:val="000000"/>
        </w:rPr>
        <w:t>g des KE/EStGB </w:t>
      </w:r>
      <w:r w:rsidRPr="0097592B">
        <w:rPr>
          <w:color w:val="000000"/>
        </w:rPr>
        <w:t xml:space="preserve">92 hinsichtlich der Steuerbefreiung </w:t>
      </w:r>
      <w:r>
        <w:rPr>
          <w:color w:val="000000"/>
        </w:rPr>
        <w:t>für</w:t>
      </w:r>
      <w:r w:rsidRPr="0097592B">
        <w:rPr>
          <w:color w:val="000000"/>
        </w:rPr>
        <w:t xml:space="preserve"> Preise und Zuschüsse, die Wissenschaftlern, Schriftstellern oder Künstlern gezahlt oder zuerkannt werden</w:t>
      </w:r>
      <w:r w:rsidRPr="00CF1706">
        <w:rPr>
          <w:color w:val="000000"/>
        </w:rPr>
        <w:t>,</w:t>
      </w:r>
    </w:p>
    <w:p w14:paraId="2FD2CACF" w14:textId="77777777" w:rsidR="005A5BD5" w:rsidRPr="00CF1706" w:rsidRDefault="005A5BD5" w:rsidP="005A5BD5">
      <w:pPr>
        <w:jc w:val="both"/>
        <w:rPr>
          <w:color w:val="000000"/>
        </w:rPr>
      </w:pPr>
    </w:p>
    <w:p w14:paraId="44BB3FD7" w14:textId="77777777" w:rsidR="005A5BD5" w:rsidRPr="00CF1706" w:rsidRDefault="005A5BD5" w:rsidP="005A5BD5">
      <w:pPr>
        <w:jc w:val="both"/>
        <w:rPr>
          <w:color w:val="000000"/>
        </w:rPr>
      </w:pPr>
      <w:r w:rsidRPr="00CF1706">
        <w:rPr>
          <w:color w:val="000000"/>
        </w:rPr>
        <w:t xml:space="preserve">- den Königlichen Erlass vom 11. Dezember 1996 </w:t>
      </w:r>
      <w:r w:rsidRPr="0097592B">
        <w:rPr>
          <w:color w:val="000000"/>
        </w:rPr>
        <w:t>zur Abänderun</w:t>
      </w:r>
      <w:r>
        <w:rPr>
          <w:color w:val="000000"/>
        </w:rPr>
        <w:t xml:space="preserve">g hinsichtlich des </w:t>
      </w:r>
      <w:r w:rsidRPr="00A32955">
        <w:rPr>
          <w:color w:val="000000"/>
        </w:rPr>
        <w:t>Mobiliensteuervorabzug</w:t>
      </w:r>
      <w:r>
        <w:rPr>
          <w:color w:val="000000"/>
        </w:rPr>
        <w:t>s des KE/EStGB </w:t>
      </w:r>
      <w:r w:rsidRPr="00F629D6">
        <w:rPr>
          <w:color w:val="000000"/>
        </w:rPr>
        <w:t>92</w:t>
      </w:r>
      <w:r>
        <w:rPr>
          <w:color w:val="000000"/>
        </w:rPr>
        <w:t xml:space="preserve"> und des </w:t>
      </w:r>
      <w:r w:rsidRPr="00CF1706">
        <w:rPr>
          <w:color w:val="000000"/>
        </w:rPr>
        <w:t>Königlichen Erlass</w:t>
      </w:r>
      <w:r>
        <w:rPr>
          <w:color w:val="000000"/>
        </w:rPr>
        <w:t>es</w:t>
      </w:r>
      <w:r w:rsidRPr="00CF1706">
        <w:rPr>
          <w:color w:val="000000"/>
        </w:rPr>
        <w:t xml:space="preserve"> vom 26. Mai 1994 </w:t>
      </w:r>
      <w:r>
        <w:rPr>
          <w:color w:val="000000"/>
        </w:rPr>
        <w:t xml:space="preserve">über </w:t>
      </w:r>
      <w:r w:rsidRPr="00704B54">
        <w:rPr>
          <w:color w:val="000000"/>
        </w:rPr>
        <w:t xml:space="preserve">die </w:t>
      </w:r>
      <w:r w:rsidRPr="00544326">
        <w:rPr>
          <w:color w:val="000000"/>
        </w:rPr>
        <w:t>Einbehaltung</w:t>
      </w:r>
      <w:r w:rsidRPr="00704B54">
        <w:rPr>
          <w:color w:val="000000"/>
        </w:rPr>
        <w:t xml:space="preserve"> und die Vergütung des Mobiliensteuervorabzugs gemäß Kapitel 1</w:t>
      </w:r>
      <w:r>
        <w:rPr>
          <w:color w:val="000000"/>
        </w:rPr>
        <w:t xml:space="preserve"> des </w:t>
      </w:r>
      <w:r w:rsidRPr="00EE6B11">
        <w:rPr>
          <w:color w:val="000000"/>
        </w:rPr>
        <w:t>Gesetz</w:t>
      </w:r>
      <w:r>
        <w:rPr>
          <w:color w:val="000000"/>
        </w:rPr>
        <w:t>es vom 6. August 1993</w:t>
      </w:r>
      <w:r w:rsidRPr="00EE6B11">
        <w:rPr>
          <w:color w:val="000000"/>
        </w:rPr>
        <w:t xml:space="preserve"> über Geschäfte mit bestimmten Wertpapieren</w:t>
      </w:r>
      <w:r w:rsidRPr="00CF1706">
        <w:rPr>
          <w:color w:val="000000"/>
        </w:rPr>
        <w:t>,</w:t>
      </w:r>
    </w:p>
    <w:p w14:paraId="5E8CF05F" w14:textId="77777777" w:rsidR="005A5BD5" w:rsidRDefault="005A5BD5" w:rsidP="005A5BD5">
      <w:pPr>
        <w:jc w:val="both"/>
        <w:rPr>
          <w:color w:val="000000"/>
        </w:rPr>
      </w:pPr>
    </w:p>
    <w:p w14:paraId="5FEE6179" w14:textId="77777777" w:rsidR="005A5BD5" w:rsidRPr="00CF1706" w:rsidRDefault="005A5BD5" w:rsidP="005A5BD5">
      <w:pPr>
        <w:jc w:val="both"/>
        <w:rPr>
          <w:color w:val="000000"/>
        </w:rPr>
      </w:pPr>
      <w:r w:rsidRPr="00CF1706">
        <w:rPr>
          <w:color w:val="000000"/>
        </w:rPr>
        <w:t xml:space="preserve">- den Königlichen Erlass vom 17. Dezember 1996 </w:t>
      </w:r>
      <w:r w:rsidRPr="0097592B">
        <w:rPr>
          <w:color w:val="000000"/>
        </w:rPr>
        <w:t>zur Abänderun</w:t>
      </w:r>
      <w:r>
        <w:rPr>
          <w:color w:val="000000"/>
        </w:rPr>
        <w:t>g des KE/EStGB </w:t>
      </w:r>
      <w:r w:rsidRPr="0097592B">
        <w:rPr>
          <w:color w:val="000000"/>
        </w:rPr>
        <w:t>92 hinsichtlich</w:t>
      </w:r>
      <w:r>
        <w:rPr>
          <w:color w:val="000000"/>
        </w:rPr>
        <w:t xml:space="preserve"> des </w:t>
      </w:r>
      <w:r w:rsidRPr="00A32955">
        <w:rPr>
          <w:color w:val="000000"/>
        </w:rPr>
        <w:t>Mobiliensteuervorabzug</w:t>
      </w:r>
      <w:r>
        <w:rPr>
          <w:color w:val="000000"/>
        </w:rPr>
        <w:t>s</w:t>
      </w:r>
      <w:r w:rsidRPr="00CF1706">
        <w:rPr>
          <w:color w:val="000000"/>
        </w:rPr>
        <w:t>,</w:t>
      </w:r>
    </w:p>
    <w:p w14:paraId="571E4D8D" w14:textId="77777777" w:rsidR="005A5BD5" w:rsidRPr="00CF1706" w:rsidRDefault="005A5BD5" w:rsidP="005A5BD5">
      <w:pPr>
        <w:jc w:val="both"/>
        <w:rPr>
          <w:color w:val="000000"/>
        </w:rPr>
      </w:pPr>
    </w:p>
    <w:p w14:paraId="4091F7F5" w14:textId="77777777" w:rsidR="005A5BD5" w:rsidRPr="00CF1706" w:rsidRDefault="005A5BD5" w:rsidP="005A5BD5">
      <w:pPr>
        <w:jc w:val="both"/>
        <w:rPr>
          <w:color w:val="000000"/>
        </w:rPr>
      </w:pPr>
      <w:r w:rsidRPr="00CF1706">
        <w:rPr>
          <w:color w:val="000000"/>
        </w:rPr>
        <w:lastRenderedPageBreak/>
        <w:t xml:space="preserve">- den Königlichen Erlass vom 23. Dezember 1996 </w:t>
      </w:r>
      <w:r>
        <w:rPr>
          <w:color w:val="000000"/>
        </w:rPr>
        <w:t xml:space="preserve">zur Abänderung des </w:t>
      </w:r>
      <w:r w:rsidRPr="009643A5">
        <w:rPr>
          <w:color w:val="000000"/>
        </w:rPr>
        <w:t>Gesetz</w:t>
      </w:r>
      <w:r>
        <w:rPr>
          <w:color w:val="000000"/>
        </w:rPr>
        <w:t>es vom 17. Juni 1991</w:t>
      </w:r>
      <w:r w:rsidRPr="009643A5">
        <w:rPr>
          <w:color w:val="000000"/>
        </w:rPr>
        <w:t xml:space="preserve"> zur Organisation des öffentlichen Kreditsektors und des Besitzes der Beteiligungen des öffentlichen Sektors an bestimmten privatrechtlichen Finanzgesellschaften</w:t>
      </w:r>
      <w:r>
        <w:rPr>
          <w:color w:val="000000"/>
        </w:rPr>
        <w:t xml:space="preserve"> und </w:t>
      </w:r>
      <w:r w:rsidRPr="009643A5">
        <w:rPr>
          <w:color w:val="000000"/>
        </w:rPr>
        <w:t>verschiedener anderer Bestimmungen</w:t>
      </w:r>
      <w:r>
        <w:rPr>
          <w:color w:val="000000"/>
        </w:rPr>
        <w:t xml:space="preserve"> hinsichtlich der </w:t>
      </w:r>
      <w:r w:rsidRPr="009643A5">
        <w:rPr>
          <w:color w:val="000000"/>
        </w:rPr>
        <w:t>Nationale</w:t>
      </w:r>
      <w:r>
        <w:rPr>
          <w:color w:val="000000"/>
        </w:rPr>
        <w:t>n</w:t>
      </w:r>
      <w:r w:rsidRPr="009643A5">
        <w:rPr>
          <w:color w:val="000000"/>
        </w:rPr>
        <w:t xml:space="preserve"> Kasse für Berufs</w:t>
      </w:r>
      <w:r>
        <w:rPr>
          <w:color w:val="000000"/>
        </w:rPr>
        <w:softHyphen/>
      </w:r>
      <w:r w:rsidRPr="009643A5">
        <w:rPr>
          <w:color w:val="000000"/>
        </w:rPr>
        <w:t>kredite</w:t>
      </w:r>
      <w:r w:rsidRPr="00CF1706">
        <w:rPr>
          <w:color w:val="000000"/>
        </w:rPr>
        <w:t>,</w:t>
      </w:r>
    </w:p>
    <w:p w14:paraId="3AE254C3" w14:textId="77777777" w:rsidR="005A5BD5" w:rsidRPr="00CF1706" w:rsidRDefault="005A5BD5" w:rsidP="005A5BD5">
      <w:pPr>
        <w:jc w:val="both"/>
        <w:rPr>
          <w:color w:val="000000"/>
        </w:rPr>
      </w:pPr>
    </w:p>
    <w:p w14:paraId="17DA7FC1" w14:textId="77777777" w:rsidR="005A5BD5" w:rsidRPr="00CF1706" w:rsidRDefault="005A5BD5" w:rsidP="005A5BD5">
      <w:pPr>
        <w:jc w:val="both"/>
        <w:rPr>
          <w:color w:val="000000"/>
        </w:rPr>
      </w:pPr>
      <w:r w:rsidRPr="00CF1706">
        <w:rPr>
          <w:color w:val="000000"/>
        </w:rPr>
        <w:t xml:space="preserve">- den Königlichen Erlass vom 10. Januar 1997 </w:t>
      </w:r>
      <w:r>
        <w:rPr>
          <w:color w:val="000000"/>
        </w:rPr>
        <w:t>zur Abänderung des KE/EStGB </w:t>
      </w:r>
      <w:r w:rsidRPr="00F629D6">
        <w:rPr>
          <w:color w:val="000000"/>
        </w:rPr>
        <w:t>92 hinsichtlich des Berufssteuervorabzugs</w:t>
      </w:r>
      <w:r w:rsidRPr="00CF1706">
        <w:rPr>
          <w:color w:val="000000"/>
        </w:rPr>
        <w:t>,</w:t>
      </w:r>
    </w:p>
    <w:p w14:paraId="3463CA75" w14:textId="77777777" w:rsidR="005A5BD5" w:rsidRPr="00CF1706" w:rsidRDefault="005A5BD5" w:rsidP="005A5BD5">
      <w:pPr>
        <w:jc w:val="both"/>
        <w:rPr>
          <w:color w:val="000000"/>
        </w:rPr>
      </w:pPr>
    </w:p>
    <w:p w14:paraId="735ABEF2" w14:textId="77777777" w:rsidR="005A5BD5" w:rsidRPr="00CF1706" w:rsidRDefault="005A5BD5" w:rsidP="005A5BD5">
      <w:pPr>
        <w:jc w:val="both"/>
        <w:rPr>
          <w:color w:val="000000"/>
        </w:rPr>
      </w:pPr>
      <w:r w:rsidRPr="00CF1706">
        <w:rPr>
          <w:color w:val="000000"/>
        </w:rPr>
        <w:t xml:space="preserve">- den Königlichen Erlass vom 26. Februar 1997 </w:t>
      </w:r>
      <w:r>
        <w:rPr>
          <w:color w:val="000000"/>
        </w:rPr>
        <w:t>zur Abänderung des KE/EStGB </w:t>
      </w:r>
      <w:r w:rsidRPr="00F629D6">
        <w:rPr>
          <w:color w:val="000000"/>
        </w:rPr>
        <w:t>92 hinsichtlich</w:t>
      </w:r>
      <w:r>
        <w:rPr>
          <w:color w:val="000000"/>
        </w:rPr>
        <w:t xml:space="preserve"> des </w:t>
      </w:r>
      <w:r w:rsidRPr="00BC04D2">
        <w:rPr>
          <w:color w:val="000000"/>
        </w:rPr>
        <w:t>Neubewertungskoeffizient</w:t>
      </w:r>
      <w:r>
        <w:rPr>
          <w:color w:val="000000"/>
        </w:rPr>
        <w:t>en</w:t>
      </w:r>
      <w:r w:rsidRPr="00BC04D2">
        <w:rPr>
          <w:color w:val="000000"/>
        </w:rPr>
        <w:t xml:space="preserve"> für Katastereinkommen</w:t>
      </w:r>
      <w:r w:rsidRPr="00CF1706">
        <w:rPr>
          <w:color w:val="000000"/>
        </w:rPr>
        <w:t>,</w:t>
      </w:r>
    </w:p>
    <w:p w14:paraId="7B5C3EF3" w14:textId="77777777" w:rsidR="005A5BD5" w:rsidRPr="00CF1706" w:rsidRDefault="005A5BD5" w:rsidP="005A5BD5">
      <w:pPr>
        <w:jc w:val="both"/>
        <w:rPr>
          <w:color w:val="000000"/>
        </w:rPr>
      </w:pPr>
    </w:p>
    <w:p w14:paraId="1CE7E5FE" w14:textId="77777777" w:rsidR="005A5BD5" w:rsidRPr="00CF1706" w:rsidRDefault="005A5BD5" w:rsidP="005A5BD5">
      <w:pPr>
        <w:jc w:val="both"/>
        <w:rPr>
          <w:color w:val="000000"/>
        </w:rPr>
      </w:pPr>
      <w:r w:rsidRPr="00CF1706">
        <w:rPr>
          <w:color w:val="000000"/>
        </w:rPr>
        <w:t xml:space="preserve">- den Königlichen Erlass vom 28. Februar 1997 </w:t>
      </w:r>
      <w:r>
        <w:rPr>
          <w:color w:val="000000"/>
        </w:rPr>
        <w:t xml:space="preserve">zur Abänderung des </w:t>
      </w:r>
      <w:r w:rsidRPr="00CF1706">
        <w:rPr>
          <w:color w:val="000000"/>
        </w:rPr>
        <w:t>Königlichen Erlass</w:t>
      </w:r>
      <w:r>
        <w:rPr>
          <w:color w:val="000000"/>
        </w:rPr>
        <w:t>es</w:t>
      </w:r>
      <w:r w:rsidRPr="00CF1706">
        <w:rPr>
          <w:color w:val="000000"/>
        </w:rPr>
        <w:t xml:space="preserve"> vom 10. Februar 1995 </w:t>
      </w:r>
      <w:r>
        <w:rPr>
          <w:color w:val="000000"/>
        </w:rPr>
        <w:t>zur Abänderung des KE/EStGB </w:t>
      </w:r>
      <w:r w:rsidRPr="00F629D6">
        <w:rPr>
          <w:color w:val="000000"/>
        </w:rPr>
        <w:t>92</w:t>
      </w:r>
      <w:r>
        <w:rPr>
          <w:color w:val="000000"/>
        </w:rPr>
        <w:t xml:space="preserve"> hinsichtlich</w:t>
      </w:r>
      <w:r w:rsidRPr="00CF1706">
        <w:rPr>
          <w:color w:val="000000"/>
        </w:rPr>
        <w:t xml:space="preserve"> </w:t>
      </w:r>
      <w:r>
        <w:rPr>
          <w:color w:val="000000"/>
        </w:rPr>
        <w:t>der Tätigkeiten der Vermittler von Arbeitskräften</w:t>
      </w:r>
      <w:r w:rsidRPr="00CF1706">
        <w:rPr>
          <w:color w:val="000000"/>
        </w:rPr>
        <w:t>,</w:t>
      </w:r>
    </w:p>
    <w:p w14:paraId="076F028A" w14:textId="77777777" w:rsidR="005A5BD5" w:rsidRPr="00CF1706" w:rsidRDefault="005A5BD5" w:rsidP="005A5BD5">
      <w:pPr>
        <w:jc w:val="both"/>
        <w:rPr>
          <w:color w:val="000000"/>
        </w:rPr>
      </w:pPr>
    </w:p>
    <w:p w14:paraId="48C123A0" w14:textId="77777777" w:rsidR="005A5BD5" w:rsidRPr="00CF1706" w:rsidRDefault="005A5BD5" w:rsidP="005A5BD5">
      <w:pPr>
        <w:jc w:val="both"/>
        <w:rPr>
          <w:color w:val="000000"/>
        </w:rPr>
      </w:pPr>
      <w:r w:rsidRPr="00CF1706">
        <w:rPr>
          <w:color w:val="000000"/>
        </w:rPr>
        <w:t>- den Königlichen Erlass vom 17. März 1997</w:t>
      </w:r>
      <w:r>
        <w:rPr>
          <w:color w:val="000000"/>
        </w:rPr>
        <w:t xml:space="preserve"> zur Abänderung des KE/EStGB </w:t>
      </w:r>
      <w:r w:rsidRPr="00F629D6">
        <w:rPr>
          <w:color w:val="000000"/>
        </w:rPr>
        <w:t>92 hinsichtlich</w:t>
      </w:r>
      <w:r>
        <w:rPr>
          <w:color w:val="000000"/>
        </w:rPr>
        <w:t xml:space="preserve"> der</w:t>
      </w:r>
      <w:r w:rsidRPr="00CF1706">
        <w:rPr>
          <w:color w:val="000000"/>
        </w:rPr>
        <w:t xml:space="preserve"> </w:t>
      </w:r>
      <w:r w:rsidRPr="00217D33">
        <w:rPr>
          <w:color w:val="000000"/>
        </w:rPr>
        <w:t>Vorteile jeglicher Art</w:t>
      </w:r>
      <w:r w:rsidRPr="00CF1706">
        <w:rPr>
          <w:color w:val="000000"/>
        </w:rPr>
        <w:t>,</w:t>
      </w:r>
    </w:p>
    <w:p w14:paraId="34809382" w14:textId="77777777" w:rsidR="005A5BD5" w:rsidRPr="00CF1706" w:rsidRDefault="005A5BD5" w:rsidP="005A5BD5">
      <w:pPr>
        <w:jc w:val="both"/>
        <w:rPr>
          <w:color w:val="000000"/>
        </w:rPr>
      </w:pPr>
    </w:p>
    <w:p w14:paraId="43A7A8A9" w14:textId="77777777" w:rsidR="005A5BD5" w:rsidRPr="00CF1706" w:rsidRDefault="005A5BD5" w:rsidP="005A5BD5">
      <w:pPr>
        <w:jc w:val="both"/>
        <w:rPr>
          <w:color w:val="000000"/>
        </w:rPr>
      </w:pPr>
      <w:r w:rsidRPr="00CF1706">
        <w:rPr>
          <w:color w:val="000000"/>
        </w:rPr>
        <w:t xml:space="preserve">- den Königlichen Erlass vom 20. Mai 1997 </w:t>
      </w:r>
      <w:r>
        <w:rPr>
          <w:color w:val="000000"/>
        </w:rPr>
        <w:t>zur Abänderung des KE/EStGB </w:t>
      </w:r>
      <w:r w:rsidRPr="00F629D6">
        <w:rPr>
          <w:color w:val="000000"/>
        </w:rPr>
        <w:t>92</w:t>
      </w:r>
      <w:r w:rsidRPr="00CF1706">
        <w:rPr>
          <w:color w:val="000000"/>
        </w:rPr>
        <w:t>,</w:t>
      </w:r>
    </w:p>
    <w:p w14:paraId="11FE2B59" w14:textId="77777777" w:rsidR="005A5BD5" w:rsidRPr="00CF1706" w:rsidRDefault="005A5BD5" w:rsidP="005A5BD5">
      <w:pPr>
        <w:jc w:val="both"/>
        <w:rPr>
          <w:color w:val="000000"/>
        </w:rPr>
      </w:pPr>
    </w:p>
    <w:p w14:paraId="5ED1A18A" w14:textId="77777777" w:rsidR="005A5BD5" w:rsidRPr="00CF1706" w:rsidRDefault="005A5BD5" w:rsidP="005A5BD5">
      <w:pPr>
        <w:jc w:val="both"/>
        <w:rPr>
          <w:color w:val="000000"/>
        </w:rPr>
      </w:pPr>
      <w:r w:rsidRPr="00CF1706">
        <w:rPr>
          <w:color w:val="000000"/>
        </w:rPr>
        <w:t xml:space="preserve">- den Königlichen Erlass vom 12. Juni 1997 </w:t>
      </w:r>
      <w:r>
        <w:rPr>
          <w:color w:val="000000"/>
        </w:rPr>
        <w:t>zur Abänderung des KE/EStGB </w:t>
      </w:r>
      <w:r w:rsidRPr="00F629D6">
        <w:rPr>
          <w:color w:val="000000"/>
        </w:rPr>
        <w:t>92 hinsichtlich</w:t>
      </w:r>
      <w:r>
        <w:rPr>
          <w:color w:val="000000"/>
        </w:rPr>
        <w:t xml:space="preserve"> der</w:t>
      </w:r>
      <w:r w:rsidRPr="00CF1706">
        <w:rPr>
          <w:color w:val="000000"/>
        </w:rPr>
        <w:t xml:space="preserve"> </w:t>
      </w:r>
      <w:r w:rsidRPr="00217D33">
        <w:rPr>
          <w:color w:val="000000"/>
        </w:rPr>
        <w:t>Vorteile jeglicher Art</w:t>
      </w:r>
      <w:r w:rsidRPr="00CF1706">
        <w:rPr>
          <w:color w:val="000000"/>
        </w:rPr>
        <w:t>,</w:t>
      </w:r>
    </w:p>
    <w:p w14:paraId="2B2F0B6B" w14:textId="77777777" w:rsidR="005A5BD5" w:rsidRPr="00CF1706" w:rsidRDefault="005A5BD5" w:rsidP="005A5BD5">
      <w:pPr>
        <w:jc w:val="both"/>
        <w:rPr>
          <w:color w:val="000000"/>
        </w:rPr>
      </w:pPr>
    </w:p>
    <w:p w14:paraId="46D5CB02" w14:textId="77777777" w:rsidR="005A5BD5" w:rsidRPr="00217D33" w:rsidRDefault="005A5BD5" w:rsidP="005A5BD5">
      <w:pPr>
        <w:jc w:val="both"/>
        <w:rPr>
          <w:color w:val="000000"/>
        </w:rPr>
      </w:pPr>
      <w:r w:rsidRPr="00CF1706">
        <w:rPr>
          <w:color w:val="000000"/>
        </w:rPr>
        <w:t>- den Königlichen Erlass vom 6. </w:t>
      </w:r>
      <w:r w:rsidRPr="00217D33">
        <w:rPr>
          <w:color w:val="000000"/>
        </w:rPr>
        <w:t xml:space="preserve">Juli 1997 zur Ausführung von Artikel 297 Absatz 2 </w:t>
      </w:r>
      <w:r>
        <w:rPr>
          <w:color w:val="000000"/>
        </w:rPr>
        <w:t xml:space="preserve">des </w:t>
      </w:r>
      <w:r w:rsidRPr="00217D33">
        <w:rPr>
          <w:color w:val="000000"/>
        </w:rPr>
        <w:t>Einkommensteuergesetzbuch</w:t>
      </w:r>
      <w:r>
        <w:rPr>
          <w:color w:val="000000"/>
        </w:rPr>
        <w:t>es </w:t>
      </w:r>
      <w:r w:rsidRPr="00217D33">
        <w:rPr>
          <w:color w:val="000000"/>
        </w:rPr>
        <w:t xml:space="preserve">1992 </w:t>
      </w:r>
      <w:r w:rsidRPr="00217D33">
        <w:rPr>
          <w:i/>
          <w:color w:val="000000"/>
        </w:rPr>
        <w:t>(I)</w:t>
      </w:r>
      <w:r w:rsidRPr="00217D33">
        <w:rPr>
          <w:color w:val="000000"/>
        </w:rPr>
        <w:t>,</w:t>
      </w:r>
    </w:p>
    <w:p w14:paraId="12D9DBFA" w14:textId="77777777" w:rsidR="005A5BD5" w:rsidRPr="00217D33" w:rsidRDefault="005A5BD5" w:rsidP="005A5BD5">
      <w:pPr>
        <w:jc w:val="both"/>
        <w:rPr>
          <w:color w:val="000000"/>
        </w:rPr>
      </w:pPr>
    </w:p>
    <w:p w14:paraId="4AD8CDE7" w14:textId="77777777" w:rsidR="005A5BD5" w:rsidRPr="00CF1706" w:rsidRDefault="005A5BD5" w:rsidP="005A5BD5">
      <w:pPr>
        <w:jc w:val="both"/>
        <w:rPr>
          <w:color w:val="000000"/>
        </w:rPr>
      </w:pPr>
      <w:r w:rsidRPr="00CF1706">
        <w:rPr>
          <w:color w:val="000000"/>
        </w:rPr>
        <w:t xml:space="preserve">- den Königlichen Erlass vom 6. Juli 1997 </w:t>
      </w:r>
      <w:r>
        <w:rPr>
          <w:color w:val="000000"/>
        </w:rPr>
        <w:t>zur Abänderung des KE/EStGB </w:t>
      </w:r>
      <w:r w:rsidRPr="00F629D6">
        <w:rPr>
          <w:color w:val="000000"/>
        </w:rPr>
        <w:t>92 hinsichtlich</w:t>
      </w:r>
      <w:r w:rsidRPr="00CF1706">
        <w:rPr>
          <w:color w:val="000000"/>
        </w:rPr>
        <w:t xml:space="preserve"> </w:t>
      </w:r>
      <w:r>
        <w:rPr>
          <w:color w:val="000000"/>
        </w:rPr>
        <w:t xml:space="preserve">des </w:t>
      </w:r>
      <w:r w:rsidRPr="000B664E">
        <w:rPr>
          <w:color w:val="000000"/>
        </w:rPr>
        <w:t>Mobiliensteuervorabzug</w:t>
      </w:r>
      <w:r>
        <w:rPr>
          <w:color w:val="000000"/>
        </w:rPr>
        <w:t>s</w:t>
      </w:r>
      <w:r w:rsidRPr="00CF1706">
        <w:rPr>
          <w:color w:val="000000"/>
        </w:rPr>
        <w:t xml:space="preserve"> </w:t>
      </w:r>
      <w:r w:rsidRPr="00CF1706">
        <w:rPr>
          <w:i/>
          <w:color w:val="000000"/>
        </w:rPr>
        <w:t>(II)</w:t>
      </w:r>
      <w:r w:rsidRPr="00CF1706">
        <w:rPr>
          <w:color w:val="000000"/>
        </w:rPr>
        <w:t>,</w:t>
      </w:r>
    </w:p>
    <w:p w14:paraId="7A5FE6B7" w14:textId="77777777" w:rsidR="005A5BD5" w:rsidRPr="00CF1706" w:rsidRDefault="005A5BD5" w:rsidP="005A5BD5">
      <w:pPr>
        <w:jc w:val="both"/>
        <w:rPr>
          <w:color w:val="000000"/>
        </w:rPr>
      </w:pPr>
    </w:p>
    <w:p w14:paraId="4C22E57A" w14:textId="77777777" w:rsidR="005A5BD5" w:rsidRPr="00CF1706" w:rsidRDefault="005A5BD5" w:rsidP="005A5BD5">
      <w:pPr>
        <w:jc w:val="both"/>
        <w:rPr>
          <w:color w:val="000000"/>
        </w:rPr>
      </w:pPr>
      <w:r w:rsidRPr="00CF1706">
        <w:rPr>
          <w:color w:val="000000"/>
        </w:rPr>
        <w:t xml:space="preserve">- den Königlichen Erlass vom 13. Oktober 1997 </w:t>
      </w:r>
      <w:r>
        <w:rPr>
          <w:color w:val="000000"/>
        </w:rPr>
        <w:t>zur Abänderung des KE/EStGB </w:t>
      </w:r>
      <w:r w:rsidRPr="00F629D6">
        <w:rPr>
          <w:color w:val="000000"/>
        </w:rPr>
        <w:t>92 hinsichtlich</w:t>
      </w:r>
      <w:r>
        <w:rPr>
          <w:color w:val="000000"/>
        </w:rPr>
        <w:t xml:space="preserve"> der </w:t>
      </w:r>
      <w:r w:rsidRPr="00B7015E">
        <w:rPr>
          <w:color w:val="000000"/>
        </w:rPr>
        <w:t>Einkünfte aus Spareinlagen</w:t>
      </w:r>
      <w:r w:rsidRPr="00CF1706">
        <w:rPr>
          <w:color w:val="000000"/>
        </w:rPr>
        <w:t>,</w:t>
      </w:r>
    </w:p>
    <w:p w14:paraId="71CA61D8" w14:textId="77777777" w:rsidR="005A5BD5" w:rsidRPr="00CF1706" w:rsidRDefault="005A5BD5" w:rsidP="005A5BD5">
      <w:pPr>
        <w:jc w:val="both"/>
        <w:rPr>
          <w:color w:val="000000"/>
        </w:rPr>
      </w:pPr>
    </w:p>
    <w:p w14:paraId="7C188437" w14:textId="77777777" w:rsidR="005A5BD5" w:rsidRPr="00CF1706" w:rsidRDefault="005A5BD5" w:rsidP="005A5BD5">
      <w:pPr>
        <w:jc w:val="both"/>
        <w:rPr>
          <w:color w:val="000000"/>
        </w:rPr>
      </w:pPr>
      <w:r w:rsidRPr="00CF1706">
        <w:rPr>
          <w:color w:val="000000"/>
        </w:rPr>
        <w:t xml:space="preserve">- den Königlichen Erlass vom 5. Dezember 1997 </w:t>
      </w:r>
      <w:r>
        <w:rPr>
          <w:color w:val="000000"/>
        </w:rPr>
        <w:t>zur Abänderung des KE/EStGB </w:t>
      </w:r>
      <w:r w:rsidRPr="00F629D6">
        <w:rPr>
          <w:color w:val="000000"/>
        </w:rPr>
        <w:t>92 hinsichtlich des Berufssteuervorabzugs</w:t>
      </w:r>
      <w:r w:rsidRPr="00CF1706">
        <w:rPr>
          <w:color w:val="000000"/>
        </w:rPr>
        <w:t>,</w:t>
      </w:r>
    </w:p>
    <w:p w14:paraId="53952FC9" w14:textId="77777777" w:rsidR="005A5BD5" w:rsidRPr="00CF1706" w:rsidRDefault="005A5BD5" w:rsidP="005A5BD5">
      <w:pPr>
        <w:jc w:val="both"/>
        <w:rPr>
          <w:color w:val="000000"/>
        </w:rPr>
      </w:pPr>
    </w:p>
    <w:p w14:paraId="1D570AF6" w14:textId="77777777" w:rsidR="005A5BD5" w:rsidRPr="00CF1706" w:rsidRDefault="005A5BD5" w:rsidP="005A5BD5">
      <w:pPr>
        <w:jc w:val="both"/>
        <w:rPr>
          <w:color w:val="000000"/>
        </w:rPr>
      </w:pPr>
      <w:r w:rsidRPr="00CF1706">
        <w:rPr>
          <w:color w:val="000000"/>
        </w:rPr>
        <w:t xml:space="preserve">- den Königlichen Erlass vom 9. Januar 1998 </w:t>
      </w:r>
      <w:r>
        <w:rPr>
          <w:color w:val="000000"/>
        </w:rPr>
        <w:t>zur Abänderung des KE/EStGB </w:t>
      </w:r>
      <w:r w:rsidRPr="00F629D6">
        <w:rPr>
          <w:color w:val="000000"/>
        </w:rPr>
        <w:t>92 hinsichtlich</w:t>
      </w:r>
      <w:r w:rsidRPr="00CF1706">
        <w:rPr>
          <w:color w:val="000000"/>
        </w:rPr>
        <w:t xml:space="preserve"> </w:t>
      </w:r>
      <w:r>
        <w:rPr>
          <w:color w:val="000000"/>
        </w:rPr>
        <w:t xml:space="preserve">des </w:t>
      </w:r>
      <w:r w:rsidRPr="000B664E">
        <w:rPr>
          <w:color w:val="000000"/>
        </w:rPr>
        <w:t>Mobiliensteuervorabzug</w:t>
      </w:r>
      <w:r>
        <w:rPr>
          <w:color w:val="000000"/>
        </w:rPr>
        <w:t>s</w:t>
      </w:r>
      <w:r w:rsidRPr="00CF1706">
        <w:rPr>
          <w:color w:val="000000"/>
        </w:rPr>
        <w:t>,</w:t>
      </w:r>
    </w:p>
    <w:p w14:paraId="2F4C4A26" w14:textId="77777777" w:rsidR="005A5BD5" w:rsidRPr="00CF1706" w:rsidRDefault="005A5BD5" w:rsidP="005A5BD5">
      <w:pPr>
        <w:jc w:val="both"/>
        <w:rPr>
          <w:color w:val="000000"/>
        </w:rPr>
      </w:pPr>
    </w:p>
    <w:p w14:paraId="1CC551EC" w14:textId="77777777" w:rsidR="005A5BD5" w:rsidRPr="00CF1706" w:rsidRDefault="005A5BD5" w:rsidP="005A5BD5">
      <w:pPr>
        <w:jc w:val="both"/>
        <w:rPr>
          <w:color w:val="000000"/>
        </w:rPr>
      </w:pPr>
      <w:r w:rsidRPr="00CF1706">
        <w:rPr>
          <w:color w:val="000000"/>
        </w:rPr>
        <w:t xml:space="preserve">- den Königlichen Erlass vom 1. März 1998 </w:t>
      </w:r>
      <w:r>
        <w:rPr>
          <w:color w:val="000000"/>
        </w:rPr>
        <w:t xml:space="preserve">zur Abänderung des </w:t>
      </w:r>
      <w:r w:rsidRPr="00CF1706">
        <w:rPr>
          <w:color w:val="000000"/>
        </w:rPr>
        <w:t>Königlichen Erlass</w:t>
      </w:r>
      <w:r>
        <w:rPr>
          <w:color w:val="000000"/>
        </w:rPr>
        <w:t>es</w:t>
      </w:r>
      <w:r w:rsidRPr="00CF1706">
        <w:rPr>
          <w:color w:val="000000"/>
        </w:rPr>
        <w:t xml:space="preserve"> vom</w:t>
      </w:r>
      <w:r>
        <w:rPr>
          <w:color w:val="000000"/>
        </w:rPr>
        <w:t xml:space="preserve"> </w:t>
      </w:r>
      <w:r w:rsidRPr="00CF1706">
        <w:rPr>
          <w:color w:val="000000"/>
        </w:rPr>
        <w:t xml:space="preserve">10. Februar 1995 </w:t>
      </w:r>
      <w:r>
        <w:rPr>
          <w:color w:val="000000"/>
        </w:rPr>
        <w:t>zur Abänderung des KE/EStGB </w:t>
      </w:r>
      <w:r w:rsidRPr="00F629D6">
        <w:rPr>
          <w:color w:val="000000"/>
        </w:rPr>
        <w:t>92</w:t>
      </w:r>
      <w:r>
        <w:rPr>
          <w:color w:val="000000"/>
        </w:rPr>
        <w:t xml:space="preserve"> hinsichtlich</w:t>
      </w:r>
      <w:r w:rsidRPr="00CF1706">
        <w:rPr>
          <w:color w:val="000000"/>
        </w:rPr>
        <w:t xml:space="preserve"> </w:t>
      </w:r>
      <w:r>
        <w:rPr>
          <w:color w:val="000000"/>
        </w:rPr>
        <w:t>der Tätigkeiten der Vermittler von Arbeitskräften</w:t>
      </w:r>
      <w:r w:rsidRPr="00CF1706">
        <w:rPr>
          <w:color w:val="000000"/>
        </w:rPr>
        <w:t>,</w:t>
      </w:r>
    </w:p>
    <w:p w14:paraId="58E49476" w14:textId="77777777" w:rsidR="005A5BD5" w:rsidRPr="00CF1706" w:rsidRDefault="005A5BD5" w:rsidP="005A5BD5">
      <w:pPr>
        <w:jc w:val="both"/>
        <w:rPr>
          <w:color w:val="000000"/>
        </w:rPr>
      </w:pPr>
    </w:p>
    <w:p w14:paraId="542068E1" w14:textId="77777777" w:rsidR="005A5BD5" w:rsidRPr="00CF1706" w:rsidRDefault="005A5BD5" w:rsidP="005A5BD5">
      <w:pPr>
        <w:jc w:val="both"/>
        <w:rPr>
          <w:color w:val="000000"/>
        </w:rPr>
      </w:pPr>
      <w:r w:rsidRPr="00CF1706">
        <w:rPr>
          <w:color w:val="000000"/>
        </w:rPr>
        <w:t xml:space="preserve">- den Königlichen Erlass vom 2. Juni 1998 </w:t>
      </w:r>
      <w:r>
        <w:rPr>
          <w:color w:val="000000"/>
        </w:rPr>
        <w:t>zur Abänderung des KE/EStGB </w:t>
      </w:r>
      <w:r w:rsidRPr="00F629D6">
        <w:rPr>
          <w:color w:val="000000"/>
        </w:rPr>
        <w:t>92 hinsichtlich</w:t>
      </w:r>
      <w:r>
        <w:rPr>
          <w:color w:val="000000"/>
        </w:rPr>
        <w:t xml:space="preserve"> der</w:t>
      </w:r>
      <w:r w:rsidRPr="00CF1706">
        <w:rPr>
          <w:color w:val="000000"/>
        </w:rPr>
        <w:t xml:space="preserve"> </w:t>
      </w:r>
      <w:r w:rsidRPr="00217D33">
        <w:rPr>
          <w:color w:val="000000"/>
        </w:rPr>
        <w:t>Vorteile jeglicher Art</w:t>
      </w:r>
      <w:r w:rsidRPr="00CF1706">
        <w:rPr>
          <w:color w:val="000000"/>
        </w:rPr>
        <w:t>,</w:t>
      </w:r>
    </w:p>
    <w:p w14:paraId="7A645CCC" w14:textId="77777777" w:rsidR="005A5BD5" w:rsidRDefault="005A5BD5" w:rsidP="005A5BD5">
      <w:pPr>
        <w:jc w:val="both"/>
        <w:rPr>
          <w:color w:val="000000"/>
        </w:rPr>
      </w:pPr>
    </w:p>
    <w:p w14:paraId="7748EEE0" w14:textId="77777777" w:rsidR="005A5BD5" w:rsidRPr="00CF1706" w:rsidRDefault="005A5BD5" w:rsidP="005A5BD5">
      <w:pPr>
        <w:jc w:val="both"/>
        <w:rPr>
          <w:color w:val="000000"/>
        </w:rPr>
      </w:pPr>
      <w:r w:rsidRPr="00CF1706">
        <w:rPr>
          <w:color w:val="000000"/>
        </w:rPr>
        <w:t xml:space="preserve">- den Königlichen Erlass vom 29. Oktober 1998 </w:t>
      </w:r>
      <w:r>
        <w:rPr>
          <w:color w:val="000000"/>
        </w:rPr>
        <w:t>zur Abänderung des KE/EStGB </w:t>
      </w:r>
      <w:r w:rsidRPr="00273F11">
        <w:rPr>
          <w:color w:val="000000"/>
        </w:rPr>
        <w:t xml:space="preserve">92 hinsichtlich der Steuerbefreiung </w:t>
      </w:r>
      <w:r>
        <w:rPr>
          <w:color w:val="000000"/>
        </w:rPr>
        <w:t xml:space="preserve">für </w:t>
      </w:r>
      <w:r w:rsidRPr="00273F11">
        <w:rPr>
          <w:color w:val="000000"/>
        </w:rPr>
        <w:t>bestimmte unentgeltliche Zuwendungen</w:t>
      </w:r>
      <w:r w:rsidRPr="00CF1706">
        <w:rPr>
          <w:color w:val="000000"/>
        </w:rPr>
        <w:t>,</w:t>
      </w:r>
    </w:p>
    <w:p w14:paraId="4400EF73" w14:textId="77777777" w:rsidR="005A5BD5" w:rsidRPr="00CF1706" w:rsidRDefault="005A5BD5" w:rsidP="005A5BD5">
      <w:pPr>
        <w:jc w:val="both"/>
        <w:rPr>
          <w:color w:val="000000"/>
        </w:rPr>
      </w:pPr>
    </w:p>
    <w:p w14:paraId="72EEF427" w14:textId="77777777" w:rsidR="005A5BD5" w:rsidRPr="00CF1706" w:rsidRDefault="005A5BD5" w:rsidP="005A5BD5">
      <w:pPr>
        <w:jc w:val="both"/>
        <w:rPr>
          <w:color w:val="000000"/>
        </w:rPr>
      </w:pPr>
      <w:r w:rsidRPr="00CF1706">
        <w:rPr>
          <w:color w:val="000000"/>
        </w:rPr>
        <w:t>- den Entscheid Nr. 77.164</w:t>
      </w:r>
      <w:r>
        <w:rPr>
          <w:color w:val="000000"/>
        </w:rPr>
        <w:t xml:space="preserve"> </w:t>
      </w:r>
      <w:r w:rsidRPr="00CF1706">
        <w:rPr>
          <w:color w:val="000000"/>
        </w:rPr>
        <w:t>des Staatsrates vom 24. November 1998,</w:t>
      </w:r>
    </w:p>
    <w:p w14:paraId="54197327" w14:textId="77777777" w:rsidR="005A5BD5" w:rsidRPr="00CF1706" w:rsidRDefault="005A5BD5" w:rsidP="005A5BD5">
      <w:pPr>
        <w:jc w:val="both"/>
        <w:rPr>
          <w:color w:val="000000"/>
        </w:rPr>
      </w:pPr>
    </w:p>
    <w:p w14:paraId="6F638A17" w14:textId="77777777" w:rsidR="005A5BD5" w:rsidRPr="00CF1706" w:rsidRDefault="005A5BD5" w:rsidP="005A5BD5">
      <w:pPr>
        <w:jc w:val="both"/>
        <w:rPr>
          <w:color w:val="000000"/>
        </w:rPr>
      </w:pPr>
      <w:r w:rsidRPr="00CF1706">
        <w:rPr>
          <w:color w:val="000000"/>
        </w:rPr>
        <w:lastRenderedPageBreak/>
        <w:t xml:space="preserve">- den Königlichen Erlass vom 4. Dezember 1998 </w:t>
      </w:r>
      <w:r>
        <w:rPr>
          <w:color w:val="000000"/>
        </w:rPr>
        <w:t>zur Abänderung des KE/EStGB </w:t>
      </w:r>
      <w:r w:rsidRPr="00F629D6">
        <w:rPr>
          <w:color w:val="000000"/>
        </w:rPr>
        <w:t>92 hinsichtlich des Berufssteuervorabzugs</w:t>
      </w:r>
      <w:r w:rsidRPr="00CF1706">
        <w:rPr>
          <w:color w:val="000000"/>
        </w:rPr>
        <w:t>,</w:t>
      </w:r>
    </w:p>
    <w:p w14:paraId="58B575E9" w14:textId="77777777" w:rsidR="005A5BD5" w:rsidRPr="00CF1706" w:rsidRDefault="005A5BD5" w:rsidP="005A5BD5">
      <w:pPr>
        <w:jc w:val="both"/>
        <w:rPr>
          <w:color w:val="000000"/>
        </w:rPr>
      </w:pPr>
    </w:p>
    <w:p w14:paraId="447958AA" w14:textId="77777777" w:rsidR="005A5BD5" w:rsidRPr="00CF1706" w:rsidRDefault="005A5BD5" w:rsidP="005A5BD5">
      <w:pPr>
        <w:jc w:val="both"/>
        <w:rPr>
          <w:color w:val="000000"/>
        </w:rPr>
      </w:pPr>
      <w:r w:rsidRPr="00CF1706">
        <w:rPr>
          <w:color w:val="000000"/>
        </w:rPr>
        <w:t xml:space="preserve">- den Königlichen Erlass vom 7. Dezember 1998 </w:t>
      </w:r>
      <w:r>
        <w:rPr>
          <w:color w:val="000000"/>
        </w:rPr>
        <w:t>zur Abänderung des KE/EStGB </w:t>
      </w:r>
      <w:r w:rsidRPr="00F629D6">
        <w:rPr>
          <w:color w:val="000000"/>
        </w:rPr>
        <w:t>92 hinsichtlich</w:t>
      </w:r>
      <w:r>
        <w:rPr>
          <w:color w:val="000000"/>
        </w:rPr>
        <w:t xml:space="preserve"> der</w:t>
      </w:r>
      <w:r w:rsidRPr="00CF1706">
        <w:rPr>
          <w:color w:val="000000"/>
        </w:rPr>
        <w:t xml:space="preserve"> </w:t>
      </w:r>
      <w:r w:rsidRPr="00217D33">
        <w:rPr>
          <w:color w:val="000000"/>
        </w:rPr>
        <w:t>Vorteile jeglicher Art</w:t>
      </w:r>
      <w:r w:rsidRPr="00CF1706">
        <w:rPr>
          <w:color w:val="000000"/>
        </w:rPr>
        <w:t>,</w:t>
      </w:r>
    </w:p>
    <w:p w14:paraId="7E4B569C" w14:textId="77777777" w:rsidR="005A5BD5" w:rsidRPr="00CF1706" w:rsidRDefault="005A5BD5" w:rsidP="005A5BD5">
      <w:pPr>
        <w:jc w:val="both"/>
        <w:rPr>
          <w:color w:val="000000"/>
        </w:rPr>
      </w:pPr>
    </w:p>
    <w:p w14:paraId="2B468B3F" w14:textId="77777777" w:rsidR="005A5BD5" w:rsidRPr="00CF1706" w:rsidRDefault="005A5BD5" w:rsidP="005A5BD5">
      <w:pPr>
        <w:jc w:val="both"/>
        <w:rPr>
          <w:color w:val="000000"/>
        </w:rPr>
      </w:pPr>
      <w:r w:rsidRPr="00CF1706">
        <w:rPr>
          <w:color w:val="000000"/>
        </w:rPr>
        <w:t xml:space="preserve">- den Königlichen Erlass vom 17. Dezember 1998 </w:t>
      </w:r>
      <w:r w:rsidRPr="00273F11">
        <w:rPr>
          <w:color w:val="000000"/>
        </w:rPr>
        <w:t>zur Abänderung des KE/E</w:t>
      </w:r>
      <w:r>
        <w:rPr>
          <w:color w:val="000000"/>
        </w:rPr>
        <w:t>StGB </w:t>
      </w:r>
      <w:r w:rsidRPr="00273F11">
        <w:rPr>
          <w:color w:val="000000"/>
        </w:rPr>
        <w:t>92 hinsichtlich des Neubewertungskoeffizienten für Katastereinkommen</w:t>
      </w:r>
      <w:r w:rsidRPr="00CF1706">
        <w:rPr>
          <w:color w:val="000000"/>
        </w:rPr>
        <w:t>,</w:t>
      </w:r>
    </w:p>
    <w:p w14:paraId="4C58AB01" w14:textId="77777777" w:rsidR="005A5BD5" w:rsidRPr="00CF1706" w:rsidRDefault="005A5BD5" w:rsidP="005A5BD5">
      <w:pPr>
        <w:jc w:val="both"/>
        <w:rPr>
          <w:color w:val="000000"/>
        </w:rPr>
      </w:pPr>
    </w:p>
    <w:p w14:paraId="00A52B45" w14:textId="77777777" w:rsidR="005A5BD5" w:rsidRPr="00CF1706" w:rsidRDefault="005A5BD5" w:rsidP="005A5BD5">
      <w:pPr>
        <w:jc w:val="both"/>
        <w:rPr>
          <w:color w:val="000000"/>
        </w:rPr>
      </w:pPr>
      <w:r w:rsidRPr="00CF1706">
        <w:rPr>
          <w:color w:val="000000"/>
        </w:rPr>
        <w:t xml:space="preserve">- den Königlichen Erlass vom 26. Dezember 1998 </w:t>
      </w:r>
      <w:r w:rsidRPr="00212CEA">
        <w:rPr>
          <w:color w:val="000000"/>
        </w:rPr>
        <w:t>zur Ausführung der Artikel</w:t>
      </w:r>
      <w:r>
        <w:rPr>
          <w:color w:val="000000"/>
        </w:rPr>
        <w:t> </w:t>
      </w:r>
      <w:r w:rsidRPr="00212CEA">
        <w:rPr>
          <w:color w:val="000000"/>
        </w:rPr>
        <w:t>400, 401, 403, 404 und 406 des Einkommensteuergesetzbuches</w:t>
      </w:r>
      <w:r>
        <w:rPr>
          <w:color w:val="000000"/>
        </w:rPr>
        <w:t> </w:t>
      </w:r>
      <w:r w:rsidRPr="00212CEA">
        <w:rPr>
          <w:color w:val="000000"/>
        </w:rPr>
        <w:t>1992 und des Artikels</w:t>
      </w:r>
      <w:r>
        <w:rPr>
          <w:color w:val="000000"/>
        </w:rPr>
        <w:t> </w:t>
      </w:r>
      <w:r w:rsidRPr="00212CEA">
        <w:rPr>
          <w:color w:val="000000"/>
        </w:rPr>
        <w:t>30</w:t>
      </w:r>
      <w:r w:rsidRPr="00212CEA">
        <w:rPr>
          <w:i/>
          <w:color w:val="000000"/>
        </w:rPr>
        <w:t>bis</w:t>
      </w:r>
      <w:r w:rsidRPr="00212CEA">
        <w:rPr>
          <w:color w:val="000000"/>
        </w:rPr>
        <w:t xml:space="preserve"> des Gesetzes vom 27.</w:t>
      </w:r>
      <w:r>
        <w:rPr>
          <w:color w:val="000000"/>
        </w:rPr>
        <w:t> </w:t>
      </w:r>
      <w:r w:rsidRPr="00212CEA">
        <w:rPr>
          <w:color w:val="000000"/>
        </w:rPr>
        <w:t>Juni</w:t>
      </w:r>
      <w:r>
        <w:rPr>
          <w:color w:val="000000"/>
        </w:rPr>
        <w:t> </w:t>
      </w:r>
      <w:r w:rsidRPr="00212CEA">
        <w:rPr>
          <w:color w:val="000000"/>
        </w:rPr>
        <w:t>1969 zur Revision des Erlassgesetzes vom 28.</w:t>
      </w:r>
      <w:r>
        <w:rPr>
          <w:color w:val="000000"/>
        </w:rPr>
        <w:t> </w:t>
      </w:r>
      <w:r w:rsidRPr="00212CEA">
        <w:rPr>
          <w:color w:val="000000"/>
        </w:rPr>
        <w:t>Dezember</w:t>
      </w:r>
      <w:r>
        <w:rPr>
          <w:color w:val="000000"/>
        </w:rPr>
        <w:t> </w:t>
      </w:r>
      <w:r w:rsidRPr="00212CEA">
        <w:rPr>
          <w:color w:val="000000"/>
        </w:rPr>
        <w:t>1944 über die soziale Sicherheit der Arbeitnehmer</w:t>
      </w:r>
      <w:r w:rsidRPr="00CF1706">
        <w:rPr>
          <w:color w:val="000000"/>
        </w:rPr>
        <w:t>,</w:t>
      </w:r>
    </w:p>
    <w:p w14:paraId="5B79AABD" w14:textId="77777777" w:rsidR="005A5BD5" w:rsidRPr="00CF1706" w:rsidRDefault="005A5BD5" w:rsidP="005A5BD5">
      <w:pPr>
        <w:jc w:val="both"/>
        <w:rPr>
          <w:color w:val="000000"/>
        </w:rPr>
      </w:pPr>
    </w:p>
    <w:p w14:paraId="65980919" w14:textId="77777777" w:rsidR="005A5BD5" w:rsidRPr="00CF1706" w:rsidRDefault="005A5BD5" w:rsidP="005A5BD5">
      <w:pPr>
        <w:jc w:val="both"/>
        <w:rPr>
          <w:color w:val="000000"/>
        </w:rPr>
      </w:pPr>
      <w:r w:rsidRPr="00CF1706">
        <w:rPr>
          <w:color w:val="000000"/>
        </w:rPr>
        <w:t xml:space="preserve">- den Königlichen Erlass vom 10. März 1999 </w:t>
      </w:r>
      <w:r>
        <w:rPr>
          <w:color w:val="000000"/>
        </w:rPr>
        <w:t>zur Ergänzung des KE/EStGB </w:t>
      </w:r>
      <w:r w:rsidRPr="00F629D6">
        <w:rPr>
          <w:color w:val="000000"/>
        </w:rPr>
        <w:t>92</w:t>
      </w:r>
      <w:r>
        <w:rPr>
          <w:color w:val="000000"/>
        </w:rPr>
        <w:t xml:space="preserve"> hinsichtlich der besonderen Beitreibungsregeln in Bezug auf die </w:t>
      </w:r>
      <w:r w:rsidRPr="001A093F">
        <w:rPr>
          <w:color w:val="000000"/>
        </w:rPr>
        <w:t>Zuweisungen an die Provinzen, Agglomerationen und Gemeinden</w:t>
      </w:r>
      <w:r w:rsidRPr="00CF1706">
        <w:rPr>
          <w:color w:val="000000"/>
        </w:rPr>
        <w:t>,</w:t>
      </w:r>
    </w:p>
    <w:p w14:paraId="14A1F3BA" w14:textId="77777777" w:rsidR="005A5BD5" w:rsidRPr="00CF1706" w:rsidRDefault="005A5BD5" w:rsidP="005A5BD5">
      <w:pPr>
        <w:jc w:val="both"/>
        <w:rPr>
          <w:color w:val="000000"/>
        </w:rPr>
      </w:pPr>
    </w:p>
    <w:p w14:paraId="240FF2C6" w14:textId="77777777" w:rsidR="005A5BD5" w:rsidRPr="00CF1706" w:rsidRDefault="005A5BD5" w:rsidP="005A5BD5">
      <w:pPr>
        <w:jc w:val="both"/>
        <w:rPr>
          <w:color w:val="000000"/>
        </w:rPr>
      </w:pPr>
      <w:r w:rsidRPr="00CF1706">
        <w:rPr>
          <w:color w:val="000000"/>
        </w:rPr>
        <w:t xml:space="preserve">- den Königlichen Erlass vom 30. März 1999 </w:t>
      </w:r>
      <w:r>
        <w:rPr>
          <w:color w:val="000000"/>
        </w:rPr>
        <w:t>zur Abänderung des KE/EStGB </w:t>
      </w:r>
      <w:r w:rsidRPr="00F629D6">
        <w:rPr>
          <w:color w:val="000000"/>
        </w:rPr>
        <w:t>92 hinsichtlich des Berufssteuervorabzugs</w:t>
      </w:r>
      <w:r w:rsidRPr="00CF1706">
        <w:rPr>
          <w:color w:val="000000"/>
        </w:rPr>
        <w:t>,</w:t>
      </w:r>
    </w:p>
    <w:p w14:paraId="12E1655B" w14:textId="77777777" w:rsidR="005A5BD5" w:rsidRPr="00CF1706" w:rsidRDefault="005A5BD5" w:rsidP="005A5BD5">
      <w:pPr>
        <w:jc w:val="both"/>
        <w:rPr>
          <w:color w:val="000000"/>
        </w:rPr>
      </w:pPr>
    </w:p>
    <w:p w14:paraId="6BFA1C36" w14:textId="77777777" w:rsidR="005A5BD5" w:rsidRPr="00CF1706" w:rsidRDefault="005A5BD5" w:rsidP="005A5BD5">
      <w:pPr>
        <w:jc w:val="both"/>
        <w:rPr>
          <w:color w:val="000000"/>
        </w:rPr>
      </w:pPr>
      <w:r w:rsidRPr="00CF1706">
        <w:rPr>
          <w:color w:val="000000"/>
        </w:rPr>
        <w:t xml:space="preserve">- den Königlichen Erlass vom 21. April 1999 </w:t>
      </w:r>
      <w:r>
        <w:rPr>
          <w:color w:val="000000"/>
        </w:rPr>
        <w:t>zur Abänderung des KE/EStGB </w:t>
      </w:r>
      <w:r w:rsidRPr="00F629D6">
        <w:rPr>
          <w:color w:val="000000"/>
        </w:rPr>
        <w:t>92 hinsichtlich</w:t>
      </w:r>
      <w:r>
        <w:rPr>
          <w:color w:val="000000"/>
        </w:rPr>
        <w:t xml:space="preserve"> der</w:t>
      </w:r>
      <w:r w:rsidRPr="00CF1706">
        <w:rPr>
          <w:color w:val="000000"/>
        </w:rPr>
        <w:t xml:space="preserve"> </w:t>
      </w:r>
      <w:r w:rsidRPr="00217D33">
        <w:rPr>
          <w:color w:val="000000"/>
        </w:rPr>
        <w:t>Vorteile jeglicher Art</w:t>
      </w:r>
      <w:r w:rsidRPr="00CF1706">
        <w:rPr>
          <w:color w:val="000000"/>
        </w:rPr>
        <w:t xml:space="preserve">, </w:t>
      </w:r>
    </w:p>
    <w:p w14:paraId="751940BF" w14:textId="77777777" w:rsidR="005A5BD5" w:rsidRPr="00CF1706" w:rsidRDefault="005A5BD5" w:rsidP="005A5BD5">
      <w:pPr>
        <w:jc w:val="both"/>
        <w:rPr>
          <w:color w:val="000000"/>
        </w:rPr>
      </w:pPr>
    </w:p>
    <w:p w14:paraId="64D5C669" w14:textId="77777777" w:rsidR="005A5BD5" w:rsidRPr="00CF1706" w:rsidRDefault="005A5BD5" w:rsidP="005A5BD5">
      <w:pPr>
        <w:jc w:val="both"/>
        <w:rPr>
          <w:color w:val="000000"/>
        </w:rPr>
      </w:pPr>
      <w:r w:rsidRPr="00CF1706">
        <w:rPr>
          <w:color w:val="000000"/>
        </w:rPr>
        <w:t xml:space="preserve">- den Königlichen Erlass vom 3. Mai 1999 </w:t>
      </w:r>
      <w:r>
        <w:rPr>
          <w:color w:val="000000"/>
        </w:rPr>
        <w:t>zur Abänderung des KE/EStGB </w:t>
      </w:r>
      <w:r w:rsidRPr="00F629D6">
        <w:rPr>
          <w:color w:val="000000"/>
        </w:rPr>
        <w:t>92</w:t>
      </w:r>
      <w:r w:rsidRPr="00CF1706">
        <w:rPr>
          <w:color w:val="000000"/>
        </w:rPr>
        <w:t>,</w:t>
      </w:r>
    </w:p>
    <w:p w14:paraId="7829A10D" w14:textId="77777777" w:rsidR="005A5BD5" w:rsidRPr="00CF1706" w:rsidRDefault="005A5BD5" w:rsidP="005A5BD5">
      <w:pPr>
        <w:jc w:val="both"/>
        <w:rPr>
          <w:color w:val="000000"/>
        </w:rPr>
      </w:pPr>
    </w:p>
    <w:p w14:paraId="70147A0A" w14:textId="77777777" w:rsidR="005A5BD5" w:rsidRPr="00CF1706" w:rsidRDefault="005A5BD5" w:rsidP="005A5BD5">
      <w:pPr>
        <w:jc w:val="both"/>
        <w:rPr>
          <w:color w:val="000000"/>
        </w:rPr>
      </w:pPr>
      <w:r w:rsidRPr="00CF1706">
        <w:rPr>
          <w:color w:val="000000"/>
        </w:rPr>
        <w:t xml:space="preserve">- den Königlichen Erlass vom 13. Mai 1999 </w:t>
      </w:r>
      <w:r>
        <w:rPr>
          <w:color w:val="000000"/>
        </w:rPr>
        <w:t>zur Ausführung von Artikel 194</w:t>
      </w:r>
      <w:r>
        <w:rPr>
          <w:i/>
          <w:color w:val="000000"/>
        </w:rPr>
        <w:t>bis</w:t>
      </w:r>
      <w:r>
        <w:rPr>
          <w:color w:val="000000"/>
        </w:rPr>
        <w:t xml:space="preserve"> des EStGB </w:t>
      </w:r>
      <w:r w:rsidRPr="00F629D6">
        <w:rPr>
          <w:color w:val="000000"/>
        </w:rPr>
        <w:t>92</w:t>
      </w:r>
      <w:r>
        <w:rPr>
          <w:color w:val="000000"/>
        </w:rPr>
        <w:t xml:space="preserve"> und zur Abänderung des KE/EStGB </w:t>
      </w:r>
      <w:r w:rsidRPr="00F629D6">
        <w:rPr>
          <w:color w:val="000000"/>
        </w:rPr>
        <w:t>92 hinsichtlich</w:t>
      </w:r>
      <w:r>
        <w:rPr>
          <w:color w:val="000000"/>
        </w:rPr>
        <w:t xml:space="preserve"> der </w:t>
      </w:r>
      <w:r w:rsidRPr="006863CC">
        <w:rPr>
          <w:color w:val="000000"/>
        </w:rPr>
        <w:t>technischen Rückstellungen</w:t>
      </w:r>
      <w:r w:rsidRPr="00CF1706">
        <w:rPr>
          <w:color w:val="000000"/>
        </w:rPr>
        <w:t>,</w:t>
      </w:r>
    </w:p>
    <w:p w14:paraId="5C9AB775" w14:textId="77777777" w:rsidR="005A5BD5" w:rsidRPr="00CF1706" w:rsidRDefault="005A5BD5" w:rsidP="005A5BD5">
      <w:pPr>
        <w:jc w:val="both"/>
        <w:rPr>
          <w:color w:val="000000"/>
        </w:rPr>
      </w:pPr>
    </w:p>
    <w:p w14:paraId="367CFE03" w14:textId="77777777" w:rsidR="005A5BD5" w:rsidRPr="00CF1706" w:rsidRDefault="005A5BD5" w:rsidP="005A5BD5">
      <w:pPr>
        <w:jc w:val="both"/>
        <w:rPr>
          <w:color w:val="000000"/>
        </w:rPr>
      </w:pPr>
      <w:r w:rsidRPr="00CF1706">
        <w:rPr>
          <w:color w:val="000000"/>
        </w:rPr>
        <w:t xml:space="preserve">- den Königlichen Erlass vom 9. Juni 1999 </w:t>
      </w:r>
      <w:r>
        <w:rPr>
          <w:color w:val="000000"/>
        </w:rPr>
        <w:t>zur Abänderung des KE/EStGB </w:t>
      </w:r>
      <w:r w:rsidRPr="006863CC">
        <w:rPr>
          <w:color w:val="000000"/>
        </w:rPr>
        <w:t xml:space="preserve">92 hinsichtlich der Steuerbefreiung </w:t>
      </w:r>
      <w:r>
        <w:rPr>
          <w:color w:val="000000"/>
        </w:rPr>
        <w:t>für</w:t>
      </w:r>
      <w:r w:rsidRPr="006863CC">
        <w:rPr>
          <w:color w:val="000000"/>
        </w:rPr>
        <w:t xml:space="preserve"> Preise und Zuschüsse, die Wissenschaftlern, Schriftstellern oder Künstlern gezahlt oder zuerkannt werden</w:t>
      </w:r>
      <w:r w:rsidRPr="00CF1706">
        <w:rPr>
          <w:color w:val="000000"/>
        </w:rPr>
        <w:t xml:space="preserve"> </w:t>
      </w:r>
      <w:r w:rsidRPr="00CF1706">
        <w:rPr>
          <w:i/>
          <w:color w:val="000000"/>
        </w:rPr>
        <w:t>(I)</w:t>
      </w:r>
      <w:r w:rsidRPr="00CF1706">
        <w:rPr>
          <w:color w:val="000000"/>
        </w:rPr>
        <w:t>,</w:t>
      </w:r>
    </w:p>
    <w:p w14:paraId="74299240" w14:textId="77777777" w:rsidR="005A5BD5" w:rsidRPr="00CF1706" w:rsidRDefault="005A5BD5" w:rsidP="005A5BD5">
      <w:pPr>
        <w:jc w:val="both"/>
        <w:rPr>
          <w:color w:val="000000"/>
        </w:rPr>
      </w:pPr>
    </w:p>
    <w:p w14:paraId="79DCA74B" w14:textId="77777777" w:rsidR="005A5BD5" w:rsidRPr="00CF1706" w:rsidRDefault="005A5BD5" w:rsidP="005A5BD5">
      <w:pPr>
        <w:jc w:val="both"/>
        <w:rPr>
          <w:color w:val="000000"/>
        </w:rPr>
      </w:pPr>
      <w:r w:rsidRPr="00CF1706">
        <w:rPr>
          <w:color w:val="000000"/>
        </w:rPr>
        <w:t xml:space="preserve">- den Königlichen Erlass vom 9. Juni 1999 </w:t>
      </w:r>
      <w:r w:rsidRPr="00057C81">
        <w:rPr>
          <w:color w:val="000000"/>
        </w:rPr>
        <w:t>zur Abänderung des KE/EStGB</w:t>
      </w:r>
      <w:r>
        <w:rPr>
          <w:color w:val="000000"/>
        </w:rPr>
        <w:t> </w:t>
      </w:r>
      <w:r w:rsidRPr="00057C81">
        <w:rPr>
          <w:color w:val="000000"/>
        </w:rPr>
        <w:t>92 hinsichtlich der Steuerbefreiung für Personal, das als hoch qualifizierter Forscher in Belgien in der wissenschaftlichen Forschung tätig ist</w:t>
      </w:r>
      <w:r w:rsidRPr="006863CC">
        <w:rPr>
          <w:color w:val="000000"/>
        </w:rPr>
        <w:t xml:space="preserve"> </w:t>
      </w:r>
      <w:r w:rsidRPr="00CF1706">
        <w:rPr>
          <w:i/>
          <w:color w:val="000000"/>
        </w:rPr>
        <w:t>(II)</w:t>
      </w:r>
      <w:r w:rsidRPr="00CF1706">
        <w:rPr>
          <w:color w:val="000000"/>
        </w:rPr>
        <w:t>,</w:t>
      </w:r>
    </w:p>
    <w:p w14:paraId="210AE6CD" w14:textId="77777777" w:rsidR="005A5BD5" w:rsidRPr="00CF1706" w:rsidRDefault="005A5BD5" w:rsidP="005A5BD5">
      <w:pPr>
        <w:jc w:val="both"/>
        <w:rPr>
          <w:color w:val="000000"/>
        </w:rPr>
      </w:pPr>
    </w:p>
    <w:p w14:paraId="3A45185F" w14:textId="77777777" w:rsidR="005A5BD5" w:rsidRPr="00CF1706" w:rsidRDefault="005A5BD5" w:rsidP="005A5BD5">
      <w:pPr>
        <w:jc w:val="both"/>
        <w:rPr>
          <w:color w:val="000000"/>
        </w:rPr>
      </w:pPr>
      <w:r w:rsidRPr="00CF1706">
        <w:rPr>
          <w:color w:val="000000"/>
        </w:rPr>
        <w:t xml:space="preserve">- den Königlichen Erlass vom 9. Juni 1999 </w:t>
      </w:r>
      <w:r w:rsidRPr="00057C81">
        <w:rPr>
          <w:color w:val="000000"/>
        </w:rPr>
        <w:t>zur Abänderung des KE/EStGB</w:t>
      </w:r>
      <w:r>
        <w:rPr>
          <w:color w:val="000000"/>
        </w:rPr>
        <w:t> </w:t>
      </w:r>
      <w:r w:rsidRPr="00057C81">
        <w:rPr>
          <w:color w:val="000000"/>
        </w:rPr>
        <w:t>92 hinsichtlich der Steuerbefreiung für Personal, das in Belgien in der wissenschaftlichen Forschung oder im Bereich des technologischen Potentials, der Ausfuhr oder des umfassenden Qualitäts</w:t>
      </w:r>
      <w:r>
        <w:rPr>
          <w:color w:val="000000"/>
        </w:rPr>
        <w:softHyphen/>
      </w:r>
      <w:r w:rsidRPr="00057C81">
        <w:rPr>
          <w:color w:val="000000"/>
        </w:rPr>
        <w:t>managements tätig ist</w:t>
      </w:r>
      <w:r w:rsidRPr="00CF1706">
        <w:rPr>
          <w:color w:val="000000"/>
        </w:rPr>
        <w:t xml:space="preserve"> </w:t>
      </w:r>
      <w:r w:rsidRPr="00CF1706">
        <w:rPr>
          <w:i/>
          <w:color w:val="000000"/>
        </w:rPr>
        <w:t>(III)</w:t>
      </w:r>
      <w:r w:rsidRPr="00CF1706">
        <w:rPr>
          <w:color w:val="000000"/>
        </w:rPr>
        <w:t>,</w:t>
      </w:r>
    </w:p>
    <w:p w14:paraId="07C4BC72" w14:textId="77777777" w:rsidR="005A5BD5" w:rsidRPr="00CF1706" w:rsidRDefault="005A5BD5" w:rsidP="005A5BD5">
      <w:pPr>
        <w:jc w:val="both"/>
        <w:rPr>
          <w:color w:val="000000"/>
        </w:rPr>
      </w:pPr>
    </w:p>
    <w:p w14:paraId="217E2347" w14:textId="77777777" w:rsidR="005A5BD5" w:rsidRPr="00CF1706" w:rsidRDefault="005A5BD5" w:rsidP="005A5BD5">
      <w:pPr>
        <w:jc w:val="both"/>
        <w:rPr>
          <w:color w:val="000000"/>
        </w:rPr>
      </w:pPr>
      <w:r w:rsidRPr="00CF1706">
        <w:rPr>
          <w:color w:val="000000"/>
        </w:rPr>
        <w:t xml:space="preserve">- den Königlichen Erlass vom 24. Juni 1999 </w:t>
      </w:r>
      <w:r>
        <w:rPr>
          <w:color w:val="000000"/>
        </w:rPr>
        <w:t>zur Abänderung des KE/EStGB </w:t>
      </w:r>
      <w:r w:rsidRPr="00F629D6">
        <w:rPr>
          <w:color w:val="000000"/>
        </w:rPr>
        <w:t>92 hinsichtlich des Berufssteuervorabzugs</w:t>
      </w:r>
      <w:r w:rsidRPr="00CF1706">
        <w:rPr>
          <w:color w:val="000000"/>
        </w:rPr>
        <w:t>,</w:t>
      </w:r>
    </w:p>
    <w:p w14:paraId="7F1C27AA" w14:textId="77777777" w:rsidR="005A5BD5" w:rsidRDefault="005A5BD5" w:rsidP="005A5BD5">
      <w:pPr>
        <w:jc w:val="both"/>
        <w:rPr>
          <w:color w:val="000000"/>
        </w:rPr>
      </w:pPr>
    </w:p>
    <w:p w14:paraId="762AB2E5" w14:textId="77777777" w:rsidR="005A5BD5" w:rsidRPr="00CF1706" w:rsidRDefault="005A5BD5" w:rsidP="005A5BD5">
      <w:pPr>
        <w:jc w:val="both"/>
        <w:rPr>
          <w:color w:val="000000"/>
        </w:rPr>
      </w:pPr>
      <w:r w:rsidRPr="00CF1706">
        <w:rPr>
          <w:color w:val="000000"/>
        </w:rPr>
        <w:t xml:space="preserve">- den Königlichen Erlass vom 29. Oktober 1999 </w:t>
      </w:r>
      <w:r>
        <w:rPr>
          <w:color w:val="000000"/>
        </w:rPr>
        <w:t>zur Abänderung des KE/EStGB </w:t>
      </w:r>
      <w:r w:rsidRPr="002B1BFF">
        <w:rPr>
          <w:color w:val="000000"/>
        </w:rPr>
        <w:t>92 hinsichtlich des Neubewertungskoeffizienten für Katastereinkommen</w:t>
      </w:r>
      <w:r w:rsidRPr="00CF1706">
        <w:rPr>
          <w:color w:val="000000"/>
        </w:rPr>
        <w:t>,</w:t>
      </w:r>
    </w:p>
    <w:p w14:paraId="5F1DEB0F" w14:textId="77777777" w:rsidR="005A5BD5" w:rsidRPr="00CF1706" w:rsidRDefault="005A5BD5" w:rsidP="005A5BD5">
      <w:pPr>
        <w:jc w:val="both"/>
        <w:rPr>
          <w:color w:val="000000"/>
        </w:rPr>
      </w:pPr>
    </w:p>
    <w:p w14:paraId="19CF7FA2" w14:textId="77777777" w:rsidR="005A5BD5" w:rsidRPr="00CF1706" w:rsidRDefault="005A5BD5" w:rsidP="005A5BD5">
      <w:pPr>
        <w:jc w:val="both"/>
        <w:rPr>
          <w:color w:val="000000"/>
        </w:rPr>
      </w:pPr>
      <w:r w:rsidRPr="00CF1706">
        <w:rPr>
          <w:color w:val="000000"/>
        </w:rPr>
        <w:t xml:space="preserve">- den Königlichen Erlass vom 9. November 1999 </w:t>
      </w:r>
      <w:r>
        <w:rPr>
          <w:color w:val="000000"/>
        </w:rPr>
        <w:t>zur Abänderung des KE/EStGB </w:t>
      </w:r>
      <w:r w:rsidRPr="002B1BFF">
        <w:rPr>
          <w:color w:val="000000"/>
        </w:rPr>
        <w:t>92</w:t>
      </w:r>
      <w:r>
        <w:rPr>
          <w:color w:val="000000"/>
        </w:rPr>
        <w:t xml:space="preserve"> und des </w:t>
      </w:r>
      <w:r w:rsidRPr="002B1BFF">
        <w:rPr>
          <w:color w:val="000000"/>
        </w:rPr>
        <w:t>Königliche</w:t>
      </w:r>
      <w:r>
        <w:rPr>
          <w:color w:val="000000"/>
        </w:rPr>
        <w:t>n</w:t>
      </w:r>
      <w:r w:rsidRPr="002B1BFF">
        <w:rPr>
          <w:color w:val="000000"/>
        </w:rPr>
        <w:t xml:space="preserve"> Erlass</w:t>
      </w:r>
      <w:r>
        <w:rPr>
          <w:color w:val="000000"/>
        </w:rPr>
        <w:t>es vom 8. Juli 1970</w:t>
      </w:r>
      <w:r w:rsidRPr="002B1BFF">
        <w:rPr>
          <w:color w:val="000000"/>
        </w:rPr>
        <w:t xml:space="preserve"> zur Einführung der allgemeinen Verordnung über die </w:t>
      </w:r>
      <w:r w:rsidRPr="002B1BFF">
        <w:rPr>
          <w:color w:val="000000"/>
        </w:rPr>
        <w:lastRenderedPageBreak/>
        <w:t>der Einkommensteuer gleichgesetzten Steuern</w:t>
      </w:r>
      <w:r>
        <w:rPr>
          <w:color w:val="000000"/>
        </w:rPr>
        <w:t xml:space="preserve"> hinsichtlich der Codenummer der Postscheckkonten für die Zahlung der </w:t>
      </w:r>
      <w:r w:rsidRPr="0028737D">
        <w:rPr>
          <w:color w:val="000000"/>
        </w:rPr>
        <w:t>Vorauszahlung</w:t>
      </w:r>
      <w:r>
        <w:rPr>
          <w:color w:val="000000"/>
        </w:rPr>
        <w:t xml:space="preserve">en, des </w:t>
      </w:r>
      <w:r w:rsidRPr="0028737D">
        <w:rPr>
          <w:color w:val="000000"/>
        </w:rPr>
        <w:t>Berufssteuervorabzug</w:t>
      </w:r>
      <w:r>
        <w:rPr>
          <w:color w:val="000000"/>
        </w:rPr>
        <w:t xml:space="preserve">s und der </w:t>
      </w:r>
      <w:r w:rsidRPr="00AD2F63">
        <w:rPr>
          <w:color w:val="000000"/>
        </w:rPr>
        <w:t>Verkehrssteuer auf Kraftfahrzeuge</w:t>
      </w:r>
      <w:r w:rsidRPr="00CF1706">
        <w:rPr>
          <w:color w:val="000000"/>
        </w:rPr>
        <w:t>,</w:t>
      </w:r>
    </w:p>
    <w:p w14:paraId="486033E1" w14:textId="77777777" w:rsidR="005A5BD5" w:rsidRPr="00CF1706" w:rsidRDefault="005A5BD5" w:rsidP="005A5BD5">
      <w:pPr>
        <w:jc w:val="both"/>
        <w:rPr>
          <w:color w:val="000000"/>
        </w:rPr>
      </w:pPr>
    </w:p>
    <w:p w14:paraId="2DB32A43" w14:textId="77777777" w:rsidR="005A5BD5" w:rsidRPr="00CF1706" w:rsidRDefault="005A5BD5" w:rsidP="005A5BD5">
      <w:pPr>
        <w:jc w:val="both"/>
        <w:rPr>
          <w:color w:val="000000"/>
        </w:rPr>
      </w:pPr>
      <w:r w:rsidRPr="00CF1706">
        <w:rPr>
          <w:color w:val="000000"/>
        </w:rPr>
        <w:t xml:space="preserve">- den Königlichen Erlass vom 15. Dezember 1999 </w:t>
      </w:r>
      <w:r>
        <w:rPr>
          <w:color w:val="000000"/>
        </w:rPr>
        <w:t>zur Abänderung des KE/EStGB </w:t>
      </w:r>
      <w:r w:rsidRPr="00F629D6">
        <w:rPr>
          <w:color w:val="000000"/>
        </w:rPr>
        <w:t>92 hinsichtlich des Berufssteuervorabzugs</w:t>
      </w:r>
      <w:r w:rsidRPr="00CF1706">
        <w:rPr>
          <w:color w:val="000000"/>
        </w:rPr>
        <w:t>,</w:t>
      </w:r>
    </w:p>
    <w:p w14:paraId="4D6918EB" w14:textId="77777777" w:rsidR="005A5BD5" w:rsidRPr="00CF1706" w:rsidRDefault="005A5BD5" w:rsidP="005A5BD5">
      <w:pPr>
        <w:jc w:val="both"/>
        <w:rPr>
          <w:color w:val="000000"/>
        </w:rPr>
      </w:pPr>
    </w:p>
    <w:p w14:paraId="53EDBB46" w14:textId="77777777" w:rsidR="005A5BD5" w:rsidRPr="00CF1706" w:rsidRDefault="005A5BD5" w:rsidP="005A5BD5">
      <w:pPr>
        <w:jc w:val="both"/>
        <w:rPr>
          <w:color w:val="000000"/>
        </w:rPr>
      </w:pPr>
      <w:r w:rsidRPr="00CF1706">
        <w:rPr>
          <w:color w:val="000000"/>
        </w:rPr>
        <w:t xml:space="preserve">- den Königlichen Erlass vom 31. Dezember 1999 </w:t>
      </w:r>
      <w:r>
        <w:rPr>
          <w:color w:val="000000"/>
        </w:rPr>
        <w:t>zur Abänderung des KE/EStGB </w:t>
      </w:r>
      <w:r w:rsidRPr="00F43AB1">
        <w:rPr>
          <w:color w:val="000000"/>
        </w:rPr>
        <w:t>92 hinsichtlich der Spareinlagen</w:t>
      </w:r>
      <w:r w:rsidRPr="00CF1706">
        <w:rPr>
          <w:color w:val="000000"/>
        </w:rPr>
        <w:t>,</w:t>
      </w:r>
    </w:p>
    <w:p w14:paraId="62364658" w14:textId="77777777" w:rsidR="005A5BD5" w:rsidRPr="00CF1706" w:rsidRDefault="005A5BD5" w:rsidP="005A5BD5">
      <w:pPr>
        <w:jc w:val="both"/>
        <w:rPr>
          <w:color w:val="000000"/>
        </w:rPr>
      </w:pPr>
    </w:p>
    <w:p w14:paraId="5735769C" w14:textId="77777777" w:rsidR="005A5BD5" w:rsidRPr="00CF1706" w:rsidRDefault="005A5BD5" w:rsidP="005A5BD5">
      <w:pPr>
        <w:jc w:val="both"/>
        <w:rPr>
          <w:color w:val="000000"/>
        </w:rPr>
      </w:pPr>
      <w:r w:rsidRPr="00CF1706">
        <w:rPr>
          <w:color w:val="000000"/>
        </w:rPr>
        <w:t xml:space="preserve">- den Königlichen Erlass vom 27. Januar 2000 </w:t>
      </w:r>
      <w:r>
        <w:rPr>
          <w:color w:val="000000"/>
        </w:rPr>
        <w:t>zur Abänderung des KE/EStGB </w:t>
      </w:r>
      <w:r w:rsidRPr="00F43AB1">
        <w:rPr>
          <w:color w:val="000000"/>
        </w:rPr>
        <w:t>92 hinsichtlich</w:t>
      </w:r>
      <w:r w:rsidRPr="00325E78">
        <w:rPr>
          <w:color w:val="000000"/>
        </w:rPr>
        <w:t xml:space="preserve"> </w:t>
      </w:r>
      <w:r>
        <w:rPr>
          <w:color w:val="000000"/>
        </w:rPr>
        <w:t xml:space="preserve">des </w:t>
      </w:r>
      <w:r w:rsidRPr="00325E78">
        <w:rPr>
          <w:color w:val="000000"/>
        </w:rPr>
        <w:t>abzugsfähige</w:t>
      </w:r>
      <w:r>
        <w:rPr>
          <w:color w:val="000000"/>
        </w:rPr>
        <w:t>n</w:t>
      </w:r>
      <w:r w:rsidRPr="00325E78">
        <w:rPr>
          <w:color w:val="000000"/>
        </w:rPr>
        <w:t xml:space="preserve"> Höchstbetrag</w:t>
      </w:r>
      <w:r>
        <w:rPr>
          <w:color w:val="000000"/>
        </w:rPr>
        <w:t>s</w:t>
      </w:r>
      <w:r w:rsidRPr="00325E78">
        <w:rPr>
          <w:color w:val="000000"/>
        </w:rPr>
        <w:t xml:space="preserve"> für Ausgaben für Kinderbetreuung </w:t>
      </w:r>
      <w:r w:rsidRPr="00CF1706">
        <w:rPr>
          <w:i/>
          <w:color w:val="000000"/>
        </w:rPr>
        <w:t>(I)</w:t>
      </w:r>
      <w:r w:rsidRPr="00CF1706">
        <w:rPr>
          <w:color w:val="000000"/>
        </w:rPr>
        <w:t>,</w:t>
      </w:r>
    </w:p>
    <w:p w14:paraId="391413F1" w14:textId="77777777" w:rsidR="005A5BD5" w:rsidRPr="00CF1706" w:rsidRDefault="005A5BD5" w:rsidP="005A5BD5">
      <w:pPr>
        <w:jc w:val="both"/>
        <w:rPr>
          <w:color w:val="000000"/>
        </w:rPr>
      </w:pPr>
    </w:p>
    <w:p w14:paraId="524DD326" w14:textId="77777777" w:rsidR="005A5BD5" w:rsidRPr="00CF1706" w:rsidRDefault="005A5BD5" w:rsidP="005A5BD5">
      <w:pPr>
        <w:jc w:val="both"/>
        <w:rPr>
          <w:color w:val="000000"/>
        </w:rPr>
      </w:pPr>
      <w:r w:rsidRPr="00CF1706">
        <w:rPr>
          <w:color w:val="000000"/>
        </w:rPr>
        <w:t xml:space="preserve">- den Königlichen Erlass vom 27. Januar 2000 </w:t>
      </w:r>
      <w:r>
        <w:rPr>
          <w:color w:val="000000"/>
        </w:rPr>
        <w:t>zur Abänderung des KE/EStGB </w:t>
      </w:r>
      <w:r w:rsidRPr="00325E78">
        <w:rPr>
          <w:color w:val="000000"/>
        </w:rPr>
        <w:t>92 hinsichtlich der Vorteile jeglicher Art</w:t>
      </w:r>
      <w:r w:rsidRPr="00CF1706">
        <w:rPr>
          <w:color w:val="000000"/>
        </w:rPr>
        <w:t xml:space="preserve"> </w:t>
      </w:r>
      <w:r w:rsidRPr="00CF1706">
        <w:rPr>
          <w:i/>
          <w:color w:val="000000"/>
        </w:rPr>
        <w:t>(II)</w:t>
      </w:r>
      <w:r w:rsidRPr="00CF1706">
        <w:rPr>
          <w:color w:val="000000"/>
        </w:rPr>
        <w:t>,</w:t>
      </w:r>
    </w:p>
    <w:p w14:paraId="0EAA4767" w14:textId="77777777" w:rsidR="005A5BD5" w:rsidRPr="00CF1706" w:rsidRDefault="005A5BD5" w:rsidP="005A5BD5">
      <w:pPr>
        <w:jc w:val="both"/>
        <w:rPr>
          <w:color w:val="000000"/>
        </w:rPr>
      </w:pPr>
    </w:p>
    <w:p w14:paraId="3581F1CA" w14:textId="77777777" w:rsidR="005A5BD5" w:rsidRPr="00CF1706" w:rsidRDefault="005A5BD5" w:rsidP="005A5BD5">
      <w:pPr>
        <w:jc w:val="both"/>
        <w:rPr>
          <w:color w:val="000000"/>
        </w:rPr>
      </w:pPr>
      <w:r w:rsidRPr="00CF1706">
        <w:rPr>
          <w:color w:val="000000"/>
        </w:rPr>
        <w:t xml:space="preserve">- den Königlichen Erlass vom 25. April 2000 </w:t>
      </w:r>
      <w:r>
        <w:rPr>
          <w:color w:val="000000"/>
        </w:rPr>
        <w:t>zur Abänderung des Königlichen Erlasses vom 9. Juni 1999 zur Abänderung des KE/EStGB </w:t>
      </w:r>
      <w:r w:rsidRPr="000152B4">
        <w:rPr>
          <w:color w:val="000000"/>
        </w:rPr>
        <w:t>92 hinsichtlich der Steuerbefreiung für Personal, das in Belgien in der wissenschaftlichen Forschung oder im Bereich des technologischen Potentials, der Ausfuhr oder des umfassenden Qualitätsmanagements tätig ist</w:t>
      </w:r>
      <w:r w:rsidRPr="00325E78">
        <w:rPr>
          <w:color w:val="000000"/>
        </w:rPr>
        <w:t xml:space="preserve"> </w:t>
      </w:r>
      <w:r w:rsidRPr="00CF1706">
        <w:rPr>
          <w:i/>
          <w:color w:val="000000"/>
        </w:rPr>
        <w:t>(I)</w:t>
      </w:r>
      <w:r w:rsidRPr="00CF1706">
        <w:rPr>
          <w:color w:val="000000"/>
        </w:rPr>
        <w:t>,</w:t>
      </w:r>
    </w:p>
    <w:p w14:paraId="5525B523" w14:textId="77777777" w:rsidR="005A5BD5" w:rsidRPr="00CF1706" w:rsidRDefault="005A5BD5" w:rsidP="005A5BD5">
      <w:pPr>
        <w:jc w:val="both"/>
        <w:rPr>
          <w:color w:val="000000"/>
        </w:rPr>
      </w:pPr>
    </w:p>
    <w:p w14:paraId="22A2E8FE" w14:textId="77777777" w:rsidR="005A5BD5" w:rsidRPr="00CF1706" w:rsidRDefault="005A5BD5" w:rsidP="005A5BD5">
      <w:pPr>
        <w:jc w:val="both"/>
        <w:rPr>
          <w:color w:val="000000"/>
        </w:rPr>
      </w:pPr>
      <w:r w:rsidRPr="00CF1706">
        <w:rPr>
          <w:color w:val="000000"/>
        </w:rPr>
        <w:t xml:space="preserve">- den Königlichen Erlass vom 25. April 2000 </w:t>
      </w:r>
      <w:r>
        <w:rPr>
          <w:color w:val="000000"/>
        </w:rPr>
        <w:t>zur Abänderung des KE/EStGB </w:t>
      </w:r>
      <w:r w:rsidRPr="00325E78">
        <w:rPr>
          <w:color w:val="000000"/>
        </w:rPr>
        <w:t>92 hinsichtlich der Vorteile jeglicher Art</w:t>
      </w:r>
      <w:r w:rsidRPr="00CF1706">
        <w:rPr>
          <w:color w:val="000000"/>
        </w:rPr>
        <w:t xml:space="preserve"> </w:t>
      </w:r>
      <w:r w:rsidRPr="00CF1706">
        <w:rPr>
          <w:i/>
          <w:color w:val="000000"/>
        </w:rPr>
        <w:t>(II)</w:t>
      </w:r>
      <w:r w:rsidRPr="00CF1706">
        <w:rPr>
          <w:color w:val="000000"/>
        </w:rPr>
        <w:t>,</w:t>
      </w:r>
    </w:p>
    <w:p w14:paraId="5ED1139D" w14:textId="77777777" w:rsidR="005A5BD5" w:rsidRPr="00CF1706" w:rsidRDefault="005A5BD5" w:rsidP="005A5BD5">
      <w:pPr>
        <w:jc w:val="both"/>
        <w:rPr>
          <w:color w:val="000000"/>
        </w:rPr>
      </w:pPr>
    </w:p>
    <w:p w14:paraId="15EA68D8" w14:textId="77777777" w:rsidR="005A5BD5" w:rsidRPr="00CF1706" w:rsidRDefault="005A5BD5" w:rsidP="005A5BD5">
      <w:pPr>
        <w:jc w:val="both"/>
        <w:rPr>
          <w:color w:val="000000"/>
        </w:rPr>
      </w:pPr>
      <w:r w:rsidRPr="00CF1706">
        <w:rPr>
          <w:color w:val="000000"/>
        </w:rPr>
        <w:t xml:space="preserve">- den Königlichen Erlass vom 24. Juni 2000 </w:t>
      </w:r>
      <w:r>
        <w:rPr>
          <w:color w:val="000000"/>
        </w:rPr>
        <w:t>zur Abänderung des KE/EStGB </w:t>
      </w:r>
      <w:r w:rsidRPr="00325E78">
        <w:rPr>
          <w:color w:val="000000"/>
        </w:rPr>
        <w:t>92 hinsichtlich</w:t>
      </w:r>
      <w:r>
        <w:rPr>
          <w:color w:val="000000"/>
        </w:rPr>
        <w:t xml:space="preserve"> </w:t>
      </w:r>
      <w:r w:rsidRPr="00F629D6">
        <w:rPr>
          <w:color w:val="000000"/>
        </w:rPr>
        <w:t>des Berufssteuervorabzugs</w:t>
      </w:r>
      <w:r>
        <w:rPr>
          <w:color w:val="000000"/>
        </w:rPr>
        <w:t>,</w:t>
      </w:r>
    </w:p>
    <w:p w14:paraId="5CC4F524" w14:textId="77777777" w:rsidR="005A5BD5" w:rsidRPr="00CF1706" w:rsidRDefault="005A5BD5" w:rsidP="005A5BD5">
      <w:pPr>
        <w:jc w:val="both"/>
        <w:rPr>
          <w:color w:val="000000"/>
        </w:rPr>
      </w:pPr>
    </w:p>
    <w:p w14:paraId="0AFD5BA5" w14:textId="77777777" w:rsidR="005A5BD5" w:rsidRPr="00CF1706" w:rsidRDefault="005A5BD5" w:rsidP="005A5BD5">
      <w:pPr>
        <w:jc w:val="both"/>
        <w:rPr>
          <w:color w:val="000000"/>
        </w:rPr>
      </w:pPr>
      <w:r w:rsidRPr="00CF1706">
        <w:rPr>
          <w:color w:val="000000"/>
        </w:rPr>
        <w:t>- den Königlichen Erlass vom 20. Juli 2000 zur Einführung des Euro in die Königlichen Erlasse, für die das Ministerium der Finanzen zuständig ist, und zur Ausführung des Gesetzes vom 30. Oktober 1998 über den Euro,</w:t>
      </w:r>
    </w:p>
    <w:p w14:paraId="34B17C32" w14:textId="77777777" w:rsidR="005A5BD5" w:rsidRPr="00CF1706" w:rsidRDefault="005A5BD5" w:rsidP="005A5BD5">
      <w:pPr>
        <w:jc w:val="both"/>
        <w:rPr>
          <w:color w:val="000000"/>
        </w:rPr>
      </w:pPr>
    </w:p>
    <w:p w14:paraId="17F646EF" w14:textId="77777777" w:rsidR="005A5BD5" w:rsidRPr="00CF1706" w:rsidRDefault="005A5BD5" w:rsidP="005A5BD5">
      <w:pPr>
        <w:jc w:val="both"/>
        <w:rPr>
          <w:color w:val="000000"/>
        </w:rPr>
      </w:pPr>
      <w:r w:rsidRPr="00CF1706">
        <w:rPr>
          <w:color w:val="000000"/>
        </w:rPr>
        <w:t xml:space="preserve">- den Königlichen Erlass vom 19. September 2000 </w:t>
      </w:r>
      <w:r>
        <w:rPr>
          <w:color w:val="000000"/>
        </w:rPr>
        <w:t>zur Abänderung des KE/EStGB </w:t>
      </w:r>
      <w:r w:rsidRPr="00325E78">
        <w:rPr>
          <w:color w:val="000000"/>
        </w:rPr>
        <w:t>92 hinsichtlich</w:t>
      </w:r>
      <w:r>
        <w:rPr>
          <w:color w:val="000000"/>
        </w:rPr>
        <w:t xml:space="preserve"> </w:t>
      </w:r>
      <w:r w:rsidRPr="00F629D6">
        <w:rPr>
          <w:color w:val="000000"/>
        </w:rPr>
        <w:t>des Berufssteuervorabzugs</w:t>
      </w:r>
      <w:r w:rsidRPr="00CF1706">
        <w:rPr>
          <w:color w:val="000000"/>
        </w:rPr>
        <w:t>,</w:t>
      </w:r>
    </w:p>
    <w:p w14:paraId="5E0BFE36" w14:textId="77777777" w:rsidR="005A5BD5" w:rsidRPr="00CF1706" w:rsidRDefault="005A5BD5" w:rsidP="005A5BD5">
      <w:pPr>
        <w:jc w:val="both"/>
        <w:rPr>
          <w:color w:val="000000"/>
        </w:rPr>
      </w:pPr>
    </w:p>
    <w:p w14:paraId="0D245116" w14:textId="77777777" w:rsidR="005A5BD5" w:rsidRPr="00CF1706" w:rsidRDefault="005A5BD5" w:rsidP="005A5BD5">
      <w:pPr>
        <w:jc w:val="both"/>
        <w:rPr>
          <w:color w:val="000000"/>
        </w:rPr>
      </w:pPr>
      <w:r w:rsidRPr="00CF1706">
        <w:rPr>
          <w:color w:val="000000"/>
        </w:rPr>
        <w:t xml:space="preserve">- den Königlichen Erlass vom 21. September 2000 </w:t>
      </w:r>
      <w:r>
        <w:rPr>
          <w:color w:val="000000"/>
        </w:rPr>
        <w:t>zur Abänderung des KE/EStGB </w:t>
      </w:r>
      <w:r w:rsidRPr="00457E66">
        <w:rPr>
          <w:color w:val="000000"/>
        </w:rPr>
        <w:t>92 hinsichtlich des Investitionsabzugs</w:t>
      </w:r>
      <w:r w:rsidRPr="00CF1706">
        <w:rPr>
          <w:color w:val="000000"/>
        </w:rPr>
        <w:t>,</w:t>
      </w:r>
    </w:p>
    <w:p w14:paraId="454768F2" w14:textId="77777777" w:rsidR="005A5BD5" w:rsidRPr="00CF1706" w:rsidRDefault="005A5BD5" w:rsidP="005A5BD5">
      <w:pPr>
        <w:jc w:val="both"/>
        <w:rPr>
          <w:color w:val="000000"/>
        </w:rPr>
      </w:pPr>
    </w:p>
    <w:p w14:paraId="5F91EF58" w14:textId="77777777" w:rsidR="005A5BD5" w:rsidRPr="00CF1706" w:rsidRDefault="005A5BD5" w:rsidP="005A5BD5">
      <w:pPr>
        <w:jc w:val="both"/>
        <w:rPr>
          <w:color w:val="000000"/>
        </w:rPr>
      </w:pPr>
      <w:r w:rsidRPr="00CF1706">
        <w:rPr>
          <w:color w:val="000000"/>
        </w:rPr>
        <w:t xml:space="preserve">- den Königlichen Erlass vom 16. Oktober 2000 </w:t>
      </w:r>
      <w:r>
        <w:rPr>
          <w:color w:val="000000"/>
        </w:rPr>
        <w:t>zur Abänderung des KE/EStGB </w:t>
      </w:r>
      <w:r w:rsidRPr="00457E66">
        <w:rPr>
          <w:color w:val="000000"/>
        </w:rPr>
        <w:t xml:space="preserve">92 hinsichtlich der Steuerbefreiung </w:t>
      </w:r>
      <w:r>
        <w:rPr>
          <w:color w:val="000000"/>
        </w:rPr>
        <w:t xml:space="preserve">für </w:t>
      </w:r>
      <w:r w:rsidRPr="00457E66">
        <w:rPr>
          <w:color w:val="000000"/>
        </w:rPr>
        <w:t>bestimmte unentgeltliche Zuwendungen</w:t>
      </w:r>
      <w:r>
        <w:rPr>
          <w:color w:val="000000"/>
        </w:rPr>
        <w:t xml:space="preserve"> und der Zahlung des </w:t>
      </w:r>
      <w:r w:rsidRPr="00F629D6">
        <w:rPr>
          <w:color w:val="000000"/>
        </w:rPr>
        <w:t>Berufssteuervorabzugs</w:t>
      </w:r>
      <w:r w:rsidRPr="00CF1706">
        <w:rPr>
          <w:color w:val="000000"/>
        </w:rPr>
        <w:t>,</w:t>
      </w:r>
    </w:p>
    <w:p w14:paraId="7C97DE3A" w14:textId="77777777" w:rsidR="005A5BD5" w:rsidRPr="00CF1706" w:rsidRDefault="005A5BD5" w:rsidP="005A5BD5">
      <w:pPr>
        <w:jc w:val="both"/>
        <w:rPr>
          <w:color w:val="000000"/>
        </w:rPr>
      </w:pPr>
    </w:p>
    <w:p w14:paraId="69356069" w14:textId="77777777" w:rsidR="005A5BD5" w:rsidRPr="00CF1706" w:rsidRDefault="005A5BD5" w:rsidP="005A5BD5">
      <w:pPr>
        <w:jc w:val="both"/>
        <w:rPr>
          <w:color w:val="000000"/>
        </w:rPr>
      </w:pPr>
      <w:r w:rsidRPr="00CF1706">
        <w:rPr>
          <w:color w:val="000000"/>
        </w:rPr>
        <w:t xml:space="preserve">- den Königlichen Erlass vom 23. November 2000 </w:t>
      </w:r>
      <w:r>
        <w:rPr>
          <w:color w:val="000000"/>
        </w:rPr>
        <w:t>zur Abänderung des KE/EStGB </w:t>
      </w:r>
      <w:r w:rsidRPr="00941779">
        <w:rPr>
          <w:color w:val="000000"/>
        </w:rPr>
        <w:t>92 hinsichtlich des Neubewertungskoeffizienten für Katastereinkommen</w:t>
      </w:r>
      <w:r w:rsidRPr="00CF1706">
        <w:rPr>
          <w:color w:val="000000"/>
        </w:rPr>
        <w:t>,</w:t>
      </w:r>
    </w:p>
    <w:p w14:paraId="3FC09A66" w14:textId="77777777" w:rsidR="005A5BD5" w:rsidRDefault="005A5BD5" w:rsidP="005A5BD5">
      <w:pPr>
        <w:jc w:val="both"/>
        <w:rPr>
          <w:color w:val="000000"/>
        </w:rPr>
      </w:pPr>
    </w:p>
    <w:p w14:paraId="5AF0175D" w14:textId="77777777" w:rsidR="005A5BD5" w:rsidRPr="00CF1706" w:rsidRDefault="005A5BD5" w:rsidP="005A5BD5">
      <w:pPr>
        <w:jc w:val="both"/>
        <w:rPr>
          <w:color w:val="000000"/>
        </w:rPr>
      </w:pPr>
      <w:r w:rsidRPr="00CF1706">
        <w:rPr>
          <w:color w:val="000000"/>
        </w:rPr>
        <w:t xml:space="preserve">- den Königlichen Erlass vom 29. November 2000 </w:t>
      </w:r>
      <w:r>
        <w:rPr>
          <w:color w:val="000000"/>
        </w:rPr>
        <w:t>zur Ausführung von Artikel 203 § 2 Absatz 6 Nr. 2 des EStGB </w:t>
      </w:r>
      <w:r w:rsidRPr="00457E66">
        <w:rPr>
          <w:color w:val="000000"/>
        </w:rPr>
        <w:t>92</w:t>
      </w:r>
      <w:r>
        <w:rPr>
          <w:color w:val="000000"/>
        </w:rPr>
        <w:t xml:space="preserve"> und zur Ergänzung des KE/EStGB </w:t>
      </w:r>
      <w:r w:rsidRPr="00604357">
        <w:rPr>
          <w:color w:val="000000"/>
        </w:rPr>
        <w:t>92 hinsichtlich</w:t>
      </w:r>
      <w:r>
        <w:rPr>
          <w:color w:val="000000"/>
        </w:rPr>
        <w:t xml:space="preserve"> der </w:t>
      </w:r>
      <w:r w:rsidRPr="00604357">
        <w:rPr>
          <w:color w:val="000000"/>
        </w:rPr>
        <w:t>Zulassungsbedingungen, die ein zentralisiertes System für den Verleih von Aktien oder Anteile</w:t>
      </w:r>
      <w:r>
        <w:rPr>
          <w:color w:val="000000"/>
        </w:rPr>
        <w:t>n</w:t>
      </w:r>
      <w:r w:rsidRPr="00604357">
        <w:rPr>
          <w:color w:val="000000"/>
        </w:rPr>
        <w:t xml:space="preserve"> erfüllen muss, das in einem Zahlungs- und Wertpapierliefer- und </w:t>
      </w:r>
      <w:r>
        <w:rPr>
          <w:color w:val="000000"/>
        </w:rPr>
        <w:noBreakHyphen/>
      </w:r>
      <w:r w:rsidRPr="00604357">
        <w:rPr>
          <w:color w:val="000000"/>
        </w:rPr>
        <w:t xml:space="preserve">abrechnungssystem integriert ist, und </w:t>
      </w:r>
      <w:r>
        <w:rPr>
          <w:color w:val="000000"/>
        </w:rPr>
        <w:t xml:space="preserve">des </w:t>
      </w:r>
      <w:r w:rsidRPr="00604357">
        <w:rPr>
          <w:color w:val="000000"/>
        </w:rPr>
        <w:t>Zeitraum</w:t>
      </w:r>
      <w:r>
        <w:rPr>
          <w:color w:val="000000"/>
        </w:rPr>
        <w:t>s</w:t>
      </w:r>
      <w:r w:rsidRPr="00604357">
        <w:rPr>
          <w:color w:val="000000"/>
        </w:rPr>
        <w:t>, für den die Zulassung bewilligt werden kann</w:t>
      </w:r>
      <w:r w:rsidRPr="00CF1706">
        <w:rPr>
          <w:color w:val="000000"/>
        </w:rPr>
        <w:t>,</w:t>
      </w:r>
    </w:p>
    <w:p w14:paraId="47BD4298" w14:textId="77777777" w:rsidR="005A5BD5" w:rsidRPr="00CF1706" w:rsidRDefault="005A5BD5" w:rsidP="005A5BD5">
      <w:pPr>
        <w:jc w:val="both"/>
        <w:rPr>
          <w:color w:val="000000"/>
        </w:rPr>
      </w:pPr>
    </w:p>
    <w:p w14:paraId="42B0AC11" w14:textId="77777777" w:rsidR="005A5BD5" w:rsidRPr="00CF1706" w:rsidRDefault="005A5BD5" w:rsidP="005A5BD5">
      <w:pPr>
        <w:jc w:val="both"/>
        <w:rPr>
          <w:color w:val="000000"/>
        </w:rPr>
      </w:pPr>
      <w:r w:rsidRPr="00CF1706">
        <w:rPr>
          <w:color w:val="000000"/>
        </w:rPr>
        <w:lastRenderedPageBreak/>
        <w:t xml:space="preserve">- den Königlichen Erlass vom 4. Dezember 2000 </w:t>
      </w:r>
      <w:r>
        <w:rPr>
          <w:color w:val="000000"/>
        </w:rPr>
        <w:t>zur Abänderung des KE/EStGB </w:t>
      </w:r>
      <w:r w:rsidRPr="00941779">
        <w:rPr>
          <w:color w:val="000000"/>
        </w:rPr>
        <w:t>92 hinsichtlich des</w:t>
      </w:r>
      <w:r w:rsidRPr="00623E31">
        <w:rPr>
          <w:color w:val="000000"/>
        </w:rPr>
        <w:t xml:space="preserve"> Mobiliensteuervorabzug</w:t>
      </w:r>
      <w:r>
        <w:rPr>
          <w:color w:val="000000"/>
        </w:rPr>
        <w:t xml:space="preserve">s auf </w:t>
      </w:r>
      <w:r w:rsidRPr="00623E31">
        <w:rPr>
          <w:color w:val="000000"/>
        </w:rPr>
        <w:t>Einkünfte</w:t>
      </w:r>
      <w:r>
        <w:rPr>
          <w:color w:val="000000"/>
        </w:rPr>
        <w:t xml:space="preserve"> aus dem Verleih von</w:t>
      </w:r>
      <w:r w:rsidRPr="00623E31">
        <w:rPr>
          <w:color w:val="000000"/>
        </w:rPr>
        <w:t xml:space="preserve"> Aktien oder Anteilen</w:t>
      </w:r>
      <w:r w:rsidRPr="00CF1706">
        <w:rPr>
          <w:color w:val="000000"/>
        </w:rPr>
        <w:t>,</w:t>
      </w:r>
    </w:p>
    <w:p w14:paraId="0EC5E2C4" w14:textId="77777777" w:rsidR="005A5BD5" w:rsidRPr="00CF1706" w:rsidRDefault="005A5BD5" w:rsidP="005A5BD5">
      <w:pPr>
        <w:jc w:val="both"/>
        <w:rPr>
          <w:color w:val="000000"/>
        </w:rPr>
      </w:pPr>
    </w:p>
    <w:p w14:paraId="589943D5" w14:textId="77777777" w:rsidR="005A5BD5" w:rsidRPr="00CF1706" w:rsidRDefault="005A5BD5" w:rsidP="005A5BD5">
      <w:pPr>
        <w:jc w:val="both"/>
        <w:rPr>
          <w:color w:val="000000"/>
        </w:rPr>
      </w:pPr>
      <w:r w:rsidRPr="00CF1706">
        <w:rPr>
          <w:color w:val="000000"/>
        </w:rPr>
        <w:t xml:space="preserve">- den Königlichen Erlass vom 5. Dezember 2000 </w:t>
      </w:r>
      <w:r>
        <w:rPr>
          <w:color w:val="000000"/>
        </w:rPr>
        <w:t xml:space="preserve">zur Ausführung von Artikel 4 Absatz 3 und Artikel 12 Absatz 2 des </w:t>
      </w:r>
      <w:r w:rsidRPr="002C0E2A">
        <w:rPr>
          <w:color w:val="000000"/>
        </w:rPr>
        <w:t>Gesetz</w:t>
      </w:r>
      <w:r>
        <w:rPr>
          <w:color w:val="000000"/>
        </w:rPr>
        <w:t>es vom 24. Dezember 1999</w:t>
      </w:r>
      <w:r w:rsidRPr="002C0E2A">
        <w:rPr>
          <w:color w:val="000000"/>
        </w:rPr>
        <w:t xml:space="preserve"> zur Festlegung steuerrechtlicher und sonstiger Bestimmungen</w:t>
      </w:r>
      <w:r>
        <w:rPr>
          <w:color w:val="000000"/>
        </w:rPr>
        <w:t xml:space="preserve"> und zur Abänderung des KE/EStGB </w:t>
      </w:r>
      <w:r w:rsidRPr="00941779">
        <w:rPr>
          <w:color w:val="000000"/>
        </w:rPr>
        <w:t>92 hinsichtlich</w:t>
      </w:r>
      <w:r>
        <w:rPr>
          <w:color w:val="000000"/>
        </w:rPr>
        <w:t xml:space="preserve"> der </w:t>
      </w:r>
      <w:r w:rsidRPr="002C0E2A">
        <w:rPr>
          <w:color w:val="000000"/>
        </w:rPr>
        <w:t>Erklärung zum Berufssteuervorabzug</w:t>
      </w:r>
      <w:r w:rsidRPr="00CF1706">
        <w:rPr>
          <w:color w:val="000000"/>
        </w:rPr>
        <w:t>,</w:t>
      </w:r>
    </w:p>
    <w:p w14:paraId="0ACC18ED" w14:textId="77777777" w:rsidR="005A5BD5" w:rsidRPr="00CF1706" w:rsidRDefault="005A5BD5" w:rsidP="005A5BD5">
      <w:pPr>
        <w:jc w:val="both"/>
        <w:rPr>
          <w:color w:val="000000"/>
        </w:rPr>
      </w:pPr>
    </w:p>
    <w:p w14:paraId="52E4E7B5" w14:textId="77777777" w:rsidR="005A5BD5" w:rsidRPr="00CF1706" w:rsidRDefault="005A5BD5" w:rsidP="005A5BD5">
      <w:pPr>
        <w:jc w:val="both"/>
        <w:rPr>
          <w:color w:val="000000"/>
        </w:rPr>
      </w:pPr>
      <w:r w:rsidRPr="00CF1706">
        <w:rPr>
          <w:color w:val="000000"/>
        </w:rPr>
        <w:t xml:space="preserve">- den Königlichen Erlass vom 18. Dezember 2000 </w:t>
      </w:r>
      <w:r>
        <w:rPr>
          <w:color w:val="000000"/>
        </w:rPr>
        <w:t>zur Abänderung des KE/EStGB </w:t>
      </w:r>
      <w:r w:rsidRPr="00325E78">
        <w:rPr>
          <w:color w:val="000000"/>
        </w:rPr>
        <w:t>92 hinsichtlich</w:t>
      </w:r>
      <w:r>
        <w:rPr>
          <w:color w:val="000000"/>
        </w:rPr>
        <w:t xml:space="preserve"> </w:t>
      </w:r>
      <w:r w:rsidRPr="00F629D6">
        <w:rPr>
          <w:color w:val="000000"/>
        </w:rPr>
        <w:t>des Berufssteuervorabzugs</w:t>
      </w:r>
      <w:r w:rsidRPr="00CF1706">
        <w:rPr>
          <w:color w:val="000000"/>
        </w:rPr>
        <w:t>,</w:t>
      </w:r>
    </w:p>
    <w:p w14:paraId="3299D9A8" w14:textId="77777777" w:rsidR="005A5BD5" w:rsidRPr="00CF1706" w:rsidRDefault="005A5BD5" w:rsidP="005A5BD5">
      <w:pPr>
        <w:jc w:val="both"/>
        <w:rPr>
          <w:color w:val="000000"/>
        </w:rPr>
      </w:pPr>
    </w:p>
    <w:p w14:paraId="533FBFC5" w14:textId="77777777" w:rsidR="005A5BD5" w:rsidRPr="00CF1706" w:rsidRDefault="005A5BD5" w:rsidP="005A5BD5">
      <w:pPr>
        <w:jc w:val="both"/>
        <w:rPr>
          <w:color w:val="000000"/>
        </w:rPr>
      </w:pPr>
      <w:r w:rsidRPr="00CF1706">
        <w:rPr>
          <w:color w:val="000000"/>
        </w:rPr>
        <w:t xml:space="preserve">- den Königlichen Erlass vom 30. Januar 2001 </w:t>
      </w:r>
      <w:r>
        <w:rPr>
          <w:color w:val="000000"/>
        </w:rPr>
        <w:t>zur Abänderung des KE/EStGB </w:t>
      </w:r>
      <w:r w:rsidRPr="00325E78">
        <w:rPr>
          <w:color w:val="000000"/>
        </w:rPr>
        <w:t>92 hinsichtlich</w:t>
      </w:r>
      <w:r>
        <w:rPr>
          <w:color w:val="000000"/>
        </w:rPr>
        <w:t xml:space="preserve"> der Bedingungen für die Gewährung der </w:t>
      </w:r>
      <w:r w:rsidRPr="00632B94">
        <w:rPr>
          <w:color w:val="000000"/>
        </w:rPr>
        <w:t>Ermäßigung für langfristiges Sparen</w:t>
      </w:r>
      <w:r>
        <w:rPr>
          <w:color w:val="000000"/>
        </w:rPr>
        <w:t xml:space="preserve"> in Bezug auf </w:t>
      </w:r>
      <w:r w:rsidRPr="00632B94">
        <w:rPr>
          <w:color w:val="000000"/>
        </w:rPr>
        <w:t xml:space="preserve">Summen, die für </w:t>
      </w:r>
      <w:r w:rsidRPr="00704B54">
        <w:rPr>
          <w:color w:val="000000"/>
        </w:rPr>
        <w:t>die Tilgung oder Wiederherstellung einer Hypothekenanleihe gezahlt</w:t>
      </w:r>
      <w:r w:rsidRPr="00632B94">
        <w:rPr>
          <w:color w:val="000000"/>
        </w:rPr>
        <w:t xml:space="preserve"> werden</w:t>
      </w:r>
      <w:r w:rsidRPr="00CF1706">
        <w:rPr>
          <w:color w:val="000000"/>
        </w:rPr>
        <w:t>,</w:t>
      </w:r>
    </w:p>
    <w:p w14:paraId="4FACDC2E" w14:textId="77777777" w:rsidR="005A5BD5" w:rsidRPr="00CF1706" w:rsidRDefault="005A5BD5" w:rsidP="005A5BD5">
      <w:pPr>
        <w:jc w:val="both"/>
        <w:rPr>
          <w:color w:val="000000"/>
        </w:rPr>
      </w:pPr>
    </w:p>
    <w:p w14:paraId="3587B4F7" w14:textId="77777777" w:rsidR="005A5BD5" w:rsidRPr="00CF1706" w:rsidRDefault="005A5BD5" w:rsidP="005A5BD5">
      <w:pPr>
        <w:jc w:val="both"/>
        <w:rPr>
          <w:color w:val="000000"/>
        </w:rPr>
      </w:pPr>
      <w:r w:rsidRPr="00CF1706">
        <w:rPr>
          <w:color w:val="000000"/>
        </w:rPr>
        <w:t xml:space="preserve">- den Königlichen Erlass vom 2. Februar 2001 </w:t>
      </w:r>
      <w:r>
        <w:rPr>
          <w:color w:val="000000"/>
        </w:rPr>
        <w:t>zur Abänderung des KE/EStGB </w:t>
      </w:r>
      <w:r w:rsidRPr="00A6152E">
        <w:rPr>
          <w:color w:val="000000"/>
        </w:rPr>
        <w:t>92 hinsichtlich der Vorteile jeglicher Art</w:t>
      </w:r>
      <w:r w:rsidRPr="00CF1706">
        <w:rPr>
          <w:color w:val="000000"/>
        </w:rPr>
        <w:t>,</w:t>
      </w:r>
    </w:p>
    <w:p w14:paraId="323642EB" w14:textId="77777777" w:rsidR="005A5BD5" w:rsidRPr="00CF1706" w:rsidRDefault="005A5BD5" w:rsidP="005A5BD5">
      <w:pPr>
        <w:jc w:val="both"/>
        <w:rPr>
          <w:color w:val="000000"/>
        </w:rPr>
      </w:pPr>
    </w:p>
    <w:p w14:paraId="66B20D62" w14:textId="77777777" w:rsidR="005A5BD5" w:rsidRPr="00CF1706" w:rsidRDefault="005A5BD5" w:rsidP="005A5BD5">
      <w:pPr>
        <w:jc w:val="both"/>
        <w:rPr>
          <w:color w:val="000000"/>
        </w:rPr>
      </w:pPr>
      <w:r w:rsidRPr="00CF1706">
        <w:rPr>
          <w:color w:val="000000"/>
        </w:rPr>
        <w:t>- den Königlichen Erlass vom 4. März 2001</w:t>
      </w:r>
      <w:r w:rsidRPr="007E696F">
        <w:t xml:space="preserve"> </w:t>
      </w:r>
      <w:r>
        <w:rPr>
          <w:color w:val="000000"/>
        </w:rPr>
        <w:t>zur Abänderung des KE/EStGB </w:t>
      </w:r>
      <w:r w:rsidRPr="007E696F">
        <w:rPr>
          <w:color w:val="000000"/>
        </w:rPr>
        <w:t>92 hinsichtlich der Steuerbefreiung für bestimmte unentgeltliche Zuwendungen</w:t>
      </w:r>
      <w:r w:rsidRPr="00CF1706">
        <w:rPr>
          <w:color w:val="000000"/>
        </w:rPr>
        <w:t>,</w:t>
      </w:r>
    </w:p>
    <w:p w14:paraId="57B8448A" w14:textId="77777777" w:rsidR="005A5BD5" w:rsidRPr="00CF1706" w:rsidRDefault="005A5BD5" w:rsidP="005A5BD5">
      <w:pPr>
        <w:jc w:val="both"/>
        <w:rPr>
          <w:color w:val="000000"/>
        </w:rPr>
      </w:pPr>
    </w:p>
    <w:p w14:paraId="532A371A" w14:textId="77777777" w:rsidR="005A5BD5" w:rsidRPr="00CF1706" w:rsidRDefault="005A5BD5" w:rsidP="005A5BD5">
      <w:pPr>
        <w:jc w:val="both"/>
        <w:rPr>
          <w:color w:val="000000"/>
        </w:rPr>
      </w:pPr>
      <w:r w:rsidRPr="00CF1706">
        <w:rPr>
          <w:color w:val="000000"/>
        </w:rPr>
        <w:t xml:space="preserve">- den Königlichen Erlass vom 16. März 2001 </w:t>
      </w:r>
      <w:r>
        <w:rPr>
          <w:color w:val="000000"/>
        </w:rPr>
        <w:t>zur Abänderung des KE/EStGB </w:t>
      </w:r>
      <w:r w:rsidRPr="00A6152E">
        <w:rPr>
          <w:color w:val="000000"/>
        </w:rPr>
        <w:t>92 hinsichtlich der Vorteile jeglicher Art</w:t>
      </w:r>
      <w:r w:rsidRPr="00CF1706">
        <w:rPr>
          <w:color w:val="000000"/>
        </w:rPr>
        <w:t>,</w:t>
      </w:r>
    </w:p>
    <w:p w14:paraId="1590B98A" w14:textId="77777777" w:rsidR="005A5BD5" w:rsidRPr="00CF1706" w:rsidRDefault="005A5BD5" w:rsidP="005A5BD5">
      <w:pPr>
        <w:jc w:val="both"/>
        <w:rPr>
          <w:color w:val="000000"/>
        </w:rPr>
      </w:pPr>
    </w:p>
    <w:p w14:paraId="6C2A957B" w14:textId="77777777" w:rsidR="005A5BD5" w:rsidRPr="00CF1706" w:rsidRDefault="005A5BD5" w:rsidP="005A5BD5">
      <w:pPr>
        <w:jc w:val="both"/>
        <w:rPr>
          <w:color w:val="000000"/>
        </w:rPr>
      </w:pPr>
      <w:r w:rsidRPr="00CF1706">
        <w:rPr>
          <w:color w:val="000000"/>
        </w:rPr>
        <w:t>- den Königlichen Erlass vom 13. Juli 2001 zur Einführung des Euro in die Königlichen Erlasse, für die das Ministerium der Finanzen zuständig ist, und zur Ausführung des Gesetzes vom 30. Oktober 1998 über den Euro,</w:t>
      </w:r>
    </w:p>
    <w:p w14:paraId="38B59249" w14:textId="77777777" w:rsidR="005A5BD5" w:rsidRPr="00CF1706" w:rsidRDefault="005A5BD5" w:rsidP="005A5BD5">
      <w:pPr>
        <w:jc w:val="both"/>
        <w:rPr>
          <w:color w:val="000000"/>
        </w:rPr>
      </w:pPr>
    </w:p>
    <w:p w14:paraId="28B9C513" w14:textId="77777777" w:rsidR="005A5BD5" w:rsidRPr="00CF1706" w:rsidRDefault="005A5BD5" w:rsidP="005A5BD5">
      <w:pPr>
        <w:jc w:val="both"/>
        <w:rPr>
          <w:color w:val="000000"/>
        </w:rPr>
      </w:pPr>
      <w:r w:rsidRPr="00CF1706">
        <w:rPr>
          <w:color w:val="000000"/>
        </w:rPr>
        <w:t xml:space="preserve">- den Königlichen Erlass vom 5. September 2001 </w:t>
      </w:r>
      <w:r>
        <w:rPr>
          <w:color w:val="000000"/>
        </w:rPr>
        <w:t>zur Abänderung des KE/EStGB </w:t>
      </w:r>
      <w:r w:rsidRPr="00EE4297">
        <w:rPr>
          <w:color w:val="000000"/>
        </w:rPr>
        <w:t>92 hinsichtlich der Steuerbefreiung für Preise und Zuschüsse, die Wissenschaftlern, Schriftstellern oder Künstlern gezahlt oder zuerkannt werden</w:t>
      </w:r>
      <w:r w:rsidRPr="00CF1706">
        <w:rPr>
          <w:color w:val="000000"/>
        </w:rPr>
        <w:t>,</w:t>
      </w:r>
    </w:p>
    <w:p w14:paraId="79CA3979" w14:textId="77777777" w:rsidR="005A5BD5" w:rsidRPr="00CF1706" w:rsidRDefault="005A5BD5" w:rsidP="005A5BD5">
      <w:pPr>
        <w:jc w:val="both"/>
        <w:rPr>
          <w:color w:val="000000"/>
        </w:rPr>
      </w:pPr>
    </w:p>
    <w:p w14:paraId="5E0BD369" w14:textId="77777777" w:rsidR="005A5BD5" w:rsidRPr="00CF1706" w:rsidRDefault="005A5BD5" w:rsidP="005A5BD5">
      <w:pPr>
        <w:jc w:val="both"/>
        <w:rPr>
          <w:color w:val="000000"/>
        </w:rPr>
      </w:pPr>
      <w:r w:rsidRPr="00CF1706">
        <w:rPr>
          <w:color w:val="000000"/>
        </w:rPr>
        <w:t xml:space="preserve">- den Königlichen Erlass vom 21. November 2001 </w:t>
      </w:r>
      <w:r>
        <w:rPr>
          <w:color w:val="000000"/>
        </w:rPr>
        <w:t>zur Abänderung des KE/EStGB </w:t>
      </w:r>
      <w:r w:rsidRPr="00325E78">
        <w:rPr>
          <w:color w:val="000000"/>
        </w:rPr>
        <w:t>92 hinsichtlich</w:t>
      </w:r>
      <w:r>
        <w:rPr>
          <w:color w:val="000000"/>
        </w:rPr>
        <w:t xml:space="preserve"> </w:t>
      </w:r>
      <w:r w:rsidRPr="00F629D6">
        <w:rPr>
          <w:color w:val="000000"/>
        </w:rPr>
        <w:t>des Berufssteuervorabzugs</w:t>
      </w:r>
      <w:r w:rsidRPr="00CF1706">
        <w:rPr>
          <w:color w:val="000000"/>
        </w:rPr>
        <w:t>,</w:t>
      </w:r>
    </w:p>
    <w:p w14:paraId="06BA581D" w14:textId="77777777" w:rsidR="005A5BD5" w:rsidRPr="00CF1706" w:rsidRDefault="005A5BD5" w:rsidP="005A5BD5">
      <w:pPr>
        <w:jc w:val="both"/>
        <w:rPr>
          <w:color w:val="000000"/>
        </w:rPr>
      </w:pPr>
    </w:p>
    <w:p w14:paraId="35D2F267" w14:textId="77777777" w:rsidR="005A5BD5" w:rsidRPr="00CF1706" w:rsidRDefault="005A5BD5" w:rsidP="005A5BD5">
      <w:pPr>
        <w:jc w:val="both"/>
        <w:rPr>
          <w:color w:val="000000"/>
        </w:rPr>
      </w:pPr>
      <w:r w:rsidRPr="00CF1706">
        <w:rPr>
          <w:color w:val="000000"/>
        </w:rPr>
        <w:t xml:space="preserve">- den Königlichen Erlass vom 4. Februar 2002 </w:t>
      </w:r>
      <w:r>
        <w:rPr>
          <w:color w:val="000000"/>
        </w:rPr>
        <w:t>zur Abänderung des KE/EStGB </w:t>
      </w:r>
      <w:r w:rsidRPr="00EE4297">
        <w:rPr>
          <w:color w:val="000000"/>
        </w:rPr>
        <w:t>92 hinsichtlich des Neubewertungskoeffizienten für Katastereinkommen</w:t>
      </w:r>
      <w:r w:rsidRPr="00CF1706">
        <w:rPr>
          <w:color w:val="000000"/>
        </w:rPr>
        <w:t>,</w:t>
      </w:r>
    </w:p>
    <w:p w14:paraId="78AA3726" w14:textId="77777777" w:rsidR="005A5BD5" w:rsidRPr="00CF1706" w:rsidRDefault="005A5BD5" w:rsidP="005A5BD5">
      <w:pPr>
        <w:jc w:val="both"/>
        <w:rPr>
          <w:color w:val="000000"/>
        </w:rPr>
      </w:pPr>
    </w:p>
    <w:p w14:paraId="3512B5ED" w14:textId="77777777" w:rsidR="005A5BD5" w:rsidRPr="00CF1706" w:rsidRDefault="005A5BD5" w:rsidP="005A5BD5">
      <w:pPr>
        <w:jc w:val="both"/>
        <w:rPr>
          <w:color w:val="000000"/>
        </w:rPr>
      </w:pPr>
      <w:r w:rsidRPr="00CF1706">
        <w:rPr>
          <w:color w:val="000000"/>
        </w:rPr>
        <w:t xml:space="preserve">- den Königlichen Erlass vom 4. März 2002 </w:t>
      </w:r>
      <w:r>
        <w:rPr>
          <w:color w:val="000000"/>
        </w:rPr>
        <w:t>zur Abänderung des KE/EStGB </w:t>
      </w:r>
      <w:r w:rsidRPr="00A6152E">
        <w:rPr>
          <w:color w:val="000000"/>
        </w:rPr>
        <w:t>92 hinsichtlich der Vorteile jeglicher Art</w:t>
      </w:r>
      <w:r w:rsidRPr="00CF1706">
        <w:rPr>
          <w:color w:val="000000"/>
        </w:rPr>
        <w:t>,</w:t>
      </w:r>
    </w:p>
    <w:p w14:paraId="29DA0829" w14:textId="77777777" w:rsidR="005A5BD5" w:rsidRDefault="005A5BD5" w:rsidP="005A5BD5">
      <w:pPr>
        <w:jc w:val="both"/>
        <w:rPr>
          <w:color w:val="000000"/>
        </w:rPr>
      </w:pPr>
    </w:p>
    <w:p w14:paraId="2C77D62D" w14:textId="77777777" w:rsidR="005A5BD5" w:rsidRPr="00CF1706" w:rsidRDefault="005A5BD5" w:rsidP="005A5BD5">
      <w:pPr>
        <w:jc w:val="both"/>
        <w:rPr>
          <w:color w:val="000000"/>
        </w:rPr>
      </w:pPr>
      <w:r w:rsidRPr="00CF1706">
        <w:rPr>
          <w:color w:val="000000"/>
        </w:rPr>
        <w:t xml:space="preserve">- den Königlichen Erlass vom 8. März 2002 </w:t>
      </w:r>
      <w:r>
        <w:rPr>
          <w:color w:val="000000"/>
        </w:rPr>
        <w:t>zur Abänderung des KE/EStGB </w:t>
      </w:r>
      <w:r w:rsidRPr="00A6152E">
        <w:rPr>
          <w:color w:val="000000"/>
        </w:rPr>
        <w:t>92 hinsichtlich der Vorteile jeglicher Art</w:t>
      </w:r>
      <w:r w:rsidRPr="00CF1706">
        <w:rPr>
          <w:color w:val="000000"/>
        </w:rPr>
        <w:t>,</w:t>
      </w:r>
    </w:p>
    <w:p w14:paraId="0C60488E" w14:textId="77777777" w:rsidR="005A5BD5" w:rsidRPr="00CF1706" w:rsidRDefault="005A5BD5" w:rsidP="005A5BD5">
      <w:pPr>
        <w:jc w:val="both"/>
        <w:rPr>
          <w:color w:val="000000"/>
        </w:rPr>
      </w:pPr>
    </w:p>
    <w:p w14:paraId="64CC18A5" w14:textId="77777777" w:rsidR="005A5BD5" w:rsidRPr="00CF1706" w:rsidRDefault="005A5BD5" w:rsidP="005A5BD5">
      <w:pPr>
        <w:jc w:val="both"/>
        <w:rPr>
          <w:color w:val="000000"/>
        </w:rPr>
      </w:pPr>
      <w:r w:rsidRPr="00CF1706">
        <w:rPr>
          <w:color w:val="000000"/>
        </w:rPr>
        <w:t xml:space="preserve">- den Königlichen Erlass vom 2. April 2002 </w:t>
      </w:r>
      <w:r>
        <w:rPr>
          <w:color w:val="000000"/>
        </w:rPr>
        <w:t>zur Abänderung des KE/EStGB </w:t>
      </w:r>
      <w:r w:rsidRPr="00A6152E">
        <w:rPr>
          <w:color w:val="000000"/>
        </w:rPr>
        <w:t>92 hinsichtlich</w:t>
      </w:r>
      <w:r>
        <w:rPr>
          <w:color w:val="000000"/>
        </w:rPr>
        <w:t xml:space="preserve"> der </w:t>
      </w:r>
      <w:r w:rsidRPr="00FB357F">
        <w:rPr>
          <w:color w:val="000000"/>
        </w:rPr>
        <w:t>Steuerermäßigung</w:t>
      </w:r>
      <w:r>
        <w:rPr>
          <w:color w:val="000000"/>
        </w:rPr>
        <w:t xml:space="preserve"> </w:t>
      </w:r>
      <w:r w:rsidRPr="007F15B1">
        <w:rPr>
          <w:color w:val="000000"/>
        </w:rPr>
        <w:t>für Ausgaben,</w:t>
      </w:r>
      <w:r>
        <w:rPr>
          <w:color w:val="000000"/>
        </w:rPr>
        <w:t xml:space="preserve"> </w:t>
      </w:r>
      <w:r w:rsidRPr="00FB357F">
        <w:rPr>
          <w:color w:val="000000"/>
        </w:rPr>
        <w:t>die für Leistungen gezahlt werden, die mit Dienstleistungsschecks vergütet werden</w:t>
      </w:r>
      <w:r w:rsidRPr="00CF1706">
        <w:rPr>
          <w:color w:val="000000"/>
        </w:rPr>
        <w:t>,</w:t>
      </w:r>
    </w:p>
    <w:p w14:paraId="04DA6077" w14:textId="77777777" w:rsidR="005A5BD5" w:rsidRPr="00CF1706" w:rsidRDefault="005A5BD5" w:rsidP="005A5BD5">
      <w:pPr>
        <w:jc w:val="both"/>
        <w:rPr>
          <w:color w:val="000000"/>
        </w:rPr>
      </w:pPr>
    </w:p>
    <w:p w14:paraId="48B365A2" w14:textId="77777777" w:rsidR="005A5BD5" w:rsidRPr="00CF1706" w:rsidRDefault="005A5BD5" w:rsidP="005A5BD5">
      <w:pPr>
        <w:jc w:val="both"/>
        <w:rPr>
          <w:color w:val="000000"/>
        </w:rPr>
      </w:pPr>
      <w:r w:rsidRPr="00CF1706">
        <w:rPr>
          <w:color w:val="000000"/>
        </w:rPr>
        <w:lastRenderedPageBreak/>
        <w:t xml:space="preserve">- den Königlichen Erlass vom 19. Juni 2002 </w:t>
      </w:r>
      <w:r>
        <w:rPr>
          <w:color w:val="000000"/>
        </w:rPr>
        <w:t>zur Abänderung des KE/EStGB </w:t>
      </w:r>
      <w:r w:rsidRPr="00325E78">
        <w:rPr>
          <w:color w:val="000000"/>
        </w:rPr>
        <w:t>92 hinsichtlich</w:t>
      </w:r>
      <w:r>
        <w:rPr>
          <w:color w:val="000000"/>
        </w:rPr>
        <w:t xml:space="preserve"> </w:t>
      </w:r>
      <w:r w:rsidRPr="00F629D6">
        <w:rPr>
          <w:color w:val="000000"/>
        </w:rPr>
        <w:t>des Berufssteuervorabzugs</w:t>
      </w:r>
      <w:r w:rsidRPr="00CF1706">
        <w:rPr>
          <w:color w:val="000000"/>
        </w:rPr>
        <w:t>,</w:t>
      </w:r>
    </w:p>
    <w:p w14:paraId="254EDEBB" w14:textId="77777777" w:rsidR="005A5BD5" w:rsidRPr="00CF1706" w:rsidRDefault="005A5BD5" w:rsidP="005A5BD5">
      <w:pPr>
        <w:jc w:val="both"/>
        <w:rPr>
          <w:color w:val="000000"/>
        </w:rPr>
      </w:pPr>
    </w:p>
    <w:p w14:paraId="5DC36E78" w14:textId="77777777" w:rsidR="005A5BD5" w:rsidRPr="00CF1706" w:rsidRDefault="005A5BD5" w:rsidP="005A5BD5">
      <w:pPr>
        <w:jc w:val="both"/>
        <w:rPr>
          <w:color w:val="000000"/>
        </w:rPr>
      </w:pPr>
      <w:r w:rsidRPr="00CF1706">
        <w:rPr>
          <w:color w:val="000000"/>
        </w:rPr>
        <w:t xml:space="preserve">- den Königlichen Erlass vom 26. Juni 2002 </w:t>
      </w:r>
      <w:r w:rsidRPr="00C678B7">
        <w:rPr>
          <w:color w:val="000000"/>
        </w:rPr>
        <w:t xml:space="preserve">zur Abänderung des </w:t>
      </w:r>
      <w:r>
        <w:rPr>
          <w:color w:val="000000"/>
        </w:rPr>
        <w:t xml:space="preserve">Königlichen Erlasses </w:t>
      </w:r>
      <w:r w:rsidRPr="00C678B7">
        <w:rPr>
          <w:color w:val="000000"/>
        </w:rPr>
        <w:t>EStGB</w:t>
      </w:r>
      <w:r>
        <w:rPr>
          <w:color w:val="000000"/>
        </w:rPr>
        <w:t> </w:t>
      </w:r>
      <w:r w:rsidRPr="00C678B7">
        <w:rPr>
          <w:color w:val="000000"/>
        </w:rPr>
        <w:t>92 hinsichtlich der Steuerbefreiung für Preise und Zuschüsse, die Wissenschaftlern, Schriftstellern oder Künstlern gezahlt oder zuerkannt werden</w:t>
      </w:r>
      <w:r w:rsidRPr="00CF1706">
        <w:rPr>
          <w:color w:val="000000"/>
        </w:rPr>
        <w:t>,</w:t>
      </w:r>
    </w:p>
    <w:p w14:paraId="2D71D6D3" w14:textId="77777777" w:rsidR="005A5BD5" w:rsidRPr="00CF1706" w:rsidRDefault="005A5BD5" w:rsidP="005A5BD5">
      <w:pPr>
        <w:jc w:val="both"/>
        <w:rPr>
          <w:color w:val="000000"/>
        </w:rPr>
      </w:pPr>
    </w:p>
    <w:p w14:paraId="034B1F58" w14:textId="77777777" w:rsidR="005A5BD5" w:rsidRPr="00CF1706" w:rsidRDefault="005A5BD5" w:rsidP="005A5BD5">
      <w:pPr>
        <w:jc w:val="both"/>
        <w:rPr>
          <w:color w:val="000000"/>
        </w:rPr>
      </w:pPr>
      <w:r w:rsidRPr="00CF1706">
        <w:rPr>
          <w:color w:val="000000"/>
        </w:rPr>
        <w:t xml:space="preserve">- den Königlichen Erlass vom 22. August 2002 </w:t>
      </w:r>
      <w:r>
        <w:rPr>
          <w:color w:val="000000"/>
        </w:rPr>
        <w:t>zur Ergänzung des KE/EStGB </w:t>
      </w:r>
      <w:r w:rsidRPr="00325E78">
        <w:rPr>
          <w:color w:val="000000"/>
        </w:rPr>
        <w:t>92 hinsichtlich</w:t>
      </w:r>
      <w:r>
        <w:rPr>
          <w:color w:val="000000"/>
        </w:rPr>
        <w:t xml:space="preserve"> der </w:t>
      </w:r>
      <w:r w:rsidRPr="00C678B7">
        <w:rPr>
          <w:color w:val="000000"/>
        </w:rPr>
        <w:t xml:space="preserve">Werbungskosten in Bezug auf </w:t>
      </w:r>
      <w:r w:rsidRPr="00704B54">
        <w:rPr>
          <w:color w:val="000000"/>
        </w:rPr>
        <w:t>die Fahrt zwischen Wohnsitz und Arbeitsplatz</w:t>
      </w:r>
      <w:r w:rsidRPr="00CF1706">
        <w:rPr>
          <w:color w:val="000000"/>
        </w:rPr>
        <w:t>,</w:t>
      </w:r>
    </w:p>
    <w:p w14:paraId="73FE1967" w14:textId="77777777" w:rsidR="005A5BD5" w:rsidRPr="00CF1706" w:rsidRDefault="005A5BD5" w:rsidP="005A5BD5">
      <w:pPr>
        <w:jc w:val="both"/>
        <w:rPr>
          <w:color w:val="000000"/>
        </w:rPr>
      </w:pPr>
    </w:p>
    <w:p w14:paraId="76218B97" w14:textId="77777777" w:rsidR="005A5BD5" w:rsidRPr="00CF1706" w:rsidRDefault="005A5BD5" w:rsidP="005A5BD5">
      <w:pPr>
        <w:jc w:val="both"/>
        <w:rPr>
          <w:color w:val="000000"/>
        </w:rPr>
      </w:pPr>
      <w:r w:rsidRPr="00CF1706">
        <w:rPr>
          <w:color w:val="000000"/>
        </w:rPr>
        <w:t xml:space="preserve">- den Königlichen Erlass vom 21. Oktober 2002 </w:t>
      </w:r>
      <w:r>
        <w:rPr>
          <w:color w:val="000000"/>
        </w:rPr>
        <w:t>zur Abänderung des KE/EStGB </w:t>
      </w:r>
      <w:r w:rsidRPr="00127A8A">
        <w:rPr>
          <w:color w:val="000000"/>
        </w:rPr>
        <w:t>92 hinsichtlich der Erklärung zum Berufssteuervorabzug</w:t>
      </w:r>
      <w:r w:rsidRPr="00CF1706">
        <w:rPr>
          <w:color w:val="000000"/>
        </w:rPr>
        <w:t>,</w:t>
      </w:r>
    </w:p>
    <w:p w14:paraId="7FF5047B" w14:textId="77777777" w:rsidR="005A5BD5" w:rsidRPr="00CF1706" w:rsidRDefault="005A5BD5" w:rsidP="005A5BD5">
      <w:pPr>
        <w:jc w:val="both"/>
        <w:rPr>
          <w:color w:val="000000"/>
        </w:rPr>
      </w:pPr>
    </w:p>
    <w:p w14:paraId="75B9E0C9" w14:textId="77777777" w:rsidR="005A5BD5" w:rsidRPr="00CF1706" w:rsidRDefault="005A5BD5" w:rsidP="005A5BD5">
      <w:pPr>
        <w:jc w:val="both"/>
        <w:rPr>
          <w:color w:val="000000"/>
        </w:rPr>
      </w:pPr>
      <w:r w:rsidRPr="00CF1706">
        <w:rPr>
          <w:color w:val="000000"/>
        </w:rPr>
        <w:t xml:space="preserve">- den Königlichen Erlass vom 25. Oktober 2002 </w:t>
      </w:r>
      <w:r>
        <w:rPr>
          <w:color w:val="000000"/>
        </w:rPr>
        <w:t>zur Abänderung des KE/EStGB </w:t>
      </w:r>
      <w:r w:rsidRPr="00325E78">
        <w:rPr>
          <w:color w:val="000000"/>
        </w:rPr>
        <w:t>92 hinsichtlich</w:t>
      </w:r>
      <w:r>
        <w:rPr>
          <w:color w:val="000000"/>
        </w:rPr>
        <w:t xml:space="preserve"> </w:t>
      </w:r>
      <w:r w:rsidRPr="00F629D6">
        <w:rPr>
          <w:color w:val="000000"/>
        </w:rPr>
        <w:t>des Berufssteuervorabzugs</w:t>
      </w:r>
      <w:r w:rsidRPr="00CF1706">
        <w:rPr>
          <w:color w:val="000000"/>
        </w:rPr>
        <w:t>,</w:t>
      </w:r>
    </w:p>
    <w:p w14:paraId="76F173D4" w14:textId="77777777" w:rsidR="005A5BD5" w:rsidRPr="00CF1706" w:rsidRDefault="005A5BD5" w:rsidP="005A5BD5">
      <w:pPr>
        <w:jc w:val="both"/>
        <w:rPr>
          <w:color w:val="000000"/>
        </w:rPr>
      </w:pPr>
    </w:p>
    <w:p w14:paraId="27F5931D" w14:textId="77777777" w:rsidR="005A5BD5" w:rsidRPr="00CF1706" w:rsidRDefault="005A5BD5" w:rsidP="005A5BD5">
      <w:pPr>
        <w:jc w:val="both"/>
        <w:rPr>
          <w:color w:val="000000"/>
        </w:rPr>
      </w:pPr>
      <w:r w:rsidRPr="00CF1706">
        <w:rPr>
          <w:color w:val="000000"/>
        </w:rPr>
        <w:t xml:space="preserve">- den Königlichen Erlass vom 12. Dezember 2002 </w:t>
      </w:r>
      <w:r>
        <w:rPr>
          <w:color w:val="000000"/>
        </w:rPr>
        <w:t>zur Abänderung des KE/EStGB </w:t>
      </w:r>
      <w:r w:rsidRPr="00325E78">
        <w:rPr>
          <w:color w:val="000000"/>
        </w:rPr>
        <w:t>92 hinsichtlich</w:t>
      </w:r>
      <w:r>
        <w:rPr>
          <w:color w:val="000000"/>
        </w:rPr>
        <w:t xml:space="preserve"> </w:t>
      </w:r>
      <w:r w:rsidRPr="00F629D6">
        <w:rPr>
          <w:color w:val="000000"/>
        </w:rPr>
        <w:t>des Berufssteuervorabzugs</w:t>
      </w:r>
      <w:r w:rsidRPr="00CF1706">
        <w:rPr>
          <w:color w:val="000000"/>
        </w:rPr>
        <w:t>,</w:t>
      </w:r>
    </w:p>
    <w:p w14:paraId="13198632" w14:textId="77777777" w:rsidR="005A5BD5" w:rsidRPr="00CF1706" w:rsidRDefault="005A5BD5" w:rsidP="005A5BD5">
      <w:pPr>
        <w:jc w:val="both"/>
        <w:rPr>
          <w:color w:val="000000"/>
        </w:rPr>
      </w:pPr>
    </w:p>
    <w:p w14:paraId="553DEAA7" w14:textId="77777777" w:rsidR="005A5BD5" w:rsidRPr="00CF1706" w:rsidRDefault="005A5BD5" w:rsidP="005A5BD5">
      <w:pPr>
        <w:jc w:val="both"/>
        <w:rPr>
          <w:color w:val="000000"/>
        </w:rPr>
      </w:pPr>
      <w:r w:rsidRPr="00CF1706">
        <w:rPr>
          <w:color w:val="000000"/>
        </w:rPr>
        <w:t xml:space="preserve">- den Königlichen Erlass vom 20. Dezember 2002 </w:t>
      </w:r>
      <w:r>
        <w:rPr>
          <w:color w:val="000000"/>
        </w:rPr>
        <w:t>zur Abänderung des KE/EStGB </w:t>
      </w:r>
      <w:r w:rsidRPr="00325E78">
        <w:rPr>
          <w:color w:val="000000"/>
        </w:rPr>
        <w:t>92 hinsichtlich</w:t>
      </w:r>
      <w:r>
        <w:rPr>
          <w:color w:val="000000"/>
        </w:rPr>
        <w:t xml:space="preserve"> der </w:t>
      </w:r>
      <w:r w:rsidRPr="00503B2A">
        <w:rPr>
          <w:color w:val="000000"/>
        </w:rPr>
        <w:t>Steuerermäßigung</w:t>
      </w:r>
      <w:r>
        <w:rPr>
          <w:color w:val="000000"/>
        </w:rPr>
        <w:t xml:space="preserve"> </w:t>
      </w:r>
      <w:r w:rsidRPr="00127A8A">
        <w:rPr>
          <w:color w:val="000000"/>
        </w:rPr>
        <w:t>für Ausgaben zur Energieeinsparung in einer Wohnung</w:t>
      </w:r>
      <w:r w:rsidRPr="00CF1706">
        <w:rPr>
          <w:color w:val="000000"/>
        </w:rPr>
        <w:t>,</w:t>
      </w:r>
    </w:p>
    <w:p w14:paraId="435FF53D" w14:textId="77777777" w:rsidR="005A5BD5" w:rsidRPr="00CF1706" w:rsidRDefault="005A5BD5" w:rsidP="005A5BD5">
      <w:pPr>
        <w:jc w:val="both"/>
        <w:rPr>
          <w:color w:val="000000"/>
        </w:rPr>
      </w:pPr>
    </w:p>
    <w:p w14:paraId="53500691" w14:textId="77777777" w:rsidR="005A5BD5" w:rsidRPr="00CF1706" w:rsidRDefault="005A5BD5" w:rsidP="005A5BD5">
      <w:pPr>
        <w:jc w:val="both"/>
        <w:rPr>
          <w:color w:val="000000"/>
        </w:rPr>
      </w:pPr>
      <w:r w:rsidRPr="00CF1706">
        <w:rPr>
          <w:color w:val="000000"/>
        </w:rPr>
        <w:t xml:space="preserve">- den Königlichen Erlass vom 9. Januar 2003 </w:t>
      </w:r>
      <w:r w:rsidRPr="00127A8A">
        <w:rPr>
          <w:color w:val="000000"/>
        </w:rPr>
        <w:t>zur Abä</w:t>
      </w:r>
      <w:r>
        <w:rPr>
          <w:color w:val="000000"/>
        </w:rPr>
        <w:t>nderung des KE/EStGB </w:t>
      </w:r>
      <w:r w:rsidRPr="00127A8A">
        <w:rPr>
          <w:color w:val="000000"/>
        </w:rPr>
        <w:t>92 hinsichtlich des Berufssteuervorabzugs</w:t>
      </w:r>
      <w:r w:rsidRPr="00CF1706">
        <w:rPr>
          <w:color w:val="000000"/>
        </w:rPr>
        <w:t>,</w:t>
      </w:r>
    </w:p>
    <w:p w14:paraId="4018C79C" w14:textId="77777777" w:rsidR="005A5BD5" w:rsidRPr="00CF1706" w:rsidRDefault="005A5BD5" w:rsidP="005A5BD5">
      <w:pPr>
        <w:jc w:val="both"/>
        <w:rPr>
          <w:color w:val="000000"/>
        </w:rPr>
      </w:pPr>
    </w:p>
    <w:p w14:paraId="11AE8AD5" w14:textId="77777777" w:rsidR="005A5BD5" w:rsidRPr="00CF1706" w:rsidRDefault="005A5BD5" w:rsidP="005A5BD5">
      <w:pPr>
        <w:jc w:val="both"/>
        <w:rPr>
          <w:color w:val="000000"/>
        </w:rPr>
      </w:pPr>
      <w:r w:rsidRPr="00CF1706">
        <w:rPr>
          <w:color w:val="000000"/>
        </w:rPr>
        <w:t xml:space="preserve">- den Königlichen Erlass vom 23. Januar 2003 </w:t>
      </w:r>
      <w:r w:rsidRPr="00DC53E0">
        <w:rPr>
          <w:color w:val="000000"/>
        </w:rPr>
        <w:t>zur Abänderung des KE/EStGB</w:t>
      </w:r>
      <w:r>
        <w:rPr>
          <w:color w:val="000000"/>
        </w:rPr>
        <w:t> </w:t>
      </w:r>
      <w:r w:rsidRPr="00DC53E0">
        <w:rPr>
          <w:color w:val="000000"/>
        </w:rPr>
        <w:t>92 hinsichtlich des Neubewertungskoeffizienten für Katastereinkommen</w:t>
      </w:r>
      <w:r w:rsidRPr="00CF1706">
        <w:rPr>
          <w:color w:val="000000"/>
        </w:rPr>
        <w:t>,</w:t>
      </w:r>
    </w:p>
    <w:p w14:paraId="7010DB14" w14:textId="77777777" w:rsidR="005A5BD5" w:rsidRPr="00CF1706" w:rsidRDefault="005A5BD5" w:rsidP="005A5BD5">
      <w:pPr>
        <w:jc w:val="both"/>
        <w:rPr>
          <w:color w:val="000000"/>
        </w:rPr>
      </w:pPr>
    </w:p>
    <w:p w14:paraId="51B175F7" w14:textId="77777777" w:rsidR="005A5BD5" w:rsidRPr="00CF1706" w:rsidRDefault="005A5BD5" w:rsidP="005A5BD5">
      <w:pPr>
        <w:jc w:val="both"/>
        <w:rPr>
          <w:color w:val="000000"/>
        </w:rPr>
      </w:pPr>
      <w:r w:rsidRPr="00CF1706">
        <w:rPr>
          <w:color w:val="000000"/>
        </w:rPr>
        <w:t>- den Königlichen Erlass vom 6. Februar 2003</w:t>
      </w:r>
      <w:r>
        <w:rPr>
          <w:color w:val="000000"/>
        </w:rPr>
        <w:t xml:space="preserve"> </w:t>
      </w:r>
      <w:r w:rsidRPr="00DC53E0">
        <w:rPr>
          <w:color w:val="000000"/>
        </w:rPr>
        <w:t>zur Ausführung von Artikel</w:t>
      </w:r>
      <w:r>
        <w:rPr>
          <w:color w:val="000000"/>
        </w:rPr>
        <w:t> 194</w:t>
      </w:r>
      <w:r>
        <w:rPr>
          <w:i/>
          <w:color w:val="000000"/>
        </w:rPr>
        <w:t>quater</w:t>
      </w:r>
      <w:r>
        <w:rPr>
          <w:color w:val="000000"/>
        </w:rPr>
        <w:t xml:space="preserve"> § 6 Absatz 1 des </w:t>
      </w:r>
      <w:r w:rsidRPr="00DC53E0">
        <w:rPr>
          <w:color w:val="000000"/>
        </w:rPr>
        <w:t>EStGB</w:t>
      </w:r>
      <w:r>
        <w:rPr>
          <w:color w:val="000000"/>
        </w:rPr>
        <w:t> </w:t>
      </w:r>
      <w:r w:rsidRPr="00DC53E0">
        <w:rPr>
          <w:color w:val="000000"/>
        </w:rPr>
        <w:t>92</w:t>
      </w:r>
      <w:r>
        <w:rPr>
          <w:color w:val="000000"/>
        </w:rPr>
        <w:t xml:space="preserve"> in Bezug auf die</w:t>
      </w:r>
      <w:r w:rsidRPr="00CF1706">
        <w:rPr>
          <w:color w:val="000000"/>
        </w:rPr>
        <w:t xml:space="preserve"> </w:t>
      </w:r>
      <w:r w:rsidRPr="00DC53E0">
        <w:rPr>
          <w:color w:val="000000"/>
        </w:rPr>
        <w:t>Investitionsmodalitäten im Rahmen der Investitionsrücklage im Falle einer Einbringung eines Teilbetriebs beziehungsweise eines Teils einer Tätigkeit oder eines Gesamtvermögens und im Falle einer Fusion oder Aufspaltung</w:t>
      </w:r>
      <w:r w:rsidRPr="00CF1706">
        <w:rPr>
          <w:color w:val="000000"/>
        </w:rPr>
        <w:t>,</w:t>
      </w:r>
    </w:p>
    <w:p w14:paraId="20076D8F" w14:textId="77777777" w:rsidR="005A5BD5" w:rsidRPr="00CF1706" w:rsidRDefault="005A5BD5" w:rsidP="005A5BD5">
      <w:pPr>
        <w:jc w:val="both"/>
        <w:rPr>
          <w:color w:val="000000"/>
        </w:rPr>
      </w:pPr>
    </w:p>
    <w:p w14:paraId="5802BED8" w14:textId="77777777" w:rsidR="005A5BD5" w:rsidRPr="00CF1706" w:rsidRDefault="005A5BD5" w:rsidP="005A5BD5">
      <w:pPr>
        <w:jc w:val="both"/>
        <w:rPr>
          <w:color w:val="000000"/>
        </w:rPr>
      </w:pPr>
      <w:r w:rsidRPr="00CF1706">
        <w:rPr>
          <w:color w:val="000000"/>
        </w:rPr>
        <w:t xml:space="preserve">- den Königlichen Erlass vom 13. Februar 2003 </w:t>
      </w:r>
      <w:r w:rsidRPr="00DC53E0">
        <w:rPr>
          <w:color w:val="000000"/>
        </w:rPr>
        <w:t>zur Ausführung von Artikel</w:t>
      </w:r>
      <w:r>
        <w:rPr>
          <w:color w:val="000000"/>
        </w:rPr>
        <w:t xml:space="preserve"> 203 § 1 Absatz 3 des </w:t>
      </w:r>
      <w:r w:rsidRPr="00BC4A30">
        <w:rPr>
          <w:color w:val="000000"/>
        </w:rPr>
        <w:t>Einkommensteuergesetzbuch</w:t>
      </w:r>
      <w:r>
        <w:rPr>
          <w:color w:val="000000"/>
        </w:rPr>
        <w:t>es </w:t>
      </w:r>
      <w:r w:rsidRPr="00BC4A30">
        <w:rPr>
          <w:color w:val="000000"/>
        </w:rPr>
        <w:t>1992</w:t>
      </w:r>
      <w:r>
        <w:rPr>
          <w:color w:val="000000"/>
        </w:rPr>
        <w:t xml:space="preserve"> in Bezug auf die Liste der Länder, deren </w:t>
      </w:r>
      <w:r w:rsidRPr="00BC4A30">
        <w:rPr>
          <w:color w:val="000000"/>
        </w:rPr>
        <w:t>Bestimmungen des allgemeinen Rechts in Bezug auf Steuern</w:t>
      </w:r>
      <w:r>
        <w:rPr>
          <w:color w:val="000000"/>
        </w:rPr>
        <w:t xml:space="preserve"> </w:t>
      </w:r>
      <w:r w:rsidRPr="00BC4A30">
        <w:rPr>
          <w:color w:val="000000"/>
        </w:rPr>
        <w:t>erheblich vorteilhafter als in Belgien</w:t>
      </w:r>
      <w:r>
        <w:rPr>
          <w:color w:val="000000"/>
        </w:rPr>
        <w:t xml:space="preserve"> sind</w:t>
      </w:r>
      <w:r w:rsidRPr="00CF1706">
        <w:rPr>
          <w:color w:val="000000"/>
        </w:rPr>
        <w:t>,</w:t>
      </w:r>
    </w:p>
    <w:p w14:paraId="7C6051A3" w14:textId="77777777" w:rsidR="005A5BD5" w:rsidRPr="00CF1706" w:rsidRDefault="005A5BD5" w:rsidP="005A5BD5">
      <w:pPr>
        <w:jc w:val="both"/>
        <w:rPr>
          <w:color w:val="000000"/>
        </w:rPr>
      </w:pPr>
    </w:p>
    <w:p w14:paraId="1628CD02" w14:textId="77777777" w:rsidR="005A5BD5" w:rsidRPr="00CF1706" w:rsidRDefault="005A5BD5" w:rsidP="005A5BD5">
      <w:pPr>
        <w:jc w:val="both"/>
        <w:rPr>
          <w:color w:val="000000"/>
        </w:rPr>
      </w:pPr>
      <w:r w:rsidRPr="00CF1706">
        <w:rPr>
          <w:color w:val="000000"/>
        </w:rPr>
        <w:t xml:space="preserve">- den Königlichen Erlass vom 21. Februar 2003 </w:t>
      </w:r>
      <w:r>
        <w:rPr>
          <w:color w:val="000000"/>
        </w:rPr>
        <w:t>zur Abänderung des KE/EStGB </w:t>
      </w:r>
      <w:r w:rsidRPr="00A6152E">
        <w:rPr>
          <w:color w:val="000000"/>
        </w:rPr>
        <w:t>92 hinsichtlich der Vorteile jeglicher Art</w:t>
      </w:r>
      <w:r w:rsidRPr="00CF1706">
        <w:rPr>
          <w:color w:val="000000"/>
        </w:rPr>
        <w:t>,</w:t>
      </w:r>
    </w:p>
    <w:p w14:paraId="364D83B1" w14:textId="77777777" w:rsidR="005A5BD5" w:rsidRDefault="005A5BD5" w:rsidP="005A5BD5">
      <w:pPr>
        <w:jc w:val="both"/>
        <w:rPr>
          <w:color w:val="000000"/>
        </w:rPr>
      </w:pPr>
    </w:p>
    <w:p w14:paraId="56C1FF75" w14:textId="77777777" w:rsidR="005A5BD5" w:rsidRPr="00CF1706" w:rsidRDefault="005A5BD5" w:rsidP="005A5BD5">
      <w:pPr>
        <w:jc w:val="both"/>
        <w:rPr>
          <w:color w:val="000000"/>
        </w:rPr>
      </w:pPr>
      <w:r w:rsidRPr="00CF1706">
        <w:rPr>
          <w:color w:val="000000"/>
        </w:rPr>
        <w:t xml:space="preserve">- den Königlichen Erlass vom 28. Februar 2003 </w:t>
      </w:r>
      <w:r>
        <w:rPr>
          <w:color w:val="000000"/>
        </w:rPr>
        <w:t>zur Abänderung des KE/EStGB </w:t>
      </w:r>
      <w:r w:rsidRPr="00A6152E">
        <w:rPr>
          <w:color w:val="000000"/>
        </w:rPr>
        <w:t>92 hinsichtlich der Vorteile jeglicher Art</w:t>
      </w:r>
      <w:r w:rsidRPr="00CF1706">
        <w:rPr>
          <w:color w:val="000000"/>
        </w:rPr>
        <w:t>,</w:t>
      </w:r>
    </w:p>
    <w:p w14:paraId="6B720364" w14:textId="77777777" w:rsidR="005A5BD5" w:rsidRPr="00CF1706" w:rsidRDefault="005A5BD5" w:rsidP="005A5BD5">
      <w:pPr>
        <w:jc w:val="both"/>
        <w:rPr>
          <w:color w:val="000000"/>
        </w:rPr>
      </w:pPr>
    </w:p>
    <w:p w14:paraId="0FF91602" w14:textId="77777777" w:rsidR="005A5BD5" w:rsidRPr="00CF1706" w:rsidRDefault="005A5BD5" w:rsidP="005A5BD5">
      <w:pPr>
        <w:jc w:val="both"/>
        <w:rPr>
          <w:color w:val="000000"/>
        </w:rPr>
      </w:pPr>
      <w:r w:rsidRPr="00CF1706">
        <w:rPr>
          <w:color w:val="000000"/>
        </w:rPr>
        <w:t xml:space="preserve">- den Königlichen Erlass vom 10. März 2003 </w:t>
      </w:r>
      <w:r w:rsidRPr="001E2E64">
        <w:rPr>
          <w:color w:val="000000"/>
        </w:rPr>
        <w:t>zur Abänderung</w:t>
      </w:r>
      <w:r>
        <w:rPr>
          <w:color w:val="000000"/>
        </w:rPr>
        <w:t xml:space="preserve"> des KE/EStGB </w:t>
      </w:r>
      <w:r w:rsidRPr="001E2E64">
        <w:rPr>
          <w:color w:val="000000"/>
        </w:rPr>
        <w:t>92 hinsichtlich der Steuerbefreiung für Preise und Zuschüsse, die Wissenschaftlern, Schriftstellern oder Künstlern gezahlt oder zuerkannt werden</w:t>
      </w:r>
      <w:r w:rsidRPr="00CF1706">
        <w:rPr>
          <w:color w:val="000000"/>
        </w:rPr>
        <w:t>,</w:t>
      </w:r>
    </w:p>
    <w:p w14:paraId="61CDF5CF" w14:textId="77777777" w:rsidR="005A5BD5" w:rsidRPr="00CF1706" w:rsidRDefault="005A5BD5" w:rsidP="005A5BD5">
      <w:pPr>
        <w:jc w:val="both"/>
        <w:rPr>
          <w:color w:val="000000"/>
        </w:rPr>
      </w:pPr>
    </w:p>
    <w:p w14:paraId="355BF10C" w14:textId="77777777" w:rsidR="005A5BD5" w:rsidRPr="00CF1706" w:rsidRDefault="005A5BD5" w:rsidP="005A5BD5">
      <w:pPr>
        <w:jc w:val="both"/>
        <w:rPr>
          <w:color w:val="000000"/>
        </w:rPr>
      </w:pPr>
      <w:r w:rsidRPr="00CF1706">
        <w:rPr>
          <w:color w:val="000000"/>
        </w:rPr>
        <w:lastRenderedPageBreak/>
        <w:t xml:space="preserve">- den Königlichen Erlass vom 25. März 2003 </w:t>
      </w:r>
      <w:r w:rsidRPr="00AD6E61">
        <w:rPr>
          <w:color w:val="000000"/>
        </w:rPr>
        <w:t>zur Ausführung von Artikel</w:t>
      </w:r>
      <w:r>
        <w:rPr>
          <w:color w:val="000000"/>
        </w:rPr>
        <w:t> </w:t>
      </w:r>
      <w:r w:rsidRPr="00AD6E61">
        <w:rPr>
          <w:color w:val="000000"/>
        </w:rPr>
        <w:t>45 §</w:t>
      </w:r>
      <w:r>
        <w:rPr>
          <w:color w:val="000000"/>
        </w:rPr>
        <w:t> </w:t>
      </w:r>
      <w:r w:rsidRPr="00AD6E61">
        <w:rPr>
          <w:color w:val="000000"/>
        </w:rPr>
        <w:t>2 des Gesetzes vom 2.</w:t>
      </w:r>
      <w:r>
        <w:rPr>
          <w:color w:val="000000"/>
        </w:rPr>
        <w:t> </w:t>
      </w:r>
      <w:r w:rsidRPr="00AD6E61">
        <w:rPr>
          <w:color w:val="000000"/>
        </w:rPr>
        <w:t>August</w:t>
      </w:r>
      <w:r>
        <w:rPr>
          <w:color w:val="000000"/>
        </w:rPr>
        <w:t> </w:t>
      </w:r>
      <w:r w:rsidRPr="00AD6E61">
        <w:rPr>
          <w:color w:val="000000"/>
        </w:rPr>
        <w:t>2002 über die Aufsicht über den Finanzsektor und die Finanzdienst</w:t>
      </w:r>
      <w:r>
        <w:rPr>
          <w:color w:val="000000"/>
        </w:rPr>
        <w:softHyphen/>
      </w:r>
      <w:r w:rsidRPr="00AD6E61">
        <w:rPr>
          <w:color w:val="000000"/>
        </w:rPr>
        <w:t>leistungen</w:t>
      </w:r>
      <w:r>
        <w:rPr>
          <w:color w:val="000000"/>
        </w:rPr>
        <w:t> </w:t>
      </w:r>
      <w:r w:rsidRPr="00CF1706">
        <w:rPr>
          <w:i/>
          <w:color w:val="000000"/>
        </w:rPr>
        <w:t>(I)</w:t>
      </w:r>
      <w:r w:rsidRPr="00CF1706">
        <w:rPr>
          <w:color w:val="000000"/>
        </w:rPr>
        <w:t>,</w:t>
      </w:r>
    </w:p>
    <w:p w14:paraId="233B33F3" w14:textId="77777777" w:rsidR="005A5BD5" w:rsidRPr="00CF1706" w:rsidRDefault="005A5BD5" w:rsidP="005A5BD5">
      <w:pPr>
        <w:jc w:val="both"/>
        <w:rPr>
          <w:color w:val="000000"/>
        </w:rPr>
      </w:pPr>
    </w:p>
    <w:p w14:paraId="3144BBE8" w14:textId="77777777" w:rsidR="005A5BD5" w:rsidRPr="00CF1706" w:rsidRDefault="005A5BD5" w:rsidP="005A5BD5">
      <w:pPr>
        <w:jc w:val="both"/>
        <w:rPr>
          <w:color w:val="000000"/>
        </w:rPr>
      </w:pPr>
      <w:r w:rsidRPr="00CF1706">
        <w:rPr>
          <w:color w:val="000000"/>
        </w:rPr>
        <w:t xml:space="preserve">- den Königlichen Erlass vom 25. März 2003 </w:t>
      </w:r>
      <w:r>
        <w:rPr>
          <w:color w:val="000000"/>
        </w:rPr>
        <w:t>zur Abänderung des KE/EStGB </w:t>
      </w:r>
      <w:r w:rsidRPr="00A6152E">
        <w:rPr>
          <w:color w:val="000000"/>
        </w:rPr>
        <w:t>92</w:t>
      </w:r>
      <w:r>
        <w:rPr>
          <w:color w:val="000000"/>
        </w:rPr>
        <w:t xml:space="preserve"> und </w:t>
      </w:r>
      <w:r w:rsidRPr="001E2E64">
        <w:rPr>
          <w:color w:val="000000"/>
        </w:rPr>
        <w:t>zur Festlegung des Datums des Inkrafttretens von Artikel</w:t>
      </w:r>
      <w:r>
        <w:rPr>
          <w:color w:val="000000"/>
        </w:rPr>
        <w:t> 396 des Programmgesetzes vom 24. Dezember 2002</w:t>
      </w:r>
      <w:r w:rsidRPr="00CF1706">
        <w:rPr>
          <w:color w:val="000000"/>
        </w:rPr>
        <w:t xml:space="preserve"> </w:t>
      </w:r>
      <w:r w:rsidRPr="00CF1706">
        <w:rPr>
          <w:i/>
          <w:color w:val="000000"/>
        </w:rPr>
        <w:t>(II)</w:t>
      </w:r>
      <w:r w:rsidRPr="00CF1706">
        <w:rPr>
          <w:color w:val="000000"/>
        </w:rPr>
        <w:t>,</w:t>
      </w:r>
    </w:p>
    <w:p w14:paraId="34E989D3" w14:textId="77777777" w:rsidR="005A5BD5" w:rsidRPr="00CF1706" w:rsidRDefault="005A5BD5" w:rsidP="005A5BD5">
      <w:pPr>
        <w:jc w:val="both"/>
        <w:rPr>
          <w:color w:val="000000"/>
        </w:rPr>
      </w:pPr>
    </w:p>
    <w:p w14:paraId="7E59359F" w14:textId="77777777" w:rsidR="005A5BD5" w:rsidRPr="00CF1706" w:rsidRDefault="005A5BD5" w:rsidP="005A5BD5">
      <w:pPr>
        <w:jc w:val="both"/>
        <w:rPr>
          <w:color w:val="000000"/>
        </w:rPr>
      </w:pPr>
      <w:r w:rsidRPr="00CF1706">
        <w:rPr>
          <w:color w:val="000000"/>
        </w:rPr>
        <w:t xml:space="preserve">- den Königlichen Erlass vom 27. März 2003 </w:t>
      </w:r>
      <w:r>
        <w:rPr>
          <w:color w:val="000000"/>
        </w:rPr>
        <w:t xml:space="preserve">zur Ausführung von Artikel 202 § 2 Absatz 2 des </w:t>
      </w:r>
      <w:r w:rsidRPr="004346BD">
        <w:rPr>
          <w:color w:val="000000"/>
        </w:rPr>
        <w:t>Einkommensteuergesetzbuch</w:t>
      </w:r>
      <w:r>
        <w:rPr>
          <w:color w:val="000000"/>
        </w:rPr>
        <w:t>es </w:t>
      </w:r>
      <w:r w:rsidRPr="004346BD">
        <w:rPr>
          <w:color w:val="000000"/>
        </w:rPr>
        <w:t>1992</w:t>
      </w:r>
      <w:r>
        <w:rPr>
          <w:color w:val="000000"/>
        </w:rPr>
        <w:t xml:space="preserve"> in Bezug auf die Festlegung der </w:t>
      </w:r>
      <w:r w:rsidRPr="004346BD">
        <w:rPr>
          <w:color w:val="000000"/>
        </w:rPr>
        <w:t xml:space="preserve">Aktien oder Anteile, </w:t>
      </w:r>
      <w:r w:rsidRPr="005A54B1">
        <w:rPr>
          <w:color w:val="000000"/>
        </w:rPr>
        <w:t>die für Kreditinstitute, Versicherungsunternehmen und Börsengesellschaften die Beschaffenheit von Finanzanlagen haben</w:t>
      </w:r>
      <w:r>
        <w:rPr>
          <w:color w:val="000000"/>
        </w:rPr>
        <w:t>,</w:t>
      </w:r>
    </w:p>
    <w:p w14:paraId="3F6B0A06" w14:textId="77777777" w:rsidR="005A5BD5" w:rsidRPr="00CF1706" w:rsidRDefault="005A5BD5" w:rsidP="005A5BD5">
      <w:pPr>
        <w:jc w:val="both"/>
        <w:rPr>
          <w:color w:val="000000"/>
        </w:rPr>
      </w:pPr>
    </w:p>
    <w:p w14:paraId="086C6C5D" w14:textId="77777777" w:rsidR="005A5BD5" w:rsidRPr="00CF1706" w:rsidRDefault="005A5BD5" w:rsidP="005A5BD5">
      <w:pPr>
        <w:jc w:val="both"/>
        <w:rPr>
          <w:color w:val="000000"/>
        </w:rPr>
      </w:pPr>
      <w:r w:rsidRPr="00CF1706">
        <w:rPr>
          <w:color w:val="000000"/>
        </w:rPr>
        <w:t xml:space="preserve">- den Königlichen Erlass vom 31. März 2003 </w:t>
      </w:r>
      <w:r>
        <w:rPr>
          <w:color w:val="000000"/>
        </w:rPr>
        <w:t>zur Abänderung von Artikel 210</w:t>
      </w:r>
      <w:r>
        <w:rPr>
          <w:i/>
          <w:color w:val="000000"/>
        </w:rPr>
        <w:t>bis</w:t>
      </w:r>
      <w:r>
        <w:rPr>
          <w:color w:val="000000"/>
        </w:rPr>
        <w:t xml:space="preserve"> des </w:t>
      </w:r>
      <w:r w:rsidRPr="00973833">
        <w:rPr>
          <w:color w:val="000000"/>
        </w:rPr>
        <w:t>Königliche</w:t>
      </w:r>
      <w:r>
        <w:rPr>
          <w:color w:val="000000"/>
        </w:rPr>
        <w:t>n</w:t>
      </w:r>
      <w:r w:rsidRPr="00973833">
        <w:rPr>
          <w:color w:val="000000"/>
        </w:rPr>
        <w:t xml:space="preserve"> Erlass</w:t>
      </w:r>
      <w:r>
        <w:rPr>
          <w:color w:val="000000"/>
        </w:rPr>
        <w:t>es</w:t>
      </w:r>
      <w:r w:rsidRPr="00973833">
        <w:rPr>
          <w:color w:val="000000"/>
        </w:rPr>
        <w:t xml:space="preserve"> zur Ausführung </w:t>
      </w:r>
      <w:r>
        <w:rPr>
          <w:color w:val="000000"/>
        </w:rPr>
        <w:t>des Einkommensteuergesetzbuches </w:t>
      </w:r>
      <w:r w:rsidRPr="00973833">
        <w:rPr>
          <w:color w:val="000000"/>
        </w:rPr>
        <w:t>1992</w:t>
      </w:r>
      <w:r w:rsidRPr="00CF1706">
        <w:rPr>
          <w:color w:val="000000"/>
        </w:rPr>
        <w:t>,</w:t>
      </w:r>
    </w:p>
    <w:p w14:paraId="4285D9A4" w14:textId="77777777" w:rsidR="005A5BD5" w:rsidRPr="00CF1706" w:rsidRDefault="005A5BD5" w:rsidP="005A5BD5">
      <w:pPr>
        <w:jc w:val="both"/>
        <w:rPr>
          <w:color w:val="000000"/>
        </w:rPr>
      </w:pPr>
    </w:p>
    <w:p w14:paraId="23FB48B7" w14:textId="77777777" w:rsidR="005A5BD5" w:rsidRPr="00CF1706" w:rsidRDefault="005A5BD5" w:rsidP="005A5BD5">
      <w:pPr>
        <w:jc w:val="both"/>
        <w:rPr>
          <w:color w:val="000000"/>
        </w:rPr>
      </w:pPr>
      <w:r w:rsidRPr="00CF1706">
        <w:rPr>
          <w:color w:val="000000"/>
        </w:rPr>
        <w:t xml:space="preserve">- den Königlichen Erlass vom 3. April 2003 </w:t>
      </w:r>
      <w:r>
        <w:rPr>
          <w:color w:val="000000"/>
        </w:rPr>
        <w:t>zur Ausführung von Artikel 388 des Programmgesetzes vom 24. Dezember 2002 und zur Abänderung des KE/EStGB </w:t>
      </w:r>
      <w:r w:rsidRPr="00973833">
        <w:rPr>
          <w:color w:val="000000"/>
        </w:rPr>
        <w:t>92 hinsichtlich der Erklärung zum Berufssteuervorabzug</w:t>
      </w:r>
      <w:r w:rsidRPr="00CF1706">
        <w:rPr>
          <w:color w:val="000000"/>
        </w:rPr>
        <w:t xml:space="preserve"> </w:t>
      </w:r>
      <w:r w:rsidRPr="00CF1706">
        <w:rPr>
          <w:i/>
          <w:color w:val="000000"/>
        </w:rPr>
        <w:t>(I)</w:t>
      </w:r>
      <w:r w:rsidRPr="00CF1706">
        <w:rPr>
          <w:color w:val="000000"/>
        </w:rPr>
        <w:t>,</w:t>
      </w:r>
    </w:p>
    <w:p w14:paraId="7A2149AD" w14:textId="77777777" w:rsidR="005A5BD5" w:rsidRPr="00CF1706" w:rsidRDefault="005A5BD5" w:rsidP="005A5BD5">
      <w:pPr>
        <w:jc w:val="both"/>
        <w:rPr>
          <w:color w:val="000000"/>
        </w:rPr>
      </w:pPr>
    </w:p>
    <w:p w14:paraId="6A1470B3" w14:textId="77777777" w:rsidR="005A5BD5" w:rsidRPr="00CF1706" w:rsidRDefault="005A5BD5" w:rsidP="005A5BD5">
      <w:pPr>
        <w:jc w:val="both"/>
        <w:rPr>
          <w:color w:val="000000"/>
        </w:rPr>
      </w:pPr>
      <w:r w:rsidRPr="00CF1706">
        <w:rPr>
          <w:color w:val="000000"/>
        </w:rPr>
        <w:t xml:space="preserve">- den Königlichen Erlass vom 3. April 2003 </w:t>
      </w:r>
      <w:r>
        <w:rPr>
          <w:color w:val="000000"/>
        </w:rPr>
        <w:t xml:space="preserve">zur Ausführung der Artikel 2 und 8 des </w:t>
      </w:r>
      <w:r w:rsidRPr="00973833">
        <w:rPr>
          <w:color w:val="000000"/>
        </w:rPr>
        <w:t>Gesetz</w:t>
      </w:r>
      <w:r>
        <w:rPr>
          <w:color w:val="000000"/>
        </w:rPr>
        <w:t>es vom 14. Januar 2003</w:t>
      </w:r>
      <w:r w:rsidRPr="00973833">
        <w:rPr>
          <w:color w:val="000000"/>
        </w:rPr>
        <w:t xml:space="preserve"> über Mehrwerte bei Veräußerung von Betriebsfahrzeugen</w:t>
      </w:r>
      <w:r w:rsidRPr="00CF1706">
        <w:rPr>
          <w:color w:val="000000"/>
        </w:rPr>
        <w:t xml:space="preserve"> </w:t>
      </w:r>
      <w:r w:rsidRPr="00CF1706">
        <w:rPr>
          <w:i/>
          <w:color w:val="000000"/>
        </w:rPr>
        <w:t>(II)</w:t>
      </w:r>
      <w:r w:rsidRPr="00CF1706">
        <w:rPr>
          <w:color w:val="000000"/>
        </w:rPr>
        <w:t>,</w:t>
      </w:r>
    </w:p>
    <w:p w14:paraId="2D3470CC" w14:textId="77777777" w:rsidR="005A5BD5" w:rsidRPr="00CF1706" w:rsidRDefault="005A5BD5" w:rsidP="005A5BD5">
      <w:pPr>
        <w:jc w:val="both"/>
        <w:rPr>
          <w:color w:val="000000"/>
        </w:rPr>
      </w:pPr>
    </w:p>
    <w:p w14:paraId="4FD81FEB" w14:textId="77777777" w:rsidR="005A5BD5" w:rsidRPr="00CF1706" w:rsidRDefault="005A5BD5" w:rsidP="005A5BD5">
      <w:pPr>
        <w:jc w:val="both"/>
        <w:rPr>
          <w:color w:val="000000"/>
        </w:rPr>
      </w:pPr>
      <w:r w:rsidRPr="00CF1706">
        <w:rPr>
          <w:color w:val="000000"/>
        </w:rPr>
        <w:t xml:space="preserve">- den Königlichen Erlass vom 4. April 2003 </w:t>
      </w:r>
      <w:r>
        <w:rPr>
          <w:color w:val="000000"/>
        </w:rPr>
        <w:t>zur Ausführung von Artikel 264 Absatz 1 Nr. 2</w:t>
      </w:r>
      <w:r>
        <w:rPr>
          <w:i/>
          <w:color w:val="000000"/>
        </w:rPr>
        <w:t>bis</w:t>
      </w:r>
      <w:r>
        <w:rPr>
          <w:color w:val="000000"/>
        </w:rPr>
        <w:t xml:space="preserve"> des Einkommensteuergesetzbuches </w:t>
      </w:r>
      <w:r w:rsidRPr="00973833">
        <w:rPr>
          <w:color w:val="000000"/>
        </w:rPr>
        <w:t>1992</w:t>
      </w:r>
      <w:r>
        <w:rPr>
          <w:color w:val="000000"/>
        </w:rPr>
        <w:t xml:space="preserve"> in Bezug auf die </w:t>
      </w:r>
      <w:r w:rsidRPr="00C71E07">
        <w:rPr>
          <w:color w:val="000000"/>
        </w:rPr>
        <w:t>andere</w:t>
      </w:r>
      <w:r>
        <w:rPr>
          <w:color w:val="000000"/>
        </w:rPr>
        <w:t>n</w:t>
      </w:r>
      <w:r w:rsidRPr="00C71E07">
        <w:rPr>
          <w:color w:val="000000"/>
        </w:rPr>
        <w:t xml:space="preserve"> geregelte</w:t>
      </w:r>
      <w:r>
        <w:rPr>
          <w:color w:val="000000"/>
        </w:rPr>
        <w:t>n Mä</w:t>
      </w:r>
      <w:r w:rsidRPr="00C71E07">
        <w:rPr>
          <w:color w:val="000000"/>
        </w:rPr>
        <w:t>rkt</w:t>
      </w:r>
      <w:r>
        <w:rPr>
          <w:color w:val="000000"/>
        </w:rPr>
        <w:t>e, die mit den in Artikel 2 Nr. 5 und 6 des Gesetzes vom 2. August </w:t>
      </w:r>
      <w:r w:rsidRPr="00C71E07">
        <w:rPr>
          <w:color w:val="000000"/>
        </w:rPr>
        <w:t>2002 über die Aufsicht über den Finanzsektor und die Finanzdienstleistungen erwähnten geregelten M</w:t>
      </w:r>
      <w:r>
        <w:rPr>
          <w:color w:val="000000"/>
        </w:rPr>
        <w:t>ä</w:t>
      </w:r>
      <w:r w:rsidRPr="00C71E07">
        <w:rPr>
          <w:color w:val="000000"/>
        </w:rPr>
        <w:t>rkt</w:t>
      </w:r>
      <w:r>
        <w:rPr>
          <w:color w:val="000000"/>
        </w:rPr>
        <w:t>en gleichwertig sind</w:t>
      </w:r>
      <w:r w:rsidRPr="00CF1706">
        <w:rPr>
          <w:color w:val="000000"/>
        </w:rPr>
        <w:t>,</w:t>
      </w:r>
    </w:p>
    <w:p w14:paraId="314D6419" w14:textId="77777777" w:rsidR="005A5BD5" w:rsidRPr="00CF1706" w:rsidRDefault="005A5BD5" w:rsidP="005A5BD5">
      <w:pPr>
        <w:jc w:val="both"/>
        <w:rPr>
          <w:color w:val="000000"/>
        </w:rPr>
      </w:pPr>
    </w:p>
    <w:p w14:paraId="0105D1E0" w14:textId="77777777" w:rsidR="005A5BD5" w:rsidRPr="00CF1706" w:rsidRDefault="005A5BD5" w:rsidP="005A5BD5">
      <w:pPr>
        <w:jc w:val="both"/>
        <w:rPr>
          <w:color w:val="000000"/>
        </w:rPr>
      </w:pPr>
      <w:r w:rsidRPr="00CF1706">
        <w:rPr>
          <w:color w:val="000000"/>
        </w:rPr>
        <w:t xml:space="preserve">- den Königlichen Erlass vom 12. Mai 2003 </w:t>
      </w:r>
      <w:r w:rsidRPr="00985414">
        <w:rPr>
          <w:color w:val="000000"/>
        </w:rPr>
        <w:t>zur Abänderung des KE/EStGB</w:t>
      </w:r>
      <w:r>
        <w:rPr>
          <w:color w:val="000000"/>
        </w:rPr>
        <w:t> </w:t>
      </w:r>
      <w:r w:rsidRPr="00985414">
        <w:rPr>
          <w:color w:val="000000"/>
        </w:rPr>
        <w:t>92 hinsichtlich der Investitionen im Bereich der Absicherung</w:t>
      </w:r>
      <w:r w:rsidRPr="00CF1706">
        <w:rPr>
          <w:i/>
          <w:color w:val="000000"/>
        </w:rPr>
        <w:t xml:space="preserve"> (I)</w:t>
      </w:r>
      <w:r w:rsidRPr="00CF1706">
        <w:rPr>
          <w:color w:val="000000"/>
        </w:rPr>
        <w:t>,</w:t>
      </w:r>
    </w:p>
    <w:p w14:paraId="57513A17" w14:textId="77777777" w:rsidR="005A5BD5" w:rsidRPr="00CF1706" w:rsidRDefault="005A5BD5" w:rsidP="005A5BD5">
      <w:pPr>
        <w:jc w:val="both"/>
        <w:rPr>
          <w:color w:val="000000"/>
        </w:rPr>
      </w:pPr>
    </w:p>
    <w:p w14:paraId="622E7BA4" w14:textId="77777777" w:rsidR="005A5BD5" w:rsidRPr="00CF1706" w:rsidRDefault="005A5BD5" w:rsidP="005A5BD5">
      <w:pPr>
        <w:jc w:val="both"/>
        <w:rPr>
          <w:color w:val="000000"/>
        </w:rPr>
      </w:pPr>
      <w:r w:rsidRPr="00CF1706">
        <w:rPr>
          <w:color w:val="000000"/>
        </w:rPr>
        <w:t xml:space="preserve">- den Königlichen Erlass vom 12. Mai 2003 </w:t>
      </w:r>
      <w:r>
        <w:rPr>
          <w:color w:val="000000"/>
        </w:rPr>
        <w:t>zur Abänderung des KE/EStGB </w:t>
      </w:r>
      <w:r w:rsidRPr="00A6152E">
        <w:rPr>
          <w:color w:val="000000"/>
        </w:rPr>
        <w:t>92</w:t>
      </w:r>
      <w:r>
        <w:rPr>
          <w:color w:val="000000"/>
        </w:rPr>
        <w:t xml:space="preserve"> hinsichtlich</w:t>
      </w:r>
      <w:r w:rsidRPr="00CF1706">
        <w:rPr>
          <w:color w:val="000000"/>
        </w:rPr>
        <w:t xml:space="preserve"> </w:t>
      </w:r>
      <w:r>
        <w:rPr>
          <w:color w:val="000000"/>
        </w:rPr>
        <w:t>der Steuere</w:t>
      </w:r>
      <w:r w:rsidRPr="000614FD">
        <w:rPr>
          <w:color w:val="000000"/>
        </w:rPr>
        <w:t xml:space="preserve">rmäßigung für Ausgaben für die Renovierung von Wohnungen, die in einer großstädtischen Förderzone liegen </w:t>
      </w:r>
      <w:r w:rsidRPr="00CF1706">
        <w:rPr>
          <w:i/>
          <w:color w:val="000000"/>
        </w:rPr>
        <w:t>(II)</w:t>
      </w:r>
      <w:r w:rsidRPr="00CF1706">
        <w:rPr>
          <w:color w:val="000000"/>
        </w:rPr>
        <w:t>,</w:t>
      </w:r>
    </w:p>
    <w:p w14:paraId="2C4A2E7A" w14:textId="77777777" w:rsidR="005A5BD5" w:rsidRPr="00CF1706" w:rsidRDefault="005A5BD5" w:rsidP="005A5BD5">
      <w:pPr>
        <w:jc w:val="both"/>
        <w:rPr>
          <w:color w:val="000000"/>
        </w:rPr>
      </w:pPr>
    </w:p>
    <w:p w14:paraId="34E5C760" w14:textId="77777777" w:rsidR="005A5BD5" w:rsidRPr="00CF1706" w:rsidRDefault="005A5BD5" w:rsidP="005A5BD5">
      <w:pPr>
        <w:jc w:val="both"/>
        <w:rPr>
          <w:color w:val="000000"/>
        </w:rPr>
      </w:pPr>
      <w:r w:rsidRPr="00CF1706">
        <w:rPr>
          <w:color w:val="000000"/>
        </w:rPr>
        <w:t xml:space="preserve">- den Königlichen Erlass vom 15. Mai 2003 </w:t>
      </w:r>
      <w:r w:rsidRPr="00985414">
        <w:rPr>
          <w:color w:val="000000"/>
        </w:rPr>
        <w:t>über private Kapitalanlagefonds mit fixem Kapital und zur Abänderung des Königlichen Erlasses vom 18.</w:t>
      </w:r>
      <w:r>
        <w:rPr>
          <w:color w:val="000000"/>
        </w:rPr>
        <w:t> </w:t>
      </w:r>
      <w:r w:rsidRPr="00985414">
        <w:rPr>
          <w:color w:val="000000"/>
        </w:rPr>
        <w:t>April</w:t>
      </w:r>
      <w:r>
        <w:rPr>
          <w:color w:val="000000"/>
        </w:rPr>
        <w:t> </w:t>
      </w:r>
      <w:r w:rsidRPr="00985414">
        <w:rPr>
          <w:color w:val="000000"/>
        </w:rPr>
        <w:t>1997 über Institute für Anlagen in nicht notierten Gesellschaften und Wachstumsgesellschaften</w:t>
      </w:r>
      <w:r w:rsidRPr="00CF1706">
        <w:rPr>
          <w:color w:val="000000"/>
        </w:rPr>
        <w:t>,</w:t>
      </w:r>
    </w:p>
    <w:p w14:paraId="6E1E8B88" w14:textId="77777777" w:rsidR="005A5BD5" w:rsidRPr="00CF1706" w:rsidRDefault="005A5BD5" w:rsidP="005A5BD5">
      <w:pPr>
        <w:jc w:val="both"/>
        <w:rPr>
          <w:color w:val="000000"/>
        </w:rPr>
      </w:pPr>
    </w:p>
    <w:p w14:paraId="24DBE28F" w14:textId="77777777" w:rsidR="005A5BD5" w:rsidRPr="00CF1706" w:rsidRDefault="005A5BD5" w:rsidP="005A5BD5">
      <w:pPr>
        <w:jc w:val="both"/>
        <w:rPr>
          <w:color w:val="000000"/>
        </w:rPr>
      </w:pPr>
      <w:r w:rsidRPr="00CF1706">
        <w:rPr>
          <w:color w:val="000000"/>
        </w:rPr>
        <w:t xml:space="preserve">- den Königlichen Erlass vom 16. Mai 2003 </w:t>
      </w:r>
      <w:r>
        <w:rPr>
          <w:color w:val="000000"/>
        </w:rPr>
        <w:t>zur Abänderung des KE/EStGB </w:t>
      </w:r>
      <w:r w:rsidRPr="00F629D6">
        <w:rPr>
          <w:color w:val="000000"/>
        </w:rPr>
        <w:t>92 hinsichtlich</w:t>
      </w:r>
      <w:r w:rsidRPr="00CF1706">
        <w:rPr>
          <w:color w:val="000000"/>
        </w:rPr>
        <w:t xml:space="preserve"> </w:t>
      </w:r>
      <w:r>
        <w:rPr>
          <w:color w:val="000000"/>
        </w:rPr>
        <w:t xml:space="preserve">des </w:t>
      </w:r>
      <w:r w:rsidRPr="000B664E">
        <w:rPr>
          <w:color w:val="000000"/>
        </w:rPr>
        <w:t>Mobiliensteuervorabzug</w:t>
      </w:r>
      <w:r>
        <w:rPr>
          <w:color w:val="000000"/>
        </w:rPr>
        <w:t>s</w:t>
      </w:r>
      <w:r w:rsidRPr="00CF1706">
        <w:rPr>
          <w:color w:val="000000"/>
        </w:rPr>
        <w:t>,</w:t>
      </w:r>
    </w:p>
    <w:p w14:paraId="228F4F0F" w14:textId="77777777" w:rsidR="005A5BD5" w:rsidRDefault="005A5BD5" w:rsidP="005A5BD5">
      <w:pPr>
        <w:jc w:val="both"/>
        <w:rPr>
          <w:color w:val="000000"/>
        </w:rPr>
      </w:pPr>
    </w:p>
    <w:p w14:paraId="6ED8B462" w14:textId="77777777" w:rsidR="005A5BD5" w:rsidRPr="00CF1706" w:rsidRDefault="005A5BD5" w:rsidP="005A5BD5">
      <w:pPr>
        <w:jc w:val="both"/>
        <w:rPr>
          <w:color w:val="000000"/>
        </w:rPr>
      </w:pPr>
      <w:r w:rsidRPr="00CF1706">
        <w:rPr>
          <w:color w:val="000000"/>
        </w:rPr>
        <w:t xml:space="preserve">- den Königlichen Erlass vom 11. Juli 2003 </w:t>
      </w:r>
      <w:r w:rsidRPr="00606349">
        <w:rPr>
          <w:color w:val="000000"/>
        </w:rPr>
        <w:t>zur Abänderung des KE/EStGB</w:t>
      </w:r>
      <w:r>
        <w:rPr>
          <w:color w:val="000000"/>
        </w:rPr>
        <w:t> </w:t>
      </w:r>
      <w:r w:rsidRPr="00606349">
        <w:rPr>
          <w:color w:val="000000"/>
        </w:rPr>
        <w:t>92 hinsichtlich des Berufssteuervorabzugs</w:t>
      </w:r>
      <w:r w:rsidRPr="00CF1706">
        <w:rPr>
          <w:color w:val="000000"/>
        </w:rPr>
        <w:t>,</w:t>
      </w:r>
    </w:p>
    <w:p w14:paraId="0A8D0DD0" w14:textId="77777777" w:rsidR="005A5BD5" w:rsidRPr="00CF1706" w:rsidRDefault="005A5BD5" w:rsidP="005A5BD5">
      <w:pPr>
        <w:jc w:val="both"/>
        <w:rPr>
          <w:color w:val="000000"/>
        </w:rPr>
      </w:pPr>
    </w:p>
    <w:p w14:paraId="6057A1ED" w14:textId="77777777" w:rsidR="005A5BD5" w:rsidRPr="00CF1706" w:rsidRDefault="005A5BD5" w:rsidP="005A5BD5">
      <w:pPr>
        <w:jc w:val="both"/>
        <w:rPr>
          <w:color w:val="000000"/>
        </w:rPr>
      </w:pPr>
      <w:r w:rsidRPr="00CF1706">
        <w:rPr>
          <w:color w:val="000000"/>
        </w:rPr>
        <w:t xml:space="preserve">- den Königlichen Erlass vom 30. Juli 2003 </w:t>
      </w:r>
      <w:r w:rsidRPr="00606349">
        <w:rPr>
          <w:color w:val="000000"/>
        </w:rPr>
        <w:t>zur Abänderung des KE/EStGB</w:t>
      </w:r>
      <w:r>
        <w:rPr>
          <w:color w:val="000000"/>
        </w:rPr>
        <w:t> </w:t>
      </w:r>
      <w:r w:rsidRPr="00606349">
        <w:rPr>
          <w:color w:val="000000"/>
        </w:rPr>
        <w:t>92 hinsichtlich des Neubewertungskoeffizienten für Katastereinkommen</w:t>
      </w:r>
      <w:r w:rsidRPr="00CF1706">
        <w:rPr>
          <w:color w:val="000000"/>
        </w:rPr>
        <w:t>,</w:t>
      </w:r>
    </w:p>
    <w:p w14:paraId="1CEBF83C" w14:textId="77777777" w:rsidR="005A5BD5" w:rsidRPr="00CF1706" w:rsidRDefault="005A5BD5" w:rsidP="005A5BD5">
      <w:pPr>
        <w:jc w:val="both"/>
        <w:rPr>
          <w:color w:val="000000"/>
        </w:rPr>
      </w:pPr>
    </w:p>
    <w:p w14:paraId="239EE84C" w14:textId="77777777" w:rsidR="005A5BD5" w:rsidRPr="00CF1706" w:rsidRDefault="005A5BD5" w:rsidP="005A5BD5">
      <w:pPr>
        <w:jc w:val="both"/>
        <w:rPr>
          <w:color w:val="000000"/>
        </w:rPr>
      </w:pPr>
      <w:r w:rsidRPr="00CF1706">
        <w:rPr>
          <w:color w:val="000000"/>
        </w:rPr>
        <w:t>- den Königlichen Erlass vom 28. September 2003 zur Festlegung der in Artikel 385 des Programmgesetzes (I) vom 24. Dezember 2002 vorgesehenen Anwendungsmodalitäten </w:t>
      </w:r>
      <w:r w:rsidRPr="00CF1706">
        <w:rPr>
          <w:i/>
          <w:color w:val="000000"/>
        </w:rPr>
        <w:t>(I)</w:t>
      </w:r>
      <w:r w:rsidRPr="00CF1706">
        <w:rPr>
          <w:color w:val="000000"/>
        </w:rPr>
        <w:t>,</w:t>
      </w:r>
    </w:p>
    <w:p w14:paraId="22425E90" w14:textId="77777777" w:rsidR="005A5BD5" w:rsidRPr="00CF1706" w:rsidRDefault="005A5BD5" w:rsidP="005A5BD5">
      <w:pPr>
        <w:jc w:val="both"/>
        <w:rPr>
          <w:color w:val="000000"/>
        </w:rPr>
      </w:pPr>
    </w:p>
    <w:p w14:paraId="67328191" w14:textId="77777777" w:rsidR="005A5BD5" w:rsidRPr="00CF1706" w:rsidRDefault="005A5BD5" w:rsidP="005A5BD5">
      <w:pPr>
        <w:jc w:val="both"/>
        <w:rPr>
          <w:color w:val="000000"/>
        </w:rPr>
      </w:pPr>
      <w:r w:rsidRPr="00CF1706">
        <w:rPr>
          <w:color w:val="000000"/>
        </w:rPr>
        <w:t xml:space="preserve">- den Königlichen Erlass vom 28. September 2003 </w:t>
      </w:r>
      <w:r>
        <w:rPr>
          <w:color w:val="000000"/>
        </w:rPr>
        <w:t xml:space="preserve">zur Ersetzung der Anlage 1 zum </w:t>
      </w:r>
      <w:r w:rsidRPr="00606349">
        <w:rPr>
          <w:color w:val="000000"/>
        </w:rPr>
        <w:t>Königliche</w:t>
      </w:r>
      <w:r>
        <w:rPr>
          <w:color w:val="000000"/>
        </w:rPr>
        <w:t>n</w:t>
      </w:r>
      <w:r w:rsidRPr="00606349">
        <w:rPr>
          <w:color w:val="000000"/>
        </w:rPr>
        <w:t xml:space="preserve"> Erlass</w:t>
      </w:r>
      <w:r>
        <w:rPr>
          <w:color w:val="000000"/>
        </w:rPr>
        <w:t xml:space="preserve"> vom 10. Januar 1997</w:t>
      </w:r>
      <w:r w:rsidRPr="00606349">
        <w:rPr>
          <w:color w:val="000000"/>
        </w:rPr>
        <w:t xml:space="preserve"> zur Abänderung des KE/EStGB</w:t>
      </w:r>
      <w:r>
        <w:rPr>
          <w:color w:val="000000"/>
        </w:rPr>
        <w:t> </w:t>
      </w:r>
      <w:r w:rsidRPr="00606349">
        <w:rPr>
          <w:color w:val="000000"/>
        </w:rPr>
        <w:t>92 hinsichtlich des Berufssteuervorabzugs</w:t>
      </w:r>
      <w:r w:rsidRPr="00CF1706">
        <w:rPr>
          <w:color w:val="000000"/>
        </w:rPr>
        <w:t xml:space="preserve"> </w:t>
      </w:r>
      <w:r w:rsidRPr="00CF1706">
        <w:rPr>
          <w:i/>
          <w:color w:val="000000"/>
        </w:rPr>
        <w:t>(II)</w:t>
      </w:r>
      <w:r w:rsidRPr="00CF1706">
        <w:rPr>
          <w:color w:val="000000"/>
        </w:rPr>
        <w:t>,</w:t>
      </w:r>
    </w:p>
    <w:p w14:paraId="17A18DEA" w14:textId="77777777" w:rsidR="005A5BD5" w:rsidRPr="00CF1706" w:rsidRDefault="005A5BD5" w:rsidP="005A5BD5">
      <w:pPr>
        <w:jc w:val="both"/>
        <w:rPr>
          <w:color w:val="000000"/>
        </w:rPr>
      </w:pPr>
    </w:p>
    <w:p w14:paraId="2BCE159D" w14:textId="77777777" w:rsidR="005A5BD5" w:rsidRPr="00CF1706" w:rsidRDefault="005A5BD5" w:rsidP="005A5BD5">
      <w:pPr>
        <w:jc w:val="both"/>
        <w:rPr>
          <w:color w:val="000000"/>
        </w:rPr>
      </w:pPr>
      <w:r w:rsidRPr="00CF1706">
        <w:rPr>
          <w:color w:val="000000"/>
        </w:rPr>
        <w:t xml:space="preserve">- den Königlichen Erlass vom 23. Oktober 2003 </w:t>
      </w:r>
      <w:r w:rsidRPr="00E23286">
        <w:rPr>
          <w:color w:val="000000"/>
        </w:rPr>
        <w:t>zur Abänderung des KE/EStGB</w:t>
      </w:r>
      <w:r>
        <w:rPr>
          <w:color w:val="000000"/>
        </w:rPr>
        <w:t> </w:t>
      </w:r>
      <w:r w:rsidRPr="00E23286">
        <w:rPr>
          <w:color w:val="000000"/>
        </w:rPr>
        <w:t>92 hinsichtlich der Bedingungen</w:t>
      </w:r>
      <w:r>
        <w:rPr>
          <w:color w:val="000000"/>
        </w:rPr>
        <w:t xml:space="preserve"> und Modalitäten</w:t>
      </w:r>
      <w:r w:rsidRPr="00E23286">
        <w:rPr>
          <w:color w:val="000000"/>
        </w:rPr>
        <w:t xml:space="preserve"> für die </w:t>
      </w:r>
      <w:r>
        <w:rPr>
          <w:color w:val="000000"/>
        </w:rPr>
        <w:t>Anwendung</w:t>
      </w:r>
      <w:r w:rsidRPr="00E23286">
        <w:rPr>
          <w:color w:val="000000"/>
        </w:rPr>
        <w:t xml:space="preserve"> der Ermäßigung für langfristiges Sparen in Bezug auf Summen, die für</w:t>
      </w:r>
      <w:r>
        <w:rPr>
          <w:color w:val="000000"/>
        </w:rPr>
        <w:t xml:space="preserve"> die</w:t>
      </w:r>
      <w:r w:rsidRPr="00E23286">
        <w:rPr>
          <w:color w:val="000000"/>
        </w:rPr>
        <w:t xml:space="preserve"> Tilgung oder Wiederherstellung einer Hypothekenanleihe gezahlt werden</w:t>
      </w:r>
      <w:r w:rsidRPr="00CF1706">
        <w:rPr>
          <w:color w:val="000000"/>
        </w:rPr>
        <w:t>,</w:t>
      </w:r>
    </w:p>
    <w:p w14:paraId="1C1FE614" w14:textId="77777777" w:rsidR="005A5BD5" w:rsidRPr="00CF1706" w:rsidRDefault="005A5BD5" w:rsidP="005A5BD5">
      <w:pPr>
        <w:jc w:val="both"/>
        <w:rPr>
          <w:color w:val="000000"/>
        </w:rPr>
      </w:pPr>
    </w:p>
    <w:p w14:paraId="0ECA5008" w14:textId="77777777" w:rsidR="005A5BD5" w:rsidRPr="00CF1706" w:rsidRDefault="005A5BD5" w:rsidP="005A5BD5">
      <w:pPr>
        <w:jc w:val="both"/>
        <w:rPr>
          <w:color w:val="000000"/>
        </w:rPr>
      </w:pPr>
      <w:r w:rsidRPr="00CF1706">
        <w:rPr>
          <w:color w:val="000000"/>
        </w:rPr>
        <w:t xml:space="preserve">- den Königlichen Erlass vom 4. Dezember 2003 </w:t>
      </w:r>
      <w:r w:rsidRPr="00E23286">
        <w:rPr>
          <w:color w:val="000000"/>
        </w:rPr>
        <w:t>zur Abänderung des KE/EStGB</w:t>
      </w:r>
      <w:r>
        <w:rPr>
          <w:color w:val="000000"/>
        </w:rPr>
        <w:t> </w:t>
      </w:r>
      <w:r w:rsidRPr="00E23286">
        <w:rPr>
          <w:color w:val="000000"/>
        </w:rPr>
        <w:t xml:space="preserve">92 hinsichtlich </w:t>
      </w:r>
      <w:r>
        <w:rPr>
          <w:color w:val="000000"/>
        </w:rPr>
        <w:t xml:space="preserve">der </w:t>
      </w:r>
      <w:r w:rsidRPr="00E23286">
        <w:rPr>
          <w:color w:val="000000"/>
        </w:rPr>
        <w:t>Zuschlaghundertstel auf die Steuer der Gebietsfremden (natürliche Personen)</w:t>
      </w:r>
      <w:r>
        <w:rPr>
          <w:color w:val="000000"/>
        </w:rPr>
        <w:t xml:space="preserve"> und der Anwendung der </w:t>
      </w:r>
      <w:r w:rsidRPr="00E23286">
        <w:rPr>
          <w:color w:val="000000"/>
        </w:rPr>
        <w:t>Zuschlagsteuern auf die Steuer der natürlichen</w:t>
      </w:r>
      <w:r>
        <w:rPr>
          <w:color w:val="000000"/>
        </w:rPr>
        <w:t xml:space="preserve"> Personen</w:t>
      </w:r>
      <w:r w:rsidRPr="00CF1706">
        <w:rPr>
          <w:color w:val="000000"/>
        </w:rPr>
        <w:t>,</w:t>
      </w:r>
    </w:p>
    <w:p w14:paraId="026CF051" w14:textId="77777777" w:rsidR="005A5BD5" w:rsidRPr="00CF1706" w:rsidRDefault="005A5BD5" w:rsidP="005A5BD5">
      <w:pPr>
        <w:jc w:val="both"/>
        <w:rPr>
          <w:color w:val="000000"/>
        </w:rPr>
      </w:pPr>
    </w:p>
    <w:p w14:paraId="284C09C0" w14:textId="77777777" w:rsidR="005A5BD5" w:rsidRPr="00CF1706" w:rsidRDefault="005A5BD5" w:rsidP="005A5BD5">
      <w:pPr>
        <w:jc w:val="both"/>
        <w:rPr>
          <w:color w:val="000000"/>
        </w:rPr>
      </w:pPr>
      <w:r w:rsidRPr="00CF1706">
        <w:rPr>
          <w:color w:val="000000"/>
        </w:rPr>
        <w:t xml:space="preserve">- den Königlichen Erlass vom 15. Dezember 2003 </w:t>
      </w:r>
      <w:r w:rsidRPr="00606349">
        <w:rPr>
          <w:color w:val="000000"/>
        </w:rPr>
        <w:t>zur Abänderung des KE/EStGB</w:t>
      </w:r>
      <w:r>
        <w:rPr>
          <w:color w:val="000000"/>
        </w:rPr>
        <w:t> </w:t>
      </w:r>
      <w:r w:rsidRPr="00606349">
        <w:rPr>
          <w:color w:val="000000"/>
        </w:rPr>
        <w:t>92 hinsichtlich des Berufssteuervorabzugs</w:t>
      </w:r>
      <w:r w:rsidRPr="00CF1706">
        <w:rPr>
          <w:color w:val="000000"/>
        </w:rPr>
        <w:t>,</w:t>
      </w:r>
    </w:p>
    <w:p w14:paraId="081ED8AE" w14:textId="77777777" w:rsidR="005A5BD5" w:rsidRPr="00CF1706" w:rsidRDefault="005A5BD5" w:rsidP="005A5BD5">
      <w:pPr>
        <w:jc w:val="both"/>
        <w:rPr>
          <w:color w:val="000000"/>
        </w:rPr>
      </w:pPr>
    </w:p>
    <w:p w14:paraId="226B5218" w14:textId="77777777" w:rsidR="005A5BD5" w:rsidRPr="00CF1706" w:rsidRDefault="005A5BD5" w:rsidP="005A5BD5">
      <w:pPr>
        <w:jc w:val="both"/>
        <w:rPr>
          <w:color w:val="000000"/>
        </w:rPr>
      </w:pPr>
      <w:r w:rsidRPr="00CF1706">
        <w:rPr>
          <w:color w:val="000000"/>
        </w:rPr>
        <w:t xml:space="preserve">- den Königlichen Erlass vom 22. Dezember 2003 </w:t>
      </w:r>
      <w:r w:rsidRPr="00606349">
        <w:rPr>
          <w:color w:val="000000"/>
        </w:rPr>
        <w:t>zur Abänderung des KE/</w:t>
      </w:r>
      <w:r w:rsidRPr="000230EF">
        <w:rPr>
          <w:color w:val="000000"/>
        </w:rPr>
        <w:t xml:space="preserve">EStGB 92 </w:t>
      </w:r>
      <w:r>
        <w:rPr>
          <w:color w:val="000000"/>
        </w:rPr>
        <w:t>im Hinblick auf den</w:t>
      </w:r>
      <w:r w:rsidRPr="000230EF">
        <w:rPr>
          <w:color w:val="000000"/>
        </w:rPr>
        <w:t xml:space="preserve"> Verzicht auf die Einnahme des Mobiliensteuervorabzugs auf Zinsen und Lizenzgebühren</w:t>
      </w:r>
      <w:r>
        <w:rPr>
          <w:color w:val="000000"/>
        </w:rPr>
        <w:t xml:space="preserve">, die </w:t>
      </w:r>
      <w:r w:rsidRPr="006D3DA7">
        <w:rPr>
          <w:color w:val="000000"/>
        </w:rPr>
        <w:t>verbundene</w:t>
      </w:r>
      <w:r>
        <w:rPr>
          <w:color w:val="000000"/>
        </w:rPr>
        <w:t>n</w:t>
      </w:r>
      <w:r w:rsidRPr="006D3DA7">
        <w:rPr>
          <w:color w:val="000000"/>
        </w:rPr>
        <w:t xml:space="preserve"> Unternehmen</w:t>
      </w:r>
      <w:r>
        <w:rPr>
          <w:color w:val="000000"/>
        </w:rPr>
        <w:t xml:space="preserve"> gewährt oder an sie ausgeschüttet werden</w:t>
      </w:r>
      <w:r w:rsidRPr="00CF1706">
        <w:rPr>
          <w:color w:val="000000"/>
        </w:rPr>
        <w:t>,</w:t>
      </w:r>
    </w:p>
    <w:p w14:paraId="0A39361E" w14:textId="77777777" w:rsidR="005A5BD5" w:rsidRPr="00CF1706" w:rsidRDefault="005A5BD5" w:rsidP="005A5BD5">
      <w:pPr>
        <w:jc w:val="both"/>
        <w:rPr>
          <w:color w:val="000000"/>
        </w:rPr>
      </w:pPr>
    </w:p>
    <w:p w14:paraId="4FDDD6BE" w14:textId="77777777" w:rsidR="005A5BD5" w:rsidRPr="00CF1706" w:rsidRDefault="005A5BD5" w:rsidP="005A5BD5">
      <w:pPr>
        <w:jc w:val="both"/>
        <w:rPr>
          <w:color w:val="000000"/>
        </w:rPr>
      </w:pPr>
      <w:r w:rsidRPr="00CF1706">
        <w:rPr>
          <w:color w:val="000000"/>
        </w:rPr>
        <w:t xml:space="preserve">- den Königlichen Erlass vom 23. Januar 2004 </w:t>
      </w:r>
      <w:r w:rsidRPr="006B2B97">
        <w:rPr>
          <w:color w:val="000000"/>
        </w:rPr>
        <w:t>zur Abänderung des KE/EStGB</w:t>
      </w:r>
      <w:r>
        <w:rPr>
          <w:color w:val="000000"/>
        </w:rPr>
        <w:t> </w:t>
      </w:r>
      <w:r w:rsidRPr="006B2B97">
        <w:rPr>
          <w:color w:val="000000"/>
        </w:rPr>
        <w:t>92 hinsichtlich des Berufssteuervorabzugs</w:t>
      </w:r>
      <w:r w:rsidRPr="00CF1706">
        <w:rPr>
          <w:color w:val="000000"/>
        </w:rPr>
        <w:t>,</w:t>
      </w:r>
    </w:p>
    <w:p w14:paraId="0C84198F" w14:textId="77777777" w:rsidR="005A5BD5" w:rsidRPr="00CF1706" w:rsidRDefault="005A5BD5" w:rsidP="005A5BD5">
      <w:pPr>
        <w:jc w:val="both"/>
        <w:rPr>
          <w:color w:val="000000"/>
        </w:rPr>
      </w:pPr>
    </w:p>
    <w:p w14:paraId="42D530F5" w14:textId="77777777" w:rsidR="005A5BD5" w:rsidRPr="00CF1706" w:rsidRDefault="005A5BD5" w:rsidP="005A5BD5">
      <w:pPr>
        <w:jc w:val="both"/>
        <w:rPr>
          <w:color w:val="000000"/>
        </w:rPr>
      </w:pPr>
      <w:r w:rsidRPr="00CF1706">
        <w:rPr>
          <w:color w:val="000000"/>
        </w:rPr>
        <w:t xml:space="preserve">- den Königlichen Erlass vom 10. Februar 2004 </w:t>
      </w:r>
      <w:r w:rsidRPr="00F20B76">
        <w:rPr>
          <w:color w:val="000000"/>
        </w:rPr>
        <w:t>zur Abänderung des KE/EStGB</w:t>
      </w:r>
      <w:r>
        <w:rPr>
          <w:color w:val="000000"/>
        </w:rPr>
        <w:t> </w:t>
      </w:r>
      <w:r w:rsidRPr="00F20B76">
        <w:rPr>
          <w:color w:val="000000"/>
        </w:rPr>
        <w:t>92 hinsichtlich der Vorteile jeglicher Art</w:t>
      </w:r>
      <w:r w:rsidRPr="00CF1706">
        <w:rPr>
          <w:color w:val="000000"/>
        </w:rPr>
        <w:t>,</w:t>
      </w:r>
    </w:p>
    <w:p w14:paraId="07C3EEB7" w14:textId="77777777" w:rsidR="005A5BD5" w:rsidRPr="00CF1706" w:rsidRDefault="005A5BD5" w:rsidP="005A5BD5">
      <w:pPr>
        <w:jc w:val="both"/>
        <w:rPr>
          <w:color w:val="000000"/>
        </w:rPr>
      </w:pPr>
    </w:p>
    <w:p w14:paraId="02A98F71" w14:textId="77777777" w:rsidR="005A5BD5" w:rsidRPr="00CF1706" w:rsidRDefault="005A5BD5" w:rsidP="005A5BD5">
      <w:pPr>
        <w:jc w:val="both"/>
        <w:rPr>
          <w:color w:val="000000"/>
        </w:rPr>
      </w:pPr>
      <w:r w:rsidRPr="00CF1706">
        <w:rPr>
          <w:color w:val="000000"/>
        </w:rPr>
        <w:t xml:space="preserve">- den Königlichen Erlass vom 18. Februar 2004 </w:t>
      </w:r>
      <w:r>
        <w:rPr>
          <w:color w:val="000000"/>
        </w:rPr>
        <w:t>zur Abänderung des KE/EStGB </w:t>
      </w:r>
      <w:r w:rsidRPr="00F20B76">
        <w:rPr>
          <w:color w:val="000000"/>
        </w:rPr>
        <w:t>92 hinsichtlich der Steuerbefreiung für Preise und Zuschüsse, die Wissenschaftlern, Schriftstellern oder Künstlern gezahlt oder zuerkannt werden</w:t>
      </w:r>
      <w:r w:rsidRPr="00CF1706">
        <w:rPr>
          <w:color w:val="000000"/>
        </w:rPr>
        <w:t>,</w:t>
      </w:r>
    </w:p>
    <w:p w14:paraId="3DF094ED" w14:textId="77777777" w:rsidR="005A5BD5" w:rsidRPr="00CF1706" w:rsidRDefault="005A5BD5" w:rsidP="005A5BD5">
      <w:pPr>
        <w:jc w:val="both"/>
        <w:rPr>
          <w:color w:val="000000"/>
        </w:rPr>
      </w:pPr>
    </w:p>
    <w:p w14:paraId="518E2EC0" w14:textId="77777777" w:rsidR="005A5BD5" w:rsidRPr="00CF1706" w:rsidRDefault="005A5BD5" w:rsidP="005A5BD5">
      <w:pPr>
        <w:jc w:val="both"/>
        <w:rPr>
          <w:color w:val="000000"/>
        </w:rPr>
      </w:pPr>
      <w:r w:rsidRPr="00CF1706">
        <w:rPr>
          <w:color w:val="000000"/>
        </w:rPr>
        <w:t xml:space="preserve">- den Königlichen Erlass vom 19. Februar 2004 </w:t>
      </w:r>
      <w:r>
        <w:rPr>
          <w:color w:val="000000"/>
        </w:rPr>
        <w:t>zur Abänderung des KE/EStGB </w:t>
      </w:r>
      <w:r w:rsidRPr="00F20B76">
        <w:rPr>
          <w:color w:val="000000"/>
        </w:rPr>
        <w:t>92 hinsichtlich der Vorteile jeglicher Art</w:t>
      </w:r>
      <w:r w:rsidRPr="00CF1706">
        <w:rPr>
          <w:color w:val="000000"/>
        </w:rPr>
        <w:t>,</w:t>
      </w:r>
    </w:p>
    <w:p w14:paraId="56A466BF" w14:textId="77777777" w:rsidR="005A5BD5" w:rsidRPr="00CF1706" w:rsidRDefault="005A5BD5" w:rsidP="005A5BD5">
      <w:pPr>
        <w:jc w:val="both"/>
        <w:rPr>
          <w:color w:val="000000"/>
        </w:rPr>
      </w:pPr>
    </w:p>
    <w:p w14:paraId="7C0695E9" w14:textId="77777777" w:rsidR="005A5BD5" w:rsidRPr="00CF1706" w:rsidRDefault="005A5BD5" w:rsidP="005A5BD5">
      <w:pPr>
        <w:jc w:val="both"/>
        <w:rPr>
          <w:color w:val="000000"/>
        </w:rPr>
      </w:pPr>
      <w:r w:rsidRPr="00CF1706">
        <w:rPr>
          <w:color w:val="000000"/>
        </w:rPr>
        <w:t xml:space="preserve">- den Königlichen Erlass vom 11. Mai 2004 </w:t>
      </w:r>
      <w:r w:rsidRPr="009E531A">
        <w:rPr>
          <w:color w:val="000000"/>
        </w:rPr>
        <w:t xml:space="preserve">zur Abänderung </w:t>
      </w:r>
      <w:r>
        <w:rPr>
          <w:color w:val="000000"/>
        </w:rPr>
        <w:t>von Artikel 73</w:t>
      </w:r>
      <w:r w:rsidRPr="00453AEC">
        <w:rPr>
          <w:color w:val="000000"/>
          <w:vertAlign w:val="superscript"/>
        </w:rPr>
        <w:t>4</w:t>
      </w:r>
      <w:r w:rsidRPr="00453AEC">
        <w:rPr>
          <w:i/>
          <w:color w:val="000000"/>
          <w:vertAlign w:val="superscript"/>
        </w:rPr>
        <w:t>quater</w:t>
      </w:r>
      <w:r>
        <w:rPr>
          <w:color w:val="000000"/>
        </w:rPr>
        <w:t xml:space="preserve"> </w:t>
      </w:r>
      <w:r w:rsidRPr="009E531A">
        <w:rPr>
          <w:color w:val="000000"/>
        </w:rPr>
        <w:t>des KE/EStGB</w:t>
      </w:r>
      <w:r>
        <w:rPr>
          <w:color w:val="000000"/>
        </w:rPr>
        <w:t> </w:t>
      </w:r>
      <w:r w:rsidRPr="009E531A">
        <w:rPr>
          <w:color w:val="000000"/>
        </w:rPr>
        <w:t xml:space="preserve">92 </w:t>
      </w:r>
      <w:r w:rsidRPr="00303770">
        <w:rPr>
          <w:color w:val="000000"/>
        </w:rPr>
        <w:t>in Bezug auf die Liste der Länder, deren Bestimmungen des allgemeinen Rechts in Bezug auf Steuern erheblich vorteilhafter als in Belgien sind</w:t>
      </w:r>
      <w:r w:rsidRPr="00CF1706">
        <w:rPr>
          <w:color w:val="000000"/>
        </w:rPr>
        <w:t>,</w:t>
      </w:r>
    </w:p>
    <w:p w14:paraId="23B1F465" w14:textId="77777777" w:rsidR="005A5BD5" w:rsidRPr="00CF1706" w:rsidRDefault="005A5BD5" w:rsidP="005A5BD5">
      <w:pPr>
        <w:jc w:val="both"/>
        <w:rPr>
          <w:color w:val="000000"/>
        </w:rPr>
      </w:pPr>
    </w:p>
    <w:p w14:paraId="7CF99E21" w14:textId="77777777" w:rsidR="005A5BD5" w:rsidRPr="00CF1706" w:rsidRDefault="005A5BD5" w:rsidP="005A5BD5">
      <w:pPr>
        <w:jc w:val="both"/>
        <w:rPr>
          <w:color w:val="000000"/>
        </w:rPr>
      </w:pPr>
      <w:r w:rsidRPr="00CF1706">
        <w:rPr>
          <w:color w:val="000000"/>
        </w:rPr>
        <w:t xml:space="preserve">- den Königlichen Erlass vom 12. Mai 2004 </w:t>
      </w:r>
      <w:r w:rsidRPr="00FC578E">
        <w:rPr>
          <w:color w:val="000000"/>
        </w:rPr>
        <w:t xml:space="preserve">zur </w:t>
      </w:r>
      <w:r>
        <w:rPr>
          <w:color w:val="000000"/>
        </w:rPr>
        <w:t>Abänderung des KE/EStGB </w:t>
      </w:r>
      <w:r w:rsidRPr="00FC578E">
        <w:rPr>
          <w:color w:val="000000"/>
        </w:rPr>
        <w:t xml:space="preserve">92 hinsichtlich der Werbungskosten in Bezug auf die </w:t>
      </w:r>
      <w:r w:rsidRPr="000230EF">
        <w:rPr>
          <w:color w:val="000000"/>
        </w:rPr>
        <w:t>Fahrt zwischen Wohnsitz und Arbeitsplatz,</w:t>
      </w:r>
    </w:p>
    <w:p w14:paraId="0F345738" w14:textId="77777777" w:rsidR="005A5BD5" w:rsidRDefault="005A5BD5" w:rsidP="005A5BD5">
      <w:pPr>
        <w:jc w:val="both"/>
        <w:rPr>
          <w:color w:val="000000"/>
        </w:rPr>
      </w:pPr>
    </w:p>
    <w:p w14:paraId="6602C34D" w14:textId="77777777" w:rsidR="005A5BD5" w:rsidRPr="00CF1706" w:rsidRDefault="005A5BD5" w:rsidP="005A5BD5">
      <w:pPr>
        <w:jc w:val="both"/>
        <w:rPr>
          <w:color w:val="000000"/>
        </w:rPr>
      </w:pPr>
      <w:r w:rsidRPr="00CF1706">
        <w:rPr>
          <w:color w:val="000000"/>
        </w:rPr>
        <w:t xml:space="preserve">- den Königlichen Erlass vom 16. Juni 2004 </w:t>
      </w:r>
      <w:r>
        <w:rPr>
          <w:color w:val="000000"/>
        </w:rPr>
        <w:t>zur Ausführung der Artikel 301 § 1 Absatz 3 und 302 des Programmgesetzes vom 22. Dezember 2003 und zur Abänderung des KE/EStGB </w:t>
      </w:r>
      <w:r w:rsidRPr="00FC578E">
        <w:rPr>
          <w:color w:val="000000"/>
        </w:rPr>
        <w:t>92 hinsichtlich</w:t>
      </w:r>
      <w:r w:rsidRPr="00CF1706">
        <w:rPr>
          <w:color w:val="000000"/>
        </w:rPr>
        <w:t xml:space="preserve"> </w:t>
      </w:r>
      <w:r w:rsidRPr="00BA31CF">
        <w:rPr>
          <w:color w:val="000000"/>
        </w:rPr>
        <w:t xml:space="preserve">der Erklärung zum Berufssteuervorabzug </w:t>
      </w:r>
      <w:r w:rsidRPr="00CF1706">
        <w:rPr>
          <w:i/>
          <w:color w:val="000000"/>
        </w:rPr>
        <w:t>(I)</w:t>
      </w:r>
      <w:r w:rsidRPr="00CF1706">
        <w:rPr>
          <w:color w:val="000000"/>
        </w:rPr>
        <w:t>,</w:t>
      </w:r>
    </w:p>
    <w:p w14:paraId="130B5783" w14:textId="77777777" w:rsidR="005A5BD5" w:rsidRPr="00CF1706" w:rsidRDefault="005A5BD5" w:rsidP="005A5BD5">
      <w:pPr>
        <w:jc w:val="both"/>
        <w:rPr>
          <w:color w:val="000000"/>
        </w:rPr>
      </w:pPr>
    </w:p>
    <w:p w14:paraId="3528FDB4" w14:textId="77777777" w:rsidR="005A5BD5" w:rsidRPr="00CF1706" w:rsidRDefault="005A5BD5" w:rsidP="005A5BD5">
      <w:pPr>
        <w:jc w:val="both"/>
        <w:rPr>
          <w:color w:val="000000"/>
        </w:rPr>
      </w:pPr>
      <w:r w:rsidRPr="00CF1706">
        <w:rPr>
          <w:color w:val="000000"/>
        </w:rPr>
        <w:t xml:space="preserve">- den Königlichen Erlass vom 16. Juni 2004 </w:t>
      </w:r>
      <w:r w:rsidRPr="00BA31CF">
        <w:rPr>
          <w:color w:val="000000"/>
        </w:rPr>
        <w:t>zur Abänderung des KE/EStGB</w:t>
      </w:r>
      <w:r>
        <w:rPr>
          <w:color w:val="000000"/>
        </w:rPr>
        <w:t> </w:t>
      </w:r>
      <w:r w:rsidRPr="00BA31CF">
        <w:rPr>
          <w:color w:val="000000"/>
        </w:rPr>
        <w:t>92 hinsichtlich des Neubewertungskoeffizienten für Katastereinkommen</w:t>
      </w:r>
      <w:r w:rsidRPr="00CF1706">
        <w:rPr>
          <w:color w:val="000000"/>
        </w:rPr>
        <w:t xml:space="preserve"> </w:t>
      </w:r>
      <w:r w:rsidRPr="00CF1706">
        <w:rPr>
          <w:i/>
          <w:color w:val="000000"/>
        </w:rPr>
        <w:t>(II)</w:t>
      </w:r>
      <w:r w:rsidRPr="00CF1706">
        <w:rPr>
          <w:color w:val="000000"/>
        </w:rPr>
        <w:t>,</w:t>
      </w:r>
    </w:p>
    <w:p w14:paraId="0099B651" w14:textId="77777777" w:rsidR="005A5BD5" w:rsidRPr="00CF1706" w:rsidRDefault="005A5BD5" w:rsidP="005A5BD5">
      <w:pPr>
        <w:jc w:val="both"/>
        <w:rPr>
          <w:color w:val="000000"/>
        </w:rPr>
      </w:pPr>
    </w:p>
    <w:p w14:paraId="23F3DF53" w14:textId="77777777" w:rsidR="005A5BD5" w:rsidRPr="00CF1706" w:rsidRDefault="005A5BD5" w:rsidP="005A5BD5">
      <w:pPr>
        <w:jc w:val="both"/>
        <w:rPr>
          <w:color w:val="000000"/>
        </w:rPr>
      </w:pPr>
      <w:r w:rsidRPr="00CF1706">
        <w:rPr>
          <w:color w:val="000000"/>
        </w:rPr>
        <w:t xml:space="preserve">- den Königlichen Erlass vom 23. Juni 2004 </w:t>
      </w:r>
      <w:r w:rsidRPr="00BA31CF">
        <w:rPr>
          <w:color w:val="000000"/>
        </w:rPr>
        <w:t>zur Abänderung des KE/EStGB</w:t>
      </w:r>
      <w:r>
        <w:rPr>
          <w:color w:val="000000"/>
        </w:rPr>
        <w:t> </w:t>
      </w:r>
      <w:r w:rsidRPr="00BA31CF">
        <w:rPr>
          <w:color w:val="000000"/>
        </w:rPr>
        <w:t>92 hinsichtlich der Steuerermäßigung für Ausgaben zur Energieeinsparung in einer Wohnung</w:t>
      </w:r>
      <w:r w:rsidRPr="00CF1706">
        <w:rPr>
          <w:color w:val="000000"/>
        </w:rPr>
        <w:t>,</w:t>
      </w:r>
    </w:p>
    <w:p w14:paraId="5DCB38D6" w14:textId="77777777" w:rsidR="005A5BD5" w:rsidRPr="00CF1706" w:rsidRDefault="005A5BD5" w:rsidP="005A5BD5">
      <w:pPr>
        <w:jc w:val="both"/>
        <w:rPr>
          <w:color w:val="000000"/>
        </w:rPr>
      </w:pPr>
    </w:p>
    <w:p w14:paraId="58504C3C" w14:textId="77777777" w:rsidR="005A5BD5" w:rsidRPr="00CF1706" w:rsidRDefault="005A5BD5" w:rsidP="005A5BD5">
      <w:pPr>
        <w:jc w:val="both"/>
        <w:rPr>
          <w:color w:val="000000"/>
        </w:rPr>
      </w:pPr>
      <w:r w:rsidRPr="00CF1706">
        <w:rPr>
          <w:color w:val="000000"/>
        </w:rPr>
        <w:t xml:space="preserve">- den Königlichen Erlass vom 13. August 2004 </w:t>
      </w:r>
      <w:r w:rsidRPr="00111EE9">
        <w:rPr>
          <w:color w:val="000000"/>
        </w:rPr>
        <w:t xml:space="preserve">zur Abänderung des </w:t>
      </w:r>
      <w:r w:rsidRPr="000230EF">
        <w:rPr>
          <w:color w:val="000000"/>
        </w:rPr>
        <w:t xml:space="preserve">KE/EStGB 92 </w:t>
      </w:r>
      <w:r w:rsidRPr="00F97AD9">
        <w:rPr>
          <w:color w:val="000000"/>
        </w:rPr>
        <w:t>im Hinblick auf den</w:t>
      </w:r>
      <w:r w:rsidRPr="000230EF">
        <w:rPr>
          <w:color w:val="000000"/>
        </w:rPr>
        <w:t xml:space="preserve"> Verzicht auf die Einnahme des Mobiliensteuervorabzugs auf Zinsen und Li</w:t>
      </w:r>
      <w:r w:rsidRPr="00111EE9">
        <w:rPr>
          <w:color w:val="000000"/>
        </w:rPr>
        <w:t>zenzgebühren, die verbundenen Unternehmen gewährt oder an sie ausgeschüttet werden</w:t>
      </w:r>
      <w:r w:rsidRPr="00CF1706">
        <w:rPr>
          <w:color w:val="000000"/>
        </w:rPr>
        <w:t>,</w:t>
      </w:r>
    </w:p>
    <w:p w14:paraId="1B897DE7" w14:textId="77777777" w:rsidR="005A5BD5" w:rsidRPr="00CF1706" w:rsidRDefault="005A5BD5" w:rsidP="005A5BD5">
      <w:pPr>
        <w:jc w:val="both"/>
        <w:rPr>
          <w:color w:val="000000"/>
        </w:rPr>
      </w:pPr>
    </w:p>
    <w:p w14:paraId="04AFD42C" w14:textId="77777777" w:rsidR="005A5BD5" w:rsidRPr="00CF1706" w:rsidRDefault="005A5BD5" w:rsidP="005A5BD5">
      <w:pPr>
        <w:jc w:val="both"/>
        <w:rPr>
          <w:color w:val="000000"/>
        </w:rPr>
      </w:pPr>
      <w:r w:rsidRPr="00CF1706">
        <w:rPr>
          <w:color w:val="000000"/>
        </w:rPr>
        <w:t xml:space="preserve">- den Königlichen Erlass vom 26. November 2004 </w:t>
      </w:r>
      <w:r>
        <w:rPr>
          <w:color w:val="000000"/>
        </w:rPr>
        <w:t>zur Abänderung des KE/EStGB </w:t>
      </w:r>
      <w:r w:rsidRPr="00FC578E">
        <w:rPr>
          <w:color w:val="000000"/>
        </w:rPr>
        <w:t>92 hinsichtlich</w:t>
      </w:r>
      <w:r w:rsidRPr="00CF1706">
        <w:rPr>
          <w:color w:val="000000"/>
        </w:rPr>
        <w:t xml:space="preserve"> </w:t>
      </w:r>
      <w:r>
        <w:rPr>
          <w:color w:val="000000"/>
        </w:rPr>
        <w:t>des</w:t>
      </w:r>
      <w:r w:rsidRPr="00BA31CF">
        <w:rPr>
          <w:color w:val="000000"/>
        </w:rPr>
        <w:t xml:space="preserve"> Berufssteuervorabzug</w:t>
      </w:r>
      <w:r>
        <w:rPr>
          <w:color w:val="000000"/>
        </w:rPr>
        <w:t>s</w:t>
      </w:r>
      <w:r w:rsidRPr="00CF1706">
        <w:rPr>
          <w:color w:val="000000"/>
        </w:rPr>
        <w:t>,</w:t>
      </w:r>
    </w:p>
    <w:p w14:paraId="686B59DF" w14:textId="77777777" w:rsidR="005A5BD5" w:rsidRPr="00CF1706" w:rsidRDefault="005A5BD5" w:rsidP="005A5BD5">
      <w:pPr>
        <w:jc w:val="both"/>
        <w:rPr>
          <w:color w:val="000000"/>
        </w:rPr>
      </w:pPr>
    </w:p>
    <w:p w14:paraId="7963C18F" w14:textId="77777777" w:rsidR="005A5BD5" w:rsidRPr="00CF1706" w:rsidRDefault="005A5BD5" w:rsidP="005A5BD5">
      <w:pPr>
        <w:jc w:val="both"/>
        <w:rPr>
          <w:color w:val="000000"/>
        </w:rPr>
      </w:pPr>
      <w:r w:rsidRPr="00CF1706">
        <w:rPr>
          <w:color w:val="000000"/>
        </w:rPr>
        <w:t>- den Königlichen Erlass vom 16. Dezember 2004</w:t>
      </w:r>
      <w:r>
        <w:rPr>
          <w:color w:val="000000"/>
        </w:rPr>
        <w:t xml:space="preserve"> </w:t>
      </w:r>
      <w:r w:rsidRPr="00915715">
        <w:rPr>
          <w:color w:val="000000"/>
        </w:rPr>
        <w:t>zur Abänderung des KE/EStGB 92 hinsichtlich der Steuerermäßigung für Ausgaben für den Erwerb eines Fahrzeugs,</w:t>
      </w:r>
      <w:r w:rsidRPr="005C7C91">
        <w:rPr>
          <w:color w:val="000000"/>
        </w:rPr>
        <w:t xml:space="preserve"> das einen maximalen CO</w:t>
      </w:r>
      <w:r w:rsidRPr="005C7C91">
        <w:rPr>
          <w:color w:val="000000"/>
          <w:vertAlign w:val="subscript"/>
        </w:rPr>
        <w:t>2</w:t>
      </w:r>
      <w:r w:rsidRPr="005C7C91">
        <w:rPr>
          <w:color w:val="000000"/>
        </w:rPr>
        <w:t>-Ausstoß von 115</w:t>
      </w:r>
      <w:r>
        <w:rPr>
          <w:color w:val="000000"/>
        </w:rPr>
        <w:t> </w:t>
      </w:r>
      <w:r w:rsidRPr="005C7C91">
        <w:rPr>
          <w:color w:val="000000"/>
        </w:rPr>
        <w:t>g/km aufweist</w:t>
      </w:r>
      <w:r w:rsidRPr="00CF1706">
        <w:rPr>
          <w:color w:val="000000"/>
        </w:rPr>
        <w:t>,</w:t>
      </w:r>
    </w:p>
    <w:p w14:paraId="03058D54" w14:textId="77777777" w:rsidR="005A5BD5" w:rsidRPr="00CF1706" w:rsidRDefault="005A5BD5" w:rsidP="005A5BD5">
      <w:pPr>
        <w:jc w:val="both"/>
        <w:rPr>
          <w:color w:val="000000"/>
        </w:rPr>
      </w:pPr>
    </w:p>
    <w:p w14:paraId="070B8518" w14:textId="77777777" w:rsidR="005A5BD5" w:rsidRPr="00CF1706" w:rsidRDefault="005A5BD5" w:rsidP="005A5BD5">
      <w:pPr>
        <w:jc w:val="both"/>
        <w:rPr>
          <w:color w:val="000000"/>
        </w:rPr>
      </w:pPr>
      <w:r w:rsidRPr="00CF1706">
        <w:rPr>
          <w:color w:val="000000"/>
        </w:rPr>
        <w:t xml:space="preserve">- den Königlichen Erlass vom 9. Januar 2005 </w:t>
      </w:r>
      <w:r w:rsidRPr="00ED39AF">
        <w:rPr>
          <w:color w:val="000000"/>
        </w:rPr>
        <w:t>zur Abänderung des KE/EStGB</w:t>
      </w:r>
      <w:r>
        <w:rPr>
          <w:color w:val="000000"/>
        </w:rPr>
        <w:t> </w:t>
      </w:r>
      <w:r w:rsidRPr="00ED39AF">
        <w:rPr>
          <w:color w:val="000000"/>
        </w:rPr>
        <w:t>92 und des Königlichen Erlasses vom 26.</w:t>
      </w:r>
      <w:r>
        <w:rPr>
          <w:color w:val="000000"/>
        </w:rPr>
        <w:t> </w:t>
      </w:r>
      <w:r w:rsidRPr="00ED39AF">
        <w:rPr>
          <w:color w:val="000000"/>
        </w:rPr>
        <w:t>Mai</w:t>
      </w:r>
      <w:r>
        <w:rPr>
          <w:color w:val="000000"/>
        </w:rPr>
        <w:t> </w:t>
      </w:r>
      <w:r w:rsidRPr="00ED39AF">
        <w:rPr>
          <w:color w:val="000000"/>
        </w:rPr>
        <w:t xml:space="preserve">1994 über </w:t>
      </w:r>
      <w:r w:rsidRPr="000230EF">
        <w:rPr>
          <w:color w:val="000000"/>
        </w:rPr>
        <w:t>die E</w:t>
      </w:r>
      <w:r>
        <w:rPr>
          <w:color w:val="000000"/>
        </w:rPr>
        <w:t>inbehaltung</w:t>
      </w:r>
      <w:r w:rsidRPr="000230EF">
        <w:rPr>
          <w:color w:val="000000"/>
        </w:rPr>
        <w:t xml:space="preserve"> und die Vergütung des Mobiliensteuervorabzugs gemäß Kapitel 1 des</w:t>
      </w:r>
      <w:r w:rsidRPr="00ED39AF">
        <w:rPr>
          <w:color w:val="000000"/>
        </w:rPr>
        <w:t xml:space="preserve"> Gesetzes vom 6.</w:t>
      </w:r>
      <w:r>
        <w:rPr>
          <w:color w:val="000000"/>
        </w:rPr>
        <w:t> </w:t>
      </w:r>
      <w:r w:rsidRPr="00ED39AF">
        <w:rPr>
          <w:color w:val="000000"/>
        </w:rPr>
        <w:t>August</w:t>
      </w:r>
      <w:r>
        <w:rPr>
          <w:color w:val="000000"/>
        </w:rPr>
        <w:t> </w:t>
      </w:r>
      <w:r w:rsidRPr="00ED39AF">
        <w:rPr>
          <w:color w:val="000000"/>
        </w:rPr>
        <w:t>1993 über Geschäfte mit bestimmten Wertpapieren</w:t>
      </w:r>
      <w:r w:rsidRPr="003E5819">
        <w:rPr>
          <w:color w:val="000000"/>
        </w:rPr>
        <w:t xml:space="preserve"> </w:t>
      </w:r>
      <w:r w:rsidRPr="00ED39AF">
        <w:rPr>
          <w:color w:val="000000"/>
        </w:rPr>
        <w:t>hinsichtlich des Mobiliensteuervorabzugs</w:t>
      </w:r>
      <w:r w:rsidRPr="00CF1706">
        <w:rPr>
          <w:color w:val="000000"/>
        </w:rPr>
        <w:t>,</w:t>
      </w:r>
    </w:p>
    <w:p w14:paraId="5FFD9853" w14:textId="77777777" w:rsidR="005A5BD5" w:rsidRPr="00CF1706" w:rsidRDefault="005A5BD5" w:rsidP="005A5BD5">
      <w:pPr>
        <w:jc w:val="both"/>
        <w:rPr>
          <w:color w:val="000000"/>
        </w:rPr>
      </w:pPr>
    </w:p>
    <w:p w14:paraId="1EC9983D" w14:textId="77777777" w:rsidR="005A5BD5" w:rsidRPr="00CF1706" w:rsidRDefault="005A5BD5" w:rsidP="005A5BD5">
      <w:pPr>
        <w:jc w:val="both"/>
        <w:rPr>
          <w:color w:val="000000"/>
        </w:rPr>
      </w:pPr>
      <w:r w:rsidRPr="00CF1706">
        <w:rPr>
          <w:color w:val="000000"/>
        </w:rPr>
        <w:t xml:space="preserve">- den Königlichen Erlass vom 20. Januar 2005 </w:t>
      </w:r>
      <w:r>
        <w:rPr>
          <w:color w:val="000000"/>
        </w:rPr>
        <w:t>zur Abänderung des KE/EStGB </w:t>
      </w:r>
      <w:r w:rsidRPr="00FC578E">
        <w:rPr>
          <w:color w:val="000000"/>
        </w:rPr>
        <w:t>92 hinsichtlich</w:t>
      </w:r>
      <w:r>
        <w:rPr>
          <w:color w:val="000000"/>
        </w:rPr>
        <w:t xml:space="preserve"> des </w:t>
      </w:r>
      <w:r w:rsidRPr="00ED39AF">
        <w:rPr>
          <w:color w:val="000000"/>
        </w:rPr>
        <w:t>Mobiliensteuervorabzugs auf Einkünfte, die in Ausführung von Vereinbarungen über die Leistung von dinglichen Sicherheiten und von Verleihen mit Bezug auf Finanzinstrumente gezahlt oder zuerkannt werden</w:t>
      </w:r>
      <w:r w:rsidRPr="00CF1706">
        <w:rPr>
          <w:color w:val="000000"/>
        </w:rPr>
        <w:t>,</w:t>
      </w:r>
    </w:p>
    <w:p w14:paraId="36E21C86" w14:textId="77777777" w:rsidR="005A5BD5" w:rsidRPr="00CF1706" w:rsidRDefault="005A5BD5" w:rsidP="005A5BD5">
      <w:pPr>
        <w:jc w:val="both"/>
        <w:rPr>
          <w:color w:val="000000"/>
        </w:rPr>
      </w:pPr>
    </w:p>
    <w:p w14:paraId="1B6D1BA5" w14:textId="77777777" w:rsidR="005A5BD5" w:rsidRPr="00CF1706" w:rsidRDefault="005A5BD5" w:rsidP="005A5BD5">
      <w:pPr>
        <w:jc w:val="both"/>
        <w:rPr>
          <w:color w:val="000000"/>
        </w:rPr>
      </w:pPr>
      <w:r w:rsidRPr="00CF1706">
        <w:rPr>
          <w:color w:val="000000"/>
        </w:rPr>
        <w:t xml:space="preserve">- den Königlichen Erlass vom 21. Januar 2005 </w:t>
      </w:r>
      <w:r>
        <w:rPr>
          <w:color w:val="000000"/>
        </w:rPr>
        <w:t>zur Abänderung des KE/EStGB </w:t>
      </w:r>
      <w:r w:rsidRPr="00753966">
        <w:rPr>
          <w:color w:val="000000"/>
        </w:rPr>
        <w:t>92 hinsichtlich der Vorteile jeglicher Art</w:t>
      </w:r>
      <w:r w:rsidRPr="00CF1706">
        <w:rPr>
          <w:color w:val="000000"/>
        </w:rPr>
        <w:t>,</w:t>
      </w:r>
    </w:p>
    <w:p w14:paraId="43CA500C" w14:textId="77777777" w:rsidR="005A5BD5" w:rsidRPr="00CF1706" w:rsidRDefault="005A5BD5" w:rsidP="005A5BD5">
      <w:pPr>
        <w:jc w:val="both"/>
        <w:rPr>
          <w:color w:val="000000"/>
        </w:rPr>
      </w:pPr>
    </w:p>
    <w:p w14:paraId="436DC4A9" w14:textId="77777777" w:rsidR="005A5BD5" w:rsidRPr="00CF1706" w:rsidRDefault="005A5BD5" w:rsidP="005A5BD5">
      <w:pPr>
        <w:jc w:val="both"/>
        <w:rPr>
          <w:color w:val="000000"/>
        </w:rPr>
      </w:pPr>
      <w:r w:rsidRPr="00CF1706">
        <w:rPr>
          <w:color w:val="000000"/>
        </w:rPr>
        <w:t xml:space="preserve">- den Königlichen Erlass vom 16. Februar 2005 </w:t>
      </w:r>
      <w:r>
        <w:rPr>
          <w:color w:val="000000"/>
        </w:rPr>
        <w:t>zur Abänderung des KE/EStGB </w:t>
      </w:r>
      <w:r w:rsidRPr="00753966">
        <w:rPr>
          <w:color w:val="000000"/>
        </w:rPr>
        <w:t>92 hinsichtlich der Vorteile jeglicher Art</w:t>
      </w:r>
      <w:r w:rsidRPr="00CF1706">
        <w:rPr>
          <w:color w:val="000000"/>
        </w:rPr>
        <w:t>,</w:t>
      </w:r>
    </w:p>
    <w:p w14:paraId="651E5B3D" w14:textId="77777777" w:rsidR="005A5BD5" w:rsidRPr="00CF1706" w:rsidRDefault="005A5BD5" w:rsidP="005A5BD5">
      <w:pPr>
        <w:jc w:val="both"/>
        <w:rPr>
          <w:color w:val="000000"/>
        </w:rPr>
      </w:pPr>
    </w:p>
    <w:p w14:paraId="589F16D0" w14:textId="77777777" w:rsidR="005A5BD5" w:rsidRPr="00CF1706" w:rsidRDefault="005A5BD5" w:rsidP="005A5BD5">
      <w:pPr>
        <w:jc w:val="both"/>
        <w:rPr>
          <w:color w:val="000000"/>
        </w:rPr>
      </w:pPr>
      <w:r w:rsidRPr="00CF1706">
        <w:rPr>
          <w:color w:val="000000"/>
        </w:rPr>
        <w:t xml:space="preserve">- den Königlichen Erlass vom 28. Februar 2005 </w:t>
      </w:r>
      <w:r w:rsidRPr="00F279DC">
        <w:rPr>
          <w:color w:val="000000"/>
        </w:rPr>
        <w:t>zur Abänderung d</w:t>
      </w:r>
      <w:r>
        <w:rPr>
          <w:color w:val="000000"/>
        </w:rPr>
        <w:t>es KE/EStGB </w:t>
      </w:r>
      <w:r w:rsidRPr="00F279DC">
        <w:rPr>
          <w:color w:val="000000"/>
        </w:rPr>
        <w:t>92 hinsichtlich der Steuerbefreiung für Preise und Zuschüsse, die Wissenschaftlern, Schriftstellern oder Künstlern gezahlt oder zuerkannt werden</w:t>
      </w:r>
      <w:r w:rsidRPr="00CF1706">
        <w:rPr>
          <w:color w:val="000000"/>
        </w:rPr>
        <w:t>,</w:t>
      </w:r>
    </w:p>
    <w:p w14:paraId="6A3B19BA" w14:textId="77777777" w:rsidR="005A5BD5" w:rsidRPr="00CF1706" w:rsidRDefault="005A5BD5" w:rsidP="005A5BD5">
      <w:pPr>
        <w:jc w:val="both"/>
        <w:rPr>
          <w:color w:val="000000"/>
        </w:rPr>
      </w:pPr>
    </w:p>
    <w:p w14:paraId="7856F18C" w14:textId="77777777" w:rsidR="005A5BD5" w:rsidRPr="00CF1706" w:rsidRDefault="005A5BD5" w:rsidP="005A5BD5">
      <w:pPr>
        <w:jc w:val="both"/>
        <w:rPr>
          <w:color w:val="000000"/>
        </w:rPr>
      </w:pPr>
      <w:r w:rsidRPr="00CF1706">
        <w:rPr>
          <w:color w:val="000000"/>
        </w:rPr>
        <w:t xml:space="preserve">- den Königlichen Erlass vom 1. März 2005 </w:t>
      </w:r>
      <w:r w:rsidRPr="00F279DC">
        <w:rPr>
          <w:color w:val="000000"/>
        </w:rPr>
        <w:t>zur Abänderung d</w:t>
      </w:r>
      <w:r>
        <w:rPr>
          <w:color w:val="000000"/>
        </w:rPr>
        <w:t>es KE/EStGB </w:t>
      </w:r>
      <w:r w:rsidRPr="00F279DC">
        <w:rPr>
          <w:color w:val="000000"/>
        </w:rPr>
        <w:t xml:space="preserve">92 hinsichtlich </w:t>
      </w:r>
      <w:r>
        <w:rPr>
          <w:color w:val="000000"/>
        </w:rPr>
        <w:t xml:space="preserve">der </w:t>
      </w:r>
      <w:r w:rsidRPr="00F279DC">
        <w:rPr>
          <w:color w:val="000000"/>
        </w:rPr>
        <w:t>Arbeitgeberbeiträge und -prämien</w:t>
      </w:r>
      <w:r>
        <w:rPr>
          <w:color w:val="000000"/>
        </w:rPr>
        <w:t xml:space="preserve"> und der </w:t>
      </w:r>
      <w:r w:rsidRPr="002B6C21">
        <w:rPr>
          <w:color w:val="000000"/>
        </w:rPr>
        <w:t>persönliche</w:t>
      </w:r>
      <w:r>
        <w:rPr>
          <w:color w:val="000000"/>
        </w:rPr>
        <w:t>n</w:t>
      </w:r>
      <w:r w:rsidRPr="002B6C21">
        <w:rPr>
          <w:color w:val="000000"/>
        </w:rPr>
        <w:t xml:space="preserve"> Beiträge und Prämien</w:t>
      </w:r>
      <w:r>
        <w:rPr>
          <w:color w:val="000000"/>
        </w:rPr>
        <w:t xml:space="preserve"> </w:t>
      </w:r>
      <w:r w:rsidRPr="002B6C21">
        <w:rPr>
          <w:color w:val="000000"/>
        </w:rPr>
        <w:t>für die Bildung</w:t>
      </w:r>
      <w:r>
        <w:rPr>
          <w:color w:val="000000"/>
        </w:rPr>
        <w:t xml:space="preserve"> von Pensionen oder </w:t>
      </w:r>
      <w:r w:rsidRPr="002B6C21">
        <w:rPr>
          <w:color w:val="000000"/>
        </w:rPr>
        <w:t>ergänzende</w:t>
      </w:r>
      <w:r>
        <w:rPr>
          <w:color w:val="000000"/>
        </w:rPr>
        <w:t>n</w:t>
      </w:r>
      <w:r w:rsidRPr="002B6C21">
        <w:rPr>
          <w:color w:val="000000"/>
        </w:rPr>
        <w:t xml:space="preserve"> Pensionen</w:t>
      </w:r>
      <w:r w:rsidRPr="00CF1706">
        <w:rPr>
          <w:color w:val="000000"/>
        </w:rPr>
        <w:t>,</w:t>
      </w:r>
    </w:p>
    <w:p w14:paraId="3A7D872A" w14:textId="77777777" w:rsidR="005A5BD5" w:rsidRPr="00CF1706" w:rsidRDefault="005A5BD5" w:rsidP="005A5BD5">
      <w:pPr>
        <w:jc w:val="both"/>
        <w:rPr>
          <w:color w:val="000000"/>
        </w:rPr>
      </w:pPr>
    </w:p>
    <w:p w14:paraId="7CB7211C" w14:textId="77777777" w:rsidR="005A5BD5" w:rsidRPr="00CF1706" w:rsidRDefault="005A5BD5" w:rsidP="005A5BD5">
      <w:pPr>
        <w:jc w:val="both"/>
        <w:rPr>
          <w:color w:val="000000"/>
        </w:rPr>
      </w:pPr>
      <w:r w:rsidRPr="00CF1706">
        <w:rPr>
          <w:color w:val="000000"/>
        </w:rPr>
        <w:t xml:space="preserve">- den Königlichen Erlass vom 11. März 2005 </w:t>
      </w:r>
      <w:r>
        <w:rPr>
          <w:color w:val="000000"/>
        </w:rPr>
        <w:t xml:space="preserve">zur Ausführung von Artikel 385 Absatz 5 des Programmgesetzes (I) vom 24. Dezember 2002 und </w:t>
      </w:r>
      <w:r w:rsidRPr="00F279DC">
        <w:rPr>
          <w:color w:val="000000"/>
        </w:rPr>
        <w:t>zur Abänderung d</w:t>
      </w:r>
      <w:r>
        <w:rPr>
          <w:color w:val="000000"/>
        </w:rPr>
        <w:t>es KE/EStGB </w:t>
      </w:r>
      <w:r w:rsidRPr="00F279DC">
        <w:rPr>
          <w:color w:val="000000"/>
        </w:rPr>
        <w:t>92 hinsichtlich</w:t>
      </w:r>
      <w:r>
        <w:rPr>
          <w:color w:val="000000"/>
        </w:rPr>
        <w:t xml:space="preserve"> der </w:t>
      </w:r>
      <w:r w:rsidRPr="008070CA">
        <w:rPr>
          <w:color w:val="000000"/>
        </w:rPr>
        <w:t>Befreiung von der Zahlung des Berufssteuervorabzugs</w:t>
      </w:r>
      <w:r w:rsidRPr="00CF1706">
        <w:rPr>
          <w:color w:val="000000"/>
        </w:rPr>
        <w:t>,</w:t>
      </w:r>
    </w:p>
    <w:p w14:paraId="187E1A9F" w14:textId="77777777" w:rsidR="005A5BD5" w:rsidRDefault="005A5BD5" w:rsidP="005A5BD5">
      <w:pPr>
        <w:jc w:val="both"/>
        <w:rPr>
          <w:color w:val="000000"/>
        </w:rPr>
      </w:pPr>
    </w:p>
    <w:p w14:paraId="38D00B85" w14:textId="77777777" w:rsidR="005A5BD5" w:rsidRPr="00CF1706" w:rsidRDefault="005A5BD5" w:rsidP="005A5BD5">
      <w:pPr>
        <w:jc w:val="both"/>
        <w:rPr>
          <w:color w:val="000000"/>
        </w:rPr>
      </w:pPr>
      <w:r w:rsidRPr="00CF1706">
        <w:rPr>
          <w:color w:val="000000"/>
        </w:rPr>
        <w:t xml:space="preserve">- den Königlichen Erlass vom 24. März 2005 </w:t>
      </w:r>
      <w:r w:rsidRPr="00F279DC">
        <w:rPr>
          <w:color w:val="000000"/>
        </w:rPr>
        <w:t>zur Abänderung d</w:t>
      </w:r>
      <w:r>
        <w:rPr>
          <w:color w:val="000000"/>
        </w:rPr>
        <w:t>es KE/EStGB </w:t>
      </w:r>
      <w:r w:rsidRPr="00F279DC">
        <w:rPr>
          <w:color w:val="000000"/>
        </w:rPr>
        <w:t>92 hinsichtlich</w:t>
      </w:r>
      <w:r>
        <w:rPr>
          <w:color w:val="000000"/>
        </w:rPr>
        <w:t xml:space="preserve"> der Ermächtigung Dritter, </w:t>
      </w:r>
      <w:r w:rsidRPr="008E64D0">
        <w:rPr>
          <w:color w:val="000000"/>
        </w:rPr>
        <w:t>Mitteilung der</w:t>
      </w:r>
      <w:r>
        <w:rPr>
          <w:color w:val="000000"/>
        </w:rPr>
        <w:t xml:space="preserve"> </w:t>
      </w:r>
      <w:r w:rsidRPr="008E64D0">
        <w:rPr>
          <w:color w:val="000000"/>
        </w:rPr>
        <w:t>zur Ausführung</w:t>
      </w:r>
      <w:r>
        <w:rPr>
          <w:color w:val="000000"/>
        </w:rPr>
        <w:t xml:space="preserve"> einer </w:t>
      </w:r>
      <w:r w:rsidRPr="008E64D0">
        <w:rPr>
          <w:color w:val="000000"/>
        </w:rPr>
        <w:t xml:space="preserve">Aufgabe allgemeinen Interesses notwendigen </w:t>
      </w:r>
      <w:r>
        <w:rPr>
          <w:color w:val="000000"/>
        </w:rPr>
        <w:t>Informationen</w:t>
      </w:r>
      <w:r w:rsidRPr="008E64D0">
        <w:rPr>
          <w:color w:val="000000"/>
        </w:rPr>
        <w:t xml:space="preserve"> zu erhalten</w:t>
      </w:r>
      <w:r w:rsidRPr="00CF1706">
        <w:rPr>
          <w:color w:val="000000"/>
        </w:rPr>
        <w:t>,</w:t>
      </w:r>
    </w:p>
    <w:p w14:paraId="2056CB47" w14:textId="77777777" w:rsidR="005A5BD5" w:rsidRPr="00CF1706" w:rsidRDefault="005A5BD5" w:rsidP="005A5BD5">
      <w:pPr>
        <w:jc w:val="both"/>
        <w:rPr>
          <w:color w:val="000000"/>
        </w:rPr>
      </w:pPr>
    </w:p>
    <w:p w14:paraId="3CC13417" w14:textId="77777777" w:rsidR="005A5BD5" w:rsidRPr="00CF1706" w:rsidRDefault="005A5BD5" w:rsidP="005A5BD5">
      <w:pPr>
        <w:jc w:val="both"/>
        <w:rPr>
          <w:color w:val="000000"/>
        </w:rPr>
      </w:pPr>
      <w:r w:rsidRPr="00CF1706">
        <w:rPr>
          <w:color w:val="000000"/>
        </w:rPr>
        <w:t xml:space="preserve">- den Königlichen Erlass vom 18. April 2005 </w:t>
      </w:r>
      <w:r w:rsidRPr="00F279DC">
        <w:rPr>
          <w:color w:val="000000"/>
        </w:rPr>
        <w:t>zur Abänderung d</w:t>
      </w:r>
      <w:r>
        <w:rPr>
          <w:color w:val="000000"/>
        </w:rPr>
        <w:t>es KE/EStGB </w:t>
      </w:r>
      <w:r w:rsidRPr="00F279DC">
        <w:rPr>
          <w:color w:val="000000"/>
        </w:rPr>
        <w:t>92</w:t>
      </w:r>
      <w:r w:rsidRPr="00EF4F2F">
        <w:t xml:space="preserve"> </w:t>
      </w:r>
      <w:r w:rsidRPr="00F279DC">
        <w:rPr>
          <w:color w:val="000000"/>
        </w:rPr>
        <w:t>hinsichtlich</w:t>
      </w:r>
      <w:r w:rsidRPr="00EF4F2F">
        <w:rPr>
          <w:color w:val="000000"/>
        </w:rPr>
        <w:t xml:space="preserve"> </w:t>
      </w:r>
      <w:r>
        <w:rPr>
          <w:color w:val="000000"/>
        </w:rPr>
        <w:t xml:space="preserve">des </w:t>
      </w:r>
      <w:r w:rsidRPr="00D26C88">
        <w:rPr>
          <w:color w:val="000000"/>
        </w:rPr>
        <w:t>Mobilien</w:t>
      </w:r>
      <w:r w:rsidRPr="00BA31CF">
        <w:rPr>
          <w:color w:val="000000"/>
        </w:rPr>
        <w:t>steuervorabzug</w:t>
      </w:r>
      <w:r>
        <w:rPr>
          <w:color w:val="000000"/>
        </w:rPr>
        <w:t xml:space="preserve">s </w:t>
      </w:r>
      <w:r w:rsidRPr="00EF4F2F">
        <w:rPr>
          <w:color w:val="000000"/>
        </w:rPr>
        <w:t>im Hinblick a</w:t>
      </w:r>
      <w:r>
        <w:rPr>
          <w:color w:val="000000"/>
        </w:rPr>
        <w:t xml:space="preserve">uf die Umsetzung der Richtlinie vom 22. Dezember 2003 </w:t>
      </w:r>
      <w:r w:rsidRPr="00895EC7">
        <w:rPr>
          <w:color w:val="000000"/>
        </w:rPr>
        <w:t>zur Änderung der Richtlinie</w:t>
      </w:r>
      <w:r>
        <w:rPr>
          <w:color w:val="000000"/>
        </w:rPr>
        <w:t xml:space="preserve"> vom 23. Juli 1990</w:t>
      </w:r>
      <w:r w:rsidRPr="00895EC7">
        <w:rPr>
          <w:color w:val="000000"/>
        </w:rPr>
        <w:t xml:space="preserve"> über das gemeinsame Steuersystem der Mutter- und Tochtergesellschaften verschiedener Mitgliedstaaten</w:t>
      </w:r>
      <w:r w:rsidRPr="00CF1706">
        <w:rPr>
          <w:color w:val="000000"/>
        </w:rPr>
        <w:t>,</w:t>
      </w:r>
    </w:p>
    <w:p w14:paraId="5AF83344" w14:textId="77777777" w:rsidR="005A5BD5" w:rsidRPr="00CF1706" w:rsidRDefault="005A5BD5" w:rsidP="005A5BD5">
      <w:pPr>
        <w:jc w:val="both"/>
        <w:rPr>
          <w:color w:val="000000"/>
        </w:rPr>
      </w:pPr>
    </w:p>
    <w:p w14:paraId="7ED39A88" w14:textId="77777777" w:rsidR="005A5BD5" w:rsidRPr="00CF1706" w:rsidRDefault="005A5BD5" w:rsidP="005A5BD5">
      <w:pPr>
        <w:jc w:val="both"/>
        <w:rPr>
          <w:color w:val="000000"/>
        </w:rPr>
      </w:pPr>
      <w:r w:rsidRPr="00CF1706">
        <w:rPr>
          <w:color w:val="000000"/>
        </w:rPr>
        <w:lastRenderedPageBreak/>
        <w:t xml:space="preserve">- den Königlichen Erlass vom 13. Juni 2005 </w:t>
      </w:r>
      <w:r w:rsidRPr="008661A9">
        <w:rPr>
          <w:color w:val="000000"/>
        </w:rPr>
        <w:t>zur Abänderung des KE/EStGB</w:t>
      </w:r>
      <w:r>
        <w:rPr>
          <w:color w:val="000000"/>
        </w:rPr>
        <w:t> </w:t>
      </w:r>
      <w:r w:rsidRPr="008661A9">
        <w:rPr>
          <w:color w:val="000000"/>
        </w:rPr>
        <w:t>92 hinsichtlich des Neubewertungskoeffizienten für Katastereinkommen</w:t>
      </w:r>
      <w:r w:rsidRPr="00CF1706">
        <w:rPr>
          <w:color w:val="000000"/>
        </w:rPr>
        <w:t>,</w:t>
      </w:r>
    </w:p>
    <w:p w14:paraId="16DC43A7" w14:textId="77777777" w:rsidR="005A5BD5" w:rsidRPr="00CF1706" w:rsidRDefault="005A5BD5" w:rsidP="005A5BD5">
      <w:pPr>
        <w:jc w:val="both"/>
        <w:rPr>
          <w:color w:val="000000"/>
        </w:rPr>
      </w:pPr>
    </w:p>
    <w:p w14:paraId="1B1C150B" w14:textId="77777777" w:rsidR="005A5BD5" w:rsidRPr="00CF1706" w:rsidRDefault="005A5BD5" w:rsidP="005A5BD5">
      <w:pPr>
        <w:jc w:val="both"/>
        <w:rPr>
          <w:color w:val="000000"/>
        </w:rPr>
      </w:pPr>
      <w:r w:rsidRPr="00CF1706">
        <w:rPr>
          <w:color w:val="000000"/>
        </w:rPr>
        <w:t xml:space="preserve">- den Königlichen Erlass vom 28. Juni 2005 </w:t>
      </w:r>
      <w:r w:rsidRPr="00F279DC">
        <w:rPr>
          <w:color w:val="000000"/>
        </w:rPr>
        <w:t>zur Abänderung d</w:t>
      </w:r>
      <w:r>
        <w:rPr>
          <w:color w:val="000000"/>
        </w:rPr>
        <w:t>es KE/EStGB </w:t>
      </w:r>
      <w:r w:rsidRPr="00F279DC">
        <w:rPr>
          <w:color w:val="000000"/>
        </w:rPr>
        <w:t>92</w:t>
      </w:r>
      <w:r w:rsidRPr="00EF4F2F">
        <w:t xml:space="preserve"> </w:t>
      </w:r>
      <w:r w:rsidRPr="00F279DC">
        <w:rPr>
          <w:color w:val="000000"/>
        </w:rPr>
        <w:t>hinsichtlich</w:t>
      </w:r>
      <w:r w:rsidRPr="00EF4F2F">
        <w:rPr>
          <w:color w:val="000000"/>
        </w:rPr>
        <w:t xml:space="preserve"> </w:t>
      </w:r>
      <w:r>
        <w:rPr>
          <w:color w:val="000000"/>
        </w:rPr>
        <w:t xml:space="preserve">des </w:t>
      </w:r>
      <w:r w:rsidRPr="00BA31CF">
        <w:rPr>
          <w:color w:val="000000"/>
        </w:rPr>
        <w:t>Berufssteuervorabzug</w:t>
      </w:r>
      <w:r>
        <w:rPr>
          <w:color w:val="000000"/>
        </w:rPr>
        <w:t>s</w:t>
      </w:r>
      <w:r w:rsidRPr="00CF1706">
        <w:rPr>
          <w:color w:val="000000"/>
        </w:rPr>
        <w:t>,</w:t>
      </w:r>
    </w:p>
    <w:p w14:paraId="1F600364" w14:textId="77777777" w:rsidR="005A5BD5" w:rsidRPr="00CF1706" w:rsidRDefault="005A5BD5" w:rsidP="005A5BD5">
      <w:pPr>
        <w:jc w:val="both"/>
        <w:rPr>
          <w:color w:val="000000"/>
        </w:rPr>
      </w:pPr>
    </w:p>
    <w:p w14:paraId="416ED63D" w14:textId="77777777" w:rsidR="005A5BD5" w:rsidRPr="00CF1706" w:rsidRDefault="005A5BD5" w:rsidP="005A5BD5">
      <w:pPr>
        <w:jc w:val="both"/>
        <w:rPr>
          <w:color w:val="000000"/>
        </w:rPr>
      </w:pPr>
      <w:r w:rsidRPr="00CF1706">
        <w:rPr>
          <w:color w:val="000000"/>
        </w:rPr>
        <w:t xml:space="preserve">- den Königlichen Erlass vom 3. Juli 2005 </w:t>
      </w:r>
      <w:r>
        <w:rPr>
          <w:color w:val="000000"/>
        </w:rPr>
        <w:t>zur Abänderung des KE/EStGB </w:t>
      </w:r>
      <w:r w:rsidRPr="00F629D6">
        <w:rPr>
          <w:color w:val="000000"/>
        </w:rPr>
        <w:t>92 hinsichtlich</w:t>
      </w:r>
      <w:r w:rsidRPr="00CF1706">
        <w:rPr>
          <w:color w:val="000000"/>
        </w:rPr>
        <w:t xml:space="preserve"> </w:t>
      </w:r>
      <w:r>
        <w:rPr>
          <w:color w:val="000000"/>
        </w:rPr>
        <w:t xml:space="preserve">des </w:t>
      </w:r>
      <w:r w:rsidRPr="000B664E">
        <w:rPr>
          <w:color w:val="000000"/>
        </w:rPr>
        <w:t>Mobiliensteuervorabzug</w:t>
      </w:r>
      <w:r>
        <w:rPr>
          <w:color w:val="000000"/>
        </w:rPr>
        <w:t>s</w:t>
      </w:r>
      <w:r w:rsidRPr="00CF1706">
        <w:rPr>
          <w:color w:val="000000"/>
        </w:rPr>
        <w:t>,</w:t>
      </w:r>
    </w:p>
    <w:p w14:paraId="541DC3DE" w14:textId="77777777" w:rsidR="005A5BD5" w:rsidRPr="00CF1706" w:rsidRDefault="005A5BD5" w:rsidP="005A5BD5">
      <w:pPr>
        <w:jc w:val="both"/>
        <w:rPr>
          <w:color w:val="000000"/>
        </w:rPr>
      </w:pPr>
    </w:p>
    <w:p w14:paraId="14EFF018" w14:textId="77777777" w:rsidR="005A5BD5" w:rsidRPr="00CF1706" w:rsidRDefault="005A5BD5" w:rsidP="005A5BD5">
      <w:pPr>
        <w:jc w:val="both"/>
        <w:rPr>
          <w:color w:val="000000"/>
        </w:rPr>
      </w:pPr>
      <w:r w:rsidRPr="00CF1706">
        <w:rPr>
          <w:color w:val="000000"/>
        </w:rPr>
        <w:t xml:space="preserve">- den Königlichen Erlass vom 12. Juli 2005 </w:t>
      </w:r>
      <w:r>
        <w:rPr>
          <w:color w:val="000000"/>
        </w:rPr>
        <w:t>zur Abänderung des KE/EStGB </w:t>
      </w:r>
      <w:r w:rsidRPr="008661A9">
        <w:rPr>
          <w:color w:val="000000"/>
        </w:rPr>
        <w:t>92 hinsichtlich des Berufssteuervorabzugs</w:t>
      </w:r>
      <w:r w:rsidRPr="00CF1706">
        <w:rPr>
          <w:color w:val="000000"/>
        </w:rPr>
        <w:t xml:space="preserve"> </w:t>
      </w:r>
      <w:r w:rsidRPr="00CF1706">
        <w:rPr>
          <w:i/>
          <w:color w:val="000000"/>
        </w:rPr>
        <w:t>(I)</w:t>
      </w:r>
      <w:r w:rsidRPr="00CF1706">
        <w:rPr>
          <w:color w:val="000000"/>
        </w:rPr>
        <w:t>,</w:t>
      </w:r>
    </w:p>
    <w:p w14:paraId="53DA9764" w14:textId="77777777" w:rsidR="005A5BD5" w:rsidRPr="00CF1706" w:rsidRDefault="005A5BD5" w:rsidP="005A5BD5">
      <w:pPr>
        <w:jc w:val="both"/>
        <w:rPr>
          <w:color w:val="000000"/>
        </w:rPr>
      </w:pPr>
    </w:p>
    <w:p w14:paraId="03EECCE5" w14:textId="77777777" w:rsidR="005A5BD5" w:rsidRPr="00CF1706" w:rsidRDefault="005A5BD5" w:rsidP="005A5BD5">
      <w:pPr>
        <w:jc w:val="both"/>
        <w:rPr>
          <w:color w:val="000000"/>
        </w:rPr>
      </w:pPr>
      <w:r w:rsidRPr="00CF1706">
        <w:rPr>
          <w:color w:val="000000"/>
        </w:rPr>
        <w:t xml:space="preserve">- den Königlichen Erlass vom 12. Juli 2005 </w:t>
      </w:r>
      <w:r w:rsidRPr="008661A9">
        <w:rPr>
          <w:color w:val="000000"/>
        </w:rPr>
        <w:t>zur Abänderung des KE/EStGB</w:t>
      </w:r>
      <w:r>
        <w:rPr>
          <w:color w:val="000000"/>
        </w:rPr>
        <w:t> </w:t>
      </w:r>
      <w:r w:rsidRPr="008661A9">
        <w:rPr>
          <w:color w:val="000000"/>
        </w:rPr>
        <w:t>92 hinsichtlich der Steuerbefreiung für bestimmte unentgeltliche Zuwendungen</w:t>
      </w:r>
      <w:r w:rsidRPr="00CF1706">
        <w:rPr>
          <w:color w:val="000000"/>
        </w:rPr>
        <w:t xml:space="preserve"> </w:t>
      </w:r>
      <w:r w:rsidRPr="00CF1706">
        <w:rPr>
          <w:i/>
          <w:color w:val="000000"/>
        </w:rPr>
        <w:t>(II)</w:t>
      </w:r>
      <w:r w:rsidRPr="00CF1706">
        <w:rPr>
          <w:color w:val="000000"/>
        </w:rPr>
        <w:t>,</w:t>
      </w:r>
    </w:p>
    <w:p w14:paraId="7B372070" w14:textId="77777777" w:rsidR="005A5BD5" w:rsidRPr="00CF1706" w:rsidRDefault="005A5BD5" w:rsidP="005A5BD5">
      <w:pPr>
        <w:jc w:val="both"/>
        <w:rPr>
          <w:color w:val="000000"/>
        </w:rPr>
      </w:pPr>
    </w:p>
    <w:p w14:paraId="0CE4722F" w14:textId="77777777" w:rsidR="005A5BD5" w:rsidRPr="00CF1706" w:rsidRDefault="005A5BD5" w:rsidP="005A5BD5">
      <w:pPr>
        <w:jc w:val="both"/>
        <w:rPr>
          <w:color w:val="000000"/>
        </w:rPr>
      </w:pPr>
      <w:r w:rsidRPr="00CF1706">
        <w:rPr>
          <w:color w:val="000000"/>
        </w:rPr>
        <w:t xml:space="preserve">- den Königlichen Erlass vom 4. August 2005 </w:t>
      </w:r>
      <w:r>
        <w:rPr>
          <w:color w:val="000000"/>
        </w:rPr>
        <w:t>zur Festlegung der in Artikel 275</w:t>
      </w:r>
      <w:r w:rsidRPr="00602CFD">
        <w:rPr>
          <w:color w:val="000000"/>
          <w:vertAlign w:val="superscript"/>
        </w:rPr>
        <w:t>1</w:t>
      </w:r>
      <w:r>
        <w:rPr>
          <w:color w:val="000000"/>
        </w:rPr>
        <w:t xml:space="preserve"> des </w:t>
      </w:r>
      <w:r w:rsidRPr="00CF1706">
        <w:rPr>
          <w:color w:val="000000"/>
        </w:rPr>
        <w:t>Einkommensteuergesetzbuches 1992</w:t>
      </w:r>
      <w:r>
        <w:rPr>
          <w:color w:val="000000"/>
        </w:rPr>
        <w:t xml:space="preserve"> vorgesehenen Anwendungsmodalitäten und zur </w:t>
      </w:r>
      <w:r w:rsidRPr="008661A9">
        <w:rPr>
          <w:color w:val="000000"/>
        </w:rPr>
        <w:t>Abänderung des KE/EStGB</w:t>
      </w:r>
      <w:r>
        <w:rPr>
          <w:color w:val="000000"/>
        </w:rPr>
        <w:t> </w:t>
      </w:r>
      <w:r w:rsidRPr="008661A9">
        <w:rPr>
          <w:color w:val="000000"/>
        </w:rPr>
        <w:t>92 hinsichtlich</w:t>
      </w:r>
      <w:r>
        <w:rPr>
          <w:color w:val="000000"/>
        </w:rPr>
        <w:t xml:space="preserve"> </w:t>
      </w:r>
      <w:r w:rsidRPr="00602CFD">
        <w:rPr>
          <w:color w:val="000000"/>
        </w:rPr>
        <w:t>der Befreiung von der Zahlung des Berufssteuervorabzugs</w:t>
      </w:r>
      <w:r w:rsidRPr="00CF1706">
        <w:rPr>
          <w:color w:val="000000"/>
        </w:rPr>
        <w:t>,</w:t>
      </w:r>
    </w:p>
    <w:p w14:paraId="32FD348A" w14:textId="77777777" w:rsidR="005A5BD5" w:rsidRPr="00CF1706" w:rsidRDefault="005A5BD5" w:rsidP="005A5BD5">
      <w:pPr>
        <w:jc w:val="both"/>
        <w:rPr>
          <w:color w:val="000000"/>
        </w:rPr>
      </w:pPr>
    </w:p>
    <w:p w14:paraId="36D56634" w14:textId="77777777" w:rsidR="005A5BD5" w:rsidRPr="00CF1706" w:rsidRDefault="005A5BD5" w:rsidP="005A5BD5">
      <w:pPr>
        <w:jc w:val="both"/>
        <w:rPr>
          <w:color w:val="000000"/>
        </w:rPr>
      </w:pPr>
      <w:r w:rsidRPr="00CF1706">
        <w:rPr>
          <w:color w:val="000000"/>
        </w:rPr>
        <w:t xml:space="preserve">- den Königlichen Erlass vom 24. August 2005 </w:t>
      </w:r>
      <w:r w:rsidRPr="00602CFD">
        <w:rPr>
          <w:color w:val="000000"/>
        </w:rPr>
        <w:t>zur Abänderung des KE/EStGB</w:t>
      </w:r>
      <w:r>
        <w:rPr>
          <w:color w:val="000000"/>
        </w:rPr>
        <w:t> </w:t>
      </w:r>
      <w:r w:rsidRPr="00602CFD">
        <w:rPr>
          <w:color w:val="000000"/>
        </w:rPr>
        <w:t>92 hinsichtlich des Berufssteuervorabzugs</w:t>
      </w:r>
      <w:r w:rsidRPr="00CF1706">
        <w:rPr>
          <w:color w:val="000000"/>
        </w:rPr>
        <w:t>,</w:t>
      </w:r>
    </w:p>
    <w:p w14:paraId="33BEAB17" w14:textId="77777777" w:rsidR="005A5BD5" w:rsidRPr="00CF1706" w:rsidRDefault="005A5BD5" w:rsidP="005A5BD5">
      <w:pPr>
        <w:jc w:val="both"/>
        <w:rPr>
          <w:color w:val="000000"/>
        </w:rPr>
      </w:pPr>
    </w:p>
    <w:p w14:paraId="34B64ECC" w14:textId="77777777" w:rsidR="005A5BD5" w:rsidRPr="00CF1706" w:rsidRDefault="005A5BD5" w:rsidP="005A5BD5">
      <w:pPr>
        <w:jc w:val="both"/>
        <w:rPr>
          <w:color w:val="000000"/>
        </w:rPr>
      </w:pPr>
      <w:r w:rsidRPr="00CF1706">
        <w:rPr>
          <w:color w:val="000000"/>
        </w:rPr>
        <w:t xml:space="preserve">- den Königlichen Erlass vom 2. September 2005 </w:t>
      </w:r>
      <w:r>
        <w:rPr>
          <w:color w:val="000000"/>
        </w:rPr>
        <w:t xml:space="preserve">zur Abänderung von Artikel 182 des </w:t>
      </w:r>
      <w:r w:rsidRPr="006E6979">
        <w:rPr>
          <w:color w:val="000000"/>
        </w:rPr>
        <w:t>Königliche</w:t>
      </w:r>
      <w:r>
        <w:rPr>
          <w:color w:val="000000"/>
        </w:rPr>
        <w:t>n</w:t>
      </w:r>
      <w:r w:rsidRPr="006E6979">
        <w:rPr>
          <w:color w:val="000000"/>
        </w:rPr>
        <w:t xml:space="preserve"> Erlass</w:t>
      </w:r>
      <w:r>
        <w:rPr>
          <w:color w:val="000000"/>
        </w:rPr>
        <w:t>es</w:t>
      </w:r>
      <w:r w:rsidRPr="006E6979">
        <w:rPr>
          <w:color w:val="000000"/>
        </w:rPr>
        <w:t xml:space="preserve"> zur Ausführung des Einkommensteuergesetzbuches</w:t>
      </w:r>
      <w:r>
        <w:rPr>
          <w:color w:val="000000"/>
        </w:rPr>
        <w:t> </w:t>
      </w:r>
      <w:r w:rsidRPr="006E6979">
        <w:rPr>
          <w:color w:val="000000"/>
        </w:rPr>
        <w:t>1992</w:t>
      </w:r>
      <w:r w:rsidRPr="00CF1706">
        <w:rPr>
          <w:color w:val="000000"/>
        </w:rPr>
        <w:t>,</w:t>
      </w:r>
    </w:p>
    <w:p w14:paraId="50F9BFDA" w14:textId="77777777" w:rsidR="005A5BD5" w:rsidRPr="00CF1706" w:rsidRDefault="005A5BD5" w:rsidP="005A5BD5">
      <w:pPr>
        <w:jc w:val="both"/>
        <w:rPr>
          <w:color w:val="000000"/>
        </w:rPr>
      </w:pPr>
    </w:p>
    <w:p w14:paraId="1841DC93" w14:textId="77777777" w:rsidR="005A5BD5" w:rsidRPr="00CF1706" w:rsidRDefault="005A5BD5" w:rsidP="005A5BD5">
      <w:pPr>
        <w:jc w:val="both"/>
        <w:rPr>
          <w:color w:val="000000"/>
        </w:rPr>
      </w:pPr>
      <w:r w:rsidRPr="00CF1706">
        <w:rPr>
          <w:color w:val="000000"/>
        </w:rPr>
        <w:t xml:space="preserve">- den Königlichen Erlass vom 17. September 2005 </w:t>
      </w:r>
      <w:r>
        <w:rPr>
          <w:color w:val="000000"/>
        </w:rPr>
        <w:t xml:space="preserve">zur Aufhebung von Artikel 160 des </w:t>
      </w:r>
      <w:r w:rsidRPr="006E6979">
        <w:rPr>
          <w:color w:val="000000"/>
        </w:rPr>
        <w:t>Königliche</w:t>
      </w:r>
      <w:r>
        <w:rPr>
          <w:color w:val="000000"/>
        </w:rPr>
        <w:t>n</w:t>
      </w:r>
      <w:r w:rsidRPr="006E6979">
        <w:rPr>
          <w:color w:val="000000"/>
        </w:rPr>
        <w:t xml:space="preserve"> Erlass</w:t>
      </w:r>
      <w:r>
        <w:rPr>
          <w:color w:val="000000"/>
        </w:rPr>
        <w:t>es</w:t>
      </w:r>
      <w:r w:rsidRPr="006E6979">
        <w:rPr>
          <w:color w:val="000000"/>
        </w:rPr>
        <w:t xml:space="preserve"> zur Ausführung des Einkommensteuergesetzbuches</w:t>
      </w:r>
      <w:r>
        <w:rPr>
          <w:color w:val="000000"/>
        </w:rPr>
        <w:t> </w:t>
      </w:r>
      <w:r w:rsidRPr="006E6979">
        <w:rPr>
          <w:color w:val="000000"/>
        </w:rPr>
        <w:t>1992</w:t>
      </w:r>
      <w:r w:rsidRPr="00CF1706">
        <w:rPr>
          <w:color w:val="000000"/>
        </w:rPr>
        <w:t xml:space="preserve"> </w:t>
      </w:r>
      <w:r w:rsidRPr="00CF1706">
        <w:rPr>
          <w:i/>
          <w:color w:val="000000"/>
        </w:rPr>
        <w:t>(I)</w:t>
      </w:r>
      <w:r w:rsidRPr="00CF1706">
        <w:rPr>
          <w:color w:val="000000"/>
        </w:rPr>
        <w:t>,</w:t>
      </w:r>
    </w:p>
    <w:p w14:paraId="31B7A6BB" w14:textId="77777777" w:rsidR="005A5BD5" w:rsidRPr="00CF1706" w:rsidRDefault="005A5BD5" w:rsidP="005A5BD5">
      <w:pPr>
        <w:jc w:val="both"/>
        <w:rPr>
          <w:color w:val="000000"/>
        </w:rPr>
      </w:pPr>
    </w:p>
    <w:p w14:paraId="6D8417AB" w14:textId="77777777" w:rsidR="005A5BD5" w:rsidRPr="00CF1706" w:rsidRDefault="005A5BD5" w:rsidP="005A5BD5">
      <w:pPr>
        <w:jc w:val="both"/>
        <w:rPr>
          <w:color w:val="000000"/>
        </w:rPr>
      </w:pPr>
      <w:r w:rsidRPr="00CF1706">
        <w:rPr>
          <w:color w:val="000000"/>
        </w:rPr>
        <w:t xml:space="preserve">- den Königlichen Erlass vom 17. September 2005 </w:t>
      </w:r>
      <w:r w:rsidRPr="00602CFD">
        <w:rPr>
          <w:color w:val="000000"/>
        </w:rPr>
        <w:t>zur Abänderung des KE/EStGB</w:t>
      </w:r>
      <w:r>
        <w:rPr>
          <w:color w:val="000000"/>
        </w:rPr>
        <w:t> </w:t>
      </w:r>
      <w:r w:rsidRPr="00602CFD">
        <w:rPr>
          <w:color w:val="000000"/>
        </w:rPr>
        <w:t>92</w:t>
      </w:r>
      <w:r>
        <w:rPr>
          <w:color w:val="000000"/>
        </w:rPr>
        <w:t xml:space="preserve"> in Ausführung des </w:t>
      </w:r>
      <w:r w:rsidRPr="006E6979">
        <w:rPr>
          <w:color w:val="000000"/>
        </w:rPr>
        <w:t>Gesetz</w:t>
      </w:r>
      <w:r>
        <w:rPr>
          <w:color w:val="000000"/>
        </w:rPr>
        <w:t>es vom 22. Juni 2005</w:t>
      </w:r>
      <w:r w:rsidRPr="006E6979">
        <w:rPr>
          <w:color w:val="000000"/>
        </w:rPr>
        <w:t xml:space="preserve"> zur Einführung eines Steuerabzugs für Risikokapital</w:t>
      </w:r>
      <w:r w:rsidRPr="00CF1706">
        <w:rPr>
          <w:color w:val="000000"/>
        </w:rPr>
        <w:t xml:space="preserve"> </w:t>
      </w:r>
      <w:r w:rsidRPr="00CF1706">
        <w:rPr>
          <w:i/>
          <w:color w:val="000000"/>
        </w:rPr>
        <w:t>(II)</w:t>
      </w:r>
      <w:r w:rsidRPr="00CF1706">
        <w:rPr>
          <w:color w:val="000000"/>
        </w:rPr>
        <w:t>,</w:t>
      </w:r>
    </w:p>
    <w:p w14:paraId="7F8CDCC0" w14:textId="77777777" w:rsidR="005A5BD5" w:rsidRPr="00CF1706" w:rsidRDefault="005A5BD5" w:rsidP="005A5BD5">
      <w:pPr>
        <w:jc w:val="both"/>
        <w:rPr>
          <w:color w:val="000000"/>
        </w:rPr>
      </w:pPr>
    </w:p>
    <w:p w14:paraId="59FDA5AA" w14:textId="77777777" w:rsidR="005A5BD5" w:rsidRPr="00CF1706" w:rsidRDefault="005A5BD5" w:rsidP="005A5BD5">
      <w:pPr>
        <w:jc w:val="both"/>
        <w:rPr>
          <w:color w:val="000000"/>
        </w:rPr>
      </w:pPr>
      <w:r w:rsidRPr="00CF1706">
        <w:rPr>
          <w:color w:val="000000"/>
        </w:rPr>
        <w:t xml:space="preserve">- den Königlichen Erlass vom 14. Oktober 2005 </w:t>
      </w:r>
      <w:r w:rsidRPr="009E531A">
        <w:rPr>
          <w:color w:val="000000"/>
        </w:rPr>
        <w:t xml:space="preserve">zur Abänderung </w:t>
      </w:r>
      <w:r>
        <w:rPr>
          <w:color w:val="000000"/>
        </w:rPr>
        <w:t>von Artikel 73</w:t>
      </w:r>
      <w:r w:rsidRPr="00453AEC">
        <w:rPr>
          <w:color w:val="000000"/>
          <w:vertAlign w:val="superscript"/>
        </w:rPr>
        <w:t>4</w:t>
      </w:r>
      <w:r w:rsidRPr="00453AEC">
        <w:rPr>
          <w:i/>
          <w:color w:val="000000"/>
          <w:vertAlign w:val="superscript"/>
        </w:rPr>
        <w:t>quater</w:t>
      </w:r>
      <w:r>
        <w:rPr>
          <w:color w:val="000000"/>
        </w:rPr>
        <w:t xml:space="preserve"> </w:t>
      </w:r>
      <w:r w:rsidRPr="009E531A">
        <w:rPr>
          <w:color w:val="000000"/>
        </w:rPr>
        <w:t>des KE/EStGB</w:t>
      </w:r>
      <w:r>
        <w:rPr>
          <w:color w:val="000000"/>
        </w:rPr>
        <w:t> </w:t>
      </w:r>
      <w:r w:rsidRPr="009E531A">
        <w:rPr>
          <w:color w:val="000000"/>
        </w:rPr>
        <w:t xml:space="preserve">92 </w:t>
      </w:r>
      <w:r w:rsidRPr="00303770">
        <w:rPr>
          <w:color w:val="000000"/>
        </w:rPr>
        <w:t>in Bezug auf die Liste der Länder, deren Bestimmungen des allgemeinen Rechts in Bezug auf Steuern erheblich vorteilhafter als in Belgien sind</w:t>
      </w:r>
      <w:r w:rsidRPr="00CF1706">
        <w:rPr>
          <w:color w:val="000000"/>
        </w:rPr>
        <w:t>,</w:t>
      </w:r>
    </w:p>
    <w:p w14:paraId="72C94498" w14:textId="77777777" w:rsidR="005A5BD5" w:rsidRPr="00CF1706" w:rsidRDefault="005A5BD5" w:rsidP="005A5BD5">
      <w:pPr>
        <w:jc w:val="both"/>
        <w:rPr>
          <w:color w:val="000000"/>
        </w:rPr>
      </w:pPr>
    </w:p>
    <w:p w14:paraId="2E597341" w14:textId="77777777" w:rsidR="005A5BD5" w:rsidRPr="00CF1706" w:rsidRDefault="005A5BD5" w:rsidP="005A5BD5">
      <w:pPr>
        <w:jc w:val="both"/>
        <w:rPr>
          <w:color w:val="000000"/>
        </w:rPr>
      </w:pPr>
      <w:r w:rsidRPr="00CF1706">
        <w:rPr>
          <w:color w:val="000000"/>
        </w:rPr>
        <w:t>- den Königlichen Erlass vom 10. November 2005</w:t>
      </w:r>
      <w:r>
        <w:rPr>
          <w:color w:val="000000"/>
        </w:rPr>
        <w:t xml:space="preserve"> </w:t>
      </w:r>
      <w:r w:rsidRPr="008661A9">
        <w:rPr>
          <w:color w:val="000000"/>
        </w:rPr>
        <w:t>zur Abänderung des KE/EStGB</w:t>
      </w:r>
      <w:r>
        <w:rPr>
          <w:color w:val="000000"/>
        </w:rPr>
        <w:t> </w:t>
      </w:r>
      <w:r w:rsidRPr="008661A9">
        <w:rPr>
          <w:color w:val="000000"/>
        </w:rPr>
        <w:t>92 hinsichtlich</w:t>
      </w:r>
      <w:r>
        <w:rPr>
          <w:color w:val="000000"/>
        </w:rPr>
        <w:t xml:space="preserve"> des</w:t>
      </w:r>
      <w:r w:rsidRPr="00CF1706">
        <w:rPr>
          <w:color w:val="000000"/>
        </w:rPr>
        <w:t xml:space="preserve"> </w:t>
      </w:r>
      <w:r w:rsidRPr="00505013">
        <w:rPr>
          <w:color w:val="000000"/>
        </w:rPr>
        <w:t>Pensionssparen</w:t>
      </w:r>
      <w:r>
        <w:rPr>
          <w:color w:val="000000"/>
        </w:rPr>
        <w:t>s</w:t>
      </w:r>
      <w:r w:rsidRPr="00CF1706">
        <w:rPr>
          <w:color w:val="000000"/>
        </w:rPr>
        <w:t>,</w:t>
      </w:r>
    </w:p>
    <w:p w14:paraId="38A75E27" w14:textId="77777777" w:rsidR="005A5BD5" w:rsidRDefault="005A5BD5" w:rsidP="005A5BD5">
      <w:pPr>
        <w:jc w:val="both"/>
        <w:rPr>
          <w:color w:val="000000"/>
        </w:rPr>
      </w:pPr>
    </w:p>
    <w:p w14:paraId="07D3DA55" w14:textId="77777777" w:rsidR="006C7575" w:rsidRDefault="006C7575" w:rsidP="006C7575">
      <w:pPr>
        <w:jc w:val="both"/>
        <w:rPr>
          <w:b/>
          <w:color w:val="000000"/>
        </w:rPr>
      </w:pPr>
      <w:r>
        <w:rPr>
          <w:color w:val="000000"/>
        </w:rPr>
        <w:t>- den Königlichen Erlass vom 2. Dezember 2015 zur Abänderung des KE/EStGB 92 hinsichtlich des Investitionsabzugs für digitale Investitionen (</w:t>
      </w:r>
      <w:r>
        <w:rPr>
          <w:i/>
          <w:color w:val="000000"/>
        </w:rPr>
        <w:t>Belgisches Staatsblatt</w:t>
      </w:r>
      <w:r>
        <w:rPr>
          <w:color w:val="000000"/>
        </w:rPr>
        <w:t xml:space="preserve"> vom 9. März 2017),</w:t>
      </w:r>
    </w:p>
    <w:p w14:paraId="656BB263" w14:textId="77777777" w:rsidR="006C7575" w:rsidRDefault="006C7575" w:rsidP="005A5BD5">
      <w:pPr>
        <w:jc w:val="both"/>
        <w:rPr>
          <w:color w:val="000000"/>
        </w:rPr>
      </w:pPr>
    </w:p>
    <w:p w14:paraId="6FA7730D" w14:textId="77777777" w:rsidR="005A5BD5" w:rsidRPr="00CF1706" w:rsidRDefault="005A5BD5" w:rsidP="005A5BD5">
      <w:pPr>
        <w:jc w:val="both"/>
        <w:rPr>
          <w:color w:val="000000"/>
        </w:rPr>
      </w:pPr>
      <w:r w:rsidRPr="00CF1706">
        <w:rPr>
          <w:color w:val="000000"/>
        </w:rPr>
        <w:t xml:space="preserve">- den Königlichen Erlass vom 3. Dezember 2005 </w:t>
      </w:r>
      <w:r>
        <w:rPr>
          <w:color w:val="000000"/>
        </w:rPr>
        <w:t xml:space="preserve">zur Abänderung der Artikel 164 und 165 </w:t>
      </w:r>
      <w:r w:rsidRPr="008661A9">
        <w:rPr>
          <w:color w:val="000000"/>
        </w:rPr>
        <w:t>des KE/EStGB</w:t>
      </w:r>
      <w:r>
        <w:rPr>
          <w:color w:val="000000"/>
        </w:rPr>
        <w:t> </w:t>
      </w:r>
      <w:r w:rsidRPr="008661A9">
        <w:rPr>
          <w:color w:val="000000"/>
        </w:rPr>
        <w:t>92</w:t>
      </w:r>
      <w:r w:rsidRPr="00CF1706">
        <w:rPr>
          <w:color w:val="000000"/>
        </w:rPr>
        <w:t>,</w:t>
      </w:r>
    </w:p>
    <w:p w14:paraId="05F5B9EE" w14:textId="77777777" w:rsidR="005A5BD5" w:rsidRPr="00CF1706" w:rsidRDefault="005A5BD5" w:rsidP="005A5BD5">
      <w:pPr>
        <w:jc w:val="both"/>
        <w:rPr>
          <w:color w:val="000000"/>
        </w:rPr>
      </w:pPr>
    </w:p>
    <w:p w14:paraId="3EEA8AD8" w14:textId="77777777" w:rsidR="005A5BD5" w:rsidRPr="00CF1706" w:rsidRDefault="005A5BD5" w:rsidP="005A5BD5">
      <w:pPr>
        <w:jc w:val="both"/>
        <w:rPr>
          <w:color w:val="000000"/>
        </w:rPr>
      </w:pPr>
      <w:r w:rsidRPr="00CF1706">
        <w:rPr>
          <w:color w:val="000000"/>
        </w:rPr>
        <w:t xml:space="preserve">- den Königlichen Erlass vom 15. Dezember 2005 </w:t>
      </w:r>
      <w:r w:rsidRPr="00505013">
        <w:rPr>
          <w:color w:val="000000"/>
        </w:rPr>
        <w:t>zur Abänderung des KE/EStGB</w:t>
      </w:r>
      <w:r>
        <w:rPr>
          <w:color w:val="000000"/>
        </w:rPr>
        <w:t> </w:t>
      </w:r>
      <w:r w:rsidRPr="00505013">
        <w:rPr>
          <w:color w:val="000000"/>
        </w:rPr>
        <w:t>92 hinsichtlich des Berufssteuervorabzugs</w:t>
      </w:r>
      <w:r w:rsidRPr="00CF1706">
        <w:rPr>
          <w:color w:val="000000"/>
        </w:rPr>
        <w:t>,</w:t>
      </w:r>
    </w:p>
    <w:p w14:paraId="46DD60D4" w14:textId="77777777" w:rsidR="005A5BD5" w:rsidRPr="00CF1706" w:rsidRDefault="005A5BD5" w:rsidP="005A5BD5">
      <w:pPr>
        <w:jc w:val="both"/>
        <w:rPr>
          <w:color w:val="000000"/>
        </w:rPr>
      </w:pPr>
    </w:p>
    <w:p w14:paraId="35D86F1F" w14:textId="77777777" w:rsidR="005A5BD5" w:rsidRPr="00CF1706" w:rsidRDefault="005A5BD5" w:rsidP="005A5BD5">
      <w:pPr>
        <w:jc w:val="both"/>
        <w:rPr>
          <w:color w:val="000000"/>
        </w:rPr>
      </w:pPr>
      <w:r w:rsidRPr="00CF1706">
        <w:rPr>
          <w:color w:val="000000"/>
        </w:rPr>
        <w:lastRenderedPageBreak/>
        <w:t xml:space="preserve">- den Königlichen Erlass vom 8. Januar 2006 </w:t>
      </w:r>
      <w:r>
        <w:rPr>
          <w:color w:val="000000"/>
        </w:rPr>
        <w:t>zur Ausführung von Artikel 275</w:t>
      </w:r>
      <w:r w:rsidRPr="00505013">
        <w:rPr>
          <w:color w:val="000000"/>
          <w:vertAlign w:val="superscript"/>
        </w:rPr>
        <w:t>2</w:t>
      </w:r>
      <w:r>
        <w:rPr>
          <w:color w:val="000000"/>
        </w:rPr>
        <w:t xml:space="preserve"> § 5 des </w:t>
      </w:r>
      <w:r w:rsidRPr="00CF1706">
        <w:rPr>
          <w:color w:val="000000"/>
        </w:rPr>
        <w:t>Einkommensteuergesetzbuches 1992</w:t>
      </w:r>
      <w:r>
        <w:rPr>
          <w:color w:val="000000"/>
        </w:rPr>
        <w:t xml:space="preserve"> und zur </w:t>
      </w:r>
      <w:r w:rsidRPr="00505013">
        <w:rPr>
          <w:color w:val="000000"/>
        </w:rPr>
        <w:t>Abänderung des KE/EStGB</w:t>
      </w:r>
      <w:r>
        <w:rPr>
          <w:color w:val="000000"/>
        </w:rPr>
        <w:t> </w:t>
      </w:r>
      <w:r w:rsidRPr="00505013">
        <w:rPr>
          <w:color w:val="000000"/>
        </w:rPr>
        <w:t>92 hinsichtlich</w:t>
      </w:r>
      <w:r>
        <w:rPr>
          <w:color w:val="000000"/>
        </w:rPr>
        <w:t xml:space="preserve"> </w:t>
      </w:r>
      <w:r w:rsidRPr="006B6D0E">
        <w:rPr>
          <w:color w:val="000000"/>
        </w:rPr>
        <w:t>der Erklärung zum Berufssteuervorabzug</w:t>
      </w:r>
      <w:r w:rsidRPr="00CF1706">
        <w:rPr>
          <w:color w:val="000000"/>
        </w:rPr>
        <w:t>,</w:t>
      </w:r>
    </w:p>
    <w:p w14:paraId="4B2BC463" w14:textId="77777777" w:rsidR="005A5BD5" w:rsidRPr="00CF1706" w:rsidRDefault="005A5BD5" w:rsidP="005A5BD5">
      <w:pPr>
        <w:jc w:val="both"/>
        <w:rPr>
          <w:color w:val="000000"/>
        </w:rPr>
      </w:pPr>
    </w:p>
    <w:p w14:paraId="6919F8C8" w14:textId="77777777" w:rsidR="005A5BD5" w:rsidRPr="00CF1706" w:rsidRDefault="005A5BD5" w:rsidP="005A5BD5">
      <w:pPr>
        <w:jc w:val="both"/>
        <w:rPr>
          <w:color w:val="000000"/>
        </w:rPr>
      </w:pPr>
      <w:r w:rsidRPr="00CF1706">
        <w:rPr>
          <w:color w:val="000000"/>
        </w:rPr>
        <w:t xml:space="preserve">- den Königlichen Erlass vom 2. Februar 2006 </w:t>
      </w:r>
      <w:r w:rsidRPr="006B6D0E">
        <w:rPr>
          <w:color w:val="000000"/>
        </w:rPr>
        <w:t>zur Abänderung des KE/EStGB</w:t>
      </w:r>
      <w:r>
        <w:rPr>
          <w:color w:val="000000"/>
        </w:rPr>
        <w:t> </w:t>
      </w:r>
      <w:r w:rsidRPr="006B6D0E">
        <w:rPr>
          <w:color w:val="000000"/>
        </w:rPr>
        <w:t>92 hinsichtlich des Berufssteuervorabzugs</w:t>
      </w:r>
      <w:r w:rsidRPr="00CF1706">
        <w:rPr>
          <w:color w:val="000000"/>
        </w:rPr>
        <w:t>,</w:t>
      </w:r>
    </w:p>
    <w:p w14:paraId="246A034C" w14:textId="77777777" w:rsidR="005A5BD5" w:rsidRPr="00CF1706" w:rsidRDefault="005A5BD5" w:rsidP="005A5BD5">
      <w:pPr>
        <w:jc w:val="both"/>
        <w:rPr>
          <w:color w:val="000000"/>
        </w:rPr>
      </w:pPr>
    </w:p>
    <w:p w14:paraId="120D5101" w14:textId="77777777" w:rsidR="005A5BD5" w:rsidRPr="00CF1706" w:rsidRDefault="005A5BD5" w:rsidP="005A5BD5">
      <w:pPr>
        <w:jc w:val="both"/>
        <w:rPr>
          <w:color w:val="000000"/>
        </w:rPr>
      </w:pPr>
      <w:r w:rsidRPr="00CF1706">
        <w:rPr>
          <w:color w:val="000000"/>
        </w:rPr>
        <w:t xml:space="preserve">- den Königlichen Erlass vom 17. Februar 2006 </w:t>
      </w:r>
      <w:r w:rsidRPr="006B6D0E">
        <w:rPr>
          <w:color w:val="000000"/>
        </w:rPr>
        <w:t>zur Abänderung des KE/EStGB</w:t>
      </w:r>
      <w:r>
        <w:rPr>
          <w:color w:val="000000"/>
        </w:rPr>
        <w:t> </w:t>
      </w:r>
      <w:r w:rsidRPr="006B6D0E">
        <w:rPr>
          <w:color w:val="000000"/>
        </w:rPr>
        <w:t>92 hinsichtlich der Vorteile jeglicher Art</w:t>
      </w:r>
      <w:r w:rsidRPr="00CF1706">
        <w:rPr>
          <w:color w:val="000000"/>
        </w:rPr>
        <w:t>,</w:t>
      </w:r>
    </w:p>
    <w:p w14:paraId="23E95766" w14:textId="77777777" w:rsidR="005A5BD5" w:rsidRPr="00CF1706" w:rsidRDefault="005A5BD5" w:rsidP="005A5BD5">
      <w:pPr>
        <w:jc w:val="both"/>
        <w:rPr>
          <w:color w:val="000000"/>
        </w:rPr>
      </w:pPr>
    </w:p>
    <w:p w14:paraId="49CABB32" w14:textId="77777777" w:rsidR="005A5BD5" w:rsidRPr="00CF1706" w:rsidRDefault="005A5BD5" w:rsidP="005A5BD5">
      <w:pPr>
        <w:jc w:val="both"/>
        <w:rPr>
          <w:color w:val="000000"/>
        </w:rPr>
      </w:pPr>
      <w:r w:rsidRPr="00CF1706">
        <w:rPr>
          <w:color w:val="000000"/>
        </w:rPr>
        <w:t xml:space="preserve">- den Königlichen Erlass vom 22. Februar 2006 </w:t>
      </w:r>
      <w:r w:rsidRPr="006B6D0E">
        <w:rPr>
          <w:color w:val="000000"/>
        </w:rPr>
        <w:t>zur Abänderung des KE/EStGB</w:t>
      </w:r>
      <w:r>
        <w:rPr>
          <w:color w:val="000000"/>
        </w:rPr>
        <w:t> </w:t>
      </w:r>
      <w:r w:rsidRPr="006B6D0E">
        <w:rPr>
          <w:color w:val="000000"/>
        </w:rPr>
        <w:t xml:space="preserve">92 </w:t>
      </w:r>
      <w:r w:rsidRPr="000230EF">
        <w:rPr>
          <w:color w:val="000000"/>
        </w:rPr>
        <w:t>hinsichtlich der Privat-PC-Pläne,</w:t>
      </w:r>
    </w:p>
    <w:p w14:paraId="017C5086" w14:textId="77777777" w:rsidR="005A5BD5" w:rsidRPr="00CF1706" w:rsidRDefault="005A5BD5" w:rsidP="005A5BD5">
      <w:pPr>
        <w:jc w:val="both"/>
        <w:rPr>
          <w:color w:val="000000"/>
        </w:rPr>
      </w:pPr>
    </w:p>
    <w:p w14:paraId="1929D29D" w14:textId="77777777" w:rsidR="005A5BD5" w:rsidRPr="00CF1706" w:rsidRDefault="005A5BD5" w:rsidP="005A5BD5">
      <w:pPr>
        <w:jc w:val="both"/>
        <w:rPr>
          <w:color w:val="000000"/>
        </w:rPr>
      </w:pPr>
      <w:r w:rsidRPr="00CF1706">
        <w:rPr>
          <w:color w:val="000000"/>
        </w:rPr>
        <w:t xml:space="preserve">- den Königlichen Erlass vom 17. März 2006 </w:t>
      </w:r>
      <w:r w:rsidRPr="00AC5419">
        <w:rPr>
          <w:color w:val="000000"/>
        </w:rPr>
        <w:t>zur Abänderung des KE/EStGB</w:t>
      </w:r>
      <w:r>
        <w:rPr>
          <w:color w:val="000000"/>
        </w:rPr>
        <w:t> </w:t>
      </w:r>
      <w:r w:rsidRPr="00AC5419">
        <w:rPr>
          <w:color w:val="000000"/>
        </w:rPr>
        <w:t>92 hinsichtlich der Vorteile jeglicher Art</w:t>
      </w:r>
      <w:r w:rsidRPr="00CF1706">
        <w:rPr>
          <w:color w:val="000000"/>
        </w:rPr>
        <w:t>,</w:t>
      </w:r>
    </w:p>
    <w:p w14:paraId="748191C6" w14:textId="77777777" w:rsidR="005A5BD5" w:rsidRPr="00CF1706" w:rsidRDefault="005A5BD5" w:rsidP="005A5BD5">
      <w:pPr>
        <w:jc w:val="both"/>
        <w:rPr>
          <w:color w:val="000000"/>
        </w:rPr>
      </w:pPr>
    </w:p>
    <w:p w14:paraId="29C23BE0" w14:textId="77777777" w:rsidR="005A5BD5" w:rsidRPr="00CF1706" w:rsidRDefault="005A5BD5" w:rsidP="005A5BD5">
      <w:pPr>
        <w:jc w:val="both"/>
        <w:rPr>
          <w:color w:val="000000"/>
        </w:rPr>
      </w:pPr>
      <w:r w:rsidRPr="00CF1706">
        <w:rPr>
          <w:color w:val="000000"/>
        </w:rPr>
        <w:t xml:space="preserve">- den Königlichen Erlass vom 19. Mai 2006 </w:t>
      </w:r>
      <w:r w:rsidRPr="00AC5419">
        <w:rPr>
          <w:color w:val="000000"/>
        </w:rPr>
        <w:t>zur Abänderung des KE/EStGB</w:t>
      </w:r>
      <w:r>
        <w:rPr>
          <w:color w:val="000000"/>
        </w:rPr>
        <w:t> </w:t>
      </w:r>
      <w:r w:rsidRPr="00AC5419">
        <w:rPr>
          <w:color w:val="000000"/>
        </w:rPr>
        <w:t>92 hinsichtlich des Neubewertungskoeffizienten für Katastereinkommen</w:t>
      </w:r>
      <w:r w:rsidRPr="00CF1706">
        <w:rPr>
          <w:color w:val="000000"/>
        </w:rPr>
        <w:t>,</w:t>
      </w:r>
    </w:p>
    <w:p w14:paraId="1B7FC1A4" w14:textId="77777777" w:rsidR="005A5BD5" w:rsidRPr="00CF1706" w:rsidRDefault="005A5BD5" w:rsidP="005A5BD5">
      <w:pPr>
        <w:jc w:val="both"/>
        <w:rPr>
          <w:color w:val="000000"/>
        </w:rPr>
      </w:pPr>
    </w:p>
    <w:p w14:paraId="0F346C13" w14:textId="77777777" w:rsidR="005A5BD5" w:rsidRPr="00CF1706" w:rsidRDefault="005A5BD5" w:rsidP="005A5BD5">
      <w:pPr>
        <w:jc w:val="both"/>
        <w:rPr>
          <w:color w:val="000000"/>
        </w:rPr>
      </w:pPr>
      <w:r w:rsidRPr="00CF1706">
        <w:rPr>
          <w:color w:val="000000"/>
        </w:rPr>
        <w:t xml:space="preserve">- den Königlichen Erlass vom 10. Juni 2006 </w:t>
      </w:r>
      <w:r w:rsidRPr="00AC5419">
        <w:rPr>
          <w:color w:val="000000"/>
        </w:rPr>
        <w:t>zur Abänderung des KE/EStGB</w:t>
      </w:r>
      <w:r>
        <w:rPr>
          <w:color w:val="000000"/>
        </w:rPr>
        <w:t> </w:t>
      </w:r>
      <w:r w:rsidRPr="00AC5419">
        <w:rPr>
          <w:color w:val="000000"/>
        </w:rPr>
        <w:t>92 hinsichtlich</w:t>
      </w:r>
      <w:r>
        <w:rPr>
          <w:color w:val="000000"/>
        </w:rPr>
        <w:t xml:space="preserve"> der Anwendungsmodalitäten in Bezug auf die Steuervorteile für </w:t>
      </w:r>
      <w:r w:rsidRPr="00667523">
        <w:rPr>
          <w:color w:val="000000"/>
        </w:rPr>
        <w:t>Hypothekenanleihe</w:t>
      </w:r>
      <w:r>
        <w:rPr>
          <w:color w:val="000000"/>
        </w:rPr>
        <w:t xml:space="preserve">n und </w:t>
      </w:r>
      <w:r w:rsidRPr="00667523">
        <w:rPr>
          <w:color w:val="000000"/>
        </w:rPr>
        <w:t>individuelle Lebensversicherungsverträge</w:t>
      </w:r>
      <w:r w:rsidRPr="00CF1706">
        <w:rPr>
          <w:color w:val="000000"/>
        </w:rPr>
        <w:t>,</w:t>
      </w:r>
    </w:p>
    <w:p w14:paraId="6922D0EB" w14:textId="77777777" w:rsidR="005A5BD5" w:rsidRPr="00CF1706" w:rsidRDefault="005A5BD5" w:rsidP="005A5BD5">
      <w:pPr>
        <w:jc w:val="both"/>
        <w:rPr>
          <w:color w:val="000000"/>
        </w:rPr>
      </w:pPr>
    </w:p>
    <w:p w14:paraId="77B5B42A" w14:textId="77777777" w:rsidR="005A5BD5" w:rsidRPr="00CF1706" w:rsidRDefault="005A5BD5" w:rsidP="005A5BD5">
      <w:pPr>
        <w:jc w:val="both"/>
        <w:rPr>
          <w:color w:val="000000"/>
        </w:rPr>
      </w:pPr>
      <w:r w:rsidRPr="00CF1706">
        <w:rPr>
          <w:color w:val="000000"/>
        </w:rPr>
        <w:t xml:space="preserve">- den Königlichen Erlass vom 1. Juli 2006 </w:t>
      </w:r>
      <w:r>
        <w:rPr>
          <w:color w:val="000000"/>
        </w:rPr>
        <w:t xml:space="preserve">zur Abänderung von Artikel 2 des </w:t>
      </w:r>
      <w:r w:rsidRPr="00AC5419">
        <w:rPr>
          <w:color w:val="000000"/>
        </w:rPr>
        <w:t>KE/EStGB</w:t>
      </w:r>
      <w:r>
        <w:rPr>
          <w:color w:val="000000"/>
        </w:rPr>
        <w:t> </w:t>
      </w:r>
      <w:r w:rsidRPr="00AC5419">
        <w:rPr>
          <w:color w:val="000000"/>
        </w:rPr>
        <w:t>92</w:t>
      </w:r>
      <w:r w:rsidRPr="00CF1706">
        <w:rPr>
          <w:color w:val="000000"/>
        </w:rPr>
        <w:t>,</w:t>
      </w:r>
    </w:p>
    <w:p w14:paraId="10CDA593" w14:textId="77777777" w:rsidR="005A5BD5" w:rsidRPr="00CF1706" w:rsidRDefault="005A5BD5" w:rsidP="005A5BD5">
      <w:pPr>
        <w:jc w:val="both"/>
        <w:rPr>
          <w:color w:val="000000"/>
        </w:rPr>
      </w:pPr>
    </w:p>
    <w:p w14:paraId="3C55A4AF" w14:textId="77777777" w:rsidR="005A5BD5" w:rsidRPr="00CF1706" w:rsidRDefault="005A5BD5" w:rsidP="005A5BD5">
      <w:pPr>
        <w:jc w:val="both"/>
        <w:rPr>
          <w:color w:val="000000"/>
        </w:rPr>
      </w:pPr>
      <w:r w:rsidRPr="00CF1706">
        <w:rPr>
          <w:color w:val="000000"/>
        </w:rPr>
        <w:t xml:space="preserve">- den Königlichen Erlass vom 5. August 2006 </w:t>
      </w:r>
      <w:r>
        <w:rPr>
          <w:color w:val="000000"/>
        </w:rPr>
        <w:t>zur Bestimmung des in Artikel 19</w:t>
      </w:r>
      <w:r>
        <w:rPr>
          <w:i/>
          <w:color w:val="000000"/>
        </w:rPr>
        <w:t>bis</w:t>
      </w:r>
      <w:r>
        <w:rPr>
          <w:color w:val="000000"/>
        </w:rPr>
        <w:t xml:space="preserve"> § 2 Absatz 1 des </w:t>
      </w:r>
      <w:r w:rsidRPr="00CF1706">
        <w:rPr>
          <w:color w:val="000000"/>
        </w:rPr>
        <w:t>Einkommensteuergesetzbuches 1992</w:t>
      </w:r>
      <w:r>
        <w:rPr>
          <w:color w:val="000000"/>
        </w:rPr>
        <w:t xml:space="preserve"> erwähnten </w:t>
      </w:r>
      <w:r w:rsidRPr="00995D87">
        <w:rPr>
          <w:color w:val="000000"/>
        </w:rPr>
        <w:t>jährlichen Satzes</w:t>
      </w:r>
      <w:r w:rsidRPr="00CF1706">
        <w:rPr>
          <w:color w:val="000000"/>
        </w:rPr>
        <w:t>,</w:t>
      </w:r>
    </w:p>
    <w:p w14:paraId="3C9BB4D3" w14:textId="77777777" w:rsidR="005A5BD5" w:rsidRPr="00CF1706" w:rsidRDefault="005A5BD5" w:rsidP="005A5BD5">
      <w:pPr>
        <w:jc w:val="both"/>
        <w:rPr>
          <w:color w:val="000000"/>
        </w:rPr>
      </w:pPr>
    </w:p>
    <w:p w14:paraId="3C74E808" w14:textId="77777777" w:rsidR="005A5BD5" w:rsidRPr="00CF1706" w:rsidRDefault="005A5BD5" w:rsidP="005A5BD5">
      <w:pPr>
        <w:jc w:val="both"/>
        <w:rPr>
          <w:color w:val="000000"/>
        </w:rPr>
      </w:pPr>
      <w:r w:rsidRPr="00CF1706">
        <w:rPr>
          <w:color w:val="000000"/>
        </w:rPr>
        <w:t xml:space="preserve">- den Königlichen Erlass vom 22. August 2006 </w:t>
      </w:r>
      <w:r w:rsidRPr="00D82185">
        <w:rPr>
          <w:color w:val="000000"/>
        </w:rPr>
        <w:t>zur Abänderung des KE/EStGB</w:t>
      </w:r>
      <w:r>
        <w:rPr>
          <w:color w:val="000000"/>
        </w:rPr>
        <w:t> </w:t>
      </w:r>
      <w:r w:rsidRPr="00D82185">
        <w:rPr>
          <w:color w:val="000000"/>
        </w:rPr>
        <w:t>92 hinsichtlich der Erklärung zum Berufssteuervorabzug</w:t>
      </w:r>
      <w:r w:rsidRPr="00CF1706">
        <w:rPr>
          <w:color w:val="000000"/>
        </w:rPr>
        <w:t>,</w:t>
      </w:r>
    </w:p>
    <w:p w14:paraId="6BF64B87" w14:textId="77777777" w:rsidR="005A5BD5" w:rsidRPr="00CF1706" w:rsidRDefault="005A5BD5" w:rsidP="005A5BD5">
      <w:pPr>
        <w:jc w:val="both"/>
        <w:rPr>
          <w:color w:val="000000"/>
        </w:rPr>
      </w:pPr>
    </w:p>
    <w:p w14:paraId="62BC64F7" w14:textId="77777777" w:rsidR="005A5BD5" w:rsidRPr="00CF1706" w:rsidRDefault="005A5BD5" w:rsidP="005A5BD5">
      <w:pPr>
        <w:jc w:val="both"/>
        <w:rPr>
          <w:color w:val="000000"/>
        </w:rPr>
      </w:pPr>
      <w:r w:rsidRPr="00CF1706">
        <w:rPr>
          <w:color w:val="000000"/>
        </w:rPr>
        <w:t xml:space="preserve">- den Königlichen Erlass vom 1. September 2006 </w:t>
      </w:r>
      <w:r w:rsidRPr="00D82185">
        <w:rPr>
          <w:color w:val="000000"/>
        </w:rPr>
        <w:t>zur Abänderung des KE/EStGB</w:t>
      </w:r>
      <w:r>
        <w:rPr>
          <w:color w:val="000000"/>
        </w:rPr>
        <w:t> </w:t>
      </w:r>
      <w:r w:rsidRPr="00D82185">
        <w:rPr>
          <w:color w:val="000000"/>
        </w:rPr>
        <w:t>92 hinsichtlich des Investitionsabzugs und der Steuerermäßigung für Energieeinsparungs</w:t>
      </w:r>
      <w:r>
        <w:rPr>
          <w:color w:val="000000"/>
        </w:rPr>
        <w:softHyphen/>
      </w:r>
      <w:r w:rsidRPr="00D82185">
        <w:rPr>
          <w:color w:val="000000"/>
        </w:rPr>
        <w:t xml:space="preserve">maßnahmen </w:t>
      </w:r>
      <w:r w:rsidRPr="00CF1706">
        <w:rPr>
          <w:i/>
          <w:color w:val="000000"/>
        </w:rPr>
        <w:t>(I)</w:t>
      </w:r>
      <w:r w:rsidRPr="00CF1706">
        <w:rPr>
          <w:color w:val="000000"/>
        </w:rPr>
        <w:t>,</w:t>
      </w:r>
    </w:p>
    <w:p w14:paraId="707A395C" w14:textId="77777777" w:rsidR="005A5BD5" w:rsidRPr="00CF1706" w:rsidRDefault="005A5BD5" w:rsidP="005A5BD5">
      <w:pPr>
        <w:jc w:val="both"/>
        <w:rPr>
          <w:color w:val="000000"/>
        </w:rPr>
      </w:pPr>
    </w:p>
    <w:p w14:paraId="1BF77243" w14:textId="77777777" w:rsidR="005A5BD5" w:rsidRPr="00CF1706" w:rsidRDefault="005A5BD5" w:rsidP="005A5BD5">
      <w:pPr>
        <w:jc w:val="both"/>
        <w:rPr>
          <w:color w:val="000000"/>
        </w:rPr>
      </w:pPr>
      <w:r w:rsidRPr="00CF1706">
        <w:rPr>
          <w:color w:val="000000"/>
        </w:rPr>
        <w:t xml:space="preserve">- den Königlichen Erlass vom 1. September 2006 </w:t>
      </w:r>
      <w:r w:rsidRPr="00FD1E52">
        <w:rPr>
          <w:color w:val="000000"/>
        </w:rPr>
        <w:t>zur Abänderung des KE/EStGB</w:t>
      </w:r>
      <w:r>
        <w:rPr>
          <w:color w:val="000000"/>
        </w:rPr>
        <w:t> </w:t>
      </w:r>
      <w:r w:rsidRPr="00FD1E52">
        <w:rPr>
          <w:color w:val="000000"/>
        </w:rPr>
        <w:t>92 insbesondere hinsichtlich des Pensionssparens</w:t>
      </w:r>
      <w:r w:rsidRPr="00CF1706">
        <w:rPr>
          <w:i/>
          <w:color w:val="000000"/>
        </w:rPr>
        <w:t xml:space="preserve"> (II)</w:t>
      </w:r>
      <w:r w:rsidRPr="00CF1706">
        <w:rPr>
          <w:color w:val="000000"/>
        </w:rPr>
        <w:t>,</w:t>
      </w:r>
    </w:p>
    <w:p w14:paraId="7EE74748" w14:textId="77777777" w:rsidR="005A5BD5" w:rsidRPr="00CF1706" w:rsidRDefault="005A5BD5" w:rsidP="005A5BD5">
      <w:pPr>
        <w:jc w:val="both"/>
        <w:rPr>
          <w:color w:val="000000"/>
        </w:rPr>
      </w:pPr>
    </w:p>
    <w:p w14:paraId="09A69849" w14:textId="77777777" w:rsidR="005A5BD5" w:rsidRPr="00CF1706" w:rsidRDefault="005A5BD5" w:rsidP="005A5BD5">
      <w:pPr>
        <w:jc w:val="both"/>
        <w:rPr>
          <w:color w:val="000000"/>
        </w:rPr>
      </w:pPr>
      <w:r w:rsidRPr="00CF1706">
        <w:rPr>
          <w:color w:val="000000"/>
        </w:rPr>
        <w:t xml:space="preserve">- den Königlichen Erlass vom 15. September 2006 </w:t>
      </w:r>
      <w:r w:rsidRPr="00FD1E52">
        <w:rPr>
          <w:color w:val="000000"/>
        </w:rPr>
        <w:t>zur Abänderung des KE/EStGB</w:t>
      </w:r>
      <w:r>
        <w:rPr>
          <w:color w:val="000000"/>
        </w:rPr>
        <w:t> </w:t>
      </w:r>
      <w:r w:rsidRPr="00FD1E52">
        <w:rPr>
          <w:color w:val="000000"/>
        </w:rPr>
        <w:t>92 hinsichtlich der Steuerbefreiung für Preise und Zuschüsse, die Wissenschaftlern, Schriftstellern oder Künstlern gezahlt oder zuerkannt werden</w:t>
      </w:r>
      <w:r w:rsidRPr="00CF1706">
        <w:rPr>
          <w:color w:val="000000"/>
        </w:rPr>
        <w:t>,</w:t>
      </w:r>
    </w:p>
    <w:p w14:paraId="572CD733" w14:textId="77777777" w:rsidR="005A5BD5" w:rsidRDefault="005A5BD5" w:rsidP="005A5BD5">
      <w:pPr>
        <w:jc w:val="both"/>
        <w:rPr>
          <w:color w:val="000000"/>
        </w:rPr>
      </w:pPr>
    </w:p>
    <w:p w14:paraId="6E489F95" w14:textId="77777777" w:rsidR="005A5BD5" w:rsidRPr="00CF1706" w:rsidRDefault="005A5BD5" w:rsidP="005A5BD5">
      <w:pPr>
        <w:jc w:val="both"/>
        <w:rPr>
          <w:color w:val="000000"/>
        </w:rPr>
      </w:pPr>
      <w:r w:rsidRPr="00CF1706">
        <w:rPr>
          <w:color w:val="000000"/>
        </w:rPr>
        <w:t xml:space="preserve">- den Königlichen Erlass vom 23. November 2006 </w:t>
      </w:r>
      <w:r w:rsidRPr="00FD1E52">
        <w:rPr>
          <w:color w:val="000000"/>
        </w:rPr>
        <w:t>zur Abänderung des Königlichen Erlasses vom 27.</w:t>
      </w:r>
      <w:r>
        <w:rPr>
          <w:color w:val="000000"/>
        </w:rPr>
        <w:t> </w:t>
      </w:r>
      <w:r w:rsidRPr="00FD1E52">
        <w:rPr>
          <w:color w:val="000000"/>
        </w:rPr>
        <w:t>Dezember</w:t>
      </w:r>
      <w:r>
        <w:rPr>
          <w:color w:val="000000"/>
        </w:rPr>
        <w:t> </w:t>
      </w:r>
      <w:r w:rsidRPr="00FD1E52">
        <w:rPr>
          <w:color w:val="000000"/>
        </w:rPr>
        <w:t>2004 zur Ausführung der Artikel</w:t>
      </w:r>
      <w:r>
        <w:rPr>
          <w:color w:val="000000"/>
        </w:rPr>
        <w:t> </w:t>
      </w:r>
      <w:r w:rsidRPr="00FD1E52">
        <w:rPr>
          <w:color w:val="000000"/>
        </w:rPr>
        <w:t>1409 §</w:t>
      </w:r>
      <w:r>
        <w:rPr>
          <w:color w:val="000000"/>
        </w:rPr>
        <w:t> </w:t>
      </w:r>
      <w:r w:rsidRPr="00FD1E52">
        <w:rPr>
          <w:color w:val="000000"/>
        </w:rPr>
        <w:t>1 Absatz</w:t>
      </w:r>
      <w:r>
        <w:rPr>
          <w:color w:val="000000"/>
        </w:rPr>
        <w:t> </w:t>
      </w:r>
      <w:r w:rsidRPr="00FD1E52">
        <w:rPr>
          <w:color w:val="000000"/>
        </w:rPr>
        <w:t>4 und 1409 §</w:t>
      </w:r>
      <w:r>
        <w:rPr>
          <w:color w:val="000000"/>
        </w:rPr>
        <w:t> </w:t>
      </w:r>
      <w:r w:rsidRPr="00FD1E52">
        <w:rPr>
          <w:color w:val="000000"/>
        </w:rPr>
        <w:t>1</w:t>
      </w:r>
      <w:r w:rsidRPr="00FD1E52">
        <w:rPr>
          <w:i/>
          <w:color w:val="000000"/>
        </w:rPr>
        <w:t>bis</w:t>
      </w:r>
      <w:r w:rsidRPr="00FD1E52">
        <w:rPr>
          <w:color w:val="000000"/>
        </w:rPr>
        <w:t xml:space="preserve"> Absatz</w:t>
      </w:r>
      <w:r>
        <w:rPr>
          <w:color w:val="000000"/>
        </w:rPr>
        <w:t> </w:t>
      </w:r>
      <w:r w:rsidRPr="00FD1E52">
        <w:rPr>
          <w:color w:val="000000"/>
        </w:rPr>
        <w:t>4 des Gerichtsgesetzbuches über die Einschränkung der Pfändung, wenn Kinder zu Lasten sind, und zur Abänderung des Königlichen Erlasses zur Ausführung des Einkommen</w:t>
      </w:r>
      <w:r>
        <w:rPr>
          <w:color w:val="000000"/>
        </w:rPr>
        <w:softHyphen/>
      </w:r>
      <w:r w:rsidRPr="00FD1E52">
        <w:rPr>
          <w:color w:val="000000"/>
        </w:rPr>
        <w:t>steuergesetzbuches</w:t>
      </w:r>
      <w:r>
        <w:rPr>
          <w:color w:val="000000"/>
        </w:rPr>
        <w:t> </w:t>
      </w:r>
      <w:r w:rsidRPr="00FD1E52">
        <w:rPr>
          <w:color w:val="000000"/>
        </w:rPr>
        <w:t>1992</w:t>
      </w:r>
      <w:r w:rsidRPr="00CF1706">
        <w:rPr>
          <w:color w:val="000000"/>
        </w:rPr>
        <w:t>,</w:t>
      </w:r>
    </w:p>
    <w:p w14:paraId="731F1215" w14:textId="77777777" w:rsidR="005A5BD5" w:rsidRPr="00CF1706" w:rsidRDefault="005A5BD5" w:rsidP="005A5BD5">
      <w:pPr>
        <w:jc w:val="both"/>
        <w:rPr>
          <w:color w:val="000000"/>
        </w:rPr>
      </w:pPr>
    </w:p>
    <w:p w14:paraId="0A05B2AF" w14:textId="77777777" w:rsidR="005A5BD5" w:rsidRPr="00CF1706" w:rsidRDefault="005A5BD5" w:rsidP="005A5BD5">
      <w:pPr>
        <w:jc w:val="both"/>
        <w:rPr>
          <w:color w:val="000000"/>
        </w:rPr>
      </w:pPr>
      <w:r w:rsidRPr="00CF1706">
        <w:rPr>
          <w:color w:val="000000"/>
        </w:rPr>
        <w:t xml:space="preserve">- den Königlichen Erlass vom 11. Dezember 2006 </w:t>
      </w:r>
      <w:r w:rsidRPr="00FD1E52">
        <w:rPr>
          <w:color w:val="000000"/>
        </w:rPr>
        <w:t>zur Abänderung des KE/EStGB</w:t>
      </w:r>
      <w:r>
        <w:rPr>
          <w:color w:val="000000"/>
        </w:rPr>
        <w:t> </w:t>
      </w:r>
      <w:r w:rsidRPr="00FD1E52">
        <w:rPr>
          <w:color w:val="000000"/>
        </w:rPr>
        <w:t>92</w:t>
      </w:r>
      <w:r>
        <w:rPr>
          <w:color w:val="000000"/>
        </w:rPr>
        <w:t xml:space="preserve"> in Ausführung des </w:t>
      </w:r>
      <w:r w:rsidRPr="00640D04">
        <w:rPr>
          <w:color w:val="000000"/>
        </w:rPr>
        <w:t>Gesetz</w:t>
      </w:r>
      <w:r>
        <w:rPr>
          <w:color w:val="000000"/>
        </w:rPr>
        <w:t>es vom 23. Dezember 2005</w:t>
      </w:r>
      <w:r w:rsidRPr="00640D04">
        <w:rPr>
          <w:color w:val="000000"/>
        </w:rPr>
        <w:t xml:space="preserve"> über den Solidaritätspakt zwischen den </w:t>
      </w:r>
      <w:r w:rsidRPr="00640D04">
        <w:rPr>
          <w:color w:val="000000"/>
        </w:rPr>
        <w:lastRenderedPageBreak/>
        <w:t>Generationen</w:t>
      </w:r>
      <w:r>
        <w:rPr>
          <w:color w:val="000000"/>
        </w:rPr>
        <w:t xml:space="preserve">, verschiedener Bestimmungen des </w:t>
      </w:r>
      <w:r w:rsidRPr="00FD1E52">
        <w:rPr>
          <w:color w:val="000000"/>
        </w:rPr>
        <w:t>Einkommensteuergesetzbuches</w:t>
      </w:r>
      <w:r>
        <w:rPr>
          <w:color w:val="000000"/>
        </w:rPr>
        <w:t> </w:t>
      </w:r>
      <w:r w:rsidRPr="00FD1E52">
        <w:rPr>
          <w:color w:val="000000"/>
        </w:rPr>
        <w:t>1992</w:t>
      </w:r>
      <w:r>
        <w:rPr>
          <w:color w:val="000000"/>
        </w:rPr>
        <w:t xml:space="preserve"> und des Gesetzes vom 22. Juni 2005 </w:t>
      </w:r>
      <w:r w:rsidRPr="00640D04">
        <w:rPr>
          <w:color w:val="000000"/>
        </w:rPr>
        <w:t>zur Einführung eines Steuerabzugs für Risikokapital</w:t>
      </w:r>
      <w:r w:rsidRPr="00CF1706">
        <w:rPr>
          <w:color w:val="000000"/>
        </w:rPr>
        <w:t>,</w:t>
      </w:r>
    </w:p>
    <w:p w14:paraId="17A48B37" w14:textId="77777777" w:rsidR="005A5BD5" w:rsidRPr="00CF1706" w:rsidRDefault="005A5BD5" w:rsidP="005A5BD5">
      <w:pPr>
        <w:jc w:val="both"/>
        <w:rPr>
          <w:color w:val="000000"/>
        </w:rPr>
      </w:pPr>
    </w:p>
    <w:p w14:paraId="1E7D73D5" w14:textId="77777777" w:rsidR="005A5BD5" w:rsidRPr="00CF1706" w:rsidRDefault="005A5BD5" w:rsidP="005A5BD5">
      <w:pPr>
        <w:jc w:val="both"/>
        <w:rPr>
          <w:color w:val="000000"/>
        </w:rPr>
      </w:pPr>
      <w:r w:rsidRPr="00CF1706">
        <w:rPr>
          <w:color w:val="000000"/>
        </w:rPr>
        <w:t xml:space="preserve">- den Königlichen Erlass vom 18. Dezember 2006 </w:t>
      </w:r>
      <w:r w:rsidRPr="006B6D0E">
        <w:rPr>
          <w:color w:val="000000"/>
        </w:rPr>
        <w:t>zur Abänderung des KE/EStGB</w:t>
      </w:r>
      <w:r>
        <w:rPr>
          <w:color w:val="000000"/>
        </w:rPr>
        <w:t> </w:t>
      </w:r>
      <w:r w:rsidRPr="006B6D0E">
        <w:rPr>
          <w:color w:val="000000"/>
        </w:rPr>
        <w:t>92 hinsichtlich des Berufssteuervorabzugs</w:t>
      </w:r>
      <w:r>
        <w:rPr>
          <w:color w:val="000000"/>
        </w:rPr>
        <w:t xml:space="preserve"> und zur Einführung der flämischen </w:t>
      </w:r>
      <w:r w:rsidRPr="004561B4">
        <w:rPr>
          <w:color w:val="000000"/>
        </w:rPr>
        <w:t>pauschale</w:t>
      </w:r>
      <w:r>
        <w:rPr>
          <w:color w:val="000000"/>
        </w:rPr>
        <w:t>n</w:t>
      </w:r>
      <w:r w:rsidRPr="004561B4">
        <w:rPr>
          <w:color w:val="000000"/>
        </w:rPr>
        <w:t xml:space="preserve"> Ermäßigung des Berufssteuervorabzugs</w:t>
      </w:r>
      <w:r w:rsidRPr="00CF1706">
        <w:rPr>
          <w:color w:val="000000"/>
        </w:rPr>
        <w:t>,</w:t>
      </w:r>
    </w:p>
    <w:p w14:paraId="4DD1645B" w14:textId="77777777" w:rsidR="005A5BD5" w:rsidRPr="00CF1706" w:rsidRDefault="005A5BD5" w:rsidP="005A5BD5">
      <w:pPr>
        <w:jc w:val="both"/>
        <w:rPr>
          <w:color w:val="000000"/>
        </w:rPr>
      </w:pPr>
    </w:p>
    <w:p w14:paraId="7503D6D0" w14:textId="77777777" w:rsidR="005A5BD5" w:rsidRPr="00CF1706" w:rsidRDefault="005A5BD5" w:rsidP="005A5BD5">
      <w:pPr>
        <w:jc w:val="both"/>
        <w:rPr>
          <w:color w:val="000000"/>
        </w:rPr>
      </w:pPr>
      <w:r w:rsidRPr="00CF1706">
        <w:rPr>
          <w:color w:val="000000"/>
        </w:rPr>
        <w:t xml:space="preserve">- den Königlichen Erlass vom 21. Dezember 2006 zur Umwandlung der Allgemeinen Verordnung über die der Stempelsteuer gleichgesetzten Steuern in den Ausführungserlass zum Gesetzbuch der verschiedenen Gebühren und Steuern, zur Aufhebung des Erlasses des Regenten über die Ausführung des Stempelsteuergesetzbuches und zur Festlegung verschiedener anderer Abänderungen von Ausführungserlassen </w:t>
      </w:r>
      <w:r w:rsidRPr="00CF1706">
        <w:rPr>
          <w:i/>
          <w:color w:val="000000"/>
        </w:rPr>
        <w:t>(I)</w:t>
      </w:r>
      <w:r w:rsidRPr="00CF1706">
        <w:rPr>
          <w:color w:val="000000"/>
        </w:rPr>
        <w:t>,</w:t>
      </w:r>
    </w:p>
    <w:p w14:paraId="2F54EF03" w14:textId="77777777" w:rsidR="005A5BD5" w:rsidRPr="00CF1706" w:rsidRDefault="005A5BD5" w:rsidP="005A5BD5">
      <w:pPr>
        <w:jc w:val="both"/>
        <w:rPr>
          <w:color w:val="000000"/>
        </w:rPr>
      </w:pPr>
    </w:p>
    <w:p w14:paraId="68620CE5" w14:textId="77777777" w:rsidR="005A5BD5" w:rsidRPr="00CF1706" w:rsidRDefault="005A5BD5" w:rsidP="005A5BD5">
      <w:pPr>
        <w:jc w:val="both"/>
        <w:rPr>
          <w:color w:val="000000"/>
        </w:rPr>
      </w:pPr>
      <w:r w:rsidRPr="00CF1706">
        <w:rPr>
          <w:color w:val="000000"/>
        </w:rPr>
        <w:t xml:space="preserve">- den Königlichen Erlass vom 21. Dezember 2006 </w:t>
      </w:r>
      <w:r w:rsidRPr="006B6D0E">
        <w:rPr>
          <w:color w:val="000000"/>
        </w:rPr>
        <w:t>zur Abänderung des KE/EStGB</w:t>
      </w:r>
      <w:r>
        <w:rPr>
          <w:color w:val="000000"/>
        </w:rPr>
        <w:t> </w:t>
      </w:r>
      <w:r w:rsidRPr="006B6D0E">
        <w:rPr>
          <w:color w:val="000000"/>
        </w:rPr>
        <w:t>92 hinsichtlich des Berufssteuervorabzugs</w:t>
      </w:r>
      <w:r>
        <w:rPr>
          <w:color w:val="000000"/>
        </w:rPr>
        <w:t xml:space="preserve">, des </w:t>
      </w:r>
      <w:r w:rsidRPr="004561B4">
        <w:rPr>
          <w:color w:val="000000"/>
        </w:rPr>
        <w:t>Mobiliensteuervorabzug</w:t>
      </w:r>
      <w:r>
        <w:rPr>
          <w:color w:val="000000"/>
        </w:rPr>
        <w:t xml:space="preserve">s und des </w:t>
      </w:r>
      <w:r w:rsidRPr="004561B4">
        <w:rPr>
          <w:color w:val="000000"/>
        </w:rPr>
        <w:t>Mindestbetrag</w:t>
      </w:r>
      <w:r>
        <w:rPr>
          <w:color w:val="000000"/>
        </w:rPr>
        <w:t>s</w:t>
      </w:r>
      <w:r w:rsidRPr="004561B4">
        <w:rPr>
          <w:color w:val="000000"/>
        </w:rPr>
        <w:t xml:space="preserve"> der Gewinne</w:t>
      </w:r>
      <w:r>
        <w:rPr>
          <w:color w:val="000000"/>
        </w:rPr>
        <w:t xml:space="preserve"> oder Profite, die für </w:t>
      </w:r>
      <w:r w:rsidRPr="004561B4">
        <w:rPr>
          <w:color w:val="000000"/>
        </w:rPr>
        <w:t>Unternehmen und Inhaber eines freien Berufs</w:t>
      </w:r>
      <w:r>
        <w:rPr>
          <w:color w:val="000000"/>
        </w:rPr>
        <w:t xml:space="preserve"> steuerpflichtig sind</w:t>
      </w:r>
      <w:r w:rsidRPr="00CF1706">
        <w:rPr>
          <w:color w:val="000000"/>
        </w:rPr>
        <w:t xml:space="preserve"> </w:t>
      </w:r>
      <w:r w:rsidRPr="00CF1706">
        <w:rPr>
          <w:i/>
          <w:color w:val="000000"/>
        </w:rPr>
        <w:t>(II)</w:t>
      </w:r>
      <w:r w:rsidRPr="00CF1706">
        <w:rPr>
          <w:color w:val="000000"/>
        </w:rPr>
        <w:t>,</w:t>
      </w:r>
    </w:p>
    <w:p w14:paraId="14959FFC" w14:textId="77777777" w:rsidR="005A5BD5" w:rsidRPr="00CF1706" w:rsidRDefault="005A5BD5" w:rsidP="005A5BD5">
      <w:pPr>
        <w:jc w:val="both"/>
        <w:rPr>
          <w:color w:val="000000"/>
        </w:rPr>
      </w:pPr>
    </w:p>
    <w:p w14:paraId="4B274483" w14:textId="77777777" w:rsidR="005A5BD5" w:rsidRPr="00CF1706" w:rsidRDefault="005A5BD5" w:rsidP="005A5BD5">
      <w:pPr>
        <w:jc w:val="both"/>
        <w:rPr>
          <w:color w:val="000000"/>
        </w:rPr>
      </w:pPr>
      <w:r w:rsidRPr="00CF1706">
        <w:rPr>
          <w:color w:val="000000"/>
        </w:rPr>
        <w:t xml:space="preserve">- den Entscheid Nr. 167.198 des Staatsrates </w:t>
      </w:r>
      <w:r w:rsidRPr="000230EF">
        <w:rPr>
          <w:color w:val="000000"/>
        </w:rPr>
        <w:t>vom 29. Januar</w:t>
      </w:r>
      <w:r w:rsidRPr="00CF1706">
        <w:rPr>
          <w:color w:val="000000"/>
        </w:rPr>
        <w:t> 2007,</w:t>
      </w:r>
    </w:p>
    <w:p w14:paraId="3C7C37BF" w14:textId="77777777" w:rsidR="005A5BD5" w:rsidRPr="00CF1706" w:rsidRDefault="005A5BD5" w:rsidP="005A5BD5">
      <w:pPr>
        <w:jc w:val="both"/>
        <w:rPr>
          <w:color w:val="000000"/>
        </w:rPr>
      </w:pPr>
    </w:p>
    <w:p w14:paraId="04737248" w14:textId="77777777" w:rsidR="005A5BD5" w:rsidRPr="00CF1706" w:rsidRDefault="005A5BD5" w:rsidP="005A5BD5">
      <w:pPr>
        <w:jc w:val="both"/>
        <w:rPr>
          <w:color w:val="000000"/>
        </w:rPr>
      </w:pPr>
      <w:r w:rsidRPr="00CF1706">
        <w:rPr>
          <w:color w:val="000000"/>
        </w:rPr>
        <w:t xml:space="preserve">- den Königlichen Erlass vom 31. Januar 2007 </w:t>
      </w:r>
      <w:r w:rsidRPr="005820E6">
        <w:rPr>
          <w:color w:val="000000"/>
        </w:rPr>
        <w:t>zur Abänderung des KE/EStGB</w:t>
      </w:r>
      <w:r>
        <w:rPr>
          <w:color w:val="000000"/>
        </w:rPr>
        <w:t> </w:t>
      </w:r>
      <w:r w:rsidRPr="005820E6">
        <w:rPr>
          <w:color w:val="000000"/>
        </w:rPr>
        <w:t>92 hinsichtlich der Vorteile jeglicher Art</w:t>
      </w:r>
      <w:r w:rsidRPr="00CF1706">
        <w:rPr>
          <w:color w:val="000000"/>
        </w:rPr>
        <w:t>,</w:t>
      </w:r>
    </w:p>
    <w:p w14:paraId="5BF3EA1A" w14:textId="77777777" w:rsidR="005A5BD5" w:rsidRPr="00CF1706" w:rsidRDefault="005A5BD5" w:rsidP="005A5BD5">
      <w:pPr>
        <w:jc w:val="both"/>
        <w:rPr>
          <w:color w:val="000000"/>
        </w:rPr>
      </w:pPr>
    </w:p>
    <w:p w14:paraId="3768DF42" w14:textId="77777777" w:rsidR="005A5BD5" w:rsidRPr="00CF1706" w:rsidRDefault="005A5BD5" w:rsidP="005A5BD5">
      <w:pPr>
        <w:jc w:val="both"/>
        <w:rPr>
          <w:color w:val="000000"/>
        </w:rPr>
      </w:pPr>
      <w:r w:rsidRPr="00CF1706">
        <w:rPr>
          <w:color w:val="000000"/>
        </w:rPr>
        <w:t xml:space="preserve">- den Königlichen Erlass vom 12. Februar 2007 </w:t>
      </w:r>
      <w:r w:rsidRPr="009D3968">
        <w:rPr>
          <w:color w:val="000000"/>
        </w:rPr>
        <w:t>zur Abänderung des KE/EStGB</w:t>
      </w:r>
      <w:r>
        <w:rPr>
          <w:color w:val="000000"/>
        </w:rPr>
        <w:t> </w:t>
      </w:r>
      <w:r w:rsidRPr="009D3968">
        <w:rPr>
          <w:color w:val="000000"/>
        </w:rPr>
        <w:t>92 hinsichtlich des Neubewertungskoeffizienten für Katastereinkommen</w:t>
      </w:r>
      <w:r w:rsidRPr="00CF1706">
        <w:rPr>
          <w:color w:val="000000"/>
        </w:rPr>
        <w:t>,</w:t>
      </w:r>
    </w:p>
    <w:p w14:paraId="4D49AB76" w14:textId="77777777" w:rsidR="005A5BD5" w:rsidRPr="00CF1706" w:rsidRDefault="005A5BD5" w:rsidP="005A5BD5">
      <w:pPr>
        <w:jc w:val="both"/>
        <w:rPr>
          <w:color w:val="000000"/>
        </w:rPr>
      </w:pPr>
    </w:p>
    <w:p w14:paraId="1E43A875" w14:textId="77777777" w:rsidR="005A5BD5" w:rsidRPr="00CF1706" w:rsidRDefault="005A5BD5" w:rsidP="005A5BD5">
      <w:pPr>
        <w:jc w:val="both"/>
        <w:rPr>
          <w:color w:val="000000"/>
        </w:rPr>
      </w:pPr>
      <w:r w:rsidRPr="00CF1706">
        <w:rPr>
          <w:color w:val="000000"/>
        </w:rPr>
        <w:t xml:space="preserve">- den Königlichen Erlass vom 13. Februar 2007 </w:t>
      </w:r>
      <w:r w:rsidRPr="009D3968">
        <w:rPr>
          <w:color w:val="000000"/>
        </w:rPr>
        <w:t>zur Abänderung des KE/EStGB</w:t>
      </w:r>
      <w:r>
        <w:rPr>
          <w:color w:val="000000"/>
        </w:rPr>
        <w:t> </w:t>
      </w:r>
      <w:r w:rsidRPr="009D3968">
        <w:rPr>
          <w:color w:val="000000"/>
        </w:rPr>
        <w:t>92 hinsichtlich der Vorteile jeglicher Art</w:t>
      </w:r>
      <w:r w:rsidRPr="00CF1706">
        <w:rPr>
          <w:color w:val="000000"/>
        </w:rPr>
        <w:t>,</w:t>
      </w:r>
    </w:p>
    <w:p w14:paraId="24A25B22" w14:textId="77777777" w:rsidR="005A5BD5" w:rsidRPr="00CF1706" w:rsidRDefault="005A5BD5" w:rsidP="005A5BD5">
      <w:pPr>
        <w:jc w:val="both"/>
        <w:rPr>
          <w:color w:val="000000"/>
        </w:rPr>
      </w:pPr>
    </w:p>
    <w:p w14:paraId="038EFDE6" w14:textId="77777777" w:rsidR="005A5BD5" w:rsidRPr="00CF1706" w:rsidRDefault="005A5BD5" w:rsidP="005A5BD5">
      <w:pPr>
        <w:jc w:val="both"/>
        <w:rPr>
          <w:color w:val="000000"/>
        </w:rPr>
      </w:pPr>
      <w:r w:rsidRPr="00CF1706">
        <w:rPr>
          <w:color w:val="000000"/>
        </w:rPr>
        <w:t xml:space="preserve">- den Königlichen Erlass vom 14. Februar 2007 </w:t>
      </w:r>
      <w:r w:rsidRPr="001262DD">
        <w:rPr>
          <w:color w:val="000000"/>
        </w:rPr>
        <w:t>zur Abänderung des KE/EStGB</w:t>
      </w:r>
      <w:r>
        <w:rPr>
          <w:color w:val="000000"/>
        </w:rPr>
        <w:t> </w:t>
      </w:r>
      <w:r w:rsidRPr="001262DD">
        <w:rPr>
          <w:color w:val="000000"/>
        </w:rPr>
        <w:t xml:space="preserve">92 hinsichtlich der Steuerermäßigung für Ausgaben </w:t>
      </w:r>
      <w:r w:rsidRPr="00D03567">
        <w:rPr>
          <w:color w:val="000000"/>
        </w:rPr>
        <w:t>für den Erwerb eines mit einem Partikelfilter ausgerüsteten Dieselfahrzeugs</w:t>
      </w:r>
      <w:r w:rsidRPr="00CF1706">
        <w:rPr>
          <w:color w:val="000000"/>
        </w:rPr>
        <w:t>,</w:t>
      </w:r>
    </w:p>
    <w:p w14:paraId="1FAF0C2A" w14:textId="77777777" w:rsidR="005A5BD5" w:rsidRPr="00CF1706" w:rsidRDefault="005A5BD5" w:rsidP="005A5BD5">
      <w:pPr>
        <w:jc w:val="both"/>
        <w:rPr>
          <w:color w:val="000000"/>
        </w:rPr>
      </w:pPr>
    </w:p>
    <w:p w14:paraId="19727629" w14:textId="77777777" w:rsidR="005A5BD5" w:rsidRPr="00CF1706" w:rsidRDefault="005A5BD5" w:rsidP="005A5BD5">
      <w:pPr>
        <w:jc w:val="both"/>
        <w:rPr>
          <w:color w:val="000000"/>
        </w:rPr>
      </w:pPr>
      <w:r w:rsidRPr="00CF1706">
        <w:rPr>
          <w:color w:val="000000"/>
        </w:rPr>
        <w:t xml:space="preserve">- den Königlichen Erlass vom 25. Februar 2007 </w:t>
      </w:r>
      <w:r>
        <w:rPr>
          <w:color w:val="000000"/>
        </w:rPr>
        <w:t>zur Abänderung der Artikel 210</w:t>
      </w:r>
      <w:r>
        <w:rPr>
          <w:i/>
          <w:color w:val="000000"/>
        </w:rPr>
        <w:t>bis</w:t>
      </w:r>
      <w:r>
        <w:rPr>
          <w:color w:val="000000"/>
        </w:rPr>
        <w:t xml:space="preserve"> und 210</w:t>
      </w:r>
      <w:r>
        <w:rPr>
          <w:i/>
          <w:color w:val="000000"/>
        </w:rPr>
        <w:t>ter</w:t>
      </w:r>
      <w:r>
        <w:rPr>
          <w:color w:val="000000"/>
        </w:rPr>
        <w:t xml:space="preserve"> des </w:t>
      </w:r>
      <w:r w:rsidRPr="00FD1E52">
        <w:rPr>
          <w:color w:val="000000"/>
        </w:rPr>
        <w:t>Königlichen Erlasses zur Ausführung des Einkommensteuergesetzbuches</w:t>
      </w:r>
      <w:r>
        <w:rPr>
          <w:color w:val="000000"/>
        </w:rPr>
        <w:t> </w:t>
      </w:r>
      <w:r w:rsidRPr="00FD1E52">
        <w:rPr>
          <w:color w:val="000000"/>
        </w:rPr>
        <w:t>1992</w:t>
      </w:r>
      <w:r w:rsidRPr="00CF1706">
        <w:rPr>
          <w:color w:val="000000"/>
        </w:rPr>
        <w:t xml:space="preserve"> </w:t>
      </w:r>
      <w:r w:rsidRPr="00CF1706">
        <w:rPr>
          <w:i/>
          <w:color w:val="000000"/>
        </w:rPr>
        <w:t>(I)</w:t>
      </w:r>
      <w:r w:rsidRPr="00CF1706">
        <w:rPr>
          <w:color w:val="000000"/>
        </w:rPr>
        <w:t>,</w:t>
      </w:r>
    </w:p>
    <w:p w14:paraId="572BC0A2" w14:textId="77777777" w:rsidR="005A5BD5" w:rsidRPr="00CF1706" w:rsidRDefault="005A5BD5" w:rsidP="005A5BD5">
      <w:pPr>
        <w:jc w:val="both"/>
        <w:rPr>
          <w:color w:val="000000"/>
        </w:rPr>
      </w:pPr>
    </w:p>
    <w:p w14:paraId="4489FA77" w14:textId="77777777" w:rsidR="005A5BD5" w:rsidRPr="00CF1706" w:rsidRDefault="005A5BD5" w:rsidP="005A5BD5">
      <w:pPr>
        <w:jc w:val="both"/>
        <w:rPr>
          <w:color w:val="000000"/>
        </w:rPr>
      </w:pPr>
      <w:r w:rsidRPr="00CF1706">
        <w:rPr>
          <w:color w:val="000000"/>
        </w:rPr>
        <w:t xml:space="preserve">- den Königlichen Erlass vom 25. Februar 2007 zur Abänderung des KE/EStGB 92 in Sachen Steuerermäßigung für Ausgaben zur Sicherung einer Privatwohnung gegen Einbruch oder Brand </w:t>
      </w:r>
      <w:r w:rsidRPr="00CF1706">
        <w:rPr>
          <w:i/>
          <w:color w:val="000000"/>
        </w:rPr>
        <w:t>(II)</w:t>
      </w:r>
      <w:r w:rsidRPr="00CF1706">
        <w:rPr>
          <w:color w:val="000000"/>
        </w:rPr>
        <w:t>,</w:t>
      </w:r>
    </w:p>
    <w:p w14:paraId="7C5A8B7B" w14:textId="77777777" w:rsidR="005A5BD5" w:rsidRDefault="005A5BD5" w:rsidP="005A5BD5">
      <w:pPr>
        <w:jc w:val="both"/>
        <w:rPr>
          <w:color w:val="000000"/>
        </w:rPr>
      </w:pPr>
    </w:p>
    <w:p w14:paraId="38A5EF3C" w14:textId="77777777" w:rsidR="005A5BD5" w:rsidRPr="00CF1706" w:rsidRDefault="005A5BD5" w:rsidP="005A5BD5">
      <w:pPr>
        <w:jc w:val="both"/>
        <w:rPr>
          <w:color w:val="000000"/>
        </w:rPr>
      </w:pPr>
      <w:r w:rsidRPr="00CF1706">
        <w:rPr>
          <w:color w:val="000000"/>
        </w:rPr>
        <w:t>- den Königlichen Erlass vom 25. Februar 2007</w:t>
      </w:r>
      <w:r>
        <w:rPr>
          <w:color w:val="000000"/>
        </w:rPr>
        <w:t xml:space="preserve"> </w:t>
      </w:r>
      <w:r w:rsidRPr="001262DD">
        <w:rPr>
          <w:color w:val="000000"/>
        </w:rPr>
        <w:t>zur Abänderung des KE/EStGB</w:t>
      </w:r>
      <w:r>
        <w:rPr>
          <w:color w:val="000000"/>
        </w:rPr>
        <w:t> </w:t>
      </w:r>
      <w:r w:rsidRPr="001262DD">
        <w:rPr>
          <w:color w:val="000000"/>
        </w:rPr>
        <w:t>92 hinsichtlich</w:t>
      </w:r>
      <w:r>
        <w:rPr>
          <w:color w:val="000000"/>
        </w:rPr>
        <w:t xml:space="preserve"> der Art der Leistungen, die erbracht werden im Rahmen der</w:t>
      </w:r>
      <w:r w:rsidRPr="00CF1706">
        <w:rPr>
          <w:color w:val="000000"/>
        </w:rPr>
        <w:t xml:space="preserve"> </w:t>
      </w:r>
      <w:r>
        <w:rPr>
          <w:color w:val="000000"/>
        </w:rPr>
        <w:t>Steuere</w:t>
      </w:r>
      <w:r w:rsidRPr="00A36371">
        <w:rPr>
          <w:color w:val="000000"/>
        </w:rPr>
        <w:t>rmäßigung für Ausgaben für die Renovierung von Wohnungen, die zu einem günstigen Mietpreis vermietet werden</w:t>
      </w:r>
      <w:r w:rsidRPr="00CF1706">
        <w:rPr>
          <w:color w:val="000000"/>
        </w:rPr>
        <w:t xml:space="preserve"> </w:t>
      </w:r>
      <w:r w:rsidRPr="00CF1706">
        <w:rPr>
          <w:i/>
          <w:color w:val="000000"/>
        </w:rPr>
        <w:t>(III)</w:t>
      </w:r>
      <w:r w:rsidRPr="00CF1706">
        <w:rPr>
          <w:color w:val="000000"/>
        </w:rPr>
        <w:t>,</w:t>
      </w:r>
    </w:p>
    <w:p w14:paraId="50D7ACE2" w14:textId="77777777" w:rsidR="005A5BD5" w:rsidRPr="00CF1706" w:rsidRDefault="005A5BD5" w:rsidP="005A5BD5">
      <w:pPr>
        <w:jc w:val="both"/>
        <w:rPr>
          <w:color w:val="000000"/>
        </w:rPr>
      </w:pPr>
    </w:p>
    <w:p w14:paraId="7D103D01" w14:textId="77777777" w:rsidR="005A5BD5" w:rsidRPr="00CF1706" w:rsidRDefault="005A5BD5" w:rsidP="005A5BD5">
      <w:pPr>
        <w:jc w:val="both"/>
        <w:rPr>
          <w:color w:val="000000"/>
        </w:rPr>
      </w:pPr>
      <w:r w:rsidRPr="00CF1706">
        <w:rPr>
          <w:color w:val="000000"/>
        </w:rPr>
        <w:t xml:space="preserve">- den Königlichen Erlass vom 28. Februar 2007 </w:t>
      </w:r>
      <w:r w:rsidRPr="00EB7DA2">
        <w:rPr>
          <w:color w:val="000000"/>
        </w:rPr>
        <w:t>zur Abänderung des KE/EStGB</w:t>
      </w:r>
      <w:r>
        <w:rPr>
          <w:color w:val="000000"/>
        </w:rPr>
        <w:t> </w:t>
      </w:r>
      <w:r w:rsidRPr="00EB7DA2">
        <w:rPr>
          <w:color w:val="000000"/>
        </w:rPr>
        <w:t>92 hinsichtlich der Modalitäten der Anwendung der Steuerermäßigung für Ausgaben für die Renovierung von Wohnungen, die zu einem günstigen Mietpreis vermietet werden</w:t>
      </w:r>
      <w:r w:rsidRPr="00CF1706">
        <w:rPr>
          <w:color w:val="000000"/>
        </w:rPr>
        <w:t>,</w:t>
      </w:r>
    </w:p>
    <w:p w14:paraId="73014692" w14:textId="77777777" w:rsidR="005A5BD5" w:rsidRPr="00CF1706" w:rsidRDefault="005A5BD5" w:rsidP="005A5BD5">
      <w:pPr>
        <w:jc w:val="both"/>
        <w:rPr>
          <w:color w:val="000000"/>
        </w:rPr>
      </w:pPr>
    </w:p>
    <w:p w14:paraId="12FD4EF2" w14:textId="77777777" w:rsidR="005A5BD5" w:rsidRPr="00CF1706" w:rsidRDefault="005A5BD5" w:rsidP="005A5BD5">
      <w:pPr>
        <w:jc w:val="both"/>
        <w:rPr>
          <w:color w:val="000000"/>
        </w:rPr>
      </w:pPr>
      <w:r w:rsidRPr="00CF1706">
        <w:rPr>
          <w:color w:val="000000"/>
        </w:rPr>
        <w:lastRenderedPageBreak/>
        <w:t xml:space="preserve">- den Königlichen Erlass vom 12. März 2007 </w:t>
      </w:r>
      <w:r w:rsidRPr="00605A5D">
        <w:rPr>
          <w:color w:val="000000"/>
        </w:rPr>
        <w:t>zur Abänderung des KE/EStGB</w:t>
      </w:r>
      <w:r>
        <w:rPr>
          <w:color w:val="000000"/>
        </w:rPr>
        <w:t> </w:t>
      </w:r>
      <w:r w:rsidRPr="00605A5D">
        <w:rPr>
          <w:color w:val="000000"/>
        </w:rPr>
        <w:t>92 hinsichtlich der Befreiung von der Zahlung des Berufssteuervorabzugs und zur Festlegung verschiedener Bestimmungen</w:t>
      </w:r>
      <w:r w:rsidRPr="00CF1706">
        <w:rPr>
          <w:color w:val="000000"/>
        </w:rPr>
        <w:t>,</w:t>
      </w:r>
    </w:p>
    <w:p w14:paraId="1ACA4FCA" w14:textId="77777777" w:rsidR="005A5BD5" w:rsidRPr="00CF1706" w:rsidRDefault="005A5BD5" w:rsidP="005A5BD5">
      <w:pPr>
        <w:jc w:val="both"/>
        <w:rPr>
          <w:color w:val="000000"/>
        </w:rPr>
      </w:pPr>
    </w:p>
    <w:p w14:paraId="5E63C2DC" w14:textId="77777777" w:rsidR="005A5BD5" w:rsidRPr="00CF1706" w:rsidRDefault="005A5BD5" w:rsidP="005A5BD5">
      <w:pPr>
        <w:jc w:val="both"/>
        <w:rPr>
          <w:color w:val="000000"/>
        </w:rPr>
      </w:pPr>
      <w:r w:rsidRPr="00CF1706">
        <w:rPr>
          <w:color w:val="000000"/>
        </w:rPr>
        <w:t xml:space="preserve">- den Königlichen Erlass vom 19. März 2007 </w:t>
      </w:r>
      <w:r w:rsidRPr="00605A5D">
        <w:rPr>
          <w:color w:val="000000"/>
        </w:rPr>
        <w:t>zur Abänderung des KE/EStGB</w:t>
      </w:r>
      <w:r>
        <w:rPr>
          <w:color w:val="000000"/>
        </w:rPr>
        <w:t> </w:t>
      </w:r>
      <w:r w:rsidRPr="00605A5D">
        <w:rPr>
          <w:color w:val="000000"/>
        </w:rPr>
        <w:t>92 hinsichtlich</w:t>
      </w:r>
      <w:r>
        <w:rPr>
          <w:color w:val="000000"/>
        </w:rPr>
        <w:t xml:space="preserve"> der </w:t>
      </w:r>
      <w:r w:rsidRPr="0019106C">
        <w:rPr>
          <w:color w:val="000000"/>
        </w:rPr>
        <w:t>Anlagen</w:t>
      </w:r>
      <w:r>
        <w:rPr>
          <w:color w:val="000000"/>
        </w:rPr>
        <w:t xml:space="preserve">, die von dem </w:t>
      </w:r>
      <w:r w:rsidRPr="0019106C">
        <w:rPr>
          <w:color w:val="000000"/>
        </w:rPr>
        <w:t>System der degressiven Abschreibung</w:t>
      </w:r>
      <w:r>
        <w:rPr>
          <w:color w:val="000000"/>
        </w:rPr>
        <w:t xml:space="preserve"> ausgeschlossen sind</w:t>
      </w:r>
      <w:r w:rsidRPr="00CF1706">
        <w:rPr>
          <w:color w:val="000000"/>
        </w:rPr>
        <w:t>,</w:t>
      </w:r>
    </w:p>
    <w:p w14:paraId="343760E4" w14:textId="77777777" w:rsidR="005A5BD5" w:rsidRPr="00CF1706" w:rsidRDefault="005A5BD5" w:rsidP="005A5BD5">
      <w:pPr>
        <w:jc w:val="both"/>
        <w:rPr>
          <w:color w:val="000000"/>
        </w:rPr>
      </w:pPr>
    </w:p>
    <w:p w14:paraId="4B8CE50B" w14:textId="77777777" w:rsidR="005A5BD5" w:rsidRPr="00CF1706" w:rsidRDefault="005A5BD5" w:rsidP="005A5BD5">
      <w:pPr>
        <w:jc w:val="both"/>
        <w:rPr>
          <w:color w:val="000000"/>
        </w:rPr>
      </w:pPr>
      <w:r w:rsidRPr="00CF1706">
        <w:rPr>
          <w:color w:val="000000"/>
        </w:rPr>
        <w:t xml:space="preserve">- den Königlichen Erlass vom 1. April 2007 </w:t>
      </w:r>
      <w:r w:rsidRPr="003C6401">
        <w:rPr>
          <w:color w:val="000000"/>
        </w:rPr>
        <w:t>zur Abänderung des KE/EStGB</w:t>
      </w:r>
      <w:r>
        <w:rPr>
          <w:color w:val="000000"/>
        </w:rPr>
        <w:t> </w:t>
      </w:r>
      <w:r w:rsidRPr="003C6401">
        <w:rPr>
          <w:color w:val="000000"/>
        </w:rPr>
        <w:t>92 hinsichtlich der Ermächtigung Dritter, Mitteilung der zur Ausführung einer Aufgabe allgemeinen Interesses notwendigen Informationen zu erhalten</w:t>
      </w:r>
      <w:r w:rsidRPr="00CF1706">
        <w:rPr>
          <w:color w:val="000000"/>
        </w:rPr>
        <w:t>,</w:t>
      </w:r>
    </w:p>
    <w:p w14:paraId="773BA525" w14:textId="77777777" w:rsidR="005A5BD5" w:rsidRPr="00CF1706" w:rsidRDefault="005A5BD5" w:rsidP="005A5BD5">
      <w:pPr>
        <w:jc w:val="both"/>
        <w:rPr>
          <w:color w:val="000000"/>
        </w:rPr>
      </w:pPr>
    </w:p>
    <w:p w14:paraId="463B6797" w14:textId="77777777" w:rsidR="005A5BD5" w:rsidRPr="00CF1706" w:rsidRDefault="005A5BD5" w:rsidP="005A5BD5">
      <w:pPr>
        <w:jc w:val="both"/>
        <w:rPr>
          <w:color w:val="000000"/>
        </w:rPr>
      </w:pPr>
      <w:r w:rsidRPr="00CF1706">
        <w:rPr>
          <w:color w:val="000000"/>
        </w:rPr>
        <w:t xml:space="preserve">- den Königlichen Erlass vom 9. April 2007 </w:t>
      </w:r>
      <w:r w:rsidRPr="003C6401">
        <w:rPr>
          <w:color w:val="000000"/>
        </w:rPr>
        <w:t>zur Abänderung des KE/EStGB</w:t>
      </w:r>
      <w:r>
        <w:rPr>
          <w:color w:val="000000"/>
        </w:rPr>
        <w:t> </w:t>
      </w:r>
      <w:r w:rsidRPr="003C6401">
        <w:rPr>
          <w:color w:val="000000"/>
        </w:rPr>
        <w:t>92 hinsichtlich der Steuerbefreiung für Preise und Zuschüsse, die Wissenschaftlern, Schriftstellern oder Künstlern gezahlt oder zuerkannt werden</w:t>
      </w:r>
      <w:r w:rsidRPr="00CF1706">
        <w:rPr>
          <w:i/>
          <w:color w:val="000000"/>
        </w:rPr>
        <w:t xml:space="preserve"> (I)</w:t>
      </w:r>
      <w:r w:rsidRPr="00CF1706">
        <w:rPr>
          <w:color w:val="000000"/>
        </w:rPr>
        <w:t>,</w:t>
      </w:r>
    </w:p>
    <w:p w14:paraId="7001DC1A" w14:textId="77777777" w:rsidR="005A5BD5" w:rsidRPr="00CF1706" w:rsidRDefault="005A5BD5" w:rsidP="005A5BD5">
      <w:pPr>
        <w:jc w:val="both"/>
        <w:rPr>
          <w:color w:val="000000"/>
        </w:rPr>
      </w:pPr>
    </w:p>
    <w:p w14:paraId="1265BFE5" w14:textId="77777777" w:rsidR="005A5BD5" w:rsidRPr="00CF1706" w:rsidRDefault="005A5BD5" w:rsidP="005A5BD5">
      <w:pPr>
        <w:jc w:val="both"/>
        <w:rPr>
          <w:color w:val="000000"/>
        </w:rPr>
      </w:pPr>
      <w:r w:rsidRPr="00CF1706">
        <w:rPr>
          <w:color w:val="000000"/>
        </w:rPr>
        <w:t xml:space="preserve">- den Königlichen Erlass vom 9. April 2007 </w:t>
      </w:r>
      <w:r w:rsidRPr="003C6401">
        <w:rPr>
          <w:color w:val="000000"/>
        </w:rPr>
        <w:t>zur Abänderung des KE/EStGB</w:t>
      </w:r>
      <w:r>
        <w:rPr>
          <w:color w:val="000000"/>
        </w:rPr>
        <w:t> </w:t>
      </w:r>
      <w:r w:rsidRPr="003C6401">
        <w:rPr>
          <w:color w:val="000000"/>
        </w:rPr>
        <w:t>92 hinsichtlich</w:t>
      </w:r>
      <w:r>
        <w:rPr>
          <w:color w:val="000000"/>
        </w:rPr>
        <w:t xml:space="preserve"> der Zulassung der in Artikel 275</w:t>
      </w:r>
      <w:r w:rsidRPr="003C6401">
        <w:rPr>
          <w:color w:val="000000"/>
          <w:vertAlign w:val="superscript"/>
        </w:rPr>
        <w:t>3</w:t>
      </w:r>
      <w:r>
        <w:rPr>
          <w:color w:val="000000"/>
        </w:rPr>
        <w:t xml:space="preserve"> § 1 Absatz 2 des </w:t>
      </w:r>
      <w:r w:rsidRPr="00FD1E52">
        <w:rPr>
          <w:color w:val="000000"/>
        </w:rPr>
        <w:t>Einkommensteuergesetzbuches</w:t>
      </w:r>
      <w:r>
        <w:rPr>
          <w:color w:val="000000"/>
        </w:rPr>
        <w:t> </w:t>
      </w:r>
      <w:r w:rsidRPr="00FD1E52">
        <w:rPr>
          <w:color w:val="000000"/>
        </w:rPr>
        <w:t>1992</w:t>
      </w:r>
      <w:r>
        <w:rPr>
          <w:color w:val="000000"/>
        </w:rPr>
        <w:t xml:space="preserve"> erwähnten </w:t>
      </w:r>
      <w:r w:rsidRPr="003C6401">
        <w:rPr>
          <w:color w:val="000000"/>
        </w:rPr>
        <w:t>wissenschaftlichen Einrichtungen</w:t>
      </w:r>
      <w:r w:rsidRPr="00CF1706">
        <w:rPr>
          <w:color w:val="000000"/>
        </w:rPr>
        <w:t xml:space="preserve"> </w:t>
      </w:r>
      <w:r w:rsidRPr="00CF1706">
        <w:rPr>
          <w:i/>
          <w:color w:val="000000"/>
        </w:rPr>
        <w:t>(II)</w:t>
      </w:r>
      <w:r w:rsidRPr="00CF1706">
        <w:rPr>
          <w:color w:val="000000"/>
        </w:rPr>
        <w:t>,</w:t>
      </w:r>
    </w:p>
    <w:p w14:paraId="647F5DC6" w14:textId="77777777" w:rsidR="005A5BD5" w:rsidRPr="00CF1706" w:rsidRDefault="005A5BD5" w:rsidP="005A5BD5">
      <w:pPr>
        <w:jc w:val="both"/>
        <w:rPr>
          <w:color w:val="000000"/>
        </w:rPr>
      </w:pPr>
    </w:p>
    <w:p w14:paraId="053D6DDE" w14:textId="77777777" w:rsidR="005A5BD5" w:rsidRPr="00CF1706" w:rsidRDefault="005A5BD5" w:rsidP="005A5BD5">
      <w:pPr>
        <w:jc w:val="both"/>
        <w:rPr>
          <w:color w:val="000000"/>
        </w:rPr>
      </w:pPr>
      <w:r w:rsidRPr="00CF1706">
        <w:rPr>
          <w:color w:val="000000"/>
        </w:rPr>
        <w:t xml:space="preserve">- den Königlichen Erlass vom 21. April 2007 </w:t>
      </w:r>
      <w:r w:rsidRPr="005C627D">
        <w:rPr>
          <w:color w:val="000000"/>
        </w:rPr>
        <w:t>zur Abänderung des KE/EStGB</w:t>
      </w:r>
      <w:r>
        <w:rPr>
          <w:color w:val="000000"/>
        </w:rPr>
        <w:t> </w:t>
      </w:r>
      <w:r w:rsidRPr="005C627D">
        <w:rPr>
          <w:color w:val="000000"/>
        </w:rPr>
        <w:t>92 hinsichtlich des Berufssteuervorabzugs</w:t>
      </w:r>
      <w:r w:rsidRPr="00CF1706">
        <w:rPr>
          <w:color w:val="000000"/>
        </w:rPr>
        <w:t>,</w:t>
      </w:r>
    </w:p>
    <w:p w14:paraId="20AC9792" w14:textId="77777777" w:rsidR="005A5BD5" w:rsidRPr="00CF1706" w:rsidRDefault="005A5BD5" w:rsidP="005A5BD5">
      <w:pPr>
        <w:jc w:val="both"/>
        <w:rPr>
          <w:color w:val="000000"/>
        </w:rPr>
      </w:pPr>
    </w:p>
    <w:p w14:paraId="183F7F2D" w14:textId="77777777" w:rsidR="005A5BD5" w:rsidRPr="00CF1706" w:rsidRDefault="005A5BD5" w:rsidP="005A5BD5">
      <w:pPr>
        <w:jc w:val="both"/>
        <w:rPr>
          <w:color w:val="000000"/>
        </w:rPr>
      </w:pPr>
      <w:r w:rsidRPr="00CF1706">
        <w:rPr>
          <w:color w:val="000000"/>
        </w:rPr>
        <w:t xml:space="preserve">- den Königlichen Erlass vom 11. Mai 2007 </w:t>
      </w:r>
      <w:r>
        <w:rPr>
          <w:color w:val="000000"/>
        </w:rPr>
        <w:t>zur Ausführung von Artikel 44</w:t>
      </w:r>
      <w:r>
        <w:rPr>
          <w:i/>
          <w:color w:val="000000"/>
        </w:rPr>
        <w:t>ter</w:t>
      </w:r>
      <w:r>
        <w:rPr>
          <w:color w:val="000000"/>
        </w:rPr>
        <w:t xml:space="preserve"> § 2 Nr. 1 des </w:t>
      </w:r>
      <w:r w:rsidRPr="00FD1E52">
        <w:rPr>
          <w:color w:val="000000"/>
        </w:rPr>
        <w:t>Einkommensteuergesetzbuches</w:t>
      </w:r>
      <w:r>
        <w:rPr>
          <w:color w:val="000000"/>
        </w:rPr>
        <w:t> </w:t>
      </w:r>
      <w:r w:rsidRPr="00FD1E52">
        <w:rPr>
          <w:color w:val="000000"/>
        </w:rPr>
        <w:t>1992</w:t>
      </w:r>
      <w:r>
        <w:rPr>
          <w:color w:val="000000"/>
        </w:rPr>
        <w:t xml:space="preserve"> und Artikel 114 des </w:t>
      </w:r>
      <w:r w:rsidRPr="00A5371E">
        <w:rPr>
          <w:color w:val="000000"/>
        </w:rPr>
        <w:t>Gesetz</w:t>
      </w:r>
      <w:r>
        <w:rPr>
          <w:color w:val="000000"/>
        </w:rPr>
        <w:t>es vom 25. April 2007</w:t>
      </w:r>
      <w:r w:rsidRPr="00A5371E">
        <w:rPr>
          <w:color w:val="000000"/>
        </w:rPr>
        <w:t xml:space="preserve"> zur Festlegung verschiedener Bestimmungen</w:t>
      </w:r>
      <w:r>
        <w:rPr>
          <w:color w:val="000000"/>
        </w:rPr>
        <w:t> </w:t>
      </w:r>
      <w:r w:rsidRPr="00A5371E">
        <w:rPr>
          <w:color w:val="000000"/>
        </w:rPr>
        <w:t>(IV)</w:t>
      </w:r>
      <w:r w:rsidRPr="00CF1706">
        <w:rPr>
          <w:color w:val="000000"/>
        </w:rPr>
        <w:t>,</w:t>
      </w:r>
    </w:p>
    <w:p w14:paraId="56FEB198" w14:textId="77777777" w:rsidR="005A5BD5" w:rsidRPr="00CF1706" w:rsidRDefault="005A5BD5" w:rsidP="005A5BD5">
      <w:pPr>
        <w:jc w:val="both"/>
        <w:rPr>
          <w:color w:val="000000"/>
        </w:rPr>
      </w:pPr>
    </w:p>
    <w:p w14:paraId="03F002AB" w14:textId="77777777" w:rsidR="005A5BD5" w:rsidRPr="00CF1706" w:rsidRDefault="005A5BD5" w:rsidP="005A5BD5">
      <w:pPr>
        <w:jc w:val="both"/>
        <w:rPr>
          <w:color w:val="000000"/>
        </w:rPr>
      </w:pPr>
      <w:r w:rsidRPr="00CF1706">
        <w:rPr>
          <w:color w:val="000000"/>
        </w:rPr>
        <w:t>- den Königlichen Erlass vom 23. Mai 2007 über private Kapitalanlagefonds mit fixem Kapital (</w:t>
      </w:r>
      <w:r w:rsidRPr="00CF1706">
        <w:rPr>
          <w:i/>
          <w:color w:val="000000"/>
        </w:rPr>
        <w:t>Belgisches Staatsblatt</w:t>
      </w:r>
      <w:r w:rsidRPr="00CF1706">
        <w:rPr>
          <w:color w:val="000000"/>
        </w:rPr>
        <w:t xml:space="preserve"> vom 30. Mai 2008),</w:t>
      </w:r>
    </w:p>
    <w:p w14:paraId="29A3038F" w14:textId="77777777" w:rsidR="005A5BD5" w:rsidRPr="00CF1706" w:rsidRDefault="005A5BD5" w:rsidP="005A5BD5">
      <w:pPr>
        <w:jc w:val="both"/>
        <w:rPr>
          <w:color w:val="000000"/>
        </w:rPr>
      </w:pPr>
    </w:p>
    <w:p w14:paraId="6DCC4995" w14:textId="77777777" w:rsidR="005A5BD5" w:rsidRPr="00CF1706" w:rsidRDefault="005A5BD5" w:rsidP="005A5BD5">
      <w:pPr>
        <w:jc w:val="both"/>
        <w:rPr>
          <w:color w:val="000000"/>
        </w:rPr>
      </w:pPr>
      <w:r w:rsidRPr="00CF1706">
        <w:rPr>
          <w:color w:val="000000"/>
        </w:rPr>
        <w:t xml:space="preserve">- den Königlichen Erlass vom 3. Juni 2007 </w:t>
      </w:r>
      <w:r w:rsidRPr="005C627D">
        <w:rPr>
          <w:color w:val="000000"/>
        </w:rPr>
        <w:t>zur Abänderung des KE/EStGB</w:t>
      </w:r>
      <w:r>
        <w:rPr>
          <w:color w:val="000000"/>
        </w:rPr>
        <w:t> </w:t>
      </w:r>
      <w:r w:rsidRPr="005C627D">
        <w:rPr>
          <w:color w:val="000000"/>
        </w:rPr>
        <w:t>92</w:t>
      </w:r>
      <w:r>
        <w:rPr>
          <w:color w:val="000000"/>
        </w:rPr>
        <w:t xml:space="preserve"> hinsichtlich der Einführung der verpflichtenden elektronischen Einreichung </w:t>
      </w:r>
      <w:r w:rsidRPr="00063BE8">
        <w:rPr>
          <w:color w:val="000000"/>
        </w:rPr>
        <w:t>der Karten</w:t>
      </w:r>
      <w:r>
        <w:rPr>
          <w:color w:val="000000"/>
        </w:rPr>
        <w:t>,</w:t>
      </w:r>
      <w:r w:rsidRPr="00063BE8">
        <w:rPr>
          <w:color w:val="000000"/>
        </w:rPr>
        <w:t xml:space="preserve"> der zusammen</w:t>
      </w:r>
      <w:r>
        <w:rPr>
          <w:color w:val="000000"/>
        </w:rPr>
        <w:softHyphen/>
      </w:r>
      <w:r w:rsidRPr="00063BE8">
        <w:rPr>
          <w:color w:val="000000"/>
        </w:rPr>
        <w:t>fassenden Aufstellung</w:t>
      </w:r>
      <w:r>
        <w:rPr>
          <w:color w:val="000000"/>
        </w:rPr>
        <w:t xml:space="preserve">en und der </w:t>
      </w:r>
      <w:r w:rsidRPr="00063BE8">
        <w:rPr>
          <w:color w:val="000000"/>
        </w:rPr>
        <w:t>Erklärung</w:t>
      </w:r>
      <w:r>
        <w:rPr>
          <w:color w:val="000000"/>
        </w:rPr>
        <w:t>en</w:t>
      </w:r>
      <w:r w:rsidRPr="00063BE8">
        <w:rPr>
          <w:color w:val="000000"/>
        </w:rPr>
        <w:t xml:space="preserve"> zum Berufssteuervorabzug</w:t>
      </w:r>
      <w:r w:rsidRPr="00CF1706">
        <w:rPr>
          <w:i/>
          <w:color w:val="000000"/>
        </w:rPr>
        <w:t xml:space="preserve"> (I)</w:t>
      </w:r>
      <w:r w:rsidRPr="00CF1706">
        <w:rPr>
          <w:color w:val="000000"/>
        </w:rPr>
        <w:t>,</w:t>
      </w:r>
    </w:p>
    <w:p w14:paraId="512FC1A7" w14:textId="77777777" w:rsidR="005A5BD5" w:rsidRPr="00CF1706" w:rsidRDefault="005A5BD5" w:rsidP="005A5BD5">
      <w:pPr>
        <w:jc w:val="both"/>
        <w:rPr>
          <w:color w:val="000000"/>
        </w:rPr>
      </w:pPr>
    </w:p>
    <w:p w14:paraId="30250C7E" w14:textId="77777777" w:rsidR="005A5BD5" w:rsidRPr="00CF1706" w:rsidRDefault="005A5BD5" w:rsidP="005A5BD5">
      <w:pPr>
        <w:jc w:val="both"/>
        <w:rPr>
          <w:color w:val="000000"/>
        </w:rPr>
      </w:pPr>
      <w:r w:rsidRPr="00CF1706">
        <w:rPr>
          <w:color w:val="000000"/>
        </w:rPr>
        <w:t xml:space="preserve">- den Königlichen Erlass vom 3. Juni 2007 </w:t>
      </w:r>
      <w:r>
        <w:rPr>
          <w:color w:val="000000"/>
        </w:rPr>
        <w:t>zur Ausführung der Artikel 154</w:t>
      </w:r>
      <w:r>
        <w:rPr>
          <w:i/>
          <w:color w:val="000000"/>
        </w:rPr>
        <w:t>bis</w:t>
      </w:r>
      <w:r>
        <w:rPr>
          <w:color w:val="000000"/>
        </w:rPr>
        <w:t xml:space="preserve"> Absatz 3 und 275</w:t>
      </w:r>
      <w:r w:rsidRPr="0088347F">
        <w:rPr>
          <w:color w:val="000000"/>
          <w:vertAlign w:val="superscript"/>
        </w:rPr>
        <w:t>1</w:t>
      </w:r>
      <w:r>
        <w:rPr>
          <w:color w:val="000000"/>
        </w:rPr>
        <w:t xml:space="preserve"> Absatz 4 des </w:t>
      </w:r>
      <w:r w:rsidRPr="00FD1E52">
        <w:rPr>
          <w:color w:val="000000"/>
        </w:rPr>
        <w:t>Einkommensteuergesetzbuches</w:t>
      </w:r>
      <w:r>
        <w:rPr>
          <w:color w:val="000000"/>
        </w:rPr>
        <w:t> </w:t>
      </w:r>
      <w:r w:rsidRPr="00FD1E52">
        <w:rPr>
          <w:color w:val="000000"/>
        </w:rPr>
        <w:t>1992</w:t>
      </w:r>
      <w:r w:rsidRPr="00CF1706">
        <w:rPr>
          <w:color w:val="000000"/>
        </w:rPr>
        <w:t xml:space="preserve"> </w:t>
      </w:r>
      <w:r w:rsidRPr="00CF1706">
        <w:rPr>
          <w:i/>
          <w:color w:val="000000"/>
        </w:rPr>
        <w:t>(II)</w:t>
      </w:r>
      <w:r w:rsidRPr="00CF1706">
        <w:rPr>
          <w:color w:val="000000"/>
        </w:rPr>
        <w:t>,</w:t>
      </w:r>
    </w:p>
    <w:p w14:paraId="185D1C09" w14:textId="77777777" w:rsidR="005A5BD5" w:rsidRPr="00CF1706" w:rsidRDefault="005A5BD5" w:rsidP="005A5BD5">
      <w:pPr>
        <w:jc w:val="both"/>
        <w:rPr>
          <w:color w:val="000000"/>
        </w:rPr>
      </w:pPr>
    </w:p>
    <w:p w14:paraId="47094C14" w14:textId="77777777" w:rsidR="005A5BD5" w:rsidRPr="00CF1706" w:rsidRDefault="005A5BD5" w:rsidP="005A5BD5">
      <w:pPr>
        <w:jc w:val="both"/>
        <w:rPr>
          <w:color w:val="000000"/>
        </w:rPr>
      </w:pPr>
      <w:r w:rsidRPr="00CF1706">
        <w:rPr>
          <w:color w:val="000000"/>
        </w:rPr>
        <w:t xml:space="preserve">- den Königlichen Erlass vom 3. Juni 2007 </w:t>
      </w:r>
      <w:r w:rsidRPr="001565A6">
        <w:rPr>
          <w:color w:val="000000"/>
        </w:rPr>
        <w:t>zur Abänderung des KE/EStGB</w:t>
      </w:r>
      <w:r>
        <w:rPr>
          <w:color w:val="000000"/>
        </w:rPr>
        <w:t> </w:t>
      </w:r>
      <w:r w:rsidRPr="001565A6">
        <w:rPr>
          <w:color w:val="000000"/>
        </w:rPr>
        <w:t>92 hinsichtlich des Berufssteuervorabzugs</w:t>
      </w:r>
      <w:r w:rsidRPr="00CF1706">
        <w:rPr>
          <w:color w:val="000000"/>
        </w:rPr>
        <w:t xml:space="preserve"> </w:t>
      </w:r>
      <w:r w:rsidRPr="00CF1706">
        <w:rPr>
          <w:i/>
          <w:color w:val="000000"/>
        </w:rPr>
        <w:t>(III)</w:t>
      </w:r>
      <w:r w:rsidRPr="00CF1706">
        <w:rPr>
          <w:color w:val="000000"/>
        </w:rPr>
        <w:t>,</w:t>
      </w:r>
    </w:p>
    <w:p w14:paraId="4AB867B1" w14:textId="77777777" w:rsidR="005A5BD5" w:rsidRDefault="005A5BD5" w:rsidP="005A5BD5">
      <w:pPr>
        <w:jc w:val="both"/>
        <w:rPr>
          <w:color w:val="000000"/>
        </w:rPr>
      </w:pPr>
    </w:p>
    <w:p w14:paraId="1F6ED5A2" w14:textId="77777777" w:rsidR="005A5BD5" w:rsidRPr="00CF1706" w:rsidRDefault="005A5BD5" w:rsidP="005A5BD5">
      <w:pPr>
        <w:jc w:val="both"/>
        <w:rPr>
          <w:color w:val="000000"/>
        </w:rPr>
      </w:pPr>
      <w:r w:rsidRPr="00CF1706">
        <w:rPr>
          <w:color w:val="000000"/>
        </w:rPr>
        <w:t xml:space="preserve">- den Königlichen Erlass vom 7. Juni 2007 </w:t>
      </w:r>
      <w:r w:rsidRPr="001565A6">
        <w:rPr>
          <w:color w:val="000000"/>
        </w:rPr>
        <w:t>zur Abänderung des KE/EStGB</w:t>
      </w:r>
      <w:r>
        <w:rPr>
          <w:color w:val="000000"/>
        </w:rPr>
        <w:t> </w:t>
      </w:r>
      <w:r w:rsidRPr="001565A6">
        <w:rPr>
          <w:color w:val="000000"/>
        </w:rPr>
        <w:t>92 hinsichtlich der Steuerbefreiung für Preise und Zuschüsse, die Wissenschaftlern, Schriftstellern oder Künstlern gezahlt oder zuerkannt werden</w:t>
      </w:r>
      <w:r w:rsidRPr="00CF1706">
        <w:rPr>
          <w:color w:val="000000"/>
        </w:rPr>
        <w:t>,</w:t>
      </w:r>
    </w:p>
    <w:p w14:paraId="7A0663A4" w14:textId="77777777" w:rsidR="005A5BD5" w:rsidRPr="00CF1706" w:rsidRDefault="005A5BD5" w:rsidP="005A5BD5">
      <w:pPr>
        <w:jc w:val="both"/>
        <w:rPr>
          <w:color w:val="000000"/>
        </w:rPr>
      </w:pPr>
    </w:p>
    <w:p w14:paraId="622988D5" w14:textId="77777777" w:rsidR="005A5BD5" w:rsidRPr="00CF1706" w:rsidRDefault="005A5BD5" w:rsidP="005A5BD5">
      <w:pPr>
        <w:jc w:val="both"/>
        <w:rPr>
          <w:color w:val="000000"/>
        </w:rPr>
      </w:pPr>
      <w:r w:rsidRPr="00CF1706">
        <w:rPr>
          <w:color w:val="000000"/>
        </w:rPr>
        <w:t xml:space="preserve">- den Königlichen Erlass vom 8. Juni 2007 </w:t>
      </w:r>
      <w:r w:rsidRPr="00781679">
        <w:rPr>
          <w:color w:val="000000"/>
        </w:rPr>
        <w:t>zur Abänderung des KE/EStGB</w:t>
      </w:r>
      <w:r>
        <w:rPr>
          <w:color w:val="000000"/>
        </w:rPr>
        <w:t> </w:t>
      </w:r>
      <w:r w:rsidRPr="00781679">
        <w:rPr>
          <w:color w:val="000000"/>
        </w:rPr>
        <w:t>92 hinsichtlich der Erklärung zum Berufssteuervorabzug</w:t>
      </w:r>
      <w:r w:rsidRPr="00CF1706">
        <w:rPr>
          <w:color w:val="000000"/>
        </w:rPr>
        <w:t>,</w:t>
      </w:r>
    </w:p>
    <w:p w14:paraId="6E732FC3" w14:textId="77777777" w:rsidR="005A5BD5" w:rsidRPr="00CF1706" w:rsidRDefault="005A5BD5" w:rsidP="005A5BD5">
      <w:pPr>
        <w:jc w:val="both"/>
        <w:rPr>
          <w:color w:val="000000"/>
        </w:rPr>
      </w:pPr>
    </w:p>
    <w:p w14:paraId="53FC4A9E" w14:textId="77777777" w:rsidR="005A5BD5" w:rsidRPr="00CF1706" w:rsidRDefault="005A5BD5" w:rsidP="005A5BD5">
      <w:pPr>
        <w:jc w:val="both"/>
        <w:rPr>
          <w:color w:val="000000"/>
        </w:rPr>
      </w:pPr>
      <w:r w:rsidRPr="00CF1706">
        <w:rPr>
          <w:color w:val="000000"/>
        </w:rPr>
        <w:t xml:space="preserve">- den Königlichen Erlass vom 7. August 2007 </w:t>
      </w:r>
      <w:r w:rsidRPr="009B154C">
        <w:rPr>
          <w:color w:val="000000"/>
        </w:rPr>
        <w:t xml:space="preserve">zur Abänderung der </w:t>
      </w:r>
      <w:r w:rsidRPr="000230EF">
        <w:rPr>
          <w:color w:val="000000"/>
        </w:rPr>
        <w:t>Anlage 3</w:t>
      </w:r>
      <w:r w:rsidRPr="000230EF">
        <w:rPr>
          <w:i/>
          <w:color w:val="000000"/>
        </w:rPr>
        <w:t>bis</w:t>
      </w:r>
      <w:r w:rsidRPr="000230EF">
        <w:rPr>
          <w:color w:val="000000"/>
        </w:rPr>
        <w:t xml:space="preserve"> zum</w:t>
      </w:r>
      <w:r>
        <w:rPr>
          <w:color w:val="000000"/>
        </w:rPr>
        <w:t xml:space="preserve"> KE/EStGB </w:t>
      </w:r>
      <w:r w:rsidRPr="009B154C">
        <w:rPr>
          <w:color w:val="000000"/>
        </w:rPr>
        <w:t>92 hinsichtlich der Erklärung zum Berufssteuervorabzug</w:t>
      </w:r>
      <w:r w:rsidRPr="00CF1706">
        <w:rPr>
          <w:color w:val="000000"/>
        </w:rPr>
        <w:t>,</w:t>
      </w:r>
    </w:p>
    <w:p w14:paraId="10C77621" w14:textId="77777777" w:rsidR="005A5BD5" w:rsidRPr="00CF1706" w:rsidRDefault="005A5BD5" w:rsidP="005A5BD5">
      <w:pPr>
        <w:jc w:val="both"/>
        <w:rPr>
          <w:color w:val="000000"/>
        </w:rPr>
      </w:pPr>
    </w:p>
    <w:p w14:paraId="4F0B8496" w14:textId="77777777" w:rsidR="005A5BD5" w:rsidRPr="00CF1706" w:rsidRDefault="005A5BD5" w:rsidP="005A5BD5">
      <w:pPr>
        <w:jc w:val="both"/>
        <w:rPr>
          <w:color w:val="000000"/>
        </w:rPr>
      </w:pPr>
      <w:r w:rsidRPr="00CF1706">
        <w:rPr>
          <w:color w:val="000000"/>
        </w:rPr>
        <w:lastRenderedPageBreak/>
        <w:t xml:space="preserve">- den Königlichen Erlass vom 17. August 2007 </w:t>
      </w:r>
      <w:r>
        <w:rPr>
          <w:color w:val="000000"/>
        </w:rPr>
        <w:t>zur Abänderung des KE/EStGB </w:t>
      </w:r>
      <w:r w:rsidRPr="009B154C">
        <w:rPr>
          <w:color w:val="000000"/>
        </w:rPr>
        <w:t>92 hinsichtlich des Investitionsabzugs</w:t>
      </w:r>
      <w:r w:rsidRPr="00CF1706">
        <w:rPr>
          <w:color w:val="000000"/>
        </w:rPr>
        <w:t>,</w:t>
      </w:r>
    </w:p>
    <w:p w14:paraId="07EA5BF7" w14:textId="77777777" w:rsidR="005A5BD5" w:rsidRPr="00CF1706" w:rsidRDefault="005A5BD5" w:rsidP="005A5BD5">
      <w:pPr>
        <w:jc w:val="both"/>
        <w:rPr>
          <w:color w:val="000000"/>
        </w:rPr>
      </w:pPr>
    </w:p>
    <w:p w14:paraId="44D6D4AB" w14:textId="77777777" w:rsidR="005A5BD5" w:rsidRPr="00CF1706" w:rsidRDefault="005A5BD5" w:rsidP="005A5BD5">
      <w:pPr>
        <w:jc w:val="both"/>
        <w:rPr>
          <w:color w:val="000000"/>
        </w:rPr>
      </w:pPr>
      <w:r w:rsidRPr="00CF1706">
        <w:rPr>
          <w:color w:val="000000"/>
        </w:rPr>
        <w:t>- den Königlichen Erlass vom 7. Dezember 2007 zur Anpassung der steuerrechtlichen Vorschriften und des Gesetzes vom 22. Februar 1998 zur Festlegung des Grundlagenstatuts der Belgischen Nationalbank an die Bestimmungen des Gesetzes vom 14. Dezember 2005 zur Abschaffung der Inhaberpapiere </w:t>
      </w:r>
      <w:r w:rsidRPr="00CF1706">
        <w:rPr>
          <w:i/>
          <w:color w:val="000000"/>
        </w:rPr>
        <w:t>(I)</w:t>
      </w:r>
      <w:r w:rsidRPr="00CF1706">
        <w:rPr>
          <w:color w:val="000000"/>
        </w:rPr>
        <w:t>,</w:t>
      </w:r>
    </w:p>
    <w:p w14:paraId="00A977F8" w14:textId="77777777" w:rsidR="005A5BD5" w:rsidRPr="00CF1706" w:rsidRDefault="005A5BD5" w:rsidP="005A5BD5">
      <w:pPr>
        <w:jc w:val="both"/>
        <w:rPr>
          <w:color w:val="000000"/>
        </w:rPr>
      </w:pPr>
    </w:p>
    <w:p w14:paraId="006C2264" w14:textId="77777777" w:rsidR="005A5BD5" w:rsidRPr="00CF1706" w:rsidRDefault="005A5BD5" w:rsidP="005A5BD5">
      <w:pPr>
        <w:jc w:val="both"/>
        <w:rPr>
          <w:color w:val="000000"/>
        </w:rPr>
      </w:pPr>
      <w:r w:rsidRPr="00CF1706">
        <w:rPr>
          <w:color w:val="000000"/>
        </w:rPr>
        <w:t>- den Königlichen Erlass vom 7. Dezember 2007 zur Abänderung des KE/EStGB 92 hinsichtlich des Berufssteuervorabzugs und der flämischen pauschalen Ermäßigung des Berufssteuervorabzugs </w:t>
      </w:r>
      <w:r w:rsidRPr="00CF1706">
        <w:rPr>
          <w:i/>
          <w:color w:val="000000"/>
        </w:rPr>
        <w:t>(II)</w:t>
      </w:r>
      <w:r w:rsidRPr="00CF1706">
        <w:rPr>
          <w:color w:val="000000"/>
        </w:rPr>
        <w:t>,</w:t>
      </w:r>
    </w:p>
    <w:p w14:paraId="4F6FF9C5" w14:textId="77777777" w:rsidR="005A5BD5" w:rsidRPr="00CF1706" w:rsidRDefault="005A5BD5" w:rsidP="005A5BD5">
      <w:pPr>
        <w:jc w:val="both"/>
        <w:rPr>
          <w:color w:val="000000"/>
        </w:rPr>
      </w:pPr>
    </w:p>
    <w:p w14:paraId="15CDDCB0" w14:textId="77777777" w:rsidR="005A5BD5" w:rsidRPr="00CF1706" w:rsidRDefault="005A5BD5" w:rsidP="005A5BD5">
      <w:pPr>
        <w:jc w:val="both"/>
        <w:rPr>
          <w:color w:val="000000"/>
        </w:rPr>
      </w:pPr>
      <w:r w:rsidRPr="00CF1706">
        <w:rPr>
          <w:color w:val="000000"/>
        </w:rPr>
        <w:t xml:space="preserve">- den Königlichen Erlass vom 19. Dezember 2007 </w:t>
      </w:r>
      <w:r w:rsidRPr="006C0621">
        <w:rPr>
          <w:color w:val="000000"/>
        </w:rPr>
        <w:t xml:space="preserve">zur Abänderung </w:t>
      </w:r>
      <w:r w:rsidRPr="000230EF">
        <w:rPr>
          <w:color w:val="000000"/>
        </w:rPr>
        <w:t>der Anlage 3</w:t>
      </w:r>
      <w:r w:rsidRPr="000230EF">
        <w:rPr>
          <w:i/>
          <w:color w:val="000000"/>
        </w:rPr>
        <w:t>bis</w:t>
      </w:r>
      <w:r w:rsidRPr="006C0621">
        <w:rPr>
          <w:color w:val="000000"/>
        </w:rPr>
        <w:t xml:space="preserve"> zum KE/EStGB</w:t>
      </w:r>
      <w:r>
        <w:rPr>
          <w:color w:val="000000"/>
        </w:rPr>
        <w:t> </w:t>
      </w:r>
      <w:r w:rsidRPr="006C0621">
        <w:rPr>
          <w:color w:val="000000"/>
        </w:rPr>
        <w:t xml:space="preserve">92 hinsichtlich der Erklärung zum Berufssteuervorabzug </w:t>
      </w:r>
      <w:r w:rsidRPr="00CF1706">
        <w:rPr>
          <w:i/>
          <w:color w:val="000000"/>
        </w:rPr>
        <w:t>(I)</w:t>
      </w:r>
      <w:r w:rsidRPr="00CF1706">
        <w:rPr>
          <w:color w:val="000000"/>
        </w:rPr>
        <w:t>,</w:t>
      </w:r>
    </w:p>
    <w:p w14:paraId="1597F633" w14:textId="77777777" w:rsidR="005A5BD5" w:rsidRPr="00CF1706" w:rsidRDefault="005A5BD5" w:rsidP="005A5BD5">
      <w:pPr>
        <w:jc w:val="both"/>
        <w:rPr>
          <w:color w:val="000000"/>
        </w:rPr>
      </w:pPr>
    </w:p>
    <w:p w14:paraId="01CCC717" w14:textId="77777777" w:rsidR="005A5BD5" w:rsidRPr="00CF1706" w:rsidRDefault="005A5BD5" w:rsidP="005A5BD5">
      <w:pPr>
        <w:jc w:val="both"/>
        <w:rPr>
          <w:color w:val="000000"/>
        </w:rPr>
      </w:pPr>
      <w:r w:rsidRPr="00CF1706">
        <w:rPr>
          <w:color w:val="000000"/>
        </w:rPr>
        <w:t xml:space="preserve">- den Königlichen Erlass vom 19. Dezember 2007 </w:t>
      </w:r>
      <w:r>
        <w:rPr>
          <w:color w:val="000000"/>
        </w:rPr>
        <w:t>zur Abänderung des KE/EStGB </w:t>
      </w:r>
      <w:r w:rsidRPr="00B33070">
        <w:rPr>
          <w:color w:val="000000"/>
        </w:rPr>
        <w:t>92 hinsichtlich der Steuerermäßigung für Passivhäuser</w:t>
      </w:r>
      <w:r w:rsidRPr="00CF1706">
        <w:rPr>
          <w:color w:val="000000"/>
        </w:rPr>
        <w:t xml:space="preserve"> </w:t>
      </w:r>
      <w:r w:rsidRPr="00CF1706">
        <w:rPr>
          <w:i/>
          <w:color w:val="000000"/>
        </w:rPr>
        <w:t>(II)</w:t>
      </w:r>
      <w:r w:rsidRPr="00CF1706">
        <w:rPr>
          <w:color w:val="000000"/>
        </w:rPr>
        <w:t>,</w:t>
      </w:r>
    </w:p>
    <w:p w14:paraId="27FE788D" w14:textId="77777777" w:rsidR="005A5BD5" w:rsidRPr="00CF1706" w:rsidRDefault="005A5BD5" w:rsidP="005A5BD5">
      <w:pPr>
        <w:jc w:val="both"/>
        <w:rPr>
          <w:color w:val="000000"/>
        </w:rPr>
      </w:pPr>
    </w:p>
    <w:p w14:paraId="68637FBB" w14:textId="77777777" w:rsidR="005A5BD5" w:rsidRPr="00CF1706" w:rsidRDefault="005A5BD5" w:rsidP="005A5BD5">
      <w:pPr>
        <w:jc w:val="both"/>
        <w:rPr>
          <w:color w:val="000000"/>
        </w:rPr>
      </w:pPr>
      <w:r w:rsidRPr="00CF1706">
        <w:rPr>
          <w:color w:val="000000"/>
        </w:rPr>
        <w:t xml:space="preserve">- den Königlichen Erlass vom 20. Dezember 2007 </w:t>
      </w:r>
      <w:r>
        <w:rPr>
          <w:color w:val="000000"/>
        </w:rPr>
        <w:t>zur Abänderung des KE/EStGB </w:t>
      </w:r>
      <w:r w:rsidRPr="00343EA6">
        <w:rPr>
          <w:color w:val="000000"/>
        </w:rPr>
        <w:t xml:space="preserve">92 </w:t>
      </w:r>
      <w:r>
        <w:rPr>
          <w:color w:val="000000"/>
        </w:rPr>
        <w:t>in Ausführung von Artikel 275</w:t>
      </w:r>
      <w:r w:rsidRPr="00B85FC9">
        <w:rPr>
          <w:color w:val="000000"/>
          <w:vertAlign w:val="superscript"/>
        </w:rPr>
        <w:t>6</w:t>
      </w:r>
      <w:r>
        <w:rPr>
          <w:color w:val="000000"/>
        </w:rPr>
        <w:t xml:space="preserve"> letzter Absatz des </w:t>
      </w:r>
      <w:r w:rsidRPr="00A913A0">
        <w:rPr>
          <w:color w:val="000000"/>
        </w:rPr>
        <w:t>Einkommensteuergesetzbuches 1992</w:t>
      </w:r>
      <w:r w:rsidRPr="00CF1706">
        <w:rPr>
          <w:color w:val="000000"/>
        </w:rPr>
        <w:t>,</w:t>
      </w:r>
    </w:p>
    <w:p w14:paraId="4C2816DA" w14:textId="77777777" w:rsidR="005A5BD5" w:rsidRPr="00CF1706" w:rsidRDefault="005A5BD5" w:rsidP="005A5BD5">
      <w:pPr>
        <w:jc w:val="both"/>
        <w:rPr>
          <w:color w:val="000000"/>
        </w:rPr>
      </w:pPr>
    </w:p>
    <w:p w14:paraId="390194F1" w14:textId="77777777" w:rsidR="005A5BD5" w:rsidRPr="00CF1706" w:rsidRDefault="005A5BD5" w:rsidP="005A5BD5">
      <w:pPr>
        <w:jc w:val="both"/>
        <w:rPr>
          <w:color w:val="000000"/>
        </w:rPr>
      </w:pPr>
      <w:r w:rsidRPr="00CF1706">
        <w:rPr>
          <w:color w:val="000000"/>
        </w:rPr>
        <w:t xml:space="preserve">- den Königlichen Erlass vom 27. Dezember 2007 </w:t>
      </w:r>
      <w:r w:rsidRPr="000035EB">
        <w:rPr>
          <w:color w:val="000000"/>
        </w:rPr>
        <w:t>zur Ausführu</w:t>
      </w:r>
      <w:r>
        <w:rPr>
          <w:color w:val="000000"/>
        </w:rPr>
        <w:t>ng der Artikel </w:t>
      </w:r>
      <w:r w:rsidRPr="000035EB">
        <w:rPr>
          <w:color w:val="000000"/>
        </w:rPr>
        <w:t xml:space="preserve">400, 401, 403, 404 und 406 </w:t>
      </w:r>
      <w:r>
        <w:rPr>
          <w:color w:val="000000"/>
        </w:rPr>
        <w:t>des Einkommensteuergesetzbuches 1992 und von Artikel </w:t>
      </w:r>
      <w:r w:rsidRPr="000035EB">
        <w:rPr>
          <w:color w:val="000000"/>
        </w:rPr>
        <w:t>30</w:t>
      </w:r>
      <w:r w:rsidRPr="000035EB">
        <w:rPr>
          <w:i/>
          <w:color w:val="000000"/>
        </w:rPr>
        <w:t>bis</w:t>
      </w:r>
      <w:r>
        <w:rPr>
          <w:color w:val="000000"/>
        </w:rPr>
        <w:t xml:space="preserve"> des Gesetzes vom 27. </w:t>
      </w:r>
      <w:r w:rsidRPr="000035EB">
        <w:rPr>
          <w:color w:val="000000"/>
        </w:rPr>
        <w:t>Juni</w:t>
      </w:r>
      <w:r>
        <w:rPr>
          <w:color w:val="000000"/>
        </w:rPr>
        <w:t> </w:t>
      </w:r>
      <w:r w:rsidRPr="000035EB">
        <w:rPr>
          <w:color w:val="000000"/>
        </w:rPr>
        <w:t>1969 zur Revision des Erlassgesetzes vom 28.</w:t>
      </w:r>
      <w:r>
        <w:rPr>
          <w:color w:val="000000"/>
        </w:rPr>
        <w:t> </w:t>
      </w:r>
      <w:r w:rsidRPr="000035EB">
        <w:rPr>
          <w:color w:val="000000"/>
        </w:rPr>
        <w:t>Dezember</w:t>
      </w:r>
      <w:r>
        <w:rPr>
          <w:color w:val="000000"/>
        </w:rPr>
        <w:t> </w:t>
      </w:r>
      <w:r w:rsidRPr="000035EB">
        <w:rPr>
          <w:color w:val="000000"/>
        </w:rPr>
        <w:t>1944 über die soziale Sicherheit der Arbeitnehmer</w:t>
      </w:r>
      <w:r w:rsidRPr="00CF1706">
        <w:rPr>
          <w:color w:val="000000"/>
        </w:rPr>
        <w:t>,</w:t>
      </w:r>
    </w:p>
    <w:p w14:paraId="0CBBC309" w14:textId="77777777" w:rsidR="005A5BD5" w:rsidRPr="00CF1706" w:rsidRDefault="005A5BD5" w:rsidP="005A5BD5">
      <w:pPr>
        <w:jc w:val="both"/>
        <w:rPr>
          <w:color w:val="000000"/>
        </w:rPr>
      </w:pPr>
    </w:p>
    <w:p w14:paraId="1A35EFD0" w14:textId="77777777" w:rsidR="005A5BD5" w:rsidRPr="00CF1706" w:rsidRDefault="005A5BD5" w:rsidP="005A5BD5">
      <w:pPr>
        <w:jc w:val="both"/>
        <w:rPr>
          <w:color w:val="000000"/>
        </w:rPr>
      </w:pPr>
      <w:r w:rsidRPr="00CF1706">
        <w:rPr>
          <w:color w:val="000000"/>
        </w:rPr>
        <w:t xml:space="preserve">- den Königlichen Erlass vom 10. Februar 2008 </w:t>
      </w:r>
      <w:r w:rsidRPr="002D7B97">
        <w:rPr>
          <w:color w:val="000000"/>
        </w:rPr>
        <w:t>zur Abänderung des KE/ES</w:t>
      </w:r>
      <w:r>
        <w:rPr>
          <w:color w:val="000000"/>
        </w:rPr>
        <w:t>tGB </w:t>
      </w:r>
      <w:r w:rsidRPr="002D7B97">
        <w:rPr>
          <w:color w:val="000000"/>
        </w:rPr>
        <w:t>92 hinsichtlich der Vorteile jeglicher Art</w:t>
      </w:r>
      <w:r w:rsidRPr="00CF1706">
        <w:rPr>
          <w:color w:val="000000"/>
        </w:rPr>
        <w:t>,</w:t>
      </w:r>
    </w:p>
    <w:p w14:paraId="223DB33D" w14:textId="77777777" w:rsidR="005A5BD5" w:rsidRPr="00CF1706" w:rsidRDefault="005A5BD5" w:rsidP="005A5BD5">
      <w:pPr>
        <w:jc w:val="both"/>
        <w:rPr>
          <w:color w:val="000000"/>
        </w:rPr>
      </w:pPr>
    </w:p>
    <w:p w14:paraId="3411F93D" w14:textId="77777777" w:rsidR="005A5BD5" w:rsidRPr="00CF1706" w:rsidRDefault="005A5BD5" w:rsidP="005A5BD5">
      <w:pPr>
        <w:jc w:val="both"/>
        <w:rPr>
          <w:color w:val="000000"/>
        </w:rPr>
      </w:pPr>
      <w:r w:rsidRPr="00CF1706">
        <w:rPr>
          <w:color w:val="000000"/>
        </w:rPr>
        <w:t xml:space="preserve">- den Königlichen Erlass vom 25. Februar 2008 </w:t>
      </w:r>
      <w:r w:rsidRPr="002D7B97">
        <w:rPr>
          <w:color w:val="000000"/>
        </w:rPr>
        <w:t>zur Abänderung des KE/ES</w:t>
      </w:r>
      <w:r>
        <w:rPr>
          <w:color w:val="000000"/>
        </w:rPr>
        <w:t>tGB </w:t>
      </w:r>
      <w:r w:rsidRPr="002D7B97">
        <w:rPr>
          <w:color w:val="000000"/>
        </w:rPr>
        <w:t>92 hinsichtlich der Vorteile jeglicher Art</w:t>
      </w:r>
      <w:r w:rsidRPr="00CF1706">
        <w:rPr>
          <w:color w:val="000000"/>
        </w:rPr>
        <w:t>,</w:t>
      </w:r>
    </w:p>
    <w:p w14:paraId="309356FA" w14:textId="77777777" w:rsidR="005A5BD5" w:rsidRPr="00CF1706" w:rsidRDefault="005A5BD5" w:rsidP="005A5BD5">
      <w:pPr>
        <w:jc w:val="both"/>
        <w:rPr>
          <w:color w:val="000000"/>
        </w:rPr>
      </w:pPr>
    </w:p>
    <w:p w14:paraId="1F7C890B" w14:textId="77777777" w:rsidR="005A5BD5" w:rsidRPr="00CF1706" w:rsidRDefault="005A5BD5" w:rsidP="005A5BD5">
      <w:pPr>
        <w:jc w:val="both"/>
        <w:rPr>
          <w:color w:val="000000"/>
        </w:rPr>
      </w:pPr>
      <w:r w:rsidRPr="00CF1706">
        <w:rPr>
          <w:color w:val="000000"/>
        </w:rPr>
        <w:t xml:space="preserve">- den Königlichen Erlass vom 11. März 2008 </w:t>
      </w:r>
      <w:r w:rsidRPr="002D7B97">
        <w:rPr>
          <w:color w:val="000000"/>
        </w:rPr>
        <w:t>zur Abänderung des KE/EStGB</w:t>
      </w:r>
      <w:r>
        <w:rPr>
          <w:color w:val="000000"/>
        </w:rPr>
        <w:t> </w:t>
      </w:r>
      <w:r w:rsidRPr="002D7B97">
        <w:rPr>
          <w:color w:val="000000"/>
        </w:rPr>
        <w:t>92 hinsichtlich des Neubewertungskoeffizienten für Katastereinkommen</w:t>
      </w:r>
      <w:r w:rsidRPr="00CF1706">
        <w:rPr>
          <w:color w:val="000000"/>
        </w:rPr>
        <w:t>,</w:t>
      </w:r>
    </w:p>
    <w:p w14:paraId="07A224C5" w14:textId="77777777" w:rsidR="005A5BD5" w:rsidRPr="00CF1706" w:rsidRDefault="005A5BD5" w:rsidP="005A5BD5">
      <w:pPr>
        <w:jc w:val="both"/>
        <w:rPr>
          <w:color w:val="000000"/>
        </w:rPr>
      </w:pPr>
    </w:p>
    <w:p w14:paraId="72694EC3" w14:textId="77777777" w:rsidR="005A5BD5" w:rsidRPr="00CF1706" w:rsidRDefault="005A5BD5" w:rsidP="005A5BD5">
      <w:pPr>
        <w:jc w:val="both"/>
        <w:rPr>
          <w:color w:val="000000"/>
        </w:rPr>
      </w:pPr>
      <w:r w:rsidRPr="00CF1706">
        <w:rPr>
          <w:color w:val="000000"/>
        </w:rPr>
        <w:t>- den Königlichen Erlass vom 18. März 2008 zur Abänderung des KE/EStGB 92 hinsichtlich des Berufssteuervorabzugs,</w:t>
      </w:r>
    </w:p>
    <w:p w14:paraId="4CFF8DB1" w14:textId="77777777" w:rsidR="005A5BD5" w:rsidRPr="00CF1706" w:rsidRDefault="005A5BD5" w:rsidP="005A5BD5">
      <w:pPr>
        <w:jc w:val="both"/>
        <w:rPr>
          <w:color w:val="000000"/>
        </w:rPr>
      </w:pPr>
    </w:p>
    <w:p w14:paraId="02EBAD13" w14:textId="77777777" w:rsidR="005A5BD5" w:rsidRDefault="005A5BD5" w:rsidP="005A5BD5">
      <w:pPr>
        <w:jc w:val="both"/>
        <w:rPr>
          <w:color w:val="000000"/>
        </w:rPr>
      </w:pPr>
      <w:r w:rsidRPr="00CF1706">
        <w:rPr>
          <w:color w:val="000000"/>
        </w:rPr>
        <w:t>- den Königlichen Erlass vom 18. Juni 2008 zur Abänderung des KE/EStGB 92 hinsichtlich des Berufssteuervorabzugs,</w:t>
      </w:r>
    </w:p>
    <w:p w14:paraId="265B695A" w14:textId="77777777" w:rsidR="005A5BD5" w:rsidRDefault="005A5BD5" w:rsidP="005A5BD5">
      <w:pPr>
        <w:jc w:val="both"/>
        <w:rPr>
          <w:color w:val="000000"/>
        </w:rPr>
      </w:pPr>
    </w:p>
    <w:p w14:paraId="1BE56510" w14:textId="77777777" w:rsidR="005A5BD5" w:rsidRPr="00CF1706" w:rsidRDefault="005A5BD5" w:rsidP="005A5BD5">
      <w:pPr>
        <w:jc w:val="both"/>
        <w:rPr>
          <w:color w:val="000000"/>
        </w:rPr>
      </w:pPr>
      <w:r w:rsidRPr="00CF1706">
        <w:rPr>
          <w:color w:val="000000"/>
        </w:rPr>
        <w:t>- das Gesetz vom 16. Juli 2008 zur Abänderung des Einkommensteuergesetzbuches 1992 und zur Einführung eines pauschalen Besteuerungssystems für Urheberrechte und ähnliche Rechte,</w:t>
      </w:r>
    </w:p>
    <w:p w14:paraId="4A62C63E" w14:textId="77777777" w:rsidR="005A5BD5" w:rsidRPr="00CF1706" w:rsidRDefault="005A5BD5" w:rsidP="005A5BD5">
      <w:pPr>
        <w:jc w:val="both"/>
        <w:rPr>
          <w:color w:val="000000"/>
        </w:rPr>
      </w:pPr>
    </w:p>
    <w:p w14:paraId="4A5C118A" w14:textId="77777777" w:rsidR="005A5BD5" w:rsidRPr="00CF1706" w:rsidRDefault="005A5BD5" w:rsidP="005A5BD5">
      <w:pPr>
        <w:jc w:val="both"/>
        <w:rPr>
          <w:color w:val="000000"/>
        </w:rPr>
      </w:pPr>
      <w:r w:rsidRPr="00CF1706">
        <w:rPr>
          <w:color w:val="000000"/>
        </w:rPr>
        <w:t>- den Königlichen Erlass vom 30. Juli 2008</w:t>
      </w:r>
      <w:r>
        <w:rPr>
          <w:color w:val="000000"/>
        </w:rPr>
        <w:t xml:space="preserve"> </w:t>
      </w:r>
      <w:r w:rsidRPr="00CF1706">
        <w:rPr>
          <w:color w:val="000000"/>
        </w:rPr>
        <w:t>zur Abänderung des KE/EStGB 92</w:t>
      </w:r>
      <w:r>
        <w:rPr>
          <w:color w:val="000000"/>
        </w:rPr>
        <w:t xml:space="preserve"> hinsichtlich des </w:t>
      </w:r>
      <w:r w:rsidRPr="00A058FF">
        <w:rPr>
          <w:color w:val="000000"/>
        </w:rPr>
        <w:t>Basiszinssatz</w:t>
      </w:r>
      <w:r>
        <w:rPr>
          <w:color w:val="000000"/>
        </w:rPr>
        <w:t xml:space="preserve">es, der auf die in Artikel 21 Nr. 5 des </w:t>
      </w:r>
      <w:r w:rsidRPr="00CF1706">
        <w:rPr>
          <w:color w:val="000000"/>
        </w:rPr>
        <w:t>Einkommensteuergesetzbuches 1992</w:t>
      </w:r>
      <w:r>
        <w:rPr>
          <w:color w:val="000000"/>
        </w:rPr>
        <w:t xml:space="preserve"> erwähnten </w:t>
      </w:r>
      <w:r w:rsidRPr="00A058FF">
        <w:rPr>
          <w:color w:val="000000"/>
        </w:rPr>
        <w:t>Spareinlage</w:t>
      </w:r>
      <w:r>
        <w:rPr>
          <w:color w:val="000000"/>
        </w:rPr>
        <w:t>n gewährt wird</w:t>
      </w:r>
      <w:r w:rsidRPr="00CF1706">
        <w:rPr>
          <w:color w:val="000000"/>
        </w:rPr>
        <w:t>,</w:t>
      </w:r>
    </w:p>
    <w:p w14:paraId="4919ACE1" w14:textId="77777777" w:rsidR="005A5BD5" w:rsidRPr="00CF1706" w:rsidRDefault="005A5BD5" w:rsidP="005A5BD5">
      <w:pPr>
        <w:jc w:val="both"/>
        <w:rPr>
          <w:color w:val="000000"/>
        </w:rPr>
      </w:pPr>
    </w:p>
    <w:p w14:paraId="790A1418" w14:textId="77777777" w:rsidR="005A5BD5" w:rsidRPr="00CF1706" w:rsidRDefault="005A5BD5" w:rsidP="005A5BD5">
      <w:pPr>
        <w:jc w:val="both"/>
        <w:rPr>
          <w:color w:val="000000"/>
        </w:rPr>
      </w:pPr>
      <w:r w:rsidRPr="00CF1706">
        <w:rPr>
          <w:color w:val="000000"/>
        </w:rPr>
        <w:t>- den Königlichen Erlass vom 9. September 2008 zur Abänderung des KE/EStGB 92 hinsichtlich des Berufssteuervorabzugs,</w:t>
      </w:r>
    </w:p>
    <w:p w14:paraId="12B1CD30" w14:textId="77777777" w:rsidR="005A5BD5" w:rsidRPr="00CF1706" w:rsidRDefault="005A5BD5" w:rsidP="005A5BD5">
      <w:pPr>
        <w:jc w:val="both"/>
        <w:rPr>
          <w:color w:val="000000"/>
        </w:rPr>
      </w:pPr>
    </w:p>
    <w:p w14:paraId="4A1976A4" w14:textId="77777777" w:rsidR="005A5BD5" w:rsidRPr="00CF1706" w:rsidRDefault="005A5BD5" w:rsidP="005A5BD5">
      <w:pPr>
        <w:jc w:val="both"/>
        <w:rPr>
          <w:color w:val="000000"/>
        </w:rPr>
      </w:pPr>
      <w:r w:rsidRPr="00CF1706">
        <w:rPr>
          <w:color w:val="000000"/>
        </w:rPr>
        <w:t xml:space="preserve">- den Königlichen Erlass vom 28. November 2008 </w:t>
      </w:r>
      <w:r>
        <w:rPr>
          <w:color w:val="000000"/>
        </w:rPr>
        <w:t>zur Abänderung von Artikel 63</w:t>
      </w:r>
      <w:r w:rsidRPr="002D7B97">
        <w:rPr>
          <w:color w:val="000000"/>
          <w:vertAlign w:val="superscript"/>
        </w:rPr>
        <w:t>11</w:t>
      </w:r>
      <w:r w:rsidRPr="002D7B97">
        <w:rPr>
          <w:i/>
          <w:color w:val="000000"/>
          <w:vertAlign w:val="superscript"/>
        </w:rPr>
        <w:t>bis</w:t>
      </w:r>
      <w:r>
        <w:rPr>
          <w:color w:val="000000"/>
        </w:rPr>
        <w:t xml:space="preserve"> des </w:t>
      </w:r>
      <w:r w:rsidRPr="00CF1706">
        <w:rPr>
          <w:color w:val="000000"/>
        </w:rPr>
        <w:t>KE/EStGB 92</w:t>
      </w:r>
      <w:r>
        <w:rPr>
          <w:color w:val="000000"/>
        </w:rPr>
        <w:t xml:space="preserve"> </w:t>
      </w:r>
      <w:r w:rsidRPr="00B33070">
        <w:rPr>
          <w:color w:val="000000"/>
        </w:rPr>
        <w:t>hinsichtlich der Steuerermäßigung für Passivhäuser</w:t>
      </w:r>
      <w:r w:rsidRPr="00CF1706">
        <w:rPr>
          <w:color w:val="000000"/>
        </w:rPr>
        <w:t>,</w:t>
      </w:r>
    </w:p>
    <w:p w14:paraId="4DE94100" w14:textId="77777777" w:rsidR="005A5BD5" w:rsidRPr="00CF1706" w:rsidRDefault="005A5BD5" w:rsidP="005A5BD5">
      <w:pPr>
        <w:jc w:val="both"/>
        <w:rPr>
          <w:color w:val="000000"/>
        </w:rPr>
      </w:pPr>
    </w:p>
    <w:p w14:paraId="086F8B86" w14:textId="77777777" w:rsidR="005A5BD5" w:rsidRPr="00CF1706" w:rsidRDefault="005A5BD5" w:rsidP="005A5BD5">
      <w:pPr>
        <w:jc w:val="both"/>
        <w:rPr>
          <w:color w:val="000000"/>
        </w:rPr>
      </w:pPr>
      <w:r w:rsidRPr="00CF1706">
        <w:rPr>
          <w:color w:val="000000"/>
        </w:rPr>
        <w:t>- den Königlichen Erlass vom 5. Dezember 2008 zur Abänderung des KE/EStGB 92 hinsichtlich des Berufssteuervorabzugs,</w:t>
      </w:r>
    </w:p>
    <w:p w14:paraId="3A484416" w14:textId="77777777" w:rsidR="005A5BD5" w:rsidRPr="00CF1706" w:rsidRDefault="005A5BD5" w:rsidP="005A5BD5">
      <w:pPr>
        <w:jc w:val="both"/>
        <w:rPr>
          <w:color w:val="000000"/>
        </w:rPr>
      </w:pPr>
    </w:p>
    <w:p w14:paraId="0168C082" w14:textId="77777777" w:rsidR="005A5BD5" w:rsidRPr="00CF1706" w:rsidRDefault="005A5BD5" w:rsidP="005A5BD5">
      <w:pPr>
        <w:jc w:val="both"/>
        <w:rPr>
          <w:color w:val="000000"/>
        </w:rPr>
      </w:pPr>
      <w:r w:rsidRPr="00CF1706">
        <w:rPr>
          <w:color w:val="000000"/>
        </w:rPr>
        <w:t xml:space="preserve">- den Königlichen Erlass vom 7. Dezember 2008 </w:t>
      </w:r>
      <w:r w:rsidRPr="007569CC">
        <w:rPr>
          <w:color w:val="000000"/>
        </w:rPr>
        <w:t>zur Abänderung des KE/EStGB</w:t>
      </w:r>
      <w:r>
        <w:rPr>
          <w:color w:val="000000"/>
        </w:rPr>
        <w:t> </w:t>
      </w:r>
      <w:r w:rsidRPr="007569CC">
        <w:rPr>
          <w:color w:val="000000"/>
        </w:rPr>
        <w:t>92 hinsichtlich der</w:t>
      </w:r>
      <w:r>
        <w:rPr>
          <w:color w:val="000000"/>
        </w:rPr>
        <w:t xml:space="preserve"> in Artikel 52 Nr. 3 Buchstabe </w:t>
      </w:r>
      <w:r>
        <w:rPr>
          <w:i/>
          <w:color w:val="000000"/>
        </w:rPr>
        <w:t>b)</w:t>
      </w:r>
      <w:r>
        <w:rPr>
          <w:color w:val="000000"/>
        </w:rPr>
        <w:t xml:space="preserve"> des </w:t>
      </w:r>
      <w:r w:rsidRPr="00A913A0">
        <w:rPr>
          <w:color w:val="000000"/>
        </w:rPr>
        <w:t>Einkommensteuergesetzbuches 1992</w:t>
      </w:r>
      <w:r>
        <w:rPr>
          <w:color w:val="000000"/>
        </w:rPr>
        <w:t xml:space="preserve"> erwähnten</w:t>
      </w:r>
      <w:r w:rsidRPr="007569CC">
        <w:rPr>
          <w:color w:val="000000"/>
        </w:rPr>
        <w:t xml:space="preserve"> Arbeitgeberbeiträge und -prämien </w:t>
      </w:r>
      <w:r w:rsidRPr="00CF1706">
        <w:rPr>
          <w:i/>
          <w:color w:val="000000"/>
        </w:rPr>
        <w:t>(I)</w:t>
      </w:r>
      <w:r w:rsidRPr="00CF1706">
        <w:rPr>
          <w:color w:val="000000"/>
        </w:rPr>
        <w:t>,</w:t>
      </w:r>
    </w:p>
    <w:p w14:paraId="2AADFDC4" w14:textId="77777777" w:rsidR="005A5BD5" w:rsidRPr="00CF1706" w:rsidRDefault="005A5BD5" w:rsidP="005A5BD5">
      <w:pPr>
        <w:jc w:val="both"/>
        <w:rPr>
          <w:color w:val="000000"/>
        </w:rPr>
      </w:pPr>
    </w:p>
    <w:p w14:paraId="6FED0711" w14:textId="77777777" w:rsidR="005A5BD5" w:rsidRPr="00CF1706" w:rsidRDefault="005A5BD5" w:rsidP="005A5BD5">
      <w:pPr>
        <w:jc w:val="both"/>
        <w:rPr>
          <w:color w:val="000000"/>
        </w:rPr>
      </w:pPr>
      <w:r w:rsidRPr="00CF1706">
        <w:rPr>
          <w:color w:val="000000"/>
        </w:rPr>
        <w:t xml:space="preserve">- den Königlichen Erlass vom 7. Dezember 2008 </w:t>
      </w:r>
      <w:r w:rsidRPr="007569CC">
        <w:rPr>
          <w:color w:val="000000"/>
        </w:rPr>
        <w:t>zur Abänderung des KE/EStGB</w:t>
      </w:r>
      <w:r>
        <w:rPr>
          <w:color w:val="000000"/>
        </w:rPr>
        <w:t> </w:t>
      </w:r>
      <w:r w:rsidRPr="007569CC">
        <w:rPr>
          <w:color w:val="000000"/>
        </w:rPr>
        <w:t>92 hinsichtlich</w:t>
      </w:r>
      <w:r>
        <w:rPr>
          <w:color w:val="000000"/>
        </w:rPr>
        <w:t xml:space="preserve"> der Bedingungen für die Steuerbefreiung für die in Artikel 21 Nr. 5 des </w:t>
      </w:r>
      <w:r w:rsidRPr="00A913A0">
        <w:rPr>
          <w:color w:val="000000"/>
        </w:rPr>
        <w:t>Einkommensteuergesetzbuches 1992</w:t>
      </w:r>
      <w:r>
        <w:rPr>
          <w:color w:val="000000"/>
        </w:rPr>
        <w:t xml:space="preserve"> erwähnten </w:t>
      </w:r>
      <w:r w:rsidRPr="007569CC">
        <w:rPr>
          <w:color w:val="000000"/>
        </w:rPr>
        <w:t>Einkünfte aus Spareinlagen</w:t>
      </w:r>
      <w:r w:rsidRPr="00CF1706">
        <w:rPr>
          <w:color w:val="000000"/>
        </w:rPr>
        <w:t xml:space="preserve"> </w:t>
      </w:r>
      <w:r w:rsidRPr="00CF1706">
        <w:rPr>
          <w:i/>
          <w:color w:val="000000"/>
        </w:rPr>
        <w:t>(II)</w:t>
      </w:r>
      <w:r w:rsidRPr="00CF1706">
        <w:rPr>
          <w:color w:val="000000"/>
        </w:rPr>
        <w:t>,</w:t>
      </w:r>
    </w:p>
    <w:p w14:paraId="73350BB9" w14:textId="77777777" w:rsidR="005A5BD5" w:rsidRPr="00CF1706" w:rsidRDefault="005A5BD5" w:rsidP="005A5BD5">
      <w:pPr>
        <w:jc w:val="both"/>
        <w:rPr>
          <w:color w:val="000000"/>
        </w:rPr>
      </w:pPr>
    </w:p>
    <w:p w14:paraId="550FBA0F" w14:textId="77777777" w:rsidR="005A5BD5" w:rsidRPr="00CF1706" w:rsidRDefault="005A5BD5" w:rsidP="005A5BD5">
      <w:pPr>
        <w:jc w:val="both"/>
        <w:rPr>
          <w:color w:val="000000"/>
        </w:rPr>
      </w:pPr>
      <w:r w:rsidRPr="00CF1706">
        <w:rPr>
          <w:color w:val="000000"/>
        </w:rPr>
        <w:t xml:space="preserve">- den Königlichen Erlass vom 10. Dezember 2008 </w:t>
      </w:r>
      <w:r>
        <w:rPr>
          <w:color w:val="000000"/>
        </w:rPr>
        <w:t>zur Abänderung des KE/EStGB </w:t>
      </w:r>
      <w:r w:rsidRPr="0093350D">
        <w:rPr>
          <w:color w:val="000000"/>
        </w:rPr>
        <w:t>92 hinsichtli</w:t>
      </w:r>
      <w:r>
        <w:rPr>
          <w:color w:val="000000"/>
        </w:rPr>
        <w:t>ch der Zulassung der in Artikel 2</w:t>
      </w:r>
      <w:r w:rsidRPr="0093350D">
        <w:rPr>
          <w:color w:val="000000"/>
        </w:rPr>
        <w:t>75</w:t>
      </w:r>
      <w:r w:rsidRPr="0093350D">
        <w:rPr>
          <w:color w:val="000000"/>
          <w:vertAlign w:val="superscript"/>
        </w:rPr>
        <w:t>3</w:t>
      </w:r>
      <w:r>
        <w:rPr>
          <w:color w:val="000000"/>
        </w:rPr>
        <w:t xml:space="preserve"> § 1 Absatz </w:t>
      </w:r>
      <w:r w:rsidRPr="0093350D">
        <w:rPr>
          <w:color w:val="000000"/>
        </w:rPr>
        <w:t>2 des Einkommensteuergesetz</w:t>
      </w:r>
      <w:r>
        <w:rPr>
          <w:color w:val="000000"/>
        </w:rPr>
        <w:softHyphen/>
        <w:t>buches </w:t>
      </w:r>
      <w:r w:rsidRPr="0093350D">
        <w:rPr>
          <w:color w:val="000000"/>
        </w:rPr>
        <w:t>1992 erwähnten wissenschaftlichen Einrichtungen</w:t>
      </w:r>
      <w:r w:rsidRPr="00CF1706">
        <w:rPr>
          <w:color w:val="000000"/>
        </w:rPr>
        <w:t>,</w:t>
      </w:r>
    </w:p>
    <w:p w14:paraId="5761A30C" w14:textId="77777777" w:rsidR="005A5BD5" w:rsidRPr="00CF1706" w:rsidRDefault="005A5BD5" w:rsidP="005A5BD5">
      <w:pPr>
        <w:jc w:val="both"/>
        <w:rPr>
          <w:color w:val="000000"/>
        </w:rPr>
      </w:pPr>
    </w:p>
    <w:p w14:paraId="57B8D5C8" w14:textId="77777777" w:rsidR="005A5BD5" w:rsidRPr="00CF1706" w:rsidRDefault="005A5BD5" w:rsidP="005A5BD5">
      <w:pPr>
        <w:jc w:val="both"/>
        <w:rPr>
          <w:color w:val="000000"/>
        </w:rPr>
      </w:pPr>
      <w:r w:rsidRPr="00CF1706">
        <w:rPr>
          <w:color w:val="000000"/>
        </w:rPr>
        <w:t>- den Königlichen Erlass vom 11. Januar 2009</w:t>
      </w:r>
      <w:r>
        <w:rPr>
          <w:color w:val="000000"/>
        </w:rPr>
        <w:t xml:space="preserve"> </w:t>
      </w:r>
      <w:r w:rsidRPr="007569CC">
        <w:rPr>
          <w:color w:val="000000"/>
        </w:rPr>
        <w:t>zur Abänderung des KE/EStGB</w:t>
      </w:r>
      <w:r>
        <w:rPr>
          <w:color w:val="000000"/>
        </w:rPr>
        <w:t> </w:t>
      </w:r>
      <w:r w:rsidRPr="007569CC">
        <w:rPr>
          <w:color w:val="000000"/>
        </w:rPr>
        <w:t>92 hinsichtlich</w:t>
      </w:r>
      <w:r>
        <w:rPr>
          <w:color w:val="000000"/>
        </w:rPr>
        <w:t xml:space="preserve"> des</w:t>
      </w:r>
      <w:r w:rsidRPr="00CF1706">
        <w:rPr>
          <w:color w:val="000000"/>
        </w:rPr>
        <w:t xml:space="preserve"> </w:t>
      </w:r>
      <w:r w:rsidRPr="003E0FDA">
        <w:rPr>
          <w:color w:val="000000"/>
        </w:rPr>
        <w:t>Abzug</w:t>
      </w:r>
      <w:r>
        <w:rPr>
          <w:color w:val="000000"/>
        </w:rPr>
        <w:t>s</w:t>
      </w:r>
      <w:r w:rsidRPr="003E0FDA">
        <w:rPr>
          <w:color w:val="000000"/>
        </w:rPr>
        <w:t xml:space="preserve"> für Einkünfte aus Patenten</w:t>
      </w:r>
      <w:r w:rsidRPr="00CF1706">
        <w:rPr>
          <w:color w:val="000000"/>
        </w:rPr>
        <w:t>,</w:t>
      </w:r>
    </w:p>
    <w:p w14:paraId="68EE2C00" w14:textId="77777777" w:rsidR="005A5BD5" w:rsidRPr="00CF1706" w:rsidRDefault="005A5BD5" w:rsidP="005A5BD5">
      <w:pPr>
        <w:jc w:val="both"/>
        <w:rPr>
          <w:color w:val="000000"/>
        </w:rPr>
      </w:pPr>
    </w:p>
    <w:p w14:paraId="141AEDBF" w14:textId="77777777" w:rsidR="005A5BD5" w:rsidRPr="00CF1706" w:rsidRDefault="005A5BD5" w:rsidP="005A5BD5">
      <w:pPr>
        <w:jc w:val="both"/>
        <w:rPr>
          <w:color w:val="000000"/>
        </w:rPr>
      </w:pPr>
      <w:r w:rsidRPr="00CF1706">
        <w:rPr>
          <w:color w:val="000000"/>
        </w:rPr>
        <w:t xml:space="preserve">- den Königlichen Erlass vom 20. Januar 2009 </w:t>
      </w:r>
      <w:r w:rsidRPr="003E0FDA">
        <w:rPr>
          <w:color w:val="000000"/>
        </w:rPr>
        <w:t>zur Abänderung des KE/EStGB</w:t>
      </w:r>
      <w:r>
        <w:rPr>
          <w:color w:val="000000"/>
        </w:rPr>
        <w:t> </w:t>
      </w:r>
      <w:r w:rsidRPr="003E0FDA">
        <w:rPr>
          <w:color w:val="000000"/>
        </w:rPr>
        <w:t>92 hinsichtlich der Vorteile jeglicher Art</w:t>
      </w:r>
      <w:r w:rsidRPr="00CF1706">
        <w:rPr>
          <w:color w:val="000000"/>
        </w:rPr>
        <w:t>,</w:t>
      </w:r>
    </w:p>
    <w:p w14:paraId="681F6185" w14:textId="77777777" w:rsidR="005A5BD5" w:rsidRPr="00CF1706" w:rsidRDefault="005A5BD5" w:rsidP="005A5BD5">
      <w:pPr>
        <w:jc w:val="both"/>
        <w:rPr>
          <w:color w:val="000000"/>
        </w:rPr>
      </w:pPr>
    </w:p>
    <w:p w14:paraId="16ED20CF" w14:textId="77777777" w:rsidR="005A5BD5" w:rsidRPr="00CF1706" w:rsidRDefault="005A5BD5" w:rsidP="005A5BD5">
      <w:pPr>
        <w:jc w:val="both"/>
        <w:rPr>
          <w:color w:val="000000"/>
        </w:rPr>
      </w:pPr>
      <w:r w:rsidRPr="00CF1706">
        <w:rPr>
          <w:color w:val="000000"/>
        </w:rPr>
        <w:t xml:space="preserve">- den Königlichen Erlass vom 27. Januar 2009 </w:t>
      </w:r>
      <w:r>
        <w:rPr>
          <w:color w:val="000000"/>
        </w:rPr>
        <w:t xml:space="preserve">zur Abänderung einiger Bestimmungen des </w:t>
      </w:r>
      <w:r w:rsidRPr="003E0FDA">
        <w:rPr>
          <w:color w:val="000000"/>
        </w:rPr>
        <w:t>KE/EStGB</w:t>
      </w:r>
      <w:r>
        <w:rPr>
          <w:color w:val="000000"/>
        </w:rPr>
        <w:t> </w:t>
      </w:r>
      <w:r w:rsidRPr="003E0FDA">
        <w:rPr>
          <w:color w:val="000000"/>
        </w:rPr>
        <w:t>92</w:t>
      </w:r>
      <w:r w:rsidRPr="00CF1706">
        <w:rPr>
          <w:color w:val="000000"/>
        </w:rPr>
        <w:t>,</w:t>
      </w:r>
    </w:p>
    <w:p w14:paraId="2210517C" w14:textId="77777777" w:rsidR="005A5BD5" w:rsidRPr="00CF1706" w:rsidRDefault="005A5BD5" w:rsidP="005A5BD5">
      <w:pPr>
        <w:jc w:val="both"/>
        <w:rPr>
          <w:color w:val="000000"/>
        </w:rPr>
      </w:pPr>
    </w:p>
    <w:p w14:paraId="6712C2EF" w14:textId="77777777" w:rsidR="005A5BD5" w:rsidRPr="00CF1706" w:rsidRDefault="005A5BD5" w:rsidP="005A5BD5">
      <w:pPr>
        <w:jc w:val="both"/>
        <w:rPr>
          <w:color w:val="000000"/>
        </w:rPr>
      </w:pPr>
      <w:r w:rsidRPr="00CF1706">
        <w:rPr>
          <w:color w:val="000000"/>
        </w:rPr>
        <w:t>- den Königlichen Erlass vom 2. Februar 2009 zur Abänderung des KE/EStGB 92 hinsichtlich des Berufssteuervorabzugs,</w:t>
      </w:r>
    </w:p>
    <w:p w14:paraId="55CD3034" w14:textId="77777777" w:rsidR="005A5BD5" w:rsidRPr="00CF1706" w:rsidRDefault="005A5BD5" w:rsidP="005A5BD5">
      <w:pPr>
        <w:jc w:val="both"/>
        <w:rPr>
          <w:color w:val="000000"/>
        </w:rPr>
      </w:pPr>
    </w:p>
    <w:p w14:paraId="3BBF0B84" w14:textId="77777777" w:rsidR="005A5BD5" w:rsidRPr="00CF1706" w:rsidRDefault="005A5BD5" w:rsidP="005A5BD5">
      <w:pPr>
        <w:jc w:val="both"/>
        <w:rPr>
          <w:color w:val="000000"/>
        </w:rPr>
      </w:pPr>
      <w:r w:rsidRPr="00CF1706">
        <w:rPr>
          <w:color w:val="000000"/>
        </w:rPr>
        <w:t xml:space="preserve">- den Königlichen Erlass vom 3. Februar 2009 </w:t>
      </w:r>
      <w:r w:rsidRPr="003E0FDA">
        <w:rPr>
          <w:color w:val="000000"/>
        </w:rPr>
        <w:t>zur Abänderung des KE/EStGB</w:t>
      </w:r>
      <w:r>
        <w:rPr>
          <w:color w:val="000000"/>
        </w:rPr>
        <w:t> </w:t>
      </w:r>
      <w:r w:rsidRPr="003E0FDA">
        <w:rPr>
          <w:color w:val="000000"/>
        </w:rPr>
        <w:t>92 hinsichtlich der Vorteile jeglicher Art</w:t>
      </w:r>
      <w:r w:rsidRPr="00CF1706">
        <w:rPr>
          <w:color w:val="000000"/>
        </w:rPr>
        <w:t>,</w:t>
      </w:r>
    </w:p>
    <w:p w14:paraId="2B298B84" w14:textId="77777777" w:rsidR="005A5BD5" w:rsidRPr="00CF1706" w:rsidRDefault="005A5BD5" w:rsidP="005A5BD5">
      <w:pPr>
        <w:jc w:val="both"/>
        <w:rPr>
          <w:color w:val="000000"/>
        </w:rPr>
      </w:pPr>
    </w:p>
    <w:p w14:paraId="73DA0225" w14:textId="77777777" w:rsidR="005A5BD5" w:rsidRPr="00CF1706" w:rsidRDefault="005A5BD5" w:rsidP="005A5BD5">
      <w:pPr>
        <w:jc w:val="both"/>
        <w:rPr>
          <w:color w:val="000000"/>
        </w:rPr>
      </w:pPr>
      <w:r w:rsidRPr="00CF1706">
        <w:rPr>
          <w:color w:val="000000"/>
        </w:rPr>
        <w:t xml:space="preserve">- den Königlichen Erlass vom 5. Februar 2009 </w:t>
      </w:r>
      <w:r w:rsidRPr="003E0FDA">
        <w:rPr>
          <w:color w:val="000000"/>
        </w:rPr>
        <w:t>zur Abänderung des KE/EStGB</w:t>
      </w:r>
      <w:r>
        <w:rPr>
          <w:color w:val="000000"/>
        </w:rPr>
        <w:t> </w:t>
      </w:r>
      <w:r w:rsidRPr="003E0FDA">
        <w:rPr>
          <w:color w:val="000000"/>
        </w:rPr>
        <w:t>92 hinsichtlich des Neubewertungskoeffizienten für Katastereinkommen</w:t>
      </w:r>
      <w:r w:rsidRPr="00CF1706">
        <w:rPr>
          <w:color w:val="000000"/>
        </w:rPr>
        <w:t>,</w:t>
      </w:r>
    </w:p>
    <w:p w14:paraId="0D913251" w14:textId="77777777" w:rsidR="005A5BD5" w:rsidRPr="00CF1706" w:rsidRDefault="005A5BD5" w:rsidP="005A5BD5">
      <w:pPr>
        <w:jc w:val="both"/>
        <w:rPr>
          <w:color w:val="000000"/>
        </w:rPr>
      </w:pPr>
    </w:p>
    <w:p w14:paraId="1643FE0F" w14:textId="77777777" w:rsidR="005A5BD5" w:rsidRPr="00CF1706" w:rsidRDefault="005A5BD5" w:rsidP="005A5BD5">
      <w:pPr>
        <w:jc w:val="both"/>
        <w:rPr>
          <w:color w:val="000000"/>
        </w:rPr>
      </w:pPr>
      <w:r w:rsidRPr="00CF1706">
        <w:rPr>
          <w:color w:val="000000"/>
        </w:rPr>
        <w:t>- den Königlichen Erlass vom 14. April 2009 zur Abänderung des KE/EStGB 92 hinsichtlich des Berufssteuervorabzugs,</w:t>
      </w:r>
    </w:p>
    <w:p w14:paraId="49763481" w14:textId="77777777" w:rsidR="005A5BD5" w:rsidRDefault="005A5BD5" w:rsidP="005A5BD5">
      <w:pPr>
        <w:jc w:val="both"/>
        <w:rPr>
          <w:color w:val="000000"/>
        </w:rPr>
      </w:pPr>
    </w:p>
    <w:p w14:paraId="56C91566" w14:textId="77777777" w:rsidR="005A5BD5" w:rsidRPr="00CF1706" w:rsidRDefault="005A5BD5" w:rsidP="005A5BD5">
      <w:pPr>
        <w:jc w:val="both"/>
        <w:rPr>
          <w:color w:val="000000"/>
        </w:rPr>
      </w:pPr>
      <w:r w:rsidRPr="00CF1706">
        <w:rPr>
          <w:color w:val="000000"/>
        </w:rPr>
        <w:t xml:space="preserve">- den Königlichen Erlass vom 13. Mai 2009 </w:t>
      </w:r>
      <w:r w:rsidRPr="003E0FDA">
        <w:rPr>
          <w:color w:val="000000"/>
        </w:rPr>
        <w:t>zur Abänderung des KE/EStGB</w:t>
      </w:r>
      <w:r>
        <w:rPr>
          <w:color w:val="000000"/>
        </w:rPr>
        <w:t> </w:t>
      </w:r>
      <w:r w:rsidRPr="003E0FDA">
        <w:rPr>
          <w:color w:val="000000"/>
        </w:rPr>
        <w:t>92 hinsichtlich der Zulassung der in Artikel</w:t>
      </w:r>
      <w:r>
        <w:rPr>
          <w:color w:val="000000"/>
        </w:rPr>
        <w:t> </w:t>
      </w:r>
      <w:r w:rsidRPr="003E0FDA">
        <w:rPr>
          <w:color w:val="000000"/>
        </w:rPr>
        <w:t>275</w:t>
      </w:r>
      <w:r w:rsidRPr="003E0FDA">
        <w:rPr>
          <w:color w:val="000000"/>
          <w:vertAlign w:val="superscript"/>
        </w:rPr>
        <w:t>3</w:t>
      </w:r>
      <w:r w:rsidRPr="003E0FDA">
        <w:rPr>
          <w:color w:val="000000"/>
        </w:rPr>
        <w:t xml:space="preserve"> §</w:t>
      </w:r>
      <w:r>
        <w:rPr>
          <w:color w:val="000000"/>
        </w:rPr>
        <w:t> </w:t>
      </w:r>
      <w:r w:rsidRPr="003E0FDA">
        <w:rPr>
          <w:color w:val="000000"/>
        </w:rPr>
        <w:t>1 Absatz</w:t>
      </w:r>
      <w:r>
        <w:rPr>
          <w:color w:val="000000"/>
        </w:rPr>
        <w:t> </w:t>
      </w:r>
      <w:r w:rsidRPr="003E0FDA">
        <w:rPr>
          <w:color w:val="000000"/>
        </w:rPr>
        <w:t>2 des Einkommensteuergesetzbuches</w:t>
      </w:r>
      <w:r>
        <w:rPr>
          <w:color w:val="000000"/>
        </w:rPr>
        <w:t> </w:t>
      </w:r>
      <w:r w:rsidRPr="003E0FDA">
        <w:rPr>
          <w:color w:val="000000"/>
        </w:rPr>
        <w:t>1992 erwähnten wissenschaftlichen Einrichtungen</w:t>
      </w:r>
      <w:r w:rsidRPr="00CF1706">
        <w:rPr>
          <w:color w:val="000000"/>
        </w:rPr>
        <w:t>,</w:t>
      </w:r>
    </w:p>
    <w:p w14:paraId="7B46D067" w14:textId="77777777" w:rsidR="005A5BD5" w:rsidRPr="00CF1706" w:rsidRDefault="005A5BD5" w:rsidP="005A5BD5">
      <w:pPr>
        <w:jc w:val="both"/>
        <w:rPr>
          <w:color w:val="000000"/>
        </w:rPr>
      </w:pPr>
    </w:p>
    <w:p w14:paraId="66B60444" w14:textId="77777777" w:rsidR="005A5BD5" w:rsidRPr="00CF1706" w:rsidRDefault="005A5BD5" w:rsidP="005A5BD5">
      <w:pPr>
        <w:jc w:val="both"/>
        <w:rPr>
          <w:color w:val="000000"/>
        </w:rPr>
      </w:pPr>
      <w:r w:rsidRPr="00CF1706">
        <w:rPr>
          <w:color w:val="000000"/>
        </w:rPr>
        <w:t xml:space="preserve">- den Königlichen Erlass vom 10. Juni 2009 </w:t>
      </w:r>
      <w:r w:rsidRPr="003E0FDA">
        <w:rPr>
          <w:color w:val="000000"/>
        </w:rPr>
        <w:t>zur Abänderung</w:t>
      </w:r>
      <w:r>
        <w:rPr>
          <w:color w:val="000000"/>
        </w:rPr>
        <w:t xml:space="preserve"> von Artikel 207</w:t>
      </w:r>
      <w:r w:rsidRPr="003E0FDA">
        <w:rPr>
          <w:color w:val="000000"/>
        </w:rPr>
        <w:t xml:space="preserve"> des KE/EStGB</w:t>
      </w:r>
      <w:r>
        <w:rPr>
          <w:color w:val="000000"/>
        </w:rPr>
        <w:t> </w:t>
      </w:r>
      <w:r w:rsidRPr="003E0FDA">
        <w:rPr>
          <w:color w:val="000000"/>
        </w:rPr>
        <w:t>92 hinsichtlich</w:t>
      </w:r>
      <w:r>
        <w:rPr>
          <w:color w:val="000000"/>
        </w:rPr>
        <w:t xml:space="preserve"> der </w:t>
      </w:r>
      <w:r w:rsidRPr="00225E5E">
        <w:rPr>
          <w:color w:val="000000"/>
        </w:rPr>
        <w:t>Pflichtangabe</w:t>
      </w:r>
      <w:r>
        <w:rPr>
          <w:color w:val="000000"/>
        </w:rPr>
        <w:t xml:space="preserve">n auf </w:t>
      </w:r>
      <w:r w:rsidRPr="003E0FDA">
        <w:rPr>
          <w:color w:val="000000"/>
        </w:rPr>
        <w:t>Einzahlungs- oder Überweisungs</w:t>
      </w:r>
      <w:r>
        <w:rPr>
          <w:color w:val="000000"/>
        </w:rPr>
        <w:softHyphen/>
      </w:r>
      <w:r w:rsidRPr="003E0FDA">
        <w:rPr>
          <w:color w:val="000000"/>
        </w:rPr>
        <w:t>formular</w:t>
      </w:r>
      <w:r>
        <w:rPr>
          <w:color w:val="000000"/>
        </w:rPr>
        <w:t>en</w:t>
      </w:r>
      <w:r w:rsidRPr="00CF1706">
        <w:rPr>
          <w:color w:val="000000"/>
        </w:rPr>
        <w:t>,</w:t>
      </w:r>
    </w:p>
    <w:p w14:paraId="6FCE807D" w14:textId="77777777" w:rsidR="005A5BD5" w:rsidRPr="00CF1706" w:rsidRDefault="005A5BD5" w:rsidP="005A5BD5">
      <w:pPr>
        <w:jc w:val="both"/>
        <w:rPr>
          <w:color w:val="000000"/>
        </w:rPr>
      </w:pPr>
    </w:p>
    <w:p w14:paraId="602428CE" w14:textId="77777777" w:rsidR="005A5BD5" w:rsidRPr="00CF1706" w:rsidRDefault="005A5BD5" w:rsidP="005A5BD5">
      <w:pPr>
        <w:jc w:val="both"/>
        <w:rPr>
          <w:color w:val="000000"/>
        </w:rPr>
      </w:pPr>
      <w:r w:rsidRPr="00CF1706">
        <w:rPr>
          <w:color w:val="000000"/>
        </w:rPr>
        <w:t xml:space="preserve">- den Königlichen Erlass vom 12. Juni 2009 </w:t>
      </w:r>
      <w:r>
        <w:rPr>
          <w:color w:val="000000"/>
        </w:rPr>
        <w:t>zur Abänderung des KE/EStGB </w:t>
      </w:r>
      <w:r w:rsidRPr="00537C5A">
        <w:rPr>
          <w:color w:val="000000"/>
        </w:rPr>
        <w:t>92 hinsichtlich der Modalitäten der Anwendung der Steuerermäßigung für Ausgaben für die Renovierung von Wohnungen, die zu einem günstigen Mietpreis vermietet werden</w:t>
      </w:r>
      <w:r w:rsidRPr="00CF1706">
        <w:rPr>
          <w:color w:val="000000"/>
        </w:rPr>
        <w:t>,</w:t>
      </w:r>
    </w:p>
    <w:p w14:paraId="663E482A" w14:textId="77777777" w:rsidR="005A5BD5" w:rsidRPr="00CF1706" w:rsidRDefault="005A5BD5" w:rsidP="005A5BD5">
      <w:pPr>
        <w:jc w:val="both"/>
        <w:rPr>
          <w:color w:val="000000"/>
        </w:rPr>
      </w:pPr>
    </w:p>
    <w:p w14:paraId="7E637195" w14:textId="77777777" w:rsidR="005A5BD5" w:rsidRPr="00CF1706" w:rsidRDefault="005A5BD5" w:rsidP="005A5BD5">
      <w:pPr>
        <w:jc w:val="both"/>
        <w:rPr>
          <w:color w:val="000000"/>
        </w:rPr>
      </w:pPr>
      <w:r w:rsidRPr="00CF1706">
        <w:rPr>
          <w:color w:val="000000"/>
        </w:rPr>
        <w:t xml:space="preserve">- den Königlichen Erlass vom 15. Juni 2009 </w:t>
      </w:r>
      <w:r w:rsidRPr="00537C5A">
        <w:rPr>
          <w:color w:val="000000"/>
        </w:rPr>
        <w:t>zur Ausführung von Artikel</w:t>
      </w:r>
      <w:r>
        <w:rPr>
          <w:color w:val="000000"/>
        </w:rPr>
        <w:t> </w:t>
      </w:r>
      <w:r w:rsidRPr="00537C5A">
        <w:rPr>
          <w:color w:val="000000"/>
        </w:rPr>
        <w:t>202 §</w:t>
      </w:r>
      <w:r>
        <w:rPr>
          <w:color w:val="000000"/>
        </w:rPr>
        <w:t> </w:t>
      </w:r>
      <w:r w:rsidRPr="00537C5A">
        <w:rPr>
          <w:color w:val="000000"/>
        </w:rPr>
        <w:t>2 Absatz</w:t>
      </w:r>
      <w:r>
        <w:rPr>
          <w:color w:val="000000"/>
        </w:rPr>
        <w:t> </w:t>
      </w:r>
      <w:r w:rsidRPr="00537C5A">
        <w:rPr>
          <w:color w:val="000000"/>
        </w:rPr>
        <w:t>2 des Einkommensteuergesetzbuches</w:t>
      </w:r>
      <w:r>
        <w:rPr>
          <w:color w:val="000000"/>
        </w:rPr>
        <w:t> </w:t>
      </w:r>
      <w:r w:rsidRPr="00537C5A">
        <w:rPr>
          <w:color w:val="000000"/>
        </w:rPr>
        <w:t xml:space="preserve">1992 </w:t>
      </w:r>
      <w:r w:rsidRPr="004C43A0">
        <w:rPr>
          <w:color w:val="000000"/>
        </w:rPr>
        <w:t>in Bezug auf die Festlegung der Aktien oder Anteile, die für Versicherungsunternehmen die Beschaffenheit von Finanzanlagen haben</w:t>
      </w:r>
      <w:r w:rsidRPr="00CF1706">
        <w:rPr>
          <w:color w:val="000000"/>
        </w:rPr>
        <w:t>,</w:t>
      </w:r>
    </w:p>
    <w:p w14:paraId="48096AC6" w14:textId="77777777" w:rsidR="005A5BD5" w:rsidRPr="00CF1706" w:rsidRDefault="005A5BD5" w:rsidP="005A5BD5">
      <w:pPr>
        <w:jc w:val="both"/>
        <w:rPr>
          <w:color w:val="000000"/>
        </w:rPr>
      </w:pPr>
    </w:p>
    <w:p w14:paraId="2C51FB55" w14:textId="77777777" w:rsidR="005A5BD5" w:rsidRPr="00CF1706" w:rsidRDefault="005A5BD5" w:rsidP="005A5BD5">
      <w:pPr>
        <w:jc w:val="both"/>
        <w:rPr>
          <w:color w:val="000000"/>
        </w:rPr>
      </w:pPr>
      <w:r w:rsidRPr="00CF1706">
        <w:rPr>
          <w:color w:val="000000"/>
        </w:rPr>
        <w:t>- den Königlichen Erlass vom 22. Juni 2009 zur Abänderung des KE/EStGB 92 hinsichtlich des Berufssteuervorabzugs,</w:t>
      </w:r>
    </w:p>
    <w:p w14:paraId="6023B7B4" w14:textId="77777777" w:rsidR="005A5BD5" w:rsidRPr="00CF1706" w:rsidRDefault="005A5BD5" w:rsidP="005A5BD5">
      <w:pPr>
        <w:jc w:val="both"/>
        <w:rPr>
          <w:color w:val="000000"/>
        </w:rPr>
      </w:pPr>
    </w:p>
    <w:p w14:paraId="554B6DB3" w14:textId="77777777" w:rsidR="005A5BD5" w:rsidRPr="00CF1706" w:rsidRDefault="005A5BD5" w:rsidP="005A5BD5">
      <w:pPr>
        <w:jc w:val="both"/>
        <w:rPr>
          <w:color w:val="000000"/>
        </w:rPr>
      </w:pPr>
      <w:r w:rsidRPr="00CF1706">
        <w:rPr>
          <w:color w:val="000000"/>
        </w:rPr>
        <w:t>- den Königlichen Erlass vom 12. Juli 2009 zur Abänderung des KE/EStGB 92 hinsichtlich</w:t>
      </w:r>
      <w:r w:rsidRPr="00FA0640">
        <w:rPr>
          <w:color w:val="000000"/>
        </w:rPr>
        <w:t xml:space="preserve"> </w:t>
      </w:r>
      <w:r>
        <w:rPr>
          <w:color w:val="000000"/>
        </w:rPr>
        <w:t xml:space="preserve">des Energiebereichs in Ausführung des </w:t>
      </w:r>
      <w:r w:rsidRPr="00FA0640">
        <w:rPr>
          <w:color w:val="000000"/>
        </w:rPr>
        <w:t>Plan</w:t>
      </w:r>
      <w:r>
        <w:rPr>
          <w:color w:val="000000"/>
        </w:rPr>
        <w:t>s</w:t>
      </w:r>
      <w:r w:rsidRPr="00FA0640">
        <w:rPr>
          <w:color w:val="000000"/>
        </w:rPr>
        <w:t xml:space="preserve"> zur Wirtschaftsbelebung</w:t>
      </w:r>
      <w:r w:rsidRPr="00CF1706">
        <w:rPr>
          <w:color w:val="000000"/>
        </w:rPr>
        <w:t>,</w:t>
      </w:r>
    </w:p>
    <w:p w14:paraId="49BC48CA" w14:textId="77777777" w:rsidR="005A5BD5" w:rsidRPr="00CF1706" w:rsidRDefault="005A5BD5" w:rsidP="005A5BD5">
      <w:pPr>
        <w:jc w:val="both"/>
        <w:rPr>
          <w:color w:val="000000"/>
        </w:rPr>
      </w:pPr>
    </w:p>
    <w:p w14:paraId="57414247" w14:textId="77777777" w:rsidR="005A5BD5" w:rsidRPr="00CF1706" w:rsidRDefault="005A5BD5" w:rsidP="005A5BD5">
      <w:pPr>
        <w:jc w:val="both"/>
        <w:rPr>
          <w:color w:val="000000"/>
        </w:rPr>
      </w:pPr>
      <w:r w:rsidRPr="00CF1706">
        <w:rPr>
          <w:color w:val="000000"/>
        </w:rPr>
        <w:t xml:space="preserve">- den Königlichen Erlass vom 31. Juli 2009 </w:t>
      </w:r>
      <w:r>
        <w:rPr>
          <w:color w:val="000000"/>
        </w:rPr>
        <w:t>zur Abänderung des KE/EStGB </w:t>
      </w:r>
      <w:r w:rsidRPr="008E4657">
        <w:rPr>
          <w:color w:val="000000"/>
        </w:rPr>
        <w:t>92 hinsichtlich der Befreiung von der Zahlung des Berufssteuervorabzugs</w:t>
      </w:r>
      <w:r w:rsidRPr="00CF1706">
        <w:rPr>
          <w:color w:val="000000"/>
        </w:rPr>
        <w:t xml:space="preserve"> </w:t>
      </w:r>
      <w:r w:rsidRPr="00CF1706">
        <w:rPr>
          <w:i/>
          <w:color w:val="000000"/>
        </w:rPr>
        <w:t>(I)</w:t>
      </w:r>
      <w:r w:rsidRPr="00CF1706">
        <w:rPr>
          <w:color w:val="000000"/>
        </w:rPr>
        <w:t>,</w:t>
      </w:r>
    </w:p>
    <w:p w14:paraId="7D986FE9" w14:textId="77777777" w:rsidR="005A5BD5" w:rsidRPr="00CF1706" w:rsidRDefault="005A5BD5" w:rsidP="005A5BD5">
      <w:pPr>
        <w:jc w:val="both"/>
        <w:rPr>
          <w:color w:val="000000"/>
        </w:rPr>
      </w:pPr>
    </w:p>
    <w:p w14:paraId="5C0A40D8" w14:textId="77777777" w:rsidR="005A5BD5" w:rsidRPr="00CF1706" w:rsidRDefault="005A5BD5" w:rsidP="005A5BD5">
      <w:pPr>
        <w:jc w:val="both"/>
        <w:rPr>
          <w:color w:val="000000"/>
        </w:rPr>
      </w:pPr>
      <w:r w:rsidRPr="00CF1706">
        <w:rPr>
          <w:color w:val="000000"/>
        </w:rPr>
        <w:t xml:space="preserve">- den Königlichen Erlass vom 31. Juli 2009 </w:t>
      </w:r>
      <w:r w:rsidRPr="00111EE9">
        <w:rPr>
          <w:color w:val="000000"/>
        </w:rPr>
        <w:t>zur A</w:t>
      </w:r>
      <w:r>
        <w:rPr>
          <w:color w:val="000000"/>
        </w:rPr>
        <w:t>npassung</w:t>
      </w:r>
      <w:r w:rsidRPr="00111EE9">
        <w:rPr>
          <w:color w:val="000000"/>
        </w:rPr>
        <w:t xml:space="preserve"> des KE/EStGB</w:t>
      </w:r>
      <w:r>
        <w:rPr>
          <w:color w:val="000000"/>
        </w:rPr>
        <w:t> </w:t>
      </w:r>
      <w:r w:rsidRPr="00111EE9">
        <w:rPr>
          <w:color w:val="000000"/>
        </w:rPr>
        <w:t>92</w:t>
      </w:r>
      <w:r>
        <w:rPr>
          <w:color w:val="000000"/>
        </w:rPr>
        <w:t xml:space="preserve"> hinsichtlich des</w:t>
      </w:r>
      <w:r w:rsidRPr="00111EE9">
        <w:rPr>
          <w:color w:val="000000"/>
          <w:highlight w:val="red"/>
        </w:rPr>
        <w:t xml:space="preserve"> </w:t>
      </w:r>
      <w:r w:rsidRPr="000230EF">
        <w:rPr>
          <w:color w:val="000000"/>
        </w:rPr>
        <w:t>Verzichts auf die Einnahme des Mobiliensteuervorabzugs</w:t>
      </w:r>
      <w:r w:rsidRPr="00CF1706">
        <w:rPr>
          <w:color w:val="000000"/>
        </w:rPr>
        <w:t xml:space="preserve"> </w:t>
      </w:r>
      <w:r w:rsidRPr="00CF1706">
        <w:rPr>
          <w:i/>
          <w:color w:val="000000"/>
        </w:rPr>
        <w:t>(II)</w:t>
      </w:r>
      <w:r w:rsidRPr="00CF1706">
        <w:rPr>
          <w:color w:val="000000"/>
        </w:rPr>
        <w:t>,</w:t>
      </w:r>
    </w:p>
    <w:p w14:paraId="10667A69" w14:textId="77777777" w:rsidR="005A5BD5" w:rsidRPr="00CF1706" w:rsidRDefault="005A5BD5" w:rsidP="005A5BD5">
      <w:pPr>
        <w:jc w:val="both"/>
        <w:rPr>
          <w:color w:val="000000"/>
        </w:rPr>
      </w:pPr>
    </w:p>
    <w:p w14:paraId="4672BCC0" w14:textId="77777777" w:rsidR="005A5BD5" w:rsidRPr="00CF1706" w:rsidRDefault="005A5BD5" w:rsidP="005A5BD5">
      <w:pPr>
        <w:jc w:val="both"/>
        <w:rPr>
          <w:color w:val="000000"/>
        </w:rPr>
      </w:pPr>
      <w:r w:rsidRPr="00CF1706">
        <w:rPr>
          <w:color w:val="000000"/>
        </w:rPr>
        <w:t xml:space="preserve">- den Königlichen Erlass vom 10. August 2009 </w:t>
      </w:r>
      <w:r w:rsidRPr="002506A0">
        <w:rPr>
          <w:color w:val="000000"/>
        </w:rPr>
        <w:t>zur Abänderung von Artikel 63</w:t>
      </w:r>
      <w:r w:rsidRPr="002506A0">
        <w:rPr>
          <w:color w:val="000000"/>
          <w:vertAlign w:val="superscript"/>
        </w:rPr>
        <w:t>11</w:t>
      </w:r>
      <w:r w:rsidRPr="002506A0">
        <w:rPr>
          <w:i/>
          <w:color w:val="000000"/>
          <w:vertAlign w:val="superscript"/>
        </w:rPr>
        <w:t>bis</w:t>
      </w:r>
      <w:r w:rsidRPr="002506A0">
        <w:rPr>
          <w:color w:val="000000"/>
        </w:rPr>
        <w:t xml:space="preserve"> des KE/EStGB 92 hinsichtlich der Steuerermäßigung für Passivhäuser</w:t>
      </w:r>
      <w:r w:rsidRPr="00CF1706">
        <w:rPr>
          <w:color w:val="000000"/>
        </w:rPr>
        <w:t>,</w:t>
      </w:r>
    </w:p>
    <w:p w14:paraId="3ABFEAD7" w14:textId="77777777" w:rsidR="005A5BD5" w:rsidRPr="00CF1706" w:rsidRDefault="005A5BD5" w:rsidP="005A5BD5">
      <w:pPr>
        <w:jc w:val="both"/>
        <w:rPr>
          <w:color w:val="000000"/>
        </w:rPr>
      </w:pPr>
    </w:p>
    <w:p w14:paraId="6FA112D1" w14:textId="77777777" w:rsidR="005A5BD5" w:rsidRPr="00CF1706" w:rsidRDefault="005A5BD5" w:rsidP="005A5BD5">
      <w:pPr>
        <w:jc w:val="both"/>
        <w:rPr>
          <w:color w:val="000000"/>
        </w:rPr>
      </w:pPr>
      <w:r w:rsidRPr="00CF1706">
        <w:rPr>
          <w:color w:val="000000"/>
        </w:rPr>
        <w:t xml:space="preserve">- den Königlichen Erlass vom 3. Dezember 2009 </w:t>
      </w:r>
      <w:r>
        <w:rPr>
          <w:color w:val="000000"/>
        </w:rPr>
        <w:t>zur Abänderung des KE/EStGB </w:t>
      </w:r>
      <w:r w:rsidRPr="008E4657">
        <w:rPr>
          <w:color w:val="000000"/>
        </w:rPr>
        <w:t>92 hinsichtlich der Vorteile jeglicher Art</w:t>
      </w:r>
      <w:r w:rsidRPr="00CF1706">
        <w:rPr>
          <w:color w:val="000000"/>
        </w:rPr>
        <w:t xml:space="preserve"> </w:t>
      </w:r>
      <w:r w:rsidRPr="00CF1706">
        <w:rPr>
          <w:i/>
          <w:color w:val="000000"/>
        </w:rPr>
        <w:t>(I)</w:t>
      </w:r>
      <w:r w:rsidRPr="00CF1706">
        <w:rPr>
          <w:color w:val="000000"/>
        </w:rPr>
        <w:t>,</w:t>
      </w:r>
    </w:p>
    <w:p w14:paraId="115BDE87" w14:textId="77777777" w:rsidR="005A5BD5" w:rsidRPr="00CF1706" w:rsidRDefault="005A5BD5" w:rsidP="005A5BD5">
      <w:pPr>
        <w:jc w:val="both"/>
        <w:rPr>
          <w:color w:val="000000"/>
        </w:rPr>
      </w:pPr>
    </w:p>
    <w:p w14:paraId="0C74AB9A" w14:textId="77777777" w:rsidR="005A5BD5" w:rsidRPr="00CF1706" w:rsidRDefault="005A5BD5" w:rsidP="005A5BD5">
      <w:pPr>
        <w:jc w:val="both"/>
        <w:rPr>
          <w:color w:val="000000"/>
        </w:rPr>
      </w:pPr>
      <w:r w:rsidRPr="00CF1706">
        <w:rPr>
          <w:color w:val="000000"/>
        </w:rPr>
        <w:t xml:space="preserve">- den Königlichen Erlass vom 3. Dezember 2009 zur Abänderung des KE/EStGB 92 hinsichtlich des Berufssteuervorabzugs </w:t>
      </w:r>
      <w:r w:rsidRPr="00CF1706">
        <w:rPr>
          <w:i/>
          <w:color w:val="000000"/>
        </w:rPr>
        <w:t>(II)</w:t>
      </w:r>
      <w:r w:rsidRPr="00CF1706">
        <w:rPr>
          <w:color w:val="000000"/>
        </w:rPr>
        <w:t>,</w:t>
      </w:r>
    </w:p>
    <w:p w14:paraId="72E7DC27" w14:textId="77777777" w:rsidR="005A5BD5" w:rsidRPr="00CF1706" w:rsidRDefault="005A5BD5" w:rsidP="005A5BD5">
      <w:pPr>
        <w:jc w:val="both"/>
        <w:rPr>
          <w:color w:val="000000"/>
        </w:rPr>
      </w:pPr>
    </w:p>
    <w:p w14:paraId="43F5C0A0" w14:textId="77777777" w:rsidR="005A5BD5" w:rsidRPr="00CF1706" w:rsidRDefault="005A5BD5" w:rsidP="005A5BD5">
      <w:pPr>
        <w:jc w:val="both"/>
        <w:rPr>
          <w:color w:val="000000"/>
        </w:rPr>
      </w:pPr>
      <w:r w:rsidRPr="00CF1706">
        <w:rPr>
          <w:color w:val="000000"/>
        </w:rPr>
        <w:t xml:space="preserve">- den Königlichen Erlass vom 10. Januar 2010 </w:t>
      </w:r>
      <w:r>
        <w:rPr>
          <w:color w:val="000000"/>
        </w:rPr>
        <w:t>zur Abänderung des KE/EStGB </w:t>
      </w:r>
      <w:r w:rsidRPr="008E4657">
        <w:rPr>
          <w:color w:val="000000"/>
        </w:rPr>
        <w:t>92 hinsichtlich der Vorteile jeglicher Art</w:t>
      </w:r>
      <w:r w:rsidRPr="00CF1706">
        <w:rPr>
          <w:color w:val="000000"/>
        </w:rPr>
        <w:t xml:space="preserve"> </w:t>
      </w:r>
      <w:r w:rsidRPr="00CF1706">
        <w:rPr>
          <w:i/>
          <w:color w:val="000000"/>
        </w:rPr>
        <w:t>(I)</w:t>
      </w:r>
      <w:r w:rsidRPr="00CF1706">
        <w:rPr>
          <w:color w:val="000000"/>
        </w:rPr>
        <w:t>,</w:t>
      </w:r>
    </w:p>
    <w:p w14:paraId="45EB88BA" w14:textId="77777777" w:rsidR="005A5BD5" w:rsidRPr="00CF1706" w:rsidRDefault="005A5BD5" w:rsidP="005A5BD5">
      <w:pPr>
        <w:jc w:val="both"/>
        <w:rPr>
          <w:color w:val="000000"/>
        </w:rPr>
      </w:pPr>
    </w:p>
    <w:p w14:paraId="77E90FCC" w14:textId="77777777" w:rsidR="005A5BD5" w:rsidRPr="00CF1706" w:rsidRDefault="005A5BD5" w:rsidP="005A5BD5">
      <w:pPr>
        <w:jc w:val="both"/>
        <w:rPr>
          <w:color w:val="000000"/>
        </w:rPr>
      </w:pPr>
      <w:r w:rsidRPr="00CF1706">
        <w:rPr>
          <w:color w:val="000000"/>
        </w:rPr>
        <w:t>- den Königlichen Erlass vom 10. Januar 2010 zur Abänderung des KE/EStGB 92 hinsichtlich des Berufssteuervorabzugs </w:t>
      </w:r>
      <w:r w:rsidRPr="00CF1706">
        <w:rPr>
          <w:i/>
          <w:color w:val="000000"/>
        </w:rPr>
        <w:t>(II)</w:t>
      </w:r>
      <w:r w:rsidRPr="00CF1706">
        <w:rPr>
          <w:color w:val="000000"/>
        </w:rPr>
        <w:t>,</w:t>
      </w:r>
    </w:p>
    <w:p w14:paraId="43100935" w14:textId="77777777" w:rsidR="005A5BD5" w:rsidRPr="00CF1706" w:rsidRDefault="005A5BD5" w:rsidP="005A5BD5">
      <w:pPr>
        <w:jc w:val="both"/>
        <w:rPr>
          <w:color w:val="000000"/>
        </w:rPr>
      </w:pPr>
    </w:p>
    <w:p w14:paraId="593E1915" w14:textId="77777777" w:rsidR="005A5BD5" w:rsidRPr="00CF1706" w:rsidRDefault="005A5BD5" w:rsidP="005A5BD5">
      <w:pPr>
        <w:jc w:val="both"/>
        <w:rPr>
          <w:color w:val="000000"/>
        </w:rPr>
      </w:pPr>
      <w:r w:rsidRPr="00CF1706">
        <w:rPr>
          <w:color w:val="000000"/>
        </w:rPr>
        <w:t xml:space="preserve">- den Königlichen Erlass vom 1. Februar 2010 </w:t>
      </w:r>
      <w:r>
        <w:rPr>
          <w:color w:val="000000"/>
        </w:rPr>
        <w:t xml:space="preserve">zur Abänderung von Artikel 139 §§ 1 und 3 und Artikel 142 § 1 des </w:t>
      </w:r>
      <w:r w:rsidRPr="00CF1706">
        <w:rPr>
          <w:color w:val="000000"/>
        </w:rPr>
        <w:t>KE/EStGB 92</w:t>
      </w:r>
      <w:r>
        <w:rPr>
          <w:color w:val="000000"/>
        </w:rPr>
        <w:t xml:space="preserve"> hinsichtlich der </w:t>
      </w:r>
      <w:r w:rsidRPr="000F5A15">
        <w:rPr>
          <w:color w:val="000000"/>
        </w:rPr>
        <w:t xml:space="preserve">Verwendung </w:t>
      </w:r>
      <w:r>
        <w:rPr>
          <w:color w:val="000000"/>
        </w:rPr>
        <w:t xml:space="preserve">von </w:t>
      </w:r>
      <w:r w:rsidRPr="00DD29AA">
        <w:rPr>
          <w:color w:val="000000"/>
        </w:rPr>
        <w:t>Zahlungsterminal</w:t>
      </w:r>
      <w:r>
        <w:rPr>
          <w:color w:val="000000"/>
        </w:rPr>
        <w:t>s in Einnahmeämtern für die Steuerzahlung</w:t>
      </w:r>
      <w:r w:rsidRPr="00CF1706">
        <w:rPr>
          <w:color w:val="000000"/>
        </w:rPr>
        <w:t>,</w:t>
      </w:r>
    </w:p>
    <w:p w14:paraId="3E552ADF" w14:textId="77777777" w:rsidR="005A5BD5" w:rsidRPr="00CF1706" w:rsidRDefault="005A5BD5" w:rsidP="005A5BD5">
      <w:pPr>
        <w:jc w:val="both"/>
        <w:rPr>
          <w:color w:val="000000"/>
        </w:rPr>
      </w:pPr>
    </w:p>
    <w:p w14:paraId="645A8A98" w14:textId="77777777" w:rsidR="005A5BD5" w:rsidRPr="00CF1706" w:rsidRDefault="005A5BD5" w:rsidP="005A5BD5">
      <w:pPr>
        <w:jc w:val="both"/>
        <w:rPr>
          <w:color w:val="000000"/>
        </w:rPr>
      </w:pPr>
      <w:r w:rsidRPr="00CF1706">
        <w:rPr>
          <w:color w:val="000000"/>
        </w:rPr>
        <w:t xml:space="preserve">- den Königlichen Erlass vom 8. Februar 2010 </w:t>
      </w:r>
      <w:r w:rsidRPr="00ED2B2D">
        <w:rPr>
          <w:color w:val="000000"/>
        </w:rPr>
        <w:t>zur Abänderung des KE/EStGB</w:t>
      </w:r>
      <w:r>
        <w:rPr>
          <w:color w:val="000000"/>
        </w:rPr>
        <w:t> </w:t>
      </w:r>
      <w:r w:rsidRPr="00ED2B2D">
        <w:rPr>
          <w:color w:val="000000"/>
        </w:rPr>
        <w:t>92 hinsichtlich der Regeln für die Anrechnung der Steuerermäßigungen für Ausgaben zur Energieeinsparung</w:t>
      </w:r>
      <w:r w:rsidRPr="00CF1706">
        <w:rPr>
          <w:color w:val="000000"/>
        </w:rPr>
        <w:t>,</w:t>
      </w:r>
    </w:p>
    <w:p w14:paraId="0083E468" w14:textId="77777777" w:rsidR="005A5BD5" w:rsidRDefault="005A5BD5" w:rsidP="005A5BD5">
      <w:pPr>
        <w:jc w:val="both"/>
        <w:rPr>
          <w:color w:val="000000"/>
        </w:rPr>
      </w:pPr>
    </w:p>
    <w:p w14:paraId="5EDE0E92" w14:textId="77777777" w:rsidR="005A5BD5" w:rsidRPr="00CF1706" w:rsidRDefault="005A5BD5" w:rsidP="005A5BD5">
      <w:pPr>
        <w:jc w:val="both"/>
        <w:rPr>
          <w:color w:val="000000"/>
        </w:rPr>
      </w:pPr>
      <w:r w:rsidRPr="00CF1706">
        <w:rPr>
          <w:color w:val="000000"/>
        </w:rPr>
        <w:t xml:space="preserve">- den Königlichen Erlass vom 10. Februar 2010 </w:t>
      </w:r>
      <w:r>
        <w:rPr>
          <w:color w:val="000000"/>
        </w:rPr>
        <w:t>zur Abänderung des KE/EStGB </w:t>
      </w:r>
      <w:r w:rsidRPr="00ED2B2D">
        <w:rPr>
          <w:color w:val="000000"/>
        </w:rPr>
        <w:t>92 hinsichtlich der Vorteile jeglicher Art</w:t>
      </w:r>
      <w:r w:rsidRPr="00CF1706">
        <w:rPr>
          <w:color w:val="000000"/>
        </w:rPr>
        <w:t>,</w:t>
      </w:r>
    </w:p>
    <w:p w14:paraId="07E1D800" w14:textId="77777777" w:rsidR="005A5BD5" w:rsidRPr="00CF1706" w:rsidRDefault="005A5BD5" w:rsidP="005A5BD5">
      <w:pPr>
        <w:jc w:val="both"/>
        <w:rPr>
          <w:color w:val="000000"/>
        </w:rPr>
      </w:pPr>
    </w:p>
    <w:p w14:paraId="7E283896" w14:textId="77777777" w:rsidR="005A5BD5" w:rsidRPr="00CF1706" w:rsidRDefault="005A5BD5" w:rsidP="005A5BD5">
      <w:pPr>
        <w:jc w:val="both"/>
        <w:rPr>
          <w:color w:val="000000"/>
        </w:rPr>
      </w:pPr>
      <w:r w:rsidRPr="00CF1706">
        <w:rPr>
          <w:color w:val="000000"/>
        </w:rPr>
        <w:t>- den Königlichen Erlass vom 11. Februar 2010</w:t>
      </w:r>
      <w:r>
        <w:rPr>
          <w:color w:val="000000"/>
        </w:rPr>
        <w:t xml:space="preserve"> </w:t>
      </w:r>
      <w:r w:rsidRPr="00ED2B2D">
        <w:rPr>
          <w:color w:val="000000"/>
        </w:rPr>
        <w:t>zur Abänderung des KE/EStGB</w:t>
      </w:r>
      <w:r>
        <w:rPr>
          <w:color w:val="000000"/>
        </w:rPr>
        <w:t> </w:t>
      </w:r>
      <w:r w:rsidRPr="00ED2B2D">
        <w:rPr>
          <w:color w:val="000000"/>
        </w:rPr>
        <w:t>92 hinsichtlich des Neubewertungskoeffizienten für Katastereinkommen</w:t>
      </w:r>
      <w:r w:rsidRPr="00CF1706">
        <w:rPr>
          <w:color w:val="000000"/>
        </w:rPr>
        <w:t>,</w:t>
      </w:r>
    </w:p>
    <w:p w14:paraId="680FC25C" w14:textId="77777777" w:rsidR="005A5BD5" w:rsidRPr="00CF1706" w:rsidRDefault="005A5BD5" w:rsidP="005A5BD5">
      <w:pPr>
        <w:jc w:val="both"/>
        <w:rPr>
          <w:color w:val="000000"/>
        </w:rPr>
      </w:pPr>
    </w:p>
    <w:p w14:paraId="3FA0249B" w14:textId="77777777" w:rsidR="005A5BD5" w:rsidRPr="00CF1706" w:rsidRDefault="005A5BD5" w:rsidP="005A5BD5">
      <w:pPr>
        <w:jc w:val="both"/>
        <w:rPr>
          <w:color w:val="000000"/>
        </w:rPr>
      </w:pPr>
      <w:r w:rsidRPr="00CF1706">
        <w:rPr>
          <w:color w:val="000000"/>
        </w:rPr>
        <w:t xml:space="preserve">- den Königlichen Erlass vom 22. Februar 2010 </w:t>
      </w:r>
      <w:r w:rsidRPr="00111EE9">
        <w:rPr>
          <w:color w:val="000000"/>
        </w:rPr>
        <w:t>zur A</w:t>
      </w:r>
      <w:r>
        <w:rPr>
          <w:color w:val="000000"/>
        </w:rPr>
        <w:t>npassung</w:t>
      </w:r>
      <w:r w:rsidRPr="00111EE9">
        <w:rPr>
          <w:color w:val="000000"/>
        </w:rPr>
        <w:t xml:space="preserve"> des KE/EStGB</w:t>
      </w:r>
      <w:r>
        <w:rPr>
          <w:color w:val="000000"/>
        </w:rPr>
        <w:t> </w:t>
      </w:r>
      <w:r w:rsidRPr="00111EE9">
        <w:rPr>
          <w:color w:val="000000"/>
        </w:rPr>
        <w:t>92</w:t>
      </w:r>
      <w:r>
        <w:rPr>
          <w:color w:val="000000"/>
        </w:rPr>
        <w:t xml:space="preserve"> hinsichtlich </w:t>
      </w:r>
      <w:r w:rsidRPr="000230EF">
        <w:rPr>
          <w:color w:val="000000"/>
        </w:rPr>
        <w:t>des Verzichts auf die Einnahme des</w:t>
      </w:r>
      <w:r w:rsidRPr="00111EE9">
        <w:rPr>
          <w:color w:val="000000"/>
        </w:rPr>
        <w:t xml:space="preserve"> Mobiliensteuervorabzugs</w:t>
      </w:r>
      <w:r w:rsidRPr="00CF1706">
        <w:rPr>
          <w:color w:val="000000"/>
        </w:rPr>
        <w:t>,</w:t>
      </w:r>
    </w:p>
    <w:p w14:paraId="7DA91856" w14:textId="77777777" w:rsidR="005A5BD5" w:rsidRPr="00CF1706" w:rsidRDefault="005A5BD5" w:rsidP="005A5BD5">
      <w:pPr>
        <w:jc w:val="both"/>
        <w:rPr>
          <w:color w:val="000000"/>
        </w:rPr>
      </w:pPr>
    </w:p>
    <w:p w14:paraId="5B1786C3" w14:textId="77777777" w:rsidR="005A5BD5" w:rsidRPr="00CF1706" w:rsidRDefault="005A5BD5" w:rsidP="005A5BD5">
      <w:pPr>
        <w:jc w:val="both"/>
        <w:rPr>
          <w:color w:val="000000"/>
        </w:rPr>
      </w:pPr>
      <w:r w:rsidRPr="00CF1706">
        <w:rPr>
          <w:color w:val="000000"/>
        </w:rPr>
        <w:t xml:space="preserve">- den Königlichen Erlass vom 2. März 2010 </w:t>
      </w:r>
      <w:r w:rsidRPr="00ED2B2D">
        <w:rPr>
          <w:color w:val="000000"/>
        </w:rPr>
        <w:t>zur Abänderung</w:t>
      </w:r>
      <w:r>
        <w:rPr>
          <w:color w:val="000000"/>
        </w:rPr>
        <w:t xml:space="preserve"> von Artikel 178</w:t>
      </w:r>
      <w:r w:rsidRPr="00ED2B2D">
        <w:rPr>
          <w:color w:val="000000"/>
        </w:rPr>
        <w:t xml:space="preserve"> des KE/EStGB</w:t>
      </w:r>
      <w:r>
        <w:rPr>
          <w:color w:val="000000"/>
        </w:rPr>
        <w:t> </w:t>
      </w:r>
      <w:r w:rsidRPr="00ED2B2D">
        <w:rPr>
          <w:color w:val="000000"/>
        </w:rPr>
        <w:t>92 hinsichtlich des Veranlagungsvorschlag</w:t>
      </w:r>
      <w:r>
        <w:rPr>
          <w:color w:val="000000"/>
        </w:rPr>
        <w:t>s</w:t>
      </w:r>
      <w:r w:rsidRPr="00CF1706">
        <w:rPr>
          <w:color w:val="000000"/>
        </w:rPr>
        <w:t>,</w:t>
      </w:r>
    </w:p>
    <w:p w14:paraId="3099D9DB" w14:textId="77777777" w:rsidR="005A5BD5" w:rsidRPr="00CF1706" w:rsidRDefault="005A5BD5" w:rsidP="005A5BD5">
      <w:pPr>
        <w:jc w:val="both"/>
        <w:rPr>
          <w:color w:val="000000"/>
        </w:rPr>
      </w:pPr>
    </w:p>
    <w:p w14:paraId="1947796F" w14:textId="77777777" w:rsidR="005A5BD5" w:rsidRPr="00CF1706" w:rsidRDefault="005A5BD5" w:rsidP="005A5BD5">
      <w:pPr>
        <w:jc w:val="both"/>
        <w:rPr>
          <w:color w:val="000000"/>
        </w:rPr>
      </w:pPr>
      <w:r w:rsidRPr="00CF1706">
        <w:rPr>
          <w:color w:val="000000"/>
        </w:rPr>
        <w:t xml:space="preserve">- den Königlichen Erlass vom 8. März 2010 </w:t>
      </w:r>
      <w:r w:rsidRPr="00ED2B2D">
        <w:rPr>
          <w:color w:val="000000"/>
        </w:rPr>
        <w:t>zur Abänderung des KE/EStGB</w:t>
      </w:r>
      <w:r>
        <w:rPr>
          <w:color w:val="000000"/>
        </w:rPr>
        <w:t> </w:t>
      </w:r>
      <w:r w:rsidRPr="00ED2B2D">
        <w:rPr>
          <w:color w:val="000000"/>
        </w:rPr>
        <w:t>92 hinsichtlich der Steuerermäßigung für Ausgaben für den Erwerb eines Elektrofahrzeugs in Neuzustand</w:t>
      </w:r>
      <w:r w:rsidRPr="00CF1706">
        <w:rPr>
          <w:color w:val="000000"/>
        </w:rPr>
        <w:t>,</w:t>
      </w:r>
    </w:p>
    <w:p w14:paraId="660A46C0" w14:textId="77777777" w:rsidR="005A5BD5" w:rsidRPr="00CF1706" w:rsidRDefault="005A5BD5" w:rsidP="005A5BD5">
      <w:pPr>
        <w:jc w:val="both"/>
        <w:rPr>
          <w:color w:val="000000"/>
        </w:rPr>
      </w:pPr>
    </w:p>
    <w:p w14:paraId="33493321" w14:textId="77777777" w:rsidR="005A5BD5" w:rsidRPr="00CF1706" w:rsidRDefault="005A5BD5" w:rsidP="005A5BD5">
      <w:pPr>
        <w:jc w:val="both"/>
        <w:rPr>
          <w:color w:val="000000"/>
        </w:rPr>
      </w:pPr>
      <w:r w:rsidRPr="00CF1706">
        <w:rPr>
          <w:color w:val="000000"/>
        </w:rPr>
        <w:t xml:space="preserve">- den Königlichen Erlass vom 6. April 2010 </w:t>
      </w:r>
      <w:r w:rsidRPr="00AB697C">
        <w:rPr>
          <w:color w:val="000000"/>
        </w:rPr>
        <w:t>zur Abänderung einiger Bestimmungen des KE/EStGB</w:t>
      </w:r>
      <w:r>
        <w:rPr>
          <w:color w:val="000000"/>
        </w:rPr>
        <w:t> </w:t>
      </w:r>
      <w:r w:rsidRPr="00AB697C">
        <w:rPr>
          <w:color w:val="000000"/>
        </w:rPr>
        <w:t>92</w:t>
      </w:r>
      <w:r w:rsidRPr="00CF1706">
        <w:rPr>
          <w:color w:val="000000"/>
        </w:rPr>
        <w:t>,</w:t>
      </w:r>
    </w:p>
    <w:p w14:paraId="1A3B4ABD" w14:textId="77777777" w:rsidR="005A5BD5" w:rsidRPr="00CF1706" w:rsidRDefault="005A5BD5" w:rsidP="005A5BD5">
      <w:pPr>
        <w:jc w:val="both"/>
        <w:rPr>
          <w:color w:val="000000"/>
        </w:rPr>
      </w:pPr>
    </w:p>
    <w:p w14:paraId="6FAEEEA7" w14:textId="77777777" w:rsidR="005A5BD5" w:rsidRPr="00CF1706" w:rsidRDefault="005A5BD5" w:rsidP="005A5BD5">
      <w:pPr>
        <w:jc w:val="both"/>
        <w:rPr>
          <w:color w:val="000000"/>
        </w:rPr>
      </w:pPr>
      <w:r w:rsidRPr="00CF1706">
        <w:rPr>
          <w:color w:val="000000"/>
        </w:rPr>
        <w:t xml:space="preserve">- den Königlichen Erlass vom 6. Mai 2010 </w:t>
      </w:r>
      <w:r w:rsidRPr="0083673C">
        <w:rPr>
          <w:color w:val="000000"/>
        </w:rPr>
        <w:t>zur Ausführung von Artikel</w:t>
      </w:r>
      <w:r>
        <w:rPr>
          <w:color w:val="000000"/>
        </w:rPr>
        <w:t> </w:t>
      </w:r>
      <w:r w:rsidRPr="0083673C">
        <w:rPr>
          <w:color w:val="000000"/>
        </w:rPr>
        <w:t>307 §</w:t>
      </w:r>
      <w:r>
        <w:rPr>
          <w:color w:val="000000"/>
        </w:rPr>
        <w:t> </w:t>
      </w:r>
      <w:r w:rsidRPr="0083673C">
        <w:rPr>
          <w:color w:val="000000"/>
        </w:rPr>
        <w:t>1 Absatz</w:t>
      </w:r>
      <w:r>
        <w:rPr>
          <w:color w:val="000000"/>
        </w:rPr>
        <w:t> </w:t>
      </w:r>
      <w:r w:rsidRPr="0083673C">
        <w:rPr>
          <w:color w:val="000000"/>
        </w:rPr>
        <w:t>3 bis 6 des Einkommensteuergesetzbuches</w:t>
      </w:r>
      <w:r>
        <w:rPr>
          <w:color w:val="000000"/>
        </w:rPr>
        <w:t> </w:t>
      </w:r>
      <w:r w:rsidRPr="0083673C">
        <w:rPr>
          <w:color w:val="000000"/>
        </w:rPr>
        <w:t>1992 in Bezug auf die Liste der Staaten ohne oder mit niedriger Besteuerung</w:t>
      </w:r>
      <w:r w:rsidRPr="00CF1706">
        <w:rPr>
          <w:color w:val="000000"/>
        </w:rPr>
        <w:t>,</w:t>
      </w:r>
    </w:p>
    <w:p w14:paraId="25066D23" w14:textId="77777777" w:rsidR="005A5BD5" w:rsidRPr="00CF1706" w:rsidRDefault="005A5BD5" w:rsidP="005A5BD5">
      <w:pPr>
        <w:jc w:val="both"/>
        <w:rPr>
          <w:color w:val="000000"/>
        </w:rPr>
      </w:pPr>
    </w:p>
    <w:p w14:paraId="0295A3EC" w14:textId="77777777" w:rsidR="005A5BD5" w:rsidRPr="00CF1706" w:rsidRDefault="005A5BD5" w:rsidP="005A5BD5">
      <w:pPr>
        <w:jc w:val="both"/>
        <w:rPr>
          <w:color w:val="000000"/>
        </w:rPr>
      </w:pPr>
      <w:r w:rsidRPr="00CF1706">
        <w:rPr>
          <w:color w:val="000000"/>
        </w:rPr>
        <w:t xml:space="preserve">- den Königlichen Erlass vom 10. Mai 2010 </w:t>
      </w:r>
      <w:r w:rsidRPr="0083673C">
        <w:rPr>
          <w:color w:val="000000"/>
        </w:rPr>
        <w:t>zur Abänderung des KE/EStGB</w:t>
      </w:r>
      <w:r>
        <w:rPr>
          <w:color w:val="000000"/>
        </w:rPr>
        <w:t> </w:t>
      </w:r>
      <w:r w:rsidRPr="0083673C">
        <w:rPr>
          <w:color w:val="000000"/>
        </w:rPr>
        <w:t>92 hinsichtlich der Erklärung zum Mobiliensteuervorabzug</w:t>
      </w:r>
      <w:r w:rsidRPr="00CF1706">
        <w:rPr>
          <w:color w:val="000000"/>
        </w:rPr>
        <w:t>,</w:t>
      </w:r>
    </w:p>
    <w:p w14:paraId="41BE3DCC" w14:textId="77777777" w:rsidR="005A5BD5" w:rsidRPr="00CF1706" w:rsidRDefault="005A5BD5" w:rsidP="005A5BD5">
      <w:pPr>
        <w:jc w:val="both"/>
        <w:rPr>
          <w:color w:val="000000"/>
        </w:rPr>
      </w:pPr>
    </w:p>
    <w:p w14:paraId="3A558345" w14:textId="77777777" w:rsidR="005A5BD5" w:rsidRPr="00CF1706" w:rsidRDefault="005A5BD5" w:rsidP="005A5BD5">
      <w:pPr>
        <w:jc w:val="both"/>
        <w:rPr>
          <w:color w:val="000000"/>
        </w:rPr>
      </w:pPr>
      <w:r w:rsidRPr="00CF1706">
        <w:rPr>
          <w:color w:val="000000"/>
        </w:rPr>
        <w:t xml:space="preserve">- den Königlichen Erlass vom 2. Juni 2010 </w:t>
      </w:r>
      <w:r w:rsidRPr="00C8793A">
        <w:rPr>
          <w:color w:val="000000"/>
        </w:rPr>
        <w:t>zur Abänderung des KE/EStGB</w:t>
      </w:r>
      <w:r>
        <w:rPr>
          <w:color w:val="000000"/>
        </w:rPr>
        <w:t> </w:t>
      </w:r>
      <w:r w:rsidRPr="00C8793A">
        <w:rPr>
          <w:color w:val="000000"/>
        </w:rPr>
        <w:t>92 hinsichtlich der Einschränkung der als Werbungskosten abzugsfähigen Beiträge und Prämien für die Bildung einer ergänzenden Pension</w:t>
      </w:r>
      <w:r w:rsidRPr="00CF1706">
        <w:rPr>
          <w:color w:val="000000"/>
        </w:rPr>
        <w:t>,</w:t>
      </w:r>
    </w:p>
    <w:p w14:paraId="7D99B578" w14:textId="77777777" w:rsidR="005A5BD5" w:rsidRPr="00CF1706" w:rsidRDefault="005A5BD5" w:rsidP="005A5BD5">
      <w:pPr>
        <w:jc w:val="both"/>
        <w:rPr>
          <w:color w:val="000000"/>
        </w:rPr>
      </w:pPr>
    </w:p>
    <w:p w14:paraId="0CD3C0C5" w14:textId="77777777" w:rsidR="005A5BD5" w:rsidRPr="00CF1706" w:rsidRDefault="005A5BD5" w:rsidP="005A5BD5">
      <w:pPr>
        <w:jc w:val="both"/>
        <w:rPr>
          <w:color w:val="000000"/>
        </w:rPr>
      </w:pPr>
      <w:r w:rsidRPr="00CF1706">
        <w:rPr>
          <w:color w:val="000000"/>
        </w:rPr>
        <w:t>- den Königlichen Erlass vom 2. Juli 2010 zur Abänderung des KE/EStGB 92 hinsichtlich des Berufssteuervorabzugs,</w:t>
      </w:r>
    </w:p>
    <w:p w14:paraId="329708EE" w14:textId="77777777" w:rsidR="005A5BD5" w:rsidRPr="00CF1706" w:rsidRDefault="005A5BD5" w:rsidP="005A5BD5">
      <w:pPr>
        <w:jc w:val="both"/>
        <w:rPr>
          <w:color w:val="000000"/>
        </w:rPr>
      </w:pPr>
    </w:p>
    <w:p w14:paraId="673E5140" w14:textId="77777777" w:rsidR="005A5BD5" w:rsidRPr="00CF1706" w:rsidRDefault="005A5BD5" w:rsidP="005A5BD5">
      <w:pPr>
        <w:jc w:val="both"/>
        <w:rPr>
          <w:color w:val="000000"/>
        </w:rPr>
      </w:pPr>
      <w:r w:rsidRPr="00CF1706">
        <w:rPr>
          <w:color w:val="000000"/>
        </w:rPr>
        <w:t xml:space="preserve">- den Königlichen Erlass vom 9. Juli 2010 </w:t>
      </w:r>
      <w:r w:rsidRPr="00107297">
        <w:rPr>
          <w:color w:val="000000"/>
        </w:rPr>
        <w:t>über die Modalitäten der Anwendung der Steuerbefreiung für die in Artikel</w:t>
      </w:r>
      <w:r>
        <w:rPr>
          <w:color w:val="000000"/>
        </w:rPr>
        <w:t> </w:t>
      </w:r>
      <w:r w:rsidRPr="00107297">
        <w:rPr>
          <w:color w:val="000000"/>
        </w:rPr>
        <w:t>48/1 des Einkommensteuergesetzbuches</w:t>
      </w:r>
      <w:r>
        <w:rPr>
          <w:color w:val="000000"/>
        </w:rPr>
        <w:t> </w:t>
      </w:r>
      <w:r w:rsidRPr="00107297">
        <w:rPr>
          <w:color w:val="000000"/>
        </w:rPr>
        <w:t>1992 erwähnten Minderwerte</w:t>
      </w:r>
      <w:r w:rsidRPr="00CF1706">
        <w:rPr>
          <w:color w:val="000000"/>
        </w:rPr>
        <w:t>,</w:t>
      </w:r>
    </w:p>
    <w:p w14:paraId="5CBFE654" w14:textId="77777777" w:rsidR="005A5BD5" w:rsidRPr="00CF1706" w:rsidRDefault="005A5BD5" w:rsidP="005A5BD5">
      <w:pPr>
        <w:jc w:val="both"/>
        <w:rPr>
          <w:color w:val="000000"/>
        </w:rPr>
      </w:pPr>
    </w:p>
    <w:p w14:paraId="48F41BCD" w14:textId="77777777" w:rsidR="005A5BD5" w:rsidRPr="00CF1706" w:rsidRDefault="005A5BD5" w:rsidP="005A5BD5">
      <w:pPr>
        <w:jc w:val="both"/>
        <w:rPr>
          <w:color w:val="000000"/>
        </w:rPr>
      </w:pPr>
      <w:r w:rsidRPr="00CF1706">
        <w:rPr>
          <w:color w:val="000000"/>
        </w:rPr>
        <w:t xml:space="preserve">- den Königlichen Erlass vom 30. Juli 2010 </w:t>
      </w:r>
      <w:r w:rsidRPr="004B3893">
        <w:rPr>
          <w:color w:val="000000"/>
        </w:rPr>
        <w:t>zur Anpassung des KE/EStGB</w:t>
      </w:r>
      <w:r>
        <w:rPr>
          <w:color w:val="000000"/>
        </w:rPr>
        <w:t> </w:t>
      </w:r>
      <w:r w:rsidRPr="004B3893">
        <w:rPr>
          <w:color w:val="000000"/>
        </w:rPr>
        <w:t>92 hinsichtlich der Bestimmung eines Fiskalvertreters im Rahmen von zentralisierten Systemen für den Verleih von Finanzinstrumenten</w:t>
      </w:r>
      <w:r w:rsidRPr="00CF1706">
        <w:rPr>
          <w:color w:val="000000"/>
        </w:rPr>
        <w:t>,</w:t>
      </w:r>
    </w:p>
    <w:p w14:paraId="57DB67E7" w14:textId="77777777" w:rsidR="005A5BD5" w:rsidRPr="00CF1706" w:rsidRDefault="005A5BD5" w:rsidP="005A5BD5">
      <w:pPr>
        <w:jc w:val="both"/>
        <w:rPr>
          <w:color w:val="000000"/>
        </w:rPr>
      </w:pPr>
    </w:p>
    <w:p w14:paraId="172E005B" w14:textId="77777777" w:rsidR="005A5BD5" w:rsidRPr="00CF1706" w:rsidRDefault="005A5BD5" w:rsidP="005A5BD5">
      <w:pPr>
        <w:jc w:val="both"/>
        <w:rPr>
          <w:color w:val="000000"/>
        </w:rPr>
      </w:pPr>
      <w:r w:rsidRPr="00CF1706">
        <w:rPr>
          <w:color w:val="000000"/>
        </w:rPr>
        <w:t xml:space="preserve">- den Königlichen Erlass vom 26. August 2010 </w:t>
      </w:r>
      <w:r w:rsidRPr="0093350D">
        <w:rPr>
          <w:color w:val="000000"/>
        </w:rPr>
        <w:t>zur Abänderung des KE/EStGB</w:t>
      </w:r>
      <w:r>
        <w:rPr>
          <w:color w:val="000000"/>
        </w:rPr>
        <w:t> </w:t>
      </w:r>
      <w:r w:rsidRPr="0093350D">
        <w:rPr>
          <w:color w:val="000000"/>
        </w:rPr>
        <w:t>92 hinsichtlich der Zulassung der in Artikel</w:t>
      </w:r>
      <w:r>
        <w:rPr>
          <w:color w:val="000000"/>
        </w:rPr>
        <w:t> 2</w:t>
      </w:r>
      <w:r w:rsidRPr="0093350D">
        <w:rPr>
          <w:color w:val="000000"/>
        </w:rPr>
        <w:t>75</w:t>
      </w:r>
      <w:r w:rsidRPr="0093350D">
        <w:rPr>
          <w:color w:val="000000"/>
          <w:vertAlign w:val="superscript"/>
        </w:rPr>
        <w:t>3</w:t>
      </w:r>
      <w:r>
        <w:rPr>
          <w:color w:val="000000"/>
        </w:rPr>
        <w:t xml:space="preserve"> § </w:t>
      </w:r>
      <w:r w:rsidRPr="0093350D">
        <w:rPr>
          <w:color w:val="000000"/>
        </w:rPr>
        <w:t>1 Absatz</w:t>
      </w:r>
      <w:r>
        <w:rPr>
          <w:color w:val="000000"/>
        </w:rPr>
        <w:t> </w:t>
      </w:r>
      <w:r w:rsidRPr="0093350D">
        <w:rPr>
          <w:color w:val="000000"/>
        </w:rPr>
        <w:t>2 des Einkommensteuergesetz</w:t>
      </w:r>
      <w:r>
        <w:rPr>
          <w:color w:val="000000"/>
        </w:rPr>
        <w:softHyphen/>
      </w:r>
      <w:r w:rsidRPr="0093350D">
        <w:rPr>
          <w:color w:val="000000"/>
        </w:rPr>
        <w:t>buches</w:t>
      </w:r>
      <w:r>
        <w:rPr>
          <w:color w:val="000000"/>
        </w:rPr>
        <w:t> </w:t>
      </w:r>
      <w:r w:rsidRPr="0093350D">
        <w:rPr>
          <w:color w:val="000000"/>
        </w:rPr>
        <w:t>1992 erwähnten wissenschaftlichen Einrichtungen</w:t>
      </w:r>
      <w:r w:rsidRPr="00CF1706">
        <w:rPr>
          <w:color w:val="000000"/>
        </w:rPr>
        <w:t>,</w:t>
      </w:r>
    </w:p>
    <w:p w14:paraId="5AD06B10" w14:textId="77777777" w:rsidR="005A5BD5" w:rsidRPr="00CF1706" w:rsidRDefault="005A5BD5" w:rsidP="005A5BD5">
      <w:pPr>
        <w:jc w:val="both"/>
        <w:rPr>
          <w:color w:val="000000"/>
        </w:rPr>
      </w:pPr>
    </w:p>
    <w:p w14:paraId="08A83403" w14:textId="77777777" w:rsidR="005A5BD5" w:rsidRPr="00CF1706" w:rsidRDefault="005A5BD5" w:rsidP="005A5BD5">
      <w:pPr>
        <w:jc w:val="both"/>
        <w:rPr>
          <w:color w:val="000000"/>
        </w:rPr>
      </w:pPr>
      <w:r w:rsidRPr="00CF1706">
        <w:rPr>
          <w:color w:val="000000"/>
        </w:rPr>
        <w:t xml:space="preserve">- den Königlichen Erlass vom 10. September 2010 </w:t>
      </w:r>
      <w:r w:rsidRPr="004B3893">
        <w:rPr>
          <w:color w:val="000000"/>
        </w:rPr>
        <w:t>zur Abänderung des KE/EStGB</w:t>
      </w:r>
      <w:r>
        <w:rPr>
          <w:color w:val="000000"/>
        </w:rPr>
        <w:t> </w:t>
      </w:r>
      <w:r w:rsidRPr="004B3893">
        <w:rPr>
          <w:color w:val="000000"/>
        </w:rPr>
        <w:t>92 hinsichtlich der Steuerermäßigung für Ausgaben zur Energieeinsparung in einer Wohnung</w:t>
      </w:r>
      <w:r w:rsidRPr="00CF1706">
        <w:rPr>
          <w:color w:val="000000"/>
        </w:rPr>
        <w:t>,</w:t>
      </w:r>
    </w:p>
    <w:p w14:paraId="37DFF97C" w14:textId="77777777" w:rsidR="005A5BD5" w:rsidRPr="00CF1706" w:rsidRDefault="005A5BD5" w:rsidP="005A5BD5">
      <w:pPr>
        <w:jc w:val="both"/>
        <w:rPr>
          <w:color w:val="000000"/>
        </w:rPr>
      </w:pPr>
    </w:p>
    <w:p w14:paraId="2672CBD6" w14:textId="77777777" w:rsidR="005A5BD5" w:rsidRPr="00CF1706" w:rsidRDefault="005A5BD5" w:rsidP="005A5BD5">
      <w:pPr>
        <w:jc w:val="both"/>
        <w:rPr>
          <w:color w:val="000000"/>
        </w:rPr>
      </w:pPr>
      <w:r w:rsidRPr="00CF1706">
        <w:rPr>
          <w:color w:val="000000"/>
        </w:rPr>
        <w:t xml:space="preserve">- den Königlichen Erlass vom 1. Dezember 2010 </w:t>
      </w:r>
      <w:r w:rsidRPr="004B3893">
        <w:rPr>
          <w:color w:val="000000"/>
        </w:rPr>
        <w:t>zur Abänderung des KE/EStGB</w:t>
      </w:r>
      <w:r>
        <w:rPr>
          <w:color w:val="000000"/>
        </w:rPr>
        <w:t> </w:t>
      </w:r>
      <w:r w:rsidRPr="004B3893">
        <w:rPr>
          <w:color w:val="000000"/>
        </w:rPr>
        <w:t>92 hinsichtlich des Berufssteuervorabzugs</w:t>
      </w:r>
      <w:r w:rsidRPr="00CF1706">
        <w:rPr>
          <w:color w:val="000000"/>
        </w:rPr>
        <w:t>,</w:t>
      </w:r>
    </w:p>
    <w:p w14:paraId="1D0296A7" w14:textId="77777777" w:rsidR="005A5BD5" w:rsidRDefault="005A5BD5" w:rsidP="005A5BD5">
      <w:pPr>
        <w:jc w:val="both"/>
        <w:rPr>
          <w:color w:val="000000"/>
        </w:rPr>
      </w:pPr>
    </w:p>
    <w:p w14:paraId="075A4A35" w14:textId="77777777" w:rsidR="005A5BD5" w:rsidRPr="00CF1706" w:rsidRDefault="005A5BD5" w:rsidP="005A5BD5">
      <w:pPr>
        <w:jc w:val="both"/>
        <w:rPr>
          <w:color w:val="000000"/>
        </w:rPr>
      </w:pPr>
      <w:r w:rsidRPr="00CF1706">
        <w:rPr>
          <w:color w:val="000000"/>
        </w:rPr>
        <w:t>- das Gesetz vom 13. Dezember 2010 zur Abänderung des Gesetzes vom 21. März 1991 zur Umstrukturierung bestimmter öffentlicher Wirtschaftsunternehmen, des Gesetzes vom 17. Januar 2003 über das Statut der Regulierungsinstanz des belgischen Post- und Telekommunikationssektors und des Gesetzes vom 9. Juli 2001 zur Festlegung bestimmter Regeln in Bezug auf rechtliche Rahmenbedingungen für elektronische Signaturen und Zertifizierungsdienste,</w:t>
      </w:r>
    </w:p>
    <w:p w14:paraId="2DDD75F2" w14:textId="77777777" w:rsidR="005A5BD5" w:rsidRPr="00CF1706" w:rsidRDefault="005A5BD5" w:rsidP="005A5BD5">
      <w:pPr>
        <w:jc w:val="both"/>
        <w:rPr>
          <w:color w:val="000000"/>
        </w:rPr>
      </w:pPr>
    </w:p>
    <w:p w14:paraId="2402A294" w14:textId="77777777" w:rsidR="005A5BD5" w:rsidRPr="00CF1706" w:rsidRDefault="005A5BD5" w:rsidP="005A5BD5">
      <w:pPr>
        <w:jc w:val="both"/>
        <w:rPr>
          <w:color w:val="000000"/>
        </w:rPr>
      </w:pPr>
      <w:r w:rsidRPr="00CF1706">
        <w:rPr>
          <w:color w:val="000000"/>
        </w:rPr>
        <w:t xml:space="preserve">- den Königlichen Erlass vom 14. Dezember 2010 </w:t>
      </w:r>
      <w:r w:rsidRPr="006828A9">
        <w:rPr>
          <w:color w:val="000000"/>
        </w:rPr>
        <w:t>zur Abänderung des KE/EStGB</w:t>
      </w:r>
      <w:r>
        <w:rPr>
          <w:color w:val="000000"/>
        </w:rPr>
        <w:t> </w:t>
      </w:r>
      <w:r w:rsidRPr="006828A9">
        <w:rPr>
          <w:color w:val="000000"/>
        </w:rPr>
        <w:t>92 hinsichtlich des Investitionsabzugs in Bezug auf die Absicherung von Betriebsfahrzeugen</w:t>
      </w:r>
      <w:r w:rsidRPr="00CF1706">
        <w:rPr>
          <w:color w:val="000000"/>
        </w:rPr>
        <w:t>,</w:t>
      </w:r>
    </w:p>
    <w:p w14:paraId="1423BD31" w14:textId="77777777" w:rsidR="005A5BD5" w:rsidRPr="00CF1706" w:rsidRDefault="005A5BD5" w:rsidP="005A5BD5">
      <w:pPr>
        <w:jc w:val="both"/>
        <w:rPr>
          <w:color w:val="000000"/>
        </w:rPr>
      </w:pPr>
    </w:p>
    <w:p w14:paraId="3A1DC7D5" w14:textId="77777777" w:rsidR="005A5BD5" w:rsidRPr="00CF1706" w:rsidRDefault="005A5BD5" w:rsidP="005A5BD5">
      <w:pPr>
        <w:jc w:val="both"/>
        <w:rPr>
          <w:color w:val="000000"/>
        </w:rPr>
      </w:pPr>
      <w:r w:rsidRPr="00CF1706">
        <w:rPr>
          <w:color w:val="000000"/>
        </w:rPr>
        <w:lastRenderedPageBreak/>
        <w:t xml:space="preserve">- den Königlichen Erlass vom 22. Dezember 2010 </w:t>
      </w:r>
      <w:r w:rsidRPr="00874E12">
        <w:rPr>
          <w:color w:val="000000"/>
        </w:rPr>
        <w:t>zur Ausführung von Artikel</w:t>
      </w:r>
      <w:r>
        <w:rPr>
          <w:color w:val="000000"/>
        </w:rPr>
        <w:t> </w:t>
      </w:r>
      <w:r w:rsidRPr="00874E12">
        <w:rPr>
          <w:color w:val="000000"/>
        </w:rPr>
        <w:t>394 §</w:t>
      </w:r>
      <w:r>
        <w:rPr>
          <w:color w:val="000000"/>
        </w:rPr>
        <w:t> </w:t>
      </w:r>
      <w:r w:rsidRPr="00874E12">
        <w:rPr>
          <w:color w:val="000000"/>
        </w:rPr>
        <w:t>4 des Einkommensteuergesetzbuches</w:t>
      </w:r>
      <w:r>
        <w:rPr>
          <w:color w:val="000000"/>
        </w:rPr>
        <w:t> </w:t>
      </w:r>
      <w:r w:rsidRPr="00874E12">
        <w:rPr>
          <w:color w:val="000000"/>
        </w:rPr>
        <w:t>1992</w:t>
      </w:r>
      <w:r w:rsidRPr="00CF1706">
        <w:rPr>
          <w:color w:val="000000"/>
        </w:rPr>
        <w:t xml:space="preserve"> </w:t>
      </w:r>
      <w:r w:rsidRPr="00CF1706">
        <w:rPr>
          <w:i/>
          <w:color w:val="000000"/>
        </w:rPr>
        <w:t>(I)</w:t>
      </w:r>
      <w:r w:rsidRPr="00CF1706">
        <w:rPr>
          <w:color w:val="000000"/>
        </w:rPr>
        <w:t>,</w:t>
      </w:r>
    </w:p>
    <w:p w14:paraId="238817B6" w14:textId="77777777" w:rsidR="005A5BD5" w:rsidRPr="00CF1706" w:rsidRDefault="005A5BD5" w:rsidP="005A5BD5">
      <w:pPr>
        <w:jc w:val="both"/>
        <w:rPr>
          <w:color w:val="000000"/>
        </w:rPr>
      </w:pPr>
    </w:p>
    <w:p w14:paraId="37027915" w14:textId="77777777" w:rsidR="005A5BD5" w:rsidRPr="00CF1706" w:rsidRDefault="005A5BD5" w:rsidP="005A5BD5">
      <w:pPr>
        <w:jc w:val="both"/>
        <w:rPr>
          <w:color w:val="000000"/>
        </w:rPr>
      </w:pPr>
      <w:r w:rsidRPr="00CF1706">
        <w:rPr>
          <w:color w:val="000000"/>
        </w:rPr>
        <w:t xml:space="preserve">- den Königlichen Erlass vom 22. Dezember 2010 </w:t>
      </w:r>
      <w:r w:rsidRPr="00874E12">
        <w:rPr>
          <w:color w:val="000000"/>
        </w:rPr>
        <w:t>zur Abänderung des KE/EStGB</w:t>
      </w:r>
      <w:r>
        <w:rPr>
          <w:color w:val="000000"/>
        </w:rPr>
        <w:t> </w:t>
      </w:r>
      <w:r w:rsidRPr="00874E12">
        <w:rPr>
          <w:color w:val="000000"/>
        </w:rPr>
        <w:t>92 hinsichtlich der Festlegung des Besteuerungszeitraums</w:t>
      </w:r>
      <w:r w:rsidRPr="00CF1706">
        <w:rPr>
          <w:color w:val="000000"/>
        </w:rPr>
        <w:t xml:space="preserve"> </w:t>
      </w:r>
      <w:r w:rsidRPr="00CF1706">
        <w:rPr>
          <w:i/>
          <w:color w:val="000000"/>
        </w:rPr>
        <w:t>(II)</w:t>
      </w:r>
      <w:r w:rsidRPr="00CF1706">
        <w:rPr>
          <w:color w:val="000000"/>
        </w:rPr>
        <w:t>,</w:t>
      </w:r>
    </w:p>
    <w:p w14:paraId="74EBFDE8" w14:textId="77777777" w:rsidR="005A5BD5" w:rsidRPr="00CF1706" w:rsidRDefault="005A5BD5" w:rsidP="005A5BD5">
      <w:pPr>
        <w:jc w:val="both"/>
        <w:rPr>
          <w:color w:val="000000"/>
        </w:rPr>
      </w:pPr>
    </w:p>
    <w:p w14:paraId="1C78A0F9" w14:textId="77777777" w:rsidR="005A5BD5" w:rsidRPr="00CF1706" w:rsidRDefault="005A5BD5" w:rsidP="005A5BD5">
      <w:pPr>
        <w:jc w:val="both"/>
        <w:rPr>
          <w:color w:val="000000"/>
        </w:rPr>
      </w:pPr>
      <w:r w:rsidRPr="00CF1706">
        <w:rPr>
          <w:color w:val="000000"/>
        </w:rPr>
        <w:t xml:space="preserve">- den Königlichen Erlass vom 7. Februar 2011 </w:t>
      </w:r>
      <w:r w:rsidRPr="00874E12">
        <w:rPr>
          <w:color w:val="000000"/>
        </w:rPr>
        <w:t>zur Abänderung des KE/EStGB</w:t>
      </w:r>
      <w:r>
        <w:rPr>
          <w:color w:val="000000"/>
        </w:rPr>
        <w:t> </w:t>
      </w:r>
      <w:r w:rsidRPr="00874E12">
        <w:rPr>
          <w:color w:val="000000"/>
        </w:rPr>
        <w:t>92 hinsichtlich der Vorteile jeglicher Art</w:t>
      </w:r>
      <w:r w:rsidRPr="00CF1706">
        <w:rPr>
          <w:color w:val="000000"/>
        </w:rPr>
        <w:t>,</w:t>
      </w:r>
    </w:p>
    <w:p w14:paraId="5AC43551" w14:textId="77777777" w:rsidR="005A5BD5" w:rsidRPr="00CF1706" w:rsidRDefault="005A5BD5" w:rsidP="005A5BD5">
      <w:pPr>
        <w:jc w:val="both"/>
        <w:rPr>
          <w:color w:val="000000"/>
        </w:rPr>
      </w:pPr>
    </w:p>
    <w:p w14:paraId="343E3B7E" w14:textId="77777777" w:rsidR="005A5BD5" w:rsidRPr="00CF1706" w:rsidRDefault="005A5BD5" w:rsidP="005A5BD5">
      <w:pPr>
        <w:jc w:val="both"/>
        <w:rPr>
          <w:color w:val="000000"/>
        </w:rPr>
      </w:pPr>
      <w:r w:rsidRPr="00CF1706">
        <w:rPr>
          <w:color w:val="000000"/>
        </w:rPr>
        <w:t xml:space="preserve">- den Königlichen Erlass vom 9. Februar 2011 </w:t>
      </w:r>
      <w:r w:rsidRPr="00874E12">
        <w:rPr>
          <w:color w:val="000000"/>
        </w:rPr>
        <w:t>zur Abänderung des KE/EStGB</w:t>
      </w:r>
      <w:r>
        <w:rPr>
          <w:color w:val="000000"/>
        </w:rPr>
        <w:t> </w:t>
      </w:r>
      <w:r w:rsidRPr="00874E12">
        <w:rPr>
          <w:color w:val="000000"/>
        </w:rPr>
        <w:t>92 hinsichtlich des Neubewertungskoeffizienten für Katastereinkommen</w:t>
      </w:r>
      <w:r w:rsidRPr="00CF1706">
        <w:rPr>
          <w:color w:val="000000"/>
        </w:rPr>
        <w:t>,</w:t>
      </w:r>
    </w:p>
    <w:p w14:paraId="527D2D29" w14:textId="77777777" w:rsidR="005A5BD5" w:rsidRPr="00CF1706" w:rsidRDefault="005A5BD5" w:rsidP="005A5BD5">
      <w:pPr>
        <w:jc w:val="both"/>
        <w:rPr>
          <w:color w:val="000000"/>
        </w:rPr>
      </w:pPr>
    </w:p>
    <w:p w14:paraId="273A5650" w14:textId="77777777" w:rsidR="005A5BD5" w:rsidRPr="00CF1706" w:rsidRDefault="005A5BD5" w:rsidP="005A5BD5">
      <w:pPr>
        <w:jc w:val="both"/>
        <w:rPr>
          <w:color w:val="000000"/>
        </w:rPr>
      </w:pPr>
      <w:r w:rsidRPr="00CF1706">
        <w:rPr>
          <w:color w:val="000000"/>
        </w:rPr>
        <w:t xml:space="preserve">- den Königlichen Erlass vom 21. Februar 2011 </w:t>
      </w:r>
      <w:r w:rsidRPr="007F7E89">
        <w:rPr>
          <w:color w:val="000000"/>
        </w:rPr>
        <w:t>zur Abänderung des KE/EStGB</w:t>
      </w:r>
      <w:r>
        <w:rPr>
          <w:color w:val="000000"/>
        </w:rPr>
        <w:t> </w:t>
      </w:r>
      <w:r w:rsidRPr="007F7E89">
        <w:rPr>
          <w:color w:val="000000"/>
        </w:rPr>
        <w:t>92 hinsichtlich des Abzugs von Ausgaben für Instandhaltung und Restaurierung von unbeweglichen Gütern, die unter Denkmalschutz stehen, und hinsichtlich der Zulassung der Einrichtungen, die unentgeltliche Zuwendungen empfangen dürfen</w:t>
      </w:r>
      <w:r w:rsidRPr="00CF1706">
        <w:rPr>
          <w:color w:val="000000"/>
        </w:rPr>
        <w:t>,</w:t>
      </w:r>
    </w:p>
    <w:p w14:paraId="040DFB6E" w14:textId="77777777" w:rsidR="005A5BD5" w:rsidRPr="00CF1706" w:rsidRDefault="005A5BD5" w:rsidP="005A5BD5">
      <w:pPr>
        <w:jc w:val="both"/>
        <w:rPr>
          <w:color w:val="000000"/>
        </w:rPr>
      </w:pPr>
    </w:p>
    <w:p w14:paraId="27735F90" w14:textId="77777777" w:rsidR="005A5BD5" w:rsidRPr="00CF1706" w:rsidRDefault="005A5BD5" w:rsidP="005A5BD5">
      <w:pPr>
        <w:jc w:val="both"/>
        <w:rPr>
          <w:color w:val="000000"/>
        </w:rPr>
      </w:pPr>
      <w:r w:rsidRPr="00CF1706">
        <w:rPr>
          <w:color w:val="000000"/>
        </w:rPr>
        <w:t>- den Königlichen Erlass vom 28. Februar 2011 zur Abänderung des KE/EStGB 92 hinsichtlich des Berufssteuervorabzugs,</w:t>
      </w:r>
    </w:p>
    <w:p w14:paraId="1025DE6C" w14:textId="77777777" w:rsidR="005A5BD5" w:rsidRPr="00CF1706" w:rsidRDefault="005A5BD5" w:rsidP="005A5BD5">
      <w:pPr>
        <w:jc w:val="both"/>
        <w:rPr>
          <w:color w:val="000000"/>
        </w:rPr>
      </w:pPr>
    </w:p>
    <w:p w14:paraId="17D2972D" w14:textId="77777777" w:rsidR="005A5BD5" w:rsidRPr="00CF1706" w:rsidRDefault="005A5BD5" w:rsidP="005A5BD5">
      <w:pPr>
        <w:jc w:val="both"/>
        <w:rPr>
          <w:color w:val="000000"/>
        </w:rPr>
      </w:pPr>
      <w:r w:rsidRPr="00CF1706">
        <w:rPr>
          <w:color w:val="000000"/>
        </w:rPr>
        <w:t>- den Königlichen Erlass vom 3. März 2011 über die Entwicklung der Aufsichtsstruktur für den Finanzsektor (</w:t>
      </w:r>
      <w:r w:rsidRPr="00CF1706">
        <w:rPr>
          <w:i/>
          <w:color w:val="000000"/>
        </w:rPr>
        <w:t>Belgisches Staatsblatt</w:t>
      </w:r>
      <w:r w:rsidRPr="00CF1706">
        <w:rPr>
          <w:color w:val="000000"/>
        </w:rPr>
        <w:t xml:space="preserve"> vom 23. Juni 2011)</w:t>
      </w:r>
      <w:r>
        <w:rPr>
          <w:color w:val="000000"/>
        </w:rPr>
        <w:t>,</w:t>
      </w:r>
    </w:p>
    <w:p w14:paraId="04FE46D5" w14:textId="77777777" w:rsidR="005A5BD5" w:rsidRPr="00CF1706" w:rsidRDefault="005A5BD5" w:rsidP="005A5BD5">
      <w:pPr>
        <w:jc w:val="both"/>
        <w:rPr>
          <w:color w:val="000000"/>
        </w:rPr>
      </w:pPr>
    </w:p>
    <w:p w14:paraId="29F016AC" w14:textId="77777777" w:rsidR="005A5BD5" w:rsidRPr="00CF1706" w:rsidRDefault="005A5BD5" w:rsidP="005A5BD5">
      <w:pPr>
        <w:jc w:val="both"/>
        <w:rPr>
          <w:color w:val="000000"/>
        </w:rPr>
      </w:pPr>
      <w:r w:rsidRPr="00CF1706">
        <w:rPr>
          <w:color w:val="000000"/>
        </w:rPr>
        <w:t>- den Königlichen Erlass vom 15. März 2011 zur Abänderung des Königlichen Erlasses vom 28. Februar 2011 zur Abänderung des KE/EStGB 92 hinsichtlich des Berufssteuervorabzugs,</w:t>
      </w:r>
    </w:p>
    <w:p w14:paraId="7AA28E49" w14:textId="77777777" w:rsidR="005A5BD5" w:rsidRPr="00CF1706" w:rsidRDefault="005A5BD5" w:rsidP="005A5BD5">
      <w:pPr>
        <w:jc w:val="both"/>
        <w:rPr>
          <w:color w:val="000000"/>
        </w:rPr>
      </w:pPr>
    </w:p>
    <w:p w14:paraId="49398380" w14:textId="77777777" w:rsidR="005A5BD5" w:rsidRPr="00CF1706" w:rsidRDefault="005A5BD5" w:rsidP="005A5BD5">
      <w:pPr>
        <w:jc w:val="both"/>
        <w:rPr>
          <w:color w:val="000000"/>
        </w:rPr>
      </w:pPr>
      <w:r w:rsidRPr="00CF1706">
        <w:rPr>
          <w:color w:val="000000"/>
        </w:rPr>
        <w:t xml:space="preserve">- den Königlichen Erlass vom 18. März 2011 </w:t>
      </w:r>
      <w:r w:rsidRPr="00A33E17">
        <w:rPr>
          <w:color w:val="000000"/>
        </w:rPr>
        <w:t>zur Abänderung von Artikel</w:t>
      </w:r>
      <w:r>
        <w:rPr>
          <w:color w:val="000000"/>
        </w:rPr>
        <w:t> </w:t>
      </w:r>
      <w:r w:rsidRPr="00A33E17">
        <w:rPr>
          <w:color w:val="000000"/>
        </w:rPr>
        <w:t>164 des König</w:t>
      </w:r>
      <w:r>
        <w:rPr>
          <w:color w:val="000000"/>
        </w:rPr>
        <w:softHyphen/>
      </w:r>
      <w:r w:rsidRPr="00A33E17">
        <w:rPr>
          <w:color w:val="000000"/>
        </w:rPr>
        <w:t>lichen Erlasses zur Ausführung des Einkommensteuergesetzbuches</w:t>
      </w:r>
      <w:r>
        <w:rPr>
          <w:color w:val="000000"/>
        </w:rPr>
        <w:t> </w:t>
      </w:r>
      <w:r w:rsidRPr="00A33E17">
        <w:rPr>
          <w:color w:val="000000"/>
        </w:rPr>
        <w:t>1992 hinsichtlich der Pfändungsmeldung</w:t>
      </w:r>
      <w:r w:rsidRPr="00CF1706">
        <w:rPr>
          <w:color w:val="000000"/>
        </w:rPr>
        <w:t>,</w:t>
      </w:r>
    </w:p>
    <w:p w14:paraId="3E769E71" w14:textId="77777777" w:rsidR="005A5BD5" w:rsidRPr="00CF1706" w:rsidRDefault="005A5BD5" w:rsidP="005A5BD5">
      <w:pPr>
        <w:jc w:val="both"/>
        <w:rPr>
          <w:color w:val="000000"/>
        </w:rPr>
      </w:pPr>
    </w:p>
    <w:p w14:paraId="67A91FD4" w14:textId="77777777" w:rsidR="005A5BD5" w:rsidRPr="00CF1706" w:rsidRDefault="005A5BD5" w:rsidP="005A5BD5">
      <w:pPr>
        <w:jc w:val="both"/>
        <w:rPr>
          <w:color w:val="000000"/>
        </w:rPr>
      </w:pPr>
      <w:r w:rsidRPr="00CF1706">
        <w:rPr>
          <w:color w:val="000000"/>
        </w:rPr>
        <w:t xml:space="preserve">- den Königlichen Erlass vom 23. März 2011 </w:t>
      </w:r>
      <w:r w:rsidRPr="00A33E17">
        <w:rPr>
          <w:color w:val="000000"/>
        </w:rPr>
        <w:t>zur Abänderung von Artikel</w:t>
      </w:r>
      <w:r>
        <w:rPr>
          <w:color w:val="000000"/>
        </w:rPr>
        <w:t> </w:t>
      </w:r>
      <w:r w:rsidRPr="00A33E17">
        <w:rPr>
          <w:color w:val="000000"/>
        </w:rPr>
        <w:t>178 des KE/EStGB</w:t>
      </w:r>
      <w:r>
        <w:rPr>
          <w:color w:val="000000"/>
        </w:rPr>
        <w:t> </w:t>
      </w:r>
      <w:r w:rsidRPr="00A33E17">
        <w:rPr>
          <w:color w:val="000000"/>
        </w:rPr>
        <w:t>92 hinsichtlich des Vorschlags der vereinfachten Erklärung</w:t>
      </w:r>
      <w:r>
        <w:rPr>
          <w:color w:val="000000"/>
        </w:rPr>
        <w:t>,</w:t>
      </w:r>
    </w:p>
    <w:p w14:paraId="5E36EC7E" w14:textId="77777777" w:rsidR="005A5BD5" w:rsidRPr="00CF1706" w:rsidRDefault="005A5BD5" w:rsidP="005A5BD5">
      <w:pPr>
        <w:jc w:val="both"/>
        <w:rPr>
          <w:color w:val="000000"/>
        </w:rPr>
      </w:pPr>
    </w:p>
    <w:p w14:paraId="7C1B8DDD" w14:textId="77777777" w:rsidR="005A5BD5" w:rsidRPr="00CF1706" w:rsidRDefault="005A5BD5" w:rsidP="005A5BD5">
      <w:pPr>
        <w:jc w:val="both"/>
        <w:rPr>
          <w:color w:val="000000"/>
        </w:rPr>
      </w:pPr>
      <w:r w:rsidRPr="00CF1706">
        <w:rPr>
          <w:color w:val="000000"/>
        </w:rPr>
        <w:t xml:space="preserve">- den Königlichen Erlass vom 26. September 2011 </w:t>
      </w:r>
      <w:r w:rsidRPr="004C4B80">
        <w:rPr>
          <w:color w:val="000000"/>
        </w:rPr>
        <w:t>zur Ergänzung von Artikel</w:t>
      </w:r>
      <w:r>
        <w:rPr>
          <w:color w:val="000000"/>
        </w:rPr>
        <w:t> </w:t>
      </w:r>
      <w:r w:rsidRPr="004C4B80">
        <w:rPr>
          <w:color w:val="000000"/>
        </w:rPr>
        <w:t>133 des KE/EStGB</w:t>
      </w:r>
      <w:r>
        <w:rPr>
          <w:color w:val="000000"/>
        </w:rPr>
        <w:t> </w:t>
      </w:r>
      <w:r w:rsidRPr="004C4B80">
        <w:rPr>
          <w:color w:val="000000"/>
        </w:rPr>
        <w:t>92 hinsichtlich der unbeweglichen Güter, die mehreren Eigentümern in ungeteilter Rechtsgemeinschaft gehören</w:t>
      </w:r>
      <w:r>
        <w:rPr>
          <w:color w:val="000000"/>
        </w:rPr>
        <w:t>,</w:t>
      </w:r>
    </w:p>
    <w:p w14:paraId="481E4D4C" w14:textId="77777777" w:rsidR="005A5BD5" w:rsidRPr="00CF1706" w:rsidRDefault="005A5BD5" w:rsidP="005A5BD5">
      <w:pPr>
        <w:jc w:val="both"/>
        <w:rPr>
          <w:color w:val="000000"/>
        </w:rPr>
      </w:pPr>
    </w:p>
    <w:p w14:paraId="4D8839BF" w14:textId="77777777" w:rsidR="005A5BD5" w:rsidRPr="00CF1706" w:rsidRDefault="005A5BD5" w:rsidP="005A5BD5">
      <w:pPr>
        <w:jc w:val="both"/>
        <w:rPr>
          <w:color w:val="000000"/>
        </w:rPr>
      </w:pPr>
      <w:r w:rsidRPr="00CF1706">
        <w:rPr>
          <w:color w:val="000000"/>
        </w:rPr>
        <w:t xml:space="preserve">- den Königlichen Erlass vom 5. Dezember 2011 </w:t>
      </w:r>
      <w:r w:rsidRPr="004C4B80">
        <w:rPr>
          <w:color w:val="000000"/>
        </w:rPr>
        <w:t>zur Abänderung des KE/EStGB</w:t>
      </w:r>
      <w:r>
        <w:rPr>
          <w:color w:val="000000"/>
        </w:rPr>
        <w:t> </w:t>
      </w:r>
      <w:r w:rsidRPr="004C4B80">
        <w:rPr>
          <w:color w:val="000000"/>
        </w:rPr>
        <w:t>92 hinsichtlich des Berufssteuervorabzugs</w:t>
      </w:r>
      <w:r w:rsidRPr="00CF1706">
        <w:rPr>
          <w:color w:val="000000"/>
        </w:rPr>
        <w:t xml:space="preserve"> </w:t>
      </w:r>
      <w:r w:rsidRPr="00CF1706">
        <w:rPr>
          <w:i/>
          <w:color w:val="000000"/>
        </w:rPr>
        <w:t>(I)</w:t>
      </w:r>
      <w:r w:rsidRPr="00CF1706">
        <w:rPr>
          <w:color w:val="000000"/>
        </w:rPr>
        <w:t>,</w:t>
      </w:r>
    </w:p>
    <w:p w14:paraId="7E1C25C1" w14:textId="77777777" w:rsidR="005A5BD5" w:rsidRDefault="005A5BD5" w:rsidP="005A5BD5">
      <w:pPr>
        <w:jc w:val="both"/>
        <w:rPr>
          <w:color w:val="000000"/>
        </w:rPr>
      </w:pPr>
    </w:p>
    <w:p w14:paraId="18E1675C" w14:textId="77777777" w:rsidR="005A5BD5" w:rsidRPr="00CF1706" w:rsidRDefault="005A5BD5" w:rsidP="005A5BD5">
      <w:pPr>
        <w:jc w:val="both"/>
        <w:rPr>
          <w:color w:val="000000"/>
        </w:rPr>
      </w:pPr>
      <w:r w:rsidRPr="00CF1706">
        <w:rPr>
          <w:color w:val="000000"/>
        </w:rPr>
        <w:t xml:space="preserve">- den Königlichen Erlass vom 5. Dezember 2011 </w:t>
      </w:r>
      <w:r w:rsidRPr="008861BC">
        <w:rPr>
          <w:color w:val="000000"/>
        </w:rPr>
        <w:t>zur Festlegung verschiedener Bestimmungen zur Abänderung des KE/EStGB</w:t>
      </w:r>
      <w:r>
        <w:rPr>
          <w:color w:val="000000"/>
        </w:rPr>
        <w:t> </w:t>
      </w:r>
      <w:r w:rsidRPr="008861BC">
        <w:rPr>
          <w:color w:val="000000"/>
        </w:rPr>
        <w:t xml:space="preserve">92 </w:t>
      </w:r>
      <w:r w:rsidRPr="00CF1706">
        <w:rPr>
          <w:i/>
          <w:color w:val="000000"/>
        </w:rPr>
        <w:t>(II)</w:t>
      </w:r>
      <w:r w:rsidRPr="00CF1706">
        <w:rPr>
          <w:color w:val="000000"/>
        </w:rPr>
        <w:t>,</w:t>
      </w:r>
    </w:p>
    <w:p w14:paraId="1A46ECD8" w14:textId="77777777" w:rsidR="005A5BD5" w:rsidRPr="00CF1706" w:rsidRDefault="005A5BD5" w:rsidP="005A5BD5">
      <w:pPr>
        <w:jc w:val="both"/>
        <w:rPr>
          <w:color w:val="000000"/>
        </w:rPr>
      </w:pPr>
    </w:p>
    <w:p w14:paraId="2DF8EBB1" w14:textId="77777777" w:rsidR="005A5BD5" w:rsidRPr="00CF1706" w:rsidRDefault="005A5BD5" w:rsidP="005A5BD5">
      <w:pPr>
        <w:jc w:val="both"/>
        <w:rPr>
          <w:color w:val="000000"/>
        </w:rPr>
      </w:pPr>
      <w:r w:rsidRPr="00CF1706">
        <w:rPr>
          <w:color w:val="000000"/>
        </w:rPr>
        <w:t xml:space="preserve">- den Königlichen Erlass vom 23. Februar 2012 </w:t>
      </w:r>
      <w:r>
        <w:rPr>
          <w:color w:val="000000"/>
        </w:rPr>
        <w:t>zur Abänderung von Artikel </w:t>
      </w:r>
      <w:r w:rsidRPr="009E4F2E">
        <w:rPr>
          <w:color w:val="000000"/>
        </w:rPr>
        <w:t>18 §</w:t>
      </w:r>
      <w:r>
        <w:rPr>
          <w:color w:val="000000"/>
        </w:rPr>
        <w:t> </w:t>
      </w:r>
      <w:r w:rsidRPr="009E4F2E">
        <w:rPr>
          <w:color w:val="000000"/>
        </w:rPr>
        <w:t>3 des KE/EStGB</w:t>
      </w:r>
      <w:r>
        <w:rPr>
          <w:color w:val="000000"/>
        </w:rPr>
        <w:t> </w:t>
      </w:r>
      <w:r w:rsidRPr="009E4F2E">
        <w:rPr>
          <w:color w:val="000000"/>
        </w:rPr>
        <w:t>92 hinsichtlich der Pauschalveranschlagung von Vorteilen jeglicher Art für die kostenlose Verfügung über unbewegliche Güter und die kostenlose Versorgung mit Heizung und Strom</w:t>
      </w:r>
      <w:r w:rsidRPr="00CF1706">
        <w:rPr>
          <w:color w:val="000000"/>
        </w:rPr>
        <w:t>,</w:t>
      </w:r>
    </w:p>
    <w:p w14:paraId="4176BB3E" w14:textId="77777777" w:rsidR="005A5BD5" w:rsidRPr="00CF1706" w:rsidRDefault="005A5BD5" w:rsidP="005A5BD5">
      <w:pPr>
        <w:jc w:val="both"/>
        <w:rPr>
          <w:color w:val="000000"/>
        </w:rPr>
      </w:pPr>
    </w:p>
    <w:p w14:paraId="02FA207B" w14:textId="77777777" w:rsidR="005A5BD5" w:rsidRPr="00CF1706" w:rsidRDefault="005A5BD5" w:rsidP="005A5BD5">
      <w:pPr>
        <w:jc w:val="both"/>
        <w:rPr>
          <w:color w:val="000000"/>
        </w:rPr>
      </w:pPr>
      <w:r w:rsidRPr="00CF1706">
        <w:rPr>
          <w:color w:val="000000"/>
        </w:rPr>
        <w:t xml:space="preserve">- den Königlichen Erlass vom 4. März 2012 </w:t>
      </w:r>
      <w:r w:rsidRPr="009E4F2E">
        <w:rPr>
          <w:color w:val="000000"/>
        </w:rPr>
        <w:t>zur Abänderung des KE/EStGB</w:t>
      </w:r>
      <w:r>
        <w:rPr>
          <w:color w:val="000000"/>
        </w:rPr>
        <w:t> </w:t>
      </w:r>
      <w:r w:rsidRPr="009E4F2E">
        <w:rPr>
          <w:color w:val="000000"/>
        </w:rPr>
        <w:t>92 hinsichtlich der Vorteile jeglicher Art</w:t>
      </w:r>
      <w:r w:rsidRPr="00CF1706">
        <w:rPr>
          <w:color w:val="000000"/>
        </w:rPr>
        <w:t>,</w:t>
      </w:r>
    </w:p>
    <w:p w14:paraId="50BCB1D3" w14:textId="77777777" w:rsidR="005A5BD5" w:rsidRPr="00CF1706" w:rsidRDefault="005A5BD5" w:rsidP="005A5BD5">
      <w:pPr>
        <w:jc w:val="both"/>
        <w:rPr>
          <w:color w:val="000000"/>
        </w:rPr>
      </w:pPr>
    </w:p>
    <w:p w14:paraId="71FECCC2" w14:textId="77777777" w:rsidR="005A5BD5" w:rsidRPr="00CF1706" w:rsidRDefault="005A5BD5" w:rsidP="005A5BD5">
      <w:pPr>
        <w:jc w:val="both"/>
        <w:rPr>
          <w:color w:val="000000"/>
        </w:rPr>
      </w:pPr>
      <w:r w:rsidRPr="00CF1706">
        <w:rPr>
          <w:color w:val="000000"/>
        </w:rPr>
        <w:t xml:space="preserve">- den Königlichen Erlass vom 12. März 2012 </w:t>
      </w:r>
      <w:r w:rsidRPr="009E4F2E">
        <w:rPr>
          <w:color w:val="000000"/>
        </w:rPr>
        <w:t>zur Abänderung des KE/EStGB</w:t>
      </w:r>
      <w:r>
        <w:rPr>
          <w:color w:val="000000"/>
        </w:rPr>
        <w:t> </w:t>
      </w:r>
      <w:r w:rsidRPr="009E4F2E">
        <w:rPr>
          <w:color w:val="000000"/>
        </w:rPr>
        <w:t>92 hinsichtlich des Neubewertungskoeffizienten für Katastereinkommen</w:t>
      </w:r>
      <w:r w:rsidRPr="00CF1706">
        <w:rPr>
          <w:color w:val="000000"/>
        </w:rPr>
        <w:t>,</w:t>
      </w:r>
    </w:p>
    <w:p w14:paraId="57022EE7" w14:textId="77777777" w:rsidR="005A5BD5" w:rsidRPr="00CF1706" w:rsidRDefault="005A5BD5" w:rsidP="005A5BD5">
      <w:pPr>
        <w:jc w:val="both"/>
        <w:rPr>
          <w:color w:val="000000"/>
        </w:rPr>
      </w:pPr>
    </w:p>
    <w:p w14:paraId="09CE3AA6" w14:textId="77777777" w:rsidR="005A5BD5" w:rsidRPr="00CF1706" w:rsidRDefault="005A5BD5" w:rsidP="005A5BD5">
      <w:pPr>
        <w:jc w:val="both"/>
        <w:rPr>
          <w:color w:val="000000"/>
        </w:rPr>
      </w:pPr>
      <w:r w:rsidRPr="00CF1706">
        <w:rPr>
          <w:color w:val="000000"/>
        </w:rPr>
        <w:t xml:space="preserve">- den Königlichen Erlass vom 22. April 2012 </w:t>
      </w:r>
      <w:r w:rsidRPr="009E4F2E">
        <w:rPr>
          <w:color w:val="000000"/>
        </w:rPr>
        <w:t>zur Abänderung von Artikel</w:t>
      </w:r>
      <w:r>
        <w:rPr>
          <w:color w:val="000000"/>
        </w:rPr>
        <w:t> </w:t>
      </w:r>
      <w:r w:rsidRPr="009E4F2E">
        <w:rPr>
          <w:color w:val="000000"/>
        </w:rPr>
        <w:t>178 des KE/EStGB</w:t>
      </w:r>
      <w:r>
        <w:rPr>
          <w:color w:val="000000"/>
        </w:rPr>
        <w:t> </w:t>
      </w:r>
      <w:r w:rsidRPr="009E4F2E">
        <w:rPr>
          <w:color w:val="000000"/>
        </w:rPr>
        <w:t>92 hinsichtlich des Vorschlags der vereinfachten Erklärung</w:t>
      </w:r>
      <w:r w:rsidRPr="00CF1706">
        <w:rPr>
          <w:color w:val="000000"/>
        </w:rPr>
        <w:t>,</w:t>
      </w:r>
    </w:p>
    <w:p w14:paraId="47ACA6E7" w14:textId="77777777" w:rsidR="005A5BD5" w:rsidRPr="00CF1706" w:rsidRDefault="005A5BD5" w:rsidP="005A5BD5">
      <w:pPr>
        <w:jc w:val="both"/>
        <w:rPr>
          <w:color w:val="000000"/>
        </w:rPr>
      </w:pPr>
    </w:p>
    <w:p w14:paraId="458BD963" w14:textId="77777777" w:rsidR="005A5BD5" w:rsidRPr="00CF1706" w:rsidRDefault="005A5BD5" w:rsidP="005A5BD5">
      <w:pPr>
        <w:jc w:val="both"/>
        <w:rPr>
          <w:color w:val="000000"/>
        </w:rPr>
      </w:pPr>
      <w:r w:rsidRPr="00CF1706">
        <w:rPr>
          <w:color w:val="000000"/>
        </w:rPr>
        <w:t>- den Königlichen Erlass vom 6. Juni 2012 zur Abänderung des KE/EStGB 92 hinsichtlich des Berufssteuervorabzugs,</w:t>
      </w:r>
    </w:p>
    <w:p w14:paraId="211F9344" w14:textId="77777777" w:rsidR="005A5BD5" w:rsidRPr="00CF1706" w:rsidRDefault="005A5BD5" w:rsidP="005A5BD5">
      <w:pPr>
        <w:jc w:val="both"/>
        <w:rPr>
          <w:color w:val="000000"/>
        </w:rPr>
      </w:pPr>
    </w:p>
    <w:p w14:paraId="53616B8C" w14:textId="77777777" w:rsidR="005A5BD5" w:rsidRPr="00CF1706" w:rsidRDefault="005A5BD5" w:rsidP="005A5BD5">
      <w:pPr>
        <w:jc w:val="both"/>
        <w:rPr>
          <w:color w:val="000000"/>
        </w:rPr>
      </w:pPr>
      <w:r w:rsidRPr="00CF1706">
        <w:rPr>
          <w:color w:val="000000"/>
        </w:rPr>
        <w:t xml:space="preserve">- den Königlichen Erlass vom 15. Juni 2012 </w:t>
      </w:r>
      <w:r w:rsidRPr="006F4F97">
        <w:rPr>
          <w:color w:val="000000"/>
        </w:rPr>
        <w:t>zur Abänderung des KE/EStGB</w:t>
      </w:r>
      <w:r>
        <w:rPr>
          <w:color w:val="000000"/>
        </w:rPr>
        <w:t> </w:t>
      </w:r>
      <w:r w:rsidRPr="006F4F97">
        <w:rPr>
          <w:color w:val="000000"/>
        </w:rPr>
        <w:t>92 hinsichtlich der Abschaffung der Bedingung in Bezug auf die Registrierung als Unternehmer</w:t>
      </w:r>
      <w:r w:rsidRPr="00CF1706">
        <w:rPr>
          <w:color w:val="000000"/>
        </w:rPr>
        <w:t>,</w:t>
      </w:r>
    </w:p>
    <w:p w14:paraId="5B67BD83" w14:textId="77777777" w:rsidR="005A5BD5" w:rsidRPr="00CF1706" w:rsidRDefault="005A5BD5" w:rsidP="005A5BD5">
      <w:pPr>
        <w:jc w:val="both"/>
        <w:rPr>
          <w:color w:val="000000"/>
        </w:rPr>
      </w:pPr>
    </w:p>
    <w:p w14:paraId="35DE3AC2" w14:textId="77777777" w:rsidR="005A5BD5" w:rsidRPr="00CF1706" w:rsidRDefault="005A5BD5" w:rsidP="005A5BD5">
      <w:pPr>
        <w:jc w:val="both"/>
        <w:rPr>
          <w:color w:val="000000"/>
        </w:rPr>
      </w:pPr>
      <w:r w:rsidRPr="00CF1706">
        <w:rPr>
          <w:color w:val="000000"/>
        </w:rPr>
        <w:t xml:space="preserve">- den Königlichen Erlass vom 17. Juli 2012 </w:t>
      </w:r>
      <w:r w:rsidRPr="006F4F97">
        <w:rPr>
          <w:color w:val="000000"/>
        </w:rPr>
        <w:t>zur Abänderung des KE/EStGB</w:t>
      </w:r>
      <w:r>
        <w:rPr>
          <w:color w:val="000000"/>
        </w:rPr>
        <w:t> </w:t>
      </w:r>
      <w:r w:rsidRPr="006F4F97">
        <w:rPr>
          <w:color w:val="000000"/>
        </w:rPr>
        <w:t>92 hinsichtlich der Steuerbefreiung für Preise und Zuschüsse, die Wissenschaftlern, Schriftstellern oder Künstlern gezahlt oder zuerkannt werden</w:t>
      </w:r>
      <w:r w:rsidRPr="00CF1706">
        <w:rPr>
          <w:color w:val="000000"/>
        </w:rPr>
        <w:t>,</w:t>
      </w:r>
    </w:p>
    <w:p w14:paraId="2980FB18" w14:textId="77777777" w:rsidR="005A5BD5" w:rsidRPr="00CF1706" w:rsidRDefault="005A5BD5" w:rsidP="005A5BD5">
      <w:pPr>
        <w:jc w:val="both"/>
        <w:rPr>
          <w:color w:val="000000"/>
        </w:rPr>
      </w:pPr>
    </w:p>
    <w:p w14:paraId="542DA0A8" w14:textId="77777777" w:rsidR="005A5BD5" w:rsidRPr="00CF1706" w:rsidRDefault="005A5BD5" w:rsidP="005A5BD5">
      <w:pPr>
        <w:jc w:val="both"/>
        <w:rPr>
          <w:color w:val="000000"/>
        </w:rPr>
      </w:pPr>
      <w:r w:rsidRPr="00CF1706">
        <w:rPr>
          <w:color w:val="000000"/>
        </w:rPr>
        <w:t>- den Königlichen Erlass vom 11. Dezember 2012</w:t>
      </w:r>
      <w:r w:rsidRPr="006F4F97">
        <w:rPr>
          <w:color w:val="000000"/>
        </w:rPr>
        <w:t xml:space="preserve"> zur Abänderung des KE/EStGB</w:t>
      </w:r>
      <w:r>
        <w:rPr>
          <w:color w:val="000000"/>
        </w:rPr>
        <w:t> </w:t>
      </w:r>
      <w:r w:rsidRPr="006F4F97">
        <w:rPr>
          <w:color w:val="000000"/>
        </w:rPr>
        <w:t>92 hinsichtlich des Berufssteuervorabzugs</w:t>
      </w:r>
      <w:r w:rsidRPr="00CF1706">
        <w:rPr>
          <w:color w:val="000000"/>
        </w:rPr>
        <w:t>,</w:t>
      </w:r>
    </w:p>
    <w:p w14:paraId="75793E2C" w14:textId="77777777" w:rsidR="005A5BD5" w:rsidRPr="00CF1706" w:rsidRDefault="005A5BD5" w:rsidP="005A5BD5">
      <w:pPr>
        <w:jc w:val="both"/>
        <w:rPr>
          <w:color w:val="000000"/>
        </w:rPr>
      </w:pPr>
    </w:p>
    <w:p w14:paraId="47530277" w14:textId="77777777" w:rsidR="005A5BD5" w:rsidRPr="00CF1706" w:rsidRDefault="005A5BD5" w:rsidP="005A5BD5">
      <w:pPr>
        <w:jc w:val="both"/>
        <w:rPr>
          <w:color w:val="000000"/>
        </w:rPr>
      </w:pPr>
      <w:r w:rsidRPr="00CF1706">
        <w:rPr>
          <w:color w:val="000000"/>
        </w:rPr>
        <w:t xml:space="preserve">- den Königlichen Erlass vom 20. Dezember 2012 </w:t>
      </w:r>
      <w:r w:rsidRPr="00111EE9">
        <w:rPr>
          <w:color w:val="000000"/>
        </w:rPr>
        <w:t>zur A</w:t>
      </w:r>
      <w:r>
        <w:rPr>
          <w:color w:val="000000"/>
        </w:rPr>
        <w:t>npassung</w:t>
      </w:r>
      <w:r w:rsidRPr="00111EE9">
        <w:rPr>
          <w:color w:val="000000"/>
        </w:rPr>
        <w:t xml:space="preserve"> des KE/EStGB</w:t>
      </w:r>
      <w:r>
        <w:rPr>
          <w:color w:val="000000"/>
        </w:rPr>
        <w:t> </w:t>
      </w:r>
      <w:r w:rsidRPr="00111EE9">
        <w:rPr>
          <w:color w:val="000000"/>
        </w:rPr>
        <w:t xml:space="preserve">92 </w:t>
      </w:r>
      <w:r w:rsidRPr="000230EF">
        <w:rPr>
          <w:color w:val="000000"/>
        </w:rPr>
        <w:t>hinsichtlich des Verzichts auf die Einnahme des Mobiliensteuervorabzugs auf Dividenden, die gebietsfremden Pensionsfonds zuerkannt werden</w:t>
      </w:r>
      <w:r w:rsidRPr="00CF1706">
        <w:rPr>
          <w:color w:val="000000"/>
        </w:rPr>
        <w:t>,</w:t>
      </w:r>
    </w:p>
    <w:p w14:paraId="56925909" w14:textId="77777777" w:rsidR="005A5BD5" w:rsidRPr="00CF1706" w:rsidRDefault="005A5BD5" w:rsidP="005A5BD5">
      <w:pPr>
        <w:jc w:val="both"/>
        <w:rPr>
          <w:color w:val="000000"/>
        </w:rPr>
      </w:pPr>
    </w:p>
    <w:p w14:paraId="476E84E3" w14:textId="77777777" w:rsidR="005A5BD5" w:rsidRPr="00CF1706" w:rsidRDefault="005A5BD5" w:rsidP="005A5BD5">
      <w:pPr>
        <w:jc w:val="both"/>
        <w:rPr>
          <w:color w:val="000000"/>
        </w:rPr>
      </w:pPr>
      <w:r w:rsidRPr="00CF1706">
        <w:rPr>
          <w:color w:val="000000"/>
        </w:rPr>
        <w:t xml:space="preserve">- den Königlichen Erlass vom 27. Dezember 2012 </w:t>
      </w:r>
      <w:r w:rsidRPr="00111EE9">
        <w:rPr>
          <w:color w:val="000000"/>
        </w:rPr>
        <w:t>zur A</w:t>
      </w:r>
      <w:r>
        <w:rPr>
          <w:color w:val="000000"/>
        </w:rPr>
        <w:t>npassung</w:t>
      </w:r>
      <w:r w:rsidRPr="00111EE9">
        <w:rPr>
          <w:color w:val="000000"/>
        </w:rPr>
        <w:t xml:space="preserve"> des KE/EStGB</w:t>
      </w:r>
      <w:r>
        <w:rPr>
          <w:color w:val="000000"/>
        </w:rPr>
        <w:t> </w:t>
      </w:r>
      <w:r w:rsidRPr="00111EE9">
        <w:rPr>
          <w:color w:val="000000"/>
        </w:rPr>
        <w:t xml:space="preserve">92 </w:t>
      </w:r>
      <w:r w:rsidRPr="000230EF">
        <w:rPr>
          <w:color w:val="000000"/>
        </w:rPr>
        <w:t>hinsichtlich des Verzichts auf die Einnahme des Mobiliensteuervorabzugs auf Dividenden, die von Immobilieninvestmentgesellschaften mit fixem Kapital ausgeschüttet werden</w:t>
      </w:r>
      <w:r w:rsidRPr="00CF1706">
        <w:rPr>
          <w:color w:val="000000"/>
        </w:rPr>
        <w:t>,</w:t>
      </w:r>
    </w:p>
    <w:p w14:paraId="75ECD167" w14:textId="77777777" w:rsidR="005A5BD5" w:rsidRPr="00CF1706" w:rsidRDefault="005A5BD5" w:rsidP="005A5BD5">
      <w:pPr>
        <w:jc w:val="both"/>
        <w:rPr>
          <w:color w:val="000000"/>
        </w:rPr>
      </w:pPr>
    </w:p>
    <w:p w14:paraId="192A4D90" w14:textId="77777777" w:rsidR="005A5BD5" w:rsidRPr="00CF1706" w:rsidRDefault="005A5BD5" w:rsidP="005A5BD5">
      <w:pPr>
        <w:jc w:val="both"/>
        <w:rPr>
          <w:color w:val="000000"/>
        </w:rPr>
      </w:pPr>
      <w:r w:rsidRPr="00CF1706">
        <w:rPr>
          <w:color w:val="000000"/>
        </w:rPr>
        <w:t xml:space="preserve">- den Königlichen Erlass vom 11. Februar 2013 </w:t>
      </w:r>
      <w:r w:rsidRPr="001C3C20">
        <w:rPr>
          <w:color w:val="000000"/>
        </w:rPr>
        <w:t>zur Abänderung des KE/EStGB</w:t>
      </w:r>
      <w:r>
        <w:rPr>
          <w:color w:val="000000"/>
        </w:rPr>
        <w:t> </w:t>
      </w:r>
      <w:r w:rsidRPr="001C3C20">
        <w:rPr>
          <w:color w:val="000000"/>
        </w:rPr>
        <w:t>92 hinsichtlich der Steuerbefreiung für Preise und Zuschüsse, die Wissenschaftlern, Schrift</w:t>
      </w:r>
      <w:r>
        <w:rPr>
          <w:color w:val="000000"/>
        </w:rPr>
        <w:softHyphen/>
      </w:r>
      <w:r w:rsidRPr="001C3C20">
        <w:rPr>
          <w:color w:val="000000"/>
        </w:rPr>
        <w:t>stellern oder Künstlern gezahlt oder zuerkannt werden</w:t>
      </w:r>
      <w:r w:rsidRPr="00CF1706">
        <w:rPr>
          <w:color w:val="000000"/>
        </w:rPr>
        <w:t>,</w:t>
      </w:r>
    </w:p>
    <w:p w14:paraId="06EE4B95" w14:textId="77777777" w:rsidR="005A5BD5" w:rsidRPr="00CF1706" w:rsidRDefault="005A5BD5" w:rsidP="005A5BD5">
      <w:pPr>
        <w:jc w:val="both"/>
        <w:rPr>
          <w:color w:val="000000"/>
        </w:rPr>
      </w:pPr>
    </w:p>
    <w:p w14:paraId="7ED6446E" w14:textId="77777777" w:rsidR="005A5BD5" w:rsidRPr="00CF1706" w:rsidRDefault="005A5BD5" w:rsidP="005A5BD5">
      <w:pPr>
        <w:jc w:val="both"/>
        <w:rPr>
          <w:color w:val="000000"/>
        </w:rPr>
      </w:pPr>
      <w:r w:rsidRPr="00CF1706">
        <w:rPr>
          <w:color w:val="000000"/>
        </w:rPr>
        <w:t xml:space="preserve">- den Königlichen Erlass vom 1. März 2013 </w:t>
      </w:r>
      <w:r w:rsidRPr="001C3C20">
        <w:rPr>
          <w:color w:val="000000"/>
        </w:rPr>
        <w:t>zur Abänderung des KE/EStGB</w:t>
      </w:r>
      <w:r>
        <w:rPr>
          <w:color w:val="000000"/>
        </w:rPr>
        <w:t> </w:t>
      </w:r>
      <w:r w:rsidRPr="001C3C20">
        <w:rPr>
          <w:color w:val="000000"/>
        </w:rPr>
        <w:t>92 hinsichtlich der Vorteile jeglicher Art</w:t>
      </w:r>
      <w:r w:rsidRPr="00CF1706">
        <w:rPr>
          <w:color w:val="000000"/>
        </w:rPr>
        <w:t>,</w:t>
      </w:r>
    </w:p>
    <w:p w14:paraId="7D0C1DBA" w14:textId="77777777" w:rsidR="005A5BD5" w:rsidRPr="00CF1706" w:rsidRDefault="005A5BD5" w:rsidP="005A5BD5">
      <w:pPr>
        <w:jc w:val="both"/>
        <w:rPr>
          <w:color w:val="000000"/>
        </w:rPr>
      </w:pPr>
    </w:p>
    <w:p w14:paraId="54DD6CD1" w14:textId="77777777" w:rsidR="005A5BD5" w:rsidRPr="00CF1706" w:rsidRDefault="005A5BD5" w:rsidP="005A5BD5">
      <w:pPr>
        <w:jc w:val="both"/>
        <w:rPr>
          <w:color w:val="000000"/>
        </w:rPr>
      </w:pPr>
      <w:r w:rsidRPr="00CF1706">
        <w:rPr>
          <w:color w:val="000000"/>
        </w:rPr>
        <w:t xml:space="preserve">- den Königlichen Erlass vom 4. März 2013 </w:t>
      </w:r>
      <w:r w:rsidRPr="001C3C20">
        <w:rPr>
          <w:color w:val="000000"/>
        </w:rPr>
        <w:t>zur Abänderung des KE/EStGB</w:t>
      </w:r>
      <w:r>
        <w:rPr>
          <w:color w:val="000000"/>
        </w:rPr>
        <w:t> </w:t>
      </w:r>
      <w:r w:rsidRPr="001C3C20">
        <w:rPr>
          <w:color w:val="000000"/>
        </w:rPr>
        <w:t>92 hinsichtlich des Berufssteuervorabzugs</w:t>
      </w:r>
      <w:r w:rsidRPr="00CF1706">
        <w:rPr>
          <w:color w:val="000000"/>
        </w:rPr>
        <w:t>,</w:t>
      </w:r>
    </w:p>
    <w:p w14:paraId="4DA47EB1" w14:textId="77777777" w:rsidR="005A5BD5" w:rsidRPr="00CF1706" w:rsidRDefault="005A5BD5" w:rsidP="005A5BD5">
      <w:pPr>
        <w:jc w:val="both"/>
        <w:rPr>
          <w:color w:val="000000"/>
        </w:rPr>
      </w:pPr>
    </w:p>
    <w:p w14:paraId="3A9D344D" w14:textId="77777777" w:rsidR="005A5BD5" w:rsidRDefault="005A5BD5" w:rsidP="005A5BD5">
      <w:pPr>
        <w:jc w:val="both"/>
        <w:rPr>
          <w:color w:val="000000"/>
        </w:rPr>
      </w:pPr>
      <w:r w:rsidRPr="00CF1706">
        <w:rPr>
          <w:color w:val="000000"/>
        </w:rPr>
        <w:t>- den Königlichen Erlass vom 3. April 2013</w:t>
      </w:r>
      <w:r>
        <w:rPr>
          <w:color w:val="000000"/>
        </w:rPr>
        <w:t xml:space="preserve"> </w:t>
      </w:r>
      <w:r w:rsidRPr="001C3C20">
        <w:rPr>
          <w:color w:val="000000"/>
        </w:rPr>
        <w:t>zur Abänderung des KE/EStGB</w:t>
      </w:r>
      <w:r>
        <w:rPr>
          <w:color w:val="000000"/>
        </w:rPr>
        <w:t> </w:t>
      </w:r>
      <w:r w:rsidRPr="001C3C20">
        <w:rPr>
          <w:color w:val="000000"/>
        </w:rPr>
        <w:t>92 hinsichtlich der Vorteile jeglicher Art</w:t>
      </w:r>
      <w:r w:rsidRPr="00CF1706">
        <w:rPr>
          <w:color w:val="000000"/>
        </w:rPr>
        <w:t>,</w:t>
      </w:r>
    </w:p>
    <w:p w14:paraId="3BEC4C4F" w14:textId="77777777" w:rsidR="005A5BD5" w:rsidRDefault="005A5BD5" w:rsidP="005A5BD5">
      <w:pPr>
        <w:jc w:val="both"/>
        <w:rPr>
          <w:color w:val="000000"/>
        </w:rPr>
      </w:pPr>
    </w:p>
    <w:p w14:paraId="73384079" w14:textId="77777777" w:rsidR="005A5BD5" w:rsidRPr="00CF1706" w:rsidRDefault="005A5BD5" w:rsidP="005A5BD5">
      <w:pPr>
        <w:jc w:val="both"/>
        <w:rPr>
          <w:color w:val="000000"/>
        </w:rPr>
      </w:pPr>
      <w:r w:rsidRPr="00CF1706">
        <w:rPr>
          <w:color w:val="000000"/>
        </w:rPr>
        <w:t xml:space="preserve">- den Königlichen Erlass vom 19. April 2013 </w:t>
      </w:r>
      <w:r w:rsidRPr="00EF6B04">
        <w:rPr>
          <w:color w:val="000000"/>
        </w:rPr>
        <w:t>zur Abänderung der Artikel</w:t>
      </w:r>
      <w:r>
        <w:rPr>
          <w:color w:val="000000"/>
        </w:rPr>
        <w:t> </w:t>
      </w:r>
      <w:r w:rsidRPr="00EF6B04">
        <w:rPr>
          <w:color w:val="000000"/>
        </w:rPr>
        <w:t>178 und 178/1 des KE/EStGB</w:t>
      </w:r>
      <w:r>
        <w:rPr>
          <w:color w:val="000000"/>
        </w:rPr>
        <w:t> </w:t>
      </w:r>
      <w:r w:rsidRPr="00EF6B04">
        <w:rPr>
          <w:color w:val="000000"/>
        </w:rPr>
        <w:t>92 hinsichtlich des Vorschlags der vereinfachten Erklärung</w:t>
      </w:r>
      <w:r w:rsidRPr="00CF1706">
        <w:rPr>
          <w:color w:val="000000"/>
        </w:rPr>
        <w:t>,</w:t>
      </w:r>
    </w:p>
    <w:p w14:paraId="500E50A0" w14:textId="77777777" w:rsidR="005A5BD5" w:rsidRPr="00CF1706" w:rsidRDefault="005A5BD5" w:rsidP="005A5BD5">
      <w:pPr>
        <w:jc w:val="both"/>
        <w:rPr>
          <w:color w:val="000000"/>
        </w:rPr>
      </w:pPr>
    </w:p>
    <w:p w14:paraId="5037EEE7" w14:textId="77777777" w:rsidR="005A5BD5" w:rsidRPr="00CF1706" w:rsidRDefault="005A5BD5" w:rsidP="005A5BD5">
      <w:pPr>
        <w:jc w:val="both"/>
        <w:rPr>
          <w:color w:val="000000"/>
        </w:rPr>
      </w:pPr>
      <w:r w:rsidRPr="00CF1706">
        <w:rPr>
          <w:color w:val="000000"/>
        </w:rPr>
        <w:t xml:space="preserve">- den Königlichen Erlass vom 30. April 2013 </w:t>
      </w:r>
      <w:r>
        <w:rPr>
          <w:color w:val="000000"/>
        </w:rPr>
        <w:t>zur Anpassung von Artikel 106 § 7 Absatz 1</w:t>
      </w:r>
      <w:r w:rsidRPr="00A970B1">
        <w:rPr>
          <w:color w:val="000000"/>
        </w:rPr>
        <w:t xml:space="preserve"> des KE/EStGB</w:t>
      </w:r>
      <w:r>
        <w:rPr>
          <w:color w:val="000000"/>
        </w:rPr>
        <w:t> </w:t>
      </w:r>
      <w:r w:rsidRPr="00A970B1">
        <w:rPr>
          <w:color w:val="000000"/>
        </w:rPr>
        <w:t>92 hinsichtlich</w:t>
      </w:r>
      <w:r>
        <w:rPr>
          <w:color w:val="000000"/>
        </w:rPr>
        <w:t xml:space="preserve"> der erwähnten </w:t>
      </w:r>
      <w:r w:rsidRPr="006029A5">
        <w:rPr>
          <w:color w:val="000000"/>
        </w:rPr>
        <w:t>Investmentgesellschaft</w:t>
      </w:r>
      <w:r>
        <w:rPr>
          <w:color w:val="000000"/>
        </w:rPr>
        <w:t>en</w:t>
      </w:r>
      <w:r w:rsidRPr="00CF1706">
        <w:rPr>
          <w:color w:val="000000"/>
        </w:rPr>
        <w:t>,</w:t>
      </w:r>
    </w:p>
    <w:p w14:paraId="0CD4F986" w14:textId="77777777" w:rsidR="005A5BD5" w:rsidRPr="00CF1706" w:rsidRDefault="005A5BD5" w:rsidP="005A5BD5">
      <w:pPr>
        <w:jc w:val="both"/>
        <w:rPr>
          <w:color w:val="000000"/>
        </w:rPr>
      </w:pPr>
    </w:p>
    <w:p w14:paraId="617548D8" w14:textId="77777777" w:rsidR="005A5BD5" w:rsidRPr="00CF1706" w:rsidRDefault="005A5BD5" w:rsidP="005A5BD5">
      <w:pPr>
        <w:jc w:val="both"/>
        <w:rPr>
          <w:color w:val="000000"/>
        </w:rPr>
      </w:pPr>
      <w:r w:rsidRPr="00CF1706">
        <w:rPr>
          <w:color w:val="000000"/>
        </w:rPr>
        <w:t xml:space="preserve">- den Königlichen Erlass vom 23. Mai 2013 </w:t>
      </w:r>
      <w:r w:rsidRPr="003A55A7">
        <w:rPr>
          <w:color w:val="000000"/>
        </w:rPr>
        <w:t>zur Abänderung des KE/EStGB</w:t>
      </w:r>
      <w:r>
        <w:rPr>
          <w:color w:val="000000"/>
        </w:rPr>
        <w:t> </w:t>
      </w:r>
      <w:r w:rsidRPr="003A55A7">
        <w:rPr>
          <w:color w:val="000000"/>
        </w:rPr>
        <w:t>92 hinsichtlich des Berufssteuervorabzugs</w:t>
      </w:r>
      <w:r w:rsidRPr="00CF1706">
        <w:rPr>
          <w:color w:val="000000"/>
        </w:rPr>
        <w:t>,</w:t>
      </w:r>
    </w:p>
    <w:p w14:paraId="6B786507" w14:textId="77777777" w:rsidR="005A5BD5" w:rsidRPr="00CF1706" w:rsidRDefault="005A5BD5" w:rsidP="005A5BD5">
      <w:pPr>
        <w:jc w:val="both"/>
        <w:rPr>
          <w:color w:val="000000"/>
        </w:rPr>
      </w:pPr>
    </w:p>
    <w:p w14:paraId="04C8A03A" w14:textId="77777777" w:rsidR="005A5BD5" w:rsidRPr="00CF1706" w:rsidRDefault="005A5BD5" w:rsidP="005A5BD5">
      <w:pPr>
        <w:jc w:val="both"/>
        <w:rPr>
          <w:color w:val="000000"/>
        </w:rPr>
      </w:pPr>
      <w:r w:rsidRPr="00CF1706">
        <w:rPr>
          <w:color w:val="000000"/>
        </w:rPr>
        <w:lastRenderedPageBreak/>
        <w:t xml:space="preserve">- den Königlichen Erlass vom 18. Juli 2013 </w:t>
      </w:r>
      <w:r w:rsidRPr="003A55A7">
        <w:rPr>
          <w:color w:val="000000"/>
        </w:rPr>
        <w:t>zur Abänderung des KE/EStGB</w:t>
      </w:r>
      <w:r>
        <w:rPr>
          <w:color w:val="000000"/>
        </w:rPr>
        <w:t> </w:t>
      </w:r>
      <w:r w:rsidRPr="003A55A7">
        <w:rPr>
          <w:color w:val="000000"/>
        </w:rPr>
        <w:t>92 hinsichtlich des Neubewertungskoeffizienten für Katastereinkommen</w:t>
      </w:r>
      <w:r w:rsidRPr="00CF1706">
        <w:rPr>
          <w:color w:val="000000"/>
        </w:rPr>
        <w:t>,</w:t>
      </w:r>
    </w:p>
    <w:p w14:paraId="1FB78D17" w14:textId="77777777" w:rsidR="005A5BD5" w:rsidRPr="00CF1706" w:rsidRDefault="005A5BD5" w:rsidP="005A5BD5">
      <w:pPr>
        <w:jc w:val="both"/>
        <w:rPr>
          <w:color w:val="000000"/>
        </w:rPr>
      </w:pPr>
    </w:p>
    <w:p w14:paraId="5FAC71C9" w14:textId="77777777" w:rsidR="005A5BD5" w:rsidRPr="00CF1706" w:rsidRDefault="005A5BD5" w:rsidP="005A5BD5">
      <w:pPr>
        <w:jc w:val="both"/>
        <w:rPr>
          <w:color w:val="000000"/>
        </w:rPr>
      </w:pPr>
      <w:r w:rsidRPr="00CF1706">
        <w:rPr>
          <w:color w:val="000000"/>
        </w:rPr>
        <w:t xml:space="preserve">- den Königlichen Erlass vom 21. September 2013 </w:t>
      </w:r>
      <w:r w:rsidRPr="003E5B0F">
        <w:rPr>
          <w:color w:val="000000"/>
        </w:rPr>
        <w:t>zur Abänderung des KE/EStGB</w:t>
      </w:r>
      <w:r>
        <w:rPr>
          <w:color w:val="000000"/>
        </w:rPr>
        <w:t> </w:t>
      </w:r>
      <w:r w:rsidRPr="003E5B0F">
        <w:rPr>
          <w:color w:val="000000"/>
        </w:rPr>
        <w:t>92 hinsichtlich der Bedingungen für die Steuerbefreiung für die in Artikel</w:t>
      </w:r>
      <w:r>
        <w:rPr>
          <w:color w:val="000000"/>
        </w:rPr>
        <w:t> </w:t>
      </w:r>
      <w:r w:rsidRPr="003E5B0F">
        <w:rPr>
          <w:color w:val="000000"/>
        </w:rPr>
        <w:t>21 Nr.</w:t>
      </w:r>
      <w:r>
        <w:rPr>
          <w:color w:val="000000"/>
        </w:rPr>
        <w:t> </w:t>
      </w:r>
      <w:r w:rsidRPr="003E5B0F">
        <w:rPr>
          <w:color w:val="000000"/>
        </w:rPr>
        <w:t>5 des Einkommensteuergesetzbuches</w:t>
      </w:r>
      <w:r>
        <w:rPr>
          <w:color w:val="000000"/>
        </w:rPr>
        <w:t> </w:t>
      </w:r>
      <w:r w:rsidRPr="003E5B0F">
        <w:rPr>
          <w:color w:val="000000"/>
        </w:rPr>
        <w:t>1992 erwähnten Einkünfte aus Spareinlagen und</w:t>
      </w:r>
      <w:r>
        <w:rPr>
          <w:color w:val="000000"/>
        </w:rPr>
        <w:t xml:space="preserve"> </w:t>
      </w:r>
      <w:r w:rsidRPr="003E5B0F">
        <w:rPr>
          <w:color w:val="000000"/>
        </w:rPr>
        <w:t xml:space="preserve">der Bedingungen für das Angebot </w:t>
      </w:r>
      <w:r>
        <w:rPr>
          <w:color w:val="000000"/>
        </w:rPr>
        <w:t>von</w:t>
      </w:r>
      <w:r w:rsidRPr="003E5B0F">
        <w:rPr>
          <w:color w:val="000000"/>
        </w:rPr>
        <w:t xml:space="preserve"> Zinssätze</w:t>
      </w:r>
      <w:r>
        <w:rPr>
          <w:color w:val="000000"/>
        </w:rPr>
        <w:t>n</w:t>
      </w:r>
      <w:r w:rsidRPr="003E5B0F">
        <w:rPr>
          <w:color w:val="000000"/>
        </w:rPr>
        <w:t xml:space="preserve"> auf diese Spareinlagen</w:t>
      </w:r>
      <w:r w:rsidRPr="00CF1706">
        <w:rPr>
          <w:color w:val="000000"/>
        </w:rPr>
        <w:t>,</w:t>
      </w:r>
    </w:p>
    <w:p w14:paraId="75962254" w14:textId="77777777" w:rsidR="005A5BD5" w:rsidRPr="00CF1706" w:rsidRDefault="005A5BD5" w:rsidP="005A5BD5">
      <w:pPr>
        <w:jc w:val="both"/>
        <w:rPr>
          <w:color w:val="000000"/>
        </w:rPr>
      </w:pPr>
    </w:p>
    <w:p w14:paraId="1BAFE974" w14:textId="77777777" w:rsidR="005A5BD5" w:rsidRPr="00CF1706" w:rsidRDefault="005A5BD5" w:rsidP="005A5BD5">
      <w:pPr>
        <w:jc w:val="both"/>
        <w:rPr>
          <w:color w:val="000000"/>
        </w:rPr>
      </w:pPr>
      <w:r w:rsidRPr="00CF1706">
        <w:rPr>
          <w:color w:val="000000"/>
        </w:rPr>
        <w:t xml:space="preserve">- den Königlichen Erlass vom 24. September 2013 </w:t>
      </w:r>
      <w:r>
        <w:rPr>
          <w:color w:val="000000"/>
        </w:rPr>
        <w:t xml:space="preserve">zur Ausführung von Artikel 445 des </w:t>
      </w:r>
      <w:r w:rsidRPr="00B07915">
        <w:rPr>
          <w:color w:val="000000"/>
        </w:rPr>
        <w:t>Einkommensteuergesetzbuches</w:t>
      </w:r>
      <w:r>
        <w:rPr>
          <w:color w:val="000000"/>
        </w:rPr>
        <w:t> </w:t>
      </w:r>
      <w:r w:rsidRPr="00B07915">
        <w:rPr>
          <w:color w:val="000000"/>
        </w:rPr>
        <w:t>1992</w:t>
      </w:r>
      <w:r>
        <w:rPr>
          <w:color w:val="000000"/>
        </w:rPr>
        <w:t xml:space="preserve"> in Bezug auf die Festlegung der</w:t>
      </w:r>
      <w:r w:rsidRPr="002043E3">
        <w:rPr>
          <w:color w:val="000000"/>
        </w:rPr>
        <w:t xml:space="preserve"> Skala der administra</w:t>
      </w:r>
      <w:r>
        <w:rPr>
          <w:color w:val="000000"/>
        </w:rPr>
        <w:softHyphen/>
      </w:r>
      <w:r w:rsidRPr="002043E3">
        <w:rPr>
          <w:color w:val="000000"/>
        </w:rPr>
        <w:t xml:space="preserve">tiven Geldbußen </w:t>
      </w:r>
      <w:r>
        <w:rPr>
          <w:color w:val="000000"/>
        </w:rPr>
        <w:t xml:space="preserve">und </w:t>
      </w:r>
      <w:r w:rsidRPr="002043E3">
        <w:rPr>
          <w:color w:val="000000"/>
        </w:rPr>
        <w:t>deren Anwendungsmodalitäten</w:t>
      </w:r>
      <w:r w:rsidRPr="00CF1706">
        <w:rPr>
          <w:color w:val="000000"/>
        </w:rPr>
        <w:t>,</w:t>
      </w:r>
    </w:p>
    <w:p w14:paraId="469BC136" w14:textId="77777777" w:rsidR="005A5BD5" w:rsidRPr="00CF1706" w:rsidRDefault="005A5BD5" w:rsidP="005A5BD5">
      <w:pPr>
        <w:jc w:val="both"/>
        <w:rPr>
          <w:color w:val="000000"/>
        </w:rPr>
      </w:pPr>
    </w:p>
    <w:p w14:paraId="605005B0" w14:textId="77777777" w:rsidR="005A5BD5" w:rsidRPr="00CF1706" w:rsidRDefault="005A5BD5" w:rsidP="005A5BD5">
      <w:pPr>
        <w:jc w:val="both"/>
        <w:rPr>
          <w:color w:val="000000"/>
        </w:rPr>
      </w:pPr>
      <w:r w:rsidRPr="00CF1706">
        <w:rPr>
          <w:color w:val="000000"/>
        </w:rPr>
        <w:t xml:space="preserve">- den Königlichen Erlass vom 24. Oktober 2013 </w:t>
      </w:r>
      <w:r w:rsidRPr="003E5B0F">
        <w:rPr>
          <w:color w:val="000000"/>
        </w:rPr>
        <w:t>zur Abänderung des KE/EStGB</w:t>
      </w:r>
      <w:r>
        <w:rPr>
          <w:color w:val="000000"/>
        </w:rPr>
        <w:t> </w:t>
      </w:r>
      <w:r w:rsidRPr="003E5B0F">
        <w:rPr>
          <w:color w:val="000000"/>
        </w:rPr>
        <w:t>92 hinsichtlich der Steuerbefreiung für Preise und Zuschüsse, die Wissenschaftlern, Schrift</w:t>
      </w:r>
      <w:r>
        <w:rPr>
          <w:color w:val="000000"/>
        </w:rPr>
        <w:softHyphen/>
      </w:r>
      <w:r w:rsidRPr="003E5B0F">
        <w:rPr>
          <w:color w:val="000000"/>
        </w:rPr>
        <w:t>stellern oder Künstlern gezahlt oder zuerkannt werden</w:t>
      </w:r>
      <w:r w:rsidRPr="00CF1706">
        <w:rPr>
          <w:color w:val="000000"/>
        </w:rPr>
        <w:t>,</w:t>
      </w:r>
    </w:p>
    <w:p w14:paraId="78F71F4E" w14:textId="77777777" w:rsidR="005A5BD5" w:rsidRPr="00CF1706" w:rsidRDefault="005A5BD5" w:rsidP="005A5BD5">
      <w:pPr>
        <w:jc w:val="both"/>
        <w:rPr>
          <w:color w:val="000000"/>
        </w:rPr>
      </w:pPr>
    </w:p>
    <w:p w14:paraId="3B78E288" w14:textId="77777777" w:rsidR="005A5BD5" w:rsidRPr="00CF1706" w:rsidRDefault="005A5BD5" w:rsidP="005A5BD5">
      <w:pPr>
        <w:jc w:val="both"/>
        <w:rPr>
          <w:color w:val="000000"/>
        </w:rPr>
      </w:pPr>
      <w:r w:rsidRPr="00CF1706">
        <w:rPr>
          <w:color w:val="000000"/>
        </w:rPr>
        <w:t xml:space="preserve">- den Königlichen Erlass vom 7. November 2013 </w:t>
      </w:r>
      <w:r w:rsidRPr="003E5B0F">
        <w:rPr>
          <w:color w:val="000000"/>
        </w:rPr>
        <w:t>zur Abänderung der Artikel</w:t>
      </w:r>
      <w:r>
        <w:rPr>
          <w:color w:val="000000"/>
        </w:rPr>
        <w:t> </w:t>
      </w:r>
      <w:r w:rsidRPr="003E5B0F">
        <w:rPr>
          <w:color w:val="000000"/>
        </w:rPr>
        <w:t>164 und 165 des Königlichen Erlasses zur Ausführung des Einkommensteuergesetzbuches</w:t>
      </w:r>
      <w:r>
        <w:rPr>
          <w:color w:val="000000"/>
        </w:rPr>
        <w:t> </w:t>
      </w:r>
      <w:r w:rsidRPr="003E5B0F">
        <w:rPr>
          <w:color w:val="000000"/>
        </w:rPr>
        <w:t>1992</w:t>
      </w:r>
      <w:r w:rsidRPr="00CF1706">
        <w:rPr>
          <w:color w:val="000000"/>
        </w:rPr>
        <w:t>,</w:t>
      </w:r>
    </w:p>
    <w:p w14:paraId="2797442A" w14:textId="77777777" w:rsidR="005A5BD5" w:rsidRPr="00CF1706" w:rsidRDefault="005A5BD5" w:rsidP="005A5BD5">
      <w:pPr>
        <w:jc w:val="both"/>
        <w:rPr>
          <w:color w:val="000000"/>
        </w:rPr>
      </w:pPr>
    </w:p>
    <w:p w14:paraId="711EC10B" w14:textId="77777777" w:rsidR="005A5BD5" w:rsidRPr="00CF1706" w:rsidRDefault="005A5BD5" w:rsidP="005A5BD5">
      <w:pPr>
        <w:jc w:val="both"/>
        <w:rPr>
          <w:color w:val="000000"/>
        </w:rPr>
      </w:pPr>
      <w:r w:rsidRPr="00CF1706">
        <w:rPr>
          <w:color w:val="000000"/>
        </w:rPr>
        <w:t xml:space="preserve">- den Königlichen Erlass vom 15. Dezember 2013 </w:t>
      </w:r>
      <w:r w:rsidRPr="003E5B0F">
        <w:rPr>
          <w:color w:val="000000"/>
        </w:rPr>
        <w:t>zur Abänderung des KE/EStGB</w:t>
      </w:r>
      <w:r>
        <w:rPr>
          <w:color w:val="000000"/>
        </w:rPr>
        <w:t> </w:t>
      </w:r>
      <w:r w:rsidRPr="003E5B0F">
        <w:rPr>
          <w:color w:val="000000"/>
        </w:rPr>
        <w:t>92 hinsichtlich des Berufssteuervorabzugs</w:t>
      </w:r>
      <w:r w:rsidRPr="00CF1706">
        <w:rPr>
          <w:color w:val="000000"/>
        </w:rPr>
        <w:t xml:space="preserve"> </w:t>
      </w:r>
      <w:r w:rsidRPr="00CF1706">
        <w:rPr>
          <w:i/>
          <w:color w:val="000000"/>
        </w:rPr>
        <w:t>(I)</w:t>
      </w:r>
      <w:r w:rsidRPr="00CF1706">
        <w:rPr>
          <w:color w:val="000000"/>
        </w:rPr>
        <w:t>,</w:t>
      </w:r>
    </w:p>
    <w:p w14:paraId="43E0AF44" w14:textId="77777777" w:rsidR="005A5BD5" w:rsidRPr="00CF1706" w:rsidRDefault="005A5BD5" w:rsidP="005A5BD5">
      <w:pPr>
        <w:jc w:val="both"/>
        <w:rPr>
          <w:color w:val="000000"/>
        </w:rPr>
      </w:pPr>
    </w:p>
    <w:p w14:paraId="1DB0AFAD" w14:textId="77777777" w:rsidR="005A5BD5" w:rsidRPr="00CF1706" w:rsidRDefault="005A5BD5" w:rsidP="005A5BD5">
      <w:pPr>
        <w:jc w:val="both"/>
        <w:rPr>
          <w:color w:val="000000"/>
        </w:rPr>
      </w:pPr>
      <w:r w:rsidRPr="00CF1706">
        <w:rPr>
          <w:color w:val="000000"/>
        </w:rPr>
        <w:t xml:space="preserve">- den Königlichen Erlass vom 15. Dezember 2013 </w:t>
      </w:r>
      <w:r w:rsidRPr="008C5C86">
        <w:rPr>
          <w:color w:val="000000"/>
        </w:rPr>
        <w:t>zur Abänderung des KE/EStGB</w:t>
      </w:r>
      <w:r>
        <w:rPr>
          <w:color w:val="000000"/>
        </w:rPr>
        <w:t> </w:t>
      </w:r>
      <w:r w:rsidRPr="008C5C86">
        <w:rPr>
          <w:color w:val="000000"/>
        </w:rPr>
        <w:t>92 hinsichtlich der Befreiung von der Zahlung des Berufssteuervorabzugs</w:t>
      </w:r>
      <w:r>
        <w:rPr>
          <w:color w:val="000000"/>
        </w:rPr>
        <w:t xml:space="preserve"> in Ausführung von Artikel 275</w:t>
      </w:r>
      <w:r w:rsidRPr="00891612">
        <w:rPr>
          <w:color w:val="000000"/>
          <w:vertAlign w:val="superscript"/>
        </w:rPr>
        <w:t>7</w:t>
      </w:r>
      <w:r>
        <w:rPr>
          <w:color w:val="000000"/>
        </w:rPr>
        <w:t xml:space="preserve"> Absatz 4 des </w:t>
      </w:r>
      <w:r w:rsidRPr="00BE0738">
        <w:rPr>
          <w:color w:val="000000"/>
        </w:rPr>
        <w:t>Einkommensteuergesetzbuches</w:t>
      </w:r>
      <w:r>
        <w:rPr>
          <w:color w:val="000000"/>
        </w:rPr>
        <w:t> </w:t>
      </w:r>
      <w:r w:rsidRPr="00BE0738">
        <w:rPr>
          <w:color w:val="000000"/>
        </w:rPr>
        <w:t>1992</w:t>
      </w:r>
      <w:r w:rsidRPr="00CF1706">
        <w:rPr>
          <w:i/>
          <w:color w:val="000000"/>
        </w:rPr>
        <w:t xml:space="preserve"> (II)</w:t>
      </w:r>
      <w:r w:rsidRPr="00CF1706">
        <w:rPr>
          <w:color w:val="000000"/>
        </w:rPr>
        <w:t>,</w:t>
      </w:r>
    </w:p>
    <w:p w14:paraId="1E504FE0" w14:textId="77777777" w:rsidR="005A5BD5" w:rsidRPr="00CF1706" w:rsidRDefault="005A5BD5" w:rsidP="005A5BD5">
      <w:pPr>
        <w:jc w:val="both"/>
        <w:rPr>
          <w:color w:val="000000"/>
        </w:rPr>
      </w:pPr>
    </w:p>
    <w:p w14:paraId="0A14F78E" w14:textId="77777777" w:rsidR="005A5BD5" w:rsidRPr="00CF1706" w:rsidRDefault="005A5BD5" w:rsidP="005A5BD5">
      <w:pPr>
        <w:jc w:val="both"/>
        <w:rPr>
          <w:color w:val="000000"/>
        </w:rPr>
      </w:pPr>
      <w:r w:rsidRPr="00CF1706">
        <w:rPr>
          <w:color w:val="000000"/>
        </w:rPr>
        <w:t xml:space="preserve">- den Königlichen Erlass vom 26. Dezember 2013 </w:t>
      </w:r>
      <w:r w:rsidRPr="00F169D2">
        <w:rPr>
          <w:color w:val="000000"/>
        </w:rPr>
        <w:t>zur Abänderung des KE/EStGB</w:t>
      </w:r>
      <w:r>
        <w:rPr>
          <w:color w:val="000000"/>
        </w:rPr>
        <w:t> </w:t>
      </w:r>
      <w:r w:rsidRPr="00F169D2">
        <w:rPr>
          <w:color w:val="000000"/>
        </w:rPr>
        <w:t>92 hinsichtlich der Einrichtungen, die unentgeltliche Zuwendungen empfangen</w:t>
      </w:r>
      <w:r w:rsidRPr="00CF1706">
        <w:rPr>
          <w:color w:val="000000"/>
        </w:rPr>
        <w:t>,</w:t>
      </w:r>
    </w:p>
    <w:p w14:paraId="6169B862" w14:textId="77777777" w:rsidR="005A5BD5" w:rsidRPr="00CF1706" w:rsidRDefault="005A5BD5" w:rsidP="005A5BD5">
      <w:pPr>
        <w:jc w:val="both"/>
        <w:rPr>
          <w:color w:val="000000"/>
        </w:rPr>
      </w:pPr>
    </w:p>
    <w:p w14:paraId="2FD3717A" w14:textId="77777777" w:rsidR="005A5BD5" w:rsidRPr="00CF1706" w:rsidRDefault="005A5BD5" w:rsidP="005A5BD5">
      <w:pPr>
        <w:jc w:val="both"/>
        <w:rPr>
          <w:color w:val="000000"/>
        </w:rPr>
      </w:pPr>
      <w:r w:rsidRPr="00CF1706">
        <w:rPr>
          <w:color w:val="000000"/>
        </w:rPr>
        <w:t xml:space="preserve">- den Königlichen Erlass vom 24. Januar 2014 </w:t>
      </w:r>
      <w:r>
        <w:rPr>
          <w:color w:val="000000"/>
        </w:rPr>
        <w:t>zur Abänderung des KE/EStGB </w:t>
      </w:r>
      <w:r w:rsidRPr="00454FA6">
        <w:rPr>
          <w:color w:val="000000"/>
        </w:rPr>
        <w:t>92 hinsichtlich der Vorteile jeglicher Art für die Nutzung zu persönlichen Zwecken eines kostenlos zur Verfügung gestellten Fahrzeugs</w:t>
      </w:r>
      <w:r w:rsidRPr="00CF1706">
        <w:rPr>
          <w:color w:val="000000"/>
        </w:rPr>
        <w:t>,</w:t>
      </w:r>
    </w:p>
    <w:p w14:paraId="5DB5220C" w14:textId="77777777" w:rsidR="005A5BD5" w:rsidRPr="00CF1706" w:rsidRDefault="005A5BD5" w:rsidP="005A5BD5">
      <w:pPr>
        <w:jc w:val="both"/>
        <w:rPr>
          <w:color w:val="000000"/>
        </w:rPr>
      </w:pPr>
    </w:p>
    <w:p w14:paraId="08E80034" w14:textId="77777777" w:rsidR="005A5BD5" w:rsidRPr="00CF1706" w:rsidRDefault="005A5BD5" w:rsidP="005A5BD5">
      <w:pPr>
        <w:jc w:val="both"/>
        <w:rPr>
          <w:color w:val="000000"/>
        </w:rPr>
      </w:pPr>
      <w:r w:rsidRPr="00CF1706">
        <w:rPr>
          <w:color w:val="000000"/>
        </w:rPr>
        <w:t xml:space="preserve">- den Königlichen Erlass vom 7. Februar 2014 </w:t>
      </w:r>
      <w:r w:rsidRPr="007358B9">
        <w:rPr>
          <w:color w:val="000000"/>
        </w:rPr>
        <w:t xml:space="preserve">zur </w:t>
      </w:r>
      <w:r>
        <w:rPr>
          <w:color w:val="000000"/>
        </w:rPr>
        <w:t>Ausführung von Artikel 307</w:t>
      </w:r>
      <w:r>
        <w:rPr>
          <w:i/>
          <w:color w:val="000000"/>
        </w:rPr>
        <w:t>bis</w:t>
      </w:r>
      <w:r>
        <w:rPr>
          <w:color w:val="000000"/>
        </w:rPr>
        <w:t xml:space="preserve"> § 3 Absatz 3 des </w:t>
      </w:r>
      <w:r w:rsidRPr="00BE0738">
        <w:rPr>
          <w:color w:val="000000"/>
        </w:rPr>
        <w:t>Einkommensteuergesetzbuches</w:t>
      </w:r>
      <w:r>
        <w:rPr>
          <w:color w:val="000000"/>
        </w:rPr>
        <w:t> </w:t>
      </w:r>
      <w:r w:rsidRPr="00BE0738">
        <w:rPr>
          <w:color w:val="000000"/>
        </w:rPr>
        <w:t>1992</w:t>
      </w:r>
      <w:r>
        <w:rPr>
          <w:color w:val="000000"/>
        </w:rPr>
        <w:t xml:space="preserve"> in Bezug auf die Modalitäten für die elektronische Einreichung der </w:t>
      </w:r>
      <w:r w:rsidRPr="00E2055F">
        <w:rPr>
          <w:color w:val="000000"/>
        </w:rPr>
        <w:t>Gesellschaftssteuererklärung</w:t>
      </w:r>
      <w:r>
        <w:rPr>
          <w:color w:val="000000"/>
        </w:rPr>
        <w:t xml:space="preserve">, der </w:t>
      </w:r>
      <w:r w:rsidRPr="00E2055F">
        <w:rPr>
          <w:color w:val="000000"/>
        </w:rPr>
        <w:t xml:space="preserve">Erklärung zur Steuer der </w:t>
      </w:r>
      <w:r>
        <w:rPr>
          <w:color w:val="000000"/>
        </w:rPr>
        <w:t>juristischen</w:t>
      </w:r>
      <w:r w:rsidRPr="00E2055F">
        <w:rPr>
          <w:color w:val="000000"/>
        </w:rPr>
        <w:t xml:space="preserve"> Personen</w:t>
      </w:r>
      <w:r>
        <w:rPr>
          <w:color w:val="000000"/>
        </w:rPr>
        <w:t xml:space="preserve">, der </w:t>
      </w:r>
      <w:r w:rsidRPr="00E2055F">
        <w:rPr>
          <w:color w:val="000000"/>
        </w:rPr>
        <w:t>Erklärung zur</w:t>
      </w:r>
      <w:r>
        <w:rPr>
          <w:color w:val="000000"/>
        </w:rPr>
        <w:t xml:space="preserve"> </w:t>
      </w:r>
      <w:r w:rsidRPr="00E2055F">
        <w:rPr>
          <w:color w:val="000000"/>
        </w:rPr>
        <w:t>Steuer der Gebietsfremden</w:t>
      </w:r>
      <w:r>
        <w:rPr>
          <w:color w:val="000000"/>
        </w:rPr>
        <w:t xml:space="preserve">/Gesellschaften und der </w:t>
      </w:r>
      <w:r w:rsidRPr="00E2055F">
        <w:rPr>
          <w:color w:val="000000"/>
        </w:rPr>
        <w:t>Erklärung zur</w:t>
      </w:r>
      <w:r>
        <w:rPr>
          <w:color w:val="000000"/>
        </w:rPr>
        <w:t xml:space="preserve"> </w:t>
      </w:r>
      <w:r w:rsidRPr="00E2055F">
        <w:rPr>
          <w:color w:val="000000"/>
        </w:rPr>
        <w:t>Steuer der Gebietsfremden</w:t>
      </w:r>
      <w:r>
        <w:rPr>
          <w:color w:val="000000"/>
        </w:rPr>
        <w:t>/juristische Personen</w:t>
      </w:r>
      <w:r w:rsidRPr="00CF1706">
        <w:rPr>
          <w:color w:val="000000"/>
        </w:rPr>
        <w:t xml:space="preserve"> </w:t>
      </w:r>
      <w:r w:rsidRPr="00CF1706">
        <w:rPr>
          <w:i/>
          <w:color w:val="000000"/>
        </w:rPr>
        <w:t>(I)</w:t>
      </w:r>
      <w:r w:rsidRPr="00CF1706">
        <w:rPr>
          <w:color w:val="000000"/>
        </w:rPr>
        <w:t>,</w:t>
      </w:r>
    </w:p>
    <w:p w14:paraId="475C7633" w14:textId="77777777" w:rsidR="005A5BD5" w:rsidRDefault="005A5BD5" w:rsidP="005A5BD5">
      <w:pPr>
        <w:jc w:val="both"/>
        <w:rPr>
          <w:color w:val="000000"/>
        </w:rPr>
      </w:pPr>
    </w:p>
    <w:p w14:paraId="412F5BEB" w14:textId="77777777" w:rsidR="005A5BD5" w:rsidRPr="00CF1706" w:rsidRDefault="005A5BD5" w:rsidP="005A5BD5">
      <w:pPr>
        <w:jc w:val="both"/>
        <w:rPr>
          <w:color w:val="000000"/>
        </w:rPr>
      </w:pPr>
      <w:r w:rsidRPr="00CF1706">
        <w:rPr>
          <w:color w:val="000000"/>
        </w:rPr>
        <w:t xml:space="preserve">- den Königlichen Erlass vom 7. Februar 2014 </w:t>
      </w:r>
      <w:r w:rsidRPr="007358B9">
        <w:rPr>
          <w:color w:val="000000"/>
        </w:rPr>
        <w:t xml:space="preserve">zur </w:t>
      </w:r>
      <w:r>
        <w:rPr>
          <w:color w:val="000000"/>
        </w:rPr>
        <w:t xml:space="preserve">Ausführung von Artikel 302 Absatz 3 des </w:t>
      </w:r>
      <w:r w:rsidRPr="00BE0738">
        <w:rPr>
          <w:color w:val="000000"/>
        </w:rPr>
        <w:t>Einkommensteuergesetzbuches</w:t>
      </w:r>
      <w:r>
        <w:rPr>
          <w:color w:val="000000"/>
        </w:rPr>
        <w:t> </w:t>
      </w:r>
      <w:r w:rsidRPr="00BE0738">
        <w:rPr>
          <w:color w:val="000000"/>
        </w:rPr>
        <w:t>1992</w:t>
      </w:r>
      <w:r>
        <w:rPr>
          <w:color w:val="000000"/>
        </w:rPr>
        <w:t xml:space="preserve"> in Bezug auf die </w:t>
      </w:r>
      <w:r w:rsidRPr="00CF5487">
        <w:rPr>
          <w:color w:val="000000"/>
        </w:rPr>
        <w:t xml:space="preserve">Entgegennahme </w:t>
      </w:r>
      <w:r>
        <w:rPr>
          <w:color w:val="000000"/>
        </w:rPr>
        <w:t>von</w:t>
      </w:r>
      <w:r w:rsidRPr="00CF5487">
        <w:rPr>
          <w:color w:val="000000"/>
        </w:rPr>
        <w:t xml:space="preserve"> Steuerbescheide</w:t>
      </w:r>
      <w:r>
        <w:rPr>
          <w:color w:val="000000"/>
        </w:rPr>
        <w:t>n</w:t>
      </w:r>
      <w:r w:rsidRPr="00CF5487">
        <w:rPr>
          <w:color w:val="000000"/>
        </w:rPr>
        <w:t xml:space="preserve"> anhand eines Verfahrens, bei dem Informatiktechniken verwendet werden</w:t>
      </w:r>
      <w:r w:rsidRPr="00CF1706">
        <w:rPr>
          <w:color w:val="000000"/>
        </w:rPr>
        <w:t xml:space="preserve"> </w:t>
      </w:r>
      <w:r w:rsidRPr="00CF1706">
        <w:rPr>
          <w:i/>
          <w:color w:val="000000"/>
        </w:rPr>
        <w:t>(II)</w:t>
      </w:r>
      <w:r w:rsidRPr="00CF1706">
        <w:rPr>
          <w:color w:val="000000"/>
        </w:rPr>
        <w:t>,</w:t>
      </w:r>
    </w:p>
    <w:p w14:paraId="50E61498" w14:textId="77777777" w:rsidR="005A5BD5" w:rsidRPr="00CF1706" w:rsidRDefault="005A5BD5" w:rsidP="005A5BD5">
      <w:pPr>
        <w:jc w:val="both"/>
        <w:rPr>
          <w:color w:val="000000"/>
        </w:rPr>
      </w:pPr>
    </w:p>
    <w:p w14:paraId="25B0FD56" w14:textId="77777777" w:rsidR="005A5BD5" w:rsidRPr="00CF1706" w:rsidRDefault="005A5BD5" w:rsidP="005A5BD5">
      <w:pPr>
        <w:jc w:val="both"/>
        <w:rPr>
          <w:color w:val="000000"/>
        </w:rPr>
      </w:pPr>
      <w:r w:rsidRPr="00CF1706">
        <w:rPr>
          <w:color w:val="000000"/>
        </w:rPr>
        <w:t xml:space="preserve">- den Königlichen Erlass vom 21. Februar 2014 </w:t>
      </w:r>
      <w:r w:rsidRPr="005B59E6">
        <w:rPr>
          <w:color w:val="000000"/>
        </w:rPr>
        <w:t>zur Abänderung des KE/EStGB</w:t>
      </w:r>
      <w:r>
        <w:rPr>
          <w:color w:val="000000"/>
        </w:rPr>
        <w:t> </w:t>
      </w:r>
      <w:r w:rsidRPr="005B59E6">
        <w:rPr>
          <w:color w:val="000000"/>
        </w:rPr>
        <w:t>92 hinsichtlich des Berufssteuervorabzugs</w:t>
      </w:r>
      <w:r w:rsidRPr="00CF1706">
        <w:rPr>
          <w:color w:val="000000"/>
        </w:rPr>
        <w:t xml:space="preserve"> </w:t>
      </w:r>
      <w:r w:rsidRPr="00CF1706">
        <w:rPr>
          <w:i/>
          <w:color w:val="000000"/>
        </w:rPr>
        <w:t>(I)</w:t>
      </w:r>
      <w:r w:rsidRPr="00CF1706">
        <w:rPr>
          <w:color w:val="000000"/>
        </w:rPr>
        <w:t>,</w:t>
      </w:r>
    </w:p>
    <w:p w14:paraId="11F39839" w14:textId="77777777" w:rsidR="005A5BD5" w:rsidRPr="00CF1706" w:rsidRDefault="005A5BD5" w:rsidP="005A5BD5">
      <w:pPr>
        <w:jc w:val="both"/>
        <w:rPr>
          <w:color w:val="000000"/>
        </w:rPr>
      </w:pPr>
    </w:p>
    <w:p w14:paraId="49237D3A" w14:textId="77777777" w:rsidR="005A5BD5" w:rsidRPr="00CF1706" w:rsidRDefault="005A5BD5" w:rsidP="005A5BD5">
      <w:pPr>
        <w:jc w:val="both"/>
        <w:rPr>
          <w:color w:val="000000"/>
        </w:rPr>
      </w:pPr>
      <w:r w:rsidRPr="00CF1706">
        <w:rPr>
          <w:color w:val="000000"/>
        </w:rPr>
        <w:t xml:space="preserve">- den Königlichen Erlass vom 21. Februar 2014 </w:t>
      </w:r>
      <w:r w:rsidRPr="00E931CC">
        <w:rPr>
          <w:color w:val="000000"/>
        </w:rPr>
        <w:t>zur Abänderung von Artikel</w:t>
      </w:r>
      <w:r>
        <w:rPr>
          <w:color w:val="000000"/>
        </w:rPr>
        <w:t> </w:t>
      </w:r>
      <w:r w:rsidRPr="00E931CC">
        <w:rPr>
          <w:color w:val="000000"/>
        </w:rPr>
        <w:t>178 des KE/EStGB</w:t>
      </w:r>
      <w:r>
        <w:rPr>
          <w:color w:val="000000"/>
        </w:rPr>
        <w:t> </w:t>
      </w:r>
      <w:r w:rsidRPr="00E931CC">
        <w:rPr>
          <w:color w:val="000000"/>
        </w:rPr>
        <w:t xml:space="preserve">92 hinsichtlich des Vorschlags der vereinfachten Erklärung </w:t>
      </w:r>
      <w:r w:rsidRPr="00CF1706">
        <w:rPr>
          <w:i/>
          <w:color w:val="000000"/>
        </w:rPr>
        <w:t>(II)</w:t>
      </w:r>
      <w:r w:rsidRPr="00CF1706">
        <w:rPr>
          <w:color w:val="000000"/>
        </w:rPr>
        <w:t>,</w:t>
      </w:r>
    </w:p>
    <w:p w14:paraId="7187EE96" w14:textId="77777777" w:rsidR="005A5BD5" w:rsidRPr="00CF1706" w:rsidRDefault="005A5BD5" w:rsidP="005A5BD5">
      <w:pPr>
        <w:jc w:val="both"/>
        <w:rPr>
          <w:color w:val="000000"/>
        </w:rPr>
      </w:pPr>
    </w:p>
    <w:p w14:paraId="06D8EC81" w14:textId="77777777" w:rsidR="005A5BD5" w:rsidRPr="00CF1706" w:rsidRDefault="005A5BD5" w:rsidP="005A5BD5">
      <w:pPr>
        <w:jc w:val="both"/>
        <w:rPr>
          <w:color w:val="000000"/>
        </w:rPr>
      </w:pPr>
      <w:r w:rsidRPr="00CF1706">
        <w:rPr>
          <w:color w:val="000000"/>
        </w:rPr>
        <w:lastRenderedPageBreak/>
        <w:t xml:space="preserve">- den Königlichen Erlass vom 21. Februar 2014 </w:t>
      </w:r>
      <w:r w:rsidRPr="0080473F">
        <w:rPr>
          <w:color w:val="000000"/>
        </w:rPr>
        <w:t>zur Abänderung des KE/EStGB</w:t>
      </w:r>
      <w:r>
        <w:rPr>
          <w:color w:val="000000"/>
        </w:rPr>
        <w:t> </w:t>
      </w:r>
      <w:r w:rsidRPr="0080473F">
        <w:rPr>
          <w:color w:val="000000"/>
        </w:rPr>
        <w:t>92 hinsichtlich der Vorteile jeglicher Art im Falle</w:t>
      </w:r>
      <w:r>
        <w:rPr>
          <w:color w:val="000000"/>
        </w:rPr>
        <w:t xml:space="preserve"> der Gewährung</w:t>
      </w:r>
      <w:r w:rsidRPr="0080473F">
        <w:rPr>
          <w:color w:val="000000"/>
        </w:rPr>
        <w:t xml:space="preserve"> eines zinslosen Darlehens oder eines Darlehens zu herabgesetztem Zinssatz </w:t>
      </w:r>
      <w:r w:rsidRPr="00CF1706">
        <w:rPr>
          <w:i/>
          <w:color w:val="000000"/>
        </w:rPr>
        <w:t>(III)</w:t>
      </w:r>
      <w:r w:rsidRPr="00CF1706">
        <w:rPr>
          <w:color w:val="000000"/>
        </w:rPr>
        <w:t>,</w:t>
      </w:r>
    </w:p>
    <w:p w14:paraId="4AF5B5A7" w14:textId="77777777" w:rsidR="005A5BD5" w:rsidRPr="00CF1706" w:rsidRDefault="005A5BD5" w:rsidP="005A5BD5">
      <w:pPr>
        <w:jc w:val="both"/>
        <w:rPr>
          <w:color w:val="000000"/>
        </w:rPr>
      </w:pPr>
    </w:p>
    <w:p w14:paraId="4F46A8A0" w14:textId="77777777" w:rsidR="005A5BD5" w:rsidRPr="00CF1706" w:rsidRDefault="005A5BD5" w:rsidP="005A5BD5">
      <w:pPr>
        <w:jc w:val="both"/>
        <w:rPr>
          <w:color w:val="000000"/>
        </w:rPr>
      </w:pPr>
      <w:r w:rsidRPr="00CF1706">
        <w:rPr>
          <w:color w:val="000000"/>
        </w:rPr>
        <w:t xml:space="preserve">- den Königlichen Erlass vom 24. Februar 2014 </w:t>
      </w:r>
      <w:r w:rsidRPr="0080473F">
        <w:rPr>
          <w:color w:val="000000"/>
        </w:rPr>
        <w:t>zur Abänderung des KE/EStGB</w:t>
      </w:r>
      <w:r>
        <w:rPr>
          <w:color w:val="000000"/>
        </w:rPr>
        <w:t> </w:t>
      </w:r>
      <w:r w:rsidRPr="0080473F">
        <w:rPr>
          <w:color w:val="000000"/>
        </w:rPr>
        <w:t>92 hinsichtlich der Vorauszahlungen</w:t>
      </w:r>
      <w:r w:rsidRPr="00CF1706">
        <w:rPr>
          <w:color w:val="000000"/>
        </w:rPr>
        <w:t>,</w:t>
      </w:r>
    </w:p>
    <w:p w14:paraId="64BFDD9C" w14:textId="77777777" w:rsidR="005A5BD5" w:rsidRPr="00CF1706" w:rsidRDefault="005A5BD5" w:rsidP="005A5BD5">
      <w:pPr>
        <w:jc w:val="both"/>
        <w:rPr>
          <w:color w:val="000000"/>
        </w:rPr>
      </w:pPr>
    </w:p>
    <w:p w14:paraId="2FA5A18F" w14:textId="77777777" w:rsidR="005A5BD5" w:rsidRPr="00CF1706" w:rsidRDefault="005A5BD5" w:rsidP="005A5BD5">
      <w:pPr>
        <w:jc w:val="both"/>
        <w:rPr>
          <w:color w:val="000000"/>
        </w:rPr>
      </w:pPr>
      <w:r w:rsidRPr="00CF1706">
        <w:rPr>
          <w:color w:val="000000"/>
        </w:rPr>
        <w:t xml:space="preserve">- den Königlichen Erlass vom 23. März 2014 </w:t>
      </w:r>
      <w:r>
        <w:rPr>
          <w:color w:val="000000"/>
        </w:rPr>
        <w:t>zur Abänderung des KE/EStGB </w:t>
      </w:r>
      <w:r w:rsidRPr="007F02B7">
        <w:rPr>
          <w:color w:val="000000"/>
        </w:rPr>
        <w:t>92 hinsichtlich der Befreiung von der Zahlung des Berufssteuervorabzugs in Ausführung von Artikel</w:t>
      </w:r>
      <w:r>
        <w:rPr>
          <w:color w:val="000000"/>
        </w:rPr>
        <w:t> </w:t>
      </w:r>
      <w:r w:rsidRPr="007F02B7">
        <w:rPr>
          <w:color w:val="000000"/>
        </w:rPr>
        <w:t>275</w:t>
      </w:r>
      <w:r w:rsidRPr="007F02B7">
        <w:rPr>
          <w:color w:val="000000"/>
          <w:vertAlign w:val="superscript"/>
        </w:rPr>
        <w:t>3</w:t>
      </w:r>
      <w:r w:rsidRPr="007F02B7">
        <w:rPr>
          <w:color w:val="000000"/>
        </w:rPr>
        <w:t xml:space="preserve"> §§</w:t>
      </w:r>
      <w:r>
        <w:rPr>
          <w:color w:val="000000"/>
        </w:rPr>
        <w:t> </w:t>
      </w:r>
      <w:r w:rsidRPr="007F02B7">
        <w:rPr>
          <w:color w:val="000000"/>
        </w:rPr>
        <w:t>2 und 3 des Einkommensteuergesetzbuches 1992</w:t>
      </w:r>
      <w:r w:rsidRPr="00CF1706">
        <w:rPr>
          <w:color w:val="000000"/>
        </w:rPr>
        <w:t>,</w:t>
      </w:r>
    </w:p>
    <w:p w14:paraId="0033B668" w14:textId="77777777" w:rsidR="005A5BD5" w:rsidRPr="00CF1706" w:rsidRDefault="005A5BD5" w:rsidP="005A5BD5">
      <w:pPr>
        <w:jc w:val="both"/>
        <w:rPr>
          <w:color w:val="000000"/>
        </w:rPr>
      </w:pPr>
    </w:p>
    <w:p w14:paraId="5AE963E2" w14:textId="77777777" w:rsidR="005A5BD5" w:rsidRPr="00CF1706" w:rsidRDefault="005A5BD5" w:rsidP="005A5BD5">
      <w:pPr>
        <w:jc w:val="both"/>
        <w:rPr>
          <w:color w:val="000000"/>
        </w:rPr>
      </w:pPr>
      <w:r w:rsidRPr="00CF1706">
        <w:rPr>
          <w:color w:val="000000"/>
        </w:rPr>
        <w:t xml:space="preserve">- den Königlichen Erlass vom 26. März 2014 </w:t>
      </w:r>
      <w:r w:rsidRPr="007F02B7">
        <w:rPr>
          <w:color w:val="000000"/>
        </w:rPr>
        <w:t>zur Abänderung des KE/EStGB</w:t>
      </w:r>
      <w:r>
        <w:rPr>
          <w:color w:val="000000"/>
        </w:rPr>
        <w:t> </w:t>
      </w:r>
      <w:r w:rsidRPr="007F02B7">
        <w:rPr>
          <w:color w:val="000000"/>
        </w:rPr>
        <w:t>92 hinsichtlich der Steuerbefreiung für Preise und Zuschüsse, die Wissenschaftlern, Schriftstellern oder Künstlern gezahlt oder zuerkannt werden</w:t>
      </w:r>
      <w:r w:rsidRPr="00CF1706">
        <w:rPr>
          <w:color w:val="000000"/>
        </w:rPr>
        <w:t>,</w:t>
      </w:r>
    </w:p>
    <w:p w14:paraId="46A9C678" w14:textId="77777777" w:rsidR="005A5BD5" w:rsidRPr="00CF1706" w:rsidRDefault="005A5BD5" w:rsidP="005A5BD5">
      <w:pPr>
        <w:jc w:val="both"/>
        <w:rPr>
          <w:color w:val="000000"/>
        </w:rPr>
      </w:pPr>
    </w:p>
    <w:p w14:paraId="7A2FCAFF" w14:textId="77777777" w:rsidR="005A5BD5" w:rsidRPr="00CF1706" w:rsidRDefault="005A5BD5" w:rsidP="005A5BD5">
      <w:pPr>
        <w:jc w:val="both"/>
        <w:rPr>
          <w:color w:val="000000"/>
        </w:rPr>
      </w:pPr>
      <w:r w:rsidRPr="00CF1706">
        <w:rPr>
          <w:color w:val="000000"/>
        </w:rPr>
        <w:t xml:space="preserve">- den Königlichen Erlass vom 4. April 2014 </w:t>
      </w:r>
      <w:r w:rsidRPr="00A253E2">
        <w:rPr>
          <w:color w:val="000000"/>
        </w:rPr>
        <w:t>zur Abänderung der Artikel</w:t>
      </w:r>
      <w:r>
        <w:rPr>
          <w:color w:val="000000"/>
        </w:rPr>
        <w:t> </w:t>
      </w:r>
      <w:r w:rsidRPr="00A253E2">
        <w:rPr>
          <w:color w:val="000000"/>
        </w:rPr>
        <w:t>144/2 und 144/6 des KE/EStGB</w:t>
      </w:r>
      <w:r>
        <w:rPr>
          <w:color w:val="000000"/>
        </w:rPr>
        <w:t> </w:t>
      </w:r>
      <w:r w:rsidRPr="00A253E2">
        <w:rPr>
          <w:color w:val="000000"/>
        </w:rPr>
        <w:t>92 hinsichtlich der Festlegung des Anteils jedes Steuerpflichtigen in der gemeinsamen Veranlagung</w:t>
      </w:r>
      <w:r w:rsidRPr="00CF1706">
        <w:rPr>
          <w:color w:val="000000"/>
        </w:rPr>
        <w:t>,</w:t>
      </w:r>
    </w:p>
    <w:p w14:paraId="168B9DF0" w14:textId="77777777" w:rsidR="005A5BD5" w:rsidRPr="00CF1706" w:rsidRDefault="005A5BD5" w:rsidP="005A5BD5">
      <w:pPr>
        <w:jc w:val="both"/>
        <w:rPr>
          <w:color w:val="000000"/>
        </w:rPr>
      </w:pPr>
    </w:p>
    <w:p w14:paraId="0536B910" w14:textId="77777777" w:rsidR="005A5BD5" w:rsidRPr="00CF1706" w:rsidRDefault="005A5BD5" w:rsidP="005A5BD5">
      <w:pPr>
        <w:jc w:val="both"/>
        <w:rPr>
          <w:color w:val="000000"/>
        </w:rPr>
      </w:pPr>
      <w:r w:rsidRPr="00CF1706">
        <w:rPr>
          <w:color w:val="000000"/>
        </w:rPr>
        <w:t xml:space="preserve">- den Königlichen Erlass vom 25. April 2014 </w:t>
      </w:r>
      <w:r w:rsidRPr="002D535B">
        <w:rPr>
          <w:color w:val="000000"/>
        </w:rPr>
        <w:t>zur Abänderung des KE/EStGB</w:t>
      </w:r>
      <w:r>
        <w:rPr>
          <w:color w:val="000000"/>
        </w:rPr>
        <w:t> </w:t>
      </w:r>
      <w:r w:rsidRPr="002D535B">
        <w:rPr>
          <w:color w:val="000000"/>
        </w:rPr>
        <w:t>92 hinsichtlich der Festlegung des Höchstbetrags der Steuerbefreiung in Bezug auf die Sozialverbind</w:t>
      </w:r>
      <w:r>
        <w:rPr>
          <w:color w:val="000000"/>
        </w:rPr>
        <w:softHyphen/>
      </w:r>
      <w:r w:rsidRPr="002D535B">
        <w:rPr>
          <w:color w:val="000000"/>
        </w:rPr>
        <w:t xml:space="preserve">lichkeiten aufgrund des Einheitsstatuts </w:t>
      </w:r>
      <w:r w:rsidRPr="00CF1706">
        <w:rPr>
          <w:i/>
          <w:color w:val="000000"/>
        </w:rPr>
        <w:t>(I)</w:t>
      </w:r>
      <w:r w:rsidRPr="00CF1706">
        <w:rPr>
          <w:color w:val="000000"/>
        </w:rPr>
        <w:t>,</w:t>
      </w:r>
    </w:p>
    <w:p w14:paraId="1F66491F" w14:textId="77777777" w:rsidR="005A5BD5" w:rsidRPr="00CF1706" w:rsidRDefault="005A5BD5" w:rsidP="005A5BD5">
      <w:pPr>
        <w:jc w:val="both"/>
        <w:rPr>
          <w:color w:val="000000"/>
        </w:rPr>
      </w:pPr>
    </w:p>
    <w:p w14:paraId="320FE77B" w14:textId="77777777" w:rsidR="005A5BD5" w:rsidRPr="00CF1706" w:rsidRDefault="005A5BD5" w:rsidP="005A5BD5">
      <w:pPr>
        <w:jc w:val="both"/>
        <w:rPr>
          <w:color w:val="000000"/>
        </w:rPr>
      </w:pPr>
      <w:r w:rsidRPr="00CF1706">
        <w:rPr>
          <w:color w:val="000000"/>
        </w:rPr>
        <w:t xml:space="preserve">- den Königlichen Erlass vom 25. April 2014 </w:t>
      </w:r>
      <w:r w:rsidRPr="005F0235">
        <w:rPr>
          <w:color w:val="000000"/>
        </w:rPr>
        <w:t>zur Abänderung des KE/EStGB</w:t>
      </w:r>
      <w:r>
        <w:rPr>
          <w:color w:val="000000"/>
        </w:rPr>
        <w:t> </w:t>
      </w:r>
      <w:r w:rsidRPr="005F0235">
        <w:rPr>
          <w:color w:val="000000"/>
        </w:rPr>
        <w:t>92 hinsichtlich der Anwendungsmodalitäten in Bezug auf die Sozialverbindlichkeiten aufgrund des Einheits</w:t>
      </w:r>
      <w:r>
        <w:rPr>
          <w:color w:val="000000"/>
        </w:rPr>
        <w:softHyphen/>
      </w:r>
      <w:r w:rsidRPr="005F0235">
        <w:rPr>
          <w:color w:val="000000"/>
        </w:rPr>
        <w:t xml:space="preserve">statuts </w:t>
      </w:r>
      <w:r w:rsidRPr="00CF1706">
        <w:rPr>
          <w:i/>
          <w:color w:val="000000"/>
        </w:rPr>
        <w:t>(II)</w:t>
      </w:r>
      <w:r w:rsidRPr="00CF1706">
        <w:rPr>
          <w:color w:val="000000"/>
        </w:rPr>
        <w:t>,</w:t>
      </w:r>
    </w:p>
    <w:p w14:paraId="27301C85" w14:textId="77777777" w:rsidR="005A5BD5" w:rsidRPr="00CF1706" w:rsidRDefault="005A5BD5" w:rsidP="005A5BD5">
      <w:pPr>
        <w:jc w:val="both"/>
        <w:rPr>
          <w:color w:val="000000"/>
        </w:rPr>
      </w:pPr>
    </w:p>
    <w:p w14:paraId="7BC2F50D" w14:textId="77777777" w:rsidR="005A5BD5" w:rsidRPr="00CF1706" w:rsidRDefault="005A5BD5" w:rsidP="005A5BD5">
      <w:pPr>
        <w:jc w:val="both"/>
        <w:rPr>
          <w:color w:val="000000"/>
        </w:rPr>
      </w:pPr>
      <w:r w:rsidRPr="00CF1706">
        <w:rPr>
          <w:color w:val="000000"/>
        </w:rPr>
        <w:t xml:space="preserve">- den Königlichen Erlass vom 25. April 2014 </w:t>
      </w:r>
      <w:r w:rsidRPr="001B2F40">
        <w:rPr>
          <w:color w:val="000000"/>
        </w:rPr>
        <w:t>zur Abänderung des KE/EStGB</w:t>
      </w:r>
      <w:r>
        <w:rPr>
          <w:color w:val="000000"/>
        </w:rPr>
        <w:t> </w:t>
      </w:r>
      <w:r w:rsidRPr="001B2F40">
        <w:rPr>
          <w:color w:val="000000"/>
        </w:rPr>
        <w:t>92 hinsichtlich der Zulassung der in Artikel</w:t>
      </w:r>
      <w:r>
        <w:rPr>
          <w:color w:val="000000"/>
        </w:rPr>
        <w:t> 2</w:t>
      </w:r>
      <w:r w:rsidRPr="0093350D">
        <w:rPr>
          <w:color w:val="000000"/>
        </w:rPr>
        <w:t>75</w:t>
      </w:r>
      <w:r w:rsidRPr="0093350D">
        <w:rPr>
          <w:color w:val="000000"/>
          <w:vertAlign w:val="superscript"/>
        </w:rPr>
        <w:t>3</w:t>
      </w:r>
      <w:r w:rsidRPr="0093350D">
        <w:rPr>
          <w:color w:val="000000"/>
        </w:rPr>
        <w:t xml:space="preserve"> §</w:t>
      </w:r>
      <w:r>
        <w:rPr>
          <w:color w:val="000000"/>
        </w:rPr>
        <w:t> </w:t>
      </w:r>
      <w:r w:rsidRPr="0093350D">
        <w:rPr>
          <w:color w:val="000000"/>
        </w:rPr>
        <w:t>1 Absatz</w:t>
      </w:r>
      <w:r>
        <w:rPr>
          <w:color w:val="000000"/>
        </w:rPr>
        <w:t> </w:t>
      </w:r>
      <w:r w:rsidRPr="0093350D">
        <w:rPr>
          <w:color w:val="000000"/>
        </w:rPr>
        <w:t>2 des Einkommensteuergesetzbuches</w:t>
      </w:r>
      <w:r>
        <w:rPr>
          <w:color w:val="000000"/>
        </w:rPr>
        <w:t> </w:t>
      </w:r>
      <w:r w:rsidRPr="0093350D">
        <w:rPr>
          <w:color w:val="000000"/>
        </w:rPr>
        <w:t>1992 erwähnten wissenschaftlichen Einrichtungen</w:t>
      </w:r>
      <w:r w:rsidRPr="00CF1706">
        <w:rPr>
          <w:color w:val="000000"/>
        </w:rPr>
        <w:t xml:space="preserve"> </w:t>
      </w:r>
      <w:r w:rsidRPr="00CF1706">
        <w:rPr>
          <w:i/>
          <w:color w:val="000000"/>
        </w:rPr>
        <w:t>(III)</w:t>
      </w:r>
      <w:r w:rsidRPr="00CF1706">
        <w:rPr>
          <w:color w:val="000000"/>
        </w:rPr>
        <w:t>,</w:t>
      </w:r>
    </w:p>
    <w:p w14:paraId="013FF2A8" w14:textId="77777777" w:rsidR="005A5BD5" w:rsidRPr="00CF1706" w:rsidRDefault="005A5BD5" w:rsidP="005A5BD5">
      <w:pPr>
        <w:jc w:val="both"/>
        <w:rPr>
          <w:color w:val="000000"/>
        </w:rPr>
      </w:pPr>
    </w:p>
    <w:p w14:paraId="0D4CBF1F" w14:textId="77777777" w:rsidR="005A5BD5" w:rsidRPr="00CF1706" w:rsidRDefault="005A5BD5" w:rsidP="005A5BD5">
      <w:pPr>
        <w:jc w:val="both"/>
        <w:rPr>
          <w:color w:val="000000"/>
        </w:rPr>
      </w:pPr>
      <w:r w:rsidRPr="00CF1706">
        <w:rPr>
          <w:color w:val="000000"/>
        </w:rPr>
        <w:t xml:space="preserve">- den Königlichen Erlass vom 19. Mai 2014 </w:t>
      </w:r>
      <w:r w:rsidRPr="005F0235">
        <w:rPr>
          <w:color w:val="000000"/>
        </w:rPr>
        <w:t>zur Abänderung des KE/EStGB</w:t>
      </w:r>
      <w:r>
        <w:rPr>
          <w:color w:val="000000"/>
        </w:rPr>
        <w:t> </w:t>
      </w:r>
      <w:r w:rsidRPr="005F0235">
        <w:rPr>
          <w:color w:val="000000"/>
        </w:rPr>
        <w:t>92 hinsichtlich des Neubewertungskoeffizienten für Katastereinkommen</w:t>
      </w:r>
      <w:r w:rsidRPr="00CF1706">
        <w:rPr>
          <w:color w:val="000000"/>
        </w:rPr>
        <w:t>,</w:t>
      </w:r>
    </w:p>
    <w:p w14:paraId="544CC28E" w14:textId="77777777" w:rsidR="005A5BD5" w:rsidRPr="00CF1706" w:rsidRDefault="005A5BD5" w:rsidP="005A5BD5">
      <w:pPr>
        <w:jc w:val="both"/>
        <w:rPr>
          <w:color w:val="000000"/>
        </w:rPr>
      </w:pPr>
    </w:p>
    <w:p w14:paraId="1FD0B311" w14:textId="77777777" w:rsidR="005A5BD5" w:rsidRPr="00CF1706" w:rsidRDefault="005A5BD5" w:rsidP="005A5BD5">
      <w:pPr>
        <w:jc w:val="both"/>
        <w:rPr>
          <w:color w:val="000000"/>
        </w:rPr>
      </w:pPr>
      <w:r w:rsidRPr="00CF1706">
        <w:rPr>
          <w:color w:val="000000"/>
        </w:rPr>
        <w:t xml:space="preserve">- den Königlichen Erlass vom 13. Juni 2014 </w:t>
      </w:r>
      <w:r>
        <w:rPr>
          <w:color w:val="000000"/>
        </w:rPr>
        <w:t xml:space="preserve">zur Ausführung von Artikel 16 des </w:t>
      </w:r>
      <w:r w:rsidRPr="000636A8">
        <w:rPr>
          <w:color w:val="000000"/>
        </w:rPr>
        <w:t>Gesetz</w:t>
      </w:r>
      <w:r>
        <w:rPr>
          <w:color w:val="000000"/>
        </w:rPr>
        <w:t>es vom 15. Mai 2014</w:t>
      </w:r>
      <w:r w:rsidRPr="000636A8">
        <w:rPr>
          <w:color w:val="000000"/>
        </w:rPr>
        <w:t xml:space="preserve"> zur Ausführung des Pakts für Wettbewerbsfähigkeit, Beschäftigung und Wirtschaftsbelebung</w:t>
      </w:r>
      <w:r>
        <w:rPr>
          <w:color w:val="000000"/>
        </w:rPr>
        <w:t xml:space="preserve"> und der Artikel 275</w:t>
      </w:r>
      <w:r w:rsidRPr="002D5AF1">
        <w:rPr>
          <w:color w:val="000000"/>
          <w:vertAlign w:val="superscript"/>
        </w:rPr>
        <w:t>8</w:t>
      </w:r>
      <w:r>
        <w:rPr>
          <w:color w:val="000000"/>
        </w:rPr>
        <w:t xml:space="preserve"> und 275</w:t>
      </w:r>
      <w:r w:rsidRPr="002D5AF1">
        <w:rPr>
          <w:color w:val="000000"/>
          <w:vertAlign w:val="superscript"/>
        </w:rPr>
        <w:t>9</w:t>
      </w:r>
      <w:r>
        <w:rPr>
          <w:color w:val="000000"/>
        </w:rPr>
        <w:t xml:space="preserve"> des </w:t>
      </w:r>
      <w:r w:rsidRPr="0093350D">
        <w:rPr>
          <w:color w:val="000000"/>
        </w:rPr>
        <w:t>Einkommensteuergesetzbuches</w:t>
      </w:r>
      <w:r>
        <w:rPr>
          <w:color w:val="000000"/>
        </w:rPr>
        <w:t> </w:t>
      </w:r>
      <w:r w:rsidRPr="0093350D">
        <w:rPr>
          <w:color w:val="000000"/>
        </w:rPr>
        <w:t>1992</w:t>
      </w:r>
      <w:r w:rsidRPr="00CF1706">
        <w:rPr>
          <w:color w:val="000000"/>
        </w:rPr>
        <w:t>,</w:t>
      </w:r>
    </w:p>
    <w:p w14:paraId="24725D82" w14:textId="77777777" w:rsidR="005A5BD5" w:rsidRPr="00CF1706" w:rsidRDefault="005A5BD5" w:rsidP="005A5BD5">
      <w:pPr>
        <w:jc w:val="both"/>
        <w:rPr>
          <w:color w:val="000000"/>
        </w:rPr>
      </w:pPr>
    </w:p>
    <w:p w14:paraId="5279FEE5" w14:textId="77777777" w:rsidR="005A5BD5" w:rsidRDefault="005A5BD5" w:rsidP="005A5BD5">
      <w:pPr>
        <w:jc w:val="both"/>
        <w:rPr>
          <w:color w:val="000000"/>
        </w:rPr>
      </w:pPr>
      <w:r w:rsidRPr="00CF1706">
        <w:rPr>
          <w:color w:val="000000"/>
        </w:rPr>
        <w:t xml:space="preserve">- den Königlichen Erlass vom 18. Juni 2014 </w:t>
      </w:r>
      <w:r w:rsidRPr="00EF07C2">
        <w:rPr>
          <w:color w:val="000000"/>
        </w:rPr>
        <w:t>zur Abänderung des KE/EStGB</w:t>
      </w:r>
      <w:r>
        <w:rPr>
          <w:color w:val="000000"/>
        </w:rPr>
        <w:t> </w:t>
      </w:r>
      <w:r w:rsidRPr="00EF07C2">
        <w:rPr>
          <w:color w:val="000000"/>
        </w:rPr>
        <w:t>92 hinsichtlich des Berufssteuervorabzugs</w:t>
      </w:r>
      <w:r w:rsidRPr="00CF1706">
        <w:rPr>
          <w:color w:val="000000"/>
        </w:rPr>
        <w:t>,</w:t>
      </w:r>
    </w:p>
    <w:p w14:paraId="2D3479A6" w14:textId="77777777" w:rsidR="005A5BD5" w:rsidRDefault="005A5BD5" w:rsidP="005A5BD5">
      <w:pPr>
        <w:jc w:val="both"/>
        <w:rPr>
          <w:color w:val="000000"/>
        </w:rPr>
      </w:pPr>
    </w:p>
    <w:p w14:paraId="512BA2B4" w14:textId="77777777" w:rsidR="005A5BD5" w:rsidRPr="00CF1706" w:rsidRDefault="005A5BD5" w:rsidP="005A5BD5">
      <w:pPr>
        <w:jc w:val="both"/>
        <w:rPr>
          <w:color w:val="000000"/>
        </w:rPr>
      </w:pPr>
      <w:r w:rsidRPr="00CF1706">
        <w:rPr>
          <w:color w:val="000000"/>
        </w:rPr>
        <w:t xml:space="preserve">- den Königlichen Erlass vom 30. Juni 2014 </w:t>
      </w:r>
      <w:r w:rsidRPr="009F0F83">
        <w:rPr>
          <w:bCs/>
        </w:rPr>
        <w:t>zur Abänderung d</w:t>
      </w:r>
      <w:r>
        <w:rPr>
          <w:bCs/>
        </w:rPr>
        <w:t xml:space="preserve">es KE/EStGB 92 hinsichtlich der Steuerermäßigungen in Bezug auf die in Artikel 5/5 § 4 Absatz 1 des </w:t>
      </w:r>
      <w:r w:rsidRPr="00CA3B1A">
        <w:rPr>
          <w:bCs/>
        </w:rPr>
        <w:t>Sondergesetz</w:t>
      </w:r>
      <w:r>
        <w:rPr>
          <w:bCs/>
        </w:rPr>
        <w:t>es vom 16. Januar 1989</w:t>
      </w:r>
      <w:r w:rsidRPr="00CA3B1A">
        <w:rPr>
          <w:bCs/>
        </w:rPr>
        <w:t xml:space="preserve"> bezüglich der Finanzierung der Gemeinschaften und Regionen</w:t>
      </w:r>
      <w:r>
        <w:rPr>
          <w:bCs/>
        </w:rPr>
        <w:t xml:space="preserve"> erwähnten Ausgaben</w:t>
      </w:r>
      <w:r w:rsidRPr="00CF1706">
        <w:rPr>
          <w:color w:val="000000"/>
        </w:rPr>
        <w:t>,</w:t>
      </w:r>
    </w:p>
    <w:p w14:paraId="120DC596" w14:textId="77777777" w:rsidR="005A5BD5" w:rsidRPr="00CF1706" w:rsidRDefault="005A5BD5" w:rsidP="005A5BD5">
      <w:pPr>
        <w:jc w:val="both"/>
        <w:rPr>
          <w:color w:val="000000"/>
        </w:rPr>
      </w:pPr>
    </w:p>
    <w:p w14:paraId="3561B813" w14:textId="77777777" w:rsidR="005A5BD5" w:rsidRPr="00CF1706" w:rsidRDefault="005A5BD5" w:rsidP="005A5BD5">
      <w:pPr>
        <w:jc w:val="both"/>
        <w:rPr>
          <w:color w:val="000000"/>
        </w:rPr>
      </w:pPr>
      <w:r w:rsidRPr="00CF1706">
        <w:rPr>
          <w:color w:val="000000"/>
        </w:rPr>
        <w:t xml:space="preserve">- den Königlichen Erlass vom 17. Juli 2014 </w:t>
      </w:r>
      <w:r w:rsidRPr="009F0F83">
        <w:rPr>
          <w:bCs/>
        </w:rPr>
        <w:t xml:space="preserve">zur Abänderung </w:t>
      </w:r>
      <w:r>
        <w:rPr>
          <w:bCs/>
        </w:rPr>
        <w:t xml:space="preserve">von Artikel 4 des </w:t>
      </w:r>
      <w:r w:rsidRPr="002D5AF1">
        <w:rPr>
          <w:bCs/>
        </w:rPr>
        <w:t>Königliche</w:t>
      </w:r>
      <w:r>
        <w:rPr>
          <w:bCs/>
        </w:rPr>
        <w:t>n</w:t>
      </w:r>
      <w:r w:rsidRPr="002D5AF1">
        <w:rPr>
          <w:bCs/>
        </w:rPr>
        <w:t xml:space="preserve"> Erlass</w:t>
      </w:r>
      <w:r>
        <w:rPr>
          <w:bCs/>
        </w:rPr>
        <w:t>es vom 13. Juni 2014</w:t>
      </w:r>
      <w:r w:rsidRPr="002D5AF1">
        <w:rPr>
          <w:bCs/>
        </w:rPr>
        <w:t xml:space="preserve"> </w:t>
      </w:r>
      <w:r w:rsidRPr="002D5AF1">
        <w:rPr>
          <w:color w:val="000000"/>
        </w:rPr>
        <w:t>zur Ausführung von</w:t>
      </w:r>
      <w:r>
        <w:rPr>
          <w:color w:val="000000"/>
        </w:rPr>
        <w:t xml:space="preserve"> Artikel 16 des </w:t>
      </w:r>
      <w:r w:rsidRPr="000636A8">
        <w:rPr>
          <w:color w:val="000000"/>
        </w:rPr>
        <w:t>Gesetz</w:t>
      </w:r>
      <w:r>
        <w:rPr>
          <w:color w:val="000000"/>
        </w:rPr>
        <w:t>es vom 15. Mai 2014</w:t>
      </w:r>
      <w:r w:rsidRPr="000636A8">
        <w:rPr>
          <w:color w:val="000000"/>
        </w:rPr>
        <w:t xml:space="preserve"> zur Ausführung des Pakts für Wettbewerbsfähigkeit, Beschäftigung und Wirtschaftsbelebung</w:t>
      </w:r>
      <w:r>
        <w:rPr>
          <w:color w:val="000000"/>
        </w:rPr>
        <w:t xml:space="preserve"> und der Artikel 275</w:t>
      </w:r>
      <w:r w:rsidRPr="002D5AF1">
        <w:rPr>
          <w:color w:val="000000"/>
          <w:vertAlign w:val="superscript"/>
        </w:rPr>
        <w:t>8</w:t>
      </w:r>
      <w:r>
        <w:rPr>
          <w:color w:val="000000"/>
        </w:rPr>
        <w:t xml:space="preserve"> und 275</w:t>
      </w:r>
      <w:r w:rsidRPr="002D5AF1">
        <w:rPr>
          <w:color w:val="000000"/>
          <w:vertAlign w:val="superscript"/>
        </w:rPr>
        <w:t>9</w:t>
      </w:r>
      <w:r>
        <w:rPr>
          <w:color w:val="000000"/>
        </w:rPr>
        <w:t xml:space="preserve"> des </w:t>
      </w:r>
      <w:r w:rsidRPr="0093350D">
        <w:rPr>
          <w:color w:val="000000"/>
        </w:rPr>
        <w:t>Einkommensteuergesetzbuches</w:t>
      </w:r>
      <w:r>
        <w:rPr>
          <w:color w:val="000000"/>
        </w:rPr>
        <w:t> </w:t>
      </w:r>
      <w:r w:rsidRPr="0093350D">
        <w:rPr>
          <w:color w:val="000000"/>
        </w:rPr>
        <w:t>1992</w:t>
      </w:r>
      <w:r w:rsidRPr="00CF1706">
        <w:rPr>
          <w:color w:val="000000"/>
        </w:rPr>
        <w:t>,</w:t>
      </w:r>
    </w:p>
    <w:p w14:paraId="00DF8DAB" w14:textId="77777777" w:rsidR="005A5BD5" w:rsidRPr="00CF1706" w:rsidRDefault="005A5BD5" w:rsidP="005A5BD5">
      <w:pPr>
        <w:jc w:val="both"/>
        <w:rPr>
          <w:color w:val="000000"/>
        </w:rPr>
      </w:pPr>
    </w:p>
    <w:p w14:paraId="1B4A87A7" w14:textId="77777777" w:rsidR="005A5BD5" w:rsidRPr="00CF1706" w:rsidRDefault="005A5BD5" w:rsidP="005A5BD5">
      <w:pPr>
        <w:jc w:val="both"/>
        <w:rPr>
          <w:color w:val="000000"/>
        </w:rPr>
      </w:pPr>
      <w:r w:rsidRPr="00CF1706">
        <w:rPr>
          <w:color w:val="000000"/>
        </w:rPr>
        <w:t xml:space="preserve">- den Königlichen Erlass vom 4. August 2014 </w:t>
      </w:r>
      <w:r w:rsidRPr="00D10461">
        <w:rPr>
          <w:color w:val="000000"/>
        </w:rPr>
        <w:t>zur Abänderung des KE/EStGB</w:t>
      </w:r>
      <w:r>
        <w:rPr>
          <w:color w:val="000000"/>
        </w:rPr>
        <w:t> </w:t>
      </w:r>
      <w:r w:rsidRPr="00D10461">
        <w:rPr>
          <w:color w:val="000000"/>
        </w:rPr>
        <w:t>92 hinsichtlich der Umwandlung des Abzugs von unentgeltlichen Zuwendungen in eine Steuerermäßigung und hinsichtlich der Bestimmungen in Bezug auf die Zulassung der Einrichtungen, die unentgeltliche Zuwendungen empfangen dürfen</w:t>
      </w:r>
      <w:r w:rsidRPr="00CF1706">
        <w:rPr>
          <w:color w:val="000000"/>
        </w:rPr>
        <w:t>,</w:t>
      </w:r>
    </w:p>
    <w:p w14:paraId="1542E3CB" w14:textId="77777777" w:rsidR="005A5BD5" w:rsidRPr="00CF1706" w:rsidRDefault="005A5BD5" w:rsidP="005A5BD5">
      <w:pPr>
        <w:jc w:val="both"/>
        <w:rPr>
          <w:color w:val="000000"/>
        </w:rPr>
      </w:pPr>
    </w:p>
    <w:p w14:paraId="4229A4B8" w14:textId="77777777" w:rsidR="005A5BD5" w:rsidRPr="00CF1706" w:rsidRDefault="005A5BD5" w:rsidP="005A5BD5">
      <w:pPr>
        <w:jc w:val="both"/>
        <w:rPr>
          <w:color w:val="000000"/>
        </w:rPr>
      </w:pPr>
      <w:r w:rsidRPr="00CF1706">
        <w:rPr>
          <w:color w:val="000000"/>
        </w:rPr>
        <w:t xml:space="preserve">- den Königlichen Erlass vom 30. September 2014 </w:t>
      </w:r>
      <w:r w:rsidRPr="00A677D6">
        <w:rPr>
          <w:color w:val="000000"/>
        </w:rPr>
        <w:t>zur Abänderung des KE/EStGB</w:t>
      </w:r>
      <w:r>
        <w:rPr>
          <w:color w:val="000000"/>
        </w:rPr>
        <w:t> </w:t>
      </w:r>
      <w:r w:rsidRPr="00A677D6">
        <w:rPr>
          <w:color w:val="000000"/>
        </w:rPr>
        <w:t>92 hinsichtlich der Umwandlung des Abzugs der Ausgaben für Kinderbetreuung in eine Steuerermäßigung</w:t>
      </w:r>
      <w:r w:rsidRPr="00CF1706">
        <w:rPr>
          <w:color w:val="000000"/>
        </w:rPr>
        <w:t xml:space="preserve"> </w:t>
      </w:r>
      <w:r w:rsidRPr="00CF1706">
        <w:rPr>
          <w:i/>
          <w:color w:val="000000"/>
        </w:rPr>
        <w:t>(I)</w:t>
      </w:r>
      <w:r w:rsidRPr="00CF1706">
        <w:rPr>
          <w:color w:val="000000"/>
        </w:rPr>
        <w:t>,</w:t>
      </w:r>
    </w:p>
    <w:p w14:paraId="52A1115A" w14:textId="77777777" w:rsidR="005A5BD5" w:rsidRPr="00CF1706" w:rsidRDefault="005A5BD5" w:rsidP="005A5BD5">
      <w:pPr>
        <w:jc w:val="both"/>
        <w:rPr>
          <w:color w:val="000000"/>
        </w:rPr>
      </w:pPr>
    </w:p>
    <w:p w14:paraId="08239E70" w14:textId="77777777" w:rsidR="005A5BD5" w:rsidRPr="00CF1706" w:rsidRDefault="005A5BD5" w:rsidP="005A5BD5">
      <w:pPr>
        <w:jc w:val="both"/>
        <w:rPr>
          <w:color w:val="000000"/>
        </w:rPr>
      </w:pPr>
      <w:r w:rsidRPr="00CF1706">
        <w:rPr>
          <w:color w:val="000000"/>
        </w:rPr>
        <w:t xml:space="preserve">- den Königlichen Erlass vom 30. September 2014 </w:t>
      </w:r>
      <w:r w:rsidRPr="004E553C">
        <w:rPr>
          <w:color w:val="000000"/>
        </w:rPr>
        <w:t>zur Abänderung des KE/EStGB</w:t>
      </w:r>
      <w:r>
        <w:rPr>
          <w:color w:val="000000"/>
        </w:rPr>
        <w:t> </w:t>
      </w:r>
      <w:r w:rsidRPr="004E553C">
        <w:rPr>
          <w:color w:val="000000"/>
        </w:rPr>
        <w:t>92 hinsichtlich der Steuerermäßigungen für Ausgaben zur Energieeinsparung in einer Wohnung und für energieeffiziente Wohnungen und infolge der Einführung der regionalen Zuschlagsteuer auf die Steuer der natürlichen Personen und der Abänderung der Regeln in Bezug auf die Steuer der Gebietsfremden</w:t>
      </w:r>
      <w:r w:rsidRPr="00CF1706">
        <w:rPr>
          <w:color w:val="000000"/>
        </w:rPr>
        <w:t xml:space="preserve"> </w:t>
      </w:r>
      <w:r w:rsidRPr="00CF1706">
        <w:rPr>
          <w:i/>
          <w:color w:val="000000"/>
        </w:rPr>
        <w:t>(II)</w:t>
      </w:r>
      <w:r w:rsidRPr="00CF1706">
        <w:rPr>
          <w:color w:val="000000"/>
        </w:rPr>
        <w:t>,</w:t>
      </w:r>
    </w:p>
    <w:p w14:paraId="5981E203" w14:textId="77777777" w:rsidR="005A5BD5" w:rsidRPr="00CF1706" w:rsidRDefault="005A5BD5" w:rsidP="005A5BD5">
      <w:pPr>
        <w:jc w:val="both"/>
        <w:rPr>
          <w:color w:val="000000"/>
        </w:rPr>
      </w:pPr>
    </w:p>
    <w:p w14:paraId="66C87730" w14:textId="77777777" w:rsidR="005A5BD5" w:rsidRPr="00CF1706" w:rsidRDefault="005A5BD5" w:rsidP="005A5BD5">
      <w:pPr>
        <w:jc w:val="both"/>
        <w:rPr>
          <w:color w:val="000000"/>
        </w:rPr>
      </w:pPr>
      <w:r w:rsidRPr="00CF1706">
        <w:rPr>
          <w:color w:val="000000"/>
        </w:rPr>
        <w:t xml:space="preserve">- den Königlichen Erlass vom 10. Dezember 2014 </w:t>
      </w:r>
      <w:r w:rsidRPr="00C2350D">
        <w:rPr>
          <w:color w:val="000000"/>
        </w:rPr>
        <w:t>zur Abänderung des KE/EStGB</w:t>
      </w:r>
      <w:r>
        <w:rPr>
          <w:color w:val="000000"/>
        </w:rPr>
        <w:t> </w:t>
      </w:r>
      <w:r w:rsidRPr="00C2350D">
        <w:rPr>
          <w:color w:val="000000"/>
        </w:rPr>
        <w:t>92 hinsichtlich des Berufssteuervorabzugs</w:t>
      </w:r>
      <w:r w:rsidRPr="00CF1706">
        <w:rPr>
          <w:color w:val="000000"/>
        </w:rPr>
        <w:t>,</w:t>
      </w:r>
    </w:p>
    <w:p w14:paraId="33914E12" w14:textId="77777777" w:rsidR="005A5BD5" w:rsidRPr="00CF1706" w:rsidRDefault="005A5BD5" w:rsidP="005A5BD5">
      <w:pPr>
        <w:jc w:val="both"/>
        <w:rPr>
          <w:color w:val="000000"/>
        </w:rPr>
      </w:pPr>
    </w:p>
    <w:p w14:paraId="686CD603" w14:textId="77777777" w:rsidR="005A5BD5" w:rsidRPr="00CF1706" w:rsidRDefault="005A5BD5" w:rsidP="005A5BD5">
      <w:pPr>
        <w:jc w:val="both"/>
        <w:rPr>
          <w:color w:val="000000"/>
        </w:rPr>
      </w:pPr>
      <w:r w:rsidRPr="00CF1706">
        <w:rPr>
          <w:color w:val="000000"/>
        </w:rPr>
        <w:t xml:space="preserve">- den Königlichen Erlass vom 16. Dezember 2014 </w:t>
      </w:r>
      <w:r w:rsidRPr="00C2350D">
        <w:rPr>
          <w:color w:val="000000"/>
        </w:rPr>
        <w:t>zur Abänderung des KE/EStGB</w:t>
      </w:r>
      <w:r>
        <w:rPr>
          <w:color w:val="000000"/>
        </w:rPr>
        <w:t> </w:t>
      </w:r>
      <w:r w:rsidRPr="00C2350D">
        <w:rPr>
          <w:color w:val="000000"/>
        </w:rPr>
        <w:t>92 hinsichtlich der Vorteile jeglicher Art für die Nutzung zu persönlichen Zwecken eines kostenlos zur Verfügung gestellten Fahrzeugs</w:t>
      </w:r>
      <w:r w:rsidRPr="00CF1706">
        <w:rPr>
          <w:color w:val="000000"/>
        </w:rPr>
        <w:t>,</w:t>
      </w:r>
    </w:p>
    <w:p w14:paraId="325B2A40" w14:textId="77777777" w:rsidR="005A5BD5" w:rsidRPr="00CF1706" w:rsidRDefault="005A5BD5" w:rsidP="005A5BD5">
      <w:pPr>
        <w:jc w:val="both"/>
        <w:rPr>
          <w:color w:val="000000"/>
        </w:rPr>
      </w:pPr>
    </w:p>
    <w:p w14:paraId="6E70A812" w14:textId="77777777" w:rsidR="005A5BD5" w:rsidRDefault="005A5BD5" w:rsidP="005A5BD5">
      <w:pPr>
        <w:jc w:val="both"/>
        <w:rPr>
          <w:color w:val="000000"/>
        </w:rPr>
      </w:pPr>
      <w:r w:rsidRPr="00CF1706">
        <w:rPr>
          <w:color w:val="000000"/>
        </w:rPr>
        <w:t xml:space="preserve">- den Königlichen Erlass vom 19. Dezember 2014 </w:t>
      </w:r>
      <w:r w:rsidRPr="008E728F">
        <w:rPr>
          <w:bCs/>
        </w:rPr>
        <w:t xml:space="preserve">zur </w:t>
      </w:r>
      <w:r>
        <w:rPr>
          <w:bCs/>
        </w:rPr>
        <w:t>Ausführung von Artikel 194</w:t>
      </w:r>
      <w:r>
        <w:rPr>
          <w:bCs/>
          <w:i/>
        </w:rPr>
        <w:t>ter</w:t>
      </w:r>
      <w:r>
        <w:rPr>
          <w:bCs/>
        </w:rPr>
        <w:t xml:space="preserve"> des </w:t>
      </w:r>
      <w:r w:rsidRPr="0093350D">
        <w:rPr>
          <w:color w:val="000000"/>
        </w:rPr>
        <w:t>Einkommensteuergesetzbuches</w:t>
      </w:r>
      <w:r>
        <w:rPr>
          <w:color w:val="000000"/>
        </w:rPr>
        <w:t> </w:t>
      </w:r>
      <w:r w:rsidRPr="0093350D">
        <w:rPr>
          <w:color w:val="000000"/>
        </w:rPr>
        <w:t>1992</w:t>
      </w:r>
      <w:r>
        <w:rPr>
          <w:color w:val="000000"/>
        </w:rPr>
        <w:t xml:space="preserve"> </w:t>
      </w:r>
      <w:r w:rsidRPr="00860B9C">
        <w:rPr>
          <w:color w:val="000000"/>
        </w:rPr>
        <w:t>in Bezug auf die Modalitäten und Bedingungen des Verfahrens für die Zulassung von Produktionsgesellschaften und Vermittlern, die in Betracht kommen</w:t>
      </w:r>
      <w:r w:rsidR="00020C32">
        <w:rPr>
          <w:color w:val="000000"/>
        </w:rPr>
        <w:t>,</w:t>
      </w:r>
    </w:p>
    <w:p w14:paraId="72ECBE09" w14:textId="77777777" w:rsidR="00550A5A" w:rsidRDefault="00550A5A" w:rsidP="00550A5A">
      <w:pPr>
        <w:jc w:val="both"/>
        <w:rPr>
          <w:color w:val="000000"/>
        </w:rPr>
      </w:pPr>
    </w:p>
    <w:p w14:paraId="7F435714" w14:textId="77777777" w:rsidR="00550A5A" w:rsidRDefault="00550A5A" w:rsidP="00550A5A">
      <w:pPr>
        <w:jc w:val="both"/>
      </w:pPr>
      <w:r>
        <w:t xml:space="preserve">- den Königlichen Erlass vom 20. Januar 2015 </w:t>
      </w:r>
      <w:r>
        <w:rPr>
          <w:color w:val="000000"/>
        </w:rPr>
        <w:t>zur Abänderung des KE/EStGB 92 hinsichtlich des Berufssteuervorabzugs auf Leistungen im Rahmen des Pensionssparens</w:t>
      </w:r>
      <w:r>
        <w:t xml:space="preserve"> (</w:t>
      </w:r>
      <w:r>
        <w:rPr>
          <w:i/>
        </w:rPr>
        <w:t xml:space="preserve">Belgisches Staatsblatt </w:t>
      </w:r>
      <w:r>
        <w:t>vom 16. März 2016),</w:t>
      </w:r>
    </w:p>
    <w:p w14:paraId="55708530" w14:textId="77777777" w:rsidR="00020C32" w:rsidRDefault="00020C32" w:rsidP="005A5BD5">
      <w:pPr>
        <w:jc w:val="both"/>
        <w:rPr>
          <w:color w:val="000000"/>
        </w:rPr>
      </w:pPr>
    </w:p>
    <w:p w14:paraId="58B26411" w14:textId="77777777" w:rsidR="00020C32" w:rsidRDefault="00020C32" w:rsidP="005A5BD5">
      <w:pPr>
        <w:jc w:val="both"/>
        <w:rPr>
          <w:color w:val="000000"/>
        </w:rPr>
      </w:pPr>
      <w:r>
        <w:rPr>
          <w:color w:val="000000"/>
        </w:rPr>
        <w:t xml:space="preserve">- den Königlichen Erlass vom 22. Februar 2015 </w:t>
      </w:r>
      <w:r w:rsidRPr="00020C32">
        <w:rPr>
          <w:color w:val="000000"/>
        </w:rPr>
        <w:t>zur Abänderung des KE/EStGB 92 hinsichtlich der Vorteile jeglicher Art im Falle der Gewährung eines zinslosen Darlehens oder eines Darlehens zu herabgesetztem Zinssatz</w:t>
      </w:r>
      <w:r>
        <w:rPr>
          <w:color w:val="000000"/>
        </w:rPr>
        <w:t xml:space="preserve"> (</w:t>
      </w:r>
      <w:r>
        <w:rPr>
          <w:i/>
          <w:color w:val="000000"/>
        </w:rPr>
        <w:t>Belgisches Staatsblatt</w:t>
      </w:r>
      <w:r w:rsidR="00440BE3">
        <w:rPr>
          <w:color w:val="000000"/>
        </w:rPr>
        <w:t xml:space="preserve"> vom 15. März 2016),</w:t>
      </w:r>
    </w:p>
    <w:p w14:paraId="4EB5D404" w14:textId="77777777" w:rsidR="00440BE3" w:rsidRDefault="00440BE3" w:rsidP="005A5BD5">
      <w:pPr>
        <w:jc w:val="both"/>
        <w:rPr>
          <w:color w:val="000000"/>
        </w:rPr>
      </w:pPr>
    </w:p>
    <w:p w14:paraId="30937040" w14:textId="77777777" w:rsidR="00440BE3" w:rsidRDefault="00440BE3" w:rsidP="005A5BD5">
      <w:pPr>
        <w:jc w:val="both"/>
        <w:rPr>
          <w:color w:val="000000"/>
        </w:rPr>
      </w:pPr>
      <w:r>
        <w:rPr>
          <w:color w:val="000000"/>
        </w:rPr>
        <w:t xml:space="preserve">- den Königlichen Erlass vom 2. März 2015 </w:t>
      </w:r>
      <w:r w:rsidRPr="00440BE3">
        <w:rPr>
          <w:color w:val="000000"/>
        </w:rPr>
        <w:t>zur Abänderung des KE/EStGB 92 hinsichtlich der Vorauszahlungen</w:t>
      </w:r>
      <w:r>
        <w:rPr>
          <w:color w:val="000000"/>
        </w:rPr>
        <w:t xml:space="preserve"> (</w:t>
      </w:r>
      <w:r>
        <w:rPr>
          <w:i/>
          <w:color w:val="000000"/>
        </w:rPr>
        <w:t>Belgisches Staatsblatt</w:t>
      </w:r>
      <w:r w:rsidR="0002084C">
        <w:rPr>
          <w:color w:val="000000"/>
        </w:rPr>
        <w:t xml:space="preserve"> vom 22. März 2016),</w:t>
      </w:r>
    </w:p>
    <w:p w14:paraId="23461614" w14:textId="77777777" w:rsidR="0002084C" w:rsidRDefault="0002084C" w:rsidP="005A5BD5">
      <w:pPr>
        <w:jc w:val="both"/>
        <w:rPr>
          <w:color w:val="000000"/>
        </w:rPr>
      </w:pPr>
    </w:p>
    <w:p w14:paraId="1998699D" w14:textId="77777777" w:rsidR="002D7FDB" w:rsidRDefault="002D7FDB" w:rsidP="002D7FDB">
      <w:pPr>
        <w:jc w:val="both"/>
        <w:rPr>
          <w:color w:val="000000"/>
        </w:rPr>
      </w:pPr>
      <w:r>
        <w:rPr>
          <w:color w:val="000000"/>
        </w:rPr>
        <w:t>- das Gesetz vom 24. März 2015 zur Anpassung des Titels 3 des Gesetzes vom 15. Mai 2014 zur Ausführung des Pakts für Wettbewerbsfähigkeit, Beschäftigung und Wirtschaftsbelebung und der Artikel 275 8 und 275 9 des Einkommensteuergesetzbuches 1992 an die Verordnung (EU) Nr. 651/2014 der Kommission vom 17. Juni 2014 zur Feststellung der Vereinbarkeit bestimmter Gruppen von Beihilfen mit dem Binnenmarkt in Anwendung der Artikel 107 und 108 des Vertrags über die Arbeitsweise der Europäischen Union (</w:t>
      </w:r>
      <w:r>
        <w:rPr>
          <w:i/>
          <w:color w:val="000000"/>
        </w:rPr>
        <w:t xml:space="preserve">Belgisches Staatsblatt </w:t>
      </w:r>
      <w:r>
        <w:rPr>
          <w:color w:val="000000"/>
        </w:rPr>
        <w:t>vom 18. Januar 2016),</w:t>
      </w:r>
    </w:p>
    <w:p w14:paraId="07186D9A" w14:textId="77777777" w:rsidR="002D7FDB" w:rsidRDefault="002D7FDB" w:rsidP="002D7FDB">
      <w:pPr>
        <w:jc w:val="both"/>
        <w:rPr>
          <w:color w:val="000000"/>
        </w:rPr>
      </w:pPr>
    </w:p>
    <w:p w14:paraId="52C9B40A" w14:textId="77777777" w:rsidR="0002084C" w:rsidRDefault="0002084C" w:rsidP="005A5BD5">
      <w:pPr>
        <w:jc w:val="both"/>
        <w:rPr>
          <w:color w:val="000000"/>
        </w:rPr>
      </w:pPr>
      <w:r>
        <w:rPr>
          <w:color w:val="000000"/>
        </w:rPr>
        <w:t xml:space="preserve">- den Königlichen Erlass vom 28. April 2015 </w:t>
      </w:r>
      <w:r w:rsidRPr="0002084C">
        <w:rPr>
          <w:color w:val="000000"/>
        </w:rPr>
        <w:t>zur Abänderung des KE/EStGB 92 hinsichtlich der Befreiung von der Zahlung des Berufssteuervorabzugs in Ausführung der Artikel 275</w:t>
      </w:r>
      <w:r w:rsidRPr="0002084C">
        <w:rPr>
          <w:color w:val="000000"/>
          <w:vertAlign w:val="superscript"/>
        </w:rPr>
        <w:t>1</w:t>
      </w:r>
      <w:r w:rsidRPr="0002084C">
        <w:rPr>
          <w:color w:val="000000"/>
        </w:rPr>
        <w:t xml:space="preserve">, </w:t>
      </w:r>
      <w:r w:rsidRPr="0002084C">
        <w:rPr>
          <w:color w:val="000000"/>
        </w:rPr>
        <w:lastRenderedPageBreak/>
        <w:t>275</w:t>
      </w:r>
      <w:r w:rsidRPr="0002084C">
        <w:rPr>
          <w:color w:val="000000"/>
          <w:vertAlign w:val="superscript"/>
        </w:rPr>
        <w:t>3</w:t>
      </w:r>
      <w:r w:rsidRPr="0002084C">
        <w:rPr>
          <w:color w:val="000000"/>
        </w:rPr>
        <w:t>, 275</w:t>
      </w:r>
      <w:r w:rsidRPr="0002084C">
        <w:rPr>
          <w:color w:val="000000"/>
          <w:vertAlign w:val="superscript"/>
        </w:rPr>
        <w:t>7</w:t>
      </w:r>
      <w:r w:rsidRPr="0002084C">
        <w:rPr>
          <w:color w:val="000000"/>
        </w:rPr>
        <w:t>, 275</w:t>
      </w:r>
      <w:r w:rsidRPr="0002084C">
        <w:rPr>
          <w:color w:val="000000"/>
          <w:vertAlign w:val="superscript"/>
        </w:rPr>
        <w:t>8</w:t>
      </w:r>
      <w:r w:rsidRPr="0002084C">
        <w:rPr>
          <w:color w:val="000000"/>
        </w:rPr>
        <w:t xml:space="preserve"> und 275</w:t>
      </w:r>
      <w:r w:rsidRPr="0002084C">
        <w:rPr>
          <w:color w:val="000000"/>
          <w:vertAlign w:val="superscript"/>
        </w:rPr>
        <w:t>9</w:t>
      </w:r>
      <w:r w:rsidRPr="0002084C">
        <w:rPr>
          <w:color w:val="000000"/>
        </w:rPr>
        <w:t xml:space="preserve"> des Einkommensteuergesetzbuches 1992</w:t>
      </w:r>
      <w:r>
        <w:rPr>
          <w:color w:val="000000"/>
        </w:rPr>
        <w:t xml:space="preserve"> </w:t>
      </w:r>
      <w:r w:rsidR="00535A04">
        <w:rPr>
          <w:color w:val="000000"/>
        </w:rPr>
        <w:t>(</w:t>
      </w:r>
      <w:r w:rsidR="00535A04">
        <w:rPr>
          <w:i/>
          <w:color w:val="000000"/>
        </w:rPr>
        <w:t>Belgisches Staatsblatt</w:t>
      </w:r>
      <w:r w:rsidR="00C65B50">
        <w:rPr>
          <w:color w:val="000000"/>
        </w:rPr>
        <w:t xml:space="preserve"> vom 8. April 2016),</w:t>
      </w:r>
    </w:p>
    <w:p w14:paraId="1F0CB502" w14:textId="77777777" w:rsidR="00BC7031" w:rsidRDefault="00BC7031">
      <w:pPr>
        <w:rPr>
          <w:color w:val="000000"/>
        </w:rPr>
      </w:pPr>
    </w:p>
    <w:p w14:paraId="4588CB3E" w14:textId="77777777" w:rsidR="00DD4323" w:rsidRDefault="00C65B50" w:rsidP="00DD4323">
      <w:pPr>
        <w:jc w:val="both"/>
        <w:rPr>
          <w:color w:val="000000"/>
        </w:rPr>
      </w:pPr>
      <w:r>
        <w:rPr>
          <w:color w:val="000000"/>
        </w:rPr>
        <w:t>- den Königlichen Erlass vom 23. August 2015 zur Abänderung des KE/EStGB </w:t>
      </w:r>
      <w:r w:rsidRPr="00C65B50">
        <w:rPr>
          <w:color w:val="000000"/>
        </w:rPr>
        <w:t xml:space="preserve">92 hinsichtlich der Befreiung von der Zahlung des Berufssteuervorabzugs in Ausführung von </w:t>
      </w:r>
      <w:r>
        <w:rPr>
          <w:color w:val="000000"/>
        </w:rPr>
        <w:t>Artikel </w:t>
      </w:r>
      <w:r w:rsidRPr="00C65B50">
        <w:rPr>
          <w:color w:val="000000"/>
        </w:rPr>
        <w:t>275</w:t>
      </w:r>
      <w:r w:rsidRPr="00C65B50">
        <w:rPr>
          <w:color w:val="000000"/>
          <w:vertAlign w:val="superscript"/>
        </w:rPr>
        <w:t>10</w:t>
      </w:r>
      <w:r w:rsidRPr="00C65B50">
        <w:rPr>
          <w:color w:val="000000"/>
        </w:rPr>
        <w:t xml:space="preserve"> </w:t>
      </w:r>
      <w:r>
        <w:rPr>
          <w:color w:val="000000"/>
        </w:rPr>
        <w:t>des Einkommensteuergesetzbuches </w:t>
      </w:r>
      <w:r w:rsidRPr="00C65B50">
        <w:rPr>
          <w:color w:val="000000"/>
        </w:rPr>
        <w:t>1992</w:t>
      </w:r>
      <w:r>
        <w:rPr>
          <w:color w:val="000000"/>
        </w:rPr>
        <w:t xml:space="preserve"> (</w:t>
      </w:r>
      <w:r>
        <w:rPr>
          <w:i/>
          <w:color w:val="000000"/>
        </w:rPr>
        <w:t>Belgisches Staatsblatt</w:t>
      </w:r>
      <w:r w:rsidR="00CB686F">
        <w:rPr>
          <w:color w:val="000000"/>
        </w:rPr>
        <w:t xml:space="preserve"> vom 8. April 2016)</w:t>
      </w:r>
      <w:r w:rsidR="00DD4323">
        <w:rPr>
          <w:color w:val="000000"/>
        </w:rPr>
        <w:t xml:space="preserve"> </w:t>
      </w:r>
      <w:r w:rsidR="00DD4323">
        <w:rPr>
          <w:i/>
          <w:color w:val="000000"/>
        </w:rPr>
        <w:t>(I)</w:t>
      </w:r>
      <w:r w:rsidR="00DD4323">
        <w:rPr>
          <w:color w:val="000000"/>
        </w:rPr>
        <w:t>,</w:t>
      </w:r>
    </w:p>
    <w:p w14:paraId="2BE9E83C" w14:textId="77777777" w:rsidR="00DD4323" w:rsidRDefault="00DD4323" w:rsidP="00DD4323">
      <w:pPr>
        <w:jc w:val="both"/>
        <w:rPr>
          <w:color w:val="000000"/>
        </w:rPr>
      </w:pPr>
    </w:p>
    <w:p w14:paraId="477F100D" w14:textId="77777777" w:rsidR="00C65B50" w:rsidRDefault="00DD4323" w:rsidP="00DD4323">
      <w:pPr>
        <w:jc w:val="both"/>
        <w:rPr>
          <w:color w:val="000000"/>
        </w:rPr>
      </w:pPr>
      <w:r>
        <w:rPr>
          <w:color w:val="000000"/>
        </w:rPr>
        <w:t>- den Königlichen Erlass vom 23. August 2015 zur Abänderung der Anlage 3 des KE/EStGB 92 hinsichtlich des Arbeitsbonus (</w:t>
      </w:r>
      <w:r>
        <w:rPr>
          <w:i/>
          <w:color w:val="000000"/>
        </w:rPr>
        <w:t>Belgisches Staatsblatt</w:t>
      </w:r>
      <w:r>
        <w:rPr>
          <w:color w:val="000000"/>
        </w:rPr>
        <w:t xml:space="preserve"> vom 8. April 2016) </w:t>
      </w:r>
      <w:r>
        <w:rPr>
          <w:i/>
          <w:color w:val="000000"/>
        </w:rPr>
        <w:t>(II)</w:t>
      </w:r>
      <w:r w:rsidR="00CB686F">
        <w:rPr>
          <w:color w:val="000000"/>
        </w:rPr>
        <w:t>,</w:t>
      </w:r>
    </w:p>
    <w:p w14:paraId="70979CC9" w14:textId="77777777" w:rsidR="00CB686F" w:rsidRDefault="00CB686F" w:rsidP="005A5BD5">
      <w:pPr>
        <w:jc w:val="both"/>
        <w:rPr>
          <w:color w:val="000000"/>
        </w:rPr>
      </w:pPr>
    </w:p>
    <w:p w14:paraId="0366B19A" w14:textId="77777777" w:rsidR="00CB686F" w:rsidRDefault="00CB686F" w:rsidP="005A5BD5">
      <w:pPr>
        <w:jc w:val="both"/>
        <w:rPr>
          <w:color w:val="000000"/>
        </w:rPr>
      </w:pPr>
      <w:r>
        <w:rPr>
          <w:color w:val="000000"/>
        </w:rPr>
        <w:t>- den Königlichen Erlass vom 27. September 2015 zur Abänderung des KE/EStGB 92 hinsichtlich des Verzichts auf die Einnahme des Mobiliensteuervorabzugs (</w:t>
      </w:r>
      <w:r>
        <w:rPr>
          <w:i/>
          <w:color w:val="000000"/>
        </w:rPr>
        <w:t>Belgisches Staatsblatt</w:t>
      </w:r>
      <w:r>
        <w:rPr>
          <w:color w:val="000000"/>
        </w:rPr>
        <w:t xml:space="preserve"> vom </w:t>
      </w:r>
      <w:r w:rsidR="002853EE">
        <w:rPr>
          <w:color w:val="000000"/>
        </w:rPr>
        <w:t>2</w:t>
      </w:r>
      <w:r w:rsidR="000D2584">
        <w:rPr>
          <w:color w:val="000000"/>
        </w:rPr>
        <w:t>1. April 2016),</w:t>
      </w:r>
    </w:p>
    <w:p w14:paraId="15B807B0" w14:textId="77777777" w:rsidR="000D2584" w:rsidRDefault="000D2584" w:rsidP="005A5BD5">
      <w:pPr>
        <w:jc w:val="both"/>
        <w:rPr>
          <w:color w:val="000000"/>
        </w:rPr>
      </w:pPr>
    </w:p>
    <w:p w14:paraId="500B9AE4" w14:textId="77777777" w:rsidR="000D2584" w:rsidRDefault="000D2584" w:rsidP="005A5BD5">
      <w:pPr>
        <w:jc w:val="both"/>
        <w:rPr>
          <w:color w:val="000000"/>
        </w:rPr>
      </w:pPr>
      <w:r>
        <w:rPr>
          <w:color w:val="000000"/>
        </w:rPr>
        <w:t>- den Königlichen Erlass vom 29. Oktober </w:t>
      </w:r>
      <w:r w:rsidRPr="000D2584">
        <w:rPr>
          <w:color w:val="000000"/>
        </w:rPr>
        <w:t xml:space="preserve">2015 </w:t>
      </w:r>
      <w:r w:rsidRPr="000D2584">
        <w:t>zur Abänderung des KE/EStGB 92 hinsichtlich des Neubewertungskoeffizienten für Katastereinkommen</w:t>
      </w:r>
      <w:r>
        <w:t xml:space="preserve"> </w:t>
      </w:r>
      <w:r>
        <w:rPr>
          <w:color w:val="000000"/>
        </w:rPr>
        <w:t>(</w:t>
      </w:r>
      <w:r>
        <w:rPr>
          <w:i/>
          <w:color w:val="000000"/>
        </w:rPr>
        <w:t>Belgisches Staatsblatt</w:t>
      </w:r>
      <w:r w:rsidR="0053660A">
        <w:rPr>
          <w:color w:val="000000"/>
        </w:rPr>
        <w:t xml:space="preserve"> vom 21. April 2016),</w:t>
      </w:r>
    </w:p>
    <w:p w14:paraId="68420041" w14:textId="77777777" w:rsidR="0053660A" w:rsidRDefault="0053660A" w:rsidP="005A5BD5">
      <w:pPr>
        <w:jc w:val="both"/>
        <w:rPr>
          <w:color w:val="000000"/>
        </w:rPr>
      </w:pPr>
    </w:p>
    <w:p w14:paraId="4710BF3D" w14:textId="77777777" w:rsidR="00A34A12" w:rsidRDefault="00A34A12" w:rsidP="00A34A12">
      <w:pPr>
        <w:jc w:val="both"/>
        <w:rPr>
          <w:b/>
          <w:color w:val="000000"/>
        </w:rPr>
      </w:pPr>
      <w:r>
        <w:rPr>
          <w:color w:val="000000"/>
        </w:rPr>
        <w:t>- den Königlichen Erlass vom 2. Dezember 2015 zur Abänderung des KE/EStGB 92 hinsichtlich des Investitionsabzugs für digitale Investitionen (</w:t>
      </w:r>
      <w:r>
        <w:rPr>
          <w:i/>
          <w:color w:val="000000"/>
        </w:rPr>
        <w:t>Belgisches Staatsblatt</w:t>
      </w:r>
      <w:r>
        <w:rPr>
          <w:color w:val="000000"/>
        </w:rPr>
        <w:t xml:space="preserve"> vom 9. März 2017).</w:t>
      </w:r>
    </w:p>
    <w:p w14:paraId="68856A23" w14:textId="77777777" w:rsidR="00A34A12" w:rsidRDefault="00A34A12" w:rsidP="005A5BD5">
      <w:pPr>
        <w:jc w:val="both"/>
        <w:rPr>
          <w:color w:val="000000"/>
        </w:rPr>
      </w:pPr>
    </w:p>
    <w:p w14:paraId="6145BEE4" w14:textId="77777777" w:rsidR="0053660A" w:rsidRDefault="0053660A" w:rsidP="005A5BD5">
      <w:pPr>
        <w:jc w:val="both"/>
        <w:rPr>
          <w:color w:val="000000"/>
        </w:rPr>
      </w:pPr>
      <w:r>
        <w:rPr>
          <w:color w:val="000000"/>
        </w:rPr>
        <w:t xml:space="preserve">- den Königlichen Erlass vom 9. Dezember 2015 </w:t>
      </w:r>
      <w:r w:rsidRPr="0053660A">
        <w:rPr>
          <w:color w:val="000000"/>
        </w:rPr>
        <w:t>zur Abänderung des KE/EStGB 92 hinsichtlich der Vorteile jeglicher Art für die Nutzung zu persönlichen Zwecken eines kostenlos zur Verfügung gestellten Fahrzeugs</w:t>
      </w:r>
      <w:r>
        <w:rPr>
          <w:color w:val="000000"/>
        </w:rPr>
        <w:t xml:space="preserve"> (</w:t>
      </w:r>
      <w:r>
        <w:rPr>
          <w:i/>
          <w:color w:val="000000"/>
        </w:rPr>
        <w:t xml:space="preserve">Belgisches Staatsblatt </w:t>
      </w:r>
      <w:r w:rsidR="00650D22">
        <w:rPr>
          <w:color w:val="000000"/>
        </w:rPr>
        <w:t>vom 9. Juni 2016),</w:t>
      </w:r>
    </w:p>
    <w:p w14:paraId="4BB92C89" w14:textId="77777777" w:rsidR="00650D22" w:rsidRDefault="00650D22" w:rsidP="005A5BD5">
      <w:pPr>
        <w:jc w:val="both"/>
        <w:rPr>
          <w:color w:val="000000"/>
        </w:rPr>
      </w:pPr>
    </w:p>
    <w:p w14:paraId="19EE5957" w14:textId="77777777" w:rsidR="00650D22" w:rsidRDefault="00650D22" w:rsidP="005A5BD5">
      <w:pPr>
        <w:jc w:val="both"/>
        <w:rPr>
          <w:color w:val="000000"/>
        </w:rPr>
      </w:pPr>
      <w:r>
        <w:rPr>
          <w:color w:val="000000"/>
        </w:rPr>
        <w:t xml:space="preserve">- den Königlichen Erlass vom 16. Dezember 2015 </w:t>
      </w:r>
      <w:r w:rsidRPr="00650D22">
        <w:rPr>
          <w:color w:val="000000"/>
        </w:rPr>
        <w:t>zur Abänderung des KE/EStGB 92 hinsichtlich des Berufssteuervorabzugs</w:t>
      </w:r>
      <w:r>
        <w:rPr>
          <w:color w:val="000000"/>
        </w:rPr>
        <w:t xml:space="preserve"> (</w:t>
      </w:r>
      <w:r>
        <w:rPr>
          <w:i/>
          <w:color w:val="000000"/>
        </w:rPr>
        <w:t xml:space="preserve">Belgisches Staatsblatt </w:t>
      </w:r>
      <w:r w:rsidR="00CD2CEF">
        <w:rPr>
          <w:color w:val="000000"/>
        </w:rPr>
        <w:t>vom 15. Juni 2016),</w:t>
      </w:r>
    </w:p>
    <w:p w14:paraId="67E622B7" w14:textId="77777777" w:rsidR="00CD2CEF" w:rsidRDefault="00CD2CEF" w:rsidP="005A5BD5">
      <w:pPr>
        <w:jc w:val="both"/>
        <w:rPr>
          <w:color w:val="000000"/>
        </w:rPr>
      </w:pPr>
    </w:p>
    <w:p w14:paraId="02CEA498" w14:textId="77777777" w:rsidR="00CD2CEF" w:rsidRDefault="00CD2CEF" w:rsidP="005A5BD5">
      <w:pPr>
        <w:jc w:val="both"/>
        <w:rPr>
          <w:color w:val="000000"/>
        </w:rPr>
      </w:pPr>
      <w:r>
        <w:rPr>
          <w:color w:val="000000"/>
        </w:rPr>
        <w:t xml:space="preserve">- den Königlichen Erlass vom 22. Februar 2016 </w:t>
      </w:r>
      <w:r w:rsidRPr="00CD2CEF">
        <w:rPr>
          <w:color w:val="000000"/>
        </w:rPr>
        <w:t>zur Abänderung des KE/EStGB 92 hinsichtlich der Vorteile jeglicher Art im Falle der Gewährung eines zinslosen Darlehens oder eines Darlehens zu herabgesetztem Zinssatz</w:t>
      </w:r>
      <w:r>
        <w:rPr>
          <w:color w:val="000000"/>
        </w:rPr>
        <w:t xml:space="preserve"> (</w:t>
      </w:r>
      <w:r>
        <w:rPr>
          <w:i/>
          <w:color w:val="000000"/>
        </w:rPr>
        <w:t xml:space="preserve">Belgisches Staatsblatt </w:t>
      </w:r>
      <w:r w:rsidR="0079785B">
        <w:rPr>
          <w:color w:val="000000"/>
        </w:rPr>
        <w:t>vom 15. Juni 2016),</w:t>
      </w:r>
    </w:p>
    <w:p w14:paraId="4C8D1417" w14:textId="77777777" w:rsidR="0079785B" w:rsidRDefault="0079785B" w:rsidP="005A5BD5">
      <w:pPr>
        <w:jc w:val="both"/>
        <w:rPr>
          <w:color w:val="000000"/>
        </w:rPr>
      </w:pPr>
    </w:p>
    <w:p w14:paraId="5B488B07" w14:textId="77777777" w:rsidR="0079785B" w:rsidRDefault="0079785B" w:rsidP="005A5BD5">
      <w:pPr>
        <w:jc w:val="both"/>
      </w:pPr>
      <w:r w:rsidRPr="0079785B">
        <w:t>- den Königlichen Erlass vom 1. März 2016 zur Abänderung von Artikel 73</w:t>
      </w:r>
      <w:r w:rsidRPr="0079785B">
        <w:rPr>
          <w:vertAlign w:val="superscript"/>
        </w:rPr>
        <w:t>4</w:t>
      </w:r>
      <w:r w:rsidRPr="0079785B">
        <w:rPr>
          <w:i/>
          <w:vertAlign w:val="superscript"/>
        </w:rPr>
        <w:t>quater</w:t>
      </w:r>
      <w:r w:rsidRPr="0079785B">
        <w:t xml:space="preserve"> des KE/EStGB 92 in Bezug auf die Liste der Länder, deren Bestimmungen des allgemeinen Rechts in Bezug auf Steuern erheblich vorteilhafter als in Belgien sind (</w:t>
      </w:r>
      <w:r w:rsidRPr="0079785B">
        <w:rPr>
          <w:i/>
        </w:rPr>
        <w:t>Belgisches Staatsblatt</w:t>
      </w:r>
      <w:r w:rsidRPr="0079785B">
        <w:t xml:space="preserve"> vom 2. </w:t>
      </w:r>
      <w:r w:rsidR="0099308D">
        <w:t>Mai 2017)</w:t>
      </w:r>
      <w:r w:rsidR="006273A7">
        <w:t xml:space="preserve"> </w:t>
      </w:r>
      <w:r w:rsidR="006273A7" w:rsidRPr="006273A7">
        <w:rPr>
          <w:i/>
        </w:rPr>
        <w:t>(I)</w:t>
      </w:r>
      <w:r w:rsidR="0099308D">
        <w:t>,</w:t>
      </w:r>
    </w:p>
    <w:p w14:paraId="090A5FC4" w14:textId="77777777" w:rsidR="0099308D" w:rsidRPr="0099308D" w:rsidRDefault="0099308D" w:rsidP="005A5BD5">
      <w:pPr>
        <w:jc w:val="both"/>
      </w:pPr>
    </w:p>
    <w:p w14:paraId="6E089BF8" w14:textId="77777777" w:rsidR="0099308D" w:rsidRDefault="0099308D" w:rsidP="005A5BD5">
      <w:pPr>
        <w:jc w:val="both"/>
      </w:pPr>
      <w:r w:rsidRPr="0099308D">
        <w:t>- den Königlichen Erlass vom 1. März 2016 zur Abänderung von Artikel 179 des KE/EStGB 92 in Bezug auf die Liste der Staaten ohne oder mit niedriger Besteuerung (</w:t>
      </w:r>
      <w:r w:rsidRPr="0099308D">
        <w:rPr>
          <w:i/>
        </w:rPr>
        <w:t xml:space="preserve">Belgisches Staatsblatt </w:t>
      </w:r>
      <w:r w:rsidRPr="0099308D">
        <w:t>vom 13. Juni 2017)</w:t>
      </w:r>
      <w:r w:rsidR="006273A7">
        <w:t xml:space="preserve"> </w:t>
      </w:r>
      <w:r w:rsidR="006273A7" w:rsidRPr="006273A7">
        <w:rPr>
          <w:i/>
        </w:rPr>
        <w:t>(II)</w:t>
      </w:r>
      <w:r w:rsidR="00E216AB">
        <w:t>,</w:t>
      </w:r>
    </w:p>
    <w:p w14:paraId="5B547B05" w14:textId="77777777" w:rsidR="00E216AB" w:rsidRDefault="00E216AB" w:rsidP="005A5BD5">
      <w:pPr>
        <w:jc w:val="both"/>
      </w:pPr>
    </w:p>
    <w:p w14:paraId="53004775" w14:textId="77777777" w:rsidR="00E216AB" w:rsidRDefault="00E216AB" w:rsidP="00E216AB">
      <w:pPr>
        <w:jc w:val="both"/>
      </w:pPr>
      <w:r>
        <w:t xml:space="preserve">- </w:t>
      </w:r>
      <w:r w:rsidRPr="0099308D">
        <w:t xml:space="preserve">den Königlichen Erlass vom </w:t>
      </w:r>
      <w:r>
        <w:t>7</w:t>
      </w:r>
      <w:r w:rsidRPr="0099308D">
        <w:t>. März 2016</w:t>
      </w:r>
      <w:r>
        <w:t xml:space="preserve"> </w:t>
      </w:r>
      <w:r w:rsidRPr="00060A8E">
        <w:t xml:space="preserve">zur Abänderung des KE/EStGB 92 hinsichtlich der Vorauszahlungen </w:t>
      </w:r>
      <w:r w:rsidRPr="0099308D">
        <w:t>(</w:t>
      </w:r>
      <w:r w:rsidRPr="0099308D">
        <w:rPr>
          <w:i/>
        </w:rPr>
        <w:t xml:space="preserve">Belgisches Staatsblatt </w:t>
      </w:r>
      <w:r w:rsidRPr="0099308D">
        <w:t>vom 1</w:t>
      </w:r>
      <w:r>
        <w:t>6</w:t>
      </w:r>
      <w:r w:rsidRPr="0099308D">
        <w:t>. Juni 2017)</w:t>
      </w:r>
      <w:r>
        <w:t>,</w:t>
      </w:r>
    </w:p>
    <w:p w14:paraId="4CC228C6" w14:textId="77777777" w:rsidR="00E216AB" w:rsidRDefault="00E216AB" w:rsidP="00E216AB">
      <w:pPr>
        <w:jc w:val="both"/>
      </w:pPr>
    </w:p>
    <w:p w14:paraId="4FA30287" w14:textId="77777777" w:rsidR="00E216AB" w:rsidRDefault="00E216AB" w:rsidP="00E216AB">
      <w:pPr>
        <w:jc w:val="both"/>
      </w:pPr>
      <w:r>
        <w:t xml:space="preserve">- </w:t>
      </w:r>
      <w:r w:rsidRPr="0099308D">
        <w:t xml:space="preserve">den Königlichen Erlass vom </w:t>
      </w:r>
      <w:r>
        <w:t xml:space="preserve">1. April 2016 </w:t>
      </w:r>
      <w:r w:rsidRPr="00E216AB">
        <w:t>zur Abänderung des KE/EStGB 92 hinsichtlich der Steuerermäßigung für den Erwerb neuer Aktien oder Anteile von startenden Unternehmen in Ausführung von Artikel 145</w:t>
      </w:r>
      <w:r w:rsidRPr="00E216AB">
        <w:rPr>
          <w:vertAlign w:val="superscript"/>
        </w:rPr>
        <w:t>26</w:t>
      </w:r>
      <w:r w:rsidR="00E3507A">
        <w:t xml:space="preserve"> § </w:t>
      </w:r>
      <w:r w:rsidRPr="00E216AB">
        <w:t xml:space="preserve">6 Absatz 1 des Einkommensteuergesetzbuches 1992 </w:t>
      </w:r>
      <w:r w:rsidRPr="0099308D">
        <w:t>(</w:t>
      </w:r>
      <w:r w:rsidRPr="0099308D">
        <w:rPr>
          <w:i/>
        </w:rPr>
        <w:t xml:space="preserve">Belgisches Staatsblatt </w:t>
      </w:r>
      <w:r w:rsidRPr="0099308D">
        <w:t>vom 1</w:t>
      </w:r>
      <w:r>
        <w:t>6</w:t>
      </w:r>
      <w:r w:rsidRPr="0099308D">
        <w:t>. Juni 2017)</w:t>
      </w:r>
      <w:r w:rsidR="00516EF3">
        <w:t>,</w:t>
      </w:r>
    </w:p>
    <w:p w14:paraId="3BA4E3A3" w14:textId="77777777" w:rsidR="00516EF3" w:rsidRPr="00516EF3" w:rsidRDefault="00516EF3" w:rsidP="00E216AB">
      <w:pPr>
        <w:jc w:val="both"/>
      </w:pPr>
    </w:p>
    <w:p w14:paraId="3FBDC1F3" w14:textId="77777777" w:rsidR="00516EF3" w:rsidRDefault="00516EF3" w:rsidP="00516EF3">
      <w:pPr>
        <w:jc w:val="both"/>
      </w:pPr>
      <w:r w:rsidRPr="00516EF3">
        <w:lastRenderedPageBreak/>
        <w:t xml:space="preserve">- den Königlichen Erlass vom 27. Juni 2016 zur Abänderung des KE/EStGB 92 hinsichtlich der Steuerbefreiung für Preise und Zuschüsse, die Wissenschaftlern, Schriftstellern oder Künstlern gezahlt oder zuerkannt werden </w:t>
      </w:r>
      <w:r w:rsidRPr="00196043">
        <w:t>(</w:t>
      </w:r>
      <w:r w:rsidRPr="00196043">
        <w:rPr>
          <w:i/>
        </w:rPr>
        <w:t xml:space="preserve">Belgisches Staatsblatt </w:t>
      </w:r>
      <w:r w:rsidRPr="00196043">
        <w:t xml:space="preserve">vom </w:t>
      </w:r>
      <w:r>
        <w:t>16. Juni 2017</w:t>
      </w:r>
      <w:r w:rsidRPr="00196043">
        <w:t>)</w:t>
      </w:r>
      <w:r w:rsidR="007D4A9A">
        <w:t>,</w:t>
      </w:r>
    </w:p>
    <w:p w14:paraId="6DC66A08" w14:textId="77777777" w:rsidR="00AC0F23" w:rsidRDefault="00AC0F23" w:rsidP="00516EF3">
      <w:pPr>
        <w:jc w:val="both"/>
      </w:pPr>
    </w:p>
    <w:p w14:paraId="6FDE9E2E" w14:textId="77777777" w:rsidR="007D4A9A" w:rsidRDefault="00AC0F23" w:rsidP="00516EF3">
      <w:pPr>
        <w:jc w:val="both"/>
      </w:pPr>
      <w:r>
        <w:t>- den Königlichen Erlass vom 9. November 2016 über spezialisierte Immobilieninves</w:t>
      </w:r>
      <w:r>
        <w:softHyphen/>
        <w:t>tmentfonds (</w:t>
      </w:r>
      <w:r>
        <w:rPr>
          <w:i/>
        </w:rPr>
        <w:t>Belgisches Staatsblatt</w:t>
      </w:r>
      <w:r>
        <w:t xml:space="preserve"> vom 20. Dezember 2017),</w:t>
      </w:r>
    </w:p>
    <w:p w14:paraId="4A672C7E" w14:textId="77777777" w:rsidR="00AC0F23" w:rsidRPr="00AC0F23" w:rsidRDefault="00AC0F23" w:rsidP="00516EF3">
      <w:pPr>
        <w:jc w:val="both"/>
      </w:pPr>
    </w:p>
    <w:p w14:paraId="7322B942" w14:textId="77777777" w:rsidR="007D4A9A" w:rsidRDefault="007D4A9A" w:rsidP="007D4A9A">
      <w:pPr>
        <w:jc w:val="both"/>
      </w:pPr>
      <w:r w:rsidRPr="007D4A9A">
        <w:rPr>
          <w:i/>
        </w:rPr>
        <w:t xml:space="preserve">- </w:t>
      </w:r>
      <w:r w:rsidRPr="007D4A9A">
        <w:t>den Königlichen Erlass vom 17. November 2</w:t>
      </w:r>
      <w:r w:rsidR="0029637E">
        <w:t>016 zur Abänderung des KE/EStGB </w:t>
      </w:r>
      <w:r w:rsidRPr="007D4A9A">
        <w:t>92 hinsichtlich des Neubewertungskoeffizienten für Katastereinkommen (</w:t>
      </w:r>
      <w:r w:rsidRPr="007D4A9A">
        <w:rPr>
          <w:i/>
        </w:rPr>
        <w:t>Belgisches Staatsblatt</w:t>
      </w:r>
      <w:r w:rsidR="00405835">
        <w:t xml:space="preserve"> vom 25. Juli 2017),</w:t>
      </w:r>
    </w:p>
    <w:p w14:paraId="162A10DD" w14:textId="77777777" w:rsidR="00405835" w:rsidRDefault="00405835" w:rsidP="007D4A9A">
      <w:pPr>
        <w:jc w:val="both"/>
      </w:pPr>
    </w:p>
    <w:p w14:paraId="66D5B9BC" w14:textId="77777777" w:rsidR="00405835" w:rsidRDefault="00405835" w:rsidP="00405835">
      <w:pPr>
        <w:jc w:val="both"/>
      </w:pPr>
      <w:r w:rsidRPr="00405835">
        <w:t>- den Königlichen Erlass vom 24. November 201</w:t>
      </w:r>
      <w:r w:rsidR="0029637E">
        <w:t>6</w:t>
      </w:r>
      <w:r w:rsidRPr="00405835">
        <w:t xml:space="preserve"> </w:t>
      </w:r>
      <w:r w:rsidR="0029637E">
        <w:t>zur Abänderung des KE/EStGB </w:t>
      </w:r>
      <w:r w:rsidRPr="00405835">
        <w:t>92 hinsichtlich der Vorteile jeglicher Art für die Nutzung zu persönlichen Zwecken eines kostenlos zur Verfügung gestellten Fahrzeugs</w:t>
      </w:r>
      <w:r>
        <w:t xml:space="preserve"> (</w:t>
      </w:r>
      <w:r>
        <w:rPr>
          <w:i/>
        </w:rPr>
        <w:t>Belgisches Staatsblatt</w:t>
      </w:r>
      <w:r w:rsidR="00C82818">
        <w:t xml:space="preserve"> vom 25. Juli 2017),</w:t>
      </w:r>
    </w:p>
    <w:p w14:paraId="30435E21" w14:textId="77777777" w:rsidR="00C82818" w:rsidRDefault="00C82818" w:rsidP="00405835">
      <w:pPr>
        <w:jc w:val="both"/>
      </w:pPr>
    </w:p>
    <w:p w14:paraId="237EE2FE" w14:textId="77777777" w:rsidR="00C82818" w:rsidRDefault="00C82818" w:rsidP="00405835">
      <w:pPr>
        <w:jc w:val="both"/>
      </w:pPr>
      <w:r>
        <w:t xml:space="preserve">- </w:t>
      </w:r>
      <w:r w:rsidRPr="00405835">
        <w:t>den Königlichen Erlass vom</w:t>
      </w:r>
      <w:r>
        <w:t xml:space="preserve"> 12. Dezember 2016 </w:t>
      </w:r>
      <w:r w:rsidRPr="00C82818">
        <w:t>zur Abänderung des KE/EStGB 92 hinsichtlich des Berufssteuervorabzugs</w:t>
      </w:r>
      <w:r>
        <w:t xml:space="preserve"> (</w:t>
      </w:r>
      <w:r>
        <w:rPr>
          <w:i/>
        </w:rPr>
        <w:t>Belgisches Staatsblatt</w:t>
      </w:r>
      <w:r w:rsidR="00A51C22">
        <w:t xml:space="preserve"> vom 19. September 2017),</w:t>
      </w:r>
    </w:p>
    <w:p w14:paraId="55D6FD4B" w14:textId="77777777" w:rsidR="00A51C22" w:rsidRDefault="00A51C22" w:rsidP="00405835">
      <w:pPr>
        <w:jc w:val="both"/>
      </w:pPr>
    </w:p>
    <w:p w14:paraId="33C009FA" w14:textId="77777777" w:rsidR="00A51C22" w:rsidRDefault="00A51C22" w:rsidP="00405835">
      <w:pPr>
        <w:jc w:val="both"/>
      </w:pPr>
      <w:r>
        <w:t xml:space="preserve">- den Königlichen Erlass vom </w:t>
      </w:r>
      <w:r w:rsidR="00B86FD1">
        <w:t xml:space="preserve">12. Januar 2017 </w:t>
      </w:r>
      <w:r w:rsidR="000D3531">
        <w:t>zur Ausführung von Artikel 90 Absatz </w:t>
      </w:r>
      <w:r w:rsidRPr="00A51C22">
        <w:t xml:space="preserve">2 </w:t>
      </w:r>
      <w:r w:rsidR="000D3531">
        <w:t>des Einkommensteuergesetzbuches </w:t>
      </w:r>
      <w:r w:rsidRPr="00A51C22">
        <w:t xml:space="preserve">1992 in Bezug auf die Bedingungen für die Zulassung von elektronischen Sharing-Economy-Plattformen und </w:t>
      </w:r>
      <w:r w:rsidR="000D3531">
        <w:t>zur Unterwerfung der in Artikel </w:t>
      </w:r>
      <w:r w:rsidRPr="00A51C22">
        <w:t>90 Absatz</w:t>
      </w:r>
      <w:r w:rsidR="000D3531">
        <w:t> 1 Nr. </w:t>
      </w:r>
      <w:r w:rsidRPr="00A51C22">
        <w:t>1</w:t>
      </w:r>
      <w:r w:rsidRPr="000D3531">
        <w:rPr>
          <w:i/>
        </w:rPr>
        <w:t>bis</w:t>
      </w:r>
      <w:r w:rsidRPr="00A51C22">
        <w:t xml:space="preserve"> des Einkomm</w:t>
      </w:r>
      <w:r w:rsidR="000D3531">
        <w:t>ensteuergesetzbuches </w:t>
      </w:r>
      <w:r w:rsidRPr="00A51C22">
        <w:t>1992 erwähnten Einkünfte unter den Berufssteuervorabzug</w:t>
      </w:r>
      <w:r>
        <w:t xml:space="preserve"> (</w:t>
      </w:r>
      <w:r>
        <w:rPr>
          <w:i/>
        </w:rPr>
        <w:t>Belgisches Staatsblatt</w:t>
      </w:r>
      <w:r>
        <w:t xml:space="preserve"> vom 17. Oktober 2017)</w:t>
      </w:r>
      <w:r w:rsidR="00B86FD1">
        <w:t xml:space="preserve"> </w:t>
      </w:r>
      <w:r w:rsidR="00B86FD1">
        <w:rPr>
          <w:i/>
        </w:rPr>
        <w:t>(I)</w:t>
      </w:r>
      <w:r w:rsidR="00B86FD1">
        <w:t>,</w:t>
      </w:r>
    </w:p>
    <w:p w14:paraId="694B8C97" w14:textId="77777777" w:rsidR="00B86FD1" w:rsidRDefault="00B86FD1" w:rsidP="00405835">
      <w:pPr>
        <w:jc w:val="both"/>
      </w:pPr>
    </w:p>
    <w:p w14:paraId="125D75B8" w14:textId="77777777" w:rsidR="00B86FD1" w:rsidRDefault="00B86FD1" w:rsidP="00405835">
      <w:pPr>
        <w:jc w:val="both"/>
      </w:pPr>
      <w:r>
        <w:t xml:space="preserve">- den </w:t>
      </w:r>
      <w:r w:rsidRPr="00B86FD1">
        <w:t xml:space="preserve">Königlicher Erlass </w:t>
      </w:r>
      <w:r>
        <w:t xml:space="preserve">vom 12. Januar 2017 </w:t>
      </w:r>
      <w:r w:rsidRPr="00B86FD1">
        <w:t>zur Festlegung des Berufssteuervorabzugs auf die in Artikel 90 Absatz 1 Nr. 1bis des Einkommensteuergesetzbuches 1992 erwähnten Einkünfte</w:t>
      </w:r>
      <w:r>
        <w:t xml:space="preserve"> (</w:t>
      </w:r>
      <w:r>
        <w:rPr>
          <w:i/>
        </w:rPr>
        <w:t>Belgisches Staatsblatt</w:t>
      </w:r>
      <w:r>
        <w:t xml:space="preserve"> vom 18. Januar 2018) </w:t>
      </w:r>
      <w:r>
        <w:rPr>
          <w:i/>
        </w:rPr>
        <w:t>(II)</w:t>
      </w:r>
      <w:r w:rsidR="00DC6E8E">
        <w:t>,</w:t>
      </w:r>
    </w:p>
    <w:p w14:paraId="2679C6CC" w14:textId="77777777" w:rsidR="00DC6E8E" w:rsidRDefault="00DC6E8E" w:rsidP="00405835">
      <w:pPr>
        <w:jc w:val="both"/>
      </w:pPr>
    </w:p>
    <w:p w14:paraId="28CC475E" w14:textId="77777777" w:rsidR="00DC6E8E" w:rsidRDefault="00DC6E8E" w:rsidP="00405835">
      <w:pPr>
        <w:jc w:val="both"/>
      </w:pPr>
      <w:r>
        <w:t>- den Königlichen Erlass vom 27.</w:t>
      </w:r>
      <w:r w:rsidR="00F25077">
        <w:t> Januar </w:t>
      </w:r>
      <w:r>
        <w:t xml:space="preserve">2017 </w:t>
      </w:r>
      <w:r w:rsidR="00F25077" w:rsidRPr="00F25077">
        <w:t>zur Ausführung der Artikel 194</w:t>
      </w:r>
      <w:r w:rsidR="00F25077" w:rsidRPr="00F25077">
        <w:rPr>
          <w:i/>
        </w:rPr>
        <w:t>ter</w:t>
      </w:r>
      <w:r w:rsidR="00F25077" w:rsidRPr="00F25077">
        <w:t>/1 und 194</w:t>
      </w:r>
      <w:r w:rsidR="00F25077" w:rsidRPr="00F25077">
        <w:rPr>
          <w:i/>
        </w:rPr>
        <w:t>ter</w:t>
      </w:r>
      <w:r w:rsidR="00F25077" w:rsidRPr="00F25077">
        <w:t>/2 des Einkommensteuergesetzbuches 1992 in Bezug auf die Modalitäten und Bedingungen des Verfahrens für die Zulassung von Produktionsgesellschaften und Vermittlern, die in Betracht kommen, und zur Bestimmung der in Artikel 194</w:t>
      </w:r>
      <w:r w:rsidR="00F25077" w:rsidRPr="00F25077">
        <w:rPr>
          <w:i/>
        </w:rPr>
        <w:t>ter</w:t>
      </w:r>
      <w:r w:rsidR="00F25077" w:rsidRPr="00F25077">
        <w:t>/2 desselben Gesetzbuches erwähnten zuständigen Behörde des Föderalstaates</w:t>
      </w:r>
      <w:r w:rsidR="00F25077">
        <w:t xml:space="preserve"> (</w:t>
      </w:r>
      <w:r w:rsidR="00F25077">
        <w:rPr>
          <w:i/>
        </w:rPr>
        <w:t>Belgisches Staatsblatt</w:t>
      </w:r>
      <w:r w:rsidR="0028432A">
        <w:t xml:space="preserve"> vom 18. Januar 2018),</w:t>
      </w:r>
    </w:p>
    <w:p w14:paraId="3FDAB106" w14:textId="77777777" w:rsidR="0028432A" w:rsidRDefault="0028432A" w:rsidP="00405835">
      <w:pPr>
        <w:jc w:val="both"/>
      </w:pPr>
    </w:p>
    <w:p w14:paraId="43C5FEC8" w14:textId="77777777" w:rsidR="0028432A" w:rsidRPr="0028432A" w:rsidRDefault="0028432A" w:rsidP="00405835">
      <w:pPr>
        <w:jc w:val="both"/>
      </w:pPr>
      <w:r>
        <w:t xml:space="preserve">- den Königlichen Erlass vom 31. Januar 2017 </w:t>
      </w:r>
      <w:r w:rsidRPr="0028432A">
        <w:t>zur Abänderung des KE/EStGB 92 hinsichtlich der Steuerbefreiung für Preise und Zuschüsse, die Wissenschaftlern, Schriftstellern oder Künstlern gezahlt oder zuerkannt werden</w:t>
      </w:r>
      <w:r>
        <w:t xml:space="preserve"> (</w:t>
      </w:r>
      <w:r>
        <w:rPr>
          <w:i/>
        </w:rPr>
        <w:t>Belgisches Staatsblatt</w:t>
      </w:r>
      <w:r>
        <w:t xml:space="preserve"> vom 7. Februar 2018)</w:t>
      </w:r>
      <w:r w:rsidR="00BE45D3">
        <w:t> </w:t>
      </w:r>
      <w:r w:rsidR="00BE45D3">
        <w:rPr>
          <w:i/>
        </w:rPr>
        <w:t>(I)</w:t>
      </w:r>
      <w:r>
        <w:t>,</w:t>
      </w:r>
    </w:p>
    <w:p w14:paraId="1DCC2310" w14:textId="77777777" w:rsidR="00E216AB" w:rsidRPr="007D4A9A" w:rsidRDefault="00E216AB" w:rsidP="000F5F44">
      <w:pPr>
        <w:jc w:val="both"/>
      </w:pPr>
    </w:p>
    <w:p w14:paraId="3B69DF93" w14:textId="77777777" w:rsidR="0028432A" w:rsidRDefault="0028432A" w:rsidP="0028432A">
      <w:pPr>
        <w:jc w:val="both"/>
      </w:pPr>
      <w:r>
        <w:t xml:space="preserve">- den Königlichen Erlass vom 31. Januar 2017 </w:t>
      </w:r>
      <w:r w:rsidRPr="0028432A">
        <w:t>zur Abänderung des KE/EStGB 92 hinsichtlich der Steuerbefreiung für Preise und Zuschüsse, die Wissenschaftlern, Schriftstellern oder Künstlern gezahlt oder zuerkannt werden</w:t>
      </w:r>
      <w:r>
        <w:t xml:space="preserve"> (</w:t>
      </w:r>
      <w:r>
        <w:rPr>
          <w:i/>
        </w:rPr>
        <w:t>Belgisches Staatsblatt</w:t>
      </w:r>
      <w:r>
        <w:t xml:space="preserve"> vom 7. Februar 2018)</w:t>
      </w:r>
      <w:r w:rsidR="00BE45D3">
        <w:t> </w:t>
      </w:r>
      <w:r w:rsidR="00BE45D3">
        <w:rPr>
          <w:i/>
        </w:rPr>
        <w:t>(II)</w:t>
      </w:r>
      <w:r w:rsidR="00D051B9">
        <w:t>,</w:t>
      </w:r>
    </w:p>
    <w:p w14:paraId="67B2DE2C" w14:textId="77777777" w:rsidR="00D051B9" w:rsidRDefault="00D051B9" w:rsidP="0028432A">
      <w:pPr>
        <w:jc w:val="both"/>
      </w:pPr>
    </w:p>
    <w:p w14:paraId="54021AAB" w14:textId="77777777" w:rsidR="00D051B9" w:rsidRPr="00D051B9" w:rsidRDefault="00D051B9" w:rsidP="0028432A">
      <w:pPr>
        <w:jc w:val="both"/>
      </w:pPr>
      <w:r>
        <w:t xml:space="preserve">- den Königlichen Erlass vom 20. Februar 2017 </w:t>
      </w:r>
      <w:r w:rsidRPr="00D051B9">
        <w:t>zur Abänderung des KE/EStGB 92 hinsichtlich der Vorteile jeglicher Art im Falle der Gewährung eines zinslosen Darlehens oder eines Darlehens zu herabgesetztem Zinssatz</w:t>
      </w:r>
      <w:r>
        <w:t xml:space="preserve"> (</w:t>
      </w:r>
      <w:r>
        <w:rPr>
          <w:i/>
        </w:rPr>
        <w:t>Belgisches Staatsblatt</w:t>
      </w:r>
      <w:r>
        <w:t xml:space="preserve"> vom 7. Februar 201</w:t>
      </w:r>
      <w:r w:rsidR="00AE2144">
        <w:t>8),</w:t>
      </w:r>
    </w:p>
    <w:p w14:paraId="6FC60668" w14:textId="77777777" w:rsidR="0028432A" w:rsidRDefault="0028432A" w:rsidP="000F5F44">
      <w:pPr>
        <w:jc w:val="both"/>
      </w:pPr>
    </w:p>
    <w:p w14:paraId="1AF0C064" w14:textId="77777777" w:rsidR="00515F91" w:rsidRDefault="00AE2144" w:rsidP="000F5F44">
      <w:pPr>
        <w:jc w:val="both"/>
      </w:pPr>
      <w:r>
        <w:t xml:space="preserve">- den Königlichen Erlass vom 18. April 2017 </w:t>
      </w:r>
      <w:r w:rsidRPr="00AE2144">
        <w:t>zur Abänderung des KE/EStGB</w:t>
      </w:r>
      <w:r w:rsidR="00515F91">
        <w:t> </w:t>
      </w:r>
      <w:r w:rsidRPr="00AE2144">
        <w:t xml:space="preserve">92 hinsichtlich der Steuerermäßigung für den Erwerb neuer Aktien oder Anteile von startenden Unternehmen </w:t>
      </w:r>
      <w:r w:rsidRPr="00AE2144">
        <w:lastRenderedPageBreak/>
        <w:t>in Ausführun</w:t>
      </w:r>
      <w:r w:rsidR="00515F91">
        <w:t>g von Artikel 145</w:t>
      </w:r>
      <w:r w:rsidR="00515F91" w:rsidRPr="00515F91">
        <w:rPr>
          <w:vertAlign w:val="superscript"/>
        </w:rPr>
        <w:t>26</w:t>
      </w:r>
      <w:r w:rsidR="00515F91">
        <w:t xml:space="preserve"> § 6 Absatz </w:t>
      </w:r>
      <w:r w:rsidRPr="00AE2144">
        <w:t>1 des Einkommensteuergesetzb</w:t>
      </w:r>
      <w:r w:rsidR="00515F91">
        <w:t>uches </w:t>
      </w:r>
      <w:r w:rsidRPr="00AE2144">
        <w:t>1992</w:t>
      </w:r>
      <w:r w:rsidR="0016348C">
        <w:t xml:space="preserve"> (</w:t>
      </w:r>
      <w:r w:rsidR="0016348C">
        <w:rPr>
          <w:i/>
        </w:rPr>
        <w:t>Belgisches Staatsblatt</w:t>
      </w:r>
      <w:r w:rsidR="00515F91">
        <w:t xml:space="preserve"> vom </w:t>
      </w:r>
      <w:r w:rsidR="00C44E01">
        <w:t>9</w:t>
      </w:r>
      <w:r w:rsidR="00515F91">
        <w:t>. Februar 2018),</w:t>
      </w:r>
    </w:p>
    <w:p w14:paraId="21117281" w14:textId="77777777" w:rsidR="00515F91" w:rsidRDefault="00515F91" w:rsidP="000F5F44">
      <w:pPr>
        <w:jc w:val="both"/>
      </w:pPr>
    </w:p>
    <w:p w14:paraId="35627EDA" w14:textId="77777777" w:rsidR="00515F91" w:rsidRDefault="00515F91" w:rsidP="000F5F44">
      <w:pPr>
        <w:jc w:val="both"/>
      </w:pPr>
      <w:r>
        <w:t xml:space="preserve">- den Königlichen Erlass vom 28. April 2017 </w:t>
      </w:r>
      <w:r w:rsidRPr="00515F91">
        <w:t>über die Steuerbefreiung für Zinsen von Darlehen zugunsten von startenden Unternehmen</w:t>
      </w:r>
      <w:r>
        <w:t xml:space="preserve"> (</w:t>
      </w:r>
      <w:r>
        <w:rPr>
          <w:i/>
        </w:rPr>
        <w:t>Belgisches Staatsblatt</w:t>
      </w:r>
      <w:r>
        <w:t xml:space="preserve"> vom </w:t>
      </w:r>
      <w:r w:rsidR="00C44E01">
        <w:t>9</w:t>
      </w:r>
      <w:r w:rsidR="009971A3">
        <w:t>. Februar 2018),</w:t>
      </w:r>
    </w:p>
    <w:p w14:paraId="1EA94FAF" w14:textId="77777777" w:rsidR="005024BD" w:rsidRDefault="005024BD" w:rsidP="000F5F44">
      <w:pPr>
        <w:jc w:val="both"/>
      </w:pPr>
    </w:p>
    <w:p w14:paraId="6062A1EC" w14:textId="77777777" w:rsidR="005024BD" w:rsidRPr="005024BD" w:rsidRDefault="005024BD" w:rsidP="000F5F44">
      <w:pPr>
        <w:jc w:val="both"/>
      </w:pPr>
      <w:r>
        <w:t xml:space="preserve">- den Königlichen Erlass vom 22. Mai 2017 </w:t>
      </w:r>
      <w:r w:rsidRPr="005E31F1">
        <w:t>zur Abänderung der Artikel 164 und 165 des Königlichen Erlasses zur Ausführung des Einkommensteuergesetzbuches 1992 hinsichtlich der vereinfachten elektronischen Drittpfändung</w:t>
      </w:r>
      <w:r>
        <w:t xml:space="preserve"> (</w:t>
      </w:r>
      <w:r>
        <w:rPr>
          <w:i/>
        </w:rPr>
        <w:t>Belgisches Staatsblatt</w:t>
      </w:r>
      <w:r>
        <w:t xml:space="preserve"> vom 14. März 2018) (</w:t>
      </w:r>
      <w:r>
        <w:rPr>
          <w:i/>
        </w:rPr>
        <w:t>I),</w:t>
      </w:r>
    </w:p>
    <w:p w14:paraId="42EAC129" w14:textId="77777777" w:rsidR="009971A3" w:rsidRDefault="009971A3" w:rsidP="000F5F44">
      <w:pPr>
        <w:jc w:val="both"/>
      </w:pPr>
    </w:p>
    <w:p w14:paraId="43012759" w14:textId="77777777" w:rsidR="009971A3" w:rsidRDefault="009971A3" w:rsidP="000F5F44">
      <w:pPr>
        <w:jc w:val="both"/>
      </w:pPr>
      <w:r>
        <w:t xml:space="preserve">- den Königlichen Erlass vom 22. Mai 2017 </w:t>
      </w:r>
      <w:r w:rsidRPr="009971A3">
        <w:t>zur Festlegung verschiedener Bestimmungen zur Abänderung des KE/EStGB</w:t>
      </w:r>
      <w:r w:rsidR="005024BD">
        <w:t> </w:t>
      </w:r>
      <w:r w:rsidRPr="009971A3">
        <w:t>92</w:t>
      </w:r>
      <w:r>
        <w:t xml:space="preserve"> (</w:t>
      </w:r>
      <w:r>
        <w:rPr>
          <w:i/>
        </w:rPr>
        <w:t>Belgisches Staatsblatt</w:t>
      </w:r>
      <w:r w:rsidR="005024BD">
        <w:t xml:space="preserve"> vom 15. März 2018) </w:t>
      </w:r>
      <w:r w:rsidR="008B6FD9">
        <w:rPr>
          <w:i/>
        </w:rPr>
        <w:t>(II)</w:t>
      </w:r>
      <w:r w:rsidR="008B6FD9">
        <w:t>,</w:t>
      </w:r>
    </w:p>
    <w:p w14:paraId="1E4F58ED" w14:textId="77777777" w:rsidR="008B6FD9" w:rsidRDefault="008B6FD9" w:rsidP="000F5F44">
      <w:pPr>
        <w:jc w:val="both"/>
      </w:pPr>
    </w:p>
    <w:p w14:paraId="65133C89" w14:textId="77777777" w:rsidR="008B6FD9" w:rsidRDefault="008B6FD9" w:rsidP="000F5F44">
      <w:pPr>
        <w:jc w:val="both"/>
      </w:pPr>
      <w:r>
        <w:t>- den Königlichen Erlass vom 10. Juli 2017 zur Abänderung von Artikel </w:t>
      </w:r>
      <w:r w:rsidRPr="008B6FD9">
        <w:t>178 des Königlichen Erlasses zur Ausführung des Einkommensteuerge</w:t>
      </w:r>
      <w:r>
        <w:t>setzbuches </w:t>
      </w:r>
      <w:r w:rsidRPr="008B6FD9">
        <w:t>1992 im Hinblick auf den Ausschluss bestimmter Kategorien von Steuerpflichtigen von der Befreiung von der Pflicht, eine Erklärung zur Steuer der natürlichen Personen einzureichen</w:t>
      </w:r>
      <w:r>
        <w:t xml:space="preserve"> (</w:t>
      </w:r>
      <w:r>
        <w:rPr>
          <w:i/>
        </w:rPr>
        <w:t>Belgisches Staatsblatt</w:t>
      </w:r>
      <w:r w:rsidR="0083683B">
        <w:t xml:space="preserve"> vom 30. Mai 2018),</w:t>
      </w:r>
    </w:p>
    <w:p w14:paraId="2E0635B4" w14:textId="77777777" w:rsidR="0083683B" w:rsidRDefault="0083683B" w:rsidP="000F5F44">
      <w:pPr>
        <w:jc w:val="both"/>
      </w:pPr>
    </w:p>
    <w:p w14:paraId="3F46FD60" w14:textId="77777777" w:rsidR="0083683B" w:rsidRDefault="0083683B" w:rsidP="000F5F44">
      <w:pPr>
        <w:jc w:val="both"/>
      </w:pPr>
      <w:r>
        <w:t>-</w:t>
      </w:r>
      <w:r w:rsidR="003D73DE">
        <w:t> </w:t>
      </w:r>
      <w:r>
        <w:t xml:space="preserve">den Königlichen Erlass vom 2. November 2017 </w:t>
      </w:r>
      <w:r w:rsidRPr="0083683B">
        <w:t>z</w:t>
      </w:r>
      <w:r w:rsidR="00355424">
        <w:t>ur Abänderung des KE/EStGB </w:t>
      </w:r>
      <w:r w:rsidRPr="0083683B">
        <w:t>92 hinsichtlich der Vorteile jeglicher Art für die Nutzung zu persönlichen Zwecken eines kostenlos zur Verfügung gestellten PCs, Tablets, Internetanschlusses, Mobiltelefons oder Abonnements für Festnetz- oder Mobiltelefonie</w:t>
      </w:r>
      <w:r>
        <w:t xml:space="preserve"> (</w:t>
      </w:r>
      <w:r>
        <w:rPr>
          <w:i/>
        </w:rPr>
        <w:t>Belgisches Staatsblatt</w:t>
      </w:r>
      <w:r w:rsidR="00866321">
        <w:t xml:space="preserve"> vom 12. Juni 2018),</w:t>
      </w:r>
    </w:p>
    <w:p w14:paraId="2173348D" w14:textId="77777777" w:rsidR="00866321" w:rsidRDefault="00866321" w:rsidP="000F5F44">
      <w:pPr>
        <w:jc w:val="both"/>
      </w:pPr>
    </w:p>
    <w:p w14:paraId="5BB3D58B" w14:textId="77777777" w:rsidR="00866321" w:rsidRDefault="00866321" w:rsidP="000F5F44">
      <w:pPr>
        <w:jc w:val="both"/>
        <w:rPr>
          <w:color w:val="000000"/>
        </w:rPr>
      </w:pPr>
      <w:r>
        <w:t>-</w:t>
      </w:r>
      <w:r w:rsidR="003D73DE">
        <w:t> </w:t>
      </w:r>
      <w:r>
        <w:t>den Königlichen Erlass vom 10. Dezember 2017 zur Abänderung des KE/EStGB </w:t>
      </w:r>
      <w:r w:rsidRPr="0083683B">
        <w:t>92</w:t>
      </w:r>
      <w:r>
        <w:t xml:space="preserve"> </w:t>
      </w:r>
      <w:r w:rsidRPr="00C2350D">
        <w:rPr>
          <w:color w:val="000000"/>
        </w:rPr>
        <w:t>hinsichtlich des Berufssteuervorabzugs</w:t>
      </w:r>
      <w:r w:rsidR="00E3507A">
        <w:rPr>
          <w:color w:val="000000"/>
        </w:rPr>
        <w:t>,</w:t>
      </w:r>
    </w:p>
    <w:p w14:paraId="1D142AE9" w14:textId="77777777" w:rsidR="00E3507A" w:rsidRDefault="00E3507A" w:rsidP="000F5F44">
      <w:pPr>
        <w:jc w:val="both"/>
        <w:rPr>
          <w:color w:val="000000"/>
        </w:rPr>
      </w:pPr>
    </w:p>
    <w:p w14:paraId="29BEF853" w14:textId="77777777" w:rsidR="00DE1915" w:rsidRDefault="003D73DE" w:rsidP="00DE1915">
      <w:pPr>
        <w:jc w:val="both"/>
      </w:pPr>
      <w:r>
        <w:rPr>
          <w:color w:val="000000"/>
        </w:rPr>
        <w:t>- </w:t>
      </w:r>
      <w:r w:rsidR="00E3507A">
        <w:rPr>
          <w:color w:val="000000"/>
        </w:rPr>
        <w:t xml:space="preserve">den Königlichen Erlass vom 13. Dezember 2017 </w:t>
      </w:r>
      <w:r w:rsidR="00E3507A" w:rsidRPr="00E3507A">
        <w:rPr>
          <w:color w:val="000000"/>
        </w:rPr>
        <w:t>zur Abänderung des KE/EStGB 92 hinsichtlich der Vorteile jeglicher Art für die Nutzung zu persönlichen Zwecken eines kostenlos zur Verfügung gestellten Fahrzeugs</w:t>
      </w:r>
      <w:r w:rsidR="00E3507A">
        <w:rPr>
          <w:color w:val="000000"/>
        </w:rPr>
        <w:t xml:space="preserve"> </w:t>
      </w:r>
      <w:r w:rsidR="00E3507A">
        <w:t>(</w:t>
      </w:r>
      <w:r w:rsidR="00E3507A">
        <w:rPr>
          <w:i/>
        </w:rPr>
        <w:t>Belgisches Staatsblatt</w:t>
      </w:r>
      <w:r w:rsidR="00DE1915">
        <w:t xml:space="preserve"> vom 12. Juni 2018),</w:t>
      </w:r>
    </w:p>
    <w:p w14:paraId="1E494D2A" w14:textId="77777777" w:rsidR="00DE1915" w:rsidRDefault="00DE1915" w:rsidP="00DE1915">
      <w:pPr>
        <w:jc w:val="both"/>
      </w:pPr>
    </w:p>
    <w:p w14:paraId="7D2202E5" w14:textId="77777777" w:rsidR="00DE1915" w:rsidRDefault="00DE1915" w:rsidP="00DE1915">
      <w:pPr>
        <w:jc w:val="both"/>
      </w:pPr>
      <w:r>
        <w:t>- den Königlichen Erlass vom 25. Dezember 2017 zur Abänderung der Artikel 63/6 und 63/7 des KE/EStGB 92 (</w:t>
      </w:r>
      <w:r>
        <w:rPr>
          <w:i/>
        </w:rPr>
        <w:t>Belgisches Staatsblatt</w:t>
      </w:r>
      <w:r w:rsidR="00A911A2">
        <w:t xml:space="preserve"> vom 12. Juni 2018),</w:t>
      </w:r>
    </w:p>
    <w:p w14:paraId="1CD605B4" w14:textId="77777777" w:rsidR="00A911A2" w:rsidRDefault="00A911A2" w:rsidP="00DE1915">
      <w:pPr>
        <w:jc w:val="both"/>
      </w:pPr>
    </w:p>
    <w:p w14:paraId="59A57D44" w14:textId="77777777" w:rsidR="00A911A2" w:rsidRDefault="00A911A2" w:rsidP="00A911A2">
      <w:pPr>
        <w:jc w:val="both"/>
      </w:pPr>
      <w:r>
        <w:t>- den Königliche</w:t>
      </w:r>
      <w:r w:rsidR="005B447F">
        <w:t>n</w:t>
      </w:r>
      <w:r>
        <w:t xml:space="preserve"> Erlass vom 26. Januar 2018 zur Abänderung des KE/EStGB 92 hinsichtlich der Vorteile jeglicher Art im Falle der Gewährung eines zinslosen Darlehens oder eines Darlehens zu herabgesetztem Zinssatz (</w:t>
      </w:r>
      <w:r w:rsidRPr="00A911A2">
        <w:rPr>
          <w:i/>
        </w:rPr>
        <w:t>Belgisches Staatsblatt</w:t>
      </w:r>
      <w:r w:rsidR="00031766">
        <w:t xml:space="preserve"> vom 22. Mai 2019),</w:t>
      </w:r>
    </w:p>
    <w:p w14:paraId="3CC3805B" w14:textId="77777777" w:rsidR="00031766" w:rsidRDefault="00031766" w:rsidP="00A911A2">
      <w:pPr>
        <w:jc w:val="both"/>
      </w:pPr>
    </w:p>
    <w:p w14:paraId="331FF70E" w14:textId="77777777" w:rsidR="00031766" w:rsidRDefault="003D73DE" w:rsidP="00A911A2">
      <w:pPr>
        <w:jc w:val="both"/>
      </w:pPr>
      <w:r>
        <w:t>- </w:t>
      </w:r>
      <w:r w:rsidR="00031766">
        <w:t xml:space="preserve">den Königlichen Erlass vom 18. Februar 2018 </w:t>
      </w:r>
      <w:r w:rsidR="00031766" w:rsidRPr="00031766">
        <w:t>zur Abänderung und Ergänzung des KE/EStGB</w:t>
      </w:r>
      <w:r w:rsidR="00031766">
        <w:t> </w:t>
      </w:r>
      <w:r w:rsidR="00B06A3D">
        <w:t>92 in Ausführung von Artikel </w:t>
      </w:r>
      <w:r w:rsidR="00031766" w:rsidRPr="00031766">
        <w:t xml:space="preserve">470/2 </w:t>
      </w:r>
      <w:r w:rsidR="00B06A3D">
        <w:t>des Einkommensteuergesetzbuches </w:t>
      </w:r>
      <w:r w:rsidR="00031766" w:rsidRPr="00031766">
        <w:t>1992</w:t>
      </w:r>
      <w:r w:rsidR="00031766">
        <w:t xml:space="preserve"> (</w:t>
      </w:r>
      <w:r w:rsidR="00031766">
        <w:rPr>
          <w:i/>
        </w:rPr>
        <w:t>Belgisches Staatsblatt</w:t>
      </w:r>
      <w:r>
        <w:t xml:space="preserve"> vom 26. Juni 2019),</w:t>
      </w:r>
    </w:p>
    <w:p w14:paraId="6C559F50" w14:textId="77777777" w:rsidR="003D73DE" w:rsidRDefault="003D73DE" w:rsidP="00A911A2">
      <w:pPr>
        <w:jc w:val="both"/>
      </w:pPr>
    </w:p>
    <w:p w14:paraId="2BCDA7FD" w14:textId="77777777" w:rsidR="003D73DE" w:rsidRDefault="003D73DE" w:rsidP="00A911A2">
      <w:pPr>
        <w:jc w:val="both"/>
      </w:pPr>
      <w:r>
        <w:t xml:space="preserve">- den Königlichen Erlass vom 6. März 2018 </w:t>
      </w:r>
      <w:r w:rsidR="00B06A3D" w:rsidRPr="00B06A3D">
        <w:t>zur Abänderung von Artikel</w:t>
      </w:r>
      <w:r w:rsidR="00B06A3D">
        <w:t> 178 § 2 Nr. </w:t>
      </w:r>
      <w:r w:rsidR="00B06A3D" w:rsidRPr="00B06A3D">
        <w:t xml:space="preserve">13 des Königlichen Erlasses zur Ausführung </w:t>
      </w:r>
      <w:r w:rsidR="00B06A3D">
        <w:t>des Einkommensteuergesetzbuches </w:t>
      </w:r>
      <w:r w:rsidR="00B06A3D" w:rsidRPr="00B06A3D">
        <w:t>1992 im Hinblick auf die Abschaffung der Bedingung des Höchstbetrags der Entlohnungen als Kriterium, aufgrund dessen Steuerpflichtige von der Pflicht befreit sind, eine Erklärung zur Steuer der natürlichen Personen einzureichen</w:t>
      </w:r>
      <w:r w:rsidR="00B06A3D">
        <w:t xml:space="preserve"> (</w:t>
      </w:r>
      <w:r w:rsidR="00B06A3D">
        <w:rPr>
          <w:i/>
        </w:rPr>
        <w:t>Belgisches Staatsblatt</w:t>
      </w:r>
      <w:r w:rsidR="00B06A3D">
        <w:t xml:space="preserve"> vom 26. Juni 2019)</w:t>
      </w:r>
      <w:r w:rsidR="00551F63">
        <w:t xml:space="preserve"> </w:t>
      </w:r>
      <w:r w:rsidR="00551F63">
        <w:rPr>
          <w:i/>
        </w:rPr>
        <w:t>(I)</w:t>
      </w:r>
      <w:r w:rsidR="00D46CF2">
        <w:t>,</w:t>
      </w:r>
    </w:p>
    <w:p w14:paraId="0BB26C5B" w14:textId="77777777" w:rsidR="00D46CF2" w:rsidRDefault="00D46CF2" w:rsidP="00A911A2">
      <w:pPr>
        <w:jc w:val="both"/>
      </w:pPr>
    </w:p>
    <w:p w14:paraId="56F3918F" w14:textId="77777777" w:rsidR="00D46CF2" w:rsidRDefault="00D46CF2" w:rsidP="00A911A2">
      <w:pPr>
        <w:jc w:val="both"/>
      </w:pPr>
      <w:r>
        <w:t xml:space="preserve">- den Königlichen Erlass vom 6. März 2018 </w:t>
      </w:r>
      <w:r w:rsidR="00397119" w:rsidRPr="00397119">
        <w:t>zur Abänderung des KE/EStGB</w:t>
      </w:r>
      <w:r w:rsidR="00397119">
        <w:t> </w:t>
      </w:r>
      <w:r w:rsidR="00397119" w:rsidRPr="00397119">
        <w:t xml:space="preserve">92 hinsichtlich der Bescheinigungen, die für die Anwendung bestimmter Steuerermäßigungen für </w:t>
      </w:r>
      <w:r w:rsidR="00397119" w:rsidRPr="00397119">
        <w:lastRenderedPageBreak/>
        <w:t>Hypothekenanleihen und individuelle Lebensversicherungen zur Verfügung bereitgehalten werden müssen</w:t>
      </w:r>
      <w:r w:rsidR="00397119">
        <w:t xml:space="preserve"> (</w:t>
      </w:r>
      <w:r w:rsidR="00397119">
        <w:rPr>
          <w:i/>
        </w:rPr>
        <w:t>Belgisches Staatsblatt</w:t>
      </w:r>
      <w:r w:rsidR="00397119">
        <w:t xml:space="preserve"> vom 16. Juli 2019) </w:t>
      </w:r>
      <w:r w:rsidR="00397119">
        <w:rPr>
          <w:i/>
        </w:rPr>
        <w:t>(II)</w:t>
      </w:r>
      <w:r w:rsidR="001C0BE2">
        <w:t>,</w:t>
      </w:r>
    </w:p>
    <w:p w14:paraId="5924051F" w14:textId="77777777" w:rsidR="001C0BE2" w:rsidRDefault="001C0BE2" w:rsidP="00A911A2">
      <w:pPr>
        <w:jc w:val="both"/>
      </w:pPr>
    </w:p>
    <w:p w14:paraId="5B750DA3" w14:textId="77777777" w:rsidR="001C0BE2" w:rsidRDefault="001C0BE2" w:rsidP="00A911A2">
      <w:pPr>
        <w:jc w:val="both"/>
      </w:pPr>
      <w:r>
        <w:t xml:space="preserve">- den Königlichen Erlass vom 11. März 2018 </w:t>
      </w:r>
      <w:r w:rsidR="00227232" w:rsidRPr="00227232">
        <w:t>zur Abänderung des KE/EStGB 92 hinsichtlich der Bestimmung des mit der Bereitstellung der Einkommensteuererklärungen beauftragten Dienstes</w:t>
      </w:r>
      <w:r w:rsidR="00227232">
        <w:t xml:space="preserve"> (</w:t>
      </w:r>
      <w:r w:rsidR="00227232">
        <w:rPr>
          <w:i/>
        </w:rPr>
        <w:t>Belgisches Staatsblatt</w:t>
      </w:r>
      <w:r w:rsidR="008C7583">
        <w:t xml:space="preserve"> vom 26. Juni 2019),</w:t>
      </w:r>
    </w:p>
    <w:p w14:paraId="34991FC0" w14:textId="77777777" w:rsidR="008C7583" w:rsidRDefault="008C7583" w:rsidP="00A911A2">
      <w:pPr>
        <w:jc w:val="both"/>
      </w:pPr>
    </w:p>
    <w:p w14:paraId="423830CB" w14:textId="0C1991B4" w:rsidR="00D352D2" w:rsidRDefault="00D352D2" w:rsidP="00D352D2">
      <w:pPr>
        <w:jc w:val="both"/>
      </w:pPr>
      <w:r>
        <w:t xml:space="preserve">- Artikel 29 des </w:t>
      </w:r>
      <w:r>
        <w:rPr>
          <w:bCs/>
        </w:rPr>
        <w:t>Königlichen Erlasses vom 28. März 2018 zur Ausführung des Gesetzes vom 25. Februar 2018 zur Schaffung von Sciensano, was den Gesellschaftssitz, die Verwaltung und die Arbeitsweise betrifft, und zur Anpassung verschiedener Erlasse in Bezug auf die Rechtsvorgänger von Sciensano</w:t>
      </w:r>
      <w:r>
        <w:t xml:space="preserve"> (</w:t>
      </w:r>
      <w:r>
        <w:rPr>
          <w:i/>
        </w:rPr>
        <w:t xml:space="preserve">Belgisches Staatsblatt </w:t>
      </w:r>
      <w:r>
        <w:t>vom 7. März 2024),</w:t>
      </w:r>
    </w:p>
    <w:p w14:paraId="7B931C1B" w14:textId="00B4C506" w:rsidR="00D352D2" w:rsidRDefault="00D352D2" w:rsidP="00A911A2">
      <w:pPr>
        <w:jc w:val="both"/>
      </w:pPr>
    </w:p>
    <w:p w14:paraId="7163D40D" w14:textId="50B3EB86" w:rsidR="008C7583" w:rsidRPr="008C7583" w:rsidRDefault="008C7583" w:rsidP="00A911A2">
      <w:pPr>
        <w:jc w:val="both"/>
      </w:pPr>
      <w:r>
        <w:t>- den Königlichen Erlass vom 19. Apri</w:t>
      </w:r>
      <w:r w:rsidRPr="008C7583">
        <w:t>l 2018 zur Abänderung von Artikel 204 Nr. 3 des KE/EStGB 92 in Bezug auf den Besteuerungszeitraum, auf den sich die als vollständige Entschädigung oder Teilentschädigung für einen zeitweiligen Gewinn- oder Profitausfall bezogenen Entschädigungen beziehen</w:t>
      </w:r>
      <w:r>
        <w:t xml:space="preserve"> (</w:t>
      </w:r>
      <w:r>
        <w:rPr>
          <w:i/>
        </w:rPr>
        <w:t>Belgi</w:t>
      </w:r>
      <w:r w:rsidR="00E448DD">
        <w:rPr>
          <w:i/>
        </w:rPr>
        <w:t>s</w:t>
      </w:r>
      <w:r>
        <w:rPr>
          <w:i/>
        </w:rPr>
        <w:t>ches Staatsblatt</w:t>
      </w:r>
      <w:r w:rsidR="00A400F5">
        <w:t xml:space="preserve"> vom 13. September 2019),</w:t>
      </w:r>
    </w:p>
    <w:p w14:paraId="1DCAE59E" w14:textId="77777777" w:rsidR="00DE1915" w:rsidRDefault="00DE1915" w:rsidP="000F5F44">
      <w:pPr>
        <w:jc w:val="both"/>
      </w:pPr>
    </w:p>
    <w:p w14:paraId="0BD7B1A6" w14:textId="77777777" w:rsidR="00A400F5" w:rsidRDefault="00A400F5" w:rsidP="00A400F5">
      <w:pPr>
        <w:jc w:val="both"/>
        <w:rPr>
          <w:bCs/>
        </w:rPr>
      </w:pPr>
      <w:r>
        <w:t>- den Königlichen Erlass vom 8. Mai 2018</w:t>
      </w:r>
      <w:r>
        <w:rPr>
          <w:b/>
          <w:bCs/>
        </w:rPr>
        <w:t xml:space="preserve"> </w:t>
      </w:r>
      <w:r>
        <w:rPr>
          <w:bCs/>
        </w:rPr>
        <w:t>zur Abänderung des Königlichen Erlasses vom 23. Mai 2007 über private Kapitalanlagefonds mit fixem Kapital und des KE/EStGB 92 hinsichtlich des Verzichts auf die Einnahme des Mobiliensteuervorabzugs (</w:t>
      </w:r>
      <w:r>
        <w:rPr>
          <w:bCs/>
          <w:i/>
        </w:rPr>
        <w:t>Belgisches Staatsblatt</w:t>
      </w:r>
      <w:r w:rsidR="00FF0502">
        <w:rPr>
          <w:bCs/>
        </w:rPr>
        <w:t xml:space="preserve"> vom 21. November 2019),</w:t>
      </w:r>
    </w:p>
    <w:p w14:paraId="6CC6D936" w14:textId="77777777" w:rsidR="00FF0502" w:rsidRDefault="00FF0502" w:rsidP="00A400F5">
      <w:pPr>
        <w:jc w:val="both"/>
        <w:rPr>
          <w:bCs/>
        </w:rPr>
      </w:pPr>
    </w:p>
    <w:p w14:paraId="2387D764" w14:textId="77777777" w:rsidR="00FF0502" w:rsidRDefault="00FF0502" w:rsidP="00A400F5">
      <w:pPr>
        <w:jc w:val="both"/>
        <w:rPr>
          <w:bCs/>
        </w:rPr>
      </w:pPr>
      <w:r>
        <w:rPr>
          <w:bCs/>
        </w:rPr>
        <w:t xml:space="preserve">- den Königlichen Erlass vom 24. Juni 2018 </w:t>
      </w:r>
      <w:r w:rsidRPr="00FF0502">
        <w:t>zur Abänderung des KE/EStGB 92 hinsichtlich des Neubewertungskoeffizienten für Katastereinkommen</w:t>
      </w:r>
      <w:r>
        <w:t xml:space="preserve"> </w:t>
      </w:r>
      <w:r>
        <w:rPr>
          <w:bCs/>
        </w:rPr>
        <w:t>(</w:t>
      </w:r>
      <w:r>
        <w:rPr>
          <w:bCs/>
          <w:i/>
        </w:rPr>
        <w:t>Belgisches Staatsblatt</w:t>
      </w:r>
      <w:r w:rsidR="004B7B3E">
        <w:rPr>
          <w:bCs/>
        </w:rPr>
        <w:t xml:space="preserve"> vom 21. November 2019),</w:t>
      </w:r>
    </w:p>
    <w:p w14:paraId="2D5EEB06" w14:textId="77777777" w:rsidR="004B7B3E" w:rsidRDefault="004B7B3E" w:rsidP="00A400F5">
      <w:pPr>
        <w:jc w:val="both"/>
        <w:rPr>
          <w:bCs/>
        </w:rPr>
      </w:pPr>
    </w:p>
    <w:p w14:paraId="2D6B1AE6" w14:textId="77777777" w:rsidR="004B7B3E" w:rsidRDefault="004B7B3E" w:rsidP="00A400F5">
      <w:pPr>
        <w:jc w:val="both"/>
        <w:rPr>
          <w:bCs/>
        </w:rPr>
      </w:pPr>
      <w:r>
        <w:rPr>
          <w:bCs/>
        </w:rPr>
        <w:t>- den Königlichen Erlass</w:t>
      </w:r>
      <w:r w:rsidRPr="004B7B3E">
        <w:rPr>
          <w:bCs/>
        </w:rPr>
        <w:t xml:space="preserve"> vom 29. Juni 2018 </w:t>
      </w:r>
      <w:r w:rsidRPr="004B7B3E">
        <w:t>zur Ausführung von Artikel 445 § 3 des Einkom</w:t>
      </w:r>
      <w:r w:rsidRPr="004B7B3E">
        <w:softHyphen/>
        <w:t>mensteuergesetzbuches 1992 in Bezug auf die Festlegung der Skala der administrativen Geldbußen hinsichtlich der Verrechnungspreise und deren Anwendungsmodalitäten</w:t>
      </w:r>
      <w:r>
        <w:t xml:space="preserve"> </w:t>
      </w:r>
      <w:r>
        <w:rPr>
          <w:bCs/>
        </w:rPr>
        <w:t>(</w:t>
      </w:r>
      <w:r>
        <w:rPr>
          <w:bCs/>
          <w:i/>
        </w:rPr>
        <w:t>Belgisches Staatsblatt</w:t>
      </w:r>
      <w:r w:rsidR="00F07BF7">
        <w:rPr>
          <w:bCs/>
        </w:rPr>
        <w:t xml:space="preserve"> vom 21. November 2019),</w:t>
      </w:r>
    </w:p>
    <w:p w14:paraId="00F3BB9B" w14:textId="77777777" w:rsidR="00F07BF7" w:rsidRPr="00F07BF7" w:rsidRDefault="00F07BF7" w:rsidP="00A400F5">
      <w:pPr>
        <w:jc w:val="both"/>
        <w:rPr>
          <w:bCs/>
        </w:rPr>
      </w:pPr>
    </w:p>
    <w:p w14:paraId="2170D8D1" w14:textId="77777777" w:rsidR="00F07BF7" w:rsidRDefault="00F07BF7" w:rsidP="00A400F5">
      <w:pPr>
        <w:jc w:val="both"/>
        <w:rPr>
          <w:bCs/>
        </w:rPr>
      </w:pPr>
      <w:r w:rsidRPr="00F07BF7">
        <w:rPr>
          <w:bCs/>
        </w:rPr>
        <w:t xml:space="preserve">- den Königlichen Erlass vom 19. Juli 2018 </w:t>
      </w:r>
      <w:r w:rsidRPr="00F07BF7">
        <w:t>zur Abänderung des KE/EStGB 92 hinsichtlich der Befreiung von der Zahlung des Berufssteuervorabzugs in Ausführung der Artikel 275</w:t>
      </w:r>
      <w:r w:rsidRPr="00F07BF7">
        <w:rPr>
          <w:vertAlign w:val="superscript"/>
        </w:rPr>
        <w:t>1</w:t>
      </w:r>
      <w:r w:rsidRPr="00F07BF7">
        <w:t>, 275</w:t>
      </w:r>
      <w:r w:rsidRPr="00F07BF7">
        <w:rPr>
          <w:vertAlign w:val="superscript"/>
        </w:rPr>
        <w:t>3</w:t>
      </w:r>
      <w:r w:rsidRPr="00F07BF7">
        <w:t xml:space="preserve"> und 275</w:t>
      </w:r>
      <w:r w:rsidRPr="00F07BF7">
        <w:rPr>
          <w:vertAlign w:val="superscript"/>
        </w:rPr>
        <w:t>7</w:t>
      </w:r>
      <w:r w:rsidRPr="00F07BF7">
        <w:t xml:space="preserve"> des Einkommensteuergesetzbuches 1992</w:t>
      </w:r>
      <w:r>
        <w:t xml:space="preserve"> </w:t>
      </w:r>
      <w:r>
        <w:rPr>
          <w:bCs/>
        </w:rPr>
        <w:t>(</w:t>
      </w:r>
      <w:r>
        <w:rPr>
          <w:bCs/>
          <w:i/>
        </w:rPr>
        <w:t>Belgisches Staatsblatt</w:t>
      </w:r>
      <w:r w:rsidR="00440C0E">
        <w:rPr>
          <w:bCs/>
        </w:rPr>
        <w:t xml:space="preserve"> vom 21. November 2019),</w:t>
      </w:r>
    </w:p>
    <w:p w14:paraId="013A838D" w14:textId="77777777" w:rsidR="00440C0E" w:rsidRDefault="00440C0E" w:rsidP="00A400F5">
      <w:pPr>
        <w:jc w:val="both"/>
        <w:rPr>
          <w:bCs/>
        </w:rPr>
      </w:pPr>
    </w:p>
    <w:p w14:paraId="3CD56AFD" w14:textId="77777777" w:rsidR="00440C0E" w:rsidRDefault="00440C0E" w:rsidP="00A400F5">
      <w:pPr>
        <w:jc w:val="both"/>
      </w:pPr>
      <w:r>
        <w:rPr>
          <w:bCs/>
        </w:rPr>
        <w:t xml:space="preserve">- den Königlichen Erlass vom 25. September 2018 </w:t>
      </w:r>
      <w:r w:rsidRPr="00440C0E">
        <w:t>zur Harmonisierung der Begriffe der elektronischen Signatur und des dauerhaften Datenträgers</w:t>
      </w:r>
      <w:r>
        <w:t xml:space="preserve"> (</w:t>
      </w:r>
      <w:r>
        <w:rPr>
          <w:i/>
        </w:rPr>
        <w:t>Belgisches Staatsblatt</w:t>
      </w:r>
      <w:r>
        <w:t xml:space="preserve"> vom 28. Januar 20</w:t>
      </w:r>
      <w:r w:rsidR="005B07BD">
        <w:t>20</w:t>
      </w:r>
      <w:r w:rsidR="00354F5B">
        <w:t>),</w:t>
      </w:r>
    </w:p>
    <w:p w14:paraId="627634ED" w14:textId="77777777" w:rsidR="00354F5B" w:rsidRDefault="00354F5B" w:rsidP="00A400F5">
      <w:pPr>
        <w:jc w:val="both"/>
      </w:pPr>
    </w:p>
    <w:p w14:paraId="6BD960F4" w14:textId="77777777" w:rsidR="00354F5B" w:rsidRDefault="00354F5B" w:rsidP="00A400F5">
      <w:pPr>
        <w:jc w:val="both"/>
      </w:pPr>
      <w:r>
        <w:t xml:space="preserve">- den Königlichen Erlass vom 21. November 2018 </w:t>
      </w:r>
      <w:r w:rsidRPr="00354F5B">
        <w:t>zur Abänderung des KE/EStGB 92 hinsichtlich der Modalitäten für die Zahlung, Berichtigung, Übertragung und Erstattung von Vorauszahlungen und der diesbezüglichen Unterrichtungsmodalitäten</w:t>
      </w:r>
      <w:r>
        <w:t xml:space="preserve"> (</w:t>
      </w:r>
      <w:r>
        <w:rPr>
          <w:i/>
        </w:rPr>
        <w:t>Belgisches Staatsblatt</w:t>
      </w:r>
      <w:r w:rsidR="00294B0B">
        <w:t xml:space="preserve"> vom 6. Dezember 2019),</w:t>
      </w:r>
    </w:p>
    <w:p w14:paraId="0D697052" w14:textId="77777777" w:rsidR="00294B0B" w:rsidRDefault="00294B0B" w:rsidP="00A400F5">
      <w:pPr>
        <w:jc w:val="both"/>
      </w:pPr>
    </w:p>
    <w:p w14:paraId="2106C10C" w14:textId="77777777" w:rsidR="00294B0B" w:rsidRDefault="00294B0B" w:rsidP="00A400F5">
      <w:pPr>
        <w:jc w:val="both"/>
        <w:rPr>
          <w:bCs/>
        </w:rPr>
      </w:pPr>
      <w:r>
        <w:t xml:space="preserve">- den Königlichen Erlass vom 7. Dezember 2018 </w:t>
      </w:r>
      <w:r w:rsidRPr="00294B0B">
        <w:rPr>
          <w:bCs/>
        </w:rPr>
        <w:t>zur Abänderung des KE/EStGB 92 hinsichtlich der Vorteile jeglicher Art für die kostenlose Verfügung über unbewegliche Güter oder Teile von unbeweglichen Gütern</w:t>
      </w:r>
      <w:r>
        <w:rPr>
          <w:bCs/>
        </w:rPr>
        <w:t xml:space="preserve"> (</w:t>
      </w:r>
      <w:r>
        <w:rPr>
          <w:bCs/>
          <w:i/>
        </w:rPr>
        <w:t>Belgisches Staatsblatt</w:t>
      </w:r>
      <w:r w:rsidR="00262679">
        <w:rPr>
          <w:bCs/>
        </w:rPr>
        <w:t xml:space="preserve"> vom 16. Januar 2020),</w:t>
      </w:r>
    </w:p>
    <w:p w14:paraId="1B28B93C" w14:textId="77777777" w:rsidR="00262679" w:rsidRDefault="00262679" w:rsidP="00A400F5">
      <w:pPr>
        <w:jc w:val="both"/>
        <w:rPr>
          <w:bCs/>
        </w:rPr>
      </w:pPr>
    </w:p>
    <w:p w14:paraId="0456FE67" w14:textId="77777777" w:rsidR="00262679" w:rsidRDefault="00262679" w:rsidP="00A400F5">
      <w:pPr>
        <w:jc w:val="both"/>
        <w:rPr>
          <w:bCs/>
        </w:rPr>
      </w:pPr>
      <w:r>
        <w:rPr>
          <w:bCs/>
        </w:rPr>
        <w:lastRenderedPageBreak/>
        <w:t xml:space="preserve">- den </w:t>
      </w:r>
      <w:r w:rsidRPr="00262679">
        <w:rPr>
          <w:bCs/>
        </w:rPr>
        <w:t>Königliche</w:t>
      </w:r>
      <w:r>
        <w:rPr>
          <w:bCs/>
        </w:rPr>
        <w:t>n</w:t>
      </w:r>
      <w:r w:rsidRPr="00262679">
        <w:rPr>
          <w:bCs/>
        </w:rPr>
        <w:t xml:space="preserve"> Erlass </w:t>
      </w:r>
      <w:r>
        <w:rPr>
          <w:bCs/>
        </w:rPr>
        <w:t xml:space="preserve">vom </w:t>
      </w:r>
      <w:r w:rsidRPr="00262679">
        <w:rPr>
          <w:bCs/>
        </w:rPr>
        <w:t>19.</w:t>
      </w:r>
      <w:r>
        <w:rPr>
          <w:bCs/>
        </w:rPr>
        <w:t> Dezember </w:t>
      </w:r>
      <w:r w:rsidRPr="00262679">
        <w:rPr>
          <w:bCs/>
        </w:rPr>
        <w:t>2018 zur Abänderung des KE/EStGB 92 hinsicht-lich der Vorteile jeglicher Art für die Nutzung zu persönlichen Zwecken eines kostenlos zur Verfügung gestellten Fahrzeugs</w:t>
      </w:r>
      <w:r>
        <w:rPr>
          <w:bCs/>
        </w:rPr>
        <w:t xml:space="preserve"> (</w:t>
      </w:r>
      <w:r>
        <w:rPr>
          <w:bCs/>
          <w:i/>
        </w:rPr>
        <w:t>Belgisches Staatsblatt</w:t>
      </w:r>
      <w:r w:rsidR="00D1679A">
        <w:rPr>
          <w:bCs/>
        </w:rPr>
        <w:t xml:space="preserve"> vom 12. Dezember 2019),</w:t>
      </w:r>
    </w:p>
    <w:p w14:paraId="186A7376" w14:textId="77777777" w:rsidR="00D1679A" w:rsidRDefault="00D1679A" w:rsidP="00A400F5">
      <w:pPr>
        <w:jc w:val="both"/>
        <w:rPr>
          <w:bCs/>
        </w:rPr>
      </w:pPr>
    </w:p>
    <w:p w14:paraId="46DC38A1" w14:textId="77777777" w:rsidR="00D1679A" w:rsidRDefault="00D1679A" w:rsidP="00A400F5">
      <w:pPr>
        <w:jc w:val="both"/>
        <w:rPr>
          <w:bCs/>
        </w:rPr>
      </w:pPr>
      <w:r>
        <w:rPr>
          <w:bCs/>
        </w:rPr>
        <w:t xml:space="preserve">- </w:t>
      </w:r>
      <w:r w:rsidR="00E31E91">
        <w:rPr>
          <w:bCs/>
        </w:rPr>
        <w:t>die Artikel </w:t>
      </w:r>
      <w:r w:rsidR="009E1FF1">
        <w:rPr>
          <w:bCs/>
        </w:rPr>
        <w:t xml:space="preserve">38 bis 45 des </w:t>
      </w:r>
      <w:r w:rsidRPr="00262679">
        <w:rPr>
          <w:bCs/>
        </w:rPr>
        <w:t>Königliche</w:t>
      </w:r>
      <w:r>
        <w:rPr>
          <w:bCs/>
        </w:rPr>
        <w:t>n</w:t>
      </w:r>
      <w:r w:rsidRPr="00262679">
        <w:rPr>
          <w:bCs/>
        </w:rPr>
        <w:t xml:space="preserve"> Erlass</w:t>
      </w:r>
      <w:r w:rsidR="009E1FF1">
        <w:rPr>
          <w:bCs/>
        </w:rPr>
        <w:t>es</w:t>
      </w:r>
      <w:r w:rsidRPr="00262679">
        <w:rPr>
          <w:bCs/>
        </w:rPr>
        <w:t xml:space="preserve"> </w:t>
      </w:r>
      <w:r>
        <w:rPr>
          <w:bCs/>
        </w:rPr>
        <w:t>vom</w:t>
      </w:r>
      <w:r w:rsidR="00E31E91">
        <w:rPr>
          <w:bCs/>
        </w:rPr>
        <w:t xml:space="preserve"> 17. Februar 2019 </w:t>
      </w:r>
      <w:r w:rsidR="00E31E91" w:rsidRPr="00E31E91">
        <w:rPr>
          <w:bCs/>
        </w:rPr>
        <w:t>zur Ausführung verschiedener Gesetze und zur Anpassung verschiedener Königlicher Erlasse unter anderem im Hinblick auf die Harmonisierung der Zahlungsmodalitäten innerhalb der mit der Einnahme und Beitreibung von Steuerforderungen und nichtsteuerlichen Forderungen beauftragten Verwaltung des Föderalen Öffentlichen Dienstes Finanzen</w:t>
      </w:r>
      <w:r w:rsidR="00E31E91">
        <w:rPr>
          <w:bCs/>
        </w:rPr>
        <w:t xml:space="preserve"> (</w:t>
      </w:r>
      <w:r w:rsidR="00E31E91">
        <w:rPr>
          <w:bCs/>
          <w:i/>
        </w:rPr>
        <w:t>Belgisches Staatsblatt</w:t>
      </w:r>
      <w:r w:rsidR="00E31E91">
        <w:rPr>
          <w:bCs/>
        </w:rPr>
        <w:t xml:space="preserve"> vom 12. Dezember 2019)</w:t>
      </w:r>
      <w:r w:rsidR="00A57082">
        <w:rPr>
          <w:bCs/>
        </w:rPr>
        <w:t>,</w:t>
      </w:r>
    </w:p>
    <w:p w14:paraId="09754C43" w14:textId="77777777" w:rsidR="00A57082" w:rsidRDefault="00A57082" w:rsidP="00A400F5">
      <w:pPr>
        <w:jc w:val="both"/>
        <w:rPr>
          <w:bCs/>
        </w:rPr>
      </w:pPr>
    </w:p>
    <w:p w14:paraId="73FB5CA9" w14:textId="77777777" w:rsidR="00A57082" w:rsidRDefault="00A57082" w:rsidP="00A400F5">
      <w:pPr>
        <w:jc w:val="both"/>
        <w:rPr>
          <w:bCs/>
        </w:rPr>
      </w:pPr>
      <w:r>
        <w:rPr>
          <w:bCs/>
        </w:rPr>
        <w:t xml:space="preserve">- den Königlichen Erlass vom 17. März 2019 </w:t>
      </w:r>
      <w:r w:rsidRPr="0022456B">
        <w:rPr>
          <w:bCs/>
        </w:rPr>
        <w:t>zur Abänderung des KE/EStGB 92 hinsichtlich der Vorteile jeglicher Art im Falle der Gewährung eines zinslosen Darlehens oder eines Darlehens zu herabgesetztem Zinssatz</w:t>
      </w:r>
      <w:r>
        <w:rPr>
          <w:bCs/>
        </w:rPr>
        <w:t xml:space="preserve"> (</w:t>
      </w:r>
      <w:r>
        <w:rPr>
          <w:bCs/>
          <w:i/>
          <w:iCs/>
        </w:rPr>
        <w:t>Belgisches Staatsblatt</w:t>
      </w:r>
      <w:r>
        <w:rPr>
          <w:bCs/>
        </w:rPr>
        <w:t xml:space="preserve"> vom 6. März 20</w:t>
      </w:r>
      <w:r w:rsidR="00F61BE0">
        <w:rPr>
          <w:bCs/>
        </w:rPr>
        <w:t>20</w:t>
      </w:r>
      <w:r>
        <w:rPr>
          <w:bCs/>
        </w:rPr>
        <w:t>)</w:t>
      </w:r>
      <w:r w:rsidR="00F61BE0">
        <w:rPr>
          <w:bCs/>
        </w:rPr>
        <w:t>,</w:t>
      </w:r>
    </w:p>
    <w:p w14:paraId="0D1EB3B0" w14:textId="77777777" w:rsidR="00F61BE0" w:rsidRDefault="00F61BE0" w:rsidP="00A400F5">
      <w:pPr>
        <w:jc w:val="both"/>
        <w:rPr>
          <w:bCs/>
        </w:rPr>
      </w:pPr>
    </w:p>
    <w:p w14:paraId="6DE016D0" w14:textId="22FFC432" w:rsidR="00F61BE0" w:rsidRDefault="00F61BE0" w:rsidP="00F61BE0">
      <w:pPr>
        <w:jc w:val="both"/>
        <w:rPr>
          <w:bCs/>
        </w:rPr>
      </w:pPr>
      <w:r w:rsidRPr="00F61BE0">
        <w:rPr>
          <w:bCs/>
        </w:rPr>
        <w:t>-</w:t>
      </w:r>
      <w:r>
        <w:rPr>
          <w:bCs/>
        </w:rPr>
        <w:t xml:space="preserve"> d</w:t>
      </w:r>
      <w:r w:rsidRPr="00F61BE0">
        <w:rPr>
          <w:bCs/>
        </w:rPr>
        <w:t xml:space="preserve">en </w:t>
      </w:r>
      <w:r>
        <w:rPr>
          <w:bCs/>
        </w:rPr>
        <w:t xml:space="preserve">Königlichen Erlass vom 23. März 2019 </w:t>
      </w:r>
      <w:r w:rsidRPr="00045184">
        <w:rPr>
          <w:bCs/>
        </w:rPr>
        <w:t>zur Ausführung von Artikel 21 Absatz 4 des Einkommensteuergesetzbuches 1992</w:t>
      </w:r>
      <w:r>
        <w:rPr>
          <w:bCs/>
        </w:rPr>
        <w:t xml:space="preserve"> (</w:t>
      </w:r>
      <w:r>
        <w:rPr>
          <w:bCs/>
          <w:i/>
          <w:iCs/>
        </w:rPr>
        <w:t>Belgisches Staatsblatt</w:t>
      </w:r>
      <w:r>
        <w:rPr>
          <w:bCs/>
        </w:rPr>
        <w:t xml:space="preserve"> vom 6. März 2020)</w:t>
      </w:r>
      <w:r w:rsidR="003C2396">
        <w:rPr>
          <w:bCs/>
        </w:rPr>
        <w:t>,</w:t>
      </w:r>
    </w:p>
    <w:p w14:paraId="49168077" w14:textId="7F4B27F3" w:rsidR="003C2396" w:rsidRDefault="003C2396" w:rsidP="00F61BE0">
      <w:pPr>
        <w:jc w:val="both"/>
        <w:rPr>
          <w:bCs/>
        </w:rPr>
      </w:pPr>
    </w:p>
    <w:p w14:paraId="01488380" w14:textId="4EEF1EFE" w:rsidR="003C2396" w:rsidRDefault="003C2396" w:rsidP="00F61BE0">
      <w:pPr>
        <w:jc w:val="both"/>
      </w:pPr>
      <w:r>
        <w:rPr>
          <w:bCs/>
        </w:rPr>
        <w:t xml:space="preserve">- den Königlichen Erlass vom 3. April 2019 </w:t>
      </w:r>
      <w:r w:rsidRPr="00544976">
        <w:rPr>
          <w:bCs/>
        </w:rPr>
        <w:t>zur Abänderung des KE/EStGB 92 hinsichtlich der Regeln und Modalitäten für die Einreichung der in Artikel 275</w:t>
      </w:r>
      <w:r w:rsidRPr="00544976">
        <w:rPr>
          <w:bCs/>
          <w:vertAlign w:val="superscript"/>
        </w:rPr>
        <w:t>5</w:t>
      </w:r>
      <w:r w:rsidRPr="00544976">
        <w:rPr>
          <w:bCs/>
        </w:rPr>
        <w:t xml:space="preserve"> § 4 Absatz 7 des Einkommensteuergesetzbuches 1992 erwähnten Bescheinigung</w:t>
      </w:r>
      <w:r>
        <w:rPr>
          <w:bCs/>
        </w:rPr>
        <w:t xml:space="preserve"> (</w:t>
      </w:r>
      <w:r>
        <w:rPr>
          <w:bCs/>
          <w:i/>
          <w:iCs/>
        </w:rPr>
        <w:t>Belgisches Staatsblatt</w:t>
      </w:r>
      <w:r>
        <w:t xml:space="preserve"> vom 23. April 2020)</w:t>
      </w:r>
      <w:r w:rsidR="00C05FF4">
        <w:t xml:space="preserve"> </w:t>
      </w:r>
      <w:r w:rsidR="00C05FF4">
        <w:rPr>
          <w:i/>
          <w:iCs/>
        </w:rPr>
        <w:t>(I)</w:t>
      </w:r>
      <w:r w:rsidR="00C05FF4">
        <w:t>,</w:t>
      </w:r>
    </w:p>
    <w:p w14:paraId="4684E850" w14:textId="73D1306F" w:rsidR="00C05FF4" w:rsidRDefault="00C05FF4" w:rsidP="00F61BE0">
      <w:pPr>
        <w:jc w:val="both"/>
      </w:pPr>
    </w:p>
    <w:p w14:paraId="3B3BF754" w14:textId="7F98AA69" w:rsidR="00C05FF4" w:rsidRDefault="00C05FF4" w:rsidP="00F61BE0">
      <w:pPr>
        <w:jc w:val="both"/>
      </w:pPr>
      <w:r>
        <w:t>- den Königlichen Erlass vom 3. April 2019 zur Abänderung des KE/EStGB 92 hinsichtlich des Neubewertungskoeffizienten für Katastereinkommen (</w:t>
      </w:r>
      <w:r>
        <w:rPr>
          <w:i/>
          <w:iCs/>
        </w:rPr>
        <w:t>Belgisches Staatsblatt</w:t>
      </w:r>
      <w:r>
        <w:t xml:space="preserve"> vom 27. April 2020) </w:t>
      </w:r>
      <w:r>
        <w:rPr>
          <w:i/>
          <w:iCs/>
        </w:rPr>
        <w:t>(II)</w:t>
      </w:r>
      <w:r w:rsidR="00E61F2A">
        <w:t>,</w:t>
      </w:r>
    </w:p>
    <w:p w14:paraId="1ECE68B2" w14:textId="6F933387" w:rsidR="00E61F2A" w:rsidRDefault="00E61F2A" w:rsidP="00F61BE0">
      <w:pPr>
        <w:jc w:val="both"/>
      </w:pPr>
    </w:p>
    <w:p w14:paraId="37667910" w14:textId="4B8EBDCA" w:rsidR="002E4002" w:rsidRDefault="002E4002" w:rsidP="002E4002">
      <w:pPr>
        <w:jc w:val="both"/>
      </w:pPr>
      <w:r>
        <w:t>- den Königlichen Erlass vom 4. April 2019 zur Abänderung von Artikel 46</w:t>
      </w:r>
      <w:r>
        <w:rPr>
          <w:i/>
        </w:rPr>
        <w:t>ter</w:t>
      </w:r>
      <w:r>
        <w:t xml:space="preserve"> des KE/EStGB 92 hinsichtlich der Festlegung des Höchstbetrags der Steuerbefreiung in Bezug auf die Sozialverbindlichkeiten aufgrund des Einheitsstatuts (</w:t>
      </w:r>
      <w:r>
        <w:rPr>
          <w:i/>
        </w:rPr>
        <w:t>Belgisches Staatsblatt</w:t>
      </w:r>
      <w:r>
        <w:t xml:space="preserve"> vom 24. August 2020),</w:t>
      </w:r>
    </w:p>
    <w:p w14:paraId="2240CBEB" w14:textId="77777777" w:rsidR="002E4002" w:rsidRDefault="002E4002" w:rsidP="002E4002">
      <w:pPr>
        <w:jc w:val="both"/>
      </w:pPr>
    </w:p>
    <w:p w14:paraId="7D2CAB17" w14:textId="523CC95C" w:rsidR="00E61F2A" w:rsidRDefault="00E61F2A" w:rsidP="002E4002">
      <w:pPr>
        <w:jc w:val="both"/>
        <w:rPr>
          <w:bCs/>
        </w:rPr>
      </w:pPr>
      <w:r>
        <w:t xml:space="preserve">- den Königlichen Erlass vom 7. April 2019 </w:t>
      </w:r>
      <w:r w:rsidRPr="0086472C">
        <w:rPr>
          <w:bCs/>
        </w:rPr>
        <w:t>zur Abänderung des KE/EStGB 92 hinsichtlich des Zulassungsverfahrens für den Erhalt von unentgeltlichen Zuwendungen, die zu der in Artikel 145</w:t>
      </w:r>
      <w:r w:rsidRPr="0086472C">
        <w:rPr>
          <w:bCs/>
          <w:vertAlign w:val="superscript"/>
        </w:rPr>
        <w:t>33</w:t>
      </w:r>
      <w:r w:rsidRPr="0086472C">
        <w:rPr>
          <w:bCs/>
        </w:rPr>
        <w:t xml:space="preserve"> des Einkommensteuergesetzbuches 1992 erwähnten Steuerermäßigung berechtigen</w:t>
      </w:r>
      <w:r>
        <w:rPr>
          <w:bCs/>
        </w:rPr>
        <w:t xml:space="preserve"> (</w:t>
      </w:r>
      <w:r>
        <w:rPr>
          <w:bCs/>
          <w:i/>
          <w:iCs/>
        </w:rPr>
        <w:t>Belgisches Staatsblatt</w:t>
      </w:r>
      <w:r w:rsidR="000266FD">
        <w:rPr>
          <w:bCs/>
        </w:rPr>
        <w:t xml:space="preserve"> vom 28. April 2020),</w:t>
      </w:r>
    </w:p>
    <w:p w14:paraId="0105B2E8" w14:textId="77777777" w:rsidR="000266FD" w:rsidRDefault="000266FD" w:rsidP="002E4002">
      <w:pPr>
        <w:jc w:val="both"/>
        <w:rPr>
          <w:bCs/>
        </w:rPr>
      </w:pPr>
    </w:p>
    <w:p w14:paraId="52AD11A6" w14:textId="2D3BAC75" w:rsidR="000266FD" w:rsidRDefault="000266FD" w:rsidP="002E4002">
      <w:pPr>
        <w:jc w:val="both"/>
      </w:pPr>
      <w:r>
        <w:rPr>
          <w:bCs/>
        </w:rPr>
        <w:t xml:space="preserve">- den Königlichen Erlass vom 13. April 2019 </w:t>
      </w:r>
      <w:r>
        <w:t>zur Abänderung des KE/EStGB </w:t>
      </w:r>
      <w:r w:rsidRPr="004E453C">
        <w:t xml:space="preserve">92 hinsichtlich der Befreiung von der Zahlung des Berufssteuervorabzugs in Anwendung von </w:t>
      </w:r>
      <w:r>
        <w:t>Artikel </w:t>
      </w:r>
      <w:r w:rsidRPr="004E453C">
        <w:t>275</w:t>
      </w:r>
      <w:r w:rsidRPr="004E453C">
        <w:rPr>
          <w:vertAlign w:val="superscript"/>
        </w:rPr>
        <w:t>11</w:t>
      </w:r>
      <w:r w:rsidRPr="004E453C">
        <w:t xml:space="preserve"> des Einkommensteuergesetzbuches 1992</w:t>
      </w:r>
      <w:r>
        <w:t xml:space="preserve"> (</w:t>
      </w:r>
      <w:r>
        <w:rPr>
          <w:i/>
        </w:rPr>
        <w:t>Belgisches Staatsblatt</w:t>
      </w:r>
      <w:r>
        <w:t xml:space="preserve"> vom 24. August 2020)</w:t>
      </w:r>
      <w:r w:rsidR="00EA3FFE">
        <w:t> </w:t>
      </w:r>
      <w:r w:rsidR="00EA3FFE">
        <w:rPr>
          <w:i/>
          <w:iCs/>
        </w:rPr>
        <w:t>(I)</w:t>
      </w:r>
      <w:r w:rsidR="00252CEF">
        <w:t>,</w:t>
      </w:r>
    </w:p>
    <w:p w14:paraId="71926A9B" w14:textId="1910AEBA" w:rsidR="00252CEF" w:rsidRDefault="00252CEF" w:rsidP="002E4002">
      <w:pPr>
        <w:jc w:val="both"/>
      </w:pPr>
    </w:p>
    <w:p w14:paraId="300BD722" w14:textId="352C4B7F" w:rsidR="00252CEF" w:rsidRDefault="00252CEF" w:rsidP="002E4002">
      <w:pPr>
        <w:jc w:val="both"/>
      </w:pPr>
      <w:r>
        <w:t>- </w:t>
      </w:r>
      <w:r w:rsidR="00C62552">
        <w:t xml:space="preserve">Artikel 136 </w:t>
      </w:r>
      <w:r>
        <w:t>d</w:t>
      </w:r>
      <w:r w:rsidR="00C62552">
        <w:t>e</w:t>
      </w:r>
      <w:r>
        <w:t>s Gesetz</w:t>
      </w:r>
      <w:r w:rsidR="00C62552">
        <w:t>es</w:t>
      </w:r>
      <w:r>
        <w:t xml:space="preserve"> vom 13. April 2019 </w:t>
      </w:r>
      <w:r w:rsidR="00C62552" w:rsidRPr="006519BE">
        <w:t>zur Einführung</w:t>
      </w:r>
      <w:r w:rsidR="00C62552">
        <w:t xml:space="preserve"> des </w:t>
      </w:r>
      <w:r w:rsidR="00C62552" w:rsidRPr="006519BE">
        <w:t>Gesetzbuch</w:t>
      </w:r>
      <w:r w:rsidR="00C62552">
        <w:t>es</w:t>
      </w:r>
      <w:r w:rsidR="00C62552" w:rsidRPr="006519BE">
        <w:t xml:space="preserve"> über die gütliche Beitreibung und die Zwangsbeitreibung von Steuerforderungen und nichtsteuerlichen Forderungen</w:t>
      </w:r>
      <w:r w:rsidR="002D2FDB">
        <w:t xml:space="preserve"> (</w:t>
      </w:r>
      <w:r w:rsidR="002D2FDB">
        <w:rPr>
          <w:i/>
        </w:rPr>
        <w:t>Belgisches Staatsblatt</w:t>
      </w:r>
      <w:r w:rsidR="002D2FDB">
        <w:t xml:space="preserve"> vom 20. April 2021)</w:t>
      </w:r>
      <w:r w:rsidR="005C043D">
        <w:t>,</w:t>
      </w:r>
    </w:p>
    <w:p w14:paraId="11884459" w14:textId="33B2D4BD" w:rsidR="005C043D" w:rsidRDefault="005C043D" w:rsidP="002E4002">
      <w:pPr>
        <w:jc w:val="both"/>
      </w:pPr>
    </w:p>
    <w:p w14:paraId="6E98184B" w14:textId="2B446477" w:rsidR="005C043D" w:rsidRDefault="005C043D" w:rsidP="002E4002">
      <w:pPr>
        <w:jc w:val="both"/>
        <w:rPr>
          <w:bCs/>
        </w:rPr>
      </w:pPr>
      <w:r>
        <w:t xml:space="preserve">- den Königlichen Erlass vom </w:t>
      </w:r>
      <w:r w:rsidR="00EA3FFE">
        <w:t xml:space="preserve">13. April 2019 </w:t>
      </w:r>
      <w:r w:rsidR="00EA3FFE" w:rsidRPr="0034651C">
        <w:rPr>
          <w:bCs/>
        </w:rPr>
        <w:t>zur Abänderung des KE/EStGB 92 hinsichtlich der in den Artikeln 275</w:t>
      </w:r>
      <w:r w:rsidR="00EA3FFE" w:rsidRPr="0034651C">
        <w:rPr>
          <w:bCs/>
          <w:vertAlign w:val="superscript"/>
        </w:rPr>
        <w:t>8</w:t>
      </w:r>
      <w:r w:rsidR="00EA3FFE" w:rsidRPr="0034651C">
        <w:rPr>
          <w:bCs/>
        </w:rPr>
        <w:t xml:space="preserve"> und 275</w:t>
      </w:r>
      <w:r w:rsidR="00EA3FFE" w:rsidRPr="0034651C">
        <w:rPr>
          <w:bCs/>
          <w:vertAlign w:val="superscript"/>
        </w:rPr>
        <w:t>9</w:t>
      </w:r>
      <w:r w:rsidR="00EA3FFE" w:rsidRPr="0034651C">
        <w:rPr>
          <w:bCs/>
        </w:rPr>
        <w:t xml:space="preserve"> des Einkommensteuergesetzbuches 1992 erwähnten Befrei</w:t>
      </w:r>
      <w:r w:rsidR="00EA3FFE" w:rsidRPr="0034651C">
        <w:rPr>
          <w:bCs/>
        </w:rPr>
        <w:softHyphen/>
        <w:t>ung von der Zahlung des Berufssteuervorabzugs</w:t>
      </w:r>
      <w:r w:rsidR="00EA3FFE">
        <w:rPr>
          <w:bCs/>
        </w:rPr>
        <w:t xml:space="preserve"> (</w:t>
      </w:r>
      <w:r w:rsidR="00EA3FFE">
        <w:rPr>
          <w:bCs/>
          <w:i/>
          <w:iCs/>
        </w:rPr>
        <w:t>Belgisches Staatsblatt</w:t>
      </w:r>
      <w:r w:rsidR="00EA3FFE">
        <w:rPr>
          <w:bCs/>
        </w:rPr>
        <w:t xml:space="preserve"> vom 29. September 2020) </w:t>
      </w:r>
      <w:r w:rsidR="00EA3FFE">
        <w:rPr>
          <w:bCs/>
          <w:i/>
          <w:iCs/>
        </w:rPr>
        <w:t>(II)</w:t>
      </w:r>
      <w:r w:rsidR="003617C5">
        <w:rPr>
          <w:bCs/>
        </w:rPr>
        <w:t>,</w:t>
      </w:r>
    </w:p>
    <w:p w14:paraId="79CEE77E" w14:textId="77777777" w:rsidR="003617C5" w:rsidRDefault="003617C5" w:rsidP="002E4002">
      <w:pPr>
        <w:jc w:val="both"/>
        <w:rPr>
          <w:bCs/>
        </w:rPr>
      </w:pPr>
    </w:p>
    <w:p w14:paraId="1193CACE" w14:textId="2B9EFE79" w:rsidR="003617C5" w:rsidRDefault="00102973" w:rsidP="00102973">
      <w:pPr>
        <w:jc w:val="both"/>
        <w:rPr>
          <w:bCs/>
        </w:rPr>
      </w:pPr>
      <w:r>
        <w:rPr>
          <w:bCs/>
        </w:rPr>
        <w:lastRenderedPageBreak/>
        <w:t>- </w:t>
      </w:r>
      <w:r w:rsidR="003617C5">
        <w:rPr>
          <w:bCs/>
        </w:rPr>
        <w:t xml:space="preserve">den Königlichen Erlass vom 22. April 2019 </w:t>
      </w:r>
      <w:r w:rsidR="003617C5" w:rsidRPr="003617C5">
        <w:rPr>
          <w:bCs/>
        </w:rPr>
        <w:t>zur Abänderung der Gesetzes- und Verordnungsbestimmungen in Bezug auf den Rentenfonds</w:t>
      </w:r>
      <w:r>
        <w:rPr>
          <w:bCs/>
        </w:rPr>
        <w:t>,</w:t>
      </w:r>
    </w:p>
    <w:p w14:paraId="64A9AA6D" w14:textId="77777777" w:rsidR="00102973" w:rsidRDefault="00102973" w:rsidP="002E4002">
      <w:pPr>
        <w:jc w:val="both"/>
        <w:rPr>
          <w:bCs/>
        </w:rPr>
      </w:pPr>
    </w:p>
    <w:p w14:paraId="5BFBF7F4" w14:textId="157912EB" w:rsidR="00102973" w:rsidRDefault="00102973" w:rsidP="002E4002">
      <w:pPr>
        <w:jc w:val="both"/>
      </w:pPr>
      <w:r>
        <w:rPr>
          <w:bCs/>
        </w:rPr>
        <w:t xml:space="preserve">- den Königlichen Erlass vom 28. April 2019 </w:t>
      </w:r>
      <w:r w:rsidRPr="00337995">
        <w:t>zur Abänderung des KE/EStGB 92 in Bezug auf Anträge auf Anrechnung und Erstattung des Mobiliensteuervorabzugs, der auf den in Artikel 21 Absatz 1 Nr. 14 des Einkommensteuergesetzbuches 1992 erwähnten ersten Teilbetrag der Dividenden einbehalten wird</w:t>
      </w:r>
      <w:r>
        <w:t xml:space="preserve"> (</w:t>
      </w:r>
      <w:r>
        <w:rPr>
          <w:i/>
        </w:rPr>
        <w:t>Belgisches Staatsblatt</w:t>
      </w:r>
      <w:r>
        <w:t xml:space="preserve"> vom 27. August 2020) </w:t>
      </w:r>
      <w:r>
        <w:rPr>
          <w:i/>
        </w:rPr>
        <w:t>(I)</w:t>
      </w:r>
      <w:r w:rsidR="00D86FA8">
        <w:t>,</w:t>
      </w:r>
    </w:p>
    <w:p w14:paraId="60D78255" w14:textId="77777777" w:rsidR="00D86FA8" w:rsidRDefault="00D86FA8" w:rsidP="002E4002">
      <w:pPr>
        <w:jc w:val="both"/>
      </w:pPr>
    </w:p>
    <w:p w14:paraId="46AFE33A" w14:textId="15FC5D60" w:rsidR="00D86FA8" w:rsidRDefault="00D86FA8" w:rsidP="002E4002">
      <w:pPr>
        <w:jc w:val="both"/>
      </w:pPr>
      <w:r>
        <w:t xml:space="preserve">- den Königlichen Erlass vom 28. April 2019 </w:t>
      </w:r>
      <w:r w:rsidRPr="00BC0080">
        <w:t>zur Abänderung von Artikel 204 Nr. 4 des KE/EStGB 92 in Bezug auf den Besteuerungszeitraum, auf den sich die Einkünfte aus der Vereinsarbeit und aus gelegentlichen Dienstleistungen unter Bürgern beziehen</w:t>
      </w:r>
      <w:r>
        <w:t xml:space="preserve"> (</w:t>
      </w:r>
      <w:r>
        <w:rPr>
          <w:i/>
        </w:rPr>
        <w:t>Belgisches Staatsblatt</w:t>
      </w:r>
      <w:r>
        <w:t xml:space="preserve"> vom 22. September 2020) </w:t>
      </w:r>
      <w:r>
        <w:rPr>
          <w:i/>
        </w:rPr>
        <w:t>(II)</w:t>
      </w:r>
      <w:r w:rsidR="00DB1765">
        <w:t>,</w:t>
      </w:r>
    </w:p>
    <w:p w14:paraId="090EC085" w14:textId="77777777" w:rsidR="00DB1765" w:rsidRDefault="00DB1765" w:rsidP="002E4002">
      <w:pPr>
        <w:jc w:val="both"/>
      </w:pPr>
    </w:p>
    <w:p w14:paraId="0D96E20D" w14:textId="469AA242" w:rsidR="00DB1765" w:rsidRDefault="00DB1765" w:rsidP="002E4002">
      <w:pPr>
        <w:jc w:val="both"/>
      </w:pPr>
      <w:r>
        <w:t xml:space="preserve">- den Königlichen Erlass vom 2. Mai 2019 </w:t>
      </w:r>
      <w:r w:rsidR="00356AE5" w:rsidRPr="00295730">
        <w:t>zur Abänderung des KE/EStGB 92 in Ausführung von Artikel 145</w:t>
      </w:r>
      <w:r w:rsidR="00356AE5" w:rsidRPr="00295730">
        <w:rPr>
          <w:vertAlign w:val="superscript"/>
        </w:rPr>
        <w:t>3/1</w:t>
      </w:r>
      <w:r w:rsidR="00356AE5" w:rsidRPr="00295730">
        <w:t xml:space="preserve"> § 1 Absatz 2 Nr. 2 des Einkommensteuergesetzbuches 1992</w:t>
      </w:r>
      <w:r w:rsidR="00356AE5">
        <w:t xml:space="preserve"> (</w:t>
      </w:r>
      <w:r w:rsidR="00356AE5">
        <w:rPr>
          <w:i/>
        </w:rPr>
        <w:t>Belgisches Staatsblatt</w:t>
      </w:r>
      <w:r w:rsidR="00356AE5">
        <w:t xml:space="preserve"> vom 22. September 2020) </w:t>
      </w:r>
      <w:r w:rsidR="00356AE5">
        <w:rPr>
          <w:i/>
        </w:rPr>
        <w:t>(I)</w:t>
      </w:r>
      <w:r w:rsidR="00505E54">
        <w:t>,</w:t>
      </w:r>
    </w:p>
    <w:p w14:paraId="354FA6BA" w14:textId="77777777" w:rsidR="00505E54" w:rsidRDefault="00505E54" w:rsidP="002E4002">
      <w:pPr>
        <w:jc w:val="both"/>
      </w:pPr>
    </w:p>
    <w:p w14:paraId="4BBC04DD" w14:textId="63AE8C14" w:rsidR="00505E54" w:rsidRDefault="00505E54" w:rsidP="002E4002">
      <w:pPr>
        <w:jc w:val="both"/>
      </w:pPr>
      <w:r>
        <w:t xml:space="preserve">- den Königlichen Erlass vom 2. Mai 2019 </w:t>
      </w:r>
      <w:r w:rsidRPr="00A74507">
        <w:t>zur Abänderung des KE/EStGB 92 hinsichtlich der in Artikel 145</w:t>
      </w:r>
      <w:r w:rsidRPr="00A74507">
        <w:rPr>
          <w:vertAlign w:val="superscript"/>
        </w:rPr>
        <w:t>48</w:t>
      </w:r>
      <w:r w:rsidRPr="00A74507">
        <w:t xml:space="preserve"> des Einkommensteuergesetzbuches 1992 erwähnten Steuerermäßigung für Ausgaben im Rahmen eines Adoptionsverfahrens</w:t>
      </w:r>
      <w:r>
        <w:t xml:space="preserve"> (</w:t>
      </w:r>
      <w:r>
        <w:rPr>
          <w:i/>
        </w:rPr>
        <w:t>Belgisches Staatsblatt</w:t>
      </w:r>
      <w:r>
        <w:t xml:space="preserve"> vom 22. September 2020) </w:t>
      </w:r>
      <w:r>
        <w:rPr>
          <w:i/>
        </w:rPr>
        <w:t>(II)</w:t>
      </w:r>
      <w:r w:rsidR="00D4642F">
        <w:t>,</w:t>
      </w:r>
    </w:p>
    <w:p w14:paraId="3A40D819" w14:textId="77777777" w:rsidR="00D4642F" w:rsidRDefault="00D4642F" w:rsidP="002E4002">
      <w:pPr>
        <w:jc w:val="both"/>
      </w:pPr>
    </w:p>
    <w:p w14:paraId="64AF0215" w14:textId="03D5BDAD" w:rsidR="00D4642F" w:rsidRDefault="00D4642F" w:rsidP="002E4002">
      <w:pPr>
        <w:jc w:val="both"/>
      </w:pPr>
      <w:r>
        <w:t xml:space="preserve">- Artikel 48 des Gesetzes vom 2. Mai 2019 </w:t>
      </w:r>
      <w:r w:rsidRPr="00D4642F">
        <w:t>zur Festlegung verschiedener steuerrechtlicher Bestimmungen 2019-I</w:t>
      </w:r>
      <w:r w:rsidR="00DF2D73">
        <w:t xml:space="preserve"> (</w:t>
      </w:r>
      <w:r w:rsidR="00DF2D73">
        <w:rPr>
          <w:i/>
        </w:rPr>
        <w:t>Belgisches Staatsblatt</w:t>
      </w:r>
      <w:r w:rsidR="00DF2D73">
        <w:t xml:space="preserve"> vom 27. Mai 2021) </w:t>
      </w:r>
      <w:r w:rsidR="00DF2D73">
        <w:rPr>
          <w:i/>
        </w:rPr>
        <w:t>(III)</w:t>
      </w:r>
      <w:r w:rsidR="00DB48D7">
        <w:t>,</w:t>
      </w:r>
    </w:p>
    <w:p w14:paraId="39CDAAD7" w14:textId="77777777" w:rsidR="00DB48D7" w:rsidRDefault="00DB48D7" w:rsidP="002E4002">
      <w:pPr>
        <w:jc w:val="both"/>
      </w:pPr>
    </w:p>
    <w:p w14:paraId="221FC39D" w14:textId="46ECA276" w:rsidR="00DB48D7" w:rsidRDefault="002B3F5D" w:rsidP="002E4002">
      <w:pPr>
        <w:jc w:val="both"/>
      </w:pPr>
      <w:r>
        <w:t>- </w:t>
      </w:r>
      <w:r w:rsidR="00DB48D7">
        <w:t xml:space="preserve">den Königlichen Erlass vom 6. Juni 2019 </w:t>
      </w:r>
      <w:r w:rsidR="00DB48D7" w:rsidRPr="00411EAE">
        <w:t>zur Einführung eines Optionssystems für Vereinigungen ohne Rechtspersönlichkeit</w:t>
      </w:r>
      <w:r w:rsidR="00DB48D7">
        <w:t xml:space="preserve"> (</w:t>
      </w:r>
      <w:r w:rsidR="00DB48D7">
        <w:rPr>
          <w:i/>
        </w:rPr>
        <w:t>Belgisches Staatsblatt</w:t>
      </w:r>
      <w:r>
        <w:t xml:space="preserve"> vom 22. September 2020),</w:t>
      </w:r>
    </w:p>
    <w:p w14:paraId="15604580" w14:textId="77777777" w:rsidR="002B3F5D" w:rsidRDefault="002B3F5D" w:rsidP="002E4002">
      <w:pPr>
        <w:jc w:val="both"/>
      </w:pPr>
    </w:p>
    <w:p w14:paraId="29570D21" w14:textId="10BBCD4B" w:rsidR="002B3F5D" w:rsidRDefault="002B3F5D" w:rsidP="002E4002">
      <w:pPr>
        <w:jc w:val="both"/>
      </w:pPr>
      <w:r>
        <w:t xml:space="preserve">- den Königlichen Erlass vom 13. Juni 2019 </w:t>
      </w:r>
      <w:r w:rsidR="00E6184A" w:rsidRPr="00C766FD">
        <w:t>zur Abänderung von Artikel 46</w:t>
      </w:r>
      <w:r w:rsidR="00E6184A" w:rsidRPr="00C766FD">
        <w:rPr>
          <w:i/>
        </w:rPr>
        <w:t>quater</w:t>
      </w:r>
      <w:r w:rsidR="00E6184A" w:rsidRPr="00C766FD">
        <w:t xml:space="preserve"> des KE/EStGB 92 hinsichtlich der Anwendungsmodalitäten in Bezug auf die Sozialverbind</w:t>
      </w:r>
      <w:r w:rsidR="00E6184A" w:rsidRPr="00C766FD">
        <w:softHyphen/>
        <w:t>lichkeiten aufgrund des Einheitsstatuts</w:t>
      </w:r>
      <w:r w:rsidR="00E6184A">
        <w:t xml:space="preserve"> (</w:t>
      </w:r>
      <w:r w:rsidR="00E6184A">
        <w:rPr>
          <w:i/>
        </w:rPr>
        <w:t>Belgisches Staatsblatt</w:t>
      </w:r>
      <w:r w:rsidR="00E6184A">
        <w:t xml:space="preserve"> vom 2. Oktober 2020)</w:t>
      </w:r>
      <w:r w:rsidR="008F6D51">
        <w:t>,</w:t>
      </w:r>
    </w:p>
    <w:p w14:paraId="0FBF6DC5" w14:textId="77777777" w:rsidR="008F6D51" w:rsidRDefault="008F6D51" w:rsidP="002E4002">
      <w:pPr>
        <w:jc w:val="both"/>
      </w:pPr>
    </w:p>
    <w:p w14:paraId="3DE2E8E5" w14:textId="44DE4281" w:rsidR="008F6D51" w:rsidRDefault="008F6D51" w:rsidP="002E4002">
      <w:pPr>
        <w:jc w:val="both"/>
      </w:pPr>
      <w:r>
        <w:t xml:space="preserve">- den Königlichen Erlass vom 23. Juni 2019 </w:t>
      </w:r>
      <w:r w:rsidRPr="0062219A">
        <w:t>zur Abänderung der Artikel 136/1 und 136/2 des Königlichen Erlasses zur Ausführung des Einkommensteuergesetzbuches 1992 hinsichtlich der elektronischen Zurverfügungstellung von Steuerbescheiden</w:t>
      </w:r>
      <w:r>
        <w:t xml:space="preserve"> (</w:t>
      </w:r>
      <w:r>
        <w:rPr>
          <w:i/>
        </w:rPr>
        <w:t>Belgisches Staatsblatt</w:t>
      </w:r>
      <w:r w:rsidR="00AE1F0F">
        <w:t xml:space="preserve"> vom 1. Oktober 2020),</w:t>
      </w:r>
    </w:p>
    <w:p w14:paraId="1DAA2B54" w14:textId="77777777" w:rsidR="00AE1F0F" w:rsidRDefault="00AE1F0F" w:rsidP="002E4002">
      <w:pPr>
        <w:jc w:val="both"/>
      </w:pPr>
    </w:p>
    <w:p w14:paraId="244CEE8A" w14:textId="41C7FEBF" w:rsidR="00AE1F0F" w:rsidRDefault="00AE1F0F" w:rsidP="002E4002">
      <w:pPr>
        <w:jc w:val="both"/>
      </w:pPr>
      <w:r>
        <w:t xml:space="preserve">- den Königlichen Erlass vom 28. Juni 2019 </w:t>
      </w:r>
      <w:r w:rsidRPr="00253EB6">
        <w:t>zur Ausführung von Artikel 147 Absatz 4 des Einkommensteuergesetzbuches 1992</w:t>
      </w:r>
      <w:r>
        <w:t xml:space="preserve"> (</w:t>
      </w:r>
      <w:r w:rsidR="0002535E">
        <w:rPr>
          <w:i/>
        </w:rPr>
        <w:t>Belgisches Staatsblatt</w:t>
      </w:r>
      <w:r w:rsidR="0002535E">
        <w:t xml:space="preserve"> vom 1. Oktober 2020) </w:t>
      </w:r>
      <w:r w:rsidR="0002535E">
        <w:rPr>
          <w:i/>
        </w:rPr>
        <w:t>(I)</w:t>
      </w:r>
      <w:r w:rsidR="00D66A89">
        <w:t>,</w:t>
      </w:r>
    </w:p>
    <w:p w14:paraId="3084C18D" w14:textId="77777777" w:rsidR="00D66A89" w:rsidRDefault="00D66A89" w:rsidP="002E4002">
      <w:pPr>
        <w:jc w:val="both"/>
      </w:pPr>
    </w:p>
    <w:p w14:paraId="6F41AFF4" w14:textId="4C3B8699" w:rsidR="00DA7FA9" w:rsidRDefault="00D66A89" w:rsidP="002E4002">
      <w:pPr>
        <w:jc w:val="both"/>
      </w:pPr>
      <w:r>
        <w:t xml:space="preserve">- den Königlichen Erlass vom 28. Juni 2019 </w:t>
      </w:r>
      <w:r w:rsidR="00E54B0C" w:rsidRPr="008378C0">
        <w:t>zur Ausführung der Artikel 145</w:t>
      </w:r>
      <w:r w:rsidR="00E54B0C" w:rsidRPr="008378C0">
        <w:rPr>
          <w:vertAlign w:val="superscript"/>
        </w:rPr>
        <w:t>26/1</w:t>
      </w:r>
      <w:r w:rsidR="00E54B0C" w:rsidRPr="008378C0">
        <w:t xml:space="preserve"> und 145</w:t>
      </w:r>
      <w:r w:rsidR="00E54B0C" w:rsidRPr="008378C0">
        <w:rPr>
          <w:vertAlign w:val="superscript"/>
        </w:rPr>
        <w:t>27</w:t>
      </w:r>
      <w:r w:rsidR="00E54B0C" w:rsidRPr="008378C0">
        <w:t xml:space="preserve"> des Einkommen</w:t>
      </w:r>
      <w:r w:rsidR="00E54B0C">
        <w:softHyphen/>
      </w:r>
      <w:r w:rsidR="00E54B0C" w:rsidRPr="008378C0">
        <w:t>steuergesetzbuches 1992 und zur Änderung des Mittels zur Übermittlung bestimmter Informationen an den FÖD Finanzen</w:t>
      </w:r>
      <w:r w:rsidR="00E54B0C">
        <w:t xml:space="preserve"> (</w:t>
      </w:r>
      <w:r w:rsidR="00E54B0C">
        <w:rPr>
          <w:i/>
        </w:rPr>
        <w:t xml:space="preserve">Belgisches Staatsblatt </w:t>
      </w:r>
      <w:r w:rsidR="00E54B0C">
        <w:t>vom 2. Februar 2021) </w:t>
      </w:r>
      <w:r w:rsidR="00E54B0C">
        <w:rPr>
          <w:i/>
        </w:rPr>
        <w:t>(II)</w:t>
      </w:r>
      <w:r w:rsidR="00DA7FA9">
        <w:t>,</w:t>
      </w:r>
    </w:p>
    <w:p w14:paraId="512D26EF" w14:textId="77777777" w:rsidR="00DA7FA9" w:rsidRDefault="00DA7FA9" w:rsidP="002E4002">
      <w:pPr>
        <w:jc w:val="both"/>
      </w:pPr>
    </w:p>
    <w:p w14:paraId="22A78B61" w14:textId="283E85D6" w:rsidR="00DA7FA9" w:rsidRDefault="00DA7FA9" w:rsidP="002E4002">
      <w:pPr>
        <w:jc w:val="both"/>
      </w:pPr>
      <w:r>
        <w:t xml:space="preserve">- den Königlichen Erlass vom 3. Juli 2019 </w:t>
      </w:r>
      <w:r w:rsidRPr="00184633">
        <w:t>zur Abänderung des KE/EStGB 92 hinsichtlich der Einkünfte aus der Sharing Economy</w:t>
      </w:r>
      <w:r>
        <w:t xml:space="preserve"> (</w:t>
      </w:r>
      <w:r>
        <w:rPr>
          <w:i/>
        </w:rPr>
        <w:t>Belgisches Staatsblatt</w:t>
      </w:r>
      <w:r w:rsidR="001E05E7">
        <w:t xml:space="preserve"> vom 5. Oktober 2020),</w:t>
      </w:r>
    </w:p>
    <w:p w14:paraId="01A12B21" w14:textId="77777777" w:rsidR="001E05E7" w:rsidRDefault="001E05E7" w:rsidP="002E4002">
      <w:pPr>
        <w:jc w:val="both"/>
      </w:pPr>
    </w:p>
    <w:p w14:paraId="1F002FF0" w14:textId="06BCA77E" w:rsidR="001E05E7" w:rsidRDefault="001E05E7" w:rsidP="002E4002">
      <w:pPr>
        <w:jc w:val="both"/>
      </w:pPr>
      <w:r>
        <w:lastRenderedPageBreak/>
        <w:t xml:space="preserve">- den Königlichen Erlass vom 16. Juli 2019 </w:t>
      </w:r>
      <w:r w:rsidRPr="00FD6F6A">
        <w:t>über die Bescheinigungen für die Steuerermäßigung für Rechtsschutzversicherungsprämien</w:t>
      </w:r>
      <w:r>
        <w:t xml:space="preserve"> (</w:t>
      </w:r>
      <w:r>
        <w:rPr>
          <w:i/>
        </w:rPr>
        <w:t>Belgisches Staatsblatt</w:t>
      </w:r>
      <w:r w:rsidR="0017246A">
        <w:t xml:space="preserve"> vom 13. Oktober 2020),</w:t>
      </w:r>
    </w:p>
    <w:p w14:paraId="0E7245DF" w14:textId="77777777" w:rsidR="0017246A" w:rsidRDefault="0017246A" w:rsidP="002E4002">
      <w:pPr>
        <w:jc w:val="both"/>
      </w:pPr>
    </w:p>
    <w:p w14:paraId="50EF3F39" w14:textId="247D5337" w:rsidR="0017246A" w:rsidRDefault="0017246A" w:rsidP="002E4002">
      <w:pPr>
        <w:jc w:val="both"/>
      </w:pPr>
      <w:r>
        <w:t xml:space="preserve">- den Königlichen Erlass vom 29. Juli 2019 </w:t>
      </w:r>
      <w:r w:rsidRPr="00DF234B">
        <w:t>zur Festlegung der in Artikel 342 § 4 Absatz 2 des Einkommensteuergesetzbuches 1992 vorgesehenen Tabelle der Erhöhungen des Mindest</w:t>
      </w:r>
      <w:r w:rsidRPr="00DF234B">
        <w:softHyphen/>
        <w:t>betrags der steuerpflichtigen Gewinne bei Nichtabgabe oder verspäteter Einreichung einer Erklärung durch ein der Gesellschaftssteuer oder der Steuer der Gebietsfremden unterliegendes Unternehmen</w:t>
      </w:r>
      <w:r>
        <w:t xml:space="preserve"> (</w:t>
      </w:r>
      <w:r>
        <w:rPr>
          <w:i/>
        </w:rPr>
        <w:t>Belgisches Staatsblatt</w:t>
      </w:r>
      <w:r w:rsidR="00B564C3">
        <w:t xml:space="preserve"> vom 13. Juli 2020),</w:t>
      </w:r>
    </w:p>
    <w:p w14:paraId="76EE2989" w14:textId="77777777" w:rsidR="00B564C3" w:rsidRDefault="00B564C3" w:rsidP="002E4002">
      <w:pPr>
        <w:jc w:val="both"/>
      </w:pPr>
    </w:p>
    <w:p w14:paraId="29BC74B1" w14:textId="72CEE51E" w:rsidR="00B564C3" w:rsidRDefault="00B564C3" w:rsidP="002E4002">
      <w:pPr>
        <w:jc w:val="both"/>
      </w:pPr>
      <w:r>
        <w:t>- </w:t>
      </w:r>
      <w:r w:rsidR="00B90BCB">
        <w:t xml:space="preserve">die Artikel 1 bis 24 </w:t>
      </w:r>
      <w:r>
        <w:t>de</w:t>
      </w:r>
      <w:r w:rsidR="00B90BCB">
        <w:t>s</w:t>
      </w:r>
      <w:r>
        <w:t xml:space="preserve"> Königlichen Erlass</w:t>
      </w:r>
      <w:r w:rsidR="00B90BCB">
        <w:t>es</w:t>
      </w:r>
      <w:r>
        <w:t xml:space="preserve"> vom 29. August 2019 </w:t>
      </w:r>
      <w:r w:rsidR="00B90BCB" w:rsidRPr="00F776D4">
        <w:t>zur Anpassung bestimmter föderaler steuer</w:t>
      </w:r>
      <w:r w:rsidR="00B90BCB" w:rsidRPr="00F776D4">
        <w:softHyphen/>
        <w:t>rechtlicher Bestimmungen an das Gesetzbuch der Gesellschaften und Vereinigungen und den Königlichen Erlass vom 29. April 2019 zur Ausführung des Gesetzbuches der Gesellschaften und Vereinigungen und zur Festlegung verschiedener Bestimmungen</w:t>
      </w:r>
      <w:r w:rsidR="00B90BCB">
        <w:t xml:space="preserve"> (</w:t>
      </w:r>
      <w:r w:rsidR="00B90BCB">
        <w:rPr>
          <w:i/>
        </w:rPr>
        <w:t>Belgisches Staatsblatt</w:t>
      </w:r>
      <w:r w:rsidR="00865C4C">
        <w:t xml:space="preserve"> vom 27. Januar 2021) </w:t>
      </w:r>
      <w:r w:rsidR="00865C4C">
        <w:rPr>
          <w:i/>
        </w:rPr>
        <w:t>(I)</w:t>
      </w:r>
      <w:r w:rsidR="00865C4C">
        <w:t>,</w:t>
      </w:r>
    </w:p>
    <w:p w14:paraId="781EFC59" w14:textId="57C3D9FE" w:rsidR="00865C4C" w:rsidRDefault="00865C4C" w:rsidP="002E4002">
      <w:pPr>
        <w:jc w:val="both"/>
      </w:pPr>
    </w:p>
    <w:p w14:paraId="0F8EC243" w14:textId="233795DA" w:rsidR="00865C4C" w:rsidRDefault="00865C4C" w:rsidP="002E4002">
      <w:pPr>
        <w:jc w:val="both"/>
      </w:pPr>
      <w:r>
        <w:t>- den Königlichen Erlass vom 29. August 2019 zur Abänderung der Anlage 3</w:t>
      </w:r>
      <w:r>
        <w:rPr>
          <w:i/>
        </w:rPr>
        <w:t>bis</w:t>
      </w:r>
      <w:r>
        <w:t xml:space="preserve"> zum KE/EStGB 92 hinsichtlich der in Artikel 275</w:t>
      </w:r>
      <w:r>
        <w:rPr>
          <w:vertAlign w:val="superscript"/>
        </w:rPr>
        <w:t>1</w:t>
      </w:r>
      <w:r>
        <w:t xml:space="preserve"> des Einkommensteuergesetzbuches 1992 erwähnten Befreiung von der Zahlung des Berufssteuervorabzugs (</w:t>
      </w:r>
      <w:r>
        <w:rPr>
          <w:i/>
        </w:rPr>
        <w:t>Belgisches Staatsblatt</w:t>
      </w:r>
      <w:r>
        <w:t xml:space="preserve"> vom 2. April 2021) </w:t>
      </w:r>
      <w:r>
        <w:rPr>
          <w:i/>
        </w:rPr>
        <w:t>(II)</w:t>
      </w:r>
      <w:r w:rsidR="00017FD7">
        <w:t>,</w:t>
      </w:r>
    </w:p>
    <w:p w14:paraId="267C963A" w14:textId="149BF43B" w:rsidR="00017FD7" w:rsidRDefault="00017FD7" w:rsidP="002E4002">
      <w:pPr>
        <w:jc w:val="both"/>
      </w:pPr>
    </w:p>
    <w:p w14:paraId="3DF54803" w14:textId="63E9F8BF" w:rsidR="00017FD7" w:rsidRDefault="00017FD7" w:rsidP="002E4002">
      <w:pPr>
        <w:jc w:val="both"/>
      </w:pPr>
      <w:r>
        <w:t xml:space="preserve">- den Königlichen Erlass vom 5. September 2019 </w:t>
      </w:r>
      <w:r w:rsidRPr="00F71D86">
        <w:t>zur Abänderung des KE/EStGB 92 in Bezug auf den Begriff "entsprechendes Fahrzeug"</w:t>
      </w:r>
      <w:r>
        <w:t xml:space="preserve"> (</w:t>
      </w:r>
      <w:r>
        <w:rPr>
          <w:i/>
        </w:rPr>
        <w:t>Belgisches Staatsblatt</w:t>
      </w:r>
      <w:r w:rsidR="00FC4434">
        <w:t xml:space="preserve"> vom 2. April 2021),</w:t>
      </w:r>
    </w:p>
    <w:p w14:paraId="21F8A6F5" w14:textId="5B29CA3C" w:rsidR="00FC4434" w:rsidRDefault="00FC4434" w:rsidP="002E4002">
      <w:pPr>
        <w:jc w:val="both"/>
      </w:pPr>
    </w:p>
    <w:p w14:paraId="6D4059B4" w14:textId="70FAD19B" w:rsidR="00FC4434" w:rsidRDefault="00FC4434" w:rsidP="002E4002">
      <w:pPr>
        <w:jc w:val="both"/>
      </w:pPr>
      <w:r>
        <w:t>- den Königlichen Erlass vom 11. September 2019</w:t>
      </w:r>
      <w:r w:rsidRPr="00FC4434">
        <w:t xml:space="preserve"> </w:t>
      </w:r>
      <w:r w:rsidRPr="000971CE">
        <w:t>zur Abänderung der Artikel 136/1 und 136/2 des Königlichen Erlasses zur Ausführung des Einkommensteuergesetzbuches 1992 hinsichtlich der elektronischen Zurverfügungstellung von Steuerbescheiden</w:t>
      </w:r>
      <w:r>
        <w:t xml:space="preserve"> (</w:t>
      </w:r>
      <w:r>
        <w:rPr>
          <w:i/>
        </w:rPr>
        <w:t>Belgisches Staatsblatt</w:t>
      </w:r>
      <w:r>
        <w:t xml:space="preserve"> vom 5</w:t>
      </w:r>
      <w:r w:rsidR="00FA57C5">
        <w:t>. Juli 2021),</w:t>
      </w:r>
    </w:p>
    <w:p w14:paraId="61481CF2" w14:textId="268B50A6" w:rsidR="00FA57C5" w:rsidRDefault="00FA57C5" w:rsidP="002E4002">
      <w:pPr>
        <w:jc w:val="both"/>
      </w:pPr>
    </w:p>
    <w:p w14:paraId="49A1B6E3" w14:textId="6F1867F9" w:rsidR="00FA57C5" w:rsidRDefault="00FA57C5" w:rsidP="002E4002">
      <w:pPr>
        <w:jc w:val="both"/>
      </w:pPr>
      <w:r>
        <w:t>- den Königlichen Erlass vom 2. Oktober 2019</w:t>
      </w:r>
      <w:r w:rsidRPr="00FA57C5">
        <w:t xml:space="preserve"> </w:t>
      </w:r>
      <w:r w:rsidRPr="0090067A">
        <w:t>zur Ausführung von Artikel 205/4 § 2 des Einkommensteuergesetzbuches 1992</w:t>
      </w:r>
      <w:r>
        <w:t xml:space="preserve"> (</w:t>
      </w:r>
      <w:r>
        <w:rPr>
          <w:i/>
        </w:rPr>
        <w:t>Belgisches Staatsblatt</w:t>
      </w:r>
      <w:r w:rsidR="00F738D5">
        <w:t xml:space="preserve"> vom 28. April 2019),</w:t>
      </w:r>
    </w:p>
    <w:p w14:paraId="1659BC90" w14:textId="0BA39298" w:rsidR="00F738D5" w:rsidRDefault="00F738D5" w:rsidP="002E4002">
      <w:pPr>
        <w:jc w:val="both"/>
      </w:pPr>
    </w:p>
    <w:p w14:paraId="1D3B8020" w14:textId="49BF7252" w:rsidR="00F738D5" w:rsidRDefault="00F738D5" w:rsidP="002E4002">
      <w:pPr>
        <w:jc w:val="both"/>
      </w:pPr>
      <w:r>
        <w:t xml:space="preserve">- die Artikel 9 bis 11 des Königlichen Erlasses vom 3. Oktober 2019 </w:t>
      </w:r>
      <w:r w:rsidRPr="00C14E66">
        <w:t>zur Anpassung der Terminologie in den Steuergesetzbüchern und im Königlichen Erlass zur Ausführung des Einkommen</w:t>
      </w:r>
      <w:r w:rsidRPr="00C14E66">
        <w:softHyphen/>
        <w:t>steuergesetzbuches 1992 an die Terminologie des Wirtschaftsgesetzbuches</w:t>
      </w:r>
      <w:r>
        <w:t xml:space="preserve"> (</w:t>
      </w:r>
      <w:r>
        <w:rPr>
          <w:i/>
        </w:rPr>
        <w:t>Belgisches Staatsblatt</w:t>
      </w:r>
      <w:r w:rsidR="00DD31E8">
        <w:t xml:space="preserve"> vom 19. April 2021),</w:t>
      </w:r>
    </w:p>
    <w:p w14:paraId="50919CEA" w14:textId="7D3D90C6" w:rsidR="00DD31E8" w:rsidRDefault="00DD31E8" w:rsidP="002E4002">
      <w:pPr>
        <w:jc w:val="both"/>
      </w:pPr>
    </w:p>
    <w:p w14:paraId="3DE7FEFB" w14:textId="44A25CE1" w:rsidR="00DD31E8" w:rsidRDefault="00DD31E8" w:rsidP="002E4002">
      <w:pPr>
        <w:jc w:val="both"/>
      </w:pPr>
      <w:r>
        <w:t>- den Königlichen Erlass vom 14. Oktober 2019</w:t>
      </w:r>
      <w:r w:rsidRPr="00DD31E8">
        <w:t xml:space="preserve"> </w:t>
      </w:r>
      <w:r w:rsidRPr="004657E3">
        <w:t>zur Abänderung des KE/EStGB 92 hinsichtlich der Individualkarten, die Pensionseinrichtungen in Anwendung von Artikel 321</w:t>
      </w:r>
      <w:r w:rsidRPr="004657E3">
        <w:rPr>
          <w:i/>
          <w:iCs/>
        </w:rPr>
        <w:t>ter</w:t>
      </w:r>
      <w:r w:rsidRPr="004657E3">
        <w:t xml:space="preserve"> des Einkommensteuergesetzbuches 1992 auf elektronischem Wege der Steuerverwaltung übermitteln müssen</w:t>
      </w:r>
      <w:r>
        <w:t xml:space="preserve"> (</w:t>
      </w:r>
      <w:r>
        <w:rPr>
          <w:i/>
        </w:rPr>
        <w:t>Belgisches Staatsblatt</w:t>
      </w:r>
      <w:r w:rsidR="00FB5481">
        <w:t xml:space="preserve"> vom 28. Mai 2021),</w:t>
      </w:r>
    </w:p>
    <w:p w14:paraId="23D1EE85" w14:textId="47B8226F" w:rsidR="00FB5481" w:rsidRDefault="00FB5481" w:rsidP="002E4002">
      <w:pPr>
        <w:jc w:val="both"/>
      </w:pPr>
    </w:p>
    <w:p w14:paraId="7E0DC60D" w14:textId="1B7C7C1C" w:rsidR="00FB5481" w:rsidRDefault="00FB5481" w:rsidP="002E4002">
      <w:pPr>
        <w:jc w:val="both"/>
      </w:pPr>
      <w:r>
        <w:t xml:space="preserve">- den Königlichen Erlass vom 3. Dezember 2019 </w:t>
      </w:r>
      <w:r w:rsidRPr="00A951F2">
        <w:t>zur Abänderung des KE/EStGB 92 hinsichtlich der Vorteile jeglicher Art für die Nutzung zu persönlichen Zwecken eines kostenlos zur Verfügung gestellten Fahrzeugs</w:t>
      </w:r>
      <w:r>
        <w:t xml:space="preserve"> (</w:t>
      </w:r>
      <w:r>
        <w:rPr>
          <w:i/>
        </w:rPr>
        <w:t>Belgisches Staatsblatt</w:t>
      </w:r>
      <w:r w:rsidR="00F83372">
        <w:t xml:space="preserve"> vom 11. Mai 2021),</w:t>
      </w:r>
    </w:p>
    <w:p w14:paraId="11B1FCBD" w14:textId="7439ABD5" w:rsidR="00F83372" w:rsidRDefault="00F83372" w:rsidP="002E4002">
      <w:pPr>
        <w:jc w:val="both"/>
      </w:pPr>
    </w:p>
    <w:p w14:paraId="63820E07" w14:textId="4F676ADF" w:rsidR="00F83372" w:rsidRDefault="00F83372" w:rsidP="002E4002">
      <w:pPr>
        <w:jc w:val="both"/>
      </w:pPr>
      <w:r>
        <w:t xml:space="preserve">- den Königlichen Erlass vom 9. Dezember 2019 </w:t>
      </w:r>
      <w:r w:rsidRPr="000C5EB0">
        <w:t>zur Anpassung der Bestimmungen des KE/EStGB 92 über die Festlegung des steuerpflichtigen Einkommens in Bezug auf die Gesellschaftssteuer</w:t>
      </w:r>
      <w:r>
        <w:t xml:space="preserve"> (</w:t>
      </w:r>
      <w:r>
        <w:rPr>
          <w:i/>
        </w:rPr>
        <w:t>Belgisches Staatsblatt</w:t>
      </w:r>
      <w:r w:rsidR="005057C4">
        <w:t xml:space="preserve"> vom 21. Juni 2021) </w:t>
      </w:r>
      <w:r w:rsidR="005057C4">
        <w:rPr>
          <w:i/>
        </w:rPr>
        <w:t>(I)</w:t>
      </w:r>
      <w:r w:rsidR="005057C4">
        <w:t>,</w:t>
      </w:r>
    </w:p>
    <w:p w14:paraId="4D7BC5A7" w14:textId="205A6CF0" w:rsidR="005057C4" w:rsidRDefault="005057C4" w:rsidP="002E4002">
      <w:pPr>
        <w:jc w:val="both"/>
      </w:pPr>
    </w:p>
    <w:p w14:paraId="4D3A4EAE" w14:textId="08545C25" w:rsidR="005057C4" w:rsidRDefault="005057C4" w:rsidP="005057C4">
      <w:pPr>
        <w:jc w:val="both"/>
      </w:pPr>
      <w:r>
        <w:lastRenderedPageBreak/>
        <w:t>- die Artikel 34 bis 39 des Königlichen Erlasses vom 9. Dezember 2019 zur Abänderung oder Aufhebung verschiedener Ausführungserlasse infolge der Einführung des Gesetzbuches über die gütliche Beitreibung und die Zwangsbeitreibung von Steuerforderungen und nichtsteuerlichen Forderungen (</w:t>
      </w:r>
      <w:r>
        <w:rPr>
          <w:i/>
        </w:rPr>
        <w:t>Belgisches Staatsblatt</w:t>
      </w:r>
      <w:r>
        <w:t xml:space="preserve"> vom 2. September 2021) </w:t>
      </w:r>
      <w:r>
        <w:rPr>
          <w:i/>
        </w:rPr>
        <w:t>(II)</w:t>
      </w:r>
      <w:r w:rsidR="00C930F5">
        <w:t>,</w:t>
      </w:r>
    </w:p>
    <w:p w14:paraId="275FBAE1" w14:textId="1E910F80" w:rsidR="00C930F5" w:rsidRDefault="00C930F5" w:rsidP="005057C4">
      <w:pPr>
        <w:jc w:val="both"/>
      </w:pPr>
    </w:p>
    <w:p w14:paraId="1B3F5012" w14:textId="24554705" w:rsidR="00C930F5" w:rsidRDefault="00C930F5" w:rsidP="005057C4">
      <w:pPr>
        <w:jc w:val="both"/>
      </w:pPr>
      <w:r>
        <w:t xml:space="preserve">- den Königlichen Erlass vom 20. Dezember 2019 zur Ausführung </w:t>
      </w:r>
      <w:r>
        <w:rPr>
          <w:spacing w:val="-2"/>
        </w:rPr>
        <w:t>des Gesetzbuches über die gütliche Beitreibung und die Zwangsbeitreibung von Steuerforderungen und nichtsteuerlichen Forderungen</w:t>
      </w:r>
      <w:r>
        <w:t xml:space="preserve"> </w:t>
      </w:r>
      <w:r>
        <w:rPr>
          <w:i/>
        </w:rPr>
        <w:t>(I)</w:t>
      </w:r>
      <w:r>
        <w:t>,</w:t>
      </w:r>
    </w:p>
    <w:p w14:paraId="76925212" w14:textId="77777777" w:rsidR="00871DCD" w:rsidRDefault="00871DCD" w:rsidP="005057C4">
      <w:pPr>
        <w:jc w:val="both"/>
      </w:pPr>
    </w:p>
    <w:p w14:paraId="0C4D0C18" w14:textId="418FF888" w:rsidR="00C930F5" w:rsidRDefault="00C930F5" w:rsidP="005057C4">
      <w:pPr>
        <w:jc w:val="both"/>
      </w:pPr>
      <w:r>
        <w:t xml:space="preserve">- den Königlichen Erlass vom 20. Dezember 2019 </w:t>
      </w:r>
      <w:r w:rsidRPr="00C930F5">
        <w:t>zur Anpassung des KE/EStGB 92 infolge der Einführung des Abzugs des Konzernbeitrags und der Begrenzung des Zinsabzugs</w:t>
      </w:r>
      <w:r>
        <w:t xml:space="preserve"> (</w:t>
      </w:r>
      <w:r>
        <w:rPr>
          <w:i/>
        </w:rPr>
        <w:t xml:space="preserve">Belgisches Staatsblatt </w:t>
      </w:r>
      <w:r>
        <w:t>vom 11. Oktober 2021) </w:t>
      </w:r>
      <w:r>
        <w:rPr>
          <w:i/>
        </w:rPr>
        <w:t>(II)</w:t>
      </w:r>
      <w:r w:rsidR="004737B2">
        <w:t>,</w:t>
      </w:r>
    </w:p>
    <w:p w14:paraId="4B3E4B9A" w14:textId="2FE736C0" w:rsidR="004737B2" w:rsidRDefault="004737B2" w:rsidP="005057C4">
      <w:pPr>
        <w:jc w:val="both"/>
      </w:pPr>
    </w:p>
    <w:p w14:paraId="7BB55C06" w14:textId="77777777" w:rsidR="00DD342D" w:rsidRPr="00DD342D" w:rsidRDefault="00DD342D" w:rsidP="00DD342D">
      <w:pPr>
        <w:jc w:val="both"/>
      </w:pPr>
      <w:r w:rsidRPr="00DD342D">
        <w:t>- den Königlichen Erlass vom 20. Januar 2020 zur Behebung der Doppelung von Artikel 73</w:t>
      </w:r>
      <w:r w:rsidRPr="00DD342D">
        <w:rPr>
          <w:vertAlign w:val="superscript"/>
        </w:rPr>
        <w:t>4</w:t>
      </w:r>
      <w:r w:rsidRPr="00DD342D">
        <w:rPr>
          <w:i/>
          <w:vertAlign w:val="superscript"/>
        </w:rPr>
        <w:t>quater</w:t>
      </w:r>
      <w:r w:rsidRPr="00DD342D">
        <w:rPr>
          <w:vertAlign w:val="superscript"/>
        </w:rPr>
        <w:t>/1</w:t>
      </w:r>
      <w:r w:rsidRPr="00DD342D">
        <w:t xml:space="preserve"> im KE/EStGB 92 (</w:t>
      </w:r>
      <w:r w:rsidRPr="00DD342D">
        <w:rPr>
          <w:i/>
        </w:rPr>
        <w:t xml:space="preserve">Belgisches Staatsblatt </w:t>
      </w:r>
      <w:r w:rsidRPr="00DD342D">
        <w:t>vom 21. Oktober 2021),</w:t>
      </w:r>
    </w:p>
    <w:p w14:paraId="77984830" w14:textId="77777777" w:rsidR="00DD342D" w:rsidRPr="00DD342D" w:rsidRDefault="00DD342D" w:rsidP="00DD342D">
      <w:pPr>
        <w:jc w:val="both"/>
      </w:pPr>
    </w:p>
    <w:p w14:paraId="542C3B7D" w14:textId="2E32F034" w:rsidR="004737B2" w:rsidRDefault="004737B2" w:rsidP="005057C4">
      <w:pPr>
        <w:jc w:val="both"/>
      </w:pPr>
      <w:r>
        <w:t xml:space="preserve">- den </w:t>
      </w:r>
      <w:r w:rsidRPr="00CB245B">
        <w:t>Königliche</w:t>
      </w:r>
      <w:r>
        <w:t>n</w:t>
      </w:r>
      <w:r w:rsidRPr="00CB245B">
        <w:t xml:space="preserve"> Erlass</w:t>
      </w:r>
      <w:r>
        <w:t xml:space="preserve"> vom 17. Februar 2020</w:t>
      </w:r>
      <w:r w:rsidRPr="00CB245B">
        <w:t xml:space="preserve"> zur Abänderung des KE/EStGB 92 hinsichtlich der Vorteile jeglicher Art im Falle der Gewährung eines zinslosen Darlehens oder eines Darlehens zu herabgesetztem Zinssatz</w:t>
      </w:r>
      <w:r>
        <w:t xml:space="preserve"> (</w:t>
      </w:r>
      <w:r>
        <w:rPr>
          <w:i/>
        </w:rPr>
        <w:t>Belgisches Staatsblatt</w:t>
      </w:r>
      <w:r w:rsidR="00E0064C">
        <w:t xml:space="preserve"> vom 12. Mai 2021),</w:t>
      </w:r>
    </w:p>
    <w:p w14:paraId="7335CDFC" w14:textId="722C273E" w:rsidR="00E0064C" w:rsidRDefault="00E0064C" w:rsidP="005057C4">
      <w:pPr>
        <w:jc w:val="both"/>
      </w:pPr>
    </w:p>
    <w:p w14:paraId="22EA688A" w14:textId="1806B08D" w:rsidR="00E0064C" w:rsidRDefault="00E0064C" w:rsidP="005057C4">
      <w:pPr>
        <w:jc w:val="both"/>
      </w:pPr>
      <w:r>
        <w:t xml:space="preserve">- den Königlichen Erlass vom </w:t>
      </w:r>
      <w:r w:rsidR="007F1A32">
        <w:t xml:space="preserve">15. März 2020 </w:t>
      </w:r>
      <w:r w:rsidR="007F1A32" w:rsidRPr="000B2B10">
        <w:t>zur Abänderung des KE/EStGB 92 hinsichtlich des Neubewertungskoeffizienten für Katastereinkommen</w:t>
      </w:r>
      <w:r w:rsidR="007F1A32">
        <w:t xml:space="preserve"> (</w:t>
      </w:r>
      <w:r w:rsidR="007F1A32">
        <w:rPr>
          <w:i/>
        </w:rPr>
        <w:t>Belgisches Staatsblatt</w:t>
      </w:r>
      <w:r w:rsidR="00484A14">
        <w:t xml:space="preserve"> vom 12. Mai 2021),</w:t>
      </w:r>
    </w:p>
    <w:p w14:paraId="53AFD21C" w14:textId="1B1C618D" w:rsidR="00484A14" w:rsidRDefault="00484A14" w:rsidP="005057C4">
      <w:pPr>
        <w:jc w:val="both"/>
      </w:pPr>
    </w:p>
    <w:p w14:paraId="2AD72ED9" w14:textId="5073F09A" w:rsidR="00484A14" w:rsidRDefault="00484A14" w:rsidP="005057C4">
      <w:pPr>
        <w:jc w:val="both"/>
      </w:pPr>
      <w:r>
        <w:t xml:space="preserve">- den Königlichen Erlass vom 27. März 2020 </w:t>
      </w:r>
      <w:r w:rsidRPr="00DA67AF">
        <w:t>zur Aktualisierung des KE/EStGB 92 hinsichtlich des Mobiliensteuervorabzugs</w:t>
      </w:r>
      <w:r>
        <w:t xml:space="preserve"> (</w:t>
      </w:r>
      <w:r>
        <w:rPr>
          <w:i/>
        </w:rPr>
        <w:t>Belgisches Staatsblatt</w:t>
      </w:r>
      <w:r w:rsidR="00021DA4">
        <w:t xml:space="preserve"> vom 17. Mai 2021),</w:t>
      </w:r>
    </w:p>
    <w:p w14:paraId="0AE223EF" w14:textId="20892F17" w:rsidR="00021DA4" w:rsidRDefault="00021DA4" w:rsidP="005057C4">
      <w:pPr>
        <w:jc w:val="both"/>
      </w:pPr>
    </w:p>
    <w:p w14:paraId="49E03FB9" w14:textId="68E07C7C" w:rsidR="00021DA4" w:rsidRDefault="00021DA4" w:rsidP="005057C4">
      <w:pPr>
        <w:jc w:val="both"/>
      </w:pPr>
      <w:r>
        <w:t xml:space="preserve">- den Königlichen Erlass vom 24. April 2020 </w:t>
      </w:r>
      <w:r w:rsidRPr="002534A0">
        <w:t>zur Abänderung des KE/EStGB 92 hinsichtlich der Regeln und Modalitäten für die Einreichung der in Artikel 275</w:t>
      </w:r>
      <w:r w:rsidRPr="002534A0">
        <w:rPr>
          <w:vertAlign w:val="superscript"/>
        </w:rPr>
        <w:t>5</w:t>
      </w:r>
      <w:r w:rsidRPr="002534A0">
        <w:t xml:space="preserve"> § 4 Absatz 7 des Einkommensteuergesetzbuches 1992 erwähnten Bescheinigung durch die für Leiharbeit zugelassenen Unternehmen</w:t>
      </w:r>
      <w:r>
        <w:t xml:space="preserve"> (</w:t>
      </w:r>
      <w:r>
        <w:rPr>
          <w:i/>
        </w:rPr>
        <w:t>Belgisches Staatsblatt</w:t>
      </w:r>
      <w:r>
        <w:t xml:space="preserve"> vom </w:t>
      </w:r>
      <w:r w:rsidR="00EB30E6">
        <w:t>6. Juli </w:t>
      </w:r>
      <w:r w:rsidR="005E509B">
        <w:t>2021),</w:t>
      </w:r>
    </w:p>
    <w:p w14:paraId="07148980" w14:textId="39EBAEEB" w:rsidR="005E509B" w:rsidRDefault="005E509B" w:rsidP="005057C4">
      <w:pPr>
        <w:jc w:val="both"/>
      </w:pPr>
    </w:p>
    <w:p w14:paraId="01FA9EF2" w14:textId="4DD36E30" w:rsidR="00D97CDB" w:rsidRDefault="00D97CDB" w:rsidP="005057C4">
      <w:pPr>
        <w:jc w:val="both"/>
      </w:pPr>
      <w:r>
        <w:t>- den Königlichen Erlass vom 30. April 2020 zur Abänderung der Artikel 178 und 178/1 des Königlichen Erlasses vom 27. August 1993 zur Ausführung des Einkommensteuer</w:t>
      </w:r>
      <w:r>
        <w:softHyphen/>
        <w:t>gesetzbuches 1992 im Hinblick auf die Anpassung bestimmter Bestimmungen in Bezug auf die Befreiung von der Pflicht, eine Erklärung zur Steuer der natürlichen Personen einzureichen (</w:t>
      </w:r>
      <w:r>
        <w:rPr>
          <w:i/>
        </w:rPr>
        <w:t>Belgisches Staatsblatt</w:t>
      </w:r>
      <w:r>
        <w:t xml:space="preserve"> vom 5. Oktober 2021),</w:t>
      </w:r>
    </w:p>
    <w:p w14:paraId="3563695E" w14:textId="77777777" w:rsidR="00D97CDB" w:rsidRDefault="00D97CDB" w:rsidP="005057C4">
      <w:pPr>
        <w:jc w:val="both"/>
      </w:pPr>
    </w:p>
    <w:p w14:paraId="21A248C9" w14:textId="7C5117ED" w:rsidR="005E509B" w:rsidRDefault="005E509B" w:rsidP="005057C4">
      <w:pPr>
        <w:jc w:val="both"/>
      </w:pPr>
      <w:r>
        <w:t>- den Königlichen Erlass vom 20. Mai 2020 zur Ausführung der Artikel 18, 31, 33 und 47 des Gesetzes vom 20. Dezember 2019 zur Umsetzung der Richtlinie (EU) 2018/822 des Rates vom 25. Mai 2018 zur Änderung der Richtlinie 2011/16/EU bezüglich des verpflichtenden automatischen Informationsaustauschs im Bereich der Besteuerung über meldepflichtige grenzüberschreitende Gestaltungen (</w:t>
      </w:r>
      <w:r>
        <w:rPr>
          <w:i/>
        </w:rPr>
        <w:t>Belgisches Staatsblatt</w:t>
      </w:r>
      <w:r w:rsidR="00805D28">
        <w:t xml:space="preserve"> vom 27. Oktober 2021),</w:t>
      </w:r>
    </w:p>
    <w:p w14:paraId="4E0FEB96" w14:textId="53CDC982" w:rsidR="00805D28" w:rsidRDefault="00805D28" w:rsidP="005057C4">
      <w:pPr>
        <w:jc w:val="both"/>
      </w:pPr>
    </w:p>
    <w:p w14:paraId="18B86F46" w14:textId="4F2A6165" w:rsidR="00805D28" w:rsidRDefault="00805D28" w:rsidP="005057C4">
      <w:pPr>
        <w:jc w:val="both"/>
      </w:pPr>
      <w:r>
        <w:t xml:space="preserve">- den </w:t>
      </w:r>
      <w:r w:rsidRPr="002C69CD">
        <w:t>Königliche</w:t>
      </w:r>
      <w:r>
        <w:t>n</w:t>
      </w:r>
      <w:r w:rsidRPr="002C69CD">
        <w:t xml:space="preserve"> Erlass </w:t>
      </w:r>
      <w:r>
        <w:t xml:space="preserve">vom 22. Juni 2020 </w:t>
      </w:r>
      <w:r w:rsidRPr="002C69CD">
        <w:t>zur Ausführung der Artikel 93</w:t>
      </w:r>
      <w:r w:rsidRPr="002C69CD">
        <w:rPr>
          <w:i/>
        </w:rPr>
        <w:t>ter</w:t>
      </w:r>
      <w:r w:rsidRPr="002C69CD">
        <w:t xml:space="preserve"> bis 93</w:t>
      </w:r>
      <w:r w:rsidRPr="002C69CD">
        <w:rPr>
          <w:i/>
        </w:rPr>
        <w:t>quinquies</w:t>
      </w:r>
      <w:r w:rsidRPr="002C69CD">
        <w:t xml:space="preserve"> des Mehrwertsteuergesetzbuches, der Artikel 412</w:t>
      </w:r>
      <w:r w:rsidRPr="002C69CD">
        <w:rPr>
          <w:i/>
        </w:rPr>
        <w:t>bis</w:t>
      </w:r>
      <w:r w:rsidRPr="002C69CD">
        <w:t>, 433 bis 435 des Einkommensteuer</w:t>
      </w:r>
      <w:r w:rsidRPr="002C69CD">
        <w:softHyphen/>
        <w:t>gesetzbuches 1992, der Artikel 35 bis 37, 43 bis 45 und 47 des Gesetzbuches über die gütliche Beitreibung und die Zwangsbeitreibung von Steuerforderungen und nichtsteuerlichen Forderungen und der Artikel 157 bis 159 und 161 des Programm</w:t>
      </w:r>
      <w:r w:rsidRPr="002C69CD">
        <w:softHyphen/>
        <w:t>gesetzes (I) vom 29. März 2012 im Bereich E-Notariat</w:t>
      </w:r>
      <w:r>
        <w:t xml:space="preserve"> (</w:t>
      </w:r>
      <w:r>
        <w:rPr>
          <w:i/>
        </w:rPr>
        <w:t>Belgisches Staatsblatt</w:t>
      </w:r>
      <w:r w:rsidR="00C949AA">
        <w:t xml:space="preserve"> vom 28. Oktober 2021),</w:t>
      </w:r>
    </w:p>
    <w:p w14:paraId="27E73F74" w14:textId="6D79FDDC" w:rsidR="00CA0AB7" w:rsidRDefault="00CA0AB7" w:rsidP="005057C4">
      <w:pPr>
        <w:jc w:val="both"/>
      </w:pPr>
    </w:p>
    <w:p w14:paraId="4BC4C553" w14:textId="60CD36FC" w:rsidR="00C949AA" w:rsidRPr="00CA0AB7" w:rsidRDefault="00CA0AB7" w:rsidP="005057C4">
      <w:pPr>
        <w:jc w:val="both"/>
      </w:pPr>
      <w:r>
        <w:t xml:space="preserve">- den Königlichen Erlass vom 10. Dezember 2020 </w:t>
      </w:r>
      <w:r w:rsidRPr="00CA0AB7">
        <w:t>zur Abänderung des KE/EStGB 92 hinsichtlich der Zulassung der in Artikel 275³ § 1 Absatz 2 des Einkommensteuergesetzbuches 1992 erwähnten wissenschaftlichen Einrichtungen</w:t>
      </w:r>
      <w:r>
        <w:t xml:space="preserve"> (</w:t>
      </w:r>
      <w:r>
        <w:rPr>
          <w:i/>
        </w:rPr>
        <w:t>Belgisches Staatsblatt</w:t>
      </w:r>
      <w:r>
        <w:t xml:space="preserve"> vom 30. Mai 2022),</w:t>
      </w:r>
    </w:p>
    <w:p w14:paraId="7233936D" w14:textId="632C8087" w:rsidR="00C949AA" w:rsidRDefault="00C949AA" w:rsidP="005057C4">
      <w:pPr>
        <w:jc w:val="both"/>
      </w:pPr>
      <w:r>
        <w:t>- den Königlichen Erlass vom 20. Dezember 2020</w:t>
      </w:r>
      <w:r w:rsidRPr="00C949AA">
        <w:t xml:space="preserve"> </w:t>
      </w:r>
      <w:r>
        <w:t>zur Abänderung verschiedener Königlicher Erlasse im Bereich Einkommensteuern (</w:t>
      </w:r>
      <w:r>
        <w:rPr>
          <w:i/>
        </w:rPr>
        <w:t>Belgisches Staatsblatt</w:t>
      </w:r>
      <w:r>
        <w:t xml:space="preserve"> vom 3</w:t>
      </w:r>
      <w:r w:rsidR="00DB13BA">
        <w:t>0</w:t>
      </w:r>
      <w:r>
        <w:t xml:space="preserve">. Mai 2022) </w:t>
      </w:r>
      <w:r>
        <w:rPr>
          <w:i/>
        </w:rPr>
        <w:t>(I)</w:t>
      </w:r>
      <w:r>
        <w:t>,</w:t>
      </w:r>
    </w:p>
    <w:p w14:paraId="7D08E954" w14:textId="59EC4888" w:rsidR="00C949AA" w:rsidRDefault="00C949AA" w:rsidP="005057C4">
      <w:pPr>
        <w:jc w:val="both"/>
      </w:pPr>
    </w:p>
    <w:p w14:paraId="58A75D8D" w14:textId="7E1C2AC5" w:rsidR="00C949AA" w:rsidRDefault="00C949AA" w:rsidP="005057C4">
      <w:pPr>
        <w:jc w:val="both"/>
      </w:pPr>
      <w:r>
        <w:t xml:space="preserve">- </w:t>
      </w:r>
      <w:r w:rsidR="00C92235">
        <w:t xml:space="preserve">den Königlichen Erlass vom 20. Dezember 2020 </w:t>
      </w:r>
      <w:r w:rsidR="00C92235" w:rsidRPr="00C92235">
        <w:t>zur Abänderung des KE/EStGB 92 hinsichtlich der Vorteile jeglicher Art für die Nutzung zu persönlichen Zwecken eines kostenlos zur Verfügung gestellten Fahrzeugs</w:t>
      </w:r>
      <w:r w:rsidR="00C92235">
        <w:t xml:space="preserve"> (</w:t>
      </w:r>
      <w:r w:rsidR="00C92235">
        <w:rPr>
          <w:i/>
        </w:rPr>
        <w:t>Belgisches Staatsblatt</w:t>
      </w:r>
      <w:r w:rsidR="00C92235">
        <w:t xml:space="preserve"> vom 30. Mai 2022) </w:t>
      </w:r>
      <w:r w:rsidR="00C92235">
        <w:rPr>
          <w:i/>
        </w:rPr>
        <w:t>(II)</w:t>
      </w:r>
      <w:r w:rsidR="00285271">
        <w:t>,</w:t>
      </w:r>
    </w:p>
    <w:p w14:paraId="19A1CF6A" w14:textId="6F9ED51F" w:rsidR="00285271" w:rsidRDefault="00285271" w:rsidP="005057C4">
      <w:pPr>
        <w:jc w:val="both"/>
      </w:pPr>
    </w:p>
    <w:p w14:paraId="4EF23CFE" w14:textId="03910342" w:rsidR="008D1388" w:rsidRDefault="008D1388" w:rsidP="008D1388">
      <w:pPr>
        <w:jc w:val="both"/>
      </w:pPr>
      <w:r>
        <w:t>- den Königlichen Erlass vom 11. Januar 2021 zur Festlegung des Zeitpunkts, zu dem Schäden für die Anwendung der Regelung in Bezug auf den rückwirkenden Verlustabzug in der Wallonischen Region endgültig festgestellt sind (</w:t>
      </w:r>
      <w:r>
        <w:rPr>
          <w:i/>
        </w:rPr>
        <w:t>Belgisches Staatsblatt</w:t>
      </w:r>
      <w:r>
        <w:t xml:space="preserve"> vom 23. Mai 2022),</w:t>
      </w:r>
    </w:p>
    <w:p w14:paraId="3E1ACE2A" w14:textId="77777777" w:rsidR="008D1388" w:rsidRDefault="008D1388" w:rsidP="008D1388">
      <w:pPr>
        <w:jc w:val="both"/>
      </w:pPr>
    </w:p>
    <w:p w14:paraId="3B62E845" w14:textId="41C71182" w:rsidR="00285271" w:rsidRDefault="00285271" w:rsidP="005057C4">
      <w:pPr>
        <w:jc w:val="both"/>
      </w:pPr>
      <w:r>
        <w:t xml:space="preserve">- den </w:t>
      </w:r>
      <w:r w:rsidRPr="00234082">
        <w:t>Königliche</w:t>
      </w:r>
      <w:r>
        <w:t>n</w:t>
      </w:r>
      <w:r w:rsidRPr="00234082">
        <w:t xml:space="preserve"> Erlass</w:t>
      </w:r>
      <w:r>
        <w:t xml:space="preserve"> vom 26. Januar 2021</w:t>
      </w:r>
      <w:r w:rsidRPr="00234082">
        <w:t xml:space="preserve"> zur Abänderung des KE/EStGB 92 im Hinblick auf die Wiedereinführung der Pflicht zur Einbehaltung des Berufssteuervorabzugs auf Einkünfte aus der Sharing Economy</w:t>
      </w:r>
      <w:r>
        <w:t xml:space="preserve"> (</w:t>
      </w:r>
      <w:r>
        <w:rPr>
          <w:i/>
        </w:rPr>
        <w:t>Belgisches Staatsblatt</w:t>
      </w:r>
      <w:r w:rsidR="002411F0">
        <w:t xml:space="preserve"> vom 23. Mai 2022),</w:t>
      </w:r>
    </w:p>
    <w:p w14:paraId="0CF77AF3" w14:textId="0D348423" w:rsidR="002411F0" w:rsidRDefault="002411F0" w:rsidP="005057C4">
      <w:pPr>
        <w:jc w:val="both"/>
      </w:pPr>
    </w:p>
    <w:p w14:paraId="32BDED9C" w14:textId="6C16998F" w:rsidR="002411F0" w:rsidRDefault="002411F0" w:rsidP="005057C4">
      <w:pPr>
        <w:jc w:val="both"/>
      </w:pPr>
      <w:r>
        <w:t>- den Königlichen</w:t>
      </w:r>
      <w:r w:rsidRPr="001E45D8">
        <w:t xml:space="preserve"> Erlass</w:t>
      </w:r>
      <w:r>
        <w:t xml:space="preserve"> vom 24. Februar 2021</w:t>
      </w:r>
      <w:r w:rsidRPr="001E45D8">
        <w:t xml:space="preserve"> zur Abänderung des KE/EStGB 92 hinsichtlich der Vorteile jeglicher Art im Falle der Gewährung eines zinslosen Darlehens oder eines Darlehens zu herabgesetztem Zinssatz</w:t>
      </w:r>
      <w:r>
        <w:t xml:space="preserve"> (</w:t>
      </w:r>
      <w:r>
        <w:rPr>
          <w:i/>
        </w:rPr>
        <w:t>Belgisches Staatsblatt</w:t>
      </w:r>
      <w:r w:rsidR="00C258F6">
        <w:t xml:space="preserve"> vom 24. Mai 2022),</w:t>
      </w:r>
    </w:p>
    <w:p w14:paraId="3A0DF1C5" w14:textId="4400DEEB" w:rsidR="00C258F6" w:rsidRDefault="00C258F6" w:rsidP="005057C4">
      <w:pPr>
        <w:jc w:val="both"/>
      </w:pPr>
    </w:p>
    <w:p w14:paraId="7074BABB" w14:textId="5CB122E6" w:rsidR="00C258F6" w:rsidRDefault="00C258F6" w:rsidP="005057C4">
      <w:pPr>
        <w:jc w:val="both"/>
      </w:pPr>
      <w:r>
        <w:t xml:space="preserve">- den </w:t>
      </w:r>
      <w:r w:rsidRPr="000C1B7D">
        <w:t xml:space="preserve">Königlicher Erlass </w:t>
      </w:r>
      <w:r w:rsidR="00CB6F05">
        <w:t>vom 14. März 2021</w:t>
      </w:r>
      <w:r w:rsidR="00CB6F05" w:rsidRPr="00E57391">
        <w:t xml:space="preserve"> </w:t>
      </w:r>
      <w:r w:rsidRPr="000C1B7D">
        <w:t>zur Abänderung des KE/EStGB 92 hinsichtlich der Befreiung von der Zahlung des Berufssteuervorabzugs in Ausführung von Artikel 275</w:t>
      </w:r>
      <w:r w:rsidRPr="000C1B7D">
        <w:rPr>
          <w:vertAlign w:val="superscript"/>
        </w:rPr>
        <w:t>12</w:t>
      </w:r>
      <w:r w:rsidRPr="000C1B7D">
        <w:t xml:space="preserve"> des Einkommensteuergesetzbuches 1992</w:t>
      </w:r>
      <w:r>
        <w:t xml:space="preserve"> (</w:t>
      </w:r>
      <w:r>
        <w:rPr>
          <w:i/>
        </w:rPr>
        <w:t>Belgisches Staatsblatt</w:t>
      </w:r>
      <w:r w:rsidR="00CB6F05">
        <w:t xml:space="preserve"> vom 17. Mai 2022),</w:t>
      </w:r>
    </w:p>
    <w:p w14:paraId="7D601122" w14:textId="697E325F" w:rsidR="00CB6F05" w:rsidRDefault="00CB6F05" w:rsidP="005057C4">
      <w:pPr>
        <w:jc w:val="both"/>
      </w:pPr>
    </w:p>
    <w:p w14:paraId="295F4B71" w14:textId="37D1A67C" w:rsidR="00CB6F05" w:rsidRDefault="00CB6F05" w:rsidP="005057C4">
      <w:pPr>
        <w:jc w:val="both"/>
      </w:pPr>
      <w:r>
        <w:t>- den Königlichen</w:t>
      </w:r>
      <w:r w:rsidRPr="00E57391">
        <w:t xml:space="preserve"> Erlass</w:t>
      </w:r>
      <w:r>
        <w:t xml:space="preserve"> vom 18. April 2021 </w:t>
      </w:r>
      <w:r w:rsidRPr="00E57391">
        <w:t>zur Ausführung von Artikel 321</w:t>
      </w:r>
      <w:r w:rsidRPr="00E57391">
        <w:rPr>
          <w:i/>
        </w:rPr>
        <w:t>quater</w:t>
      </w:r>
      <w:r w:rsidRPr="00E57391">
        <w:t xml:space="preserve"> § 1 Absatz 1 Nr. 2 und § 2 des Einkommensteuergesetzbuches 1992</w:t>
      </w:r>
      <w:r>
        <w:t xml:space="preserve"> (</w:t>
      </w:r>
      <w:r>
        <w:rPr>
          <w:i/>
        </w:rPr>
        <w:t>Belgisches Staatsblatt</w:t>
      </w:r>
      <w:r w:rsidR="007D116F">
        <w:t xml:space="preserve"> vom 17. Mai 2022),</w:t>
      </w:r>
    </w:p>
    <w:p w14:paraId="00ECB3D3" w14:textId="13BB51CA" w:rsidR="007D116F" w:rsidRDefault="007D116F" w:rsidP="005057C4">
      <w:pPr>
        <w:jc w:val="both"/>
      </w:pPr>
    </w:p>
    <w:p w14:paraId="143D6557" w14:textId="68D6C5BA" w:rsidR="007D116F" w:rsidRDefault="007D116F" w:rsidP="005057C4">
      <w:pPr>
        <w:jc w:val="both"/>
      </w:pPr>
      <w:r>
        <w:t xml:space="preserve">- den Königlichen Erlass vom 2. Mai 2021 </w:t>
      </w:r>
      <w:r w:rsidRPr="00D5570E">
        <w:t>zur Ausführung von Artikel 147 Absatz 4 des Einkommensteuergesetzbuches 1992 für das Steuerjahr 2022</w:t>
      </w:r>
      <w:r>
        <w:t xml:space="preserve"> (</w:t>
      </w:r>
      <w:r>
        <w:rPr>
          <w:i/>
        </w:rPr>
        <w:t>Belgisches Staatsblatt</w:t>
      </w:r>
      <w:r w:rsidR="00A367E2">
        <w:t xml:space="preserve"> vom 17. Mai 2022),</w:t>
      </w:r>
    </w:p>
    <w:p w14:paraId="126C5580" w14:textId="6118DCAD" w:rsidR="00A367E2" w:rsidRDefault="00A367E2" w:rsidP="005057C4">
      <w:pPr>
        <w:jc w:val="both"/>
      </w:pPr>
    </w:p>
    <w:p w14:paraId="11D6B623" w14:textId="49B3DA4C" w:rsidR="00A367E2" w:rsidRDefault="00A367E2" w:rsidP="005057C4">
      <w:pPr>
        <w:jc w:val="both"/>
      </w:pPr>
      <w:r>
        <w:t xml:space="preserve">- den Königlichen Erlass vom 7. Juni 2021 </w:t>
      </w:r>
      <w:r w:rsidRPr="00B6741A">
        <w:t>zur Ausführung des Gesetzes zur Festlegung drin</w:t>
      </w:r>
      <w:r w:rsidRPr="00B6741A">
        <w:softHyphen/>
        <w:t>gender verschiedener steuerrechtlicher Bestimmungen und dringender Bestimmungen im Bereich der Betrugsbekämpfung</w:t>
      </w:r>
      <w:r>
        <w:t xml:space="preserve"> (</w:t>
      </w:r>
      <w:r>
        <w:rPr>
          <w:i/>
        </w:rPr>
        <w:t>Belgisches Staatsblatt</w:t>
      </w:r>
      <w:r w:rsidR="00D91DB0">
        <w:t xml:space="preserve"> vom 11. Juli 2022),</w:t>
      </w:r>
    </w:p>
    <w:p w14:paraId="13CA65DC" w14:textId="56B27100" w:rsidR="00DC5B4E" w:rsidRDefault="00DC5B4E" w:rsidP="005057C4">
      <w:pPr>
        <w:jc w:val="both"/>
      </w:pPr>
    </w:p>
    <w:p w14:paraId="5C6F0E61" w14:textId="14041FF7" w:rsidR="00D91DB0" w:rsidRDefault="00DC5B4E" w:rsidP="005057C4">
      <w:pPr>
        <w:jc w:val="both"/>
      </w:pPr>
      <w:r>
        <w:t xml:space="preserve">- die Artikel 98 und 99 des </w:t>
      </w:r>
      <w:r w:rsidR="0018199D">
        <w:t>Gesetz</w:t>
      </w:r>
      <w:r>
        <w:t>es vom 27. Juni 2021</w:t>
      </w:r>
      <w:r w:rsidRPr="00492530">
        <w:t xml:space="preserve"> zur Festlegung verschiedener steuerrechtlicher Bestimmungen und zur Abänderung des Gesetzes vom 18.</w:t>
      </w:r>
      <w:r>
        <w:t> September </w:t>
      </w:r>
      <w:r w:rsidRPr="00492530">
        <w:t>2017 zur Verhinderung von Geldwäsche und Terrorismusfinanzierung und zur Beschränkung der Nutzung von Bargeld</w:t>
      </w:r>
      <w:r>
        <w:t xml:space="preserve"> (</w:t>
      </w:r>
      <w:r>
        <w:rPr>
          <w:i/>
        </w:rPr>
        <w:t>Belgisches Staatsblatt</w:t>
      </w:r>
      <w:r>
        <w:t xml:space="preserve"> vom 9. Dezember 2022),</w:t>
      </w:r>
    </w:p>
    <w:p w14:paraId="174D5F85" w14:textId="3B533CC1" w:rsidR="00DC5B4E" w:rsidRDefault="00DC5B4E" w:rsidP="005057C4">
      <w:pPr>
        <w:jc w:val="both"/>
      </w:pPr>
    </w:p>
    <w:p w14:paraId="74C6F767" w14:textId="05604ED0" w:rsidR="00F52BDC" w:rsidRPr="00B94CF2" w:rsidRDefault="00F52BDC" w:rsidP="00F52BDC">
      <w:pPr>
        <w:jc w:val="both"/>
      </w:pPr>
      <w:r>
        <w:t>- den Königlichen Erlass vom 18. Juli 2021 zur Abänderung des KE/EStGB 92 hinsichtlich des Neubewertungskoeffizienten für Katastereinkommen (</w:t>
      </w:r>
      <w:r>
        <w:rPr>
          <w:i/>
        </w:rPr>
        <w:t>Belgisches Staatsblatt</w:t>
      </w:r>
      <w:r>
        <w:t xml:space="preserve"> vom 28. Juni 2022),</w:t>
      </w:r>
    </w:p>
    <w:p w14:paraId="034E7ABB" w14:textId="77777777" w:rsidR="00F52BDC" w:rsidRDefault="00F52BDC" w:rsidP="005057C4">
      <w:pPr>
        <w:jc w:val="both"/>
      </w:pPr>
    </w:p>
    <w:p w14:paraId="4E1E5DBC" w14:textId="6937B904" w:rsidR="005D3E82" w:rsidRDefault="0034218B" w:rsidP="005D3E82">
      <w:pPr>
        <w:jc w:val="both"/>
      </w:pPr>
      <w:r>
        <w:t xml:space="preserve">- die Artikel 9 bis 11 des Königlichen Erlasses vom 23. November 2021 </w:t>
      </w:r>
      <w:r>
        <w:rPr>
          <w:bCs/>
        </w:rPr>
        <w:t xml:space="preserve">zur Abänderung mehrerer Königlicher Erlasse in Bezug auf die Übertragung der Zuständigkeit hinsichtlich der </w:t>
      </w:r>
      <w:r>
        <w:rPr>
          <w:bCs/>
        </w:rPr>
        <w:lastRenderedPageBreak/>
        <w:t>Einnahme und Beitreibung verschiedener Gebühren und Vergütungen von der Generalverwaltung Vermögensdokumentation auf die Generalverwaltung Einnahme und Beitreibung, zur Ausweitung des Anwendungsbereichs des Königlichen Erlasses vom 28. November 2008 zur Ausführung von Artikel 8</w:t>
      </w:r>
      <w:r>
        <w:rPr>
          <w:bCs/>
          <w:i/>
          <w:iCs/>
        </w:rPr>
        <w:t>bis</w:t>
      </w:r>
      <w:r>
        <w:rPr>
          <w:bCs/>
        </w:rPr>
        <w:t xml:space="preserve"> des Registrierungs-, Hypotheken- und Kanzleige</w:t>
      </w:r>
      <w:r>
        <w:rPr>
          <w:bCs/>
        </w:rPr>
        <w:softHyphen/>
        <w:t>bührengesetzbuches in Bezug auf Gerichtsvollzieherurkunden und -protokolle und zur Abänderung des Königlichen Erlasses vom 22. Juli 2019 zur Festlegung der Öffnungszeiten der Ämter der Verwaltung Rechtssicherheit (</w:t>
      </w:r>
      <w:r>
        <w:rPr>
          <w:bCs/>
          <w:i/>
          <w:iCs/>
        </w:rPr>
        <w:t>Belgisches Staatsblatt</w:t>
      </w:r>
      <w:r>
        <w:rPr>
          <w:bCs/>
        </w:rPr>
        <w:t xml:space="preserve"> vom 28. März 2023)</w:t>
      </w:r>
      <w:r w:rsidR="005D3E82">
        <w:rPr>
          <w:bCs/>
        </w:rPr>
        <w:t>,</w:t>
      </w:r>
    </w:p>
    <w:p w14:paraId="7DFEE0F7" w14:textId="77777777" w:rsidR="005D3E82" w:rsidRDefault="005D3E82" w:rsidP="005D3E82">
      <w:pPr>
        <w:jc w:val="both"/>
      </w:pPr>
    </w:p>
    <w:p w14:paraId="0B029A7D" w14:textId="7FB95447" w:rsidR="00D91DB0" w:rsidRDefault="00D91DB0" w:rsidP="005057C4">
      <w:pPr>
        <w:jc w:val="both"/>
      </w:pPr>
      <w:r>
        <w:t>- den Königlichen Erlass vom 7. Dezember 2021</w:t>
      </w:r>
      <w:r w:rsidRPr="00D91DB0">
        <w:t xml:space="preserve"> </w:t>
      </w:r>
      <w:r w:rsidRPr="00635E52">
        <w:t>zur Abänderung des KE/EStGB 92 hinsichtlich der Vorteile jeglicher Art für die Nutzung zu persönlichen Zwecken eines kostenlos zur Verfügung gestellten Fahrzeugs</w:t>
      </w:r>
      <w:r>
        <w:t xml:space="preserve"> (</w:t>
      </w:r>
      <w:r>
        <w:rPr>
          <w:i/>
        </w:rPr>
        <w:t>Belgisches Staatsblatt</w:t>
      </w:r>
      <w:r>
        <w:t xml:space="preserve"> vom 23. Dezember 2022)</w:t>
      </w:r>
      <w:r w:rsidR="0083719F">
        <w:t>,</w:t>
      </w:r>
    </w:p>
    <w:p w14:paraId="03E31A36" w14:textId="3A714B2E" w:rsidR="0083719F" w:rsidRDefault="0083719F" w:rsidP="005057C4">
      <w:pPr>
        <w:jc w:val="both"/>
      </w:pPr>
    </w:p>
    <w:p w14:paraId="16B34C53" w14:textId="77777777" w:rsidR="00C0148B" w:rsidRDefault="00C0148B" w:rsidP="00C0148B">
      <w:pPr>
        <w:jc w:val="both"/>
        <w:rPr>
          <w:bCs/>
        </w:rPr>
      </w:pPr>
      <w:r>
        <w:t xml:space="preserve">- den Königlichen Erlass vom 12. Dezember 2021 </w:t>
      </w:r>
      <w:r>
        <w:rPr>
          <w:bCs/>
        </w:rPr>
        <w:t>zur Abänderung von Artikel 133 des KE/EStGB 92 (</w:t>
      </w:r>
      <w:r>
        <w:rPr>
          <w:bCs/>
          <w:i/>
          <w:iCs/>
        </w:rPr>
        <w:t>Belgisches Staatsblatt</w:t>
      </w:r>
      <w:r>
        <w:rPr>
          <w:bCs/>
        </w:rPr>
        <w:t xml:space="preserve"> vom 28. März 2023),</w:t>
      </w:r>
    </w:p>
    <w:p w14:paraId="6D5F786A" w14:textId="7783CCF2" w:rsidR="0083719F" w:rsidRDefault="0083719F" w:rsidP="00C0148B">
      <w:pPr>
        <w:jc w:val="both"/>
      </w:pPr>
    </w:p>
    <w:p w14:paraId="3C1178A8" w14:textId="64C665EF" w:rsidR="00B9238C" w:rsidRPr="00416529" w:rsidRDefault="00B9238C" w:rsidP="00B9238C">
      <w:pPr>
        <w:jc w:val="both"/>
        <w:rPr>
          <w:bCs/>
        </w:rPr>
      </w:pPr>
      <w:r>
        <w:rPr>
          <w:bCs/>
        </w:rPr>
        <w:t>- den Königlichen Erlass vom 17. Dezember 2021</w:t>
      </w:r>
      <w:r w:rsidRPr="00416529">
        <w:rPr>
          <w:b/>
        </w:rPr>
        <w:t xml:space="preserve"> </w:t>
      </w:r>
      <w:r w:rsidRPr="00416529">
        <w:rPr>
          <w:bCs/>
        </w:rPr>
        <w:t>zur Abänderung der Anlage 3</w:t>
      </w:r>
      <w:r w:rsidRPr="00416529">
        <w:rPr>
          <w:bCs/>
          <w:i/>
        </w:rPr>
        <w:t>bis</w:t>
      </w:r>
      <w:r w:rsidRPr="00416529">
        <w:rPr>
          <w:bCs/>
        </w:rPr>
        <w:t xml:space="preserve"> zum KE/EStGB 92 hinsichtlich der in Artikel 275</w:t>
      </w:r>
      <w:r w:rsidRPr="00416529">
        <w:rPr>
          <w:bCs/>
          <w:vertAlign w:val="superscript"/>
        </w:rPr>
        <w:t>1</w:t>
      </w:r>
      <w:r w:rsidRPr="00416529">
        <w:rPr>
          <w:bCs/>
        </w:rPr>
        <w:t xml:space="preserve"> des Einkommensteuergesetzbuches 1992 erwähnten Befreiung von der Zahlung des Berufssteuervorabzugs</w:t>
      </w:r>
      <w:r>
        <w:rPr>
          <w:bCs/>
        </w:rPr>
        <w:t xml:space="preserve"> (</w:t>
      </w:r>
      <w:r>
        <w:rPr>
          <w:bCs/>
          <w:i/>
          <w:iCs/>
        </w:rPr>
        <w:t>Belgisches Staatsblatt</w:t>
      </w:r>
      <w:r>
        <w:rPr>
          <w:bCs/>
        </w:rPr>
        <w:t xml:space="preserve"> vom 28. März 2023),</w:t>
      </w:r>
    </w:p>
    <w:p w14:paraId="73B235BF" w14:textId="77777777" w:rsidR="004C07C5" w:rsidRDefault="004C07C5" w:rsidP="004C07C5">
      <w:pPr>
        <w:jc w:val="both"/>
        <w:rPr>
          <w:bCs/>
        </w:rPr>
      </w:pPr>
    </w:p>
    <w:p w14:paraId="16C4E443" w14:textId="2D567F43" w:rsidR="004C07C5" w:rsidRDefault="004C07C5" w:rsidP="004C07C5">
      <w:pPr>
        <w:jc w:val="both"/>
        <w:rPr>
          <w:bCs/>
        </w:rPr>
      </w:pPr>
      <w:r>
        <w:rPr>
          <w:bCs/>
        </w:rPr>
        <w:t>- den Königlichen Erlass vom 19. Dezember 2021 zur Abänderung von Artikel 18 § 3 des KE/EStGB 92 hinsichtlich der Pauschalveranschlagung von Vorteilen jeglicher Art für die kostenlose Verfügung über Heizung und über Strom (</w:t>
      </w:r>
      <w:r>
        <w:rPr>
          <w:bCs/>
          <w:i/>
          <w:iCs/>
        </w:rPr>
        <w:t>Belgisches Staatsblatt</w:t>
      </w:r>
      <w:r>
        <w:rPr>
          <w:bCs/>
        </w:rPr>
        <w:t xml:space="preserve"> vom 24. März 2023),</w:t>
      </w:r>
    </w:p>
    <w:p w14:paraId="016DD1FF" w14:textId="77777777" w:rsidR="004C07C5" w:rsidRDefault="004C07C5" w:rsidP="0083719F">
      <w:pPr>
        <w:jc w:val="both"/>
      </w:pPr>
    </w:p>
    <w:p w14:paraId="4AA50606" w14:textId="4034B387" w:rsidR="00FC7240" w:rsidRDefault="00FC7240" w:rsidP="0083719F">
      <w:pPr>
        <w:jc w:val="both"/>
        <w:rPr>
          <w:bCs/>
        </w:rPr>
      </w:pPr>
      <w:r>
        <w:rPr>
          <w:bCs/>
        </w:rPr>
        <w:t>- den Königlichen Erlass vom 23. Dezember 2021 zur Abänderung des KE/EStGB 92 hinsichtlich des Inhalts der Karte für Einkünfte aus der Sharing Economy (</w:t>
      </w:r>
      <w:r>
        <w:rPr>
          <w:bCs/>
          <w:i/>
          <w:iCs/>
        </w:rPr>
        <w:t>Belgisches Staatsblatt</w:t>
      </w:r>
      <w:r>
        <w:rPr>
          <w:bCs/>
        </w:rPr>
        <w:t xml:space="preserve"> vom 28. März 2023)</w:t>
      </w:r>
      <w:r w:rsidR="00FC280D" w:rsidRPr="00FC280D">
        <w:rPr>
          <w:bCs/>
        </w:rPr>
        <w:t xml:space="preserve"> </w:t>
      </w:r>
      <w:r w:rsidR="00FC280D">
        <w:rPr>
          <w:bCs/>
        </w:rPr>
        <w:t> </w:t>
      </w:r>
      <w:r w:rsidR="00FC280D">
        <w:rPr>
          <w:bCs/>
          <w:i/>
          <w:iCs/>
        </w:rPr>
        <w:t>(I)</w:t>
      </w:r>
      <w:r>
        <w:rPr>
          <w:bCs/>
        </w:rPr>
        <w:t>,</w:t>
      </w:r>
    </w:p>
    <w:p w14:paraId="659FFB12" w14:textId="1E1F513C" w:rsidR="00FC7240" w:rsidRDefault="00FC7240" w:rsidP="0083719F">
      <w:pPr>
        <w:jc w:val="both"/>
        <w:rPr>
          <w:bCs/>
        </w:rPr>
      </w:pPr>
    </w:p>
    <w:p w14:paraId="75EC9B5A" w14:textId="017FD258" w:rsidR="00FC280D" w:rsidRDefault="00FC280D" w:rsidP="00FC280D">
      <w:pPr>
        <w:jc w:val="both"/>
        <w:rPr>
          <w:bCs/>
          <w:iCs/>
        </w:rPr>
      </w:pPr>
      <w:r>
        <w:t xml:space="preserve">- den Königlichen Erlass vom 23. Dezember 2021 </w:t>
      </w:r>
      <w:r>
        <w:rPr>
          <w:bCs/>
        </w:rPr>
        <w:t>zur Ausführung der Artikel 145</w:t>
      </w:r>
      <w:r>
        <w:rPr>
          <w:bCs/>
          <w:vertAlign w:val="superscript"/>
        </w:rPr>
        <w:t>35</w:t>
      </w:r>
      <w:r>
        <w:rPr>
          <w:bCs/>
        </w:rPr>
        <w:t xml:space="preserve"> Absatz 2 Nr. 4 und 323/2 § 3 des Einkommensteuergesetzbuches 1992 und zur Bestimmung der von den in Artikel 145</w:t>
      </w:r>
      <w:r>
        <w:rPr>
          <w:bCs/>
          <w:vertAlign w:val="superscript"/>
        </w:rPr>
        <w:t>35</w:t>
      </w:r>
      <w:r>
        <w:rPr>
          <w:bCs/>
        </w:rPr>
        <w:t xml:space="preserve"> Absatz 2 Nr. 3 desselben Gesetzbuches erwähnten Stellen mitzuteilenden Angaben (</w:t>
      </w:r>
      <w:r>
        <w:rPr>
          <w:bCs/>
          <w:i/>
        </w:rPr>
        <w:t>Belgisches Staatsblatt</w:t>
      </w:r>
      <w:r>
        <w:rPr>
          <w:bCs/>
          <w:iCs/>
        </w:rPr>
        <w:t xml:space="preserve"> vom 28. März 2023)</w:t>
      </w:r>
      <w:r w:rsidRPr="00FC280D">
        <w:rPr>
          <w:bCs/>
        </w:rPr>
        <w:t xml:space="preserve"> </w:t>
      </w:r>
      <w:r>
        <w:rPr>
          <w:bCs/>
          <w:i/>
          <w:iCs/>
        </w:rPr>
        <w:t>(II)</w:t>
      </w:r>
      <w:r>
        <w:rPr>
          <w:bCs/>
          <w:iCs/>
        </w:rPr>
        <w:t>,</w:t>
      </w:r>
    </w:p>
    <w:p w14:paraId="327C270A" w14:textId="77777777" w:rsidR="00FC280D" w:rsidRDefault="00FC280D" w:rsidP="0083719F">
      <w:pPr>
        <w:jc w:val="both"/>
        <w:rPr>
          <w:bCs/>
        </w:rPr>
      </w:pPr>
    </w:p>
    <w:p w14:paraId="1A9795EC" w14:textId="15147AF8" w:rsidR="0083719F" w:rsidRDefault="0083719F" w:rsidP="0083719F">
      <w:pPr>
        <w:jc w:val="both"/>
      </w:pPr>
      <w:r>
        <w:t>- Artikel 3 des Programmgesetzes vom 27. Dezember 2021 (</w:t>
      </w:r>
      <w:r>
        <w:rPr>
          <w:i/>
          <w:iCs/>
        </w:rPr>
        <w:t>Belgisches Staatsblatt</w:t>
      </w:r>
      <w:r>
        <w:t xml:space="preserve"> vom 20. Januar 2023)</w:t>
      </w:r>
      <w:r w:rsidR="002E1059">
        <w:t>,</w:t>
      </w:r>
    </w:p>
    <w:p w14:paraId="1824B852" w14:textId="77777777" w:rsidR="002E1059" w:rsidRDefault="002E1059" w:rsidP="0083719F">
      <w:pPr>
        <w:jc w:val="both"/>
      </w:pPr>
    </w:p>
    <w:p w14:paraId="5030FF22" w14:textId="77777777" w:rsidR="00C7204C" w:rsidRDefault="00C7204C" w:rsidP="00C7204C">
      <w:pPr>
        <w:jc w:val="both"/>
        <w:rPr>
          <w:bCs/>
        </w:rPr>
      </w:pPr>
      <w:r>
        <w:t xml:space="preserve">- den Königlichen Erlass vom 1. Februar 2022 </w:t>
      </w:r>
      <w:r>
        <w:rPr>
          <w:bCs/>
        </w:rPr>
        <w:t>zur Abänderung des KE/EStGB 92 hinsichtlich der Einkünfte aus der Sharing Economy und der Vereinsarbeit (</w:t>
      </w:r>
      <w:r>
        <w:rPr>
          <w:bCs/>
          <w:i/>
          <w:iCs/>
        </w:rPr>
        <w:t xml:space="preserve">Belgisches Staatsblatt </w:t>
      </w:r>
      <w:r>
        <w:rPr>
          <w:bCs/>
        </w:rPr>
        <w:t xml:space="preserve">vom 4. Mai 2023) </w:t>
      </w:r>
      <w:r>
        <w:rPr>
          <w:bCs/>
          <w:i/>
          <w:iCs/>
        </w:rPr>
        <w:t>(I)</w:t>
      </w:r>
      <w:r>
        <w:rPr>
          <w:bCs/>
        </w:rPr>
        <w:t>,</w:t>
      </w:r>
    </w:p>
    <w:p w14:paraId="02B8993E" w14:textId="77777777" w:rsidR="00C7204C" w:rsidRDefault="00C7204C" w:rsidP="00C7204C">
      <w:pPr>
        <w:jc w:val="both"/>
        <w:rPr>
          <w:bCs/>
        </w:rPr>
      </w:pPr>
    </w:p>
    <w:p w14:paraId="7EDB837C" w14:textId="76870202" w:rsidR="00C7204C" w:rsidRDefault="00C7204C" w:rsidP="00C7204C">
      <w:pPr>
        <w:jc w:val="both"/>
        <w:rPr>
          <w:bCs/>
          <w:iCs/>
        </w:rPr>
      </w:pPr>
      <w:r>
        <w:rPr>
          <w:bCs/>
        </w:rPr>
        <w:t>- den Königlichen Erlass vom 1. Februar 2022 zur Abänderung des KE/EStGB 92 hinsichtlich der Festlegung des Nettobetrags der Berufseinkünfte (</w:t>
      </w:r>
      <w:r>
        <w:rPr>
          <w:bCs/>
          <w:i/>
        </w:rPr>
        <w:t xml:space="preserve">Belgisches Staatsblatt </w:t>
      </w:r>
      <w:r>
        <w:rPr>
          <w:bCs/>
          <w:iCs/>
        </w:rPr>
        <w:t>vom 24. Mai 2023)</w:t>
      </w:r>
      <w:r>
        <w:rPr>
          <w:bCs/>
          <w:i/>
          <w:iCs/>
        </w:rPr>
        <w:t xml:space="preserve"> (II)</w:t>
      </w:r>
      <w:r>
        <w:rPr>
          <w:bCs/>
          <w:iCs/>
        </w:rPr>
        <w:t>,</w:t>
      </w:r>
    </w:p>
    <w:p w14:paraId="5B356571" w14:textId="77777777" w:rsidR="0078601F" w:rsidRDefault="0078601F" w:rsidP="0083719F">
      <w:pPr>
        <w:jc w:val="both"/>
        <w:rPr>
          <w:bCs/>
        </w:rPr>
      </w:pPr>
    </w:p>
    <w:p w14:paraId="48B45D62" w14:textId="2CAF6EB3" w:rsidR="0078601F" w:rsidRDefault="0078601F" w:rsidP="0083719F">
      <w:pPr>
        <w:jc w:val="both"/>
        <w:rPr>
          <w:bCs/>
        </w:rPr>
      </w:pPr>
      <w:r>
        <w:rPr>
          <w:bCs/>
        </w:rPr>
        <w:t>- den Königlichen Erlass vom 6. Februar 202</w:t>
      </w:r>
      <w:r w:rsidR="008372A4">
        <w:rPr>
          <w:bCs/>
        </w:rPr>
        <w:t>2</w:t>
      </w:r>
      <w:r>
        <w:rPr>
          <w:bCs/>
        </w:rPr>
        <w:t xml:space="preserve"> </w:t>
      </w:r>
      <w:r w:rsidRPr="0078601F">
        <w:rPr>
          <w:bCs/>
        </w:rPr>
        <w:t>zur Abänderung des KE/EStGB 92 hinsichtlich der Vorteile jeglicher Art im Falle der Gewährung eines zinslosen Darlehens oder eines Darlehens zu herabgesetztem Zinssatz</w:t>
      </w:r>
      <w:r>
        <w:rPr>
          <w:bCs/>
        </w:rPr>
        <w:t xml:space="preserve"> (</w:t>
      </w:r>
      <w:r>
        <w:rPr>
          <w:bCs/>
          <w:i/>
          <w:iCs/>
        </w:rPr>
        <w:t xml:space="preserve">Belgisches Staatsblatt </w:t>
      </w:r>
      <w:r>
        <w:rPr>
          <w:bCs/>
        </w:rPr>
        <w:t>vom 4. </w:t>
      </w:r>
      <w:r w:rsidR="00932B52">
        <w:rPr>
          <w:bCs/>
        </w:rPr>
        <w:t>Mai</w:t>
      </w:r>
      <w:r>
        <w:rPr>
          <w:bCs/>
        </w:rPr>
        <w:t> 2023)</w:t>
      </w:r>
      <w:r w:rsidR="008372A4">
        <w:rPr>
          <w:bCs/>
        </w:rPr>
        <w:t>,</w:t>
      </w:r>
    </w:p>
    <w:p w14:paraId="741A20B4" w14:textId="77777777" w:rsidR="008372A4" w:rsidRDefault="008372A4" w:rsidP="0083719F">
      <w:pPr>
        <w:jc w:val="both"/>
        <w:rPr>
          <w:bCs/>
        </w:rPr>
      </w:pPr>
    </w:p>
    <w:p w14:paraId="767A83C0" w14:textId="018ED8E0" w:rsidR="0056193B" w:rsidRDefault="0056193B" w:rsidP="0056193B">
      <w:pPr>
        <w:jc w:val="both"/>
        <w:rPr>
          <w:bCs/>
        </w:rPr>
      </w:pPr>
      <w:r>
        <w:rPr>
          <w:bCs/>
        </w:rPr>
        <w:lastRenderedPageBreak/>
        <w:t xml:space="preserve">- den Königlichen Erlass vom </w:t>
      </w:r>
      <w:r w:rsidR="00932B52">
        <w:rPr>
          <w:bCs/>
        </w:rPr>
        <w:t>16</w:t>
      </w:r>
      <w:r>
        <w:rPr>
          <w:bCs/>
        </w:rPr>
        <w:t xml:space="preserve">. Februar 2022 </w:t>
      </w:r>
      <w:r w:rsidRPr="00CA3D7A">
        <w:rPr>
          <w:bCs/>
        </w:rPr>
        <w:t>zur Abänderung des KE/EStGB 92 hinsichtlich der in Artikel 275</w:t>
      </w:r>
      <w:r w:rsidRPr="00CA3D7A">
        <w:rPr>
          <w:bCs/>
          <w:vertAlign w:val="superscript"/>
        </w:rPr>
        <w:t>6</w:t>
      </w:r>
      <w:r w:rsidRPr="00CA3D7A">
        <w:rPr>
          <w:bCs/>
        </w:rPr>
        <w:t xml:space="preserve"> des Einkommensteuergesetzbuches 1992 erwähnten Befreiung von der Zahlung des Berufssteuervorabzugs</w:t>
      </w:r>
      <w:r>
        <w:rPr>
          <w:bCs/>
        </w:rPr>
        <w:t xml:space="preserve"> (</w:t>
      </w:r>
      <w:r>
        <w:rPr>
          <w:bCs/>
          <w:i/>
          <w:iCs/>
        </w:rPr>
        <w:t xml:space="preserve">Belgisches Staatsblatt </w:t>
      </w:r>
      <w:r>
        <w:rPr>
          <w:bCs/>
        </w:rPr>
        <w:t>vom 14. September 2023)</w:t>
      </w:r>
      <w:r w:rsidR="002949E6">
        <w:rPr>
          <w:bCs/>
        </w:rPr>
        <w:t>,</w:t>
      </w:r>
    </w:p>
    <w:p w14:paraId="01FD7575" w14:textId="77777777" w:rsidR="00B20E83" w:rsidRDefault="00B20E83" w:rsidP="0056193B">
      <w:pPr>
        <w:jc w:val="both"/>
      </w:pPr>
    </w:p>
    <w:p w14:paraId="68229506" w14:textId="5B2BBC57" w:rsidR="00B20E83" w:rsidRDefault="00B20E83" w:rsidP="00B20E83">
      <w:pPr>
        <w:jc w:val="both"/>
        <w:rPr>
          <w:bCs/>
        </w:rPr>
      </w:pPr>
      <w:r>
        <w:rPr>
          <w:bCs/>
        </w:rPr>
        <w:t xml:space="preserve">- den Königlichen Erlass vom 21. Februar 2022 </w:t>
      </w:r>
      <w:r w:rsidRPr="00177FB8">
        <w:rPr>
          <w:bCs/>
        </w:rPr>
        <w:t>zur Abänderung des KE/EStGB 92 hinsichtlich der Steuerbefreiung für Preise und Zuschüsse, die Wissenschaftlern, Schriftstellern oder Künstlern gezahlt oder zuerkannt werden</w:t>
      </w:r>
      <w:r>
        <w:rPr>
          <w:bCs/>
        </w:rPr>
        <w:t xml:space="preserve"> (</w:t>
      </w:r>
      <w:r>
        <w:rPr>
          <w:bCs/>
          <w:i/>
          <w:iCs/>
        </w:rPr>
        <w:t xml:space="preserve">Belgisches Staatsblatt </w:t>
      </w:r>
      <w:r>
        <w:rPr>
          <w:bCs/>
        </w:rPr>
        <w:t>vom 14. September 2023)</w:t>
      </w:r>
      <w:r w:rsidR="003A3B97">
        <w:rPr>
          <w:bCs/>
        </w:rPr>
        <w:t>,</w:t>
      </w:r>
    </w:p>
    <w:p w14:paraId="2E246EA7" w14:textId="77777777" w:rsidR="003A3B97" w:rsidRPr="00AC489D" w:rsidRDefault="003A3B97" w:rsidP="00B20E83">
      <w:pPr>
        <w:jc w:val="both"/>
        <w:rPr>
          <w:bCs/>
        </w:rPr>
      </w:pPr>
    </w:p>
    <w:p w14:paraId="14D7C268" w14:textId="77777777" w:rsidR="003A3B97" w:rsidRPr="003D63C1" w:rsidRDefault="003A3B97" w:rsidP="003A3B97">
      <w:pPr>
        <w:jc w:val="both"/>
        <w:rPr>
          <w:bCs/>
        </w:rPr>
      </w:pPr>
      <w:r>
        <w:rPr>
          <w:bCs/>
        </w:rPr>
        <w:t xml:space="preserve">- den Königlichen Erlass vom 5. März 2022 </w:t>
      </w:r>
      <w:r w:rsidRPr="00571512">
        <w:rPr>
          <w:bCs/>
        </w:rPr>
        <w:t>zur Festlegung der Form und des Inhalts des Formulars für den Antrag auf Einverständnis zur Anwendung des besonderen Besteuerungssystems für Steuerpflichtige-Impatriates und Forscher-Impatriates</w:t>
      </w:r>
      <w:r>
        <w:rPr>
          <w:bCs/>
        </w:rPr>
        <w:t xml:space="preserve"> (</w:t>
      </w:r>
      <w:r>
        <w:rPr>
          <w:bCs/>
          <w:i/>
          <w:iCs/>
        </w:rPr>
        <w:t xml:space="preserve">Belgisches Staatsblatt </w:t>
      </w:r>
      <w:r>
        <w:rPr>
          <w:bCs/>
        </w:rPr>
        <w:t>vom 10. August 2023),</w:t>
      </w:r>
    </w:p>
    <w:p w14:paraId="11BBEE82" w14:textId="77777777" w:rsidR="00B20E83" w:rsidRPr="00D91DB0" w:rsidRDefault="00B20E83" w:rsidP="00B20E83">
      <w:pPr>
        <w:jc w:val="both"/>
      </w:pPr>
    </w:p>
    <w:p w14:paraId="33C47807" w14:textId="71FAEFC4" w:rsidR="00524DE0" w:rsidRDefault="00524DE0" w:rsidP="00524DE0">
      <w:pPr>
        <w:jc w:val="both"/>
        <w:rPr>
          <w:bCs/>
        </w:rPr>
      </w:pPr>
      <w:r>
        <w:rPr>
          <w:bCs/>
        </w:rPr>
        <w:t>- den Königlichen Erlass vom 10. April 2022 zur Ausführung von Artikel 57 Absatz 4 des Einkommensteuergesetzbuches 1992 (</w:t>
      </w:r>
      <w:r>
        <w:rPr>
          <w:bCs/>
          <w:i/>
          <w:iCs/>
        </w:rPr>
        <w:t xml:space="preserve">Belgisches Staatsblatt </w:t>
      </w:r>
      <w:r>
        <w:rPr>
          <w:bCs/>
        </w:rPr>
        <w:t>vom 12. September 2023),</w:t>
      </w:r>
    </w:p>
    <w:p w14:paraId="26C2B605" w14:textId="77777777" w:rsidR="00524DE0" w:rsidRDefault="00524DE0" w:rsidP="0056193B">
      <w:pPr>
        <w:jc w:val="both"/>
      </w:pPr>
    </w:p>
    <w:p w14:paraId="383B3F8E" w14:textId="3F17AE52" w:rsidR="008372A4" w:rsidRDefault="008372A4" w:rsidP="0056193B">
      <w:pPr>
        <w:jc w:val="both"/>
        <w:rPr>
          <w:bCs/>
        </w:rPr>
      </w:pPr>
      <w:r>
        <w:t xml:space="preserve">- Artikel 30 des Königlichen Erlasses vom 18. April 2022 </w:t>
      </w:r>
      <w:r>
        <w:rPr>
          <w:bCs/>
        </w:rPr>
        <w:t>zur Ausführung von Artikel 74 des Gesetzes vom 11. August 2017 zur Einfügung von Buch XX "Insolvenz von Unternehmen" in das Wirtschaftsgesetzbuch und zur Einfügung der Buch XX eigenen Begriffsbestimmungen und der Buch XX eigenen Rechtsdurchsetzungsbestimmungen in Buch I des Wirtschaftsgesetzbuches (</w:t>
      </w:r>
      <w:r>
        <w:rPr>
          <w:bCs/>
          <w:i/>
          <w:iCs/>
        </w:rPr>
        <w:t xml:space="preserve">Belgisches Staatsblatt </w:t>
      </w:r>
      <w:r>
        <w:rPr>
          <w:bCs/>
        </w:rPr>
        <w:t>vom 2. Juni 2023)</w:t>
      </w:r>
      <w:r w:rsidR="005A2D5D">
        <w:rPr>
          <w:bCs/>
        </w:rPr>
        <w:t>,</w:t>
      </w:r>
    </w:p>
    <w:p w14:paraId="03BA5BDB" w14:textId="77777777" w:rsidR="005A2D5D" w:rsidRDefault="005A2D5D" w:rsidP="0056193B">
      <w:pPr>
        <w:jc w:val="both"/>
        <w:rPr>
          <w:bCs/>
        </w:rPr>
      </w:pPr>
    </w:p>
    <w:p w14:paraId="53A2EB4F" w14:textId="0B187C8F" w:rsidR="00DE7162" w:rsidRPr="004F29DD" w:rsidRDefault="00DE7162" w:rsidP="00DE7162">
      <w:pPr>
        <w:jc w:val="both"/>
        <w:rPr>
          <w:b/>
          <w:bCs/>
        </w:rPr>
      </w:pPr>
      <w:r>
        <w:rPr>
          <w:bCs/>
        </w:rPr>
        <w:t xml:space="preserve">- den Königlichen Erlass vom 19. Mai 2022 </w:t>
      </w:r>
      <w:r w:rsidRPr="004F29DD">
        <w:rPr>
          <w:bCs/>
        </w:rPr>
        <w:t>zur Abänderung der Bestimmungen des KE/EStGB 92 hinsichtlich der Befreiung von der Zahlung des Berufssteuervorabzugs</w:t>
      </w:r>
      <w:r>
        <w:rPr>
          <w:bCs/>
        </w:rPr>
        <w:t xml:space="preserve"> (</w:t>
      </w:r>
      <w:r>
        <w:rPr>
          <w:bCs/>
          <w:i/>
          <w:iCs/>
        </w:rPr>
        <w:t xml:space="preserve">Belgisches Staatsblatt </w:t>
      </w:r>
      <w:r>
        <w:rPr>
          <w:bCs/>
        </w:rPr>
        <w:t>vom 19. Oktober 2023),</w:t>
      </w:r>
    </w:p>
    <w:p w14:paraId="2C2A0D97" w14:textId="77777777" w:rsidR="00DE7162" w:rsidRPr="00D91DB0" w:rsidRDefault="00DE7162" w:rsidP="00DE7162">
      <w:pPr>
        <w:jc w:val="both"/>
      </w:pPr>
    </w:p>
    <w:p w14:paraId="24D8A34E" w14:textId="0B396EBE" w:rsidR="005A2D5D" w:rsidRDefault="005A2D5D" w:rsidP="005A2D5D">
      <w:pPr>
        <w:jc w:val="both"/>
        <w:rPr>
          <w:bCs/>
        </w:rPr>
      </w:pPr>
      <w:r w:rsidRPr="005A2D5D">
        <w:rPr>
          <w:bCs/>
        </w:rPr>
        <w:t>- den Königlichen Erlass vom 6. Juni 2022 zur Ausführung von Artikel 147 Absatz 4 des Einkommensteuergesetzbuches 1992 für das Steuerjahr 2023</w:t>
      </w:r>
      <w:r>
        <w:rPr>
          <w:bCs/>
        </w:rPr>
        <w:t xml:space="preserve"> (</w:t>
      </w:r>
      <w:r>
        <w:rPr>
          <w:bCs/>
          <w:i/>
          <w:iCs/>
        </w:rPr>
        <w:t xml:space="preserve">Belgisches Staatsblatt </w:t>
      </w:r>
      <w:r>
        <w:rPr>
          <w:bCs/>
        </w:rPr>
        <w:t>vom 14. September 2023)</w:t>
      </w:r>
      <w:r w:rsidR="0083222B">
        <w:rPr>
          <w:bCs/>
        </w:rPr>
        <w:t>,</w:t>
      </w:r>
    </w:p>
    <w:p w14:paraId="5D9F6F8C" w14:textId="77777777" w:rsidR="0083222B" w:rsidRDefault="0083222B" w:rsidP="005A2D5D">
      <w:pPr>
        <w:jc w:val="both"/>
        <w:rPr>
          <w:bCs/>
        </w:rPr>
      </w:pPr>
    </w:p>
    <w:p w14:paraId="0452AC78" w14:textId="18829487" w:rsidR="0083222B" w:rsidRDefault="0083222B" w:rsidP="005A2D5D">
      <w:pPr>
        <w:jc w:val="both"/>
      </w:pPr>
      <w:r>
        <w:rPr>
          <w:bCs/>
        </w:rPr>
        <w:t xml:space="preserve">- den Königlichen Erlass vom 5. Juli 2022 </w:t>
      </w:r>
      <w:r w:rsidRPr="0083222B">
        <w:t>zur Abänderung des KE/EStGB 92 hinsichtlich des Mobiliensteuervorabzugs</w:t>
      </w:r>
      <w:r>
        <w:t xml:space="preserve"> (</w:t>
      </w:r>
      <w:r>
        <w:rPr>
          <w:i/>
          <w:iCs/>
        </w:rPr>
        <w:t xml:space="preserve">Belgisches Staatsblatt </w:t>
      </w:r>
      <w:r>
        <w:t>vom 15. Februar 2024)</w:t>
      </w:r>
      <w:r w:rsidR="001E2521">
        <w:t>,</w:t>
      </w:r>
    </w:p>
    <w:p w14:paraId="6ABF8F4A" w14:textId="77777777" w:rsidR="001E2521" w:rsidRDefault="001E2521" w:rsidP="005A2D5D">
      <w:pPr>
        <w:jc w:val="both"/>
      </w:pPr>
    </w:p>
    <w:p w14:paraId="70B6C7E2" w14:textId="57AC4DA1" w:rsidR="001E2521" w:rsidRDefault="001E2521" w:rsidP="005A2D5D">
      <w:pPr>
        <w:jc w:val="both"/>
      </w:pPr>
      <w:r>
        <w:t xml:space="preserve">- den Königlichen Erlass vom 1. September 2022 </w:t>
      </w:r>
      <w:r w:rsidRPr="001E2521">
        <w:t>zur Festlegung der Form und des Inhalts des Formulars für den Antrag auf Verlängerung der Anwendung des besonderen Besteuerungssystems für Steuerpflichtige-Impatriates und Forscher-Impatriates</w:t>
      </w:r>
      <w:r>
        <w:t xml:space="preserve"> (</w:t>
      </w:r>
      <w:r>
        <w:rPr>
          <w:i/>
          <w:iCs/>
        </w:rPr>
        <w:t xml:space="preserve">Belgisches Staatsblatt </w:t>
      </w:r>
      <w:r>
        <w:t>vom 8. August 2024)</w:t>
      </w:r>
      <w:r w:rsidR="00EE13DE">
        <w:t>,</w:t>
      </w:r>
    </w:p>
    <w:p w14:paraId="1B80BC15" w14:textId="77777777" w:rsidR="00EE13DE" w:rsidRDefault="00EE13DE" w:rsidP="005A2D5D">
      <w:pPr>
        <w:jc w:val="both"/>
      </w:pPr>
    </w:p>
    <w:p w14:paraId="307553A8" w14:textId="69BE4841" w:rsidR="00EE13DE" w:rsidRDefault="00EE13DE" w:rsidP="005A2D5D">
      <w:pPr>
        <w:jc w:val="both"/>
        <w:rPr>
          <w:bCs/>
        </w:rPr>
      </w:pPr>
      <w:r>
        <w:t xml:space="preserve">- den Königlichen Erlass vom 13. September 2022 </w:t>
      </w:r>
      <w:r w:rsidRPr="00EE13DE">
        <w:rPr>
          <w:bCs/>
        </w:rPr>
        <w:t>zur Abänderung der Artikel 225, 228 und 229 und zur Einfügung eines Artikels 228/1 in den KE/EStGB 92</w:t>
      </w:r>
      <w:r>
        <w:rPr>
          <w:bCs/>
        </w:rPr>
        <w:t xml:space="preserve"> (</w:t>
      </w:r>
      <w:r>
        <w:rPr>
          <w:bCs/>
          <w:i/>
          <w:iCs/>
        </w:rPr>
        <w:t xml:space="preserve">Belgisches Staatsblatt </w:t>
      </w:r>
      <w:r>
        <w:rPr>
          <w:bCs/>
        </w:rPr>
        <w:t>vom 30. Mai 2024)</w:t>
      </w:r>
      <w:r w:rsidR="004F526F">
        <w:rPr>
          <w:bCs/>
        </w:rPr>
        <w:t>,</w:t>
      </w:r>
    </w:p>
    <w:p w14:paraId="0C395288" w14:textId="77777777" w:rsidR="004F526F" w:rsidRDefault="004F526F" w:rsidP="005A2D5D">
      <w:pPr>
        <w:jc w:val="both"/>
        <w:rPr>
          <w:bCs/>
        </w:rPr>
      </w:pPr>
    </w:p>
    <w:p w14:paraId="794303EC" w14:textId="5290CABE" w:rsidR="004F526F" w:rsidRDefault="004F526F" w:rsidP="005A2D5D">
      <w:pPr>
        <w:jc w:val="both"/>
        <w:rPr>
          <w:bCs/>
        </w:rPr>
      </w:pPr>
      <w:r>
        <w:rPr>
          <w:bCs/>
        </w:rPr>
        <w:t>- Artikel </w:t>
      </w:r>
      <w:r w:rsidR="00306504">
        <w:rPr>
          <w:bCs/>
        </w:rPr>
        <w:t>1</w:t>
      </w:r>
      <w:r>
        <w:rPr>
          <w:bCs/>
        </w:rPr>
        <w:t xml:space="preserve"> des Königlichen Erlasses vom 21. September 2022 </w:t>
      </w:r>
      <w:r w:rsidRPr="004F526F">
        <w:rPr>
          <w:bCs/>
        </w:rPr>
        <w:t>zur Aufschiebung der Übertragung der Zuständigkeit hinsichtlich der Einnahme des Berufssteuervorabzugs, der Gebühren und der Vergütungen von der Generalverwaltung Vermögensdokumentation auf die Generalverwaltung Einnahme und Beitreibung</w:t>
      </w:r>
      <w:r>
        <w:rPr>
          <w:bCs/>
        </w:rPr>
        <w:t xml:space="preserve"> (</w:t>
      </w:r>
      <w:r>
        <w:rPr>
          <w:bCs/>
          <w:i/>
          <w:iCs/>
        </w:rPr>
        <w:t xml:space="preserve">Belgisches Staatsblatt </w:t>
      </w:r>
      <w:r>
        <w:rPr>
          <w:bCs/>
        </w:rPr>
        <w:t>vom 1. August 2024)</w:t>
      </w:r>
      <w:r w:rsidR="00B235B0">
        <w:rPr>
          <w:bCs/>
        </w:rPr>
        <w:t>,</w:t>
      </w:r>
    </w:p>
    <w:p w14:paraId="0CB9D69A" w14:textId="77777777" w:rsidR="00B235B0" w:rsidRDefault="00B235B0" w:rsidP="005A2D5D">
      <w:pPr>
        <w:jc w:val="both"/>
        <w:rPr>
          <w:bCs/>
        </w:rPr>
      </w:pPr>
    </w:p>
    <w:p w14:paraId="7DF4B6CA" w14:textId="77777777" w:rsidR="00B235B0" w:rsidRDefault="00B235B0">
      <w:pPr>
        <w:rPr>
          <w:bCs/>
        </w:rPr>
      </w:pPr>
      <w:r>
        <w:rPr>
          <w:bCs/>
        </w:rPr>
        <w:br w:type="page"/>
      </w:r>
    </w:p>
    <w:p w14:paraId="7FEA1B4E" w14:textId="70FC112E" w:rsidR="00B235B0" w:rsidRDefault="00B235B0" w:rsidP="00B235B0">
      <w:pPr>
        <w:jc w:val="both"/>
        <w:rPr>
          <w:bCs/>
        </w:rPr>
      </w:pPr>
      <w:r>
        <w:rPr>
          <w:bCs/>
        </w:rPr>
        <w:lastRenderedPageBreak/>
        <w:t xml:space="preserve">- den Königlichen Erlass vom 6. November 2022 </w:t>
      </w:r>
      <w:r w:rsidRPr="00B235B0">
        <w:rPr>
          <w:bCs/>
        </w:rPr>
        <w:t>zur Abänderung der Modalitäten und Bedingungen der Tax-Shelter-Regelung in Ausführung der Artikel 194</w:t>
      </w:r>
      <w:r w:rsidRPr="00B235B0">
        <w:rPr>
          <w:bCs/>
          <w:i/>
          <w:iCs/>
        </w:rPr>
        <w:t>ter</w:t>
      </w:r>
      <w:r w:rsidRPr="00B235B0">
        <w:rPr>
          <w:bCs/>
        </w:rPr>
        <w:t xml:space="preserve"> bis 194</w:t>
      </w:r>
      <w:r w:rsidRPr="00B235B0">
        <w:rPr>
          <w:bCs/>
          <w:i/>
          <w:iCs/>
        </w:rPr>
        <w:t>ter</w:t>
      </w:r>
      <w:r w:rsidRPr="00B235B0">
        <w:rPr>
          <w:bCs/>
        </w:rPr>
        <w:t>/3 des Einkommensteuergesetzbuches 1992</w:t>
      </w:r>
      <w:r>
        <w:rPr>
          <w:bCs/>
        </w:rPr>
        <w:t xml:space="preserve"> (</w:t>
      </w:r>
      <w:r>
        <w:rPr>
          <w:bCs/>
          <w:i/>
          <w:iCs/>
        </w:rPr>
        <w:t xml:space="preserve">Belgisches Staatsblatt </w:t>
      </w:r>
      <w:r>
        <w:rPr>
          <w:bCs/>
        </w:rPr>
        <w:t>vom 6. Juni 2024)</w:t>
      </w:r>
      <w:r w:rsidR="0006348C">
        <w:rPr>
          <w:bCs/>
        </w:rPr>
        <w:t>,</w:t>
      </w:r>
    </w:p>
    <w:p w14:paraId="5E4E62A7" w14:textId="77777777" w:rsidR="0006348C" w:rsidRDefault="0006348C" w:rsidP="00B235B0">
      <w:pPr>
        <w:jc w:val="both"/>
        <w:rPr>
          <w:bCs/>
        </w:rPr>
      </w:pPr>
    </w:p>
    <w:p w14:paraId="224C1944" w14:textId="1D907B8C" w:rsidR="0006348C" w:rsidRDefault="0006348C" w:rsidP="00B235B0">
      <w:pPr>
        <w:jc w:val="both"/>
      </w:pPr>
      <w:r>
        <w:rPr>
          <w:bCs/>
        </w:rPr>
        <w:t xml:space="preserve">- den Königlichen Erlass vom 13. November 2022 </w:t>
      </w:r>
      <w:r w:rsidRPr="0006348C">
        <w:t>zur Abänderung des KE/EStGB 92 im Hinblick auf die Einführung der Pflicht zur Einbehaltung des Berufssteuervorabzugs auf die in Artikel 90 Absatz 1 Nr. 2</w:t>
      </w:r>
      <w:r w:rsidRPr="0006348C">
        <w:rPr>
          <w:i/>
        </w:rPr>
        <w:t>bis</w:t>
      </w:r>
      <w:r w:rsidRPr="0006348C">
        <w:t xml:space="preserve"> des Einkommensteuergesetzbuches 1992 erwähnten Preisgelder, die Einwohnern des Königreichs gezahlt oder zuerkannt werden, und zur Festlegung der Pflicht zur Erstellung einer spezifischen Karte</w:t>
      </w:r>
      <w:r>
        <w:t xml:space="preserve"> (</w:t>
      </w:r>
      <w:r>
        <w:rPr>
          <w:i/>
          <w:iCs/>
        </w:rPr>
        <w:t xml:space="preserve">Belgisches Staatsblatt </w:t>
      </w:r>
      <w:r>
        <w:t>vom 6. Juni 2024)</w:t>
      </w:r>
      <w:r w:rsidR="004B65B3">
        <w:t>,</w:t>
      </w:r>
    </w:p>
    <w:p w14:paraId="20B0ACA5" w14:textId="77777777" w:rsidR="004B65B3" w:rsidRDefault="004B65B3" w:rsidP="00B235B0">
      <w:pPr>
        <w:jc w:val="both"/>
      </w:pPr>
    </w:p>
    <w:p w14:paraId="73EF9B88" w14:textId="5BD0AFB6" w:rsidR="004B65B3" w:rsidRDefault="004B65B3" w:rsidP="00B235B0">
      <w:pPr>
        <w:jc w:val="both"/>
      </w:pPr>
      <w:r>
        <w:t xml:space="preserve">- den Königlichen Erlass vom 16. November 2022 </w:t>
      </w:r>
      <w:r w:rsidRPr="004B65B3">
        <w:rPr>
          <w:bCs/>
        </w:rPr>
        <w:t>zur Festlegung des Formulars für die Anwendung des rückwirkenden Verlustabzugs für den Teil der beruflichen Verluste, der Schäden an Landwirtschaftskulturen zuzurechnen ist, die durch schlechte Witterungs</w:t>
      </w:r>
      <w:r w:rsidRPr="004B65B3">
        <w:rPr>
          <w:bCs/>
        </w:rPr>
        <w:softHyphen/>
        <w:t>bedingungen verursacht worden sind</w:t>
      </w:r>
      <w:r>
        <w:rPr>
          <w:bCs/>
        </w:rPr>
        <w:t xml:space="preserve"> </w:t>
      </w:r>
      <w:r>
        <w:t>(</w:t>
      </w:r>
      <w:r>
        <w:rPr>
          <w:i/>
          <w:iCs/>
        </w:rPr>
        <w:t xml:space="preserve">Belgisches Staatsblatt </w:t>
      </w:r>
      <w:r>
        <w:t>vom 6. Juni 2024)</w:t>
      </w:r>
      <w:r w:rsidR="00D95A77">
        <w:t>,</w:t>
      </w:r>
    </w:p>
    <w:p w14:paraId="2742C8FA" w14:textId="77777777" w:rsidR="00D95A77" w:rsidRDefault="00D95A77" w:rsidP="00B235B0">
      <w:pPr>
        <w:jc w:val="both"/>
      </w:pPr>
    </w:p>
    <w:p w14:paraId="4D028177" w14:textId="4663E0CC" w:rsidR="00D95A77" w:rsidRDefault="00D95A77" w:rsidP="00B235B0">
      <w:pPr>
        <w:jc w:val="both"/>
        <w:rPr>
          <w:bCs/>
        </w:rPr>
      </w:pPr>
      <w:r>
        <w:t xml:space="preserve">- den Königlichen Erlass vom 11. Dezember 2022 </w:t>
      </w:r>
      <w:r w:rsidRPr="00D95A77">
        <w:rPr>
          <w:bCs/>
        </w:rPr>
        <w:t>zur Abänderung des KE/EStGB 92 hinsichtlich der Vorteile jeglicher Art für die Nutzung zu persönlichen Zwecken eines kostenlos zur Verfügung gestellten Fahrzeugs (</w:t>
      </w:r>
      <w:r w:rsidRPr="00D95A77">
        <w:rPr>
          <w:bCs/>
          <w:i/>
          <w:iCs/>
        </w:rPr>
        <w:t xml:space="preserve">Belgisches Staatsblatt </w:t>
      </w:r>
      <w:r w:rsidRPr="00D95A77">
        <w:rPr>
          <w:bCs/>
        </w:rPr>
        <w:t>vom 6. Juni 2024)</w:t>
      </w:r>
      <w:r w:rsidR="00162AD3">
        <w:rPr>
          <w:bCs/>
        </w:rPr>
        <w:t>,</w:t>
      </w:r>
    </w:p>
    <w:p w14:paraId="0A8D5302" w14:textId="77777777" w:rsidR="00162AD3" w:rsidRDefault="00162AD3" w:rsidP="00B235B0">
      <w:pPr>
        <w:jc w:val="both"/>
        <w:rPr>
          <w:bCs/>
        </w:rPr>
      </w:pPr>
    </w:p>
    <w:p w14:paraId="72A42A1A" w14:textId="5F1FA8BA" w:rsidR="00162AD3" w:rsidRDefault="00162AD3" w:rsidP="00162AD3">
      <w:pPr>
        <w:jc w:val="both"/>
        <w:rPr>
          <w:bCs/>
        </w:rPr>
      </w:pPr>
      <w:r>
        <w:rPr>
          <w:bCs/>
        </w:rPr>
        <w:t xml:space="preserve">- den Königlichen Erlass vom 19. Dezember 2022 </w:t>
      </w:r>
      <w:r w:rsidRPr="00162AD3">
        <w:rPr>
          <w:bCs/>
        </w:rPr>
        <w:t>zur Abänderung des KE/EstGB</w:t>
      </w:r>
      <w:r>
        <w:rPr>
          <w:bCs/>
        </w:rPr>
        <w:t> </w:t>
      </w:r>
      <w:r w:rsidRPr="00162AD3">
        <w:rPr>
          <w:bCs/>
        </w:rPr>
        <w:t>92 hinsichtlich der in Artikel</w:t>
      </w:r>
      <w:r>
        <w:rPr>
          <w:bCs/>
        </w:rPr>
        <w:t> </w:t>
      </w:r>
      <w:r w:rsidRPr="00162AD3">
        <w:rPr>
          <w:bCs/>
        </w:rPr>
        <w:t>90 Absatz</w:t>
      </w:r>
      <w:r>
        <w:rPr>
          <w:bCs/>
        </w:rPr>
        <w:t> </w:t>
      </w:r>
      <w:r w:rsidRPr="00162AD3">
        <w:rPr>
          <w:bCs/>
        </w:rPr>
        <w:t>1 Nr.</w:t>
      </w:r>
      <w:r>
        <w:rPr>
          <w:bCs/>
        </w:rPr>
        <w:t> </w:t>
      </w:r>
      <w:r w:rsidRPr="00162AD3">
        <w:rPr>
          <w:bCs/>
        </w:rPr>
        <w:t>1</w:t>
      </w:r>
      <w:r w:rsidRPr="00162AD3">
        <w:rPr>
          <w:bCs/>
          <w:i/>
          <w:iCs/>
        </w:rPr>
        <w:t>ter</w:t>
      </w:r>
      <w:r w:rsidRPr="00162AD3">
        <w:rPr>
          <w:bCs/>
        </w:rPr>
        <w:t xml:space="preserve"> des Einkommensteuergesetzbuches</w:t>
      </w:r>
      <w:r>
        <w:rPr>
          <w:bCs/>
        </w:rPr>
        <w:t> </w:t>
      </w:r>
      <w:r w:rsidRPr="00162AD3">
        <w:rPr>
          <w:bCs/>
        </w:rPr>
        <w:t>1992 erwähnten Vergütungen für Vereinstätigkeiten</w:t>
      </w:r>
      <w:r>
        <w:rPr>
          <w:bCs/>
        </w:rPr>
        <w:t xml:space="preserve"> </w:t>
      </w:r>
      <w:r w:rsidRPr="00162AD3">
        <w:rPr>
          <w:bCs/>
        </w:rPr>
        <w:t>(</w:t>
      </w:r>
      <w:r w:rsidRPr="00162AD3">
        <w:rPr>
          <w:bCs/>
          <w:i/>
          <w:iCs/>
        </w:rPr>
        <w:t xml:space="preserve">Belgisches Staatsblatt </w:t>
      </w:r>
      <w:r w:rsidRPr="00162AD3">
        <w:rPr>
          <w:bCs/>
        </w:rPr>
        <w:t xml:space="preserve">vom </w:t>
      </w:r>
      <w:r>
        <w:rPr>
          <w:bCs/>
        </w:rPr>
        <w:t>17</w:t>
      </w:r>
      <w:r w:rsidRPr="00162AD3">
        <w:rPr>
          <w:bCs/>
        </w:rPr>
        <w:t>. Juni 2024)</w:t>
      </w:r>
      <w:r w:rsidR="00B51E3E">
        <w:rPr>
          <w:bCs/>
        </w:rPr>
        <w:t>,</w:t>
      </w:r>
    </w:p>
    <w:p w14:paraId="7056E73B" w14:textId="77777777" w:rsidR="00B51E3E" w:rsidRDefault="00B51E3E" w:rsidP="00162AD3">
      <w:pPr>
        <w:jc w:val="both"/>
        <w:rPr>
          <w:bCs/>
        </w:rPr>
      </w:pPr>
    </w:p>
    <w:p w14:paraId="6648F303" w14:textId="683F9B0F" w:rsidR="00B51E3E" w:rsidRDefault="00B51E3E" w:rsidP="00162AD3">
      <w:pPr>
        <w:jc w:val="both"/>
        <w:rPr>
          <w:bCs/>
        </w:rPr>
      </w:pPr>
      <w:r>
        <w:rPr>
          <w:bCs/>
        </w:rPr>
        <w:t xml:space="preserve">- den Königlichen Erlass vom 19. Dezember 2022 </w:t>
      </w:r>
      <w:r w:rsidRPr="00B51E3E">
        <w:rPr>
          <w:bCs/>
        </w:rPr>
        <w:t>zur Abänderung des KE/EStGB 92 hinsichtlich des Berufssteuervorabzugs</w:t>
      </w:r>
      <w:r>
        <w:rPr>
          <w:bCs/>
        </w:rPr>
        <w:t xml:space="preserve"> (</w:t>
      </w:r>
      <w:r>
        <w:rPr>
          <w:bCs/>
          <w:i/>
          <w:iCs/>
        </w:rPr>
        <w:t xml:space="preserve">Belgisches Staatsblatt </w:t>
      </w:r>
      <w:r>
        <w:rPr>
          <w:bCs/>
        </w:rPr>
        <w:t>vom 17. Juni 2024)</w:t>
      </w:r>
      <w:r w:rsidR="00F87A8B">
        <w:rPr>
          <w:bCs/>
        </w:rPr>
        <w:t>,</w:t>
      </w:r>
    </w:p>
    <w:p w14:paraId="2480EFD6" w14:textId="77777777" w:rsidR="00F87A8B" w:rsidRDefault="00F87A8B" w:rsidP="00162AD3">
      <w:pPr>
        <w:jc w:val="both"/>
        <w:rPr>
          <w:bCs/>
        </w:rPr>
      </w:pPr>
    </w:p>
    <w:p w14:paraId="4EF13837" w14:textId="014927F5" w:rsidR="00F87A8B" w:rsidRDefault="00F87A8B" w:rsidP="00162AD3">
      <w:pPr>
        <w:jc w:val="both"/>
        <w:rPr>
          <w:bCs/>
        </w:rPr>
      </w:pPr>
      <w:r>
        <w:rPr>
          <w:bCs/>
        </w:rPr>
        <w:t>- die Artikel 109 und 121 des Programmgesetzes vom 26. Dezember 2022 (</w:t>
      </w:r>
      <w:r>
        <w:rPr>
          <w:bCs/>
          <w:i/>
          <w:iCs/>
        </w:rPr>
        <w:t xml:space="preserve">Belgisches Staatsblatt </w:t>
      </w:r>
      <w:r>
        <w:rPr>
          <w:bCs/>
        </w:rPr>
        <w:t>vom 17. Juni 2024)</w:t>
      </w:r>
      <w:r w:rsidR="001D5508">
        <w:rPr>
          <w:bCs/>
        </w:rPr>
        <w:t>,</w:t>
      </w:r>
    </w:p>
    <w:p w14:paraId="70DDEC46" w14:textId="77777777" w:rsidR="001D5508" w:rsidRDefault="001D5508" w:rsidP="00162AD3">
      <w:pPr>
        <w:jc w:val="both"/>
        <w:rPr>
          <w:bCs/>
        </w:rPr>
      </w:pPr>
    </w:p>
    <w:p w14:paraId="7773DC14" w14:textId="224EC3D0" w:rsidR="001D5508" w:rsidRDefault="001D5508" w:rsidP="00162AD3">
      <w:pPr>
        <w:jc w:val="both"/>
        <w:rPr>
          <w:bCs/>
        </w:rPr>
      </w:pPr>
      <w:r>
        <w:rPr>
          <w:bCs/>
        </w:rPr>
        <w:t xml:space="preserve">- den Königlichen Erlass vom 17. Februar 2023 </w:t>
      </w:r>
      <w:r w:rsidRPr="001D5508">
        <w:rPr>
          <w:bCs/>
        </w:rPr>
        <w:t>zur Abänderung des KE/EStGB 92 hinsichtlich der Vorteile jeglicher Art im Falle der Gewährung eines zinslosen Darlehens oder eines Darlehens zu herabgesetztem Zinssatz</w:t>
      </w:r>
      <w:r>
        <w:rPr>
          <w:bCs/>
        </w:rPr>
        <w:t xml:space="preserve"> (</w:t>
      </w:r>
      <w:r>
        <w:rPr>
          <w:bCs/>
          <w:i/>
          <w:iCs/>
        </w:rPr>
        <w:t xml:space="preserve">Belgisches Staatsblatt </w:t>
      </w:r>
      <w:r>
        <w:rPr>
          <w:bCs/>
        </w:rPr>
        <w:t>vom 28. Juni 2024)</w:t>
      </w:r>
      <w:r w:rsidR="00E26B5F">
        <w:rPr>
          <w:bCs/>
        </w:rPr>
        <w:t>,</w:t>
      </w:r>
    </w:p>
    <w:p w14:paraId="148999E5" w14:textId="77777777" w:rsidR="00E26B5F" w:rsidRDefault="00E26B5F" w:rsidP="00162AD3">
      <w:pPr>
        <w:jc w:val="both"/>
        <w:rPr>
          <w:bCs/>
        </w:rPr>
      </w:pPr>
    </w:p>
    <w:p w14:paraId="5665FD89" w14:textId="557629B3" w:rsidR="00E26B5F" w:rsidRDefault="00E26B5F" w:rsidP="00162AD3">
      <w:pPr>
        <w:jc w:val="both"/>
        <w:rPr>
          <w:bCs/>
        </w:rPr>
      </w:pPr>
      <w:r>
        <w:rPr>
          <w:bCs/>
        </w:rPr>
        <w:t xml:space="preserve">- den Königlichen Erlass vom 13. März 2023 </w:t>
      </w:r>
      <w:r w:rsidRPr="00E26B5F">
        <w:rPr>
          <w:bCs/>
        </w:rPr>
        <w:t>zur Abänderung des KE/EStGB 92 hinsichtlich des Nachweises bestimmter Werbungskosten</w:t>
      </w:r>
      <w:r>
        <w:rPr>
          <w:bCs/>
        </w:rPr>
        <w:t xml:space="preserve"> (</w:t>
      </w:r>
      <w:r>
        <w:rPr>
          <w:bCs/>
          <w:i/>
          <w:iCs/>
        </w:rPr>
        <w:t xml:space="preserve">Belgisches Staatsblatt </w:t>
      </w:r>
      <w:r>
        <w:rPr>
          <w:bCs/>
        </w:rPr>
        <w:t>vom 18. Juli 2024)</w:t>
      </w:r>
      <w:r w:rsidR="00133171">
        <w:rPr>
          <w:bCs/>
        </w:rPr>
        <w:t>,</w:t>
      </w:r>
    </w:p>
    <w:p w14:paraId="33CA0154" w14:textId="77777777" w:rsidR="0059755A" w:rsidRDefault="0059755A" w:rsidP="00162AD3">
      <w:pPr>
        <w:jc w:val="both"/>
        <w:rPr>
          <w:bCs/>
        </w:rPr>
      </w:pPr>
    </w:p>
    <w:p w14:paraId="44EB5242" w14:textId="001BA823" w:rsidR="0059755A" w:rsidRDefault="0059755A" w:rsidP="00162AD3">
      <w:pPr>
        <w:jc w:val="both"/>
        <w:rPr>
          <w:bCs/>
        </w:rPr>
      </w:pPr>
      <w:r w:rsidRPr="0059755A">
        <w:rPr>
          <w:bCs/>
        </w:rPr>
        <w:t>- den Königlichen Erlass vom 15. März 2023 zur Ermöglichung der elektronischen Versendung von Vorschlägen der vereinfachten Erklärung an Steuerpflichtigen (</w:t>
      </w:r>
      <w:r w:rsidRPr="0059755A">
        <w:rPr>
          <w:bCs/>
          <w:i/>
          <w:iCs/>
        </w:rPr>
        <w:t xml:space="preserve">Belgisches Staatsblatt </w:t>
      </w:r>
      <w:r w:rsidRPr="0059755A">
        <w:rPr>
          <w:bCs/>
        </w:rPr>
        <w:t>vom 6. August 2024)</w:t>
      </w:r>
      <w:r>
        <w:rPr>
          <w:bCs/>
        </w:rPr>
        <w:t>,</w:t>
      </w:r>
    </w:p>
    <w:p w14:paraId="4C46FF7F" w14:textId="77777777" w:rsidR="00133171" w:rsidRPr="00E26B5F" w:rsidRDefault="00133171" w:rsidP="00162AD3">
      <w:pPr>
        <w:jc w:val="both"/>
        <w:rPr>
          <w:bCs/>
        </w:rPr>
      </w:pPr>
    </w:p>
    <w:p w14:paraId="00822120" w14:textId="1D6F1337" w:rsidR="00133171" w:rsidRDefault="00133171" w:rsidP="00133171">
      <w:pPr>
        <w:jc w:val="both"/>
        <w:rPr>
          <w:bCs/>
        </w:rPr>
      </w:pPr>
      <w:r w:rsidRPr="00133171">
        <w:rPr>
          <w:bCs/>
        </w:rPr>
        <w:t>- den Königlichen Erlass vom 25. April 2023 zur Ausführung von Artikel 147 Absatz 4 des Einkommensteuergesetzbuches 1992 für das Steuerjahr 2024 (</w:t>
      </w:r>
      <w:r w:rsidRPr="00133171">
        <w:rPr>
          <w:bCs/>
          <w:i/>
          <w:iCs/>
        </w:rPr>
        <w:t xml:space="preserve">Belgisches Staatsblatt </w:t>
      </w:r>
      <w:r w:rsidRPr="00133171">
        <w:rPr>
          <w:bCs/>
        </w:rPr>
        <w:t>vom 17. Juni 2024)</w:t>
      </w:r>
      <w:r w:rsidR="00200662">
        <w:rPr>
          <w:bCs/>
        </w:rPr>
        <w:t xml:space="preserve">, </w:t>
      </w:r>
    </w:p>
    <w:p w14:paraId="5BC4C3BF" w14:textId="77777777" w:rsidR="00200662" w:rsidRDefault="00200662" w:rsidP="00133171">
      <w:pPr>
        <w:jc w:val="both"/>
        <w:rPr>
          <w:bCs/>
        </w:rPr>
      </w:pPr>
    </w:p>
    <w:p w14:paraId="720056AD" w14:textId="46573CDA" w:rsidR="00200662" w:rsidRDefault="00200662" w:rsidP="00133171">
      <w:pPr>
        <w:jc w:val="both"/>
        <w:rPr>
          <w:bCs/>
        </w:rPr>
      </w:pPr>
      <w:r>
        <w:rPr>
          <w:bCs/>
        </w:rPr>
        <w:t xml:space="preserve">- den Königlichen Erlass vom 17. Juli 2023 </w:t>
      </w:r>
      <w:r w:rsidRPr="00200662">
        <w:rPr>
          <w:bCs/>
        </w:rPr>
        <w:t>zur Abänderung des KE/EStGB 92 hinsichtlich der in Artikel 242 § 1/1 des Einkommensteuergesetzbuches 1992 erwähnten Einkommens</w:t>
      </w:r>
      <w:r w:rsidRPr="00200662">
        <w:rPr>
          <w:bCs/>
        </w:rPr>
        <w:softHyphen/>
        <w:t>erklärung</w:t>
      </w:r>
      <w:r>
        <w:rPr>
          <w:bCs/>
        </w:rPr>
        <w:t xml:space="preserve"> (</w:t>
      </w:r>
      <w:r>
        <w:rPr>
          <w:bCs/>
          <w:i/>
          <w:iCs/>
        </w:rPr>
        <w:t xml:space="preserve">Belgisches Staatsblatt </w:t>
      </w:r>
      <w:r>
        <w:rPr>
          <w:bCs/>
        </w:rPr>
        <w:t>vom 18. Juli 2024)</w:t>
      </w:r>
      <w:r w:rsidR="00573383">
        <w:rPr>
          <w:bCs/>
        </w:rPr>
        <w:t xml:space="preserve"> </w:t>
      </w:r>
      <w:r w:rsidR="00573383">
        <w:rPr>
          <w:bCs/>
          <w:i/>
          <w:iCs/>
        </w:rPr>
        <w:t>(I)</w:t>
      </w:r>
      <w:r w:rsidR="00573383">
        <w:rPr>
          <w:bCs/>
        </w:rPr>
        <w:t>,</w:t>
      </w:r>
    </w:p>
    <w:p w14:paraId="2261B4F8" w14:textId="77777777" w:rsidR="00573383" w:rsidRDefault="00573383" w:rsidP="00133171">
      <w:pPr>
        <w:jc w:val="both"/>
        <w:rPr>
          <w:bCs/>
        </w:rPr>
      </w:pPr>
    </w:p>
    <w:p w14:paraId="5A5F44DF" w14:textId="77777777" w:rsidR="00573383" w:rsidRDefault="00573383">
      <w:pPr>
        <w:rPr>
          <w:bCs/>
        </w:rPr>
      </w:pPr>
      <w:r>
        <w:rPr>
          <w:bCs/>
        </w:rPr>
        <w:br w:type="page"/>
      </w:r>
    </w:p>
    <w:p w14:paraId="52A20D70" w14:textId="445EDE48" w:rsidR="00573383" w:rsidRDefault="00573383" w:rsidP="00573383">
      <w:pPr>
        <w:jc w:val="both"/>
        <w:rPr>
          <w:bCs/>
        </w:rPr>
      </w:pPr>
      <w:r w:rsidRPr="00573383">
        <w:rPr>
          <w:bCs/>
        </w:rPr>
        <w:lastRenderedPageBreak/>
        <w:t>-</w:t>
      </w:r>
      <w:r>
        <w:rPr>
          <w:bCs/>
        </w:rPr>
        <w:t xml:space="preserve"> d</w:t>
      </w:r>
      <w:r w:rsidRPr="00573383">
        <w:rPr>
          <w:bCs/>
        </w:rPr>
        <w:t>en Königlichen Erlass vom 17.</w:t>
      </w:r>
      <w:r>
        <w:rPr>
          <w:bCs/>
        </w:rPr>
        <w:t xml:space="preserve"> Juli 2023 </w:t>
      </w:r>
      <w:r w:rsidRPr="00573383">
        <w:rPr>
          <w:bCs/>
        </w:rPr>
        <w:t>zur Festlegung verschiedener Bestimmungen zur Abänderung des KE/EStGB 92</w:t>
      </w:r>
      <w:r>
        <w:rPr>
          <w:bCs/>
        </w:rPr>
        <w:t xml:space="preserve"> (</w:t>
      </w:r>
      <w:r>
        <w:rPr>
          <w:bCs/>
          <w:i/>
          <w:iCs/>
        </w:rPr>
        <w:t xml:space="preserve">Belgisches Staatsblatt </w:t>
      </w:r>
      <w:r>
        <w:rPr>
          <w:bCs/>
        </w:rPr>
        <w:t>vom 9. August 2024) </w:t>
      </w:r>
      <w:r>
        <w:rPr>
          <w:bCs/>
          <w:i/>
          <w:iCs/>
        </w:rPr>
        <w:t>(II)</w:t>
      </w:r>
      <w:r w:rsidR="00940754">
        <w:rPr>
          <w:bCs/>
        </w:rPr>
        <w:t>,</w:t>
      </w:r>
    </w:p>
    <w:p w14:paraId="50C4DD24" w14:textId="77777777" w:rsidR="00940754" w:rsidRDefault="00940754" w:rsidP="00573383">
      <w:pPr>
        <w:jc w:val="both"/>
        <w:rPr>
          <w:bCs/>
        </w:rPr>
      </w:pPr>
    </w:p>
    <w:p w14:paraId="4DF80EED" w14:textId="1E857A62" w:rsidR="00940754" w:rsidRDefault="00940754" w:rsidP="00573383">
      <w:pPr>
        <w:jc w:val="both"/>
        <w:rPr>
          <w:bCs/>
        </w:rPr>
      </w:pPr>
      <w:r>
        <w:rPr>
          <w:bCs/>
        </w:rPr>
        <w:t xml:space="preserve">- den Königlichen Erlass vom 20. September 2023 </w:t>
      </w:r>
      <w:r w:rsidRPr="00940754">
        <w:rPr>
          <w:bCs/>
        </w:rPr>
        <w:t>zur Ausführung von Artikel 445 § 5 des Einkommensteuergesetzbuches 1992 in Bezug auf die Festlegung der Skala der administrativen Geldbußen und deren Anwendungsmodalitäten</w:t>
      </w:r>
      <w:r>
        <w:rPr>
          <w:bCs/>
        </w:rPr>
        <w:t xml:space="preserve"> (</w:t>
      </w:r>
      <w:r>
        <w:rPr>
          <w:bCs/>
          <w:i/>
          <w:iCs/>
        </w:rPr>
        <w:t xml:space="preserve">Belgisches Staatsblatt </w:t>
      </w:r>
      <w:r>
        <w:rPr>
          <w:bCs/>
        </w:rPr>
        <w:t>vom 25. Februar 2025)</w:t>
      </w:r>
      <w:r w:rsidR="003903BC">
        <w:rPr>
          <w:bCs/>
        </w:rPr>
        <w:t>,</w:t>
      </w:r>
    </w:p>
    <w:p w14:paraId="11959843" w14:textId="77777777" w:rsidR="003903BC" w:rsidRDefault="003903BC" w:rsidP="00573383">
      <w:pPr>
        <w:jc w:val="both"/>
        <w:rPr>
          <w:bCs/>
        </w:rPr>
      </w:pPr>
    </w:p>
    <w:p w14:paraId="7A9C366D" w14:textId="02159B9B" w:rsidR="003903BC" w:rsidRDefault="003903BC" w:rsidP="00573383">
      <w:pPr>
        <w:jc w:val="both"/>
        <w:rPr>
          <w:bCs/>
        </w:rPr>
      </w:pPr>
      <w:r>
        <w:rPr>
          <w:bCs/>
        </w:rPr>
        <w:t xml:space="preserve">- den Königlichen Erlass vom 25. Dezember 2023 </w:t>
      </w:r>
      <w:r w:rsidRPr="003903BC">
        <w:rPr>
          <w:bCs/>
        </w:rPr>
        <w:t>zur Festlegung der Meldemodalitäten für Plattformbetreiber erwähnt in Titel VII Kapitel 3 Abschnitt 1</w:t>
      </w:r>
      <w:r w:rsidRPr="003903BC">
        <w:rPr>
          <w:bCs/>
          <w:i/>
        </w:rPr>
        <w:t>quater</w:t>
      </w:r>
      <w:r w:rsidRPr="003903BC">
        <w:rPr>
          <w:bCs/>
        </w:rPr>
        <w:t xml:space="preserve"> des Einkommen</w:t>
      </w:r>
      <w:r w:rsidRPr="003903BC">
        <w:rPr>
          <w:bCs/>
        </w:rPr>
        <w:softHyphen/>
        <w:t>steuergesetzbuches 1992</w:t>
      </w:r>
      <w:r>
        <w:rPr>
          <w:bCs/>
        </w:rPr>
        <w:t xml:space="preserve"> </w:t>
      </w:r>
      <w:r w:rsidRPr="003903BC">
        <w:rPr>
          <w:bCs/>
        </w:rPr>
        <w:t>(</w:t>
      </w:r>
      <w:r w:rsidRPr="003903BC">
        <w:rPr>
          <w:bCs/>
          <w:i/>
        </w:rPr>
        <w:t xml:space="preserve">Belgisches Staatsblatt </w:t>
      </w:r>
      <w:r w:rsidRPr="003903BC">
        <w:rPr>
          <w:bCs/>
        </w:rPr>
        <w:t>vom 25. Februar 2025)</w:t>
      </w:r>
      <w:r w:rsidR="00992AD6">
        <w:rPr>
          <w:bCs/>
        </w:rPr>
        <w:t>,</w:t>
      </w:r>
    </w:p>
    <w:p w14:paraId="09444BC1" w14:textId="77777777" w:rsidR="00992AD6" w:rsidRDefault="00992AD6" w:rsidP="00573383">
      <w:pPr>
        <w:jc w:val="both"/>
        <w:rPr>
          <w:bCs/>
        </w:rPr>
      </w:pPr>
    </w:p>
    <w:p w14:paraId="50D0F662" w14:textId="0175BB47" w:rsidR="00992AD6" w:rsidRDefault="00992AD6" w:rsidP="00573383">
      <w:pPr>
        <w:jc w:val="both"/>
      </w:pPr>
      <w:r>
        <w:rPr>
          <w:bCs/>
        </w:rPr>
        <w:t xml:space="preserve">- den Königlichen Erlass vom 12. Januar 2024 </w:t>
      </w:r>
      <w:r w:rsidR="009A518D" w:rsidRPr="009A518D">
        <w:rPr>
          <w:bCs/>
        </w:rPr>
        <w:t>zur Abänderung des KE/EStGB 92 hinsichtlich der Vorteile jeglicher Art im Falle der Gewährung eines zinslosen Darlehens oder eines Darlehens zu herabgesetztem Zinssatz</w:t>
      </w:r>
      <w:r w:rsidR="009A518D">
        <w:rPr>
          <w:bCs/>
        </w:rPr>
        <w:t xml:space="preserve"> </w:t>
      </w:r>
      <w:r w:rsidR="009A518D" w:rsidRPr="00D1066F">
        <w:t>(</w:t>
      </w:r>
      <w:r w:rsidR="009A518D" w:rsidRPr="00D1066F">
        <w:rPr>
          <w:i/>
        </w:rPr>
        <w:t xml:space="preserve">Belgisches Staatsblatt </w:t>
      </w:r>
      <w:r w:rsidR="009A518D" w:rsidRPr="00D1066F">
        <w:t>vom 3. März 2025)</w:t>
      </w:r>
      <w:r w:rsidR="009F4A15">
        <w:t>,</w:t>
      </w:r>
    </w:p>
    <w:p w14:paraId="7DAA45DE" w14:textId="77777777" w:rsidR="009F4A15" w:rsidRDefault="009F4A15" w:rsidP="00573383">
      <w:pPr>
        <w:jc w:val="both"/>
      </w:pPr>
    </w:p>
    <w:p w14:paraId="32E21769" w14:textId="79B314B5" w:rsidR="009F4A15" w:rsidRDefault="009F4A15" w:rsidP="00573383">
      <w:pPr>
        <w:jc w:val="both"/>
        <w:rPr>
          <w:bCs/>
        </w:rPr>
      </w:pPr>
      <w:r>
        <w:t xml:space="preserve">- den Königlichen Erlass vom 5. Februar 2024 </w:t>
      </w:r>
      <w:r w:rsidRPr="009F4A15">
        <w:rPr>
          <w:bCs/>
        </w:rPr>
        <w:t>zur Abänderung des KE/EStGB 92 hinsichtlich der Vorteile jeglicher Art für die Nutzung zu persönlichen Zwecken eines kostenlos zur Verfügung gestellten Fahrzeugs</w:t>
      </w:r>
      <w:r>
        <w:rPr>
          <w:bCs/>
        </w:rPr>
        <w:t xml:space="preserve"> </w:t>
      </w:r>
      <w:r w:rsidRPr="009F4A15">
        <w:rPr>
          <w:bCs/>
        </w:rPr>
        <w:t>(</w:t>
      </w:r>
      <w:r w:rsidRPr="009F4A15">
        <w:rPr>
          <w:bCs/>
          <w:i/>
        </w:rPr>
        <w:t xml:space="preserve">Belgisches Staatsblatt </w:t>
      </w:r>
      <w:r w:rsidRPr="009F4A15">
        <w:rPr>
          <w:bCs/>
        </w:rPr>
        <w:t>vom 3. März 2025)</w:t>
      </w:r>
      <w:r w:rsidR="00EB6B8F">
        <w:rPr>
          <w:bCs/>
        </w:rPr>
        <w:t>,</w:t>
      </w:r>
    </w:p>
    <w:p w14:paraId="1BD1CA5C" w14:textId="77777777" w:rsidR="00EB6B8F" w:rsidRDefault="00EB6B8F" w:rsidP="00573383">
      <w:pPr>
        <w:jc w:val="both"/>
        <w:rPr>
          <w:bCs/>
        </w:rPr>
      </w:pPr>
    </w:p>
    <w:p w14:paraId="51F050A6" w14:textId="5978DD16" w:rsidR="00EB6B8F" w:rsidRDefault="00EB6B8F" w:rsidP="00573383">
      <w:pPr>
        <w:jc w:val="both"/>
        <w:rPr>
          <w:bCs/>
        </w:rPr>
      </w:pPr>
      <w:r>
        <w:rPr>
          <w:bCs/>
        </w:rPr>
        <w:t>- den Königlichen Erlass vom 25. Februar 2024 zur Ausführung von Artikel 147 Absatz 4 des Einkommensteuergesetzbuches 1992 für das Steuerjahr 2025 (</w:t>
      </w:r>
      <w:r>
        <w:rPr>
          <w:bCs/>
          <w:i/>
          <w:iCs/>
        </w:rPr>
        <w:t xml:space="preserve">Belgisches Staatsblatt </w:t>
      </w:r>
      <w:r>
        <w:rPr>
          <w:bCs/>
        </w:rPr>
        <w:t>vom 3. März 2025) </w:t>
      </w:r>
      <w:r>
        <w:rPr>
          <w:bCs/>
          <w:i/>
          <w:iCs/>
        </w:rPr>
        <w:t>(I)</w:t>
      </w:r>
      <w:r w:rsidR="004C24ED">
        <w:rPr>
          <w:bCs/>
        </w:rPr>
        <w:t>,</w:t>
      </w:r>
    </w:p>
    <w:p w14:paraId="338573D4" w14:textId="77777777" w:rsidR="004C24ED" w:rsidRDefault="004C24ED" w:rsidP="00573383">
      <w:pPr>
        <w:jc w:val="both"/>
        <w:rPr>
          <w:bCs/>
        </w:rPr>
      </w:pPr>
    </w:p>
    <w:p w14:paraId="5E68EC8B" w14:textId="0C303BB5" w:rsidR="004C24ED" w:rsidRDefault="004C24ED" w:rsidP="00573383">
      <w:pPr>
        <w:jc w:val="both"/>
        <w:rPr>
          <w:bCs/>
        </w:rPr>
      </w:pPr>
      <w:r>
        <w:rPr>
          <w:bCs/>
        </w:rPr>
        <w:t xml:space="preserve">- den Königlichen Erlass vom 25. Februar 2024 </w:t>
      </w:r>
      <w:r w:rsidRPr="004C24ED">
        <w:rPr>
          <w:bCs/>
        </w:rPr>
        <w:t>zur Anpassung von Artikel 49 des KE/EStGB 92 hinsichtlich der Bescheinigung der Anlagen für eine rationellere Energienutzung in Meeresgebieten unter der Gerichtsbarkeit Belgiens</w:t>
      </w:r>
      <w:r>
        <w:rPr>
          <w:bCs/>
        </w:rPr>
        <w:t xml:space="preserve"> (</w:t>
      </w:r>
      <w:r>
        <w:rPr>
          <w:bCs/>
          <w:i/>
          <w:iCs/>
        </w:rPr>
        <w:t xml:space="preserve">Belgisches Staatsblatt </w:t>
      </w:r>
      <w:r>
        <w:rPr>
          <w:bCs/>
        </w:rPr>
        <w:t>vom 3. März 2025) </w:t>
      </w:r>
      <w:r>
        <w:rPr>
          <w:bCs/>
          <w:i/>
          <w:iCs/>
        </w:rPr>
        <w:t>(II)</w:t>
      </w:r>
      <w:r w:rsidR="009C3F3F">
        <w:rPr>
          <w:bCs/>
        </w:rPr>
        <w:t>,</w:t>
      </w:r>
    </w:p>
    <w:p w14:paraId="12A6161F" w14:textId="77777777" w:rsidR="009C3F3F" w:rsidRDefault="009C3F3F" w:rsidP="00573383">
      <w:pPr>
        <w:jc w:val="both"/>
        <w:rPr>
          <w:bCs/>
        </w:rPr>
      </w:pPr>
    </w:p>
    <w:p w14:paraId="2EE690F2" w14:textId="1341ACA2" w:rsidR="009C3F3F" w:rsidRDefault="009C3F3F" w:rsidP="00573383">
      <w:pPr>
        <w:jc w:val="both"/>
        <w:rPr>
          <w:bCs/>
        </w:rPr>
      </w:pPr>
      <w:r>
        <w:rPr>
          <w:bCs/>
        </w:rPr>
        <w:t xml:space="preserve">- den Königlichen Erlass vom 11. März 2024 </w:t>
      </w:r>
      <w:r w:rsidRPr="009C3F3F">
        <w:rPr>
          <w:bCs/>
        </w:rPr>
        <w:t>zur Abänderung von Artikel 178 des Königlichen Erlasses zur Ausführung des Einkommensteuergesetzbuches 1992</w:t>
      </w:r>
      <w:r>
        <w:rPr>
          <w:bCs/>
        </w:rPr>
        <w:t xml:space="preserve"> </w:t>
      </w:r>
      <w:r w:rsidRPr="009C3F3F">
        <w:rPr>
          <w:bCs/>
        </w:rPr>
        <w:t>(</w:t>
      </w:r>
      <w:r w:rsidRPr="009C3F3F">
        <w:rPr>
          <w:bCs/>
          <w:i/>
        </w:rPr>
        <w:t xml:space="preserve">Belgisches Staatsblatt </w:t>
      </w:r>
      <w:r w:rsidRPr="009C3F3F">
        <w:rPr>
          <w:bCs/>
        </w:rPr>
        <w:t>vom 10. März 2025)</w:t>
      </w:r>
      <w:r w:rsidR="005430BB">
        <w:rPr>
          <w:bCs/>
        </w:rPr>
        <w:t>,</w:t>
      </w:r>
    </w:p>
    <w:p w14:paraId="61C8F65A" w14:textId="77777777" w:rsidR="005430BB" w:rsidRDefault="005430BB" w:rsidP="00573383">
      <w:pPr>
        <w:jc w:val="both"/>
        <w:rPr>
          <w:bCs/>
        </w:rPr>
      </w:pPr>
    </w:p>
    <w:p w14:paraId="2C3FE31D" w14:textId="2E68BC2C" w:rsidR="00656FAB" w:rsidRDefault="005430BB" w:rsidP="00656FAB">
      <w:pPr>
        <w:jc w:val="both"/>
        <w:rPr>
          <w:bCs/>
        </w:rPr>
      </w:pPr>
      <w:r>
        <w:rPr>
          <w:bCs/>
        </w:rPr>
        <w:t>- den Königlichen Erlass vom 9. April 2024</w:t>
      </w:r>
      <w:r w:rsidR="0043031B">
        <w:rPr>
          <w:bCs/>
        </w:rPr>
        <w:t xml:space="preserve"> </w:t>
      </w:r>
      <w:r w:rsidR="0043031B" w:rsidRPr="0043031B">
        <w:rPr>
          <w:bCs/>
        </w:rPr>
        <w:t>zur Ausführung der Artikel 38 § 1 Absatz 6 und 66</w:t>
      </w:r>
      <w:r w:rsidR="0043031B" w:rsidRPr="0043031B">
        <w:rPr>
          <w:bCs/>
          <w:i/>
        </w:rPr>
        <w:t>bis</w:t>
      </w:r>
      <w:r w:rsidR="0043031B" w:rsidRPr="0043031B">
        <w:rPr>
          <w:bCs/>
        </w:rPr>
        <w:t xml:space="preserve"> Absatz 4 des Einkommensteuergesetzbuches 1992</w:t>
      </w:r>
      <w:r>
        <w:rPr>
          <w:bCs/>
        </w:rPr>
        <w:t xml:space="preserve"> </w:t>
      </w:r>
      <w:r w:rsidRPr="005430BB">
        <w:rPr>
          <w:bCs/>
        </w:rPr>
        <w:t>(</w:t>
      </w:r>
      <w:r w:rsidRPr="005430BB">
        <w:rPr>
          <w:bCs/>
          <w:i/>
        </w:rPr>
        <w:t xml:space="preserve">Belgisches Staatsblatt </w:t>
      </w:r>
      <w:r w:rsidRPr="005430BB">
        <w:rPr>
          <w:bCs/>
        </w:rPr>
        <w:t xml:space="preserve">vom </w:t>
      </w:r>
      <w:r w:rsidR="0043031B">
        <w:rPr>
          <w:bCs/>
        </w:rPr>
        <w:t>11. März</w:t>
      </w:r>
      <w:r w:rsidRPr="005430BB">
        <w:rPr>
          <w:bCs/>
        </w:rPr>
        <w:t> 2025)</w:t>
      </w:r>
      <w:r w:rsidR="00656FAB">
        <w:rPr>
          <w:bCs/>
        </w:rPr>
        <w:t>,</w:t>
      </w:r>
    </w:p>
    <w:p w14:paraId="5835B9EA" w14:textId="77777777" w:rsidR="00656FAB" w:rsidRDefault="00656FAB" w:rsidP="00656FAB">
      <w:pPr>
        <w:jc w:val="both"/>
        <w:rPr>
          <w:bCs/>
        </w:rPr>
      </w:pPr>
    </w:p>
    <w:p w14:paraId="0B6AECA1" w14:textId="6B6028D3" w:rsidR="00656FAB" w:rsidRDefault="00656FAB" w:rsidP="00656FAB">
      <w:pPr>
        <w:jc w:val="both"/>
        <w:rPr>
          <w:bCs/>
        </w:rPr>
      </w:pPr>
      <w:r>
        <w:rPr>
          <w:bCs/>
        </w:rPr>
        <w:t xml:space="preserve">- den Königlichen Erlass vom 9. April 2024 </w:t>
      </w:r>
      <w:r w:rsidRPr="00656FAB">
        <w:rPr>
          <w:bCs/>
        </w:rPr>
        <w:t>zur Abänderung des KE/EStGB 92 hinsichtlich der Befreiung von der Zahlung des Berufssteuervorabzugs für Gelegenheitsarbeitnehmer im Obst- und Gemüsebau wie in Artikel 275</w:t>
      </w:r>
      <w:r w:rsidRPr="00656FAB">
        <w:rPr>
          <w:bCs/>
          <w:vertAlign w:val="superscript"/>
        </w:rPr>
        <w:t>13</w:t>
      </w:r>
      <w:r w:rsidRPr="00656FAB">
        <w:rPr>
          <w:bCs/>
        </w:rPr>
        <w:t xml:space="preserve"> des Einkommensteuergesetzbuches 1992 erwähnt</w:t>
      </w:r>
      <w:r>
        <w:rPr>
          <w:bCs/>
        </w:rPr>
        <w:t xml:space="preserve"> </w:t>
      </w:r>
      <w:r w:rsidRPr="00656FAB">
        <w:rPr>
          <w:bCs/>
        </w:rPr>
        <w:t>(</w:t>
      </w:r>
      <w:r w:rsidRPr="00656FAB">
        <w:rPr>
          <w:bCs/>
          <w:i/>
        </w:rPr>
        <w:t xml:space="preserve">Belgisches Staatsblatt </w:t>
      </w:r>
      <w:r w:rsidRPr="00656FAB">
        <w:rPr>
          <w:bCs/>
        </w:rPr>
        <w:t>vom 1. April 2025)</w:t>
      </w:r>
      <w:r w:rsidR="00AA7787">
        <w:rPr>
          <w:bCs/>
        </w:rPr>
        <w:t>,</w:t>
      </w:r>
    </w:p>
    <w:p w14:paraId="3D5D1733" w14:textId="77777777" w:rsidR="00AA7787" w:rsidRDefault="00AA7787" w:rsidP="00656FAB">
      <w:pPr>
        <w:jc w:val="both"/>
        <w:rPr>
          <w:bCs/>
        </w:rPr>
      </w:pPr>
    </w:p>
    <w:p w14:paraId="0E63D08A" w14:textId="66CF0395" w:rsidR="00AA7787" w:rsidRDefault="00AA7787" w:rsidP="00656FAB">
      <w:pPr>
        <w:jc w:val="both"/>
      </w:pPr>
      <w:r>
        <w:rPr>
          <w:bCs/>
        </w:rPr>
        <w:t xml:space="preserve">- den Königlichen Erlass vom 12. Mai 2024 </w:t>
      </w:r>
      <w:r w:rsidRPr="00AA7787">
        <w:t>zur Abänderung des KE/EStGB 92 hinsichtlich der Bedingungen für die Gewährung einer Steuerermäßigung für unentgeltliche Zuwendungen</w:t>
      </w:r>
      <w:r>
        <w:t xml:space="preserve"> </w:t>
      </w:r>
      <w:r w:rsidRPr="00AA7787">
        <w:t>(</w:t>
      </w:r>
      <w:r w:rsidRPr="00AA7787">
        <w:rPr>
          <w:i/>
        </w:rPr>
        <w:t xml:space="preserve">Belgisches Staatsblatt </w:t>
      </w:r>
      <w:r w:rsidRPr="00AA7787">
        <w:t>vom 27. März 2025)</w:t>
      </w:r>
      <w:r w:rsidR="00BB32CA">
        <w:t>,</w:t>
      </w:r>
    </w:p>
    <w:p w14:paraId="7B61C483" w14:textId="77777777" w:rsidR="00BB32CA" w:rsidRDefault="00BB32CA" w:rsidP="00656FAB">
      <w:pPr>
        <w:jc w:val="both"/>
      </w:pPr>
    </w:p>
    <w:p w14:paraId="15549616" w14:textId="364F91A8" w:rsidR="00BB32CA" w:rsidRDefault="00BB32CA" w:rsidP="00656FAB">
      <w:pPr>
        <w:jc w:val="both"/>
        <w:rPr>
          <w:bCs/>
        </w:rPr>
      </w:pPr>
      <w:r>
        <w:t xml:space="preserve">- den Königlichen Erlass vom 25. Juli 2024 </w:t>
      </w:r>
      <w:r w:rsidRPr="00BB32CA">
        <w:rPr>
          <w:bCs/>
        </w:rPr>
        <w:t>zur Abänderung des KE/EStGB 92 im Hinblick auf die Ausdehnung des Anwendungsbereichs der Steuerbefreiung von Entlohnungen für Leistungen, die im Rahmen eines Flexi-Jobs erbracht werden</w:t>
      </w:r>
      <w:r>
        <w:rPr>
          <w:bCs/>
        </w:rPr>
        <w:t xml:space="preserve"> (</w:t>
      </w:r>
      <w:r>
        <w:rPr>
          <w:bCs/>
          <w:i/>
          <w:iCs/>
        </w:rPr>
        <w:t xml:space="preserve">Belgisches Staatsblatt </w:t>
      </w:r>
      <w:r>
        <w:rPr>
          <w:bCs/>
        </w:rPr>
        <w:t>vom 2. Ju</w:t>
      </w:r>
      <w:r w:rsidR="00891B3D">
        <w:rPr>
          <w:bCs/>
        </w:rPr>
        <w:t>n</w:t>
      </w:r>
      <w:r>
        <w:rPr>
          <w:bCs/>
        </w:rPr>
        <w:t>i 2025)</w:t>
      </w:r>
      <w:r w:rsidR="00891B3D">
        <w:rPr>
          <w:bCs/>
        </w:rPr>
        <w:t>,</w:t>
      </w:r>
    </w:p>
    <w:p w14:paraId="23E085C7" w14:textId="77777777" w:rsidR="00891B3D" w:rsidRDefault="00891B3D" w:rsidP="00656FAB">
      <w:pPr>
        <w:jc w:val="both"/>
        <w:rPr>
          <w:bCs/>
        </w:rPr>
      </w:pPr>
    </w:p>
    <w:p w14:paraId="71BFF624" w14:textId="1C489631" w:rsidR="00891B3D" w:rsidRDefault="00891B3D" w:rsidP="00656FAB">
      <w:pPr>
        <w:jc w:val="both"/>
        <w:rPr>
          <w:bCs/>
        </w:rPr>
      </w:pPr>
      <w:r>
        <w:lastRenderedPageBreak/>
        <w:t xml:space="preserve">- den Königlichen Erlass vom 25. Juli 2024 </w:t>
      </w:r>
      <w:r w:rsidRPr="00891B3D">
        <w:t>zur Abänderung des KE/EStGB 92 im Hinblick auf die Ausdehnung des Anwendungsbereichs der Steuerbefreiung von Entlohnungen für Leistungen, die im Rahmen eines Flexi-Jobs erbracht werden, auf die Binnenschifffahrt</w:t>
      </w:r>
      <w:r>
        <w:rPr>
          <w:bCs/>
        </w:rPr>
        <w:t xml:space="preserve"> (</w:t>
      </w:r>
      <w:r>
        <w:rPr>
          <w:bCs/>
          <w:i/>
          <w:iCs/>
        </w:rPr>
        <w:t xml:space="preserve">Belgisches Staatsblatt </w:t>
      </w:r>
      <w:r>
        <w:rPr>
          <w:bCs/>
        </w:rPr>
        <w:t>vom 2. Juni 2025)</w:t>
      </w:r>
      <w:r w:rsidR="006904D4">
        <w:rPr>
          <w:bCs/>
        </w:rPr>
        <w:t>,</w:t>
      </w:r>
    </w:p>
    <w:p w14:paraId="24A2AD97" w14:textId="77777777" w:rsidR="006904D4" w:rsidRDefault="006904D4" w:rsidP="00656FAB">
      <w:pPr>
        <w:jc w:val="both"/>
        <w:rPr>
          <w:bCs/>
        </w:rPr>
      </w:pPr>
    </w:p>
    <w:p w14:paraId="29F31859" w14:textId="655C59A8" w:rsidR="006904D4" w:rsidRDefault="006904D4" w:rsidP="00656FAB">
      <w:pPr>
        <w:jc w:val="both"/>
        <w:rPr>
          <w:bCs/>
        </w:rPr>
      </w:pPr>
      <w:r w:rsidRPr="006904D4">
        <w:rPr>
          <w:bCs/>
        </w:rPr>
        <w:t>- den Königlichen Erlass vom 16. September 2024 zur Festlegung der Weise, wie für Leiharbeit zugelassene Unternehmen die Zustimmung zur Anwendung der in Artikel 275</w:t>
      </w:r>
      <w:r w:rsidRPr="006904D4">
        <w:rPr>
          <w:bCs/>
          <w:vertAlign w:val="superscript"/>
        </w:rPr>
        <w:t>5</w:t>
      </w:r>
      <w:r w:rsidRPr="006904D4">
        <w:rPr>
          <w:bCs/>
        </w:rPr>
        <w:t xml:space="preserve"> des Einkommensteuergesetzbuches 1992 erwähnten Befreiung von der Zahlung des Berufssteuervorabzugs nachweisen müssen, und zur Berichtigung von Artikel 95</w:t>
      </w:r>
      <w:r w:rsidRPr="006904D4">
        <w:rPr>
          <w:bCs/>
          <w:vertAlign w:val="superscript"/>
        </w:rPr>
        <w:t>2</w:t>
      </w:r>
      <w:r w:rsidRPr="006904D4">
        <w:rPr>
          <w:bCs/>
        </w:rPr>
        <w:t xml:space="preserve"> des KE/EStGB 92 (</w:t>
      </w:r>
      <w:r w:rsidRPr="006904D4">
        <w:rPr>
          <w:bCs/>
          <w:i/>
          <w:iCs/>
        </w:rPr>
        <w:t xml:space="preserve">Belgisches Staatsblatt </w:t>
      </w:r>
      <w:r w:rsidRPr="006904D4">
        <w:rPr>
          <w:bCs/>
        </w:rPr>
        <w:t>vom 25. Juli 2025)</w:t>
      </w:r>
      <w:r w:rsidR="00135175">
        <w:rPr>
          <w:bCs/>
        </w:rPr>
        <w:t>,</w:t>
      </w:r>
    </w:p>
    <w:p w14:paraId="4F921825" w14:textId="77777777" w:rsidR="00137616" w:rsidRPr="00137616" w:rsidRDefault="00137616" w:rsidP="00137616">
      <w:pPr>
        <w:jc w:val="both"/>
        <w:rPr>
          <w:bCs/>
        </w:rPr>
      </w:pPr>
    </w:p>
    <w:p w14:paraId="32B519AF" w14:textId="0BA2C472" w:rsidR="00137616" w:rsidRPr="00137616" w:rsidRDefault="00137616" w:rsidP="00137616">
      <w:pPr>
        <w:jc w:val="both"/>
        <w:rPr>
          <w:bCs/>
        </w:rPr>
      </w:pPr>
      <w:r w:rsidRPr="00137616">
        <w:rPr>
          <w:bCs/>
        </w:rPr>
        <w:t>- den Königlichen Erlass vom 1. Oktober 2024 zur Einbeziehung der Überschwemmungen, die sich vom 14. bis 16. Juli 2021 und am 24. Juli 2021 ereignet haben, in den Anwendungsbereich von Artikel 275</w:t>
      </w:r>
      <w:r w:rsidRPr="00137616">
        <w:rPr>
          <w:bCs/>
          <w:vertAlign w:val="superscript"/>
        </w:rPr>
        <w:t>9/1</w:t>
      </w:r>
      <w:r w:rsidRPr="00137616">
        <w:rPr>
          <w:bCs/>
        </w:rPr>
        <w:t xml:space="preserve"> des Einkommensteuergesetzbuches 1992 (</w:t>
      </w:r>
      <w:r w:rsidRPr="00137616">
        <w:rPr>
          <w:bCs/>
          <w:i/>
          <w:iCs/>
        </w:rPr>
        <w:t xml:space="preserve">Belgisches Staatsblatt </w:t>
      </w:r>
      <w:r w:rsidRPr="00137616">
        <w:rPr>
          <w:bCs/>
        </w:rPr>
        <w:t>vom 11. Juni 2026)</w:t>
      </w:r>
      <w:r>
        <w:rPr>
          <w:bCs/>
        </w:rPr>
        <w:t>,</w:t>
      </w:r>
    </w:p>
    <w:p w14:paraId="4AF61F32" w14:textId="77777777" w:rsidR="00135175" w:rsidRDefault="00135175" w:rsidP="00656FAB">
      <w:pPr>
        <w:jc w:val="both"/>
        <w:rPr>
          <w:bCs/>
        </w:rPr>
      </w:pPr>
    </w:p>
    <w:p w14:paraId="27D604B6" w14:textId="6F7BAFC4" w:rsidR="00135175" w:rsidRDefault="00135175" w:rsidP="00656FAB">
      <w:pPr>
        <w:jc w:val="both"/>
      </w:pPr>
      <w:r w:rsidRPr="00250F77">
        <w:rPr>
          <w:bCs/>
        </w:rPr>
        <w:t>- den Königlichen Erlass vom 11.</w:t>
      </w:r>
      <w:r w:rsidRPr="00250F77">
        <w:t xml:space="preserve"> November 2024 </w:t>
      </w:r>
      <w:r w:rsidR="00250F77" w:rsidRPr="00250F77">
        <w:t>zur Abänderung des KE/EStGB 92 hinsichtlich der Bestimmung des Besteuerungszeitraums</w:t>
      </w:r>
      <w:r w:rsidR="00250F77">
        <w:t xml:space="preserve"> (</w:t>
      </w:r>
      <w:r w:rsidR="00250F77">
        <w:rPr>
          <w:i/>
          <w:iCs/>
        </w:rPr>
        <w:t>Belgisches Staatsblatt</w:t>
      </w:r>
      <w:r w:rsidR="00250F77">
        <w:t xml:space="preserve"> vom </w:t>
      </w:r>
      <w:r w:rsidR="00437CD0">
        <w:t>26. Februar 2026)</w:t>
      </w:r>
      <w:r w:rsidR="002853CE">
        <w:t>,</w:t>
      </w:r>
    </w:p>
    <w:p w14:paraId="2DBF07F6" w14:textId="77777777" w:rsidR="002853CE" w:rsidRDefault="002853CE" w:rsidP="00656FAB">
      <w:pPr>
        <w:jc w:val="both"/>
      </w:pPr>
    </w:p>
    <w:p w14:paraId="04FDB067" w14:textId="73AAF0BA" w:rsidR="002853CE" w:rsidRDefault="002853CE" w:rsidP="00656FAB">
      <w:pPr>
        <w:jc w:val="both"/>
        <w:rPr>
          <w:bCs/>
        </w:rPr>
      </w:pPr>
      <w:r>
        <w:t xml:space="preserve">- den Königlichen Erlass vom 20. November 2024 </w:t>
      </w:r>
      <w:r w:rsidRPr="002853CE">
        <w:rPr>
          <w:bCs/>
        </w:rPr>
        <w:t>zur Abänderung des KE/EStGB 92 hinsichtlich der Steuerbefreiung für Preise und Zuschüsse, die Wissenschaftlern, Schriftstellern oder Künstlern gezahlt oder zuerkannt werden</w:t>
      </w:r>
      <w:r>
        <w:rPr>
          <w:bCs/>
        </w:rPr>
        <w:t xml:space="preserve"> (</w:t>
      </w:r>
      <w:r>
        <w:rPr>
          <w:bCs/>
          <w:i/>
          <w:iCs/>
        </w:rPr>
        <w:t xml:space="preserve">Belgisches Staatsblatt </w:t>
      </w:r>
      <w:r>
        <w:rPr>
          <w:bCs/>
        </w:rPr>
        <w:t>vom 26. Februar 2026)</w:t>
      </w:r>
      <w:r w:rsidR="00CD6062">
        <w:rPr>
          <w:bCs/>
        </w:rPr>
        <w:t>,</w:t>
      </w:r>
    </w:p>
    <w:p w14:paraId="1B9E520C" w14:textId="77777777" w:rsidR="00CD6062" w:rsidRDefault="00CD6062" w:rsidP="00656FAB">
      <w:pPr>
        <w:jc w:val="both"/>
        <w:rPr>
          <w:bCs/>
        </w:rPr>
      </w:pPr>
    </w:p>
    <w:p w14:paraId="557CAFEA" w14:textId="24B81B5B" w:rsidR="00CD6062" w:rsidRDefault="00CD6062" w:rsidP="00656FAB">
      <w:pPr>
        <w:jc w:val="both"/>
        <w:rPr>
          <w:bCs/>
        </w:rPr>
      </w:pPr>
      <w:r>
        <w:rPr>
          <w:bCs/>
        </w:rPr>
        <w:t>- den Königlichen Erlass vom 8. Dezember</w:t>
      </w:r>
      <w:r>
        <w:t xml:space="preserve"> 2024 </w:t>
      </w:r>
      <w:r w:rsidRPr="00CD6062">
        <w:rPr>
          <w:bCs/>
        </w:rPr>
        <w:t>zur Abänderung des KE/EStGB 92 hinsichtlich der Vorteile jeglicher Art für die Nutzung zu persönlichen Zwecken eines kostenlos zur Verfügung gestellten Fahrzeugs</w:t>
      </w:r>
      <w:r>
        <w:rPr>
          <w:bCs/>
        </w:rPr>
        <w:t xml:space="preserve"> (</w:t>
      </w:r>
      <w:r>
        <w:rPr>
          <w:bCs/>
          <w:i/>
          <w:iCs/>
        </w:rPr>
        <w:t xml:space="preserve">Belgisches Staatsblatt </w:t>
      </w:r>
      <w:r>
        <w:rPr>
          <w:bCs/>
        </w:rPr>
        <w:t>vom 26. Februar 2026)</w:t>
      </w:r>
      <w:r w:rsidR="00701F45">
        <w:rPr>
          <w:bCs/>
        </w:rPr>
        <w:t>,</w:t>
      </w:r>
    </w:p>
    <w:p w14:paraId="46091B5E" w14:textId="77777777" w:rsidR="00701F45" w:rsidRDefault="00701F45" w:rsidP="00656FAB">
      <w:pPr>
        <w:jc w:val="both"/>
        <w:rPr>
          <w:bCs/>
        </w:rPr>
      </w:pPr>
    </w:p>
    <w:p w14:paraId="4DE40915" w14:textId="7D838644" w:rsidR="00701F45" w:rsidRDefault="00701F45" w:rsidP="00656FAB">
      <w:pPr>
        <w:jc w:val="both"/>
      </w:pPr>
      <w:r>
        <w:rPr>
          <w:bCs/>
        </w:rPr>
        <w:t xml:space="preserve">- den Königlichen Erlass vom 12. Dezember 2024 </w:t>
      </w:r>
      <w:r w:rsidRPr="00701F45">
        <w:rPr>
          <w:bCs/>
        </w:rPr>
        <w:t>zur Abänderung des KE/EStGB 92 hinsichtlich der Steuerbefreiung für Preise und Zuschüsse, die Wissenschaftlern, Schriftstellern oder Künstlern gezahlt oder zuerkannt werden</w:t>
      </w:r>
      <w:r>
        <w:rPr>
          <w:bCs/>
        </w:rPr>
        <w:t xml:space="preserve"> (</w:t>
      </w:r>
      <w:r>
        <w:rPr>
          <w:bCs/>
          <w:i/>
          <w:iCs/>
        </w:rPr>
        <w:t xml:space="preserve">Belgisches Staatsblatt </w:t>
      </w:r>
      <w:r>
        <w:rPr>
          <w:bCs/>
        </w:rPr>
        <w:t>vom 26.</w:t>
      </w:r>
      <w:r>
        <w:t> Februar 2026)</w:t>
      </w:r>
      <w:r w:rsidR="00E902B4">
        <w:t>,</w:t>
      </w:r>
    </w:p>
    <w:p w14:paraId="00CC400A" w14:textId="77777777" w:rsidR="00E902B4" w:rsidRDefault="00E902B4" w:rsidP="00656FAB">
      <w:pPr>
        <w:jc w:val="both"/>
      </w:pPr>
    </w:p>
    <w:p w14:paraId="362D6D90" w14:textId="547EE005" w:rsidR="00E902B4" w:rsidRDefault="00E902B4" w:rsidP="00656FAB">
      <w:pPr>
        <w:jc w:val="both"/>
        <w:rPr>
          <w:bCs/>
        </w:rPr>
      </w:pPr>
      <w:r>
        <w:t xml:space="preserve">- den Königlichen Erlass vom 17. Dezember 2024 </w:t>
      </w:r>
      <w:r w:rsidRPr="00E902B4">
        <w:rPr>
          <w:bCs/>
        </w:rPr>
        <w:t>zur Aufnahme der Einnahmeregeln in den Königlichen Erlass zur Ausführung des Gesetzbuches über die gütliche Beitreibung und die Zwangsbeitreibung von Steuerforderungen und nichtsteuerlichen Forderungen und zur Bestimmung der Funktionsweise des Mehrwertsteuerrückstellungskontos</w:t>
      </w:r>
      <w:r>
        <w:rPr>
          <w:bCs/>
        </w:rPr>
        <w:t xml:space="preserve"> (</w:t>
      </w:r>
      <w:r>
        <w:rPr>
          <w:bCs/>
          <w:i/>
          <w:iCs/>
        </w:rPr>
        <w:t xml:space="preserve">Belgisches Staatsblatt </w:t>
      </w:r>
      <w:r>
        <w:rPr>
          <w:bCs/>
        </w:rPr>
        <w:t>vom 23. April 2026)</w:t>
      </w:r>
      <w:r w:rsidR="00887AA4">
        <w:rPr>
          <w:bCs/>
        </w:rPr>
        <w:t>,</w:t>
      </w:r>
    </w:p>
    <w:p w14:paraId="16491987" w14:textId="77777777" w:rsidR="00887AA4" w:rsidRDefault="00887AA4" w:rsidP="00656FAB">
      <w:pPr>
        <w:jc w:val="both"/>
        <w:rPr>
          <w:bCs/>
        </w:rPr>
      </w:pPr>
    </w:p>
    <w:p w14:paraId="763F42C1" w14:textId="3677578B" w:rsidR="00887AA4" w:rsidRDefault="00887AA4" w:rsidP="00656FAB">
      <w:pPr>
        <w:jc w:val="both"/>
      </w:pPr>
      <w:r>
        <w:rPr>
          <w:bCs/>
        </w:rPr>
        <w:t>- den Königliche</w:t>
      </w:r>
      <w:r w:rsidR="00630178">
        <w:rPr>
          <w:bCs/>
        </w:rPr>
        <w:t>n</w:t>
      </w:r>
      <w:r>
        <w:rPr>
          <w:bCs/>
        </w:rPr>
        <w:t xml:space="preserve"> Erlass vom 20. Dezember 2024 </w:t>
      </w:r>
      <w:r w:rsidRPr="00887AA4">
        <w:rPr>
          <w:bCs/>
        </w:rPr>
        <w:t>zur Anpassung der Artikel über den Investitionsabzug im KE/EStGB 92</w:t>
      </w:r>
      <w:r>
        <w:rPr>
          <w:bCs/>
        </w:rPr>
        <w:t xml:space="preserve"> </w:t>
      </w:r>
      <w:r w:rsidRPr="00C80000">
        <w:t>(</w:t>
      </w:r>
      <w:r w:rsidRPr="00C80000">
        <w:rPr>
          <w:i/>
        </w:rPr>
        <w:t xml:space="preserve">Belgisches Staatsblatt </w:t>
      </w:r>
      <w:r w:rsidRPr="00C80000">
        <w:t>vom</w:t>
      </w:r>
      <w:r>
        <w:t xml:space="preserve"> 28. Mai 2026</w:t>
      </w:r>
      <w:r w:rsidRPr="00C80000">
        <w:t>)</w:t>
      </w:r>
      <w:r w:rsidR="005E2CDD">
        <w:t>,</w:t>
      </w:r>
    </w:p>
    <w:p w14:paraId="3F34CD1C" w14:textId="77777777" w:rsidR="005E2CDD" w:rsidRDefault="005E2CDD" w:rsidP="00656FAB">
      <w:pPr>
        <w:jc w:val="both"/>
      </w:pPr>
    </w:p>
    <w:p w14:paraId="08DCDE5B" w14:textId="73E164C6" w:rsidR="005E2CDD" w:rsidRPr="00887AA4" w:rsidRDefault="005E2CDD" w:rsidP="00656FAB">
      <w:pPr>
        <w:jc w:val="both"/>
        <w:rPr>
          <w:bCs/>
        </w:rPr>
      </w:pPr>
      <w:r>
        <w:t xml:space="preserve">- den Königlichen Erlass vom 24. Januar 2025 </w:t>
      </w:r>
      <w:r w:rsidRPr="005E2CDD">
        <w:rPr>
          <w:bCs/>
        </w:rPr>
        <w:t>zur Abänderung des KE/EStGB 92 hinsichtlich der Vorteile jeglicher Art im Falle der Gewährung eines zinslosen Darlehens oder eines Darlehens zu herabgesetztem Zinssatz</w:t>
      </w:r>
      <w:r>
        <w:rPr>
          <w:bCs/>
        </w:rPr>
        <w:t xml:space="preserve"> </w:t>
      </w:r>
      <w:r w:rsidRPr="005E2CDD">
        <w:rPr>
          <w:bCs/>
        </w:rPr>
        <w:t>(</w:t>
      </w:r>
      <w:r w:rsidRPr="005E2CDD">
        <w:rPr>
          <w:bCs/>
          <w:i/>
        </w:rPr>
        <w:t xml:space="preserve">Belgisches Staatsblatt </w:t>
      </w:r>
      <w:r w:rsidRPr="005E2CDD">
        <w:rPr>
          <w:bCs/>
        </w:rPr>
        <w:t>vom 28. Mai 2026)</w:t>
      </w:r>
      <w:r>
        <w:rPr>
          <w:bCs/>
        </w:rPr>
        <w:t>.</w:t>
      </w:r>
    </w:p>
    <w:p w14:paraId="250589F2" w14:textId="532689BA" w:rsidR="00B235B0" w:rsidRPr="00E26B5F" w:rsidRDefault="00B235B0" w:rsidP="005A2D5D">
      <w:pPr>
        <w:jc w:val="both"/>
        <w:rPr>
          <w:bCs/>
        </w:rPr>
      </w:pPr>
    </w:p>
    <w:p w14:paraId="0F8EF74F" w14:textId="6CF0E7C0" w:rsidR="00227232" w:rsidRDefault="00806E25" w:rsidP="009450BB">
      <w:pPr>
        <w:jc w:val="both"/>
        <w:rPr>
          <w:b/>
          <w:bCs/>
          <w:color w:val="000000"/>
        </w:rPr>
      </w:pPr>
      <w:r w:rsidRPr="00D308A5">
        <w:t>Diese Ko</w:t>
      </w:r>
      <w:r w:rsidR="009251F9">
        <w:t>nsolid</w:t>
      </w:r>
      <w:r w:rsidRPr="00D308A5">
        <w:t>ierung ist von der Zentralen Dienststelle für Deutsche Übersetzungen in Malmedy erstellt worden.</w:t>
      </w:r>
      <w:r w:rsidR="002D7FDB">
        <w:t xml:space="preserve"> </w:t>
      </w:r>
      <w:r w:rsidR="00227232">
        <w:rPr>
          <w:b/>
          <w:bCs/>
          <w:color w:val="000000"/>
        </w:rPr>
        <w:br w:type="page"/>
      </w:r>
    </w:p>
    <w:p w14:paraId="7AB25608" w14:textId="557E599D" w:rsidR="005A5BD5" w:rsidRPr="00CF1706" w:rsidRDefault="005A5BD5" w:rsidP="004C2C7D">
      <w:pPr>
        <w:jc w:val="center"/>
        <w:rPr>
          <w:b/>
          <w:bCs/>
          <w:color w:val="000000"/>
        </w:rPr>
      </w:pPr>
      <w:r w:rsidRPr="00CF1706">
        <w:rPr>
          <w:b/>
          <w:bCs/>
          <w:color w:val="000000"/>
        </w:rPr>
        <w:lastRenderedPageBreak/>
        <w:t xml:space="preserve">FÖDERALER ÖFFENTLICHER DIENST </w:t>
      </w:r>
      <w:r>
        <w:rPr>
          <w:b/>
          <w:bCs/>
          <w:color w:val="000000"/>
        </w:rPr>
        <w:t>FINANZEN</w:t>
      </w:r>
    </w:p>
    <w:p w14:paraId="269B63EC" w14:textId="77777777" w:rsidR="005A5BD5" w:rsidRPr="00CF1706" w:rsidRDefault="005A5BD5" w:rsidP="004C2C7D">
      <w:pPr>
        <w:jc w:val="both"/>
        <w:rPr>
          <w:bCs/>
          <w:color w:val="000000"/>
        </w:rPr>
      </w:pPr>
    </w:p>
    <w:p w14:paraId="325527AE" w14:textId="77777777" w:rsidR="005A5BD5" w:rsidRDefault="005A5BD5" w:rsidP="004C2C7D">
      <w:pPr>
        <w:jc w:val="center"/>
        <w:rPr>
          <w:rFonts w:eastAsia="Calibri"/>
          <w:b/>
          <w:szCs w:val="22"/>
          <w:lang w:eastAsia="de-DE" w:bidi="de-DE"/>
        </w:rPr>
      </w:pPr>
      <w:bookmarkStart w:id="0" w:name="_Toc525436231"/>
      <w:bookmarkStart w:id="1" w:name="_Toc525436284"/>
      <w:bookmarkStart w:id="2" w:name="_Toc525436831"/>
      <w:bookmarkStart w:id="3" w:name="_Toc525457083"/>
      <w:bookmarkStart w:id="4" w:name="_Toc525523601"/>
      <w:bookmarkStart w:id="5" w:name="_Toc525530766"/>
      <w:bookmarkStart w:id="6" w:name="_Toc525613369"/>
    </w:p>
    <w:p w14:paraId="07E01AFA" w14:textId="77777777" w:rsidR="005A5BD5" w:rsidRPr="002616E4" w:rsidRDefault="005024BD" w:rsidP="004C2C7D">
      <w:pPr>
        <w:jc w:val="center"/>
        <w:rPr>
          <w:rFonts w:eastAsia="Calibri"/>
          <w:b/>
          <w:szCs w:val="22"/>
          <w:lang w:eastAsia="de-DE" w:bidi="de-DE"/>
        </w:rPr>
      </w:pPr>
      <w:r>
        <w:rPr>
          <w:rFonts w:eastAsia="Calibri"/>
          <w:b/>
          <w:szCs w:val="22"/>
          <w:lang w:eastAsia="de-DE" w:bidi="de-DE"/>
        </w:rPr>
        <w:t>27. </w:t>
      </w:r>
      <w:r w:rsidR="005A5BD5" w:rsidRPr="002616E4">
        <w:rPr>
          <w:rFonts w:eastAsia="Calibri"/>
          <w:b/>
          <w:szCs w:val="22"/>
          <w:lang w:eastAsia="de-DE" w:bidi="de-DE"/>
        </w:rPr>
        <w:t>AUGUST 1993 - KÖNIGLICHER ERLASS ZUR AUSFÜHRUNG DES EINKOMMENSTEUERGESETZBUCHES 1992</w:t>
      </w:r>
      <w:bookmarkEnd w:id="0"/>
      <w:bookmarkEnd w:id="1"/>
      <w:bookmarkEnd w:id="2"/>
      <w:bookmarkEnd w:id="3"/>
      <w:bookmarkEnd w:id="4"/>
      <w:bookmarkEnd w:id="5"/>
      <w:bookmarkEnd w:id="6"/>
    </w:p>
    <w:p w14:paraId="3B77975A" w14:textId="77777777" w:rsidR="005A5BD5" w:rsidRPr="002616E4" w:rsidRDefault="005A5BD5" w:rsidP="004C2C7D">
      <w:pPr>
        <w:jc w:val="center"/>
        <w:rPr>
          <w:rFonts w:eastAsia="Calibri"/>
          <w:szCs w:val="22"/>
          <w:lang w:eastAsia="de-DE" w:bidi="de-DE"/>
        </w:rPr>
      </w:pPr>
    </w:p>
    <w:p w14:paraId="75F629D0" w14:textId="77777777" w:rsidR="005A5BD5" w:rsidRPr="002616E4" w:rsidRDefault="005A5BD5" w:rsidP="004C2C7D">
      <w:pPr>
        <w:jc w:val="center"/>
        <w:rPr>
          <w:rFonts w:eastAsia="Calibri"/>
          <w:szCs w:val="22"/>
          <w:lang w:eastAsia="de-DE" w:bidi="de-DE"/>
        </w:rPr>
      </w:pPr>
    </w:p>
    <w:p w14:paraId="7FAF13C2"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 xml:space="preserve">KAPITEL 1 - </w:t>
      </w:r>
      <w:r w:rsidRPr="002616E4">
        <w:rPr>
          <w:rFonts w:eastAsia="Calibri"/>
          <w:i/>
          <w:szCs w:val="22"/>
          <w:lang w:eastAsia="de-DE" w:bidi="de-DE"/>
        </w:rPr>
        <w:t>Besteuerungsgrundlage und Steuerberechnung</w:t>
      </w:r>
    </w:p>
    <w:p w14:paraId="7A95FBC6" w14:textId="77777777" w:rsidR="005A5BD5" w:rsidRPr="002616E4" w:rsidRDefault="005A5BD5" w:rsidP="004C2C7D">
      <w:pPr>
        <w:jc w:val="center"/>
        <w:rPr>
          <w:rFonts w:eastAsia="Calibri"/>
          <w:szCs w:val="22"/>
          <w:lang w:eastAsia="de-DE" w:bidi="de-DE"/>
        </w:rPr>
      </w:pPr>
    </w:p>
    <w:p w14:paraId="66E8D656" w14:textId="77777777" w:rsidR="005A5BD5" w:rsidRPr="002616E4" w:rsidRDefault="005A5BD5" w:rsidP="004C2C7D">
      <w:pPr>
        <w:jc w:val="center"/>
        <w:rPr>
          <w:rFonts w:eastAsia="Calibri"/>
          <w:szCs w:val="22"/>
          <w:lang w:eastAsia="de-DE" w:bidi="de-DE"/>
        </w:rPr>
      </w:pPr>
    </w:p>
    <w:p w14:paraId="0D738161" w14:textId="77777777" w:rsidR="005A5BD5" w:rsidRPr="002616E4" w:rsidRDefault="005A5BD5" w:rsidP="004C2C7D">
      <w:pPr>
        <w:jc w:val="center"/>
        <w:rPr>
          <w:rFonts w:eastAsia="Calibri"/>
          <w:szCs w:val="22"/>
          <w:lang w:eastAsia="de-DE" w:bidi="de-DE"/>
        </w:rPr>
      </w:pPr>
      <w:r w:rsidRPr="002616E4">
        <w:rPr>
          <w:rFonts w:eastAsia="Calibri"/>
          <w:i/>
          <w:szCs w:val="22"/>
          <w:lang w:eastAsia="de-DE" w:bidi="de-DE"/>
        </w:rPr>
        <w:t>Abschnitt 1</w:t>
      </w:r>
      <w:r w:rsidRPr="002616E4">
        <w:rPr>
          <w:rFonts w:eastAsia="Calibri"/>
          <w:szCs w:val="22"/>
          <w:lang w:eastAsia="de-DE" w:bidi="de-DE"/>
        </w:rPr>
        <w:t> - Katastereinkommen - Neubewertungskoeffizient</w:t>
      </w:r>
    </w:p>
    <w:p w14:paraId="23371B71" w14:textId="77777777" w:rsidR="005A5BD5" w:rsidRPr="002616E4" w:rsidRDefault="005A5BD5" w:rsidP="004C2C7D">
      <w:pPr>
        <w:jc w:val="center"/>
        <w:rPr>
          <w:rFonts w:eastAsia="Calibri"/>
          <w:szCs w:val="22"/>
          <w:lang w:eastAsia="de-DE" w:bidi="de-DE"/>
        </w:rPr>
      </w:pPr>
    </w:p>
    <w:p w14:paraId="1424702E" w14:textId="77777777" w:rsidR="005A5BD5" w:rsidRPr="002616E4" w:rsidRDefault="005A5BD5" w:rsidP="004C2C7D">
      <w:pPr>
        <w:jc w:val="center"/>
        <w:rPr>
          <w:rFonts w:eastAsia="Calibri"/>
          <w:szCs w:val="22"/>
          <w:lang w:eastAsia="de-DE" w:bidi="de-DE"/>
        </w:rPr>
      </w:pPr>
      <w:r w:rsidRPr="002616E4">
        <w:rPr>
          <w:rFonts w:eastAsia="Calibri"/>
          <w:spacing w:val="-3"/>
          <w:szCs w:val="22"/>
          <w:lang w:eastAsia="de-DE" w:bidi="de-DE"/>
        </w:rPr>
        <w:t>(Einkommensteuergesetzbuch 1992, Artikel 13)</w:t>
      </w:r>
    </w:p>
    <w:p w14:paraId="54F05C0B" w14:textId="77777777" w:rsidR="005A5BD5" w:rsidRPr="002616E4" w:rsidRDefault="005A5BD5" w:rsidP="004C2C7D">
      <w:pPr>
        <w:rPr>
          <w:rFonts w:eastAsia="Calibri"/>
          <w:szCs w:val="22"/>
          <w:lang w:eastAsia="de-DE" w:bidi="de-DE"/>
        </w:rPr>
      </w:pPr>
    </w:p>
    <w:p w14:paraId="2407E8D7" w14:textId="77777777" w:rsidR="005A5BD5" w:rsidRPr="002616E4" w:rsidRDefault="005A5BD5" w:rsidP="004C2C7D">
      <w:pPr>
        <w:rPr>
          <w:rFonts w:eastAsia="Calibri"/>
          <w:szCs w:val="22"/>
          <w:lang w:eastAsia="de-DE" w:bidi="de-DE"/>
        </w:rPr>
      </w:pPr>
    </w:p>
    <w:p w14:paraId="5E7C4796"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 xml:space="preserve">Artikel 1 - </w:t>
      </w:r>
      <w:r w:rsidRPr="002616E4">
        <w:rPr>
          <w:rFonts w:eastAsia="Calibri"/>
          <w:szCs w:val="22"/>
          <w:lang w:eastAsia="de-DE" w:bidi="de-DE"/>
        </w:rPr>
        <w:t>Der in Artikel 13 des Einkommensteuergesetzbuches 1992 erwähnte Neubewertungskoeffizient für Katastereinkommen wird pro Steuerjahr festgelegt wie in folgender Tabelle angegeben:</w:t>
      </w:r>
    </w:p>
    <w:p w14:paraId="60D32A45" w14:textId="77777777" w:rsidR="005A5BD5" w:rsidRPr="002616E4" w:rsidRDefault="005A5BD5" w:rsidP="004C2C7D">
      <w:pPr>
        <w:jc w:val="both"/>
        <w:rPr>
          <w:rFonts w:eastAsia="Calibri"/>
          <w:i/>
          <w:szCs w:val="22"/>
          <w:lang w:eastAsia="de-DE" w:bidi="de-DE"/>
        </w:rPr>
      </w:pPr>
    </w:p>
    <w:tbl>
      <w:tblPr>
        <w:tblW w:w="9854" w:type="dxa"/>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left w:w="153" w:type="dxa"/>
          <w:right w:w="153" w:type="dxa"/>
        </w:tblCellMar>
        <w:tblLook w:val="0000" w:firstRow="0" w:lastRow="0" w:firstColumn="0" w:lastColumn="0" w:noHBand="0" w:noVBand="0"/>
      </w:tblPr>
      <w:tblGrid>
        <w:gridCol w:w="4927"/>
        <w:gridCol w:w="4927"/>
      </w:tblGrid>
      <w:tr w:rsidR="005A5BD5" w:rsidRPr="002616E4" w14:paraId="5B5BFDDD" w14:textId="77777777" w:rsidTr="007D4A9A">
        <w:trPr>
          <w:trHeight w:val="960"/>
          <w:tblHeader/>
          <w:jc w:val="center"/>
        </w:trPr>
        <w:tc>
          <w:tcPr>
            <w:tcW w:w="4927" w:type="dxa"/>
            <w:tcBorders>
              <w:bottom w:val="double" w:sz="6" w:space="0" w:color="auto"/>
            </w:tcBorders>
            <w:vAlign w:val="center"/>
          </w:tcPr>
          <w:p w14:paraId="20097EAC"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Steuerjahr</w:t>
            </w:r>
          </w:p>
        </w:tc>
        <w:tc>
          <w:tcPr>
            <w:tcW w:w="4927" w:type="dxa"/>
            <w:tcBorders>
              <w:bottom w:val="double" w:sz="6" w:space="0" w:color="auto"/>
            </w:tcBorders>
            <w:vAlign w:val="center"/>
          </w:tcPr>
          <w:p w14:paraId="274D4BA7"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Neubewertungskoeffizient</w:t>
            </w:r>
          </w:p>
        </w:tc>
      </w:tr>
      <w:tr w:rsidR="005A5BD5" w:rsidRPr="002616E4" w14:paraId="5EE4BE18" w14:textId="77777777" w:rsidTr="007D4A9A">
        <w:trPr>
          <w:trHeight w:val="360"/>
          <w:jc w:val="center"/>
        </w:trPr>
        <w:tc>
          <w:tcPr>
            <w:tcW w:w="4927" w:type="dxa"/>
            <w:tcBorders>
              <w:bottom w:val="nil"/>
            </w:tcBorders>
            <w:vAlign w:val="bottom"/>
          </w:tcPr>
          <w:p w14:paraId="7326E9F7"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1985</w:t>
            </w:r>
          </w:p>
        </w:tc>
        <w:tc>
          <w:tcPr>
            <w:tcW w:w="4927" w:type="dxa"/>
            <w:tcBorders>
              <w:bottom w:val="nil"/>
            </w:tcBorders>
            <w:vAlign w:val="bottom"/>
          </w:tcPr>
          <w:p w14:paraId="36EA8B0A"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2,25</w:t>
            </w:r>
          </w:p>
        </w:tc>
      </w:tr>
      <w:tr w:rsidR="005A5BD5" w:rsidRPr="002616E4" w14:paraId="0890B698" w14:textId="77777777" w:rsidTr="007D4A9A">
        <w:trPr>
          <w:trHeight w:val="360"/>
          <w:jc w:val="center"/>
        </w:trPr>
        <w:tc>
          <w:tcPr>
            <w:tcW w:w="4927" w:type="dxa"/>
            <w:tcBorders>
              <w:top w:val="nil"/>
              <w:bottom w:val="nil"/>
            </w:tcBorders>
            <w:vAlign w:val="bottom"/>
          </w:tcPr>
          <w:p w14:paraId="085D9928"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1986</w:t>
            </w:r>
          </w:p>
        </w:tc>
        <w:tc>
          <w:tcPr>
            <w:tcW w:w="4927" w:type="dxa"/>
            <w:tcBorders>
              <w:top w:val="nil"/>
              <w:bottom w:val="nil"/>
            </w:tcBorders>
            <w:vAlign w:val="bottom"/>
          </w:tcPr>
          <w:p w14:paraId="09C93F5E"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2,40</w:t>
            </w:r>
          </w:p>
        </w:tc>
      </w:tr>
      <w:tr w:rsidR="005A5BD5" w:rsidRPr="002616E4" w14:paraId="066345B2" w14:textId="77777777" w:rsidTr="007D4A9A">
        <w:trPr>
          <w:trHeight w:val="360"/>
          <w:jc w:val="center"/>
        </w:trPr>
        <w:tc>
          <w:tcPr>
            <w:tcW w:w="4927" w:type="dxa"/>
            <w:tcBorders>
              <w:top w:val="nil"/>
              <w:bottom w:val="nil"/>
            </w:tcBorders>
            <w:vAlign w:val="bottom"/>
          </w:tcPr>
          <w:p w14:paraId="32B99699"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1987</w:t>
            </w:r>
          </w:p>
        </w:tc>
        <w:tc>
          <w:tcPr>
            <w:tcW w:w="4927" w:type="dxa"/>
            <w:tcBorders>
              <w:top w:val="nil"/>
              <w:bottom w:val="nil"/>
            </w:tcBorders>
            <w:vAlign w:val="bottom"/>
          </w:tcPr>
          <w:p w14:paraId="14D339F6"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2,50</w:t>
            </w:r>
          </w:p>
        </w:tc>
      </w:tr>
      <w:tr w:rsidR="005A5BD5" w:rsidRPr="002616E4" w14:paraId="2F1DB86A" w14:textId="77777777" w:rsidTr="007D4A9A">
        <w:trPr>
          <w:trHeight w:val="360"/>
          <w:jc w:val="center"/>
        </w:trPr>
        <w:tc>
          <w:tcPr>
            <w:tcW w:w="4927" w:type="dxa"/>
            <w:tcBorders>
              <w:top w:val="nil"/>
              <w:bottom w:val="nil"/>
            </w:tcBorders>
            <w:vAlign w:val="bottom"/>
          </w:tcPr>
          <w:p w14:paraId="29758167"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1988</w:t>
            </w:r>
          </w:p>
        </w:tc>
        <w:tc>
          <w:tcPr>
            <w:tcW w:w="4927" w:type="dxa"/>
            <w:tcBorders>
              <w:top w:val="nil"/>
              <w:bottom w:val="nil"/>
            </w:tcBorders>
            <w:vAlign w:val="bottom"/>
          </w:tcPr>
          <w:p w14:paraId="1BF207B0"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2,50</w:t>
            </w:r>
          </w:p>
        </w:tc>
      </w:tr>
      <w:tr w:rsidR="005A5BD5" w:rsidRPr="002616E4" w14:paraId="6752DA07" w14:textId="77777777" w:rsidTr="007D4A9A">
        <w:trPr>
          <w:trHeight w:val="360"/>
          <w:jc w:val="center"/>
        </w:trPr>
        <w:tc>
          <w:tcPr>
            <w:tcW w:w="4927" w:type="dxa"/>
            <w:tcBorders>
              <w:top w:val="nil"/>
              <w:bottom w:val="nil"/>
            </w:tcBorders>
            <w:vAlign w:val="bottom"/>
          </w:tcPr>
          <w:p w14:paraId="22388D4E"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1989</w:t>
            </w:r>
          </w:p>
        </w:tc>
        <w:tc>
          <w:tcPr>
            <w:tcW w:w="4927" w:type="dxa"/>
            <w:tcBorders>
              <w:top w:val="nil"/>
              <w:bottom w:val="nil"/>
            </w:tcBorders>
            <w:vAlign w:val="bottom"/>
          </w:tcPr>
          <w:p w14:paraId="6E91B828"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2,55</w:t>
            </w:r>
          </w:p>
        </w:tc>
      </w:tr>
      <w:tr w:rsidR="005A5BD5" w:rsidRPr="002616E4" w14:paraId="5EE6803C" w14:textId="77777777" w:rsidTr="007D4A9A">
        <w:trPr>
          <w:trHeight w:val="360"/>
          <w:jc w:val="center"/>
        </w:trPr>
        <w:tc>
          <w:tcPr>
            <w:tcW w:w="4927" w:type="dxa"/>
            <w:tcBorders>
              <w:top w:val="nil"/>
              <w:bottom w:val="nil"/>
            </w:tcBorders>
            <w:vAlign w:val="bottom"/>
          </w:tcPr>
          <w:p w14:paraId="7083365A"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1990</w:t>
            </w:r>
          </w:p>
        </w:tc>
        <w:tc>
          <w:tcPr>
            <w:tcW w:w="4927" w:type="dxa"/>
            <w:tcBorders>
              <w:top w:val="nil"/>
              <w:bottom w:val="nil"/>
            </w:tcBorders>
            <w:vAlign w:val="bottom"/>
          </w:tcPr>
          <w:p w14:paraId="74C9058A"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2,60</w:t>
            </w:r>
          </w:p>
        </w:tc>
      </w:tr>
      <w:tr w:rsidR="005A5BD5" w:rsidRPr="002616E4" w14:paraId="55E5149A" w14:textId="77777777" w:rsidTr="007D4A9A">
        <w:trPr>
          <w:trHeight w:val="360"/>
          <w:jc w:val="center"/>
        </w:trPr>
        <w:tc>
          <w:tcPr>
            <w:tcW w:w="4927" w:type="dxa"/>
            <w:tcBorders>
              <w:top w:val="nil"/>
              <w:bottom w:val="nil"/>
            </w:tcBorders>
            <w:vAlign w:val="bottom"/>
          </w:tcPr>
          <w:p w14:paraId="4BD25670"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1991</w:t>
            </w:r>
          </w:p>
        </w:tc>
        <w:tc>
          <w:tcPr>
            <w:tcW w:w="4927" w:type="dxa"/>
            <w:tcBorders>
              <w:top w:val="nil"/>
              <w:bottom w:val="nil"/>
            </w:tcBorders>
            <w:vAlign w:val="bottom"/>
          </w:tcPr>
          <w:p w14:paraId="5F4ADBF4"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2,70</w:t>
            </w:r>
          </w:p>
        </w:tc>
      </w:tr>
      <w:tr w:rsidR="005A5BD5" w:rsidRPr="002616E4" w14:paraId="74D89C67" w14:textId="77777777" w:rsidTr="007D4A9A">
        <w:trPr>
          <w:trHeight w:val="360"/>
          <w:jc w:val="center"/>
        </w:trPr>
        <w:tc>
          <w:tcPr>
            <w:tcW w:w="4927" w:type="dxa"/>
            <w:tcBorders>
              <w:top w:val="nil"/>
              <w:bottom w:val="nil"/>
            </w:tcBorders>
            <w:vAlign w:val="bottom"/>
          </w:tcPr>
          <w:p w14:paraId="5054468A"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1992</w:t>
            </w:r>
          </w:p>
        </w:tc>
        <w:tc>
          <w:tcPr>
            <w:tcW w:w="4927" w:type="dxa"/>
            <w:tcBorders>
              <w:top w:val="nil"/>
              <w:bottom w:val="nil"/>
            </w:tcBorders>
            <w:vAlign w:val="bottom"/>
          </w:tcPr>
          <w:p w14:paraId="4C22F9DE"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2,80</w:t>
            </w:r>
          </w:p>
        </w:tc>
      </w:tr>
      <w:tr w:rsidR="005A5BD5" w:rsidRPr="002616E4" w14:paraId="4624ED0B" w14:textId="77777777" w:rsidTr="007D4A9A">
        <w:trPr>
          <w:trHeight w:val="360"/>
          <w:jc w:val="center"/>
        </w:trPr>
        <w:tc>
          <w:tcPr>
            <w:tcW w:w="4927" w:type="dxa"/>
            <w:tcBorders>
              <w:top w:val="nil"/>
              <w:bottom w:val="nil"/>
            </w:tcBorders>
            <w:vAlign w:val="bottom"/>
          </w:tcPr>
          <w:p w14:paraId="34F504B1"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1993</w:t>
            </w:r>
          </w:p>
        </w:tc>
        <w:tc>
          <w:tcPr>
            <w:tcW w:w="4927" w:type="dxa"/>
            <w:tcBorders>
              <w:top w:val="nil"/>
              <w:bottom w:val="nil"/>
            </w:tcBorders>
            <w:vAlign w:val="bottom"/>
          </w:tcPr>
          <w:p w14:paraId="36C1DC15"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2,88</w:t>
            </w:r>
          </w:p>
        </w:tc>
      </w:tr>
      <w:tr w:rsidR="005A5BD5" w:rsidRPr="002616E4" w14:paraId="06062935" w14:textId="77777777" w:rsidTr="007D4A9A">
        <w:trPr>
          <w:trHeight w:val="360"/>
          <w:jc w:val="center"/>
        </w:trPr>
        <w:tc>
          <w:tcPr>
            <w:tcW w:w="4927" w:type="dxa"/>
            <w:tcBorders>
              <w:top w:val="nil"/>
              <w:bottom w:val="nil"/>
            </w:tcBorders>
            <w:vAlign w:val="bottom"/>
          </w:tcPr>
          <w:p w14:paraId="11A6898E"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[1994]</w:t>
            </w:r>
          </w:p>
        </w:tc>
        <w:tc>
          <w:tcPr>
            <w:tcW w:w="4927" w:type="dxa"/>
            <w:tcBorders>
              <w:top w:val="nil"/>
              <w:bottom w:val="nil"/>
            </w:tcBorders>
            <w:vAlign w:val="bottom"/>
          </w:tcPr>
          <w:p w14:paraId="3CF7B5CC"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[2,95]</w:t>
            </w:r>
          </w:p>
        </w:tc>
      </w:tr>
      <w:tr w:rsidR="005A5BD5" w:rsidRPr="002616E4" w14:paraId="12CB4A36" w14:textId="77777777" w:rsidTr="007D4A9A">
        <w:trPr>
          <w:trHeight w:val="360"/>
          <w:jc w:val="center"/>
        </w:trPr>
        <w:tc>
          <w:tcPr>
            <w:tcW w:w="4927" w:type="dxa"/>
            <w:tcBorders>
              <w:top w:val="nil"/>
              <w:bottom w:val="nil"/>
            </w:tcBorders>
            <w:vAlign w:val="bottom"/>
          </w:tcPr>
          <w:p w14:paraId="35677E6B"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[1995]</w:t>
            </w:r>
          </w:p>
        </w:tc>
        <w:tc>
          <w:tcPr>
            <w:tcW w:w="4927" w:type="dxa"/>
            <w:tcBorders>
              <w:top w:val="nil"/>
              <w:bottom w:val="nil"/>
            </w:tcBorders>
            <w:vAlign w:val="bottom"/>
          </w:tcPr>
          <w:p w14:paraId="5E699022"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w:t>
            </w:r>
          </w:p>
        </w:tc>
      </w:tr>
      <w:tr w:rsidR="005A5BD5" w:rsidRPr="002616E4" w14:paraId="3B245441" w14:textId="77777777" w:rsidTr="007D4A9A">
        <w:trPr>
          <w:trHeight w:val="360"/>
          <w:jc w:val="center"/>
        </w:trPr>
        <w:tc>
          <w:tcPr>
            <w:tcW w:w="4927" w:type="dxa"/>
            <w:tcBorders>
              <w:top w:val="nil"/>
              <w:bottom w:val="nil"/>
            </w:tcBorders>
            <w:vAlign w:val="bottom"/>
          </w:tcPr>
          <w:p w14:paraId="1BEAB5A3"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[1996]</w:t>
            </w:r>
          </w:p>
        </w:tc>
        <w:tc>
          <w:tcPr>
            <w:tcW w:w="4927" w:type="dxa"/>
            <w:tcBorders>
              <w:top w:val="nil"/>
              <w:bottom w:val="nil"/>
            </w:tcBorders>
            <w:vAlign w:val="bottom"/>
          </w:tcPr>
          <w:p w14:paraId="1646F4A6"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w:t>
            </w:r>
          </w:p>
        </w:tc>
      </w:tr>
      <w:tr w:rsidR="005A5BD5" w:rsidRPr="002616E4" w14:paraId="08959FA3" w14:textId="77777777" w:rsidTr="007D4A9A">
        <w:trPr>
          <w:trHeight w:val="360"/>
          <w:jc w:val="center"/>
        </w:trPr>
        <w:tc>
          <w:tcPr>
            <w:tcW w:w="4927" w:type="dxa"/>
            <w:tcBorders>
              <w:top w:val="nil"/>
              <w:bottom w:val="nil"/>
            </w:tcBorders>
            <w:vAlign w:val="bottom"/>
          </w:tcPr>
          <w:p w14:paraId="7BC1142E"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[1997]</w:t>
            </w:r>
          </w:p>
        </w:tc>
        <w:tc>
          <w:tcPr>
            <w:tcW w:w="4927" w:type="dxa"/>
            <w:tcBorders>
              <w:top w:val="nil"/>
              <w:bottom w:val="nil"/>
            </w:tcBorders>
            <w:vAlign w:val="bottom"/>
          </w:tcPr>
          <w:p w14:paraId="39302F5C"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[3,05]</w:t>
            </w:r>
          </w:p>
        </w:tc>
      </w:tr>
      <w:tr w:rsidR="005A5BD5" w:rsidRPr="002616E4" w14:paraId="70B085BF" w14:textId="77777777" w:rsidTr="007D4A9A">
        <w:trPr>
          <w:trHeight w:val="360"/>
          <w:jc w:val="center"/>
        </w:trPr>
        <w:tc>
          <w:tcPr>
            <w:tcW w:w="4927" w:type="dxa"/>
            <w:tcBorders>
              <w:top w:val="nil"/>
              <w:bottom w:val="nil"/>
            </w:tcBorders>
            <w:vAlign w:val="bottom"/>
          </w:tcPr>
          <w:p w14:paraId="6F19E111"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[1998]</w:t>
            </w:r>
          </w:p>
        </w:tc>
        <w:tc>
          <w:tcPr>
            <w:tcW w:w="4927" w:type="dxa"/>
            <w:tcBorders>
              <w:top w:val="nil"/>
              <w:bottom w:val="nil"/>
            </w:tcBorders>
            <w:vAlign w:val="bottom"/>
          </w:tcPr>
          <w:p w14:paraId="4EDC3380"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[3,10]</w:t>
            </w:r>
          </w:p>
        </w:tc>
      </w:tr>
      <w:tr w:rsidR="005A5BD5" w:rsidRPr="002616E4" w14:paraId="0C2EA617" w14:textId="77777777" w:rsidTr="007D4A9A">
        <w:trPr>
          <w:trHeight w:val="360"/>
          <w:jc w:val="center"/>
        </w:trPr>
        <w:tc>
          <w:tcPr>
            <w:tcW w:w="4927" w:type="dxa"/>
            <w:tcBorders>
              <w:top w:val="nil"/>
              <w:bottom w:val="nil"/>
            </w:tcBorders>
            <w:vAlign w:val="bottom"/>
          </w:tcPr>
          <w:p w14:paraId="3F07DED5"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[1999]</w:t>
            </w:r>
          </w:p>
        </w:tc>
        <w:tc>
          <w:tcPr>
            <w:tcW w:w="4927" w:type="dxa"/>
            <w:tcBorders>
              <w:top w:val="nil"/>
              <w:bottom w:val="nil"/>
            </w:tcBorders>
            <w:vAlign w:val="bottom"/>
          </w:tcPr>
          <w:p w14:paraId="2BFC6154"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[3,12]</w:t>
            </w:r>
          </w:p>
        </w:tc>
      </w:tr>
      <w:tr w:rsidR="005A5BD5" w:rsidRPr="002616E4" w14:paraId="709C52B5" w14:textId="77777777" w:rsidTr="007D4A9A">
        <w:trPr>
          <w:trHeight w:val="360"/>
          <w:jc w:val="center"/>
        </w:trPr>
        <w:tc>
          <w:tcPr>
            <w:tcW w:w="4927" w:type="dxa"/>
            <w:tcBorders>
              <w:top w:val="nil"/>
              <w:bottom w:val="nil"/>
            </w:tcBorders>
            <w:vAlign w:val="bottom"/>
          </w:tcPr>
          <w:p w14:paraId="74A67A46"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[2000]</w:t>
            </w:r>
          </w:p>
        </w:tc>
        <w:tc>
          <w:tcPr>
            <w:tcW w:w="4927" w:type="dxa"/>
            <w:tcBorders>
              <w:top w:val="nil"/>
              <w:bottom w:val="nil"/>
            </w:tcBorders>
            <w:vAlign w:val="bottom"/>
          </w:tcPr>
          <w:p w14:paraId="31ADB8EE"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[3,15]</w:t>
            </w:r>
          </w:p>
        </w:tc>
      </w:tr>
      <w:tr w:rsidR="005A5BD5" w:rsidRPr="002616E4" w14:paraId="3AABD6E4" w14:textId="77777777" w:rsidTr="007D4A9A">
        <w:trPr>
          <w:trHeight w:val="360"/>
          <w:jc w:val="center"/>
        </w:trPr>
        <w:tc>
          <w:tcPr>
            <w:tcW w:w="4927" w:type="dxa"/>
            <w:tcBorders>
              <w:top w:val="nil"/>
              <w:bottom w:val="nil"/>
            </w:tcBorders>
            <w:vAlign w:val="bottom"/>
          </w:tcPr>
          <w:p w14:paraId="381DD833"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[2001]</w:t>
            </w:r>
          </w:p>
        </w:tc>
        <w:tc>
          <w:tcPr>
            <w:tcW w:w="4927" w:type="dxa"/>
            <w:tcBorders>
              <w:top w:val="nil"/>
              <w:bottom w:val="nil"/>
            </w:tcBorders>
            <w:vAlign w:val="bottom"/>
          </w:tcPr>
          <w:p w14:paraId="6BFBEC79"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[3,19]</w:t>
            </w:r>
          </w:p>
        </w:tc>
      </w:tr>
      <w:tr w:rsidR="005A5BD5" w:rsidRPr="002616E4" w14:paraId="65860AA9" w14:textId="77777777" w:rsidTr="007D4A9A">
        <w:trPr>
          <w:trHeight w:val="360"/>
          <w:jc w:val="center"/>
        </w:trPr>
        <w:tc>
          <w:tcPr>
            <w:tcW w:w="4927" w:type="dxa"/>
            <w:tcBorders>
              <w:top w:val="nil"/>
              <w:bottom w:val="nil"/>
            </w:tcBorders>
            <w:vAlign w:val="bottom"/>
          </w:tcPr>
          <w:p w14:paraId="6D5FC942"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[2002]</w:t>
            </w:r>
          </w:p>
        </w:tc>
        <w:tc>
          <w:tcPr>
            <w:tcW w:w="4927" w:type="dxa"/>
            <w:tcBorders>
              <w:top w:val="nil"/>
              <w:bottom w:val="nil"/>
            </w:tcBorders>
            <w:vAlign w:val="bottom"/>
          </w:tcPr>
          <w:p w14:paraId="0EB8E06A"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[3,26]</w:t>
            </w:r>
          </w:p>
        </w:tc>
      </w:tr>
      <w:tr w:rsidR="005A5BD5" w:rsidRPr="002616E4" w14:paraId="16F2617D" w14:textId="77777777" w:rsidTr="007D4A9A">
        <w:trPr>
          <w:trHeight w:val="360"/>
          <w:jc w:val="center"/>
        </w:trPr>
        <w:tc>
          <w:tcPr>
            <w:tcW w:w="4927" w:type="dxa"/>
            <w:tcBorders>
              <w:top w:val="nil"/>
              <w:bottom w:val="nil"/>
            </w:tcBorders>
            <w:vAlign w:val="bottom"/>
          </w:tcPr>
          <w:p w14:paraId="6253F286"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[2003]</w:t>
            </w:r>
          </w:p>
        </w:tc>
        <w:tc>
          <w:tcPr>
            <w:tcW w:w="4927" w:type="dxa"/>
            <w:tcBorders>
              <w:top w:val="nil"/>
              <w:bottom w:val="nil"/>
            </w:tcBorders>
            <w:vAlign w:val="bottom"/>
          </w:tcPr>
          <w:p w14:paraId="498BE58E"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[3,35]</w:t>
            </w:r>
          </w:p>
        </w:tc>
      </w:tr>
      <w:tr w:rsidR="005A5BD5" w:rsidRPr="002616E4" w14:paraId="3C0FF8A3" w14:textId="77777777" w:rsidTr="007D4A9A">
        <w:trPr>
          <w:trHeight w:val="360"/>
          <w:jc w:val="center"/>
        </w:trPr>
        <w:tc>
          <w:tcPr>
            <w:tcW w:w="4927" w:type="dxa"/>
            <w:tcBorders>
              <w:top w:val="nil"/>
              <w:bottom w:val="nil"/>
            </w:tcBorders>
            <w:vAlign w:val="bottom"/>
          </w:tcPr>
          <w:p w14:paraId="6B92B746"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[2004]</w:t>
            </w:r>
          </w:p>
        </w:tc>
        <w:tc>
          <w:tcPr>
            <w:tcW w:w="4927" w:type="dxa"/>
            <w:tcBorders>
              <w:top w:val="nil"/>
              <w:bottom w:val="nil"/>
            </w:tcBorders>
            <w:vAlign w:val="bottom"/>
          </w:tcPr>
          <w:p w14:paraId="768DE17A"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[3,39]</w:t>
            </w:r>
          </w:p>
        </w:tc>
      </w:tr>
      <w:tr w:rsidR="005A5BD5" w:rsidRPr="002616E4" w14:paraId="13408E3C" w14:textId="77777777" w:rsidTr="007D4A9A">
        <w:trPr>
          <w:trHeight w:val="360"/>
          <w:jc w:val="center"/>
        </w:trPr>
        <w:tc>
          <w:tcPr>
            <w:tcW w:w="4927" w:type="dxa"/>
            <w:tcBorders>
              <w:top w:val="nil"/>
              <w:bottom w:val="nil"/>
            </w:tcBorders>
            <w:vAlign w:val="bottom"/>
          </w:tcPr>
          <w:p w14:paraId="4BC24DAC"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[2005]</w:t>
            </w:r>
          </w:p>
        </w:tc>
        <w:tc>
          <w:tcPr>
            <w:tcW w:w="4927" w:type="dxa"/>
            <w:tcBorders>
              <w:top w:val="nil"/>
              <w:bottom w:val="nil"/>
            </w:tcBorders>
            <w:vAlign w:val="bottom"/>
          </w:tcPr>
          <w:p w14:paraId="782A8BC2"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[3,45]</w:t>
            </w:r>
          </w:p>
        </w:tc>
      </w:tr>
      <w:tr w:rsidR="005A5BD5" w:rsidRPr="002616E4" w14:paraId="393A0490" w14:textId="77777777" w:rsidTr="007D4A9A">
        <w:trPr>
          <w:trHeight w:val="360"/>
          <w:jc w:val="center"/>
        </w:trPr>
        <w:tc>
          <w:tcPr>
            <w:tcW w:w="4927" w:type="dxa"/>
            <w:tcBorders>
              <w:top w:val="nil"/>
              <w:bottom w:val="nil"/>
            </w:tcBorders>
            <w:vAlign w:val="bottom"/>
          </w:tcPr>
          <w:p w14:paraId="2E9D57E8"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lastRenderedPageBreak/>
              <w:t>[2006]</w:t>
            </w:r>
          </w:p>
        </w:tc>
        <w:tc>
          <w:tcPr>
            <w:tcW w:w="4927" w:type="dxa"/>
            <w:tcBorders>
              <w:top w:val="nil"/>
              <w:bottom w:val="nil"/>
            </w:tcBorders>
            <w:vAlign w:val="bottom"/>
          </w:tcPr>
          <w:p w14:paraId="65423D64"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[3,50]</w:t>
            </w:r>
          </w:p>
        </w:tc>
      </w:tr>
      <w:tr w:rsidR="005A5BD5" w:rsidRPr="002616E4" w14:paraId="05905E0C" w14:textId="77777777" w:rsidTr="007D4A9A">
        <w:trPr>
          <w:trHeight w:val="360"/>
          <w:jc w:val="center"/>
        </w:trPr>
        <w:tc>
          <w:tcPr>
            <w:tcW w:w="4927" w:type="dxa"/>
            <w:tcBorders>
              <w:top w:val="nil"/>
              <w:bottom w:val="nil"/>
            </w:tcBorders>
            <w:vAlign w:val="bottom"/>
          </w:tcPr>
          <w:p w14:paraId="01CDDCFC"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[2007]</w:t>
            </w:r>
          </w:p>
        </w:tc>
        <w:tc>
          <w:tcPr>
            <w:tcW w:w="4927" w:type="dxa"/>
            <w:tcBorders>
              <w:top w:val="nil"/>
              <w:bottom w:val="nil"/>
            </w:tcBorders>
            <w:vAlign w:val="bottom"/>
          </w:tcPr>
          <w:p w14:paraId="51A36CC3"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[3,59]</w:t>
            </w:r>
          </w:p>
        </w:tc>
      </w:tr>
      <w:tr w:rsidR="005A5BD5" w:rsidRPr="002616E4" w14:paraId="136DEB01" w14:textId="77777777" w:rsidTr="007D4A9A">
        <w:trPr>
          <w:trHeight w:val="360"/>
          <w:jc w:val="center"/>
        </w:trPr>
        <w:tc>
          <w:tcPr>
            <w:tcW w:w="4927" w:type="dxa"/>
            <w:tcBorders>
              <w:top w:val="nil"/>
              <w:bottom w:val="nil"/>
            </w:tcBorders>
            <w:vAlign w:val="bottom"/>
          </w:tcPr>
          <w:p w14:paraId="0E749761"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[2008]</w:t>
            </w:r>
          </w:p>
        </w:tc>
        <w:tc>
          <w:tcPr>
            <w:tcW w:w="4927" w:type="dxa"/>
            <w:tcBorders>
              <w:top w:val="nil"/>
              <w:bottom w:val="nil"/>
            </w:tcBorders>
            <w:vAlign w:val="bottom"/>
          </w:tcPr>
          <w:p w14:paraId="29E00D60"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[3,65]</w:t>
            </w:r>
          </w:p>
        </w:tc>
      </w:tr>
      <w:tr w:rsidR="005A5BD5" w:rsidRPr="002616E4" w14:paraId="617E3354" w14:textId="77777777" w:rsidTr="007D4A9A">
        <w:trPr>
          <w:trHeight w:val="360"/>
          <w:jc w:val="center"/>
        </w:trPr>
        <w:tc>
          <w:tcPr>
            <w:tcW w:w="4927" w:type="dxa"/>
            <w:tcBorders>
              <w:top w:val="nil"/>
              <w:bottom w:val="nil"/>
            </w:tcBorders>
            <w:vAlign w:val="bottom"/>
          </w:tcPr>
          <w:p w14:paraId="7ADD31A5"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[2009]</w:t>
            </w:r>
          </w:p>
        </w:tc>
        <w:tc>
          <w:tcPr>
            <w:tcW w:w="4927" w:type="dxa"/>
            <w:tcBorders>
              <w:top w:val="nil"/>
              <w:bottom w:val="nil"/>
            </w:tcBorders>
            <w:vAlign w:val="bottom"/>
          </w:tcPr>
          <w:p w14:paraId="12C66E32"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[3,75]</w:t>
            </w:r>
          </w:p>
        </w:tc>
      </w:tr>
      <w:tr w:rsidR="005A5BD5" w:rsidRPr="002616E4" w14:paraId="2B490170" w14:textId="77777777" w:rsidTr="007D4A9A">
        <w:trPr>
          <w:trHeight w:val="360"/>
          <w:jc w:val="center"/>
        </w:trPr>
        <w:tc>
          <w:tcPr>
            <w:tcW w:w="4927" w:type="dxa"/>
            <w:tcBorders>
              <w:top w:val="nil"/>
              <w:bottom w:val="nil"/>
            </w:tcBorders>
            <w:vAlign w:val="bottom"/>
          </w:tcPr>
          <w:p w14:paraId="4183FC13"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[2010]</w:t>
            </w:r>
          </w:p>
        </w:tc>
        <w:tc>
          <w:tcPr>
            <w:tcW w:w="4927" w:type="dxa"/>
            <w:tcBorders>
              <w:top w:val="nil"/>
              <w:bottom w:val="nil"/>
            </w:tcBorders>
            <w:vAlign w:val="bottom"/>
          </w:tcPr>
          <w:p w14:paraId="7F6A4794"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[3,88]</w:t>
            </w:r>
          </w:p>
        </w:tc>
      </w:tr>
      <w:tr w:rsidR="005A5BD5" w:rsidRPr="002616E4" w14:paraId="7A333F5A" w14:textId="77777777" w:rsidTr="007D4A9A">
        <w:trPr>
          <w:trHeight w:val="360"/>
          <w:jc w:val="center"/>
        </w:trPr>
        <w:tc>
          <w:tcPr>
            <w:tcW w:w="4927" w:type="dxa"/>
            <w:tcBorders>
              <w:top w:val="nil"/>
              <w:bottom w:val="nil"/>
            </w:tcBorders>
            <w:vAlign w:val="bottom"/>
          </w:tcPr>
          <w:p w14:paraId="2AC8E527"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[2011]</w:t>
            </w:r>
          </w:p>
        </w:tc>
        <w:tc>
          <w:tcPr>
            <w:tcW w:w="4927" w:type="dxa"/>
            <w:tcBorders>
              <w:top w:val="nil"/>
              <w:bottom w:val="nil"/>
            </w:tcBorders>
            <w:vAlign w:val="bottom"/>
          </w:tcPr>
          <w:p w14:paraId="780BDD3C"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[3,87]</w:t>
            </w:r>
          </w:p>
        </w:tc>
      </w:tr>
      <w:tr w:rsidR="005A5BD5" w:rsidRPr="002616E4" w14:paraId="6B86F3AD" w14:textId="77777777" w:rsidTr="007D4A9A">
        <w:trPr>
          <w:trHeight w:val="360"/>
          <w:jc w:val="center"/>
        </w:trPr>
        <w:tc>
          <w:tcPr>
            <w:tcW w:w="4927" w:type="dxa"/>
            <w:tcBorders>
              <w:top w:val="nil"/>
              <w:bottom w:val="nil"/>
            </w:tcBorders>
            <w:vAlign w:val="bottom"/>
          </w:tcPr>
          <w:p w14:paraId="1B1269F1"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[2012]</w:t>
            </w:r>
          </w:p>
        </w:tc>
        <w:tc>
          <w:tcPr>
            <w:tcW w:w="4927" w:type="dxa"/>
            <w:tcBorders>
              <w:top w:val="nil"/>
              <w:bottom w:val="nil"/>
            </w:tcBorders>
            <w:vAlign w:val="bottom"/>
          </w:tcPr>
          <w:p w14:paraId="2C76FAF9"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[3,97]</w:t>
            </w:r>
          </w:p>
        </w:tc>
      </w:tr>
      <w:tr w:rsidR="005A5BD5" w:rsidRPr="002616E4" w14:paraId="6C4A61A2" w14:textId="77777777" w:rsidTr="007D4A9A">
        <w:trPr>
          <w:trHeight w:val="360"/>
          <w:jc w:val="center"/>
        </w:trPr>
        <w:tc>
          <w:tcPr>
            <w:tcW w:w="4927" w:type="dxa"/>
            <w:tcBorders>
              <w:top w:val="nil"/>
              <w:bottom w:val="nil"/>
            </w:tcBorders>
            <w:vAlign w:val="bottom"/>
          </w:tcPr>
          <w:p w14:paraId="333F3028"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[2013]</w:t>
            </w:r>
          </w:p>
        </w:tc>
        <w:tc>
          <w:tcPr>
            <w:tcW w:w="4927" w:type="dxa"/>
            <w:tcBorders>
              <w:top w:val="nil"/>
              <w:bottom w:val="nil"/>
            </w:tcBorders>
            <w:vAlign w:val="bottom"/>
          </w:tcPr>
          <w:p w14:paraId="1A272F32"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[4,10]</w:t>
            </w:r>
          </w:p>
        </w:tc>
      </w:tr>
      <w:tr w:rsidR="005A5BD5" w:rsidRPr="002616E4" w14:paraId="38CCD138" w14:textId="77777777" w:rsidTr="007D4A9A">
        <w:trPr>
          <w:trHeight w:val="357"/>
          <w:jc w:val="center"/>
        </w:trPr>
        <w:tc>
          <w:tcPr>
            <w:tcW w:w="4927" w:type="dxa"/>
            <w:tcBorders>
              <w:top w:val="nil"/>
              <w:bottom w:val="nil"/>
            </w:tcBorders>
            <w:vAlign w:val="bottom"/>
          </w:tcPr>
          <w:p w14:paraId="7C908733"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[2014]</w:t>
            </w:r>
          </w:p>
        </w:tc>
        <w:tc>
          <w:tcPr>
            <w:tcW w:w="4927" w:type="dxa"/>
            <w:tcBorders>
              <w:top w:val="nil"/>
              <w:bottom w:val="nil"/>
            </w:tcBorders>
            <w:vAlign w:val="bottom"/>
          </w:tcPr>
          <w:p w14:paraId="4F9F9967"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[4,19]</w:t>
            </w:r>
          </w:p>
        </w:tc>
      </w:tr>
      <w:tr w:rsidR="007D4A9A" w:rsidRPr="002616E4" w14:paraId="0A589F9D" w14:textId="77777777" w:rsidTr="007D4A9A">
        <w:trPr>
          <w:trHeight w:val="357"/>
          <w:jc w:val="center"/>
        </w:trPr>
        <w:tc>
          <w:tcPr>
            <w:tcW w:w="4927" w:type="dxa"/>
            <w:tcBorders>
              <w:top w:val="nil"/>
              <w:bottom w:val="nil"/>
            </w:tcBorders>
            <w:vAlign w:val="bottom"/>
          </w:tcPr>
          <w:p w14:paraId="24833227" w14:textId="77777777" w:rsidR="007D4A9A" w:rsidRPr="002616E4" w:rsidRDefault="007D4A9A" w:rsidP="004C2C7D">
            <w:pPr>
              <w:jc w:val="center"/>
              <w:rPr>
                <w:rFonts w:eastAsia="Calibri"/>
                <w:szCs w:val="22"/>
                <w:lang w:eastAsia="de-DE" w:bidi="de-DE"/>
              </w:rPr>
            </w:pPr>
            <w:r w:rsidRPr="002616E4">
              <w:rPr>
                <w:rFonts w:eastAsia="Calibri"/>
                <w:szCs w:val="22"/>
                <w:lang w:eastAsia="de-DE" w:bidi="de-DE"/>
              </w:rPr>
              <w:t>[2015]</w:t>
            </w:r>
          </w:p>
        </w:tc>
        <w:tc>
          <w:tcPr>
            <w:tcW w:w="4927" w:type="dxa"/>
            <w:tcBorders>
              <w:top w:val="nil"/>
              <w:bottom w:val="nil"/>
            </w:tcBorders>
            <w:vAlign w:val="bottom"/>
          </w:tcPr>
          <w:p w14:paraId="5827CFB8" w14:textId="77777777" w:rsidR="007D4A9A" w:rsidRPr="002616E4" w:rsidRDefault="007D4A9A" w:rsidP="004C2C7D">
            <w:pPr>
              <w:jc w:val="center"/>
              <w:rPr>
                <w:rFonts w:eastAsia="Calibri"/>
                <w:szCs w:val="22"/>
                <w:lang w:eastAsia="de-DE" w:bidi="de-DE"/>
              </w:rPr>
            </w:pPr>
            <w:r w:rsidRPr="002616E4">
              <w:rPr>
                <w:rFonts w:eastAsia="Calibri"/>
                <w:szCs w:val="22"/>
                <w:lang w:eastAsia="de-DE" w:bidi="de-DE"/>
              </w:rPr>
              <w:t>[4,23]</w:t>
            </w:r>
          </w:p>
        </w:tc>
      </w:tr>
      <w:tr w:rsidR="007D4A9A" w:rsidRPr="002616E4" w14:paraId="1499C1D1" w14:textId="77777777" w:rsidTr="007D4A9A">
        <w:trPr>
          <w:trHeight w:val="357"/>
          <w:jc w:val="center"/>
        </w:trPr>
        <w:tc>
          <w:tcPr>
            <w:tcW w:w="4927" w:type="dxa"/>
            <w:tcBorders>
              <w:top w:val="nil"/>
              <w:bottom w:val="nil"/>
            </w:tcBorders>
            <w:vAlign w:val="bottom"/>
          </w:tcPr>
          <w:p w14:paraId="04EFEE61" w14:textId="77777777" w:rsidR="007D4A9A" w:rsidRPr="002616E4" w:rsidRDefault="007D4A9A" w:rsidP="004C2C7D">
            <w:pPr>
              <w:jc w:val="center"/>
              <w:rPr>
                <w:rFonts w:eastAsia="Calibri"/>
                <w:szCs w:val="22"/>
                <w:lang w:eastAsia="de-DE" w:bidi="de-DE"/>
              </w:rPr>
            </w:pPr>
            <w:r>
              <w:rPr>
                <w:rFonts w:eastAsia="Calibri"/>
                <w:szCs w:val="22"/>
                <w:lang w:eastAsia="de-DE" w:bidi="de-DE"/>
              </w:rPr>
              <w:t>[2016]</w:t>
            </w:r>
          </w:p>
        </w:tc>
        <w:tc>
          <w:tcPr>
            <w:tcW w:w="4927" w:type="dxa"/>
            <w:tcBorders>
              <w:top w:val="nil"/>
              <w:bottom w:val="nil"/>
            </w:tcBorders>
            <w:vAlign w:val="bottom"/>
          </w:tcPr>
          <w:p w14:paraId="0398B664" w14:textId="77777777" w:rsidR="007D4A9A" w:rsidRPr="002616E4" w:rsidRDefault="007D4A9A" w:rsidP="004C2C7D">
            <w:pPr>
              <w:jc w:val="center"/>
              <w:rPr>
                <w:rFonts w:eastAsia="Calibri"/>
                <w:szCs w:val="22"/>
                <w:lang w:eastAsia="de-DE" w:bidi="de-DE"/>
              </w:rPr>
            </w:pPr>
            <w:r>
              <w:rPr>
                <w:rFonts w:eastAsia="Calibri"/>
                <w:szCs w:val="22"/>
                <w:lang w:eastAsia="de-DE" w:bidi="de-DE"/>
              </w:rPr>
              <w:t>[4,23]</w:t>
            </w:r>
          </w:p>
        </w:tc>
      </w:tr>
      <w:tr w:rsidR="00FF0502" w:rsidRPr="002616E4" w14:paraId="1F0F102F" w14:textId="77777777" w:rsidTr="007D4A9A">
        <w:trPr>
          <w:trHeight w:val="357"/>
          <w:jc w:val="center"/>
        </w:trPr>
        <w:tc>
          <w:tcPr>
            <w:tcW w:w="4927" w:type="dxa"/>
            <w:tcBorders>
              <w:top w:val="nil"/>
              <w:bottom w:val="nil"/>
            </w:tcBorders>
            <w:vAlign w:val="bottom"/>
          </w:tcPr>
          <w:p w14:paraId="69AD3E33" w14:textId="77777777" w:rsidR="00FF0502" w:rsidRDefault="00FF0502" w:rsidP="00FF0502">
            <w:pPr>
              <w:jc w:val="center"/>
              <w:rPr>
                <w:rFonts w:eastAsia="Calibri"/>
                <w:szCs w:val="22"/>
                <w:lang w:eastAsia="de-DE" w:bidi="de-DE"/>
              </w:rPr>
            </w:pPr>
            <w:r>
              <w:rPr>
                <w:rFonts w:eastAsia="Calibri"/>
                <w:szCs w:val="22"/>
                <w:lang w:eastAsia="de-DE" w:bidi="de-DE"/>
              </w:rPr>
              <w:t>[2017]</w:t>
            </w:r>
          </w:p>
        </w:tc>
        <w:tc>
          <w:tcPr>
            <w:tcW w:w="4927" w:type="dxa"/>
            <w:tcBorders>
              <w:top w:val="nil"/>
              <w:bottom w:val="nil"/>
            </w:tcBorders>
            <w:vAlign w:val="bottom"/>
          </w:tcPr>
          <w:p w14:paraId="36380B1C" w14:textId="77777777" w:rsidR="00FF0502" w:rsidRDefault="00FF0502" w:rsidP="004C2C7D">
            <w:pPr>
              <w:jc w:val="center"/>
              <w:rPr>
                <w:rFonts w:eastAsia="Calibri"/>
                <w:szCs w:val="22"/>
                <w:lang w:eastAsia="de-DE" w:bidi="de-DE"/>
              </w:rPr>
            </w:pPr>
            <w:r>
              <w:rPr>
                <w:rFonts w:eastAsia="Calibri"/>
                <w:szCs w:val="22"/>
                <w:lang w:eastAsia="de-DE" w:bidi="de-DE"/>
              </w:rPr>
              <w:t>[4,31]</w:t>
            </w:r>
          </w:p>
        </w:tc>
      </w:tr>
      <w:tr w:rsidR="00FF0502" w:rsidRPr="002616E4" w14:paraId="4D1D68A6" w14:textId="77777777" w:rsidTr="007D4A9A">
        <w:trPr>
          <w:trHeight w:val="357"/>
          <w:jc w:val="center"/>
        </w:trPr>
        <w:tc>
          <w:tcPr>
            <w:tcW w:w="4927" w:type="dxa"/>
            <w:tcBorders>
              <w:top w:val="nil"/>
              <w:bottom w:val="nil"/>
            </w:tcBorders>
            <w:vAlign w:val="bottom"/>
          </w:tcPr>
          <w:p w14:paraId="1FEC9AD7" w14:textId="77777777" w:rsidR="00FF0502" w:rsidRDefault="00FF0502" w:rsidP="00FF0502">
            <w:pPr>
              <w:jc w:val="center"/>
              <w:rPr>
                <w:rFonts w:eastAsia="Calibri"/>
                <w:szCs w:val="22"/>
                <w:lang w:eastAsia="de-DE" w:bidi="de-DE"/>
              </w:rPr>
            </w:pPr>
            <w:r>
              <w:rPr>
                <w:rFonts w:eastAsia="Calibri"/>
                <w:szCs w:val="22"/>
                <w:lang w:eastAsia="de-DE" w:bidi="de-DE"/>
              </w:rPr>
              <w:t>[2018]</w:t>
            </w:r>
          </w:p>
        </w:tc>
        <w:tc>
          <w:tcPr>
            <w:tcW w:w="4927" w:type="dxa"/>
            <w:tcBorders>
              <w:top w:val="nil"/>
              <w:bottom w:val="nil"/>
            </w:tcBorders>
            <w:vAlign w:val="bottom"/>
          </w:tcPr>
          <w:p w14:paraId="52FCF3AF" w14:textId="77777777" w:rsidR="00FF0502" w:rsidRDefault="00FF0502" w:rsidP="004C2C7D">
            <w:pPr>
              <w:jc w:val="center"/>
              <w:rPr>
                <w:rFonts w:eastAsia="Calibri"/>
                <w:szCs w:val="22"/>
                <w:lang w:eastAsia="de-DE" w:bidi="de-DE"/>
              </w:rPr>
            </w:pPr>
            <w:r>
              <w:rPr>
                <w:rFonts w:eastAsia="Calibri"/>
                <w:szCs w:val="22"/>
                <w:lang w:eastAsia="de-DE" w:bidi="de-DE"/>
              </w:rPr>
              <w:t>[4,39]</w:t>
            </w:r>
          </w:p>
        </w:tc>
      </w:tr>
      <w:tr w:rsidR="00FF0502" w:rsidRPr="002616E4" w14:paraId="36645646" w14:textId="77777777" w:rsidTr="007D4A9A">
        <w:trPr>
          <w:trHeight w:val="357"/>
          <w:jc w:val="center"/>
        </w:trPr>
        <w:tc>
          <w:tcPr>
            <w:tcW w:w="4927" w:type="dxa"/>
            <w:tcBorders>
              <w:top w:val="nil"/>
              <w:bottom w:val="nil"/>
            </w:tcBorders>
            <w:vAlign w:val="bottom"/>
          </w:tcPr>
          <w:p w14:paraId="7C448D9B" w14:textId="77777777" w:rsidR="00FF0502" w:rsidRDefault="00FF0502" w:rsidP="00FF0502">
            <w:pPr>
              <w:jc w:val="center"/>
              <w:rPr>
                <w:rFonts w:eastAsia="Calibri"/>
                <w:szCs w:val="22"/>
                <w:lang w:eastAsia="de-DE" w:bidi="de-DE"/>
              </w:rPr>
            </w:pPr>
            <w:r>
              <w:rPr>
                <w:rFonts w:eastAsia="Calibri"/>
                <w:szCs w:val="22"/>
                <w:lang w:eastAsia="de-DE" w:bidi="de-DE"/>
              </w:rPr>
              <w:t>[2019]</w:t>
            </w:r>
          </w:p>
        </w:tc>
        <w:tc>
          <w:tcPr>
            <w:tcW w:w="4927" w:type="dxa"/>
            <w:tcBorders>
              <w:top w:val="nil"/>
              <w:bottom w:val="nil"/>
            </w:tcBorders>
            <w:vAlign w:val="bottom"/>
          </w:tcPr>
          <w:p w14:paraId="6CF96353" w14:textId="77777777" w:rsidR="00FF0502" w:rsidRDefault="00FF0502" w:rsidP="004C2C7D">
            <w:pPr>
              <w:jc w:val="center"/>
              <w:rPr>
                <w:rFonts w:eastAsia="Calibri"/>
                <w:szCs w:val="22"/>
                <w:lang w:eastAsia="de-DE" w:bidi="de-DE"/>
              </w:rPr>
            </w:pPr>
            <w:r>
              <w:rPr>
                <w:rFonts w:eastAsia="Calibri"/>
                <w:szCs w:val="22"/>
                <w:lang w:eastAsia="de-DE" w:bidi="de-DE"/>
              </w:rPr>
              <w:t>[4,47]</w:t>
            </w:r>
          </w:p>
        </w:tc>
      </w:tr>
      <w:tr w:rsidR="00C05FF4" w:rsidRPr="002616E4" w14:paraId="7161A85A" w14:textId="77777777" w:rsidTr="007D4A9A">
        <w:trPr>
          <w:trHeight w:val="357"/>
          <w:jc w:val="center"/>
        </w:trPr>
        <w:tc>
          <w:tcPr>
            <w:tcW w:w="4927" w:type="dxa"/>
            <w:tcBorders>
              <w:top w:val="nil"/>
              <w:bottom w:val="nil"/>
            </w:tcBorders>
            <w:vAlign w:val="bottom"/>
          </w:tcPr>
          <w:p w14:paraId="01DAF658" w14:textId="1010BD34" w:rsidR="00C05FF4" w:rsidRDefault="00C05FF4" w:rsidP="00FF0502">
            <w:pPr>
              <w:jc w:val="center"/>
              <w:rPr>
                <w:rFonts w:eastAsia="Calibri"/>
                <w:szCs w:val="22"/>
                <w:lang w:eastAsia="de-DE" w:bidi="de-DE"/>
              </w:rPr>
            </w:pPr>
            <w:r>
              <w:rPr>
                <w:rFonts w:eastAsia="Calibri"/>
                <w:szCs w:val="22"/>
                <w:lang w:eastAsia="de-DE" w:bidi="de-DE"/>
              </w:rPr>
              <w:t>[2020]</w:t>
            </w:r>
          </w:p>
        </w:tc>
        <w:tc>
          <w:tcPr>
            <w:tcW w:w="4927" w:type="dxa"/>
            <w:tcBorders>
              <w:top w:val="nil"/>
              <w:bottom w:val="nil"/>
            </w:tcBorders>
            <w:vAlign w:val="bottom"/>
          </w:tcPr>
          <w:p w14:paraId="48293EF9" w14:textId="369466DA" w:rsidR="00C05FF4" w:rsidRDefault="00C05FF4" w:rsidP="004C2C7D">
            <w:pPr>
              <w:jc w:val="center"/>
              <w:rPr>
                <w:rFonts w:eastAsia="Calibri"/>
                <w:szCs w:val="22"/>
                <w:lang w:eastAsia="de-DE" w:bidi="de-DE"/>
              </w:rPr>
            </w:pPr>
            <w:r>
              <w:rPr>
                <w:rFonts w:eastAsia="Calibri"/>
                <w:szCs w:val="22"/>
                <w:lang w:eastAsia="de-DE" w:bidi="de-DE"/>
              </w:rPr>
              <w:t>[4,57]</w:t>
            </w:r>
          </w:p>
        </w:tc>
      </w:tr>
      <w:tr w:rsidR="005A5BD5" w:rsidRPr="002616E4" w14:paraId="4932540A" w14:textId="77777777" w:rsidTr="007F1A32">
        <w:trPr>
          <w:trHeight w:val="357"/>
          <w:jc w:val="center"/>
        </w:trPr>
        <w:tc>
          <w:tcPr>
            <w:tcW w:w="4927" w:type="dxa"/>
            <w:tcBorders>
              <w:top w:val="nil"/>
              <w:bottom w:val="nil"/>
            </w:tcBorders>
            <w:vAlign w:val="bottom"/>
          </w:tcPr>
          <w:p w14:paraId="424E7D4B" w14:textId="2738BB6A" w:rsidR="00FF0502" w:rsidRPr="002616E4" w:rsidRDefault="007F1A32" w:rsidP="007F1A32">
            <w:pPr>
              <w:jc w:val="center"/>
              <w:rPr>
                <w:rFonts w:eastAsia="Calibri"/>
                <w:szCs w:val="22"/>
                <w:lang w:eastAsia="de-DE" w:bidi="de-DE"/>
              </w:rPr>
            </w:pPr>
            <w:r>
              <w:rPr>
                <w:rFonts w:eastAsia="Calibri"/>
                <w:szCs w:val="22"/>
                <w:lang w:eastAsia="de-DE" w:bidi="de-DE"/>
              </w:rPr>
              <w:t>[2021]</w:t>
            </w:r>
          </w:p>
        </w:tc>
        <w:tc>
          <w:tcPr>
            <w:tcW w:w="4927" w:type="dxa"/>
            <w:tcBorders>
              <w:top w:val="nil"/>
              <w:bottom w:val="nil"/>
            </w:tcBorders>
            <w:vAlign w:val="bottom"/>
          </w:tcPr>
          <w:p w14:paraId="5829731F" w14:textId="7BF1FE5D" w:rsidR="000D2584" w:rsidRPr="002616E4" w:rsidRDefault="007F1A32" w:rsidP="007F1A32">
            <w:pPr>
              <w:jc w:val="center"/>
              <w:rPr>
                <w:rFonts w:eastAsia="Calibri"/>
                <w:szCs w:val="22"/>
                <w:lang w:eastAsia="de-DE" w:bidi="de-DE"/>
              </w:rPr>
            </w:pPr>
            <w:r>
              <w:rPr>
                <w:rFonts w:eastAsia="Calibri"/>
                <w:szCs w:val="22"/>
                <w:lang w:eastAsia="de-DE" w:bidi="de-DE"/>
              </w:rPr>
              <w:t>[4,60]</w:t>
            </w:r>
          </w:p>
        </w:tc>
      </w:tr>
      <w:tr w:rsidR="007F1A32" w:rsidRPr="002616E4" w14:paraId="53E1B298" w14:textId="77777777" w:rsidTr="007D4A9A">
        <w:trPr>
          <w:trHeight w:val="357"/>
          <w:jc w:val="center"/>
        </w:trPr>
        <w:tc>
          <w:tcPr>
            <w:tcW w:w="4927" w:type="dxa"/>
            <w:tcBorders>
              <w:top w:val="nil"/>
            </w:tcBorders>
            <w:vAlign w:val="bottom"/>
          </w:tcPr>
          <w:p w14:paraId="671D70D2" w14:textId="0D8FDABA" w:rsidR="007F1A32" w:rsidRPr="002616E4" w:rsidRDefault="00F52BDC" w:rsidP="00F52BDC">
            <w:pPr>
              <w:jc w:val="center"/>
              <w:rPr>
                <w:rFonts w:eastAsia="Calibri"/>
                <w:szCs w:val="22"/>
                <w:lang w:eastAsia="de-DE" w:bidi="de-DE"/>
              </w:rPr>
            </w:pPr>
            <w:r>
              <w:rPr>
                <w:rFonts w:eastAsia="Calibri"/>
                <w:szCs w:val="22"/>
                <w:lang w:eastAsia="de-DE" w:bidi="de-DE"/>
              </w:rPr>
              <w:t>[2022]</w:t>
            </w:r>
          </w:p>
        </w:tc>
        <w:tc>
          <w:tcPr>
            <w:tcW w:w="4927" w:type="dxa"/>
            <w:tcBorders>
              <w:top w:val="nil"/>
            </w:tcBorders>
            <w:vAlign w:val="bottom"/>
          </w:tcPr>
          <w:p w14:paraId="6F7E1B14" w14:textId="6E104648" w:rsidR="007F1A32" w:rsidRPr="002616E4" w:rsidRDefault="00F52BDC" w:rsidP="00F52BDC">
            <w:pPr>
              <w:jc w:val="center"/>
              <w:rPr>
                <w:rFonts w:eastAsia="Calibri"/>
                <w:szCs w:val="22"/>
                <w:lang w:eastAsia="de-DE" w:bidi="de-DE"/>
              </w:rPr>
            </w:pPr>
            <w:r>
              <w:rPr>
                <w:rFonts w:eastAsia="Calibri"/>
                <w:szCs w:val="22"/>
                <w:lang w:eastAsia="de-DE" w:bidi="de-DE"/>
              </w:rPr>
              <w:t>[4,63]</w:t>
            </w:r>
          </w:p>
        </w:tc>
      </w:tr>
    </w:tbl>
    <w:p w14:paraId="2ACECD10" w14:textId="77777777" w:rsidR="005A5BD5" w:rsidRPr="002616E4" w:rsidRDefault="005A5BD5" w:rsidP="004C2C7D">
      <w:pPr>
        <w:jc w:val="both"/>
        <w:rPr>
          <w:rFonts w:eastAsia="Calibri"/>
          <w:szCs w:val="22"/>
          <w:lang w:eastAsia="de-DE" w:bidi="de-DE"/>
        </w:rPr>
      </w:pPr>
    </w:p>
    <w:p w14:paraId="5A9DB8F3" w14:textId="7A043A53" w:rsidR="005A5BD5" w:rsidRPr="002616E4" w:rsidRDefault="005A5BD5" w:rsidP="004C2C7D">
      <w:pPr>
        <w:jc w:val="both"/>
        <w:rPr>
          <w:rFonts w:eastAsia="Calibri"/>
          <w:i/>
          <w:szCs w:val="22"/>
          <w:lang w:eastAsia="de-DE" w:bidi="de-DE"/>
        </w:rPr>
      </w:pPr>
      <w:r w:rsidRPr="002616E4">
        <w:rPr>
          <w:rFonts w:eastAsia="Calibri"/>
          <w:i/>
          <w:szCs w:val="22"/>
          <w:lang w:eastAsia="de-DE" w:bidi="de-DE"/>
        </w:rPr>
        <w:t>[Art. 1 einziger Absatz Tabelle abgeändert durch Art. 1 des K.E. vom 22. Oktober 1993 (B.S. vom 29. Oktober 1993), Art. 1 des K.E. vom 18. Februar 1994 (B.S. vom 26. Februar 1994), Art. 1 des K.E. vom 20. März 1995 (B.S. vom 13. Mai 1995), Art. 1 des K.E. vom 6. März 1996 (B.S. vom 19. März 1996), Art. 1 des K.E. vom 26. Februar 1997 (B.S. vom 13. März 1997), Art. 1 des K.E. vom 17. Dezember 1998 (B.S. vom 26. Januar 1999), Art. 1 des K.E. vom 29. Oktober 1999 (B.S. vom 7. Dezember 1999), Art. 1 des K.E. vom 23. November 2000 (B.S. vom 12. Dezember 2000), Art. 1 des K.E. vom 4. Februar 2002 (B.S. vom 13. Februar 2002), Art. 1 des K.E. vom 23. Januar 2003 (B.S. vom 6. Februar 2003), Art. 1 des K.E. vom 30. Juli 2003 (B.S. vom 29. August 2003), Art. 1 des K.E. vom 16. Juni 2004 (II) (B.S. vom 24. Juni 2004), Art. 1 des K.E. vom 13. Juni 2005 (B.S. vom 17. Juni 2005), Art. 1 des K.E. vom 19. Mai 2006 (B.S. vom 29. Mai 2006), Art. 1 des K.E. vom 12. Februar 2007 (B.S. vom 19. Februar 2007), Art. 1 des K.E. vom 11. März 2008 (B.S. vom 18. März 2008), Art. 1 des K.E. vom 5. Februar 2009 (B.S. vom 13. Februar 2009), Art. 1 des K.E. vom 11. Februar 2010 (B.S. vom 19. Februar 2010), Art. 1 des K.E. vom 9. Februar 2011 (B.S. vom 16. Februar 2011), Art. 1 des K.E. vom 12. März 2012 (B.S. vom 16. März 2012), Art. 1 des K.E. vom 18. Juli 2013 (B.S. vom 24. Juli 2013)</w:t>
      </w:r>
      <w:r w:rsidR="000D2584">
        <w:rPr>
          <w:rFonts w:eastAsia="Calibri"/>
          <w:i/>
          <w:szCs w:val="22"/>
          <w:lang w:eastAsia="de-DE" w:bidi="de-DE"/>
        </w:rPr>
        <w:t xml:space="preserve">, </w:t>
      </w:r>
      <w:r w:rsidRPr="002616E4">
        <w:rPr>
          <w:rFonts w:eastAsia="Calibri"/>
          <w:i/>
          <w:szCs w:val="22"/>
          <w:lang w:eastAsia="de-DE" w:bidi="de-DE"/>
        </w:rPr>
        <w:t>Art. 1 des K.E. vom 19. Mai 2014 (B.S. vom 26. Mai 2014)</w:t>
      </w:r>
      <w:r w:rsidR="007D4A9A">
        <w:rPr>
          <w:rFonts w:eastAsia="Calibri"/>
          <w:i/>
          <w:szCs w:val="22"/>
          <w:lang w:eastAsia="de-DE" w:bidi="de-DE"/>
        </w:rPr>
        <w:t>,</w:t>
      </w:r>
      <w:r w:rsidR="000D2584">
        <w:rPr>
          <w:rFonts w:eastAsia="Calibri"/>
          <w:i/>
          <w:szCs w:val="22"/>
          <w:lang w:eastAsia="de-DE" w:bidi="de-DE"/>
        </w:rPr>
        <w:t xml:space="preserve"> Art. 1 des K.E. vom 29. Oktober 2015 (B.S. vom 6. November 2015)</w:t>
      </w:r>
      <w:r w:rsidR="00FF0502">
        <w:rPr>
          <w:rFonts w:eastAsia="Calibri"/>
          <w:i/>
          <w:szCs w:val="22"/>
          <w:lang w:eastAsia="de-DE" w:bidi="de-DE"/>
        </w:rPr>
        <w:t>,</w:t>
      </w:r>
      <w:r w:rsidR="007D4A9A">
        <w:rPr>
          <w:rFonts w:eastAsia="Calibri"/>
          <w:i/>
          <w:szCs w:val="22"/>
          <w:lang w:eastAsia="de-DE" w:bidi="de-DE"/>
        </w:rPr>
        <w:t xml:space="preserve"> Art. 1 des K.E. vom 17. November 2016 (B.S. vom 29. November 2016)</w:t>
      </w:r>
      <w:r w:rsidR="00FF0502">
        <w:rPr>
          <w:rFonts w:eastAsia="Calibri"/>
          <w:i/>
          <w:szCs w:val="22"/>
          <w:lang w:eastAsia="de-DE" w:bidi="de-DE"/>
        </w:rPr>
        <w:t>, Art. 1 des K.E. vom 18. Juli 2017 (B.S. vom 4. August 2017)</w:t>
      </w:r>
      <w:r w:rsidR="00C05FF4">
        <w:rPr>
          <w:rFonts w:eastAsia="Calibri"/>
          <w:i/>
          <w:szCs w:val="22"/>
          <w:lang w:eastAsia="de-DE" w:bidi="de-DE"/>
        </w:rPr>
        <w:t>,</w:t>
      </w:r>
      <w:r w:rsidR="00FF0502">
        <w:rPr>
          <w:rFonts w:eastAsia="Calibri"/>
          <w:i/>
          <w:szCs w:val="22"/>
          <w:lang w:eastAsia="de-DE" w:bidi="de-DE"/>
        </w:rPr>
        <w:t xml:space="preserve"> Art. 1 des K.E. vom 2</w:t>
      </w:r>
      <w:r w:rsidR="0069101E">
        <w:rPr>
          <w:rFonts w:eastAsia="Calibri"/>
          <w:i/>
          <w:szCs w:val="22"/>
          <w:lang w:eastAsia="de-DE" w:bidi="de-DE"/>
        </w:rPr>
        <w:t>4</w:t>
      </w:r>
      <w:r w:rsidR="00FF0502">
        <w:rPr>
          <w:rFonts w:eastAsia="Calibri"/>
          <w:i/>
          <w:szCs w:val="22"/>
          <w:lang w:eastAsia="de-DE" w:bidi="de-DE"/>
        </w:rPr>
        <w:t xml:space="preserve">. Juni 2018 (B.S. vom </w:t>
      </w:r>
      <w:r w:rsidR="0069101E">
        <w:rPr>
          <w:rFonts w:eastAsia="Calibri"/>
          <w:i/>
          <w:szCs w:val="22"/>
          <w:lang w:eastAsia="de-DE" w:bidi="de-DE"/>
        </w:rPr>
        <w:t>3</w:t>
      </w:r>
      <w:r w:rsidR="00FF0502">
        <w:rPr>
          <w:rFonts w:eastAsia="Calibri"/>
          <w:i/>
          <w:szCs w:val="22"/>
          <w:lang w:eastAsia="de-DE" w:bidi="de-DE"/>
        </w:rPr>
        <w:t>. Juli 2018)</w:t>
      </w:r>
      <w:r w:rsidR="007F1A32">
        <w:rPr>
          <w:rFonts w:eastAsia="Calibri"/>
          <w:i/>
          <w:szCs w:val="22"/>
          <w:lang w:eastAsia="de-DE" w:bidi="de-DE"/>
        </w:rPr>
        <w:t>,</w:t>
      </w:r>
      <w:r w:rsidR="00C05FF4">
        <w:rPr>
          <w:rFonts w:eastAsia="Calibri"/>
          <w:i/>
          <w:szCs w:val="22"/>
          <w:lang w:eastAsia="de-DE" w:bidi="de-DE"/>
        </w:rPr>
        <w:t xml:space="preserve"> Art. 1 des K.E. vom 3. April 20</w:t>
      </w:r>
      <w:r w:rsidR="00615E86">
        <w:rPr>
          <w:rFonts w:eastAsia="Calibri"/>
          <w:i/>
          <w:szCs w:val="22"/>
          <w:lang w:eastAsia="de-DE" w:bidi="de-DE"/>
        </w:rPr>
        <w:t>19</w:t>
      </w:r>
      <w:r w:rsidR="00C05FF4">
        <w:rPr>
          <w:rFonts w:eastAsia="Calibri"/>
          <w:i/>
          <w:szCs w:val="22"/>
          <w:lang w:eastAsia="de-DE" w:bidi="de-DE"/>
        </w:rPr>
        <w:t xml:space="preserve"> (B.S. vom 19. April 20</w:t>
      </w:r>
      <w:r w:rsidR="00615E86">
        <w:rPr>
          <w:rFonts w:eastAsia="Calibri"/>
          <w:i/>
          <w:szCs w:val="22"/>
          <w:lang w:eastAsia="de-DE" w:bidi="de-DE"/>
        </w:rPr>
        <w:t>19</w:t>
      </w:r>
      <w:r w:rsidR="00C05FF4">
        <w:rPr>
          <w:rFonts w:eastAsia="Calibri"/>
          <w:i/>
          <w:szCs w:val="22"/>
          <w:lang w:eastAsia="de-DE" w:bidi="de-DE"/>
        </w:rPr>
        <w:t>)</w:t>
      </w:r>
      <w:r w:rsidR="00F52BDC">
        <w:rPr>
          <w:rFonts w:eastAsia="Calibri"/>
          <w:i/>
          <w:szCs w:val="22"/>
          <w:lang w:eastAsia="de-DE" w:bidi="de-DE"/>
        </w:rPr>
        <w:t>,</w:t>
      </w:r>
      <w:r w:rsidR="007F1A32">
        <w:rPr>
          <w:rFonts w:eastAsia="Calibri"/>
          <w:i/>
          <w:szCs w:val="22"/>
          <w:lang w:eastAsia="de-DE" w:bidi="de-DE"/>
        </w:rPr>
        <w:t xml:space="preserve"> Art. 1 des K.E. vom 15. Mä</w:t>
      </w:r>
      <w:r w:rsidR="00F52BDC">
        <w:rPr>
          <w:rFonts w:eastAsia="Calibri"/>
          <w:i/>
          <w:szCs w:val="22"/>
          <w:lang w:eastAsia="de-DE" w:bidi="de-DE"/>
        </w:rPr>
        <w:t>rz 2020 (B.S. vom 23. März 2020) und Art. 1 des K.E. vom 18. Juli 2021 (B.S. vom 23. Juli 2021)</w:t>
      </w:r>
      <w:r w:rsidRPr="002616E4">
        <w:rPr>
          <w:rFonts w:eastAsia="Calibri"/>
          <w:i/>
          <w:szCs w:val="22"/>
          <w:lang w:eastAsia="de-DE" w:bidi="de-DE"/>
        </w:rPr>
        <w:t>]</w:t>
      </w:r>
    </w:p>
    <w:p w14:paraId="2DB07A8F" w14:textId="77777777" w:rsidR="005A5BD5" w:rsidRPr="002616E4" w:rsidRDefault="005A5BD5" w:rsidP="004C2C7D">
      <w:pPr>
        <w:rPr>
          <w:rFonts w:eastAsia="Calibri"/>
          <w:szCs w:val="22"/>
          <w:lang w:eastAsia="de-DE" w:bidi="de-DE"/>
        </w:rPr>
      </w:pPr>
    </w:p>
    <w:p w14:paraId="665A8FBF" w14:textId="77777777" w:rsidR="007D4A9A" w:rsidRDefault="007D4A9A">
      <w:pPr>
        <w:rPr>
          <w:rFonts w:eastAsia="Calibri"/>
          <w:szCs w:val="22"/>
          <w:lang w:eastAsia="de-DE" w:bidi="de-DE"/>
        </w:rPr>
      </w:pPr>
      <w:r>
        <w:rPr>
          <w:rFonts w:eastAsia="Calibri"/>
          <w:szCs w:val="22"/>
          <w:lang w:eastAsia="de-DE" w:bidi="de-DE"/>
        </w:rPr>
        <w:br w:type="page"/>
      </w:r>
    </w:p>
    <w:p w14:paraId="3B497D63" w14:textId="791C464C" w:rsidR="005A5BD5" w:rsidRPr="002616E4" w:rsidRDefault="005A5BD5" w:rsidP="00573383">
      <w:pPr>
        <w:jc w:val="center"/>
        <w:rPr>
          <w:rFonts w:eastAsia="Calibri"/>
          <w:szCs w:val="22"/>
          <w:lang w:eastAsia="de-DE" w:bidi="de-DE"/>
        </w:rPr>
      </w:pPr>
      <w:r w:rsidRPr="002616E4">
        <w:rPr>
          <w:rFonts w:eastAsia="Calibri"/>
          <w:szCs w:val="22"/>
          <w:lang w:eastAsia="de-DE" w:bidi="de-DE"/>
        </w:rPr>
        <w:lastRenderedPageBreak/>
        <w:t>[</w:t>
      </w:r>
      <w:r w:rsidRPr="002616E4">
        <w:rPr>
          <w:rFonts w:eastAsia="Calibri"/>
          <w:i/>
          <w:szCs w:val="22"/>
          <w:lang w:eastAsia="de-DE" w:bidi="de-DE"/>
        </w:rPr>
        <w:t>Abschnitt 1bis</w:t>
      </w:r>
      <w:r w:rsidRPr="002616E4">
        <w:rPr>
          <w:rFonts w:eastAsia="Calibri"/>
          <w:szCs w:val="22"/>
          <w:lang w:eastAsia="de-DE" w:bidi="de-DE"/>
        </w:rPr>
        <w:t> </w:t>
      </w:r>
      <w:r w:rsidR="00573383">
        <w:rPr>
          <w:rFonts w:eastAsia="Calibri"/>
          <w:szCs w:val="22"/>
          <w:lang w:eastAsia="de-DE" w:bidi="de-DE"/>
        </w:rPr>
        <w:t>-</w:t>
      </w:r>
      <w:r w:rsidRPr="002616E4">
        <w:rPr>
          <w:rFonts w:eastAsia="Calibri"/>
          <w:szCs w:val="22"/>
          <w:lang w:eastAsia="de-DE" w:bidi="de-DE"/>
        </w:rPr>
        <w:t xml:space="preserve"> </w:t>
      </w:r>
      <w:r w:rsidR="00573383">
        <w:rPr>
          <w:rFonts w:eastAsia="Calibri"/>
          <w:szCs w:val="22"/>
          <w:lang w:eastAsia="de-DE" w:bidi="de-DE"/>
        </w:rPr>
        <w:t>[...]</w:t>
      </w:r>
    </w:p>
    <w:p w14:paraId="3A3B672B" w14:textId="77777777" w:rsidR="005A5BD5" w:rsidRPr="002616E4" w:rsidRDefault="005A5BD5" w:rsidP="004C2C7D">
      <w:pPr>
        <w:rPr>
          <w:rFonts w:eastAsia="Calibri"/>
          <w:szCs w:val="22"/>
          <w:lang w:eastAsia="de-DE" w:bidi="de-DE"/>
        </w:rPr>
      </w:pPr>
    </w:p>
    <w:p w14:paraId="13F1A78D" w14:textId="6B3EF65D" w:rsidR="005A5BD5" w:rsidRPr="002616E4" w:rsidRDefault="005A5BD5" w:rsidP="004C2C7D">
      <w:pPr>
        <w:jc w:val="both"/>
        <w:rPr>
          <w:rFonts w:eastAsia="Calibri"/>
          <w:i/>
          <w:szCs w:val="22"/>
          <w:lang w:eastAsia="de-DE" w:bidi="de-DE"/>
        </w:rPr>
      </w:pPr>
      <w:r w:rsidRPr="002616E4">
        <w:rPr>
          <w:rFonts w:eastAsia="Calibri"/>
          <w:i/>
          <w:szCs w:val="22"/>
          <w:lang w:eastAsia="de-DE" w:bidi="de-DE"/>
        </w:rPr>
        <w:t>[Abschnitt 1bis mit Art. 1bis eingefügt durch Art. 1 des K.E. vom 5. August 2006 (B.S. vom 18. August 2006)</w:t>
      </w:r>
      <w:r w:rsidR="00573383">
        <w:rPr>
          <w:rFonts w:eastAsia="Calibri"/>
          <w:i/>
          <w:szCs w:val="22"/>
          <w:lang w:eastAsia="de-DE" w:bidi="de-DE"/>
        </w:rPr>
        <w:t xml:space="preserve"> und aufgehoben durch Art. 1 des K.E. vom 17. Juli 2023 (II) (B.S. vom 26. Juli 2023)</w:t>
      </w:r>
      <w:r w:rsidRPr="002616E4">
        <w:rPr>
          <w:rFonts w:eastAsia="Calibri"/>
          <w:i/>
          <w:szCs w:val="22"/>
          <w:lang w:eastAsia="de-DE" w:bidi="de-DE"/>
        </w:rPr>
        <w:t>]</w:t>
      </w:r>
    </w:p>
    <w:p w14:paraId="38B59847" w14:textId="77777777" w:rsidR="005A5BD5" w:rsidRPr="002616E4" w:rsidRDefault="005A5BD5" w:rsidP="004C2C7D">
      <w:pPr>
        <w:rPr>
          <w:rFonts w:eastAsia="Calibri"/>
          <w:szCs w:val="22"/>
          <w:lang w:eastAsia="de-DE" w:bidi="de-DE"/>
        </w:rPr>
      </w:pPr>
    </w:p>
    <w:p w14:paraId="299F9D48" w14:textId="77777777" w:rsidR="005A5BD5" w:rsidRPr="002616E4" w:rsidRDefault="005A5BD5" w:rsidP="004C2C7D">
      <w:pPr>
        <w:rPr>
          <w:rFonts w:eastAsia="Calibri"/>
          <w:szCs w:val="22"/>
          <w:lang w:eastAsia="de-DE" w:bidi="de-DE"/>
        </w:rPr>
      </w:pPr>
    </w:p>
    <w:p w14:paraId="5BE32363" w14:textId="66ABEB54" w:rsidR="005A5BD5" w:rsidRPr="002616E4" w:rsidRDefault="005A5BD5" w:rsidP="00573383">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1</w:t>
      </w:r>
      <w:r w:rsidRPr="002616E4">
        <w:rPr>
          <w:rFonts w:eastAsia="Calibri"/>
          <w:b/>
          <w:i/>
          <w:szCs w:val="22"/>
          <w:lang w:eastAsia="de-DE" w:bidi="de-DE"/>
        </w:rPr>
        <w:t>bis</w:t>
      </w:r>
      <w:r w:rsidRPr="002616E4">
        <w:rPr>
          <w:rFonts w:eastAsia="Calibri"/>
          <w:szCs w:val="22"/>
          <w:lang w:eastAsia="de-DE" w:bidi="de-DE"/>
        </w:rPr>
        <w:t> </w:t>
      </w:r>
      <w:r w:rsidR="00573383">
        <w:rPr>
          <w:rFonts w:eastAsia="Calibri"/>
          <w:szCs w:val="22"/>
          <w:lang w:eastAsia="de-DE" w:bidi="de-DE"/>
        </w:rPr>
        <w:t>-</w:t>
      </w:r>
      <w:r w:rsidRPr="002616E4">
        <w:rPr>
          <w:rFonts w:eastAsia="Calibri"/>
          <w:szCs w:val="22"/>
          <w:lang w:eastAsia="de-DE" w:bidi="de-DE"/>
        </w:rPr>
        <w:t xml:space="preserve"> </w:t>
      </w:r>
      <w:r w:rsidR="00573383">
        <w:rPr>
          <w:rFonts w:eastAsia="Calibri"/>
          <w:szCs w:val="22"/>
          <w:lang w:eastAsia="de-DE" w:bidi="de-DE"/>
        </w:rPr>
        <w:t>[...]</w:t>
      </w:r>
      <w:r w:rsidRPr="002616E4">
        <w:rPr>
          <w:rFonts w:eastAsia="Calibri"/>
          <w:szCs w:val="22"/>
          <w:lang w:eastAsia="de-DE" w:bidi="de-DE"/>
        </w:rPr>
        <w:t>]</w:t>
      </w:r>
    </w:p>
    <w:p w14:paraId="053089B1" w14:textId="77777777" w:rsidR="005A5BD5" w:rsidRDefault="005A5BD5" w:rsidP="004C2C7D">
      <w:pPr>
        <w:jc w:val="both"/>
        <w:rPr>
          <w:rFonts w:eastAsia="Calibri"/>
          <w:szCs w:val="22"/>
          <w:lang w:eastAsia="de-DE" w:bidi="de-DE"/>
        </w:rPr>
      </w:pPr>
    </w:p>
    <w:p w14:paraId="63309E2A" w14:textId="77777777" w:rsidR="003617C5" w:rsidRPr="002616E4" w:rsidRDefault="003617C5" w:rsidP="004C2C7D">
      <w:pPr>
        <w:jc w:val="both"/>
        <w:rPr>
          <w:rFonts w:eastAsia="Calibri"/>
          <w:szCs w:val="22"/>
          <w:lang w:eastAsia="de-DE" w:bidi="de-DE"/>
        </w:rPr>
      </w:pPr>
    </w:p>
    <w:p w14:paraId="321EF304" w14:textId="77777777" w:rsidR="005A5BD5" w:rsidRPr="002616E4" w:rsidRDefault="005A5BD5" w:rsidP="004C2C7D">
      <w:pPr>
        <w:jc w:val="center"/>
        <w:rPr>
          <w:rFonts w:eastAsia="Calibri"/>
          <w:szCs w:val="22"/>
          <w:lang w:eastAsia="de-DE" w:bidi="de-DE"/>
        </w:rPr>
      </w:pPr>
      <w:r w:rsidRPr="002616E4">
        <w:rPr>
          <w:rFonts w:eastAsia="Calibri"/>
          <w:i/>
          <w:szCs w:val="22"/>
          <w:lang w:eastAsia="de-DE" w:bidi="de-DE"/>
        </w:rPr>
        <w:t>Abschnitt 2</w:t>
      </w:r>
      <w:r w:rsidRPr="002616E4">
        <w:rPr>
          <w:rFonts w:eastAsia="Calibri"/>
          <w:szCs w:val="22"/>
          <w:lang w:eastAsia="de-DE" w:bidi="de-DE"/>
        </w:rPr>
        <w:t> - Steuerliche Bedingungen in Bezug auf Spareinlagen</w:t>
      </w:r>
    </w:p>
    <w:p w14:paraId="685D9E44" w14:textId="77777777" w:rsidR="005A5BD5" w:rsidRPr="002616E4" w:rsidRDefault="005A5BD5" w:rsidP="004C2C7D">
      <w:pPr>
        <w:jc w:val="center"/>
        <w:rPr>
          <w:rFonts w:eastAsia="Calibri"/>
          <w:szCs w:val="22"/>
          <w:lang w:eastAsia="de-DE" w:bidi="de-DE"/>
        </w:rPr>
      </w:pPr>
    </w:p>
    <w:p w14:paraId="6A8D9149" w14:textId="2C4A49A2" w:rsidR="005A5BD5" w:rsidRPr="002616E4" w:rsidRDefault="005A5BD5" w:rsidP="004C2C7D">
      <w:pPr>
        <w:jc w:val="center"/>
        <w:rPr>
          <w:rFonts w:eastAsia="Calibri"/>
          <w:szCs w:val="22"/>
          <w:lang w:eastAsia="de-DE" w:bidi="de-DE"/>
        </w:rPr>
      </w:pPr>
      <w:r w:rsidRPr="002616E4">
        <w:rPr>
          <w:rFonts w:eastAsia="Calibri"/>
          <w:spacing w:val="-3"/>
          <w:szCs w:val="22"/>
          <w:lang w:eastAsia="de-DE" w:bidi="de-DE"/>
        </w:rPr>
        <w:t xml:space="preserve">(Einkommensteuergesetzbuch 1992, </w:t>
      </w:r>
      <w:r w:rsidR="00C949AA">
        <w:rPr>
          <w:rFonts w:eastAsia="Calibri"/>
          <w:spacing w:val="-3"/>
          <w:szCs w:val="22"/>
          <w:lang w:eastAsia="de-DE" w:bidi="de-DE"/>
        </w:rPr>
        <w:t>[</w:t>
      </w:r>
      <w:r w:rsidRPr="002616E4">
        <w:rPr>
          <w:rFonts w:eastAsia="Calibri"/>
          <w:spacing w:val="-3"/>
          <w:szCs w:val="22"/>
          <w:lang w:eastAsia="de-DE" w:bidi="de-DE"/>
        </w:rPr>
        <w:t xml:space="preserve">Artikel 21 </w:t>
      </w:r>
      <w:r w:rsidR="00C949AA">
        <w:rPr>
          <w:rFonts w:eastAsia="Calibri"/>
          <w:spacing w:val="-3"/>
          <w:szCs w:val="22"/>
          <w:lang w:eastAsia="de-DE" w:bidi="de-DE"/>
        </w:rPr>
        <w:t xml:space="preserve">Absatz 1 </w:t>
      </w:r>
      <w:r w:rsidRPr="002616E4">
        <w:rPr>
          <w:rFonts w:eastAsia="Calibri"/>
          <w:spacing w:val="-3"/>
          <w:szCs w:val="22"/>
          <w:lang w:eastAsia="de-DE" w:bidi="de-DE"/>
        </w:rPr>
        <w:t>Nr. 5</w:t>
      </w:r>
      <w:r w:rsidR="00C949AA">
        <w:rPr>
          <w:rFonts w:eastAsia="Calibri"/>
          <w:spacing w:val="-3"/>
          <w:szCs w:val="22"/>
          <w:lang w:eastAsia="de-DE" w:bidi="de-DE"/>
        </w:rPr>
        <w:t>]</w:t>
      </w:r>
      <w:r w:rsidRPr="002616E4">
        <w:rPr>
          <w:rFonts w:eastAsia="Calibri"/>
          <w:spacing w:val="-3"/>
          <w:szCs w:val="22"/>
          <w:lang w:eastAsia="de-DE" w:bidi="de-DE"/>
        </w:rPr>
        <w:t>)</w:t>
      </w:r>
    </w:p>
    <w:p w14:paraId="540B7DA7" w14:textId="77777777" w:rsidR="005A5BD5" w:rsidRPr="002616E4" w:rsidRDefault="005A5BD5" w:rsidP="004C2C7D">
      <w:pPr>
        <w:jc w:val="both"/>
        <w:rPr>
          <w:rFonts w:eastAsia="Calibri"/>
          <w:szCs w:val="22"/>
          <w:lang w:eastAsia="de-DE" w:bidi="de-DE"/>
        </w:rPr>
      </w:pPr>
    </w:p>
    <w:p w14:paraId="57E04B3B" w14:textId="59D2D207" w:rsidR="005A5BD5" w:rsidRDefault="00C949AA" w:rsidP="00C949AA">
      <w:pPr>
        <w:tabs>
          <w:tab w:val="left" w:pos="1056"/>
        </w:tabs>
        <w:jc w:val="both"/>
        <w:rPr>
          <w:rFonts w:eastAsia="Calibri"/>
          <w:i/>
          <w:szCs w:val="22"/>
          <w:lang w:eastAsia="de-DE" w:bidi="de-DE"/>
        </w:rPr>
      </w:pPr>
      <w:r>
        <w:rPr>
          <w:rFonts w:eastAsia="Calibri"/>
          <w:i/>
          <w:szCs w:val="22"/>
          <w:lang w:eastAsia="de-DE" w:bidi="de-DE"/>
        </w:rPr>
        <w:t>[Überschrift von Abschnitt 2 abgeändert durch Art. 1 des K.E. vom 20. Dezember 2020</w:t>
      </w:r>
      <w:r w:rsidR="0086766B">
        <w:rPr>
          <w:rFonts w:eastAsia="Calibri"/>
          <w:i/>
          <w:szCs w:val="22"/>
          <w:lang w:eastAsia="de-DE" w:bidi="de-DE"/>
        </w:rPr>
        <w:t> (I)</w:t>
      </w:r>
      <w:r>
        <w:rPr>
          <w:rFonts w:eastAsia="Calibri"/>
          <w:i/>
          <w:szCs w:val="22"/>
          <w:lang w:eastAsia="de-DE" w:bidi="de-DE"/>
        </w:rPr>
        <w:t xml:space="preserve"> (B.S. vom 29. Dezember 2020)]</w:t>
      </w:r>
    </w:p>
    <w:p w14:paraId="04EB76E1" w14:textId="583C4132" w:rsidR="00C949AA" w:rsidRDefault="00C949AA" w:rsidP="00C949AA">
      <w:pPr>
        <w:tabs>
          <w:tab w:val="left" w:pos="1056"/>
        </w:tabs>
        <w:jc w:val="both"/>
        <w:rPr>
          <w:rFonts w:eastAsia="Calibri"/>
          <w:i/>
          <w:szCs w:val="22"/>
          <w:lang w:eastAsia="de-DE" w:bidi="de-DE"/>
        </w:rPr>
      </w:pPr>
    </w:p>
    <w:p w14:paraId="1A9E027E" w14:textId="77777777" w:rsidR="00C949AA" w:rsidRPr="00C949AA" w:rsidRDefault="00C949AA" w:rsidP="00C949AA">
      <w:pPr>
        <w:tabs>
          <w:tab w:val="left" w:pos="1056"/>
        </w:tabs>
        <w:jc w:val="both"/>
        <w:rPr>
          <w:rFonts w:eastAsia="Calibri"/>
          <w:i/>
          <w:szCs w:val="22"/>
          <w:lang w:eastAsia="de-DE" w:bidi="de-DE"/>
        </w:rPr>
      </w:pPr>
    </w:p>
    <w:p w14:paraId="52B2EEEC" w14:textId="4D0A5140"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2</w:t>
      </w:r>
      <w:r w:rsidRPr="002616E4">
        <w:rPr>
          <w:rFonts w:eastAsia="Calibri"/>
          <w:szCs w:val="22"/>
          <w:lang w:eastAsia="de-DE" w:bidi="de-DE"/>
        </w:rPr>
        <w:t xml:space="preserve"> - Um in den Anwendungsbereich von </w:t>
      </w:r>
      <w:r w:rsidR="00C949AA">
        <w:rPr>
          <w:rFonts w:eastAsia="Calibri"/>
          <w:szCs w:val="22"/>
          <w:lang w:eastAsia="de-DE" w:bidi="de-DE"/>
        </w:rPr>
        <w:t>[</w:t>
      </w:r>
      <w:r w:rsidRPr="002616E4">
        <w:rPr>
          <w:rFonts w:eastAsia="Calibri"/>
          <w:szCs w:val="22"/>
          <w:lang w:eastAsia="de-DE" w:bidi="de-DE"/>
        </w:rPr>
        <w:t xml:space="preserve">Artikel 21 </w:t>
      </w:r>
      <w:r w:rsidR="00C949AA">
        <w:rPr>
          <w:rFonts w:eastAsia="Calibri"/>
          <w:szCs w:val="22"/>
          <w:lang w:eastAsia="de-DE" w:bidi="de-DE"/>
        </w:rPr>
        <w:t xml:space="preserve">Absatz 1 </w:t>
      </w:r>
      <w:r w:rsidRPr="002616E4">
        <w:rPr>
          <w:rFonts w:eastAsia="Calibri"/>
          <w:szCs w:val="22"/>
          <w:lang w:eastAsia="de-DE" w:bidi="de-DE"/>
        </w:rPr>
        <w:t>Nr. 5</w:t>
      </w:r>
      <w:r w:rsidR="00C949AA">
        <w:rPr>
          <w:rFonts w:eastAsia="Calibri"/>
          <w:szCs w:val="22"/>
          <w:lang w:eastAsia="de-DE" w:bidi="de-DE"/>
        </w:rPr>
        <w:t>]</w:t>
      </w:r>
      <w:r w:rsidRPr="002616E4">
        <w:rPr>
          <w:rFonts w:eastAsia="Calibri"/>
          <w:szCs w:val="22"/>
          <w:lang w:eastAsia="de-DE" w:bidi="de-DE"/>
        </w:rPr>
        <w:t xml:space="preserve"> des Einkommensteuer</w:t>
      </w:r>
      <w:r w:rsidRPr="002616E4">
        <w:rPr>
          <w:rFonts w:eastAsia="Calibri"/>
          <w:szCs w:val="22"/>
          <w:lang w:eastAsia="de-DE" w:bidi="de-DE"/>
        </w:rPr>
        <w:softHyphen/>
        <w:t>gesetzbuches 1992 zu fallen, müssen in diesem Artikel erwähnte Spareinlagen außerdem folgende Kriterien erfüllen:</w:t>
      </w:r>
    </w:p>
    <w:p w14:paraId="3584C16E" w14:textId="77777777" w:rsidR="005A5BD5" w:rsidRPr="002616E4" w:rsidRDefault="005A5BD5" w:rsidP="004C2C7D">
      <w:pPr>
        <w:jc w:val="both"/>
        <w:rPr>
          <w:rFonts w:eastAsia="Calibri"/>
          <w:szCs w:val="22"/>
          <w:lang w:eastAsia="de-DE" w:bidi="de-DE"/>
        </w:rPr>
      </w:pPr>
    </w:p>
    <w:p w14:paraId="40FD6FCE"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1. [Die Spareinlagen müssen [auf Euro] lauten.]</w:t>
      </w:r>
    </w:p>
    <w:p w14:paraId="55B6F951" w14:textId="77777777" w:rsidR="005A5BD5" w:rsidRPr="002616E4" w:rsidRDefault="005A5BD5" w:rsidP="004C2C7D">
      <w:pPr>
        <w:jc w:val="both"/>
        <w:rPr>
          <w:rFonts w:eastAsia="Calibri"/>
          <w:szCs w:val="22"/>
          <w:lang w:eastAsia="de-DE" w:bidi="de-DE"/>
        </w:rPr>
      </w:pPr>
    </w:p>
    <w:p w14:paraId="67877D34"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2. Entnahmen von den Spareinlagen können direkt oder über ein Sichtkonto nur für folgende Verrichtungen getätigt werden:</w:t>
      </w:r>
    </w:p>
    <w:p w14:paraId="53DB197E" w14:textId="77777777" w:rsidR="005A5BD5" w:rsidRPr="002616E4" w:rsidRDefault="005A5BD5" w:rsidP="004C2C7D">
      <w:pPr>
        <w:jc w:val="both"/>
        <w:rPr>
          <w:rFonts w:eastAsia="Calibri"/>
          <w:szCs w:val="22"/>
          <w:lang w:eastAsia="de-DE" w:bidi="de-DE"/>
        </w:rPr>
      </w:pPr>
    </w:p>
    <w:p w14:paraId="176DDC4E"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a)</w:t>
      </w:r>
      <w:r w:rsidRPr="002616E4">
        <w:rPr>
          <w:rFonts w:eastAsia="Calibri"/>
          <w:szCs w:val="22"/>
          <w:lang w:eastAsia="de-DE" w:bidi="de-DE"/>
        </w:rPr>
        <w:t xml:space="preserve"> Barrückzahlungen,</w:t>
      </w:r>
    </w:p>
    <w:p w14:paraId="6CA95488" w14:textId="77777777" w:rsidR="005A5BD5" w:rsidRPr="002616E4" w:rsidRDefault="005A5BD5" w:rsidP="004C2C7D">
      <w:pPr>
        <w:jc w:val="both"/>
        <w:rPr>
          <w:rFonts w:eastAsia="Calibri"/>
          <w:szCs w:val="22"/>
          <w:lang w:eastAsia="de-DE" w:bidi="de-DE"/>
        </w:rPr>
      </w:pPr>
    </w:p>
    <w:p w14:paraId="371CC816"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b)</w:t>
      </w:r>
      <w:r w:rsidRPr="002616E4">
        <w:rPr>
          <w:rFonts w:eastAsia="Calibri"/>
          <w:szCs w:val="22"/>
          <w:lang w:eastAsia="de-DE" w:bidi="de-DE"/>
        </w:rPr>
        <w:t xml:space="preserve"> Übertragung oder Überweisung</w:t>
      </w:r>
      <w:r>
        <w:rPr>
          <w:rFonts w:eastAsia="Calibri"/>
          <w:szCs w:val="22"/>
          <w:lang w:eastAsia="de-DE" w:bidi="de-DE"/>
        </w:rPr>
        <w:t xml:space="preserve"> - </w:t>
      </w:r>
      <w:r w:rsidRPr="002616E4">
        <w:rPr>
          <w:rFonts w:eastAsia="Calibri"/>
          <w:szCs w:val="22"/>
          <w:lang w:eastAsia="de-DE" w:bidi="de-DE"/>
        </w:rPr>
        <w:t>auf anderem Wege als per Dauerauftrag</w:t>
      </w:r>
      <w:r>
        <w:rPr>
          <w:rFonts w:eastAsia="Calibri"/>
          <w:szCs w:val="22"/>
          <w:lang w:eastAsia="de-DE" w:bidi="de-DE"/>
        </w:rPr>
        <w:t> -</w:t>
      </w:r>
      <w:r w:rsidRPr="002616E4">
        <w:rPr>
          <w:rFonts w:eastAsia="Calibri"/>
          <w:szCs w:val="22"/>
          <w:lang w:eastAsia="de-DE" w:bidi="de-DE"/>
        </w:rPr>
        <w:t xml:space="preserve"> auf ein Konto auf den Namen des Inhabers der Spareinlage,</w:t>
      </w:r>
    </w:p>
    <w:p w14:paraId="6634D65F" w14:textId="77777777" w:rsidR="005A5BD5" w:rsidRPr="002616E4" w:rsidRDefault="005A5BD5" w:rsidP="004C2C7D">
      <w:pPr>
        <w:jc w:val="both"/>
        <w:rPr>
          <w:rFonts w:eastAsia="Calibri"/>
          <w:szCs w:val="22"/>
          <w:lang w:eastAsia="de-DE" w:bidi="de-DE"/>
        </w:rPr>
      </w:pPr>
    </w:p>
    <w:p w14:paraId="1410E750"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c)</w:t>
      </w:r>
      <w:r w:rsidRPr="002616E4">
        <w:rPr>
          <w:rFonts w:eastAsia="Calibri"/>
          <w:szCs w:val="22"/>
          <w:lang w:eastAsia="de-DE" w:bidi="de-DE"/>
        </w:rPr>
        <w:t xml:space="preserve"> Übertragung auf eine Spareinlage beim selben Institut auf den Namen des Ehepartners oder eines Verwandten bis zum zweiten Grad des Inhabers der Spareinlage,</w:t>
      </w:r>
    </w:p>
    <w:p w14:paraId="678691A5" w14:textId="77777777" w:rsidR="007D4A9A" w:rsidRDefault="007D4A9A" w:rsidP="004C2C7D">
      <w:pPr>
        <w:jc w:val="both"/>
        <w:rPr>
          <w:rFonts w:eastAsia="Calibri"/>
          <w:szCs w:val="22"/>
          <w:lang w:eastAsia="de-DE" w:bidi="de-DE"/>
        </w:rPr>
      </w:pPr>
    </w:p>
    <w:p w14:paraId="308E5FE0"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d)</w:t>
      </w:r>
      <w:r w:rsidRPr="002616E4">
        <w:rPr>
          <w:rFonts w:eastAsia="Calibri"/>
          <w:szCs w:val="22"/>
          <w:lang w:eastAsia="de-DE" w:bidi="de-DE"/>
        </w:rPr>
        <w:t xml:space="preserve"> Zahlung von Beträgen, die der Inhaber der Spareinlage als Kapital, Zinsen oder Nebenkosten aufgrund von Darlehen oder Krediten, die von demselben Institut oder eine</w:t>
      </w:r>
      <w:r>
        <w:rPr>
          <w:rFonts w:eastAsia="Calibri"/>
          <w:szCs w:val="22"/>
          <w:lang w:eastAsia="de-DE" w:bidi="de-DE"/>
        </w:rPr>
        <w:t>r</w:t>
      </w:r>
      <w:r w:rsidRPr="002616E4">
        <w:rPr>
          <w:rFonts w:eastAsia="Calibri"/>
          <w:szCs w:val="22"/>
          <w:lang w:eastAsia="de-DE" w:bidi="de-DE"/>
        </w:rPr>
        <w:t xml:space="preserve"> von demselben Institut vertretenen </w:t>
      </w:r>
      <w:r>
        <w:rPr>
          <w:rFonts w:eastAsia="Calibri"/>
          <w:szCs w:val="22"/>
          <w:lang w:eastAsia="de-DE" w:bidi="de-DE"/>
        </w:rPr>
        <w:t>Einrichtung</w:t>
      </w:r>
      <w:r w:rsidRPr="002616E4">
        <w:rPr>
          <w:rFonts w:eastAsia="Calibri"/>
          <w:szCs w:val="22"/>
          <w:lang w:eastAsia="de-DE" w:bidi="de-DE"/>
        </w:rPr>
        <w:t xml:space="preserve"> gewährt worden sind, entrichten muss,</w:t>
      </w:r>
    </w:p>
    <w:p w14:paraId="6100F4A8" w14:textId="77777777" w:rsidR="005A5BD5" w:rsidRPr="002616E4" w:rsidRDefault="005A5BD5" w:rsidP="004C2C7D">
      <w:pPr>
        <w:jc w:val="both"/>
        <w:rPr>
          <w:rFonts w:eastAsia="Calibri"/>
          <w:szCs w:val="22"/>
          <w:lang w:eastAsia="de-DE" w:bidi="de-DE"/>
        </w:rPr>
      </w:pPr>
    </w:p>
    <w:p w14:paraId="7CB6BA87"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e)</w:t>
      </w:r>
      <w:r w:rsidRPr="002616E4">
        <w:rPr>
          <w:rFonts w:eastAsia="Calibri"/>
          <w:szCs w:val="22"/>
          <w:lang w:eastAsia="de-DE" w:bidi="de-DE"/>
        </w:rPr>
        <w:t xml:space="preserve"> Zahlung von Versicherungsprämien und Gebühren in Verbindung mit der Spareinlage, des Preises für den Ankauf oder die Zeichnung von Wertpapieren, der Miete für ein Bankschließfach und von Aufbewahrungsgebühren für unverschlossen hinterlegte Wertpapiere an d</w:t>
      </w:r>
      <w:r>
        <w:rPr>
          <w:rFonts w:eastAsia="Calibri"/>
          <w:szCs w:val="22"/>
          <w:lang w:eastAsia="de-DE" w:bidi="de-DE"/>
        </w:rPr>
        <w:t>as</w:t>
      </w:r>
      <w:r w:rsidRPr="002616E4">
        <w:rPr>
          <w:rFonts w:eastAsia="Calibri"/>
          <w:szCs w:val="22"/>
          <w:lang w:eastAsia="de-DE" w:bidi="de-DE"/>
        </w:rPr>
        <w:t xml:space="preserve"> verwahrende </w:t>
      </w:r>
      <w:r>
        <w:rPr>
          <w:rFonts w:eastAsia="Calibri"/>
          <w:szCs w:val="22"/>
          <w:lang w:eastAsia="de-DE" w:bidi="de-DE"/>
        </w:rPr>
        <w:t>Institut</w:t>
      </w:r>
      <w:r w:rsidRPr="002616E4">
        <w:rPr>
          <w:rFonts w:eastAsia="Calibri"/>
          <w:szCs w:val="22"/>
          <w:lang w:eastAsia="de-DE" w:bidi="de-DE"/>
        </w:rPr>
        <w:t>.</w:t>
      </w:r>
    </w:p>
    <w:p w14:paraId="091EC3A8" w14:textId="77777777" w:rsidR="005A5BD5" w:rsidRPr="002616E4" w:rsidRDefault="005A5BD5" w:rsidP="004C2C7D">
      <w:pPr>
        <w:jc w:val="both"/>
        <w:rPr>
          <w:rFonts w:eastAsia="Calibri"/>
          <w:szCs w:val="22"/>
          <w:lang w:eastAsia="de-DE" w:bidi="de-DE"/>
        </w:rPr>
      </w:pPr>
    </w:p>
    <w:p w14:paraId="7C44CC2F"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3. [Die Bedingungen für die Abhebung müssen de</w:t>
      </w:r>
      <w:r>
        <w:rPr>
          <w:rFonts w:eastAsia="Calibri"/>
          <w:szCs w:val="22"/>
          <w:lang w:eastAsia="de-DE" w:bidi="de-DE"/>
        </w:rPr>
        <w:t>m</w:t>
      </w:r>
      <w:r w:rsidRPr="002616E4">
        <w:rPr>
          <w:rFonts w:eastAsia="Calibri"/>
          <w:szCs w:val="22"/>
          <w:lang w:eastAsia="de-DE" w:bidi="de-DE"/>
        </w:rPr>
        <w:t xml:space="preserve"> verwahrenden </w:t>
      </w:r>
      <w:r>
        <w:rPr>
          <w:rFonts w:eastAsia="Calibri"/>
          <w:szCs w:val="22"/>
          <w:lang w:eastAsia="de-DE" w:bidi="de-DE"/>
        </w:rPr>
        <w:t>Institut</w:t>
      </w:r>
      <w:r w:rsidRPr="002616E4">
        <w:rPr>
          <w:rFonts w:eastAsia="Calibri"/>
          <w:szCs w:val="22"/>
          <w:lang w:eastAsia="de-DE" w:bidi="de-DE"/>
        </w:rPr>
        <w:t xml:space="preserve"> erlauben, für Entnahmen von mehr als [1.250 EUR] [</w:t>
      </w:r>
      <w:r w:rsidR="009251F9">
        <w:rPr>
          <w:rFonts w:eastAsia="Calibri"/>
          <w:szCs w:val="22"/>
          <w:lang w:eastAsia="de-DE" w:bidi="de-DE"/>
        </w:rPr>
        <w:t>…</w:t>
      </w:r>
      <w:r w:rsidRPr="002616E4">
        <w:rPr>
          <w:rFonts w:eastAsia="Calibri"/>
          <w:szCs w:val="22"/>
          <w:lang w:eastAsia="de-DE" w:bidi="de-DE"/>
        </w:rPr>
        <w:t>] eine Entnahmevorankündigungsfrist von fünf Kalendertagen vorzusehen und den Betrag der Entnahmen auf [2.500 EUR] [</w:t>
      </w:r>
      <w:r w:rsidR="009251F9">
        <w:rPr>
          <w:rFonts w:eastAsia="Calibri"/>
          <w:szCs w:val="22"/>
          <w:lang w:eastAsia="de-DE" w:bidi="de-DE"/>
        </w:rPr>
        <w:t>…</w:t>
      </w:r>
      <w:r w:rsidRPr="002616E4">
        <w:rPr>
          <w:rFonts w:eastAsia="Calibri"/>
          <w:szCs w:val="22"/>
          <w:lang w:eastAsia="de-DE" w:bidi="de-DE"/>
        </w:rPr>
        <w:t>] pr</w:t>
      </w:r>
      <w:r>
        <w:rPr>
          <w:rFonts w:eastAsia="Calibri"/>
          <w:szCs w:val="22"/>
          <w:lang w:eastAsia="de-DE" w:bidi="de-DE"/>
        </w:rPr>
        <w:t>o halben Monat zu beschränken.]</w:t>
      </w:r>
    </w:p>
    <w:p w14:paraId="74B37E33" w14:textId="77777777" w:rsidR="00573383" w:rsidRDefault="00573383">
      <w:pPr>
        <w:rPr>
          <w:rFonts w:eastAsia="Calibri"/>
          <w:szCs w:val="22"/>
          <w:lang w:eastAsia="de-DE" w:bidi="de-DE"/>
        </w:rPr>
      </w:pPr>
      <w:r>
        <w:rPr>
          <w:rFonts w:eastAsia="Calibri"/>
          <w:szCs w:val="22"/>
          <w:lang w:eastAsia="de-DE" w:bidi="de-DE"/>
        </w:rPr>
        <w:br w:type="page"/>
      </w:r>
    </w:p>
    <w:p w14:paraId="7B2BC5EA" w14:textId="613977BD" w:rsidR="005A5BD5" w:rsidRPr="002616E4" w:rsidRDefault="005A5BD5" w:rsidP="004C2C7D">
      <w:pPr>
        <w:jc w:val="both"/>
        <w:rPr>
          <w:rFonts w:eastAsia="Calibri"/>
          <w:szCs w:val="22"/>
          <w:lang w:eastAsia="de-DE" w:bidi="de-DE"/>
        </w:rPr>
      </w:pPr>
      <w:r w:rsidRPr="002616E4">
        <w:rPr>
          <w:rFonts w:eastAsia="Calibri"/>
          <w:szCs w:val="22"/>
          <w:lang w:eastAsia="de-DE" w:bidi="de-DE"/>
        </w:rPr>
        <w:lastRenderedPageBreak/>
        <w:tab/>
        <w:t>4. [</w:t>
      </w:r>
      <w:r w:rsidRPr="008C4E20">
        <w:rPr>
          <w:rFonts w:eastAsia="Calibri"/>
          <w:i/>
          <w:szCs w:val="22"/>
          <w:lang w:eastAsia="de-DE" w:bidi="de-DE"/>
        </w:rPr>
        <w:t>a)</w:t>
      </w:r>
      <w:r w:rsidRPr="002616E4">
        <w:rPr>
          <w:rFonts w:eastAsia="Calibri"/>
          <w:szCs w:val="22"/>
          <w:lang w:eastAsia="de-DE" w:bidi="de-DE"/>
        </w:rPr>
        <w:t xml:space="preserve"> Die Vergütung für die Spareinlagen umfasst zwingend, jedoch ausschließlich:</w:t>
      </w:r>
    </w:p>
    <w:p w14:paraId="595498EB" w14:textId="77777777" w:rsidR="005A5BD5" w:rsidRPr="002616E4" w:rsidRDefault="005A5BD5" w:rsidP="004C2C7D">
      <w:pPr>
        <w:jc w:val="both"/>
        <w:rPr>
          <w:rFonts w:eastAsia="Calibri"/>
          <w:szCs w:val="22"/>
          <w:lang w:eastAsia="de-DE" w:bidi="de-DE"/>
        </w:rPr>
      </w:pPr>
    </w:p>
    <w:p w14:paraId="1D7B5367"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einen Basiszins und</w:t>
      </w:r>
    </w:p>
    <w:p w14:paraId="1F3B5CB4" w14:textId="77777777" w:rsidR="005A5BD5" w:rsidRPr="002616E4" w:rsidRDefault="005A5BD5" w:rsidP="004C2C7D">
      <w:pPr>
        <w:jc w:val="both"/>
        <w:rPr>
          <w:rFonts w:eastAsia="Calibri"/>
          <w:szCs w:val="22"/>
          <w:lang w:eastAsia="de-DE" w:bidi="de-DE"/>
        </w:rPr>
      </w:pPr>
    </w:p>
    <w:p w14:paraId="43602767"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eine Treueprämie.</w:t>
      </w:r>
    </w:p>
    <w:p w14:paraId="5AD4753B" w14:textId="77777777" w:rsidR="005A5BD5" w:rsidRPr="002616E4" w:rsidRDefault="005A5BD5" w:rsidP="004C2C7D">
      <w:pPr>
        <w:jc w:val="both"/>
        <w:rPr>
          <w:rFonts w:eastAsia="Calibri"/>
          <w:szCs w:val="22"/>
          <w:lang w:eastAsia="de-DE" w:bidi="de-DE"/>
        </w:rPr>
      </w:pPr>
    </w:p>
    <w:p w14:paraId="23A237F8"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b)</w:t>
      </w:r>
      <w:r w:rsidRPr="002616E4">
        <w:rPr>
          <w:rFonts w:eastAsia="Calibri"/>
          <w:szCs w:val="22"/>
          <w:lang w:eastAsia="de-DE" w:bidi="de-DE"/>
        </w:rPr>
        <w:t xml:space="preserve"> [Basiszins und Treueprämie werden zu einem Zinssatz auf Jahresbasis berechnet.</w:t>
      </w:r>
    </w:p>
    <w:p w14:paraId="2149EF46" w14:textId="77777777" w:rsidR="005A5BD5" w:rsidRPr="002616E4" w:rsidRDefault="005A5BD5" w:rsidP="004C2C7D">
      <w:pPr>
        <w:jc w:val="both"/>
        <w:rPr>
          <w:rFonts w:eastAsia="Calibri"/>
          <w:szCs w:val="22"/>
          <w:lang w:eastAsia="de-DE" w:bidi="de-DE"/>
        </w:rPr>
      </w:pPr>
    </w:p>
    <w:p w14:paraId="2C6D2387"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Einlagen erbringen einen Basiszins spätestens ab dem Kalendertag nach dem Kalendertag der Einzahlung und erbringen keinen Zins mehr ab dem Kalendertag der Abhebung.</w:t>
      </w:r>
    </w:p>
    <w:p w14:paraId="71F8B660" w14:textId="77777777" w:rsidR="005A5BD5" w:rsidRPr="002616E4" w:rsidRDefault="005A5BD5" w:rsidP="004C2C7D">
      <w:pPr>
        <w:jc w:val="both"/>
        <w:rPr>
          <w:rFonts w:eastAsia="Calibri"/>
          <w:szCs w:val="22"/>
          <w:lang w:eastAsia="de-DE" w:bidi="de-DE"/>
        </w:rPr>
      </w:pPr>
    </w:p>
    <w:p w14:paraId="6D7973E3"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Einzahlungen und Abhebungen, die am selben Kalendertag erfolgen, werden für die Berechnung des Basiszinses und der Treueprämie miteinander verrechnet. </w:t>
      </w:r>
    </w:p>
    <w:p w14:paraId="675FC4C6" w14:textId="77777777" w:rsidR="005A5BD5" w:rsidRPr="002616E4" w:rsidRDefault="005A5BD5" w:rsidP="004C2C7D">
      <w:pPr>
        <w:jc w:val="both"/>
        <w:rPr>
          <w:rFonts w:eastAsia="Calibri"/>
          <w:szCs w:val="22"/>
          <w:lang w:eastAsia="de-DE" w:bidi="de-DE"/>
        </w:rPr>
      </w:pPr>
    </w:p>
    <w:p w14:paraId="600CBCC4"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Der erworbene Basiszins wird einmal pro Kalenderjahr der Spareinlage zugeführt, sodass er in Abweichung von Absatz 2 ab dem 1. Januar des Jahres einen Basiszins erbringt.</w:t>
      </w:r>
    </w:p>
    <w:p w14:paraId="63B28710" w14:textId="77777777" w:rsidR="005A5BD5" w:rsidRPr="00A96CDC" w:rsidRDefault="005A5BD5" w:rsidP="004C2C7D">
      <w:pPr>
        <w:jc w:val="both"/>
        <w:rPr>
          <w:rFonts w:eastAsia="Calibri"/>
          <w:szCs w:val="22"/>
          <w:lang w:eastAsia="de-DE" w:bidi="de-DE"/>
        </w:rPr>
      </w:pPr>
    </w:p>
    <w:p w14:paraId="52F4652D"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Inhabern von Spareinlagen dürfen keine Sollzinsen berechnet werden. </w:t>
      </w:r>
    </w:p>
    <w:p w14:paraId="04DA4C90" w14:textId="77777777" w:rsidR="005A5BD5" w:rsidRPr="002616E4" w:rsidRDefault="005A5BD5" w:rsidP="004C2C7D">
      <w:pPr>
        <w:jc w:val="both"/>
        <w:rPr>
          <w:rFonts w:eastAsia="Calibri"/>
          <w:szCs w:val="22"/>
          <w:lang w:eastAsia="de-DE" w:bidi="de-DE"/>
        </w:rPr>
      </w:pPr>
    </w:p>
    <w:p w14:paraId="45B7E24A"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Treueprämie wird gewährt auf Einlagen, die während zwölf aufeinander folgender Monate demselben Konto gutgeschrieben waren.</w:t>
      </w:r>
    </w:p>
    <w:p w14:paraId="3A7110A4" w14:textId="77777777" w:rsidR="005A5BD5" w:rsidRPr="002616E4" w:rsidRDefault="005A5BD5" w:rsidP="004C2C7D">
      <w:pPr>
        <w:jc w:val="both"/>
        <w:rPr>
          <w:rFonts w:eastAsia="Calibri"/>
          <w:szCs w:val="22"/>
          <w:lang w:eastAsia="de-DE" w:bidi="de-DE"/>
        </w:rPr>
      </w:pPr>
    </w:p>
    <w:p w14:paraId="1E9842AA"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Bei einer Übertragung auf anderem Wege als per Dauerauftrag aus einer Spareinlage auf eine andere Spareinlage, die auf den Namen desselben Inhabers bei demselben Institut eröffnet ist, bleibt der für den Erwerb der Treueprämie auf die erste Spareinlage laufende Zeitraum erhalten, sofern sich der Betrag der Übertragung auf mindestens 500 EUR beläuft und der betreffende Inhaber im Laufe desselben Kalenderjahres nicht bereits drei Übertragungen dieser Art aus derselben Spareinlage vorgenommen hat.</w:t>
      </w:r>
    </w:p>
    <w:p w14:paraId="52423A7D" w14:textId="77777777" w:rsidR="005A5BD5" w:rsidRPr="002616E4" w:rsidRDefault="005A5BD5" w:rsidP="004C2C7D">
      <w:pPr>
        <w:jc w:val="both"/>
        <w:rPr>
          <w:rFonts w:eastAsia="Calibri"/>
          <w:szCs w:val="22"/>
          <w:lang w:eastAsia="de-DE" w:bidi="de-DE"/>
        </w:rPr>
      </w:pPr>
    </w:p>
    <w:p w14:paraId="51CAB93B"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Verfügt ein Institut über mehrere Bankenmarken, gilt der vorhergehende Absatz nur für Übertragungen innerhalb derselben Bankenmarke. Unter "Bankenmarke" versteht man ein getrennt organisiertes Vertriebsnetz innerhalb einer selben juristischen Einheit.</w:t>
      </w:r>
    </w:p>
    <w:p w14:paraId="6930F4E2" w14:textId="77777777" w:rsidR="005A5BD5" w:rsidRPr="002616E4" w:rsidRDefault="005A5BD5" w:rsidP="004C2C7D">
      <w:pPr>
        <w:jc w:val="both"/>
        <w:rPr>
          <w:rFonts w:eastAsia="Calibri"/>
          <w:szCs w:val="22"/>
          <w:lang w:eastAsia="de-DE" w:bidi="de-DE"/>
        </w:rPr>
      </w:pPr>
    </w:p>
    <w:p w14:paraId="162F63E3"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Bei den in den vorhergehenden Absätzen erwähnten Übertragungen wird die Treueprämie </w:t>
      </w:r>
      <w:r w:rsidRPr="002616E4">
        <w:rPr>
          <w:rFonts w:eastAsia="Calibri"/>
          <w:i/>
          <w:szCs w:val="22"/>
          <w:lang w:eastAsia="de-DE" w:bidi="de-DE"/>
        </w:rPr>
        <w:t>pro rata temporis</w:t>
      </w:r>
      <w:r w:rsidRPr="002616E4">
        <w:rPr>
          <w:rFonts w:eastAsia="Calibri"/>
          <w:szCs w:val="22"/>
          <w:lang w:eastAsia="de-DE" w:bidi="de-DE"/>
        </w:rPr>
        <w:t xml:space="preserve"> zu dem auf jede der Spareinlagen anwendbaren Zinssatz der Treueprämie berechnet. </w:t>
      </w:r>
    </w:p>
    <w:p w14:paraId="3317B084" w14:textId="77777777" w:rsidR="005A5BD5" w:rsidRPr="002616E4" w:rsidRDefault="005A5BD5" w:rsidP="004C2C7D">
      <w:pPr>
        <w:jc w:val="both"/>
        <w:rPr>
          <w:rFonts w:eastAsia="Calibri"/>
          <w:szCs w:val="22"/>
          <w:lang w:eastAsia="de-DE" w:bidi="de-DE"/>
        </w:rPr>
      </w:pPr>
    </w:p>
    <w:p w14:paraId="2EDB8282"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Unbeschadet der vorhergehenden Absätze beginnt der Zeitraum für den Erwerb der Treueprämie spätestens am Kalendertag nach dem Kalendertag der Einzahlung. Abhebungen werden auf die Beträge angerechnet, für die der Erwerbszeitraum am wenigsten weit fortgeschritten ist. Gilt für mehrere Beträge derselbe Erwerbszeitraum, erfolgt die Anrechnung zuerst auf den Betrag mit dem niedrigsten Treueprämiensatz. </w:t>
      </w:r>
    </w:p>
    <w:p w14:paraId="362A84CD" w14:textId="77777777" w:rsidR="005A5BD5" w:rsidRPr="002616E4" w:rsidRDefault="005A5BD5" w:rsidP="004C2C7D">
      <w:pPr>
        <w:jc w:val="both"/>
        <w:rPr>
          <w:rFonts w:eastAsia="Calibri"/>
          <w:szCs w:val="22"/>
          <w:lang w:eastAsia="de-DE" w:bidi="de-DE"/>
        </w:rPr>
      </w:pPr>
    </w:p>
    <w:p w14:paraId="18358291" w14:textId="77777777" w:rsidR="005A5BD5" w:rsidRDefault="005A5BD5" w:rsidP="004C2C7D">
      <w:pPr>
        <w:jc w:val="both"/>
        <w:rPr>
          <w:rFonts w:eastAsia="Calibri"/>
          <w:szCs w:val="22"/>
          <w:lang w:eastAsia="de-DE" w:bidi="de-DE"/>
        </w:rPr>
      </w:pPr>
      <w:r w:rsidRPr="002616E4">
        <w:rPr>
          <w:rFonts w:eastAsia="Calibri"/>
          <w:szCs w:val="22"/>
          <w:lang w:eastAsia="de-DE" w:bidi="de-DE"/>
        </w:rPr>
        <w:tab/>
        <w:t>Erworbene Treueprämien werden dem Konto jedes Quartal gutgeschrieben. Treueprämien, die im ersten, zweiten, dritten beziehungsweise vierten Quartal erworben werden, erbringen einen Basiszins ab dem 1. April, 1. Juli, 1. Oktober beziehungsweise 1. Januar,</w:t>
      </w:r>
      <w:r>
        <w:rPr>
          <w:rFonts w:eastAsia="Calibri"/>
          <w:szCs w:val="22"/>
          <w:lang w:eastAsia="de-DE" w:bidi="de-DE"/>
        </w:rPr>
        <w:t xml:space="preserve"> der auf dieses Quartal folgt.]</w:t>
      </w:r>
    </w:p>
    <w:p w14:paraId="57DEC333" w14:textId="77777777" w:rsidR="007D4A9A" w:rsidRDefault="007D4A9A" w:rsidP="004C2C7D">
      <w:pPr>
        <w:jc w:val="both"/>
        <w:rPr>
          <w:rFonts w:eastAsia="Calibri"/>
          <w:szCs w:val="22"/>
          <w:lang w:eastAsia="de-DE" w:bidi="de-DE"/>
        </w:rPr>
      </w:pPr>
    </w:p>
    <w:p w14:paraId="17F36328"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lastRenderedPageBreak/>
        <w:tab/>
      </w:r>
      <w:r w:rsidRPr="008C4E20">
        <w:rPr>
          <w:rFonts w:eastAsia="Calibri"/>
          <w:i/>
          <w:szCs w:val="22"/>
          <w:lang w:eastAsia="de-DE" w:bidi="de-DE"/>
        </w:rPr>
        <w:t>c)</w:t>
      </w:r>
      <w:r w:rsidRPr="002616E4">
        <w:rPr>
          <w:rFonts w:eastAsia="Calibri"/>
          <w:szCs w:val="22"/>
          <w:lang w:eastAsia="de-DE" w:bidi="de-DE"/>
        </w:rPr>
        <w:t xml:space="preserve"> Der Basiszinssatz, den ein Institut auf Spareinlagen gewährt, die es entgegennimmt, darf den höchsten der beiden folgenden Zinssätze nicht überschreiten:</w:t>
      </w:r>
    </w:p>
    <w:p w14:paraId="6F2FB106" w14:textId="77777777" w:rsidR="005A5BD5" w:rsidRPr="002616E4" w:rsidRDefault="005A5BD5" w:rsidP="004C2C7D">
      <w:pPr>
        <w:jc w:val="both"/>
        <w:rPr>
          <w:rFonts w:eastAsia="Calibri"/>
          <w:szCs w:val="22"/>
          <w:lang w:eastAsia="de-DE" w:bidi="de-DE"/>
        </w:rPr>
      </w:pPr>
    </w:p>
    <w:p w14:paraId="13A71590"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- 3 Prozent,</w:t>
      </w:r>
    </w:p>
    <w:p w14:paraId="0BF2FBD3" w14:textId="77777777" w:rsidR="005A5BD5" w:rsidRPr="002616E4" w:rsidRDefault="005A5BD5" w:rsidP="004C2C7D">
      <w:pPr>
        <w:jc w:val="both"/>
        <w:rPr>
          <w:rFonts w:eastAsia="Calibri"/>
          <w:szCs w:val="22"/>
          <w:lang w:eastAsia="de-DE" w:bidi="de-DE"/>
        </w:rPr>
      </w:pPr>
    </w:p>
    <w:p w14:paraId="03B37E36"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 den Hauptrefinanzierungssatz der Europäischen Zentralbank, der am zehnten des Monats vor dem laufenden Kalenderhalbjahr anwendbar war. </w:t>
      </w:r>
    </w:p>
    <w:p w14:paraId="17FD85B5" w14:textId="77777777" w:rsidR="005A5BD5" w:rsidRPr="002616E4" w:rsidRDefault="005A5BD5" w:rsidP="004C2C7D">
      <w:pPr>
        <w:jc w:val="both"/>
        <w:rPr>
          <w:rFonts w:eastAsia="Calibri"/>
          <w:szCs w:val="22"/>
          <w:lang w:eastAsia="de-DE" w:bidi="de-DE"/>
        </w:rPr>
      </w:pPr>
    </w:p>
    <w:p w14:paraId="73FF2B0C"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[Erhöhungen des Basiszinssatzes werden für einen Zeitraum von mindestens drei Monaten beibehalten, außer bei Herabsetzung des Hauptrefinanzierungssatzes der Europäischen Zentralbank.]</w:t>
      </w:r>
    </w:p>
    <w:p w14:paraId="1F235157" w14:textId="77777777" w:rsidR="005A5BD5" w:rsidRPr="002616E4" w:rsidRDefault="005A5BD5" w:rsidP="004C2C7D">
      <w:pPr>
        <w:jc w:val="both"/>
        <w:rPr>
          <w:rFonts w:eastAsia="Calibri"/>
          <w:szCs w:val="22"/>
          <w:lang w:eastAsia="de-DE" w:bidi="de-DE"/>
        </w:rPr>
      </w:pPr>
    </w:p>
    <w:p w14:paraId="28F43253"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Unbeschadet der Bestimmung von Buchstabe </w:t>
      </w:r>
      <w:r w:rsidRPr="002616E4">
        <w:rPr>
          <w:rFonts w:eastAsia="Calibri"/>
          <w:i/>
          <w:szCs w:val="22"/>
          <w:lang w:eastAsia="de-DE" w:bidi="de-DE"/>
        </w:rPr>
        <w:t>e)</w:t>
      </w:r>
      <w:r w:rsidRPr="002616E4">
        <w:rPr>
          <w:rFonts w:eastAsia="Calibri"/>
          <w:szCs w:val="22"/>
          <w:lang w:eastAsia="de-DE" w:bidi="de-DE"/>
        </w:rPr>
        <w:t xml:space="preserve"> weiter unten darf der Zinssatz der Treueprämie: </w:t>
      </w:r>
    </w:p>
    <w:p w14:paraId="3B3B6B13" w14:textId="77777777" w:rsidR="005A5BD5" w:rsidRPr="002616E4" w:rsidRDefault="005A5BD5" w:rsidP="004C2C7D">
      <w:pPr>
        <w:jc w:val="both"/>
        <w:rPr>
          <w:rFonts w:eastAsia="Calibri"/>
          <w:szCs w:val="22"/>
          <w:lang w:eastAsia="de-DE" w:bidi="de-DE"/>
        </w:rPr>
      </w:pPr>
    </w:p>
    <w:p w14:paraId="71879855"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- 50 Prozent des [in Absatz 1] erwähnten maximalen Basiszinssatzes nicht überschreiten. Entspricht dieser Prozentsatz nicht einem Vielfachen eines Zehntelprozents, wird der Höchstsatz der Treueprämie auf das untere Zehntelprozent abgerundet, </w:t>
      </w:r>
    </w:p>
    <w:p w14:paraId="79EBEC50" w14:textId="77777777" w:rsidR="005A5BD5" w:rsidRPr="002616E4" w:rsidRDefault="005A5BD5" w:rsidP="004C2C7D">
      <w:pPr>
        <w:jc w:val="both"/>
        <w:rPr>
          <w:rFonts w:eastAsia="Calibri"/>
          <w:szCs w:val="22"/>
          <w:lang w:eastAsia="de-DE" w:bidi="de-DE"/>
        </w:rPr>
      </w:pPr>
    </w:p>
    <w:p w14:paraId="6AD5A794"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- 25 Prozent des Basiszinssatzes nicht unterschreiten. Entspricht dieser Prozentsatz nicht einem Vielfachen eines Zehntelprozents, wird der Mindestsatz der Treueprämie auf das untere Zehntelprozent abgerundet.</w:t>
      </w:r>
    </w:p>
    <w:p w14:paraId="218AD5F9" w14:textId="77777777" w:rsidR="005A5BD5" w:rsidRPr="002616E4" w:rsidRDefault="005A5BD5" w:rsidP="004C2C7D">
      <w:pPr>
        <w:jc w:val="both"/>
        <w:rPr>
          <w:rFonts w:eastAsia="Calibri"/>
          <w:szCs w:val="22"/>
          <w:lang w:eastAsia="de-DE" w:bidi="de-DE"/>
        </w:rPr>
      </w:pPr>
    </w:p>
    <w:p w14:paraId="663F7903"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d)</w:t>
      </w:r>
      <w:r w:rsidRPr="002616E4">
        <w:rPr>
          <w:rFonts w:eastAsia="Calibri"/>
          <w:szCs w:val="22"/>
          <w:lang w:eastAsia="de-DE" w:bidi="de-DE"/>
        </w:rPr>
        <w:t xml:space="preserve"> Auf jede Spareinlage findet zu einem bestimmten Zeitpunkt nur ein einziger Basiszinssatz Anwendung.</w:t>
      </w:r>
    </w:p>
    <w:p w14:paraId="2C1253D7" w14:textId="77777777" w:rsidR="005A5BD5" w:rsidRPr="002616E4" w:rsidRDefault="005A5BD5" w:rsidP="004C2C7D">
      <w:pPr>
        <w:jc w:val="both"/>
        <w:rPr>
          <w:rFonts w:eastAsia="Calibri"/>
          <w:szCs w:val="22"/>
          <w:lang w:eastAsia="de-DE" w:bidi="de-DE"/>
        </w:rPr>
      </w:pPr>
    </w:p>
    <w:p w14:paraId="56271A39"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e)</w:t>
      </w:r>
      <w:r w:rsidRPr="002616E4">
        <w:rPr>
          <w:rFonts w:eastAsia="Calibri"/>
          <w:szCs w:val="22"/>
          <w:lang w:eastAsia="de-DE" w:bidi="de-DE"/>
        </w:rPr>
        <w:t xml:space="preserve"> Die Treueprämie, die zu einem bestimmten Zeitpunkt gewährt wird, ist dieselbe für Neueinzahlungen wie für Einlagen, für die ein neuer Treuezeitraum beginnt. [Unbeschadet de</w:t>
      </w:r>
      <w:r>
        <w:rPr>
          <w:rFonts w:eastAsia="Calibri"/>
          <w:szCs w:val="22"/>
          <w:lang w:eastAsia="de-DE" w:bidi="de-DE"/>
        </w:rPr>
        <w:t>r Anwendung von Nr. 4 Buchstabe </w:t>
      </w:r>
      <w:r w:rsidRPr="002616E4">
        <w:rPr>
          <w:rFonts w:eastAsia="Calibri"/>
          <w:i/>
          <w:szCs w:val="22"/>
          <w:lang w:eastAsia="de-DE" w:bidi="de-DE"/>
        </w:rPr>
        <w:t>b)</w:t>
      </w:r>
      <w:r w:rsidRPr="002616E4">
        <w:rPr>
          <w:rFonts w:eastAsia="Calibri"/>
          <w:szCs w:val="22"/>
          <w:lang w:eastAsia="de-DE" w:bidi="de-DE"/>
        </w:rPr>
        <w:t xml:space="preserve"> Absatz 7 bleibt die bei Einzahlung oder zu Beginn eines neuen Treuezeitraums geltende Treueprämie während des gesamten Treuezeitraums anwendbar.]]</w:t>
      </w:r>
    </w:p>
    <w:p w14:paraId="3525E29C" w14:textId="77777777" w:rsidR="005A5BD5" w:rsidRPr="002616E4" w:rsidRDefault="005A5BD5" w:rsidP="004C2C7D">
      <w:pPr>
        <w:jc w:val="both"/>
        <w:rPr>
          <w:rFonts w:eastAsia="Calibri"/>
          <w:szCs w:val="22"/>
          <w:lang w:eastAsia="de-DE" w:bidi="de-DE"/>
        </w:rPr>
      </w:pPr>
    </w:p>
    <w:p w14:paraId="097355B7" w14:textId="0080EEC3" w:rsidR="005A5BD5" w:rsidRPr="002616E4" w:rsidRDefault="005A5BD5" w:rsidP="004C2C7D">
      <w:pPr>
        <w:jc w:val="both"/>
        <w:rPr>
          <w:rFonts w:eastAsia="Calibri"/>
          <w:szCs w:val="22"/>
          <w:lang w:eastAsia="de-DE" w:bidi="de-DE"/>
        </w:rPr>
      </w:pPr>
      <w:r w:rsidRPr="002616E4">
        <w:rPr>
          <w:rFonts w:eastAsia="Calibri"/>
          <w:szCs w:val="22"/>
          <w:lang w:eastAsia="de-DE" w:bidi="de-DE"/>
        </w:rPr>
        <w:tab/>
        <w:t>5. [Jedes Mal, wenn der Basiszins und die Treueprämie dem Konto gutgeschrieben werden, prüft d</w:t>
      </w:r>
      <w:r>
        <w:rPr>
          <w:rFonts w:eastAsia="Calibri"/>
          <w:szCs w:val="22"/>
          <w:lang w:eastAsia="de-DE" w:bidi="de-DE"/>
        </w:rPr>
        <w:t>as</w:t>
      </w:r>
      <w:r w:rsidRPr="002616E4">
        <w:rPr>
          <w:rFonts w:eastAsia="Calibri"/>
          <w:szCs w:val="22"/>
          <w:lang w:eastAsia="de-DE" w:bidi="de-DE"/>
        </w:rPr>
        <w:t xml:space="preserve"> verwahrende </w:t>
      </w:r>
      <w:r>
        <w:rPr>
          <w:rFonts w:eastAsia="Calibri"/>
          <w:szCs w:val="22"/>
          <w:lang w:eastAsia="de-DE" w:bidi="de-DE"/>
        </w:rPr>
        <w:t>Institut</w:t>
      </w:r>
      <w:r w:rsidRPr="002616E4">
        <w:rPr>
          <w:rFonts w:eastAsia="Calibri"/>
          <w:szCs w:val="22"/>
          <w:lang w:eastAsia="de-DE" w:bidi="de-DE"/>
        </w:rPr>
        <w:t xml:space="preserve">, ob die in </w:t>
      </w:r>
      <w:r w:rsidR="00C949AA">
        <w:rPr>
          <w:rFonts w:eastAsia="Calibri"/>
          <w:szCs w:val="22"/>
          <w:lang w:eastAsia="de-DE" w:bidi="de-DE"/>
        </w:rPr>
        <w:t>[</w:t>
      </w:r>
      <w:r w:rsidRPr="002616E4">
        <w:rPr>
          <w:rFonts w:eastAsia="Calibri"/>
          <w:szCs w:val="22"/>
          <w:lang w:eastAsia="de-DE" w:bidi="de-DE"/>
        </w:rPr>
        <w:t>Artikel 21</w:t>
      </w:r>
      <w:r w:rsidR="00C949AA">
        <w:rPr>
          <w:rFonts w:eastAsia="Calibri"/>
          <w:szCs w:val="22"/>
          <w:lang w:eastAsia="de-DE" w:bidi="de-DE"/>
        </w:rPr>
        <w:t xml:space="preserve"> Absatz 1</w:t>
      </w:r>
      <w:r w:rsidRPr="002616E4">
        <w:rPr>
          <w:rFonts w:eastAsia="Calibri"/>
          <w:szCs w:val="22"/>
          <w:lang w:eastAsia="de-DE" w:bidi="de-DE"/>
        </w:rPr>
        <w:t xml:space="preserve"> Nr. 5</w:t>
      </w:r>
      <w:r w:rsidR="00C949AA">
        <w:rPr>
          <w:rFonts w:eastAsia="Calibri"/>
          <w:szCs w:val="22"/>
          <w:lang w:eastAsia="de-DE" w:bidi="de-DE"/>
        </w:rPr>
        <w:t>]</w:t>
      </w:r>
      <w:r w:rsidRPr="002616E4">
        <w:rPr>
          <w:rFonts w:eastAsia="Calibri"/>
          <w:szCs w:val="22"/>
          <w:lang w:eastAsia="de-DE" w:bidi="de-DE"/>
        </w:rPr>
        <w:t xml:space="preserve"> des E</w:t>
      </w:r>
      <w:r w:rsidR="009251F9" w:rsidRPr="002616E4">
        <w:rPr>
          <w:rFonts w:eastAsia="Calibri"/>
          <w:szCs w:val="22"/>
          <w:lang w:eastAsia="de-DE" w:bidi="de-DE"/>
        </w:rPr>
        <w:t>s</w:t>
      </w:r>
      <w:r w:rsidRPr="002616E4">
        <w:rPr>
          <w:rFonts w:eastAsia="Calibri"/>
          <w:szCs w:val="22"/>
          <w:lang w:eastAsia="de-DE" w:bidi="de-DE"/>
        </w:rPr>
        <w:t>tGB 92 festgelegte Grenze erreicht ist, und berücksichtigt dazu alle während des Besteuerungszeitraum</w:t>
      </w:r>
      <w:r>
        <w:rPr>
          <w:rFonts w:eastAsia="Calibri"/>
          <w:szCs w:val="22"/>
          <w:lang w:eastAsia="de-DE" w:bidi="de-DE"/>
        </w:rPr>
        <w:t>s</w:t>
      </w:r>
      <w:r w:rsidRPr="002616E4">
        <w:rPr>
          <w:rFonts w:eastAsia="Calibri"/>
          <w:szCs w:val="22"/>
          <w:lang w:eastAsia="de-DE" w:bidi="de-DE"/>
        </w:rPr>
        <w:t xml:space="preserve"> gewährten Beträge.]</w:t>
      </w:r>
    </w:p>
    <w:p w14:paraId="28ABF532" w14:textId="77777777" w:rsidR="005A5BD5" w:rsidRPr="002616E4" w:rsidRDefault="005A5BD5" w:rsidP="004C2C7D">
      <w:pPr>
        <w:jc w:val="both"/>
        <w:rPr>
          <w:rFonts w:eastAsia="Calibri"/>
          <w:szCs w:val="22"/>
          <w:lang w:eastAsia="de-DE" w:bidi="de-DE"/>
        </w:rPr>
      </w:pPr>
    </w:p>
    <w:p w14:paraId="67EA3CFA" w14:textId="532C6411" w:rsidR="005A5BD5" w:rsidRPr="002616E4" w:rsidRDefault="005A5BD5" w:rsidP="004C2C7D">
      <w:pPr>
        <w:jc w:val="both"/>
        <w:rPr>
          <w:rFonts w:eastAsia="Calibri"/>
          <w:szCs w:val="22"/>
          <w:lang w:eastAsia="de-DE" w:bidi="de-DE"/>
        </w:rPr>
      </w:pPr>
      <w:r w:rsidRPr="002616E4">
        <w:rPr>
          <w:rFonts w:eastAsia="Calibri"/>
          <w:i/>
          <w:szCs w:val="22"/>
          <w:lang w:eastAsia="de-DE" w:bidi="de-DE"/>
        </w:rPr>
        <w:t xml:space="preserve">[Art. 2 </w:t>
      </w:r>
      <w:r w:rsidR="00C949AA">
        <w:rPr>
          <w:rFonts w:eastAsia="Calibri"/>
          <w:i/>
          <w:szCs w:val="22"/>
          <w:lang w:eastAsia="de-DE" w:bidi="de-DE"/>
        </w:rPr>
        <w:t>einziger Absatz einleitende Bestimmung abgeändert durch Art. 2 des K.E. vom 20. Dezember 2020</w:t>
      </w:r>
      <w:r w:rsidR="0086766B">
        <w:rPr>
          <w:rFonts w:eastAsia="Calibri"/>
          <w:i/>
          <w:szCs w:val="22"/>
          <w:lang w:eastAsia="de-DE" w:bidi="de-DE"/>
        </w:rPr>
        <w:t> (I)</w:t>
      </w:r>
      <w:r w:rsidR="00C949AA">
        <w:rPr>
          <w:rFonts w:eastAsia="Calibri"/>
          <w:i/>
          <w:szCs w:val="22"/>
          <w:lang w:eastAsia="de-DE" w:bidi="de-DE"/>
        </w:rPr>
        <w:t xml:space="preserve"> (B.S. vom 29. Dezember 2020); </w:t>
      </w:r>
      <w:r w:rsidRPr="002616E4">
        <w:rPr>
          <w:rFonts w:eastAsia="Calibri"/>
          <w:i/>
          <w:szCs w:val="22"/>
          <w:lang w:eastAsia="de-DE" w:bidi="de-DE"/>
        </w:rPr>
        <w:t xml:space="preserve">einziger Absatz Nr. 1 ersetzt durch Art. 1 des K.E. vom 13. Oktober 1997 (B.S. vom 30. Oktober 1997) und abgeändert durch Art. 6 § 24 Nr. 1 des K.E. vom 20. Juli 2000 (B.S. vom 30. August 2000); einziger Absatz Nr. 3 ersetzt durch Art. 2 des K.E. vom 13. Oktober 1997 (B.S. vom 30. Oktober 1997) und abgeändert durch Art. 3 Nr. 40 des K.E. vom 20. Juli 2000 (B.S. vom 30. August 2000), selbst abgeändert durch Art. 37 Nr. 6 des K.E. vom 13. Juli 2001 (B.S. vom 11. August 2001), durch Art. 6 § 24 Nr. 2 des K.E. vom 20. Juli 2000 (B.S. vom 30. August 2000), selbst widerrufen durch Art. 37 Nr. 5 des K.E. vom 13. Juli 2001 (B.S. vom 11. August 2001), und durch Art. 3 des K.E. vom 13. Juli 2001 (B.S. vom 11. August 2001); einziger Absatz Nr. 4 ersetzt durch Art. 1 des K.E. vom 7. Dezember 2008 (II) (B.S. vom 22. Dezember 2008); einziger Absatz Nr. 4 Buchstabe b) ersetzt durch Art. 1 Nr. 1 des K.E. vom 21. September 2013 (B.S. vom 27. September 2013); einziger Absatz Nr. 4 Buchstabe c) neuer Absatz 2 eingefügt durch Art. 1 Nr. 2 erster </w:t>
      </w:r>
      <w:r w:rsidRPr="002616E4">
        <w:rPr>
          <w:rFonts w:eastAsia="Calibri"/>
          <w:i/>
          <w:szCs w:val="22"/>
          <w:lang w:eastAsia="de-DE" w:bidi="de-DE"/>
        </w:rPr>
        <w:lastRenderedPageBreak/>
        <w:t>Gedankenstrich des K.E. vom 21. September 2013 (B.S. vom 27. September 2013); einziger Absatz Nr. 4 Buchstabe c) Abs. 3 erster Gedankenstrich abgeändert durch Art. 1 Nr. 2 zweiter Gedankenstrich des K.E. vom 21. September 2013 (B.S. vom 27. September 2013); einziger Absatz Nr. 4 Buchstabe e) abgeändert durch Art. 1 Nr. 3 des K.E. vom 21. September 2013 (B.S. vom 27. September 2013); einziger Absatz Nr. 5 ersetzt durch Art. 2 des K.E. vom 21. September 2013 (B.S. vom 27. September 2013)</w:t>
      </w:r>
      <w:r w:rsidR="00C949AA">
        <w:rPr>
          <w:rFonts w:eastAsia="Calibri"/>
          <w:i/>
          <w:szCs w:val="22"/>
          <w:lang w:eastAsia="de-DE" w:bidi="de-DE"/>
        </w:rPr>
        <w:t xml:space="preserve"> und abgeändert durch Art. 2 des K.E. vom 20. Dezember 2020</w:t>
      </w:r>
      <w:r w:rsidR="0086766B">
        <w:rPr>
          <w:rFonts w:eastAsia="Calibri"/>
          <w:i/>
          <w:szCs w:val="22"/>
          <w:lang w:eastAsia="de-DE" w:bidi="de-DE"/>
        </w:rPr>
        <w:t> (I)</w:t>
      </w:r>
      <w:r w:rsidR="00C949AA">
        <w:rPr>
          <w:rFonts w:eastAsia="Calibri"/>
          <w:i/>
          <w:szCs w:val="22"/>
          <w:lang w:eastAsia="de-DE" w:bidi="de-DE"/>
        </w:rPr>
        <w:t xml:space="preserve"> (B.S. vom 29. Dezember 2020)</w:t>
      </w:r>
      <w:r w:rsidRPr="002616E4">
        <w:rPr>
          <w:rFonts w:eastAsia="Calibri"/>
          <w:i/>
          <w:szCs w:val="22"/>
          <w:lang w:eastAsia="de-DE" w:bidi="de-DE"/>
        </w:rPr>
        <w:t>]</w:t>
      </w:r>
    </w:p>
    <w:p w14:paraId="20323D68" w14:textId="77777777" w:rsidR="005A5BD5" w:rsidRDefault="005A5BD5" w:rsidP="004C2C7D">
      <w:pPr>
        <w:jc w:val="both"/>
        <w:rPr>
          <w:rFonts w:eastAsia="Calibri"/>
          <w:szCs w:val="22"/>
          <w:lang w:eastAsia="de-DE" w:bidi="de-DE"/>
        </w:rPr>
      </w:pPr>
    </w:p>
    <w:p w14:paraId="426A788D" w14:textId="77777777" w:rsidR="00515F91" w:rsidRDefault="00515F91" w:rsidP="004C2C7D">
      <w:pPr>
        <w:jc w:val="both"/>
        <w:rPr>
          <w:rFonts w:eastAsia="Calibri"/>
          <w:szCs w:val="22"/>
          <w:lang w:eastAsia="de-DE" w:bidi="de-DE"/>
        </w:rPr>
      </w:pPr>
    </w:p>
    <w:p w14:paraId="099F94CA" w14:textId="77777777" w:rsidR="00515F91" w:rsidRPr="00480CB5" w:rsidRDefault="00515F91" w:rsidP="00515F91">
      <w:pPr>
        <w:jc w:val="center"/>
      </w:pPr>
      <w:r>
        <w:rPr>
          <w:rFonts w:eastAsia="Calibri"/>
          <w:szCs w:val="22"/>
          <w:lang w:eastAsia="de-DE" w:bidi="de-DE"/>
        </w:rPr>
        <w:t>[</w:t>
      </w:r>
      <w:r w:rsidRPr="00515F91">
        <w:rPr>
          <w:i/>
        </w:rPr>
        <w:t>Abschnitt 2</w:t>
      </w:r>
      <w:r w:rsidRPr="00480CB5">
        <w:rPr>
          <w:i/>
        </w:rPr>
        <w:t>bis</w:t>
      </w:r>
      <w:r w:rsidRPr="00480CB5">
        <w:t> - Zinsen neuer und außerhalb der Berufstätigkeit des Darlehensgebers abgeschlossener Darlehen</w:t>
      </w:r>
    </w:p>
    <w:p w14:paraId="4A1BBB82" w14:textId="77777777" w:rsidR="00515F91" w:rsidRPr="00480CB5" w:rsidRDefault="00515F91" w:rsidP="00515F91">
      <w:pPr>
        <w:jc w:val="center"/>
      </w:pPr>
    </w:p>
    <w:p w14:paraId="24F557EC" w14:textId="77777777" w:rsidR="00515F91" w:rsidRDefault="00515F91" w:rsidP="00515F91">
      <w:pPr>
        <w:jc w:val="center"/>
      </w:pPr>
      <w:r w:rsidRPr="00480CB5">
        <w:t>(Einkommensteuergesetzbuch 1992, Artikel 21 Absatz 2)</w:t>
      </w:r>
    </w:p>
    <w:p w14:paraId="733ACF93" w14:textId="77777777" w:rsidR="00515F91" w:rsidRDefault="00515F91" w:rsidP="00515F91">
      <w:pPr>
        <w:jc w:val="both"/>
      </w:pPr>
    </w:p>
    <w:p w14:paraId="323A2840" w14:textId="77777777" w:rsidR="00515F91" w:rsidRDefault="00515F91" w:rsidP="00515F91">
      <w:pPr>
        <w:jc w:val="both"/>
        <w:rPr>
          <w:rFonts w:eastAsia="Calibri"/>
          <w:i/>
          <w:szCs w:val="22"/>
          <w:lang w:eastAsia="de-DE" w:bidi="de-DE"/>
        </w:rPr>
      </w:pPr>
      <w:r>
        <w:rPr>
          <w:i/>
        </w:rPr>
        <w:t>[Abschnitt 2bis mit Art. 2bis eingefügt durch Art. </w:t>
      </w:r>
      <w:r>
        <w:rPr>
          <w:rFonts w:eastAsia="Calibri"/>
          <w:i/>
          <w:szCs w:val="22"/>
          <w:lang w:eastAsia="de-DE" w:bidi="de-DE"/>
        </w:rPr>
        <w:t>1 des K.E. vom 28. April 2017 (B.S. vom 9. Mai 2017)]</w:t>
      </w:r>
    </w:p>
    <w:p w14:paraId="7C26DDD0" w14:textId="77777777" w:rsidR="00515F91" w:rsidRPr="00515F91" w:rsidRDefault="00515F91" w:rsidP="00515F91">
      <w:pPr>
        <w:jc w:val="both"/>
        <w:rPr>
          <w:i/>
        </w:rPr>
      </w:pPr>
    </w:p>
    <w:p w14:paraId="7A186819" w14:textId="77777777" w:rsidR="00515F91" w:rsidRDefault="00515F91" w:rsidP="00515F91">
      <w:pPr>
        <w:jc w:val="both"/>
        <w:rPr>
          <w:rFonts w:eastAsia="Calibri"/>
          <w:szCs w:val="22"/>
          <w:lang w:eastAsia="de-DE" w:bidi="de-DE"/>
        </w:rPr>
      </w:pPr>
    </w:p>
    <w:p w14:paraId="155E8AE2" w14:textId="77777777" w:rsidR="00515F91" w:rsidRPr="00480CB5" w:rsidRDefault="00515F91" w:rsidP="00515F91">
      <w:pPr>
        <w:jc w:val="both"/>
      </w:pPr>
      <w:r>
        <w:tab/>
      </w:r>
      <w:r w:rsidRPr="00515F91">
        <w:rPr>
          <w:b/>
        </w:rPr>
        <w:t>Art. 2</w:t>
      </w:r>
      <w:r w:rsidRPr="00515F91">
        <w:rPr>
          <w:b/>
          <w:i/>
        </w:rPr>
        <w:t>bis</w:t>
      </w:r>
      <w:r w:rsidRPr="00480CB5">
        <w:t> - In Artikel 21 Absatz 1 Nr. 13 des Einkommensteuergesetzbuches 1992 erwähnte Unternehmen müssen ab dem Jahr nach dem Jahr, in dem das betreffende Darlehen abgeschlossen worden ist, jährlich vor dem 31. März einen Beleg erstellen, in dem:</w:t>
      </w:r>
    </w:p>
    <w:p w14:paraId="6702C70E" w14:textId="77777777" w:rsidR="00515F91" w:rsidRPr="00480CB5" w:rsidRDefault="00515F91" w:rsidP="00515F91">
      <w:pPr>
        <w:jc w:val="both"/>
      </w:pPr>
    </w:p>
    <w:p w14:paraId="709B64CF" w14:textId="77777777" w:rsidR="00515F91" w:rsidRPr="00480CB5" w:rsidRDefault="00515F91" w:rsidP="00515F91">
      <w:pPr>
        <w:jc w:val="both"/>
      </w:pPr>
      <w:r w:rsidRPr="00480CB5">
        <w:tab/>
      </w:r>
      <w:r w:rsidRPr="00480CB5">
        <w:rPr>
          <w:i/>
        </w:rPr>
        <w:t>a)</w:t>
      </w:r>
      <w:r w:rsidRPr="00480CB5">
        <w:t> der Betrag der Zinsen angegeben ist, die im Laufe des vorhergehenden Jahres gezahlt worden sind,</w:t>
      </w:r>
    </w:p>
    <w:p w14:paraId="14775BA7" w14:textId="77777777" w:rsidR="00515F91" w:rsidRDefault="00515F91" w:rsidP="00515F91">
      <w:pPr>
        <w:jc w:val="both"/>
      </w:pPr>
    </w:p>
    <w:p w14:paraId="4203D249" w14:textId="77777777" w:rsidR="00515F91" w:rsidRPr="00480CB5" w:rsidRDefault="00515F91" w:rsidP="00515F91">
      <w:pPr>
        <w:jc w:val="both"/>
      </w:pPr>
      <w:r w:rsidRPr="00480CB5">
        <w:tab/>
      </w:r>
      <w:r w:rsidRPr="00480CB5">
        <w:rPr>
          <w:i/>
        </w:rPr>
        <w:t>b)</w:t>
      </w:r>
      <w:r w:rsidRPr="00480CB5">
        <w:t> bescheinigt wird, ob das Unternehmen während des gesamten vorhergehenden Jahres oder, wenn das Darlehen im Laufe des vorhergehenden Jahres abgeschlossen worden ist, während des gesamten Teils dieses Jahres ab dem Zeitpunkt, an dem das Darlehen abgeschlossen worden ist, die in Artikel 21 Absatz 1 Nr. 13 desselben Gesetzbuches vorgesehenen Bedingungen erfüllt oder nicht.</w:t>
      </w:r>
    </w:p>
    <w:p w14:paraId="27A71256" w14:textId="77777777" w:rsidR="00515F91" w:rsidRPr="00480CB5" w:rsidRDefault="00515F91" w:rsidP="00515F91">
      <w:pPr>
        <w:jc w:val="both"/>
      </w:pPr>
    </w:p>
    <w:p w14:paraId="4F774296" w14:textId="77777777" w:rsidR="00515F91" w:rsidRPr="00480CB5" w:rsidRDefault="00515F91" w:rsidP="00515F91">
      <w:pPr>
        <w:jc w:val="both"/>
      </w:pPr>
      <w:r w:rsidRPr="00480CB5">
        <w:tab/>
        <w:t>Der in Absatz 1 vorgesehene Beleg muss dem Darlehensgeber innerhalb der in Absatz 1 vorgesehenen Frist ausgehändigt werden.</w:t>
      </w:r>
    </w:p>
    <w:p w14:paraId="2D424A10" w14:textId="77777777" w:rsidR="00515F91" w:rsidRPr="00480CB5" w:rsidRDefault="00515F91" w:rsidP="00515F91">
      <w:pPr>
        <w:jc w:val="both"/>
      </w:pPr>
    </w:p>
    <w:p w14:paraId="63200BEC" w14:textId="0F7C3A6C" w:rsidR="00515F91" w:rsidRPr="00480CB5" w:rsidRDefault="00515F91" w:rsidP="00515F91">
      <w:pPr>
        <w:jc w:val="both"/>
      </w:pPr>
      <w:r w:rsidRPr="00480CB5">
        <w:tab/>
      </w:r>
      <w:r w:rsidR="00E54B0C">
        <w:t>[</w:t>
      </w:r>
      <w:r w:rsidR="00E54B0C" w:rsidRPr="00B50BE7">
        <w:t>Eine Kopie des in Absatz 1 vorgesehenen Belegs muss der Verwaltung innerhalb der in Absatz 1 vorgesehenen Frist elektronisch übermittelt werden.</w:t>
      </w:r>
      <w:r w:rsidR="00E54B0C">
        <w:t>]</w:t>
      </w:r>
    </w:p>
    <w:p w14:paraId="5F763AD8" w14:textId="77777777" w:rsidR="00515F91" w:rsidRPr="00480CB5" w:rsidRDefault="00515F91" w:rsidP="00515F91">
      <w:pPr>
        <w:jc w:val="both"/>
      </w:pPr>
    </w:p>
    <w:p w14:paraId="55BC4FB4" w14:textId="77777777" w:rsidR="00515F91" w:rsidRDefault="00515F91" w:rsidP="00515F91">
      <w:pPr>
        <w:jc w:val="both"/>
      </w:pPr>
      <w:r w:rsidRPr="00480CB5">
        <w:tab/>
        <w:t>Der Darlehensgeber muss sein Exemplar der betreffenden Belege zur Verfügung der Verwaltung bereithalten.</w:t>
      </w:r>
      <w:r>
        <w:rPr>
          <w:rFonts w:eastAsia="Calibri"/>
          <w:szCs w:val="22"/>
          <w:lang w:eastAsia="de-DE" w:bidi="de-DE"/>
        </w:rPr>
        <w:t>]</w:t>
      </w:r>
      <w:r w:rsidRPr="00515F91">
        <w:t xml:space="preserve"> </w:t>
      </w:r>
    </w:p>
    <w:p w14:paraId="2BDA033F" w14:textId="77777777" w:rsidR="00E54B0C" w:rsidRDefault="00E54B0C" w:rsidP="00515F91">
      <w:pPr>
        <w:jc w:val="both"/>
      </w:pPr>
    </w:p>
    <w:p w14:paraId="65BB62B3" w14:textId="50BEB040" w:rsidR="00E54B0C" w:rsidRPr="00E54B0C" w:rsidRDefault="00E54B0C" w:rsidP="00515F91">
      <w:pPr>
        <w:jc w:val="both"/>
        <w:rPr>
          <w:i/>
        </w:rPr>
      </w:pPr>
      <w:r>
        <w:rPr>
          <w:i/>
        </w:rPr>
        <w:t>[Art. 2bis Abs. 3 ersetzt durch Art. 1 des K.E. vom 28. Juni 2019 (II) (B.S. vom 8. Juli 2019)]</w:t>
      </w:r>
    </w:p>
    <w:p w14:paraId="344A8110" w14:textId="77777777" w:rsidR="00515F91" w:rsidRPr="002616E4" w:rsidRDefault="00515F91" w:rsidP="00515F91">
      <w:pPr>
        <w:jc w:val="center"/>
        <w:rPr>
          <w:rFonts w:eastAsia="Calibri"/>
          <w:szCs w:val="22"/>
          <w:lang w:eastAsia="de-DE" w:bidi="de-DE"/>
        </w:rPr>
      </w:pPr>
    </w:p>
    <w:p w14:paraId="29460008" w14:textId="77777777" w:rsidR="005A5BD5" w:rsidRDefault="005A5BD5" w:rsidP="004C2C7D">
      <w:pPr>
        <w:jc w:val="both"/>
        <w:rPr>
          <w:rFonts w:eastAsia="Calibri"/>
          <w:szCs w:val="22"/>
          <w:lang w:eastAsia="de-DE" w:bidi="de-DE"/>
        </w:rPr>
      </w:pPr>
    </w:p>
    <w:p w14:paraId="039BC195" w14:textId="77777777" w:rsidR="00573383" w:rsidRDefault="00573383">
      <w:pPr>
        <w:rPr>
          <w:rFonts w:eastAsia="Calibri"/>
          <w:szCs w:val="22"/>
          <w:lang w:eastAsia="de-DE" w:bidi="de-DE"/>
        </w:rPr>
      </w:pPr>
      <w:r>
        <w:rPr>
          <w:rFonts w:eastAsia="Calibri"/>
          <w:szCs w:val="22"/>
          <w:lang w:eastAsia="de-DE" w:bidi="de-DE"/>
        </w:rPr>
        <w:br w:type="page"/>
      </w:r>
    </w:p>
    <w:p w14:paraId="7D7BF5BD" w14:textId="141BA529" w:rsidR="00F61BE0" w:rsidRDefault="00F61BE0" w:rsidP="00F61BE0">
      <w:pPr>
        <w:jc w:val="center"/>
      </w:pPr>
      <w:r>
        <w:rPr>
          <w:rFonts w:eastAsia="Calibri"/>
          <w:szCs w:val="22"/>
          <w:lang w:eastAsia="de-DE" w:bidi="de-DE"/>
        </w:rPr>
        <w:lastRenderedPageBreak/>
        <w:t>[</w:t>
      </w:r>
      <w:r w:rsidRPr="00F61BE0">
        <w:rPr>
          <w:i/>
          <w:iCs/>
        </w:rPr>
        <w:t>Abschnitt 2</w:t>
      </w:r>
      <w:r w:rsidRPr="002669E0">
        <w:rPr>
          <w:i/>
        </w:rPr>
        <w:t>ter</w:t>
      </w:r>
      <w:r w:rsidRPr="002669E0">
        <w:t xml:space="preserve"> - In Artikel 21 Absatz 1 Nr. 14 des Einkommensteuergesetz</w:t>
      </w:r>
      <w:r w:rsidRPr="002669E0">
        <w:softHyphen/>
        <w:t>buches 1992 erwähnter erster Teilbetrag der Dividenden</w:t>
      </w:r>
    </w:p>
    <w:p w14:paraId="178F54C4" w14:textId="77777777" w:rsidR="00F61BE0" w:rsidRDefault="00F61BE0" w:rsidP="00F61BE0">
      <w:pPr>
        <w:jc w:val="center"/>
      </w:pPr>
    </w:p>
    <w:p w14:paraId="70B3957A" w14:textId="77777777" w:rsidR="00F61BE0" w:rsidRPr="00F61BE0" w:rsidRDefault="00F61BE0" w:rsidP="00F61BE0">
      <w:pPr>
        <w:jc w:val="both"/>
        <w:rPr>
          <w:i/>
          <w:iCs/>
        </w:rPr>
      </w:pPr>
      <w:r>
        <w:rPr>
          <w:i/>
          <w:iCs/>
        </w:rPr>
        <w:t>[Abschnitt 2ter mit Art. 2ter eingefügt durch Art. 1 des K.E. vom 23. März 2019 (B.S. vom 5. April 2019)]</w:t>
      </w:r>
    </w:p>
    <w:p w14:paraId="347A64F4" w14:textId="77777777" w:rsidR="00F61BE0" w:rsidRPr="002669E0" w:rsidRDefault="00F61BE0" w:rsidP="00F61BE0">
      <w:pPr>
        <w:jc w:val="both"/>
      </w:pPr>
    </w:p>
    <w:p w14:paraId="567FB364" w14:textId="77777777" w:rsidR="00F61BE0" w:rsidRPr="002669E0" w:rsidRDefault="00F61BE0" w:rsidP="00F61BE0">
      <w:pPr>
        <w:jc w:val="both"/>
      </w:pPr>
    </w:p>
    <w:p w14:paraId="7C11D97E" w14:textId="77777777" w:rsidR="00F61BE0" w:rsidRDefault="00F61BE0" w:rsidP="00F61BE0">
      <w:pPr>
        <w:jc w:val="both"/>
        <w:rPr>
          <w:rFonts w:eastAsia="Calibri"/>
          <w:szCs w:val="22"/>
          <w:lang w:eastAsia="de-DE" w:bidi="de-DE"/>
        </w:rPr>
      </w:pPr>
      <w:r w:rsidRPr="002669E0">
        <w:tab/>
      </w:r>
      <w:r w:rsidRPr="00F61BE0">
        <w:rPr>
          <w:b/>
          <w:bCs/>
        </w:rPr>
        <w:t>Art. 2</w:t>
      </w:r>
      <w:r w:rsidRPr="00F61BE0">
        <w:rPr>
          <w:b/>
          <w:bCs/>
          <w:i/>
        </w:rPr>
        <w:t>ter</w:t>
      </w:r>
      <w:r w:rsidRPr="00F61BE0">
        <w:rPr>
          <w:b/>
          <w:bCs/>
        </w:rPr>
        <w:t> </w:t>
      </w:r>
      <w:r w:rsidRPr="002669E0">
        <w:t>- In Ausführung von Artikel 21 Absatz 4 des Einkommensteuergesetz</w:t>
      </w:r>
      <w:r w:rsidRPr="002669E0">
        <w:softHyphen/>
        <w:t>buches 1992 wird der in Artikel 21 Absatz 1 Nr. 14 des vorerwähnten Gesetzbuches erwähnte Betrag für die ab dem 1. Januar 2019 gezahlten oder zuerkannten Einkünfte auf 510 EUR gerundet.</w:t>
      </w:r>
      <w:r>
        <w:rPr>
          <w:rFonts w:eastAsia="Calibri"/>
          <w:szCs w:val="22"/>
          <w:lang w:eastAsia="de-DE" w:bidi="de-DE"/>
        </w:rPr>
        <w:t>]</w:t>
      </w:r>
    </w:p>
    <w:p w14:paraId="53D1B2A1" w14:textId="77777777" w:rsidR="00F61BE0" w:rsidRDefault="00F61BE0" w:rsidP="00F61BE0">
      <w:pPr>
        <w:jc w:val="center"/>
        <w:rPr>
          <w:rFonts w:eastAsia="Calibri"/>
          <w:szCs w:val="22"/>
          <w:lang w:eastAsia="de-DE" w:bidi="de-DE"/>
        </w:rPr>
      </w:pPr>
    </w:p>
    <w:p w14:paraId="2EBEAE12" w14:textId="77777777" w:rsidR="00F61BE0" w:rsidRPr="002616E4" w:rsidRDefault="00F61BE0" w:rsidP="00F61BE0">
      <w:pPr>
        <w:jc w:val="center"/>
        <w:rPr>
          <w:rFonts w:eastAsia="Calibri"/>
          <w:szCs w:val="22"/>
          <w:lang w:eastAsia="de-DE" w:bidi="de-DE"/>
        </w:rPr>
      </w:pPr>
    </w:p>
    <w:p w14:paraId="6428AB60" w14:textId="77777777" w:rsidR="005A5BD5" w:rsidRPr="002616E4" w:rsidRDefault="005A5BD5" w:rsidP="004C2C7D">
      <w:pPr>
        <w:jc w:val="both"/>
        <w:rPr>
          <w:rFonts w:eastAsia="Calibri"/>
          <w:szCs w:val="22"/>
          <w:lang w:eastAsia="de-DE" w:bidi="de-DE"/>
        </w:rPr>
      </w:pPr>
      <w:r w:rsidRPr="002616E4">
        <w:rPr>
          <w:rFonts w:eastAsia="Calibri"/>
          <w:i/>
          <w:szCs w:val="22"/>
          <w:lang w:eastAsia="de-DE" w:bidi="de-DE"/>
        </w:rPr>
        <w:t>Abschnitt 3 -</w:t>
      </w:r>
      <w:r w:rsidRPr="002616E4">
        <w:rPr>
          <w:rFonts w:eastAsia="Calibri"/>
          <w:szCs w:val="22"/>
          <w:lang w:eastAsia="de-DE" w:bidi="de-DE"/>
        </w:rPr>
        <w:t xml:space="preserve"> [Pauschalveranschlagung der Kosten, die von Nettoeinkommen aus Vermietung, Verpachtung, Nutzung und Überlassung von beweglichen Gütern und aus Urheberrechten abgezogen werden können]</w:t>
      </w:r>
    </w:p>
    <w:p w14:paraId="07435C9E" w14:textId="77777777" w:rsidR="005A5BD5" w:rsidRPr="002616E4" w:rsidRDefault="005A5BD5" w:rsidP="004C2C7D">
      <w:pPr>
        <w:jc w:val="center"/>
        <w:rPr>
          <w:rFonts w:eastAsia="Calibri"/>
          <w:szCs w:val="22"/>
          <w:lang w:eastAsia="de-DE" w:bidi="de-DE"/>
        </w:rPr>
      </w:pPr>
    </w:p>
    <w:p w14:paraId="3E44CB9A"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(Einkommensteuergesetzbuch 1992, Artikel 22 § 3)]</w:t>
      </w:r>
    </w:p>
    <w:p w14:paraId="7043A13E" w14:textId="77777777" w:rsidR="005A5BD5" w:rsidRPr="002616E4" w:rsidRDefault="005A5BD5" w:rsidP="004C2C7D">
      <w:pPr>
        <w:jc w:val="both"/>
        <w:rPr>
          <w:rFonts w:eastAsia="Calibri"/>
          <w:szCs w:val="22"/>
          <w:lang w:eastAsia="de-DE" w:bidi="de-DE"/>
        </w:rPr>
      </w:pPr>
    </w:p>
    <w:p w14:paraId="6D8DC09B" w14:textId="77777777" w:rsidR="005A5BD5" w:rsidRPr="002616E4" w:rsidRDefault="005A5BD5" w:rsidP="004C2C7D">
      <w:pPr>
        <w:jc w:val="both"/>
        <w:rPr>
          <w:rFonts w:eastAsia="Calibri"/>
          <w:szCs w:val="22"/>
          <w:lang w:eastAsia="de-DE" w:bidi="de-DE"/>
        </w:rPr>
      </w:pPr>
      <w:r w:rsidRPr="002616E4">
        <w:rPr>
          <w:rFonts w:eastAsia="Calibri"/>
          <w:i/>
          <w:szCs w:val="22"/>
          <w:lang w:eastAsia="de-DE" w:bidi="de-DE"/>
        </w:rPr>
        <w:t>[Überschrift von Abschnitt 3 abgeändert durch Art. 6 Nr. 1 des G. vom 16. Juli 2008 (B.S. vom 30. Juli 2008)]</w:t>
      </w:r>
    </w:p>
    <w:p w14:paraId="7222E886" w14:textId="77777777" w:rsidR="005A5BD5" w:rsidRPr="00A96CDC" w:rsidRDefault="005A5BD5" w:rsidP="004C2C7D">
      <w:pPr>
        <w:jc w:val="both"/>
        <w:rPr>
          <w:rFonts w:eastAsia="Calibri"/>
          <w:szCs w:val="22"/>
          <w:lang w:eastAsia="de-DE" w:bidi="de-DE"/>
        </w:rPr>
      </w:pPr>
    </w:p>
    <w:p w14:paraId="403F6460" w14:textId="77777777" w:rsidR="005A5BD5" w:rsidRPr="00A96CDC" w:rsidRDefault="005A5BD5" w:rsidP="004C2C7D">
      <w:pPr>
        <w:jc w:val="both"/>
        <w:rPr>
          <w:rFonts w:eastAsia="Calibri"/>
          <w:szCs w:val="22"/>
          <w:lang w:eastAsia="de-DE" w:bidi="de-DE"/>
        </w:rPr>
      </w:pPr>
    </w:p>
    <w:p w14:paraId="5AFA8EEA"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3</w:t>
      </w:r>
      <w:r w:rsidRPr="002616E4">
        <w:rPr>
          <w:rFonts w:eastAsia="Calibri"/>
          <w:szCs w:val="22"/>
          <w:lang w:eastAsia="de-DE" w:bidi="de-DE"/>
        </w:rPr>
        <w:t> - Für die Festlegung des Nettoeinkommens aus Vermietung, Verpachtung, Nutzung [und Überlassung von beweglichen Gütern und aus Urheberrechten] werden die Kosten, die ausgelegt wurden, um diese Einkünfte zu erwerben oder zu behalten, in Ermangelung beweiskräftiger Angaben pauschal auf 15 Prozent des Bruttobetrags festgelegt, wenn der Empfänger:</w:t>
      </w:r>
    </w:p>
    <w:p w14:paraId="59499141" w14:textId="77777777" w:rsidR="005A5BD5" w:rsidRPr="002616E4" w:rsidRDefault="005A5BD5" w:rsidP="004C2C7D">
      <w:pPr>
        <w:jc w:val="both"/>
        <w:rPr>
          <w:rFonts w:eastAsia="Calibri"/>
          <w:szCs w:val="22"/>
          <w:lang w:eastAsia="de-DE" w:bidi="de-DE"/>
        </w:rPr>
      </w:pPr>
    </w:p>
    <w:p w14:paraId="76565A2E" w14:textId="253E98DC"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1. Einwohner des Königreichs ist oder eine Gesellschaft, Vereinigung, Niederlassung oder Einrichtung ist, deren </w:t>
      </w:r>
      <w:r w:rsidR="00B90BCB">
        <w:rPr>
          <w:rFonts w:eastAsia="Calibri"/>
          <w:szCs w:val="22"/>
          <w:lang w:eastAsia="de-DE" w:bidi="de-DE"/>
        </w:rPr>
        <w:t>[…]</w:t>
      </w:r>
      <w:r w:rsidRPr="002616E4">
        <w:rPr>
          <w:rFonts w:eastAsia="Calibri"/>
          <w:szCs w:val="22"/>
          <w:lang w:eastAsia="de-DE" w:bidi="de-DE"/>
        </w:rPr>
        <w:t xml:space="preserve"> Hauptniederlassung oder Geschäftsführungs- oder Verwaltungssitz in Belgien liegt, und diese Güter nicht zur Ausübung der beruflichen Tätigkeit des betreffenden Empfängers genutzt werden,</w:t>
      </w:r>
    </w:p>
    <w:p w14:paraId="69CE824E" w14:textId="77777777" w:rsidR="005A5BD5" w:rsidRPr="002616E4" w:rsidRDefault="005A5BD5" w:rsidP="004C2C7D">
      <w:pPr>
        <w:jc w:val="both"/>
        <w:rPr>
          <w:rFonts w:eastAsia="Calibri"/>
          <w:szCs w:val="22"/>
          <w:lang w:eastAsia="de-DE" w:bidi="de-DE"/>
        </w:rPr>
      </w:pPr>
    </w:p>
    <w:p w14:paraId="3269E43F" w14:textId="04D9A09A" w:rsidR="005A5BD5" w:rsidRPr="002616E4" w:rsidRDefault="005A5BD5" w:rsidP="004C2C7D">
      <w:pPr>
        <w:jc w:val="both"/>
        <w:rPr>
          <w:rFonts w:eastAsia="Calibri"/>
          <w:szCs w:val="22"/>
          <w:lang w:eastAsia="de-DE" w:bidi="de-DE"/>
        </w:rPr>
      </w:pPr>
      <w:r w:rsidRPr="002616E4">
        <w:rPr>
          <w:rFonts w:eastAsia="Calibri"/>
          <w:szCs w:val="22"/>
          <w:lang w:eastAsia="de-DE" w:bidi="de-DE"/>
        </w:rPr>
        <w:tab/>
        <w:t>2. ein in Artikel 227 des Einkommensteuergesetzbuches 1992 erwähnter Gebiets</w:t>
      </w:r>
      <w:r w:rsidRPr="002616E4">
        <w:rPr>
          <w:rFonts w:eastAsia="Calibri"/>
          <w:szCs w:val="22"/>
          <w:lang w:eastAsia="de-DE" w:bidi="de-DE"/>
        </w:rPr>
        <w:softHyphen/>
        <w:t>fremder ist und dieser Gebietsfremde die Güter nicht für die berufliche Tätigkeit nutzt, die er in einer in Belgien gelegenen Niederlassung ausübt.</w:t>
      </w:r>
    </w:p>
    <w:p w14:paraId="23660CAC" w14:textId="77777777" w:rsidR="005A5BD5" w:rsidRPr="002616E4" w:rsidRDefault="005A5BD5" w:rsidP="004C2C7D">
      <w:pPr>
        <w:jc w:val="both"/>
        <w:rPr>
          <w:rFonts w:eastAsia="Calibri"/>
          <w:szCs w:val="22"/>
          <w:lang w:eastAsia="de-DE" w:bidi="de-DE"/>
        </w:rPr>
      </w:pPr>
    </w:p>
    <w:p w14:paraId="1D00D66A" w14:textId="7EBC6799" w:rsidR="005A5BD5" w:rsidRPr="002616E4" w:rsidRDefault="005A5BD5" w:rsidP="004C2C7D">
      <w:pPr>
        <w:jc w:val="both"/>
        <w:rPr>
          <w:rFonts w:eastAsia="Calibri"/>
          <w:szCs w:val="22"/>
          <w:lang w:eastAsia="de-DE" w:bidi="de-DE"/>
        </w:rPr>
      </w:pPr>
      <w:r w:rsidRPr="002616E4">
        <w:rPr>
          <w:rFonts w:eastAsia="Calibri"/>
          <w:i/>
          <w:szCs w:val="22"/>
          <w:lang w:eastAsia="de-DE" w:bidi="de-DE"/>
        </w:rPr>
        <w:t>[Art. 3 einziger Absatz einleitende Bestimmung abgeändert durch Art. 6 Nr. 2 des G. vom 16. Juli 2008 (B.S. vom 30. Juli 2008)</w:t>
      </w:r>
      <w:r w:rsidR="00B90BCB">
        <w:rPr>
          <w:rFonts w:eastAsia="Calibri"/>
          <w:i/>
          <w:szCs w:val="22"/>
          <w:lang w:eastAsia="de-DE" w:bidi="de-DE"/>
        </w:rPr>
        <w:t>; einziger Absatz Nr. 1 abgeändert durch Art. 1 des K.E. vom 29. August 2019</w:t>
      </w:r>
      <w:r w:rsidR="00865C4C">
        <w:rPr>
          <w:rFonts w:eastAsia="Calibri"/>
          <w:i/>
          <w:szCs w:val="22"/>
          <w:lang w:eastAsia="de-DE" w:bidi="de-DE"/>
        </w:rPr>
        <w:t> (I)</w:t>
      </w:r>
      <w:r w:rsidR="00B90BCB">
        <w:rPr>
          <w:rFonts w:eastAsia="Calibri"/>
          <w:i/>
          <w:szCs w:val="22"/>
          <w:lang w:eastAsia="de-DE" w:bidi="de-DE"/>
        </w:rPr>
        <w:t xml:space="preserve"> (B.S. vom 13. September 2019)</w:t>
      </w:r>
      <w:r w:rsidRPr="002616E4">
        <w:rPr>
          <w:rFonts w:eastAsia="Calibri"/>
          <w:i/>
          <w:szCs w:val="22"/>
          <w:lang w:eastAsia="de-DE" w:bidi="de-DE"/>
        </w:rPr>
        <w:t>]</w:t>
      </w:r>
    </w:p>
    <w:p w14:paraId="442E4F43" w14:textId="77777777" w:rsidR="005A5BD5" w:rsidRPr="00A96CDC" w:rsidRDefault="005A5BD5" w:rsidP="004C2C7D">
      <w:pPr>
        <w:jc w:val="both"/>
        <w:rPr>
          <w:rFonts w:eastAsia="Calibri"/>
          <w:szCs w:val="22"/>
          <w:lang w:eastAsia="de-DE" w:bidi="de-DE"/>
        </w:rPr>
      </w:pPr>
    </w:p>
    <w:p w14:paraId="3FA3A45E" w14:textId="77777777" w:rsidR="005A5BD5" w:rsidRPr="00A96CDC" w:rsidRDefault="005A5BD5" w:rsidP="004C2C7D">
      <w:pPr>
        <w:jc w:val="both"/>
        <w:rPr>
          <w:rFonts w:eastAsia="Calibri"/>
          <w:szCs w:val="22"/>
          <w:lang w:eastAsia="de-DE" w:bidi="de-DE"/>
        </w:rPr>
      </w:pPr>
    </w:p>
    <w:p w14:paraId="159E02C0"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4</w:t>
      </w:r>
      <w:r w:rsidRPr="002616E4">
        <w:rPr>
          <w:rFonts w:eastAsia="Calibri"/>
          <w:szCs w:val="22"/>
          <w:lang w:eastAsia="de-DE" w:bidi="de-DE"/>
        </w:rPr>
        <w:t> - Der in Artikel 3 erwähnte Prozentsatz wird:</w:t>
      </w:r>
    </w:p>
    <w:p w14:paraId="69DC432F" w14:textId="77777777" w:rsidR="005A5BD5" w:rsidRPr="002616E4" w:rsidRDefault="005A5BD5" w:rsidP="004C2C7D">
      <w:pPr>
        <w:jc w:val="both"/>
        <w:rPr>
          <w:rFonts w:eastAsia="Calibri"/>
          <w:szCs w:val="22"/>
          <w:lang w:eastAsia="de-DE" w:bidi="de-DE"/>
        </w:rPr>
      </w:pPr>
    </w:p>
    <w:p w14:paraId="420A4E32"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[1. auf 50 Prozent des ersten Teilbetrags von 10.000 EUR und auf 25 Prozent des Teil</w:t>
      </w:r>
      <w:r w:rsidR="007D4A9A">
        <w:rPr>
          <w:rFonts w:eastAsia="Calibri"/>
          <w:szCs w:val="22"/>
          <w:lang w:eastAsia="de-DE" w:bidi="de-DE"/>
        </w:rPr>
        <w:softHyphen/>
      </w:r>
      <w:r w:rsidRPr="002616E4">
        <w:rPr>
          <w:rFonts w:eastAsia="Calibri"/>
          <w:szCs w:val="22"/>
          <w:lang w:eastAsia="de-DE" w:bidi="de-DE"/>
        </w:rPr>
        <w:t>betrags von 10.000 EUR bis 20.000 EUR erhöht, wenn es sich um Urheberrechte handelt,]</w:t>
      </w:r>
    </w:p>
    <w:p w14:paraId="2066B220" w14:textId="77777777" w:rsidR="005A5BD5" w:rsidRPr="002616E4" w:rsidRDefault="005A5BD5" w:rsidP="004C2C7D">
      <w:pPr>
        <w:jc w:val="both"/>
        <w:rPr>
          <w:rFonts w:eastAsia="Calibri"/>
          <w:szCs w:val="22"/>
          <w:lang w:eastAsia="de-DE" w:bidi="de-DE"/>
        </w:rPr>
      </w:pPr>
    </w:p>
    <w:p w14:paraId="42363632" w14:textId="77777777" w:rsidR="00573383" w:rsidRDefault="00573383">
      <w:pPr>
        <w:rPr>
          <w:rFonts w:eastAsia="Calibri"/>
          <w:szCs w:val="22"/>
          <w:lang w:eastAsia="de-DE" w:bidi="de-DE"/>
        </w:rPr>
      </w:pPr>
      <w:r>
        <w:rPr>
          <w:rFonts w:eastAsia="Calibri"/>
          <w:szCs w:val="22"/>
          <w:lang w:eastAsia="de-DE" w:bidi="de-DE"/>
        </w:rPr>
        <w:br w:type="page"/>
      </w:r>
    </w:p>
    <w:p w14:paraId="1ECC46ED" w14:textId="20FDC333" w:rsidR="005A5BD5" w:rsidRPr="002616E4" w:rsidRDefault="005A5BD5" w:rsidP="004C2C7D">
      <w:pPr>
        <w:jc w:val="both"/>
        <w:rPr>
          <w:rFonts w:eastAsia="Calibri"/>
          <w:szCs w:val="22"/>
          <w:lang w:eastAsia="de-DE" w:bidi="de-DE"/>
        </w:rPr>
      </w:pPr>
      <w:r w:rsidRPr="002616E4">
        <w:rPr>
          <w:rFonts w:eastAsia="Calibri"/>
          <w:szCs w:val="22"/>
          <w:lang w:eastAsia="de-DE" w:bidi="de-DE"/>
        </w:rPr>
        <w:lastRenderedPageBreak/>
        <w:tab/>
        <w:t xml:space="preserve">[2.] auf 50 Prozent erhöht für die Vermietung von: </w:t>
      </w:r>
    </w:p>
    <w:p w14:paraId="1DC9A8A6" w14:textId="77777777" w:rsidR="005A5BD5" w:rsidRPr="002616E4" w:rsidRDefault="005A5BD5" w:rsidP="004C2C7D">
      <w:pPr>
        <w:jc w:val="both"/>
        <w:rPr>
          <w:rFonts w:eastAsia="Calibri"/>
          <w:szCs w:val="22"/>
          <w:lang w:eastAsia="de-DE" w:bidi="de-DE"/>
        </w:rPr>
      </w:pPr>
    </w:p>
    <w:p w14:paraId="5C57A4C5"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a)</w:t>
      </w:r>
      <w:r w:rsidRPr="002616E4">
        <w:rPr>
          <w:rFonts w:eastAsia="Calibri"/>
          <w:szCs w:val="22"/>
          <w:lang w:eastAsia="de-DE" w:bidi="de-DE"/>
        </w:rPr>
        <w:t xml:space="preserve"> Theaterrequisiten und -kostümen,</w:t>
      </w:r>
    </w:p>
    <w:p w14:paraId="295909D0" w14:textId="77777777" w:rsidR="005A5BD5" w:rsidRPr="002616E4" w:rsidRDefault="005A5BD5" w:rsidP="004C2C7D">
      <w:pPr>
        <w:jc w:val="both"/>
        <w:rPr>
          <w:rFonts w:eastAsia="Calibri"/>
          <w:szCs w:val="22"/>
          <w:lang w:eastAsia="de-DE" w:bidi="de-DE"/>
        </w:rPr>
      </w:pPr>
    </w:p>
    <w:p w14:paraId="57DA27C9" w14:textId="77777777" w:rsidR="005A5BD5"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b)</w:t>
      </w:r>
      <w:r w:rsidRPr="002616E4">
        <w:rPr>
          <w:rFonts w:eastAsia="Calibri"/>
          <w:szCs w:val="22"/>
          <w:lang w:eastAsia="de-DE" w:bidi="de-DE"/>
        </w:rPr>
        <w:t xml:space="preserve"> Mobiliar, das in möblierten Wohnungen, Zimmern oder Appartements vorhanden ist; wenn für bewegliche und unbewegliche Güter eine Gesamtmiete verlangt wird, gelten 2/5 des betreffenden Mietpreises als Bruttobetrag der steuerpflichtigen Einkünfte aus beweglichen Gütern,</w:t>
      </w:r>
    </w:p>
    <w:p w14:paraId="67351ED6" w14:textId="77777777" w:rsidR="00515F91" w:rsidRDefault="00515F91">
      <w:pPr>
        <w:rPr>
          <w:rFonts w:eastAsia="Calibri"/>
          <w:szCs w:val="22"/>
          <w:lang w:eastAsia="de-DE" w:bidi="de-DE"/>
        </w:rPr>
      </w:pPr>
    </w:p>
    <w:p w14:paraId="7BECE941"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[3.] auf 85 Prozent erhöht für:</w:t>
      </w:r>
    </w:p>
    <w:p w14:paraId="4ABD69EF" w14:textId="77777777" w:rsidR="005A5BD5" w:rsidRPr="002616E4" w:rsidRDefault="005A5BD5" w:rsidP="004C2C7D">
      <w:pPr>
        <w:jc w:val="both"/>
        <w:rPr>
          <w:rFonts w:eastAsia="Calibri"/>
          <w:szCs w:val="22"/>
          <w:lang w:eastAsia="de-DE" w:bidi="de-DE"/>
        </w:rPr>
      </w:pPr>
    </w:p>
    <w:p w14:paraId="5F95D176"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a)</w:t>
      </w:r>
      <w:r w:rsidRPr="002616E4">
        <w:rPr>
          <w:rFonts w:eastAsia="Calibri"/>
          <w:szCs w:val="22"/>
          <w:lang w:eastAsia="de-DE" w:bidi="de-DE"/>
        </w:rPr>
        <w:t xml:space="preserve"> Vermietung von Partituren, Libretti und anderen gleichartigen Gegenständen, die zum Orchestermaterial für Theatervorführungen gehören, </w:t>
      </w:r>
    </w:p>
    <w:p w14:paraId="11917B54" w14:textId="77777777" w:rsidR="005A5BD5" w:rsidRPr="002616E4" w:rsidRDefault="005A5BD5" w:rsidP="004C2C7D">
      <w:pPr>
        <w:jc w:val="both"/>
        <w:rPr>
          <w:rFonts w:eastAsia="Calibri"/>
          <w:szCs w:val="22"/>
          <w:lang w:eastAsia="de-DE" w:bidi="de-DE"/>
        </w:rPr>
      </w:pPr>
    </w:p>
    <w:p w14:paraId="153508BB"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b)</w:t>
      </w:r>
      <w:r w:rsidRPr="002616E4">
        <w:rPr>
          <w:rFonts w:eastAsia="Calibri"/>
          <w:szCs w:val="22"/>
          <w:lang w:eastAsia="de-DE" w:bidi="de-DE"/>
        </w:rPr>
        <w:t xml:space="preserve"> Überlassung des Rechts zur Pressung der für den Handel bestimmten Schallplatten,</w:t>
      </w:r>
    </w:p>
    <w:p w14:paraId="2E9C9ECA" w14:textId="77777777" w:rsidR="005A5BD5" w:rsidRPr="002616E4" w:rsidRDefault="005A5BD5" w:rsidP="004C2C7D">
      <w:pPr>
        <w:jc w:val="both"/>
        <w:rPr>
          <w:rFonts w:eastAsia="Calibri"/>
          <w:szCs w:val="22"/>
          <w:lang w:eastAsia="de-DE" w:bidi="de-DE"/>
        </w:rPr>
      </w:pPr>
    </w:p>
    <w:p w14:paraId="49846F58" w14:textId="77777777" w:rsidR="005A5BD5"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c)</w:t>
      </w:r>
      <w:r w:rsidRPr="002616E4">
        <w:rPr>
          <w:rFonts w:eastAsia="Calibri"/>
          <w:szCs w:val="22"/>
          <w:lang w:eastAsia="de-DE" w:bidi="de-DE"/>
        </w:rPr>
        <w:t xml:space="preserve"> [Überlassung des Rechts auf Vertrieb oder Vorführung von Kinofilmen und ähnlichen audiovisuellen Werken und die Überlassung des Rechts auf Ausstrahlung oder ungekürzte, zeitgleiche Weiterverbreitung von Fernseh- und Rundfunkprogrammen.]</w:t>
      </w:r>
    </w:p>
    <w:p w14:paraId="04AB256C" w14:textId="77777777" w:rsidR="00F87A8B" w:rsidRDefault="00F87A8B" w:rsidP="004C2C7D">
      <w:pPr>
        <w:jc w:val="both"/>
        <w:rPr>
          <w:rFonts w:eastAsia="Calibri"/>
          <w:szCs w:val="22"/>
          <w:lang w:eastAsia="de-DE" w:bidi="de-DE"/>
        </w:rPr>
      </w:pPr>
    </w:p>
    <w:p w14:paraId="681CFE75" w14:textId="578BDF2E" w:rsidR="00F87A8B" w:rsidRPr="00336CEC" w:rsidRDefault="00F87A8B" w:rsidP="00F87A8B">
      <w:pPr>
        <w:ind w:firstLine="708"/>
        <w:jc w:val="both"/>
      </w:pPr>
      <w:r>
        <w:rPr>
          <w:rFonts w:eastAsia="Calibri"/>
          <w:szCs w:val="22"/>
          <w:lang w:eastAsia="de-DE" w:bidi="de-DE"/>
        </w:rPr>
        <w:t>[</w:t>
      </w:r>
      <w:r w:rsidRPr="00336CEC">
        <w:t>Die in Absatz 1 Nr. 1 erwähnten Beträge werden jährlich gemäß Artikel 178 § 3 Absatz 1 und § 7 des Einkommensteuergesetzbuches 1992 an den Verbraucherpreisindex des Königreichs angepasst.</w:t>
      </w:r>
    </w:p>
    <w:p w14:paraId="3B5AC963" w14:textId="77777777" w:rsidR="00F87A8B" w:rsidRPr="00336CEC" w:rsidRDefault="00F87A8B" w:rsidP="00F87A8B">
      <w:pPr>
        <w:jc w:val="both"/>
      </w:pPr>
    </w:p>
    <w:p w14:paraId="5DD7BF4E" w14:textId="24ECB09C" w:rsidR="00F87A8B" w:rsidRPr="002616E4" w:rsidRDefault="00F87A8B" w:rsidP="00F87A8B">
      <w:pPr>
        <w:ind w:firstLine="708"/>
        <w:jc w:val="both"/>
        <w:rPr>
          <w:rFonts w:eastAsia="Calibri"/>
          <w:szCs w:val="22"/>
          <w:lang w:eastAsia="de-DE" w:bidi="de-DE"/>
        </w:rPr>
      </w:pPr>
      <w:r w:rsidRPr="00336CEC">
        <w:t>Die in Absatz 1 Nr. 1 erwähnten Beträge werden gemäß Artikel 129/1 des Einkommensteuergesetzbuches 1992 verringert, wenn der Besteuerungszeitraum aus einem anderen Grund als dem Tod keinem vollständigen Kalenderjahr entspricht.</w:t>
      </w:r>
      <w:r>
        <w:rPr>
          <w:rFonts w:eastAsia="Calibri"/>
          <w:szCs w:val="22"/>
          <w:lang w:eastAsia="de-DE" w:bidi="de-DE"/>
        </w:rPr>
        <w:t>]</w:t>
      </w:r>
    </w:p>
    <w:p w14:paraId="78B05324" w14:textId="77777777" w:rsidR="005A5BD5" w:rsidRPr="002616E4" w:rsidRDefault="005A5BD5" w:rsidP="004C2C7D">
      <w:pPr>
        <w:jc w:val="both"/>
        <w:rPr>
          <w:rFonts w:eastAsia="Calibri"/>
          <w:szCs w:val="22"/>
          <w:lang w:eastAsia="de-DE" w:bidi="de-DE"/>
        </w:rPr>
      </w:pPr>
    </w:p>
    <w:p w14:paraId="1F72738E" w14:textId="71B22EFA" w:rsidR="005A5BD5" w:rsidRPr="002616E4" w:rsidRDefault="005A5BD5" w:rsidP="004C2C7D">
      <w:pPr>
        <w:jc w:val="both"/>
        <w:rPr>
          <w:rFonts w:eastAsia="Calibri"/>
          <w:szCs w:val="22"/>
          <w:lang w:eastAsia="de-DE" w:bidi="de-DE"/>
        </w:rPr>
      </w:pPr>
      <w:r w:rsidRPr="002616E4">
        <w:rPr>
          <w:rFonts w:eastAsia="Calibri"/>
          <w:i/>
          <w:szCs w:val="22"/>
          <w:lang w:eastAsia="de-DE" w:bidi="de-DE"/>
        </w:rPr>
        <w:t>[Art. 4</w:t>
      </w:r>
      <w:r w:rsidR="00F87A8B">
        <w:rPr>
          <w:rFonts w:eastAsia="Calibri"/>
          <w:i/>
          <w:szCs w:val="22"/>
          <w:lang w:eastAsia="de-DE" w:bidi="de-DE"/>
        </w:rPr>
        <w:t xml:space="preserve"> Abs. 1</w:t>
      </w:r>
      <w:r w:rsidRPr="002616E4">
        <w:rPr>
          <w:rFonts w:eastAsia="Calibri"/>
          <w:i/>
          <w:szCs w:val="22"/>
          <w:lang w:eastAsia="de-DE" w:bidi="de-DE"/>
        </w:rPr>
        <w:t xml:space="preserve"> </w:t>
      </w:r>
      <w:r w:rsidR="00F87A8B">
        <w:rPr>
          <w:rFonts w:eastAsia="Calibri"/>
          <w:i/>
          <w:szCs w:val="22"/>
          <w:lang w:eastAsia="de-DE" w:bidi="de-DE"/>
        </w:rPr>
        <w:t xml:space="preserve">(früherer </w:t>
      </w:r>
      <w:r w:rsidRPr="002616E4">
        <w:rPr>
          <w:rFonts w:eastAsia="Calibri"/>
          <w:i/>
          <w:szCs w:val="22"/>
          <w:lang w:eastAsia="de-DE" w:bidi="de-DE"/>
        </w:rPr>
        <w:t>einziger Absatz</w:t>
      </w:r>
      <w:r w:rsidR="00F87A8B">
        <w:rPr>
          <w:rFonts w:eastAsia="Calibri"/>
          <w:i/>
          <w:szCs w:val="22"/>
          <w:lang w:eastAsia="de-DE" w:bidi="de-DE"/>
        </w:rPr>
        <w:t>)</w:t>
      </w:r>
      <w:r w:rsidRPr="002616E4">
        <w:rPr>
          <w:rFonts w:eastAsia="Calibri"/>
          <w:i/>
          <w:szCs w:val="22"/>
          <w:lang w:eastAsia="de-DE" w:bidi="de-DE"/>
        </w:rPr>
        <w:t xml:space="preserve"> neue Nummer 1 eingefügt durch Art. 6 Nr. 3 Buchstabe a) des G. vom 16. Juli 2008 (B.S. vom 30. Juli 2008); </w:t>
      </w:r>
      <w:r w:rsidR="00F87A8B">
        <w:rPr>
          <w:rFonts w:eastAsia="Calibri"/>
          <w:i/>
          <w:szCs w:val="22"/>
          <w:lang w:eastAsia="de-DE" w:bidi="de-DE"/>
        </w:rPr>
        <w:t>Abs. 1</w:t>
      </w:r>
      <w:r w:rsidRPr="002616E4">
        <w:rPr>
          <w:rFonts w:eastAsia="Calibri"/>
          <w:i/>
          <w:szCs w:val="22"/>
          <w:lang w:eastAsia="de-DE" w:bidi="de-DE"/>
        </w:rPr>
        <w:t xml:space="preserve"> frühere Nummer 1 umnummeriert zu Nr. 2 durch Art. 6 Nr. 3 Buchstabe a) des G. vom 16. Juli 2008 (B.S. vom 30. Juli 2008); </w:t>
      </w:r>
      <w:r w:rsidR="00F87A8B">
        <w:rPr>
          <w:rFonts w:eastAsia="Calibri"/>
          <w:i/>
          <w:szCs w:val="22"/>
          <w:lang w:eastAsia="de-DE" w:bidi="de-DE"/>
        </w:rPr>
        <w:t>Abs. 1</w:t>
      </w:r>
      <w:r w:rsidRPr="002616E4">
        <w:rPr>
          <w:rFonts w:eastAsia="Calibri"/>
          <w:i/>
          <w:szCs w:val="22"/>
          <w:lang w:eastAsia="de-DE" w:bidi="de-DE"/>
        </w:rPr>
        <w:t xml:space="preserve"> frühere Nummer 2 umnummeriert zu Nr. 3 durch Art. 6 Nr. 3 Buchstabe b) des G. vom 16. Juli 2008 (B.S. vom 30. Juli 2008); Abs</w:t>
      </w:r>
      <w:r w:rsidR="00F87A8B">
        <w:rPr>
          <w:rFonts w:eastAsia="Calibri"/>
          <w:i/>
          <w:szCs w:val="22"/>
          <w:lang w:eastAsia="de-DE" w:bidi="de-DE"/>
        </w:rPr>
        <w:t>. 1</w:t>
      </w:r>
      <w:r w:rsidRPr="002616E4">
        <w:rPr>
          <w:rFonts w:eastAsia="Calibri"/>
          <w:i/>
          <w:szCs w:val="22"/>
          <w:lang w:eastAsia="de-DE" w:bidi="de-DE"/>
        </w:rPr>
        <w:t xml:space="preserve"> Nr. 3 einziger Absatz Buchstabe c) ersetzt durch Art. 1 des K.E. vom 12. August 1994 (II) (B.S. vom 10. September 1994)</w:t>
      </w:r>
      <w:r w:rsidR="00F87A8B">
        <w:rPr>
          <w:rFonts w:eastAsia="Calibri"/>
          <w:i/>
          <w:szCs w:val="22"/>
          <w:lang w:eastAsia="de-DE" w:bidi="de-DE"/>
        </w:rPr>
        <w:t xml:space="preserve">; Abs. 2 und 3 eingefügt durch Art. 109 des G. vom 26. Dezember 2022 (B.S. vom </w:t>
      </w:r>
      <w:r w:rsidR="009B3128">
        <w:rPr>
          <w:rFonts w:eastAsia="Calibri"/>
          <w:i/>
          <w:szCs w:val="22"/>
          <w:lang w:eastAsia="de-DE" w:bidi="de-DE"/>
        </w:rPr>
        <w:t>30. Dezember 2022)</w:t>
      </w:r>
      <w:r w:rsidRPr="002616E4">
        <w:rPr>
          <w:rFonts w:eastAsia="Calibri"/>
          <w:i/>
          <w:szCs w:val="22"/>
          <w:lang w:eastAsia="de-DE" w:bidi="de-DE"/>
        </w:rPr>
        <w:t>]</w:t>
      </w:r>
    </w:p>
    <w:p w14:paraId="04C7E296" w14:textId="77777777" w:rsidR="005A5BD5" w:rsidRPr="002616E4" w:rsidRDefault="005A5BD5" w:rsidP="004C2C7D">
      <w:pPr>
        <w:jc w:val="both"/>
        <w:rPr>
          <w:rFonts w:eastAsia="Calibri"/>
          <w:szCs w:val="22"/>
          <w:lang w:eastAsia="de-DE" w:bidi="de-DE"/>
        </w:rPr>
      </w:pPr>
    </w:p>
    <w:p w14:paraId="034C395C" w14:textId="77777777" w:rsidR="005A5BD5" w:rsidRPr="002616E4" w:rsidRDefault="005A5BD5" w:rsidP="004C2C7D">
      <w:pPr>
        <w:jc w:val="both"/>
        <w:rPr>
          <w:rFonts w:eastAsia="Calibri"/>
          <w:szCs w:val="22"/>
          <w:lang w:eastAsia="de-DE" w:bidi="de-DE"/>
        </w:rPr>
      </w:pPr>
    </w:p>
    <w:p w14:paraId="1E413FFD" w14:textId="77777777" w:rsidR="005A5BD5" w:rsidRPr="002616E4" w:rsidRDefault="005A5BD5" w:rsidP="004C2C7D">
      <w:pPr>
        <w:jc w:val="both"/>
        <w:rPr>
          <w:lang w:eastAsia="de-DE" w:bidi="de-DE"/>
        </w:rPr>
      </w:pPr>
      <w:r w:rsidRPr="002616E4">
        <w:rPr>
          <w:lang w:eastAsia="de-DE" w:bidi="de-DE"/>
        </w:rPr>
        <w:tab/>
      </w:r>
      <w:r w:rsidRPr="002616E4">
        <w:rPr>
          <w:b/>
          <w:lang w:eastAsia="de-DE" w:bidi="de-DE"/>
        </w:rPr>
        <w:t>Art. 5</w:t>
      </w:r>
      <w:r w:rsidRPr="002616E4">
        <w:rPr>
          <w:lang w:eastAsia="de-DE" w:bidi="de-DE"/>
        </w:rPr>
        <w:t> - Kosten, die normalerweise zu Lasten des Empfängers der Einkünfte gehen und die, sei es aufgrund einer Vereinbarung oder nicht, vom Schuldner dieser Einkünfte getragen werden, werden für die Festlegung des Bruttoeinkommens den tatsächlich gewährten oder zuerkannten Summen hinzugefügt.</w:t>
      </w:r>
    </w:p>
    <w:p w14:paraId="48407DEA" w14:textId="77777777" w:rsidR="005A5BD5" w:rsidRPr="002616E4" w:rsidRDefault="005A5BD5" w:rsidP="004C2C7D">
      <w:pPr>
        <w:jc w:val="both"/>
        <w:rPr>
          <w:lang w:eastAsia="de-DE" w:bidi="de-DE"/>
        </w:rPr>
      </w:pPr>
    </w:p>
    <w:p w14:paraId="6D2B62E8" w14:textId="77777777" w:rsidR="005A5BD5" w:rsidRPr="002616E4" w:rsidRDefault="005A5BD5" w:rsidP="004C2C7D">
      <w:pPr>
        <w:jc w:val="both"/>
        <w:rPr>
          <w:lang w:eastAsia="de-DE" w:bidi="de-DE"/>
        </w:rPr>
      </w:pPr>
      <w:r w:rsidRPr="002616E4">
        <w:rPr>
          <w:lang w:eastAsia="de-DE" w:bidi="de-DE"/>
        </w:rPr>
        <w:tab/>
        <w:t>In dem in [Artikel 4 Nr. 3 Buchstabe </w:t>
      </w:r>
      <w:r w:rsidRPr="008C4E20">
        <w:rPr>
          <w:i/>
          <w:lang w:eastAsia="de-DE" w:bidi="de-DE"/>
        </w:rPr>
        <w:t>c)</w:t>
      </w:r>
      <w:r w:rsidRPr="002616E4">
        <w:rPr>
          <w:lang w:eastAsia="de-DE" w:bidi="de-DE"/>
        </w:rPr>
        <w:t xml:space="preserve">] erwähnten Fall werden Kosten für </w:t>
      </w:r>
      <w:r w:rsidRPr="00573383">
        <w:rPr>
          <w:vertAlign w:val="subscript"/>
          <w:lang w:eastAsia="de-DE" w:bidi="de-DE"/>
        </w:rPr>
        <w:t>Vervielfältigung</w:t>
      </w:r>
      <w:r w:rsidRPr="002616E4">
        <w:rPr>
          <w:lang w:eastAsia="de-DE" w:bidi="de-DE"/>
        </w:rPr>
        <w:t xml:space="preserve">, Untertitelung und Synchronisation von Filmen, einschließlich Trailern, sowie für den Transport dieser Filme ins Ausland, Zölle, Steuern auf Vermietungen beweglicher Güter, Kosten für die Übertragung der Gebühren und alle anderen gleichartigen Kosten, sofern sie vom Schuldner der Einkünfte getragen werden, dem steuerpflichtigen Bruttoeinkommen hinzugefügt. </w:t>
      </w:r>
    </w:p>
    <w:p w14:paraId="347E4383" w14:textId="77777777" w:rsidR="005A5BD5" w:rsidRPr="002616E4" w:rsidRDefault="005A5BD5" w:rsidP="004C2C7D">
      <w:pPr>
        <w:jc w:val="both"/>
        <w:rPr>
          <w:rFonts w:eastAsia="Calibri"/>
          <w:szCs w:val="22"/>
          <w:lang w:eastAsia="de-DE" w:bidi="de-DE"/>
        </w:rPr>
      </w:pPr>
    </w:p>
    <w:p w14:paraId="6AF0BB59" w14:textId="77777777" w:rsidR="005A5BD5" w:rsidRPr="002616E4" w:rsidRDefault="005A5BD5" w:rsidP="004C2C7D">
      <w:pPr>
        <w:jc w:val="both"/>
        <w:rPr>
          <w:rFonts w:eastAsia="Calibri"/>
          <w:szCs w:val="22"/>
          <w:lang w:eastAsia="de-DE" w:bidi="de-DE"/>
        </w:rPr>
      </w:pPr>
      <w:r w:rsidRPr="002616E4">
        <w:rPr>
          <w:rFonts w:eastAsia="Calibri"/>
          <w:i/>
          <w:szCs w:val="22"/>
          <w:lang w:eastAsia="de-DE" w:bidi="de-DE"/>
        </w:rPr>
        <w:t>[Art. 5 Abs. 2 abgeändert durch Art. 6 Nr. 4 des G. vom 16. Juli 2008 (B.S. vom 30. Juli 2008)]</w:t>
      </w:r>
    </w:p>
    <w:p w14:paraId="30503F77" w14:textId="77777777" w:rsidR="005A5BD5" w:rsidRPr="002616E4" w:rsidRDefault="005A5BD5" w:rsidP="004C2C7D">
      <w:pPr>
        <w:jc w:val="both"/>
        <w:rPr>
          <w:rFonts w:eastAsia="Calibri"/>
          <w:szCs w:val="22"/>
          <w:lang w:eastAsia="de-DE" w:bidi="de-DE"/>
        </w:rPr>
      </w:pPr>
    </w:p>
    <w:p w14:paraId="119F9512" w14:textId="77777777" w:rsidR="005A5BD5" w:rsidRPr="002616E4" w:rsidRDefault="005A5BD5" w:rsidP="004C2C7D">
      <w:pPr>
        <w:jc w:val="both"/>
        <w:rPr>
          <w:rFonts w:eastAsia="Calibri"/>
          <w:szCs w:val="22"/>
          <w:lang w:eastAsia="de-DE" w:bidi="de-DE"/>
        </w:rPr>
      </w:pPr>
    </w:p>
    <w:p w14:paraId="0B6412A3" w14:textId="77777777" w:rsidR="005A5BD5" w:rsidRPr="002616E4" w:rsidRDefault="005A5BD5" w:rsidP="004C2C7D">
      <w:pPr>
        <w:jc w:val="center"/>
        <w:rPr>
          <w:rFonts w:eastAsia="Calibri"/>
          <w:szCs w:val="22"/>
          <w:lang w:eastAsia="de-DE" w:bidi="de-DE"/>
        </w:rPr>
      </w:pPr>
      <w:r w:rsidRPr="002616E4">
        <w:rPr>
          <w:rFonts w:eastAsia="Calibri"/>
          <w:i/>
          <w:szCs w:val="22"/>
          <w:lang w:eastAsia="de-DE" w:bidi="de-DE"/>
        </w:rPr>
        <w:t>Abschnitt 4 -</w:t>
      </w:r>
      <w:r w:rsidRPr="002616E4">
        <w:rPr>
          <w:rFonts w:eastAsia="Calibri"/>
          <w:szCs w:val="22"/>
          <w:lang w:eastAsia="de-DE" w:bidi="de-DE"/>
        </w:rPr>
        <w:t xml:space="preserve"> Festlegung des Nettobetrags der Berufseinkünfte</w:t>
      </w:r>
    </w:p>
    <w:p w14:paraId="192BAE11" w14:textId="77777777" w:rsidR="005A5BD5" w:rsidRPr="002616E4" w:rsidRDefault="005A5BD5" w:rsidP="004C2C7D">
      <w:pPr>
        <w:jc w:val="center"/>
        <w:rPr>
          <w:rFonts w:eastAsia="Calibri"/>
          <w:szCs w:val="22"/>
          <w:lang w:eastAsia="de-DE" w:bidi="de-DE"/>
        </w:rPr>
      </w:pPr>
    </w:p>
    <w:p w14:paraId="3BC17427"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(Einkommensteuergesetzbuch 1992, Artikel 23 § 3 und 77)</w:t>
      </w:r>
    </w:p>
    <w:p w14:paraId="0791DBEE" w14:textId="77777777" w:rsidR="005A5BD5" w:rsidRPr="002616E4" w:rsidRDefault="005A5BD5" w:rsidP="004C2C7D">
      <w:pPr>
        <w:jc w:val="both"/>
        <w:rPr>
          <w:rFonts w:eastAsia="Calibri"/>
          <w:szCs w:val="22"/>
          <w:lang w:eastAsia="de-DE" w:bidi="de-DE"/>
        </w:rPr>
      </w:pPr>
    </w:p>
    <w:p w14:paraId="01AEF230" w14:textId="77777777" w:rsidR="005A5BD5" w:rsidRPr="002616E4" w:rsidRDefault="005A5BD5" w:rsidP="004C2C7D">
      <w:pPr>
        <w:jc w:val="both"/>
        <w:rPr>
          <w:rFonts w:eastAsia="Calibri"/>
          <w:szCs w:val="22"/>
          <w:lang w:eastAsia="de-DE" w:bidi="de-DE"/>
        </w:rPr>
      </w:pPr>
    </w:p>
    <w:p w14:paraId="2F8DBBCF"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6</w:t>
      </w:r>
      <w:r w:rsidRPr="002616E4">
        <w:rPr>
          <w:rFonts w:eastAsia="Calibri"/>
          <w:szCs w:val="22"/>
          <w:lang w:eastAsia="de-DE" w:bidi="de-DE"/>
        </w:rPr>
        <w:t> - [In den Artikeln 23 § 2 und 68 bis 80 des Einkommensteuergesetzbuches 1992 vorgesehene Abzüge werden gemäß den in den Artikeln 7 bis 10 festgelegten Modalitäten in folgender Reihenfolge vorgenommen:]</w:t>
      </w:r>
    </w:p>
    <w:p w14:paraId="6B6AB9A8" w14:textId="77777777" w:rsidR="005A5BD5" w:rsidRPr="002616E4" w:rsidRDefault="005A5BD5" w:rsidP="004C2C7D">
      <w:pPr>
        <w:jc w:val="both"/>
        <w:rPr>
          <w:rFonts w:eastAsia="Calibri"/>
          <w:szCs w:val="22"/>
          <w:lang w:eastAsia="de-DE" w:bidi="de-DE"/>
        </w:rPr>
      </w:pPr>
    </w:p>
    <w:p w14:paraId="7861617B"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1. [in Artikel 52 Nr. 7 [</w:t>
      </w:r>
      <w:r w:rsidR="009251F9">
        <w:rPr>
          <w:rFonts w:eastAsia="Calibri"/>
          <w:szCs w:val="22"/>
          <w:lang w:eastAsia="de-DE" w:bidi="de-DE"/>
        </w:rPr>
        <w:t>…</w:t>
      </w:r>
      <w:r w:rsidRPr="002616E4">
        <w:rPr>
          <w:rFonts w:eastAsia="Calibri"/>
          <w:szCs w:val="22"/>
          <w:lang w:eastAsia="de-DE" w:bidi="de-DE"/>
        </w:rPr>
        <w:t xml:space="preserve">] desselben Gesetzbuches erwähnte Beiträge, die vom Schuldner der Berufseinkünfte </w:t>
      </w:r>
      <w:r>
        <w:rPr>
          <w:rFonts w:eastAsia="Calibri"/>
          <w:szCs w:val="22"/>
          <w:lang w:eastAsia="de-DE" w:bidi="de-DE"/>
        </w:rPr>
        <w:t>einb</w:t>
      </w:r>
      <w:r w:rsidRPr="002616E4">
        <w:rPr>
          <w:rFonts w:eastAsia="Calibri"/>
          <w:szCs w:val="22"/>
          <w:lang w:eastAsia="de-DE" w:bidi="de-DE"/>
        </w:rPr>
        <w:t>ehalten worden sind, und in Artikel 52 Nr. 8 desselben Gesetzbuches erwähnte Summen, die vom Steuerpflichtigen gezahlt worden sind,]</w:t>
      </w:r>
    </w:p>
    <w:p w14:paraId="4AE5AAD6" w14:textId="77777777" w:rsidR="007D4A9A" w:rsidRDefault="007D4A9A" w:rsidP="004C2C7D">
      <w:pPr>
        <w:jc w:val="both"/>
        <w:rPr>
          <w:rFonts w:eastAsia="Calibri"/>
          <w:szCs w:val="22"/>
          <w:lang w:eastAsia="de-DE" w:bidi="de-DE"/>
        </w:rPr>
      </w:pPr>
    </w:p>
    <w:p w14:paraId="67D7B705"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2. andere Werbungskosten als die in Nr. 1 erwähnten Beiträge [und Summen], die die Berufseinkünfte belasten,</w:t>
      </w:r>
    </w:p>
    <w:p w14:paraId="59952E81" w14:textId="77777777" w:rsidR="005A5BD5" w:rsidRPr="002616E4" w:rsidRDefault="005A5BD5" w:rsidP="004C2C7D">
      <w:pPr>
        <w:jc w:val="both"/>
        <w:rPr>
          <w:rFonts w:eastAsia="Calibri"/>
          <w:szCs w:val="22"/>
          <w:lang w:eastAsia="de-DE" w:bidi="de-DE"/>
        </w:rPr>
      </w:pPr>
    </w:p>
    <w:p w14:paraId="4B25F616"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3. Investitionsabzug,</w:t>
      </w:r>
    </w:p>
    <w:p w14:paraId="0A5E8110" w14:textId="77777777" w:rsidR="005A5BD5" w:rsidRPr="002616E4" w:rsidRDefault="005A5BD5" w:rsidP="004C2C7D">
      <w:pPr>
        <w:jc w:val="both"/>
        <w:rPr>
          <w:rFonts w:eastAsia="Calibri"/>
          <w:szCs w:val="22"/>
          <w:lang w:eastAsia="de-DE" w:bidi="de-DE"/>
        </w:rPr>
      </w:pPr>
    </w:p>
    <w:p w14:paraId="6689F8D5"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4. während des Besteuerungszeitraums erlittene berufliche Verluste,</w:t>
      </w:r>
    </w:p>
    <w:p w14:paraId="561C0228" w14:textId="77777777" w:rsidR="005A5BD5" w:rsidRPr="002616E4" w:rsidRDefault="005A5BD5" w:rsidP="004C2C7D">
      <w:pPr>
        <w:jc w:val="both"/>
        <w:rPr>
          <w:rFonts w:eastAsia="Calibri"/>
          <w:szCs w:val="22"/>
          <w:lang w:eastAsia="de-DE" w:bidi="de-DE"/>
        </w:rPr>
      </w:pPr>
    </w:p>
    <w:p w14:paraId="0B8B9F43" w14:textId="7C396384" w:rsidR="005A5BD5" w:rsidRPr="002616E4" w:rsidRDefault="005A5BD5" w:rsidP="004C2C7D">
      <w:pPr>
        <w:jc w:val="both"/>
        <w:rPr>
          <w:rFonts w:eastAsia="Calibri"/>
          <w:szCs w:val="22"/>
          <w:lang w:eastAsia="de-DE" w:bidi="de-DE"/>
        </w:rPr>
      </w:pPr>
      <w:r w:rsidRPr="002616E4">
        <w:rPr>
          <w:rFonts w:eastAsia="Calibri"/>
          <w:szCs w:val="22"/>
          <w:lang w:eastAsia="de-DE" w:bidi="de-DE"/>
        </w:rPr>
        <w:tab/>
        <w:t>5. während der vorhergehenden Besteuerungszeiträum</w:t>
      </w:r>
      <w:r w:rsidR="00DB13BA">
        <w:rPr>
          <w:rFonts w:eastAsia="Calibri"/>
          <w:szCs w:val="22"/>
          <w:lang w:eastAsia="de-DE" w:bidi="de-DE"/>
        </w:rPr>
        <w:t>e erlittene berufliche Verluste,</w:t>
      </w:r>
    </w:p>
    <w:p w14:paraId="066981F1" w14:textId="77777777" w:rsidR="005A5BD5" w:rsidRPr="002616E4" w:rsidRDefault="005A5BD5" w:rsidP="004C2C7D">
      <w:pPr>
        <w:jc w:val="both"/>
        <w:rPr>
          <w:rFonts w:eastAsia="Calibri"/>
          <w:szCs w:val="22"/>
          <w:lang w:eastAsia="de-DE" w:bidi="de-DE"/>
        </w:rPr>
      </w:pPr>
    </w:p>
    <w:p w14:paraId="18AAC1A9" w14:textId="415B20B8" w:rsidR="005A5BD5" w:rsidRPr="002616E4" w:rsidRDefault="005A5BD5" w:rsidP="004C2C7D">
      <w:pPr>
        <w:jc w:val="both"/>
        <w:rPr>
          <w:rFonts w:eastAsia="Calibri"/>
          <w:szCs w:val="22"/>
          <w:lang w:eastAsia="de-DE" w:bidi="de-DE"/>
        </w:rPr>
      </w:pPr>
      <w:r w:rsidRPr="002616E4">
        <w:rPr>
          <w:rFonts w:eastAsia="Calibri"/>
          <w:szCs w:val="22"/>
          <w:lang w:eastAsia="de-DE" w:bidi="de-DE"/>
        </w:rPr>
        <w:tab/>
        <w:t>6. [</w:t>
      </w:r>
      <w:r w:rsidR="00C949AA" w:rsidRPr="001E70FB">
        <w:t>während der späteren Besteuerungszeiträume erlittene berufliche Verluste in dem in Artikel 78 § 2 desselben Gesetzbuches erwähnten Fall.</w:t>
      </w:r>
      <w:r w:rsidRPr="002616E4">
        <w:rPr>
          <w:rFonts w:eastAsia="Calibri"/>
          <w:szCs w:val="22"/>
          <w:lang w:eastAsia="de-DE" w:bidi="de-DE"/>
        </w:rPr>
        <w:t>]</w:t>
      </w:r>
    </w:p>
    <w:p w14:paraId="69D43254" w14:textId="77777777" w:rsidR="005A5BD5" w:rsidRPr="002616E4" w:rsidRDefault="005A5BD5" w:rsidP="004C2C7D">
      <w:pPr>
        <w:jc w:val="both"/>
        <w:rPr>
          <w:rFonts w:eastAsia="Calibri"/>
          <w:szCs w:val="22"/>
          <w:lang w:eastAsia="de-DE" w:bidi="de-DE"/>
        </w:rPr>
      </w:pPr>
    </w:p>
    <w:p w14:paraId="0C9BBABA" w14:textId="62A26497" w:rsidR="005A5BD5" w:rsidRPr="002616E4" w:rsidRDefault="005A5BD5" w:rsidP="004C2C7D">
      <w:pPr>
        <w:jc w:val="both"/>
        <w:rPr>
          <w:rFonts w:eastAsia="Calibri"/>
          <w:szCs w:val="22"/>
          <w:lang w:eastAsia="de-DE" w:bidi="de-DE"/>
        </w:rPr>
      </w:pPr>
      <w:r w:rsidRPr="002616E4">
        <w:rPr>
          <w:rFonts w:eastAsia="Calibri"/>
          <w:i/>
          <w:szCs w:val="22"/>
          <w:lang w:eastAsia="de-DE" w:bidi="de-DE"/>
        </w:rPr>
        <w:t>[Art. 6 einziger Absatz einleitende Bestimmung ersetzt durch Art. 2 Nr. 1 des K.E. vom 1. September 1995 (II) (B.S. vom 5. Oktober 1995); einziger Absatz Nr. 1 ersetzt durch Art. 1 Nr. 1 und abgeändert durch Art. 2 Nr. 2 des K.E. vom 1. September 1995 (II) (B.S. vom 5. Oktober 1995); einziger Absatz Nr. 2 abgeändert durch Art. 1 Nr. 2 des K.E. vom 1. September 1995 (II) (B.S. vom 5. Oktober 1995); einziger Absatz Nr. 6 aufgehoben durch Art. 2 Nr. 3 des K.E. vom 1. September 1995 (II) (B.S. vom 5. Oktober 1995)</w:t>
      </w:r>
      <w:r w:rsidR="00C949AA">
        <w:rPr>
          <w:rFonts w:eastAsia="Calibri"/>
          <w:i/>
          <w:szCs w:val="22"/>
          <w:lang w:eastAsia="de-DE" w:bidi="de-DE"/>
        </w:rPr>
        <w:t xml:space="preserve"> und wieder aufgenommen durch Art. 3</w:t>
      </w:r>
      <w:r w:rsidR="00C949AA" w:rsidRPr="00C949AA">
        <w:rPr>
          <w:rFonts w:eastAsia="Calibri"/>
          <w:i/>
          <w:szCs w:val="22"/>
          <w:lang w:eastAsia="de-DE" w:bidi="de-DE"/>
        </w:rPr>
        <w:t xml:space="preserve"> des K.E. vom 20. Dezember 2020</w:t>
      </w:r>
      <w:r w:rsidR="0086766B">
        <w:rPr>
          <w:rFonts w:eastAsia="Calibri"/>
          <w:i/>
          <w:szCs w:val="22"/>
          <w:lang w:eastAsia="de-DE" w:bidi="de-DE"/>
        </w:rPr>
        <w:t> (I)</w:t>
      </w:r>
      <w:r w:rsidR="00C949AA" w:rsidRPr="00C949AA">
        <w:rPr>
          <w:rFonts w:eastAsia="Calibri"/>
          <w:i/>
          <w:szCs w:val="22"/>
          <w:lang w:eastAsia="de-DE" w:bidi="de-DE"/>
        </w:rPr>
        <w:t xml:space="preserve"> (B.S. vom 29. Dezember 2020)</w:t>
      </w:r>
      <w:r w:rsidRPr="002616E4">
        <w:rPr>
          <w:rFonts w:eastAsia="Calibri"/>
          <w:i/>
          <w:szCs w:val="22"/>
          <w:lang w:eastAsia="de-DE" w:bidi="de-DE"/>
        </w:rPr>
        <w:t>]</w:t>
      </w:r>
    </w:p>
    <w:p w14:paraId="4D572EDC" w14:textId="77777777" w:rsidR="005A5BD5" w:rsidRPr="002616E4" w:rsidRDefault="005A5BD5" w:rsidP="004C2C7D">
      <w:pPr>
        <w:jc w:val="both"/>
        <w:rPr>
          <w:rFonts w:eastAsia="Calibri"/>
          <w:szCs w:val="22"/>
          <w:lang w:eastAsia="de-DE" w:bidi="de-DE"/>
        </w:rPr>
      </w:pPr>
    </w:p>
    <w:p w14:paraId="24AD9E17" w14:textId="77777777" w:rsidR="005A5BD5" w:rsidRPr="002616E4" w:rsidRDefault="005A5BD5" w:rsidP="004C2C7D">
      <w:pPr>
        <w:jc w:val="both"/>
        <w:rPr>
          <w:rFonts w:eastAsia="Calibri"/>
          <w:szCs w:val="22"/>
          <w:lang w:eastAsia="de-DE" w:bidi="de-DE"/>
        </w:rPr>
      </w:pPr>
    </w:p>
    <w:p w14:paraId="3396AEF9"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7</w:t>
      </w:r>
      <w:r w:rsidRPr="002616E4">
        <w:rPr>
          <w:rFonts w:eastAsia="Calibri"/>
          <w:szCs w:val="22"/>
          <w:lang w:eastAsia="de-DE" w:bidi="de-DE"/>
        </w:rPr>
        <w:t> - § 1 - [In Artikel 6 Nr. 1 erwähnte Beiträge und Summen werden von den Einkünften abgezogen, auf die sie sich beziehen.]</w:t>
      </w:r>
    </w:p>
    <w:p w14:paraId="36C35F66" w14:textId="77777777" w:rsidR="005A5BD5" w:rsidRPr="002616E4" w:rsidRDefault="005A5BD5" w:rsidP="004C2C7D">
      <w:pPr>
        <w:jc w:val="both"/>
        <w:rPr>
          <w:rFonts w:eastAsia="Calibri"/>
          <w:szCs w:val="22"/>
          <w:lang w:eastAsia="de-DE" w:bidi="de-DE"/>
        </w:rPr>
      </w:pPr>
    </w:p>
    <w:p w14:paraId="002F96D6"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2 - Andere tatsächliche Werbungskosten, die sich auf eine bestimmte berufliche Tätigkeit beziehen, werden von den Einkünften aus dieser Tätigkeit abgezogen.</w:t>
      </w:r>
    </w:p>
    <w:p w14:paraId="3CBA4DDC" w14:textId="77777777" w:rsidR="005A5BD5" w:rsidRPr="002616E4" w:rsidRDefault="005A5BD5" w:rsidP="004C2C7D">
      <w:pPr>
        <w:jc w:val="both"/>
        <w:rPr>
          <w:rFonts w:eastAsia="Calibri"/>
          <w:szCs w:val="22"/>
          <w:lang w:eastAsia="de-DE" w:bidi="de-DE"/>
        </w:rPr>
      </w:pPr>
    </w:p>
    <w:p w14:paraId="5249BAA7"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3 - Wenn eine bestimmte berufliche Tätigkeit einem Steuerpflichtigen Einkünfte in verschiedenen Ländern einbringt, werden die entsprechenden tatsächlichen Werbungskosten pro Land von den Einkünften abgezogen, auf die sie sich beziehen.</w:t>
      </w:r>
    </w:p>
    <w:p w14:paraId="718A76B3" w14:textId="77777777" w:rsidR="005A5BD5" w:rsidRPr="002616E4" w:rsidRDefault="005A5BD5" w:rsidP="004C2C7D">
      <w:pPr>
        <w:jc w:val="both"/>
        <w:rPr>
          <w:rFonts w:eastAsia="Calibri"/>
          <w:szCs w:val="22"/>
          <w:lang w:eastAsia="de-DE" w:bidi="de-DE"/>
        </w:rPr>
      </w:pPr>
    </w:p>
    <w:p w14:paraId="67F8AFA7"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 4 - Tatsächliche Werbungskosten, die verschiedenen beruflichen Tätigkeiten gemeinsam sind oder gleichzeitig Einkünfte aus verschiedenen Ländern belasten, werden auf gerechtfertigte Weise aufgeteilt. </w:t>
      </w:r>
    </w:p>
    <w:p w14:paraId="4A7798F9" w14:textId="77777777" w:rsidR="005A5BD5" w:rsidRPr="002616E4" w:rsidRDefault="005A5BD5" w:rsidP="004C2C7D">
      <w:pPr>
        <w:jc w:val="both"/>
        <w:rPr>
          <w:rFonts w:eastAsia="Calibri"/>
          <w:szCs w:val="22"/>
          <w:lang w:eastAsia="de-DE" w:bidi="de-DE"/>
        </w:rPr>
      </w:pPr>
    </w:p>
    <w:p w14:paraId="6934533C"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lastRenderedPageBreak/>
        <w:tab/>
        <w:t>§ 5 - Tatsächliche Werbungskosten, die nicht in § 1 erwähnt sind, werden pro berufliche Tätigkeit und pro Land zuerst von den Berufseinkünften abgezogen, die nicht in Artikel 171 des Einkommensteuergesetzbuches 1992 erwähnt sind, und anschließend proportional von den in vorerwähntem Artikel 171 erwähnten Berufseinkünften.</w:t>
      </w:r>
    </w:p>
    <w:p w14:paraId="176A0947" w14:textId="77777777" w:rsidR="005A5BD5" w:rsidRPr="002616E4" w:rsidRDefault="005A5BD5" w:rsidP="004C2C7D">
      <w:pPr>
        <w:jc w:val="both"/>
        <w:rPr>
          <w:rFonts w:eastAsia="Calibri"/>
          <w:szCs w:val="22"/>
          <w:lang w:eastAsia="de-DE" w:bidi="de-DE"/>
        </w:rPr>
      </w:pPr>
    </w:p>
    <w:p w14:paraId="59F2B285" w14:textId="22A74D59"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 6 - Übt der Steuerpflichtige verschiedene Tätigkeiten aus, deren Einkünfte derselben [in den </w:t>
      </w:r>
      <w:r w:rsidR="00C949AA">
        <w:rPr>
          <w:rFonts w:eastAsia="Calibri"/>
          <w:szCs w:val="22"/>
          <w:lang w:eastAsia="de-DE" w:bidi="de-DE"/>
        </w:rPr>
        <w:t xml:space="preserve">[Artikeln 24 bis </w:t>
      </w:r>
      <w:r w:rsidRPr="002616E4">
        <w:rPr>
          <w:rFonts w:eastAsia="Calibri"/>
          <w:szCs w:val="22"/>
          <w:lang w:eastAsia="de-DE" w:bidi="de-DE"/>
        </w:rPr>
        <w:t>27</w:t>
      </w:r>
      <w:r w:rsidR="00C949AA">
        <w:rPr>
          <w:rFonts w:eastAsia="Calibri"/>
          <w:szCs w:val="22"/>
          <w:lang w:eastAsia="de-DE" w:bidi="de-DE"/>
        </w:rPr>
        <w:t>]</w:t>
      </w:r>
      <w:r w:rsidRPr="002616E4">
        <w:rPr>
          <w:rFonts w:eastAsia="Calibri"/>
          <w:szCs w:val="22"/>
          <w:lang w:eastAsia="de-DE" w:bidi="de-DE"/>
        </w:rPr>
        <w:t xml:space="preserve"> und 31 bis 33] desselben Gesetzbuches erwähnten Einkommenskategorie zuzuordnen sind, werden die entsprechenden pauschalen Werbungskosten auf die Gesamtheit der Einkünfte aus diesen Tätigkeiten berechnet, in Artikel 51 Absatz 1 desselben Gesetzbuches erwähnte Entschädigungen jedoch ausgenommen.</w:t>
      </w:r>
    </w:p>
    <w:p w14:paraId="4EB78E54" w14:textId="77777777" w:rsidR="005A5BD5" w:rsidRPr="002616E4" w:rsidRDefault="005A5BD5" w:rsidP="004C2C7D">
      <w:pPr>
        <w:jc w:val="both"/>
        <w:rPr>
          <w:rFonts w:eastAsia="Calibri"/>
          <w:szCs w:val="22"/>
          <w:lang w:eastAsia="de-DE" w:bidi="de-DE"/>
        </w:rPr>
      </w:pPr>
    </w:p>
    <w:p w14:paraId="72DC0993"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7 - Gemäß § 6 festgelegte pauschale Werbungskosten werden proportional von den verschiedenen Einkommensbestandteilen abgezogen, die die Grundlage für die Berechnung des Pauschalbetrags gebildet haben.</w:t>
      </w:r>
    </w:p>
    <w:p w14:paraId="7E683D2A" w14:textId="77777777" w:rsidR="007D4A9A" w:rsidRDefault="007D4A9A" w:rsidP="004C2C7D">
      <w:pPr>
        <w:jc w:val="both"/>
        <w:rPr>
          <w:rFonts w:eastAsia="Calibri"/>
          <w:szCs w:val="22"/>
          <w:lang w:eastAsia="de-DE" w:bidi="de-DE"/>
        </w:rPr>
      </w:pPr>
    </w:p>
    <w:p w14:paraId="7FFF82B1"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 8 - Werden Werbungskosten, die sich auf einen oder mehrere Einkommensbestandteile beziehen, gemäß Artikel 51 desselben Gesetzbuches pauschal festgelegt, so werden [in Artikel 52 Nr. 7 desselben Gesetzbuches erwähnte Sozialbeiträge], die nicht </w:t>
      </w:r>
      <w:r>
        <w:rPr>
          <w:rFonts w:eastAsia="Calibri"/>
          <w:szCs w:val="22"/>
          <w:lang w:eastAsia="de-DE" w:bidi="de-DE"/>
        </w:rPr>
        <w:t>einb</w:t>
      </w:r>
      <w:r w:rsidRPr="002616E4">
        <w:rPr>
          <w:rFonts w:eastAsia="Calibri"/>
          <w:szCs w:val="22"/>
          <w:lang w:eastAsia="de-DE" w:bidi="de-DE"/>
        </w:rPr>
        <w:t>ehalten worden sind, in Abweichung von § 5 proportional von diesen Einkommensbestandteilen abgezogen.</w:t>
      </w:r>
    </w:p>
    <w:p w14:paraId="0845CC0C" w14:textId="77777777" w:rsidR="005A5BD5" w:rsidRPr="002616E4" w:rsidRDefault="005A5BD5" w:rsidP="004C2C7D">
      <w:pPr>
        <w:jc w:val="both"/>
        <w:rPr>
          <w:rFonts w:eastAsia="Calibri"/>
          <w:szCs w:val="22"/>
          <w:lang w:eastAsia="de-DE" w:bidi="de-DE"/>
        </w:rPr>
      </w:pPr>
    </w:p>
    <w:p w14:paraId="78B192B1"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9 - Der in den Artikeln 68 bis 77 desselben Gesetzbuches erwähnte Investitionsabzug wird zuerst auf Gewinne und Profite belgischen Ursprungs angewandt, die nicht in Artikel 171 desselben Gesetzbuches erwähnt sind, und anschließend proportional auf die in vorerwähntem Artikel 171 erwähnten Berufseinkünfte.</w:t>
      </w:r>
    </w:p>
    <w:p w14:paraId="4F558231" w14:textId="77777777" w:rsidR="005A5BD5" w:rsidRPr="002616E4" w:rsidRDefault="005A5BD5" w:rsidP="004C2C7D">
      <w:pPr>
        <w:jc w:val="both"/>
        <w:rPr>
          <w:rFonts w:eastAsia="Calibri"/>
          <w:szCs w:val="22"/>
          <w:lang w:eastAsia="de-DE" w:bidi="de-DE"/>
        </w:rPr>
      </w:pPr>
    </w:p>
    <w:p w14:paraId="1E706F3D" w14:textId="21E5000C" w:rsidR="005A5BD5" w:rsidRPr="002616E4" w:rsidRDefault="005A5BD5" w:rsidP="004C2C7D">
      <w:pPr>
        <w:jc w:val="both"/>
        <w:rPr>
          <w:rFonts w:eastAsia="Calibri"/>
          <w:szCs w:val="22"/>
          <w:lang w:eastAsia="de-DE" w:bidi="de-DE"/>
        </w:rPr>
      </w:pPr>
      <w:r w:rsidRPr="002616E4">
        <w:rPr>
          <w:rFonts w:eastAsia="Calibri"/>
          <w:i/>
          <w:szCs w:val="22"/>
          <w:lang w:eastAsia="de-DE" w:bidi="de-DE"/>
        </w:rPr>
        <w:t>[Art. 7 § 1 ersetzt durch Art. 3 Nr. 1 des K.E. vom 1. September 1995 (II) (B.S. vom 5. Oktober 1995); § 6 abgeändert durch Art. 3 Nr. 2 des K.E. vom 1. September 1995 (II) (B.S. vom 5. Oktober 1995)</w:t>
      </w:r>
      <w:r w:rsidR="00C949AA">
        <w:rPr>
          <w:rFonts w:eastAsia="Calibri"/>
          <w:i/>
          <w:szCs w:val="22"/>
          <w:lang w:eastAsia="de-DE" w:bidi="de-DE"/>
        </w:rPr>
        <w:t xml:space="preserve"> und Art. 4 des K.E. vom 20. Dezember 2020</w:t>
      </w:r>
      <w:r w:rsidR="0086766B">
        <w:rPr>
          <w:rFonts w:eastAsia="Calibri"/>
          <w:i/>
          <w:szCs w:val="22"/>
          <w:lang w:eastAsia="de-DE" w:bidi="de-DE"/>
        </w:rPr>
        <w:t> (I)</w:t>
      </w:r>
      <w:r w:rsidR="00C949AA">
        <w:rPr>
          <w:rFonts w:eastAsia="Calibri"/>
          <w:i/>
          <w:szCs w:val="22"/>
          <w:lang w:eastAsia="de-DE" w:bidi="de-DE"/>
        </w:rPr>
        <w:t xml:space="preserve"> (B.S. vom 29. Dezember 2020)</w:t>
      </w:r>
      <w:r w:rsidRPr="002616E4">
        <w:rPr>
          <w:rFonts w:eastAsia="Calibri"/>
          <w:i/>
          <w:szCs w:val="22"/>
          <w:lang w:eastAsia="de-DE" w:bidi="de-DE"/>
        </w:rPr>
        <w:t>; § 8 abgeändert durch Art. 3 Nr. 3 des K.E. vom 1. September 1995 (II) (B.S. vom 5. Oktober 1995)]</w:t>
      </w:r>
    </w:p>
    <w:p w14:paraId="5A683E0B" w14:textId="77777777" w:rsidR="005A5BD5" w:rsidRPr="002616E4" w:rsidRDefault="005A5BD5" w:rsidP="004C2C7D">
      <w:pPr>
        <w:jc w:val="both"/>
        <w:rPr>
          <w:rFonts w:eastAsia="Calibri"/>
          <w:szCs w:val="22"/>
          <w:lang w:eastAsia="de-DE" w:bidi="de-DE"/>
        </w:rPr>
      </w:pPr>
    </w:p>
    <w:p w14:paraId="6C20FF64" w14:textId="77777777" w:rsidR="005A5BD5" w:rsidRPr="002616E4" w:rsidRDefault="005A5BD5" w:rsidP="004C2C7D">
      <w:pPr>
        <w:jc w:val="both"/>
        <w:rPr>
          <w:rFonts w:eastAsia="Calibri"/>
          <w:szCs w:val="22"/>
          <w:lang w:eastAsia="de-DE" w:bidi="de-DE"/>
        </w:rPr>
      </w:pPr>
    </w:p>
    <w:p w14:paraId="2D7CEA11" w14:textId="77777777" w:rsidR="00C7204C" w:rsidRDefault="00C7204C" w:rsidP="00C7204C">
      <w:pPr>
        <w:jc w:val="both"/>
        <w:rPr>
          <w:rFonts w:eastAsia="Calibri"/>
          <w:szCs w:val="22"/>
          <w:lang w:eastAsia="de-DE" w:bidi="de-DE"/>
        </w:rPr>
      </w:pPr>
      <w:r>
        <w:rPr>
          <w:rFonts w:eastAsia="Calibri"/>
          <w:szCs w:val="22"/>
          <w:lang w:eastAsia="de-DE" w:bidi="de-DE"/>
        </w:rPr>
        <w:tab/>
      </w:r>
      <w:r>
        <w:rPr>
          <w:rFonts w:eastAsia="Calibri"/>
          <w:b/>
          <w:szCs w:val="22"/>
          <w:lang w:eastAsia="de-DE" w:bidi="de-DE"/>
        </w:rPr>
        <w:t>Art. 8</w:t>
      </w:r>
      <w:r>
        <w:rPr>
          <w:rFonts w:eastAsia="Calibri"/>
          <w:szCs w:val="22"/>
          <w:lang w:eastAsia="de-DE" w:bidi="de-DE"/>
        </w:rPr>
        <w:t> - § 1 - Bei Ausübung einer beruflichen Tätigkeit in verschiedenen Ländern werden gemäß Artikel 7 berechnete Nettoergebnisse des Besteuerungszeitraums einer der folgenden drei Gruppen zugeordnet:</w:t>
      </w:r>
    </w:p>
    <w:p w14:paraId="2C2C62C5" w14:textId="77777777" w:rsidR="00C7204C" w:rsidRDefault="00C7204C" w:rsidP="00C7204C">
      <w:pPr>
        <w:jc w:val="both"/>
        <w:rPr>
          <w:rFonts w:eastAsia="Calibri"/>
          <w:szCs w:val="22"/>
          <w:lang w:eastAsia="de-DE" w:bidi="de-DE"/>
        </w:rPr>
      </w:pPr>
    </w:p>
    <w:p w14:paraId="3DD5FC2E" w14:textId="77777777" w:rsidR="00C7204C" w:rsidRDefault="00C7204C" w:rsidP="00C7204C">
      <w:pPr>
        <w:jc w:val="both"/>
        <w:rPr>
          <w:rFonts w:eastAsia="Calibri"/>
          <w:szCs w:val="22"/>
          <w:lang w:eastAsia="de-DE" w:bidi="de-DE"/>
        </w:rPr>
      </w:pPr>
      <w:r>
        <w:rPr>
          <w:rFonts w:eastAsia="Calibri"/>
          <w:szCs w:val="22"/>
          <w:lang w:eastAsia="de-DE" w:bidi="de-DE"/>
        </w:rPr>
        <w:tab/>
        <w:t>1. in Belgien erzielte Ergebnisse,</w:t>
      </w:r>
    </w:p>
    <w:p w14:paraId="553837AB" w14:textId="77777777" w:rsidR="00C7204C" w:rsidRDefault="00C7204C" w:rsidP="00C7204C">
      <w:pPr>
        <w:jc w:val="both"/>
        <w:rPr>
          <w:rFonts w:eastAsia="Calibri"/>
          <w:szCs w:val="22"/>
          <w:lang w:eastAsia="de-DE" w:bidi="de-DE"/>
        </w:rPr>
      </w:pPr>
    </w:p>
    <w:p w14:paraId="68BC757C" w14:textId="77777777" w:rsidR="00C7204C" w:rsidRDefault="00C7204C" w:rsidP="00C7204C">
      <w:pPr>
        <w:jc w:val="both"/>
        <w:rPr>
          <w:rFonts w:eastAsia="Calibri"/>
          <w:szCs w:val="22"/>
          <w:lang w:eastAsia="de-DE" w:bidi="de-DE"/>
        </w:rPr>
      </w:pPr>
      <w:r>
        <w:rPr>
          <w:rFonts w:eastAsia="Calibri"/>
          <w:szCs w:val="22"/>
          <w:lang w:eastAsia="de-DE" w:bidi="de-DE"/>
        </w:rPr>
        <w:tab/>
        <w:t>2. Ergebnisse, die in Ländern erzielt worden sind, mit denen Belgien kein Abkommen zur Vermeidung der Doppelbesteuerung abgeschlossen hat,</w:t>
      </w:r>
    </w:p>
    <w:p w14:paraId="20F3F223" w14:textId="77777777" w:rsidR="00C7204C" w:rsidRDefault="00C7204C" w:rsidP="00C7204C">
      <w:pPr>
        <w:jc w:val="both"/>
        <w:rPr>
          <w:rFonts w:eastAsia="Calibri"/>
          <w:szCs w:val="22"/>
          <w:lang w:eastAsia="de-DE" w:bidi="de-DE"/>
        </w:rPr>
      </w:pPr>
    </w:p>
    <w:p w14:paraId="499CE542" w14:textId="77777777" w:rsidR="00C7204C" w:rsidRDefault="00C7204C" w:rsidP="00C7204C">
      <w:pPr>
        <w:jc w:val="both"/>
        <w:rPr>
          <w:rFonts w:eastAsia="Calibri"/>
          <w:szCs w:val="22"/>
          <w:lang w:eastAsia="de-DE" w:bidi="de-DE"/>
        </w:rPr>
      </w:pPr>
      <w:r>
        <w:rPr>
          <w:rFonts w:eastAsia="Calibri"/>
          <w:szCs w:val="22"/>
          <w:lang w:eastAsia="de-DE" w:bidi="de-DE"/>
        </w:rPr>
        <w:tab/>
        <w:t>3. in anderen Ländern erzielte Ergebnisse.</w:t>
      </w:r>
    </w:p>
    <w:p w14:paraId="2313E5D4" w14:textId="77777777" w:rsidR="00C7204C" w:rsidRDefault="00C7204C" w:rsidP="00C7204C">
      <w:pPr>
        <w:jc w:val="both"/>
        <w:rPr>
          <w:rFonts w:eastAsia="Calibri"/>
          <w:szCs w:val="22"/>
          <w:lang w:eastAsia="de-DE" w:bidi="de-DE"/>
        </w:rPr>
      </w:pPr>
    </w:p>
    <w:p w14:paraId="4D64A91E" w14:textId="77777777" w:rsidR="00C7204C" w:rsidRDefault="00C7204C" w:rsidP="00C7204C">
      <w:pPr>
        <w:jc w:val="both"/>
        <w:rPr>
          <w:rFonts w:eastAsia="Calibri"/>
          <w:szCs w:val="22"/>
          <w:lang w:eastAsia="de-DE" w:bidi="de-DE"/>
        </w:rPr>
      </w:pPr>
      <w:r>
        <w:rPr>
          <w:rFonts w:eastAsia="Calibri"/>
          <w:szCs w:val="22"/>
          <w:lang w:eastAsia="de-DE" w:bidi="de-DE"/>
        </w:rPr>
        <w:tab/>
        <w:t xml:space="preserve">§ 2 - [In jeder Gruppe] werden negative Ergebnisse jeweils zuerst von den global steuerpflichtigen Berufseinkünften der Gruppe abgezogen; der eventuelle Restbetrag wird proportional von den getrennt steuerpflichtigen Berufseinkünften der Gruppe abgezogen. </w:t>
      </w:r>
    </w:p>
    <w:p w14:paraId="29B8B918" w14:textId="77777777" w:rsidR="00C7204C" w:rsidRDefault="00C7204C" w:rsidP="00C7204C">
      <w:pPr>
        <w:jc w:val="both"/>
        <w:rPr>
          <w:rFonts w:eastAsia="Calibri"/>
          <w:szCs w:val="22"/>
          <w:lang w:eastAsia="de-DE" w:bidi="de-DE"/>
        </w:rPr>
      </w:pPr>
    </w:p>
    <w:p w14:paraId="2EA1955A" w14:textId="77777777" w:rsidR="00C7204C" w:rsidRDefault="00C7204C" w:rsidP="00C7204C">
      <w:pPr>
        <w:jc w:val="both"/>
        <w:rPr>
          <w:rFonts w:eastAsia="Calibri"/>
          <w:szCs w:val="22"/>
          <w:lang w:eastAsia="de-DE" w:bidi="de-DE"/>
        </w:rPr>
      </w:pPr>
      <w:r>
        <w:rPr>
          <w:rFonts w:eastAsia="Calibri"/>
          <w:szCs w:val="22"/>
          <w:lang w:eastAsia="de-DE" w:bidi="de-DE"/>
        </w:rPr>
        <w:tab/>
        <w:t xml:space="preserve">§ 3 - Ist das Endergebnis von Gruppe 1 negativ, wird dieses Ergebnis proportional von den global steuerpflichtigen Berufseinkünften [der Gruppen 2 und 3] abgezogen; der eventuelle </w:t>
      </w:r>
      <w:r>
        <w:rPr>
          <w:rFonts w:eastAsia="Calibri"/>
          <w:szCs w:val="22"/>
          <w:lang w:eastAsia="de-DE" w:bidi="de-DE"/>
        </w:rPr>
        <w:lastRenderedPageBreak/>
        <w:t>Restbetrag wird proportional von [</w:t>
      </w:r>
      <w:r>
        <w:t>den getrennt steuerpflichtigen Berufseinkünften dieser Gruppen</w:t>
      </w:r>
      <w:r>
        <w:rPr>
          <w:rFonts w:eastAsia="Calibri"/>
          <w:szCs w:val="22"/>
          <w:lang w:eastAsia="de-DE" w:bidi="de-DE"/>
        </w:rPr>
        <w:t xml:space="preserve">] abgezogen. </w:t>
      </w:r>
    </w:p>
    <w:p w14:paraId="07EB6A0D" w14:textId="77777777" w:rsidR="00C7204C" w:rsidRDefault="00C7204C" w:rsidP="00C7204C">
      <w:pPr>
        <w:jc w:val="both"/>
        <w:rPr>
          <w:rFonts w:eastAsia="Calibri"/>
          <w:szCs w:val="22"/>
          <w:lang w:eastAsia="de-DE" w:bidi="de-DE"/>
        </w:rPr>
      </w:pPr>
    </w:p>
    <w:p w14:paraId="6D502BB8" w14:textId="77777777" w:rsidR="00C7204C" w:rsidRDefault="00C7204C" w:rsidP="00C7204C">
      <w:pPr>
        <w:jc w:val="both"/>
        <w:rPr>
          <w:rFonts w:eastAsia="Calibri"/>
          <w:szCs w:val="22"/>
          <w:lang w:eastAsia="de-DE" w:bidi="de-DE"/>
        </w:rPr>
      </w:pPr>
      <w:r>
        <w:rPr>
          <w:rFonts w:eastAsia="Calibri"/>
          <w:szCs w:val="22"/>
          <w:lang w:eastAsia="de-DE" w:bidi="de-DE"/>
        </w:rPr>
        <w:tab/>
        <w:t>§ 4 - Ist das Endergebnis von Gruppe 2 negativ, wird dieses Ergebnis proportional von den global steuerpflichtigen Berufseinkünften [der Gruppen 1 und 3] abgezogen; der eventuelle Restbetrag wird proportional von [</w:t>
      </w:r>
      <w:r>
        <w:t>den getrennt steuerpflichtigen Berufseinkünften dieser Gruppen</w:t>
      </w:r>
      <w:r>
        <w:rPr>
          <w:rFonts w:eastAsia="Calibri"/>
          <w:szCs w:val="22"/>
          <w:lang w:eastAsia="de-DE" w:bidi="de-DE"/>
        </w:rPr>
        <w:t>] abgezogen.</w:t>
      </w:r>
    </w:p>
    <w:p w14:paraId="37AA181F" w14:textId="77777777" w:rsidR="00C7204C" w:rsidRDefault="00C7204C" w:rsidP="00C7204C">
      <w:pPr>
        <w:jc w:val="both"/>
        <w:rPr>
          <w:rFonts w:eastAsia="Calibri"/>
          <w:szCs w:val="22"/>
          <w:lang w:eastAsia="de-DE" w:bidi="de-DE"/>
        </w:rPr>
      </w:pPr>
    </w:p>
    <w:p w14:paraId="136C34DB" w14:textId="77777777" w:rsidR="00C7204C" w:rsidRDefault="00C7204C" w:rsidP="00C7204C">
      <w:pPr>
        <w:jc w:val="both"/>
        <w:rPr>
          <w:rFonts w:eastAsia="Calibri"/>
          <w:szCs w:val="22"/>
          <w:lang w:eastAsia="de-DE" w:bidi="de-DE"/>
        </w:rPr>
      </w:pPr>
      <w:r>
        <w:rPr>
          <w:rFonts w:eastAsia="Calibri"/>
          <w:szCs w:val="22"/>
          <w:lang w:eastAsia="de-DE" w:bidi="de-DE"/>
        </w:rPr>
        <w:tab/>
        <w:t>§ 5 - Ist das Endergebnis von Gruppe 3 negativ, wird dieses Ergebnis proportional von den global steuerpflichtigen Berufseinkünften der Gruppen 1 und 2 abgezogen; der eventuelle Restbetrag wird proportional von den getrennt steuerpflichtigen Berufseinkünften dieser Gruppen abgezogen.</w:t>
      </w:r>
    </w:p>
    <w:p w14:paraId="393475FF" w14:textId="77777777" w:rsidR="00C7204C" w:rsidRDefault="00C7204C" w:rsidP="00C7204C">
      <w:pPr>
        <w:jc w:val="both"/>
        <w:rPr>
          <w:rFonts w:eastAsia="Calibri"/>
          <w:szCs w:val="22"/>
          <w:lang w:eastAsia="de-DE" w:bidi="de-DE"/>
        </w:rPr>
      </w:pPr>
    </w:p>
    <w:p w14:paraId="2C9F9992" w14:textId="5730BD3A" w:rsidR="00C7204C" w:rsidRDefault="00C7204C" w:rsidP="00C7204C">
      <w:pPr>
        <w:jc w:val="both"/>
        <w:rPr>
          <w:rFonts w:eastAsia="Calibri"/>
          <w:i/>
          <w:iCs/>
          <w:szCs w:val="22"/>
          <w:lang w:eastAsia="de-DE" w:bidi="de-DE"/>
        </w:rPr>
      </w:pPr>
      <w:r>
        <w:rPr>
          <w:rFonts w:eastAsia="Calibri"/>
          <w:i/>
          <w:iCs/>
          <w:szCs w:val="22"/>
          <w:lang w:eastAsia="de-DE" w:bidi="de-DE"/>
        </w:rPr>
        <w:t>[Art. 8 § 2 abgeändert durch Art. 1 Nr. 1 des G. vom 1. Februar 2022 (II) (B.S. vom 1. März 2022); § 3 abgeändert durch Art. 1 Nr. 2 des G. vom 1. Februar 2022 (II) (B.S. vom 1. März 2022); § 4 abgeändert durch Art. 1 Nr. 3 des G. vom 1. Februar 2022 (II) (B.S. vom 1. März 2022)]</w:t>
      </w:r>
    </w:p>
    <w:p w14:paraId="01D33907" w14:textId="77777777" w:rsidR="00C7204C" w:rsidRDefault="00C7204C" w:rsidP="00C7204C">
      <w:pPr>
        <w:jc w:val="both"/>
        <w:rPr>
          <w:rFonts w:eastAsia="Calibri"/>
          <w:i/>
          <w:iCs/>
          <w:szCs w:val="22"/>
          <w:lang w:eastAsia="de-DE" w:bidi="de-DE"/>
        </w:rPr>
      </w:pPr>
    </w:p>
    <w:p w14:paraId="1F3F83DB" w14:textId="77777777" w:rsidR="00C7204C" w:rsidRDefault="00C7204C" w:rsidP="00C7204C">
      <w:pPr>
        <w:jc w:val="both"/>
        <w:rPr>
          <w:rFonts w:eastAsia="Calibri"/>
          <w:szCs w:val="22"/>
          <w:lang w:eastAsia="de-DE" w:bidi="de-DE"/>
        </w:rPr>
      </w:pPr>
    </w:p>
    <w:p w14:paraId="62B238E2" w14:textId="77777777" w:rsidR="00C7204C" w:rsidRDefault="00C7204C" w:rsidP="00C7204C">
      <w:pPr>
        <w:jc w:val="both"/>
        <w:rPr>
          <w:rFonts w:eastAsia="Calibri"/>
          <w:szCs w:val="22"/>
          <w:lang w:eastAsia="de-DE" w:bidi="de-DE"/>
        </w:rPr>
      </w:pPr>
      <w:r>
        <w:rPr>
          <w:rFonts w:eastAsia="Calibri"/>
          <w:szCs w:val="22"/>
          <w:lang w:eastAsia="de-DE" w:bidi="de-DE"/>
        </w:rPr>
        <w:tab/>
      </w:r>
      <w:r>
        <w:rPr>
          <w:rFonts w:eastAsia="Calibri"/>
          <w:b/>
          <w:szCs w:val="22"/>
          <w:lang w:eastAsia="de-DE" w:bidi="de-DE"/>
        </w:rPr>
        <w:t>Art. 9</w:t>
      </w:r>
      <w:r>
        <w:rPr>
          <w:rFonts w:eastAsia="Calibri"/>
          <w:szCs w:val="22"/>
          <w:lang w:eastAsia="de-DE" w:bidi="de-DE"/>
        </w:rPr>
        <w:t> - Während des Besteuerungszeitraums erlittene berufliche Verluste aus einer bestimmten beruflichen Tätigkeit werden proportional angerechnet auf die Berufseinkünfte aus den anderen beruflichen Tätigkeiten, die global besteuert werden [...]; der eventuelle Rest</w:t>
      </w:r>
      <w:r>
        <w:rPr>
          <w:rFonts w:eastAsia="Calibri"/>
          <w:szCs w:val="22"/>
          <w:lang w:eastAsia="de-DE" w:bidi="de-DE"/>
        </w:rPr>
        <w:softHyphen/>
        <w:t xml:space="preserve">betrag wird proportional auf die getrennt besteuerten Berufseinkünfte angerechnet. </w:t>
      </w:r>
    </w:p>
    <w:p w14:paraId="6A3D1C27" w14:textId="77777777" w:rsidR="00C7204C" w:rsidRDefault="00C7204C" w:rsidP="00C7204C">
      <w:pPr>
        <w:jc w:val="both"/>
        <w:rPr>
          <w:rFonts w:eastAsia="Calibri"/>
          <w:szCs w:val="22"/>
          <w:lang w:eastAsia="de-DE" w:bidi="de-DE"/>
        </w:rPr>
      </w:pPr>
    </w:p>
    <w:p w14:paraId="456DED24" w14:textId="77777777" w:rsidR="00C7204C" w:rsidRDefault="00C7204C" w:rsidP="00C7204C">
      <w:pPr>
        <w:jc w:val="both"/>
        <w:rPr>
          <w:rFonts w:eastAsia="Calibri"/>
          <w:i/>
          <w:iCs/>
          <w:szCs w:val="22"/>
          <w:lang w:eastAsia="de-DE" w:bidi="de-DE"/>
        </w:rPr>
      </w:pPr>
      <w:r>
        <w:rPr>
          <w:rFonts w:eastAsia="Calibri"/>
          <w:i/>
          <w:iCs/>
          <w:szCs w:val="22"/>
          <w:lang w:eastAsia="de-DE" w:bidi="de-DE"/>
        </w:rPr>
        <w:t>[Art. 9 abgeändert durch Art. 2 des G. vom 1. Februar 2022 (II) (B.S. vom 1. März 2022)]</w:t>
      </w:r>
    </w:p>
    <w:p w14:paraId="252F6A47" w14:textId="77777777" w:rsidR="00C7204C" w:rsidRDefault="00C7204C" w:rsidP="00C7204C">
      <w:pPr>
        <w:jc w:val="both"/>
        <w:rPr>
          <w:rFonts w:eastAsia="Calibri"/>
          <w:szCs w:val="22"/>
          <w:lang w:eastAsia="de-DE" w:bidi="de-DE"/>
        </w:rPr>
      </w:pPr>
    </w:p>
    <w:p w14:paraId="270CE45C" w14:textId="77777777" w:rsidR="00C7204C" w:rsidRDefault="00C7204C" w:rsidP="00C7204C">
      <w:pPr>
        <w:jc w:val="both"/>
        <w:rPr>
          <w:rFonts w:eastAsia="Calibri"/>
          <w:szCs w:val="22"/>
          <w:lang w:eastAsia="de-DE" w:bidi="de-DE"/>
        </w:rPr>
      </w:pPr>
    </w:p>
    <w:p w14:paraId="34A16A99" w14:textId="739C0B47" w:rsidR="00C7204C" w:rsidRDefault="00C7204C" w:rsidP="00C7204C">
      <w:pPr>
        <w:jc w:val="both"/>
        <w:rPr>
          <w:rFonts w:eastAsia="Calibri"/>
          <w:szCs w:val="22"/>
          <w:lang w:eastAsia="de-DE" w:bidi="de-DE"/>
        </w:rPr>
      </w:pPr>
      <w:r>
        <w:rPr>
          <w:rFonts w:eastAsia="Calibri"/>
          <w:szCs w:val="22"/>
          <w:lang w:eastAsia="de-DE" w:bidi="de-DE"/>
        </w:rPr>
        <w:tab/>
      </w:r>
      <w:r>
        <w:rPr>
          <w:rFonts w:eastAsia="Calibri"/>
          <w:b/>
          <w:szCs w:val="22"/>
          <w:lang w:eastAsia="de-DE" w:bidi="de-DE"/>
        </w:rPr>
        <w:t>Art. 10</w:t>
      </w:r>
      <w:r>
        <w:rPr>
          <w:rFonts w:eastAsia="Calibri"/>
          <w:szCs w:val="22"/>
          <w:lang w:eastAsia="de-DE" w:bidi="de-DE"/>
        </w:rPr>
        <w:t> - Während vorhergehender Besteuerungszeiträume [</w:t>
      </w:r>
      <w:r>
        <w:t>oder, in dem in Artikel 78 § 2 des Einkommensteuergesetzbuches 1992 erwähnten Fall, während späterer Besteuerungs</w:t>
      </w:r>
      <w:r>
        <w:softHyphen/>
        <w:t>zeit</w:t>
      </w:r>
      <w:r>
        <w:softHyphen/>
        <w:t>räume</w:t>
      </w:r>
      <w:r>
        <w:rPr>
          <w:rFonts w:eastAsia="Calibri"/>
          <w:szCs w:val="22"/>
          <w:lang w:eastAsia="de-DE" w:bidi="de-DE"/>
        </w:rPr>
        <w:t xml:space="preserve">] erlittene berufliche Verluste werden proportional auf die übrigen Berufseinkünfte aus den verschiedenen beruflichen Tätigkeiten angerechnet, die global besteuert werden [...]; der eventuelle Restbetrag wird proportional auf die getrennt besteuerten Berufseinkünfte angerechnet. </w:t>
      </w:r>
    </w:p>
    <w:p w14:paraId="2F834CDE" w14:textId="77777777" w:rsidR="00C7204C" w:rsidRDefault="00C7204C" w:rsidP="00C7204C">
      <w:pPr>
        <w:jc w:val="both"/>
        <w:rPr>
          <w:rFonts w:eastAsia="Calibri"/>
          <w:szCs w:val="22"/>
          <w:lang w:eastAsia="de-DE" w:bidi="de-DE"/>
        </w:rPr>
      </w:pPr>
    </w:p>
    <w:p w14:paraId="5B28BFF5" w14:textId="77777777" w:rsidR="00C7204C" w:rsidRDefault="00C7204C" w:rsidP="00C7204C">
      <w:pPr>
        <w:jc w:val="both"/>
        <w:rPr>
          <w:rFonts w:eastAsia="Calibri"/>
          <w:i/>
          <w:iCs/>
          <w:szCs w:val="22"/>
          <w:lang w:eastAsia="de-DE" w:bidi="de-DE"/>
        </w:rPr>
      </w:pPr>
      <w:r>
        <w:rPr>
          <w:rFonts w:eastAsia="Calibri"/>
          <w:i/>
          <w:szCs w:val="22"/>
          <w:lang w:eastAsia="de-DE" w:bidi="de-DE"/>
        </w:rPr>
        <w:t xml:space="preserve">[Art. 10 abgeändert durch Art. 5 Nr. 1 und 2 des K.E. vom 20. Dezember 2020 (I) (B.S. vom 29. Dezember 2020) und </w:t>
      </w:r>
      <w:r>
        <w:rPr>
          <w:rFonts w:eastAsia="Calibri"/>
          <w:i/>
          <w:iCs/>
          <w:szCs w:val="22"/>
          <w:lang w:eastAsia="de-DE" w:bidi="de-DE"/>
        </w:rPr>
        <w:t>Art. 3 des G. vom 1. Februar 2022 (II) (B.S. vom 1. März 2022)</w:t>
      </w:r>
      <w:r>
        <w:rPr>
          <w:rFonts w:eastAsia="Calibri"/>
          <w:i/>
          <w:szCs w:val="22"/>
          <w:lang w:eastAsia="de-DE" w:bidi="de-DE"/>
        </w:rPr>
        <w:t>]</w:t>
      </w:r>
    </w:p>
    <w:p w14:paraId="54BCB090" w14:textId="77777777" w:rsidR="005A5BD5" w:rsidRPr="002616E4" w:rsidRDefault="005A5BD5" w:rsidP="004C2C7D">
      <w:pPr>
        <w:jc w:val="both"/>
        <w:rPr>
          <w:rFonts w:eastAsia="Calibri"/>
          <w:szCs w:val="22"/>
          <w:lang w:eastAsia="de-DE" w:bidi="de-DE"/>
        </w:rPr>
      </w:pPr>
    </w:p>
    <w:p w14:paraId="65CE5E73" w14:textId="77777777" w:rsidR="005A5BD5" w:rsidRPr="002616E4" w:rsidRDefault="005A5BD5" w:rsidP="004C2C7D">
      <w:pPr>
        <w:jc w:val="both"/>
        <w:rPr>
          <w:rFonts w:eastAsia="Calibri"/>
          <w:szCs w:val="22"/>
          <w:lang w:eastAsia="de-DE" w:bidi="de-DE"/>
        </w:rPr>
      </w:pPr>
    </w:p>
    <w:p w14:paraId="390A4F53"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11</w:t>
      </w:r>
      <w:r w:rsidRPr="002616E4">
        <w:rPr>
          <w:rFonts w:eastAsia="Calibri"/>
          <w:szCs w:val="22"/>
          <w:lang w:eastAsia="de-DE" w:bidi="de-DE"/>
        </w:rPr>
        <w:t> - [</w:t>
      </w:r>
      <w:r w:rsidR="009251F9">
        <w:rPr>
          <w:rFonts w:eastAsia="Calibri"/>
          <w:szCs w:val="22"/>
          <w:lang w:eastAsia="de-DE" w:bidi="de-DE"/>
        </w:rPr>
        <w:t>…</w:t>
      </w:r>
      <w:r w:rsidRPr="002616E4">
        <w:rPr>
          <w:rFonts w:eastAsia="Calibri"/>
          <w:szCs w:val="22"/>
          <w:lang w:eastAsia="de-DE" w:bidi="de-DE"/>
        </w:rPr>
        <w:t>]</w:t>
      </w:r>
    </w:p>
    <w:p w14:paraId="5B91EC0E" w14:textId="77777777" w:rsidR="005A5BD5" w:rsidRPr="002616E4" w:rsidRDefault="005A5BD5" w:rsidP="004C2C7D">
      <w:pPr>
        <w:jc w:val="both"/>
        <w:rPr>
          <w:rFonts w:eastAsia="Calibri"/>
          <w:szCs w:val="22"/>
          <w:lang w:eastAsia="de-DE" w:bidi="de-DE"/>
        </w:rPr>
      </w:pPr>
    </w:p>
    <w:p w14:paraId="7573F4E9" w14:textId="23AA61DE" w:rsidR="00C949AA" w:rsidRDefault="005A5BD5" w:rsidP="00C7204C">
      <w:pPr>
        <w:jc w:val="both"/>
        <w:rPr>
          <w:rFonts w:eastAsia="Calibri"/>
          <w:i/>
          <w:szCs w:val="22"/>
          <w:lang w:eastAsia="de-DE" w:bidi="de-DE"/>
        </w:rPr>
      </w:pPr>
      <w:r w:rsidRPr="002616E4">
        <w:rPr>
          <w:rFonts w:eastAsia="Calibri"/>
          <w:i/>
          <w:szCs w:val="22"/>
          <w:lang w:eastAsia="de-DE" w:bidi="de-DE"/>
        </w:rPr>
        <w:t>[Art. 11 aufgehoben durch Art. 4 des K.E. vom 1. September 1995 (II) (B.S. vom 5. Oktober 1995)]</w:t>
      </w:r>
    </w:p>
    <w:p w14:paraId="7B394D47" w14:textId="77777777" w:rsidR="00852D5F" w:rsidRDefault="00852D5F" w:rsidP="00C7204C">
      <w:pPr>
        <w:jc w:val="both"/>
        <w:rPr>
          <w:rFonts w:eastAsia="Calibri"/>
          <w:i/>
          <w:szCs w:val="22"/>
          <w:lang w:eastAsia="de-DE" w:bidi="de-DE"/>
        </w:rPr>
      </w:pPr>
    </w:p>
    <w:p w14:paraId="77670212" w14:textId="77777777" w:rsidR="00852D5F" w:rsidRDefault="00852D5F" w:rsidP="00C7204C">
      <w:pPr>
        <w:jc w:val="both"/>
        <w:rPr>
          <w:rFonts w:eastAsia="Calibri"/>
          <w:i/>
          <w:szCs w:val="22"/>
          <w:lang w:eastAsia="de-DE" w:bidi="de-DE"/>
        </w:rPr>
      </w:pPr>
    </w:p>
    <w:p w14:paraId="7C660215" w14:textId="77777777" w:rsidR="00573383" w:rsidRDefault="00573383">
      <w:pPr>
        <w:rPr>
          <w:rFonts w:eastAsia="Calibri"/>
          <w:i/>
          <w:szCs w:val="22"/>
          <w:lang w:eastAsia="de-DE" w:bidi="de-DE"/>
        </w:rPr>
      </w:pPr>
      <w:r>
        <w:rPr>
          <w:rFonts w:eastAsia="Calibri"/>
          <w:i/>
          <w:szCs w:val="22"/>
          <w:lang w:eastAsia="de-DE" w:bidi="de-DE"/>
        </w:rPr>
        <w:br w:type="page"/>
      </w:r>
    </w:p>
    <w:p w14:paraId="340FEAAC" w14:textId="4439E72A" w:rsidR="005A5BD5" w:rsidRPr="002616E4" w:rsidRDefault="005A5BD5" w:rsidP="00B90BCB">
      <w:pPr>
        <w:jc w:val="both"/>
        <w:rPr>
          <w:rFonts w:eastAsia="Calibri"/>
          <w:szCs w:val="22"/>
          <w:lang w:eastAsia="de-DE" w:bidi="de-DE"/>
        </w:rPr>
      </w:pPr>
      <w:r w:rsidRPr="002616E4">
        <w:rPr>
          <w:rFonts w:eastAsia="Calibri"/>
          <w:i/>
          <w:szCs w:val="22"/>
          <w:lang w:eastAsia="de-DE" w:bidi="de-DE"/>
        </w:rPr>
        <w:lastRenderedPageBreak/>
        <w:t>Abschnitt 5 -</w:t>
      </w:r>
      <w:r w:rsidRPr="002616E4">
        <w:rPr>
          <w:rFonts w:eastAsia="Calibri"/>
          <w:szCs w:val="22"/>
          <w:lang w:eastAsia="de-DE" w:bidi="de-DE"/>
        </w:rPr>
        <w:t xml:space="preserve"> Optionssystem für </w:t>
      </w:r>
      <w:r w:rsidR="00B90BCB">
        <w:rPr>
          <w:rFonts w:eastAsia="Calibri"/>
          <w:szCs w:val="22"/>
          <w:lang w:eastAsia="de-DE" w:bidi="de-DE"/>
        </w:rPr>
        <w:t>[</w:t>
      </w:r>
      <w:r w:rsidR="00B90BCB" w:rsidRPr="00402AAD">
        <w:t>Gesellschaften, die zugelassen sind als Landwirtschaftsunternehmen wie in Artikel 8:2 des Gesetzbuches der Gesellschaften und Vereinigungen erwähnt und die die Rechtsform einer offenen Handelsgesellschaft oder einer Kommanditgesellschaft haben</w:t>
      </w:r>
      <w:r w:rsidR="00B90BCB">
        <w:rPr>
          <w:rFonts w:eastAsia="Calibri"/>
          <w:szCs w:val="22"/>
          <w:lang w:eastAsia="de-DE" w:bidi="de-DE"/>
        </w:rPr>
        <w:t>]</w:t>
      </w:r>
    </w:p>
    <w:p w14:paraId="61AAA34C" w14:textId="77777777" w:rsidR="005A5BD5" w:rsidRPr="002616E4" w:rsidRDefault="005A5BD5" w:rsidP="004C2C7D">
      <w:pPr>
        <w:jc w:val="center"/>
        <w:rPr>
          <w:rFonts w:eastAsia="Calibri"/>
          <w:szCs w:val="22"/>
          <w:lang w:eastAsia="de-DE" w:bidi="de-DE"/>
        </w:rPr>
      </w:pPr>
    </w:p>
    <w:p w14:paraId="6A477A24"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(Einkommensteuergesetzbuch 1992, Artikel 29 § 2 Nr. 2)</w:t>
      </w:r>
    </w:p>
    <w:p w14:paraId="5325A79F" w14:textId="77777777" w:rsidR="005A5BD5" w:rsidRDefault="005A5BD5" w:rsidP="004C2C7D">
      <w:pPr>
        <w:jc w:val="both"/>
        <w:rPr>
          <w:rFonts w:eastAsia="Calibri"/>
          <w:szCs w:val="22"/>
          <w:lang w:eastAsia="de-DE" w:bidi="de-DE"/>
        </w:rPr>
      </w:pPr>
    </w:p>
    <w:p w14:paraId="324AC10E" w14:textId="488C0B24" w:rsidR="00B90BCB" w:rsidRDefault="00B90BCB" w:rsidP="004C2C7D">
      <w:pPr>
        <w:jc w:val="both"/>
        <w:rPr>
          <w:rFonts w:eastAsia="Calibri"/>
          <w:i/>
          <w:szCs w:val="22"/>
          <w:lang w:eastAsia="de-DE" w:bidi="de-DE"/>
        </w:rPr>
      </w:pPr>
      <w:r>
        <w:rPr>
          <w:rFonts w:eastAsia="Calibri"/>
          <w:i/>
          <w:szCs w:val="22"/>
          <w:lang w:eastAsia="de-DE" w:bidi="de-DE"/>
        </w:rPr>
        <w:t>[Überschrift von Abschnitt 5 abgeändert durch Art. 2</w:t>
      </w:r>
      <w:r w:rsidR="00B27F11">
        <w:rPr>
          <w:rFonts w:eastAsia="Calibri"/>
          <w:i/>
          <w:szCs w:val="22"/>
          <w:lang w:eastAsia="de-DE" w:bidi="de-DE"/>
        </w:rPr>
        <w:t xml:space="preserve"> des K.E. vom 29. August 2019</w:t>
      </w:r>
      <w:r w:rsidR="00865C4C">
        <w:rPr>
          <w:rFonts w:eastAsia="Calibri"/>
          <w:i/>
          <w:szCs w:val="22"/>
          <w:lang w:eastAsia="de-DE" w:bidi="de-DE"/>
        </w:rPr>
        <w:t> (I)</w:t>
      </w:r>
      <w:r w:rsidR="00B27F11">
        <w:rPr>
          <w:rFonts w:eastAsia="Calibri"/>
          <w:i/>
          <w:szCs w:val="22"/>
          <w:lang w:eastAsia="de-DE" w:bidi="de-DE"/>
        </w:rPr>
        <w:t xml:space="preserve"> (B.S. vom 13. September 2019)]</w:t>
      </w:r>
    </w:p>
    <w:p w14:paraId="6E0757AC" w14:textId="77777777" w:rsidR="00B27F11" w:rsidRPr="00B90BCB" w:rsidRDefault="00B27F11" w:rsidP="004C2C7D">
      <w:pPr>
        <w:jc w:val="both"/>
        <w:rPr>
          <w:rFonts w:eastAsia="Calibri"/>
          <w:i/>
          <w:szCs w:val="22"/>
          <w:lang w:eastAsia="de-DE" w:bidi="de-DE"/>
        </w:rPr>
      </w:pPr>
    </w:p>
    <w:p w14:paraId="669C51DB" w14:textId="77777777" w:rsidR="005A5BD5" w:rsidRPr="002616E4" w:rsidRDefault="005A5BD5" w:rsidP="004C2C7D">
      <w:pPr>
        <w:jc w:val="both"/>
        <w:rPr>
          <w:rFonts w:eastAsia="Calibri"/>
          <w:szCs w:val="22"/>
          <w:lang w:eastAsia="de-DE" w:bidi="de-DE"/>
        </w:rPr>
      </w:pPr>
    </w:p>
    <w:p w14:paraId="15FD2942" w14:textId="6F1D8378"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12</w:t>
      </w:r>
      <w:r w:rsidRPr="002616E4">
        <w:rPr>
          <w:rFonts w:eastAsia="Calibri"/>
          <w:szCs w:val="22"/>
          <w:lang w:eastAsia="de-DE" w:bidi="de-DE"/>
        </w:rPr>
        <w:t xml:space="preserve"> - </w:t>
      </w:r>
      <w:r w:rsidR="00B27F11">
        <w:rPr>
          <w:rFonts w:eastAsia="Calibri"/>
          <w:szCs w:val="22"/>
          <w:lang w:eastAsia="de-DE" w:bidi="de-DE"/>
        </w:rPr>
        <w:t>[</w:t>
      </w:r>
      <w:r w:rsidR="00B27F11" w:rsidRPr="00402AAD">
        <w:t>Gesellschaften, die zugelassen sind als Landwirtschaftsunternehmen wie in Artikel 8:2 des Gesetzbuches der Gesellschaften und Vereinigungen erwähnt und die die Rechtsform einer offenen Handelsgesellschaft oder einer Kommanditgesellschaft haben,</w:t>
      </w:r>
      <w:r w:rsidR="00B27F11">
        <w:rPr>
          <w:rFonts w:eastAsia="Calibri"/>
          <w:szCs w:val="22"/>
          <w:lang w:eastAsia="de-DE" w:bidi="de-DE"/>
        </w:rPr>
        <w:t>]</w:t>
      </w:r>
      <w:r w:rsidRPr="002616E4">
        <w:rPr>
          <w:rFonts w:eastAsia="Calibri"/>
          <w:szCs w:val="22"/>
          <w:lang w:eastAsia="de-DE" w:bidi="de-DE"/>
        </w:rPr>
        <w:t xml:space="preserve"> können für die Rechtspersönlichkeit und das System der Gesellschaftssteuer optieren, wenn sie am ersten Tag des ersten Besteuerungszeitraums, für den von dieser Optionsmöglichkeit Gebrauch gemacht wird, mindestens drei Gesellschafter zählen und sich das </w:t>
      </w:r>
      <w:r w:rsidR="00B27F11">
        <w:rPr>
          <w:rFonts w:eastAsia="Calibri"/>
          <w:szCs w:val="22"/>
          <w:lang w:eastAsia="de-DE" w:bidi="de-DE"/>
        </w:rPr>
        <w:t>[</w:t>
      </w:r>
      <w:r w:rsidR="00B27F11" w:rsidRPr="00402AAD">
        <w:t>Kapital</w:t>
      </w:r>
      <w:r w:rsidR="00B27F11">
        <w:rPr>
          <w:rFonts w:eastAsia="Calibri"/>
          <w:szCs w:val="22"/>
          <w:lang w:eastAsia="de-DE" w:bidi="de-DE"/>
        </w:rPr>
        <w:t>]</w:t>
      </w:r>
      <w:r w:rsidRPr="002616E4">
        <w:rPr>
          <w:rFonts w:eastAsia="Calibri"/>
          <w:szCs w:val="22"/>
          <w:lang w:eastAsia="de-DE" w:bidi="de-DE"/>
        </w:rPr>
        <w:t xml:space="preserve"> an diesem Datum auf mindestens [30.950 EUR] beläuft.</w:t>
      </w:r>
    </w:p>
    <w:p w14:paraId="2C2495A1" w14:textId="77777777" w:rsidR="005A5BD5" w:rsidRPr="002616E4" w:rsidRDefault="005A5BD5" w:rsidP="004C2C7D">
      <w:pPr>
        <w:jc w:val="both"/>
        <w:rPr>
          <w:rFonts w:eastAsia="Calibri"/>
          <w:szCs w:val="22"/>
          <w:lang w:eastAsia="de-DE" w:bidi="de-DE"/>
        </w:rPr>
      </w:pPr>
    </w:p>
    <w:p w14:paraId="128D145D" w14:textId="785BE180" w:rsidR="005A5BD5" w:rsidRPr="002616E4" w:rsidRDefault="005A5BD5" w:rsidP="004C2C7D">
      <w:pPr>
        <w:jc w:val="both"/>
        <w:rPr>
          <w:rFonts w:eastAsia="Calibri"/>
          <w:szCs w:val="22"/>
          <w:lang w:eastAsia="de-DE" w:bidi="de-DE"/>
        </w:rPr>
      </w:pPr>
      <w:r w:rsidRPr="002616E4">
        <w:rPr>
          <w:rFonts w:eastAsia="Calibri"/>
          <w:i/>
          <w:szCs w:val="22"/>
          <w:lang w:eastAsia="de-DE" w:bidi="de-DE"/>
        </w:rPr>
        <w:t>[Art. 12 abgeändert durch Art. 2 des K.E. vom 13. Juli 2001 (B.S. vom 11. August 2001)</w:t>
      </w:r>
      <w:r w:rsidR="00B27F11">
        <w:rPr>
          <w:rFonts w:eastAsia="Calibri"/>
          <w:i/>
          <w:szCs w:val="22"/>
          <w:lang w:eastAsia="de-DE" w:bidi="de-DE"/>
        </w:rPr>
        <w:t xml:space="preserve"> und Art. 3 Nr. 1 und 2 des K.E. vom 29. August 2019</w:t>
      </w:r>
      <w:r w:rsidR="00865C4C">
        <w:rPr>
          <w:rFonts w:eastAsia="Calibri"/>
          <w:i/>
          <w:szCs w:val="22"/>
          <w:lang w:eastAsia="de-DE" w:bidi="de-DE"/>
        </w:rPr>
        <w:t> (I)</w:t>
      </w:r>
      <w:r w:rsidR="00B27F11">
        <w:rPr>
          <w:rFonts w:eastAsia="Calibri"/>
          <w:i/>
          <w:szCs w:val="22"/>
          <w:lang w:eastAsia="de-DE" w:bidi="de-DE"/>
        </w:rPr>
        <w:t xml:space="preserve"> (B.S. vom 13. September 2019)</w:t>
      </w:r>
      <w:r w:rsidRPr="002616E4">
        <w:rPr>
          <w:rFonts w:eastAsia="Calibri"/>
          <w:i/>
          <w:szCs w:val="22"/>
          <w:lang w:eastAsia="de-DE" w:bidi="de-DE"/>
        </w:rPr>
        <w:t>]</w:t>
      </w:r>
    </w:p>
    <w:p w14:paraId="4952E337" w14:textId="77777777" w:rsidR="005A5BD5" w:rsidRPr="002616E4" w:rsidRDefault="005A5BD5" w:rsidP="004C2C7D">
      <w:pPr>
        <w:jc w:val="both"/>
        <w:rPr>
          <w:rFonts w:eastAsia="Calibri"/>
          <w:szCs w:val="22"/>
          <w:lang w:eastAsia="de-DE" w:bidi="de-DE"/>
        </w:rPr>
      </w:pPr>
    </w:p>
    <w:p w14:paraId="0BE38E00" w14:textId="77777777" w:rsidR="005A5BD5" w:rsidRPr="002616E4" w:rsidRDefault="005A5BD5" w:rsidP="004C2C7D">
      <w:pPr>
        <w:jc w:val="both"/>
        <w:rPr>
          <w:rFonts w:eastAsia="Calibri"/>
          <w:szCs w:val="22"/>
          <w:lang w:eastAsia="de-DE" w:bidi="de-DE"/>
        </w:rPr>
      </w:pPr>
    </w:p>
    <w:p w14:paraId="33CB4162"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13</w:t>
      </w:r>
      <w:r w:rsidRPr="002616E4">
        <w:rPr>
          <w:rFonts w:eastAsia="Calibri"/>
          <w:szCs w:val="22"/>
          <w:lang w:eastAsia="de-DE" w:bidi="de-DE"/>
        </w:rPr>
        <w:t> - Von dieser Optionsmöglichkeit kann nur wirksam Gebrauch gemacht werden, wenn die entsprechende Entscheidung einstimmig getroffen worden ist von den Personen, die am ersten Tag des Besteuerungszeitraums, für den die Option wirksam werden soll, Gesellschafter waren, und im Fall des Todes einer dieser Personen, von deren Rechts</w:t>
      </w:r>
      <w:r w:rsidRPr="002616E4">
        <w:rPr>
          <w:rFonts w:eastAsia="Calibri"/>
          <w:szCs w:val="22"/>
          <w:lang w:eastAsia="de-DE" w:bidi="de-DE"/>
        </w:rPr>
        <w:softHyphen/>
        <w:t>nachfolgern.</w:t>
      </w:r>
    </w:p>
    <w:p w14:paraId="17982CF6" w14:textId="77777777" w:rsidR="005A5BD5" w:rsidRPr="002616E4" w:rsidRDefault="005A5BD5" w:rsidP="004C2C7D">
      <w:pPr>
        <w:jc w:val="both"/>
        <w:rPr>
          <w:rFonts w:eastAsia="Calibri"/>
          <w:szCs w:val="22"/>
          <w:lang w:eastAsia="de-DE" w:bidi="de-DE"/>
        </w:rPr>
      </w:pPr>
    </w:p>
    <w:p w14:paraId="4401A379" w14:textId="77777777" w:rsidR="005A5BD5" w:rsidRPr="002616E4" w:rsidRDefault="005A5BD5" w:rsidP="004C2C7D">
      <w:pPr>
        <w:jc w:val="both"/>
        <w:rPr>
          <w:rFonts w:eastAsia="Calibri"/>
          <w:szCs w:val="22"/>
          <w:lang w:eastAsia="de-DE" w:bidi="de-DE"/>
        </w:rPr>
      </w:pPr>
    </w:p>
    <w:p w14:paraId="0DE92516"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14</w:t>
      </w:r>
      <w:r w:rsidRPr="002616E4">
        <w:rPr>
          <w:rFonts w:eastAsia="Calibri"/>
          <w:szCs w:val="22"/>
          <w:lang w:eastAsia="de-DE" w:bidi="de-DE"/>
        </w:rPr>
        <w:t xml:space="preserve"> - Um von dieser Optionsmöglichkeit Gebrauch machen zu können, muss die Gesellschaft eine Kopie der in Artikel 13 erwähnten Entscheidung einsenden. </w:t>
      </w:r>
    </w:p>
    <w:p w14:paraId="44408573" w14:textId="77777777" w:rsidR="005A5BD5" w:rsidRPr="002616E4" w:rsidRDefault="005A5BD5" w:rsidP="004C2C7D">
      <w:pPr>
        <w:jc w:val="both"/>
        <w:rPr>
          <w:rFonts w:eastAsia="Calibri"/>
          <w:szCs w:val="22"/>
          <w:lang w:eastAsia="de-DE" w:bidi="de-DE"/>
        </w:rPr>
      </w:pPr>
    </w:p>
    <w:p w14:paraId="7A4C590D"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Diese Unterlage, die alle Angaben enthalten muss, die zur Beurteilung der Gültigkeit der Entscheidung erforderlich sind, muss von allen Entscheidungsträgern unterzeichnet werden.</w:t>
      </w:r>
    </w:p>
    <w:p w14:paraId="5E01447A" w14:textId="77777777" w:rsidR="007D4A9A" w:rsidRDefault="007D4A9A" w:rsidP="004C2C7D">
      <w:pPr>
        <w:jc w:val="both"/>
        <w:rPr>
          <w:rFonts w:eastAsia="Calibri"/>
          <w:szCs w:val="22"/>
          <w:lang w:eastAsia="de-DE" w:bidi="de-DE"/>
        </w:rPr>
      </w:pPr>
    </w:p>
    <w:p w14:paraId="71ACE6CA"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Zur Vermeidung der Nichtigkeit muss die Unterlage binnen dreißig Tagen nach Beginn des ersten Besteuerungszeitraums, für den die Option wirksam werden soll, dem Kontrolleur der direkten Steuern oder dem Leiter des zentralen Besteuerungsamtes, der für das Gebiet der Gesellschaft zuständig ist, per Einschreiben übermittelt werden. </w:t>
      </w:r>
    </w:p>
    <w:p w14:paraId="111ED7DC" w14:textId="77777777" w:rsidR="005A5BD5" w:rsidRPr="002616E4" w:rsidRDefault="005A5BD5" w:rsidP="004C2C7D">
      <w:pPr>
        <w:jc w:val="both"/>
        <w:rPr>
          <w:rFonts w:eastAsia="Calibri"/>
          <w:szCs w:val="22"/>
          <w:lang w:eastAsia="de-DE" w:bidi="de-DE"/>
        </w:rPr>
      </w:pPr>
    </w:p>
    <w:p w14:paraId="674BCBCA" w14:textId="77777777" w:rsidR="00050DE7" w:rsidRDefault="00050DE7">
      <w:pPr>
        <w:rPr>
          <w:rFonts w:eastAsia="Calibri"/>
          <w:szCs w:val="22"/>
          <w:lang w:eastAsia="de-DE" w:bidi="de-DE"/>
        </w:rPr>
      </w:pPr>
    </w:p>
    <w:p w14:paraId="61D5FF6A"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15</w:t>
      </w:r>
      <w:r w:rsidRPr="002616E4">
        <w:rPr>
          <w:rFonts w:eastAsia="Calibri"/>
          <w:szCs w:val="22"/>
          <w:lang w:eastAsia="de-DE" w:bidi="de-DE"/>
        </w:rPr>
        <w:t> - Unbeschadet der Anwendung von Artikel 16 ist die Option für einen Zyklus von drei aufeinander folgenden Besteuerungszeiträumen im System der Gesellschaftssteuer unwiderruflich. Das gewählte System wird jedes Mal vo</w:t>
      </w:r>
      <w:r>
        <w:rPr>
          <w:rFonts w:eastAsia="Calibri"/>
          <w:szCs w:val="22"/>
          <w:lang w:eastAsia="de-DE" w:bidi="de-DE"/>
        </w:rPr>
        <w:t>n</w:t>
      </w:r>
      <w:r w:rsidRPr="002616E4">
        <w:rPr>
          <w:rFonts w:eastAsia="Calibri"/>
          <w:szCs w:val="22"/>
          <w:lang w:eastAsia="de-DE" w:bidi="de-DE"/>
        </w:rPr>
        <w:t xml:space="preserve"> Amts wegen für einen Zyklus von drei aufeinander folgenden Besteuerungszeiträumen verlängert, es sei denn: </w:t>
      </w:r>
    </w:p>
    <w:p w14:paraId="69B46916" w14:textId="77777777" w:rsidR="005A5BD5" w:rsidRPr="002616E4" w:rsidRDefault="005A5BD5" w:rsidP="004C2C7D">
      <w:pPr>
        <w:jc w:val="both"/>
        <w:rPr>
          <w:rFonts w:eastAsia="Calibri"/>
          <w:szCs w:val="22"/>
          <w:lang w:eastAsia="de-DE" w:bidi="de-DE"/>
        </w:rPr>
      </w:pPr>
    </w:p>
    <w:p w14:paraId="49305A31" w14:textId="6F6DC15C" w:rsidR="005A5BD5" w:rsidRPr="002616E4" w:rsidRDefault="005A5BD5" w:rsidP="004C2C7D">
      <w:pPr>
        <w:jc w:val="both"/>
        <w:rPr>
          <w:rFonts w:eastAsia="Calibri"/>
          <w:szCs w:val="22"/>
          <w:lang w:eastAsia="de-DE" w:bidi="de-DE"/>
        </w:rPr>
      </w:pPr>
      <w:r w:rsidRPr="002616E4">
        <w:rPr>
          <w:rFonts w:eastAsia="Calibri"/>
          <w:szCs w:val="22"/>
          <w:lang w:eastAsia="de-DE" w:bidi="de-DE"/>
        </w:rPr>
        <w:tab/>
        <w:t>1. die in Artikel 13 erwähnten Personen treffen unter den in diesem Artikel vorgese</w:t>
      </w:r>
      <w:r w:rsidR="00B27F11">
        <w:rPr>
          <w:rFonts w:eastAsia="Calibri"/>
          <w:szCs w:val="22"/>
          <w:lang w:eastAsia="de-DE" w:bidi="de-DE"/>
        </w:rPr>
        <w:softHyphen/>
      </w:r>
      <w:r w:rsidRPr="002616E4">
        <w:rPr>
          <w:rFonts w:eastAsia="Calibri"/>
          <w:szCs w:val="22"/>
          <w:lang w:eastAsia="de-DE" w:bidi="de-DE"/>
        </w:rPr>
        <w:t xml:space="preserve">henen Bedingungen eine neue Entscheidung zur Beendigung des gewählten Systems und eine Kopie dieser Entscheidung mit allen Angaben, die zur Beurteilung ihrer Gültigkeit erforderlich </w:t>
      </w:r>
      <w:r w:rsidRPr="002616E4">
        <w:rPr>
          <w:rFonts w:eastAsia="Calibri"/>
          <w:szCs w:val="22"/>
          <w:lang w:eastAsia="de-DE" w:bidi="de-DE"/>
        </w:rPr>
        <w:lastRenderedPageBreak/>
        <w:t>sind, wird dem Kontrolleur der direkten Steuern oder dem Leiter des zentralen Besteuerungs</w:t>
      </w:r>
      <w:r w:rsidR="00B27F11">
        <w:rPr>
          <w:rFonts w:eastAsia="Calibri"/>
          <w:szCs w:val="22"/>
          <w:lang w:eastAsia="de-DE" w:bidi="de-DE"/>
        </w:rPr>
        <w:softHyphen/>
      </w:r>
      <w:r w:rsidRPr="002616E4">
        <w:rPr>
          <w:rFonts w:eastAsia="Calibri"/>
          <w:szCs w:val="22"/>
          <w:lang w:eastAsia="de-DE" w:bidi="de-DE"/>
        </w:rPr>
        <w:t>amtes, der für das Gebiet der Gesellschaft zuständig ist, binnen dreißig Tagen nach Beginn des ersten Besteuerungszeitraums nach dem Zyklus, für den die Option wirksam gewesen ist, per Einschreiben übermittelt; diese Kopie wird von allen Entscheidungsträgern unterzeichnet,</w:t>
      </w:r>
    </w:p>
    <w:p w14:paraId="5F00E48A" w14:textId="77777777" w:rsidR="005A5BD5" w:rsidRPr="002616E4" w:rsidRDefault="005A5BD5" w:rsidP="004C2C7D">
      <w:pPr>
        <w:jc w:val="both"/>
        <w:rPr>
          <w:rFonts w:eastAsia="Calibri"/>
          <w:szCs w:val="22"/>
          <w:lang w:eastAsia="de-DE" w:bidi="de-DE"/>
        </w:rPr>
      </w:pPr>
    </w:p>
    <w:p w14:paraId="404C5AB3" w14:textId="3BBBBAB2"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2. die Bedingungen in Bezug auf die Anzahl Gesellschafter und die Höhe des </w:t>
      </w:r>
      <w:r w:rsidR="00B27F11">
        <w:rPr>
          <w:rFonts w:eastAsia="Calibri"/>
          <w:szCs w:val="22"/>
          <w:lang w:eastAsia="de-DE" w:bidi="de-DE"/>
        </w:rPr>
        <w:t>[K</w:t>
      </w:r>
      <w:r w:rsidRPr="002616E4">
        <w:rPr>
          <w:rFonts w:eastAsia="Calibri"/>
          <w:szCs w:val="22"/>
          <w:lang w:eastAsia="de-DE" w:bidi="de-DE"/>
        </w:rPr>
        <w:t>apitals</w:t>
      </w:r>
      <w:r w:rsidR="00B27F11">
        <w:rPr>
          <w:rFonts w:eastAsia="Calibri"/>
          <w:szCs w:val="22"/>
          <w:lang w:eastAsia="de-DE" w:bidi="de-DE"/>
        </w:rPr>
        <w:t>]</w:t>
      </w:r>
      <w:r w:rsidRPr="002616E4">
        <w:rPr>
          <w:rFonts w:eastAsia="Calibri"/>
          <w:szCs w:val="22"/>
          <w:lang w:eastAsia="de-DE" w:bidi="de-DE"/>
        </w:rPr>
        <w:t xml:space="preserve"> sind bei Ablauf des Besteuerungszeitraums nach dem Zyklus, für den die Option zuletzt wirksam gewesen ist, seit mindestens einem Jahr nicht mehr erfüllt.</w:t>
      </w:r>
    </w:p>
    <w:p w14:paraId="4C405354" w14:textId="77777777" w:rsidR="005A5BD5" w:rsidRDefault="005A5BD5" w:rsidP="004C2C7D">
      <w:pPr>
        <w:jc w:val="both"/>
        <w:rPr>
          <w:rFonts w:eastAsia="Calibri"/>
          <w:szCs w:val="22"/>
          <w:lang w:eastAsia="de-DE" w:bidi="de-DE"/>
        </w:rPr>
      </w:pPr>
    </w:p>
    <w:p w14:paraId="2BF60E3D" w14:textId="6E3A5879" w:rsidR="00B27F11" w:rsidRDefault="00B27F11" w:rsidP="004C2C7D">
      <w:pPr>
        <w:jc w:val="both"/>
        <w:rPr>
          <w:rFonts w:eastAsia="Calibri"/>
          <w:i/>
          <w:szCs w:val="22"/>
          <w:lang w:eastAsia="de-DE" w:bidi="de-DE"/>
        </w:rPr>
      </w:pPr>
      <w:r>
        <w:rPr>
          <w:rFonts w:eastAsia="Calibri"/>
          <w:i/>
          <w:szCs w:val="22"/>
          <w:lang w:eastAsia="de-DE" w:bidi="de-DE"/>
        </w:rPr>
        <w:t>[Art. 15 einziger Absatz Nr. 2 abgeändert durch Art. 4 des K.E. vom 29. August 2019</w:t>
      </w:r>
      <w:r w:rsidR="00865C4C">
        <w:rPr>
          <w:rFonts w:eastAsia="Calibri"/>
          <w:i/>
          <w:szCs w:val="22"/>
          <w:lang w:eastAsia="de-DE" w:bidi="de-DE"/>
        </w:rPr>
        <w:t> (I)</w:t>
      </w:r>
      <w:r>
        <w:rPr>
          <w:rFonts w:eastAsia="Calibri"/>
          <w:i/>
          <w:szCs w:val="22"/>
          <w:lang w:eastAsia="de-DE" w:bidi="de-DE"/>
        </w:rPr>
        <w:t xml:space="preserve"> (B.S. vom 13. September 2019)]</w:t>
      </w:r>
    </w:p>
    <w:p w14:paraId="7983715E" w14:textId="77777777" w:rsidR="00B27F11" w:rsidRPr="00B27F11" w:rsidRDefault="00B27F11" w:rsidP="004C2C7D">
      <w:pPr>
        <w:jc w:val="both"/>
        <w:rPr>
          <w:rFonts w:eastAsia="Calibri"/>
          <w:i/>
          <w:szCs w:val="22"/>
          <w:lang w:eastAsia="de-DE" w:bidi="de-DE"/>
        </w:rPr>
      </w:pPr>
    </w:p>
    <w:p w14:paraId="5AC9903C" w14:textId="77777777" w:rsidR="005A5BD5" w:rsidRPr="002616E4" w:rsidRDefault="005A5BD5" w:rsidP="004C2C7D">
      <w:pPr>
        <w:jc w:val="both"/>
        <w:rPr>
          <w:rFonts w:eastAsia="Calibri"/>
          <w:szCs w:val="22"/>
          <w:lang w:eastAsia="de-DE" w:bidi="de-DE"/>
        </w:rPr>
      </w:pPr>
    </w:p>
    <w:p w14:paraId="650B851D" w14:textId="260CC5C1" w:rsidR="005A5BD5" w:rsidRDefault="005A5BD5" w:rsidP="00B27F11">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16</w:t>
      </w:r>
      <w:r w:rsidRPr="002616E4">
        <w:rPr>
          <w:rFonts w:eastAsia="Calibri"/>
          <w:szCs w:val="22"/>
          <w:lang w:eastAsia="de-DE" w:bidi="de-DE"/>
        </w:rPr>
        <w:t xml:space="preserve"> - </w:t>
      </w:r>
      <w:r w:rsidR="00B27F11">
        <w:rPr>
          <w:rFonts w:eastAsia="Calibri"/>
          <w:szCs w:val="22"/>
          <w:lang w:eastAsia="de-DE" w:bidi="de-DE"/>
        </w:rPr>
        <w:t>[</w:t>
      </w:r>
      <w:r w:rsidR="00B27F11" w:rsidRPr="00402AAD">
        <w:t>Wenn eine Gesellschaft nicht mehr zugelassen ist als Landwirtschaftsunternehmen wie in Artikel 8:2 des Gesetzbuches der Gesellschaften und Vereinigungen erwähnt oder die Rechtsform einer Gesellschaft mit beschränkter Haftung oder einer Genossenschaft angenommen hat, wird dem Optionssystem mit Beginn des Besteuerungs</w:t>
      </w:r>
      <w:r w:rsidR="00B27F11">
        <w:softHyphen/>
      </w:r>
      <w:r w:rsidR="00B27F11" w:rsidRPr="00402AAD">
        <w:t>zeitraums, in dem die Zulassung endet oder die neue Rechtsform angenommen wird, von Amts wegen ein Ende gesetzt. Die Gesellschaft unterliegt weiterhin der Gesellschaftssteuer.</w:t>
      </w:r>
      <w:r w:rsidR="00B27F11">
        <w:rPr>
          <w:rFonts w:eastAsia="Calibri"/>
          <w:szCs w:val="22"/>
          <w:lang w:eastAsia="de-DE" w:bidi="de-DE"/>
        </w:rPr>
        <w:t>]</w:t>
      </w:r>
    </w:p>
    <w:p w14:paraId="68BEDBB4" w14:textId="77777777" w:rsidR="00B27F11" w:rsidRDefault="00B27F11" w:rsidP="00B27F11">
      <w:pPr>
        <w:jc w:val="both"/>
        <w:rPr>
          <w:rFonts w:eastAsia="Calibri"/>
          <w:szCs w:val="22"/>
          <w:lang w:eastAsia="de-DE" w:bidi="de-DE"/>
        </w:rPr>
      </w:pPr>
    </w:p>
    <w:p w14:paraId="7CFF6825" w14:textId="3C1DA1B1" w:rsidR="00B27F11" w:rsidRPr="00B27F11" w:rsidRDefault="00B27F11" w:rsidP="00B27F11">
      <w:pPr>
        <w:jc w:val="both"/>
        <w:rPr>
          <w:rFonts w:eastAsia="Calibri"/>
          <w:i/>
          <w:szCs w:val="22"/>
          <w:lang w:eastAsia="de-DE" w:bidi="de-DE"/>
        </w:rPr>
      </w:pPr>
      <w:r>
        <w:rPr>
          <w:rFonts w:eastAsia="Calibri"/>
          <w:i/>
          <w:szCs w:val="22"/>
          <w:lang w:eastAsia="de-DE" w:bidi="de-DE"/>
        </w:rPr>
        <w:t>[Art. 16 ersetzt durch Art. 5 des K.E. vom 29. </w:t>
      </w:r>
      <w:r w:rsidRPr="00C949AA">
        <w:rPr>
          <w:rFonts w:eastAsia="Calibri"/>
          <w:i/>
          <w:szCs w:val="22"/>
          <w:lang w:val="da-DK" w:eastAsia="de-DE" w:bidi="de-DE"/>
        </w:rPr>
        <w:t>August 2019</w:t>
      </w:r>
      <w:r w:rsidR="00865C4C" w:rsidRPr="00C949AA">
        <w:rPr>
          <w:rFonts w:eastAsia="Calibri"/>
          <w:i/>
          <w:szCs w:val="22"/>
          <w:lang w:val="da-DK" w:eastAsia="de-DE" w:bidi="de-DE"/>
        </w:rPr>
        <w:t> (I)</w:t>
      </w:r>
      <w:r w:rsidRPr="00C949AA">
        <w:rPr>
          <w:rFonts w:eastAsia="Calibri"/>
          <w:i/>
          <w:szCs w:val="22"/>
          <w:lang w:val="da-DK" w:eastAsia="de-DE" w:bidi="de-DE"/>
        </w:rPr>
        <w:t xml:space="preserve"> (B.S. vom 13. </w:t>
      </w:r>
      <w:r>
        <w:rPr>
          <w:rFonts w:eastAsia="Calibri"/>
          <w:i/>
          <w:szCs w:val="22"/>
          <w:lang w:eastAsia="de-DE" w:bidi="de-DE"/>
        </w:rPr>
        <w:t>September 2019)]</w:t>
      </w:r>
    </w:p>
    <w:p w14:paraId="05FEA7F1" w14:textId="77777777" w:rsidR="005A5BD5" w:rsidRPr="002616E4" w:rsidRDefault="005A5BD5" w:rsidP="004C2C7D">
      <w:pPr>
        <w:jc w:val="both"/>
        <w:rPr>
          <w:rFonts w:eastAsia="Calibri"/>
          <w:szCs w:val="22"/>
          <w:lang w:eastAsia="de-DE" w:bidi="de-DE"/>
        </w:rPr>
      </w:pPr>
    </w:p>
    <w:p w14:paraId="157D8C70" w14:textId="77777777" w:rsidR="007D4A9A" w:rsidRDefault="007D4A9A">
      <w:pPr>
        <w:rPr>
          <w:rFonts w:eastAsia="Calibri"/>
          <w:i/>
          <w:szCs w:val="22"/>
          <w:lang w:eastAsia="de-DE" w:bidi="de-DE"/>
        </w:rPr>
      </w:pPr>
    </w:p>
    <w:p w14:paraId="0C816DE5" w14:textId="45C766AC" w:rsidR="005A5BD5" w:rsidRPr="002616E4" w:rsidRDefault="005A5BD5" w:rsidP="004C2C7D">
      <w:pPr>
        <w:jc w:val="center"/>
        <w:rPr>
          <w:rFonts w:eastAsia="Calibri"/>
          <w:szCs w:val="22"/>
          <w:lang w:eastAsia="de-DE" w:bidi="de-DE"/>
        </w:rPr>
      </w:pPr>
      <w:r w:rsidRPr="002616E4">
        <w:rPr>
          <w:rFonts w:eastAsia="Calibri"/>
          <w:i/>
          <w:szCs w:val="22"/>
          <w:lang w:eastAsia="de-DE" w:bidi="de-DE"/>
        </w:rPr>
        <w:t>Abschnitt 6 -</w:t>
      </w:r>
      <w:r w:rsidRPr="002616E4">
        <w:rPr>
          <w:rFonts w:eastAsia="Calibri"/>
          <w:szCs w:val="22"/>
          <w:lang w:eastAsia="de-DE" w:bidi="de-DE"/>
        </w:rPr>
        <w:t xml:space="preserve"> Entlohnungen von vollständig, hauptsächlich oder zusätzlich mit Trinkgeldern entlohnten Arbeitnehmern - Steuerpflichtige Mindestentlohnungen</w:t>
      </w:r>
    </w:p>
    <w:p w14:paraId="5C61AF6C" w14:textId="77777777" w:rsidR="005A5BD5" w:rsidRPr="002616E4" w:rsidRDefault="005A5BD5" w:rsidP="004C2C7D">
      <w:pPr>
        <w:jc w:val="center"/>
        <w:rPr>
          <w:rFonts w:eastAsia="Calibri"/>
          <w:szCs w:val="22"/>
          <w:lang w:eastAsia="de-DE" w:bidi="de-DE"/>
        </w:rPr>
      </w:pPr>
    </w:p>
    <w:p w14:paraId="2A93BC25"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(Einkommensteuergesetzbuch 1992, [Artikel 31 Absatz 3])</w:t>
      </w:r>
    </w:p>
    <w:p w14:paraId="00A59F3A" w14:textId="77777777" w:rsidR="005A5BD5" w:rsidRPr="002616E4" w:rsidRDefault="005A5BD5" w:rsidP="004C2C7D">
      <w:pPr>
        <w:jc w:val="both"/>
        <w:rPr>
          <w:rFonts w:eastAsia="Calibri"/>
          <w:szCs w:val="22"/>
          <w:lang w:eastAsia="de-DE" w:bidi="de-DE"/>
        </w:rPr>
      </w:pPr>
    </w:p>
    <w:p w14:paraId="6CDA27FE" w14:textId="77777777" w:rsidR="005A5BD5" w:rsidRPr="002616E4" w:rsidRDefault="005A5BD5" w:rsidP="004C2C7D">
      <w:pPr>
        <w:jc w:val="both"/>
        <w:rPr>
          <w:rFonts w:eastAsia="Calibri"/>
          <w:i/>
          <w:szCs w:val="22"/>
          <w:lang w:eastAsia="de-DE" w:bidi="de-DE"/>
        </w:rPr>
      </w:pPr>
      <w:r w:rsidRPr="002616E4">
        <w:rPr>
          <w:rFonts w:eastAsia="Calibri"/>
          <w:i/>
          <w:szCs w:val="22"/>
          <w:lang w:eastAsia="de-DE" w:bidi="de-DE"/>
        </w:rPr>
        <w:t>[Überschrift von Abschnitt 6 abgeändert durch Art. 1 des K.E. vom 30. September 2014 (II) (B.S. vom 9. Oktober 2014)]</w:t>
      </w:r>
    </w:p>
    <w:p w14:paraId="083D36C3" w14:textId="77777777" w:rsidR="005A5BD5" w:rsidRPr="002616E4" w:rsidRDefault="005A5BD5" w:rsidP="004C2C7D">
      <w:pPr>
        <w:jc w:val="both"/>
        <w:rPr>
          <w:rFonts w:eastAsia="Calibri"/>
          <w:szCs w:val="22"/>
          <w:lang w:eastAsia="de-DE" w:bidi="de-DE"/>
        </w:rPr>
      </w:pPr>
    </w:p>
    <w:p w14:paraId="2F6A7CAE" w14:textId="77777777" w:rsidR="005A5BD5" w:rsidRPr="002616E4" w:rsidRDefault="005A5BD5" w:rsidP="004C2C7D">
      <w:pPr>
        <w:jc w:val="both"/>
        <w:rPr>
          <w:rFonts w:eastAsia="Calibri"/>
          <w:szCs w:val="22"/>
          <w:lang w:eastAsia="de-DE" w:bidi="de-DE"/>
        </w:rPr>
      </w:pPr>
    </w:p>
    <w:p w14:paraId="233DEEA3"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17</w:t>
      </w:r>
      <w:r w:rsidRPr="002616E4">
        <w:rPr>
          <w:rFonts w:eastAsia="Calibri"/>
          <w:szCs w:val="22"/>
          <w:lang w:eastAsia="de-DE" w:bidi="de-DE"/>
        </w:rPr>
        <w:t> - Die steuerpflichtige Bruttoentlohnung von vollständig, hauptsächlich oder zusätzlich mit Trinkgeldern entlohnten Arbeitnehmern darf nicht unter der pauschalen Entlohnung liegen, die als Grundlage für die Berechnung der von diesen Arbeitnehmern und ihren Arbeitgebern in Ausführung der Rechtsvorschriften über die soziale Sicherheit zu zahlenden Beiträge gedient hat.</w:t>
      </w:r>
    </w:p>
    <w:p w14:paraId="19F8AB60" w14:textId="77777777" w:rsidR="007D4A9A" w:rsidRDefault="007D4A9A" w:rsidP="004C2C7D">
      <w:pPr>
        <w:jc w:val="both"/>
        <w:rPr>
          <w:rFonts w:eastAsia="Calibri"/>
          <w:i/>
          <w:szCs w:val="22"/>
          <w:lang w:eastAsia="de-DE" w:bidi="de-DE"/>
        </w:rPr>
      </w:pPr>
    </w:p>
    <w:p w14:paraId="73D33247" w14:textId="77777777" w:rsidR="007D4A9A" w:rsidRDefault="007D4A9A" w:rsidP="004C2C7D">
      <w:pPr>
        <w:jc w:val="both"/>
        <w:rPr>
          <w:rFonts w:eastAsia="Calibri"/>
          <w:i/>
          <w:szCs w:val="22"/>
          <w:lang w:eastAsia="de-DE" w:bidi="de-DE"/>
        </w:rPr>
      </w:pPr>
    </w:p>
    <w:p w14:paraId="0576E449" w14:textId="77777777" w:rsidR="0006796B" w:rsidRPr="00A37080" w:rsidRDefault="0006796B" w:rsidP="0006796B">
      <w:pPr>
        <w:jc w:val="center"/>
      </w:pPr>
      <w:r>
        <w:rPr>
          <w:rFonts w:eastAsia="Calibri"/>
          <w:iCs/>
          <w:szCs w:val="22"/>
          <w:lang w:eastAsia="de-DE" w:bidi="de-DE"/>
        </w:rPr>
        <w:t>[</w:t>
      </w:r>
      <w:r w:rsidRPr="00CA5BBE">
        <w:rPr>
          <w:i/>
          <w:iCs/>
        </w:rPr>
        <w:t>Abschnitt 6bis</w:t>
      </w:r>
      <w:r w:rsidRPr="00A37080">
        <w:t xml:space="preserve"> - Besonderes Besteuerungssystem für Steuerpflichtige-Impatriates und Forscher-Impatriates</w:t>
      </w:r>
    </w:p>
    <w:p w14:paraId="3D206976" w14:textId="77777777" w:rsidR="0006796B" w:rsidRPr="00A37080" w:rsidRDefault="0006796B" w:rsidP="0006796B">
      <w:pPr>
        <w:jc w:val="both"/>
      </w:pPr>
    </w:p>
    <w:p w14:paraId="1F7A9C66" w14:textId="77777777" w:rsidR="0006796B" w:rsidRPr="00A37080" w:rsidRDefault="0006796B" w:rsidP="0006796B">
      <w:pPr>
        <w:jc w:val="both"/>
      </w:pPr>
      <w:r w:rsidRPr="00A37080">
        <w:tab/>
        <w:t>(Einkommensteuergesetzbuch 1992, Artikel 32/1 § 8 Absatz 1 und 32/2 § 8 Absatz 1)</w:t>
      </w:r>
    </w:p>
    <w:p w14:paraId="3DCEC84D" w14:textId="77777777" w:rsidR="0006796B" w:rsidRDefault="0006796B" w:rsidP="0006796B">
      <w:pPr>
        <w:jc w:val="both"/>
      </w:pPr>
    </w:p>
    <w:p w14:paraId="40E7043F" w14:textId="77777777" w:rsidR="0006796B" w:rsidRDefault="0006796B" w:rsidP="0006796B">
      <w:pPr>
        <w:jc w:val="both"/>
        <w:rPr>
          <w:i/>
          <w:iCs/>
        </w:rPr>
      </w:pPr>
      <w:r>
        <w:rPr>
          <w:i/>
          <w:iCs/>
        </w:rPr>
        <w:t>[Abschnitt 6bis mit den Artikeln 17/1 und 17/2 eingefügt durch Art. 1 des K.E. vom 5. März 2022 (B.S. vom 11. März 2022)]</w:t>
      </w:r>
    </w:p>
    <w:p w14:paraId="799AA94B" w14:textId="77777777" w:rsidR="0006796B" w:rsidRDefault="0006796B" w:rsidP="0006796B">
      <w:pPr>
        <w:jc w:val="both"/>
        <w:rPr>
          <w:i/>
          <w:iCs/>
        </w:rPr>
      </w:pPr>
    </w:p>
    <w:p w14:paraId="3D5D9C3B" w14:textId="77777777" w:rsidR="0006796B" w:rsidRPr="00CA5BBE" w:rsidRDefault="0006796B" w:rsidP="0006796B">
      <w:pPr>
        <w:jc w:val="both"/>
        <w:rPr>
          <w:i/>
          <w:iCs/>
        </w:rPr>
      </w:pPr>
    </w:p>
    <w:p w14:paraId="4B3F522F" w14:textId="70236344" w:rsidR="0006796B" w:rsidRPr="00A37080" w:rsidRDefault="0006796B" w:rsidP="0006796B">
      <w:pPr>
        <w:jc w:val="both"/>
      </w:pPr>
      <w:r w:rsidRPr="00A37080">
        <w:tab/>
      </w:r>
      <w:r w:rsidRPr="00CA5BBE">
        <w:rPr>
          <w:b/>
          <w:bCs/>
        </w:rPr>
        <w:t>Art. 17/1</w:t>
      </w:r>
      <w:r w:rsidRPr="00A37080">
        <w:t xml:space="preserve"> - </w:t>
      </w:r>
      <w:r w:rsidR="001E2521">
        <w:t>[§ 1] - [</w:t>
      </w:r>
      <w:r w:rsidR="001E2521" w:rsidRPr="007721B7">
        <w:t xml:space="preserve">In Artikel 32/1 § 8 Absatz 1 und 2 des EStGB 92 erwähnte Anträge für die Anwendung und die etwaige Verlängerung des besonderen Besteuerungssystems für </w:t>
      </w:r>
      <w:r w:rsidR="001E2521" w:rsidRPr="007721B7">
        <w:lastRenderedPageBreak/>
        <w:t>Steuerpflichtige-Impatriates werden anhand der Formulare gestellt, die auf der Website des Föderalen Öffentlichen Dienstes Finanzen zur Verfügung gestellt werden.</w:t>
      </w:r>
      <w:r w:rsidR="001E2521">
        <w:t>]</w:t>
      </w:r>
    </w:p>
    <w:p w14:paraId="5740AB3E" w14:textId="77777777" w:rsidR="0006796B" w:rsidRPr="00A37080" w:rsidRDefault="0006796B" w:rsidP="0006796B">
      <w:pPr>
        <w:jc w:val="both"/>
      </w:pPr>
    </w:p>
    <w:p w14:paraId="66F63F04" w14:textId="422FDCE5" w:rsidR="0006796B" w:rsidRPr="00A37080" w:rsidRDefault="0006796B" w:rsidP="0006796B">
      <w:pPr>
        <w:jc w:val="both"/>
      </w:pPr>
      <w:r w:rsidRPr="00A37080">
        <w:tab/>
      </w:r>
      <w:r w:rsidR="001E2521">
        <w:t xml:space="preserve">[§ 2] - </w:t>
      </w:r>
      <w:r w:rsidRPr="00A37080">
        <w:t xml:space="preserve">Das Formular </w:t>
      </w:r>
      <w:r w:rsidR="001E2521">
        <w:t>[</w:t>
      </w:r>
      <w:r w:rsidR="001E2521" w:rsidRPr="007721B7">
        <w:t>für den in Artikel 32/1 § 8 Absatz 1 des EStGB 92 erwähnten Antrag</w:t>
      </w:r>
      <w:r w:rsidR="001E2521">
        <w:t xml:space="preserve">] </w:t>
      </w:r>
      <w:r w:rsidRPr="00A37080">
        <w:t>enthält folgende Angaben und Vermerke:</w:t>
      </w:r>
    </w:p>
    <w:p w14:paraId="0FDC5FF6" w14:textId="77777777" w:rsidR="0006796B" w:rsidRPr="00A37080" w:rsidRDefault="0006796B" w:rsidP="0006796B">
      <w:pPr>
        <w:jc w:val="both"/>
      </w:pPr>
    </w:p>
    <w:p w14:paraId="145A1C3D" w14:textId="77777777" w:rsidR="0006796B" w:rsidRPr="00A37080" w:rsidRDefault="0006796B" w:rsidP="0006796B">
      <w:pPr>
        <w:jc w:val="both"/>
      </w:pPr>
      <w:r w:rsidRPr="00A37080">
        <w:tab/>
        <w:t>1. Angaben, die die Identifizierung des Steuerpflichtigen ermöglichen, für den das Einverständnis zur Anwendung des besonderen Besteuerungssystems für Steuerpflichtige-Impatriates beantragt wird,</w:t>
      </w:r>
    </w:p>
    <w:p w14:paraId="5FFA08A8" w14:textId="77777777" w:rsidR="0006796B" w:rsidRPr="00A37080" w:rsidRDefault="0006796B" w:rsidP="0006796B">
      <w:pPr>
        <w:jc w:val="both"/>
      </w:pPr>
    </w:p>
    <w:p w14:paraId="162AED3A" w14:textId="77777777" w:rsidR="0006796B" w:rsidRPr="00A37080" w:rsidRDefault="0006796B" w:rsidP="0006796B">
      <w:pPr>
        <w:jc w:val="both"/>
      </w:pPr>
      <w:r w:rsidRPr="00A37080">
        <w:tab/>
        <w:t>2. Angaben, die die Identifizierung des Arbeitgebers oder der Gesellschaft, der/die den Antrag einreicht, und gegebenenfalls seines/ihres Bevollmächtigten ermöglichen,</w:t>
      </w:r>
    </w:p>
    <w:p w14:paraId="4F9753A1" w14:textId="19D4ED02" w:rsidR="001E2521" w:rsidRPr="00A37080" w:rsidRDefault="001E2521" w:rsidP="0006796B">
      <w:pPr>
        <w:jc w:val="both"/>
      </w:pPr>
    </w:p>
    <w:p w14:paraId="0938A35F" w14:textId="77777777" w:rsidR="0006796B" w:rsidRPr="00A37080" w:rsidRDefault="0006796B" w:rsidP="0006796B">
      <w:pPr>
        <w:jc w:val="both"/>
      </w:pPr>
      <w:r w:rsidRPr="00A37080">
        <w:tab/>
        <w:t>3. Datum des Arbeitsantritts oder der Zurverfügungstellung in Belgien,</w:t>
      </w:r>
    </w:p>
    <w:p w14:paraId="5CE0397E" w14:textId="77777777" w:rsidR="0006796B" w:rsidRPr="00A37080" w:rsidRDefault="0006796B" w:rsidP="0006796B">
      <w:pPr>
        <w:jc w:val="both"/>
      </w:pPr>
    </w:p>
    <w:p w14:paraId="210A89A4" w14:textId="77777777" w:rsidR="0006796B" w:rsidRPr="00A37080" w:rsidRDefault="0006796B" w:rsidP="0006796B">
      <w:pPr>
        <w:jc w:val="both"/>
      </w:pPr>
      <w:r w:rsidRPr="00A37080">
        <w:tab/>
        <w:t>4. Betrag der jährlichen Bruttoentlohnung für die in Belgien erbrachten Leistungen und Berechnung dieser Entlohnung,</w:t>
      </w:r>
    </w:p>
    <w:p w14:paraId="2C4F1D84" w14:textId="77777777" w:rsidR="0006796B" w:rsidRPr="00A37080" w:rsidRDefault="0006796B" w:rsidP="0006796B">
      <w:pPr>
        <w:jc w:val="both"/>
      </w:pPr>
    </w:p>
    <w:p w14:paraId="722C089F" w14:textId="77777777" w:rsidR="0006796B" w:rsidRPr="00A37080" w:rsidRDefault="0006796B" w:rsidP="0006796B">
      <w:pPr>
        <w:jc w:val="both"/>
      </w:pPr>
      <w:r w:rsidRPr="00A37080">
        <w:tab/>
        <w:t>5. Erklärung, dass der Steuerpflichtige, für den das Einverständnis zur Anwendung des besonderen Besteuerungssystems beantragt wird, ein Steuerpflichtiger-Impatriate im Sinne von Artikel 32/1 § 2 des EStGB 92 ist,</w:t>
      </w:r>
    </w:p>
    <w:p w14:paraId="1E53BA65" w14:textId="77777777" w:rsidR="0006796B" w:rsidRPr="00A37080" w:rsidRDefault="0006796B" w:rsidP="0006796B">
      <w:pPr>
        <w:jc w:val="both"/>
      </w:pPr>
    </w:p>
    <w:p w14:paraId="0D226745" w14:textId="77777777" w:rsidR="0006796B" w:rsidRPr="00A37080" w:rsidRDefault="0006796B" w:rsidP="0006796B">
      <w:pPr>
        <w:jc w:val="both"/>
      </w:pPr>
      <w:r w:rsidRPr="00A37080">
        <w:tab/>
        <w:t>6. Erklärung, dass die in Artikel 32/1 § 3 Absatz 1 Nr. 1 und 2 des EStGB 92 vorgesehenen Bedingungen erfüllt sind,</w:t>
      </w:r>
    </w:p>
    <w:p w14:paraId="7BE08CD7" w14:textId="77777777" w:rsidR="0006796B" w:rsidRPr="00A37080" w:rsidRDefault="0006796B" w:rsidP="0006796B">
      <w:pPr>
        <w:jc w:val="both"/>
      </w:pPr>
      <w:r w:rsidRPr="00A37080">
        <w:tab/>
      </w:r>
    </w:p>
    <w:p w14:paraId="70881EF2" w14:textId="77777777" w:rsidR="0006796B" w:rsidRPr="00A37080" w:rsidRDefault="0006796B" w:rsidP="0006796B">
      <w:pPr>
        <w:jc w:val="both"/>
      </w:pPr>
      <w:r w:rsidRPr="00A37080">
        <w:tab/>
        <w:t>7. Vermerk, ob der Steuerpflichtige bereits in der Vergangenheit das besondere Besteuerungssystem für Steuerpflichtige-Impatriates oder Forscher-Impatriates in Anspruch genommen hat und gegebenenfalls in welchem Zeitraum dies geschehen ist,</w:t>
      </w:r>
    </w:p>
    <w:p w14:paraId="31181A15" w14:textId="77777777" w:rsidR="0006796B" w:rsidRPr="00A37080" w:rsidRDefault="0006796B" w:rsidP="0006796B">
      <w:pPr>
        <w:jc w:val="both"/>
      </w:pPr>
    </w:p>
    <w:p w14:paraId="04AD6E53" w14:textId="77777777" w:rsidR="0006796B" w:rsidRPr="00A37080" w:rsidRDefault="0006796B" w:rsidP="0006796B">
      <w:pPr>
        <w:jc w:val="both"/>
      </w:pPr>
      <w:r w:rsidRPr="00A37080">
        <w:tab/>
        <w:t>8. Verzeichnis der dem Antrag beigefügten Schriftstücke:</w:t>
      </w:r>
    </w:p>
    <w:p w14:paraId="0C6E1FB3" w14:textId="77777777" w:rsidR="0006796B" w:rsidRPr="00A37080" w:rsidRDefault="0006796B" w:rsidP="0006796B">
      <w:pPr>
        <w:jc w:val="both"/>
      </w:pPr>
    </w:p>
    <w:p w14:paraId="77C2DCAF" w14:textId="77777777" w:rsidR="0006796B" w:rsidRPr="00A37080" w:rsidRDefault="0006796B" w:rsidP="0006796B">
      <w:pPr>
        <w:jc w:val="both"/>
      </w:pPr>
      <w:r w:rsidRPr="00A37080">
        <w:tab/>
      </w:r>
      <w:r w:rsidRPr="00A37080">
        <w:rPr>
          <w:i/>
        </w:rPr>
        <w:t>a)</w:t>
      </w:r>
      <w:r w:rsidRPr="00A37080">
        <w:t xml:space="preserve"> gegebenenfalls zur Belegung der in Nr. 2 erwähnten Vollmacht,</w:t>
      </w:r>
    </w:p>
    <w:p w14:paraId="09990A6E" w14:textId="77777777" w:rsidR="0006796B" w:rsidRPr="00A37080" w:rsidRDefault="0006796B" w:rsidP="0006796B">
      <w:pPr>
        <w:jc w:val="both"/>
      </w:pPr>
    </w:p>
    <w:p w14:paraId="4F31E451" w14:textId="77777777" w:rsidR="0006796B" w:rsidRPr="00A37080" w:rsidRDefault="0006796B" w:rsidP="0006796B">
      <w:pPr>
        <w:jc w:val="both"/>
      </w:pPr>
      <w:r w:rsidRPr="00A37080">
        <w:tab/>
      </w:r>
      <w:r w:rsidRPr="00A37080">
        <w:rPr>
          <w:i/>
        </w:rPr>
        <w:t>b)</w:t>
      </w:r>
      <w:r w:rsidRPr="00A37080">
        <w:t xml:space="preserve"> gegebenenfalls im Zusammenhang mit der Berechnung der Bruttoentlohnung,</w:t>
      </w:r>
    </w:p>
    <w:p w14:paraId="4810E6C5" w14:textId="77777777" w:rsidR="0006796B" w:rsidRPr="00A37080" w:rsidRDefault="0006796B" w:rsidP="0006796B">
      <w:pPr>
        <w:jc w:val="both"/>
      </w:pPr>
    </w:p>
    <w:p w14:paraId="4B71EA42" w14:textId="77777777" w:rsidR="0006796B" w:rsidRPr="00A37080" w:rsidRDefault="0006796B" w:rsidP="0006796B">
      <w:pPr>
        <w:jc w:val="both"/>
      </w:pPr>
      <w:r w:rsidRPr="00A37080">
        <w:tab/>
      </w:r>
      <w:r w:rsidRPr="00A37080">
        <w:rPr>
          <w:i/>
        </w:rPr>
        <w:t>c)</w:t>
      </w:r>
      <w:r w:rsidRPr="00A37080">
        <w:t xml:space="preserve"> zur Untermauerung der in Nr. 5 und 6 erwähnten Erklärungen,</w:t>
      </w:r>
    </w:p>
    <w:p w14:paraId="6C34C5E2" w14:textId="77777777" w:rsidR="0006796B" w:rsidRPr="00A37080" w:rsidRDefault="0006796B" w:rsidP="0006796B">
      <w:pPr>
        <w:jc w:val="both"/>
      </w:pPr>
    </w:p>
    <w:p w14:paraId="3F985C1F" w14:textId="77777777" w:rsidR="0006796B" w:rsidRPr="00A37080" w:rsidRDefault="0006796B" w:rsidP="0006796B">
      <w:pPr>
        <w:jc w:val="both"/>
      </w:pPr>
      <w:r w:rsidRPr="00A37080">
        <w:tab/>
      </w:r>
      <w:r w:rsidRPr="00A37080">
        <w:rPr>
          <w:i/>
        </w:rPr>
        <w:t>d)</w:t>
      </w:r>
      <w:r w:rsidRPr="00A37080">
        <w:t xml:space="preserve"> in Anwendung von Artikel 32/1 § 8 Absatz 3 des EStGB 92 und gegebenenfalls von Artikel 240</w:t>
      </w:r>
      <w:r w:rsidRPr="00A37080">
        <w:rPr>
          <w:i/>
          <w:iCs/>
        </w:rPr>
        <w:t>ter</w:t>
      </w:r>
      <w:r w:rsidRPr="00A37080">
        <w:t xml:space="preserve"> Absatz 1 des EStGB 92.</w:t>
      </w:r>
    </w:p>
    <w:p w14:paraId="2A64F808" w14:textId="77777777" w:rsidR="001E2521" w:rsidRDefault="001E2521" w:rsidP="0006796B">
      <w:pPr>
        <w:jc w:val="both"/>
      </w:pPr>
    </w:p>
    <w:p w14:paraId="68DC9109" w14:textId="67A5BDD1" w:rsidR="001E2521" w:rsidRPr="007721B7" w:rsidRDefault="001E2521" w:rsidP="001E2521">
      <w:pPr>
        <w:jc w:val="both"/>
      </w:pPr>
      <w:r>
        <w:tab/>
        <w:t>[</w:t>
      </w:r>
      <w:r w:rsidRPr="007721B7">
        <w:t>§ 3 ­ Das Formular für den in Artikel 32/1 § 8 Absatz 2 des EStGB 92 erwähnten Antrag enthält folgende Angaben und Vermerke:</w:t>
      </w:r>
    </w:p>
    <w:p w14:paraId="70B4FB61" w14:textId="77777777" w:rsidR="001E2521" w:rsidRPr="007721B7" w:rsidRDefault="001E2521" w:rsidP="001E2521">
      <w:pPr>
        <w:jc w:val="both"/>
      </w:pPr>
    </w:p>
    <w:p w14:paraId="6A1CB4C4" w14:textId="77777777" w:rsidR="001E2521" w:rsidRPr="007721B7" w:rsidRDefault="001E2521" w:rsidP="001E2521">
      <w:pPr>
        <w:jc w:val="both"/>
      </w:pPr>
      <w:r w:rsidRPr="007721B7">
        <w:tab/>
        <w:t>1. Angaben, die die Identifizierung des Steuerpflichtigen ermöglichen, für den das Einverständnis zur Verlängerung der Anwendung des besonderen Besteuerungssystems für Steuerpflichtige-Impatriates beantragt wird,</w:t>
      </w:r>
    </w:p>
    <w:p w14:paraId="6A4FBF35" w14:textId="77777777" w:rsidR="001E2521" w:rsidRPr="007721B7" w:rsidRDefault="001E2521" w:rsidP="001E2521">
      <w:pPr>
        <w:jc w:val="both"/>
      </w:pPr>
    </w:p>
    <w:p w14:paraId="106745B3" w14:textId="77777777" w:rsidR="001E2521" w:rsidRPr="007721B7" w:rsidRDefault="001E2521" w:rsidP="001E2521">
      <w:pPr>
        <w:jc w:val="both"/>
      </w:pPr>
      <w:r w:rsidRPr="007721B7">
        <w:tab/>
        <w:t>2. Angaben, die die Identifizierung des Arbeitgebers oder der Gesellschaft, der/die den Antrag einreicht, und gegebenenfalls seines/ihres Bevollmächtigten ermöglichen,</w:t>
      </w:r>
    </w:p>
    <w:p w14:paraId="64E997A7" w14:textId="77777777" w:rsidR="001E2521" w:rsidRPr="007721B7" w:rsidRDefault="001E2521" w:rsidP="001E2521">
      <w:pPr>
        <w:jc w:val="both"/>
      </w:pPr>
    </w:p>
    <w:p w14:paraId="706BC146" w14:textId="77777777" w:rsidR="001E2521" w:rsidRPr="007721B7" w:rsidRDefault="001E2521" w:rsidP="001E2521">
      <w:pPr>
        <w:jc w:val="both"/>
      </w:pPr>
      <w:r w:rsidRPr="007721B7">
        <w:lastRenderedPageBreak/>
        <w:tab/>
        <w:t>3. Enddatum des ersten Zeitraums von fünf Jahren Tätigkeit in Belgien,</w:t>
      </w:r>
    </w:p>
    <w:p w14:paraId="70E291F0" w14:textId="77777777" w:rsidR="001E2521" w:rsidRPr="007721B7" w:rsidRDefault="001E2521" w:rsidP="001E2521">
      <w:pPr>
        <w:jc w:val="both"/>
      </w:pPr>
    </w:p>
    <w:p w14:paraId="3F05999A" w14:textId="77777777" w:rsidR="001E2521" w:rsidRPr="007721B7" w:rsidRDefault="001E2521" w:rsidP="001E2521">
      <w:pPr>
        <w:jc w:val="both"/>
      </w:pPr>
      <w:r w:rsidRPr="007721B7">
        <w:tab/>
        <w:t>4. Bestätigung, dass die Bedingungen in Bezug auf die Bruttoeinkünfte der jährlichen Entlohnung zum Zeitpunkt der Verlängerung erfüllt sind,</w:t>
      </w:r>
    </w:p>
    <w:p w14:paraId="54E274B2" w14:textId="77777777" w:rsidR="001E2521" w:rsidRPr="007721B7" w:rsidRDefault="001E2521" w:rsidP="001E2521">
      <w:pPr>
        <w:jc w:val="both"/>
      </w:pPr>
    </w:p>
    <w:p w14:paraId="0EA3C302" w14:textId="77777777" w:rsidR="001E2521" w:rsidRPr="007721B7" w:rsidRDefault="001E2521" w:rsidP="001E2521">
      <w:pPr>
        <w:jc w:val="both"/>
      </w:pPr>
      <w:r w:rsidRPr="007721B7">
        <w:tab/>
        <w:t>5. Erklärung, dass der Steuerpflichtige, für den das Einverständnis zur Verlängerung der Anwendung des besonderen Besteuerungssystems beantragt wird, ein Steuerpflichtiger-Impatriate im Sinne von Artikel 32/1 § 2 des EStGB 92 ist,</w:t>
      </w:r>
    </w:p>
    <w:p w14:paraId="3B7CDE3F" w14:textId="77777777" w:rsidR="001E2521" w:rsidRPr="007721B7" w:rsidRDefault="001E2521" w:rsidP="001E2521">
      <w:pPr>
        <w:jc w:val="both"/>
      </w:pPr>
    </w:p>
    <w:p w14:paraId="11600A63" w14:textId="4066EB68" w:rsidR="001E2521" w:rsidRDefault="001E2521" w:rsidP="001E2521">
      <w:pPr>
        <w:jc w:val="both"/>
      </w:pPr>
      <w:r w:rsidRPr="007721B7">
        <w:tab/>
        <w:t>6. als Anlage: Belege zur Untermauerung der in Nr. 5 erwähnten Erklärung.</w:t>
      </w:r>
      <w:r>
        <w:t>]</w:t>
      </w:r>
    </w:p>
    <w:p w14:paraId="5312F630" w14:textId="4F4B2890" w:rsidR="0006796B" w:rsidRPr="00A37080" w:rsidRDefault="0006796B" w:rsidP="0006796B">
      <w:pPr>
        <w:jc w:val="both"/>
      </w:pPr>
      <w:r w:rsidRPr="00A37080">
        <w:tab/>
      </w:r>
    </w:p>
    <w:p w14:paraId="197B82FB" w14:textId="66FF0A61" w:rsidR="0006796B" w:rsidRPr="00A37080" w:rsidRDefault="0006796B" w:rsidP="0006796B">
      <w:pPr>
        <w:jc w:val="both"/>
      </w:pPr>
      <w:r w:rsidRPr="00A37080">
        <w:tab/>
      </w:r>
      <w:r w:rsidR="001E2521">
        <w:t xml:space="preserve">[§ 4] - </w:t>
      </w:r>
      <w:r w:rsidRPr="00A37080">
        <w:t xml:space="preserve">Es kann verlangt werden, dass die Schriftstücke, die erforderlich sind, damit die Verwaltung prüfen kann, ob die Bedingungen für die Anwendung </w:t>
      </w:r>
      <w:r w:rsidR="001E2521">
        <w:t>[</w:t>
      </w:r>
      <w:r w:rsidR="001E2521" w:rsidRPr="007721B7">
        <w:t>oder die Verlängerung</w:t>
      </w:r>
      <w:r w:rsidR="001E2521">
        <w:t xml:space="preserve">] </w:t>
      </w:r>
      <w:r w:rsidRPr="00A37080">
        <w:t>des besonderen Besteuerungssystems für Steuerpflichtige-Impatriates erfüllt sind, dem Antrag obligatorisch beigefügt werden.</w:t>
      </w:r>
    </w:p>
    <w:p w14:paraId="325C8E1B" w14:textId="77777777" w:rsidR="0006796B" w:rsidRPr="00A37080" w:rsidRDefault="0006796B" w:rsidP="0006796B">
      <w:pPr>
        <w:jc w:val="both"/>
      </w:pPr>
    </w:p>
    <w:p w14:paraId="23C4811F" w14:textId="4E3172A7" w:rsidR="0006796B" w:rsidRPr="00A37080" w:rsidRDefault="0006796B" w:rsidP="0006796B">
      <w:pPr>
        <w:jc w:val="both"/>
      </w:pPr>
      <w:r w:rsidRPr="00A37080">
        <w:tab/>
      </w:r>
      <w:r w:rsidR="001E2521">
        <w:t>[</w:t>
      </w:r>
      <w:r w:rsidR="001E2521" w:rsidRPr="007721B7">
        <w:t>Die Muster der in den Paragraphen 2 und 3 erwähnten Formulare werden</w:t>
      </w:r>
      <w:r w:rsidR="001E2521">
        <w:t>]</w:t>
      </w:r>
      <w:r w:rsidRPr="00A37080">
        <w:t xml:space="preserve"> vom leitenden Beamten der für die Festlegung der Einkommensteuern zuständigen Verwaltung festgelegt. Die in Artikel 32/1 § 8 Absatz 3 des EStGB 92 erwähnte Bescheinigung kann </w:t>
      </w:r>
      <w:r w:rsidR="001E2521">
        <w:t>[</w:t>
      </w:r>
      <w:r w:rsidRPr="00A37080">
        <w:t>in d</w:t>
      </w:r>
      <w:r w:rsidR="001E2521">
        <w:t>ie</w:t>
      </w:r>
      <w:r w:rsidRPr="00A37080">
        <w:t xml:space="preserve"> Formular</w:t>
      </w:r>
      <w:r w:rsidR="001E2521">
        <w:t>e]</w:t>
      </w:r>
      <w:r w:rsidRPr="00A37080">
        <w:t xml:space="preserve"> aufgenommen werden.</w:t>
      </w:r>
    </w:p>
    <w:p w14:paraId="449A3789" w14:textId="77777777" w:rsidR="0006796B" w:rsidRDefault="0006796B" w:rsidP="0006796B">
      <w:pPr>
        <w:jc w:val="both"/>
      </w:pPr>
    </w:p>
    <w:p w14:paraId="68216D77" w14:textId="626C2E64" w:rsidR="001E2521" w:rsidRPr="001E2521" w:rsidRDefault="001E2521" w:rsidP="0006796B">
      <w:pPr>
        <w:jc w:val="both"/>
        <w:rPr>
          <w:i/>
          <w:iCs/>
        </w:rPr>
      </w:pPr>
      <w:r>
        <w:rPr>
          <w:i/>
          <w:iCs/>
        </w:rPr>
        <w:t xml:space="preserve">[Art. 17/1 § 1 (früherer Absatz 1) nummeriert und ersetzt durch Art. 1 Buchstabe a) des K.E. vom 1. September 2022 (B.S. vom 19. September 2022); </w:t>
      </w:r>
      <w:r w:rsidR="00F5530B">
        <w:rPr>
          <w:i/>
          <w:iCs/>
        </w:rPr>
        <w:t>§ 2 (früherer Absatz 2) nummeriert durch Art. </w:t>
      </w:r>
      <w:r w:rsidR="00F5530B" w:rsidRPr="00F5530B">
        <w:rPr>
          <w:i/>
          <w:iCs/>
        </w:rPr>
        <w:t>1 Buchstabe </w:t>
      </w:r>
      <w:r w:rsidR="00F5530B">
        <w:rPr>
          <w:i/>
          <w:iCs/>
        </w:rPr>
        <w:t>b</w:t>
      </w:r>
      <w:r w:rsidR="00F5530B" w:rsidRPr="00F5530B">
        <w:rPr>
          <w:i/>
          <w:iCs/>
        </w:rPr>
        <w:t>) des K.E. vom 1. September 2022 (B.S. vom 19. September 2022)</w:t>
      </w:r>
      <w:r w:rsidR="00F5530B">
        <w:rPr>
          <w:i/>
          <w:iCs/>
        </w:rPr>
        <w:t>; § 2 einziger Absatz einleitende Bestimmung abgeändert durch Art. </w:t>
      </w:r>
      <w:r w:rsidR="00F5530B" w:rsidRPr="00F5530B">
        <w:rPr>
          <w:i/>
          <w:iCs/>
        </w:rPr>
        <w:t>1 Buchstabe </w:t>
      </w:r>
      <w:r w:rsidR="00F5530B">
        <w:rPr>
          <w:i/>
          <w:iCs/>
        </w:rPr>
        <w:t>b</w:t>
      </w:r>
      <w:r w:rsidR="00F5530B" w:rsidRPr="00F5530B">
        <w:rPr>
          <w:i/>
          <w:iCs/>
        </w:rPr>
        <w:t>) des K.E. vom 1. September 2022 (B.S. vom 19. September 2022)</w:t>
      </w:r>
      <w:r w:rsidR="00F5530B">
        <w:rPr>
          <w:i/>
          <w:iCs/>
        </w:rPr>
        <w:t>; § 3 eingefügt durch Art. </w:t>
      </w:r>
      <w:r w:rsidR="00F5530B" w:rsidRPr="00F5530B">
        <w:rPr>
          <w:i/>
          <w:iCs/>
        </w:rPr>
        <w:t>1 Buchstabe </w:t>
      </w:r>
      <w:r w:rsidR="000240B3">
        <w:rPr>
          <w:i/>
          <w:iCs/>
        </w:rPr>
        <w:t>c</w:t>
      </w:r>
      <w:r w:rsidR="00F5530B" w:rsidRPr="00F5530B">
        <w:rPr>
          <w:i/>
          <w:iCs/>
        </w:rPr>
        <w:t>) des K.E. vom 1. September 2022 (B.S. vom 19. September 2022)</w:t>
      </w:r>
      <w:r w:rsidR="00F5530B">
        <w:rPr>
          <w:i/>
          <w:iCs/>
        </w:rPr>
        <w:t xml:space="preserve">; </w:t>
      </w:r>
      <w:r w:rsidR="000240B3">
        <w:rPr>
          <w:i/>
          <w:iCs/>
        </w:rPr>
        <w:t>§ 4 (frühere Absätze 3 und 4) nummeriert durch Art. </w:t>
      </w:r>
      <w:r w:rsidR="000240B3" w:rsidRPr="000240B3">
        <w:rPr>
          <w:i/>
          <w:iCs/>
        </w:rPr>
        <w:t>1 Buchstabe </w:t>
      </w:r>
      <w:r w:rsidR="000240B3">
        <w:rPr>
          <w:i/>
          <w:iCs/>
        </w:rPr>
        <w:t>d</w:t>
      </w:r>
      <w:r w:rsidR="000240B3" w:rsidRPr="000240B3">
        <w:rPr>
          <w:i/>
          <w:iCs/>
        </w:rPr>
        <w:t>) des K.E. vom 1. September 2022 (B.S. vom 19. September 2022)</w:t>
      </w:r>
      <w:r w:rsidR="000240B3">
        <w:rPr>
          <w:i/>
          <w:iCs/>
        </w:rPr>
        <w:t>; § 4 Abs. 1 abgeändert durch Art. </w:t>
      </w:r>
      <w:r w:rsidR="000240B3" w:rsidRPr="000240B3">
        <w:rPr>
          <w:i/>
          <w:iCs/>
        </w:rPr>
        <w:t>1 Buchstabe </w:t>
      </w:r>
      <w:r w:rsidR="000240B3">
        <w:rPr>
          <w:i/>
          <w:iCs/>
        </w:rPr>
        <w:t>d</w:t>
      </w:r>
      <w:r w:rsidR="000240B3" w:rsidRPr="000240B3">
        <w:rPr>
          <w:i/>
          <w:iCs/>
        </w:rPr>
        <w:t>) des K.E. vom 1. September 2022 (B.S. vom 19. September 2022)</w:t>
      </w:r>
      <w:r w:rsidR="000240B3">
        <w:rPr>
          <w:i/>
          <w:iCs/>
        </w:rPr>
        <w:t>; § 4 Abs. 2 abgeändert durch Art. </w:t>
      </w:r>
      <w:r w:rsidR="000240B3" w:rsidRPr="000240B3">
        <w:rPr>
          <w:i/>
          <w:iCs/>
        </w:rPr>
        <w:t>1 Buchstabe </w:t>
      </w:r>
      <w:r w:rsidR="000240B3">
        <w:rPr>
          <w:i/>
          <w:iCs/>
        </w:rPr>
        <w:t>e</w:t>
      </w:r>
      <w:r w:rsidR="000240B3" w:rsidRPr="000240B3">
        <w:rPr>
          <w:i/>
          <w:iCs/>
        </w:rPr>
        <w:t>) des K.E. vom 1. September 2022 (B.S. vom 19. September 2022)</w:t>
      </w:r>
      <w:r w:rsidR="000240B3">
        <w:rPr>
          <w:i/>
          <w:iCs/>
        </w:rPr>
        <w:t>]</w:t>
      </w:r>
    </w:p>
    <w:p w14:paraId="6B51623A" w14:textId="77777777" w:rsidR="0006796B" w:rsidRDefault="0006796B" w:rsidP="0006796B">
      <w:pPr>
        <w:jc w:val="both"/>
      </w:pPr>
    </w:p>
    <w:p w14:paraId="1EC746F3" w14:textId="77777777" w:rsidR="000240B3" w:rsidRPr="00A37080" w:rsidRDefault="000240B3" w:rsidP="0006796B">
      <w:pPr>
        <w:jc w:val="both"/>
      </w:pPr>
    </w:p>
    <w:p w14:paraId="2C3234A5" w14:textId="1124D418" w:rsidR="0006796B" w:rsidRPr="00A37080" w:rsidRDefault="0006796B" w:rsidP="0006796B">
      <w:pPr>
        <w:jc w:val="both"/>
      </w:pPr>
      <w:r w:rsidRPr="00A37080">
        <w:tab/>
      </w:r>
      <w:r w:rsidRPr="00CA5BBE">
        <w:rPr>
          <w:b/>
          <w:bCs/>
        </w:rPr>
        <w:t>Art. 17/2</w:t>
      </w:r>
      <w:r w:rsidRPr="00A37080">
        <w:t xml:space="preserve"> - </w:t>
      </w:r>
      <w:r w:rsidR="000240B3">
        <w:t>[§ 1] - [</w:t>
      </w:r>
      <w:r w:rsidR="000240B3" w:rsidRPr="007721B7">
        <w:t>In Artikel 32/2 § 8 Absatz 1 und 2 des EStGB 92 erwähnte Anträge für die Anwendung und die etwaige Verlängerung des besonderen Besteuerungssystems für Forscher-Impatriates werden anhand der Formulare gestellt, die auf der Website des Föderalen Öffentlichen Dienstes Finanzen zur Verfügung gestellt werden.</w:t>
      </w:r>
      <w:r w:rsidR="000240B3">
        <w:t>]</w:t>
      </w:r>
    </w:p>
    <w:p w14:paraId="1D1A753C" w14:textId="77777777" w:rsidR="0006796B" w:rsidRPr="00A37080" w:rsidRDefault="0006796B" w:rsidP="0006796B">
      <w:pPr>
        <w:jc w:val="both"/>
      </w:pPr>
    </w:p>
    <w:p w14:paraId="1B1049BA" w14:textId="50DA0E78" w:rsidR="0006796B" w:rsidRPr="00A37080" w:rsidRDefault="0006796B" w:rsidP="0006796B">
      <w:pPr>
        <w:jc w:val="both"/>
      </w:pPr>
      <w:r w:rsidRPr="00A37080">
        <w:tab/>
      </w:r>
      <w:r w:rsidR="000240B3">
        <w:t xml:space="preserve">[§ 2] - </w:t>
      </w:r>
      <w:r w:rsidRPr="00A37080">
        <w:t xml:space="preserve">Das Formular </w:t>
      </w:r>
      <w:r w:rsidR="000240B3">
        <w:t>[</w:t>
      </w:r>
      <w:r w:rsidR="000240B3" w:rsidRPr="007721B7">
        <w:t>für den in Artikel 32/2 § 8 Absatz 1 des EStGB 92 erwähnten Antrag</w:t>
      </w:r>
      <w:r w:rsidR="000240B3">
        <w:t xml:space="preserve">] </w:t>
      </w:r>
      <w:r w:rsidRPr="00A37080">
        <w:t>enthält folgende Angaben und Vermerke:</w:t>
      </w:r>
    </w:p>
    <w:p w14:paraId="5AE9309F" w14:textId="1E595D09" w:rsidR="0006796B" w:rsidRPr="00A37080" w:rsidRDefault="0006796B" w:rsidP="0006796B">
      <w:pPr>
        <w:jc w:val="both"/>
      </w:pPr>
    </w:p>
    <w:p w14:paraId="3EFB2B9D" w14:textId="77777777" w:rsidR="0006796B" w:rsidRPr="00A37080" w:rsidRDefault="0006796B" w:rsidP="0006796B">
      <w:pPr>
        <w:jc w:val="both"/>
      </w:pPr>
      <w:r w:rsidRPr="00A37080">
        <w:tab/>
        <w:t>1. Angaben, die die Identifizierung des Steuerpflichtigen ermöglichen, für den das Einverständnis zur Anwendung des besonderen Besteuerungssystems für Forscher-Impatriates beantragt wird,</w:t>
      </w:r>
    </w:p>
    <w:p w14:paraId="44C4F66F" w14:textId="77777777" w:rsidR="0006796B" w:rsidRPr="00A37080" w:rsidRDefault="0006796B" w:rsidP="0006796B">
      <w:pPr>
        <w:jc w:val="both"/>
      </w:pPr>
    </w:p>
    <w:p w14:paraId="532ED657" w14:textId="77777777" w:rsidR="0006796B" w:rsidRPr="00A37080" w:rsidRDefault="0006796B" w:rsidP="0006796B">
      <w:pPr>
        <w:jc w:val="both"/>
      </w:pPr>
      <w:r w:rsidRPr="00A37080">
        <w:tab/>
        <w:t>2. Angaben, die die Identifizierung des Arbeitgebers, der den Antrag einreicht, und gegebenenfalls seines Bevollmächtigten ermöglichen,</w:t>
      </w:r>
    </w:p>
    <w:p w14:paraId="46E1B586" w14:textId="77777777" w:rsidR="0006796B" w:rsidRPr="00A37080" w:rsidRDefault="0006796B" w:rsidP="0006796B">
      <w:pPr>
        <w:jc w:val="both"/>
      </w:pPr>
    </w:p>
    <w:p w14:paraId="5BFDC16D" w14:textId="77777777" w:rsidR="0006796B" w:rsidRPr="00A37080" w:rsidRDefault="0006796B" w:rsidP="0006796B">
      <w:pPr>
        <w:jc w:val="both"/>
      </w:pPr>
      <w:r w:rsidRPr="00A37080">
        <w:tab/>
        <w:t>3. Datum des Arbeitsantritts oder der Zurverfügungstellung in Belgien,</w:t>
      </w:r>
    </w:p>
    <w:p w14:paraId="30F25415" w14:textId="77777777" w:rsidR="0006796B" w:rsidRPr="00A37080" w:rsidRDefault="0006796B" w:rsidP="0006796B">
      <w:pPr>
        <w:jc w:val="both"/>
      </w:pPr>
    </w:p>
    <w:p w14:paraId="5B90692B" w14:textId="77777777" w:rsidR="0006796B" w:rsidRPr="00A37080" w:rsidRDefault="0006796B" w:rsidP="0006796B">
      <w:pPr>
        <w:jc w:val="both"/>
      </w:pPr>
      <w:r w:rsidRPr="00A37080">
        <w:lastRenderedPageBreak/>
        <w:tab/>
        <w:t>4. Erklärung, dass der Steuerpflichtige, für den der Antrag eingereicht wird, ein Forscher-Impatriate im Sinne von Artikel 32/2 § 2 des EStGB 92 ist,</w:t>
      </w:r>
    </w:p>
    <w:p w14:paraId="4E1F71A9" w14:textId="77777777" w:rsidR="0006796B" w:rsidRPr="00A37080" w:rsidRDefault="0006796B" w:rsidP="0006796B">
      <w:pPr>
        <w:jc w:val="both"/>
      </w:pPr>
      <w:r w:rsidRPr="00A37080">
        <w:tab/>
      </w:r>
    </w:p>
    <w:p w14:paraId="27582E79" w14:textId="77777777" w:rsidR="0006796B" w:rsidRPr="00A37080" w:rsidRDefault="0006796B" w:rsidP="0006796B">
      <w:pPr>
        <w:jc w:val="both"/>
      </w:pPr>
      <w:r w:rsidRPr="00A37080">
        <w:tab/>
        <w:t>5. Erklärung, dass die in Artikel 32/2 § 3 Absatz 1 Nr. 1 des EStGB 92 vorgesehenen Bedingungen erfüllt sind,</w:t>
      </w:r>
    </w:p>
    <w:p w14:paraId="7CFB95C5" w14:textId="77777777" w:rsidR="0006796B" w:rsidRPr="00A37080" w:rsidRDefault="0006796B" w:rsidP="0006796B">
      <w:pPr>
        <w:jc w:val="both"/>
      </w:pPr>
    </w:p>
    <w:p w14:paraId="5AADA126" w14:textId="77777777" w:rsidR="0006796B" w:rsidRPr="00A37080" w:rsidRDefault="0006796B" w:rsidP="0006796B">
      <w:pPr>
        <w:jc w:val="both"/>
      </w:pPr>
      <w:r w:rsidRPr="00A37080">
        <w:tab/>
        <w:t>6. Vermerk, ob der Steuerpflichtige bereits in der Vergangenheit das besondere Besteuerungssystem für Steuerpflichtige-Impatriates oder Forscher-Impatriates in Anspruch genommen hat und gegebenenfalls in welchem Zeitraum dies geschehen ist,</w:t>
      </w:r>
    </w:p>
    <w:p w14:paraId="520C0EF0" w14:textId="77777777" w:rsidR="0006796B" w:rsidRPr="00A37080" w:rsidRDefault="0006796B" w:rsidP="0006796B">
      <w:pPr>
        <w:jc w:val="both"/>
      </w:pPr>
    </w:p>
    <w:p w14:paraId="33A5E8C0" w14:textId="77777777" w:rsidR="0006796B" w:rsidRPr="00A37080" w:rsidRDefault="0006796B" w:rsidP="0006796B">
      <w:pPr>
        <w:jc w:val="both"/>
      </w:pPr>
      <w:r w:rsidRPr="00A37080">
        <w:tab/>
        <w:t>7. Verzeichnis der dem Antrag beigefügten Schriftstücke:</w:t>
      </w:r>
    </w:p>
    <w:p w14:paraId="7EDEE63D" w14:textId="77777777" w:rsidR="0006796B" w:rsidRPr="00A37080" w:rsidRDefault="0006796B" w:rsidP="0006796B">
      <w:pPr>
        <w:jc w:val="both"/>
      </w:pPr>
    </w:p>
    <w:p w14:paraId="48339FDB" w14:textId="77777777" w:rsidR="0006796B" w:rsidRPr="00A37080" w:rsidRDefault="0006796B" w:rsidP="0006796B">
      <w:pPr>
        <w:jc w:val="both"/>
      </w:pPr>
      <w:r w:rsidRPr="00A37080">
        <w:tab/>
      </w:r>
      <w:r w:rsidRPr="00A37080">
        <w:rPr>
          <w:i/>
        </w:rPr>
        <w:t>a)</w:t>
      </w:r>
      <w:r w:rsidRPr="00A37080">
        <w:t xml:space="preserve"> gegebenenfalls zur Belegung der in Nr. 2 erwähnten Vollmacht,</w:t>
      </w:r>
    </w:p>
    <w:p w14:paraId="7F886B66" w14:textId="77777777" w:rsidR="0006796B" w:rsidRPr="00A37080" w:rsidRDefault="0006796B" w:rsidP="0006796B">
      <w:pPr>
        <w:jc w:val="both"/>
      </w:pPr>
    </w:p>
    <w:p w14:paraId="2F8D15E7" w14:textId="77777777" w:rsidR="0006796B" w:rsidRPr="00A37080" w:rsidRDefault="0006796B" w:rsidP="0006796B">
      <w:pPr>
        <w:jc w:val="both"/>
      </w:pPr>
      <w:r w:rsidRPr="00A37080">
        <w:tab/>
      </w:r>
      <w:r w:rsidRPr="00A37080">
        <w:rPr>
          <w:i/>
        </w:rPr>
        <w:t>b)</w:t>
      </w:r>
      <w:r w:rsidRPr="00A37080">
        <w:t xml:space="preserve"> zur Untermauerung der in Nr. 4 und 5 erwähnten Erklärungen,</w:t>
      </w:r>
    </w:p>
    <w:p w14:paraId="528DFD7B" w14:textId="77777777" w:rsidR="0006796B" w:rsidRPr="00A37080" w:rsidRDefault="0006796B" w:rsidP="0006796B">
      <w:pPr>
        <w:jc w:val="both"/>
      </w:pPr>
    </w:p>
    <w:p w14:paraId="2C424B39" w14:textId="77777777" w:rsidR="0006796B" w:rsidRPr="00A37080" w:rsidRDefault="0006796B" w:rsidP="0006796B">
      <w:pPr>
        <w:jc w:val="both"/>
      </w:pPr>
      <w:r w:rsidRPr="00A37080">
        <w:tab/>
      </w:r>
      <w:r w:rsidRPr="00A37080">
        <w:rPr>
          <w:i/>
        </w:rPr>
        <w:t>c)</w:t>
      </w:r>
      <w:r w:rsidRPr="00A37080">
        <w:t xml:space="preserve"> in Anwendung von Artikel 32/2 § 8 Absatz 3 des EStGB 92 und gegebenenfalls von Artikel 240</w:t>
      </w:r>
      <w:r w:rsidRPr="00A37080">
        <w:rPr>
          <w:i/>
          <w:iCs/>
        </w:rPr>
        <w:t>quater</w:t>
      </w:r>
      <w:r w:rsidRPr="00A37080">
        <w:t xml:space="preserve"> Absatz 1 des EStGB 92.</w:t>
      </w:r>
    </w:p>
    <w:p w14:paraId="064CA6FF" w14:textId="77777777" w:rsidR="0006796B" w:rsidRDefault="0006796B" w:rsidP="0006796B">
      <w:pPr>
        <w:jc w:val="both"/>
      </w:pPr>
    </w:p>
    <w:p w14:paraId="1630F026" w14:textId="126AACD6" w:rsidR="000240B3" w:rsidRPr="007721B7" w:rsidRDefault="000240B3" w:rsidP="000240B3">
      <w:pPr>
        <w:jc w:val="both"/>
      </w:pPr>
      <w:r>
        <w:tab/>
        <w:t>[</w:t>
      </w:r>
      <w:r w:rsidRPr="007721B7">
        <w:t>§ 3 ­ Das Formular für den in Artikel 32/2 § 8 Absatz 2 des EStGB 92 erwähnten Antrag enthält folgende Angaben und Vermerke:</w:t>
      </w:r>
    </w:p>
    <w:p w14:paraId="6E79B1C0" w14:textId="77777777" w:rsidR="000240B3" w:rsidRPr="007721B7" w:rsidRDefault="000240B3" w:rsidP="000240B3">
      <w:pPr>
        <w:jc w:val="both"/>
      </w:pPr>
    </w:p>
    <w:p w14:paraId="4DA50BAF" w14:textId="77777777" w:rsidR="000240B3" w:rsidRPr="007721B7" w:rsidRDefault="000240B3" w:rsidP="000240B3">
      <w:pPr>
        <w:jc w:val="both"/>
      </w:pPr>
      <w:r w:rsidRPr="007721B7">
        <w:tab/>
        <w:t>1. Angaben, die die Identifizierung des Steuerpflichtigen ermöglichen, für den das Einverständnis zur Verlängerung der Anwendung des besonderen Besteuerungssystems für Forscher-Impatriates beantragt wird,</w:t>
      </w:r>
    </w:p>
    <w:p w14:paraId="4FBE1902" w14:textId="77777777" w:rsidR="000240B3" w:rsidRPr="007721B7" w:rsidRDefault="000240B3" w:rsidP="000240B3">
      <w:pPr>
        <w:jc w:val="both"/>
      </w:pPr>
    </w:p>
    <w:p w14:paraId="4AD232CC" w14:textId="77777777" w:rsidR="000240B3" w:rsidRPr="007721B7" w:rsidRDefault="000240B3" w:rsidP="000240B3">
      <w:pPr>
        <w:jc w:val="both"/>
      </w:pPr>
      <w:r w:rsidRPr="007721B7">
        <w:tab/>
        <w:t>2. Angaben, die die Identifizierung des Arbeitgebers oder der Gesellschaft, der/die den Antrag einreicht, und gegebenenfalls seines/ihres Bevollmächtigten ermöglichen,</w:t>
      </w:r>
    </w:p>
    <w:p w14:paraId="7CF3AA7A" w14:textId="77777777" w:rsidR="000240B3" w:rsidRPr="007721B7" w:rsidRDefault="000240B3" w:rsidP="000240B3">
      <w:pPr>
        <w:jc w:val="both"/>
      </w:pPr>
    </w:p>
    <w:p w14:paraId="2ADFF984" w14:textId="77777777" w:rsidR="000240B3" w:rsidRPr="007721B7" w:rsidRDefault="000240B3" w:rsidP="000240B3">
      <w:pPr>
        <w:jc w:val="both"/>
      </w:pPr>
      <w:r w:rsidRPr="007721B7">
        <w:tab/>
        <w:t>3. Enddatum des ersten Zeitraums von fünf Jahren Tätigkeit in Belgien,</w:t>
      </w:r>
    </w:p>
    <w:p w14:paraId="6D7405B5" w14:textId="77777777" w:rsidR="000240B3" w:rsidRPr="007721B7" w:rsidRDefault="000240B3" w:rsidP="000240B3">
      <w:pPr>
        <w:jc w:val="both"/>
      </w:pPr>
    </w:p>
    <w:p w14:paraId="170BD8E8" w14:textId="77777777" w:rsidR="000240B3" w:rsidRPr="007721B7" w:rsidRDefault="000240B3" w:rsidP="000240B3">
      <w:pPr>
        <w:jc w:val="both"/>
      </w:pPr>
      <w:r w:rsidRPr="007721B7">
        <w:tab/>
        <w:t>4. Erklärung, dass der Steuerpflichtige, für den das Einverständnis zur Verlängerung der Anwendung des besonderen Besteuerungssystems beantragt wird, ein Forscher-Impatriate im Sinne von Artikel 32/2 § 2 des EStGB 92 ist,</w:t>
      </w:r>
    </w:p>
    <w:p w14:paraId="3C8D0257" w14:textId="77777777" w:rsidR="000240B3" w:rsidRPr="007721B7" w:rsidRDefault="000240B3" w:rsidP="000240B3">
      <w:pPr>
        <w:jc w:val="both"/>
      </w:pPr>
    </w:p>
    <w:p w14:paraId="306956A5" w14:textId="089F9714" w:rsidR="000240B3" w:rsidRDefault="000240B3" w:rsidP="000240B3">
      <w:pPr>
        <w:jc w:val="both"/>
      </w:pPr>
      <w:r w:rsidRPr="007721B7">
        <w:tab/>
        <w:t>5. als Anlage: Belege zur Untermauerung der in Nr. 4 erwähnten Erklärung.</w:t>
      </w:r>
      <w:r>
        <w:t>]</w:t>
      </w:r>
    </w:p>
    <w:p w14:paraId="50095E12" w14:textId="77777777" w:rsidR="000240B3" w:rsidRPr="00A37080" w:rsidRDefault="000240B3" w:rsidP="000240B3">
      <w:pPr>
        <w:jc w:val="both"/>
      </w:pPr>
    </w:p>
    <w:p w14:paraId="45AF3D95" w14:textId="203DF453" w:rsidR="0006796B" w:rsidRPr="00A37080" w:rsidRDefault="0006796B" w:rsidP="0006796B">
      <w:pPr>
        <w:jc w:val="both"/>
      </w:pPr>
      <w:r w:rsidRPr="00A37080">
        <w:tab/>
      </w:r>
      <w:r w:rsidR="000240B3">
        <w:t xml:space="preserve">[§ 4] - </w:t>
      </w:r>
      <w:r w:rsidRPr="00A37080">
        <w:t xml:space="preserve">Es kann verlangt werden, dass die Schriftstücke, die erforderlich sind, damit die Verwaltung prüfen kann, ob die Bedingungen für die Anwendung </w:t>
      </w:r>
      <w:r w:rsidR="000240B3">
        <w:t xml:space="preserve">[oder die Verlängerung] </w:t>
      </w:r>
      <w:r w:rsidRPr="00A37080">
        <w:t>des besonderen Besteuerungssystems für Forscher-Impatriates erfüllt sind, dem Antrag obligatorisch beigefügt werden.</w:t>
      </w:r>
    </w:p>
    <w:p w14:paraId="6EDA58C4" w14:textId="77777777" w:rsidR="0006796B" w:rsidRPr="00A37080" w:rsidRDefault="0006796B" w:rsidP="0006796B">
      <w:pPr>
        <w:jc w:val="both"/>
      </w:pPr>
    </w:p>
    <w:p w14:paraId="498C36A9" w14:textId="6F507002" w:rsidR="0006796B" w:rsidRDefault="0006796B" w:rsidP="0006796B">
      <w:pPr>
        <w:jc w:val="both"/>
        <w:rPr>
          <w:rFonts w:eastAsia="Calibri"/>
          <w:iCs/>
          <w:szCs w:val="22"/>
          <w:lang w:eastAsia="de-DE" w:bidi="de-DE"/>
        </w:rPr>
      </w:pPr>
      <w:r w:rsidRPr="00A37080">
        <w:tab/>
      </w:r>
      <w:r w:rsidR="000240B3">
        <w:t>[</w:t>
      </w:r>
      <w:r w:rsidR="000240B3" w:rsidRPr="007721B7">
        <w:t>Die Muster der in den Paragraphen 2 und 3 erwähnten Formulare werden</w:t>
      </w:r>
      <w:r w:rsidR="000240B3">
        <w:t>]</w:t>
      </w:r>
      <w:r w:rsidRPr="00A37080">
        <w:t xml:space="preserve"> vom leitenden Beamten der für die Festlegung der Einkommensteuern zuständigen Verwaltung festgelegt. Die in Artikel 32/2 § 8 Absatz 3 des EStGB 92 erwähnte Bescheinigung kann </w:t>
      </w:r>
      <w:r w:rsidR="000240B3">
        <w:t>[</w:t>
      </w:r>
      <w:r w:rsidRPr="00A37080">
        <w:t>in d</w:t>
      </w:r>
      <w:r w:rsidR="000240B3">
        <w:t>ie</w:t>
      </w:r>
      <w:r w:rsidRPr="00A37080">
        <w:t xml:space="preserve"> Formular</w:t>
      </w:r>
      <w:r w:rsidR="000240B3">
        <w:t>e]</w:t>
      </w:r>
      <w:r w:rsidRPr="00A37080">
        <w:t xml:space="preserve"> aufgenommen werden.</w:t>
      </w:r>
      <w:r>
        <w:rPr>
          <w:rFonts w:eastAsia="Calibri"/>
          <w:iCs/>
          <w:szCs w:val="22"/>
          <w:lang w:eastAsia="de-DE" w:bidi="de-DE"/>
        </w:rPr>
        <w:t>]</w:t>
      </w:r>
    </w:p>
    <w:p w14:paraId="05E38BCD" w14:textId="77777777" w:rsidR="0006796B" w:rsidRDefault="0006796B" w:rsidP="004C2C7D">
      <w:pPr>
        <w:jc w:val="both"/>
        <w:rPr>
          <w:rFonts w:eastAsia="Calibri"/>
          <w:i/>
          <w:szCs w:val="22"/>
          <w:lang w:eastAsia="de-DE" w:bidi="de-DE"/>
        </w:rPr>
      </w:pPr>
    </w:p>
    <w:p w14:paraId="045DF953" w14:textId="02EAD864" w:rsidR="000240B3" w:rsidRPr="001E2521" w:rsidRDefault="000240B3" w:rsidP="000240B3">
      <w:pPr>
        <w:jc w:val="both"/>
        <w:rPr>
          <w:i/>
          <w:iCs/>
        </w:rPr>
      </w:pPr>
      <w:r>
        <w:rPr>
          <w:i/>
          <w:iCs/>
        </w:rPr>
        <w:t xml:space="preserve">[Art. 17/2 § 1 (früherer Absatz 1) nummeriert und ersetzt durch Art. 2 Buchstabe a) des K.E. vom 1. September 2022 (B.S. vom 19. September 2022); § 2 (früherer Absatz 2) nummeriert durch Art. 2 </w:t>
      </w:r>
      <w:r w:rsidRPr="00F5530B">
        <w:rPr>
          <w:i/>
          <w:iCs/>
        </w:rPr>
        <w:t>Buchstabe </w:t>
      </w:r>
      <w:r>
        <w:rPr>
          <w:i/>
          <w:iCs/>
        </w:rPr>
        <w:t>b</w:t>
      </w:r>
      <w:r w:rsidRPr="00F5530B">
        <w:rPr>
          <w:i/>
          <w:iCs/>
        </w:rPr>
        <w:t>) des K.E. vom 1. September 2022 (B.S. vom 19. September 2022)</w:t>
      </w:r>
      <w:r>
        <w:rPr>
          <w:i/>
          <w:iCs/>
        </w:rPr>
        <w:t xml:space="preserve">; § 2 </w:t>
      </w:r>
      <w:r>
        <w:rPr>
          <w:i/>
          <w:iCs/>
        </w:rPr>
        <w:lastRenderedPageBreak/>
        <w:t>einziger Absatz einleitende Bestimmung abgeändert durch Art. 2</w:t>
      </w:r>
      <w:r w:rsidRPr="00F5530B">
        <w:rPr>
          <w:i/>
          <w:iCs/>
        </w:rPr>
        <w:t xml:space="preserve"> Buchstabe </w:t>
      </w:r>
      <w:r>
        <w:rPr>
          <w:i/>
          <w:iCs/>
        </w:rPr>
        <w:t>b</w:t>
      </w:r>
      <w:r w:rsidRPr="00F5530B">
        <w:rPr>
          <w:i/>
          <w:iCs/>
        </w:rPr>
        <w:t>) des K.E. vom 1. September 2022 (B.S. vom 19. September 2022)</w:t>
      </w:r>
      <w:r>
        <w:rPr>
          <w:i/>
          <w:iCs/>
        </w:rPr>
        <w:t>; § 3 eingefügt durch Art. 2</w:t>
      </w:r>
      <w:r w:rsidRPr="00F5530B">
        <w:rPr>
          <w:i/>
          <w:iCs/>
        </w:rPr>
        <w:t xml:space="preserve"> Buchstabe </w:t>
      </w:r>
      <w:r>
        <w:rPr>
          <w:i/>
          <w:iCs/>
        </w:rPr>
        <w:t>c</w:t>
      </w:r>
      <w:r w:rsidRPr="00F5530B">
        <w:rPr>
          <w:i/>
          <w:iCs/>
        </w:rPr>
        <w:t>) des K.E. vom 1. September 2022 (B.S. vom 19. September 2022)</w:t>
      </w:r>
      <w:r>
        <w:rPr>
          <w:i/>
          <w:iCs/>
        </w:rPr>
        <w:t>; § 4 (frühere Absätze 3 und 4) nummeriert durch Art. 2</w:t>
      </w:r>
      <w:r w:rsidRPr="000240B3">
        <w:rPr>
          <w:i/>
          <w:iCs/>
        </w:rPr>
        <w:t xml:space="preserve"> Buchstabe </w:t>
      </w:r>
      <w:r>
        <w:rPr>
          <w:i/>
          <w:iCs/>
        </w:rPr>
        <w:t>d</w:t>
      </w:r>
      <w:r w:rsidRPr="000240B3">
        <w:rPr>
          <w:i/>
          <w:iCs/>
        </w:rPr>
        <w:t>) des K.E. vom 1. September 2022 (B.S. vom 19. September 2022)</w:t>
      </w:r>
      <w:r>
        <w:rPr>
          <w:i/>
          <w:iCs/>
        </w:rPr>
        <w:t>; § 4 Abs. 1 abgeändert durch Art. 2</w:t>
      </w:r>
      <w:r w:rsidRPr="000240B3">
        <w:rPr>
          <w:i/>
          <w:iCs/>
        </w:rPr>
        <w:t xml:space="preserve"> Buchstabe </w:t>
      </w:r>
      <w:r>
        <w:rPr>
          <w:i/>
          <w:iCs/>
        </w:rPr>
        <w:t>d</w:t>
      </w:r>
      <w:r w:rsidRPr="000240B3">
        <w:rPr>
          <w:i/>
          <w:iCs/>
        </w:rPr>
        <w:t>) des K.E. vom 1. September 2022 (B.S. vom 19. September 2022)</w:t>
      </w:r>
      <w:r>
        <w:rPr>
          <w:i/>
          <w:iCs/>
        </w:rPr>
        <w:t>; § 4 Abs. 2 abgeändert durch Art. 2</w:t>
      </w:r>
      <w:r w:rsidRPr="000240B3">
        <w:rPr>
          <w:i/>
          <w:iCs/>
        </w:rPr>
        <w:t xml:space="preserve"> Buchstabe </w:t>
      </w:r>
      <w:r>
        <w:rPr>
          <w:i/>
          <w:iCs/>
        </w:rPr>
        <w:t>e</w:t>
      </w:r>
      <w:r w:rsidRPr="000240B3">
        <w:rPr>
          <w:i/>
          <w:iCs/>
        </w:rPr>
        <w:t>) des K.E. vom 1. September 2022 (B.S. vom 19. September 2022)</w:t>
      </w:r>
      <w:r>
        <w:rPr>
          <w:i/>
          <w:iCs/>
        </w:rPr>
        <w:t>]</w:t>
      </w:r>
    </w:p>
    <w:p w14:paraId="1090691B" w14:textId="77777777" w:rsidR="0006796B" w:rsidRDefault="0006796B" w:rsidP="004C2C7D">
      <w:pPr>
        <w:jc w:val="both"/>
        <w:rPr>
          <w:rFonts w:eastAsia="Calibri"/>
          <w:i/>
          <w:szCs w:val="22"/>
          <w:lang w:eastAsia="de-DE" w:bidi="de-DE"/>
        </w:rPr>
      </w:pPr>
    </w:p>
    <w:p w14:paraId="65B5F06D" w14:textId="6B3C9692" w:rsidR="0006796B" w:rsidRDefault="0006796B">
      <w:pPr>
        <w:rPr>
          <w:rFonts w:eastAsia="Calibri"/>
          <w:i/>
          <w:szCs w:val="22"/>
          <w:lang w:eastAsia="de-DE" w:bidi="de-DE"/>
        </w:rPr>
      </w:pPr>
    </w:p>
    <w:p w14:paraId="083CB4AC" w14:textId="09590356" w:rsidR="005A5BD5" w:rsidRPr="002616E4" w:rsidRDefault="005A5BD5" w:rsidP="004C2C7D">
      <w:pPr>
        <w:jc w:val="both"/>
        <w:rPr>
          <w:rFonts w:eastAsia="Calibri"/>
          <w:szCs w:val="22"/>
          <w:lang w:eastAsia="de-DE" w:bidi="de-DE"/>
        </w:rPr>
      </w:pPr>
      <w:r w:rsidRPr="002616E4">
        <w:rPr>
          <w:rFonts w:eastAsia="Calibri"/>
          <w:i/>
          <w:szCs w:val="22"/>
          <w:lang w:eastAsia="de-DE" w:bidi="de-DE"/>
        </w:rPr>
        <w:t>Abschnitt 7</w:t>
      </w:r>
      <w:r w:rsidRPr="002616E4">
        <w:rPr>
          <w:rFonts w:eastAsia="Calibri"/>
          <w:szCs w:val="22"/>
          <w:lang w:eastAsia="de-DE" w:bidi="de-DE"/>
        </w:rPr>
        <w:t> - Pauschalveranschlagung von anders als in bar erhaltenen Vorteilen jeglicher Art</w:t>
      </w:r>
    </w:p>
    <w:p w14:paraId="1BEBED19" w14:textId="77777777" w:rsidR="005A5BD5" w:rsidRPr="002616E4" w:rsidRDefault="005A5BD5" w:rsidP="004C2C7D">
      <w:pPr>
        <w:jc w:val="center"/>
        <w:rPr>
          <w:rFonts w:eastAsia="Calibri"/>
          <w:szCs w:val="22"/>
          <w:lang w:eastAsia="de-DE" w:bidi="de-DE"/>
        </w:rPr>
      </w:pPr>
    </w:p>
    <w:p w14:paraId="44F39DEA"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[(Einkommensteuergesetzbuch 1992, Artikel 36 § 1 Absatz 2)]</w:t>
      </w:r>
    </w:p>
    <w:p w14:paraId="50FDFEEF" w14:textId="77777777" w:rsidR="005A5BD5" w:rsidRPr="002616E4" w:rsidRDefault="005A5BD5" w:rsidP="004C2C7D">
      <w:pPr>
        <w:jc w:val="both"/>
        <w:rPr>
          <w:rFonts w:eastAsia="Calibri"/>
          <w:szCs w:val="22"/>
          <w:lang w:eastAsia="de-DE" w:bidi="de-DE"/>
        </w:rPr>
      </w:pPr>
    </w:p>
    <w:p w14:paraId="3B2A0A5D" w14:textId="77777777" w:rsidR="005A5BD5" w:rsidRPr="002616E4" w:rsidRDefault="005A5BD5" w:rsidP="004C2C7D">
      <w:pPr>
        <w:jc w:val="both"/>
        <w:rPr>
          <w:rFonts w:eastAsia="Calibri"/>
          <w:szCs w:val="22"/>
          <w:lang w:eastAsia="de-DE" w:bidi="de-DE"/>
        </w:rPr>
      </w:pPr>
      <w:r w:rsidRPr="002616E4">
        <w:rPr>
          <w:rFonts w:eastAsia="Calibri"/>
          <w:i/>
          <w:szCs w:val="22"/>
          <w:lang w:eastAsia="de-DE" w:bidi="de-DE"/>
        </w:rPr>
        <w:t>[Überschrift von Abschnitt 7 abgeändert durch Art. 1 des K.E. vom 10. Januar 2010 (I) (B.S. vom 15. Januar 2010) und Art. 1 des K.E. vom 23. Februar 2012 (B.S. vom 28. Februar 2012)]</w:t>
      </w:r>
    </w:p>
    <w:p w14:paraId="56DC6F12" w14:textId="77777777" w:rsidR="005A5BD5" w:rsidRPr="002616E4" w:rsidRDefault="005A5BD5" w:rsidP="004C2C7D">
      <w:pPr>
        <w:jc w:val="both"/>
        <w:rPr>
          <w:rFonts w:eastAsia="Calibri"/>
          <w:szCs w:val="22"/>
          <w:lang w:eastAsia="de-DE" w:bidi="de-DE"/>
        </w:rPr>
      </w:pPr>
    </w:p>
    <w:p w14:paraId="619DE4D9" w14:textId="77777777" w:rsidR="005A5BD5" w:rsidRPr="002616E4" w:rsidRDefault="005A5BD5" w:rsidP="004C2C7D">
      <w:pPr>
        <w:jc w:val="both"/>
        <w:rPr>
          <w:rFonts w:eastAsia="Calibri"/>
          <w:szCs w:val="22"/>
          <w:lang w:eastAsia="de-DE" w:bidi="de-DE"/>
        </w:rPr>
      </w:pPr>
    </w:p>
    <w:p w14:paraId="01613479"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18</w:t>
      </w:r>
      <w:r w:rsidRPr="002616E4">
        <w:rPr>
          <w:rFonts w:eastAsia="Calibri"/>
          <w:szCs w:val="22"/>
          <w:lang w:eastAsia="de-DE" w:bidi="de-DE"/>
        </w:rPr>
        <w:t xml:space="preserve"> - § 1 - In den Paragraphen 2 und 3 erwähnte anders als in bar erhaltene Vorteile jeglicher Art werden gemäß den in diesen Paragraphen vorgesehenen Regeln pauschal veranschlagt. </w:t>
      </w:r>
    </w:p>
    <w:p w14:paraId="0926BF0E" w14:textId="77777777" w:rsidR="005A5BD5" w:rsidRPr="002616E4" w:rsidRDefault="005A5BD5" w:rsidP="004C2C7D">
      <w:pPr>
        <w:jc w:val="both"/>
        <w:rPr>
          <w:rFonts w:eastAsia="Calibri"/>
          <w:szCs w:val="22"/>
          <w:lang w:eastAsia="de-DE" w:bidi="de-DE"/>
        </w:rPr>
      </w:pPr>
    </w:p>
    <w:p w14:paraId="2E7C3F4D"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2 - Für Vorteile, deren Wert durch sozial- oder wirtschaftsrechtliche Vorschriften festgelegt wird, entspricht der zu berücksichtigende Wert dem in diesen Vorschriften festgelegten Wert.</w:t>
      </w:r>
    </w:p>
    <w:p w14:paraId="6F952953" w14:textId="77777777" w:rsidR="005A5BD5" w:rsidRPr="002616E4" w:rsidRDefault="005A5BD5" w:rsidP="004C2C7D">
      <w:pPr>
        <w:jc w:val="both"/>
        <w:rPr>
          <w:rFonts w:eastAsia="Calibri"/>
          <w:szCs w:val="22"/>
          <w:lang w:eastAsia="de-DE" w:bidi="de-DE"/>
        </w:rPr>
      </w:pPr>
    </w:p>
    <w:p w14:paraId="485F4E20"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3 - In Ermangelung solcher sozial- oder wirtschaftsrechtlichen Vorschriften wird der zu berücksichtigende Wert in Bezug auf nachfolgende Vorteile wie folgt pauschal festgelegt:</w:t>
      </w:r>
    </w:p>
    <w:p w14:paraId="0B44F254" w14:textId="77777777" w:rsidR="005A5BD5" w:rsidRPr="002616E4" w:rsidRDefault="005A5BD5" w:rsidP="004C2C7D">
      <w:pPr>
        <w:jc w:val="both"/>
        <w:rPr>
          <w:rFonts w:eastAsia="Calibri"/>
          <w:szCs w:val="22"/>
          <w:lang w:eastAsia="de-DE" w:bidi="de-DE"/>
        </w:rPr>
      </w:pPr>
    </w:p>
    <w:p w14:paraId="6F1125AD"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i/>
          <w:szCs w:val="22"/>
          <w:lang w:eastAsia="de-DE" w:bidi="de-DE"/>
        </w:rPr>
        <w:t>1. Zinslose Darlehen oder Darlehen zu herabgesetztem Zinssatz</w:t>
      </w:r>
    </w:p>
    <w:p w14:paraId="7FDF61A5" w14:textId="77777777" w:rsidR="005A5BD5" w:rsidRPr="002616E4" w:rsidRDefault="005A5BD5" w:rsidP="004C2C7D">
      <w:pPr>
        <w:jc w:val="both"/>
        <w:rPr>
          <w:rFonts w:eastAsia="Calibri"/>
          <w:szCs w:val="22"/>
          <w:lang w:eastAsia="de-DE" w:bidi="de-DE"/>
        </w:rPr>
      </w:pPr>
    </w:p>
    <w:p w14:paraId="37B1E443"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a)</w:t>
      </w:r>
      <w:r w:rsidRPr="002616E4">
        <w:rPr>
          <w:rFonts w:eastAsia="Calibri"/>
          <w:szCs w:val="22"/>
          <w:lang w:eastAsia="de-DE" w:bidi="de-DE"/>
        </w:rPr>
        <w:t xml:space="preserve"> Der Vorteil wird berechnet auf der Grundlage der Differenz zwischen:</w:t>
      </w:r>
    </w:p>
    <w:p w14:paraId="3E8EB8C7" w14:textId="77777777" w:rsidR="005A5BD5" w:rsidRPr="002616E4" w:rsidRDefault="005A5BD5" w:rsidP="004C2C7D">
      <w:pPr>
        <w:jc w:val="both"/>
        <w:rPr>
          <w:rFonts w:eastAsia="Calibri"/>
          <w:szCs w:val="22"/>
          <w:lang w:eastAsia="de-DE" w:bidi="de-DE"/>
        </w:rPr>
      </w:pPr>
    </w:p>
    <w:p w14:paraId="04538D5A"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einerseits dem Bezugszinssatz, der nachstehend pro Darlehenstyp [</w:t>
      </w:r>
      <w:r w:rsidR="009251F9">
        <w:rPr>
          <w:rFonts w:eastAsia="Calibri"/>
          <w:szCs w:val="22"/>
          <w:lang w:eastAsia="de-DE" w:bidi="de-DE"/>
        </w:rPr>
        <w:t>…</w:t>
      </w:r>
      <w:r w:rsidRPr="002616E4">
        <w:rPr>
          <w:rFonts w:eastAsia="Calibri"/>
          <w:szCs w:val="22"/>
          <w:lang w:eastAsia="de-DE" w:bidi="de-DE"/>
        </w:rPr>
        <w:t>] festgelegt ist,</w:t>
      </w:r>
    </w:p>
    <w:p w14:paraId="14626E1F" w14:textId="77777777" w:rsidR="005A5BD5" w:rsidRPr="002616E4" w:rsidRDefault="005A5BD5" w:rsidP="004C2C7D">
      <w:pPr>
        <w:jc w:val="both"/>
        <w:rPr>
          <w:rFonts w:eastAsia="Calibri"/>
          <w:szCs w:val="22"/>
          <w:lang w:eastAsia="de-DE" w:bidi="de-DE"/>
        </w:rPr>
      </w:pPr>
    </w:p>
    <w:p w14:paraId="1F27461F"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 und andererseits dem Zinssatz, der dem Darlehensnehmer gewährt worden ist, ohne Berücksichtigung der Zinsermäßigung für Kinder zu Lasten. </w:t>
      </w:r>
    </w:p>
    <w:p w14:paraId="40B9E934" w14:textId="77777777" w:rsidR="005A5BD5" w:rsidRPr="002616E4" w:rsidRDefault="005A5BD5" w:rsidP="004C2C7D">
      <w:pPr>
        <w:jc w:val="both"/>
        <w:rPr>
          <w:rFonts w:eastAsia="Calibri"/>
          <w:szCs w:val="22"/>
          <w:lang w:eastAsia="de-DE" w:bidi="de-DE"/>
        </w:rPr>
      </w:pPr>
    </w:p>
    <w:p w14:paraId="373456D8"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8C4E20">
        <w:rPr>
          <w:rFonts w:eastAsia="Calibri"/>
          <w:i/>
          <w:szCs w:val="22"/>
          <w:lang w:eastAsia="de-DE" w:bidi="de-DE"/>
        </w:rPr>
        <w:t>b)</w:t>
      </w:r>
      <w:r w:rsidRPr="002616E4">
        <w:rPr>
          <w:rFonts w:eastAsia="Calibri"/>
          <w:szCs w:val="22"/>
          <w:lang w:eastAsia="de-DE" w:bidi="de-DE"/>
        </w:rPr>
        <w:t xml:space="preserve"> Für Hypothekendarlehen gilt der nachstehend festgelegte Bezugszinssatz des Jahres, in dem der Darlehensvertrag abgeschlossen worden ist […]:</w:t>
      </w:r>
    </w:p>
    <w:p w14:paraId="6DF465F9" w14:textId="77777777" w:rsidR="005A5BD5" w:rsidRPr="002616E4" w:rsidRDefault="005A5BD5" w:rsidP="004C2C7D">
      <w:pPr>
        <w:jc w:val="both"/>
        <w:rPr>
          <w:rFonts w:eastAsia="Calibri"/>
          <w:szCs w:val="22"/>
          <w:lang w:eastAsia="de-DE" w:bidi="de-DE"/>
        </w:rPr>
      </w:pPr>
    </w:p>
    <w:tbl>
      <w:tblPr>
        <w:tblW w:w="10219" w:type="dxa"/>
        <w:jc w:val="center"/>
        <w:tblLayout w:type="fixed"/>
        <w:tblCellMar>
          <w:left w:w="120" w:type="dxa"/>
          <w:right w:w="120" w:type="dxa"/>
        </w:tblCellMar>
        <w:tblLook w:val="0000" w:firstRow="0" w:lastRow="0" w:firstColumn="0" w:lastColumn="0" w:noHBand="0" w:noVBand="0"/>
      </w:tblPr>
      <w:tblGrid>
        <w:gridCol w:w="2835"/>
        <w:gridCol w:w="4088"/>
        <w:gridCol w:w="3296"/>
      </w:tblGrid>
      <w:tr w:rsidR="005A5BD5" w:rsidRPr="002616E4" w14:paraId="6081F6F0" w14:textId="77777777" w:rsidTr="00A57082">
        <w:trPr>
          <w:cantSplit/>
          <w:tblHeader/>
          <w:jc w:val="center"/>
        </w:trPr>
        <w:tc>
          <w:tcPr>
            <w:tcW w:w="2835" w:type="dxa"/>
            <w:vMerge w:val="restart"/>
            <w:tcBorders>
              <w:top w:val="double" w:sz="6" w:space="0" w:color="auto"/>
              <w:left w:val="double" w:sz="6" w:space="0" w:color="auto"/>
              <w:right w:val="single" w:sz="4" w:space="0" w:color="auto"/>
            </w:tcBorders>
            <w:vAlign w:val="center"/>
          </w:tcPr>
          <w:p w14:paraId="53F8E290" w14:textId="77777777" w:rsidR="005A5BD5" w:rsidRPr="002616E4" w:rsidRDefault="005A5BD5" w:rsidP="004C2C7D">
            <w:pPr>
              <w:keepNext/>
              <w:spacing w:before="120" w:after="120"/>
              <w:jc w:val="center"/>
              <w:rPr>
                <w:rFonts w:eastAsia="Calibri"/>
                <w:spacing w:val="-2"/>
                <w:lang w:eastAsia="de-DE" w:bidi="de-DE"/>
              </w:rPr>
            </w:pPr>
            <w:r w:rsidRPr="002616E4">
              <w:rPr>
                <w:rFonts w:eastAsia="Calibri"/>
                <w:spacing w:val="-2"/>
                <w:lang w:eastAsia="de-DE" w:bidi="de-DE"/>
              </w:rPr>
              <w:t>Jahr, in dem der Darlehensvertrag abgeschlossen worden ist</w:t>
            </w:r>
          </w:p>
        </w:tc>
        <w:tc>
          <w:tcPr>
            <w:tcW w:w="7384" w:type="dxa"/>
            <w:gridSpan w:val="2"/>
            <w:tcBorders>
              <w:top w:val="double" w:sz="6" w:space="0" w:color="auto"/>
              <w:left w:val="single" w:sz="4" w:space="0" w:color="auto"/>
              <w:bottom w:val="single" w:sz="4" w:space="0" w:color="auto"/>
              <w:right w:val="double" w:sz="6" w:space="0" w:color="auto"/>
            </w:tcBorders>
          </w:tcPr>
          <w:p w14:paraId="0E1897BD" w14:textId="77777777" w:rsidR="005A5BD5" w:rsidRPr="002616E4" w:rsidRDefault="005A5BD5" w:rsidP="004C2C7D">
            <w:pPr>
              <w:keepNext/>
              <w:spacing w:before="120" w:after="120"/>
              <w:jc w:val="center"/>
              <w:rPr>
                <w:rFonts w:eastAsia="Calibri"/>
                <w:spacing w:val="-2"/>
                <w:lang w:eastAsia="de-DE" w:bidi="de-DE"/>
              </w:rPr>
            </w:pPr>
            <w:r w:rsidRPr="002616E4">
              <w:rPr>
                <w:rFonts w:eastAsia="Calibri"/>
                <w:spacing w:val="-2"/>
                <w:lang w:eastAsia="de-DE" w:bidi="de-DE"/>
              </w:rPr>
              <w:t>Zu berücksichtigender Bezugszinssatz</w:t>
            </w:r>
          </w:p>
        </w:tc>
      </w:tr>
      <w:tr w:rsidR="005A5BD5" w:rsidRPr="002616E4" w14:paraId="32A701A7" w14:textId="77777777" w:rsidTr="00B27F11">
        <w:trPr>
          <w:cantSplit/>
          <w:tblHeader/>
          <w:jc w:val="center"/>
        </w:trPr>
        <w:tc>
          <w:tcPr>
            <w:tcW w:w="2835" w:type="dxa"/>
            <w:vMerge/>
            <w:tcBorders>
              <w:left w:val="double" w:sz="6" w:space="0" w:color="auto"/>
              <w:bottom w:val="single" w:sz="4" w:space="0" w:color="auto"/>
              <w:right w:val="single" w:sz="4" w:space="0" w:color="auto"/>
            </w:tcBorders>
          </w:tcPr>
          <w:p w14:paraId="74EB47C0" w14:textId="77777777" w:rsidR="005A5BD5" w:rsidRPr="002616E4" w:rsidRDefault="005A5BD5" w:rsidP="004C2C7D">
            <w:pPr>
              <w:spacing w:before="120" w:after="120"/>
              <w:jc w:val="center"/>
              <w:rPr>
                <w:rFonts w:eastAsia="Calibri"/>
                <w:spacing w:val="-2"/>
                <w:lang w:eastAsia="de-DE" w:bidi="de-DE"/>
              </w:rPr>
            </w:pPr>
          </w:p>
        </w:tc>
        <w:tc>
          <w:tcPr>
            <w:tcW w:w="4088" w:type="dxa"/>
            <w:tcBorders>
              <w:top w:val="single" w:sz="4" w:space="0" w:color="auto"/>
              <w:left w:val="single" w:sz="4" w:space="0" w:color="auto"/>
              <w:bottom w:val="single" w:sz="4" w:space="0" w:color="auto"/>
              <w:right w:val="single" w:sz="4" w:space="0" w:color="auto"/>
            </w:tcBorders>
          </w:tcPr>
          <w:p w14:paraId="012C868B" w14:textId="77777777" w:rsidR="005A5BD5" w:rsidRPr="002616E4" w:rsidRDefault="005A5BD5" w:rsidP="004C2C7D">
            <w:pPr>
              <w:spacing w:before="120" w:after="120"/>
              <w:jc w:val="center"/>
              <w:rPr>
                <w:rFonts w:eastAsia="Calibri"/>
                <w:spacing w:val="-2"/>
                <w:lang w:eastAsia="de-DE" w:bidi="de-DE"/>
              </w:rPr>
            </w:pPr>
            <w:r w:rsidRPr="002616E4">
              <w:rPr>
                <w:rFonts w:eastAsia="Calibri"/>
                <w:spacing w:val="-2"/>
                <w:lang w:eastAsia="de-DE" w:bidi="de-DE"/>
              </w:rPr>
              <w:t>Mit einer gemischten Lebensversicherung besicherte Darlehen</w:t>
            </w:r>
          </w:p>
        </w:tc>
        <w:tc>
          <w:tcPr>
            <w:tcW w:w="3296" w:type="dxa"/>
            <w:tcBorders>
              <w:top w:val="single" w:sz="4" w:space="0" w:color="auto"/>
              <w:left w:val="single" w:sz="4" w:space="0" w:color="auto"/>
              <w:bottom w:val="single" w:sz="4" w:space="0" w:color="auto"/>
              <w:right w:val="double" w:sz="6" w:space="0" w:color="auto"/>
            </w:tcBorders>
          </w:tcPr>
          <w:p w14:paraId="2432244A" w14:textId="77777777" w:rsidR="005A5BD5" w:rsidRPr="002616E4" w:rsidRDefault="005A5BD5" w:rsidP="004C2C7D">
            <w:pPr>
              <w:spacing w:before="120" w:after="120"/>
              <w:jc w:val="center"/>
              <w:rPr>
                <w:rFonts w:eastAsia="Calibri"/>
                <w:spacing w:val="-2"/>
                <w:lang w:eastAsia="de-DE" w:bidi="de-DE"/>
              </w:rPr>
            </w:pPr>
            <w:r w:rsidRPr="002616E4">
              <w:rPr>
                <w:rFonts w:eastAsia="Calibri"/>
                <w:spacing w:val="-2"/>
                <w:lang w:eastAsia="de-DE" w:bidi="de-DE"/>
              </w:rPr>
              <w:t>Andere Darlehen</w:t>
            </w:r>
          </w:p>
        </w:tc>
      </w:tr>
      <w:tr w:rsidR="005A5BD5" w:rsidRPr="002616E4" w14:paraId="779B8114" w14:textId="77777777" w:rsidTr="00A57082">
        <w:trPr>
          <w:jc w:val="center"/>
        </w:trPr>
        <w:tc>
          <w:tcPr>
            <w:tcW w:w="2835" w:type="dxa"/>
            <w:tcBorders>
              <w:top w:val="single" w:sz="4" w:space="0" w:color="auto"/>
              <w:left w:val="double" w:sz="6" w:space="0" w:color="auto"/>
              <w:right w:val="single" w:sz="4" w:space="0" w:color="auto"/>
            </w:tcBorders>
          </w:tcPr>
          <w:p w14:paraId="4BF72FAF" w14:textId="77777777" w:rsidR="005A5BD5" w:rsidRPr="002616E4" w:rsidRDefault="005A5BD5" w:rsidP="004C2C7D">
            <w:pPr>
              <w:spacing w:before="60" w:after="60"/>
              <w:jc w:val="center"/>
              <w:rPr>
                <w:rFonts w:eastAsia="Calibri"/>
                <w:spacing w:val="-2"/>
                <w:lang w:eastAsia="de-DE" w:bidi="de-DE"/>
              </w:rPr>
            </w:pPr>
          </w:p>
        </w:tc>
        <w:tc>
          <w:tcPr>
            <w:tcW w:w="7384" w:type="dxa"/>
            <w:gridSpan w:val="2"/>
            <w:tcBorders>
              <w:top w:val="single" w:sz="4" w:space="0" w:color="auto"/>
              <w:left w:val="single" w:sz="4" w:space="0" w:color="auto"/>
              <w:right w:val="double" w:sz="6" w:space="0" w:color="auto"/>
            </w:tcBorders>
          </w:tcPr>
          <w:p w14:paraId="64ED1DC2"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w:t>
            </w:r>
          </w:p>
        </w:tc>
      </w:tr>
      <w:tr w:rsidR="005A5BD5" w:rsidRPr="002616E4" w14:paraId="2370DDE4" w14:textId="77777777" w:rsidTr="00A57082">
        <w:trPr>
          <w:jc w:val="center"/>
        </w:trPr>
        <w:tc>
          <w:tcPr>
            <w:tcW w:w="2835" w:type="dxa"/>
            <w:tcBorders>
              <w:left w:val="double" w:sz="6" w:space="0" w:color="auto"/>
              <w:right w:val="single" w:sz="4" w:space="0" w:color="auto"/>
            </w:tcBorders>
          </w:tcPr>
          <w:p w14:paraId="23B3C1CC"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1950 und 1951</w:t>
            </w:r>
          </w:p>
        </w:tc>
        <w:tc>
          <w:tcPr>
            <w:tcW w:w="7384" w:type="dxa"/>
            <w:gridSpan w:val="2"/>
            <w:tcBorders>
              <w:left w:val="single" w:sz="4" w:space="0" w:color="auto"/>
              <w:right w:val="double" w:sz="6" w:space="0" w:color="auto"/>
            </w:tcBorders>
          </w:tcPr>
          <w:p w14:paraId="421E6761"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5,50</w:t>
            </w:r>
          </w:p>
        </w:tc>
      </w:tr>
      <w:tr w:rsidR="005A5BD5" w:rsidRPr="002616E4" w14:paraId="2AC2FCC7" w14:textId="77777777" w:rsidTr="00A57082">
        <w:trPr>
          <w:jc w:val="center"/>
        </w:trPr>
        <w:tc>
          <w:tcPr>
            <w:tcW w:w="2835" w:type="dxa"/>
            <w:tcBorders>
              <w:left w:val="double" w:sz="6" w:space="0" w:color="auto"/>
              <w:right w:val="single" w:sz="4" w:space="0" w:color="auto"/>
            </w:tcBorders>
          </w:tcPr>
          <w:p w14:paraId="3BFD2BA6"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1952 und 1953</w:t>
            </w:r>
          </w:p>
        </w:tc>
        <w:tc>
          <w:tcPr>
            <w:tcW w:w="7384" w:type="dxa"/>
            <w:gridSpan w:val="2"/>
            <w:tcBorders>
              <w:left w:val="single" w:sz="4" w:space="0" w:color="auto"/>
              <w:right w:val="double" w:sz="6" w:space="0" w:color="auto"/>
            </w:tcBorders>
          </w:tcPr>
          <w:p w14:paraId="7A806581"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5,75</w:t>
            </w:r>
          </w:p>
        </w:tc>
      </w:tr>
      <w:tr w:rsidR="005A5BD5" w:rsidRPr="002616E4" w14:paraId="2A0C32AE" w14:textId="77777777" w:rsidTr="00A57082">
        <w:trPr>
          <w:jc w:val="center"/>
        </w:trPr>
        <w:tc>
          <w:tcPr>
            <w:tcW w:w="2835" w:type="dxa"/>
            <w:tcBorders>
              <w:left w:val="double" w:sz="6" w:space="0" w:color="auto"/>
              <w:right w:val="single" w:sz="4" w:space="0" w:color="auto"/>
            </w:tcBorders>
          </w:tcPr>
          <w:p w14:paraId="15681BF6"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1954 bis 1956</w:t>
            </w:r>
          </w:p>
        </w:tc>
        <w:tc>
          <w:tcPr>
            <w:tcW w:w="7384" w:type="dxa"/>
            <w:gridSpan w:val="2"/>
            <w:tcBorders>
              <w:left w:val="single" w:sz="4" w:space="0" w:color="auto"/>
              <w:right w:val="double" w:sz="6" w:space="0" w:color="auto"/>
            </w:tcBorders>
          </w:tcPr>
          <w:p w14:paraId="560572A6"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5,50</w:t>
            </w:r>
          </w:p>
        </w:tc>
      </w:tr>
      <w:tr w:rsidR="005A5BD5" w:rsidRPr="002616E4" w14:paraId="2AFA9FA9" w14:textId="77777777" w:rsidTr="00A57082">
        <w:trPr>
          <w:jc w:val="center"/>
        </w:trPr>
        <w:tc>
          <w:tcPr>
            <w:tcW w:w="2835" w:type="dxa"/>
            <w:tcBorders>
              <w:left w:val="double" w:sz="6" w:space="0" w:color="auto"/>
              <w:right w:val="single" w:sz="4" w:space="0" w:color="auto"/>
            </w:tcBorders>
          </w:tcPr>
          <w:p w14:paraId="31011806"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lastRenderedPageBreak/>
              <w:t>1957</w:t>
            </w:r>
          </w:p>
        </w:tc>
        <w:tc>
          <w:tcPr>
            <w:tcW w:w="7384" w:type="dxa"/>
            <w:gridSpan w:val="2"/>
            <w:tcBorders>
              <w:left w:val="single" w:sz="4" w:space="0" w:color="auto"/>
              <w:right w:val="double" w:sz="6" w:space="0" w:color="auto"/>
            </w:tcBorders>
          </w:tcPr>
          <w:p w14:paraId="12037DB7"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5,75</w:t>
            </w:r>
          </w:p>
        </w:tc>
      </w:tr>
      <w:tr w:rsidR="005A5BD5" w:rsidRPr="002616E4" w14:paraId="2D533DD3" w14:textId="77777777" w:rsidTr="00A57082">
        <w:trPr>
          <w:jc w:val="center"/>
        </w:trPr>
        <w:tc>
          <w:tcPr>
            <w:tcW w:w="2835" w:type="dxa"/>
            <w:tcBorders>
              <w:left w:val="double" w:sz="6" w:space="0" w:color="auto"/>
              <w:right w:val="single" w:sz="4" w:space="0" w:color="auto"/>
            </w:tcBorders>
          </w:tcPr>
          <w:p w14:paraId="6BCBE97D"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1958</w:t>
            </w:r>
          </w:p>
        </w:tc>
        <w:tc>
          <w:tcPr>
            <w:tcW w:w="7384" w:type="dxa"/>
            <w:gridSpan w:val="2"/>
            <w:tcBorders>
              <w:left w:val="single" w:sz="4" w:space="0" w:color="auto"/>
              <w:right w:val="double" w:sz="6" w:space="0" w:color="auto"/>
            </w:tcBorders>
          </w:tcPr>
          <w:p w14:paraId="08C94B1D"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6,00</w:t>
            </w:r>
          </w:p>
        </w:tc>
      </w:tr>
      <w:tr w:rsidR="005A5BD5" w:rsidRPr="002616E4" w14:paraId="7E69E70B" w14:textId="77777777" w:rsidTr="00A57082">
        <w:trPr>
          <w:jc w:val="center"/>
        </w:trPr>
        <w:tc>
          <w:tcPr>
            <w:tcW w:w="2835" w:type="dxa"/>
            <w:tcBorders>
              <w:left w:val="double" w:sz="6" w:space="0" w:color="auto"/>
              <w:right w:val="single" w:sz="4" w:space="0" w:color="auto"/>
            </w:tcBorders>
          </w:tcPr>
          <w:p w14:paraId="6D779A85"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1959 und 1960</w:t>
            </w:r>
          </w:p>
        </w:tc>
        <w:tc>
          <w:tcPr>
            <w:tcW w:w="7384" w:type="dxa"/>
            <w:gridSpan w:val="2"/>
            <w:tcBorders>
              <w:left w:val="single" w:sz="4" w:space="0" w:color="auto"/>
              <w:right w:val="double" w:sz="6" w:space="0" w:color="auto"/>
            </w:tcBorders>
          </w:tcPr>
          <w:p w14:paraId="206FDC7A"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5,50</w:t>
            </w:r>
          </w:p>
        </w:tc>
      </w:tr>
      <w:tr w:rsidR="005A5BD5" w:rsidRPr="002616E4" w14:paraId="077F0090" w14:textId="77777777" w:rsidTr="00A57082">
        <w:trPr>
          <w:jc w:val="center"/>
        </w:trPr>
        <w:tc>
          <w:tcPr>
            <w:tcW w:w="2835" w:type="dxa"/>
            <w:tcBorders>
              <w:left w:val="double" w:sz="6" w:space="0" w:color="auto"/>
              <w:right w:val="single" w:sz="4" w:space="0" w:color="auto"/>
            </w:tcBorders>
          </w:tcPr>
          <w:p w14:paraId="3FD19013"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1961 und 1962</w:t>
            </w:r>
          </w:p>
        </w:tc>
        <w:tc>
          <w:tcPr>
            <w:tcW w:w="7384" w:type="dxa"/>
            <w:gridSpan w:val="2"/>
            <w:tcBorders>
              <w:left w:val="single" w:sz="4" w:space="0" w:color="auto"/>
              <w:right w:val="double" w:sz="6" w:space="0" w:color="auto"/>
            </w:tcBorders>
          </w:tcPr>
          <w:p w14:paraId="65910523"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5,75</w:t>
            </w:r>
          </w:p>
        </w:tc>
      </w:tr>
      <w:tr w:rsidR="005A5BD5" w:rsidRPr="002616E4" w14:paraId="3EACE9A0" w14:textId="77777777" w:rsidTr="00A57082">
        <w:trPr>
          <w:jc w:val="center"/>
        </w:trPr>
        <w:tc>
          <w:tcPr>
            <w:tcW w:w="2835" w:type="dxa"/>
            <w:tcBorders>
              <w:left w:val="double" w:sz="6" w:space="0" w:color="auto"/>
              <w:right w:val="single" w:sz="4" w:space="0" w:color="auto"/>
            </w:tcBorders>
          </w:tcPr>
          <w:p w14:paraId="2E45368E"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1963</w:t>
            </w:r>
          </w:p>
        </w:tc>
        <w:tc>
          <w:tcPr>
            <w:tcW w:w="7384" w:type="dxa"/>
            <w:gridSpan w:val="2"/>
            <w:tcBorders>
              <w:left w:val="single" w:sz="4" w:space="0" w:color="auto"/>
              <w:right w:val="double" w:sz="6" w:space="0" w:color="auto"/>
            </w:tcBorders>
          </w:tcPr>
          <w:p w14:paraId="304ABFCD"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5,25</w:t>
            </w:r>
          </w:p>
        </w:tc>
      </w:tr>
      <w:tr w:rsidR="005A5BD5" w:rsidRPr="002616E4" w14:paraId="1DA3A689" w14:textId="77777777" w:rsidTr="00A57082">
        <w:trPr>
          <w:jc w:val="center"/>
        </w:trPr>
        <w:tc>
          <w:tcPr>
            <w:tcW w:w="2835" w:type="dxa"/>
            <w:tcBorders>
              <w:left w:val="double" w:sz="6" w:space="0" w:color="auto"/>
              <w:right w:val="single" w:sz="4" w:space="0" w:color="auto"/>
            </w:tcBorders>
          </w:tcPr>
          <w:p w14:paraId="0A8B63EA"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1964</w:t>
            </w:r>
          </w:p>
        </w:tc>
        <w:tc>
          <w:tcPr>
            <w:tcW w:w="7384" w:type="dxa"/>
            <w:gridSpan w:val="2"/>
            <w:tcBorders>
              <w:left w:val="single" w:sz="4" w:space="0" w:color="auto"/>
              <w:right w:val="double" w:sz="6" w:space="0" w:color="auto"/>
            </w:tcBorders>
          </w:tcPr>
          <w:p w14:paraId="2084B1BF"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5,50</w:t>
            </w:r>
          </w:p>
        </w:tc>
      </w:tr>
      <w:tr w:rsidR="005A5BD5" w:rsidRPr="002616E4" w14:paraId="03F2E4F7" w14:textId="77777777" w:rsidTr="00A57082">
        <w:trPr>
          <w:jc w:val="center"/>
        </w:trPr>
        <w:tc>
          <w:tcPr>
            <w:tcW w:w="2835" w:type="dxa"/>
            <w:tcBorders>
              <w:left w:val="double" w:sz="6" w:space="0" w:color="auto"/>
              <w:right w:val="single" w:sz="4" w:space="0" w:color="auto"/>
            </w:tcBorders>
          </w:tcPr>
          <w:p w14:paraId="2A388773"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1965 und 1966</w:t>
            </w:r>
          </w:p>
        </w:tc>
        <w:tc>
          <w:tcPr>
            <w:tcW w:w="7384" w:type="dxa"/>
            <w:gridSpan w:val="2"/>
            <w:tcBorders>
              <w:left w:val="single" w:sz="4" w:space="0" w:color="auto"/>
              <w:right w:val="double" w:sz="6" w:space="0" w:color="auto"/>
            </w:tcBorders>
          </w:tcPr>
          <w:p w14:paraId="55B10AA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6,25</w:t>
            </w:r>
          </w:p>
        </w:tc>
      </w:tr>
      <w:tr w:rsidR="005A5BD5" w:rsidRPr="002616E4" w14:paraId="76B90292" w14:textId="77777777" w:rsidTr="00A57082">
        <w:trPr>
          <w:jc w:val="center"/>
        </w:trPr>
        <w:tc>
          <w:tcPr>
            <w:tcW w:w="2835" w:type="dxa"/>
            <w:tcBorders>
              <w:left w:val="double" w:sz="6" w:space="0" w:color="auto"/>
              <w:right w:val="single" w:sz="4" w:space="0" w:color="auto"/>
            </w:tcBorders>
          </w:tcPr>
          <w:p w14:paraId="18469CF8"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1967</w:t>
            </w:r>
          </w:p>
        </w:tc>
        <w:tc>
          <w:tcPr>
            <w:tcW w:w="7384" w:type="dxa"/>
            <w:gridSpan w:val="2"/>
            <w:tcBorders>
              <w:left w:val="single" w:sz="4" w:space="0" w:color="auto"/>
              <w:right w:val="double" w:sz="6" w:space="0" w:color="auto"/>
            </w:tcBorders>
          </w:tcPr>
          <w:p w14:paraId="68008346"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6,50</w:t>
            </w:r>
          </w:p>
        </w:tc>
      </w:tr>
      <w:tr w:rsidR="005A5BD5" w:rsidRPr="002616E4" w14:paraId="3E9A91C5" w14:textId="77777777" w:rsidTr="00A57082">
        <w:trPr>
          <w:jc w:val="center"/>
        </w:trPr>
        <w:tc>
          <w:tcPr>
            <w:tcW w:w="2835" w:type="dxa"/>
            <w:tcBorders>
              <w:left w:val="double" w:sz="6" w:space="0" w:color="auto"/>
              <w:right w:val="single" w:sz="4" w:space="0" w:color="auto"/>
            </w:tcBorders>
          </w:tcPr>
          <w:p w14:paraId="32A49BB1"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1968</w:t>
            </w:r>
          </w:p>
        </w:tc>
        <w:tc>
          <w:tcPr>
            <w:tcW w:w="7384" w:type="dxa"/>
            <w:gridSpan w:val="2"/>
            <w:tcBorders>
              <w:left w:val="single" w:sz="4" w:space="0" w:color="auto"/>
              <w:right w:val="double" w:sz="6" w:space="0" w:color="auto"/>
            </w:tcBorders>
          </w:tcPr>
          <w:p w14:paraId="6FF5AA7E"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7,25</w:t>
            </w:r>
          </w:p>
        </w:tc>
      </w:tr>
      <w:tr w:rsidR="005A5BD5" w:rsidRPr="002616E4" w14:paraId="1CEB9E37" w14:textId="77777777" w:rsidTr="00A57082">
        <w:trPr>
          <w:jc w:val="center"/>
        </w:trPr>
        <w:tc>
          <w:tcPr>
            <w:tcW w:w="2835" w:type="dxa"/>
            <w:tcBorders>
              <w:left w:val="double" w:sz="6" w:space="0" w:color="auto"/>
              <w:right w:val="single" w:sz="4" w:space="0" w:color="auto"/>
            </w:tcBorders>
          </w:tcPr>
          <w:p w14:paraId="4AD6FEEB"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1969</w:t>
            </w:r>
          </w:p>
        </w:tc>
        <w:tc>
          <w:tcPr>
            <w:tcW w:w="7384" w:type="dxa"/>
            <w:gridSpan w:val="2"/>
            <w:tcBorders>
              <w:left w:val="single" w:sz="4" w:space="0" w:color="auto"/>
              <w:right w:val="double" w:sz="6" w:space="0" w:color="auto"/>
            </w:tcBorders>
          </w:tcPr>
          <w:p w14:paraId="34FE5ABC"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7,50</w:t>
            </w:r>
          </w:p>
        </w:tc>
      </w:tr>
      <w:tr w:rsidR="005A5BD5" w:rsidRPr="002616E4" w14:paraId="0257C621" w14:textId="77777777" w:rsidTr="00A57082">
        <w:trPr>
          <w:jc w:val="center"/>
        </w:trPr>
        <w:tc>
          <w:tcPr>
            <w:tcW w:w="2835" w:type="dxa"/>
            <w:tcBorders>
              <w:left w:val="double" w:sz="6" w:space="0" w:color="auto"/>
              <w:right w:val="single" w:sz="4" w:space="0" w:color="auto"/>
            </w:tcBorders>
          </w:tcPr>
          <w:p w14:paraId="16215523"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1970</w:t>
            </w:r>
          </w:p>
        </w:tc>
        <w:tc>
          <w:tcPr>
            <w:tcW w:w="7384" w:type="dxa"/>
            <w:gridSpan w:val="2"/>
            <w:tcBorders>
              <w:left w:val="single" w:sz="4" w:space="0" w:color="auto"/>
              <w:right w:val="double" w:sz="6" w:space="0" w:color="auto"/>
            </w:tcBorders>
          </w:tcPr>
          <w:p w14:paraId="17CBD930"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8,00</w:t>
            </w:r>
          </w:p>
        </w:tc>
      </w:tr>
      <w:tr w:rsidR="005A5BD5" w:rsidRPr="002616E4" w14:paraId="3897D54D" w14:textId="77777777" w:rsidTr="00A57082">
        <w:trPr>
          <w:jc w:val="center"/>
        </w:trPr>
        <w:tc>
          <w:tcPr>
            <w:tcW w:w="2835" w:type="dxa"/>
            <w:tcBorders>
              <w:left w:val="double" w:sz="6" w:space="0" w:color="auto"/>
              <w:right w:val="single" w:sz="4" w:space="0" w:color="auto"/>
            </w:tcBorders>
          </w:tcPr>
          <w:p w14:paraId="7C58A29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1971</w:t>
            </w:r>
          </w:p>
        </w:tc>
        <w:tc>
          <w:tcPr>
            <w:tcW w:w="7384" w:type="dxa"/>
            <w:gridSpan w:val="2"/>
            <w:tcBorders>
              <w:left w:val="single" w:sz="4" w:space="0" w:color="auto"/>
              <w:right w:val="double" w:sz="6" w:space="0" w:color="auto"/>
            </w:tcBorders>
          </w:tcPr>
          <w:p w14:paraId="6F62B3C7"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8,75</w:t>
            </w:r>
          </w:p>
        </w:tc>
      </w:tr>
      <w:tr w:rsidR="005A5BD5" w:rsidRPr="002616E4" w14:paraId="0051919F" w14:textId="77777777" w:rsidTr="00A57082">
        <w:trPr>
          <w:jc w:val="center"/>
        </w:trPr>
        <w:tc>
          <w:tcPr>
            <w:tcW w:w="2835" w:type="dxa"/>
            <w:tcBorders>
              <w:left w:val="double" w:sz="6" w:space="0" w:color="auto"/>
              <w:right w:val="single" w:sz="4" w:space="0" w:color="auto"/>
            </w:tcBorders>
          </w:tcPr>
          <w:p w14:paraId="33DEB620"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1972</w:t>
            </w:r>
          </w:p>
        </w:tc>
        <w:tc>
          <w:tcPr>
            <w:tcW w:w="7384" w:type="dxa"/>
            <w:gridSpan w:val="2"/>
            <w:tcBorders>
              <w:left w:val="single" w:sz="4" w:space="0" w:color="auto"/>
              <w:right w:val="double" w:sz="6" w:space="0" w:color="auto"/>
            </w:tcBorders>
          </w:tcPr>
          <w:p w14:paraId="01FDCA96"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7,00</w:t>
            </w:r>
          </w:p>
        </w:tc>
      </w:tr>
      <w:tr w:rsidR="005A5BD5" w:rsidRPr="002616E4" w14:paraId="25A7F195" w14:textId="77777777" w:rsidTr="00A57082">
        <w:trPr>
          <w:jc w:val="center"/>
        </w:trPr>
        <w:tc>
          <w:tcPr>
            <w:tcW w:w="2835" w:type="dxa"/>
            <w:tcBorders>
              <w:left w:val="double" w:sz="6" w:space="0" w:color="auto"/>
              <w:right w:val="single" w:sz="4" w:space="0" w:color="auto"/>
            </w:tcBorders>
          </w:tcPr>
          <w:p w14:paraId="544C2BEC"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1973</w:t>
            </w:r>
          </w:p>
        </w:tc>
        <w:tc>
          <w:tcPr>
            <w:tcW w:w="7384" w:type="dxa"/>
            <w:gridSpan w:val="2"/>
            <w:tcBorders>
              <w:left w:val="single" w:sz="4" w:space="0" w:color="auto"/>
              <w:right w:val="double" w:sz="6" w:space="0" w:color="auto"/>
            </w:tcBorders>
          </w:tcPr>
          <w:p w14:paraId="093DDF30"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6,75</w:t>
            </w:r>
          </w:p>
        </w:tc>
      </w:tr>
      <w:tr w:rsidR="005A5BD5" w:rsidRPr="002616E4" w14:paraId="06F5FD55" w14:textId="77777777" w:rsidTr="00A57082">
        <w:trPr>
          <w:jc w:val="center"/>
        </w:trPr>
        <w:tc>
          <w:tcPr>
            <w:tcW w:w="2835" w:type="dxa"/>
            <w:tcBorders>
              <w:left w:val="double" w:sz="6" w:space="0" w:color="auto"/>
              <w:right w:val="single" w:sz="4" w:space="0" w:color="auto"/>
            </w:tcBorders>
          </w:tcPr>
          <w:p w14:paraId="36EB9CFF"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1974</w:t>
            </w:r>
          </w:p>
        </w:tc>
        <w:tc>
          <w:tcPr>
            <w:tcW w:w="7384" w:type="dxa"/>
            <w:gridSpan w:val="2"/>
            <w:tcBorders>
              <w:left w:val="single" w:sz="4" w:space="0" w:color="auto"/>
              <w:right w:val="double" w:sz="6" w:space="0" w:color="auto"/>
            </w:tcBorders>
          </w:tcPr>
          <w:p w14:paraId="07F2C180"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7,50</w:t>
            </w:r>
          </w:p>
        </w:tc>
      </w:tr>
      <w:tr w:rsidR="005A5BD5" w:rsidRPr="002616E4" w14:paraId="3FADA206" w14:textId="77777777" w:rsidTr="00A57082">
        <w:trPr>
          <w:jc w:val="center"/>
        </w:trPr>
        <w:tc>
          <w:tcPr>
            <w:tcW w:w="2835" w:type="dxa"/>
            <w:tcBorders>
              <w:left w:val="double" w:sz="6" w:space="0" w:color="auto"/>
              <w:right w:val="single" w:sz="4" w:space="0" w:color="auto"/>
            </w:tcBorders>
          </w:tcPr>
          <w:p w14:paraId="26045157"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1975</w:t>
            </w:r>
          </w:p>
        </w:tc>
        <w:tc>
          <w:tcPr>
            <w:tcW w:w="7384" w:type="dxa"/>
            <w:gridSpan w:val="2"/>
            <w:tcBorders>
              <w:left w:val="single" w:sz="4" w:space="0" w:color="auto"/>
              <w:right w:val="double" w:sz="6" w:space="0" w:color="auto"/>
            </w:tcBorders>
          </w:tcPr>
          <w:p w14:paraId="0EB13792"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9,00</w:t>
            </w:r>
          </w:p>
        </w:tc>
      </w:tr>
      <w:tr w:rsidR="005A5BD5" w:rsidRPr="002616E4" w14:paraId="551D8B43" w14:textId="77777777" w:rsidTr="00A57082">
        <w:trPr>
          <w:jc w:val="center"/>
        </w:trPr>
        <w:tc>
          <w:tcPr>
            <w:tcW w:w="2835" w:type="dxa"/>
            <w:tcBorders>
              <w:left w:val="double" w:sz="6" w:space="0" w:color="auto"/>
              <w:right w:val="single" w:sz="4" w:space="0" w:color="auto"/>
            </w:tcBorders>
          </w:tcPr>
          <w:p w14:paraId="032D8CAF"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1976 und 1977</w:t>
            </w:r>
          </w:p>
        </w:tc>
        <w:tc>
          <w:tcPr>
            <w:tcW w:w="7384" w:type="dxa"/>
            <w:gridSpan w:val="2"/>
            <w:tcBorders>
              <w:left w:val="single" w:sz="4" w:space="0" w:color="auto"/>
              <w:right w:val="double" w:sz="6" w:space="0" w:color="auto"/>
            </w:tcBorders>
          </w:tcPr>
          <w:p w14:paraId="057ADA83"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8,75</w:t>
            </w:r>
          </w:p>
        </w:tc>
      </w:tr>
      <w:tr w:rsidR="005A5BD5" w:rsidRPr="002616E4" w14:paraId="19A1CD89" w14:textId="77777777" w:rsidTr="00A57082">
        <w:trPr>
          <w:jc w:val="center"/>
        </w:trPr>
        <w:tc>
          <w:tcPr>
            <w:tcW w:w="2835" w:type="dxa"/>
            <w:tcBorders>
              <w:left w:val="double" w:sz="6" w:space="0" w:color="auto"/>
              <w:right w:val="single" w:sz="4" w:space="0" w:color="auto"/>
            </w:tcBorders>
          </w:tcPr>
          <w:p w14:paraId="6974789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1978 und 1979</w:t>
            </w:r>
          </w:p>
        </w:tc>
        <w:tc>
          <w:tcPr>
            <w:tcW w:w="7384" w:type="dxa"/>
            <w:gridSpan w:val="2"/>
            <w:tcBorders>
              <w:left w:val="single" w:sz="4" w:space="0" w:color="auto"/>
              <w:right w:val="double" w:sz="6" w:space="0" w:color="auto"/>
            </w:tcBorders>
          </w:tcPr>
          <w:p w14:paraId="34436C62"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8,50</w:t>
            </w:r>
          </w:p>
        </w:tc>
      </w:tr>
      <w:tr w:rsidR="005A5BD5" w:rsidRPr="002616E4" w14:paraId="24EB34C8" w14:textId="77777777" w:rsidTr="00A57082">
        <w:trPr>
          <w:jc w:val="center"/>
        </w:trPr>
        <w:tc>
          <w:tcPr>
            <w:tcW w:w="2835" w:type="dxa"/>
            <w:tcBorders>
              <w:left w:val="double" w:sz="6" w:space="0" w:color="auto"/>
              <w:right w:val="single" w:sz="4" w:space="0" w:color="auto"/>
            </w:tcBorders>
          </w:tcPr>
          <w:p w14:paraId="6F56C3C1"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1980</w:t>
            </w:r>
          </w:p>
        </w:tc>
        <w:tc>
          <w:tcPr>
            <w:tcW w:w="7384" w:type="dxa"/>
            <w:gridSpan w:val="2"/>
            <w:tcBorders>
              <w:left w:val="single" w:sz="4" w:space="0" w:color="auto"/>
              <w:right w:val="double" w:sz="6" w:space="0" w:color="auto"/>
            </w:tcBorders>
          </w:tcPr>
          <w:p w14:paraId="6EA0ABC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9,50</w:t>
            </w:r>
          </w:p>
        </w:tc>
      </w:tr>
      <w:tr w:rsidR="005A5BD5" w:rsidRPr="002616E4" w14:paraId="1B13EB0F" w14:textId="77777777" w:rsidTr="00A57082">
        <w:trPr>
          <w:jc w:val="center"/>
        </w:trPr>
        <w:tc>
          <w:tcPr>
            <w:tcW w:w="2835" w:type="dxa"/>
            <w:tcBorders>
              <w:left w:val="double" w:sz="6" w:space="0" w:color="auto"/>
              <w:right w:val="single" w:sz="4" w:space="0" w:color="auto"/>
            </w:tcBorders>
          </w:tcPr>
          <w:p w14:paraId="6E54B2BF"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1981</w:t>
            </w:r>
          </w:p>
        </w:tc>
        <w:tc>
          <w:tcPr>
            <w:tcW w:w="7384" w:type="dxa"/>
            <w:gridSpan w:val="2"/>
            <w:tcBorders>
              <w:left w:val="single" w:sz="4" w:space="0" w:color="auto"/>
              <w:right w:val="double" w:sz="6" w:space="0" w:color="auto"/>
            </w:tcBorders>
          </w:tcPr>
          <w:p w14:paraId="425A3E46"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12,00</w:t>
            </w:r>
          </w:p>
        </w:tc>
      </w:tr>
      <w:tr w:rsidR="005A5BD5" w:rsidRPr="002616E4" w14:paraId="5D271B41" w14:textId="77777777" w:rsidTr="00A57082">
        <w:trPr>
          <w:jc w:val="center"/>
        </w:trPr>
        <w:tc>
          <w:tcPr>
            <w:tcW w:w="2835" w:type="dxa"/>
            <w:tcBorders>
              <w:left w:val="double" w:sz="6" w:space="0" w:color="auto"/>
              <w:right w:val="single" w:sz="4" w:space="0" w:color="auto"/>
            </w:tcBorders>
          </w:tcPr>
          <w:p w14:paraId="662D59F1"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1982</w:t>
            </w:r>
          </w:p>
        </w:tc>
        <w:tc>
          <w:tcPr>
            <w:tcW w:w="7384" w:type="dxa"/>
            <w:gridSpan w:val="2"/>
            <w:tcBorders>
              <w:left w:val="single" w:sz="4" w:space="0" w:color="auto"/>
              <w:right w:val="double" w:sz="6" w:space="0" w:color="auto"/>
            </w:tcBorders>
          </w:tcPr>
          <w:p w14:paraId="74E054EE"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13,50</w:t>
            </w:r>
          </w:p>
        </w:tc>
      </w:tr>
      <w:tr w:rsidR="005A5BD5" w:rsidRPr="002616E4" w14:paraId="5C4ED067" w14:textId="77777777" w:rsidTr="00A57082">
        <w:trPr>
          <w:jc w:val="center"/>
        </w:trPr>
        <w:tc>
          <w:tcPr>
            <w:tcW w:w="2835" w:type="dxa"/>
            <w:tcBorders>
              <w:left w:val="double" w:sz="6" w:space="0" w:color="auto"/>
              <w:right w:val="single" w:sz="4" w:space="0" w:color="auto"/>
            </w:tcBorders>
          </w:tcPr>
          <w:p w14:paraId="404D82ED"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1983</w:t>
            </w:r>
          </w:p>
        </w:tc>
        <w:tc>
          <w:tcPr>
            <w:tcW w:w="7384" w:type="dxa"/>
            <w:gridSpan w:val="2"/>
            <w:tcBorders>
              <w:left w:val="single" w:sz="4" w:space="0" w:color="auto"/>
              <w:right w:val="double" w:sz="6" w:space="0" w:color="auto"/>
            </w:tcBorders>
          </w:tcPr>
          <w:p w14:paraId="78A490AA"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11,50</w:t>
            </w:r>
          </w:p>
        </w:tc>
      </w:tr>
      <w:tr w:rsidR="005A5BD5" w:rsidRPr="002616E4" w14:paraId="392AB8BC" w14:textId="77777777" w:rsidTr="00A57082">
        <w:trPr>
          <w:jc w:val="center"/>
        </w:trPr>
        <w:tc>
          <w:tcPr>
            <w:tcW w:w="2835" w:type="dxa"/>
            <w:tcBorders>
              <w:left w:val="double" w:sz="6" w:space="0" w:color="auto"/>
              <w:right w:val="single" w:sz="4" w:space="0" w:color="auto"/>
            </w:tcBorders>
          </w:tcPr>
          <w:p w14:paraId="569DE8FE"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1984 (bis zum 31. Mai 1984)</w:t>
            </w:r>
          </w:p>
        </w:tc>
        <w:tc>
          <w:tcPr>
            <w:tcW w:w="7384" w:type="dxa"/>
            <w:gridSpan w:val="2"/>
            <w:tcBorders>
              <w:left w:val="single" w:sz="4" w:space="0" w:color="auto"/>
              <w:right w:val="double" w:sz="6" w:space="0" w:color="auto"/>
            </w:tcBorders>
          </w:tcPr>
          <w:p w14:paraId="03002F7E"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11,50</w:t>
            </w:r>
          </w:p>
        </w:tc>
      </w:tr>
      <w:tr w:rsidR="005A5BD5" w:rsidRPr="002616E4" w14:paraId="0E837C90" w14:textId="77777777" w:rsidTr="00B27F11">
        <w:trPr>
          <w:jc w:val="center"/>
        </w:trPr>
        <w:tc>
          <w:tcPr>
            <w:tcW w:w="2835" w:type="dxa"/>
            <w:tcBorders>
              <w:left w:val="double" w:sz="6" w:space="0" w:color="auto"/>
              <w:right w:val="single" w:sz="4" w:space="0" w:color="auto"/>
            </w:tcBorders>
          </w:tcPr>
          <w:p w14:paraId="36FDD47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1984 (ab dem 1. Juni 1984)</w:t>
            </w:r>
          </w:p>
        </w:tc>
        <w:tc>
          <w:tcPr>
            <w:tcW w:w="4088" w:type="dxa"/>
            <w:tcBorders>
              <w:left w:val="single" w:sz="4" w:space="0" w:color="auto"/>
              <w:right w:val="single" w:sz="4" w:space="0" w:color="auto"/>
            </w:tcBorders>
          </w:tcPr>
          <w:p w14:paraId="42CCFE13"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10,75</w:t>
            </w:r>
          </w:p>
        </w:tc>
        <w:tc>
          <w:tcPr>
            <w:tcW w:w="3296" w:type="dxa"/>
            <w:tcBorders>
              <w:left w:val="single" w:sz="4" w:space="0" w:color="auto"/>
              <w:right w:val="double" w:sz="6" w:space="0" w:color="auto"/>
            </w:tcBorders>
          </w:tcPr>
          <w:p w14:paraId="4D3BE9C1"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11,75</w:t>
            </w:r>
          </w:p>
        </w:tc>
      </w:tr>
      <w:tr w:rsidR="005A5BD5" w:rsidRPr="002616E4" w14:paraId="27CC7F9E" w14:textId="77777777" w:rsidTr="00B27F11">
        <w:trPr>
          <w:jc w:val="center"/>
        </w:trPr>
        <w:tc>
          <w:tcPr>
            <w:tcW w:w="2835" w:type="dxa"/>
            <w:tcBorders>
              <w:left w:val="double" w:sz="6" w:space="0" w:color="auto"/>
              <w:right w:val="single" w:sz="4" w:space="0" w:color="auto"/>
            </w:tcBorders>
          </w:tcPr>
          <w:p w14:paraId="654E65EB"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1985</w:t>
            </w:r>
          </w:p>
        </w:tc>
        <w:tc>
          <w:tcPr>
            <w:tcW w:w="4088" w:type="dxa"/>
            <w:tcBorders>
              <w:left w:val="single" w:sz="4" w:space="0" w:color="auto"/>
              <w:right w:val="single" w:sz="4" w:space="0" w:color="auto"/>
            </w:tcBorders>
          </w:tcPr>
          <w:p w14:paraId="0BA8DEC3"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9,50</w:t>
            </w:r>
          </w:p>
        </w:tc>
        <w:tc>
          <w:tcPr>
            <w:tcW w:w="3296" w:type="dxa"/>
            <w:tcBorders>
              <w:left w:val="single" w:sz="4" w:space="0" w:color="auto"/>
              <w:right w:val="double" w:sz="6" w:space="0" w:color="auto"/>
            </w:tcBorders>
          </w:tcPr>
          <w:p w14:paraId="68769204"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[9,75]</w:t>
            </w:r>
          </w:p>
        </w:tc>
      </w:tr>
      <w:tr w:rsidR="005A5BD5" w:rsidRPr="002616E4" w14:paraId="0909DA5F" w14:textId="77777777" w:rsidTr="00B27F11">
        <w:trPr>
          <w:jc w:val="center"/>
        </w:trPr>
        <w:tc>
          <w:tcPr>
            <w:tcW w:w="2835" w:type="dxa"/>
            <w:tcBorders>
              <w:left w:val="double" w:sz="6" w:space="0" w:color="auto"/>
              <w:right w:val="single" w:sz="4" w:space="0" w:color="auto"/>
            </w:tcBorders>
          </w:tcPr>
          <w:p w14:paraId="6B4893E8"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1986</w:t>
            </w:r>
          </w:p>
        </w:tc>
        <w:tc>
          <w:tcPr>
            <w:tcW w:w="4088" w:type="dxa"/>
            <w:tcBorders>
              <w:left w:val="single" w:sz="4" w:space="0" w:color="auto"/>
              <w:right w:val="single" w:sz="4" w:space="0" w:color="auto"/>
            </w:tcBorders>
          </w:tcPr>
          <w:p w14:paraId="5A5F1E5F"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7,50</w:t>
            </w:r>
          </w:p>
        </w:tc>
        <w:tc>
          <w:tcPr>
            <w:tcW w:w="3296" w:type="dxa"/>
            <w:tcBorders>
              <w:left w:val="single" w:sz="4" w:space="0" w:color="auto"/>
              <w:right w:val="double" w:sz="6" w:space="0" w:color="auto"/>
            </w:tcBorders>
          </w:tcPr>
          <w:p w14:paraId="0E1CFC5B"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7,50</w:t>
            </w:r>
          </w:p>
        </w:tc>
      </w:tr>
      <w:tr w:rsidR="005A5BD5" w:rsidRPr="002616E4" w14:paraId="16AFAC67" w14:textId="77777777" w:rsidTr="00B27F11">
        <w:trPr>
          <w:jc w:val="center"/>
        </w:trPr>
        <w:tc>
          <w:tcPr>
            <w:tcW w:w="2835" w:type="dxa"/>
            <w:tcBorders>
              <w:left w:val="double" w:sz="6" w:space="0" w:color="auto"/>
              <w:right w:val="single" w:sz="4" w:space="0" w:color="auto"/>
            </w:tcBorders>
          </w:tcPr>
          <w:p w14:paraId="5A0B218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1987</w:t>
            </w:r>
          </w:p>
        </w:tc>
        <w:tc>
          <w:tcPr>
            <w:tcW w:w="4088" w:type="dxa"/>
            <w:tcBorders>
              <w:left w:val="single" w:sz="4" w:space="0" w:color="auto"/>
              <w:right w:val="single" w:sz="4" w:space="0" w:color="auto"/>
            </w:tcBorders>
          </w:tcPr>
          <w:p w14:paraId="7812795B"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7,25</w:t>
            </w:r>
          </w:p>
        </w:tc>
        <w:tc>
          <w:tcPr>
            <w:tcW w:w="3296" w:type="dxa"/>
            <w:tcBorders>
              <w:left w:val="single" w:sz="4" w:space="0" w:color="auto"/>
              <w:right w:val="double" w:sz="6" w:space="0" w:color="auto"/>
            </w:tcBorders>
          </w:tcPr>
          <w:p w14:paraId="77C68A2C"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7,25</w:t>
            </w:r>
          </w:p>
        </w:tc>
      </w:tr>
      <w:tr w:rsidR="005A5BD5" w:rsidRPr="002616E4" w14:paraId="776BE402" w14:textId="77777777" w:rsidTr="00B27F11">
        <w:trPr>
          <w:jc w:val="center"/>
        </w:trPr>
        <w:tc>
          <w:tcPr>
            <w:tcW w:w="2835" w:type="dxa"/>
            <w:tcBorders>
              <w:left w:val="double" w:sz="6" w:space="0" w:color="auto"/>
              <w:right w:val="single" w:sz="4" w:space="0" w:color="auto"/>
            </w:tcBorders>
          </w:tcPr>
          <w:p w14:paraId="6C75ACFA"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1988</w:t>
            </w:r>
          </w:p>
        </w:tc>
        <w:tc>
          <w:tcPr>
            <w:tcW w:w="4088" w:type="dxa"/>
            <w:tcBorders>
              <w:left w:val="single" w:sz="4" w:space="0" w:color="auto"/>
              <w:right w:val="single" w:sz="4" w:space="0" w:color="auto"/>
            </w:tcBorders>
          </w:tcPr>
          <w:p w14:paraId="7979F08C"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7,25</w:t>
            </w:r>
          </w:p>
        </w:tc>
        <w:tc>
          <w:tcPr>
            <w:tcW w:w="3296" w:type="dxa"/>
            <w:tcBorders>
              <w:left w:val="single" w:sz="4" w:space="0" w:color="auto"/>
              <w:right w:val="double" w:sz="6" w:space="0" w:color="auto"/>
            </w:tcBorders>
          </w:tcPr>
          <w:p w14:paraId="560E2345"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7,00</w:t>
            </w:r>
          </w:p>
        </w:tc>
      </w:tr>
      <w:tr w:rsidR="005A5BD5" w:rsidRPr="002616E4" w14:paraId="3E9C1B3D" w14:textId="77777777" w:rsidTr="00B27F11">
        <w:trPr>
          <w:jc w:val="center"/>
        </w:trPr>
        <w:tc>
          <w:tcPr>
            <w:tcW w:w="2835" w:type="dxa"/>
            <w:tcBorders>
              <w:left w:val="double" w:sz="6" w:space="0" w:color="auto"/>
              <w:right w:val="single" w:sz="4" w:space="0" w:color="auto"/>
            </w:tcBorders>
          </w:tcPr>
          <w:p w14:paraId="011707AF"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1989</w:t>
            </w:r>
          </w:p>
        </w:tc>
        <w:tc>
          <w:tcPr>
            <w:tcW w:w="4088" w:type="dxa"/>
            <w:tcBorders>
              <w:left w:val="single" w:sz="4" w:space="0" w:color="auto"/>
              <w:right w:val="single" w:sz="4" w:space="0" w:color="auto"/>
            </w:tcBorders>
          </w:tcPr>
          <w:p w14:paraId="6B8E67DD"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7,25</w:t>
            </w:r>
          </w:p>
        </w:tc>
        <w:tc>
          <w:tcPr>
            <w:tcW w:w="3296" w:type="dxa"/>
            <w:tcBorders>
              <w:left w:val="single" w:sz="4" w:space="0" w:color="auto"/>
              <w:right w:val="double" w:sz="6" w:space="0" w:color="auto"/>
            </w:tcBorders>
          </w:tcPr>
          <w:p w14:paraId="51337854"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7,00</w:t>
            </w:r>
          </w:p>
        </w:tc>
      </w:tr>
      <w:tr w:rsidR="005A5BD5" w:rsidRPr="002616E4" w14:paraId="4C47BEFA" w14:textId="77777777" w:rsidTr="00B27F11">
        <w:trPr>
          <w:jc w:val="center"/>
        </w:trPr>
        <w:tc>
          <w:tcPr>
            <w:tcW w:w="2835" w:type="dxa"/>
            <w:tcBorders>
              <w:left w:val="double" w:sz="6" w:space="0" w:color="auto"/>
              <w:right w:val="single" w:sz="4" w:space="0" w:color="auto"/>
            </w:tcBorders>
          </w:tcPr>
          <w:p w14:paraId="05CDBC25"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1990</w:t>
            </w:r>
          </w:p>
        </w:tc>
        <w:tc>
          <w:tcPr>
            <w:tcW w:w="4088" w:type="dxa"/>
            <w:tcBorders>
              <w:left w:val="single" w:sz="4" w:space="0" w:color="auto"/>
              <w:right w:val="single" w:sz="4" w:space="0" w:color="auto"/>
            </w:tcBorders>
          </w:tcPr>
          <w:p w14:paraId="40B787C5"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9,50</w:t>
            </w:r>
          </w:p>
        </w:tc>
        <w:tc>
          <w:tcPr>
            <w:tcW w:w="3296" w:type="dxa"/>
            <w:tcBorders>
              <w:left w:val="single" w:sz="4" w:space="0" w:color="auto"/>
              <w:right w:val="double" w:sz="6" w:space="0" w:color="auto"/>
            </w:tcBorders>
          </w:tcPr>
          <w:p w14:paraId="5BE0707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9,25</w:t>
            </w:r>
          </w:p>
        </w:tc>
      </w:tr>
      <w:tr w:rsidR="005A5BD5" w:rsidRPr="002616E4" w14:paraId="5D50E294" w14:textId="77777777" w:rsidTr="00B27F11">
        <w:trPr>
          <w:jc w:val="center"/>
        </w:trPr>
        <w:tc>
          <w:tcPr>
            <w:tcW w:w="2835" w:type="dxa"/>
            <w:tcBorders>
              <w:left w:val="double" w:sz="6" w:space="0" w:color="auto"/>
              <w:right w:val="single" w:sz="4" w:space="0" w:color="auto"/>
            </w:tcBorders>
          </w:tcPr>
          <w:p w14:paraId="777661AC"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1991</w:t>
            </w:r>
          </w:p>
        </w:tc>
        <w:tc>
          <w:tcPr>
            <w:tcW w:w="4088" w:type="dxa"/>
            <w:tcBorders>
              <w:left w:val="single" w:sz="4" w:space="0" w:color="auto"/>
              <w:right w:val="single" w:sz="4" w:space="0" w:color="auto"/>
            </w:tcBorders>
          </w:tcPr>
          <w:p w14:paraId="138DF00F"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10,25</w:t>
            </w:r>
          </w:p>
        </w:tc>
        <w:tc>
          <w:tcPr>
            <w:tcW w:w="3296" w:type="dxa"/>
            <w:tcBorders>
              <w:left w:val="single" w:sz="4" w:space="0" w:color="auto"/>
              <w:right w:val="double" w:sz="6" w:space="0" w:color="auto"/>
            </w:tcBorders>
          </w:tcPr>
          <w:p w14:paraId="473F2A91"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10,25</w:t>
            </w:r>
          </w:p>
        </w:tc>
      </w:tr>
      <w:tr w:rsidR="005A5BD5" w:rsidRPr="002616E4" w14:paraId="734A15DF" w14:textId="77777777" w:rsidTr="00B27F11">
        <w:trPr>
          <w:jc w:val="center"/>
        </w:trPr>
        <w:tc>
          <w:tcPr>
            <w:tcW w:w="2835" w:type="dxa"/>
            <w:tcBorders>
              <w:left w:val="double" w:sz="6" w:space="0" w:color="auto"/>
              <w:right w:val="single" w:sz="4" w:space="0" w:color="auto"/>
            </w:tcBorders>
          </w:tcPr>
          <w:p w14:paraId="031122CF"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lastRenderedPageBreak/>
              <w:t>[1992]</w:t>
            </w:r>
          </w:p>
        </w:tc>
        <w:tc>
          <w:tcPr>
            <w:tcW w:w="4088" w:type="dxa"/>
            <w:tcBorders>
              <w:left w:val="single" w:sz="4" w:space="0" w:color="auto"/>
              <w:right w:val="single" w:sz="4" w:space="0" w:color="auto"/>
            </w:tcBorders>
          </w:tcPr>
          <w:p w14:paraId="437106E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[9,25]</w:t>
            </w:r>
          </w:p>
        </w:tc>
        <w:tc>
          <w:tcPr>
            <w:tcW w:w="3296" w:type="dxa"/>
            <w:tcBorders>
              <w:left w:val="single" w:sz="4" w:space="0" w:color="auto"/>
              <w:right w:val="double" w:sz="6" w:space="0" w:color="auto"/>
            </w:tcBorders>
          </w:tcPr>
          <w:p w14:paraId="6222FCD3"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[8,25]</w:t>
            </w:r>
          </w:p>
        </w:tc>
      </w:tr>
      <w:tr w:rsidR="005A5BD5" w:rsidRPr="002616E4" w14:paraId="04A38CD4" w14:textId="77777777" w:rsidTr="00B27F11">
        <w:trPr>
          <w:jc w:val="center"/>
        </w:trPr>
        <w:tc>
          <w:tcPr>
            <w:tcW w:w="2835" w:type="dxa"/>
            <w:tcBorders>
              <w:left w:val="double" w:sz="6" w:space="0" w:color="auto"/>
              <w:right w:val="single" w:sz="4" w:space="0" w:color="auto"/>
            </w:tcBorders>
          </w:tcPr>
          <w:p w14:paraId="7C360970"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[1993]</w:t>
            </w:r>
          </w:p>
        </w:tc>
        <w:tc>
          <w:tcPr>
            <w:tcW w:w="4088" w:type="dxa"/>
            <w:tcBorders>
              <w:left w:val="single" w:sz="4" w:space="0" w:color="auto"/>
              <w:right w:val="single" w:sz="4" w:space="0" w:color="auto"/>
            </w:tcBorders>
          </w:tcPr>
          <w:p w14:paraId="40151096"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[8]</w:t>
            </w:r>
          </w:p>
        </w:tc>
        <w:tc>
          <w:tcPr>
            <w:tcW w:w="3296" w:type="dxa"/>
            <w:tcBorders>
              <w:left w:val="single" w:sz="4" w:space="0" w:color="auto"/>
              <w:right w:val="double" w:sz="6" w:space="0" w:color="auto"/>
            </w:tcBorders>
          </w:tcPr>
          <w:p w14:paraId="032A30EC"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[7,65]</w:t>
            </w:r>
          </w:p>
        </w:tc>
      </w:tr>
      <w:tr w:rsidR="005A5BD5" w:rsidRPr="002616E4" w14:paraId="38987733" w14:textId="77777777" w:rsidTr="00B27F11">
        <w:trPr>
          <w:jc w:val="center"/>
        </w:trPr>
        <w:tc>
          <w:tcPr>
            <w:tcW w:w="2835" w:type="dxa"/>
            <w:tcBorders>
              <w:left w:val="double" w:sz="6" w:space="0" w:color="auto"/>
              <w:right w:val="single" w:sz="4" w:space="0" w:color="auto"/>
            </w:tcBorders>
          </w:tcPr>
          <w:p w14:paraId="115E5240"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[1994]</w:t>
            </w:r>
          </w:p>
        </w:tc>
        <w:tc>
          <w:tcPr>
            <w:tcW w:w="4088" w:type="dxa"/>
            <w:tcBorders>
              <w:left w:val="single" w:sz="4" w:space="0" w:color="auto"/>
              <w:right w:val="single" w:sz="4" w:space="0" w:color="auto"/>
            </w:tcBorders>
          </w:tcPr>
          <w:p w14:paraId="6A861251"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[7,25]</w:t>
            </w:r>
          </w:p>
        </w:tc>
        <w:tc>
          <w:tcPr>
            <w:tcW w:w="3296" w:type="dxa"/>
            <w:tcBorders>
              <w:left w:val="single" w:sz="4" w:space="0" w:color="auto"/>
              <w:right w:val="double" w:sz="6" w:space="0" w:color="auto"/>
            </w:tcBorders>
          </w:tcPr>
          <w:p w14:paraId="34799D68"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[7,10]</w:t>
            </w:r>
          </w:p>
        </w:tc>
      </w:tr>
      <w:tr w:rsidR="005A5BD5" w:rsidRPr="002616E4" w14:paraId="7AC6C57E" w14:textId="77777777" w:rsidTr="00B27F11">
        <w:trPr>
          <w:jc w:val="center"/>
        </w:trPr>
        <w:tc>
          <w:tcPr>
            <w:tcW w:w="2835" w:type="dxa"/>
            <w:tcBorders>
              <w:left w:val="double" w:sz="6" w:space="0" w:color="auto"/>
              <w:right w:val="single" w:sz="4" w:space="0" w:color="auto"/>
            </w:tcBorders>
          </w:tcPr>
          <w:p w14:paraId="4C219FE4"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[1995]</w:t>
            </w:r>
          </w:p>
        </w:tc>
        <w:tc>
          <w:tcPr>
            <w:tcW w:w="4088" w:type="dxa"/>
            <w:tcBorders>
              <w:left w:val="single" w:sz="4" w:space="0" w:color="auto"/>
              <w:right w:val="single" w:sz="4" w:space="0" w:color="auto"/>
            </w:tcBorders>
          </w:tcPr>
          <w:p w14:paraId="40FFC8CB"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[7]</w:t>
            </w:r>
          </w:p>
        </w:tc>
        <w:tc>
          <w:tcPr>
            <w:tcW w:w="3296" w:type="dxa"/>
            <w:tcBorders>
              <w:left w:val="single" w:sz="4" w:space="0" w:color="auto"/>
              <w:right w:val="double" w:sz="6" w:space="0" w:color="auto"/>
            </w:tcBorders>
          </w:tcPr>
          <w:p w14:paraId="2FC6DADB"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[6,75]</w:t>
            </w:r>
          </w:p>
        </w:tc>
      </w:tr>
      <w:tr w:rsidR="005A5BD5" w:rsidRPr="002616E4" w14:paraId="7B5D2426" w14:textId="77777777" w:rsidTr="00B27F11">
        <w:trPr>
          <w:jc w:val="center"/>
        </w:trPr>
        <w:tc>
          <w:tcPr>
            <w:tcW w:w="2835" w:type="dxa"/>
            <w:tcBorders>
              <w:left w:val="double" w:sz="6" w:space="0" w:color="auto"/>
              <w:right w:val="single" w:sz="4" w:space="0" w:color="auto"/>
            </w:tcBorders>
          </w:tcPr>
          <w:p w14:paraId="36936CFB"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[1996]</w:t>
            </w:r>
          </w:p>
        </w:tc>
        <w:tc>
          <w:tcPr>
            <w:tcW w:w="4088" w:type="dxa"/>
            <w:tcBorders>
              <w:left w:val="single" w:sz="4" w:space="0" w:color="auto"/>
              <w:right w:val="single" w:sz="4" w:space="0" w:color="auto"/>
            </w:tcBorders>
          </w:tcPr>
          <w:p w14:paraId="50C8BCEA"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[6,50]</w:t>
            </w:r>
          </w:p>
        </w:tc>
        <w:tc>
          <w:tcPr>
            <w:tcW w:w="3296" w:type="dxa"/>
            <w:tcBorders>
              <w:left w:val="single" w:sz="4" w:space="0" w:color="auto"/>
              <w:right w:val="double" w:sz="6" w:space="0" w:color="auto"/>
            </w:tcBorders>
          </w:tcPr>
          <w:p w14:paraId="40042DC8"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[6,50]</w:t>
            </w:r>
          </w:p>
        </w:tc>
      </w:tr>
      <w:tr w:rsidR="005A5BD5" w:rsidRPr="002616E4" w14:paraId="61B27838" w14:textId="77777777" w:rsidTr="00B27F11">
        <w:trPr>
          <w:jc w:val="center"/>
        </w:trPr>
        <w:tc>
          <w:tcPr>
            <w:tcW w:w="2835" w:type="dxa"/>
            <w:tcBorders>
              <w:left w:val="double" w:sz="6" w:space="0" w:color="auto"/>
              <w:right w:val="single" w:sz="4" w:space="0" w:color="auto"/>
            </w:tcBorders>
          </w:tcPr>
          <w:p w14:paraId="3F40C57C"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[1997]</w:t>
            </w:r>
          </w:p>
        </w:tc>
        <w:tc>
          <w:tcPr>
            <w:tcW w:w="4088" w:type="dxa"/>
            <w:tcBorders>
              <w:left w:val="single" w:sz="4" w:space="0" w:color="auto"/>
              <w:right w:val="single" w:sz="4" w:space="0" w:color="auto"/>
            </w:tcBorders>
          </w:tcPr>
          <w:p w14:paraId="32E4ED4E"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[6,00]</w:t>
            </w:r>
          </w:p>
        </w:tc>
        <w:tc>
          <w:tcPr>
            <w:tcW w:w="3296" w:type="dxa"/>
            <w:tcBorders>
              <w:left w:val="single" w:sz="4" w:space="0" w:color="auto"/>
              <w:right w:val="double" w:sz="6" w:space="0" w:color="auto"/>
            </w:tcBorders>
          </w:tcPr>
          <w:p w14:paraId="13709936"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[6,00]</w:t>
            </w:r>
          </w:p>
        </w:tc>
      </w:tr>
      <w:tr w:rsidR="005A5BD5" w:rsidRPr="002616E4" w14:paraId="4CED4F1C" w14:textId="77777777" w:rsidTr="00B27F11">
        <w:trPr>
          <w:jc w:val="center"/>
        </w:trPr>
        <w:tc>
          <w:tcPr>
            <w:tcW w:w="2835" w:type="dxa"/>
            <w:tcBorders>
              <w:left w:val="double" w:sz="6" w:space="0" w:color="auto"/>
              <w:right w:val="single" w:sz="4" w:space="0" w:color="auto"/>
            </w:tcBorders>
          </w:tcPr>
          <w:p w14:paraId="16BAE0C0"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[1998]</w:t>
            </w:r>
          </w:p>
        </w:tc>
        <w:tc>
          <w:tcPr>
            <w:tcW w:w="4088" w:type="dxa"/>
            <w:tcBorders>
              <w:left w:val="single" w:sz="4" w:space="0" w:color="auto"/>
              <w:right w:val="single" w:sz="4" w:space="0" w:color="auto"/>
            </w:tcBorders>
          </w:tcPr>
          <w:p w14:paraId="1A4CE884"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[5,75]</w:t>
            </w:r>
          </w:p>
        </w:tc>
        <w:tc>
          <w:tcPr>
            <w:tcW w:w="3296" w:type="dxa"/>
            <w:tcBorders>
              <w:left w:val="single" w:sz="4" w:space="0" w:color="auto"/>
              <w:right w:val="double" w:sz="6" w:space="0" w:color="auto"/>
            </w:tcBorders>
          </w:tcPr>
          <w:p w14:paraId="1380BD5D"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[5,75]</w:t>
            </w:r>
          </w:p>
        </w:tc>
      </w:tr>
      <w:tr w:rsidR="005A5BD5" w:rsidRPr="002616E4" w14:paraId="557E7E6B" w14:textId="77777777" w:rsidTr="00B27F11">
        <w:trPr>
          <w:jc w:val="center"/>
        </w:trPr>
        <w:tc>
          <w:tcPr>
            <w:tcW w:w="2835" w:type="dxa"/>
            <w:tcBorders>
              <w:left w:val="double" w:sz="6" w:space="0" w:color="auto"/>
              <w:right w:val="single" w:sz="4" w:space="0" w:color="auto"/>
            </w:tcBorders>
          </w:tcPr>
          <w:p w14:paraId="4700B31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[1999]</w:t>
            </w:r>
          </w:p>
        </w:tc>
        <w:tc>
          <w:tcPr>
            <w:tcW w:w="4088" w:type="dxa"/>
            <w:tcBorders>
              <w:left w:val="single" w:sz="4" w:space="0" w:color="auto"/>
              <w:right w:val="single" w:sz="4" w:space="0" w:color="auto"/>
            </w:tcBorders>
          </w:tcPr>
          <w:p w14:paraId="00E39C54"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[5,75]</w:t>
            </w:r>
          </w:p>
        </w:tc>
        <w:tc>
          <w:tcPr>
            <w:tcW w:w="3296" w:type="dxa"/>
            <w:tcBorders>
              <w:left w:val="single" w:sz="4" w:space="0" w:color="auto"/>
              <w:right w:val="double" w:sz="6" w:space="0" w:color="auto"/>
            </w:tcBorders>
          </w:tcPr>
          <w:p w14:paraId="36F0F89D"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[5,50]</w:t>
            </w:r>
          </w:p>
        </w:tc>
      </w:tr>
      <w:tr w:rsidR="005A5BD5" w:rsidRPr="002616E4" w14:paraId="3E514DE7" w14:textId="77777777" w:rsidTr="00B27F11">
        <w:trPr>
          <w:jc w:val="center"/>
        </w:trPr>
        <w:tc>
          <w:tcPr>
            <w:tcW w:w="2835" w:type="dxa"/>
            <w:tcBorders>
              <w:left w:val="double" w:sz="6" w:space="0" w:color="auto"/>
              <w:right w:val="single" w:sz="4" w:space="0" w:color="auto"/>
            </w:tcBorders>
          </w:tcPr>
          <w:p w14:paraId="70C4BCF0"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[2000]</w:t>
            </w:r>
          </w:p>
        </w:tc>
        <w:tc>
          <w:tcPr>
            <w:tcW w:w="4088" w:type="dxa"/>
            <w:tcBorders>
              <w:left w:val="single" w:sz="4" w:space="0" w:color="auto"/>
              <w:right w:val="single" w:sz="4" w:space="0" w:color="auto"/>
            </w:tcBorders>
          </w:tcPr>
          <w:p w14:paraId="46913CDF"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[5,75]</w:t>
            </w:r>
          </w:p>
        </w:tc>
        <w:tc>
          <w:tcPr>
            <w:tcW w:w="3296" w:type="dxa"/>
            <w:tcBorders>
              <w:left w:val="single" w:sz="4" w:space="0" w:color="auto"/>
              <w:right w:val="double" w:sz="6" w:space="0" w:color="auto"/>
            </w:tcBorders>
          </w:tcPr>
          <w:p w14:paraId="4CD91040"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[6,50]</w:t>
            </w:r>
          </w:p>
        </w:tc>
      </w:tr>
      <w:tr w:rsidR="005A5BD5" w:rsidRPr="002616E4" w14:paraId="75AA8FA5" w14:textId="77777777" w:rsidTr="00B27F11">
        <w:trPr>
          <w:jc w:val="center"/>
        </w:trPr>
        <w:tc>
          <w:tcPr>
            <w:tcW w:w="2835" w:type="dxa"/>
            <w:tcBorders>
              <w:left w:val="double" w:sz="6" w:space="0" w:color="auto"/>
              <w:right w:val="single" w:sz="4" w:space="0" w:color="auto"/>
            </w:tcBorders>
          </w:tcPr>
          <w:p w14:paraId="50266AE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[2001]</w:t>
            </w:r>
          </w:p>
        </w:tc>
        <w:tc>
          <w:tcPr>
            <w:tcW w:w="4088" w:type="dxa"/>
            <w:tcBorders>
              <w:left w:val="single" w:sz="4" w:space="0" w:color="auto"/>
              <w:right w:val="single" w:sz="4" w:space="0" w:color="auto"/>
            </w:tcBorders>
          </w:tcPr>
          <w:p w14:paraId="6CE05E3C"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[5,60]</w:t>
            </w:r>
          </w:p>
        </w:tc>
        <w:tc>
          <w:tcPr>
            <w:tcW w:w="3296" w:type="dxa"/>
            <w:tcBorders>
              <w:left w:val="single" w:sz="4" w:space="0" w:color="auto"/>
              <w:right w:val="double" w:sz="6" w:space="0" w:color="auto"/>
            </w:tcBorders>
          </w:tcPr>
          <w:p w14:paraId="768C0BB8"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[6,10]</w:t>
            </w:r>
          </w:p>
        </w:tc>
      </w:tr>
      <w:tr w:rsidR="005A5BD5" w:rsidRPr="002616E4" w14:paraId="56502CC7" w14:textId="77777777" w:rsidTr="00B27F11">
        <w:trPr>
          <w:jc w:val="center"/>
        </w:trPr>
        <w:tc>
          <w:tcPr>
            <w:tcW w:w="2835" w:type="dxa"/>
            <w:tcBorders>
              <w:left w:val="double" w:sz="6" w:space="0" w:color="auto"/>
              <w:right w:val="single" w:sz="4" w:space="0" w:color="auto"/>
            </w:tcBorders>
          </w:tcPr>
          <w:p w14:paraId="2B55AC3F"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[2002]</w:t>
            </w:r>
          </w:p>
        </w:tc>
        <w:tc>
          <w:tcPr>
            <w:tcW w:w="4088" w:type="dxa"/>
            <w:tcBorders>
              <w:left w:val="single" w:sz="4" w:space="0" w:color="auto"/>
              <w:right w:val="single" w:sz="4" w:space="0" w:color="auto"/>
            </w:tcBorders>
          </w:tcPr>
          <w:p w14:paraId="10BDB7BE"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[5,75]</w:t>
            </w:r>
          </w:p>
        </w:tc>
        <w:tc>
          <w:tcPr>
            <w:tcW w:w="3296" w:type="dxa"/>
            <w:tcBorders>
              <w:left w:val="single" w:sz="4" w:space="0" w:color="auto"/>
              <w:right w:val="double" w:sz="6" w:space="0" w:color="auto"/>
            </w:tcBorders>
          </w:tcPr>
          <w:p w14:paraId="593EB91B"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[5,60]</w:t>
            </w:r>
          </w:p>
        </w:tc>
      </w:tr>
      <w:tr w:rsidR="005A5BD5" w:rsidRPr="002616E4" w14:paraId="4E3E7185" w14:textId="77777777" w:rsidTr="00B27F11">
        <w:trPr>
          <w:jc w:val="center"/>
        </w:trPr>
        <w:tc>
          <w:tcPr>
            <w:tcW w:w="2835" w:type="dxa"/>
            <w:tcBorders>
              <w:left w:val="double" w:sz="6" w:space="0" w:color="auto"/>
              <w:right w:val="single" w:sz="4" w:space="0" w:color="auto"/>
            </w:tcBorders>
          </w:tcPr>
          <w:p w14:paraId="5CD2C4AE"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[2003]</w:t>
            </w:r>
          </w:p>
        </w:tc>
        <w:tc>
          <w:tcPr>
            <w:tcW w:w="4088" w:type="dxa"/>
            <w:tcBorders>
              <w:left w:val="single" w:sz="4" w:space="0" w:color="auto"/>
              <w:right w:val="single" w:sz="4" w:space="0" w:color="auto"/>
            </w:tcBorders>
          </w:tcPr>
          <w:p w14:paraId="1CD020C1"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[4,85]</w:t>
            </w:r>
          </w:p>
        </w:tc>
        <w:tc>
          <w:tcPr>
            <w:tcW w:w="3296" w:type="dxa"/>
            <w:tcBorders>
              <w:left w:val="single" w:sz="4" w:space="0" w:color="auto"/>
              <w:right w:val="double" w:sz="6" w:space="0" w:color="auto"/>
            </w:tcBorders>
          </w:tcPr>
          <w:p w14:paraId="778541E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[4,80]</w:t>
            </w:r>
          </w:p>
        </w:tc>
      </w:tr>
      <w:tr w:rsidR="005A5BD5" w:rsidRPr="002616E4" w14:paraId="35BB221A" w14:textId="77777777" w:rsidTr="00B27F11">
        <w:trPr>
          <w:jc w:val="center"/>
        </w:trPr>
        <w:tc>
          <w:tcPr>
            <w:tcW w:w="2835" w:type="dxa"/>
            <w:tcBorders>
              <w:left w:val="double" w:sz="6" w:space="0" w:color="auto"/>
              <w:right w:val="single" w:sz="4" w:space="0" w:color="auto"/>
            </w:tcBorders>
          </w:tcPr>
          <w:p w14:paraId="4C95C81E"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[2004]</w:t>
            </w:r>
          </w:p>
        </w:tc>
        <w:tc>
          <w:tcPr>
            <w:tcW w:w="4088" w:type="dxa"/>
            <w:tcBorders>
              <w:left w:val="single" w:sz="4" w:space="0" w:color="auto"/>
              <w:right w:val="single" w:sz="4" w:space="0" w:color="auto"/>
            </w:tcBorders>
          </w:tcPr>
          <w:p w14:paraId="292B07B5"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[4,95]</w:t>
            </w:r>
          </w:p>
        </w:tc>
        <w:tc>
          <w:tcPr>
            <w:tcW w:w="3296" w:type="dxa"/>
            <w:tcBorders>
              <w:left w:val="single" w:sz="4" w:space="0" w:color="auto"/>
              <w:right w:val="double" w:sz="6" w:space="0" w:color="auto"/>
            </w:tcBorders>
          </w:tcPr>
          <w:p w14:paraId="72D3784D"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[4,60]</w:t>
            </w:r>
          </w:p>
        </w:tc>
      </w:tr>
      <w:tr w:rsidR="005A5BD5" w:rsidRPr="002616E4" w14:paraId="5CF31979" w14:textId="77777777" w:rsidTr="00B27F11">
        <w:trPr>
          <w:jc w:val="center"/>
        </w:trPr>
        <w:tc>
          <w:tcPr>
            <w:tcW w:w="2835" w:type="dxa"/>
            <w:tcBorders>
              <w:left w:val="double" w:sz="6" w:space="0" w:color="auto"/>
              <w:right w:val="single" w:sz="4" w:space="0" w:color="auto"/>
            </w:tcBorders>
          </w:tcPr>
          <w:p w14:paraId="67180A4C"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[2005]</w:t>
            </w:r>
          </w:p>
        </w:tc>
        <w:tc>
          <w:tcPr>
            <w:tcW w:w="4088" w:type="dxa"/>
            <w:tcBorders>
              <w:left w:val="single" w:sz="4" w:space="0" w:color="auto"/>
              <w:right w:val="single" w:sz="4" w:space="0" w:color="auto"/>
            </w:tcBorders>
          </w:tcPr>
          <w:p w14:paraId="204FF10F"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[4,89]</w:t>
            </w:r>
          </w:p>
        </w:tc>
        <w:tc>
          <w:tcPr>
            <w:tcW w:w="3296" w:type="dxa"/>
            <w:tcBorders>
              <w:left w:val="single" w:sz="4" w:space="0" w:color="auto"/>
              <w:right w:val="double" w:sz="6" w:space="0" w:color="auto"/>
            </w:tcBorders>
          </w:tcPr>
          <w:p w14:paraId="35DF920F"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[3,90]</w:t>
            </w:r>
          </w:p>
        </w:tc>
      </w:tr>
      <w:tr w:rsidR="005A5BD5" w:rsidRPr="002616E4" w14:paraId="6FFE6E83" w14:textId="77777777" w:rsidTr="00B27F11">
        <w:trPr>
          <w:jc w:val="center"/>
        </w:trPr>
        <w:tc>
          <w:tcPr>
            <w:tcW w:w="2835" w:type="dxa"/>
            <w:tcBorders>
              <w:left w:val="double" w:sz="6" w:space="0" w:color="auto"/>
              <w:right w:val="single" w:sz="4" w:space="0" w:color="auto"/>
            </w:tcBorders>
          </w:tcPr>
          <w:p w14:paraId="7525107E"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[2006]</w:t>
            </w:r>
          </w:p>
        </w:tc>
        <w:tc>
          <w:tcPr>
            <w:tcW w:w="4088" w:type="dxa"/>
            <w:tcBorders>
              <w:left w:val="single" w:sz="4" w:space="0" w:color="auto"/>
              <w:right w:val="single" w:sz="4" w:space="0" w:color="auto"/>
            </w:tcBorders>
          </w:tcPr>
          <w:p w14:paraId="29F6B44D"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[4,94]</w:t>
            </w:r>
          </w:p>
        </w:tc>
        <w:tc>
          <w:tcPr>
            <w:tcW w:w="3296" w:type="dxa"/>
            <w:tcBorders>
              <w:left w:val="single" w:sz="4" w:space="0" w:color="auto"/>
              <w:right w:val="double" w:sz="6" w:space="0" w:color="auto"/>
            </w:tcBorders>
          </w:tcPr>
          <w:p w14:paraId="786FB1A1"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[4,30]</w:t>
            </w:r>
          </w:p>
        </w:tc>
      </w:tr>
      <w:tr w:rsidR="005A5BD5" w:rsidRPr="002616E4" w14:paraId="51965E8E" w14:textId="77777777" w:rsidTr="00B27F11">
        <w:trPr>
          <w:jc w:val="center"/>
        </w:trPr>
        <w:tc>
          <w:tcPr>
            <w:tcW w:w="2835" w:type="dxa"/>
            <w:tcBorders>
              <w:left w:val="double" w:sz="6" w:space="0" w:color="auto"/>
              <w:right w:val="single" w:sz="4" w:space="0" w:color="auto"/>
            </w:tcBorders>
          </w:tcPr>
          <w:p w14:paraId="0EE28FB4"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[2007]</w:t>
            </w:r>
          </w:p>
        </w:tc>
        <w:tc>
          <w:tcPr>
            <w:tcW w:w="4088" w:type="dxa"/>
            <w:tcBorders>
              <w:left w:val="single" w:sz="4" w:space="0" w:color="auto"/>
              <w:right w:val="single" w:sz="4" w:space="0" w:color="auto"/>
            </w:tcBorders>
          </w:tcPr>
          <w:p w14:paraId="24AFA676"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[5,46]</w:t>
            </w:r>
          </w:p>
        </w:tc>
        <w:tc>
          <w:tcPr>
            <w:tcW w:w="3296" w:type="dxa"/>
            <w:tcBorders>
              <w:left w:val="single" w:sz="4" w:space="0" w:color="auto"/>
              <w:right w:val="double" w:sz="6" w:space="0" w:color="auto"/>
            </w:tcBorders>
          </w:tcPr>
          <w:p w14:paraId="0191CDF2"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[4,90]</w:t>
            </w:r>
          </w:p>
        </w:tc>
      </w:tr>
      <w:tr w:rsidR="005A5BD5" w:rsidRPr="002616E4" w14:paraId="206B5BCB" w14:textId="77777777" w:rsidTr="00B27F11">
        <w:trPr>
          <w:jc w:val="center"/>
        </w:trPr>
        <w:tc>
          <w:tcPr>
            <w:tcW w:w="2835" w:type="dxa"/>
            <w:tcBorders>
              <w:left w:val="double" w:sz="6" w:space="0" w:color="auto"/>
              <w:right w:val="single" w:sz="4" w:space="0" w:color="auto"/>
            </w:tcBorders>
          </w:tcPr>
          <w:p w14:paraId="10B65CC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[2008]</w:t>
            </w:r>
          </w:p>
        </w:tc>
        <w:tc>
          <w:tcPr>
            <w:tcW w:w="4088" w:type="dxa"/>
            <w:tcBorders>
              <w:left w:val="single" w:sz="4" w:space="0" w:color="auto"/>
              <w:right w:val="single" w:sz="4" w:space="0" w:color="auto"/>
            </w:tcBorders>
          </w:tcPr>
          <w:p w14:paraId="3F1238E0"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[5,58]</w:t>
            </w:r>
          </w:p>
        </w:tc>
        <w:tc>
          <w:tcPr>
            <w:tcW w:w="3296" w:type="dxa"/>
            <w:tcBorders>
              <w:left w:val="single" w:sz="4" w:space="0" w:color="auto"/>
              <w:right w:val="double" w:sz="6" w:space="0" w:color="auto"/>
            </w:tcBorders>
          </w:tcPr>
          <w:p w14:paraId="391CC982"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[5,40]</w:t>
            </w:r>
          </w:p>
        </w:tc>
      </w:tr>
      <w:tr w:rsidR="005A5BD5" w:rsidRPr="002616E4" w14:paraId="44490723" w14:textId="77777777" w:rsidTr="00B27F11">
        <w:trPr>
          <w:jc w:val="center"/>
        </w:trPr>
        <w:tc>
          <w:tcPr>
            <w:tcW w:w="2835" w:type="dxa"/>
            <w:tcBorders>
              <w:left w:val="double" w:sz="6" w:space="0" w:color="auto"/>
              <w:right w:val="single" w:sz="4" w:space="0" w:color="auto"/>
            </w:tcBorders>
          </w:tcPr>
          <w:p w14:paraId="51AD2CDF"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[2009]</w:t>
            </w:r>
          </w:p>
        </w:tc>
        <w:tc>
          <w:tcPr>
            <w:tcW w:w="4088" w:type="dxa"/>
            <w:tcBorders>
              <w:left w:val="single" w:sz="4" w:space="0" w:color="auto"/>
              <w:right w:val="single" w:sz="4" w:space="0" w:color="auto"/>
            </w:tcBorders>
          </w:tcPr>
          <w:p w14:paraId="7B9F54B4"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[5,19]</w:t>
            </w:r>
          </w:p>
        </w:tc>
        <w:tc>
          <w:tcPr>
            <w:tcW w:w="3296" w:type="dxa"/>
            <w:tcBorders>
              <w:left w:val="single" w:sz="4" w:space="0" w:color="auto"/>
              <w:right w:val="double" w:sz="6" w:space="0" w:color="auto"/>
            </w:tcBorders>
          </w:tcPr>
          <w:p w14:paraId="2A817A9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[4,30]</w:t>
            </w:r>
          </w:p>
        </w:tc>
      </w:tr>
      <w:tr w:rsidR="005A5BD5" w:rsidRPr="002616E4" w14:paraId="7B6F3DD5" w14:textId="77777777" w:rsidTr="00B27F11">
        <w:trPr>
          <w:jc w:val="center"/>
        </w:trPr>
        <w:tc>
          <w:tcPr>
            <w:tcW w:w="2835" w:type="dxa"/>
            <w:tcBorders>
              <w:left w:val="double" w:sz="6" w:space="0" w:color="auto"/>
              <w:right w:val="single" w:sz="4" w:space="0" w:color="auto"/>
            </w:tcBorders>
          </w:tcPr>
          <w:p w14:paraId="40A3B576"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[2010]</w:t>
            </w:r>
          </w:p>
        </w:tc>
        <w:tc>
          <w:tcPr>
            <w:tcW w:w="4088" w:type="dxa"/>
            <w:tcBorders>
              <w:left w:val="single" w:sz="4" w:space="0" w:color="auto"/>
              <w:right w:val="single" w:sz="4" w:space="0" w:color="auto"/>
            </w:tcBorders>
          </w:tcPr>
          <w:p w14:paraId="63755159"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[4,69]</w:t>
            </w:r>
          </w:p>
        </w:tc>
        <w:tc>
          <w:tcPr>
            <w:tcW w:w="3296" w:type="dxa"/>
            <w:tcBorders>
              <w:left w:val="single" w:sz="4" w:space="0" w:color="auto"/>
              <w:right w:val="double" w:sz="6" w:space="0" w:color="auto"/>
            </w:tcBorders>
          </w:tcPr>
          <w:p w14:paraId="26BEA93D"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[3,92]</w:t>
            </w:r>
          </w:p>
        </w:tc>
      </w:tr>
      <w:tr w:rsidR="005A5BD5" w:rsidRPr="002616E4" w14:paraId="1C078E55" w14:textId="77777777" w:rsidTr="00B27F11">
        <w:trPr>
          <w:jc w:val="center"/>
        </w:trPr>
        <w:tc>
          <w:tcPr>
            <w:tcW w:w="2835" w:type="dxa"/>
            <w:tcBorders>
              <w:left w:val="double" w:sz="6" w:space="0" w:color="auto"/>
              <w:right w:val="single" w:sz="4" w:space="0" w:color="auto"/>
            </w:tcBorders>
          </w:tcPr>
          <w:p w14:paraId="75A408D1"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[2011]</w:t>
            </w:r>
          </w:p>
        </w:tc>
        <w:tc>
          <w:tcPr>
            <w:tcW w:w="4088" w:type="dxa"/>
            <w:tcBorders>
              <w:left w:val="single" w:sz="4" w:space="0" w:color="auto"/>
              <w:right w:val="single" w:sz="4" w:space="0" w:color="auto"/>
            </w:tcBorders>
          </w:tcPr>
          <w:p w14:paraId="30F31E42"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[5,14]</w:t>
            </w:r>
          </w:p>
        </w:tc>
        <w:tc>
          <w:tcPr>
            <w:tcW w:w="3296" w:type="dxa"/>
            <w:tcBorders>
              <w:left w:val="single" w:sz="4" w:space="0" w:color="auto"/>
              <w:right w:val="double" w:sz="6" w:space="0" w:color="auto"/>
            </w:tcBorders>
          </w:tcPr>
          <w:p w14:paraId="79DC85D7"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[3,67]</w:t>
            </w:r>
          </w:p>
        </w:tc>
      </w:tr>
      <w:tr w:rsidR="005A5BD5" w:rsidRPr="002616E4" w14:paraId="06CB2F53" w14:textId="77777777" w:rsidTr="00B27F11">
        <w:trPr>
          <w:jc w:val="center"/>
        </w:trPr>
        <w:tc>
          <w:tcPr>
            <w:tcW w:w="2835" w:type="dxa"/>
            <w:tcBorders>
              <w:left w:val="double" w:sz="6" w:space="0" w:color="auto"/>
              <w:right w:val="single" w:sz="4" w:space="0" w:color="auto"/>
            </w:tcBorders>
          </w:tcPr>
          <w:p w14:paraId="68EC04DB"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[2012]</w:t>
            </w:r>
          </w:p>
        </w:tc>
        <w:tc>
          <w:tcPr>
            <w:tcW w:w="4088" w:type="dxa"/>
            <w:tcBorders>
              <w:left w:val="single" w:sz="4" w:space="0" w:color="auto"/>
              <w:right w:val="single" w:sz="4" w:space="0" w:color="auto"/>
            </w:tcBorders>
          </w:tcPr>
          <w:p w14:paraId="41832551"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[4,63]</w:t>
            </w:r>
          </w:p>
        </w:tc>
        <w:tc>
          <w:tcPr>
            <w:tcW w:w="3296" w:type="dxa"/>
            <w:tcBorders>
              <w:left w:val="single" w:sz="4" w:space="0" w:color="auto"/>
              <w:right w:val="double" w:sz="6" w:space="0" w:color="auto"/>
            </w:tcBorders>
          </w:tcPr>
          <w:p w14:paraId="5F3B7382" w14:textId="77777777" w:rsidR="005A5BD5"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[3,32]</w:t>
            </w:r>
          </w:p>
        </w:tc>
      </w:tr>
      <w:tr w:rsidR="005A5BD5" w:rsidRPr="002616E4" w14:paraId="2E894569" w14:textId="77777777" w:rsidTr="00B27F11">
        <w:trPr>
          <w:jc w:val="center"/>
        </w:trPr>
        <w:tc>
          <w:tcPr>
            <w:tcW w:w="2835" w:type="dxa"/>
            <w:tcBorders>
              <w:left w:val="double" w:sz="6" w:space="0" w:color="auto"/>
              <w:right w:val="single" w:sz="4" w:space="0" w:color="auto"/>
            </w:tcBorders>
          </w:tcPr>
          <w:p w14:paraId="3BE3489D" w14:textId="77777777" w:rsidR="00020C32"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[2013]</w:t>
            </w:r>
          </w:p>
        </w:tc>
        <w:tc>
          <w:tcPr>
            <w:tcW w:w="4088" w:type="dxa"/>
            <w:tcBorders>
              <w:left w:val="single" w:sz="4" w:space="0" w:color="auto"/>
              <w:right w:val="single" w:sz="4" w:space="0" w:color="auto"/>
            </w:tcBorders>
          </w:tcPr>
          <w:p w14:paraId="19657120" w14:textId="77777777" w:rsidR="00020C32"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[4,45]</w:t>
            </w:r>
          </w:p>
        </w:tc>
        <w:tc>
          <w:tcPr>
            <w:tcW w:w="3296" w:type="dxa"/>
            <w:tcBorders>
              <w:left w:val="single" w:sz="4" w:space="0" w:color="auto"/>
              <w:right w:val="double" w:sz="6" w:space="0" w:color="auto"/>
            </w:tcBorders>
          </w:tcPr>
          <w:p w14:paraId="63B1940B" w14:textId="77777777" w:rsidR="00020C32" w:rsidRPr="002616E4" w:rsidRDefault="005A5BD5" w:rsidP="004C2C7D">
            <w:pPr>
              <w:spacing w:before="60" w:after="60"/>
              <w:jc w:val="center"/>
              <w:rPr>
                <w:rFonts w:eastAsia="Calibri"/>
                <w:spacing w:val="-2"/>
                <w:lang w:eastAsia="de-DE" w:bidi="de-DE"/>
              </w:rPr>
            </w:pPr>
            <w:r w:rsidRPr="002616E4">
              <w:rPr>
                <w:rFonts w:eastAsia="Calibri"/>
                <w:spacing w:val="-2"/>
                <w:lang w:eastAsia="de-DE" w:bidi="de-DE"/>
              </w:rPr>
              <w:t>[3,20]</w:t>
            </w:r>
          </w:p>
        </w:tc>
      </w:tr>
      <w:tr w:rsidR="00020C32" w:rsidRPr="002616E4" w14:paraId="59A17528" w14:textId="77777777" w:rsidTr="00B27F11">
        <w:trPr>
          <w:jc w:val="center"/>
        </w:trPr>
        <w:tc>
          <w:tcPr>
            <w:tcW w:w="2835" w:type="dxa"/>
            <w:tcBorders>
              <w:left w:val="double" w:sz="6" w:space="0" w:color="auto"/>
              <w:right w:val="single" w:sz="4" w:space="0" w:color="auto"/>
            </w:tcBorders>
          </w:tcPr>
          <w:p w14:paraId="633897B2" w14:textId="77777777" w:rsidR="008E4A36" w:rsidRPr="002616E4" w:rsidRDefault="00020C32" w:rsidP="004C2C7D">
            <w:pPr>
              <w:spacing w:before="60" w:after="60"/>
              <w:jc w:val="center"/>
              <w:rPr>
                <w:rFonts w:eastAsia="Calibri"/>
                <w:spacing w:val="-2"/>
                <w:lang w:eastAsia="de-DE" w:bidi="de-DE"/>
              </w:rPr>
            </w:pPr>
            <w:r>
              <w:rPr>
                <w:rFonts w:eastAsia="Calibri"/>
                <w:spacing w:val="-2"/>
                <w:lang w:eastAsia="de-DE" w:bidi="de-DE"/>
              </w:rPr>
              <w:t>[2014]</w:t>
            </w:r>
          </w:p>
        </w:tc>
        <w:tc>
          <w:tcPr>
            <w:tcW w:w="4088" w:type="dxa"/>
            <w:tcBorders>
              <w:left w:val="single" w:sz="4" w:space="0" w:color="auto"/>
              <w:right w:val="single" w:sz="4" w:space="0" w:color="auto"/>
            </w:tcBorders>
          </w:tcPr>
          <w:p w14:paraId="0D207D9B" w14:textId="77777777" w:rsidR="00020C32" w:rsidRPr="002616E4" w:rsidRDefault="00020C32" w:rsidP="004C2C7D">
            <w:pPr>
              <w:spacing w:before="60" w:after="60"/>
              <w:jc w:val="center"/>
              <w:rPr>
                <w:rFonts w:eastAsia="Calibri"/>
                <w:spacing w:val="-2"/>
                <w:lang w:eastAsia="de-DE" w:bidi="de-DE"/>
              </w:rPr>
            </w:pPr>
            <w:r>
              <w:rPr>
                <w:rFonts w:eastAsia="Calibri"/>
                <w:spacing w:val="-2"/>
                <w:lang w:eastAsia="de-DE" w:bidi="de-DE"/>
              </w:rPr>
              <w:t>[4,16]</w:t>
            </w:r>
          </w:p>
        </w:tc>
        <w:tc>
          <w:tcPr>
            <w:tcW w:w="3296" w:type="dxa"/>
            <w:tcBorders>
              <w:left w:val="single" w:sz="4" w:space="0" w:color="auto"/>
              <w:right w:val="double" w:sz="6" w:space="0" w:color="auto"/>
            </w:tcBorders>
          </w:tcPr>
          <w:p w14:paraId="327F530A" w14:textId="77777777" w:rsidR="00020C32" w:rsidRPr="002616E4" w:rsidRDefault="00020C32" w:rsidP="004C2C7D">
            <w:pPr>
              <w:spacing w:before="60" w:after="60"/>
              <w:jc w:val="center"/>
              <w:rPr>
                <w:rFonts w:eastAsia="Calibri"/>
                <w:spacing w:val="-2"/>
                <w:lang w:eastAsia="de-DE" w:bidi="de-DE"/>
              </w:rPr>
            </w:pPr>
            <w:r>
              <w:rPr>
                <w:rFonts w:eastAsia="Calibri"/>
                <w:spacing w:val="-2"/>
                <w:lang w:eastAsia="de-DE" w:bidi="de-DE"/>
              </w:rPr>
              <w:t>[3,18]</w:t>
            </w:r>
          </w:p>
        </w:tc>
      </w:tr>
      <w:tr w:rsidR="008E4A36" w:rsidRPr="002616E4" w14:paraId="029FD7C5" w14:textId="77777777" w:rsidTr="00B27F11">
        <w:trPr>
          <w:jc w:val="center"/>
        </w:trPr>
        <w:tc>
          <w:tcPr>
            <w:tcW w:w="2835" w:type="dxa"/>
            <w:tcBorders>
              <w:left w:val="double" w:sz="6" w:space="0" w:color="auto"/>
              <w:right w:val="single" w:sz="4" w:space="0" w:color="auto"/>
            </w:tcBorders>
          </w:tcPr>
          <w:p w14:paraId="22186729" w14:textId="77777777" w:rsidR="007130CE" w:rsidRDefault="008E4A36" w:rsidP="004C2C7D">
            <w:pPr>
              <w:spacing w:before="60" w:after="60"/>
              <w:jc w:val="center"/>
              <w:rPr>
                <w:rFonts w:eastAsia="Calibri"/>
                <w:spacing w:val="-2"/>
                <w:lang w:eastAsia="de-DE" w:bidi="de-DE"/>
              </w:rPr>
            </w:pPr>
            <w:r>
              <w:rPr>
                <w:rFonts w:eastAsia="Calibri"/>
                <w:spacing w:val="-2"/>
                <w:lang w:eastAsia="de-DE" w:bidi="de-DE"/>
              </w:rPr>
              <w:t>[2015]</w:t>
            </w:r>
          </w:p>
        </w:tc>
        <w:tc>
          <w:tcPr>
            <w:tcW w:w="4088" w:type="dxa"/>
            <w:tcBorders>
              <w:left w:val="single" w:sz="4" w:space="0" w:color="auto"/>
              <w:right w:val="single" w:sz="4" w:space="0" w:color="auto"/>
            </w:tcBorders>
          </w:tcPr>
          <w:p w14:paraId="1D3A4B64" w14:textId="77777777" w:rsidR="007130CE" w:rsidRDefault="008E4A36" w:rsidP="004C2C7D">
            <w:pPr>
              <w:spacing w:before="60" w:after="60"/>
              <w:jc w:val="center"/>
              <w:rPr>
                <w:rFonts w:eastAsia="Calibri"/>
                <w:spacing w:val="-2"/>
                <w:lang w:eastAsia="de-DE" w:bidi="de-DE"/>
              </w:rPr>
            </w:pPr>
            <w:r>
              <w:rPr>
                <w:rFonts w:eastAsia="Calibri"/>
                <w:spacing w:val="-2"/>
                <w:lang w:eastAsia="de-DE" w:bidi="de-DE"/>
              </w:rPr>
              <w:t>[2,47]</w:t>
            </w:r>
          </w:p>
        </w:tc>
        <w:tc>
          <w:tcPr>
            <w:tcW w:w="3296" w:type="dxa"/>
            <w:tcBorders>
              <w:left w:val="single" w:sz="4" w:space="0" w:color="auto"/>
              <w:right w:val="double" w:sz="6" w:space="0" w:color="auto"/>
            </w:tcBorders>
          </w:tcPr>
          <w:p w14:paraId="606AF758" w14:textId="77777777" w:rsidR="007130CE" w:rsidRDefault="008E4A36" w:rsidP="004C2C7D">
            <w:pPr>
              <w:spacing w:before="60" w:after="60"/>
              <w:jc w:val="center"/>
              <w:rPr>
                <w:rFonts w:eastAsia="Calibri"/>
                <w:spacing w:val="-2"/>
                <w:lang w:eastAsia="de-DE" w:bidi="de-DE"/>
              </w:rPr>
            </w:pPr>
            <w:r>
              <w:rPr>
                <w:rFonts w:eastAsia="Calibri"/>
                <w:spacing w:val="-2"/>
                <w:lang w:eastAsia="de-DE" w:bidi="de-DE"/>
              </w:rPr>
              <w:t>[2,41]</w:t>
            </w:r>
          </w:p>
        </w:tc>
      </w:tr>
      <w:tr w:rsidR="007130CE" w:rsidRPr="002616E4" w14:paraId="06BA955A" w14:textId="77777777" w:rsidTr="00B27F11">
        <w:trPr>
          <w:jc w:val="center"/>
        </w:trPr>
        <w:tc>
          <w:tcPr>
            <w:tcW w:w="2835" w:type="dxa"/>
            <w:tcBorders>
              <w:left w:val="double" w:sz="6" w:space="0" w:color="auto"/>
              <w:right w:val="single" w:sz="4" w:space="0" w:color="auto"/>
            </w:tcBorders>
          </w:tcPr>
          <w:p w14:paraId="49254A27" w14:textId="77777777" w:rsidR="007130CE" w:rsidRDefault="007130CE" w:rsidP="004C2C7D">
            <w:pPr>
              <w:spacing w:before="60" w:after="60"/>
              <w:jc w:val="center"/>
              <w:rPr>
                <w:rFonts w:eastAsia="Calibri"/>
                <w:spacing w:val="-2"/>
                <w:lang w:eastAsia="de-DE" w:bidi="de-DE"/>
              </w:rPr>
            </w:pPr>
            <w:r>
              <w:rPr>
                <w:rFonts w:eastAsia="Calibri"/>
                <w:spacing w:val="-2"/>
                <w:lang w:eastAsia="de-DE" w:bidi="de-DE"/>
              </w:rPr>
              <w:t>[2016]</w:t>
            </w:r>
          </w:p>
        </w:tc>
        <w:tc>
          <w:tcPr>
            <w:tcW w:w="4088" w:type="dxa"/>
            <w:tcBorders>
              <w:left w:val="single" w:sz="4" w:space="0" w:color="auto"/>
              <w:right w:val="single" w:sz="4" w:space="0" w:color="auto"/>
            </w:tcBorders>
          </w:tcPr>
          <w:p w14:paraId="369A8CBE" w14:textId="77777777" w:rsidR="007130CE" w:rsidRDefault="007130CE" w:rsidP="004C2C7D">
            <w:pPr>
              <w:spacing w:before="60" w:after="60"/>
              <w:jc w:val="center"/>
              <w:rPr>
                <w:rFonts w:eastAsia="Calibri"/>
                <w:spacing w:val="-2"/>
                <w:lang w:eastAsia="de-DE" w:bidi="de-DE"/>
              </w:rPr>
            </w:pPr>
            <w:r>
              <w:rPr>
                <w:rFonts w:eastAsia="Calibri"/>
                <w:spacing w:val="-2"/>
                <w:lang w:eastAsia="de-DE" w:bidi="de-DE"/>
              </w:rPr>
              <w:t>[1,65]</w:t>
            </w:r>
          </w:p>
        </w:tc>
        <w:tc>
          <w:tcPr>
            <w:tcW w:w="3296" w:type="dxa"/>
            <w:tcBorders>
              <w:left w:val="single" w:sz="4" w:space="0" w:color="auto"/>
              <w:right w:val="double" w:sz="6" w:space="0" w:color="auto"/>
            </w:tcBorders>
          </w:tcPr>
          <w:p w14:paraId="621625F2" w14:textId="77777777" w:rsidR="007130CE" w:rsidRDefault="007130CE" w:rsidP="004C2C7D">
            <w:pPr>
              <w:spacing w:before="60" w:after="60"/>
              <w:jc w:val="center"/>
              <w:rPr>
                <w:rFonts w:eastAsia="Calibri"/>
                <w:spacing w:val="-2"/>
                <w:lang w:eastAsia="de-DE" w:bidi="de-DE"/>
              </w:rPr>
            </w:pPr>
            <w:r>
              <w:rPr>
                <w:rFonts w:eastAsia="Calibri"/>
                <w:spacing w:val="-2"/>
                <w:lang w:eastAsia="de-DE" w:bidi="de-DE"/>
              </w:rPr>
              <w:t>[1,78]</w:t>
            </w:r>
          </w:p>
        </w:tc>
      </w:tr>
      <w:tr w:rsidR="00A911A2" w:rsidRPr="002616E4" w14:paraId="45FC89BC" w14:textId="77777777" w:rsidTr="00B27F11">
        <w:trPr>
          <w:trHeight w:val="249"/>
          <w:jc w:val="center"/>
        </w:trPr>
        <w:tc>
          <w:tcPr>
            <w:tcW w:w="2835" w:type="dxa"/>
            <w:tcBorders>
              <w:left w:val="double" w:sz="6" w:space="0" w:color="auto"/>
              <w:right w:val="single" w:sz="4" w:space="0" w:color="auto"/>
            </w:tcBorders>
          </w:tcPr>
          <w:p w14:paraId="3F004868" w14:textId="77777777" w:rsidR="00A911A2" w:rsidRDefault="00A911A2" w:rsidP="004C2C7D">
            <w:pPr>
              <w:spacing w:before="60" w:after="60"/>
              <w:jc w:val="center"/>
              <w:rPr>
                <w:rFonts w:eastAsia="Calibri"/>
                <w:spacing w:val="-2"/>
                <w:lang w:eastAsia="de-DE" w:bidi="de-DE"/>
              </w:rPr>
            </w:pPr>
            <w:r>
              <w:t>[2017]</w:t>
            </w:r>
          </w:p>
        </w:tc>
        <w:tc>
          <w:tcPr>
            <w:tcW w:w="4088" w:type="dxa"/>
            <w:tcBorders>
              <w:left w:val="single" w:sz="4" w:space="0" w:color="auto"/>
              <w:right w:val="single" w:sz="4" w:space="0" w:color="auto"/>
            </w:tcBorders>
          </w:tcPr>
          <w:p w14:paraId="08E685CB" w14:textId="77777777" w:rsidR="00A911A2" w:rsidRDefault="00A911A2" w:rsidP="004C2C7D">
            <w:pPr>
              <w:spacing w:before="60" w:after="60"/>
              <w:jc w:val="center"/>
              <w:rPr>
                <w:rFonts w:eastAsia="Calibri"/>
                <w:spacing w:val="-2"/>
                <w:lang w:eastAsia="de-DE" w:bidi="de-DE"/>
              </w:rPr>
            </w:pPr>
            <w:r>
              <w:t>[2,13]</w:t>
            </w:r>
          </w:p>
        </w:tc>
        <w:tc>
          <w:tcPr>
            <w:tcW w:w="3296" w:type="dxa"/>
            <w:tcBorders>
              <w:left w:val="single" w:sz="4" w:space="0" w:color="auto"/>
              <w:right w:val="double" w:sz="6" w:space="0" w:color="auto"/>
            </w:tcBorders>
          </w:tcPr>
          <w:p w14:paraId="0EA75F37" w14:textId="77777777" w:rsidR="00A911A2" w:rsidRDefault="00A911A2" w:rsidP="004C2C7D">
            <w:pPr>
              <w:spacing w:before="60" w:after="60"/>
              <w:jc w:val="center"/>
              <w:rPr>
                <w:rFonts w:eastAsia="Calibri"/>
                <w:spacing w:val="-2"/>
                <w:lang w:eastAsia="de-DE" w:bidi="de-DE"/>
              </w:rPr>
            </w:pPr>
            <w:r>
              <w:t>[2,00]</w:t>
            </w:r>
          </w:p>
        </w:tc>
      </w:tr>
      <w:tr w:rsidR="00A57082" w:rsidRPr="002616E4" w14:paraId="71D96202" w14:textId="77777777" w:rsidTr="008E123B">
        <w:trPr>
          <w:trHeight w:val="249"/>
          <w:jc w:val="center"/>
        </w:trPr>
        <w:tc>
          <w:tcPr>
            <w:tcW w:w="2835" w:type="dxa"/>
            <w:tcBorders>
              <w:left w:val="double" w:sz="6" w:space="0" w:color="auto"/>
              <w:right w:val="single" w:sz="4" w:space="0" w:color="auto"/>
            </w:tcBorders>
          </w:tcPr>
          <w:p w14:paraId="043CD974" w14:textId="0ACBB709" w:rsidR="0095299A" w:rsidRDefault="00A57082" w:rsidP="008E123B">
            <w:pPr>
              <w:spacing w:before="60" w:after="60"/>
              <w:jc w:val="center"/>
              <w:rPr>
                <w:rFonts w:eastAsia="Calibri"/>
                <w:spacing w:val="-2"/>
                <w:lang w:eastAsia="de-DE" w:bidi="de-DE"/>
              </w:rPr>
            </w:pPr>
            <w:r>
              <w:t>[2018]</w:t>
            </w:r>
          </w:p>
        </w:tc>
        <w:tc>
          <w:tcPr>
            <w:tcW w:w="4088" w:type="dxa"/>
            <w:tcBorders>
              <w:left w:val="single" w:sz="4" w:space="0" w:color="auto"/>
              <w:right w:val="single" w:sz="4" w:space="0" w:color="auto"/>
            </w:tcBorders>
          </w:tcPr>
          <w:p w14:paraId="2D6ED6B0" w14:textId="6F9AAABA" w:rsidR="0095299A" w:rsidRDefault="00A57082" w:rsidP="008E123B">
            <w:pPr>
              <w:spacing w:before="60" w:after="60"/>
              <w:jc w:val="center"/>
              <w:rPr>
                <w:rFonts w:eastAsia="Calibri"/>
                <w:spacing w:val="-2"/>
                <w:lang w:eastAsia="de-DE" w:bidi="de-DE"/>
              </w:rPr>
            </w:pPr>
            <w:r>
              <w:t>[1,80]</w:t>
            </w:r>
          </w:p>
        </w:tc>
        <w:tc>
          <w:tcPr>
            <w:tcW w:w="3296" w:type="dxa"/>
            <w:tcBorders>
              <w:left w:val="single" w:sz="4" w:space="0" w:color="auto"/>
              <w:right w:val="double" w:sz="6" w:space="0" w:color="auto"/>
            </w:tcBorders>
          </w:tcPr>
          <w:p w14:paraId="102EE379" w14:textId="2DB91594" w:rsidR="0095299A" w:rsidRDefault="00A57082" w:rsidP="008E123B">
            <w:pPr>
              <w:spacing w:before="60" w:after="60"/>
              <w:jc w:val="center"/>
              <w:rPr>
                <w:rFonts w:eastAsia="Calibri"/>
                <w:spacing w:val="-2"/>
                <w:lang w:eastAsia="de-DE" w:bidi="de-DE"/>
              </w:rPr>
            </w:pPr>
            <w:r>
              <w:t>[1,70]</w:t>
            </w:r>
          </w:p>
        </w:tc>
      </w:tr>
      <w:tr w:rsidR="008E123B" w:rsidRPr="002616E4" w14:paraId="116D0CDB" w14:textId="77777777" w:rsidTr="008E123B">
        <w:trPr>
          <w:trHeight w:val="249"/>
          <w:jc w:val="center"/>
        </w:trPr>
        <w:tc>
          <w:tcPr>
            <w:tcW w:w="2835" w:type="dxa"/>
            <w:tcBorders>
              <w:left w:val="double" w:sz="6" w:space="0" w:color="auto"/>
              <w:right w:val="single" w:sz="4" w:space="0" w:color="auto"/>
            </w:tcBorders>
          </w:tcPr>
          <w:p w14:paraId="7B7240BD" w14:textId="44CEC025" w:rsidR="008E123B" w:rsidRDefault="008E123B" w:rsidP="00A57082">
            <w:pPr>
              <w:spacing w:before="60" w:after="60"/>
              <w:jc w:val="center"/>
            </w:pPr>
            <w:r>
              <w:t>[2019]</w:t>
            </w:r>
          </w:p>
        </w:tc>
        <w:tc>
          <w:tcPr>
            <w:tcW w:w="4088" w:type="dxa"/>
            <w:tcBorders>
              <w:left w:val="single" w:sz="4" w:space="0" w:color="auto"/>
              <w:right w:val="single" w:sz="4" w:space="0" w:color="auto"/>
            </w:tcBorders>
          </w:tcPr>
          <w:p w14:paraId="692A8AEB" w14:textId="16DEA8FF" w:rsidR="008E123B" w:rsidRDefault="008E123B" w:rsidP="00A57082">
            <w:pPr>
              <w:spacing w:before="60" w:after="60"/>
              <w:jc w:val="center"/>
            </w:pPr>
            <w:r>
              <w:t>[1,70]</w:t>
            </w:r>
          </w:p>
        </w:tc>
        <w:tc>
          <w:tcPr>
            <w:tcW w:w="3296" w:type="dxa"/>
            <w:tcBorders>
              <w:left w:val="single" w:sz="4" w:space="0" w:color="auto"/>
              <w:right w:val="double" w:sz="6" w:space="0" w:color="auto"/>
            </w:tcBorders>
          </w:tcPr>
          <w:p w14:paraId="202047BE" w14:textId="4C227F62" w:rsidR="008E123B" w:rsidRDefault="008E123B" w:rsidP="00A57082">
            <w:pPr>
              <w:spacing w:before="60" w:after="60"/>
              <w:jc w:val="center"/>
            </w:pPr>
            <w:r>
              <w:t>[1,58]</w:t>
            </w:r>
          </w:p>
        </w:tc>
      </w:tr>
      <w:tr w:rsidR="008E123B" w:rsidRPr="002616E4" w14:paraId="38B47DFE" w14:textId="77777777" w:rsidTr="0078601F">
        <w:trPr>
          <w:trHeight w:val="249"/>
          <w:jc w:val="center"/>
        </w:trPr>
        <w:tc>
          <w:tcPr>
            <w:tcW w:w="2835" w:type="dxa"/>
            <w:tcBorders>
              <w:left w:val="double" w:sz="6" w:space="0" w:color="auto"/>
              <w:right w:val="single" w:sz="4" w:space="0" w:color="auto"/>
            </w:tcBorders>
          </w:tcPr>
          <w:p w14:paraId="42EEA25D" w14:textId="468666E6" w:rsidR="008E123B" w:rsidRDefault="008E123B" w:rsidP="00A57082">
            <w:pPr>
              <w:spacing w:before="60" w:after="60"/>
              <w:jc w:val="center"/>
            </w:pPr>
            <w:r>
              <w:t>[2020]</w:t>
            </w:r>
          </w:p>
        </w:tc>
        <w:tc>
          <w:tcPr>
            <w:tcW w:w="4088" w:type="dxa"/>
            <w:tcBorders>
              <w:left w:val="single" w:sz="4" w:space="0" w:color="auto"/>
              <w:right w:val="single" w:sz="4" w:space="0" w:color="auto"/>
            </w:tcBorders>
          </w:tcPr>
          <w:p w14:paraId="57D792D7" w14:textId="2074FD7D" w:rsidR="008E123B" w:rsidRDefault="008E123B" w:rsidP="00A57082">
            <w:pPr>
              <w:spacing w:before="60" w:after="60"/>
              <w:jc w:val="center"/>
            </w:pPr>
            <w:r>
              <w:t>[1,41]</w:t>
            </w:r>
          </w:p>
        </w:tc>
        <w:tc>
          <w:tcPr>
            <w:tcW w:w="3296" w:type="dxa"/>
            <w:tcBorders>
              <w:left w:val="single" w:sz="4" w:space="0" w:color="auto"/>
              <w:right w:val="double" w:sz="6" w:space="0" w:color="auto"/>
            </w:tcBorders>
          </w:tcPr>
          <w:p w14:paraId="04291FC5" w14:textId="3E4B0D0F" w:rsidR="008E123B" w:rsidRDefault="008E123B" w:rsidP="00A57082">
            <w:pPr>
              <w:spacing w:before="60" w:after="60"/>
              <w:jc w:val="center"/>
            </w:pPr>
            <w:r>
              <w:t>[1,36]</w:t>
            </w:r>
          </w:p>
        </w:tc>
      </w:tr>
      <w:tr w:rsidR="0078601F" w:rsidRPr="002616E4" w14:paraId="4C91D627" w14:textId="77777777" w:rsidTr="001D5508">
        <w:trPr>
          <w:trHeight w:val="249"/>
          <w:jc w:val="center"/>
        </w:trPr>
        <w:tc>
          <w:tcPr>
            <w:tcW w:w="2835" w:type="dxa"/>
            <w:tcBorders>
              <w:left w:val="double" w:sz="6" w:space="0" w:color="auto"/>
              <w:right w:val="single" w:sz="4" w:space="0" w:color="auto"/>
            </w:tcBorders>
          </w:tcPr>
          <w:p w14:paraId="7E581152" w14:textId="3E895E37" w:rsidR="0078601F" w:rsidRDefault="0078601F" w:rsidP="00A57082">
            <w:pPr>
              <w:spacing w:before="60" w:after="60"/>
              <w:jc w:val="center"/>
            </w:pPr>
            <w:r>
              <w:t>[2021]</w:t>
            </w:r>
          </w:p>
        </w:tc>
        <w:tc>
          <w:tcPr>
            <w:tcW w:w="4088" w:type="dxa"/>
            <w:tcBorders>
              <w:left w:val="single" w:sz="4" w:space="0" w:color="auto"/>
              <w:right w:val="single" w:sz="4" w:space="0" w:color="auto"/>
            </w:tcBorders>
          </w:tcPr>
          <w:p w14:paraId="139D76EB" w14:textId="4264B055" w:rsidR="0078601F" w:rsidRDefault="0078601F" w:rsidP="00A57082">
            <w:pPr>
              <w:spacing w:before="60" w:after="60"/>
              <w:jc w:val="center"/>
            </w:pPr>
            <w:r>
              <w:t>[1,34]</w:t>
            </w:r>
          </w:p>
        </w:tc>
        <w:tc>
          <w:tcPr>
            <w:tcW w:w="3296" w:type="dxa"/>
            <w:tcBorders>
              <w:left w:val="single" w:sz="4" w:space="0" w:color="auto"/>
              <w:right w:val="double" w:sz="6" w:space="0" w:color="auto"/>
            </w:tcBorders>
          </w:tcPr>
          <w:p w14:paraId="1AE7E03A" w14:textId="66BB2533" w:rsidR="0078601F" w:rsidRDefault="0078601F" w:rsidP="00A57082">
            <w:pPr>
              <w:spacing w:before="60" w:after="60"/>
              <w:jc w:val="center"/>
            </w:pPr>
            <w:r>
              <w:t>[1,29]</w:t>
            </w:r>
          </w:p>
        </w:tc>
      </w:tr>
      <w:tr w:rsidR="001D5508" w:rsidRPr="002616E4" w14:paraId="4BBDCA2B" w14:textId="77777777" w:rsidTr="00916261">
        <w:trPr>
          <w:trHeight w:val="249"/>
          <w:jc w:val="center"/>
        </w:trPr>
        <w:tc>
          <w:tcPr>
            <w:tcW w:w="2835" w:type="dxa"/>
            <w:tcBorders>
              <w:left w:val="double" w:sz="6" w:space="0" w:color="auto"/>
              <w:right w:val="single" w:sz="4" w:space="0" w:color="auto"/>
            </w:tcBorders>
          </w:tcPr>
          <w:p w14:paraId="2F50F007" w14:textId="2976FDD3" w:rsidR="001D5508" w:rsidRDefault="001D5508" w:rsidP="00A57082">
            <w:pPr>
              <w:spacing w:before="60" w:after="60"/>
              <w:jc w:val="center"/>
            </w:pPr>
            <w:r>
              <w:t>[2022]</w:t>
            </w:r>
          </w:p>
        </w:tc>
        <w:tc>
          <w:tcPr>
            <w:tcW w:w="4088" w:type="dxa"/>
            <w:tcBorders>
              <w:left w:val="single" w:sz="4" w:space="0" w:color="auto"/>
              <w:right w:val="single" w:sz="4" w:space="0" w:color="auto"/>
            </w:tcBorders>
          </w:tcPr>
          <w:p w14:paraId="4F150453" w14:textId="6D506AA8" w:rsidR="001D5508" w:rsidRDefault="001D5508" w:rsidP="00A57082">
            <w:pPr>
              <w:spacing w:before="60" w:after="60"/>
              <w:jc w:val="center"/>
            </w:pPr>
            <w:r>
              <w:t>[1,77]</w:t>
            </w:r>
          </w:p>
        </w:tc>
        <w:tc>
          <w:tcPr>
            <w:tcW w:w="3296" w:type="dxa"/>
            <w:tcBorders>
              <w:left w:val="single" w:sz="4" w:space="0" w:color="auto"/>
              <w:right w:val="double" w:sz="6" w:space="0" w:color="auto"/>
            </w:tcBorders>
          </w:tcPr>
          <w:p w14:paraId="7453BE70" w14:textId="68A4E887" w:rsidR="001D5508" w:rsidRDefault="001D5508" w:rsidP="00A57082">
            <w:pPr>
              <w:spacing w:before="60" w:after="60"/>
              <w:jc w:val="center"/>
            </w:pPr>
            <w:r>
              <w:t>[1,77]</w:t>
            </w:r>
          </w:p>
        </w:tc>
      </w:tr>
      <w:tr w:rsidR="00916261" w:rsidRPr="002616E4" w14:paraId="66963038" w14:textId="77777777" w:rsidTr="00790998">
        <w:trPr>
          <w:trHeight w:val="249"/>
          <w:jc w:val="center"/>
        </w:trPr>
        <w:tc>
          <w:tcPr>
            <w:tcW w:w="2835" w:type="dxa"/>
            <w:tcBorders>
              <w:left w:val="double" w:sz="6" w:space="0" w:color="auto"/>
              <w:right w:val="single" w:sz="4" w:space="0" w:color="auto"/>
            </w:tcBorders>
          </w:tcPr>
          <w:p w14:paraId="18611021" w14:textId="5E163DE5" w:rsidR="00916261" w:rsidRDefault="00916261" w:rsidP="00A57082">
            <w:pPr>
              <w:spacing w:before="60" w:after="60"/>
              <w:jc w:val="center"/>
            </w:pPr>
            <w:r>
              <w:lastRenderedPageBreak/>
              <w:t>[2023]</w:t>
            </w:r>
          </w:p>
        </w:tc>
        <w:tc>
          <w:tcPr>
            <w:tcW w:w="7384" w:type="dxa"/>
            <w:gridSpan w:val="2"/>
            <w:tcBorders>
              <w:left w:val="single" w:sz="4" w:space="0" w:color="auto"/>
              <w:right w:val="double" w:sz="6" w:space="0" w:color="auto"/>
            </w:tcBorders>
          </w:tcPr>
          <w:p w14:paraId="4E4FCDC7" w14:textId="28D259BA" w:rsidR="00916261" w:rsidRDefault="00916261" w:rsidP="00A57082">
            <w:pPr>
              <w:spacing w:before="60" w:after="60"/>
              <w:jc w:val="center"/>
            </w:pPr>
            <w:r>
              <w:t>[3,14]</w:t>
            </w:r>
          </w:p>
        </w:tc>
      </w:tr>
      <w:tr w:rsidR="00790998" w:rsidRPr="002616E4" w14:paraId="0E454548" w14:textId="77777777" w:rsidTr="001553DB">
        <w:trPr>
          <w:trHeight w:val="249"/>
          <w:jc w:val="center"/>
        </w:trPr>
        <w:tc>
          <w:tcPr>
            <w:tcW w:w="2835" w:type="dxa"/>
            <w:tcBorders>
              <w:left w:val="double" w:sz="6" w:space="0" w:color="auto"/>
              <w:bottom w:val="double" w:sz="6" w:space="0" w:color="auto"/>
              <w:right w:val="single" w:sz="4" w:space="0" w:color="auto"/>
            </w:tcBorders>
          </w:tcPr>
          <w:p w14:paraId="5D584AC9" w14:textId="13F0B929" w:rsidR="00790998" w:rsidRDefault="00790998" w:rsidP="00A57082">
            <w:pPr>
              <w:spacing w:before="60" w:after="60"/>
              <w:jc w:val="center"/>
            </w:pPr>
            <w:r>
              <w:t>[2024]</w:t>
            </w:r>
          </w:p>
        </w:tc>
        <w:tc>
          <w:tcPr>
            <w:tcW w:w="7384" w:type="dxa"/>
            <w:gridSpan w:val="2"/>
            <w:tcBorders>
              <w:left w:val="single" w:sz="4" w:space="0" w:color="auto"/>
              <w:bottom w:val="double" w:sz="6" w:space="0" w:color="auto"/>
              <w:right w:val="double" w:sz="6" w:space="0" w:color="auto"/>
            </w:tcBorders>
          </w:tcPr>
          <w:p w14:paraId="1F39FA55" w14:textId="721ADFD3" w:rsidR="00790998" w:rsidRDefault="00790998" w:rsidP="00A57082">
            <w:pPr>
              <w:spacing w:before="60" w:after="60"/>
              <w:jc w:val="center"/>
            </w:pPr>
            <w:r>
              <w:t>[3,28]</w:t>
            </w:r>
          </w:p>
        </w:tc>
      </w:tr>
    </w:tbl>
    <w:p w14:paraId="3B91EAC0" w14:textId="77777777" w:rsidR="005A5BD5" w:rsidRPr="002616E4" w:rsidRDefault="005A5BD5" w:rsidP="004C2C7D">
      <w:pPr>
        <w:jc w:val="both"/>
        <w:rPr>
          <w:rFonts w:eastAsia="Calibri"/>
          <w:szCs w:val="22"/>
          <w:lang w:eastAsia="de-DE" w:bidi="de-DE"/>
        </w:rPr>
      </w:pPr>
    </w:p>
    <w:p w14:paraId="67E7A3AF"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In Abweichung von vorhergehendem Absatz wird der zu berücksichtigende Bezugszinssatz wie folgt festgelegt:</w:t>
      </w:r>
    </w:p>
    <w:p w14:paraId="3C7F6BE8" w14:textId="77777777" w:rsidR="005A5BD5" w:rsidRPr="002616E4" w:rsidRDefault="005A5BD5" w:rsidP="004C2C7D">
      <w:pPr>
        <w:jc w:val="both"/>
        <w:rPr>
          <w:lang w:eastAsia="fr-BE" w:bidi="de-DE"/>
        </w:rPr>
      </w:pPr>
    </w:p>
    <w:p w14:paraId="7F5B7C5E"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1. für die in den Jahren 1980, 1981, 1982 und 1983 sowie für die 1984 bis zum 31. Mai gewährten Hypothekendarlehen: auf 9 Prozent, außer für den ersten Teilbetrag von [37.184,03 EUR], der aufgrund von Artikel 41 § 3 des Gesetzes vom 31. Juli 1984 befreit ist,</w:t>
      </w:r>
    </w:p>
    <w:p w14:paraId="73BF2139" w14:textId="77777777" w:rsidR="005A5BD5" w:rsidRPr="002616E4" w:rsidRDefault="005A5BD5" w:rsidP="004C2C7D">
      <w:pPr>
        <w:jc w:val="both"/>
        <w:rPr>
          <w:lang w:eastAsia="fr-BE" w:bidi="de-DE"/>
        </w:rPr>
      </w:pPr>
    </w:p>
    <w:p w14:paraId="066A8A50" w14:textId="0A98C01B"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2. für die zwischen dem 1. Juni 1984 und dem 31. Dezember 1985 gewährten Hypothekendarlehen:</w:t>
      </w:r>
    </w:p>
    <w:p w14:paraId="4048C341" w14:textId="77777777" w:rsidR="005A5BD5" w:rsidRPr="00A96CDC" w:rsidRDefault="005A5BD5" w:rsidP="004C2C7D">
      <w:pPr>
        <w:jc w:val="both"/>
        <w:rPr>
          <w:lang w:eastAsia="fr-BE" w:bidi="de-DE"/>
        </w:rPr>
      </w:pPr>
    </w:p>
    <w:p w14:paraId="42776430"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auf 8 Prozent, wenn diese Darlehen durch eine gemischte Lebensversicherung besichert sind,</w:t>
      </w:r>
    </w:p>
    <w:p w14:paraId="794B5B87" w14:textId="77777777" w:rsidR="005A5BD5" w:rsidRPr="002616E4" w:rsidRDefault="005A5BD5" w:rsidP="004C2C7D">
      <w:pPr>
        <w:jc w:val="both"/>
        <w:rPr>
          <w:lang w:eastAsia="fr-BE" w:bidi="de-DE"/>
        </w:rPr>
      </w:pPr>
    </w:p>
    <w:p w14:paraId="5B033EEE"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auf 9 Prozent in den anderen Fällen,</w:t>
      </w:r>
    </w:p>
    <w:p w14:paraId="26921817" w14:textId="77777777" w:rsidR="008E4A36" w:rsidRDefault="008E4A36" w:rsidP="004C2C7D">
      <w:pPr>
        <w:jc w:val="both"/>
        <w:rPr>
          <w:rFonts w:eastAsia="Calibri"/>
          <w:szCs w:val="22"/>
          <w:lang w:eastAsia="de-DE" w:bidi="de-DE"/>
        </w:rPr>
      </w:pPr>
    </w:p>
    <w:p w14:paraId="4DB2E5D9"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[3. für die ab dem 1. Januar 1995 gewährten Hypothekendarlehen, für die gemäß Artikel 9 des Gesetzes vom 4. August 1992 über den Hypothekarkredit ein variabler Zinssatz vereinbart worden ist: auf den Referenzindex, der sich auf den ursprünglichen Zinssatz bezieht und in der Bestellungsurkunde des Darlehens angegeben ist; bei jeder späteren Anpassung des Darlehenszinssatzes entspricht der Bezugszinssatz dem Referenzindex, der gemäß den Bestimmungen der vorerwähnten Bestellungsurkunde für diese Anpassung berücksichtigt werden muss.]</w:t>
      </w:r>
    </w:p>
    <w:p w14:paraId="63289836" w14:textId="77777777" w:rsidR="005A5BD5" w:rsidRPr="002616E4" w:rsidRDefault="005A5BD5" w:rsidP="004C2C7D">
      <w:pPr>
        <w:jc w:val="both"/>
        <w:rPr>
          <w:lang w:eastAsia="fr-BE" w:bidi="de-DE"/>
        </w:rPr>
      </w:pPr>
    </w:p>
    <w:p w14:paraId="27643C6A"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xml:space="preserve">[Die Liste der im vorhergehenden Absatz erwähnten Referenzindexe, die monatlich auf Betreiben der [Autorität Finanzielle Dienste und Märkte] im </w:t>
      </w:r>
      <w:r w:rsidRPr="002616E4">
        <w:rPr>
          <w:rFonts w:eastAsia="Calibri"/>
          <w:i/>
          <w:lang w:eastAsia="de-DE" w:bidi="de-DE"/>
        </w:rPr>
        <w:t>Belgischen Staatsblatt</w:t>
      </w:r>
      <w:r w:rsidRPr="002616E4">
        <w:rPr>
          <w:rFonts w:eastAsia="Calibri"/>
          <w:lang w:eastAsia="de-DE" w:bidi="de-DE"/>
        </w:rPr>
        <w:t xml:space="preserve"> veröffentlicht wird, befindet sich in Anlage 1 Abschnitt 1.]</w:t>
      </w:r>
    </w:p>
    <w:p w14:paraId="4B6E7E75" w14:textId="77777777" w:rsidR="005A5BD5" w:rsidRPr="002616E4" w:rsidRDefault="005A5BD5" w:rsidP="004C2C7D">
      <w:pPr>
        <w:jc w:val="both"/>
        <w:rPr>
          <w:lang w:eastAsia="fr-BE" w:bidi="de-DE"/>
        </w:rPr>
      </w:pPr>
    </w:p>
    <w:p w14:paraId="68F62113" w14:textId="77777777" w:rsidR="005A5BD5" w:rsidRPr="002616E4" w:rsidRDefault="005A5BD5" w:rsidP="004C2C7D">
      <w:pPr>
        <w:jc w:val="both"/>
        <w:rPr>
          <w:lang w:eastAsia="de-DE" w:bidi="de-DE"/>
        </w:rPr>
      </w:pPr>
      <w:r w:rsidRPr="002616E4">
        <w:rPr>
          <w:rFonts w:eastAsia="Calibri"/>
          <w:szCs w:val="22"/>
          <w:lang w:eastAsia="de-DE" w:bidi="de-DE"/>
        </w:rPr>
        <w:tab/>
      </w:r>
      <w:r w:rsidRPr="008C4E20">
        <w:rPr>
          <w:rFonts w:eastAsia="Calibri"/>
          <w:i/>
          <w:lang w:eastAsia="de-DE" w:bidi="de-DE"/>
        </w:rPr>
        <w:t>c)</w:t>
      </w:r>
      <w:r w:rsidRPr="002616E4">
        <w:rPr>
          <w:rFonts w:eastAsia="Calibri"/>
          <w:lang w:eastAsia="de-DE" w:bidi="de-DE"/>
        </w:rPr>
        <w:t xml:space="preserve"> Für Darlehen mit fester Laufzeit, die keine Hypothekendarlehen sind, gilt der Bezugszinssatz des Jahres, in dem der Darlehensvertrag abgeschlossen worden ist, wobei dieser Bezugszinssatz wie folgt festgelegt wird:</w:t>
      </w:r>
    </w:p>
    <w:p w14:paraId="455FB62F" w14:textId="77777777" w:rsidR="005A5BD5" w:rsidRPr="002616E4" w:rsidRDefault="005A5BD5" w:rsidP="004C2C7D">
      <w:pPr>
        <w:jc w:val="both"/>
        <w:rPr>
          <w:lang w:eastAsia="fr-BE" w:bidi="de-DE"/>
        </w:rPr>
      </w:pPr>
    </w:p>
    <w:p w14:paraId="03DD1294"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1. wenn der Darlehensvertrag im Laufe der Jahre 1981 bis 1984 über eine Laufzeit von mehr als sechzig Monaten abgeschlossen worden ist:</w:t>
      </w:r>
    </w:p>
    <w:p w14:paraId="531E61A6" w14:textId="77777777" w:rsidR="005A5BD5" w:rsidRPr="002616E4" w:rsidRDefault="005A5BD5" w:rsidP="004C2C7D">
      <w:pPr>
        <w:jc w:val="both"/>
        <w:rPr>
          <w:lang w:eastAsia="fr-BE" w:bidi="de-DE"/>
        </w:rPr>
      </w:pPr>
    </w:p>
    <w:p w14:paraId="4F950BC0"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entweder auf 60 Prozent des monatlichen Belastungssatzes, so wie dieser Prozentsatz unter Berücksichtigung des Darlehensbetrags für das betreffende Jahr aus der Tabelle von Anlage 1 zu vorliegendem Erlass hervorgeht,</w:t>
      </w:r>
    </w:p>
    <w:p w14:paraId="23F0948D" w14:textId="77777777" w:rsidR="005A5BD5" w:rsidRPr="002616E4" w:rsidRDefault="005A5BD5" w:rsidP="004C2C7D">
      <w:pPr>
        <w:jc w:val="both"/>
        <w:rPr>
          <w:lang w:eastAsia="fr-BE" w:bidi="de-DE"/>
        </w:rPr>
      </w:pPr>
    </w:p>
    <w:p w14:paraId="5F7FA9DB"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oder auf 60 Prozent des realen jährlichen Belastungssatzes für das betreffende Jahr, der anhand der in Nr. 2 zweiter Gedankenstrich erwähnten Formel berechnet wird,</w:t>
      </w:r>
    </w:p>
    <w:p w14:paraId="3FA41F15" w14:textId="77777777" w:rsidR="005A5BD5" w:rsidRPr="002616E4" w:rsidRDefault="005A5BD5" w:rsidP="004C2C7D">
      <w:pPr>
        <w:jc w:val="both"/>
        <w:rPr>
          <w:lang w:eastAsia="fr-BE" w:bidi="de-DE"/>
        </w:rPr>
      </w:pPr>
    </w:p>
    <w:p w14:paraId="16495162" w14:textId="28C8EFB1" w:rsidR="005A5BD5" w:rsidRPr="002616E4" w:rsidRDefault="005A5BD5" w:rsidP="004C2C7D">
      <w:pPr>
        <w:jc w:val="both"/>
        <w:rPr>
          <w:lang w:eastAsia="de-DE" w:bidi="de-DE"/>
        </w:rPr>
      </w:pPr>
      <w:r w:rsidRPr="002616E4">
        <w:rPr>
          <w:rFonts w:eastAsia="Calibri"/>
          <w:szCs w:val="22"/>
          <w:lang w:eastAsia="de-DE" w:bidi="de-DE"/>
        </w:rPr>
        <w:lastRenderedPageBreak/>
        <w:tab/>
      </w:r>
      <w:r w:rsidRPr="002616E4">
        <w:rPr>
          <w:rFonts w:eastAsia="Calibri"/>
          <w:lang w:eastAsia="de-DE" w:bidi="de-DE"/>
        </w:rPr>
        <w:t>2. wenn der Darlehensvertrag nach dem 31. Dezember 1984 abgeschlossen worden ist:</w:t>
      </w:r>
    </w:p>
    <w:p w14:paraId="15C3CD88" w14:textId="77777777" w:rsidR="005A5BD5" w:rsidRPr="00A96CDC" w:rsidRDefault="005A5BD5" w:rsidP="004C2C7D">
      <w:pPr>
        <w:jc w:val="both"/>
        <w:rPr>
          <w:lang w:eastAsia="fr-BE" w:bidi="de-DE"/>
        </w:rPr>
      </w:pPr>
    </w:p>
    <w:p w14:paraId="13B0A556"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entweder auf der Grundlage des nachstehend für das betreffende Jahr festgelegten monatlichen Belastungssatzes, wobei für die ab dem 1. Januar 1986 gewährten Darlehen zwischen Darlehen im Hinblick auf die Finanzierung eines Autokaufs und anderen Darlehen zu unterscheiden ist:</w:t>
      </w:r>
    </w:p>
    <w:p w14:paraId="7AC3A04B" w14:textId="77777777" w:rsidR="005A5BD5" w:rsidRPr="002616E4" w:rsidRDefault="005A5BD5" w:rsidP="004C2C7D">
      <w:pPr>
        <w:jc w:val="both"/>
        <w:rPr>
          <w:rFonts w:eastAsia="Calibri"/>
          <w:szCs w:val="22"/>
          <w:lang w:eastAsia="de-DE" w:bidi="de-DE"/>
        </w:rPr>
      </w:pPr>
    </w:p>
    <w:tbl>
      <w:tblPr>
        <w:tblW w:w="9498" w:type="dxa"/>
        <w:tblInd w:w="120" w:type="dxa"/>
        <w:tblLayout w:type="fixed"/>
        <w:tblCellMar>
          <w:left w:w="120" w:type="dxa"/>
          <w:right w:w="120" w:type="dxa"/>
        </w:tblCellMar>
        <w:tblLook w:val="0000" w:firstRow="0" w:lastRow="0" w:firstColumn="0" w:lastColumn="0" w:noHBand="0" w:noVBand="0"/>
      </w:tblPr>
      <w:tblGrid>
        <w:gridCol w:w="2977"/>
        <w:gridCol w:w="3260"/>
        <w:gridCol w:w="3261"/>
      </w:tblGrid>
      <w:tr w:rsidR="005A5BD5" w:rsidRPr="002616E4" w14:paraId="347B2472" w14:textId="77777777" w:rsidTr="004C2C7D">
        <w:trPr>
          <w:cantSplit/>
          <w:tblHeader/>
        </w:trPr>
        <w:tc>
          <w:tcPr>
            <w:tcW w:w="2977" w:type="dxa"/>
            <w:vMerge w:val="restart"/>
            <w:tcBorders>
              <w:top w:val="double" w:sz="6" w:space="0" w:color="auto"/>
              <w:left w:val="double" w:sz="6" w:space="0" w:color="auto"/>
              <w:right w:val="single" w:sz="4" w:space="0" w:color="auto"/>
            </w:tcBorders>
            <w:vAlign w:val="center"/>
          </w:tcPr>
          <w:p w14:paraId="3DE94519" w14:textId="77777777" w:rsidR="005A5BD5" w:rsidRPr="002616E4" w:rsidRDefault="005A5BD5" w:rsidP="004C2C7D">
            <w:pPr>
              <w:spacing w:before="120" w:after="120"/>
              <w:jc w:val="center"/>
              <w:rPr>
                <w:rFonts w:eastAsia="Calibri"/>
                <w:spacing w:val="-2"/>
                <w:szCs w:val="22"/>
                <w:lang w:eastAsia="de-DE" w:bidi="de-DE"/>
              </w:rPr>
            </w:pPr>
            <w:r w:rsidRPr="002616E4">
              <w:rPr>
                <w:rFonts w:eastAsia="Calibri"/>
                <w:spacing w:val="-2"/>
                <w:szCs w:val="22"/>
                <w:lang w:eastAsia="de-DE" w:bidi="de-DE"/>
              </w:rPr>
              <w:t>Jahr, in dem der Darlehensvertrag abgeschlossen worden ist</w:t>
            </w:r>
          </w:p>
        </w:tc>
        <w:tc>
          <w:tcPr>
            <w:tcW w:w="6521" w:type="dxa"/>
            <w:gridSpan w:val="2"/>
            <w:tcBorders>
              <w:top w:val="double" w:sz="6" w:space="0" w:color="auto"/>
              <w:left w:val="single" w:sz="4" w:space="0" w:color="auto"/>
              <w:bottom w:val="single" w:sz="4" w:space="0" w:color="auto"/>
              <w:right w:val="double" w:sz="6" w:space="0" w:color="auto"/>
            </w:tcBorders>
            <w:vAlign w:val="center"/>
          </w:tcPr>
          <w:p w14:paraId="390CA0A1" w14:textId="77777777" w:rsidR="005A5BD5" w:rsidRPr="002616E4" w:rsidRDefault="005A5BD5" w:rsidP="004C2C7D">
            <w:pPr>
              <w:spacing w:before="120" w:after="120"/>
              <w:jc w:val="center"/>
              <w:rPr>
                <w:rFonts w:eastAsia="Calibri"/>
                <w:spacing w:val="-2"/>
                <w:szCs w:val="22"/>
                <w:lang w:eastAsia="de-DE" w:bidi="de-DE"/>
              </w:rPr>
            </w:pPr>
            <w:r w:rsidRPr="002616E4">
              <w:rPr>
                <w:rFonts w:eastAsia="Calibri"/>
                <w:spacing w:val="-2"/>
                <w:szCs w:val="22"/>
                <w:lang w:eastAsia="de-DE" w:bidi="de-DE"/>
              </w:rPr>
              <w:t>Monatlicher Belastungssatz</w:t>
            </w:r>
          </w:p>
        </w:tc>
      </w:tr>
      <w:tr w:rsidR="005A5BD5" w:rsidRPr="002616E4" w14:paraId="53BE2C17" w14:textId="77777777" w:rsidTr="004C2C7D">
        <w:trPr>
          <w:cantSplit/>
          <w:tblHeader/>
        </w:trPr>
        <w:tc>
          <w:tcPr>
            <w:tcW w:w="2977" w:type="dxa"/>
            <w:vMerge/>
            <w:tcBorders>
              <w:left w:val="double" w:sz="6" w:space="0" w:color="auto"/>
              <w:right w:val="single" w:sz="4" w:space="0" w:color="auto"/>
            </w:tcBorders>
          </w:tcPr>
          <w:p w14:paraId="7331E8BA" w14:textId="77777777" w:rsidR="005A5BD5" w:rsidRPr="002616E4" w:rsidRDefault="005A5BD5" w:rsidP="004C2C7D">
            <w:pPr>
              <w:keepNext/>
              <w:rPr>
                <w:rFonts w:eastAsia="Calibri"/>
                <w:spacing w:val="-2"/>
                <w:szCs w:val="22"/>
                <w:lang w:eastAsia="de-DE" w:bidi="de-DE"/>
              </w:rPr>
            </w:pPr>
          </w:p>
        </w:tc>
        <w:tc>
          <w:tcPr>
            <w:tcW w:w="3260" w:type="dxa"/>
            <w:tcBorders>
              <w:top w:val="single" w:sz="4" w:space="0" w:color="auto"/>
              <w:left w:val="single" w:sz="4" w:space="0" w:color="auto"/>
              <w:right w:val="single" w:sz="4" w:space="0" w:color="auto"/>
            </w:tcBorders>
          </w:tcPr>
          <w:p w14:paraId="5CBA1411" w14:textId="77777777" w:rsidR="005A5BD5" w:rsidRPr="002616E4" w:rsidRDefault="005A5BD5" w:rsidP="004C2C7D">
            <w:pPr>
              <w:keepNext/>
              <w:spacing w:before="120" w:after="120"/>
              <w:jc w:val="center"/>
              <w:rPr>
                <w:rFonts w:eastAsia="Calibri"/>
                <w:spacing w:val="-2"/>
                <w:szCs w:val="22"/>
                <w:lang w:eastAsia="de-DE" w:bidi="de-DE"/>
              </w:rPr>
            </w:pPr>
            <w:r w:rsidRPr="002616E4">
              <w:rPr>
                <w:rFonts w:eastAsia="Calibri"/>
                <w:spacing w:val="-2"/>
                <w:szCs w:val="22"/>
                <w:lang w:eastAsia="de-DE" w:bidi="de-DE"/>
              </w:rPr>
              <w:t>Darlehen im Hinblick auf die Finanzierung eines Autokaufs</w:t>
            </w:r>
          </w:p>
        </w:tc>
        <w:tc>
          <w:tcPr>
            <w:tcW w:w="3261" w:type="dxa"/>
            <w:tcBorders>
              <w:top w:val="single" w:sz="4" w:space="0" w:color="auto"/>
              <w:left w:val="single" w:sz="4" w:space="0" w:color="auto"/>
              <w:right w:val="double" w:sz="6" w:space="0" w:color="auto"/>
            </w:tcBorders>
            <w:vAlign w:val="center"/>
          </w:tcPr>
          <w:p w14:paraId="69A0AA9D" w14:textId="77777777" w:rsidR="005A5BD5" w:rsidRPr="002616E4" w:rsidRDefault="005A5BD5" w:rsidP="004C2C7D">
            <w:pPr>
              <w:keepNext/>
              <w:spacing w:before="120" w:after="120"/>
              <w:jc w:val="center"/>
              <w:rPr>
                <w:rFonts w:eastAsia="Calibri"/>
                <w:spacing w:val="-2"/>
                <w:szCs w:val="22"/>
                <w:lang w:eastAsia="de-DE" w:bidi="de-DE"/>
              </w:rPr>
            </w:pPr>
            <w:r w:rsidRPr="002616E4">
              <w:rPr>
                <w:rFonts w:eastAsia="Calibri"/>
                <w:spacing w:val="-2"/>
                <w:szCs w:val="22"/>
                <w:lang w:eastAsia="de-DE" w:bidi="de-DE"/>
              </w:rPr>
              <w:t>Andere Darlehen</w:t>
            </w:r>
          </w:p>
        </w:tc>
      </w:tr>
      <w:tr w:rsidR="005A5BD5" w:rsidRPr="002616E4" w14:paraId="79DE61F5" w14:textId="77777777" w:rsidTr="004C2C7D">
        <w:trPr>
          <w:trHeight w:val="360"/>
        </w:trPr>
        <w:tc>
          <w:tcPr>
            <w:tcW w:w="2977" w:type="dxa"/>
            <w:tcBorders>
              <w:top w:val="single" w:sz="4" w:space="0" w:color="auto"/>
              <w:left w:val="double" w:sz="6" w:space="0" w:color="auto"/>
              <w:right w:val="single" w:sz="4" w:space="0" w:color="auto"/>
            </w:tcBorders>
          </w:tcPr>
          <w:p w14:paraId="41AE4D24"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1985</w:t>
            </w:r>
          </w:p>
        </w:tc>
        <w:tc>
          <w:tcPr>
            <w:tcW w:w="3260" w:type="dxa"/>
            <w:tcBorders>
              <w:top w:val="single" w:sz="4" w:space="0" w:color="auto"/>
              <w:left w:val="single" w:sz="4" w:space="0" w:color="auto"/>
              <w:right w:val="single" w:sz="4" w:space="0" w:color="auto"/>
            </w:tcBorders>
          </w:tcPr>
          <w:p w14:paraId="56D22F4D"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0,62</w:t>
            </w:r>
          </w:p>
        </w:tc>
        <w:tc>
          <w:tcPr>
            <w:tcW w:w="3261" w:type="dxa"/>
            <w:tcBorders>
              <w:top w:val="single" w:sz="4" w:space="0" w:color="auto"/>
              <w:left w:val="single" w:sz="4" w:space="0" w:color="auto"/>
              <w:right w:val="double" w:sz="6" w:space="0" w:color="auto"/>
            </w:tcBorders>
          </w:tcPr>
          <w:p w14:paraId="586D72EA"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0,62</w:t>
            </w:r>
          </w:p>
        </w:tc>
      </w:tr>
      <w:tr w:rsidR="005A5BD5" w:rsidRPr="002616E4" w14:paraId="68D48652" w14:textId="77777777" w:rsidTr="004C2C7D">
        <w:trPr>
          <w:trHeight w:val="360"/>
        </w:trPr>
        <w:tc>
          <w:tcPr>
            <w:tcW w:w="2977" w:type="dxa"/>
            <w:tcBorders>
              <w:left w:val="double" w:sz="6" w:space="0" w:color="auto"/>
              <w:right w:val="single" w:sz="4" w:space="0" w:color="auto"/>
            </w:tcBorders>
          </w:tcPr>
          <w:p w14:paraId="6360E3DF"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1986</w:t>
            </w:r>
          </w:p>
        </w:tc>
        <w:tc>
          <w:tcPr>
            <w:tcW w:w="3260" w:type="dxa"/>
            <w:tcBorders>
              <w:left w:val="single" w:sz="4" w:space="0" w:color="auto"/>
              <w:right w:val="single" w:sz="4" w:space="0" w:color="auto"/>
            </w:tcBorders>
          </w:tcPr>
          <w:p w14:paraId="1712C332"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0,44</w:t>
            </w:r>
          </w:p>
        </w:tc>
        <w:tc>
          <w:tcPr>
            <w:tcW w:w="3261" w:type="dxa"/>
            <w:tcBorders>
              <w:left w:val="single" w:sz="4" w:space="0" w:color="auto"/>
              <w:right w:val="double" w:sz="6" w:space="0" w:color="auto"/>
            </w:tcBorders>
          </w:tcPr>
          <w:p w14:paraId="45D71F31"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0,49</w:t>
            </w:r>
          </w:p>
        </w:tc>
      </w:tr>
      <w:tr w:rsidR="005A5BD5" w:rsidRPr="002616E4" w14:paraId="137C0FAD" w14:textId="77777777" w:rsidTr="0006796B">
        <w:trPr>
          <w:trHeight w:val="360"/>
        </w:trPr>
        <w:tc>
          <w:tcPr>
            <w:tcW w:w="2977" w:type="dxa"/>
            <w:tcBorders>
              <w:left w:val="double" w:sz="6" w:space="0" w:color="auto"/>
              <w:bottom w:val="single" w:sz="4" w:space="0" w:color="auto"/>
              <w:right w:val="single" w:sz="4" w:space="0" w:color="auto"/>
            </w:tcBorders>
          </w:tcPr>
          <w:p w14:paraId="3C31EABB"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1987</w:t>
            </w:r>
          </w:p>
        </w:tc>
        <w:tc>
          <w:tcPr>
            <w:tcW w:w="3260" w:type="dxa"/>
            <w:tcBorders>
              <w:left w:val="single" w:sz="4" w:space="0" w:color="auto"/>
              <w:bottom w:val="single" w:sz="4" w:space="0" w:color="auto"/>
              <w:right w:val="single" w:sz="4" w:space="0" w:color="auto"/>
            </w:tcBorders>
          </w:tcPr>
          <w:p w14:paraId="6206D3D6"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0,40</w:t>
            </w:r>
          </w:p>
        </w:tc>
        <w:tc>
          <w:tcPr>
            <w:tcW w:w="3261" w:type="dxa"/>
            <w:tcBorders>
              <w:left w:val="single" w:sz="4" w:space="0" w:color="auto"/>
              <w:bottom w:val="single" w:sz="4" w:space="0" w:color="auto"/>
              <w:right w:val="double" w:sz="6" w:space="0" w:color="auto"/>
            </w:tcBorders>
          </w:tcPr>
          <w:p w14:paraId="3AF992A8"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0,49</w:t>
            </w:r>
          </w:p>
        </w:tc>
      </w:tr>
      <w:tr w:rsidR="005A5BD5" w:rsidRPr="002616E4" w14:paraId="7CBA57D9" w14:textId="77777777" w:rsidTr="0006796B">
        <w:trPr>
          <w:trHeight w:val="360"/>
        </w:trPr>
        <w:tc>
          <w:tcPr>
            <w:tcW w:w="2977" w:type="dxa"/>
            <w:tcBorders>
              <w:top w:val="single" w:sz="4" w:space="0" w:color="auto"/>
              <w:left w:val="double" w:sz="6" w:space="0" w:color="auto"/>
              <w:right w:val="single" w:sz="4" w:space="0" w:color="auto"/>
            </w:tcBorders>
          </w:tcPr>
          <w:p w14:paraId="19720EC1"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1988</w:t>
            </w:r>
          </w:p>
        </w:tc>
        <w:tc>
          <w:tcPr>
            <w:tcW w:w="3260" w:type="dxa"/>
            <w:tcBorders>
              <w:top w:val="single" w:sz="4" w:space="0" w:color="auto"/>
              <w:left w:val="single" w:sz="4" w:space="0" w:color="auto"/>
              <w:right w:val="single" w:sz="4" w:space="0" w:color="auto"/>
            </w:tcBorders>
          </w:tcPr>
          <w:p w14:paraId="47ACD0B7"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0,38</w:t>
            </w:r>
          </w:p>
        </w:tc>
        <w:tc>
          <w:tcPr>
            <w:tcW w:w="3261" w:type="dxa"/>
            <w:tcBorders>
              <w:top w:val="single" w:sz="4" w:space="0" w:color="auto"/>
              <w:left w:val="single" w:sz="4" w:space="0" w:color="auto"/>
              <w:right w:val="double" w:sz="6" w:space="0" w:color="auto"/>
            </w:tcBorders>
          </w:tcPr>
          <w:p w14:paraId="4BCFC4B6"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0,46</w:t>
            </w:r>
          </w:p>
        </w:tc>
      </w:tr>
      <w:tr w:rsidR="005A5BD5" w:rsidRPr="002616E4" w14:paraId="1292FFB1" w14:textId="77777777" w:rsidTr="00F61BE0">
        <w:trPr>
          <w:trHeight w:val="360"/>
        </w:trPr>
        <w:tc>
          <w:tcPr>
            <w:tcW w:w="2977" w:type="dxa"/>
            <w:tcBorders>
              <w:left w:val="double" w:sz="6" w:space="0" w:color="auto"/>
              <w:right w:val="single" w:sz="4" w:space="0" w:color="auto"/>
            </w:tcBorders>
          </w:tcPr>
          <w:p w14:paraId="13C928F4"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1989</w:t>
            </w:r>
          </w:p>
        </w:tc>
        <w:tc>
          <w:tcPr>
            <w:tcW w:w="3260" w:type="dxa"/>
            <w:tcBorders>
              <w:left w:val="single" w:sz="4" w:space="0" w:color="auto"/>
              <w:right w:val="single" w:sz="4" w:space="0" w:color="auto"/>
            </w:tcBorders>
          </w:tcPr>
          <w:p w14:paraId="2734DBB4"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0,38</w:t>
            </w:r>
          </w:p>
        </w:tc>
        <w:tc>
          <w:tcPr>
            <w:tcW w:w="3261" w:type="dxa"/>
            <w:tcBorders>
              <w:left w:val="single" w:sz="4" w:space="0" w:color="auto"/>
              <w:right w:val="double" w:sz="6" w:space="0" w:color="auto"/>
            </w:tcBorders>
          </w:tcPr>
          <w:p w14:paraId="31DD51AC"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0,46</w:t>
            </w:r>
          </w:p>
        </w:tc>
      </w:tr>
      <w:tr w:rsidR="005A5BD5" w:rsidRPr="002616E4" w14:paraId="5A45774D" w14:textId="77777777" w:rsidTr="00F61BE0">
        <w:trPr>
          <w:trHeight w:val="360"/>
        </w:trPr>
        <w:tc>
          <w:tcPr>
            <w:tcW w:w="2977" w:type="dxa"/>
            <w:tcBorders>
              <w:left w:val="double" w:sz="6" w:space="0" w:color="auto"/>
              <w:right w:val="single" w:sz="4" w:space="0" w:color="auto"/>
            </w:tcBorders>
          </w:tcPr>
          <w:p w14:paraId="2C67D25D"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1990</w:t>
            </w:r>
          </w:p>
        </w:tc>
        <w:tc>
          <w:tcPr>
            <w:tcW w:w="3260" w:type="dxa"/>
            <w:tcBorders>
              <w:left w:val="single" w:sz="4" w:space="0" w:color="auto"/>
              <w:right w:val="single" w:sz="4" w:space="0" w:color="auto"/>
            </w:tcBorders>
          </w:tcPr>
          <w:p w14:paraId="25FE01F1"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0,45</w:t>
            </w:r>
          </w:p>
        </w:tc>
        <w:tc>
          <w:tcPr>
            <w:tcW w:w="3261" w:type="dxa"/>
            <w:tcBorders>
              <w:left w:val="single" w:sz="4" w:space="0" w:color="auto"/>
              <w:right w:val="double" w:sz="6" w:space="0" w:color="auto"/>
            </w:tcBorders>
          </w:tcPr>
          <w:p w14:paraId="1C9D5152"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0,57</w:t>
            </w:r>
          </w:p>
        </w:tc>
      </w:tr>
      <w:tr w:rsidR="005A5BD5" w:rsidRPr="002616E4" w14:paraId="0C93CE6C" w14:textId="77777777" w:rsidTr="00F61BE0">
        <w:trPr>
          <w:trHeight w:val="360"/>
        </w:trPr>
        <w:tc>
          <w:tcPr>
            <w:tcW w:w="2977" w:type="dxa"/>
            <w:tcBorders>
              <w:left w:val="double" w:sz="6" w:space="0" w:color="auto"/>
              <w:right w:val="single" w:sz="4" w:space="0" w:color="auto"/>
            </w:tcBorders>
          </w:tcPr>
          <w:p w14:paraId="35FEADE0"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1991</w:t>
            </w:r>
          </w:p>
        </w:tc>
        <w:tc>
          <w:tcPr>
            <w:tcW w:w="3260" w:type="dxa"/>
            <w:tcBorders>
              <w:left w:val="single" w:sz="4" w:space="0" w:color="auto"/>
              <w:right w:val="single" w:sz="4" w:space="0" w:color="auto"/>
            </w:tcBorders>
          </w:tcPr>
          <w:p w14:paraId="0661293E"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0,55</w:t>
            </w:r>
          </w:p>
        </w:tc>
        <w:tc>
          <w:tcPr>
            <w:tcW w:w="3261" w:type="dxa"/>
            <w:tcBorders>
              <w:left w:val="single" w:sz="4" w:space="0" w:color="auto"/>
              <w:right w:val="double" w:sz="6" w:space="0" w:color="auto"/>
            </w:tcBorders>
          </w:tcPr>
          <w:p w14:paraId="5877F235"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0,60</w:t>
            </w:r>
          </w:p>
        </w:tc>
      </w:tr>
      <w:tr w:rsidR="005A5BD5" w:rsidRPr="002616E4" w14:paraId="02242A2B" w14:textId="77777777" w:rsidTr="004C2C7D">
        <w:trPr>
          <w:trHeight w:val="360"/>
        </w:trPr>
        <w:tc>
          <w:tcPr>
            <w:tcW w:w="2977" w:type="dxa"/>
            <w:tcBorders>
              <w:left w:val="double" w:sz="6" w:space="0" w:color="auto"/>
              <w:right w:val="single" w:sz="4" w:space="0" w:color="auto"/>
            </w:tcBorders>
          </w:tcPr>
          <w:p w14:paraId="1D62BFAE"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[1992]</w:t>
            </w:r>
          </w:p>
        </w:tc>
        <w:tc>
          <w:tcPr>
            <w:tcW w:w="3260" w:type="dxa"/>
            <w:tcBorders>
              <w:left w:val="single" w:sz="4" w:space="0" w:color="auto"/>
              <w:right w:val="single" w:sz="4" w:space="0" w:color="auto"/>
            </w:tcBorders>
          </w:tcPr>
          <w:p w14:paraId="706043C2"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[0,46]</w:t>
            </w:r>
          </w:p>
        </w:tc>
        <w:tc>
          <w:tcPr>
            <w:tcW w:w="3261" w:type="dxa"/>
            <w:tcBorders>
              <w:left w:val="single" w:sz="4" w:space="0" w:color="auto"/>
              <w:right w:val="double" w:sz="6" w:space="0" w:color="auto"/>
            </w:tcBorders>
          </w:tcPr>
          <w:p w14:paraId="3814699B"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[0,46]</w:t>
            </w:r>
          </w:p>
        </w:tc>
      </w:tr>
      <w:tr w:rsidR="005A5BD5" w:rsidRPr="002616E4" w14:paraId="106F774C" w14:textId="77777777" w:rsidTr="004C2C7D">
        <w:trPr>
          <w:trHeight w:val="360"/>
        </w:trPr>
        <w:tc>
          <w:tcPr>
            <w:tcW w:w="2977" w:type="dxa"/>
            <w:tcBorders>
              <w:left w:val="double" w:sz="6" w:space="0" w:color="auto"/>
              <w:right w:val="single" w:sz="4" w:space="0" w:color="auto"/>
            </w:tcBorders>
          </w:tcPr>
          <w:p w14:paraId="40725258"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[1993]</w:t>
            </w:r>
          </w:p>
        </w:tc>
        <w:tc>
          <w:tcPr>
            <w:tcW w:w="3260" w:type="dxa"/>
            <w:tcBorders>
              <w:left w:val="single" w:sz="4" w:space="0" w:color="auto"/>
              <w:right w:val="single" w:sz="4" w:space="0" w:color="auto"/>
            </w:tcBorders>
          </w:tcPr>
          <w:p w14:paraId="7CCDBF93"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[0,42]</w:t>
            </w:r>
          </w:p>
        </w:tc>
        <w:tc>
          <w:tcPr>
            <w:tcW w:w="3261" w:type="dxa"/>
            <w:tcBorders>
              <w:left w:val="single" w:sz="4" w:space="0" w:color="auto"/>
              <w:right w:val="double" w:sz="6" w:space="0" w:color="auto"/>
            </w:tcBorders>
          </w:tcPr>
          <w:p w14:paraId="7C3B77CA"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[0,48]</w:t>
            </w:r>
          </w:p>
        </w:tc>
      </w:tr>
      <w:tr w:rsidR="005A5BD5" w:rsidRPr="002616E4" w14:paraId="233CA19C" w14:textId="77777777" w:rsidTr="004C2C7D">
        <w:trPr>
          <w:trHeight w:val="360"/>
        </w:trPr>
        <w:tc>
          <w:tcPr>
            <w:tcW w:w="2977" w:type="dxa"/>
            <w:tcBorders>
              <w:left w:val="double" w:sz="6" w:space="0" w:color="auto"/>
              <w:right w:val="single" w:sz="4" w:space="0" w:color="auto"/>
            </w:tcBorders>
          </w:tcPr>
          <w:p w14:paraId="1F405C47"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[1994]</w:t>
            </w:r>
          </w:p>
        </w:tc>
        <w:tc>
          <w:tcPr>
            <w:tcW w:w="3260" w:type="dxa"/>
            <w:tcBorders>
              <w:left w:val="single" w:sz="4" w:space="0" w:color="auto"/>
              <w:right w:val="single" w:sz="4" w:space="0" w:color="auto"/>
            </w:tcBorders>
          </w:tcPr>
          <w:p w14:paraId="0320D614"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[0,40]</w:t>
            </w:r>
          </w:p>
        </w:tc>
        <w:tc>
          <w:tcPr>
            <w:tcW w:w="3261" w:type="dxa"/>
            <w:tcBorders>
              <w:left w:val="single" w:sz="4" w:space="0" w:color="auto"/>
              <w:right w:val="double" w:sz="6" w:space="0" w:color="auto"/>
            </w:tcBorders>
          </w:tcPr>
          <w:p w14:paraId="1DC17F48"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[0,47]</w:t>
            </w:r>
          </w:p>
        </w:tc>
      </w:tr>
      <w:tr w:rsidR="005A5BD5" w:rsidRPr="002616E4" w14:paraId="2963BF01" w14:textId="77777777" w:rsidTr="004C2C7D">
        <w:trPr>
          <w:trHeight w:val="360"/>
        </w:trPr>
        <w:tc>
          <w:tcPr>
            <w:tcW w:w="2977" w:type="dxa"/>
            <w:tcBorders>
              <w:left w:val="double" w:sz="6" w:space="0" w:color="auto"/>
              <w:right w:val="single" w:sz="4" w:space="0" w:color="auto"/>
            </w:tcBorders>
          </w:tcPr>
          <w:p w14:paraId="6810ADD8"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[1995]</w:t>
            </w:r>
          </w:p>
        </w:tc>
        <w:tc>
          <w:tcPr>
            <w:tcW w:w="3260" w:type="dxa"/>
            <w:tcBorders>
              <w:left w:val="single" w:sz="4" w:space="0" w:color="auto"/>
              <w:right w:val="single" w:sz="4" w:space="0" w:color="auto"/>
            </w:tcBorders>
          </w:tcPr>
          <w:p w14:paraId="62EA1EF1"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[0,35]</w:t>
            </w:r>
          </w:p>
        </w:tc>
        <w:tc>
          <w:tcPr>
            <w:tcW w:w="3261" w:type="dxa"/>
            <w:tcBorders>
              <w:left w:val="single" w:sz="4" w:space="0" w:color="auto"/>
              <w:right w:val="double" w:sz="6" w:space="0" w:color="auto"/>
            </w:tcBorders>
          </w:tcPr>
          <w:p w14:paraId="4AB1FDD5"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[0,40]</w:t>
            </w:r>
          </w:p>
        </w:tc>
      </w:tr>
      <w:tr w:rsidR="005A5BD5" w:rsidRPr="002616E4" w14:paraId="758D6504" w14:textId="77777777" w:rsidTr="004C2C7D">
        <w:trPr>
          <w:trHeight w:val="360"/>
        </w:trPr>
        <w:tc>
          <w:tcPr>
            <w:tcW w:w="2977" w:type="dxa"/>
            <w:tcBorders>
              <w:left w:val="double" w:sz="6" w:space="0" w:color="auto"/>
              <w:right w:val="single" w:sz="4" w:space="0" w:color="auto"/>
            </w:tcBorders>
          </w:tcPr>
          <w:p w14:paraId="72A34F0B"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[1996]</w:t>
            </w:r>
          </w:p>
        </w:tc>
        <w:tc>
          <w:tcPr>
            <w:tcW w:w="3260" w:type="dxa"/>
            <w:tcBorders>
              <w:left w:val="single" w:sz="4" w:space="0" w:color="auto"/>
              <w:right w:val="single" w:sz="4" w:space="0" w:color="auto"/>
            </w:tcBorders>
          </w:tcPr>
          <w:p w14:paraId="7E1C5659"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[0,30]</w:t>
            </w:r>
          </w:p>
        </w:tc>
        <w:tc>
          <w:tcPr>
            <w:tcW w:w="3261" w:type="dxa"/>
            <w:tcBorders>
              <w:left w:val="single" w:sz="4" w:space="0" w:color="auto"/>
              <w:right w:val="double" w:sz="6" w:space="0" w:color="auto"/>
            </w:tcBorders>
          </w:tcPr>
          <w:p w14:paraId="20299031"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[0,35]</w:t>
            </w:r>
          </w:p>
        </w:tc>
      </w:tr>
      <w:tr w:rsidR="005A5BD5" w:rsidRPr="002616E4" w14:paraId="0A82C2C9" w14:textId="77777777" w:rsidTr="004C2C7D">
        <w:trPr>
          <w:trHeight w:val="360"/>
        </w:trPr>
        <w:tc>
          <w:tcPr>
            <w:tcW w:w="2977" w:type="dxa"/>
            <w:tcBorders>
              <w:left w:val="double" w:sz="6" w:space="0" w:color="auto"/>
              <w:right w:val="single" w:sz="4" w:space="0" w:color="auto"/>
            </w:tcBorders>
          </w:tcPr>
          <w:p w14:paraId="4C6933A7"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[1997]</w:t>
            </w:r>
          </w:p>
        </w:tc>
        <w:tc>
          <w:tcPr>
            <w:tcW w:w="3260" w:type="dxa"/>
            <w:tcBorders>
              <w:left w:val="single" w:sz="4" w:space="0" w:color="auto"/>
              <w:right w:val="single" w:sz="4" w:space="0" w:color="auto"/>
            </w:tcBorders>
          </w:tcPr>
          <w:p w14:paraId="7AEF6867"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[0,25]</w:t>
            </w:r>
          </w:p>
        </w:tc>
        <w:tc>
          <w:tcPr>
            <w:tcW w:w="3261" w:type="dxa"/>
            <w:tcBorders>
              <w:left w:val="single" w:sz="4" w:space="0" w:color="auto"/>
              <w:right w:val="double" w:sz="6" w:space="0" w:color="auto"/>
            </w:tcBorders>
          </w:tcPr>
          <w:p w14:paraId="4D853659"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[0,30]</w:t>
            </w:r>
          </w:p>
        </w:tc>
      </w:tr>
      <w:tr w:rsidR="005A5BD5" w:rsidRPr="002616E4" w14:paraId="62127488" w14:textId="77777777" w:rsidTr="004C2C7D">
        <w:trPr>
          <w:trHeight w:val="360"/>
        </w:trPr>
        <w:tc>
          <w:tcPr>
            <w:tcW w:w="2977" w:type="dxa"/>
            <w:tcBorders>
              <w:left w:val="double" w:sz="6" w:space="0" w:color="auto"/>
              <w:right w:val="single" w:sz="4" w:space="0" w:color="auto"/>
            </w:tcBorders>
          </w:tcPr>
          <w:p w14:paraId="55775350"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[1998]</w:t>
            </w:r>
          </w:p>
        </w:tc>
        <w:tc>
          <w:tcPr>
            <w:tcW w:w="3260" w:type="dxa"/>
            <w:tcBorders>
              <w:left w:val="single" w:sz="4" w:space="0" w:color="auto"/>
              <w:right w:val="single" w:sz="4" w:space="0" w:color="auto"/>
            </w:tcBorders>
          </w:tcPr>
          <w:p w14:paraId="5DC40A0A"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[0,25]</w:t>
            </w:r>
          </w:p>
        </w:tc>
        <w:tc>
          <w:tcPr>
            <w:tcW w:w="3261" w:type="dxa"/>
            <w:tcBorders>
              <w:left w:val="single" w:sz="4" w:space="0" w:color="auto"/>
              <w:right w:val="double" w:sz="6" w:space="0" w:color="auto"/>
            </w:tcBorders>
          </w:tcPr>
          <w:p w14:paraId="44C203A4"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[0,35]</w:t>
            </w:r>
          </w:p>
        </w:tc>
      </w:tr>
      <w:tr w:rsidR="005A5BD5" w:rsidRPr="002616E4" w14:paraId="7269FCB2" w14:textId="77777777" w:rsidTr="004C2C7D">
        <w:trPr>
          <w:trHeight w:val="360"/>
        </w:trPr>
        <w:tc>
          <w:tcPr>
            <w:tcW w:w="2977" w:type="dxa"/>
            <w:tcBorders>
              <w:left w:val="double" w:sz="6" w:space="0" w:color="auto"/>
              <w:right w:val="single" w:sz="4" w:space="0" w:color="auto"/>
            </w:tcBorders>
          </w:tcPr>
          <w:p w14:paraId="790D69F5"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[1999]</w:t>
            </w:r>
          </w:p>
        </w:tc>
        <w:tc>
          <w:tcPr>
            <w:tcW w:w="3260" w:type="dxa"/>
            <w:tcBorders>
              <w:left w:val="single" w:sz="4" w:space="0" w:color="auto"/>
              <w:right w:val="single" w:sz="4" w:space="0" w:color="auto"/>
            </w:tcBorders>
          </w:tcPr>
          <w:p w14:paraId="12A6D311"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[0,23]</w:t>
            </w:r>
          </w:p>
        </w:tc>
        <w:tc>
          <w:tcPr>
            <w:tcW w:w="3261" w:type="dxa"/>
            <w:tcBorders>
              <w:left w:val="single" w:sz="4" w:space="0" w:color="auto"/>
              <w:right w:val="double" w:sz="6" w:space="0" w:color="auto"/>
            </w:tcBorders>
          </w:tcPr>
          <w:p w14:paraId="24FBFEC8"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[0,30]</w:t>
            </w:r>
          </w:p>
        </w:tc>
      </w:tr>
      <w:tr w:rsidR="005A5BD5" w:rsidRPr="002616E4" w14:paraId="435BB386" w14:textId="77777777" w:rsidTr="004C2C7D">
        <w:trPr>
          <w:trHeight w:val="320"/>
        </w:trPr>
        <w:tc>
          <w:tcPr>
            <w:tcW w:w="2977" w:type="dxa"/>
            <w:tcBorders>
              <w:left w:val="double" w:sz="6" w:space="0" w:color="auto"/>
              <w:right w:val="single" w:sz="4" w:space="0" w:color="auto"/>
            </w:tcBorders>
          </w:tcPr>
          <w:p w14:paraId="671021C9"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[2000]</w:t>
            </w:r>
          </w:p>
        </w:tc>
        <w:tc>
          <w:tcPr>
            <w:tcW w:w="3260" w:type="dxa"/>
            <w:tcBorders>
              <w:left w:val="single" w:sz="4" w:space="0" w:color="auto"/>
              <w:right w:val="single" w:sz="4" w:space="0" w:color="auto"/>
            </w:tcBorders>
          </w:tcPr>
          <w:p w14:paraId="70ED163A"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[0,28]</w:t>
            </w:r>
          </w:p>
        </w:tc>
        <w:tc>
          <w:tcPr>
            <w:tcW w:w="3261" w:type="dxa"/>
            <w:tcBorders>
              <w:left w:val="single" w:sz="4" w:space="0" w:color="auto"/>
              <w:right w:val="double" w:sz="6" w:space="0" w:color="auto"/>
            </w:tcBorders>
          </w:tcPr>
          <w:p w14:paraId="527A92B9"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[0,33]</w:t>
            </w:r>
          </w:p>
        </w:tc>
      </w:tr>
      <w:tr w:rsidR="005A5BD5" w:rsidRPr="002616E4" w14:paraId="064BBC32" w14:textId="77777777" w:rsidTr="004C2C7D">
        <w:trPr>
          <w:trHeight w:val="320"/>
        </w:trPr>
        <w:tc>
          <w:tcPr>
            <w:tcW w:w="2977" w:type="dxa"/>
            <w:tcBorders>
              <w:left w:val="double" w:sz="6" w:space="0" w:color="auto"/>
              <w:right w:val="single" w:sz="4" w:space="0" w:color="auto"/>
            </w:tcBorders>
          </w:tcPr>
          <w:p w14:paraId="3003003C"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[2001]</w:t>
            </w:r>
          </w:p>
        </w:tc>
        <w:tc>
          <w:tcPr>
            <w:tcW w:w="3260" w:type="dxa"/>
            <w:tcBorders>
              <w:left w:val="single" w:sz="4" w:space="0" w:color="auto"/>
              <w:right w:val="single" w:sz="4" w:space="0" w:color="auto"/>
            </w:tcBorders>
          </w:tcPr>
          <w:p w14:paraId="7E2CCE7E"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[0,26]</w:t>
            </w:r>
          </w:p>
        </w:tc>
        <w:tc>
          <w:tcPr>
            <w:tcW w:w="3261" w:type="dxa"/>
            <w:tcBorders>
              <w:left w:val="single" w:sz="4" w:space="0" w:color="auto"/>
              <w:right w:val="double" w:sz="6" w:space="0" w:color="auto"/>
            </w:tcBorders>
          </w:tcPr>
          <w:p w14:paraId="17FAA9AB"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[0,32]</w:t>
            </w:r>
          </w:p>
        </w:tc>
      </w:tr>
      <w:tr w:rsidR="005A5BD5" w:rsidRPr="002616E4" w14:paraId="3133F452" w14:textId="77777777" w:rsidTr="004C2C7D">
        <w:trPr>
          <w:trHeight w:val="320"/>
        </w:trPr>
        <w:tc>
          <w:tcPr>
            <w:tcW w:w="2977" w:type="dxa"/>
            <w:tcBorders>
              <w:left w:val="double" w:sz="6" w:space="0" w:color="auto"/>
              <w:right w:val="single" w:sz="4" w:space="0" w:color="auto"/>
            </w:tcBorders>
          </w:tcPr>
          <w:p w14:paraId="227F910C"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[2002]</w:t>
            </w:r>
          </w:p>
        </w:tc>
        <w:tc>
          <w:tcPr>
            <w:tcW w:w="3260" w:type="dxa"/>
            <w:tcBorders>
              <w:left w:val="single" w:sz="4" w:space="0" w:color="auto"/>
              <w:right w:val="single" w:sz="4" w:space="0" w:color="auto"/>
            </w:tcBorders>
          </w:tcPr>
          <w:p w14:paraId="12EC4CC2"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[0,26]</w:t>
            </w:r>
          </w:p>
        </w:tc>
        <w:tc>
          <w:tcPr>
            <w:tcW w:w="3261" w:type="dxa"/>
            <w:tcBorders>
              <w:left w:val="single" w:sz="4" w:space="0" w:color="auto"/>
              <w:right w:val="double" w:sz="6" w:space="0" w:color="auto"/>
            </w:tcBorders>
          </w:tcPr>
          <w:p w14:paraId="0E496853"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[0,33]</w:t>
            </w:r>
          </w:p>
        </w:tc>
      </w:tr>
      <w:tr w:rsidR="005A5BD5" w:rsidRPr="002616E4" w14:paraId="0D070AF2" w14:textId="77777777" w:rsidTr="004C2C7D">
        <w:trPr>
          <w:trHeight w:val="320"/>
        </w:trPr>
        <w:tc>
          <w:tcPr>
            <w:tcW w:w="2977" w:type="dxa"/>
            <w:tcBorders>
              <w:left w:val="double" w:sz="6" w:space="0" w:color="auto"/>
              <w:right w:val="single" w:sz="4" w:space="0" w:color="auto"/>
            </w:tcBorders>
          </w:tcPr>
          <w:p w14:paraId="3130C229"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[2003]</w:t>
            </w:r>
          </w:p>
        </w:tc>
        <w:tc>
          <w:tcPr>
            <w:tcW w:w="3260" w:type="dxa"/>
            <w:tcBorders>
              <w:left w:val="single" w:sz="4" w:space="0" w:color="auto"/>
              <w:right w:val="single" w:sz="4" w:space="0" w:color="auto"/>
            </w:tcBorders>
          </w:tcPr>
          <w:p w14:paraId="3695669A"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[0,26]</w:t>
            </w:r>
          </w:p>
        </w:tc>
        <w:tc>
          <w:tcPr>
            <w:tcW w:w="3261" w:type="dxa"/>
            <w:tcBorders>
              <w:left w:val="single" w:sz="4" w:space="0" w:color="auto"/>
              <w:right w:val="double" w:sz="6" w:space="0" w:color="auto"/>
            </w:tcBorders>
          </w:tcPr>
          <w:p w14:paraId="1C8DF545"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[0,33]</w:t>
            </w:r>
          </w:p>
        </w:tc>
      </w:tr>
      <w:tr w:rsidR="005A5BD5" w:rsidRPr="002616E4" w14:paraId="2292ED3A" w14:textId="77777777" w:rsidTr="004C2C7D">
        <w:trPr>
          <w:trHeight w:val="320"/>
        </w:trPr>
        <w:tc>
          <w:tcPr>
            <w:tcW w:w="2977" w:type="dxa"/>
            <w:tcBorders>
              <w:left w:val="double" w:sz="6" w:space="0" w:color="auto"/>
              <w:right w:val="single" w:sz="4" w:space="0" w:color="auto"/>
            </w:tcBorders>
          </w:tcPr>
          <w:p w14:paraId="623BA633"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[2004]</w:t>
            </w:r>
          </w:p>
        </w:tc>
        <w:tc>
          <w:tcPr>
            <w:tcW w:w="3260" w:type="dxa"/>
            <w:tcBorders>
              <w:left w:val="single" w:sz="4" w:space="0" w:color="auto"/>
              <w:right w:val="single" w:sz="4" w:space="0" w:color="auto"/>
            </w:tcBorders>
          </w:tcPr>
          <w:p w14:paraId="2563ECE3"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[0,23]</w:t>
            </w:r>
          </w:p>
        </w:tc>
        <w:tc>
          <w:tcPr>
            <w:tcW w:w="3261" w:type="dxa"/>
            <w:tcBorders>
              <w:left w:val="single" w:sz="4" w:space="0" w:color="auto"/>
              <w:right w:val="double" w:sz="6" w:space="0" w:color="auto"/>
            </w:tcBorders>
          </w:tcPr>
          <w:p w14:paraId="05838BB2"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[0,30]</w:t>
            </w:r>
          </w:p>
        </w:tc>
      </w:tr>
      <w:tr w:rsidR="005A5BD5" w:rsidRPr="002616E4" w14:paraId="26A50055" w14:textId="77777777" w:rsidTr="004C2C7D">
        <w:trPr>
          <w:trHeight w:val="320"/>
        </w:trPr>
        <w:tc>
          <w:tcPr>
            <w:tcW w:w="2977" w:type="dxa"/>
            <w:tcBorders>
              <w:left w:val="double" w:sz="6" w:space="0" w:color="auto"/>
              <w:right w:val="single" w:sz="4" w:space="0" w:color="auto"/>
            </w:tcBorders>
          </w:tcPr>
          <w:p w14:paraId="79A3A16F"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[2005]</w:t>
            </w:r>
          </w:p>
        </w:tc>
        <w:tc>
          <w:tcPr>
            <w:tcW w:w="3260" w:type="dxa"/>
            <w:tcBorders>
              <w:left w:val="single" w:sz="4" w:space="0" w:color="auto"/>
              <w:right w:val="single" w:sz="4" w:space="0" w:color="auto"/>
            </w:tcBorders>
          </w:tcPr>
          <w:p w14:paraId="15751796"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[0,22]</w:t>
            </w:r>
          </w:p>
        </w:tc>
        <w:tc>
          <w:tcPr>
            <w:tcW w:w="3261" w:type="dxa"/>
            <w:tcBorders>
              <w:left w:val="single" w:sz="4" w:space="0" w:color="auto"/>
              <w:right w:val="double" w:sz="6" w:space="0" w:color="auto"/>
            </w:tcBorders>
          </w:tcPr>
          <w:p w14:paraId="48169D80"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[0,29]</w:t>
            </w:r>
          </w:p>
        </w:tc>
      </w:tr>
      <w:tr w:rsidR="005A5BD5" w:rsidRPr="002616E4" w14:paraId="34D27EF7" w14:textId="77777777" w:rsidTr="004C2C7D">
        <w:trPr>
          <w:trHeight w:val="320"/>
        </w:trPr>
        <w:tc>
          <w:tcPr>
            <w:tcW w:w="2977" w:type="dxa"/>
            <w:tcBorders>
              <w:left w:val="double" w:sz="6" w:space="0" w:color="auto"/>
              <w:right w:val="single" w:sz="4" w:space="0" w:color="auto"/>
            </w:tcBorders>
          </w:tcPr>
          <w:p w14:paraId="230A85A3"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[2006]</w:t>
            </w:r>
          </w:p>
        </w:tc>
        <w:tc>
          <w:tcPr>
            <w:tcW w:w="3260" w:type="dxa"/>
            <w:tcBorders>
              <w:left w:val="single" w:sz="4" w:space="0" w:color="auto"/>
              <w:right w:val="single" w:sz="4" w:space="0" w:color="auto"/>
            </w:tcBorders>
          </w:tcPr>
          <w:p w14:paraId="65B58000"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[0,21]</w:t>
            </w:r>
          </w:p>
        </w:tc>
        <w:tc>
          <w:tcPr>
            <w:tcW w:w="3261" w:type="dxa"/>
            <w:tcBorders>
              <w:left w:val="single" w:sz="4" w:space="0" w:color="auto"/>
              <w:right w:val="double" w:sz="6" w:space="0" w:color="auto"/>
            </w:tcBorders>
          </w:tcPr>
          <w:p w14:paraId="7EFC6C45"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[0,31]</w:t>
            </w:r>
          </w:p>
        </w:tc>
      </w:tr>
      <w:tr w:rsidR="005A5BD5" w:rsidRPr="002616E4" w14:paraId="785B5007" w14:textId="77777777" w:rsidTr="004C2C7D">
        <w:trPr>
          <w:trHeight w:val="320"/>
        </w:trPr>
        <w:tc>
          <w:tcPr>
            <w:tcW w:w="2977" w:type="dxa"/>
            <w:tcBorders>
              <w:left w:val="double" w:sz="6" w:space="0" w:color="auto"/>
              <w:right w:val="single" w:sz="4" w:space="0" w:color="auto"/>
            </w:tcBorders>
          </w:tcPr>
          <w:p w14:paraId="0A5D92CA"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[2007]</w:t>
            </w:r>
          </w:p>
        </w:tc>
        <w:tc>
          <w:tcPr>
            <w:tcW w:w="3260" w:type="dxa"/>
            <w:tcBorders>
              <w:left w:val="single" w:sz="4" w:space="0" w:color="auto"/>
              <w:right w:val="single" w:sz="4" w:space="0" w:color="auto"/>
            </w:tcBorders>
          </w:tcPr>
          <w:p w14:paraId="42D506AE"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[0,24]</w:t>
            </w:r>
          </w:p>
        </w:tc>
        <w:tc>
          <w:tcPr>
            <w:tcW w:w="3261" w:type="dxa"/>
            <w:tcBorders>
              <w:left w:val="single" w:sz="4" w:space="0" w:color="auto"/>
              <w:right w:val="double" w:sz="6" w:space="0" w:color="auto"/>
            </w:tcBorders>
          </w:tcPr>
          <w:p w14:paraId="016E1D01"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[0,36]</w:t>
            </w:r>
          </w:p>
        </w:tc>
      </w:tr>
      <w:tr w:rsidR="005A5BD5" w:rsidRPr="002616E4" w14:paraId="5B0374A9" w14:textId="77777777" w:rsidTr="004C2C7D">
        <w:trPr>
          <w:trHeight w:val="320"/>
        </w:trPr>
        <w:tc>
          <w:tcPr>
            <w:tcW w:w="2977" w:type="dxa"/>
            <w:tcBorders>
              <w:left w:val="double" w:sz="6" w:space="0" w:color="auto"/>
              <w:right w:val="single" w:sz="4" w:space="0" w:color="auto"/>
            </w:tcBorders>
          </w:tcPr>
          <w:p w14:paraId="621A243D"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[2008]</w:t>
            </w:r>
          </w:p>
        </w:tc>
        <w:tc>
          <w:tcPr>
            <w:tcW w:w="3260" w:type="dxa"/>
            <w:tcBorders>
              <w:left w:val="single" w:sz="4" w:space="0" w:color="auto"/>
              <w:right w:val="single" w:sz="4" w:space="0" w:color="auto"/>
            </w:tcBorders>
          </w:tcPr>
          <w:p w14:paraId="1FED1BBE"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[0,25]</w:t>
            </w:r>
          </w:p>
        </w:tc>
        <w:tc>
          <w:tcPr>
            <w:tcW w:w="3261" w:type="dxa"/>
            <w:tcBorders>
              <w:left w:val="single" w:sz="4" w:space="0" w:color="auto"/>
              <w:right w:val="double" w:sz="6" w:space="0" w:color="auto"/>
            </w:tcBorders>
          </w:tcPr>
          <w:p w14:paraId="664E0ADC"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[0,36]</w:t>
            </w:r>
          </w:p>
        </w:tc>
      </w:tr>
      <w:tr w:rsidR="005A5BD5" w:rsidRPr="002616E4" w14:paraId="43235E53" w14:textId="77777777" w:rsidTr="004C2C7D">
        <w:trPr>
          <w:trHeight w:val="320"/>
        </w:trPr>
        <w:tc>
          <w:tcPr>
            <w:tcW w:w="2977" w:type="dxa"/>
            <w:tcBorders>
              <w:left w:val="double" w:sz="6" w:space="0" w:color="auto"/>
              <w:right w:val="single" w:sz="4" w:space="0" w:color="auto"/>
            </w:tcBorders>
          </w:tcPr>
          <w:p w14:paraId="2E9F4FF6"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[2009]</w:t>
            </w:r>
          </w:p>
        </w:tc>
        <w:tc>
          <w:tcPr>
            <w:tcW w:w="3260" w:type="dxa"/>
            <w:tcBorders>
              <w:left w:val="single" w:sz="4" w:space="0" w:color="auto"/>
              <w:right w:val="single" w:sz="4" w:space="0" w:color="auto"/>
            </w:tcBorders>
          </w:tcPr>
          <w:p w14:paraId="30CB5EAB"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[0,22]</w:t>
            </w:r>
          </w:p>
        </w:tc>
        <w:tc>
          <w:tcPr>
            <w:tcW w:w="3261" w:type="dxa"/>
            <w:tcBorders>
              <w:left w:val="single" w:sz="4" w:space="0" w:color="auto"/>
              <w:right w:val="double" w:sz="6" w:space="0" w:color="auto"/>
            </w:tcBorders>
          </w:tcPr>
          <w:p w14:paraId="04FB98D9"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[0,32]</w:t>
            </w:r>
          </w:p>
        </w:tc>
      </w:tr>
      <w:tr w:rsidR="005A5BD5" w:rsidRPr="002616E4" w14:paraId="1508DFA3" w14:textId="77777777" w:rsidTr="004C2C7D">
        <w:trPr>
          <w:trHeight w:val="320"/>
        </w:trPr>
        <w:tc>
          <w:tcPr>
            <w:tcW w:w="2977" w:type="dxa"/>
            <w:tcBorders>
              <w:left w:val="double" w:sz="6" w:space="0" w:color="auto"/>
              <w:right w:val="single" w:sz="4" w:space="0" w:color="auto"/>
            </w:tcBorders>
          </w:tcPr>
          <w:p w14:paraId="3EE67769"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[2010]</w:t>
            </w:r>
          </w:p>
        </w:tc>
        <w:tc>
          <w:tcPr>
            <w:tcW w:w="3260" w:type="dxa"/>
            <w:tcBorders>
              <w:left w:val="single" w:sz="4" w:space="0" w:color="auto"/>
              <w:right w:val="single" w:sz="4" w:space="0" w:color="auto"/>
            </w:tcBorders>
          </w:tcPr>
          <w:p w14:paraId="2A7FC825"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[0,20]</w:t>
            </w:r>
          </w:p>
        </w:tc>
        <w:tc>
          <w:tcPr>
            <w:tcW w:w="3261" w:type="dxa"/>
            <w:tcBorders>
              <w:left w:val="single" w:sz="4" w:space="0" w:color="auto"/>
              <w:right w:val="double" w:sz="6" w:space="0" w:color="auto"/>
            </w:tcBorders>
          </w:tcPr>
          <w:p w14:paraId="032DF47C"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[0,30]</w:t>
            </w:r>
          </w:p>
        </w:tc>
      </w:tr>
      <w:tr w:rsidR="005A5BD5" w:rsidRPr="002616E4" w14:paraId="11E79B24" w14:textId="77777777" w:rsidTr="004C2C7D">
        <w:trPr>
          <w:trHeight w:val="320"/>
        </w:trPr>
        <w:tc>
          <w:tcPr>
            <w:tcW w:w="2977" w:type="dxa"/>
            <w:tcBorders>
              <w:left w:val="double" w:sz="6" w:space="0" w:color="auto"/>
              <w:right w:val="single" w:sz="4" w:space="0" w:color="auto"/>
            </w:tcBorders>
          </w:tcPr>
          <w:p w14:paraId="1078389A"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lastRenderedPageBreak/>
              <w:t>[2011]</w:t>
            </w:r>
          </w:p>
        </w:tc>
        <w:tc>
          <w:tcPr>
            <w:tcW w:w="3260" w:type="dxa"/>
            <w:tcBorders>
              <w:left w:val="single" w:sz="4" w:space="0" w:color="auto"/>
              <w:right w:val="single" w:sz="4" w:space="0" w:color="auto"/>
            </w:tcBorders>
          </w:tcPr>
          <w:p w14:paraId="6F2021E4"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[0,17]</w:t>
            </w:r>
          </w:p>
        </w:tc>
        <w:tc>
          <w:tcPr>
            <w:tcW w:w="3261" w:type="dxa"/>
            <w:tcBorders>
              <w:left w:val="single" w:sz="4" w:space="0" w:color="auto"/>
              <w:right w:val="double" w:sz="6" w:space="0" w:color="auto"/>
            </w:tcBorders>
          </w:tcPr>
          <w:p w14:paraId="3EC11FA4"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[0,21]</w:t>
            </w:r>
          </w:p>
        </w:tc>
      </w:tr>
      <w:tr w:rsidR="005A5BD5" w:rsidRPr="002616E4" w14:paraId="66EA5621" w14:textId="77777777" w:rsidTr="004C2C7D">
        <w:trPr>
          <w:trHeight w:val="320"/>
        </w:trPr>
        <w:tc>
          <w:tcPr>
            <w:tcW w:w="2977" w:type="dxa"/>
            <w:tcBorders>
              <w:left w:val="double" w:sz="6" w:space="0" w:color="auto"/>
              <w:right w:val="single" w:sz="4" w:space="0" w:color="auto"/>
            </w:tcBorders>
          </w:tcPr>
          <w:p w14:paraId="7D376F45"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[2012]</w:t>
            </w:r>
          </w:p>
        </w:tc>
        <w:tc>
          <w:tcPr>
            <w:tcW w:w="3260" w:type="dxa"/>
            <w:tcBorders>
              <w:left w:val="single" w:sz="4" w:space="0" w:color="auto"/>
              <w:right w:val="single" w:sz="4" w:space="0" w:color="auto"/>
            </w:tcBorders>
          </w:tcPr>
          <w:p w14:paraId="52B496F0"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[0,14]</w:t>
            </w:r>
          </w:p>
        </w:tc>
        <w:tc>
          <w:tcPr>
            <w:tcW w:w="3261" w:type="dxa"/>
            <w:tcBorders>
              <w:left w:val="single" w:sz="4" w:space="0" w:color="auto"/>
              <w:right w:val="double" w:sz="6" w:space="0" w:color="auto"/>
            </w:tcBorders>
          </w:tcPr>
          <w:p w14:paraId="750F4C2D"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[0,17]</w:t>
            </w:r>
          </w:p>
        </w:tc>
      </w:tr>
      <w:tr w:rsidR="005A5BD5" w:rsidRPr="002616E4" w14:paraId="3925540B" w14:textId="77777777" w:rsidTr="00020C32">
        <w:trPr>
          <w:trHeight w:val="320"/>
        </w:trPr>
        <w:tc>
          <w:tcPr>
            <w:tcW w:w="2977" w:type="dxa"/>
            <w:tcBorders>
              <w:left w:val="double" w:sz="6" w:space="0" w:color="auto"/>
              <w:right w:val="single" w:sz="4" w:space="0" w:color="auto"/>
            </w:tcBorders>
          </w:tcPr>
          <w:p w14:paraId="46F70C86"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[2013]</w:t>
            </w:r>
          </w:p>
        </w:tc>
        <w:tc>
          <w:tcPr>
            <w:tcW w:w="3260" w:type="dxa"/>
            <w:tcBorders>
              <w:left w:val="single" w:sz="4" w:space="0" w:color="auto"/>
              <w:right w:val="single" w:sz="4" w:space="0" w:color="auto"/>
            </w:tcBorders>
          </w:tcPr>
          <w:p w14:paraId="0EA85709"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[0,12]</w:t>
            </w:r>
          </w:p>
        </w:tc>
        <w:tc>
          <w:tcPr>
            <w:tcW w:w="3261" w:type="dxa"/>
            <w:tcBorders>
              <w:left w:val="single" w:sz="4" w:space="0" w:color="auto"/>
              <w:right w:val="double" w:sz="6" w:space="0" w:color="auto"/>
            </w:tcBorders>
          </w:tcPr>
          <w:p w14:paraId="6B1FAC63"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[0,23]</w:t>
            </w:r>
          </w:p>
        </w:tc>
      </w:tr>
      <w:tr w:rsidR="00020C32" w:rsidRPr="002616E4" w14:paraId="5470B907" w14:textId="77777777" w:rsidTr="00852D5F">
        <w:trPr>
          <w:trHeight w:val="320"/>
        </w:trPr>
        <w:tc>
          <w:tcPr>
            <w:tcW w:w="2977" w:type="dxa"/>
            <w:tcBorders>
              <w:left w:val="double" w:sz="6" w:space="0" w:color="auto"/>
              <w:right w:val="single" w:sz="4" w:space="0" w:color="auto"/>
            </w:tcBorders>
          </w:tcPr>
          <w:p w14:paraId="6815EA0F" w14:textId="77777777" w:rsidR="00020C32" w:rsidRPr="002616E4" w:rsidRDefault="00020C32" w:rsidP="004C2C7D">
            <w:pPr>
              <w:spacing w:before="60" w:after="60"/>
              <w:jc w:val="center"/>
              <w:rPr>
                <w:rFonts w:eastAsia="Calibri"/>
                <w:spacing w:val="-2"/>
                <w:szCs w:val="22"/>
                <w:lang w:eastAsia="de-DE" w:bidi="de-DE"/>
              </w:rPr>
            </w:pPr>
            <w:r>
              <w:rPr>
                <w:rFonts w:eastAsia="Calibri"/>
                <w:spacing w:val="-2"/>
                <w:szCs w:val="22"/>
                <w:lang w:eastAsia="de-DE" w:bidi="de-DE"/>
              </w:rPr>
              <w:t>[2014]</w:t>
            </w:r>
          </w:p>
        </w:tc>
        <w:tc>
          <w:tcPr>
            <w:tcW w:w="3260" w:type="dxa"/>
            <w:tcBorders>
              <w:left w:val="single" w:sz="4" w:space="0" w:color="auto"/>
              <w:right w:val="single" w:sz="4" w:space="0" w:color="auto"/>
            </w:tcBorders>
          </w:tcPr>
          <w:p w14:paraId="2BC126E7" w14:textId="77777777" w:rsidR="00020C32" w:rsidRPr="002616E4" w:rsidRDefault="00020C32" w:rsidP="004C2C7D">
            <w:pPr>
              <w:spacing w:before="60" w:after="60"/>
              <w:jc w:val="center"/>
              <w:rPr>
                <w:rFonts w:eastAsia="Calibri"/>
                <w:spacing w:val="-2"/>
                <w:szCs w:val="22"/>
                <w:lang w:eastAsia="de-DE" w:bidi="de-DE"/>
              </w:rPr>
            </w:pPr>
            <w:r>
              <w:rPr>
                <w:rFonts w:eastAsia="Calibri"/>
                <w:spacing w:val="-2"/>
                <w:szCs w:val="22"/>
                <w:lang w:eastAsia="de-DE" w:bidi="de-DE"/>
              </w:rPr>
              <w:t>[0</w:t>
            </w:r>
            <w:r w:rsidR="00E30FB0">
              <w:rPr>
                <w:rFonts w:eastAsia="Calibri"/>
                <w:spacing w:val="-2"/>
                <w:szCs w:val="22"/>
                <w:lang w:eastAsia="de-DE" w:bidi="de-DE"/>
              </w:rPr>
              <w:t>,</w:t>
            </w:r>
            <w:r>
              <w:rPr>
                <w:rFonts w:eastAsia="Calibri"/>
                <w:spacing w:val="-2"/>
                <w:szCs w:val="22"/>
                <w:lang w:eastAsia="de-DE" w:bidi="de-DE"/>
              </w:rPr>
              <w:t>10]</w:t>
            </w:r>
          </w:p>
        </w:tc>
        <w:tc>
          <w:tcPr>
            <w:tcW w:w="3261" w:type="dxa"/>
            <w:tcBorders>
              <w:left w:val="single" w:sz="4" w:space="0" w:color="auto"/>
              <w:right w:val="double" w:sz="6" w:space="0" w:color="auto"/>
            </w:tcBorders>
          </w:tcPr>
          <w:p w14:paraId="2BFE4383" w14:textId="77777777" w:rsidR="00020C32" w:rsidRPr="002616E4" w:rsidRDefault="00020C32" w:rsidP="004C2C7D">
            <w:pPr>
              <w:spacing w:before="60" w:after="60"/>
              <w:jc w:val="center"/>
              <w:rPr>
                <w:rFonts w:eastAsia="Calibri"/>
                <w:spacing w:val="-2"/>
                <w:szCs w:val="22"/>
                <w:lang w:eastAsia="de-DE" w:bidi="de-DE"/>
              </w:rPr>
            </w:pPr>
            <w:r>
              <w:rPr>
                <w:rFonts w:eastAsia="Calibri"/>
                <w:spacing w:val="-2"/>
                <w:szCs w:val="22"/>
                <w:lang w:eastAsia="de-DE" w:bidi="de-DE"/>
              </w:rPr>
              <w:t>[0,22]</w:t>
            </w:r>
          </w:p>
        </w:tc>
      </w:tr>
      <w:tr w:rsidR="0068024F" w:rsidRPr="002616E4" w14:paraId="02DD2A6B" w14:textId="77777777" w:rsidTr="00852D5F">
        <w:trPr>
          <w:trHeight w:val="320"/>
        </w:trPr>
        <w:tc>
          <w:tcPr>
            <w:tcW w:w="2977" w:type="dxa"/>
            <w:tcBorders>
              <w:left w:val="double" w:sz="6" w:space="0" w:color="auto"/>
              <w:right w:val="single" w:sz="4" w:space="0" w:color="auto"/>
            </w:tcBorders>
          </w:tcPr>
          <w:p w14:paraId="0377237A" w14:textId="77777777" w:rsidR="0068024F" w:rsidRDefault="0068024F" w:rsidP="004C2C7D">
            <w:pPr>
              <w:spacing w:before="60" w:after="60"/>
              <w:jc w:val="center"/>
              <w:rPr>
                <w:rFonts w:eastAsia="Calibri"/>
                <w:spacing w:val="-2"/>
                <w:szCs w:val="22"/>
                <w:lang w:eastAsia="de-DE" w:bidi="de-DE"/>
              </w:rPr>
            </w:pPr>
            <w:r>
              <w:rPr>
                <w:rFonts w:eastAsia="Calibri"/>
                <w:spacing w:val="-2"/>
                <w:szCs w:val="22"/>
                <w:lang w:eastAsia="de-DE" w:bidi="de-DE"/>
              </w:rPr>
              <w:t>[2015]</w:t>
            </w:r>
          </w:p>
        </w:tc>
        <w:tc>
          <w:tcPr>
            <w:tcW w:w="3260" w:type="dxa"/>
            <w:tcBorders>
              <w:left w:val="single" w:sz="4" w:space="0" w:color="auto"/>
              <w:right w:val="single" w:sz="4" w:space="0" w:color="auto"/>
            </w:tcBorders>
          </w:tcPr>
          <w:p w14:paraId="0C98C24F" w14:textId="77777777" w:rsidR="0068024F" w:rsidRDefault="0068024F" w:rsidP="004C2C7D">
            <w:pPr>
              <w:spacing w:before="60" w:after="60"/>
              <w:jc w:val="center"/>
              <w:rPr>
                <w:rFonts w:eastAsia="Calibri"/>
                <w:spacing w:val="-2"/>
                <w:szCs w:val="22"/>
                <w:lang w:eastAsia="de-DE" w:bidi="de-DE"/>
              </w:rPr>
            </w:pPr>
            <w:r>
              <w:rPr>
                <w:rFonts w:eastAsia="Calibri"/>
                <w:spacing w:val="-2"/>
                <w:szCs w:val="22"/>
                <w:lang w:eastAsia="de-DE" w:bidi="de-DE"/>
              </w:rPr>
              <w:t>[0,09]</w:t>
            </w:r>
          </w:p>
        </w:tc>
        <w:tc>
          <w:tcPr>
            <w:tcW w:w="3261" w:type="dxa"/>
            <w:tcBorders>
              <w:left w:val="single" w:sz="4" w:space="0" w:color="auto"/>
              <w:right w:val="double" w:sz="6" w:space="0" w:color="auto"/>
            </w:tcBorders>
          </w:tcPr>
          <w:p w14:paraId="5B631302" w14:textId="77777777" w:rsidR="0068024F" w:rsidRDefault="0068024F" w:rsidP="004C2C7D">
            <w:pPr>
              <w:spacing w:before="60" w:after="60"/>
              <w:jc w:val="center"/>
              <w:rPr>
                <w:rFonts w:eastAsia="Calibri"/>
                <w:spacing w:val="-2"/>
                <w:szCs w:val="22"/>
                <w:lang w:eastAsia="de-DE" w:bidi="de-DE"/>
              </w:rPr>
            </w:pPr>
            <w:r>
              <w:rPr>
                <w:rFonts w:eastAsia="Calibri"/>
                <w:spacing w:val="-2"/>
                <w:szCs w:val="22"/>
                <w:lang w:eastAsia="de-DE" w:bidi="de-DE"/>
              </w:rPr>
              <w:t>[0,20]</w:t>
            </w:r>
          </w:p>
        </w:tc>
      </w:tr>
      <w:tr w:rsidR="007130CE" w:rsidRPr="002616E4" w14:paraId="753AF64E" w14:textId="77777777" w:rsidTr="00852D5F">
        <w:trPr>
          <w:trHeight w:val="320"/>
        </w:trPr>
        <w:tc>
          <w:tcPr>
            <w:tcW w:w="2977" w:type="dxa"/>
            <w:tcBorders>
              <w:left w:val="double" w:sz="6" w:space="0" w:color="auto"/>
              <w:right w:val="single" w:sz="4" w:space="0" w:color="auto"/>
            </w:tcBorders>
          </w:tcPr>
          <w:p w14:paraId="79B0F38E" w14:textId="77777777" w:rsidR="007130CE" w:rsidRDefault="007130CE" w:rsidP="004C2C7D">
            <w:pPr>
              <w:spacing w:before="60" w:after="60"/>
              <w:jc w:val="center"/>
              <w:rPr>
                <w:rFonts w:eastAsia="Calibri"/>
                <w:spacing w:val="-2"/>
                <w:szCs w:val="22"/>
                <w:lang w:eastAsia="de-DE" w:bidi="de-DE"/>
              </w:rPr>
            </w:pPr>
            <w:r>
              <w:rPr>
                <w:rFonts w:eastAsia="Calibri"/>
                <w:spacing w:val="-2"/>
                <w:szCs w:val="22"/>
                <w:lang w:eastAsia="de-DE" w:bidi="de-DE"/>
              </w:rPr>
              <w:t>[2016]</w:t>
            </w:r>
          </w:p>
        </w:tc>
        <w:tc>
          <w:tcPr>
            <w:tcW w:w="3260" w:type="dxa"/>
            <w:tcBorders>
              <w:left w:val="single" w:sz="4" w:space="0" w:color="auto"/>
              <w:right w:val="single" w:sz="4" w:space="0" w:color="auto"/>
            </w:tcBorders>
          </w:tcPr>
          <w:p w14:paraId="147C80A2" w14:textId="77777777" w:rsidR="007130CE" w:rsidRDefault="007130CE" w:rsidP="004C2C7D">
            <w:pPr>
              <w:spacing w:before="60" w:after="60"/>
              <w:jc w:val="center"/>
              <w:rPr>
                <w:rFonts w:eastAsia="Calibri"/>
                <w:spacing w:val="-2"/>
                <w:szCs w:val="22"/>
                <w:lang w:eastAsia="de-DE" w:bidi="de-DE"/>
              </w:rPr>
            </w:pPr>
            <w:r>
              <w:rPr>
                <w:rFonts w:eastAsia="Calibri"/>
                <w:spacing w:val="-2"/>
                <w:szCs w:val="22"/>
                <w:lang w:eastAsia="de-DE" w:bidi="de-DE"/>
              </w:rPr>
              <w:t>[0,06]</w:t>
            </w:r>
          </w:p>
        </w:tc>
        <w:tc>
          <w:tcPr>
            <w:tcW w:w="3261" w:type="dxa"/>
            <w:tcBorders>
              <w:left w:val="single" w:sz="4" w:space="0" w:color="auto"/>
              <w:right w:val="double" w:sz="6" w:space="0" w:color="auto"/>
            </w:tcBorders>
          </w:tcPr>
          <w:p w14:paraId="075F7C94" w14:textId="77777777" w:rsidR="007130CE" w:rsidRDefault="007130CE" w:rsidP="004C2C7D">
            <w:pPr>
              <w:spacing w:before="60" w:after="60"/>
              <w:jc w:val="center"/>
              <w:rPr>
                <w:rFonts w:eastAsia="Calibri"/>
                <w:spacing w:val="-2"/>
                <w:szCs w:val="22"/>
                <w:lang w:eastAsia="de-DE" w:bidi="de-DE"/>
              </w:rPr>
            </w:pPr>
            <w:r>
              <w:rPr>
                <w:rFonts w:eastAsia="Calibri"/>
                <w:spacing w:val="-2"/>
                <w:szCs w:val="22"/>
                <w:lang w:eastAsia="de-DE" w:bidi="de-DE"/>
              </w:rPr>
              <w:t>[0,13]</w:t>
            </w:r>
          </w:p>
        </w:tc>
      </w:tr>
      <w:tr w:rsidR="00E51F16" w:rsidRPr="002616E4" w14:paraId="31F305BA" w14:textId="77777777" w:rsidTr="00573383">
        <w:trPr>
          <w:trHeight w:val="320"/>
        </w:trPr>
        <w:tc>
          <w:tcPr>
            <w:tcW w:w="2977" w:type="dxa"/>
            <w:tcBorders>
              <w:left w:val="double" w:sz="6" w:space="0" w:color="auto"/>
              <w:right w:val="single" w:sz="4" w:space="0" w:color="auto"/>
            </w:tcBorders>
          </w:tcPr>
          <w:p w14:paraId="7208058B" w14:textId="77777777" w:rsidR="00E51F16" w:rsidRDefault="00E51F16" w:rsidP="004C2C7D">
            <w:pPr>
              <w:spacing w:before="60" w:after="60"/>
              <w:jc w:val="center"/>
              <w:rPr>
                <w:rFonts w:eastAsia="Calibri"/>
                <w:spacing w:val="-2"/>
                <w:szCs w:val="22"/>
                <w:lang w:eastAsia="de-DE" w:bidi="de-DE"/>
              </w:rPr>
            </w:pPr>
            <w:r>
              <w:rPr>
                <w:rFonts w:eastAsia="Calibri"/>
                <w:spacing w:val="-2"/>
                <w:szCs w:val="22"/>
                <w:lang w:eastAsia="de-DE" w:bidi="de-DE"/>
              </w:rPr>
              <w:t>[</w:t>
            </w:r>
            <w:r>
              <w:t>2017]</w:t>
            </w:r>
          </w:p>
        </w:tc>
        <w:tc>
          <w:tcPr>
            <w:tcW w:w="3260" w:type="dxa"/>
            <w:tcBorders>
              <w:left w:val="single" w:sz="4" w:space="0" w:color="auto"/>
              <w:right w:val="single" w:sz="4" w:space="0" w:color="auto"/>
            </w:tcBorders>
          </w:tcPr>
          <w:p w14:paraId="38C9A566" w14:textId="77777777" w:rsidR="00E51F16" w:rsidRDefault="00E51F16" w:rsidP="004C2C7D">
            <w:pPr>
              <w:spacing w:before="60" w:after="60"/>
              <w:jc w:val="center"/>
              <w:rPr>
                <w:rFonts w:eastAsia="Calibri"/>
                <w:spacing w:val="-2"/>
                <w:szCs w:val="22"/>
                <w:lang w:eastAsia="de-DE" w:bidi="de-DE"/>
              </w:rPr>
            </w:pPr>
            <w:r>
              <w:t>[0,06]</w:t>
            </w:r>
          </w:p>
        </w:tc>
        <w:tc>
          <w:tcPr>
            <w:tcW w:w="3261" w:type="dxa"/>
            <w:tcBorders>
              <w:left w:val="single" w:sz="4" w:space="0" w:color="auto"/>
              <w:right w:val="double" w:sz="6" w:space="0" w:color="auto"/>
            </w:tcBorders>
          </w:tcPr>
          <w:p w14:paraId="2ADB164B" w14:textId="77777777" w:rsidR="00E51F16" w:rsidRDefault="00E51F16" w:rsidP="004C2C7D">
            <w:pPr>
              <w:spacing w:before="60" w:after="60"/>
              <w:jc w:val="center"/>
              <w:rPr>
                <w:rFonts w:eastAsia="Calibri"/>
                <w:spacing w:val="-2"/>
                <w:szCs w:val="22"/>
                <w:lang w:eastAsia="de-DE" w:bidi="de-DE"/>
              </w:rPr>
            </w:pPr>
            <w:r>
              <w:t>[0,20]</w:t>
            </w:r>
          </w:p>
        </w:tc>
      </w:tr>
      <w:tr w:rsidR="00A57082" w:rsidRPr="002616E4" w14:paraId="2437E904" w14:textId="77777777" w:rsidTr="00573383">
        <w:trPr>
          <w:trHeight w:val="320"/>
        </w:trPr>
        <w:tc>
          <w:tcPr>
            <w:tcW w:w="2977" w:type="dxa"/>
            <w:tcBorders>
              <w:left w:val="double" w:sz="6" w:space="0" w:color="auto"/>
              <w:right w:val="single" w:sz="4" w:space="0" w:color="auto"/>
            </w:tcBorders>
          </w:tcPr>
          <w:p w14:paraId="532F792D" w14:textId="694ACF3D" w:rsidR="0095299A" w:rsidRDefault="00A57082" w:rsidP="0095299A">
            <w:pPr>
              <w:spacing w:before="60" w:after="60"/>
              <w:jc w:val="center"/>
              <w:rPr>
                <w:rFonts w:eastAsia="Calibri"/>
                <w:spacing w:val="-2"/>
                <w:szCs w:val="22"/>
                <w:lang w:eastAsia="de-DE" w:bidi="de-DE"/>
              </w:rPr>
            </w:pPr>
            <w:r>
              <w:rPr>
                <w:rFonts w:eastAsia="Calibri"/>
                <w:spacing w:val="-2"/>
                <w:szCs w:val="22"/>
                <w:lang w:eastAsia="de-DE" w:bidi="de-DE"/>
              </w:rPr>
              <w:t>[2018]</w:t>
            </w:r>
          </w:p>
        </w:tc>
        <w:tc>
          <w:tcPr>
            <w:tcW w:w="3260" w:type="dxa"/>
            <w:tcBorders>
              <w:left w:val="single" w:sz="4" w:space="0" w:color="auto"/>
              <w:right w:val="single" w:sz="4" w:space="0" w:color="auto"/>
            </w:tcBorders>
          </w:tcPr>
          <w:p w14:paraId="5F488D8F" w14:textId="77777777" w:rsidR="00A57082" w:rsidRDefault="00A57082" w:rsidP="004C2C7D">
            <w:pPr>
              <w:spacing w:before="60" w:after="60"/>
              <w:jc w:val="center"/>
            </w:pPr>
            <w:r>
              <w:t>[0,05]</w:t>
            </w:r>
          </w:p>
        </w:tc>
        <w:tc>
          <w:tcPr>
            <w:tcW w:w="3261" w:type="dxa"/>
            <w:tcBorders>
              <w:left w:val="single" w:sz="4" w:space="0" w:color="auto"/>
              <w:right w:val="double" w:sz="6" w:space="0" w:color="auto"/>
            </w:tcBorders>
          </w:tcPr>
          <w:p w14:paraId="7D6B9B76" w14:textId="77777777" w:rsidR="00A57082" w:rsidRDefault="00A57082" w:rsidP="004C2C7D">
            <w:pPr>
              <w:spacing w:before="60" w:after="60"/>
              <w:jc w:val="center"/>
            </w:pPr>
            <w:r>
              <w:t>[0,14]</w:t>
            </w:r>
          </w:p>
        </w:tc>
      </w:tr>
      <w:tr w:rsidR="0095299A" w:rsidRPr="002616E4" w14:paraId="7E03F80D" w14:textId="77777777" w:rsidTr="00573383">
        <w:trPr>
          <w:trHeight w:val="320"/>
        </w:trPr>
        <w:tc>
          <w:tcPr>
            <w:tcW w:w="2977" w:type="dxa"/>
            <w:tcBorders>
              <w:left w:val="double" w:sz="6" w:space="0" w:color="auto"/>
              <w:right w:val="single" w:sz="4" w:space="0" w:color="auto"/>
            </w:tcBorders>
          </w:tcPr>
          <w:p w14:paraId="1BED148C" w14:textId="09DB4E7A" w:rsidR="0095299A" w:rsidRDefault="0095299A" w:rsidP="0095299A">
            <w:pPr>
              <w:spacing w:before="60" w:after="60"/>
              <w:jc w:val="center"/>
              <w:rPr>
                <w:rFonts w:eastAsia="Calibri"/>
                <w:spacing w:val="-2"/>
                <w:szCs w:val="22"/>
                <w:lang w:eastAsia="de-DE" w:bidi="de-DE"/>
              </w:rPr>
            </w:pPr>
            <w:r>
              <w:rPr>
                <w:rFonts w:eastAsia="Calibri"/>
                <w:spacing w:val="-2"/>
                <w:szCs w:val="22"/>
                <w:lang w:eastAsia="de-DE" w:bidi="de-DE"/>
              </w:rPr>
              <w:t>[2019]</w:t>
            </w:r>
          </w:p>
        </w:tc>
        <w:tc>
          <w:tcPr>
            <w:tcW w:w="3260" w:type="dxa"/>
            <w:tcBorders>
              <w:left w:val="single" w:sz="4" w:space="0" w:color="auto"/>
              <w:right w:val="single" w:sz="4" w:space="0" w:color="auto"/>
            </w:tcBorders>
          </w:tcPr>
          <w:p w14:paraId="713A031E" w14:textId="0324C464" w:rsidR="0095299A" w:rsidRDefault="0095299A" w:rsidP="004C2C7D">
            <w:pPr>
              <w:spacing w:before="60" w:after="60"/>
              <w:jc w:val="center"/>
            </w:pPr>
            <w:r>
              <w:t>[0,04]</w:t>
            </w:r>
          </w:p>
        </w:tc>
        <w:tc>
          <w:tcPr>
            <w:tcW w:w="3261" w:type="dxa"/>
            <w:tcBorders>
              <w:left w:val="single" w:sz="4" w:space="0" w:color="auto"/>
              <w:right w:val="double" w:sz="6" w:space="0" w:color="auto"/>
            </w:tcBorders>
          </w:tcPr>
          <w:p w14:paraId="599681F2" w14:textId="365DCB9F" w:rsidR="0095299A" w:rsidRDefault="0095299A" w:rsidP="004C2C7D">
            <w:pPr>
              <w:spacing w:before="60" w:after="60"/>
              <w:jc w:val="center"/>
            </w:pPr>
            <w:r>
              <w:t>[0,12]</w:t>
            </w:r>
          </w:p>
        </w:tc>
      </w:tr>
      <w:tr w:rsidR="008E123B" w:rsidRPr="002616E4" w14:paraId="4BC8F43B" w14:textId="77777777" w:rsidTr="0078601F">
        <w:trPr>
          <w:trHeight w:val="320"/>
        </w:trPr>
        <w:tc>
          <w:tcPr>
            <w:tcW w:w="2977" w:type="dxa"/>
            <w:tcBorders>
              <w:left w:val="double" w:sz="6" w:space="0" w:color="auto"/>
              <w:right w:val="single" w:sz="4" w:space="0" w:color="auto"/>
            </w:tcBorders>
          </w:tcPr>
          <w:p w14:paraId="39B797B1" w14:textId="692F393A" w:rsidR="008E123B" w:rsidRDefault="008E123B" w:rsidP="0095299A">
            <w:pPr>
              <w:spacing w:before="60" w:after="60"/>
              <w:jc w:val="center"/>
              <w:rPr>
                <w:rFonts w:eastAsia="Calibri"/>
                <w:spacing w:val="-2"/>
                <w:szCs w:val="22"/>
                <w:lang w:eastAsia="de-DE" w:bidi="de-DE"/>
              </w:rPr>
            </w:pPr>
            <w:r>
              <w:rPr>
                <w:rFonts w:eastAsia="Calibri"/>
                <w:spacing w:val="-2"/>
                <w:szCs w:val="22"/>
                <w:lang w:eastAsia="de-DE" w:bidi="de-DE"/>
              </w:rPr>
              <w:t>[2020]</w:t>
            </w:r>
          </w:p>
        </w:tc>
        <w:tc>
          <w:tcPr>
            <w:tcW w:w="3260" w:type="dxa"/>
            <w:tcBorders>
              <w:left w:val="single" w:sz="4" w:space="0" w:color="auto"/>
              <w:right w:val="single" w:sz="4" w:space="0" w:color="auto"/>
            </w:tcBorders>
          </w:tcPr>
          <w:p w14:paraId="53433598" w14:textId="54E0E9A1" w:rsidR="008E123B" w:rsidRDefault="008E123B" w:rsidP="004C2C7D">
            <w:pPr>
              <w:spacing w:before="60" w:after="60"/>
              <w:jc w:val="center"/>
            </w:pPr>
            <w:r>
              <w:t>[0,04]</w:t>
            </w:r>
          </w:p>
        </w:tc>
        <w:tc>
          <w:tcPr>
            <w:tcW w:w="3261" w:type="dxa"/>
            <w:tcBorders>
              <w:left w:val="single" w:sz="4" w:space="0" w:color="auto"/>
              <w:right w:val="double" w:sz="6" w:space="0" w:color="auto"/>
            </w:tcBorders>
          </w:tcPr>
          <w:p w14:paraId="546BEF52" w14:textId="29F801C9" w:rsidR="008E123B" w:rsidRDefault="008E123B" w:rsidP="004C2C7D">
            <w:pPr>
              <w:spacing w:before="60" w:after="60"/>
              <w:jc w:val="center"/>
            </w:pPr>
            <w:r>
              <w:t>[0,11]</w:t>
            </w:r>
          </w:p>
        </w:tc>
      </w:tr>
      <w:tr w:rsidR="0078601F" w:rsidRPr="002616E4" w14:paraId="4B9F99AC" w14:textId="77777777" w:rsidTr="001D5508">
        <w:trPr>
          <w:trHeight w:val="320"/>
        </w:trPr>
        <w:tc>
          <w:tcPr>
            <w:tcW w:w="2977" w:type="dxa"/>
            <w:tcBorders>
              <w:left w:val="double" w:sz="6" w:space="0" w:color="auto"/>
              <w:right w:val="single" w:sz="4" w:space="0" w:color="auto"/>
            </w:tcBorders>
          </w:tcPr>
          <w:p w14:paraId="4EDD71B6" w14:textId="43F89820" w:rsidR="0078601F" w:rsidRDefault="0078601F" w:rsidP="0095299A">
            <w:pPr>
              <w:spacing w:before="60" w:after="60"/>
              <w:jc w:val="center"/>
              <w:rPr>
                <w:rFonts w:eastAsia="Calibri"/>
                <w:spacing w:val="-2"/>
                <w:szCs w:val="22"/>
                <w:lang w:eastAsia="de-DE" w:bidi="de-DE"/>
              </w:rPr>
            </w:pPr>
            <w:r>
              <w:rPr>
                <w:rFonts w:eastAsia="Calibri"/>
                <w:spacing w:val="-2"/>
                <w:szCs w:val="22"/>
                <w:lang w:eastAsia="de-DE" w:bidi="de-DE"/>
              </w:rPr>
              <w:t>[2021]</w:t>
            </w:r>
          </w:p>
        </w:tc>
        <w:tc>
          <w:tcPr>
            <w:tcW w:w="3260" w:type="dxa"/>
            <w:tcBorders>
              <w:left w:val="single" w:sz="4" w:space="0" w:color="auto"/>
              <w:right w:val="single" w:sz="4" w:space="0" w:color="auto"/>
            </w:tcBorders>
          </w:tcPr>
          <w:p w14:paraId="206027DD" w14:textId="399A3AFD" w:rsidR="0078601F" w:rsidRDefault="0078601F" w:rsidP="004C2C7D">
            <w:pPr>
              <w:spacing w:before="60" w:after="60"/>
              <w:jc w:val="center"/>
            </w:pPr>
            <w:r>
              <w:t>[0,05]</w:t>
            </w:r>
          </w:p>
        </w:tc>
        <w:tc>
          <w:tcPr>
            <w:tcW w:w="3261" w:type="dxa"/>
            <w:tcBorders>
              <w:left w:val="single" w:sz="4" w:space="0" w:color="auto"/>
              <w:right w:val="double" w:sz="6" w:space="0" w:color="auto"/>
            </w:tcBorders>
          </w:tcPr>
          <w:p w14:paraId="23E60D79" w14:textId="73BA36A9" w:rsidR="0078601F" w:rsidRDefault="0078601F" w:rsidP="004C2C7D">
            <w:pPr>
              <w:spacing w:before="60" w:after="60"/>
              <w:jc w:val="center"/>
            </w:pPr>
            <w:r>
              <w:t>[0,11]</w:t>
            </w:r>
          </w:p>
        </w:tc>
      </w:tr>
      <w:tr w:rsidR="001D5508" w:rsidRPr="002616E4" w14:paraId="4C099579" w14:textId="77777777" w:rsidTr="00916261">
        <w:trPr>
          <w:trHeight w:val="320"/>
        </w:trPr>
        <w:tc>
          <w:tcPr>
            <w:tcW w:w="2977" w:type="dxa"/>
            <w:tcBorders>
              <w:left w:val="double" w:sz="6" w:space="0" w:color="auto"/>
              <w:right w:val="single" w:sz="4" w:space="0" w:color="auto"/>
            </w:tcBorders>
          </w:tcPr>
          <w:p w14:paraId="7F41F7D8" w14:textId="7A8AEE23" w:rsidR="001D5508" w:rsidRDefault="001D5508" w:rsidP="0095299A">
            <w:pPr>
              <w:spacing w:before="60" w:after="60"/>
              <w:jc w:val="center"/>
              <w:rPr>
                <w:rFonts w:eastAsia="Calibri"/>
                <w:spacing w:val="-2"/>
                <w:szCs w:val="22"/>
                <w:lang w:eastAsia="de-DE" w:bidi="de-DE"/>
              </w:rPr>
            </w:pPr>
            <w:r>
              <w:rPr>
                <w:rFonts w:eastAsia="Calibri"/>
                <w:spacing w:val="-2"/>
                <w:szCs w:val="22"/>
                <w:lang w:eastAsia="de-DE" w:bidi="de-DE"/>
              </w:rPr>
              <w:t>[2022]</w:t>
            </w:r>
          </w:p>
        </w:tc>
        <w:tc>
          <w:tcPr>
            <w:tcW w:w="3260" w:type="dxa"/>
            <w:tcBorders>
              <w:left w:val="single" w:sz="4" w:space="0" w:color="auto"/>
              <w:right w:val="single" w:sz="4" w:space="0" w:color="auto"/>
            </w:tcBorders>
          </w:tcPr>
          <w:p w14:paraId="20CE10FB" w14:textId="22D5ECB2" w:rsidR="001D5508" w:rsidRDefault="001D5508" w:rsidP="004C2C7D">
            <w:pPr>
              <w:spacing w:before="60" w:after="60"/>
              <w:jc w:val="center"/>
            </w:pPr>
            <w:r>
              <w:t>[0,06]</w:t>
            </w:r>
          </w:p>
        </w:tc>
        <w:tc>
          <w:tcPr>
            <w:tcW w:w="3261" w:type="dxa"/>
            <w:tcBorders>
              <w:left w:val="single" w:sz="4" w:space="0" w:color="auto"/>
              <w:right w:val="double" w:sz="6" w:space="0" w:color="auto"/>
            </w:tcBorders>
          </w:tcPr>
          <w:p w14:paraId="1C6E3C3C" w14:textId="4E63924D" w:rsidR="001D5508" w:rsidRDefault="001D5508" w:rsidP="004C2C7D">
            <w:pPr>
              <w:spacing w:before="60" w:after="60"/>
              <w:jc w:val="center"/>
            </w:pPr>
            <w:r>
              <w:t>[0,12]</w:t>
            </w:r>
          </w:p>
        </w:tc>
      </w:tr>
      <w:tr w:rsidR="00916261" w:rsidRPr="002616E4" w14:paraId="7AA01216" w14:textId="77777777" w:rsidTr="00790998">
        <w:trPr>
          <w:trHeight w:val="320"/>
        </w:trPr>
        <w:tc>
          <w:tcPr>
            <w:tcW w:w="2977" w:type="dxa"/>
            <w:tcBorders>
              <w:left w:val="double" w:sz="6" w:space="0" w:color="auto"/>
              <w:right w:val="single" w:sz="4" w:space="0" w:color="auto"/>
            </w:tcBorders>
          </w:tcPr>
          <w:p w14:paraId="46B00050" w14:textId="35110B91" w:rsidR="00916261" w:rsidRDefault="00916261" w:rsidP="0095299A">
            <w:pPr>
              <w:spacing w:before="60" w:after="60"/>
              <w:jc w:val="center"/>
              <w:rPr>
                <w:rFonts w:eastAsia="Calibri"/>
                <w:spacing w:val="-2"/>
                <w:szCs w:val="22"/>
                <w:lang w:eastAsia="de-DE" w:bidi="de-DE"/>
              </w:rPr>
            </w:pPr>
            <w:r>
              <w:rPr>
                <w:rFonts w:eastAsia="Calibri"/>
                <w:spacing w:val="-2"/>
                <w:szCs w:val="22"/>
                <w:lang w:eastAsia="de-DE" w:bidi="de-DE"/>
              </w:rPr>
              <w:t>[2023]</w:t>
            </w:r>
          </w:p>
        </w:tc>
        <w:tc>
          <w:tcPr>
            <w:tcW w:w="3260" w:type="dxa"/>
            <w:tcBorders>
              <w:left w:val="single" w:sz="4" w:space="0" w:color="auto"/>
              <w:right w:val="single" w:sz="4" w:space="0" w:color="auto"/>
            </w:tcBorders>
          </w:tcPr>
          <w:p w14:paraId="6908D4F4" w14:textId="0755F618" w:rsidR="00916261" w:rsidRDefault="00916261" w:rsidP="004C2C7D">
            <w:pPr>
              <w:spacing w:before="60" w:after="60"/>
              <w:jc w:val="center"/>
            </w:pPr>
            <w:r>
              <w:t>[0,25]</w:t>
            </w:r>
          </w:p>
        </w:tc>
        <w:tc>
          <w:tcPr>
            <w:tcW w:w="3261" w:type="dxa"/>
            <w:tcBorders>
              <w:left w:val="single" w:sz="4" w:space="0" w:color="auto"/>
              <w:right w:val="double" w:sz="6" w:space="0" w:color="auto"/>
            </w:tcBorders>
          </w:tcPr>
          <w:p w14:paraId="12DE70F5" w14:textId="5090AB63" w:rsidR="00916261" w:rsidRDefault="00916261" w:rsidP="004C2C7D">
            <w:pPr>
              <w:spacing w:before="60" w:after="60"/>
              <w:jc w:val="center"/>
            </w:pPr>
            <w:r>
              <w:t>[0,49]</w:t>
            </w:r>
          </w:p>
        </w:tc>
      </w:tr>
      <w:tr w:rsidR="00790998" w:rsidRPr="002616E4" w14:paraId="1CF25E87" w14:textId="77777777" w:rsidTr="00515F91">
        <w:trPr>
          <w:trHeight w:val="320"/>
        </w:trPr>
        <w:tc>
          <w:tcPr>
            <w:tcW w:w="2977" w:type="dxa"/>
            <w:tcBorders>
              <w:left w:val="double" w:sz="6" w:space="0" w:color="auto"/>
              <w:bottom w:val="double" w:sz="6" w:space="0" w:color="auto"/>
              <w:right w:val="single" w:sz="4" w:space="0" w:color="auto"/>
            </w:tcBorders>
          </w:tcPr>
          <w:p w14:paraId="05674FE3" w14:textId="0BA26D9F" w:rsidR="00790998" w:rsidRDefault="00790998" w:rsidP="0095299A">
            <w:pPr>
              <w:spacing w:before="60" w:after="60"/>
              <w:jc w:val="center"/>
              <w:rPr>
                <w:rFonts w:eastAsia="Calibri"/>
                <w:spacing w:val="-2"/>
                <w:szCs w:val="22"/>
                <w:lang w:eastAsia="de-DE" w:bidi="de-DE"/>
              </w:rPr>
            </w:pPr>
            <w:r>
              <w:rPr>
                <w:rFonts w:eastAsia="Calibri"/>
                <w:spacing w:val="-2"/>
                <w:szCs w:val="22"/>
                <w:lang w:eastAsia="de-DE" w:bidi="de-DE"/>
              </w:rPr>
              <w:t>[2024]</w:t>
            </w:r>
          </w:p>
        </w:tc>
        <w:tc>
          <w:tcPr>
            <w:tcW w:w="3260" w:type="dxa"/>
            <w:tcBorders>
              <w:left w:val="single" w:sz="4" w:space="0" w:color="auto"/>
              <w:bottom w:val="double" w:sz="6" w:space="0" w:color="auto"/>
              <w:right w:val="single" w:sz="4" w:space="0" w:color="auto"/>
            </w:tcBorders>
          </w:tcPr>
          <w:p w14:paraId="67705C41" w14:textId="41574A00" w:rsidR="00790998" w:rsidRDefault="00790998" w:rsidP="004C2C7D">
            <w:pPr>
              <w:spacing w:before="60" w:after="60"/>
              <w:jc w:val="center"/>
            </w:pPr>
            <w:r>
              <w:t>[0,28]</w:t>
            </w:r>
          </w:p>
        </w:tc>
        <w:tc>
          <w:tcPr>
            <w:tcW w:w="3261" w:type="dxa"/>
            <w:tcBorders>
              <w:left w:val="single" w:sz="4" w:space="0" w:color="auto"/>
              <w:bottom w:val="double" w:sz="6" w:space="0" w:color="auto"/>
              <w:right w:val="double" w:sz="6" w:space="0" w:color="auto"/>
            </w:tcBorders>
          </w:tcPr>
          <w:p w14:paraId="5C900A92" w14:textId="54905054" w:rsidR="00790998" w:rsidRDefault="00790998" w:rsidP="004C2C7D">
            <w:pPr>
              <w:spacing w:before="60" w:after="60"/>
              <w:jc w:val="center"/>
            </w:pPr>
            <w:r>
              <w:t>[0,55]</w:t>
            </w:r>
          </w:p>
        </w:tc>
      </w:tr>
    </w:tbl>
    <w:p w14:paraId="0FF30EB4" w14:textId="77777777" w:rsidR="00E85F51" w:rsidRDefault="00E85F51">
      <w:pPr>
        <w:rPr>
          <w:rFonts w:eastAsia="Calibri"/>
          <w:szCs w:val="22"/>
          <w:lang w:eastAsia="de-DE" w:bidi="de-DE"/>
        </w:rPr>
      </w:pPr>
    </w:p>
    <w:p w14:paraId="7A87D778" w14:textId="4837756C" w:rsidR="005A5BD5" w:rsidRPr="002616E4" w:rsidRDefault="005A5BD5" w:rsidP="005079B7">
      <w:pPr>
        <w:ind w:firstLine="708"/>
        <w:jc w:val="both"/>
        <w:rPr>
          <w:lang w:eastAsia="de-DE" w:bidi="de-DE"/>
        </w:rPr>
      </w:pPr>
      <w:r w:rsidRPr="002616E4">
        <w:rPr>
          <w:rFonts w:eastAsia="Calibri"/>
          <w:lang w:eastAsia="de-DE" w:bidi="de-DE"/>
        </w:rPr>
        <w:t>- oder</w:t>
      </w:r>
      <w:r w:rsidR="00916261">
        <w:rPr>
          <w:rFonts w:eastAsia="Calibri"/>
          <w:lang w:eastAsia="de-DE" w:bidi="de-DE"/>
        </w:rPr>
        <w:t>[, für den bis zum 31. Dezember 2022 abgeschlossenen Darlehensvertrag,]</w:t>
      </w:r>
      <w:r w:rsidRPr="002616E4">
        <w:rPr>
          <w:rFonts w:eastAsia="Calibri"/>
          <w:lang w:eastAsia="de-DE" w:bidi="de-DE"/>
        </w:rPr>
        <w:t xml:space="preserve"> auf der Grundlage des realen jährlichen Belastungssatzes für das betreffende Jahr, berechnet anhand folgender Formel:</w:t>
      </w:r>
    </w:p>
    <w:p w14:paraId="48620CC1" w14:textId="77777777" w:rsidR="005A5BD5" w:rsidRPr="002616E4" w:rsidRDefault="005A5BD5" w:rsidP="004C2C7D">
      <w:pPr>
        <w:rPr>
          <w:lang w:eastAsia="de-DE" w:bidi="de-DE"/>
        </w:rPr>
      </w:pPr>
      <w:r w:rsidRPr="002616E4">
        <w:rPr>
          <w:rFonts w:eastAsia="Calibri"/>
          <w:lang w:eastAsia="de-DE" w:bidi="de-DE"/>
        </w:rPr>
        <w:t> </w:t>
      </w:r>
    </w:p>
    <w:tbl>
      <w:tblPr>
        <w:tblW w:w="3570" w:type="dxa"/>
        <w:jc w:val="center"/>
        <w:tblCellSpacing w:w="0" w:type="dxa"/>
        <w:tblCellMar>
          <w:left w:w="0" w:type="dxa"/>
          <w:right w:w="0" w:type="dxa"/>
        </w:tblCellMar>
        <w:tblLook w:val="04A0" w:firstRow="1" w:lastRow="0" w:firstColumn="1" w:lastColumn="0" w:noHBand="0" w:noVBand="1"/>
      </w:tblPr>
      <w:tblGrid>
        <w:gridCol w:w="257"/>
        <w:gridCol w:w="393"/>
        <w:gridCol w:w="427"/>
        <w:gridCol w:w="427"/>
        <w:gridCol w:w="512"/>
        <w:gridCol w:w="427"/>
        <w:gridCol w:w="1127"/>
      </w:tblGrid>
      <w:tr w:rsidR="005A5BD5" w:rsidRPr="002616E4" w14:paraId="68EB3F23" w14:textId="77777777" w:rsidTr="004C2C7D">
        <w:trPr>
          <w:tblCellSpacing w:w="0" w:type="dxa"/>
          <w:jc w:val="center"/>
        </w:trPr>
        <w:tc>
          <w:tcPr>
            <w:tcW w:w="225" w:type="dxa"/>
            <w:hideMark/>
          </w:tcPr>
          <w:p w14:paraId="7490332F" w14:textId="77777777" w:rsidR="005A5BD5" w:rsidRPr="002616E4" w:rsidRDefault="005A5BD5" w:rsidP="004C2C7D">
            <w:pPr>
              <w:rPr>
                <w:lang w:eastAsia="de-DE" w:bidi="de-DE"/>
              </w:rPr>
            </w:pPr>
            <w:r w:rsidRPr="002616E4">
              <w:rPr>
                <w:rFonts w:eastAsia="Calibri"/>
                <w:lang w:eastAsia="de-DE" w:bidi="de-DE"/>
              </w:rPr>
              <w:t> </w:t>
            </w:r>
          </w:p>
        </w:tc>
        <w:tc>
          <w:tcPr>
            <w:tcW w:w="345" w:type="dxa"/>
            <w:hideMark/>
          </w:tcPr>
          <w:p w14:paraId="5B088191" w14:textId="77777777" w:rsidR="005A5BD5" w:rsidRPr="002616E4" w:rsidRDefault="005A5BD5" w:rsidP="004C2C7D">
            <w:pPr>
              <w:rPr>
                <w:lang w:eastAsia="de-DE" w:bidi="de-DE"/>
              </w:rPr>
            </w:pPr>
            <w:r w:rsidRPr="002616E4">
              <w:rPr>
                <w:rFonts w:eastAsia="Calibri"/>
                <w:lang w:eastAsia="de-DE" w:bidi="de-DE"/>
              </w:rPr>
              <w:t> </w:t>
            </w:r>
          </w:p>
        </w:tc>
        <w:tc>
          <w:tcPr>
            <w:tcW w:w="375" w:type="dxa"/>
            <w:hideMark/>
          </w:tcPr>
          <w:p w14:paraId="705F7C4D" w14:textId="77777777" w:rsidR="005A5BD5" w:rsidRPr="002616E4" w:rsidRDefault="005A5BD5" w:rsidP="004C2C7D">
            <w:pPr>
              <w:rPr>
                <w:lang w:eastAsia="de-DE" w:bidi="de-DE"/>
              </w:rPr>
            </w:pPr>
            <w:r w:rsidRPr="002616E4">
              <w:rPr>
                <w:rFonts w:eastAsia="Calibri"/>
                <w:lang w:eastAsia="de-DE" w:bidi="de-DE"/>
              </w:rPr>
              <w:t>p</w:t>
            </w:r>
          </w:p>
        </w:tc>
        <w:tc>
          <w:tcPr>
            <w:tcW w:w="375" w:type="dxa"/>
            <w:hideMark/>
          </w:tcPr>
          <w:p w14:paraId="1A309401" w14:textId="77777777" w:rsidR="005A5BD5" w:rsidRPr="002616E4" w:rsidRDefault="005A5BD5" w:rsidP="004C2C7D">
            <w:pPr>
              <w:rPr>
                <w:lang w:eastAsia="de-DE" w:bidi="de-DE"/>
              </w:rPr>
            </w:pPr>
            <w:r w:rsidRPr="002616E4">
              <w:rPr>
                <w:rFonts w:eastAsia="Calibri"/>
                <w:lang w:eastAsia="de-DE" w:bidi="de-DE"/>
              </w:rPr>
              <w:t>x</w:t>
            </w:r>
          </w:p>
        </w:tc>
        <w:tc>
          <w:tcPr>
            <w:tcW w:w="450" w:type="dxa"/>
            <w:hideMark/>
          </w:tcPr>
          <w:p w14:paraId="54AAB1EB" w14:textId="77777777" w:rsidR="005A5BD5" w:rsidRPr="002616E4" w:rsidRDefault="005A5BD5" w:rsidP="004C2C7D">
            <w:pPr>
              <w:rPr>
                <w:lang w:eastAsia="de-DE" w:bidi="de-DE"/>
              </w:rPr>
            </w:pPr>
            <w:r w:rsidRPr="002616E4">
              <w:rPr>
                <w:rFonts w:eastAsia="Calibri"/>
                <w:lang w:eastAsia="de-DE" w:bidi="de-DE"/>
              </w:rPr>
              <w:t>24</w:t>
            </w:r>
          </w:p>
        </w:tc>
        <w:tc>
          <w:tcPr>
            <w:tcW w:w="375" w:type="dxa"/>
            <w:hideMark/>
          </w:tcPr>
          <w:p w14:paraId="3378701E" w14:textId="77777777" w:rsidR="005A5BD5" w:rsidRPr="002616E4" w:rsidRDefault="005A5BD5" w:rsidP="004C2C7D">
            <w:pPr>
              <w:rPr>
                <w:lang w:eastAsia="de-DE" w:bidi="de-DE"/>
              </w:rPr>
            </w:pPr>
            <w:r w:rsidRPr="002616E4">
              <w:rPr>
                <w:rFonts w:eastAsia="Calibri"/>
                <w:lang w:eastAsia="de-DE" w:bidi="de-DE"/>
              </w:rPr>
              <w:t>x</w:t>
            </w:r>
          </w:p>
        </w:tc>
        <w:tc>
          <w:tcPr>
            <w:tcW w:w="375" w:type="dxa"/>
            <w:hideMark/>
          </w:tcPr>
          <w:p w14:paraId="2E721062" w14:textId="77777777" w:rsidR="005A5BD5" w:rsidRPr="002616E4" w:rsidRDefault="005A5BD5" w:rsidP="004C2C7D">
            <w:pPr>
              <w:rPr>
                <w:lang w:eastAsia="de-DE" w:bidi="de-DE"/>
              </w:rPr>
            </w:pPr>
            <w:r w:rsidRPr="002616E4">
              <w:rPr>
                <w:rFonts w:eastAsia="Calibri"/>
                <w:lang w:eastAsia="de-DE" w:bidi="de-DE"/>
              </w:rPr>
              <w:t>n</w:t>
            </w:r>
          </w:p>
        </w:tc>
      </w:tr>
      <w:tr w:rsidR="005A5BD5" w:rsidRPr="002616E4" w14:paraId="618D806F" w14:textId="77777777" w:rsidTr="004C2C7D">
        <w:trPr>
          <w:tblCellSpacing w:w="0" w:type="dxa"/>
          <w:jc w:val="center"/>
        </w:trPr>
        <w:tc>
          <w:tcPr>
            <w:tcW w:w="225" w:type="dxa"/>
            <w:hideMark/>
          </w:tcPr>
          <w:p w14:paraId="23E2231E" w14:textId="77777777" w:rsidR="005A5BD5" w:rsidRPr="002616E4" w:rsidRDefault="005A5BD5" w:rsidP="004C2C7D">
            <w:pPr>
              <w:rPr>
                <w:lang w:eastAsia="de-DE" w:bidi="de-DE"/>
              </w:rPr>
            </w:pPr>
            <w:r w:rsidRPr="002616E4">
              <w:rPr>
                <w:rFonts w:eastAsia="Calibri"/>
                <w:lang w:eastAsia="de-DE" w:bidi="de-DE"/>
              </w:rPr>
              <w:t>i</w:t>
            </w:r>
          </w:p>
        </w:tc>
        <w:tc>
          <w:tcPr>
            <w:tcW w:w="345" w:type="dxa"/>
            <w:hideMark/>
          </w:tcPr>
          <w:p w14:paraId="356A03FA" w14:textId="77777777" w:rsidR="005A5BD5" w:rsidRPr="002616E4" w:rsidRDefault="005A5BD5" w:rsidP="004C2C7D">
            <w:pPr>
              <w:rPr>
                <w:lang w:eastAsia="de-DE" w:bidi="de-DE"/>
              </w:rPr>
            </w:pPr>
            <w:r w:rsidRPr="002616E4">
              <w:rPr>
                <w:rFonts w:eastAsia="Calibri"/>
                <w:lang w:eastAsia="de-DE" w:bidi="de-DE"/>
              </w:rPr>
              <w:t>=</w:t>
            </w:r>
          </w:p>
        </w:tc>
        <w:tc>
          <w:tcPr>
            <w:tcW w:w="2565" w:type="dxa"/>
            <w:gridSpan w:val="5"/>
            <w:hideMark/>
          </w:tcPr>
          <w:p w14:paraId="3F274BA3" w14:textId="77777777" w:rsidR="005A5BD5" w:rsidRPr="002616E4" w:rsidRDefault="005A5BD5" w:rsidP="004C2C7D">
            <w:pPr>
              <w:rPr>
                <w:lang w:eastAsia="de-DE" w:bidi="de-DE"/>
              </w:rPr>
            </w:pPr>
            <w:r w:rsidRPr="002616E4">
              <w:rPr>
                <w:rFonts w:eastAsia="Calibri"/>
                <w:lang w:eastAsia="de-DE" w:bidi="de-DE"/>
              </w:rPr>
              <w:t>-----------------------</w:t>
            </w:r>
          </w:p>
        </w:tc>
      </w:tr>
      <w:tr w:rsidR="005A5BD5" w:rsidRPr="002616E4" w14:paraId="5ACE9077" w14:textId="77777777" w:rsidTr="004C2C7D">
        <w:trPr>
          <w:tblCellSpacing w:w="0" w:type="dxa"/>
          <w:jc w:val="center"/>
        </w:trPr>
        <w:tc>
          <w:tcPr>
            <w:tcW w:w="225" w:type="dxa"/>
            <w:hideMark/>
          </w:tcPr>
          <w:p w14:paraId="0C850276" w14:textId="77777777" w:rsidR="005A5BD5" w:rsidRPr="002616E4" w:rsidRDefault="005A5BD5" w:rsidP="004C2C7D">
            <w:pPr>
              <w:rPr>
                <w:lang w:eastAsia="de-DE" w:bidi="de-DE"/>
              </w:rPr>
            </w:pPr>
            <w:r w:rsidRPr="002616E4">
              <w:rPr>
                <w:rFonts w:eastAsia="Calibri"/>
                <w:lang w:eastAsia="de-DE" w:bidi="de-DE"/>
              </w:rPr>
              <w:t> </w:t>
            </w:r>
          </w:p>
        </w:tc>
        <w:tc>
          <w:tcPr>
            <w:tcW w:w="345" w:type="dxa"/>
            <w:hideMark/>
          </w:tcPr>
          <w:p w14:paraId="65BC1E10" w14:textId="77777777" w:rsidR="005A5BD5" w:rsidRPr="002616E4" w:rsidRDefault="005A5BD5" w:rsidP="004C2C7D">
            <w:pPr>
              <w:rPr>
                <w:lang w:eastAsia="de-DE" w:bidi="de-DE"/>
              </w:rPr>
            </w:pPr>
            <w:r w:rsidRPr="002616E4">
              <w:rPr>
                <w:rFonts w:eastAsia="Calibri"/>
                <w:lang w:eastAsia="de-DE" w:bidi="de-DE"/>
              </w:rPr>
              <w:t> </w:t>
            </w:r>
          </w:p>
        </w:tc>
        <w:tc>
          <w:tcPr>
            <w:tcW w:w="375" w:type="dxa"/>
            <w:hideMark/>
          </w:tcPr>
          <w:p w14:paraId="7CDA4AAA" w14:textId="77777777" w:rsidR="005A5BD5" w:rsidRPr="002616E4" w:rsidRDefault="005A5BD5" w:rsidP="004C2C7D">
            <w:pPr>
              <w:rPr>
                <w:lang w:eastAsia="de-DE" w:bidi="de-DE"/>
              </w:rPr>
            </w:pPr>
            <w:r w:rsidRPr="002616E4">
              <w:rPr>
                <w:rFonts w:eastAsia="Calibri"/>
                <w:lang w:eastAsia="de-DE" w:bidi="de-DE"/>
              </w:rPr>
              <w:t> </w:t>
            </w:r>
          </w:p>
        </w:tc>
        <w:tc>
          <w:tcPr>
            <w:tcW w:w="375" w:type="dxa"/>
            <w:hideMark/>
          </w:tcPr>
          <w:p w14:paraId="5D6F4974" w14:textId="77777777" w:rsidR="005A5BD5" w:rsidRPr="002616E4" w:rsidRDefault="005A5BD5" w:rsidP="004C2C7D">
            <w:pPr>
              <w:rPr>
                <w:lang w:eastAsia="de-DE" w:bidi="de-DE"/>
              </w:rPr>
            </w:pPr>
            <w:r w:rsidRPr="002616E4">
              <w:rPr>
                <w:rFonts w:eastAsia="Calibri"/>
                <w:lang w:eastAsia="de-DE" w:bidi="de-DE"/>
              </w:rPr>
              <w:t>n</w:t>
            </w:r>
          </w:p>
        </w:tc>
        <w:tc>
          <w:tcPr>
            <w:tcW w:w="450" w:type="dxa"/>
            <w:hideMark/>
          </w:tcPr>
          <w:p w14:paraId="1161BDFC" w14:textId="77777777" w:rsidR="005A5BD5" w:rsidRPr="002616E4" w:rsidRDefault="005A5BD5" w:rsidP="004C2C7D">
            <w:pPr>
              <w:rPr>
                <w:lang w:eastAsia="de-DE" w:bidi="de-DE"/>
              </w:rPr>
            </w:pPr>
            <w:r w:rsidRPr="002616E4">
              <w:rPr>
                <w:rFonts w:eastAsia="Calibri"/>
                <w:lang w:eastAsia="de-DE" w:bidi="de-DE"/>
              </w:rPr>
              <w:t>+</w:t>
            </w:r>
          </w:p>
        </w:tc>
        <w:tc>
          <w:tcPr>
            <w:tcW w:w="375" w:type="dxa"/>
            <w:hideMark/>
          </w:tcPr>
          <w:p w14:paraId="6DC23407" w14:textId="77777777" w:rsidR="005A5BD5" w:rsidRPr="002616E4" w:rsidRDefault="005A5BD5" w:rsidP="004C2C7D">
            <w:pPr>
              <w:rPr>
                <w:lang w:eastAsia="de-DE" w:bidi="de-DE"/>
              </w:rPr>
            </w:pPr>
            <w:r w:rsidRPr="002616E4">
              <w:rPr>
                <w:rFonts w:eastAsia="Calibri"/>
                <w:lang w:eastAsia="de-DE" w:bidi="de-DE"/>
              </w:rPr>
              <w:t>1</w:t>
            </w:r>
          </w:p>
        </w:tc>
        <w:tc>
          <w:tcPr>
            <w:tcW w:w="375" w:type="dxa"/>
            <w:hideMark/>
          </w:tcPr>
          <w:p w14:paraId="4E52D552" w14:textId="77777777" w:rsidR="005A5BD5" w:rsidRPr="002616E4" w:rsidRDefault="005A5BD5" w:rsidP="004C2C7D">
            <w:pPr>
              <w:rPr>
                <w:lang w:eastAsia="de-DE" w:bidi="de-DE"/>
              </w:rPr>
            </w:pPr>
            <w:r w:rsidRPr="002616E4">
              <w:rPr>
                <w:rFonts w:eastAsia="Calibri"/>
                <w:lang w:eastAsia="de-DE" w:bidi="de-DE"/>
              </w:rPr>
              <w:t> </w:t>
            </w:r>
          </w:p>
        </w:tc>
      </w:tr>
    </w:tbl>
    <w:p w14:paraId="418911BA" w14:textId="77777777" w:rsidR="005A5BD5" w:rsidRPr="002616E4" w:rsidRDefault="005A5BD5" w:rsidP="004C2C7D">
      <w:pPr>
        <w:rPr>
          <w:lang w:eastAsia="de-DE" w:bidi="de-DE"/>
        </w:rPr>
      </w:pPr>
      <w:r w:rsidRPr="002616E4">
        <w:rPr>
          <w:rFonts w:eastAsia="Calibri"/>
          <w:lang w:eastAsia="de-DE" w:bidi="de-DE"/>
        </w:rPr>
        <w:t> </w:t>
      </w:r>
    </w:p>
    <w:p w14:paraId="4279E702" w14:textId="49CFF618" w:rsidR="005A5BD5" w:rsidRPr="002616E4" w:rsidRDefault="005A5BD5" w:rsidP="004C2C7D">
      <w:pPr>
        <w:rPr>
          <w:lang w:eastAsia="de-DE" w:bidi="de-DE"/>
        </w:rPr>
      </w:pPr>
      <w:r w:rsidRPr="002616E4">
        <w:rPr>
          <w:rFonts w:eastAsia="Calibri"/>
          <w:szCs w:val="22"/>
          <w:lang w:eastAsia="de-DE" w:bidi="de-DE"/>
        </w:rPr>
        <w:tab/>
      </w:r>
      <w:r w:rsidRPr="002616E4">
        <w:rPr>
          <w:rFonts w:eastAsia="Calibri"/>
          <w:lang w:eastAsia="de-DE" w:bidi="de-DE"/>
        </w:rPr>
        <w:t>dabei ist:</w:t>
      </w:r>
    </w:p>
    <w:p w14:paraId="59A01AC8" w14:textId="77777777" w:rsidR="005A5BD5" w:rsidRPr="002616E4" w:rsidRDefault="005A5BD5" w:rsidP="004C2C7D">
      <w:pPr>
        <w:rPr>
          <w:lang w:eastAsia="de-DE" w:bidi="de-DE"/>
        </w:rPr>
      </w:pPr>
      <w:r w:rsidRPr="002616E4">
        <w:rPr>
          <w:rFonts w:eastAsia="Calibri"/>
          <w:szCs w:val="22"/>
          <w:lang w:eastAsia="de-DE" w:bidi="de-DE"/>
        </w:rPr>
        <w:tab/>
      </w:r>
      <w:r w:rsidRPr="002616E4">
        <w:rPr>
          <w:rFonts w:eastAsia="Calibri"/>
          <w:lang w:eastAsia="de-DE" w:bidi="de-DE"/>
        </w:rPr>
        <w:t>i = realer jährlicher Belastungssatz,</w:t>
      </w:r>
    </w:p>
    <w:p w14:paraId="6E304970" w14:textId="77777777" w:rsidR="005A5BD5" w:rsidRPr="002616E4" w:rsidRDefault="005A5BD5" w:rsidP="004C2C7D">
      <w:pPr>
        <w:rPr>
          <w:lang w:eastAsia="de-DE" w:bidi="de-DE"/>
        </w:rPr>
      </w:pPr>
      <w:r w:rsidRPr="002616E4">
        <w:rPr>
          <w:rFonts w:eastAsia="Calibri"/>
          <w:szCs w:val="22"/>
          <w:lang w:eastAsia="de-DE" w:bidi="de-DE"/>
        </w:rPr>
        <w:tab/>
      </w:r>
      <w:r w:rsidRPr="002616E4">
        <w:rPr>
          <w:rFonts w:eastAsia="Calibri"/>
          <w:lang w:eastAsia="de-DE" w:bidi="de-DE"/>
        </w:rPr>
        <w:t>p = monatlicher Belastungssatz,</w:t>
      </w:r>
    </w:p>
    <w:p w14:paraId="4D7E4546" w14:textId="12693787" w:rsidR="005A5BD5" w:rsidRDefault="005A5BD5" w:rsidP="004C2C7D">
      <w:pPr>
        <w:rPr>
          <w:rFonts w:eastAsia="Calibri"/>
          <w:lang w:eastAsia="de-DE" w:bidi="de-DE"/>
        </w:rPr>
      </w:pPr>
      <w:r w:rsidRPr="002616E4">
        <w:rPr>
          <w:rFonts w:eastAsia="Calibri"/>
          <w:szCs w:val="22"/>
          <w:lang w:eastAsia="de-DE" w:bidi="de-DE"/>
        </w:rPr>
        <w:tab/>
      </w:r>
      <w:r w:rsidRPr="002616E4">
        <w:rPr>
          <w:rFonts w:eastAsia="Calibri"/>
          <w:lang w:eastAsia="de-DE" w:bidi="de-DE"/>
        </w:rPr>
        <w:t>n = Rückzahlungsfrist in Monaten</w:t>
      </w:r>
      <w:r w:rsidR="005079B7">
        <w:rPr>
          <w:rFonts w:eastAsia="Calibri"/>
          <w:lang w:eastAsia="de-DE" w:bidi="de-DE"/>
        </w:rPr>
        <w:t>,</w:t>
      </w:r>
    </w:p>
    <w:p w14:paraId="0615344F" w14:textId="77777777" w:rsidR="005079B7" w:rsidRDefault="005079B7" w:rsidP="004C2C7D">
      <w:pPr>
        <w:rPr>
          <w:rFonts w:eastAsia="Calibri"/>
          <w:lang w:eastAsia="de-DE" w:bidi="de-DE"/>
        </w:rPr>
      </w:pPr>
    </w:p>
    <w:p w14:paraId="767BF362" w14:textId="70B33134" w:rsidR="005079B7" w:rsidRPr="00D1066F" w:rsidRDefault="005079B7" w:rsidP="005079B7">
      <w:pPr>
        <w:jc w:val="both"/>
      </w:pPr>
      <w:r>
        <w:rPr>
          <w:rFonts w:eastAsia="Calibri"/>
          <w:lang w:eastAsia="de-DE" w:bidi="de-DE"/>
        </w:rPr>
        <w:tab/>
        <w:t>[</w:t>
      </w:r>
      <w:r w:rsidRPr="00D1066F">
        <w:t>- oder, für den ab dem 1. Januar 2023 abgeschlossenen Darlehensvertrag, auf der Grundlage des realen jährlichen Belastungssatzes für das betreffende Jahr, berechnet anhand folgender Formel:</w:t>
      </w:r>
    </w:p>
    <w:p w14:paraId="0C34E80C" w14:textId="77777777" w:rsidR="005079B7" w:rsidRPr="00D1066F" w:rsidRDefault="005079B7" w:rsidP="005079B7">
      <w:pPr>
        <w:jc w:val="both"/>
      </w:pPr>
    </w:p>
    <w:p w14:paraId="64B6C822" w14:textId="77777777" w:rsidR="005079B7" w:rsidRPr="00D1066F" w:rsidRDefault="005079B7" w:rsidP="005079B7">
      <w:pPr>
        <w:jc w:val="center"/>
      </w:pPr>
      <w:r w:rsidRPr="00D1066F">
        <w:t>i = (1 + p)</w:t>
      </w:r>
      <w:r w:rsidRPr="00D1066F">
        <w:rPr>
          <w:vertAlign w:val="superscript"/>
        </w:rPr>
        <w:t>12</w:t>
      </w:r>
      <w:r w:rsidRPr="00D1066F">
        <w:t> - 1</w:t>
      </w:r>
    </w:p>
    <w:p w14:paraId="5328ADE5" w14:textId="77777777" w:rsidR="005079B7" w:rsidRPr="00D1066F" w:rsidRDefault="005079B7" w:rsidP="005079B7">
      <w:pPr>
        <w:jc w:val="both"/>
      </w:pPr>
    </w:p>
    <w:p w14:paraId="5AA41975" w14:textId="77777777" w:rsidR="005079B7" w:rsidRPr="00D1066F" w:rsidRDefault="005079B7" w:rsidP="005079B7">
      <w:pPr>
        <w:jc w:val="both"/>
      </w:pPr>
      <w:r w:rsidRPr="00D1066F">
        <w:tab/>
        <w:t>dabei ist:</w:t>
      </w:r>
    </w:p>
    <w:p w14:paraId="7437EBE2" w14:textId="77777777" w:rsidR="005079B7" w:rsidRPr="00D1066F" w:rsidRDefault="005079B7" w:rsidP="005079B7">
      <w:pPr>
        <w:jc w:val="both"/>
      </w:pPr>
      <w:r w:rsidRPr="00D1066F">
        <w:tab/>
        <w:t>i = realer jährlicher Belastungssatz,</w:t>
      </w:r>
    </w:p>
    <w:p w14:paraId="52441D5B" w14:textId="2573842A" w:rsidR="005079B7" w:rsidRPr="002616E4" w:rsidRDefault="005079B7" w:rsidP="005079B7">
      <w:pPr>
        <w:rPr>
          <w:lang w:eastAsia="de-DE" w:bidi="de-DE"/>
        </w:rPr>
      </w:pPr>
      <w:r w:rsidRPr="00D1066F">
        <w:tab/>
        <w:t>p = monatlicher Belastungssatz.</w:t>
      </w:r>
      <w:r>
        <w:t>]</w:t>
      </w:r>
    </w:p>
    <w:p w14:paraId="00346460" w14:textId="77777777" w:rsidR="00E50420" w:rsidRDefault="00E50420" w:rsidP="004C2C7D">
      <w:pPr>
        <w:rPr>
          <w:rFonts w:eastAsia="Calibri"/>
          <w:szCs w:val="22"/>
          <w:lang w:eastAsia="de-DE" w:bidi="de-DE"/>
        </w:rPr>
      </w:pPr>
    </w:p>
    <w:p w14:paraId="74FB7776" w14:textId="77777777" w:rsidR="005A5BD5" w:rsidRPr="002616E4" w:rsidRDefault="005A5BD5" w:rsidP="004C2C7D">
      <w:pPr>
        <w:rPr>
          <w:lang w:eastAsia="de-DE" w:bidi="de-DE"/>
        </w:rPr>
      </w:pPr>
      <w:r w:rsidRPr="002616E4">
        <w:rPr>
          <w:rFonts w:eastAsia="Calibri"/>
          <w:szCs w:val="22"/>
          <w:lang w:eastAsia="de-DE" w:bidi="de-DE"/>
        </w:rPr>
        <w:lastRenderedPageBreak/>
        <w:tab/>
      </w:r>
      <w:r w:rsidRPr="008C4E20">
        <w:rPr>
          <w:rFonts w:eastAsia="Calibri"/>
          <w:i/>
          <w:lang w:eastAsia="de-DE" w:bidi="de-DE"/>
        </w:rPr>
        <w:t>d)</w:t>
      </w:r>
      <w:r w:rsidRPr="002616E4">
        <w:rPr>
          <w:rFonts w:eastAsia="Calibri"/>
          <w:lang w:eastAsia="de-DE" w:bidi="de-DE"/>
        </w:rPr>
        <w:t xml:space="preserve"> Für Darlehen ohne feste Laufzeit, die keine Hypothekendarlehen sind, gilt der nachstehend festgelegte Bezugszinssatz des Jahres, in dem der Darlehensnehmer über die aufgenommenen Beträge verfügt hat:</w:t>
      </w:r>
    </w:p>
    <w:p w14:paraId="6E22D9BC" w14:textId="77777777" w:rsidR="005A5BD5" w:rsidRPr="002616E4" w:rsidRDefault="005A5BD5" w:rsidP="004C2C7D">
      <w:pPr>
        <w:rPr>
          <w:lang w:eastAsia="fr-BE" w:bidi="de-DE"/>
        </w:rPr>
      </w:pPr>
    </w:p>
    <w:tbl>
      <w:tblPr>
        <w:tblW w:w="10205" w:type="dxa"/>
        <w:jc w:val="center"/>
        <w:tblLayout w:type="fixed"/>
        <w:tblCellMar>
          <w:left w:w="120" w:type="dxa"/>
          <w:right w:w="120" w:type="dxa"/>
        </w:tblCellMar>
        <w:tblLook w:val="0000" w:firstRow="0" w:lastRow="0" w:firstColumn="0" w:lastColumn="0" w:noHBand="0" w:noVBand="0"/>
      </w:tblPr>
      <w:tblGrid>
        <w:gridCol w:w="5103"/>
        <w:gridCol w:w="5102"/>
      </w:tblGrid>
      <w:tr w:rsidR="005A5BD5" w:rsidRPr="002616E4" w14:paraId="5CAC4684" w14:textId="77777777" w:rsidTr="004C2C7D">
        <w:trPr>
          <w:tblHeader/>
          <w:jc w:val="center"/>
        </w:trPr>
        <w:tc>
          <w:tcPr>
            <w:tcW w:w="5103" w:type="dxa"/>
            <w:tcBorders>
              <w:top w:val="double" w:sz="6" w:space="0" w:color="auto"/>
              <w:left w:val="double" w:sz="6" w:space="0" w:color="auto"/>
              <w:bottom w:val="single" w:sz="7" w:space="0" w:color="auto"/>
              <w:right w:val="single" w:sz="6" w:space="0" w:color="auto"/>
            </w:tcBorders>
          </w:tcPr>
          <w:p w14:paraId="4A07F0DD" w14:textId="77777777" w:rsidR="005A5BD5" w:rsidRPr="002616E4" w:rsidRDefault="005A5BD5" w:rsidP="004C2C7D">
            <w:pPr>
              <w:spacing w:before="120" w:after="120"/>
              <w:jc w:val="center"/>
              <w:rPr>
                <w:rFonts w:eastAsia="Calibri"/>
                <w:spacing w:val="-2"/>
                <w:szCs w:val="22"/>
                <w:lang w:eastAsia="de-DE" w:bidi="de-DE"/>
              </w:rPr>
            </w:pPr>
            <w:r w:rsidRPr="002616E4">
              <w:rPr>
                <w:rFonts w:eastAsia="Calibri"/>
                <w:spacing w:val="-2"/>
                <w:szCs w:val="22"/>
                <w:lang w:eastAsia="de-DE" w:bidi="de-DE"/>
              </w:rPr>
              <w:t>Jahr, in dem der Darlehensnehmer über die aufgenommenen Beträge verfügt hat:</w:t>
            </w:r>
          </w:p>
        </w:tc>
        <w:tc>
          <w:tcPr>
            <w:tcW w:w="5102" w:type="dxa"/>
            <w:tcBorders>
              <w:top w:val="double" w:sz="6" w:space="0" w:color="auto"/>
              <w:left w:val="single" w:sz="6" w:space="0" w:color="auto"/>
              <w:bottom w:val="single" w:sz="7" w:space="0" w:color="auto"/>
              <w:right w:val="double" w:sz="6" w:space="0" w:color="auto"/>
            </w:tcBorders>
          </w:tcPr>
          <w:p w14:paraId="2DB039F5" w14:textId="77777777" w:rsidR="005A5BD5" w:rsidRPr="002616E4" w:rsidRDefault="005A5BD5" w:rsidP="004C2C7D">
            <w:pPr>
              <w:spacing w:before="120" w:after="120"/>
              <w:jc w:val="center"/>
              <w:rPr>
                <w:rFonts w:eastAsia="Calibri"/>
                <w:spacing w:val="-2"/>
                <w:szCs w:val="22"/>
                <w:lang w:eastAsia="de-DE" w:bidi="de-DE"/>
              </w:rPr>
            </w:pPr>
            <w:r w:rsidRPr="002616E4">
              <w:rPr>
                <w:rFonts w:eastAsia="Calibri"/>
                <w:spacing w:val="-2"/>
                <w:szCs w:val="22"/>
                <w:lang w:eastAsia="de-DE" w:bidi="de-DE"/>
              </w:rPr>
              <w:t>Zu berücksichtigender Bezugszinssatz</w:t>
            </w:r>
          </w:p>
        </w:tc>
      </w:tr>
      <w:tr w:rsidR="005A5BD5" w:rsidRPr="002616E4" w14:paraId="0AD22AA6" w14:textId="77777777" w:rsidTr="004C2C7D">
        <w:trPr>
          <w:trHeight w:val="357"/>
          <w:jc w:val="center"/>
        </w:trPr>
        <w:tc>
          <w:tcPr>
            <w:tcW w:w="5103" w:type="dxa"/>
            <w:tcBorders>
              <w:left w:val="double" w:sz="6" w:space="0" w:color="auto"/>
              <w:right w:val="single" w:sz="6" w:space="0" w:color="auto"/>
            </w:tcBorders>
            <w:vAlign w:val="center"/>
          </w:tcPr>
          <w:p w14:paraId="581A1FFA" w14:textId="77777777" w:rsidR="005A5BD5" w:rsidRPr="002616E4" w:rsidRDefault="005A5BD5" w:rsidP="004C2C7D">
            <w:pPr>
              <w:jc w:val="center"/>
              <w:rPr>
                <w:rFonts w:eastAsia="Calibri"/>
                <w:spacing w:val="-2"/>
                <w:szCs w:val="22"/>
                <w:lang w:eastAsia="de-DE" w:bidi="de-DE"/>
              </w:rPr>
            </w:pPr>
          </w:p>
        </w:tc>
        <w:tc>
          <w:tcPr>
            <w:tcW w:w="5102" w:type="dxa"/>
            <w:tcBorders>
              <w:left w:val="single" w:sz="6" w:space="0" w:color="auto"/>
              <w:right w:val="double" w:sz="6" w:space="0" w:color="auto"/>
            </w:tcBorders>
            <w:vAlign w:val="center"/>
          </w:tcPr>
          <w:p w14:paraId="7D49947B" w14:textId="77777777" w:rsidR="005A5BD5" w:rsidRPr="002616E4" w:rsidRDefault="005A5BD5" w:rsidP="004C2C7D">
            <w:pPr>
              <w:jc w:val="center"/>
              <w:rPr>
                <w:rFonts w:eastAsia="Calibri"/>
                <w:spacing w:val="-2"/>
                <w:szCs w:val="22"/>
                <w:lang w:eastAsia="de-DE" w:bidi="de-DE"/>
              </w:rPr>
            </w:pPr>
            <w:r w:rsidRPr="002616E4">
              <w:rPr>
                <w:rFonts w:eastAsia="Calibri"/>
                <w:spacing w:val="-2"/>
                <w:szCs w:val="22"/>
                <w:lang w:eastAsia="de-DE" w:bidi="de-DE"/>
              </w:rPr>
              <w:t>%</w:t>
            </w:r>
          </w:p>
        </w:tc>
      </w:tr>
      <w:tr w:rsidR="005A5BD5" w:rsidRPr="002616E4" w14:paraId="5C9E859E" w14:textId="77777777" w:rsidTr="004C2C7D">
        <w:trPr>
          <w:trHeight w:val="357"/>
          <w:jc w:val="center"/>
        </w:trPr>
        <w:tc>
          <w:tcPr>
            <w:tcW w:w="5103" w:type="dxa"/>
            <w:tcBorders>
              <w:left w:val="double" w:sz="6" w:space="0" w:color="auto"/>
              <w:right w:val="single" w:sz="6" w:space="0" w:color="auto"/>
            </w:tcBorders>
            <w:vAlign w:val="center"/>
          </w:tcPr>
          <w:p w14:paraId="3BBACE70"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1981</w:t>
            </w:r>
          </w:p>
        </w:tc>
        <w:tc>
          <w:tcPr>
            <w:tcW w:w="5102" w:type="dxa"/>
            <w:tcBorders>
              <w:left w:val="single" w:sz="6" w:space="0" w:color="auto"/>
              <w:right w:val="double" w:sz="6" w:space="0" w:color="auto"/>
            </w:tcBorders>
            <w:vAlign w:val="center"/>
          </w:tcPr>
          <w:p w14:paraId="088E7801"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11</w:t>
            </w:r>
          </w:p>
        </w:tc>
      </w:tr>
      <w:tr w:rsidR="005A5BD5" w:rsidRPr="002616E4" w14:paraId="3D1D2255" w14:textId="77777777" w:rsidTr="004C2C7D">
        <w:trPr>
          <w:trHeight w:val="357"/>
          <w:jc w:val="center"/>
        </w:trPr>
        <w:tc>
          <w:tcPr>
            <w:tcW w:w="5103" w:type="dxa"/>
            <w:tcBorders>
              <w:left w:val="double" w:sz="6" w:space="0" w:color="auto"/>
              <w:right w:val="single" w:sz="6" w:space="0" w:color="auto"/>
            </w:tcBorders>
            <w:vAlign w:val="center"/>
          </w:tcPr>
          <w:p w14:paraId="4878F4A3"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1982</w:t>
            </w:r>
          </w:p>
        </w:tc>
        <w:tc>
          <w:tcPr>
            <w:tcW w:w="5102" w:type="dxa"/>
            <w:tcBorders>
              <w:left w:val="single" w:sz="6" w:space="0" w:color="auto"/>
              <w:right w:val="double" w:sz="6" w:space="0" w:color="auto"/>
            </w:tcBorders>
            <w:vAlign w:val="center"/>
          </w:tcPr>
          <w:p w14:paraId="634DDCD1"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13</w:t>
            </w:r>
          </w:p>
        </w:tc>
      </w:tr>
      <w:tr w:rsidR="005A5BD5" w:rsidRPr="002616E4" w14:paraId="59E3FF04" w14:textId="77777777" w:rsidTr="004C2C7D">
        <w:trPr>
          <w:trHeight w:val="357"/>
          <w:jc w:val="center"/>
        </w:trPr>
        <w:tc>
          <w:tcPr>
            <w:tcW w:w="5103" w:type="dxa"/>
            <w:tcBorders>
              <w:left w:val="double" w:sz="6" w:space="0" w:color="auto"/>
              <w:right w:val="single" w:sz="6" w:space="0" w:color="auto"/>
            </w:tcBorders>
            <w:vAlign w:val="center"/>
          </w:tcPr>
          <w:p w14:paraId="21BAD9A4"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1983</w:t>
            </w:r>
          </w:p>
        </w:tc>
        <w:tc>
          <w:tcPr>
            <w:tcW w:w="5102" w:type="dxa"/>
            <w:tcBorders>
              <w:left w:val="single" w:sz="6" w:space="0" w:color="auto"/>
              <w:right w:val="double" w:sz="6" w:space="0" w:color="auto"/>
            </w:tcBorders>
            <w:vAlign w:val="center"/>
          </w:tcPr>
          <w:p w14:paraId="183C3C5A"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13</w:t>
            </w:r>
          </w:p>
        </w:tc>
      </w:tr>
      <w:tr w:rsidR="005A5BD5" w:rsidRPr="002616E4" w14:paraId="1A3B702B" w14:textId="77777777" w:rsidTr="004C2C7D">
        <w:trPr>
          <w:trHeight w:val="357"/>
          <w:jc w:val="center"/>
        </w:trPr>
        <w:tc>
          <w:tcPr>
            <w:tcW w:w="5103" w:type="dxa"/>
            <w:tcBorders>
              <w:left w:val="double" w:sz="6" w:space="0" w:color="auto"/>
              <w:right w:val="single" w:sz="6" w:space="0" w:color="auto"/>
            </w:tcBorders>
            <w:vAlign w:val="center"/>
          </w:tcPr>
          <w:p w14:paraId="1ABB30BF"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1984</w:t>
            </w:r>
          </w:p>
        </w:tc>
        <w:tc>
          <w:tcPr>
            <w:tcW w:w="5102" w:type="dxa"/>
            <w:tcBorders>
              <w:left w:val="single" w:sz="6" w:space="0" w:color="auto"/>
              <w:right w:val="double" w:sz="6" w:space="0" w:color="auto"/>
            </w:tcBorders>
            <w:vAlign w:val="center"/>
          </w:tcPr>
          <w:p w14:paraId="1A49BF45"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13</w:t>
            </w:r>
          </w:p>
        </w:tc>
      </w:tr>
      <w:tr w:rsidR="005A5BD5" w:rsidRPr="002616E4" w14:paraId="07EAEE6A" w14:textId="77777777" w:rsidTr="004C2C7D">
        <w:trPr>
          <w:trHeight w:val="357"/>
          <w:jc w:val="center"/>
        </w:trPr>
        <w:tc>
          <w:tcPr>
            <w:tcW w:w="5103" w:type="dxa"/>
            <w:tcBorders>
              <w:left w:val="double" w:sz="6" w:space="0" w:color="auto"/>
              <w:right w:val="single" w:sz="6" w:space="0" w:color="auto"/>
            </w:tcBorders>
            <w:vAlign w:val="center"/>
          </w:tcPr>
          <w:p w14:paraId="754ADAA3"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1985</w:t>
            </w:r>
          </w:p>
        </w:tc>
        <w:tc>
          <w:tcPr>
            <w:tcW w:w="5102" w:type="dxa"/>
            <w:tcBorders>
              <w:left w:val="single" w:sz="6" w:space="0" w:color="auto"/>
              <w:right w:val="double" w:sz="6" w:space="0" w:color="auto"/>
            </w:tcBorders>
            <w:vAlign w:val="center"/>
          </w:tcPr>
          <w:p w14:paraId="53B2A82F"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12</w:t>
            </w:r>
          </w:p>
        </w:tc>
      </w:tr>
      <w:tr w:rsidR="005A5BD5" w:rsidRPr="002616E4" w14:paraId="05AEF03B" w14:textId="77777777" w:rsidTr="004C2C7D">
        <w:trPr>
          <w:trHeight w:val="357"/>
          <w:jc w:val="center"/>
        </w:trPr>
        <w:tc>
          <w:tcPr>
            <w:tcW w:w="5103" w:type="dxa"/>
            <w:tcBorders>
              <w:left w:val="double" w:sz="6" w:space="0" w:color="auto"/>
              <w:right w:val="single" w:sz="6" w:space="0" w:color="auto"/>
            </w:tcBorders>
            <w:vAlign w:val="center"/>
          </w:tcPr>
          <w:p w14:paraId="5AC91C18"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1986</w:t>
            </w:r>
          </w:p>
        </w:tc>
        <w:tc>
          <w:tcPr>
            <w:tcW w:w="5102" w:type="dxa"/>
            <w:tcBorders>
              <w:left w:val="single" w:sz="6" w:space="0" w:color="auto"/>
              <w:right w:val="double" w:sz="6" w:space="0" w:color="auto"/>
            </w:tcBorders>
            <w:vAlign w:val="center"/>
          </w:tcPr>
          <w:p w14:paraId="70479869"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9,75</w:t>
            </w:r>
          </w:p>
        </w:tc>
      </w:tr>
      <w:tr w:rsidR="005A5BD5" w:rsidRPr="002616E4" w14:paraId="7D734E2F" w14:textId="77777777" w:rsidTr="004C2C7D">
        <w:trPr>
          <w:trHeight w:val="357"/>
          <w:jc w:val="center"/>
        </w:trPr>
        <w:tc>
          <w:tcPr>
            <w:tcW w:w="5103" w:type="dxa"/>
            <w:tcBorders>
              <w:left w:val="double" w:sz="6" w:space="0" w:color="auto"/>
              <w:right w:val="single" w:sz="6" w:space="0" w:color="auto"/>
            </w:tcBorders>
            <w:vAlign w:val="center"/>
          </w:tcPr>
          <w:p w14:paraId="2342B31E"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1987</w:t>
            </w:r>
          </w:p>
        </w:tc>
        <w:tc>
          <w:tcPr>
            <w:tcW w:w="5102" w:type="dxa"/>
            <w:tcBorders>
              <w:left w:val="single" w:sz="6" w:space="0" w:color="auto"/>
              <w:right w:val="double" w:sz="6" w:space="0" w:color="auto"/>
            </w:tcBorders>
            <w:vAlign w:val="center"/>
          </w:tcPr>
          <w:p w14:paraId="50DE5BC4"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8,75</w:t>
            </w:r>
          </w:p>
        </w:tc>
      </w:tr>
      <w:tr w:rsidR="005A5BD5" w:rsidRPr="002616E4" w14:paraId="4D38EC71" w14:textId="77777777" w:rsidTr="004C2C7D">
        <w:trPr>
          <w:trHeight w:val="357"/>
          <w:jc w:val="center"/>
        </w:trPr>
        <w:tc>
          <w:tcPr>
            <w:tcW w:w="5103" w:type="dxa"/>
            <w:tcBorders>
              <w:left w:val="double" w:sz="6" w:space="0" w:color="auto"/>
              <w:right w:val="single" w:sz="6" w:space="0" w:color="auto"/>
            </w:tcBorders>
            <w:vAlign w:val="center"/>
          </w:tcPr>
          <w:p w14:paraId="4B8B5510"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1988</w:t>
            </w:r>
          </w:p>
        </w:tc>
        <w:tc>
          <w:tcPr>
            <w:tcW w:w="5102" w:type="dxa"/>
            <w:tcBorders>
              <w:left w:val="single" w:sz="6" w:space="0" w:color="auto"/>
              <w:right w:val="double" w:sz="6" w:space="0" w:color="auto"/>
            </w:tcBorders>
            <w:vAlign w:val="center"/>
          </w:tcPr>
          <w:p w14:paraId="3B4B278C"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8,25</w:t>
            </w:r>
          </w:p>
        </w:tc>
      </w:tr>
      <w:tr w:rsidR="005A5BD5" w:rsidRPr="002616E4" w14:paraId="34FA8DFC" w14:textId="77777777" w:rsidTr="004C2C7D">
        <w:trPr>
          <w:trHeight w:val="357"/>
          <w:jc w:val="center"/>
        </w:trPr>
        <w:tc>
          <w:tcPr>
            <w:tcW w:w="5103" w:type="dxa"/>
            <w:tcBorders>
              <w:left w:val="double" w:sz="6" w:space="0" w:color="auto"/>
              <w:right w:val="single" w:sz="6" w:space="0" w:color="auto"/>
            </w:tcBorders>
            <w:vAlign w:val="center"/>
          </w:tcPr>
          <w:p w14:paraId="1BD388F0"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1989</w:t>
            </w:r>
          </w:p>
        </w:tc>
        <w:tc>
          <w:tcPr>
            <w:tcW w:w="5102" w:type="dxa"/>
            <w:tcBorders>
              <w:left w:val="single" w:sz="6" w:space="0" w:color="auto"/>
              <w:right w:val="double" w:sz="6" w:space="0" w:color="auto"/>
            </w:tcBorders>
            <w:vAlign w:val="center"/>
          </w:tcPr>
          <w:p w14:paraId="1D392985"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9,50</w:t>
            </w:r>
          </w:p>
        </w:tc>
      </w:tr>
      <w:tr w:rsidR="005A5BD5" w:rsidRPr="002616E4" w14:paraId="724F8907" w14:textId="77777777" w:rsidTr="004C2C7D">
        <w:trPr>
          <w:trHeight w:val="357"/>
          <w:jc w:val="center"/>
        </w:trPr>
        <w:tc>
          <w:tcPr>
            <w:tcW w:w="5103" w:type="dxa"/>
            <w:tcBorders>
              <w:left w:val="double" w:sz="6" w:space="0" w:color="auto"/>
              <w:right w:val="single" w:sz="6" w:space="0" w:color="auto"/>
            </w:tcBorders>
            <w:vAlign w:val="center"/>
          </w:tcPr>
          <w:p w14:paraId="0B25DF02"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1990</w:t>
            </w:r>
          </w:p>
        </w:tc>
        <w:tc>
          <w:tcPr>
            <w:tcW w:w="5102" w:type="dxa"/>
            <w:tcBorders>
              <w:left w:val="single" w:sz="6" w:space="0" w:color="auto"/>
              <w:right w:val="double" w:sz="6" w:space="0" w:color="auto"/>
            </w:tcBorders>
            <w:vAlign w:val="center"/>
          </w:tcPr>
          <w:p w14:paraId="46E8F6C4"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12,75</w:t>
            </w:r>
          </w:p>
        </w:tc>
      </w:tr>
      <w:tr w:rsidR="005A5BD5" w:rsidRPr="002616E4" w14:paraId="591110D8" w14:textId="77777777" w:rsidTr="004C2C7D">
        <w:trPr>
          <w:trHeight w:val="357"/>
          <w:jc w:val="center"/>
        </w:trPr>
        <w:tc>
          <w:tcPr>
            <w:tcW w:w="5103" w:type="dxa"/>
            <w:tcBorders>
              <w:left w:val="double" w:sz="6" w:space="0" w:color="auto"/>
              <w:right w:val="single" w:sz="6" w:space="0" w:color="auto"/>
            </w:tcBorders>
            <w:vAlign w:val="center"/>
          </w:tcPr>
          <w:p w14:paraId="7048CAD9"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1991</w:t>
            </w:r>
          </w:p>
        </w:tc>
        <w:tc>
          <w:tcPr>
            <w:tcW w:w="5102" w:type="dxa"/>
            <w:tcBorders>
              <w:left w:val="single" w:sz="6" w:space="0" w:color="auto"/>
              <w:right w:val="double" w:sz="6" w:space="0" w:color="auto"/>
            </w:tcBorders>
            <w:vAlign w:val="center"/>
          </w:tcPr>
          <w:p w14:paraId="339AEA08"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12,75</w:t>
            </w:r>
          </w:p>
        </w:tc>
      </w:tr>
      <w:tr w:rsidR="005A5BD5" w:rsidRPr="002616E4" w14:paraId="5ECD8315" w14:textId="77777777" w:rsidTr="004C2C7D">
        <w:trPr>
          <w:trHeight w:val="357"/>
          <w:jc w:val="center"/>
        </w:trPr>
        <w:tc>
          <w:tcPr>
            <w:tcW w:w="5103" w:type="dxa"/>
            <w:tcBorders>
              <w:left w:val="double" w:sz="6" w:space="0" w:color="auto"/>
              <w:right w:val="single" w:sz="6" w:space="0" w:color="auto"/>
            </w:tcBorders>
            <w:vAlign w:val="center"/>
          </w:tcPr>
          <w:p w14:paraId="7EC0036F"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[1992]</w:t>
            </w:r>
          </w:p>
        </w:tc>
        <w:tc>
          <w:tcPr>
            <w:tcW w:w="5102" w:type="dxa"/>
            <w:tcBorders>
              <w:left w:val="single" w:sz="6" w:space="0" w:color="auto"/>
              <w:right w:val="double" w:sz="6" w:space="0" w:color="auto"/>
            </w:tcBorders>
            <w:vAlign w:val="center"/>
          </w:tcPr>
          <w:p w14:paraId="2750B8C7"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[12]</w:t>
            </w:r>
          </w:p>
        </w:tc>
      </w:tr>
      <w:tr w:rsidR="005A5BD5" w:rsidRPr="002616E4" w14:paraId="1144FD6E" w14:textId="77777777" w:rsidTr="004C2C7D">
        <w:trPr>
          <w:trHeight w:val="357"/>
          <w:jc w:val="center"/>
        </w:trPr>
        <w:tc>
          <w:tcPr>
            <w:tcW w:w="5103" w:type="dxa"/>
            <w:tcBorders>
              <w:left w:val="double" w:sz="6" w:space="0" w:color="auto"/>
              <w:right w:val="single" w:sz="6" w:space="0" w:color="auto"/>
            </w:tcBorders>
            <w:vAlign w:val="center"/>
          </w:tcPr>
          <w:p w14:paraId="0D2A9FD6"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[1993]</w:t>
            </w:r>
          </w:p>
        </w:tc>
        <w:tc>
          <w:tcPr>
            <w:tcW w:w="5102" w:type="dxa"/>
            <w:tcBorders>
              <w:left w:val="single" w:sz="6" w:space="0" w:color="auto"/>
              <w:right w:val="double" w:sz="6" w:space="0" w:color="auto"/>
            </w:tcBorders>
            <w:vAlign w:val="center"/>
          </w:tcPr>
          <w:p w14:paraId="37429B1A"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[10,50]</w:t>
            </w:r>
          </w:p>
        </w:tc>
      </w:tr>
      <w:tr w:rsidR="005A5BD5" w:rsidRPr="002616E4" w14:paraId="6BC80D67" w14:textId="77777777" w:rsidTr="004C2C7D">
        <w:trPr>
          <w:trHeight w:val="357"/>
          <w:jc w:val="center"/>
        </w:trPr>
        <w:tc>
          <w:tcPr>
            <w:tcW w:w="5103" w:type="dxa"/>
            <w:tcBorders>
              <w:left w:val="double" w:sz="6" w:space="0" w:color="auto"/>
              <w:right w:val="single" w:sz="6" w:space="0" w:color="auto"/>
            </w:tcBorders>
            <w:vAlign w:val="center"/>
          </w:tcPr>
          <w:p w14:paraId="1EBB154B"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[1994]</w:t>
            </w:r>
          </w:p>
        </w:tc>
        <w:tc>
          <w:tcPr>
            <w:tcW w:w="5102" w:type="dxa"/>
            <w:tcBorders>
              <w:left w:val="single" w:sz="6" w:space="0" w:color="auto"/>
              <w:right w:val="double" w:sz="6" w:space="0" w:color="auto"/>
            </w:tcBorders>
            <w:vAlign w:val="center"/>
          </w:tcPr>
          <w:p w14:paraId="0A2C97CB"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[9,25]</w:t>
            </w:r>
          </w:p>
        </w:tc>
      </w:tr>
      <w:tr w:rsidR="005A5BD5" w:rsidRPr="002616E4" w14:paraId="61E29A70" w14:textId="77777777" w:rsidTr="004C2C7D">
        <w:trPr>
          <w:trHeight w:val="357"/>
          <w:jc w:val="center"/>
        </w:trPr>
        <w:tc>
          <w:tcPr>
            <w:tcW w:w="5103" w:type="dxa"/>
            <w:tcBorders>
              <w:left w:val="double" w:sz="6" w:space="0" w:color="auto"/>
              <w:right w:val="single" w:sz="6" w:space="0" w:color="auto"/>
            </w:tcBorders>
            <w:vAlign w:val="center"/>
          </w:tcPr>
          <w:p w14:paraId="74B70D45"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[1995]</w:t>
            </w:r>
          </w:p>
        </w:tc>
        <w:tc>
          <w:tcPr>
            <w:tcW w:w="5102" w:type="dxa"/>
            <w:tcBorders>
              <w:left w:val="single" w:sz="6" w:space="0" w:color="auto"/>
              <w:right w:val="double" w:sz="6" w:space="0" w:color="auto"/>
            </w:tcBorders>
            <w:vAlign w:val="center"/>
          </w:tcPr>
          <w:p w14:paraId="2D84FCCA"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[8,25]</w:t>
            </w:r>
          </w:p>
        </w:tc>
      </w:tr>
      <w:tr w:rsidR="005A5BD5" w:rsidRPr="002616E4" w14:paraId="3E93EE4B" w14:textId="77777777" w:rsidTr="004C2C7D">
        <w:trPr>
          <w:trHeight w:val="357"/>
          <w:jc w:val="center"/>
        </w:trPr>
        <w:tc>
          <w:tcPr>
            <w:tcW w:w="5103" w:type="dxa"/>
            <w:tcBorders>
              <w:left w:val="double" w:sz="6" w:space="0" w:color="auto"/>
              <w:right w:val="single" w:sz="6" w:space="0" w:color="auto"/>
            </w:tcBorders>
            <w:vAlign w:val="center"/>
          </w:tcPr>
          <w:p w14:paraId="4D4B9859"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[1996]</w:t>
            </w:r>
          </w:p>
        </w:tc>
        <w:tc>
          <w:tcPr>
            <w:tcW w:w="5102" w:type="dxa"/>
            <w:tcBorders>
              <w:left w:val="single" w:sz="6" w:space="0" w:color="auto"/>
              <w:right w:val="double" w:sz="6" w:space="0" w:color="auto"/>
            </w:tcBorders>
            <w:vAlign w:val="center"/>
          </w:tcPr>
          <w:p w14:paraId="68206A1E"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[7,25]</w:t>
            </w:r>
          </w:p>
        </w:tc>
      </w:tr>
      <w:tr w:rsidR="005A5BD5" w:rsidRPr="002616E4" w14:paraId="1488EE37" w14:textId="77777777" w:rsidTr="004C2C7D">
        <w:trPr>
          <w:trHeight w:val="357"/>
          <w:jc w:val="center"/>
        </w:trPr>
        <w:tc>
          <w:tcPr>
            <w:tcW w:w="5103" w:type="dxa"/>
            <w:tcBorders>
              <w:left w:val="double" w:sz="6" w:space="0" w:color="auto"/>
              <w:right w:val="single" w:sz="6" w:space="0" w:color="auto"/>
            </w:tcBorders>
            <w:vAlign w:val="center"/>
          </w:tcPr>
          <w:p w14:paraId="4C299494"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[1997]</w:t>
            </w:r>
          </w:p>
        </w:tc>
        <w:tc>
          <w:tcPr>
            <w:tcW w:w="5102" w:type="dxa"/>
            <w:tcBorders>
              <w:left w:val="single" w:sz="6" w:space="0" w:color="auto"/>
              <w:right w:val="double" w:sz="6" w:space="0" w:color="auto"/>
            </w:tcBorders>
            <w:vAlign w:val="center"/>
          </w:tcPr>
          <w:p w14:paraId="7235C9BB"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[7,00]</w:t>
            </w:r>
          </w:p>
        </w:tc>
      </w:tr>
      <w:tr w:rsidR="005A5BD5" w:rsidRPr="002616E4" w14:paraId="149C46E9" w14:textId="77777777" w:rsidTr="004C2C7D">
        <w:trPr>
          <w:trHeight w:val="357"/>
          <w:jc w:val="center"/>
        </w:trPr>
        <w:tc>
          <w:tcPr>
            <w:tcW w:w="5103" w:type="dxa"/>
            <w:tcBorders>
              <w:left w:val="double" w:sz="6" w:space="0" w:color="auto"/>
              <w:right w:val="single" w:sz="6" w:space="0" w:color="auto"/>
            </w:tcBorders>
            <w:vAlign w:val="center"/>
          </w:tcPr>
          <w:p w14:paraId="64278161"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[1998]</w:t>
            </w:r>
          </w:p>
        </w:tc>
        <w:tc>
          <w:tcPr>
            <w:tcW w:w="5102" w:type="dxa"/>
            <w:tcBorders>
              <w:left w:val="single" w:sz="6" w:space="0" w:color="auto"/>
              <w:right w:val="double" w:sz="6" w:space="0" w:color="auto"/>
            </w:tcBorders>
            <w:vAlign w:val="center"/>
          </w:tcPr>
          <w:p w14:paraId="5A9B586D" w14:textId="77777777" w:rsidR="005A5BD5" w:rsidRPr="002616E4" w:rsidRDefault="005A5BD5" w:rsidP="005B3C4E">
            <w:pPr>
              <w:tabs>
                <w:tab w:val="left" w:pos="567"/>
                <w:tab w:val="left" w:pos="1134"/>
                <w:tab w:val="left" w:pos="1701"/>
                <w:tab w:val="left" w:pos="2268"/>
                <w:tab w:val="left" w:pos="2835"/>
                <w:tab w:val="left" w:pos="3402"/>
                <w:tab w:val="left" w:pos="3969"/>
              </w:tabs>
              <w:spacing w:line="16" w:lineRule="atLeast"/>
              <w:jc w:val="center"/>
              <w:rPr>
                <w:spacing w:val="-2"/>
                <w:sz w:val="22"/>
                <w:szCs w:val="20"/>
                <w:lang w:eastAsia="de-DE" w:bidi="de-DE"/>
              </w:rPr>
            </w:pPr>
            <w:r w:rsidRPr="002616E4">
              <w:rPr>
                <w:spacing w:val="-2"/>
                <w:sz w:val="22"/>
                <w:szCs w:val="20"/>
                <w:lang w:eastAsia="de-DE" w:bidi="de-DE"/>
              </w:rPr>
              <w:t>[7,25]</w:t>
            </w:r>
          </w:p>
        </w:tc>
      </w:tr>
      <w:tr w:rsidR="005A5BD5" w:rsidRPr="002616E4" w14:paraId="668D15F3" w14:textId="77777777" w:rsidTr="004C2C7D">
        <w:trPr>
          <w:trHeight w:val="357"/>
          <w:jc w:val="center"/>
        </w:trPr>
        <w:tc>
          <w:tcPr>
            <w:tcW w:w="5103" w:type="dxa"/>
            <w:tcBorders>
              <w:left w:val="double" w:sz="6" w:space="0" w:color="auto"/>
              <w:right w:val="single" w:sz="6" w:space="0" w:color="auto"/>
            </w:tcBorders>
            <w:vAlign w:val="center"/>
          </w:tcPr>
          <w:p w14:paraId="4A590F0B"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[1999]</w:t>
            </w:r>
          </w:p>
        </w:tc>
        <w:tc>
          <w:tcPr>
            <w:tcW w:w="5102" w:type="dxa"/>
            <w:tcBorders>
              <w:left w:val="single" w:sz="6" w:space="0" w:color="auto"/>
              <w:right w:val="double" w:sz="6" w:space="0" w:color="auto"/>
            </w:tcBorders>
            <w:vAlign w:val="center"/>
          </w:tcPr>
          <w:p w14:paraId="55A2EDE4"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[6,75]</w:t>
            </w:r>
          </w:p>
        </w:tc>
      </w:tr>
      <w:tr w:rsidR="005A5BD5" w:rsidRPr="002616E4" w14:paraId="3A59230E" w14:textId="77777777" w:rsidTr="004C2C7D">
        <w:trPr>
          <w:trHeight w:val="357"/>
          <w:jc w:val="center"/>
        </w:trPr>
        <w:tc>
          <w:tcPr>
            <w:tcW w:w="5103" w:type="dxa"/>
            <w:tcBorders>
              <w:left w:val="double" w:sz="6" w:space="0" w:color="auto"/>
              <w:right w:val="single" w:sz="6" w:space="0" w:color="auto"/>
            </w:tcBorders>
            <w:vAlign w:val="center"/>
          </w:tcPr>
          <w:p w14:paraId="4D8FE81D"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[2000]</w:t>
            </w:r>
          </w:p>
        </w:tc>
        <w:tc>
          <w:tcPr>
            <w:tcW w:w="5102" w:type="dxa"/>
            <w:tcBorders>
              <w:left w:val="single" w:sz="6" w:space="0" w:color="auto"/>
              <w:right w:val="double" w:sz="6" w:space="0" w:color="auto"/>
            </w:tcBorders>
            <w:vAlign w:val="center"/>
          </w:tcPr>
          <w:p w14:paraId="24C87C66"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[7,9]</w:t>
            </w:r>
          </w:p>
        </w:tc>
      </w:tr>
      <w:tr w:rsidR="005A5BD5" w:rsidRPr="002616E4" w14:paraId="00338E0A" w14:textId="77777777" w:rsidTr="004C2C7D">
        <w:trPr>
          <w:trHeight w:val="357"/>
          <w:jc w:val="center"/>
        </w:trPr>
        <w:tc>
          <w:tcPr>
            <w:tcW w:w="5103" w:type="dxa"/>
            <w:tcBorders>
              <w:left w:val="double" w:sz="6" w:space="0" w:color="auto"/>
              <w:right w:val="single" w:sz="6" w:space="0" w:color="auto"/>
            </w:tcBorders>
            <w:vAlign w:val="center"/>
          </w:tcPr>
          <w:p w14:paraId="08A2AD4D"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[2001]</w:t>
            </w:r>
          </w:p>
        </w:tc>
        <w:tc>
          <w:tcPr>
            <w:tcW w:w="5102" w:type="dxa"/>
            <w:tcBorders>
              <w:left w:val="single" w:sz="6" w:space="0" w:color="auto"/>
              <w:right w:val="double" w:sz="6" w:space="0" w:color="auto"/>
            </w:tcBorders>
            <w:vAlign w:val="center"/>
          </w:tcPr>
          <w:p w14:paraId="63DF14F3"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[8,60]</w:t>
            </w:r>
          </w:p>
        </w:tc>
      </w:tr>
      <w:tr w:rsidR="005A5BD5" w:rsidRPr="002616E4" w14:paraId="36CD2297" w14:textId="77777777" w:rsidTr="004C2C7D">
        <w:trPr>
          <w:trHeight w:val="357"/>
          <w:jc w:val="center"/>
        </w:trPr>
        <w:tc>
          <w:tcPr>
            <w:tcW w:w="5103" w:type="dxa"/>
            <w:tcBorders>
              <w:left w:val="double" w:sz="6" w:space="0" w:color="auto"/>
              <w:right w:val="single" w:sz="6" w:space="0" w:color="auto"/>
            </w:tcBorders>
            <w:vAlign w:val="center"/>
          </w:tcPr>
          <w:p w14:paraId="54DCCE5A"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[2002]</w:t>
            </w:r>
          </w:p>
        </w:tc>
        <w:tc>
          <w:tcPr>
            <w:tcW w:w="5102" w:type="dxa"/>
            <w:tcBorders>
              <w:left w:val="single" w:sz="6" w:space="0" w:color="auto"/>
              <w:right w:val="double" w:sz="6" w:space="0" w:color="auto"/>
            </w:tcBorders>
            <w:vAlign w:val="center"/>
          </w:tcPr>
          <w:p w14:paraId="35E53FCB"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[8,00]</w:t>
            </w:r>
          </w:p>
        </w:tc>
      </w:tr>
      <w:tr w:rsidR="005A5BD5" w:rsidRPr="002616E4" w14:paraId="23AD2663" w14:textId="77777777" w:rsidTr="004C2C7D">
        <w:trPr>
          <w:trHeight w:val="357"/>
          <w:jc w:val="center"/>
        </w:trPr>
        <w:tc>
          <w:tcPr>
            <w:tcW w:w="5103" w:type="dxa"/>
            <w:tcBorders>
              <w:left w:val="double" w:sz="6" w:space="0" w:color="auto"/>
              <w:right w:val="single" w:sz="6" w:space="0" w:color="auto"/>
            </w:tcBorders>
            <w:vAlign w:val="center"/>
          </w:tcPr>
          <w:p w14:paraId="76B4DE82"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[2003]</w:t>
            </w:r>
          </w:p>
        </w:tc>
        <w:tc>
          <w:tcPr>
            <w:tcW w:w="5102" w:type="dxa"/>
            <w:tcBorders>
              <w:left w:val="single" w:sz="6" w:space="0" w:color="auto"/>
              <w:right w:val="double" w:sz="6" w:space="0" w:color="auto"/>
            </w:tcBorders>
            <w:vAlign w:val="center"/>
          </w:tcPr>
          <w:p w14:paraId="13C91166"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[7,40]</w:t>
            </w:r>
          </w:p>
        </w:tc>
      </w:tr>
      <w:tr w:rsidR="005A5BD5" w:rsidRPr="002616E4" w14:paraId="619422BD" w14:textId="77777777" w:rsidTr="004C2C7D">
        <w:trPr>
          <w:trHeight w:val="357"/>
          <w:jc w:val="center"/>
        </w:trPr>
        <w:tc>
          <w:tcPr>
            <w:tcW w:w="5103" w:type="dxa"/>
            <w:tcBorders>
              <w:left w:val="double" w:sz="6" w:space="0" w:color="auto"/>
              <w:right w:val="single" w:sz="6" w:space="0" w:color="auto"/>
            </w:tcBorders>
            <w:vAlign w:val="center"/>
          </w:tcPr>
          <w:p w14:paraId="44A65D83"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[2004]</w:t>
            </w:r>
          </w:p>
        </w:tc>
        <w:tc>
          <w:tcPr>
            <w:tcW w:w="5102" w:type="dxa"/>
            <w:tcBorders>
              <w:left w:val="single" w:sz="6" w:space="0" w:color="auto"/>
              <w:right w:val="double" w:sz="6" w:space="0" w:color="auto"/>
            </w:tcBorders>
            <w:vAlign w:val="center"/>
          </w:tcPr>
          <w:p w14:paraId="3D5E313F"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[7,60]</w:t>
            </w:r>
          </w:p>
        </w:tc>
      </w:tr>
      <w:tr w:rsidR="005A5BD5" w:rsidRPr="002616E4" w14:paraId="1BBB100B" w14:textId="77777777" w:rsidTr="004C2C7D">
        <w:trPr>
          <w:trHeight w:val="357"/>
          <w:jc w:val="center"/>
        </w:trPr>
        <w:tc>
          <w:tcPr>
            <w:tcW w:w="5103" w:type="dxa"/>
            <w:tcBorders>
              <w:left w:val="double" w:sz="6" w:space="0" w:color="auto"/>
              <w:right w:val="single" w:sz="6" w:space="0" w:color="auto"/>
            </w:tcBorders>
            <w:vAlign w:val="center"/>
          </w:tcPr>
          <w:p w14:paraId="0B05993C"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[2005]</w:t>
            </w:r>
          </w:p>
        </w:tc>
        <w:tc>
          <w:tcPr>
            <w:tcW w:w="5102" w:type="dxa"/>
            <w:tcBorders>
              <w:left w:val="single" w:sz="6" w:space="0" w:color="auto"/>
              <w:right w:val="double" w:sz="6" w:space="0" w:color="auto"/>
            </w:tcBorders>
            <w:vAlign w:val="center"/>
          </w:tcPr>
          <w:p w14:paraId="70D44DD6"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[8,00]</w:t>
            </w:r>
          </w:p>
        </w:tc>
      </w:tr>
      <w:tr w:rsidR="005A5BD5" w:rsidRPr="002616E4" w14:paraId="2D633A28" w14:textId="77777777" w:rsidTr="004C2C7D">
        <w:trPr>
          <w:trHeight w:val="357"/>
          <w:jc w:val="center"/>
        </w:trPr>
        <w:tc>
          <w:tcPr>
            <w:tcW w:w="5103" w:type="dxa"/>
            <w:tcBorders>
              <w:left w:val="double" w:sz="6" w:space="0" w:color="auto"/>
              <w:right w:val="single" w:sz="6" w:space="0" w:color="auto"/>
            </w:tcBorders>
            <w:vAlign w:val="center"/>
          </w:tcPr>
          <w:p w14:paraId="72632EDD"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[2006]</w:t>
            </w:r>
          </w:p>
        </w:tc>
        <w:tc>
          <w:tcPr>
            <w:tcW w:w="5102" w:type="dxa"/>
            <w:tcBorders>
              <w:left w:val="single" w:sz="6" w:space="0" w:color="auto"/>
              <w:right w:val="double" w:sz="6" w:space="0" w:color="auto"/>
            </w:tcBorders>
            <w:vAlign w:val="center"/>
          </w:tcPr>
          <w:p w14:paraId="6209CF51"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[8,20]</w:t>
            </w:r>
          </w:p>
        </w:tc>
      </w:tr>
      <w:tr w:rsidR="005A5BD5" w:rsidRPr="002616E4" w14:paraId="6237A7B1" w14:textId="77777777" w:rsidTr="004C2C7D">
        <w:trPr>
          <w:trHeight w:val="357"/>
          <w:jc w:val="center"/>
        </w:trPr>
        <w:tc>
          <w:tcPr>
            <w:tcW w:w="5103" w:type="dxa"/>
            <w:tcBorders>
              <w:left w:val="double" w:sz="6" w:space="0" w:color="auto"/>
              <w:right w:val="single" w:sz="6" w:space="0" w:color="auto"/>
            </w:tcBorders>
            <w:vAlign w:val="center"/>
          </w:tcPr>
          <w:p w14:paraId="52BAE14E"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[2007]</w:t>
            </w:r>
          </w:p>
        </w:tc>
        <w:tc>
          <w:tcPr>
            <w:tcW w:w="5102" w:type="dxa"/>
            <w:tcBorders>
              <w:left w:val="single" w:sz="6" w:space="0" w:color="auto"/>
              <w:right w:val="double" w:sz="6" w:space="0" w:color="auto"/>
            </w:tcBorders>
            <w:vAlign w:val="center"/>
          </w:tcPr>
          <w:p w14:paraId="66623FD4"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[10,40]</w:t>
            </w:r>
          </w:p>
        </w:tc>
      </w:tr>
      <w:tr w:rsidR="005A5BD5" w:rsidRPr="002616E4" w14:paraId="6BC11346" w14:textId="77777777" w:rsidTr="004C2C7D">
        <w:trPr>
          <w:trHeight w:val="357"/>
          <w:jc w:val="center"/>
        </w:trPr>
        <w:tc>
          <w:tcPr>
            <w:tcW w:w="5103" w:type="dxa"/>
            <w:tcBorders>
              <w:left w:val="double" w:sz="6" w:space="0" w:color="auto"/>
              <w:right w:val="single" w:sz="6" w:space="0" w:color="auto"/>
            </w:tcBorders>
            <w:vAlign w:val="center"/>
          </w:tcPr>
          <w:p w14:paraId="0C291EED"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[2008]</w:t>
            </w:r>
          </w:p>
        </w:tc>
        <w:tc>
          <w:tcPr>
            <w:tcW w:w="5102" w:type="dxa"/>
            <w:tcBorders>
              <w:left w:val="single" w:sz="6" w:space="0" w:color="auto"/>
              <w:right w:val="double" w:sz="6" w:space="0" w:color="auto"/>
            </w:tcBorders>
            <w:vAlign w:val="center"/>
          </w:tcPr>
          <w:p w14:paraId="2094139C"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[11,20]</w:t>
            </w:r>
          </w:p>
        </w:tc>
      </w:tr>
      <w:tr w:rsidR="005A5BD5" w:rsidRPr="002616E4" w14:paraId="2376B4A3" w14:textId="77777777" w:rsidTr="004C2C7D">
        <w:trPr>
          <w:trHeight w:val="357"/>
          <w:jc w:val="center"/>
        </w:trPr>
        <w:tc>
          <w:tcPr>
            <w:tcW w:w="5103" w:type="dxa"/>
            <w:tcBorders>
              <w:left w:val="double" w:sz="6" w:space="0" w:color="auto"/>
              <w:right w:val="single" w:sz="6" w:space="0" w:color="auto"/>
            </w:tcBorders>
            <w:vAlign w:val="center"/>
          </w:tcPr>
          <w:p w14:paraId="690D48D5"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[2009]</w:t>
            </w:r>
          </w:p>
        </w:tc>
        <w:tc>
          <w:tcPr>
            <w:tcW w:w="5102" w:type="dxa"/>
            <w:tcBorders>
              <w:left w:val="single" w:sz="6" w:space="0" w:color="auto"/>
              <w:right w:val="double" w:sz="6" w:space="0" w:color="auto"/>
            </w:tcBorders>
            <w:vAlign w:val="center"/>
          </w:tcPr>
          <w:p w14:paraId="3DAFFC81"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[10,30]</w:t>
            </w:r>
          </w:p>
        </w:tc>
      </w:tr>
      <w:tr w:rsidR="005A5BD5" w:rsidRPr="002616E4" w14:paraId="109220B2" w14:textId="77777777" w:rsidTr="004C2C7D">
        <w:trPr>
          <w:trHeight w:val="357"/>
          <w:jc w:val="center"/>
        </w:trPr>
        <w:tc>
          <w:tcPr>
            <w:tcW w:w="5103" w:type="dxa"/>
            <w:tcBorders>
              <w:left w:val="double" w:sz="6" w:space="0" w:color="auto"/>
              <w:right w:val="single" w:sz="6" w:space="0" w:color="auto"/>
            </w:tcBorders>
            <w:vAlign w:val="center"/>
          </w:tcPr>
          <w:p w14:paraId="1BFC878A"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[2010]</w:t>
            </w:r>
          </w:p>
        </w:tc>
        <w:tc>
          <w:tcPr>
            <w:tcW w:w="5102" w:type="dxa"/>
            <w:tcBorders>
              <w:left w:val="single" w:sz="6" w:space="0" w:color="auto"/>
              <w:right w:val="double" w:sz="6" w:space="0" w:color="auto"/>
            </w:tcBorders>
            <w:vAlign w:val="center"/>
          </w:tcPr>
          <w:p w14:paraId="41E8870F"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[9,00]</w:t>
            </w:r>
          </w:p>
        </w:tc>
      </w:tr>
      <w:tr w:rsidR="005A5BD5" w:rsidRPr="002616E4" w14:paraId="1810B751" w14:textId="77777777" w:rsidTr="004C2C7D">
        <w:trPr>
          <w:trHeight w:val="357"/>
          <w:jc w:val="center"/>
        </w:trPr>
        <w:tc>
          <w:tcPr>
            <w:tcW w:w="5103" w:type="dxa"/>
            <w:tcBorders>
              <w:left w:val="double" w:sz="6" w:space="0" w:color="auto"/>
              <w:right w:val="single" w:sz="6" w:space="0" w:color="auto"/>
            </w:tcBorders>
            <w:vAlign w:val="center"/>
          </w:tcPr>
          <w:p w14:paraId="50FD02C3"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[2011]</w:t>
            </w:r>
          </w:p>
        </w:tc>
        <w:tc>
          <w:tcPr>
            <w:tcW w:w="5102" w:type="dxa"/>
            <w:tcBorders>
              <w:left w:val="single" w:sz="6" w:space="0" w:color="auto"/>
              <w:right w:val="double" w:sz="6" w:space="0" w:color="auto"/>
            </w:tcBorders>
            <w:vAlign w:val="center"/>
          </w:tcPr>
          <w:p w14:paraId="155FD23A"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[8,50]</w:t>
            </w:r>
          </w:p>
        </w:tc>
      </w:tr>
      <w:tr w:rsidR="005A5BD5" w:rsidRPr="002616E4" w14:paraId="4622AC0F" w14:textId="77777777" w:rsidTr="004C2C7D">
        <w:trPr>
          <w:trHeight w:val="357"/>
          <w:jc w:val="center"/>
        </w:trPr>
        <w:tc>
          <w:tcPr>
            <w:tcW w:w="5103" w:type="dxa"/>
            <w:tcBorders>
              <w:left w:val="double" w:sz="6" w:space="0" w:color="auto"/>
              <w:right w:val="single" w:sz="6" w:space="0" w:color="auto"/>
            </w:tcBorders>
            <w:vAlign w:val="center"/>
          </w:tcPr>
          <w:p w14:paraId="54555366"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[2012]</w:t>
            </w:r>
          </w:p>
        </w:tc>
        <w:tc>
          <w:tcPr>
            <w:tcW w:w="5102" w:type="dxa"/>
            <w:tcBorders>
              <w:left w:val="single" w:sz="6" w:space="0" w:color="auto"/>
              <w:right w:val="double" w:sz="6" w:space="0" w:color="auto"/>
            </w:tcBorders>
            <w:vAlign w:val="center"/>
          </w:tcPr>
          <w:p w14:paraId="686D5A00"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[9,50]</w:t>
            </w:r>
          </w:p>
        </w:tc>
      </w:tr>
      <w:tr w:rsidR="005A5BD5" w:rsidRPr="002616E4" w14:paraId="127DA5FE" w14:textId="77777777" w:rsidTr="008B48AE">
        <w:trPr>
          <w:trHeight w:val="357"/>
          <w:jc w:val="center"/>
        </w:trPr>
        <w:tc>
          <w:tcPr>
            <w:tcW w:w="5103" w:type="dxa"/>
            <w:tcBorders>
              <w:left w:val="double" w:sz="6" w:space="0" w:color="auto"/>
              <w:right w:val="single" w:sz="6" w:space="0" w:color="auto"/>
            </w:tcBorders>
            <w:vAlign w:val="center"/>
          </w:tcPr>
          <w:p w14:paraId="3B2F912B"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lastRenderedPageBreak/>
              <w:t>[2013]</w:t>
            </w:r>
          </w:p>
        </w:tc>
        <w:tc>
          <w:tcPr>
            <w:tcW w:w="5102" w:type="dxa"/>
            <w:tcBorders>
              <w:left w:val="single" w:sz="6" w:space="0" w:color="auto"/>
              <w:right w:val="double" w:sz="6" w:space="0" w:color="auto"/>
            </w:tcBorders>
            <w:vAlign w:val="center"/>
          </w:tcPr>
          <w:p w14:paraId="2AE0F0AB" w14:textId="77777777" w:rsidR="005A5BD5" w:rsidRPr="002616E4" w:rsidRDefault="005A5BD5" w:rsidP="005B3C4E">
            <w:pPr>
              <w:spacing w:line="16" w:lineRule="atLeast"/>
              <w:jc w:val="center"/>
              <w:rPr>
                <w:rFonts w:eastAsia="Calibri"/>
                <w:spacing w:val="-2"/>
                <w:szCs w:val="22"/>
                <w:lang w:eastAsia="de-DE" w:bidi="de-DE"/>
              </w:rPr>
            </w:pPr>
            <w:r w:rsidRPr="002616E4">
              <w:rPr>
                <w:rFonts w:eastAsia="Calibri"/>
                <w:spacing w:val="-2"/>
                <w:szCs w:val="22"/>
                <w:lang w:eastAsia="de-DE" w:bidi="de-DE"/>
              </w:rPr>
              <w:t>[8,80]</w:t>
            </w:r>
          </w:p>
        </w:tc>
      </w:tr>
      <w:tr w:rsidR="008B48AE" w:rsidRPr="002616E4" w14:paraId="4E5F22A8" w14:textId="77777777" w:rsidTr="007C3E1A">
        <w:trPr>
          <w:trHeight w:val="357"/>
          <w:jc w:val="center"/>
        </w:trPr>
        <w:tc>
          <w:tcPr>
            <w:tcW w:w="5103" w:type="dxa"/>
            <w:tcBorders>
              <w:left w:val="double" w:sz="6" w:space="0" w:color="auto"/>
              <w:right w:val="single" w:sz="6" w:space="0" w:color="auto"/>
            </w:tcBorders>
            <w:vAlign w:val="center"/>
          </w:tcPr>
          <w:p w14:paraId="7955BAE4" w14:textId="77777777" w:rsidR="008B48AE" w:rsidRPr="002616E4" w:rsidRDefault="008B48AE" w:rsidP="005B3C4E">
            <w:pPr>
              <w:spacing w:line="16" w:lineRule="atLeast"/>
              <w:jc w:val="center"/>
              <w:rPr>
                <w:rFonts w:eastAsia="Calibri"/>
                <w:spacing w:val="-2"/>
                <w:szCs w:val="22"/>
                <w:lang w:eastAsia="de-DE" w:bidi="de-DE"/>
              </w:rPr>
            </w:pPr>
            <w:r>
              <w:rPr>
                <w:rFonts w:eastAsia="Calibri"/>
                <w:spacing w:val="-2"/>
                <w:szCs w:val="22"/>
                <w:lang w:eastAsia="de-DE" w:bidi="de-DE"/>
              </w:rPr>
              <w:t>[2014]</w:t>
            </w:r>
          </w:p>
        </w:tc>
        <w:tc>
          <w:tcPr>
            <w:tcW w:w="5102" w:type="dxa"/>
            <w:tcBorders>
              <w:left w:val="single" w:sz="6" w:space="0" w:color="auto"/>
              <w:right w:val="double" w:sz="6" w:space="0" w:color="auto"/>
            </w:tcBorders>
            <w:vAlign w:val="center"/>
          </w:tcPr>
          <w:p w14:paraId="68EFB0D1" w14:textId="77777777" w:rsidR="008B48AE" w:rsidRPr="002616E4" w:rsidRDefault="008B48AE" w:rsidP="005B3C4E">
            <w:pPr>
              <w:spacing w:line="16" w:lineRule="atLeast"/>
              <w:jc w:val="center"/>
              <w:rPr>
                <w:rFonts w:eastAsia="Calibri"/>
                <w:spacing w:val="-2"/>
                <w:szCs w:val="22"/>
                <w:lang w:eastAsia="de-DE" w:bidi="de-DE"/>
              </w:rPr>
            </w:pPr>
            <w:r>
              <w:rPr>
                <w:rFonts w:eastAsia="Calibri"/>
                <w:spacing w:val="-2"/>
                <w:szCs w:val="22"/>
                <w:lang w:eastAsia="de-DE" w:bidi="de-DE"/>
              </w:rPr>
              <w:t>[9,20]</w:t>
            </w:r>
          </w:p>
        </w:tc>
      </w:tr>
      <w:tr w:rsidR="007C3E1A" w:rsidRPr="002616E4" w14:paraId="6DB2B915" w14:textId="77777777" w:rsidTr="008248EB">
        <w:trPr>
          <w:trHeight w:val="357"/>
          <w:jc w:val="center"/>
        </w:trPr>
        <w:tc>
          <w:tcPr>
            <w:tcW w:w="5103" w:type="dxa"/>
            <w:tcBorders>
              <w:left w:val="double" w:sz="6" w:space="0" w:color="auto"/>
              <w:right w:val="single" w:sz="6" w:space="0" w:color="auto"/>
            </w:tcBorders>
            <w:vAlign w:val="center"/>
          </w:tcPr>
          <w:p w14:paraId="32C173FA" w14:textId="77777777" w:rsidR="007C3E1A" w:rsidRDefault="007C3E1A" w:rsidP="005B3C4E">
            <w:pPr>
              <w:spacing w:line="16" w:lineRule="atLeast"/>
              <w:jc w:val="center"/>
              <w:rPr>
                <w:rFonts w:eastAsia="Calibri"/>
                <w:spacing w:val="-2"/>
                <w:szCs w:val="22"/>
                <w:lang w:eastAsia="de-DE" w:bidi="de-DE"/>
              </w:rPr>
            </w:pPr>
            <w:r>
              <w:rPr>
                <w:rFonts w:eastAsia="Calibri"/>
                <w:spacing w:val="-2"/>
                <w:szCs w:val="22"/>
                <w:lang w:eastAsia="de-DE" w:bidi="de-DE"/>
              </w:rPr>
              <w:t>[2015]</w:t>
            </w:r>
          </w:p>
        </w:tc>
        <w:tc>
          <w:tcPr>
            <w:tcW w:w="5102" w:type="dxa"/>
            <w:tcBorders>
              <w:left w:val="single" w:sz="6" w:space="0" w:color="auto"/>
              <w:right w:val="double" w:sz="6" w:space="0" w:color="auto"/>
            </w:tcBorders>
            <w:vAlign w:val="center"/>
          </w:tcPr>
          <w:p w14:paraId="428B1BB5" w14:textId="77777777" w:rsidR="007C3E1A" w:rsidRDefault="007C3E1A" w:rsidP="005B3C4E">
            <w:pPr>
              <w:spacing w:line="16" w:lineRule="atLeast"/>
              <w:jc w:val="center"/>
              <w:rPr>
                <w:rFonts w:eastAsia="Calibri"/>
                <w:spacing w:val="-2"/>
                <w:szCs w:val="22"/>
                <w:lang w:eastAsia="de-DE" w:bidi="de-DE"/>
              </w:rPr>
            </w:pPr>
            <w:r>
              <w:rPr>
                <w:rFonts w:eastAsia="Calibri"/>
                <w:spacing w:val="-2"/>
                <w:szCs w:val="22"/>
                <w:lang w:eastAsia="de-DE" w:bidi="de-DE"/>
              </w:rPr>
              <w:t>[8,16]</w:t>
            </w:r>
          </w:p>
        </w:tc>
      </w:tr>
      <w:tr w:rsidR="008248EB" w:rsidRPr="002616E4" w14:paraId="71F7EC8A" w14:textId="77777777" w:rsidTr="00A17206">
        <w:trPr>
          <w:trHeight w:val="357"/>
          <w:jc w:val="center"/>
        </w:trPr>
        <w:tc>
          <w:tcPr>
            <w:tcW w:w="5103" w:type="dxa"/>
            <w:tcBorders>
              <w:left w:val="double" w:sz="6" w:space="0" w:color="auto"/>
              <w:right w:val="single" w:sz="6" w:space="0" w:color="auto"/>
            </w:tcBorders>
            <w:vAlign w:val="center"/>
          </w:tcPr>
          <w:p w14:paraId="7C733BA8" w14:textId="77777777" w:rsidR="008248EB" w:rsidRDefault="008248EB" w:rsidP="005B3C4E">
            <w:pPr>
              <w:spacing w:line="16" w:lineRule="atLeast"/>
              <w:jc w:val="center"/>
              <w:rPr>
                <w:rFonts w:eastAsia="Calibri"/>
                <w:spacing w:val="-2"/>
                <w:szCs w:val="22"/>
                <w:lang w:eastAsia="de-DE" w:bidi="de-DE"/>
              </w:rPr>
            </w:pPr>
            <w:r>
              <w:rPr>
                <w:rFonts w:eastAsia="Calibri"/>
                <w:spacing w:val="-2"/>
                <w:szCs w:val="22"/>
                <w:lang w:eastAsia="de-DE" w:bidi="de-DE"/>
              </w:rPr>
              <w:t>[2016]</w:t>
            </w:r>
          </w:p>
        </w:tc>
        <w:tc>
          <w:tcPr>
            <w:tcW w:w="5102" w:type="dxa"/>
            <w:tcBorders>
              <w:left w:val="single" w:sz="6" w:space="0" w:color="auto"/>
              <w:right w:val="double" w:sz="6" w:space="0" w:color="auto"/>
            </w:tcBorders>
            <w:vAlign w:val="center"/>
          </w:tcPr>
          <w:p w14:paraId="6BC4A4EC" w14:textId="77777777" w:rsidR="008248EB" w:rsidRDefault="008248EB" w:rsidP="005B3C4E">
            <w:pPr>
              <w:spacing w:line="16" w:lineRule="atLeast"/>
              <w:jc w:val="center"/>
              <w:rPr>
                <w:rFonts w:eastAsia="Calibri"/>
                <w:spacing w:val="-2"/>
                <w:szCs w:val="22"/>
                <w:lang w:eastAsia="de-DE" w:bidi="de-DE"/>
              </w:rPr>
            </w:pPr>
            <w:r>
              <w:rPr>
                <w:rFonts w:eastAsia="Calibri"/>
                <w:spacing w:val="-2"/>
                <w:szCs w:val="22"/>
                <w:lang w:eastAsia="de-DE" w:bidi="de-DE"/>
              </w:rPr>
              <w:t>[9,27]</w:t>
            </w:r>
          </w:p>
        </w:tc>
      </w:tr>
      <w:tr w:rsidR="00A17206" w:rsidRPr="002616E4" w14:paraId="6EAB3073" w14:textId="77777777" w:rsidTr="00A57082">
        <w:trPr>
          <w:trHeight w:val="357"/>
          <w:jc w:val="center"/>
        </w:trPr>
        <w:tc>
          <w:tcPr>
            <w:tcW w:w="5103" w:type="dxa"/>
            <w:tcBorders>
              <w:left w:val="double" w:sz="6" w:space="0" w:color="auto"/>
              <w:right w:val="single" w:sz="6" w:space="0" w:color="auto"/>
            </w:tcBorders>
            <w:vAlign w:val="center"/>
          </w:tcPr>
          <w:p w14:paraId="4F3A5F3F" w14:textId="2FB20AE5" w:rsidR="00A17206" w:rsidRDefault="00A17206" w:rsidP="005B3C4E">
            <w:pPr>
              <w:spacing w:line="16" w:lineRule="atLeast"/>
              <w:jc w:val="center"/>
              <w:rPr>
                <w:rFonts w:eastAsia="Calibri"/>
                <w:spacing w:val="-2"/>
                <w:szCs w:val="22"/>
                <w:lang w:eastAsia="de-DE" w:bidi="de-DE"/>
              </w:rPr>
            </w:pPr>
            <w:r>
              <w:t>[2017]</w:t>
            </w:r>
          </w:p>
        </w:tc>
        <w:tc>
          <w:tcPr>
            <w:tcW w:w="5102" w:type="dxa"/>
            <w:tcBorders>
              <w:left w:val="single" w:sz="6" w:space="0" w:color="auto"/>
              <w:right w:val="double" w:sz="6" w:space="0" w:color="auto"/>
            </w:tcBorders>
            <w:vAlign w:val="center"/>
          </w:tcPr>
          <w:p w14:paraId="0D64CA22" w14:textId="77777777" w:rsidR="00A17206" w:rsidRDefault="00A17206" w:rsidP="005B3C4E">
            <w:pPr>
              <w:spacing w:line="16" w:lineRule="atLeast"/>
              <w:jc w:val="center"/>
              <w:rPr>
                <w:rFonts w:eastAsia="Calibri"/>
                <w:spacing w:val="-2"/>
                <w:szCs w:val="22"/>
                <w:lang w:eastAsia="de-DE" w:bidi="de-DE"/>
              </w:rPr>
            </w:pPr>
            <w:r>
              <w:t>[8,78]</w:t>
            </w:r>
          </w:p>
        </w:tc>
      </w:tr>
      <w:tr w:rsidR="00A57082" w:rsidRPr="002616E4" w14:paraId="648097B5" w14:textId="77777777" w:rsidTr="0095299A">
        <w:trPr>
          <w:trHeight w:val="357"/>
          <w:jc w:val="center"/>
        </w:trPr>
        <w:tc>
          <w:tcPr>
            <w:tcW w:w="5103" w:type="dxa"/>
            <w:tcBorders>
              <w:left w:val="double" w:sz="6" w:space="0" w:color="auto"/>
              <w:right w:val="single" w:sz="6" w:space="0" w:color="auto"/>
            </w:tcBorders>
            <w:vAlign w:val="center"/>
          </w:tcPr>
          <w:p w14:paraId="386E8B29" w14:textId="77777777" w:rsidR="00A57082" w:rsidRDefault="00A57082" w:rsidP="005B3C4E">
            <w:pPr>
              <w:spacing w:line="16" w:lineRule="atLeast"/>
              <w:jc w:val="center"/>
            </w:pPr>
            <w:r>
              <w:t>[2018]</w:t>
            </w:r>
          </w:p>
        </w:tc>
        <w:tc>
          <w:tcPr>
            <w:tcW w:w="5102" w:type="dxa"/>
            <w:tcBorders>
              <w:left w:val="single" w:sz="6" w:space="0" w:color="auto"/>
              <w:right w:val="double" w:sz="6" w:space="0" w:color="auto"/>
            </w:tcBorders>
            <w:vAlign w:val="center"/>
          </w:tcPr>
          <w:p w14:paraId="03DD8694" w14:textId="77777777" w:rsidR="00A57082" w:rsidRDefault="00A57082" w:rsidP="005B3C4E">
            <w:pPr>
              <w:spacing w:line="16" w:lineRule="atLeast"/>
              <w:jc w:val="center"/>
            </w:pPr>
            <w:r>
              <w:t>[8,94]</w:t>
            </w:r>
          </w:p>
        </w:tc>
      </w:tr>
      <w:tr w:rsidR="0095299A" w:rsidRPr="002616E4" w14:paraId="077EF52C" w14:textId="77777777" w:rsidTr="008E123B">
        <w:trPr>
          <w:trHeight w:val="357"/>
          <w:jc w:val="center"/>
        </w:trPr>
        <w:tc>
          <w:tcPr>
            <w:tcW w:w="5103" w:type="dxa"/>
            <w:tcBorders>
              <w:left w:val="double" w:sz="6" w:space="0" w:color="auto"/>
              <w:right w:val="single" w:sz="6" w:space="0" w:color="auto"/>
            </w:tcBorders>
            <w:vAlign w:val="center"/>
          </w:tcPr>
          <w:p w14:paraId="5A068062" w14:textId="060948D6" w:rsidR="0095299A" w:rsidRDefault="0095299A" w:rsidP="005B3C4E">
            <w:pPr>
              <w:spacing w:line="16" w:lineRule="atLeast"/>
              <w:jc w:val="center"/>
            </w:pPr>
            <w:r>
              <w:t>[2019]</w:t>
            </w:r>
          </w:p>
        </w:tc>
        <w:tc>
          <w:tcPr>
            <w:tcW w:w="5102" w:type="dxa"/>
            <w:tcBorders>
              <w:left w:val="single" w:sz="6" w:space="0" w:color="auto"/>
              <w:right w:val="double" w:sz="6" w:space="0" w:color="auto"/>
            </w:tcBorders>
            <w:vAlign w:val="center"/>
          </w:tcPr>
          <w:p w14:paraId="46781308" w14:textId="701C22D7" w:rsidR="0095299A" w:rsidRDefault="0095299A" w:rsidP="005B3C4E">
            <w:pPr>
              <w:spacing w:line="16" w:lineRule="atLeast"/>
              <w:jc w:val="center"/>
            </w:pPr>
            <w:r>
              <w:t>[8,78]</w:t>
            </w:r>
          </w:p>
        </w:tc>
      </w:tr>
      <w:tr w:rsidR="0078601F" w:rsidRPr="002616E4" w14:paraId="5ED7C593" w14:textId="77777777" w:rsidTr="008E123B">
        <w:trPr>
          <w:trHeight w:val="357"/>
          <w:jc w:val="center"/>
        </w:trPr>
        <w:tc>
          <w:tcPr>
            <w:tcW w:w="5103" w:type="dxa"/>
            <w:tcBorders>
              <w:left w:val="double" w:sz="6" w:space="0" w:color="auto"/>
              <w:right w:val="single" w:sz="6" w:space="0" w:color="auto"/>
            </w:tcBorders>
            <w:vAlign w:val="center"/>
          </w:tcPr>
          <w:p w14:paraId="56140182" w14:textId="5F00E85E" w:rsidR="0078601F" w:rsidRDefault="0078601F" w:rsidP="005B3C4E">
            <w:pPr>
              <w:spacing w:line="16" w:lineRule="atLeast"/>
              <w:jc w:val="center"/>
            </w:pPr>
            <w:r>
              <w:t>[2020]</w:t>
            </w:r>
          </w:p>
        </w:tc>
        <w:tc>
          <w:tcPr>
            <w:tcW w:w="5102" w:type="dxa"/>
            <w:tcBorders>
              <w:left w:val="single" w:sz="6" w:space="0" w:color="auto"/>
              <w:right w:val="double" w:sz="6" w:space="0" w:color="auto"/>
            </w:tcBorders>
            <w:vAlign w:val="center"/>
          </w:tcPr>
          <w:p w14:paraId="588AC5EC" w14:textId="3A275973" w:rsidR="0078601F" w:rsidRDefault="0078601F" w:rsidP="005B3C4E">
            <w:pPr>
              <w:spacing w:line="16" w:lineRule="atLeast"/>
              <w:jc w:val="center"/>
            </w:pPr>
            <w:r>
              <w:t>[10,20]</w:t>
            </w:r>
          </w:p>
        </w:tc>
      </w:tr>
      <w:tr w:rsidR="0078601F" w:rsidRPr="002616E4" w14:paraId="41BE5645" w14:textId="77777777" w:rsidTr="008E123B">
        <w:trPr>
          <w:trHeight w:val="357"/>
          <w:jc w:val="center"/>
        </w:trPr>
        <w:tc>
          <w:tcPr>
            <w:tcW w:w="5103" w:type="dxa"/>
            <w:tcBorders>
              <w:left w:val="double" w:sz="6" w:space="0" w:color="auto"/>
              <w:right w:val="single" w:sz="6" w:space="0" w:color="auto"/>
            </w:tcBorders>
            <w:vAlign w:val="center"/>
          </w:tcPr>
          <w:p w14:paraId="4E4E9C9C" w14:textId="39BBED9E" w:rsidR="0078601F" w:rsidRDefault="0078601F" w:rsidP="005B3C4E">
            <w:pPr>
              <w:spacing w:line="16" w:lineRule="atLeast"/>
              <w:jc w:val="center"/>
            </w:pPr>
            <w:r>
              <w:t>[2021]</w:t>
            </w:r>
          </w:p>
        </w:tc>
        <w:tc>
          <w:tcPr>
            <w:tcW w:w="5102" w:type="dxa"/>
            <w:tcBorders>
              <w:left w:val="single" w:sz="6" w:space="0" w:color="auto"/>
              <w:right w:val="double" w:sz="6" w:space="0" w:color="auto"/>
            </w:tcBorders>
            <w:vAlign w:val="center"/>
          </w:tcPr>
          <w:p w14:paraId="38DAECE1" w14:textId="0C4B32AB" w:rsidR="0078601F" w:rsidRDefault="0078601F" w:rsidP="005B3C4E">
            <w:pPr>
              <w:spacing w:line="16" w:lineRule="atLeast"/>
              <w:jc w:val="center"/>
            </w:pPr>
            <w:r>
              <w:t>[6,48]</w:t>
            </w:r>
          </w:p>
        </w:tc>
      </w:tr>
      <w:tr w:rsidR="008E123B" w:rsidRPr="002616E4" w14:paraId="2275AA40" w14:textId="77777777" w:rsidTr="005079B7">
        <w:trPr>
          <w:trHeight w:val="357"/>
          <w:jc w:val="center"/>
        </w:trPr>
        <w:tc>
          <w:tcPr>
            <w:tcW w:w="5103" w:type="dxa"/>
            <w:tcBorders>
              <w:left w:val="double" w:sz="6" w:space="0" w:color="auto"/>
              <w:right w:val="single" w:sz="6" w:space="0" w:color="auto"/>
            </w:tcBorders>
            <w:vAlign w:val="center"/>
          </w:tcPr>
          <w:p w14:paraId="0509D5D1" w14:textId="4F6520A8" w:rsidR="0078601F" w:rsidRDefault="001D5508" w:rsidP="005B3C4E">
            <w:pPr>
              <w:spacing w:line="16" w:lineRule="atLeast"/>
              <w:jc w:val="center"/>
            </w:pPr>
            <w:r>
              <w:t>[2022]</w:t>
            </w:r>
          </w:p>
        </w:tc>
        <w:tc>
          <w:tcPr>
            <w:tcW w:w="5102" w:type="dxa"/>
            <w:tcBorders>
              <w:left w:val="single" w:sz="6" w:space="0" w:color="auto"/>
              <w:right w:val="double" w:sz="6" w:space="0" w:color="auto"/>
            </w:tcBorders>
            <w:vAlign w:val="center"/>
          </w:tcPr>
          <w:p w14:paraId="655C56AA" w14:textId="0327438C" w:rsidR="008E123B" w:rsidRDefault="001D5508" w:rsidP="005B3C4E">
            <w:pPr>
              <w:spacing w:line="16" w:lineRule="atLeast"/>
              <w:jc w:val="center"/>
            </w:pPr>
            <w:r>
              <w:t>[7,14]</w:t>
            </w:r>
          </w:p>
        </w:tc>
      </w:tr>
      <w:tr w:rsidR="005079B7" w:rsidRPr="002616E4" w14:paraId="31C3955A" w14:textId="77777777" w:rsidTr="00527D5B">
        <w:trPr>
          <w:trHeight w:val="357"/>
          <w:jc w:val="center"/>
        </w:trPr>
        <w:tc>
          <w:tcPr>
            <w:tcW w:w="5103" w:type="dxa"/>
            <w:tcBorders>
              <w:left w:val="double" w:sz="6" w:space="0" w:color="auto"/>
              <w:right w:val="single" w:sz="6" w:space="0" w:color="auto"/>
            </w:tcBorders>
            <w:vAlign w:val="center"/>
          </w:tcPr>
          <w:p w14:paraId="5D050806" w14:textId="297A0BFB" w:rsidR="005079B7" w:rsidRDefault="005079B7" w:rsidP="005B3C4E">
            <w:pPr>
              <w:spacing w:line="16" w:lineRule="atLeast"/>
              <w:jc w:val="center"/>
            </w:pPr>
            <w:r>
              <w:t>[2023]</w:t>
            </w:r>
          </w:p>
        </w:tc>
        <w:tc>
          <w:tcPr>
            <w:tcW w:w="5102" w:type="dxa"/>
            <w:tcBorders>
              <w:left w:val="single" w:sz="6" w:space="0" w:color="auto"/>
              <w:right w:val="double" w:sz="6" w:space="0" w:color="auto"/>
            </w:tcBorders>
            <w:vAlign w:val="center"/>
          </w:tcPr>
          <w:p w14:paraId="2511AA6B" w14:textId="17930732" w:rsidR="005079B7" w:rsidRDefault="005079B7" w:rsidP="005B3C4E">
            <w:pPr>
              <w:spacing w:line="16" w:lineRule="atLeast"/>
              <w:jc w:val="center"/>
            </w:pPr>
            <w:r>
              <w:t>[5,43]</w:t>
            </w:r>
          </w:p>
        </w:tc>
      </w:tr>
      <w:tr w:rsidR="00527D5B" w:rsidRPr="002616E4" w14:paraId="7202D851" w14:textId="77777777" w:rsidTr="004C2C7D">
        <w:trPr>
          <w:trHeight w:val="357"/>
          <w:jc w:val="center"/>
        </w:trPr>
        <w:tc>
          <w:tcPr>
            <w:tcW w:w="5103" w:type="dxa"/>
            <w:tcBorders>
              <w:left w:val="double" w:sz="6" w:space="0" w:color="auto"/>
              <w:bottom w:val="double" w:sz="6" w:space="0" w:color="auto"/>
              <w:right w:val="single" w:sz="6" w:space="0" w:color="auto"/>
            </w:tcBorders>
            <w:vAlign w:val="center"/>
          </w:tcPr>
          <w:p w14:paraId="2D74F887" w14:textId="3B91E8C6" w:rsidR="00527D5B" w:rsidRDefault="00527D5B" w:rsidP="005B3C4E">
            <w:pPr>
              <w:spacing w:line="16" w:lineRule="atLeast"/>
              <w:jc w:val="center"/>
            </w:pPr>
            <w:r>
              <w:t>[2024]</w:t>
            </w:r>
          </w:p>
        </w:tc>
        <w:tc>
          <w:tcPr>
            <w:tcW w:w="5102" w:type="dxa"/>
            <w:tcBorders>
              <w:left w:val="single" w:sz="6" w:space="0" w:color="auto"/>
              <w:bottom w:val="double" w:sz="6" w:space="0" w:color="auto"/>
              <w:right w:val="double" w:sz="6" w:space="0" w:color="auto"/>
            </w:tcBorders>
            <w:vAlign w:val="center"/>
          </w:tcPr>
          <w:p w14:paraId="7B6F259C" w14:textId="4775D216" w:rsidR="00527D5B" w:rsidRDefault="00527D5B" w:rsidP="005B3C4E">
            <w:pPr>
              <w:spacing w:line="16" w:lineRule="atLeast"/>
              <w:jc w:val="center"/>
            </w:pPr>
            <w:r>
              <w:t>[6,25]</w:t>
            </w:r>
          </w:p>
        </w:tc>
      </w:tr>
    </w:tbl>
    <w:p w14:paraId="3448E095" w14:textId="77777777" w:rsidR="005A5BD5" w:rsidRPr="002616E4" w:rsidRDefault="005A5BD5" w:rsidP="004C2C7D">
      <w:pPr>
        <w:rPr>
          <w:lang w:eastAsia="fr-BE" w:bidi="de-DE"/>
        </w:rPr>
      </w:pPr>
    </w:p>
    <w:p w14:paraId="6ADC8832" w14:textId="77777777" w:rsidR="005A5BD5" w:rsidRPr="002616E4" w:rsidRDefault="005A5BD5" w:rsidP="004C2C7D">
      <w:pPr>
        <w:jc w:val="both"/>
        <w:rPr>
          <w:lang w:eastAsia="de-DE" w:bidi="de-DE"/>
        </w:rPr>
      </w:pPr>
      <w:r w:rsidRPr="002616E4">
        <w:rPr>
          <w:rFonts w:eastAsia="Calibri"/>
          <w:szCs w:val="22"/>
          <w:lang w:eastAsia="de-DE" w:bidi="de-DE"/>
        </w:rPr>
        <w:tab/>
      </w:r>
      <w:r w:rsidRPr="008C4E20">
        <w:rPr>
          <w:rFonts w:eastAsia="Calibri"/>
          <w:i/>
          <w:lang w:eastAsia="de-DE" w:bidi="de-DE"/>
        </w:rPr>
        <w:t>e)</w:t>
      </w:r>
      <w:r w:rsidRPr="002616E4">
        <w:rPr>
          <w:rFonts w:eastAsia="Calibri"/>
          <w:lang w:eastAsia="de-DE" w:bidi="de-DE"/>
        </w:rPr>
        <w:t xml:space="preserve"> Darlehensnehmern wird der Vorteil zu folgendem Zeitpunkt angerechnet: </w:t>
      </w:r>
    </w:p>
    <w:p w14:paraId="2961DEBA" w14:textId="77777777" w:rsidR="005A5BD5" w:rsidRPr="002616E4" w:rsidRDefault="005A5BD5" w:rsidP="004C2C7D">
      <w:pPr>
        <w:jc w:val="both"/>
        <w:rPr>
          <w:lang w:eastAsia="fr-BE" w:bidi="de-DE"/>
        </w:rPr>
      </w:pPr>
    </w:p>
    <w:p w14:paraId="2AAA4317"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1. was periodisch zurückgezahlte Hypothekendarlehen und Darlehen mit fester Laufzeit, die keine Hypothekendarlehen sind</w:t>
      </w:r>
      <w:r>
        <w:rPr>
          <w:rFonts w:eastAsia="Calibri"/>
          <w:lang w:eastAsia="de-DE" w:bidi="de-DE"/>
        </w:rPr>
        <w:t>,</w:t>
      </w:r>
      <w:r w:rsidRPr="00CE297A">
        <w:rPr>
          <w:rFonts w:eastAsia="Calibri"/>
          <w:lang w:eastAsia="de-DE" w:bidi="de-DE"/>
        </w:rPr>
        <w:t xml:space="preserve"> </w:t>
      </w:r>
      <w:r w:rsidRPr="002616E4">
        <w:rPr>
          <w:rFonts w:eastAsia="Calibri"/>
          <w:lang w:eastAsia="de-DE" w:bidi="de-DE"/>
        </w:rPr>
        <w:t xml:space="preserve">betrifft: bei jeder Rückzahlung; der Vorteil wird dann jeweils auf die Kapitalrestschuld vor der entsprechenden Rückzahlung berechnet, </w:t>
      </w:r>
    </w:p>
    <w:p w14:paraId="60DC81B3" w14:textId="77777777" w:rsidR="005A5BD5" w:rsidRPr="002616E4" w:rsidRDefault="005A5BD5" w:rsidP="004C2C7D">
      <w:pPr>
        <w:jc w:val="both"/>
        <w:rPr>
          <w:lang w:eastAsia="fr-BE" w:bidi="de-DE"/>
        </w:rPr>
      </w:pPr>
    </w:p>
    <w:p w14:paraId="0668A0A6"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2. was in Nr. 1 erwähnte Darlehen betrifft, deren Kapital einmalig bei Ablauf der Darlehenslaufzeit zurückgezahlt wird: für Darlehen zu herabgesetztem Zinssatz bei jeder Zinsfälligkeit und für zinslose Darlehen am Ende jedes Kalendermonats; in diesen Fällen wird der Vorteil jeweils auf den ursprünglichen Darlehensbetrag berechnet,</w:t>
      </w:r>
    </w:p>
    <w:p w14:paraId="76E7B401" w14:textId="77777777" w:rsidR="005A5BD5" w:rsidRPr="002616E4" w:rsidRDefault="005A5BD5" w:rsidP="004C2C7D">
      <w:pPr>
        <w:jc w:val="both"/>
        <w:rPr>
          <w:lang w:eastAsia="fr-BE" w:bidi="de-DE"/>
        </w:rPr>
      </w:pPr>
    </w:p>
    <w:p w14:paraId="0BFC7CFB" w14:textId="04D0485C" w:rsidR="00F61BE0" w:rsidRDefault="005A5BD5" w:rsidP="00B27F11">
      <w:pPr>
        <w:jc w:val="both"/>
        <w:rPr>
          <w:rFonts w:eastAsia="Calibri"/>
          <w:lang w:eastAsia="de-DE" w:bidi="de-DE"/>
        </w:rPr>
      </w:pPr>
      <w:r w:rsidRPr="002616E4">
        <w:rPr>
          <w:rFonts w:eastAsia="Calibri"/>
          <w:szCs w:val="22"/>
          <w:lang w:eastAsia="de-DE" w:bidi="de-DE"/>
        </w:rPr>
        <w:tab/>
      </w:r>
      <w:r w:rsidRPr="002616E4">
        <w:rPr>
          <w:rFonts w:eastAsia="Calibri"/>
          <w:lang w:eastAsia="de-DE" w:bidi="de-DE"/>
        </w:rPr>
        <w:t>3. was Darlehen ohne feste Laufzeit, die keine Hypothekendarlehen sind</w:t>
      </w:r>
      <w:r>
        <w:rPr>
          <w:rFonts w:eastAsia="Calibri"/>
          <w:lang w:eastAsia="de-DE" w:bidi="de-DE"/>
        </w:rPr>
        <w:t>,</w:t>
      </w:r>
      <w:r w:rsidRPr="0072018B">
        <w:rPr>
          <w:rFonts w:eastAsia="Calibri"/>
          <w:lang w:eastAsia="de-DE" w:bidi="de-DE"/>
        </w:rPr>
        <w:t xml:space="preserve"> </w:t>
      </w:r>
      <w:r w:rsidRPr="002616E4">
        <w:rPr>
          <w:rFonts w:eastAsia="Calibri"/>
          <w:lang w:eastAsia="de-DE" w:bidi="de-DE"/>
        </w:rPr>
        <w:t xml:space="preserve">betrifft: am Ende jedes Kalendermonats, in dem der Darlehensnehmer über die aufgenommenen Beträge verfügt hat; der Vorteil wird in diesem Fall pro Monat auf den durchschnittlichen Darlehensstand berechnet. </w:t>
      </w:r>
    </w:p>
    <w:p w14:paraId="4574B65B" w14:textId="77777777" w:rsidR="00B27F11" w:rsidRDefault="00B27F11" w:rsidP="00B27F11">
      <w:pPr>
        <w:jc w:val="both"/>
        <w:rPr>
          <w:rFonts w:eastAsia="Calibri"/>
          <w:lang w:eastAsia="de-DE" w:bidi="de-DE"/>
        </w:rPr>
      </w:pPr>
    </w:p>
    <w:p w14:paraId="29849F18" w14:textId="77777777" w:rsidR="00B27F11" w:rsidRDefault="00B27F11" w:rsidP="00B27F11">
      <w:pPr>
        <w:jc w:val="both"/>
        <w:rPr>
          <w:rFonts w:eastAsia="Calibri"/>
          <w:spacing w:val="-4"/>
          <w:szCs w:val="22"/>
          <w:lang w:eastAsia="de-DE" w:bidi="de-DE"/>
        </w:rPr>
      </w:pPr>
    </w:p>
    <w:p w14:paraId="70535E15" w14:textId="77777777" w:rsidR="005A5BD5" w:rsidRPr="005B3C4E" w:rsidRDefault="005A5BD5" w:rsidP="004C2C7D">
      <w:pPr>
        <w:jc w:val="both"/>
        <w:rPr>
          <w:i/>
          <w:spacing w:val="-4"/>
          <w:lang w:eastAsia="de-DE" w:bidi="de-DE"/>
        </w:rPr>
      </w:pPr>
      <w:r w:rsidRPr="005B3C4E">
        <w:rPr>
          <w:rFonts w:eastAsia="Calibri"/>
          <w:spacing w:val="-4"/>
          <w:szCs w:val="22"/>
          <w:lang w:eastAsia="de-DE" w:bidi="de-DE"/>
        </w:rPr>
        <w:tab/>
      </w:r>
      <w:r w:rsidRPr="005B3C4E">
        <w:rPr>
          <w:rFonts w:eastAsia="Calibri"/>
          <w:i/>
          <w:spacing w:val="-4"/>
          <w:lang w:eastAsia="de-DE" w:bidi="de-DE"/>
        </w:rPr>
        <w:t>2.</w:t>
      </w:r>
      <w:r w:rsidRPr="005B3C4E">
        <w:rPr>
          <w:rFonts w:eastAsia="Calibri"/>
          <w:spacing w:val="-4"/>
          <w:lang w:eastAsia="de-DE" w:bidi="de-DE"/>
        </w:rPr>
        <w:t xml:space="preserve"> </w:t>
      </w:r>
      <w:r w:rsidRPr="005B3C4E">
        <w:rPr>
          <w:rFonts w:eastAsia="Calibri"/>
          <w:i/>
          <w:spacing w:val="-4"/>
          <w:lang w:eastAsia="de-DE" w:bidi="de-DE"/>
        </w:rPr>
        <w:t>[Kostenlose Verfügung über unbewegliche Güter oder Teile von unbeweglichen Gütern</w:t>
      </w:r>
    </w:p>
    <w:p w14:paraId="494D2E9C" w14:textId="77777777" w:rsidR="005A5BD5" w:rsidRPr="002616E4" w:rsidRDefault="005A5BD5" w:rsidP="004C2C7D">
      <w:pPr>
        <w:jc w:val="both"/>
        <w:rPr>
          <w:lang w:eastAsia="fr-BE" w:bidi="de-DE"/>
        </w:rPr>
      </w:pPr>
    </w:p>
    <w:p w14:paraId="3101EE90" w14:textId="77777777" w:rsidR="00294B0B" w:rsidRPr="00DC0C91" w:rsidRDefault="005A5BD5" w:rsidP="00294B0B">
      <w:pPr>
        <w:ind w:right="227"/>
        <w:jc w:val="both"/>
      </w:pPr>
      <w:r w:rsidRPr="002616E4">
        <w:rPr>
          <w:rFonts w:eastAsia="Calibri"/>
          <w:szCs w:val="22"/>
          <w:lang w:eastAsia="de-DE" w:bidi="de-DE"/>
        </w:rPr>
        <w:tab/>
      </w:r>
      <w:r w:rsidR="00294B0B">
        <w:rPr>
          <w:rFonts w:eastAsia="Calibri"/>
          <w:lang w:eastAsia="de-DE" w:bidi="de-DE"/>
        </w:rPr>
        <w:t>[</w:t>
      </w:r>
      <w:r w:rsidR="00294B0B" w:rsidRPr="00DC0C91">
        <w:t>Der Vorteil wird pauschal auf 100/90 des Katastereinkommens von unbebauten unbeweglichen Gütern oder Teilen dieser Güter festgelegt.</w:t>
      </w:r>
    </w:p>
    <w:p w14:paraId="3229E6A0" w14:textId="77777777" w:rsidR="00294B0B" w:rsidRPr="00DC0C91" w:rsidRDefault="00294B0B" w:rsidP="00294B0B">
      <w:pPr>
        <w:ind w:right="227"/>
        <w:jc w:val="both"/>
      </w:pPr>
    </w:p>
    <w:p w14:paraId="0C815993" w14:textId="77777777" w:rsidR="005A5BD5" w:rsidRPr="002616E4" w:rsidRDefault="00294B0B" w:rsidP="00294B0B">
      <w:pPr>
        <w:jc w:val="both"/>
        <w:rPr>
          <w:lang w:eastAsia="de-DE" w:bidi="de-DE"/>
        </w:rPr>
      </w:pPr>
      <w:r w:rsidRPr="00DC0C91">
        <w:tab/>
        <w:t>Für bebaute unbewegliche Güter oder Teile dieser Güter wird der Vorteil pauschal auf 100/60 des Katastereinkommens festgelegt, multipliziert mit 2.</w:t>
      </w:r>
      <w:r>
        <w:rPr>
          <w:rFonts w:eastAsia="Calibri"/>
          <w:lang w:eastAsia="de-DE" w:bidi="de-DE"/>
        </w:rPr>
        <w:t>]</w:t>
      </w:r>
    </w:p>
    <w:p w14:paraId="595620E3" w14:textId="77777777" w:rsidR="005A5BD5" w:rsidRPr="002616E4" w:rsidRDefault="005A5BD5" w:rsidP="004C2C7D">
      <w:pPr>
        <w:jc w:val="both"/>
        <w:rPr>
          <w:lang w:eastAsia="fr-BE" w:bidi="de-DE"/>
        </w:rPr>
      </w:pPr>
    </w:p>
    <w:p w14:paraId="58387F0D" w14:textId="77777777" w:rsidR="005A5BD5" w:rsidRDefault="005A5BD5" w:rsidP="004C2C7D">
      <w:pPr>
        <w:jc w:val="both"/>
        <w:rPr>
          <w:rFonts w:eastAsia="Calibri"/>
          <w:lang w:eastAsia="de-DE" w:bidi="de-DE"/>
        </w:rPr>
      </w:pPr>
      <w:r w:rsidRPr="002616E4">
        <w:rPr>
          <w:rFonts w:eastAsia="Calibri"/>
          <w:szCs w:val="22"/>
          <w:lang w:eastAsia="de-DE" w:bidi="de-DE"/>
        </w:rPr>
        <w:tab/>
      </w:r>
      <w:r w:rsidRPr="002616E4">
        <w:rPr>
          <w:rFonts w:eastAsia="Calibri"/>
          <w:lang w:eastAsia="de-DE" w:bidi="de-DE"/>
        </w:rPr>
        <w:t>Wenn jedoch die Nutzung eines Gutes auferlegt wird, dessen Umfang die persönlichen Bedürfnisse des Bewohners unter Berücksichtigung seiner sozialen Lage und der Zusammensetzung seines Haushalts offensichtlich übersteigt, muss für die Festlegung des steuerpflichtigen Vorteils nur das Katastereinkommen eines unbeweglichen Gutes berücksichtigt werden, dass den tatsächlichen Bedürfn</w:t>
      </w:r>
      <w:r>
        <w:rPr>
          <w:rFonts w:eastAsia="Calibri"/>
          <w:lang w:eastAsia="de-DE" w:bidi="de-DE"/>
        </w:rPr>
        <w:t>issen des Bewohners entspricht.</w:t>
      </w:r>
    </w:p>
    <w:p w14:paraId="0A6F06B8" w14:textId="77777777" w:rsidR="007C3E1A" w:rsidRDefault="007C3E1A" w:rsidP="004C2C7D">
      <w:pPr>
        <w:jc w:val="both"/>
        <w:rPr>
          <w:rFonts w:eastAsia="Calibri"/>
          <w:szCs w:val="22"/>
          <w:lang w:eastAsia="de-DE" w:bidi="de-DE"/>
        </w:rPr>
      </w:pPr>
    </w:p>
    <w:p w14:paraId="60617105" w14:textId="77777777" w:rsidR="005A5BD5" w:rsidRPr="002616E4" w:rsidRDefault="005A5BD5" w:rsidP="004C2C7D">
      <w:pPr>
        <w:jc w:val="both"/>
        <w:rPr>
          <w:lang w:eastAsia="de-DE" w:bidi="de-DE"/>
        </w:rPr>
      </w:pPr>
      <w:r w:rsidRPr="002616E4">
        <w:rPr>
          <w:rFonts w:eastAsia="Calibri"/>
          <w:szCs w:val="22"/>
          <w:lang w:eastAsia="de-DE" w:bidi="de-DE"/>
        </w:rPr>
        <w:lastRenderedPageBreak/>
        <w:tab/>
      </w:r>
      <w:r w:rsidRPr="002616E4">
        <w:rPr>
          <w:rFonts w:eastAsia="Calibri"/>
          <w:lang w:eastAsia="de-DE" w:bidi="de-DE"/>
        </w:rPr>
        <w:t xml:space="preserve">Handelt es sich um eine möblierte Wohnung, wird der Vorteil, der gemäß den vorhergehenden Absätzen festgelegt wird, um zwei Drittel erhöht. </w:t>
      </w:r>
    </w:p>
    <w:p w14:paraId="1539C527" w14:textId="77777777" w:rsidR="005A5BD5" w:rsidRPr="002616E4" w:rsidRDefault="005A5BD5" w:rsidP="004C2C7D">
      <w:pPr>
        <w:jc w:val="both"/>
        <w:rPr>
          <w:lang w:eastAsia="fr-BE" w:bidi="de-DE"/>
        </w:rPr>
      </w:pPr>
    </w:p>
    <w:p w14:paraId="644D3811"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Für die Anwendung der vorhergehenden Absätze ist außer für die Beurteilung der in Absatz 2 erwähnten Grenze von [745 EUR] das gemäß Artikel 518 des Einkommensteuer</w:t>
      </w:r>
      <w:r w:rsidRPr="002616E4">
        <w:rPr>
          <w:rFonts w:eastAsia="Calibri"/>
          <w:lang w:eastAsia="de-DE" w:bidi="de-DE"/>
        </w:rPr>
        <w:softHyphen/>
        <w:t>gesetzbuches 1992 indexierte Katastereinkommen zu berücksichtigen.]</w:t>
      </w:r>
    </w:p>
    <w:p w14:paraId="016CC849" w14:textId="77777777" w:rsidR="005A5BD5" w:rsidRPr="002616E4" w:rsidRDefault="005A5BD5" w:rsidP="004C2C7D">
      <w:pPr>
        <w:jc w:val="both"/>
        <w:rPr>
          <w:lang w:eastAsia="fr-BE" w:bidi="de-DE"/>
        </w:rPr>
      </w:pPr>
    </w:p>
    <w:p w14:paraId="454C3F68" w14:textId="77777777" w:rsidR="005A5BD5" w:rsidRPr="002616E4" w:rsidRDefault="005A5BD5" w:rsidP="004C2C7D">
      <w:pPr>
        <w:jc w:val="both"/>
        <w:rPr>
          <w:lang w:eastAsia="fr-BE" w:bidi="de-DE"/>
        </w:rPr>
      </w:pPr>
    </w:p>
    <w:p w14:paraId="19295D0A"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i/>
          <w:lang w:eastAsia="de-DE" w:bidi="de-DE"/>
        </w:rPr>
        <w:t>3.</w:t>
      </w:r>
      <w:r w:rsidRPr="002616E4">
        <w:rPr>
          <w:rFonts w:eastAsia="Calibri"/>
          <w:lang w:eastAsia="de-DE" w:bidi="de-DE"/>
        </w:rPr>
        <w:t xml:space="preserve"> </w:t>
      </w:r>
      <w:r w:rsidRPr="002616E4">
        <w:rPr>
          <w:rFonts w:eastAsia="Calibri"/>
          <w:i/>
          <w:lang w:eastAsia="de-DE" w:bidi="de-DE"/>
        </w:rPr>
        <w:t>Kostenlose Verfügung über einen einzigen Raum:</w:t>
      </w:r>
    </w:p>
    <w:p w14:paraId="62E308EB" w14:textId="77777777" w:rsidR="005A5BD5" w:rsidRPr="002616E4" w:rsidRDefault="005A5BD5" w:rsidP="004C2C7D">
      <w:pPr>
        <w:jc w:val="both"/>
        <w:rPr>
          <w:lang w:eastAsia="fr-BE" w:bidi="de-DE"/>
        </w:rPr>
      </w:pPr>
    </w:p>
    <w:p w14:paraId="3ADA19BB"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xml:space="preserve">Der Vorteil (Unterkunft, Heizung, Beleuchtung) wird auf [0,74 EUR] pro Tag beziehungsweise [266,40 EUR] pro Jahr festgelegt. </w:t>
      </w:r>
    </w:p>
    <w:p w14:paraId="5C19E629" w14:textId="77777777" w:rsidR="005A5BD5" w:rsidRPr="002616E4" w:rsidRDefault="005A5BD5" w:rsidP="004C2C7D">
      <w:pPr>
        <w:jc w:val="both"/>
        <w:rPr>
          <w:lang w:eastAsia="fr-BE" w:bidi="de-DE"/>
        </w:rPr>
      </w:pPr>
    </w:p>
    <w:p w14:paraId="689F9AD1" w14:textId="77777777" w:rsidR="005A5BD5" w:rsidRPr="002616E4" w:rsidRDefault="005A5BD5" w:rsidP="004C2C7D">
      <w:pPr>
        <w:jc w:val="both"/>
        <w:rPr>
          <w:lang w:eastAsia="fr-BE" w:bidi="de-DE"/>
        </w:rPr>
      </w:pPr>
    </w:p>
    <w:p w14:paraId="4E0341A8"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i/>
          <w:lang w:eastAsia="de-DE" w:bidi="de-DE"/>
        </w:rPr>
        <w:t>4.</w:t>
      </w:r>
      <w:r w:rsidRPr="002616E4">
        <w:rPr>
          <w:rFonts w:eastAsia="Calibri"/>
          <w:lang w:eastAsia="de-DE" w:bidi="de-DE"/>
        </w:rPr>
        <w:t xml:space="preserve"> </w:t>
      </w:r>
      <w:r w:rsidRPr="002616E4">
        <w:rPr>
          <w:rFonts w:eastAsia="Calibri"/>
          <w:i/>
          <w:lang w:eastAsia="de-DE" w:bidi="de-DE"/>
        </w:rPr>
        <w:t>[Kostenlose Verfügung über Heizung und über Strom zu anderen Zwecken als zu Heizzwecken</w:t>
      </w:r>
    </w:p>
    <w:p w14:paraId="6DFA9BED" w14:textId="77777777" w:rsidR="005A5BD5" w:rsidRPr="002616E4" w:rsidRDefault="005A5BD5" w:rsidP="004C2C7D">
      <w:pPr>
        <w:jc w:val="both"/>
        <w:rPr>
          <w:lang w:eastAsia="fr-BE" w:bidi="de-DE"/>
        </w:rPr>
      </w:pPr>
    </w:p>
    <w:p w14:paraId="5AF6F5E6" w14:textId="77777777" w:rsidR="00114099" w:rsidRDefault="005A5BD5" w:rsidP="004C2C7D">
      <w:pPr>
        <w:jc w:val="both"/>
      </w:pPr>
      <w:r w:rsidRPr="002616E4">
        <w:rPr>
          <w:rFonts w:eastAsia="Calibri"/>
          <w:szCs w:val="22"/>
          <w:lang w:eastAsia="de-DE" w:bidi="de-DE"/>
        </w:rPr>
        <w:tab/>
      </w:r>
      <w:r w:rsidR="00114099">
        <w:rPr>
          <w:rFonts w:eastAsia="Calibri"/>
          <w:szCs w:val="22"/>
          <w:lang w:eastAsia="de-DE" w:bidi="de-DE"/>
        </w:rPr>
        <w:t>[</w:t>
      </w:r>
      <w:r w:rsidR="00114099">
        <w:t>Der Vorteil der kostenlosen Verfügung über Heizung und/oder über Strom zu anderen Zwecken als zu Heizzwecken wird nur dann pauschal auf den gemäß den Absätzen 2 und 3 bestimmten Betrag veranschlagt, wenn derjenige, der den Vorteil gewährt, auch das unbewegliche Gut zur Verfügung stellt, für das der Vorteil gewährt wird.]</w:t>
      </w:r>
    </w:p>
    <w:p w14:paraId="0B9278EF" w14:textId="77777777" w:rsidR="00114099" w:rsidRDefault="00114099" w:rsidP="004C2C7D">
      <w:pPr>
        <w:jc w:val="both"/>
      </w:pPr>
    </w:p>
    <w:p w14:paraId="423CC164" w14:textId="0B0036FF" w:rsidR="005A5BD5" w:rsidRPr="002616E4" w:rsidRDefault="00114099" w:rsidP="004C2C7D">
      <w:pPr>
        <w:jc w:val="both"/>
        <w:rPr>
          <w:lang w:eastAsia="de-DE" w:bidi="de-DE"/>
        </w:rPr>
      </w:pPr>
      <w:r>
        <w:tab/>
      </w:r>
      <w:r>
        <w:rPr>
          <w:rFonts w:eastAsia="Calibri"/>
          <w:lang w:eastAsia="de-DE" w:bidi="de-DE"/>
        </w:rPr>
        <w:t>[</w:t>
      </w:r>
      <w:r>
        <w:t>In dem in Absatz 1 erwähnten Fall wird der Vorteil wie folgt veranschlagt:</w:t>
      </w:r>
      <w:r>
        <w:rPr>
          <w:rFonts w:eastAsia="Calibri"/>
          <w:lang w:eastAsia="de-DE" w:bidi="de-DE"/>
        </w:rPr>
        <w:t>]</w:t>
      </w:r>
    </w:p>
    <w:p w14:paraId="2FD4018E" w14:textId="77777777" w:rsidR="005A5BD5" w:rsidRPr="002616E4" w:rsidRDefault="005A5BD5" w:rsidP="004C2C7D">
      <w:pPr>
        <w:jc w:val="both"/>
        <w:rPr>
          <w:lang w:eastAsia="fr-BE" w:bidi="de-DE"/>
        </w:rPr>
      </w:pPr>
    </w:p>
    <w:p w14:paraId="734C7176" w14:textId="77777777" w:rsidR="005A5BD5" w:rsidRPr="002616E4" w:rsidRDefault="005A5BD5" w:rsidP="004C2C7D">
      <w:pPr>
        <w:jc w:val="both"/>
        <w:rPr>
          <w:lang w:eastAsia="de-DE" w:bidi="de-DE"/>
        </w:rPr>
      </w:pPr>
      <w:r w:rsidRPr="002616E4">
        <w:rPr>
          <w:rFonts w:eastAsia="Calibri"/>
          <w:szCs w:val="22"/>
          <w:lang w:eastAsia="de-DE" w:bidi="de-DE"/>
        </w:rPr>
        <w:tab/>
      </w:r>
      <w:r w:rsidRPr="008C4E20">
        <w:rPr>
          <w:rFonts w:eastAsia="Calibri"/>
          <w:i/>
          <w:lang w:eastAsia="de-DE" w:bidi="de-DE"/>
        </w:rPr>
        <w:t>a)</w:t>
      </w:r>
      <w:r w:rsidRPr="002616E4">
        <w:rPr>
          <w:rFonts w:eastAsia="Calibri"/>
          <w:lang w:eastAsia="de-DE" w:bidi="de-DE"/>
        </w:rPr>
        <w:t xml:space="preserve"> wenn er leitendem Personal und Unternehmensleitern gewährt wird:</w:t>
      </w:r>
    </w:p>
    <w:p w14:paraId="56A9A3A4" w14:textId="77777777" w:rsidR="005A5BD5" w:rsidRPr="002616E4" w:rsidRDefault="005A5BD5" w:rsidP="004C2C7D">
      <w:pPr>
        <w:jc w:val="both"/>
        <w:rPr>
          <w:lang w:eastAsia="fr-BE" w:bidi="de-DE"/>
        </w:rPr>
      </w:pPr>
    </w:p>
    <w:p w14:paraId="44F7BA72"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Heizung: 1.245 EUR pro Jahr,</w:t>
      </w:r>
    </w:p>
    <w:p w14:paraId="6EB88885" w14:textId="77777777" w:rsidR="005A5BD5" w:rsidRPr="002616E4" w:rsidRDefault="005A5BD5" w:rsidP="004C2C7D">
      <w:pPr>
        <w:jc w:val="both"/>
        <w:rPr>
          <w:lang w:eastAsia="fr-BE" w:bidi="de-DE"/>
        </w:rPr>
      </w:pPr>
    </w:p>
    <w:p w14:paraId="794C2560" w14:textId="451864FB" w:rsidR="005A5BD5" w:rsidRDefault="005A5BD5" w:rsidP="004C2C7D">
      <w:pPr>
        <w:jc w:val="both"/>
        <w:rPr>
          <w:rFonts w:eastAsia="Calibri"/>
          <w:lang w:eastAsia="de-DE" w:bidi="de-DE"/>
        </w:rPr>
      </w:pPr>
      <w:r w:rsidRPr="002616E4">
        <w:rPr>
          <w:rFonts w:eastAsia="Calibri"/>
          <w:szCs w:val="22"/>
          <w:lang w:eastAsia="de-DE" w:bidi="de-DE"/>
        </w:rPr>
        <w:tab/>
      </w:r>
      <w:r w:rsidRPr="002616E4">
        <w:rPr>
          <w:rFonts w:eastAsia="Calibri"/>
          <w:lang w:eastAsia="de-DE" w:bidi="de-DE"/>
        </w:rPr>
        <w:t>- Strom zu anderen Zwecken als zu Heizzwecken: 620 EUR pro Jahr,</w:t>
      </w:r>
    </w:p>
    <w:p w14:paraId="044F2357" w14:textId="46F2C436" w:rsidR="00B27F11" w:rsidRDefault="00B27F11">
      <w:pPr>
        <w:rPr>
          <w:rFonts w:eastAsia="Calibri"/>
          <w:szCs w:val="22"/>
          <w:lang w:eastAsia="de-DE" w:bidi="de-DE"/>
        </w:rPr>
      </w:pPr>
    </w:p>
    <w:p w14:paraId="7942CD68" w14:textId="5FD833FC" w:rsidR="005A5BD5" w:rsidRPr="002616E4" w:rsidRDefault="005A5BD5" w:rsidP="004C2C7D">
      <w:pPr>
        <w:jc w:val="both"/>
        <w:rPr>
          <w:lang w:eastAsia="de-DE" w:bidi="de-DE"/>
        </w:rPr>
      </w:pPr>
      <w:r w:rsidRPr="002616E4">
        <w:rPr>
          <w:rFonts w:eastAsia="Calibri"/>
          <w:szCs w:val="22"/>
          <w:lang w:eastAsia="de-DE" w:bidi="de-DE"/>
        </w:rPr>
        <w:tab/>
      </w:r>
      <w:r w:rsidRPr="008C4E20">
        <w:rPr>
          <w:rFonts w:eastAsia="Calibri"/>
          <w:i/>
          <w:lang w:eastAsia="de-DE" w:bidi="de-DE"/>
        </w:rPr>
        <w:t>b)</w:t>
      </w:r>
      <w:r w:rsidRPr="002616E4">
        <w:rPr>
          <w:rFonts w:eastAsia="Calibri"/>
          <w:lang w:eastAsia="de-DE" w:bidi="de-DE"/>
        </w:rPr>
        <w:t xml:space="preserve"> wenn er anderen Empfängern gewährt wird:</w:t>
      </w:r>
    </w:p>
    <w:p w14:paraId="12CF009A" w14:textId="77777777" w:rsidR="005A5BD5" w:rsidRPr="002616E4" w:rsidRDefault="005A5BD5" w:rsidP="004C2C7D">
      <w:pPr>
        <w:jc w:val="both"/>
        <w:rPr>
          <w:lang w:eastAsia="fr-BE" w:bidi="de-DE"/>
        </w:rPr>
      </w:pPr>
    </w:p>
    <w:p w14:paraId="2A56C420"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Heizung: 560 EUR pro Jahr,</w:t>
      </w:r>
    </w:p>
    <w:p w14:paraId="5DAED198" w14:textId="77777777" w:rsidR="005A5BD5" w:rsidRPr="002616E4" w:rsidRDefault="005A5BD5" w:rsidP="004C2C7D">
      <w:pPr>
        <w:jc w:val="both"/>
        <w:rPr>
          <w:lang w:eastAsia="fr-BE" w:bidi="de-DE"/>
        </w:rPr>
      </w:pPr>
    </w:p>
    <w:p w14:paraId="16ABA97C"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Strom zu anderen Zwecken als zu Heizzwecken: 280 EUR pro Jahr.</w:t>
      </w:r>
    </w:p>
    <w:p w14:paraId="5291B7C9" w14:textId="77777777" w:rsidR="005A5BD5" w:rsidRPr="002616E4" w:rsidRDefault="005A5BD5" w:rsidP="004C2C7D">
      <w:pPr>
        <w:jc w:val="both"/>
        <w:rPr>
          <w:lang w:eastAsia="fr-BE" w:bidi="de-DE"/>
        </w:rPr>
      </w:pPr>
    </w:p>
    <w:p w14:paraId="3B448DA2" w14:textId="44A2E03B"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xml:space="preserve">Die in </w:t>
      </w:r>
      <w:r w:rsidR="00114099">
        <w:rPr>
          <w:rFonts w:eastAsia="Calibri"/>
          <w:lang w:eastAsia="de-DE" w:bidi="de-DE"/>
        </w:rPr>
        <w:t>[</w:t>
      </w:r>
      <w:r w:rsidRPr="002616E4">
        <w:rPr>
          <w:rFonts w:eastAsia="Calibri"/>
          <w:lang w:eastAsia="de-DE" w:bidi="de-DE"/>
        </w:rPr>
        <w:t>Absatz </w:t>
      </w:r>
      <w:r w:rsidR="00114099">
        <w:rPr>
          <w:rFonts w:eastAsia="Calibri"/>
          <w:lang w:eastAsia="de-DE" w:bidi="de-DE"/>
        </w:rPr>
        <w:t>2]</w:t>
      </w:r>
      <w:r w:rsidRPr="002616E4">
        <w:rPr>
          <w:rFonts w:eastAsia="Calibri"/>
          <w:lang w:eastAsia="de-DE" w:bidi="de-DE"/>
        </w:rPr>
        <w:t xml:space="preserve"> erwähnten Beträge werden dem Verbraucherpreisindex des Königreichs jährlich gemäß </w:t>
      </w:r>
      <w:r w:rsidR="00114099">
        <w:rPr>
          <w:rFonts w:eastAsia="Calibri"/>
          <w:lang w:eastAsia="de-DE" w:bidi="de-DE"/>
        </w:rPr>
        <w:t>[</w:t>
      </w:r>
      <w:r w:rsidRPr="002616E4">
        <w:rPr>
          <w:rFonts w:eastAsia="Calibri"/>
          <w:lang w:eastAsia="de-DE" w:bidi="de-DE"/>
        </w:rPr>
        <w:t xml:space="preserve">Artikel 178 § 3 </w:t>
      </w:r>
      <w:r w:rsidR="00114099">
        <w:rPr>
          <w:rFonts w:eastAsia="Calibri"/>
          <w:lang w:eastAsia="de-DE" w:bidi="de-DE"/>
        </w:rPr>
        <w:t xml:space="preserve">Absatz 1 </w:t>
      </w:r>
      <w:r w:rsidRPr="002616E4">
        <w:rPr>
          <w:rFonts w:eastAsia="Calibri"/>
          <w:lang w:eastAsia="de-DE" w:bidi="de-DE"/>
        </w:rPr>
        <w:t>Nr. 2</w:t>
      </w:r>
      <w:r w:rsidR="00114099">
        <w:rPr>
          <w:rFonts w:eastAsia="Calibri"/>
          <w:lang w:eastAsia="de-DE" w:bidi="de-DE"/>
        </w:rPr>
        <w:t>]</w:t>
      </w:r>
      <w:r w:rsidRPr="002616E4">
        <w:rPr>
          <w:rFonts w:eastAsia="Calibri"/>
          <w:lang w:eastAsia="de-DE" w:bidi="de-DE"/>
        </w:rPr>
        <w:t xml:space="preserve"> und § 7 des Einkommensteuer</w:t>
      </w:r>
      <w:r w:rsidRPr="002616E4">
        <w:rPr>
          <w:rFonts w:eastAsia="Calibri"/>
          <w:lang w:eastAsia="de-DE" w:bidi="de-DE"/>
        </w:rPr>
        <w:softHyphen/>
        <w:t xml:space="preserve">gesetzbuches 1992 angepasst.] </w:t>
      </w:r>
    </w:p>
    <w:p w14:paraId="4FFA641B" w14:textId="77777777" w:rsidR="005A5BD5" w:rsidRPr="002616E4" w:rsidRDefault="005A5BD5" w:rsidP="004C2C7D">
      <w:pPr>
        <w:jc w:val="both"/>
        <w:rPr>
          <w:lang w:eastAsia="fr-BE" w:bidi="de-DE"/>
        </w:rPr>
      </w:pPr>
    </w:p>
    <w:p w14:paraId="53DF3AFF" w14:textId="77777777" w:rsidR="005A5BD5" w:rsidRPr="002616E4" w:rsidRDefault="005A5BD5" w:rsidP="004C2C7D">
      <w:pPr>
        <w:jc w:val="both"/>
        <w:rPr>
          <w:lang w:eastAsia="fr-BE" w:bidi="de-DE"/>
        </w:rPr>
      </w:pPr>
    </w:p>
    <w:p w14:paraId="35E724A6"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i/>
          <w:lang w:eastAsia="de-DE" w:bidi="de-DE"/>
        </w:rPr>
        <w:t>5.</w:t>
      </w:r>
      <w:r w:rsidRPr="002616E4">
        <w:rPr>
          <w:rFonts w:eastAsia="Calibri"/>
          <w:lang w:eastAsia="de-DE" w:bidi="de-DE"/>
        </w:rPr>
        <w:t xml:space="preserve"> </w:t>
      </w:r>
      <w:r w:rsidRPr="002616E4">
        <w:rPr>
          <w:rFonts w:eastAsia="Calibri"/>
          <w:i/>
          <w:lang w:eastAsia="de-DE" w:bidi="de-DE"/>
        </w:rPr>
        <w:t>Kostenlose Verfügung über Dienstboten, Hauspersonal, Gärtner, Fahrer usw.:</w:t>
      </w:r>
    </w:p>
    <w:p w14:paraId="7F75D03D" w14:textId="77777777" w:rsidR="005A5BD5" w:rsidRPr="002616E4" w:rsidRDefault="005A5BD5" w:rsidP="004C2C7D">
      <w:pPr>
        <w:jc w:val="both"/>
        <w:rPr>
          <w:lang w:eastAsia="fr-BE" w:bidi="de-DE"/>
        </w:rPr>
      </w:pPr>
    </w:p>
    <w:p w14:paraId="78D34E03" w14:textId="64A93FA8" w:rsidR="005B3C4E"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lang w:eastAsia="de-DE" w:bidi="de-DE"/>
        </w:rPr>
        <w:t>Der jährliche Vorteil wird auf [5.950 EUR] pro vollzeitbeschäftigten Arbeiter, vollzeitbeschäftigtes Dienstmädchen, vollzeitbeschäftigte Arbeiterin usw. veranschlagt.</w:t>
      </w:r>
    </w:p>
    <w:p w14:paraId="5D64AFBD" w14:textId="77777777" w:rsidR="00294B0B" w:rsidRDefault="00294B0B">
      <w:pPr>
        <w:rPr>
          <w:rFonts w:eastAsia="Calibri"/>
          <w:szCs w:val="22"/>
          <w:lang w:eastAsia="de-DE" w:bidi="de-DE"/>
        </w:rPr>
      </w:pPr>
    </w:p>
    <w:p w14:paraId="6C472A32" w14:textId="491E2206" w:rsidR="00114099" w:rsidRDefault="00114099">
      <w:pPr>
        <w:rPr>
          <w:rFonts w:eastAsia="Calibri"/>
          <w:szCs w:val="22"/>
          <w:lang w:eastAsia="de-DE" w:bidi="de-DE"/>
        </w:rPr>
      </w:pPr>
    </w:p>
    <w:p w14:paraId="46B9973E" w14:textId="77777777" w:rsidR="005079B7" w:rsidRDefault="005079B7">
      <w:pPr>
        <w:rPr>
          <w:rFonts w:eastAsia="Calibri"/>
          <w:szCs w:val="22"/>
          <w:lang w:eastAsia="de-DE" w:bidi="de-DE"/>
        </w:rPr>
      </w:pPr>
      <w:r>
        <w:rPr>
          <w:rFonts w:eastAsia="Calibri"/>
          <w:szCs w:val="22"/>
          <w:lang w:eastAsia="de-DE" w:bidi="de-DE"/>
        </w:rPr>
        <w:br w:type="page"/>
      </w:r>
    </w:p>
    <w:p w14:paraId="7AB6E02A" w14:textId="3BB26AD7" w:rsidR="005A5BD5" w:rsidRPr="00294B0B" w:rsidRDefault="005A5BD5" w:rsidP="00294B0B">
      <w:pPr>
        <w:rPr>
          <w:rFonts w:eastAsia="Calibri"/>
          <w:szCs w:val="22"/>
          <w:lang w:eastAsia="de-DE" w:bidi="de-DE"/>
        </w:rPr>
      </w:pPr>
      <w:r w:rsidRPr="002616E4">
        <w:rPr>
          <w:rFonts w:eastAsia="Calibri"/>
          <w:szCs w:val="22"/>
          <w:lang w:eastAsia="de-DE" w:bidi="de-DE"/>
        </w:rPr>
        <w:lastRenderedPageBreak/>
        <w:tab/>
      </w:r>
      <w:r w:rsidRPr="002616E4">
        <w:rPr>
          <w:rFonts w:eastAsia="Calibri"/>
          <w:i/>
          <w:lang w:eastAsia="de-DE" w:bidi="de-DE"/>
        </w:rPr>
        <w:t>6.</w:t>
      </w:r>
      <w:r w:rsidRPr="002616E4">
        <w:rPr>
          <w:rFonts w:eastAsia="Calibri"/>
          <w:lang w:eastAsia="de-DE" w:bidi="de-DE"/>
        </w:rPr>
        <w:t xml:space="preserve"> </w:t>
      </w:r>
      <w:r w:rsidRPr="002616E4">
        <w:rPr>
          <w:rFonts w:eastAsia="Calibri"/>
          <w:i/>
          <w:lang w:eastAsia="de-DE" w:bidi="de-DE"/>
        </w:rPr>
        <w:t>Vorteile für Hauspersonal:</w:t>
      </w:r>
    </w:p>
    <w:p w14:paraId="54C2AAC9" w14:textId="77777777" w:rsidR="005A5BD5" w:rsidRPr="002616E4" w:rsidRDefault="005A5BD5" w:rsidP="004C2C7D">
      <w:pPr>
        <w:jc w:val="both"/>
        <w:rPr>
          <w:lang w:eastAsia="fr-BE" w:bidi="de-DE"/>
        </w:rPr>
      </w:pPr>
    </w:p>
    <w:p w14:paraId="4B1EC0DA"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Der Wert der Vorteile wird wie folgt festgelegt:</w:t>
      </w:r>
    </w:p>
    <w:p w14:paraId="75D9513F" w14:textId="77777777" w:rsidR="005A5BD5" w:rsidRPr="002616E4" w:rsidRDefault="005A5BD5" w:rsidP="004C2C7D">
      <w:pPr>
        <w:jc w:val="both"/>
        <w:rPr>
          <w:lang w:eastAsia="fr-BE" w:bidi="de-DE"/>
        </w:rPr>
      </w:pPr>
    </w:p>
    <w:tbl>
      <w:tblPr>
        <w:tblW w:w="9072" w:type="dxa"/>
        <w:tblInd w:w="120" w:type="dxa"/>
        <w:tblLayout w:type="fixed"/>
        <w:tblCellMar>
          <w:left w:w="120" w:type="dxa"/>
          <w:right w:w="120" w:type="dxa"/>
        </w:tblCellMar>
        <w:tblLook w:val="0000" w:firstRow="0" w:lastRow="0" w:firstColumn="0" w:lastColumn="0" w:noHBand="0" w:noVBand="0"/>
      </w:tblPr>
      <w:tblGrid>
        <w:gridCol w:w="4820"/>
        <w:gridCol w:w="2126"/>
        <w:gridCol w:w="2126"/>
      </w:tblGrid>
      <w:tr w:rsidR="005A5BD5" w:rsidRPr="002616E4" w14:paraId="65CBD515" w14:textId="77777777" w:rsidTr="004C2C7D">
        <w:trPr>
          <w:trHeight w:val="357"/>
          <w:tblHeader/>
        </w:trPr>
        <w:tc>
          <w:tcPr>
            <w:tcW w:w="4820" w:type="dxa"/>
            <w:tcBorders>
              <w:top w:val="double" w:sz="7" w:space="0" w:color="auto"/>
              <w:left w:val="double" w:sz="7" w:space="0" w:color="auto"/>
              <w:bottom w:val="single" w:sz="7" w:space="0" w:color="auto"/>
            </w:tcBorders>
          </w:tcPr>
          <w:p w14:paraId="2D0EC6DD"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[Art des Vorteils</w:t>
            </w:r>
          </w:p>
        </w:tc>
        <w:tc>
          <w:tcPr>
            <w:tcW w:w="2126" w:type="dxa"/>
            <w:tcBorders>
              <w:top w:val="double" w:sz="7" w:space="0" w:color="auto"/>
              <w:left w:val="single" w:sz="7" w:space="0" w:color="auto"/>
              <w:bottom w:val="single" w:sz="7" w:space="0" w:color="auto"/>
            </w:tcBorders>
          </w:tcPr>
          <w:p w14:paraId="2AEFD232" w14:textId="77777777" w:rsidR="005A5BD5" w:rsidRPr="002616E4" w:rsidRDefault="005A5BD5" w:rsidP="004C2C7D">
            <w:pPr>
              <w:jc w:val="center"/>
              <w:rPr>
                <w:rFonts w:eastAsia="Calibri"/>
                <w:spacing w:val="-2"/>
                <w:szCs w:val="22"/>
                <w:lang w:eastAsia="de-DE" w:bidi="de-DE"/>
              </w:rPr>
            </w:pPr>
            <w:r w:rsidRPr="002616E4">
              <w:rPr>
                <w:rFonts w:eastAsia="Calibri"/>
                <w:spacing w:val="-2"/>
                <w:szCs w:val="22"/>
                <w:lang w:eastAsia="de-DE" w:bidi="de-DE"/>
              </w:rPr>
              <w:t>Pro Tag</w:t>
            </w:r>
          </w:p>
        </w:tc>
        <w:tc>
          <w:tcPr>
            <w:tcW w:w="2126" w:type="dxa"/>
            <w:tcBorders>
              <w:top w:val="double" w:sz="7" w:space="0" w:color="auto"/>
              <w:left w:val="single" w:sz="7" w:space="0" w:color="auto"/>
              <w:bottom w:val="single" w:sz="7" w:space="0" w:color="auto"/>
              <w:right w:val="double" w:sz="7" w:space="0" w:color="auto"/>
            </w:tcBorders>
          </w:tcPr>
          <w:p w14:paraId="4D5F8DB2" w14:textId="77777777" w:rsidR="005A5BD5" w:rsidRPr="002616E4" w:rsidRDefault="005A5BD5" w:rsidP="004C2C7D">
            <w:pPr>
              <w:jc w:val="center"/>
              <w:rPr>
                <w:rFonts w:eastAsia="Calibri"/>
                <w:spacing w:val="-2"/>
                <w:szCs w:val="22"/>
                <w:lang w:eastAsia="de-DE" w:bidi="de-DE"/>
              </w:rPr>
            </w:pPr>
            <w:r w:rsidRPr="002616E4">
              <w:rPr>
                <w:rFonts w:eastAsia="Calibri"/>
                <w:spacing w:val="-2"/>
                <w:szCs w:val="22"/>
                <w:lang w:eastAsia="de-DE" w:bidi="de-DE"/>
              </w:rPr>
              <w:t>Pro Jahr</w:t>
            </w:r>
          </w:p>
        </w:tc>
      </w:tr>
      <w:tr w:rsidR="005A5BD5" w:rsidRPr="002616E4" w14:paraId="734AD848" w14:textId="77777777" w:rsidTr="004C2C7D">
        <w:trPr>
          <w:trHeight w:val="357"/>
        </w:trPr>
        <w:tc>
          <w:tcPr>
            <w:tcW w:w="4820" w:type="dxa"/>
            <w:tcBorders>
              <w:left w:val="double" w:sz="7" w:space="0" w:color="auto"/>
            </w:tcBorders>
            <w:tcMar>
              <w:top w:w="113" w:type="dxa"/>
              <w:bottom w:w="113" w:type="dxa"/>
            </w:tcMar>
          </w:tcPr>
          <w:p w14:paraId="57BA644A" w14:textId="77777777" w:rsidR="005A5BD5" w:rsidRPr="002616E4" w:rsidRDefault="005A5BD5" w:rsidP="004C2C7D">
            <w:pPr>
              <w:keepNext/>
              <w:rPr>
                <w:rFonts w:eastAsia="Calibri"/>
                <w:spacing w:val="-2"/>
                <w:szCs w:val="22"/>
                <w:lang w:eastAsia="de-DE" w:bidi="de-DE"/>
              </w:rPr>
            </w:pPr>
            <w:r w:rsidRPr="002616E4">
              <w:rPr>
                <w:rFonts w:eastAsia="Calibri"/>
                <w:spacing w:val="-2"/>
                <w:szCs w:val="22"/>
                <w:lang w:eastAsia="de-DE" w:bidi="de-DE"/>
              </w:rPr>
              <w:t>Erste Mahlzeit (Frühstück)</w:t>
            </w:r>
          </w:p>
        </w:tc>
        <w:tc>
          <w:tcPr>
            <w:tcW w:w="2126" w:type="dxa"/>
            <w:tcBorders>
              <w:left w:val="single" w:sz="7" w:space="0" w:color="auto"/>
            </w:tcBorders>
            <w:tcMar>
              <w:top w:w="113" w:type="dxa"/>
              <w:bottom w:w="113" w:type="dxa"/>
            </w:tcMar>
          </w:tcPr>
          <w:p w14:paraId="24A646AC" w14:textId="77777777" w:rsidR="005A5BD5" w:rsidRPr="002616E4" w:rsidRDefault="005A5BD5" w:rsidP="004C2C7D">
            <w:pPr>
              <w:jc w:val="center"/>
              <w:rPr>
                <w:rFonts w:eastAsia="Calibri"/>
                <w:spacing w:val="-2"/>
                <w:szCs w:val="22"/>
                <w:lang w:eastAsia="de-DE" w:bidi="de-DE"/>
              </w:rPr>
            </w:pPr>
            <w:r w:rsidRPr="002616E4">
              <w:rPr>
                <w:rFonts w:eastAsia="Calibri"/>
                <w:spacing w:val="-2"/>
                <w:szCs w:val="22"/>
                <w:lang w:eastAsia="de-DE" w:bidi="de-DE"/>
              </w:rPr>
              <w:t>0,55</w:t>
            </w:r>
            <w:r w:rsidRPr="002616E4">
              <w:rPr>
                <w:rFonts w:eastAsia="Calibri"/>
                <w:spacing w:val="-3"/>
                <w:szCs w:val="22"/>
                <w:lang w:eastAsia="de-DE" w:bidi="de-DE"/>
              </w:rPr>
              <w:t xml:space="preserve"> EUR</w:t>
            </w:r>
          </w:p>
        </w:tc>
        <w:tc>
          <w:tcPr>
            <w:tcW w:w="2126" w:type="dxa"/>
            <w:tcBorders>
              <w:left w:val="single" w:sz="7" w:space="0" w:color="auto"/>
              <w:right w:val="double" w:sz="7" w:space="0" w:color="auto"/>
            </w:tcBorders>
            <w:tcMar>
              <w:top w:w="113" w:type="dxa"/>
              <w:bottom w:w="113" w:type="dxa"/>
            </w:tcMar>
          </w:tcPr>
          <w:p w14:paraId="19F1FB85" w14:textId="77777777" w:rsidR="005A5BD5" w:rsidRPr="002616E4" w:rsidRDefault="005A5BD5" w:rsidP="004C2C7D">
            <w:pPr>
              <w:jc w:val="center"/>
              <w:rPr>
                <w:rFonts w:eastAsia="Calibri"/>
                <w:spacing w:val="-2"/>
                <w:szCs w:val="22"/>
                <w:lang w:eastAsia="de-DE" w:bidi="de-DE"/>
              </w:rPr>
            </w:pPr>
            <w:r w:rsidRPr="002616E4">
              <w:rPr>
                <w:rFonts w:eastAsia="Calibri"/>
                <w:spacing w:val="-2"/>
                <w:szCs w:val="22"/>
                <w:lang w:eastAsia="de-DE" w:bidi="de-DE"/>
              </w:rPr>
              <w:t>198,00</w:t>
            </w:r>
            <w:r w:rsidRPr="002616E4">
              <w:rPr>
                <w:rFonts w:eastAsia="Calibri"/>
                <w:spacing w:val="-3"/>
                <w:szCs w:val="22"/>
                <w:lang w:eastAsia="de-DE" w:bidi="de-DE"/>
              </w:rPr>
              <w:t xml:space="preserve"> EUR</w:t>
            </w:r>
          </w:p>
        </w:tc>
      </w:tr>
      <w:tr w:rsidR="005A5BD5" w:rsidRPr="002616E4" w14:paraId="54AB661C" w14:textId="77777777" w:rsidTr="004C2C7D">
        <w:trPr>
          <w:trHeight w:val="357"/>
        </w:trPr>
        <w:tc>
          <w:tcPr>
            <w:tcW w:w="4820" w:type="dxa"/>
            <w:tcBorders>
              <w:left w:val="double" w:sz="7" w:space="0" w:color="auto"/>
            </w:tcBorders>
            <w:tcMar>
              <w:top w:w="113" w:type="dxa"/>
              <w:bottom w:w="113" w:type="dxa"/>
            </w:tcMar>
          </w:tcPr>
          <w:p w14:paraId="1958407D" w14:textId="77777777" w:rsidR="005A5BD5" w:rsidRPr="002616E4" w:rsidRDefault="005A5BD5" w:rsidP="004C2C7D">
            <w:pPr>
              <w:keepNext/>
              <w:rPr>
                <w:rFonts w:eastAsia="Calibri"/>
                <w:spacing w:val="-2"/>
                <w:szCs w:val="22"/>
                <w:lang w:eastAsia="de-DE" w:bidi="de-DE"/>
              </w:rPr>
            </w:pPr>
            <w:r w:rsidRPr="002616E4">
              <w:rPr>
                <w:rFonts w:eastAsia="Calibri"/>
                <w:spacing w:val="-2"/>
                <w:szCs w:val="22"/>
                <w:lang w:eastAsia="de-DE" w:bidi="de-DE"/>
              </w:rPr>
              <w:t>Zweite Mahlzeit (Hauptmahlzeit)</w:t>
            </w:r>
          </w:p>
        </w:tc>
        <w:tc>
          <w:tcPr>
            <w:tcW w:w="2126" w:type="dxa"/>
            <w:tcBorders>
              <w:left w:val="single" w:sz="7" w:space="0" w:color="auto"/>
            </w:tcBorders>
            <w:tcMar>
              <w:top w:w="113" w:type="dxa"/>
              <w:bottom w:w="113" w:type="dxa"/>
            </w:tcMar>
          </w:tcPr>
          <w:p w14:paraId="69AEB879" w14:textId="77777777" w:rsidR="005A5BD5" w:rsidRPr="002616E4" w:rsidRDefault="005A5BD5" w:rsidP="004C2C7D">
            <w:pPr>
              <w:jc w:val="center"/>
              <w:rPr>
                <w:rFonts w:eastAsia="Calibri"/>
                <w:spacing w:val="-2"/>
                <w:szCs w:val="22"/>
                <w:lang w:eastAsia="de-DE" w:bidi="de-DE"/>
              </w:rPr>
            </w:pPr>
            <w:r w:rsidRPr="002616E4">
              <w:rPr>
                <w:rFonts w:eastAsia="Calibri"/>
                <w:spacing w:val="-2"/>
                <w:szCs w:val="22"/>
                <w:lang w:eastAsia="de-DE" w:bidi="de-DE"/>
              </w:rPr>
              <w:t>1,09</w:t>
            </w:r>
            <w:r w:rsidRPr="002616E4">
              <w:rPr>
                <w:rFonts w:eastAsia="Calibri"/>
                <w:spacing w:val="-3"/>
                <w:szCs w:val="22"/>
                <w:lang w:eastAsia="de-DE" w:bidi="de-DE"/>
              </w:rPr>
              <w:t xml:space="preserve"> EUR</w:t>
            </w:r>
          </w:p>
        </w:tc>
        <w:tc>
          <w:tcPr>
            <w:tcW w:w="2126" w:type="dxa"/>
            <w:tcBorders>
              <w:left w:val="single" w:sz="7" w:space="0" w:color="auto"/>
              <w:right w:val="double" w:sz="7" w:space="0" w:color="auto"/>
            </w:tcBorders>
            <w:tcMar>
              <w:top w:w="113" w:type="dxa"/>
              <w:bottom w:w="113" w:type="dxa"/>
            </w:tcMar>
          </w:tcPr>
          <w:p w14:paraId="6EE7FB95" w14:textId="77777777" w:rsidR="005A5BD5" w:rsidRPr="002616E4" w:rsidRDefault="005A5BD5" w:rsidP="004C2C7D">
            <w:pPr>
              <w:jc w:val="center"/>
              <w:rPr>
                <w:rFonts w:eastAsia="Calibri"/>
                <w:spacing w:val="-2"/>
                <w:szCs w:val="22"/>
                <w:lang w:eastAsia="de-DE" w:bidi="de-DE"/>
              </w:rPr>
            </w:pPr>
            <w:r w:rsidRPr="002616E4">
              <w:rPr>
                <w:rFonts w:eastAsia="Calibri"/>
                <w:spacing w:val="-2"/>
                <w:szCs w:val="22"/>
                <w:lang w:eastAsia="de-DE" w:bidi="de-DE"/>
              </w:rPr>
              <w:t>392,40</w:t>
            </w:r>
            <w:r w:rsidRPr="002616E4">
              <w:rPr>
                <w:rFonts w:eastAsia="Calibri"/>
                <w:spacing w:val="-3"/>
                <w:szCs w:val="22"/>
                <w:lang w:eastAsia="de-DE" w:bidi="de-DE"/>
              </w:rPr>
              <w:t xml:space="preserve"> EUR</w:t>
            </w:r>
          </w:p>
        </w:tc>
      </w:tr>
      <w:tr w:rsidR="005A5BD5" w:rsidRPr="002616E4" w14:paraId="3995F063" w14:textId="77777777" w:rsidTr="004C2C7D">
        <w:trPr>
          <w:trHeight w:val="357"/>
        </w:trPr>
        <w:tc>
          <w:tcPr>
            <w:tcW w:w="4820" w:type="dxa"/>
            <w:tcBorders>
              <w:left w:val="double" w:sz="7" w:space="0" w:color="auto"/>
            </w:tcBorders>
            <w:tcMar>
              <w:top w:w="113" w:type="dxa"/>
              <w:bottom w:w="113" w:type="dxa"/>
            </w:tcMar>
          </w:tcPr>
          <w:p w14:paraId="4E791810" w14:textId="77777777" w:rsidR="005A5BD5" w:rsidRPr="002616E4" w:rsidRDefault="005A5BD5" w:rsidP="004C2C7D">
            <w:pPr>
              <w:rPr>
                <w:rFonts w:eastAsia="Calibri"/>
                <w:spacing w:val="-2"/>
                <w:szCs w:val="22"/>
                <w:lang w:eastAsia="de-DE" w:bidi="de-DE"/>
              </w:rPr>
            </w:pPr>
            <w:r w:rsidRPr="002616E4">
              <w:rPr>
                <w:rFonts w:eastAsia="Calibri"/>
                <w:spacing w:val="-2"/>
                <w:szCs w:val="22"/>
                <w:lang w:eastAsia="de-DE" w:bidi="de-DE"/>
              </w:rPr>
              <w:t>Dritte Mahlzeit (Abendbrot)</w:t>
            </w:r>
          </w:p>
        </w:tc>
        <w:tc>
          <w:tcPr>
            <w:tcW w:w="2126" w:type="dxa"/>
            <w:tcBorders>
              <w:left w:val="single" w:sz="7" w:space="0" w:color="auto"/>
            </w:tcBorders>
            <w:tcMar>
              <w:top w:w="113" w:type="dxa"/>
              <w:bottom w:w="113" w:type="dxa"/>
            </w:tcMar>
          </w:tcPr>
          <w:p w14:paraId="169CFA21" w14:textId="77777777" w:rsidR="005A5BD5" w:rsidRPr="002616E4" w:rsidRDefault="005A5BD5" w:rsidP="004C2C7D">
            <w:pPr>
              <w:jc w:val="center"/>
              <w:rPr>
                <w:rFonts w:eastAsia="Calibri"/>
                <w:spacing w:val="-2"/>
                <w:szCs w:val="22"/>
                <w:lang w:eastAsia="de-DE" w:bidi="de-DE"/>
              </w:rPr>
            </w:pPr>
            <w:r w:rsidRPr="002616E4">
              <w:rPr>
                <w:rFonts w:eastAsia="Calibri"/>
                <w:spacing w:val="-2"/>
                <w:szCs w:val="22"/>
                <w:lang w:eastAsia="de-DE" w:bidi="de-DE"/>
              </w:rPr>
              <w:t>0,84</w:t>
            </w:r>
            <w:r w:rsidRPr="002616E4">
              <w:rPr>
                <w:rFonts w:eastAsia="Calibri"/>
                <w:spacing w:val="-3"/>
                <w:szCs w:val="22"/>
                <w:lang w:eastAsia="de-DE" w:bidi="de-DE"/>
              </w:rPr>
              <w:t xml:space="preserve"> EUR</w:t>
            </w:r>
          </w:p>
        </w:tc>
        <w:tc>
          <w:tcPr>
            <w:tcW w:w="2126" w:type="dxa"/>
            <w:tcBorders>
              <w:left w:val="single" w:sz="7" w:space="0" w:color="auto"/>
              <w:right w:val="double" w:sz="7" w:space="0" w:color="auto"/>
            </w:tcBorders>
            <w:tcMar>
              <w:top w:w="113" w:type="dxa"/>
              <w:bottom w:w="113" w:type="dxa"/>
            </w:tcMar>
          </w:tcPr>
          <w:p w14:paraId="1F346F13" w14:textId="77777777" w:rsidR="005A5BD5" w:rsidRPr="002616E4" w:rsidRDefault="005A5BD5" w:rsidP="004C2C7D">
            <w:pPr>
              <w:jc w:val="center"/>
              <w:rPr>
                <w:rFonts w:eastAsia="Calibri"/>
                <w:spacing w:val="-2"/>
                <w:szCs w:val="22"/>
                <w:lang w:eastAsia="de-DE" w:bidi="de-DE"/>
              </w:rPr>
            </w:pPr>
            <w:r w:rsidRPr="002616E4">
              <w:rPr>
                <w:rFonts w:eastAsia="Calibri"/>
                <w:spacing w:val="-2"/>
                <w:szCs w:val="22"/>
                <w:lang w:eastAsia="de-DE" w:bidi="de-DE"/>
              </w:rPr>
              <w:t>302,40</w:t>
            </w:r>
            <w:r w:rsidRPr="002616E4">
              <w:rPr>
                <w:rFonts w:eastAsia="Calibri"/>
                <w:spacing w:val="-3"/>
                <w:szCs w:val="22"/>
                <w:lang w:eastAsia="de-DE" w:bidi="de-DE"/>
              </w:rPr>
              <w:t xml:space="preserve"> EUR</w:t>
            </w:r>
          </w:p>
        </w:tc>
      </w:tr>
      <w:tr w:rsidR="005A5BD5" w:rsidRPr="002616E4" w14:paraId="05CEACA8" w14:textId="77777777" w:rsidTr="004C2C7D">
        <w:trPr>
          <w:trHeight w:val="357"/>
        </w:trPr>
        <w:tc>
          <w:tcPr>
            <w:tcW w:w="4820" w:type="dxa"/>
            <w:tcBorders>
              <w:left w:val="double" w:sz="7" w:space="0" w:color="auto"/>
            </w:tcBorders>
            <w:tcMar>
              <w:top w:w="113" w:type="dxa"/>
              <w:bottom w:w="113" w:type="dxa"/>
            </w:tcMar>
          </w:tcPr>
          <w:p w14:paraId="4833E08E" w14:textId="77777777" w:rsidR="005A5BD5" w:rsidRPr="0072018B" w:rsidRDefault="005A5BD5" w:rsidP="004C2C7D">
            <w:pPr>
              <w:tabs>
                <w:tab w:val="left" w:pos="567"/>
                <w:tab w:val="left" w:pos="1134"/>
                <w:tab w:val="left" w:pos="1701"/>
                <w:tab w:val="left" w:pos="2268"/>
                <w:tab w:val="left" w:pos="2835"/>
                <w:tab w:val="left" w:pos="3402"/>
                <w:tab w:val="left" w:pos="3969"/>
              </w:tabs>
              <w:jc w:val="both"/>
              <w:rPr>
                <w:spacing w:val="-2"/>
                <w:lang w:eastAsia="de-DE" w:bidi="de-DE"/>
              </w:rPr>
            </w:pPr>
            <w:r w:rsidRPr="0072018B">
              <w:rPr>
                <w:spacing w:val="-2"/>
                <w:lang w:eastAsia="de-DE" w:bidi="de-DE"/>
              </w:rPr>
              <w:t>Unterkunft, Heizung, Beleuchtung</w:t>
            </w:r>
          </w:p>
        </w:tc>
        <w:tc>
          <w:tcPr>
            <w:tcW w:w="2126" w:type="dxa"/>
            <w:tcBorders>
              <w:left w:val="single" w:sz="7" w:space="0" w:color="auto"/>
            </w:tcBorders>
            <w:tcMar>
              <w:top w:w="113" w:type="dxa"/>
              <w:bottom w:w="113" w:type="dxa"/>
            </w:tcMar>
          </w:tcPr>
          <w:p w14:paraId="093A7238" w14:textId="77777777" w:rsidR="005A5BD5" w:rsidRPr="002616E4" w:rsidRDefault="005A5BD5" w:rsidP="004C2C7D">
            <w:pPr>
              <w:jc w:val="center"/>
              <w:rPr>
                <w:rFonts w:eastAsia="Calibri"/>
                <w:spacing w:val="-2"/>
                <w:szCs w:val="22"/>
                <w:lang w:eastAsia="de-DE" w:bidi="de-DE"/>
              </w:rPr>
            </w:pPr>
            <w:r w:rsidRPr="002616E4">
              <w:rPr>
                <w:rFonts w:eastAsia="Calibri"/>
                <w:spacing w:val="-2"/>
                <w:szCs w:val="22"/>
                <w:lang w:eastAsia="de-DE" w:bidi="de-DE"/>
              </w:rPr>
              <w:t>0,74</w:t>
            </w:r>
            <w:r w:rsidRPr="002616E4">
              <w:rPr>
                <w:rFonts w:eastAsia="Calibri"/>
                <w:spacing w:val="-3"/>
                <w:szCs w:val="22"/>
                <w:lang w:eastAsia="de-DE" w:bidi="de-DE"/>
              </w:rPr>
              <w:t xml:space="preserve"> EUR</w:t>
            </w:r>
          </w:p>
        </w:tc>
        <w:tc>
          <w:tcPr>
            <w:tcW w:w="2126" w:type="dxa"/>
            <w:tcBorders>
              <w:left w:val="single" w:sz="7" w:space="0" w:color="auto"/>
              <w:right w:val="double" w:sz="7" w:space="0" w:color="auto"/>
            </w:tcBorders>
            <w:tcMar>
              <w:top w:w="113" w:type="dxa"/>
              <w:bottom w:w="113" w:type="dxa"/>
            </w:tcMar>
          </w:tcPr>
          <w:p w14:paraId="223C7E86" w14:textId="77777777" w:rsidR="005A5BD5" w:rsidRPr="002616E4" w:rsidRDefault="005A5BD5" w:rsidP="004C2C7D">
            <w:pPr>
              <w:jc w:val="center"/>
              <w:rPr>
                <w:rFonts w:eastAsia="Calibri"/>
                <w:spacing w:val="-2"/>
                <w:szCs w:val="22"/>
                <w:lang w:eastAsia="de-DE" w:bidi="de-DE"/>
              </w:rPr>
            </w:pPr>
            <w:r w:rsidRPr="002616E4">
              <w:rPr>
                <w:rFonts w:eastAsia="Calibri"/>
                <w:spacing w:val="-2"/>
                <w:szCs w:val="22"/>
                <w:lang w:eastAsia="de-DE" w:bidi="de-DE"/>
              </w:rPr>
              <w:t>266,40</w:t>
            </w:r>
            <w:r w:rsidRPr="002616E4">
              <w:rPr>
                <w:rFonts w:eastAsia="Calibri"/>
                <w:spacing w:val="-3"/>
                <w:szCs w:val="22"/>
                <w:lang w:eastAsia="de-DE" w:bidi="de-DE"/>
              </w:rPr>
              <w:t xml:space="preserve"> EUR</w:t>
            </w:r>
          </w:p>
        </w:tc>
      </w:tr>
      <w:tr w:rsidR="005A5BD5" w:rsidRPr="002616E4" w14:paraId="1BDEDC8A" w14:textId="77777777" w:rsidTr="004C2C7D">
        <w:trPr>
          <w:trHeight w:val="357"/>
        </w:trPr>
        <w:tc>
          <w:tcPr>
            <w:tcW w:w="4820" w:type="dxa"/>
            <w:tcBorders>
              <w:top w:val="single" w:sz="7" w:space="0" w:color="auto"/>
              <w:left w:val="double" w:sz="7" w:space="0" w:color="auto"/>
              <w:bottom w:val="double" w:sz="7" w:space="0" w:color="auto"/>
            </w:tcBorders>
            <w:tcMar>
              <w:top w:w="113" w:type="dxa"/>
              <w:bottom w:w="113" w:type="dxa"/>
            </w:tcMar>
          </w:tcPr>
          <w:p w14:paraId="64C25191" w14:textId="77777777" w:rsidR="005A5BD5" w:rsidRPr="002616E4" w:rsidRDefault="005A5BD5" w:rsidP="004C2C7D">
            <w:pPr>
              <w:rPr>
                <w:rFonts w:eastAsia="Calibri"/>
                <w:spacing w:val="-2"/>
                <w:szCs w:val="22"/>
                <w:lang w:eastAsia="de-DE" w:bidi="de-DE"/>
              </w:rPr>
            </w:pPr>
            <w:r w:rsidRPr="002616E4">
              <w:rPr>
                <w:rFonts w:eastAsia="Calibri"/>
                <w:spacing w:val="-2"/>
                <w:szCs w:val="22"/>
                <w:lang w:eastAsia="de-DE" w:bidi="de-DE"/>
              </w:rPr>
              <w:t>Gesamt</w:t>
            </w:r>
          </w:p>
        </w:tc>
        <w:tc>
          <w:tcPr>
            <w:tcW w:w="2126" w:type="dxa"/>
            <w:tcBorders>
              <w:top w:val="single" w:sz="7" w:space="0" w:color="auto"/>
              <w:left w:val="single" w:sz="7" w:space="0" w:color="auto"/>
              <w:bottom w:val="double" w:sz="7" w:space="0" w:color="auto"/>
            </w:tcBorders>
            <w:tcMar>
              <w:top w:w="113" w:type="dxa"/>
              <w:bottom w:w="113" w:type="dxa"/>
            </w:tcMar>
          </w:tcPr>
          <w:p w14:paraId="0DC00BC9" w14:textId="77777777" w:rsidR="005A5BD5" w:rsidRPr="002616E4" w:rsidRDefault="005A5BD5" w:rsidP="004C2C7D">
            <w:pPr>
              <w:jc w:val="center"/>
              <w:rPr>
                <w:rFonts w:eastAsia="Calibri"/>
                <w:spacing w:val="-2"/>
                <w:szCs w:val="22"/>
                <w:lang w:eastAsia="de-DE" w:bidi="de-DE"/>
              </w:rPr>
            </w:pPr>
            <w:r w:rsidRPr="002616E4">
              <w:rPr>
                <w:rFonts w:eastAsia="Calibri"/>
                <w:spacing w:val="-2"/>
                <w:szCs w:val="22"/>
                <w:lang w:eastAsia="de-DE" w:bidi="de-DE"/>
              </w:rPr>
              <w:t>3,22</w:t>
            </w:r>
            <w:r w:rsidRPr="002616E4">
              <w:rPr>
                <w:rFonts w:eastAsia="Calibri"/>
                <w:spacing w:val="-3"/>
                <w:szCs w:val="22"/>
                <w:lang w:eastAsia="de-DE" w:bidi="de-DE"/>
              </w:rPr>
              <w:t xml:space="preserve"> EUR</w:t>
            </w:r>
          </w:p>
        </w:tc>
        <w:tc>
          <w:tcPr>
            <w:tcW w:w="2126" w:type="dxa"/>
            <w:tcBorders>
              <w:top w:val="single" w:sz="7" w:space="0" w:color="auto"/>
              <w:left w:val="single" w:sz="7" w:space="0" w:color="auto"/>
              <w:bottom w:val="double" w:sz="7" w:space="0" w:color="auto"/>
              <w:right w:val="double" w:sz="7" w:space="0" w:color="auto"/>
            </w:tcBorders>
            <w:tcMar>
              <w:top w:w="113" w:type="dxa"/>
              <w:bottom w:w="113" w:type="dxa"/>
            </w:tcMar>
          </w:tcPr>
          <w:p w14:paraId="1B90C4E9" w14:textId="77777777" w:rsidR="005A5BD5" w:rsidRPr="002616E4" w:rsidRDefault="005A5BD5" w:rsidP="004C2C7D">
            <w:pPr>
              <w:jc w:val="center"/>
              <w:rPr>
                <w:rFonts w:eastAsia="Calibri"/>
                <w:spacing w:val="-2"/>
                <w:szCs w:val="22"/>
                <w:lang w:eastAsia="de-DE" w:bidi="de-DE"/>
              </w:rPr>
            </w:pPr>
            <w:r w:rsidRPr="002616E4">
              <w:rPr>
                <w:rFonts w:eastAsia="Calibri"/>
                <w:spacing w:val="-2"/>
                <w:szCs w:val="22"/>
                <w:lang w:eastAsia="de-DE" w:bidi="de-DE"/>
              </w:rPr>
              <w:t>1.159,20</w:t>
            </w:r>
            <w:r w:rsidRPr="002616E4">
              <w:rPr>
                <w:rFonts w:eastAsia="Calibri"/>
                <w:spacing w:val="-3"/>
                <w:szCs w:val="22"/>
                <w:lang w:eastAsia="de-DE" w:bidi="de-DE"/>
              </w:rPr>
              <w:t xml:space="preserve"> EUR]</w:t>
            </w:r>
          </w:p>
        </w:tc>
      </w:tr>
    </w:tbl>
    <w:p w14:paraId="4FBF4EF5" w14:textId="77777777" w:rsidR="005A5BD5" w:rsidRPr="002616E4" w:rsidRDefault="005A5BD5" w:rsidP="004C2C7D">
      <w:pPr>
        <w:jc w:val="both"/>
        <w:rPr>
          <w:lang w:eastAsia="fr-BE" w:bidi="de-DE"/>
        </w:rPr>
      </w:pPr>
    </w:p>
    <w:p w14:paraId="7944E903"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Die Pauschalveranschlagung von Wohnung, Heizung und Beleuchtung findet jedoch nur Anwendung für Hauspersonal, das über einen einzigen Raum verfügt.</w:t>
      </w:r>
    </w:p>
    <w:p w14:paraId="63AC1A63" w14:textId="77777777" w:rsidR="005A5BD5" w:rsidRPr="002616E4" w:rsidRDefault="005A5BD5" w:rsidP="004C2C7D">
      <w:pPr>
        <w:jc w:val="both"/>
        <w:rPr>
          <w:lang w:eastAsia="fr-BE" w:bidi="de-DE"/>
        </w:rPr>
      </w:pPr>
    </w:p>
    <w:p w14:paraId="5C7D435F"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Verfügen die Betreffenden über mehrere Wohnräume, wird der Vorteil festgelegt wie in den Nummern 2 und 4 bestimmt.</w:t>
      </w:r>
    </w:p>
    <w:p w14:paraId="4C8E7392" w14:textId="77777777" w:rsidR="005A5BD5" w:rsidRPr="002616E4" w:rsidRDefault="005A5BD5" w:rsidP="004C2C7D">
      <w:pPr>
        <w:jc w:val="both"/>
        <w:rPr>
          <w:lang w:eastAsia="fr-BE" w:bidi="de-DE"/>
        </w:rPr>
      </w:pPr>
    </w:p>
    <w:p w14:paraId="0FF47CA3" w14:textId="77777777" w:rsidR="005A5BD5" w:rsidRPr="002616E4" w:rsidRDefault="005A5BD5" w:rsidP="004C2C7D">
      <w:pPr>
        <w:jc w:val="both"/>
        <w:rPr>
          <w:lang w:eastAsia="fr-BE" w:bidi="de-DE"/>
        </w:rPr>
      </w:pPr>
    </w:p>
    <w:p w14:paraId="315E2F77"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i/>
          <w:lang w:eastAsia="de-DE" w:bidi="de-DE"/>
        </w:rPr>
        <w:t>7.</w:t>
      </w:r>
      <w:r w:rsidRPr="002616E4">
        <w:rPr>
          <w:rFonts w:eastAsia="Calibri"/>
          <w:lang w:eastAsia="de-DE" w:bidi="de-DE"/>
        </w:rPr>
        <w:t xml:space="preserve"> </w:t>
      </w:r>
      <w:r w:rsidRPr="002616E4">
        <w:rPr>
          <w:rFonts w:eastAsia="Calibri"/>
          <w:i/>
          <w:lang w:eastAsia="de-DE" w:bidi="de-DE"/>
        </w:rPr>
        <w:t>Kostenlose Zurverfügungstellung von Essen an Seeleute und, aufgrund der Entfernung der Baustelle, an Bauarbeiter:</w:t>
      </w:r>
    </w:p>
    <w:p w14:paraId="054FAF31" w14:textId="77777777" w:rsidR="005A5BD5" w:rsidRPr="002616E4" w:rsidRDefault="005A5BD5" w:rsidP="004C2C7D">
      <w:pPr>
        <w:jc w:val="both"/>
        <w:rPr>
          <w:lang w:eastAsia="fr-BE" w:bidi="de-DE"/>
        </w:rPr>
      </w:pPr>
    </w:p>
    <w:p w14:paraId="5D009ECD"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Der Vorteil wird pauschal auf [2,48 EUR] pro effektiven Tag auf See beziehungsweise pro effektiv gearbeiteten Tag veranschlagt.</w:t>
      </w:r>
    </w:p>
    <w:p w14:paraId="7BD8FA8E" w14:textId="77777777" w:rsidR="005A5BD5" w:rsidRPr="002616E4" w:rsidRDefault="005A5BD5" w:rsidP="004C2C7D">
      <w:pPr>
        <w:jc w:val="both"/>
        <w:rPr>
          <w:lang w:eastAsia="fr-BE" w:bidi="de-DE"/>
        </w:rPr>
      </w:pPr>
    </w:p>
    <w:p w14:paraId="4E1122DB" w14:textId="77777777" w:rsidR="005A5BD5" w:rsidRPr="002616E4" w:rsidRDefault="005A5BD5" w:rsidP="004C2C7D">
      <w:pPr>
        <w:jc w:val="both"/>
        <w:rPr>
          <w:lang w:eastAsia="fr-BE" w:bidi="de-DE"/>
        </w:rPr>
      </w:pPr>
    </w:p>
    <w:p w14:paraId="0272FC69" w14:textId="09E7568A"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i/>
          <w:lang w:eastAsia="de-DE" w:bidi="de-DE"/>
        </w:rPr>
        <w:t>8.</w:t>
      </w:r>
      <w:r w:rsidRPr="002616E4">
        <w:rPr>
          <w:rFonts w:eastAsia="Calibri"/>
          <w:lang w:eastAsia="de-DE" w:bidi="de-DE"/>
        </w:rPr>
        <w:t xml:space="preserve"> </w:t>
      </w:r>
      <w:r w:rsidRPr="002616E4">
        <w:rPr>
          <w:rFonts w:eastAsia="Calibri"/>
          <w:i/>
          <w:lang w:eastAsia="de-DE" w:bidi="de-DE"/>
        </w:rPr>
        <w:t>Kostenlos bereitgestellte gemeinschaftlich eingenommene Mahlzeiten:</w:t>
      </w:r>
    </w:p>
    <w:p w14:paraId="1049FB40" w14:textId="77777777" w:rsidR="005A5BD5" w:rsidRPr="002616E4" w:rsidRDefault="005A5BD5" w:rsidP="004C2C7D">
      <w:pPr>
        <w:jc w:val="both"/>
        <w:rPr>
          <w:lang w:eastAsia="fr-BE" w:bidi="de-DE"/>
        </w:rPr>
      </w:pPr>
    </w:p>
    <w:p w14:paraId="01387516"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Bei kostenlos bereitgestellten Mahlzeiten bilden die in Nr. 6 erwähnten Beträge die Grundlage für die Veranschlagung der Vorteile.</w:t>
      </w:r>
    </w:p>
    <w:p w14:paraId="6DF08543" w14:textId="77777777" w:rsidR="005B3C4E" w:rsidRDefault="005B3C4E" w:rsidP="004C2C7D">
      <w:pPr>
        <w:jc w:val="both"/>
        <w:rPr>
          <w:rFonts w:eastAsia="Calibri"/>
          <w:szCs w:val="22"/>
          <w:lang w:eastAsia="de-DE" w:bidi="de-DE"/>
        </w:rPr>
      </w:pPr>
    </w:p>
    <w:p w14:paraId="3F3544FE" w14:textId="3392E6C5" w:rsidR="0060225B" w:rsidRDefault="0060225B">
      <w:pPr>
        <w:rPr>
          <w:rFonts w:eastAsia="Calibri"/>
          <w:szCs w:val="22"/>
          <w:lang w:eastAsia="de-DE" w:bidi="de-DE"/>
        </w:rPr>
      </w:pPr>
    </w:p>
    <w:p w14:paraId="53E9AC30" w14:textId="77777777" w:rsidR="00710D82" w:rsidRDefault="00710D82">
      <w:pPr>
        <w:rPr>
          <w:rFonts w:eastAsia="Calibri"/>
          <w:szCs w:val="22"/>
          <w:lang w:eastAsia="de-DE" w:bidi="de-DE"/>
        </w:rPr>
      </w:pPr>
      <w:r>
        <w:rPr>
          <w:rFonts w:eastAsia="Calibri"/>
          <w:szCs w:val="22"/>
          <w:lang w:eastAsia="de-DE" w:bidi="de-DE"/>
        </w:rPr>
        <w:br w:type="page"/>
      </w:r>
    </w:p>
    <w:p w14:paraId="79A487A1" w14:textId="5486D6C2" w:rsidR="005A5BD5" w:rsidRPr="002616E4" w:rsidRDefault="005A5BD5" w:rsidP="004C2C7D">
      <w:pPr>
        <w:jc w:val="both"/>
        <w:rPr>
          <w:lang w:eastAsia="de-DE" w:bidi="de-DE"/>
        </w:rPr>
      </w:pPr>
      <w:r w:rsidRPr="002616E4">
        <w:rPr>
          <w:rFonts w:eastAsia="Calibri"/>
          <w:szCs w:val="22"/>
          <w:lang w:eastAsia="de-DE" w:bidi="de-DE"/>
        </w:rPr>
        <w:lastRenderedPageBreak/>
        <w:tab/>
      </w:r>
      <w:r w:rsidRPr="002616E4">
        <w:rPr>
          <w:rFonts w:eastAsia="Calibri"/>
          <w:i/>
          <w:lang w:eastAsia="de-DE" w:bidi="de-DE"/>
        </w:rPr>
        <w:t>9.</w:t>
      </w:r>
      <w:r w:rsidRPr="002616E4">
        <w:rPr>
          <w:rFonts w:eastAsia="Calibri"/>
          <w:lang w:eastAsia="de-DE" w:bidi="de-DE"/>
        </w:rPr>
        <w:t xml:space="preserve"> </w:t>
      </w:r>
      <w:r w:rsidRPr="002616E4">
        <w:rPr>
          <w:rFonts w:eastAsia="Calibri"/>
          <w:i/>
          <w:lang w:eastAsia="de-DE" w:bidi="de-DE"/>
        </w:rPr>
        <w:t>[Nutzung zu persönlichen Zwecken eines kostenlos zur Verfügung gestellten Fahrzeugs wie in Artikel 65 des Einkommensteuergesetzbuches 1992 erwähnt:</w:t>
      </w:r>
    </w:p>
    <w:p w14:paraId="37F43701" w14:textId="77777777" w:rsidR="005A5BD5" w:rsidRPr="002616E4" w:rsidRDefault="005A5BD5" w:rsidP="004C2C7D">
      <w:pPr>
        <w:jc w:val="both"/>
        <w:rPr>
          <w:lang w:eastAsia="fr-BE" w:bidi="de-DE"/>
        </w:rPr>
      </w:pPr>
    </w:p>
    <w:p w14:paraId="2EEF0398"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Die in der nachfolgenden Tabelle angegebene CO2-Bezugsemission wird pro Jahr festgelegt:</w:t>
      </w:r>
    </w:p>
    <w:p w14:paraId="2269BD15" w14:textId="77777777" w:rsidR="005A5BD5" w:rsidRPr="002616E4" w:rsidRDefault="005A5BD5" w:rsidP="004C2C7D">
      <w:pPr>
        <w:jc w:val="both"/>
        <w:rPr>
          <w:lang w:eastAsia="fr-BE" w:bidi="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6"/>
        <w:gridCol w:w="3027"/>
        <w:gridCol w:w="3007"/>
      </w:tblGrid>
      <w:tr w:rsidR="005A5BD5" w:rsidRPr="002616E4" w14:paraId="6257DA53" w14:textId="77777777" w:rsidTr="008C14CF">
        <w:trPr>
          <w:trHeight w:val="357"/>
        </w:trPr>
        <w:tc>
          <w:tcPr>
            <w:tcW w:w="9060" w:type="dxa"/>
            <w:gridSpan w:val="3"/>
            <w:vAlign w:val="center"/>
          </w:tcPr>
          <w:p w14:paraId="4D878075"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 xml:space="preserve">CO2-Bezugsemission </w:t>
            </w:r>
          </w:p>
        </w:tc>
      </w:tr>
      <w:tr w:rsidR="005A5BD5" w:rsidRPr="002616E4" w14:paraId="6006095A" w14:textId="77777777" w:rsidTr="008C14CF">
        <w:trPr>
          <w:trHeight w:val="357"/>
        </w:trPr>
        <w:tc>
          <w:tcPr>
            <w:tcW w:w="3026" w:type="dxa"/>
            <w:vAlign w:val="center"/>
          </w:tcPr>
          <w:p w14:paraId="5F5F897A"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Kalenderjahr</w:t>
            </w:r>
          </w:p>
          <w:p w14:paraId="6F29F9AA" w14:textId="77777777" w:rsidR="005A5BD5" w:rsidRPr="002616E4" w:rsidRDefault="005A5BD5" w:rsidP="004C2C7D">
            <w:pPr>
              <w:keepNext/>
              <w:jc w:val="center"/>
              <w:rPr>
                <w:rFonts w:eastAsia="Calibri"/>
                <w:spacing w:val="-2"/>
                <w:szCs w:val="22"/>
                <w:lang w:eastAsia="de-DE" w:bidi="de-DE"/>
              </w:rPr>
            </w:pPr>
          </w:p>
        </w:tc>
        <w:tc>
          <w:tcPr>
            <w:tcW w:w="3027" w:type="dxa"/>
            <w:vAlign w:val="center"/>
          </w:tcPr>
          <w:p w14:paraId="385BE1A0"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 xml:space="preserve">Fahrzeuge mit Benzin-, LPG- oder Erdgasmotor </w:t>
            </w:r>
          </w:p>
        </w:tc>
        <w:tc>
          <w:tcPr>
            <w:tcW w:w="3007" w:type="dxa"/>
            <w:vAlign w:val="center"/>
          </w:tcPr>
          <w:p w14:paraId="37EB7C23"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Fahrzeuge mit Dieselmotor</w:t>
            </w:r>
          </w:p>
        </w:tc>
      </w:tr>
      <w:tr w:rsidR="005A5BD5" w:rsidRPr="002616E4" w14:paraId="40BBE5C2" w14:textId="77777777" w:rsidTr="008C14CF">
        <w:trPr>
          <w:trHeight w:val="357"/>
        </w:trPr>
        <w:tc>
          <w:tcPr>
            <w:tcW w:w="3026" w:type="dxa"/>
            <w:vAlign w:val="center"/>
          </w:tcPr>
          <w:p w14:paraId="62A1BC34"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2012</w:t>
            </w:r>
          </w:p>
        </w:tc>
        <w:tc>
          <w:tcPr>
            <w:tcW w:w="3027" w:type="dxa"/>
            <w:vAlign w:val="center"/>
          </w:tcPr>
          <w:p w14:paraId="71BDF00D"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115 g/km</w:t>
            </w:r>
          </w:p>
        </w:tc>
        <w:tc>
          <w:tcPr>
            <w:tcW w:w="3007" w:type="dxa"/>
            <w:vAlign w:val="center"/>
          </w:tcPr>
          <w:p w14:paraId="1EAF28C6"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95 g/km</w:t>
            </w:r>
          </w:p>
        </w:tc>
      </w:tr>
      <w:tr w:rsidR="005A5BD5" w:rsidRPr="002616E4" w14:paraId="6304907C" w14:textId="77777777" w:rsidTr="008C14CF">
        <w:trPr>
          <w:trHeight w:val="357"/>
        </w:trPr>
        <w:tc>
          <w:tcPr>
            <w:tcW w:w="3026" w:type="dxa"/>
            <w:vAlign w:val="center"/>
          </w:tcPr>
          <w:p w14:paraId="036A154D"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2013</w:t>
            </w:r>
          </w:p>
        </w:tc>
        <w:tc>
          <w:tcPr>
            <w:tcW w:w="3027" w:type="dxa"/>
            <w:vAlign w:val="center"/>
          </w:tcPr>
          <w:p w14:paraId="17BFEBF0"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116 g/km</w:t>
            </w:r>
          </w:p>
        </w:tc>
        <w:tc>
          <w:tcPr>
            <w:tcW w:w="3007" w:type="dxa"/>
            <w:vAlign w:val="center"/>
          </w:tcPr>
          <w:p w14:paraId="38CB1C2C"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95 g/km]</w:t>
            </w:r>
          </w:p>
        </w:tc>
      </w:tr>
      <w:tr w:rsidR="005A5BD5" w:rsidRPr="002616E4" w14:paraId="22A34D48" w14:textId="77777777" w:rsidTr="008C14CF">
        <w:trPr>
          <w:trHeight w:val="357"/>
        </w:trPr>
        <w:tc>
          <w:tcPr>
            <w:tcW w:w="3026" w:type="dxa"/>
            <w:vAlign w:val="center"/>
          </w:tcPr>
          <w:p w14:paraId="4127D058"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[2014</w:t>
            </w:r>
          </w:p>
        </w:tc>
        <w:tc>
          <w:tcPr>
            <w:tcW w:w="3027" w:type="dxa"/>
            <w:vAlign w:val="center"/>
          </w:tcPr>
          <w:p w14:paraId="2F709E01"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112 g/km</w:t>
            </w:r>
          </w:p>
        </w:tc>
        <w:tc>
          <w:tcPr>
            <w:tcW w:w="3007" w:type="dxa"/>
            <w:vAlign w:val="center"/>
          </w:tcPr>
          <w:p w14:paraId="0E6A64A2"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93 g/km]</w:t>
            </w:r>
          </w:p>
        </w:tc>
      </w:tr>
      <w:tr w:rsidR="005A5BD5" w:rsidRPr="002616E4" w14:paraId="13E225FC" w14:textId="77777777" w:rsidTr="008C14CF">
        <w:trPr>
          <w:trHeight w:val="357"/>
        </w:trPr>
        <w:tc>
          <w:tcPr>
            <w:tcW w:w="3026" w:type="dxa"/>
            <w:vAlign w:val="center"/>
          </w:tcPr>
          <w:p w14:paraId="6DD87FFF"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[2015</w:t>
            </w:r>
          </w:p>
        </w:tc>
        <w:tc>
          <w:tcPr>
            <w:tcW w:w="3027" w:type="dxa"/>
            <w:vAlign w:val="center"/>
          </w:tcPr>
          <w:p w14:paraId="25B3465C"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110 g/km</w:t>
            </w:r>
          </w:p>
        </w:tc>
        <w:tc>
          <w:tcPr>
            <w:tcW w:w="3007" w:type="dxa"/>
            <w:vAlign w:val="center"/>
          </w:tcPr>
          <w:p w14:paraId="699F007A" w14:textId="77777777" w:rsidR="005A5BD5" w:rsidRPr="002616E4" w:rsidRDefault="005A5BD5" w:rsidP="004C2C7D">
            <w:pPr>
              <w:keepNext/>
              <w:jc w:val="center"/>
              <w:rPr>
                <w:rFonts w:eastAsia="Calibri"/>
                <w:spacing w:val="-2"/>
                <w:szCs w:val="22"/>
                <w:lang w:eastAsia="de-DE" w:bidi="de-DE"/>
              </w:rPr>
            </w:pPr>
            <w:r w:rsidRPr="002616E4">
              <w:rPr>
                <w:rFonts w:eastAsia="Calibri"/>
                <w:spacing w:val="-2"/>
                <w:szCs w:val="22"/>
                <w:lang w:eastAsia="de-DE" w:bidi="de-DE"/>
              </w:rPr>
              <w:t>91 g/km]</w:t>
            </w:r>
          </w:p>
        </w:tc>
      </w:tr>
      <w:tr w:rsidR="00AF3BAB" w:rsidRPr="002616E4" w14:paraId="5B5B98FD" w14:textId="77777777" w:rsidTr="008C14CF">
        <w:trPr>
          <w:trHeight w:val="357"/>
        </w:trPr>
        <w:tc>
          <w:tcPr>
            <w:tcW w:w="3026" w:type="dxa"/>
            <w:vAlign w:val="center"/>
          </w:tcPr>
          <w:p w14:paraId="65D7E9F8" w14:textId="77777777" w:rsidR="00AF3BAB" w:rsidRPr="002616E4" w:rsidRDefault="00AF3BAB" w:rsidP="004C2C7D">
            <w:pPr>
              <w:keepNext/>
              <w:jc w:val="center"/>
              <w:rPr>
                <w:rFonts w:eastAsia="Calibri"/>
                <w:spacing w:val="-2"/>
                <w:szCs w:val="22"/>
                <w:lang w:eastAsia="de-DE" w:bidi="de-DE"/>
              </w:rPr>
            </w:pPr>
            <w:r>
              <w:rPr>
                <w:rFonts w:eastAsia="Calibri"/>
                <w:spacing w:val="-2"/>
                <w:szCs w:val="22"/>
                <w:lang w:eastAsia="de-DE" w:bidi="de-DE"/>
              </w:rPr>
              <w:t>[2016</w:t>
            </w:r>
          </w:p>
        </w:tc>
        <w:tc>
          <w:tcPr>
            <w:tcW w:w="3027" w:type="dxa"/>
            <w:vAlign w:val="center"/>
          </w:tcPr>
          <w:p w14:paraId="2737BC7E" w14:textId="77777777" w:rsidR="00AF3BAB" w:rsidRPr="002616E4" w:rsidRDefault="00AF3BAB" w:rsidP="004C2C7D">
            <w:pPr>
              <w:keepNext/>
              <w:jc w:val="center"/>
              <w:rPr>
                <w:rFonts w:eastAsia="Calibri"/>
                <w:spacing w:val="-2"/>
                <w:szCs w:val="22"/>
                <w:lang w:eastAsia="de-DE" w:bidi="de-DE"/>
              </w:rPr>
            </w:pPr>
            <w:r>
              <w:rPr>
                <w:rFonts w:eastAsia="Calibri"/>
                <w:spacing w:val="-2"/>
                <w:szCs w:val="22"/>
                <w:lang w:eastAsia="de-DE" w:bidi="de-DE"/>
              </w:rPr>
              <w:t>107 g/km</w:t>
            </w:r>
          </w:p>
        </w:tc>
        <w:tc>
          <w:tcPr>
            <w:tcW w:w="3007" w:type="dxa"/>
            <w:vAlign w:val="center"/>
          </w:tcPr>
          <w:p w14:paraId="2046E8BF" w14:textId="77777777" w:rsidR="00AF3BAB" w:rsidRPr="002616E4" w:rsidRDefault="00AF3BAB" w:rsidP="004C2C7D">
            <w:pPr>
              <w:keepNext/>
              <w:jc w:val="center"/>
              <w:rPr>
                <w:rFonts w:eastAsia="Calibri"/>
                <w:spacing w:val="-2"/>
                <w:szCs w:val="22"/>
                <w:lang w:eastAsia="de-DE" w:bidi="de-DE"/>
              </w:rPr>
            </w:pPr>
            <w:r>
              <w:rPr>
                <w:rFonts w:eastAsia="Calibri"/>
                <w:spacing w:val="-2"/>
                <w:szCs w:val="22"/>
                <w:lang w:eastAsia="de-DE" w:bidi="de-DE"/>
              </w:rPr>
              <w:t>89 g/km]</w:t>
            </w:r>
          </w:p>
        </w:tc>
      </w:tr>
      <w:tr w:rsidR="00405835" w:rsidRPr="002616E4" w14:paraId="6DD79FE5" w14:textId="77777777" w:rsidTr="008C14CF">
        <w:trPr>
          <w:trHeight w:val="357"/>
        </w:trPr>
        <w:tc>
          <w:tcPr>
            <w:tcW w:w="3026" w:type="dxa"/>
            <w:vAlign w:val="center"/>
          </w:tcPr>
          <w:p w14:paraId="64090530" w14:textId="77777777" w:rsidR="00405835" w:rsidRDefault="00405835" w:rsidP="004C2C7D">
            <w:pPr>
              <w:keepNext/>
              <w:jc w:val="center"/>
              <w:rPr>
                <w:rFonts w:eastAsia="Calibri"/>
                <w:spacing w:val="-2"/>
                <w:szCs w:val="22"/>
                <w:lang w:eastAsia="de-DE" w:bidi="de-DE"/>
              </w:rPr>
            </w:pPr>
            <w:r>
              <w:rPr>
                <w:rFonts w:eastAsia="Calibri"/>
                <w:spacing w:val="-2"/>
                <w:szCs w:val="22"/>
                <w:lang w:eastAsia="de-DE" w:bidi="de-DE"/>
              </w:rPr>
              <w:t>[2017</w:t>
            </w:r>
          </w:p>
        </w:tc>
        <w:tc>
          <w:tcPr>
            <w:tcW w:w="3027" w:type="dxa"/>
            <w:vAlign w:val="center"/>
          </w:tcPr>
          <w:p w14:paraId="4918F620" w14:textId="77777777" w:rsidR="00405835" w:rsidRDefault="00405835" w:rsidP="004C2C7D">
            <w:pPr>
              <w:keepNext/>
              <w:jc w:val="center"/>
              <w:rPr>
                <w:rFonts w:eastAsia="Calibri"/>
                <w:spacing w:val="-2"/>
                <w:szCs w:val="22"/>
                <w:lang w:eastAsia="de-DE" w:bidi="de-DE"/>
              </w:rPr>
            </w:pPr>
            <w:r>
              <w:rPr>
                <w:rFonts w:eastAsia="Calibri"/>
                <w:spacing w:val="-2"/>
                <w:szCs w:val="22"/>
                <w:lang w:eastAsia="de-DE" w:bidi="de-DE"/>
              </w:rPr>
              <w:t>105 g/km</w:t>
            </w:r>
          </w:p>
        </w:tc>
        <w:tc>
          <w:tcPr>
            <w:tcW w:w="3007" w:type="dxa"/>
            <w:vAlign w:val="center"/>
          </w:tcPr>
          <w:p w14:paraId="5DA714D9" w14:textId="77777777" w:rsidR="00405835" w:rsidRDefault="00405835" w:rsidP="004C2C7D">
            <w:pPr>
              <w:keepNext/>
              <w:jc w:val="center"/>
              <w:rPr>
                <w:rFonts w:eastAsia="Calibri"/>
                <w:spacing w:val="-2"/>
                <w:szCs w:val="22"/>
                <w:lang w:eastAsia="de-DE" w:bidi="de-DE"/>
              </w:rPr>
            </w:pPr>
            <w:r>
              <w:rPr>
                <w:rFonts w:eastAsia="Calibri"/>
                <w:spacing w:val="-2"/>
                <w:szCs w:val="22"/>
                <w:lang w:eastAsia="de-DE" w:bidi="de-DE"/>
              </w:rPr>
              <w:t>87 g/km]</w:t>
            </w:r>
          </w:p>
        </w:tc>
      </w:tr>
      <w:tr w:rsidR="00E3507A" w:rsidRPr="002616E4" w14:paraId="545A9A5B" w14:textId="77777777" w:rsidTr="008C14CF">
        <w:trPr>
          <w:trHeight w:val="357"/>
        </w:trPr>
        <w:tc>
          <w:tcPr>
            <w:tcW w:w="3026" w:type="dxa"/>
            <w:vAlign w:val="center"/>
          </w:tcPr>
          <w:p w14:paraId="041E16F2" w14:textId="77777777" w:rsidR="00E3507A" w:rsidRDefault="00E3507A" w:rsidP="004C2C7D">
            <w:pPr>
              <w:keepNext/>
              <w:jc w:val="center"/>
              <w:rPr>
                <w:rFonts w:eastAsia="Calibri"/>
                <w:spacing w:val="-2"/>
                <w:szCs w:val="22"/>
                <w:lang w:eastAsia="de-DE" w:bidi="de-DE"/>
              </w:rPr>
            </w:pPr>
            <w:r>
              <w:rPr>
                <w:rFonts w:eastAsia="Calibri"/>
                <w:spacing w:val="-2"/>
                <w:szCs w:val="22"/>
                <w:lang w:eastAsia="de-DE" w:bidi="de-DE"/>
              </w:rPr>
              <w:t>[2018</w:t>
            </w:r>
          </w:p>
        </w:tc>
        <w:tc>
          <w:tcPr>
            <w:tcW w:w="3027" w:type="dxa"/>
            <w:vAlign w:val="center"/>
          </w:tcPr>
          <w:p w14:paraId="1162F40B" w14:textId="77777777" w:rsidR="00E3507A" w:rsidRDefault="00E3507A" w:rsidP="004C2C7D">
            <w:pPr>
              <w:keepNext/>
              <w:jc w:val="center"/>
              <w:rPr>
                <w:rFonts w:eastAsia="Calibri"/>
                <w:spacing w:val="-2"/>
                <w:szCs w:val="22"/>
                <w:lang w:eastAsia="de-DE" w:bidi="de-DE"/>
              </w:rPr>
            </w:pPr>
            <w:r>
              <w:rPr>
                <w:rFonts w:eastAsia="Calibri"/>
                <w:spacing w:val="-2"/>
                <w:szCs w:val="22"/>
                <w:lang w:eastAsia="de-DE" w:bidi="de-DE"/>
              </w:rPr>
              <w:t>105 g/km</w:t>
            </w:r>
          </w:p>
        </w:tc>
        <w:tc>
          <w:tcPr>
            <w:tcW w:w="3007" w:type="dxa"/>
            <w:vAlign w:val="center"/>
          </w:tcPr>
          <w:p w14:paraId="1C391155" w14:textId="77777777" w:rsidR="00E3507A" w:rsidRDefault="00E3507A" w:rsidP="004C2C7D">
            <w:pPr>
              <w:keepNext/>
              <w:jc w:val="center"/>
              <w:rPr>
                <w:rFonts w:eastAsia="Calibri"/>
                <w:spacing w:val="-2"/>
                <w:szCs w:val="22"/>
                <w:lang w:eastAsia="de-DE" w:bidi="de-DE"/>
              </w:rPr>
            </w:pPr>
            <w:r>
              <w:rPr>
                <w:rFonts w:eastAsia="Calibri"/>
                <w:spacing w:val="-2"/>
                <w:szCs w:val="22"/>
                <w:lang w:eastAsia="de-DE" w:bidi="de-DE"/>
              </w:rPr>
              <w:t>86 g/km]</w:t>
            </w:r>
          </w:p>
        </w:tc>
      </w:tr>
      <w:tr w:rsidR="009649D7" w:rsidRPr="002616E4" w14:paraId="4B5CBC3B" w14:textId="77777777" w:rsidTr="008C14CF">
        <w:trPr>
          <w:trHeight w:val="357"/>
        </w:trPr>
        <w:tc>
          <w:tcPr>
            <w:tcW w:w="3026" w:type="dxa"/>
            <w:vAlign w:val="center"/>
          </w:tcPr>
          <w:p w14:paraId="32E082E8" w14:textId="77777777" w:rsidR="009649D7" w:rsidRDefault="009649D7" w:rsidP="004C2C7D">
            <w:pPr>
              <w:keepNext/>
              <w:jc w:val="center"/>
              <w:rPr>
                <w:rFonts w:eastAsia="Calibri"/>
                <w:spacing w:val="-2"/>
                <w:szCs w:val="22"/>
                <w:lang w:eastAsia="de-DE" w:bidi="de-DE"/>
              </w:rPr>
            </w:pPr>
            <w:r>
              <w:rPr>
                <w:rFonts w:eastAsia="Calibri"/>
                <w:spacing w:val="-2"/>
                <w:szCs w:val="22"/>
                <w:lang w:eastAsia="de-DE" w:bidi="de-DE"/>
              </w:rPr>
              <w:t>[</w:t>
            </w:r>
            <w:r>
              <w:t>2019</w:t>
            </w:r>
          </w:p>
        </w:tc>
        <w:tc>
          <w:tcPr>
            <w:tcW w:w="3027" w:type="dxa"/>
            <w:vAlign w:val="center"/>
          </w:tcPr>
          <w:p w14:paraId="6A0ABCB2" w14:textId="77777777" w:rsidR="009649D7" w:rsidRDefault="009649D7" w:rsidP="004C2C7D">
            <w:pPr>
              <w:keepNext/>
              <w:jc w:val="center"/>
              <w:rPr>
                <w:rFonts w:eastAsia="Calibri"/>
                <w:spacing w:val="-2"/>
                <w:szCs w:val="22"/>
                <w:lang w:eastAsia="de-DE" w:bidi="de-DE"/>
              </w:rPr>
            </w:pPr>
            <w:r>
              <w:t>107 g/km</w:t>
            </w:r>
          </w:p>
        </w:tc>
        <w:tc>
          <w:tcPr>
            <w:tcW w:w="3007" w:type="dxa"/>
            <w:vAlign w:val="center"/>
          </w:tcPr>
          <w:p w14:paraId="38F5DE45" w14:textId="77777777" w:rsidR="009649D7" w:rsidRDefault="009649D7" w:rsidP="004C2C7D">
            <w:pPr>
              <w:keepNext/>
              <w:jc w:val="center"/>
              <w:rPr>
                <w:rFonts w:eastAsia="Calibri"/>
                <w:spacing w:val="-2"/>
                <w:szCs w:val="22"/>
                <w:lang w:eastAsia="de-DE" w:bidi="de-DE"/>
              </w:rPr>
            </w:pPr>
            <w:r>
              <w:t>88 g/km]</w:t>
            </w:r>
          </w:p>
        </w:tc>
      </w:tr>
      <w:tr w:rsidR="00FB5481" w:rsidRPr="002616E4" w14:paraId="3CBA9BD5" w14:textId="77777777" w:rsidTr="008C14CF">
        <w:trPr>
          <w:trHeight w:val="357"/>
        </w:trPr>
        <w:tc>
          <w:tcPr>
            <w:tcW w:w="3026" w:type="dxa"/>
            <w:vAlign w:val="center"/>
          </w:tcPr>
          <w:p w14:paraId="79AE7DED" w14:textId="37E667E1" w:rsidR="00FB5481" w:rsidRDefault="00FB5481" w:rsidP="004C2C7D">
            <w:pPr>
              <w:keepNext/>
              <w:jc w:val="center"/>
              <w:rPr>
                <w:rFonts w:eastAsia="Calibri"/>
                <w:spacing w:val="-2"/>
                <w:szCs w:val="22"/>
                <w:lang w:eastAsia="de-DE" w:bidi="de-DE"/>
              </w:rPr>
            </w:pPr>
            <w:r>
              <w:rPr>
                <w:rFonts w:eastAsia="Calibri"/>
                <w:spacing w:val="-2"/>
                <w:szCs w:val="22"/>
                <w:lang w:eastAsia="de-DE" w:bidi="de-DE"/>
              </w:rPr>
              <w:t>[2020</w:t>
            </w:r>
          </w:p>
        </w:tc>
        <w:tc>
          <w:tcPr>
            <w:tcW w:w="3027" w:type="dxa"/>
            <w:vAlign w:val="center"/>
          </w:tcPr>
          <w:p w14:paraId="3621F518" w14:textId="55C6DA2A" w:rsidR="00FB5481" w:rsidRDefault="00FB5481" w:rsidP="004C2C7D">
            <w:pPr>
              <w:keepNext/>
              <w:jc w:val="center"/>
            </w:pPr>
            <w:r>
              <w:t>111 g/km</w:t>
            </w:r>
          </w:p>
        </w:tc>
        <w:tc>
          <w:tcPr>
            <w:tcW w:w="3007" w:type="dxa"/>
            <w:vAlign w:val="center"/>
          </w:tcPr>
          <w:p w14:paraId="4FC46745" w14:textId="6364434D" w:rsidR="00FB5481" w:rsidRDefault="00FB5481" w:rsidP="004C2C7D">
            <w:pPr>
              <w:keepNext/>
              <w:jc w:val="center"/>
            </w:pPr>
            <w:r>
              <w:t>91 g/km]</w:t>
            </w:r>
          </w:p>
        </w:tc>
      </w:tr>
      <w:tr w:rsidR="0086766B" w:rsidRPr="002616E4" w14:paraId="74C25252" w14:textId="77777777" w:rsidTr="008C14CF">
        <w:trPr>
          <w:trHeight w:val="357"/>
        </w:trPr>
        <w:tc>
          <w:tcPr>
            <w:tcW w:w="3026" w:type="dxa"/>
            <w:vAlign w:val="center"/>
          </w:tcPr>
          <w:p w14:paraId="60B3DB85" w14:textId="06E92346" w:rsidR="0086766B" w:rsidRDefault="0086766B" w:rsidP="004C2C7D">
            <w:pPr>
              <w:keepNext/>
              <w:jc w:val="center"/>
              <w:rPr>
                <w:rFonts w:eastAsia="Calibri"/>
                <w:spacing w:val="-2"/>
                <w:szCs w:val="22"/>
                <w:lang w:eastAsia="de-DE" w:bidi="de-DE"/>
              </w:rPr>
            </w:pPr>
            <w:r>
              <w:rPr>
                <w:rFonts w:eastAsia="Calibri"/>
                <w:spacing w:val="-2"/>
                <w:szCs w:val="22"/>
                <w:lang w:eastAsia="de-DE" w:bidi="de-DE"/>
              </w:rPr>
              <w:t>[2021</w:t>
            </w:r>
          </w:p>
        </w:tc>
        <w:tc>
          <w:tcPr>
            <w:tcW w:w="3027" w:type="dxa"/>
            <w:vAlign w:val="center"/>
          </w:tcPr>
          <w:p w14:paraId="6EF9707B" w14:textId="78277F2A" w:rsidR="0086766B" w:rsidRDefault="0086766B" w:rsidP="004C2C7D">
            <w:pPr>
              <w:keepNext/>
              <w:jc w:val="center"/>
            </w:pPr>
            <w:r>
              <w:t>102 g/km</w:t>
            </w:r>
          </w:p>
        </w:tc>
        <w:tc>
          <w:tcPr>
            <w:tcW w:w="3007" w:type="dxa"/>
            <w:vAlign w:val="center"/>
          </w:tcPr>
          <w:p w14:paraId="725CFF7D" w14:textId="48266A29" w:rsidR="0086766B" w:rsidRDefault="0086766B" w:rsidP="004C2C7D">
            <w:pPr>
              <w:keepNext/>
              <w:jc w:val="center"/>
            </w:pPr>
            <w:r>
              <w:t>84 g/km]</w:t>
            </w:r>
          </w:p>
        </w:tc>
      </w:tr>
      <w:tr w:rsidR="00D91DB0" w:rsidRPr="002616E4" w14:paraId="21B99938" w14:textId="77777777" w:rsidTr="008C14CF">
        <w:trPr>
          <w:trHeight w:val="357"/>
        </w:trPr>
        <w:tc>
          <w:tcPr>
            <w:tcW w:w="3026" w:type="dxa"/>
            <w:vAlign w:val="center"/>
          </w:tcPr>
          <w:p w14:paraId="3898CBC0" w14:textId="57841DB7" w:rsidR="00D91DB0" w:rsidRDefault="00D91DB0" w:rsidP="004C2C7D">
            <w:pPr>
              <w:keepNext/>
              <w:jc w:val="center"/>
              <w:rPr>
                <w:rFonts w:eastAsia="Calibri"/>
                <w:spacing w:val="-2"/>
                <w:szCs w:val="22"/>
                <w:lang w:eastAsia="de-DE" w:bidi="de-DE"/>
              </w:rPr>
            </w:pPr>
            <w:r>
              <w:rPr>
                <w:rFonts w:eastAsia="Calibri"/>
                <w:spacing w:val="-2"/>
                <w:szCs w:val="22"/>
                <w:lang w:eastAsia="de-DE" w:bidi="de-DE"/>
              </w:rPr>
              <w:t>[2022</w:t>
            </w:r>
          </w:p>
        </w:tc>
        <w:tc>
          <w:tcPr>
            <w:tcW w:w="3027" w:type="dxa"/>
            <w:vAlign w:val="center"/>
          </w:tcPr>
          <w:p w14:paraId="58CD6388" w14:textId="10559CFB" w:rsidR="00D91DB0" w:rsidRDefault="00D91DB0" w:rsidP="004C2C7D">
            <w:pPr>
              <w:keepNext/>
              <w:jc w:val="center"/>
            </w:pPr>
            <w:r>
              <w:t>91 g/km</w:t>
            </w:r>
          </w:p>
        </w:tc>
        <w:tc>
          <w:tcPr>
            <w:tcW w:w="3007" w:type="dxa"/>
            <w:vAlign w:val="center"/>
          </w:tcPr>
          <w:p w14:paraId="5A704FFE" w14:textId="548BEBDC" w:rsidR="00D91DB0" w:rsidRDefault="00D91DB0" w:rsidP="004C2C7D">
            <w:pPr>
              <w:keepNext/>
              <w:jc w:val="center"/>
            </w:pPr>
            <w:r>
              <w:t>75 g/km]</w:t>
            </w:r>
          </w:p>
        </w:tc>
      </w:tr>
      <w:tr w:rsidR="00D95A77" w:rsidRPr="002616E4" w14:paraId="552A5B2D" w14:textId="77777777" w:rsidTr="008C14CF">
        <w:trPr>
          <w:trHeight w:val="357"/>
        </w:trPr>
        <w:tc>
          <w:tcPr>
            <w:tcW w:w="3026" w:type="dxa"/>
            <w:vAlign w:val="center"/>
          </w:tcPr>
          <w:p w14:paraId="7FB2E6AA" w14:textId="7F77761F" w:rsidR="00D95A77" w:rsidRDefault="00D95A77" w:rsidP="004C2C7D">
            <w:pPr>
              <w:keepNext/>
              <w:jc w:val="center"/>
              <w:rPr>
                <w:rFonts w:eastAsia="Calibri"/>
                <w:spacing w:val="-2"/>
                <w:szCs w:val="22"/>
                <w:lang w:eastAsia="de-DE" w:bidi="de-DE"/>
              </w:rPr>
            </w:pPr>
            <w:r>
              <w:rPr>
                <w:rFonts w:eastAsia="Calibri"/>
                <w:spacing w:val="-2"/>
                <w:szCs w:val="22"/>
                <w:lang w:eastAsia="de-DE" w:bidi="de-DE"/>
              </w:rPr>
              <w:t>[2023</w:t>
            </w:r>
          </w:p>
        </w:tc>
        <w:tc>
          <w:tcPr>
            <w:tcW w:w="3027" w:type="dxa"/>
            <w:vAlign w:val="center"/>
          </w:tcPr>
          <w:p w14:paraId="0D480A83" w14:textId="617D640F" w:rsidR="00D95A77" w:rsidRDefault="00D95A77" w:rsidP="004C2C7D">
            <w:pPr>
              <w:keepNext/>
              <w:jc w:val="center"/>
            </w:pPr>
            <w:r>
              <w:t>82</w:t>
            </w:r>
            <w:r w:rsidR="008C14CF">
              <w:t xml:space="preserve"> </w:t>
            </w:r>
            <w:r>
              <w:t>g/km</w:t>
            </w:r>
          </w:p>
        </w:tc>
        <w:tc>
          <w:tcPr>
            <w:tcW w:w="3007" w:type="dxa"/>
            <w:vAlign w:val="center"/>
          </w:tcPr>
          <w:p w14:paraId="1FC7F5B8" w14:textId="3ECE542D" w:rsidR="00D95A77" w:rsidRDefault="00D95A77" w:rsidP="004C2C7D">
            <w:pPr>
              <w:keepNext/>
              <w:jc w:val="center"/>
            </w:pPr>
            <w:r>
              <w:t>67 g/km]</w:t>
            </w:r>
          </w:p>
        </w:tc>
      </w:tr>
      <w:tr w:rsidR="009F4A15" w:rsidRPr="002616E4" w14:paraId="0400F5CB" w14:textId="77777777" w:rsidTr="008C14CF">
        <w:trPr>
          <w:trHeight w:val="357"/>
        </w:trPr>
        <w:tc>
          <w:tcPr>
            <w:tcW w:w="3026" w:type="dxa"/>
            <w:vAlign w:val="center"/>
          </w:tcPr>
          <w:p w14:paraId="30DAC1EA" w14:textId="65EB881B" w:rsidR="009F4A15" w:rsidRDefault="009F4A15" w:rsidP="004C2C7D">
            <w:pPr>
              <w:keepNext/>
              <w:jc w:val="center"/>
              <w:rPr>
                <w:rFonts w:eastAsia="Calibri"/>
                <w:spacing w:val="-2"/>
                <w:szCs w:val="22"/>
                <w:lang w:eastAsia="de-DE" w:bidi="de-DE"/>
              </w:rPr>
            </w:pPr>
            <w:r>
              <w:rPr>
                <w:rFonts w:eastAsia="Calibri"/>
                <w:spacing w:val="-2"/>
                <w:szCs w:val="22"/>
                <w:lang w:eastAsia="de-DE" w:bidi="de-DE"/>
              </w:rPr>
              <w:t>[2024</w:t>
            </w:r>
          </w:p>
        </w:tc>
        <w:tc>
          <w:tcPr>
            <w:tcW w:w="3027" w:type="dxa"/>
            <w:vAlign w:val="center"/>
          </w:tcPr>
          <w:p w14:paraId="534DF44A" w14:textId="22747C20" w:rsidR="009F4A15" w:rsidRDefault="009F4A15" w:rsidP="004C2C7D">
            <w:pPr>
              <w:keepNext/>
              <w:jc w:val="center"/>
            </w:pPr>
            <w:r>
              <w:t>78</w:t>
            </w:r>
            <w:r w:rsidR="008C14CF">
              <w:t xml:space="preserve"> </w:t>
            </w:r>
            <w:r>
              <w:t>g/km</w:t>
            </w:r>
          </w:p>
        </w:tc>
        <w:tc>
          <w:tcPr>
            <w:tcW w:w="3007" w:type="dxa"/>
            <w:vAlign w:val="center"/>
          </w:tcPr>
          <w:p w14:paraId="70A1A341" w14:textId="33C0434A" w:rsidR="009F4A15" w:rsidRDefault="009F4A15" w:rsidP="004C2C7D">
            <w:pPr>
              <w:keepNext/>
              <w:jc w:val="center"/>
            </w:pPr>
            <w:r>
              <w:t>65 g/km]</w:t>
            </w:r>
          </w:p>
        </w:tc>
      </w:tr>
      <w:tr w:rsidR="008C14CF" w:rsidRPr="002616E4" w14:paraId="31E47DBD" w14:textId="77777777" w:rsidTr="008C14CF">
        <w:trPr>
          <w:trHeight w:val="357"/>
        </w:trPr>
        <w:tc>
          <w:tcPr>
            <w:tcW w:w="3026" w:type="dxa"/>
            <w:vAlign w:val="center"/>
          </w:tcPr>
          <w:p w14:paraId="536B547D" w14:textId="7423D30F" w:rsidR="008C14CF" w:rsidRDefault="008C14CF" w:rsidP="004C2C7D">
            <w:pPr>
              <w:keepNext/>
              <w:jc w:val="center"/>
              <w:rPr>
                <w:rFonts w:eastAsia="Calibri"/>
                <w:spacing w:val="-2"/>
                <w:szCs w:val="22"/>
                <w:lang w:eastAsia="de-DE" w:bidi="de-DE"/>
              </w:rPr>
            </w:pPr>
            <w:r>
              <w:rPr>
                <w:rFonts w:eastAsia="Calibri"/>
                <w:spacing w:val="-2"/>
                <w:szCs w:val="22"/>
                <w:lang w:eastAsia="de-DE" w:bidi="de-DE"/>
              </w:rPr>
              <w:t>[2025</w:t>
            </w:r>
          </w:p>
        </w:tc>
        <w:tc>
          <w:tcPr>
            <w:tcW w:w="3027" w:type="dxa"/>
            <w:vAlign w:val="center"/>
          </w:tcPr>
          <w:p w14:paraId="57952A1C" w14:textId="69CAA7F2" w:rsidR="008C14CF" w:rsidRDefault="008C14CF" w:rsidP="004C2C7D">
            <w:pPr>
              <w:keepNext/>
              <w:jc w:val="center"/>
            </w:pPr>
            <w:r>
              <w:t>71 g/km</w:t>
            </w:r>
          </w:p>
        </w:tc>
        <w:tc>
          <w:tcPr>
            <w:tcW w:w="3007" w:type="dxa"/>
            <w:vAlign w:val="center"/>
          </w:tcPr>
          <w:p w14:paraId="107D4C4A" w14:textId="0189C7F2" w:rsidR="008C14CF" w:rsidRDefault="008C14CF" w:rsidP="004C2C7D">
            <w:pPr>
              <w:keepNext/>
              <w:jc w:val="center"/>
            </w:pPr>
            <w:r>
              <w:t>59 g/km]</w:t>
            </w:r>
          </w:p>
        </w:tc>
      </w:tr>
    </w:tbl>
    <w:p w14:paraId="3FAE01FE" w14:textId="77777777" w:rsidR="005A5BD5" w:rsidRPr="002616E4" w:rsidRDefault="005A5BD5" w:rsidP="004C2C7D">
      <w:pPr>
        <w:jc w:val="both"/>
        <w:rPr>
          <w:lang w:eastAsia="fr-BE" w:bidi="de-DE"/>
        </w:rPr>
      </w:pPr>
    </w:p>
    <w:p w14:paraId="118F4FF5" w14:textId="77777777" w:rsidR="005A5BD5" w:rsidRPr="002616E4" w:rsidRDefault="005A5BD5" w:rsidP="004C2C7D">
      <w:pPr>
        <w:jc w:val="both"/>
        <w:rPr>
          <w:lang w:eastAsia="fr-BE" w:bidi="de-DE"/>
        </w:rPr>
      </w:pPr>
    </w:p>
    <w:p w14:paraId="41FB25F2" w14:textId="77777777" w:rsidR="0083683B" w:rsidRPr="0083683B" w:rsidRDefault="005A5BD5" w:rsidP="0083683B">
      <w:pPr>
        <w:jc w:val="both"/>
        <w:rPr>
          <w:i/>
        </w:rPr>
      </w:pPr>
      <w:r w:rsidRPr="002616E4">
        <w:rPr>
          <w:rFonts w:eastAsia="Calibri"/>
          <w:szCs w:val="22"/>
          <w:lang w:eastAsia="de-DE" w:bidi="de-DE"/>
        </w:rPr>
        <w:tab/>
      </w:r>
      <w:r w:rsidRPr="002616E4">
        <w:rPr>
          <w:rFonts w:eastAsia="Calibri"/>
          <w:lang w:eastAsia="de-DE" w:bidi="de-DE"/>
        </w:rPr>
        <w:t>[</w:t>
      </w:r>
      <w:r w:rsidRPr="002616E4">
        <w:rPr>
          <w:rFonts w:eastAsia="Calibri"/>
          <w:i/>
          <w:lang w:eastAsia="de-DE" w:bidi="de-DE"/>
        </w:rPr>
        <w:t xml:space="preserve">10. </w:t>
      </w:r>
      <w:r w:rsidR="0083683B" w:rsidRPr="0083683B">
        <w:rPr>
          <w:rFonts w:eastAsia="Calibri"/>
          <w:lang w:eastAsia="de-DE" w:bidi="de-DE"/>
        </w:rPr>
        <w:t>[</w:t>
      </w:r>
      <w:r w:rsidR="0083683B" w:rsidRPr="0083683B">
        <w:rPr>
          <w:i/>
        </w:rPr>
        <w:t>Nutzung zu persönlichen Zwecken eines kostenlos zur Verfügung gestellten PCs, Tablets, Internetanschlusses, Mobiltelefons oder Abonnements für Festnetz- oder Mobil</w:t>
      </w:r>
      <w:r w:rsidR="0083683B" w:rsidRPr="0083683B">
        <w:rPr>
          <w:i/>
        </w:rPr>
        <w:softHyphen/>
        <w:t>telefonie:</w:t>
      </w:r>
    </w:p>
    <w:p w14:paraId="5AEB9ABE" w14:textId="77777777" w:rsidR="0083683B" w:rsidRPr="00B43A7A" w:rsidRDefault="0083683B" w:rsidP="0083683B">
      <w:pPr>
        <w:jc w:val="both"/>
      </w:pPr>
    </w:p>
    <w:p w14:paraId="1B9C3F18" w14:textId="77777777" w:rsidR="0083683B" w:rsidRPr="00B43A7A" w:rsidRDefault="0083683B" w:rsidP="0083683B">
      <w:pPr>
        <w:jc w:val="both"/>
      </w:pPr>
      <w:r w:rsidRPr="00B43A7A">
        <w:tab/>
        <w:t>Der Vorteil wird pauschal festgelegt auf:</w:t>
      </w:r>
    </w:p>
    <w:p w14:paraId="542D4DEA" w14:textId="77777777" w:rsidR="0083683B" w:rsidRPr="00B43A7A" w:rsidRDefault="0083683B" w:rsidP="0083683B">
      <w:pPr>
        <w:jc w:val="both"/>
      </w:pPr>
    </w:p>
    <w:p w14:paraId="6912EDCF" w14:textId="77777777" w:rsidR="0083683B" w:rsidRPr="00B43A7A" w:rsidRDefault="0083683B" w:rsidP="0083683B">
      <w:pPr>
        <w:jc w:val="both"/>
      </w:pPr>
      <w:r w:rsidRPr="00B43A7A">
        <w:tab/>
        <w:t>- 72 EUR pro Jahr für einen kostenlos zur Verfügung gestellten Desktop-PC oder Laptop,</w:t>
      </w:r>
    </w:p>
    <w:p w14:paraId="163A1C4E" w14:textId="77777777" w:rsidR="0083683B" w:rsidRPr="00B43A7A" w:rsidRDefault="0083683B" w:rsidP="0083683B">
      <w:pPr>
        <w:jc w:val="both"/>
      </w:pPr>
    </w:p>
    <w:p w14:paraId="4E5CAAB6" w14:textId="77777777" w:rsidR="0083683B" w:rsidRPr="00B43A7A" w:rsidRDefault="0083683B" w:rsidP="0083683B">
      <w:pPr>
        <w:jc w:val="both"/>
      </w:pPr>
      <w:r w:rsidRPr="00B43A7A">
        <w:tab/>
        <w:t>- 36 EUR pro Jahr für ein kostenlos zur Verfügung gestelltes Tablet oder Mobiltelefon,</w:t>
      </w:r>
    </w:p>
    <w:p w14:paraId="540DE1CE" w14:textId="77777777" w:rsidR="0083683B" w:rsidRPr="00B43A7A" w:rsidRDefault="0083683B" w:rsidP="0083683B">
      <w:pPr>
        <w:jc w:val="both"/>
      </w:pPr>
    </w:p>
    <w:p w14:paraId="339C85EF" w14:textId="77777777" w:rsidR="0083683B" w:rsidRPr="00B43A7A" w:rsidRDefault="0083683B" w:rsidP="0083683B">
      <w:pPr>
        <w:jc w:val="both"/>
      </w:pPr>
      <w:r w:rsidRPr="00B43A7A">
        <w:tab/>
        <w:t>- 60 EUR pro Jahr für einen kostenlos zur Verfügung gestellten Internetanschluss, ob fest oder mobil und ungeachtet der Anzahl der Geräte, die angeschlossen werden können,</w:t>
      </w:r>
    </w:p>
    <w:p w14:paraId="16CB0375" w14:textId="77777777" w:rsidR="0083683B" w:rsidRPr="00B43A7A" w:rsidRDefault="0083683B" w:rsidP="0083683B">
      <w:pPr>
        <w:jc w:val="both"/>
      </w:pPr>
    </w:p>
    <w:p w14:paraId="05506CFC" w14:textId="77777777" w:rsidR="005A5BD5" w:rsidRPr="002616E4" w:rsidRDefault="0083683B" w:rsidP="0083683B">
      <w:pPr>
        <w:jc w:val="both"/>
        <w:rPr>
          <w:lang w:eastAsia="de-DE" w:bidi="de-DE"/>
        </w:rPr>
      </w:pPr>
      <w:r w:rsidRPr="00B43A7A">
        <w:tab/>
        <w:t>- 48 EUR pro Jahr für ein kostenlos zur Verfügung gestelltes Abonnement für Festnetz- oder Mobiltelefonie.</w:t>
      </w:r>
      <w:r w:rsidRPr="0083683B">
        <w:rPr>
          <w:rFonts w:eastAsia="Calibri"/>
          <w:lang w:eastAsia="de-DE" w:bidi="de-DE"/>
        </w:rPr>
        <w:t>]</w:t>
      </w:r>
      <w:r w:rsidR="005A5BD5" w:rsidRPr="002616E4">
        <w:rPr>
          <w:rFonts w:eastAsia="Calibri"/>
          <w:lang w:eastAsia="de-DE" w:bidi="de-DE"/>
        </w:rPr>
        <w:t>]</w:t>
      </w:r>
    </w:p>
    <w:p w14:paraId="7971ABFA" w14:textId="77777777" w:rsidR="005A5BD5" w:rsidRPr="002616E4" w:rsidRDefault="005A5BD5" w:rsidP="004C2C7D">
      <w:pPr>
        <w:jc w:val="both"/>
        <w:rPr>
          <w:lang w:eastAsia="fr-BE" w:bidi="de-DE"/>
        </w:rPr>
      </w:pPr>
    </w:p>
    <w:p w14:paraId="11DD8AC3" w14:textId="77777777" w:rsidR="009F4A15" w:rsidRDefault="009F4A15">
      <w:pPr>
        <w:rPr>
          <w:rFonts w:eastAsia="Calibri"/>
          <w:szCs w:val="22"/>
          <w:lang w:eastAsia="de-DE" w:bidi="de-DE"/>
        </w:rPr>
      </w:pPr>
      <w:r>
        <w:rPr>
          <w:rFonts w:eastAsia="Calibri"/>
          <w:szCs w:val="22"/>
          <w:lang w:eastAsia="de-DE" w:bidi="de-DE"/>
        </w:rPr>
        <w:br w:type="page"/>
      </w:r>
    </w:p>
    <w:p w14:paraId="18DF8B03" w14:textId="71E24E2A" w:rsidR="005A5BD5" w:rsidRPr="002616E4" w:rsidRDefault="005A5BD5" w:rsidP="004C2C7D">
      <w:pPr>
        <w:jc w:val="both"/>
        <w:rPr>
          <w:lang w:eastAsia="de-DE" w:bidi="de-DE"/>
        </w:rPr>
      </w:pPr>
      <w:r w:rsidRPr="002616E4">
        <w:rPr>
          <w:rFonts w:eastAsia="Calibri"/>
          <w:szCs w:val="22"/>
          <w:lang w:eastAsia="de-DE" w:bidi="de-DE"/>
        </w:rPr>
        <w:lastRenderedPageBreak/>
        <w:tab/>
      </w:r>
      <w:r w:rsidRPr="002616E4">
        <w:rPr>
          <w:rFonts w:eastAsia="Calibri"/>
          <w:lang w:eastAsia="de-DE" w:bidi="de-DE"/>
        </w:rPr>
        <w:t xml:space="preserve">§ 4 - In den in § 3 Nr. 2 bis [10] erwähnten Fällen sind für nicht kostenlos gewährte Vorteile die gemäß vorerwähntem Paragraphen 3 Nr. 2 bis [10] festgelegten Vorteile abzüglich der Beteiligung des Empfängers dieses Vorteils zu berücksichtigen. </w:t>
      </w:r>
    </w:p>
    <w:p w14:paraId="52E4A8DD" w14:textId="77777777" w:rsidR="005A5BD5" w:rsidRPr="002616E4" w:rsidRDefault="005A5BD5" w:rsidP="004C2C7D">
      <w:pPr>
        <w:jc w:val="both"/>
        <w:rPr>
          <w:lang w:eastAsia="fr-BE" w:bidi="de-DE"/>
        </w:rPr>
      </w:pPr>
    </w:p>
    <w:p w14:paraId="73A87721" w14:textId="46B79FF4" w:rsidR="000C2D5D" w:rsidRDefault="005A5BD5" w:rsidP="00D91DB0">
      <w:pPr>
        <w:jc w:val="both"/>
        <w:rPr>
          <w:rFonts w:eastAsia="Calibri"/>
          <w:i/>
          <w:lang w:eastAsia="de-DE" w:bidi="de-DE"/>
        </w:rPr>
      </w:pPr>
      <w:r w:rsidRPr="002616E4">
        <w:rPr>
          <w:rFonts w:eastAsia="Calibri"/>
          <w:i/>
          <w:lang w:eastAsia="de-DE" w:bidi="de-DE"/>
        </w:rPr>
        <w:t>[Art. 18 § 3 einziger Absatz Punkt 1 einziger Absatz Buchstabe a) einziger Absatz erster Gedankenstrich abgeändert durch Art. 2 Nr. 1 des K.E. vom 6. März 1996 (B.S. vom 19. März 1996); § 3 einziger Absatz Punkt 1 einziger Absatz Buchstabe b) Abs. 1 einleitende Bestimmung abgeändert durch Art. 2 Nr. 2 des K.E. vom 6. März 1996 (B.S. vom 19. März 1996); § 3 einziger Absatz Punkt 1 einziger Absatz Buchstabe b) Abs. 1 Tabelle abgeändert durch Art. 2 Nr. 1 des K.E. vom 22. Oktober 1993 (B.S. vom 29. Oktober 1993), Art. 2 Nr. 1 und 2 des K.E. vom 18. Februar 1994 (B.S. vom 26. Februar 1994), Art. 1 Nr. 1 des K.E. vom 7. März 1995 (B.S. vom 16. März 1995), Art. 2 Nr. 3 des K.E. vom 6. März 1996 (B.S. vom 19. März 1996), Art. 1 Nr. 1 des K.E. vom 17. März 1997 (B.S. vom 27. März 1997), Art. 1 Nr. 1 des K.E. vom 2. Juni 1998 (B.S. vom 20. Juni 1998), Art. 1 Nr. 1 des K.E. vom 21. April 1999 (B.S. vom 7. Mai 1999), Art. 1 Nr. 1 des K.E. vom 25. April 2000 (II) (B.S. vom 9. Mai 2000), Art. 1 Nr. 1 des K.E. vom 16. März 2001 (B.S. vom 10. April 2001), Art. 1 Nr. 1 des K.E. vom 8. März 2002 (B.S. vom 19. März 2002), Art. 1 Nr. 1 des K.E. vom 21. Februar 2003 (B.S. vom 6. März 2003), Art. 1 Nr. 1 des K.E. vom 19. Februar 2004 (B.S. vom 27. Februar 2004), Art. 1 Nr. 1 des K.E. vom 16. Februar 2005 (B.S. vom 24. Februar 2005), Art. 1 Nr. 1 des K.E. vom 17. März 2006 (B.S. vom 24. März 2006), Art. 1 Nr. 1 des K.E. vom 13. Februar 2007 (B.S. vom 23. Februar 2007), Art. 1 Nr. 1 des K.E. vom 25. Februar 2008 (B.S. vom 29. Februar 2008), Art. 1 Nr. 1 des K.E. vom 3. Februar 2009 (B.S. vom 10. Februar 2009), Art. 1 Nr. 1 des K.E. vom 10. Februar 2010 (B.S. vom 22. Februar 2010), Art. 1 Nr. 1 des K.E. vom 7. Februar 2011 (B.S. vom 11. Februar 2011), Art. 1 Nr. 1 des K.E. vom 4. März 2012 (B.S. vom 8. März 2012), Art. 1 Nr. 1 des K.E. vom 1. März 2013 (B.S. vom 7. März 2013)</w:t>
      </w:r>
      <w:r w:rsidR="00290867">
        <w:rPr>
          <w:rFonts w:eastAsia="Calibri"/>
          <w:i/>
          <w:lang w:eastAsia="de-DE" w:bidi="de-DE"/>
        </w:rPr>
        <w:t>,</w:t>
      </w:r>
      <w:r w:rsidRPr="002616E4">
        <w:rPr>
          <w:rFonts w:eastAsia="Calibri"/>
          <w:i/>
          <w:lang w:eastAsia="de-DE" w:bidi="de-DE"/>
        </w:rPr>
        <w:t xml:space="preserve"> Art. 1 Nr. 1 des K.E. vom 21. Februar 2014 (III) (B.S. vom 26. Februar 2014)</w:t>
      </w:r>
      <w:r w:rsidR="007C3E1A">
        <w:rPr>
          <w:rFonts w:eastAsia="Calibri"/>
          <w:i/>
          <w:lang w:eastAsia="de-DE" w:bidi="de-DE"/>
        </w:rPr>
        <w:t>,</w:t>
      </w:r>
      <w:r w:rsidR="00290867">
        <w:rPr>
          <w:rFonts w:eastAsia="Calibri"/>
          <w:i/>
          <w:lang w:eastAsia="de-DE" w:bidi="de-DE"/>
        </w:rPr>
        <w:t xml:space="preserve"> Art. 1 Nr. 1 des K.E. vom 22. Februar 2015 (B.S. vom 2. März 2015)</w:t>
      </w:r>
      <w:r w:rsidR="001E53EC">
        <w:rPr>
          <w:rFonts w:eastAsia="Calibri"/>
          <w:i/>
          <w:lang w:eastAsia="de-DE" w:bidi="de-DE"/>
        </w:rPr>
        <w:t>,</w:t>
      </w:r>
      <w:r w:rsidR="007C3E1A">
        <w:rPr>
          <w:rFonts w:eastAsia="Calibri"/>
          <w:i/>
          <w:lang w:eastAsia="de-DE" w:bidi="de-DE"/>
        </w:rPr>
        <w:t xml:space="preserve"> Art. 1 Nr. 1 des K.E. vom 22. Februar 2016 (B.S. vom 25. Februar 2016)</w:t>
      </w:r>
      <w:r w:rsidR="00A911A2">
        <w:rPr>
          <w:rFonts w:eastAsia="Calibri"/>
          <w:i/>
          <w:lang w:eastAsia="de-DE" w:bidi="de-DE"/>
        </w:rPr>
        <w:t xml:space="preserve">, </w:t>
      </w:r>
      <w:r w:rsidR="001E53EC">
        <w:rPr>
          <w:rFonts w:eastAsia="Calibri"/>
          <w:i/>
          <w:lang w:eastAsia="de-DE" w:bidi="de-DE"/>
        </w:rPr>
        <w:t xml:space="preserve">Art. 1 Nr. 1 des K.E. vom 20. Februar 2017 (B.S. vom </w:t>
      </w:r>
      <w:r w:rsidR="001478EC">
        <w:rPr>
          <w:rFonts w:eastAsia="Calibri"/>
          <w:i/>
          <w:lang w:eastAsia="de-DE" w:bidi="de-DE"/>
        </w:rPr>
        <w:t>3. März 2017)</w:t>
      </w:r>
      <w:r w:rsidR="00C11570">
        <w:rPr>
          <w:rFonts w:eastAsia="Calibri"/>
          <w:i/>
          <w:lang w:eastAsia="de-DE" w:bidi="de-DE"/>
        </w:rPr>
        <w:t>,</w:t>
      </w:r>
      <w:r w:rsidR="00A911A2">
        <w:rPr>
          <w:rFonts w:eastAsia="Calibri"/>
          <w:i/>
          <w:lang w:eastAsia="de-DE" w:bidi="de-DE"/>
        </w:rPr>
        <w:t xml:space="preserve"> Art. 1 Nr. 1 des K.E. vom 26. Januar 2018 (B.S. vom</w:t>
      </w:r>
      <w:r w:rsidR="00C62441">
        <w:rPr>
          <w:rFonts w:eastAsia="Calibri"/>
          <w:i/>
          <w:lang w:eastAsia="de-DE" w:bidi="de-DE"/>
        </w:rPr>
        <w:t xml:space="preserve"> 30. Januar 2018)</w:t>
      </w:r>
      <w:r w:rsidR="0095299A">
        <w:rPr>
          <w:rFonts w:eastAsia="Calibri"/>
          <w:i/>
          <w:lang w:eastAsia="de-DE" w:bidi="de-DE"/>
        </w:rPr>
        <w:t>,</w:t>
      </w:r>
      <w:r w:rsidR="00C11570">
        <w:rPr>
          <w:rFonts w:eastAsia="Calibri"/>
          <w:i/>
          <w:lang w:eastAsia="de-DE" w:bidi="de-DE"/>
        </w:rPr>
        <w:t xml:space="preserve"> Art. 1 Nr. 1 des K.E. vom 17. März 2019 (B.S. vom 1. April 2019)</w:t>
      </w:r>
      <w:r w:rsidR="008E123B">
        <w:rPr>
          <w:rFonts w:eastAsia="Calibri"/>
          <w:i/>
          <w:lang w:eastAsia="de-DE" w:bidi="de-DE"/>
        </w:rPr>
        <w:t>,</w:t>
      </w:r>
      <w:r w:rsidR="0095299A">
        <w:rPr>
          <w:rFonts w:eastAsia="Calibri"/>
          <w:i/>
          <w:lang w:eastAsia="de-DE" w:bidi="de-DE"/>
        </w:rPr>
        <w:t xml:space="preserve"> Art. 1 Nr. 1 des K.E. vom 17. Februar 2020 (B.S. vom 21. Februar 2020)</w:t>
      </w:r>
      <w:r w:rsidR="00ED5A3B">
        <w:rPr>
          <w:rFonts w:eastAsia="Calibri"/>
          <w:i/>
          <w:lang w:eastAsia="de-DE" w:bidi="de-DE"/>
        </w:rPr>
        <w:t>,</w:t>
      </w:r>
      <w:r w:rsidR="008E123B">
        <w:rPr>
          <w:rFonts w:eastAsia="Calibri"/>
          <w:i/>
          <w:lang w:eastAsia="de-DE" w:bidi="de-DE"/>
        </w:rPr>
        <w:t xml:space="preserve"> Art. 1 Nr. 1 des K.E. vom 24. Februar 2021 (B.S. vom 1. März 2021)</w:t>
      </w:r>
      <w:r w:rsidR="001D5508">
        <w:rPr>
          <w:rFonts w:eastAsia="Calibri"/>
          <w:i/>
          <w:lang w:eastAsia="de-DE" w:bidi="de-DE"/>
        </w:rPr>
        <w:t>,</w:t>
      </w:r>
      <w:r w:rsidR="00ED5A3B">
        <w:rPr>
          <w:rFonts w:eastAsia="Calibri"/>
          <w:i/>
          <w:lang w:eastAsia="de-DE" w:bidi="de-DE"/>
        </w:rPr>
        <w:t xml:space="preserve"> Art. 1 Nr. 1 des K.E. vom 6. Februar 2022 (B.S. vom 14. Februar 2022)</w:t>
      </w:r>
      <w:r w:rsidR="00710D82">
        <w:rPr>
          <w:rFonts w:eastAsia="Calibri"/>
          <w:i/>
          <w:lang w:eastAsia="de-DE" w:bidi="de-DE"/>
        </w:rPr>
        <w:t>,</w:t>
      </w:r>
      <w:r w:rsidR="001D5508">
        <w:rPr>
          <w:rFonts w:eastAsia="Calibri"/>
          <w:i/>
          <w:lang w:eastAsia="de-DE" w:bidi="de-DE"/>
        </w:rPr>
        <w:t xml:space="preserve"> Art. 1 Nr. 1 des K.E. vom 17. Februar 2023 (B.S. vom 3. März 2023)</w:t>
      </w:r>
      <w:r w:rsidR="00811447">
        <w:rPr>
          <w:rFonts w:eastAsia="Calibri"/>
          <w:i/>
          <w:lang w:eastAsia="de-DE" w:bidi="de-DE"/>
        </w:rPr>
        <w:t>,</w:t>
      </w:r>
      <w:r w:rsidR="00710D82">
        <w:rPr>
          <w:rFonts w:eastAsia="Calibri"/>
          <w:i/>
          <w:lang w:eastAsia="de-DE" w:bidi="de-DE"/>
        </w:rPr>
        <w:t xml:space="preserve"> Art. 1 Nr. 1 des K.E. vom 12. Januar 2024 (B.S. vom 25. Januar 2024)</w:t>
      </w:r>
      <w:r w:rsidR="00811447">
        <w:rPr>
          <w:rFonts w:eastAsia="Calibri"/>
          <w:i/>
          <w:lang w:eastAsia="de-DE" w:bidi="de-DE"/>
        </w:rPr>
        <w:t xml:space="preserve"> und Art. 1 Nr. 1 des K.E. vom 24. Januar 2025 (B.S. vom 5. Februar 2025)</w:t>
      </w:r>
      <w:r w:rsidRPr="002616E4">
        <w:rPr>
          <w:rFonts w:eastAsia="Calibri"/>
          <w:i/>
          <w:lang w:eastAsia="de-DE" w:bidi="de-DE"/>
        </w:rPr>
        <w:t xml:space="preserve">; § 3 einziger Absatz Punkt 1 einziger Absatz Buchstabe b) Abs. 2 Nr. 1 abgeändert durch Art. 2 des K.E. vom 13. Juli 2001 (B.S. vom 11. August 2001); § 3 einziger Absatz Punkt 1 einziger Absatz Buchstabe b) Abs. 2 Nr. 3 eingefügt durch Art. 2 Nr. 4 des K.E. vom 6. März 1996 (B.S. vom 19. März 1996); § 3 einziger Absatz Punkt 1 einziger Absatz Buchstabe b) Abs. 3 eingefügt durch Art. 2 Nr. 5 des K.E. vom 6. März 1996 (B.S. vom 19. März 1996) und abgeändert durch Art. 33 des K.E. vom 25. März 2003 (I) (B.S. vom 31. März 2003) und Art. 331 Abs. 2 des K.E. vom 3. März 2011 (B.S. vom 9. März 2011); § 3 einziger Absatz Punkt 1 einziger Absatz Buchstabe c) einziger Absatz Nr. 2 einziger Absatz erster Gedankenstrich Tabelle abgeändert durch Art. 2 Nr. 2 des K.E. vom 22. Oktober 1993 (B.S. vom 29. Oktober 1993), Art. 2 Nr. 3 des K.E. vom 18. Februar 1994 (B.S. vom 26. Februar 1994), Art. 1 Nr. 2 des K.E. vom 7. März 1995 (B.S. vom 16. März 1995), Art. 2 Nr. 6 des K.E. vom 6. März 1996 (B.S. vom 19. März 1996), Art. 1 Nr. 2 des K.E. vom 17. März 1997 (B.S. vom 27. März 1997), Art. 1 Nr. 2 des K.E. vom 2. Juni 1998 (B.S. vom 20. Juni 1998), Art. 1 Nr. 2 des K.E. vom 21. April 1999 (B.S. vom 7. Mai 1999), Art. 1 Nr. 2 des K.E. vom 25. April 2000 (II) (B.S. vom 9. Mai 2000), Art. 1 Nr. 2 des K.E. vom 16. März 2001 (B.S. vom 10. April 2001), Art. 1 Nr. 2 </w:t>
      </w:r>
      <w:r w:rsidRPr="002616E4">
        <w:rPr>
          <w:rFonts w:eastAsia="Calibri"/>
          <w:i/>
          <w:lang w:eastAsia="de-DE" w:bidi="de-DE"/>
        </w:rPr>
        <w:lastRenderedPageBreak/>
        <w:t>des K.E. vom 8. März 2002 (B.S. vom 19. März 2002), Art. 1 Nr. 2 des K.E. vom 21. Februar 2003 (B.S. vom 6. März 2003), Art. 1 Nr. 2 des K.E. vom 19. Februar 2004 (B.S. vom 27. Februar 2004), Art. 1 Nr. 2 des K.E. vom 16. Februar 2005 (B.S. vom 24. Februar 2005), Art. 1 Nr. 2 des K.E. vom 17. März 2006 (B.S. vom 24. März 2006), Art. 1 Nr. 2 des K.E. vom 13. Februar 2007 (B.S. vom 23. Februar 2007), Art. 1 Nr. 2 des K.E. vom 25. Februar 2008 (B.S. vom 29. Februar 2008), Art. 1 Nr. 2 des K.E. vom 3. Februar 2009 (B.S. vom 10. Februar 2009), Art. 1 Nr. 2 des K.E. vom 10. Februar 2010 (B.S. vom 22. Februar 2010), Art. 1 Nr. 2 des K.E. vom 7. Februar 2011 (B.S. vom 11. Februar 2011), Art. 1 Nr. 2 des K.E. vom 4. März 2012 (B.S. vom 8. März 2012), Art. 1 Nr. 2 des K.E. vom 1. März 2013 (B.S. vom 7. März 2013)</w:t>
      </w:r>
      <w:r w:rsidR="0094417E">
        <w:rPr>
          <w:rFonts w:eastAsia="Calibri"/>
          <w:i/>
          <w:lang w:eastAsia="de-DE" w:bidi="de-DE"/>
        </w:rPr>
        <w:t>,</w:t>
      </w:r>
      <w:r w:rsidRPr="002616E4">
        <w:rPr>
          <w:rFonts w:eastAsia="Calibri"/>
          <w:i/>
          <w:lang w:eastAsia="de-DE" w:bidi="de-DE"/>
        </w:rPr>
        <w:t xml:space="preserve"> Art. 1 Nr. 2 des K.E. vom 21. Februar 2014 (III) (B.S. vom 26. Februar 2014)</w:t>
      </w:r>
      <w:r w:rsidR="00D70031">
        <w:rPr>
          <w:rFonts w:eastAsia="Calibri"/>
          <w:i/>
          <w:lang w:eastAsia="de-DE" w:bidi="de-DE"/>
        </w:rPr>
        <w:t xml:space="preserve">, </w:t>
      </w:r>
      <w:r w:rsidR="0094417E">
        <w:rPr>
          <w:rFonts w:eastAsia="Calibri"/>
          <w:i/>
          <w:lang w:eastAsia="de-DE" w:bidi="de-DE"/>
        </w:rPr>
        <w:t>Art. 1 Nr. 2 des K.E. vom 22. Februar 2015 (B.S. vom 2. März 2015)</w:t>
      </w:r>
      <w:r w:rsidR="001478EC">
        <w:rPr>
          <w:rFonts w:eastAsia="Calibri"/>
          <w:i/>
          <w:lang w:eastAsia="de-DE" w:bidi="de-DE"/>
        </w:rPr>
        <w:t>,</w:t>
      </w:r>
      <w:r w:rsidR="00D70031">
        <w:rPr>
          <w:rFonts w:eastAsia="Calibri"/>
          <w:i/>
          <w:lang w:eastAsia="de-DE" w:bidi="de-DE"/>
        </w:rPr>
        <w:t xml:space="preserve"> Art. 1 Nr. 2 des K.E. vom 22. Februar 2016 (B.S. vom 25. Februar 2016)</w:t>
      </w:r>
      <w:r w:rsidR="00E51F16">
        <w:rPr>
          <w:rFonts w:eastAsia="Calibri"/>
          <w:i/>
          <w:lang w:eastAsia="de-DE" w:bidi="de-DE"/>
        </w:rPr>
        <w:t>,</w:t>
      </w:r>
      <w:r w:rsidR="001478EC">
        <w:rPr>
          <w:rFonts w:eastAsia="Calibri"/>
          <w:i/>
          <w:lang w:eastAsia="de-DE" w:bidi="de-DE"/>
        </w:rPr>
        <w:t xml:space="preserve"> Art. 1 Nr. 2 des K.E. vom 20. Februar 2017 (B.S. vom 3. März 2017)</w:t>
      </w:r>
      <w:r w:rsidR="00C11570">
        <w:rPr>
          <w:rFonts w:eastAsia="Calibri"/>
          <w:i/>
          <w:lang w:eastAsia="de-DE" w:bidi="de-DE"/>
        </w:rPr>
        <w:t>,</w:t>
      </w:r>
      <w:r w:rsidR="00E51F16">
        <w:rPr>
          <w:rFonts w:eastAsia="Calibri"/>
          <w:i/>
          <w:lang w:eastAsia="de-DE" w:bidi="de-DE"/>
        </w:rPr>
        <w:t xml:space="preserve"> Art. 1 Nr. 2 des K.E. vom 26. Januar 2018 (B.S. vom 30. Januar 2018)</w:t>
      </w:r>
      <w:r w:rsidR="0095299A">
        <w:rPr>
          <w:rFonts w:eastAsia="Calibri"/>
          <w:i/>
          <w:lang w:eastAsia="de-DE" w:bidi="de-DE"/>
        </w:rPr>
        <w:t>,</w:t>
      </w:r>
      <w:r w:rsidR="00C11570">
        <w:rPr>
          <w:rFonts w:eastAsia="Calibri"/>
          <w:i/>
          <w:lang w:eastAsia="de-DE" w:bidi="de-DE"/>
        </w:rPr>
        <w:t xml:space="preserve"> Art. 1 Nr. 2 des K.E. vom 17. März 2019 (B.S. vom 1. April 2019)</w:t>
      </w:r>
      <w:r w:rsidR="008E123B">
        <w:rPr>
          <w:rFonts w:eastAsia="Calibri"/>
          <w:i/>
          <w:lang w:eastAsia="de-DE" w:bidi="de-DE"/>
        </w:rPr>
        <w:t>,</w:t>
      </w:r>
      <w:r w:rsidR="0095299A">
        <w:rPr>
          <w:rFonts w:eastAsia="Calibri"/>
          <w:i/>
          <w:lang w:eastAsia="de-DE" w:bidi="de-DE"/>
        </w:rPr>
        <w:t xml:space="preserve"> Art. 1 Nr. 2 des K.E. vom 17. Februar 2020 (B.S. vom 21. Februar 2020)</w:t>
      </w:r>
      <w:r w:rsidR="00ED5A3B">
        <w:rPr>
          <w:rFonts w:eastAsia="Calibri"/>
          <w:i/>
          <w:lang w:eastAsia="de-DE" w:bidi="de-DE"/>
        </w:rPr>
        <w:t>,</w:t>
      </w:r>
      <w:r w:rsidR="008E123B">
        <w:rPr>
          <w:rFonts w:eastAsia="Calibri"/>
          <w:i/>
          <w:lang w:eastAsia="de-DE" w:bidi="de-DE"/>
        </w:rPr>
        <w:t xml:space="preserve"> Art. 1 Nr. 2 des K.E. vom 24. Februar 2021 (B.S. vom 1. März 2021)</w:t>
      </w:r>
      <w:r w:rsidR="001D5508">
        <w:rPr>
          <w:rFonts w:eastAsia="Calibri"/>
          <w:i/>
          <w:lang w:eastAsia="de-DE" w:bidi="de-DE"/>
        </w:rPr>
        <w:t>,</w:t>
      </w:r>
      <w:r w:rsidR="00ED5A3B">
        <w:rPr>
          <w:rFonts w:eastAsia="Calibri"/>
          <w:i/>
          <w:lang w:eastAsia="de-DE" w:bidi="de-DE"/>
        </w:rPr>
        <w:t xml:space="preserve"> Art. 1 Nr. 2 des K.E. vom 6. Februar 2022 (B.S. vom 14. Februar 2022)</w:t>
      </w:r>
      <w:r w:rsidR="00710D82">
        <w:rPr>
          <w:rFonts w:eastAsia="Calibri"/>
          <w:i/>
          <w:lang w:eastAsia="de-DE" w:bidi="de-DE"/>
        </w:rPr>
        <w:t>,</w:t>
      </w:r>
      <w:r w:rsidR="001D5508">
        <w:rPr>
          <w:rFonts w:eastAsia="Calibri"/>
          <w:i/>
          <w:lang w:eastAsia="de-DE" w:bidi="de-DE"/>
        </w:rPr>
        <w:t xml:space="preserve"> Art. </w:t>
      </w:r>
      <w:r w:rsidR="001D5508" w:rsidRPr="001D5508">
        <w:rPr>
          <w:rFonts w:eastAsia="Calibri"/>
          <w:i/>
          <w:lang w:eastAsia="de-DE" w:bidi="de-DE"/>
        </w:rPr>
        <w:t>1 Nr. </w:t>
      </w:r>
      <w:r w:rsidR="001D5508">
        <w:rPr>
          <w:rFonts w:eastAsia="Calibri"/>
          <w:i/>
          <w:lang w:eastAsia="de-DE" w:bidi="de-DE"/>
        </w:rPr>
        <w:t>2</w:t>
      </w:r>
      <w:r w:rsidR="001D5508" w:rsidRPr="001D5508">
        <w:rPr>
          <w:rFonts w:eastAsia="Calibri"/>
          <w:i/>
          <w:lang w:eastAsia="de-DE" w:bidi="de-DE"/>
        </w:rPr>
        <w:t xml:space="preserve"> des K.E. vom 17. Februar 2023 (B.S. vom 3. März 2023)</w:t>
      </w:r>
      <w:r w:rsidR="00811447">
        <w:rPr>
          <w:rFonts w:eastAsia="Calibri"/>
          <w:i/>
          <w:lang w:eastAsia="de-DE" w:bidi="de-DE"/>
        </w:rPr>
        <w:t>,</w:t>
      </w:r>
      <w:r w:rsidR="00710D82">
        <w:rPr>
          <w:rFonts w:eastAsia="Calibri"/>
          <w:i/>
          <w:lang w:eastAsia="de-DE" w:bidi="de-DE"/>
        </w:rPr>
        <w:t xml:space="preserve"> Art. </w:t>
      </w:r>
      <w:r w:rsidR="00710D82" w:rsidRPr="00710D82">
        <w:rPr>
          <w:rFonts w:eastAsia="Calibri"/>
          <w:i/>
          <w:lang w:eastAsia="de-DE" w:bidi="de-DE"/>
        </w:rPr>
        <w:t>1 Nr. </w:t>
      </w:r>
      <w:r w:rsidR="00710D82">
        <w:rPr>
          <w:rFonts w:eastAsia="Calibri"/>
          <w:i/>
          <w:lang w:eastAsia="de-DE" w:bidi="de-DE"/>
        </w:rPr>
        <w:t>2</w:t>
      </w:r>
      <w:r w:rsidR="00710D82" w:rsidRPr="00710D82">
        <w:rPr>
          <w:rFonts w:eastAsia="Calibri"/>
          <w:i/>
          <w:lang w:eastAsia="de-DE" w:bidi="de-DE"/>
        </w:rPr>
        <w:t xml:space="preserve"> des K.E. vom 12. Januar 2024 (B.S. vom 25. Januar 2024)</w:t>
      </w:r>
      <w:r w:rsidR="00811447">
        <w:rPr>
          <w:rFonts w:eastAsia="Calibri"/>
          <w:i/>
          <w:lang w:eastAsia="de-DE" w:bidi="de-DE"/>
        </w:rPr>
        <w:t xml:space="preserve"> und Art. 1 Nr. 2 des K.E. vom 24. Januar 2025 (B.S. vom 5. Februar 2025)</w:t>
      </w:r>
      <w:r w:rsidRPr="002616E4">
        <w:rPr>
          <w:rFonts w:eastAsia="Calibri"/>
          <w:i/>
          <w:lang w:eastAsia="de-DE" w:bidi="de-DE"/>
        </w:rPr>
        <w:t xml:space="preserve">; </w:t>
      </w:r>
      <w:r w:rsidR="00710D82" w:rsidRPr="002616E4">
        <w:rPr>
          <w:rFonts w:eastAsia="Calibri"/>
          <w:i/>
          <w:lang w:eastAsia="de-DE" w:bidi="de-DE"/>
        </w:rPr>
        <w:t xml:space="preserve">§ 3 einziger Absatz Punkt 1 einziger Absatz Buchstabe c) einziger Absatz Nr. 2 einziger Absatz </w:t>
      </w:r>
      <w:r w:rsidR="00710D82">
        <w:rPr>
          <w:rFonts w:eastAsia="Calibri"/>
          <w:i/>
          <w:lang w:eastAsia="de-DE" w:bidi="de-DE"/>
        </w:rPr>
        <w:t>zwei</w:t>
      </w:r>
      <w:r w:rsidR="00710D82" w:rsidRPr="002616E4">
        <w:rPr>
          <w:rFonts w:eastAsia="Calibri"/>
          <w:i/>
          <w:lang w:eastAsia="de-DE" w:bidi="de-DE"/>
        </w:rPr>
        <w:t>ter Gedankenstrich abgeändert durch Art. </w:t>
      </w:r>
      <w:r w:rsidR="00710D82" w:rsidRPr="00710D82">
        <w:rPr>
          <w:rFonts w:eastAsia="Calibri"/>
          <w:i/>
          <w:lang w:eastAsia="de-DE" w:bidi="de-DE"/>
        </w:rPr>
        <w:t>1 Nr. </w:t>
      </w:r>
      <w:r w:rsidR="00710D82">
        <w:rPr>
          <w:rFonts w:eastAsia="Calibri"/>
          <w:i/>
          <w:lang w:eastAsia="de-DE" w:bidi="de-DE"/>
        </w:rPr>
        <w:t>3</w:t>
      </w:r>
      <w:r w:rsidR="00710D82" w:rsidRPr="00710D82">
        <w:rPr>
          <w:rFonts w:eastAsia="Calibri"/>
          <w:i/>
          <w:lang w:eastAsia="de-DE" w:bidi="de-DE"/>
        </w:rPr>
        <w:t xml:space="preserve"> des K.E. vom 12. Januar 2024 (B.S. vom 25. Januar 2024)</w:t>
      </w:r>
      <w:r w:rsidR="00710D82">
        <w:rPr>
          <w:rFonts w:eastAsia="Calibri"/>
          <w:i/>
          <w:lang w:eastAsia="de-DE" w:bidi="de-DE"/>
        </w:rPr>
        <w:t>;</w:t>
      </w:r>
      <w:r w:rsidR="00A34B45">
        <w:rPr>
          <w:rFonts w:eastAsia="Calibri"/>
          <w:i/>
          <w:lang w:eastAsia="de-DE" w:bidi="de-DE"/>
        </w:rPr>
        <w:t xml:space="preserve"> </w:t>
      </w:r>
      <w:r w:rsidR="00A34B45" w:rsidRPr="00A34B45">
        <w:rPr>
          <w:rFonts w:eastAsia="Calibri"/>
          <w:i/>
          <w:lang w:eastAsia="de-DE" w:bidi="de-DE"/>
        </w:rPr>
        <w:t xml:space="preserve">§ 3 einziger Absatz Punkt 1 einziger Absatz Buchstabe c) einziger Absatz Nr. 2 einziger Absatz </w:t>
      </w:r>
      <w:r w:rsidR="00A34B45">
        <w:rPr>
          <w:rFonts w:eastAsia="Calibri"/>
          <w:i/>
          <w:lang w:eastAsia="de-DE" w:bidi="de-DE"/>
        </w:rPr>
        <w:t>drit</w:t>
      </w:r>
      <w:r w:rsidR="00A34B45" w:rsidRPr="00A34B45">
        <w:rPr>
          <w:rFonts w:eastAsia="Calibri"/>
          <w:i/>
          <w:lang w:eastAsia="de-DE" w:bidi="de-DE"/>
        </w:rPr>
        <w:t xml:space="preserve">ter Gedankenstrich </w:t>
      </w:r>
      <w:r w:rsidR="00A34B45">
        <w:rPr>
          <w:rFonts w:eastAsia="Calibri"/>
          <w:i/>
          <w:lang w:eastAsia="de-DE" w:bidi="de-DE"/>
        </w:rPr>
        <w:t>eingefüg</w:t>
      </w:r>
      <w:r w:rsidR="00A34B45" w:rsidRPr="00A34B45">
        <w:rPr>
          <w:rFonts w:eastAsia="Calibri"/>
          <w:i/>
          <w:lang w:eastAsia="de-DE" w:bidi="de-DE"/>
        </w:rPr>
        <w:t>t durch Art.</w:t>
      </w:r>
      <w:r w:rsidR="00A34B45">
        <w:rPr>
          <w:rFonts w:eastAsia="Calibri"/>
          <w:i/>
          <w:lang w:eastAsia="de-DE" w:bidi="de-DE"/>
        </w:rPr>
        <w:t> </w:t>
      </w:r>
      <w:r w:rsidR="00A34B45" w:rsidRPr="00A34B45">
        <w:rPr>
          <w:rFonts w:eastAsia="Calibri"/>
          <w:i/>
          <w:lang w:eastAsia="de-DE" w:bidi="de-DE"/>
        </w:rPr>
        <w:t>1 Nr. </w:t>
      </w:r>
      <w:r w:rsidR="00A34B45">
        <w:rPr>
          <w:rFonts w:eastAsia="Calibri"/>
          <w:i/>
          <w:lang w:eastAsia="de-DE" w:bidi="de-DE"/>
        </w:rPr>
        <w:t>4</w:t>
      </w:r>
      <w:r w:rsidR="00A34B45" w:rsidRPr="00A34B45">
        <w:rPr>
          <w:rFonts w:eastAsia="Calibri"/>
          <w:i/>
          <w:lang w:eastAsia="de-DE" w:bidi="de-DE"/>
        </w:rPr>
        <w:t xml:space="preserve"> des K.E. vom 12. Januar 2024 (B.S. vom 25. Januar 2024)</w:t>
      </w:r>
      <w:r w:rsidR="00A34B45">
        <w:rPr>
          <w:rFonts w:eastAsia="Calibri"/>
          <w:i/>
          <w:lang w:eastAsia="de-DE" w:bidi="de-DE"/>
        </w:rPr>
        <w:t>;</w:t>
      </w:r>
      <w:r w:rsidR="00A34B45" w:rsidRPr="00A34B45">
        <w:rPr>
          <w:rFonts w:eastAsia="Calibri"/>
          <w:i/>
          <w:lang w:eastAsia="de-DE" w:bidi="de-DE"/>
        </w:rPr>
        <w:t> </w:t>
      </w:r>
      <w:r w:rsidRPr="002616E4">
        <w:rPr>
          <w:rFonts w:eastAsia="Calibri"/>
          <w:i/>
          <w:lang w:eastAsia="de-DE" w:bidi="de-DE"/>
        </w:rPr>
        <w:t>§ 3 einziger Absatz Punkt 1 einziger Absatz Buchstabe d) einziger Absatz Tabelle abgeändert durch Art. 2 Nr. 3 des K.E. vom 22. Oktober 1993 (B.S. vom 29. Oktober 1993), Art. 2 Nr. 4 des K.E. vom 18. Februar 1994 (B.S. vom 26. Februar 1994), Art. 1 Nr. 3 des K.E. vom 7. März 1995 (B.S. vom 16. März 1995), Art. 2 Nr. 7 des K.E. vom 6. März 1996 (B.S. vom 19. März 1996), Art. 1 Nr. 3 des K.E. vom 17. März 1997 (B.S. vom 27. März 1997), Art. 1 Nr. 3 des K.E. vom 2. Juni 1998 (B.S. vom 20. Juni 1998), Art. 1 Nr. 3 des K.E. vom 21. April 1999 (B.S. vom 7. Mai 1999), Art. 1 Nr. 3 des K.E. vom 25. April 2000 (II) (B.S. vom 9. Mai 2000), Art. 1 Nr. 3 des K.E. vom 16. März 2001 (B.S. vom 10. April 2001), Art. 1 Nr. 3 des K.E. vom 8. März 2002 (B.S. vom 19. März 2002), Art. 1 Nr. 3 des K.E. vom 21. Februar 2003 (B.S. vom 6. März 2003), Art. 1 Nr. 3 des K.E. vom 19. Februar 2004 (B.S. vom 27. Februar 2004), Art. 1 Nr. 3 des K.E. vom 16. Februar 2005 (B.S. vom 24. Februar 2005), Art. 1 Nr. 3 des K.E. vom 17. März 2006 (B.S. vom 24. März 2006), Art. 1 Nr. 3 des K.E. vom 13. Februar 2007 (B.S. vom 23. Februar 2007), Art. 1 Nr. 3 des K.E. vom 25. Februar 2008 (B.S. vom 29. Februar 2008), Art. 1 Nr. 3 des K.E. vom 3. Februar 2009 (B.S. vom 10. Februar 2009), Art. 1 Nr. 3 des K.E. vom 10. Februar 2010 (B.S. vom 22. Februar 2010), Art. 1 Nr. 3 des K.E. vom 7. Februar 2011 (B.S. vom 11. Februar 2011), Art. 1 Nr. 3 des K.E. vom 4. März 2012 (B.S. vom 8. März 2012), Art. 1 Nr. 3 des K.E. vom 1. März 2013 (B.S. vom 7. März 2013)</w:t>
      </w:r>
      <w:r w:rsidR="0094417E">
        <w:rPr>
          <w:rFonts w:eastAsia="Calibri"/>
          <w:i/>
          <w:lang w:eastAsia="de-DE" w:bidi="de-DE"/>
        </w:rPr>
        <w:t>,</w:t>
      </w:r>
      <w:r w:rsidRPr="002616E4">
        <w:rPr>
          <w:rFonts w:eastAsia="Calibri"/>
          <w:i/>
          <w:lang w:eastAsia="de-DE" w:bidi="de-DE"/>
        </w:rPr>
        <w:t xml:space="preserve"> Art. 1 Nr. 3 des K.E. vom 21. Februar 2014 (III) (B.S. vom 26. Februar 2014)</w:t>
      </w:r>
      <w:r w:rsidR="00D70031">
        <w:rPr>
          <w:rFonts w:eastAsia="Calibri"/>
          <w:i/>
          <w:lang w:eastAsia="de-DE" w:bidi="de-DE"/>
        </w:rPr>
        <w:t xml:space="preserve">, </w:t>
      </w:r>
      <w:r w:rsidR="0094417E">
        <w:rPr>
          <w:rFonts w:eastAsia="Calibri"/>
          <w:i/>
          <w:lang w:eastAsia="de-DE" w:bidi="de-DE"/>
        </w:rPr>
        <w:t>Art. 1 Nr. 3 des K.E. vom 22. Februar 2015 (B.S. vom 2. März 2015)</w:t>
      </w:r>
      <w:r w:rsidR="001478EC">
        <w:rPr>
          <w:rFonts w:eastAsia="Calibri"/>
          <w:i/>
          <w:lang w:eastAsia="de-DE" w:bidi="de-DE"/>
        </w:rPr>
        <w:t>,</w:t>
      </w:r>
      <w:r w:rsidR="00D70031">
        <w:rPr>
          <w:rFonts w:eastAsia="Calibri"/>
          <w:i/>
          <w:lang w:eastAsia="de-DE" w:bidi="de-DE"/>
        </w:rPr>
        <w:t xml:space="preserve"> Art. 1 Nr. 3 des K.E. vom 22. Februar 2016 (B.S. vom 25. Februar 2016)</w:t>
      </w:r>
      <w:r w:rsidR="00A17206">
        <w:rPr>
          <w:rFonts w:eastAsia="Calibri"/>
          <w:i/>
          <w:lang w:eastAsia="de-DE" w:bidi="de-DE"/>
        </w:rPr>
        <w:t>,</w:t>
      </w:r>
      <w:r w:rsidR="001478EC">
        <w:rPr>
          <w:rFonts w:eastAsia="Calibri"/>
          <w:i/>
          <w:lang w:eastAsia="de-DE" w:bidi="de-DE"/>
        </w:rPr>
        <w:t xml:space="preserve"> Art. 1 Nr. 3 des K.E. vom 20. Februar 2017 (B.S. vom 3. März 2017)</w:t>
      </w:r>
      <w:r w:rsidR="00C11570">
        <w:rPr>
          <w:rFonts w:eastAsia="Calibri"/>
          <w:i/>
          <w:lang w:eastAsia="de-DE" w:bidi="de-DE"/>
        </w:rPr>
        <w:t>,</w:t>
      </w:r>
      <w:r w:rsidR="00A17206">
        <w:rPr>
          <w:rFonts w:eastAsia="Calibri"/>
          <w:i/>
          <w:lang w:eastAsia="de-DE" w:bidi="de-DE"/>
        </w:rPr>
        <w:t xml:space="preserve"> Art. 1 Nr. 3 des K.E. vom 26. Januar 2018 (B.S. vom 30. Januar 2018)</w:t>
      </w:r>
      <w:r w:rsidR="0095299A">
        <w:rPr>
          <w:rFonts w:eastAsia="Calibri"/>
          <w:i/>
          <w:lang w:eastAsia="de-DE" w:bidi="de-DE"/>
        </w:rPr>
        <w:t>,</w:t>
      </w:r>
      <w:r w:rsidR="00C11570">
        <w:rPr>
          <w:rFonts w:eastAsia="Calibri"/>
          <w:i/>
          <w:lang w:eastAsia="de-DE" w:bidi="de-DE"/>
        </w:rPr>
        <w:t xml:space="preserve"> Art. 1 Nr. 3 des K.E. vom 17. März 2019 (B.S. vom 1. April 2019)</w:t>
      </w:r>
      <w:r w:rsidR="008E123B">
        <w:rPr>
          <w:rFonts w:eastAsia="Calibri"/>
          <w:i/>
          <w:lang w:eastAsia="de-DE" w:bidi="de-DE"/>
        </w:rPr>
        <w:t>,</w:t>
      </w:r>
      <w:r w:rsidR="0095299A">
        <w:rPr>
          <w:rFonts w:eastAsia="Calibri"/>
          <w:i/>
          <w:lang w:eastAsia="de-DE" w:bidi="de-DE"/>
        </w:rPr>
        <w:t xml:space="preserve"> Art. 1 Nr. 3 des K.E. vom 17. Februar 2020 (B.S. vom 21. Februar 2020)</w:t>
      </w:r>
      <w:r w:rsidR="00ED5A3B">
        <w:rPr>
          <w:rFonts w:eastAsia="Calibri"/>
          <w:i/>
          <w:lang w:eastAsia="de-DE" w:bidi="de-DE"/>
        </w:rPr>
        <w:t>,</w:t>
      </w:r>
      <w:r w:rsidR="008E123B">
        <w:rPr>
          <w:rFonts w:eastAsia="Calibri"/>
          <w:i/>
          <w:lang w:eastAsia="de-DE" w:bidi="de-DE"/>
        </w:rPr>
        <w:t xml:space="preserve"> Art. 1 Nr. 3 des K.E. vom 24. Februar 2021 (B.S. vom 1. März 2021)</w:t>
      </w:r>
      <w:r w:rsidR="001D5508">
        <w:rPr>
          <w:rFonts w:eastAsia="Calibri"/>
          <w:i/>
          <w:lang w:eastAsia="de-DE" w:bidi="de-DE"/>
        </w:rPr>
        <w:t>,</w:t>
      </w:r>
      <w:r w:rsidR="00ED5A3B">
        <w:rPr>
          <w:rFonts w:eastAsia="Calibri"/>
          <w:i/>
          <w:lang w:eastAsia="de-DE" w:bidi="de-DE"/>
        </w:rPr>
        <w:t xml:space="preserve"> Art. 1 Nr. 3 des K.E. vom 6. Februar 2022 (B.S. vom 14. Februar 2022)</w:t>
      </w:r>
      <w:r w:rsidR="00710D82">
        <w:rPr>
          <w:rFonts w:eastAsia="Calibri"/>
          <w:i/>
          <w:lang w:eastAsia="de-DE" w:bidi="de-DE"/>
        </w:rPr>
        <w:t>,</w:t>
      </w:r>
      <w:r w:rsidR="001D5508">
        <w:rPr>
          <w:rFonts w:eastAsia="Calibri"/>
          <w:i/>
          <w:lang w:eastAsia="de-DE" w:bidi="de-DE"/>
        </w:rPr>
        <w:t xml:space="preserve"> Art. </w:t>
      </w:r>
      <w:r w:rsidR="001D5508" w:rsidRPr="001D5508">
        <w:rPr>
          <w:rFonts w:eastAsia="Calibri"/>
          <w:i/>
          <w:lang w:eastAsia="de-DE" w:bidi="de-DE"/>
        </w:rPr>
        <w:t>1 Nr. </w:t>
      </w:r>
      <w:r w:rsidR="001D5508">
        <w:rPr>
          <w:rFonts w:eastAsia="Calibri"/>
          <w:i/>
          <w:lang w:eastAsia="de-DE" w:bidi="de-DE"/>
        </w:rPr>
        <w:t>3</w:t>
      </w:r>
      <w:r w:rsidR="001D5508" w:rsidRPr="001D5508">
        <w:rPr>
          <w:rFonts w:eastAsia="Calibri"/>
          <w:i/>
          <w:lang w:eastAsia="de-DE" w:bidi="de-DE"/>
        </w:rPr>
        <w:t xml:space="preserve"> des K.E. vom 17. Februar 2023 (B.S. vom 3. März 2023)</w:t>
      </w:r>
      <w:r w:rsidR="00811447">
        <w:rPr>
          <w:rFonts w:eastAsia="Calibri"/>
          <w:i/>
          <w:lang w:eastAsia="de-DE" w:bidi="de-DE"/>
        </w:rPr>
        <w:t>,</w:t>
      </w:r>
      <w:r w:rsidR="00710D82">
        <w:rPr>
          <w:rFonts w:eastAsia="Calibri"/>
          <w:i/>
          <w:lang w:eastAsia="de-DE" w:bidi="de-DE"/>
        </w:rPr>
        <w:t xml:space="preserve"> Art. </w:t>
      </w:r>
      <w:r w:rsidR="00710D82" w:rsidRPr="00710D82">
        <w:rPr>
          <w:rFonts w:eastAsia="Calibri"/>
          <w:i/>
          <w:lang w:eastAsia="de-DE" w:bidi="de-DE"/>
        </w:rPr>
        <w:t>1 Nr. </w:t>
      </w:r>
      <w:r w:rsidR="00710D82">
        <w:rPr>
          <w:rFonts w:eastAsia="Calibri"/>
          <w:i/>
          <w:lang w:eastAsia="de-DE" w:bidi="de-DE"/>
        </w:rPr>
        <w:t>5</w:t>
      </w:r>
      <w:r w:rsidR="00710D82" w:rsidRPr="00710D82">
        <w:rPr>
          <w:rFonts w:eastAsia="Calibri"/>
          <w:i/>
          <w:lang w:eastAsia="de-DE" w:bidi="de-DE"/>
        </w:rPr>
        <w:t xml:space="preserve"> des K.E. vom 12. Januar 2024 (B.S. vom 25. Januar 2024)</w:t>
      </w:r>
      <w:r w:rsidR="00811447">
        <w:rPr>
          <w:rFonts w:eastAsia="Calibri"/>
          <w:i/>
          <w:lang w:eastAsia="de-DE" w:bidi="de-DE"/>
        </w:rPr>
        <w:t xml:space="preserve"> und Art. 1 Nr. 3 des K.E. vom 24. Januar 2025 (B.S. vom </w:t>
      </w:r>
      <w:r w:rsidR="00811447">
        <w:rPr>
          <w:rFonts w:eastAsia="Calibri"/>
          <w:i/>
          <w:lang w:eastAsia="de-DE" w:bidi="de-DE"/>
        </w:rPr>
        <w:lastRenderedPageBreak/>
        <w:t>5. Februar 2025)</w:t>
      </w:r>
      <w:r w:rsidRPr="002616E4">
        <w:rPr>
          <w:rFonts w:eastAsia="Calibri"/>
          <w:i/>
          <w:lang w:eastAsia="de-DE" w:bidi="de-DE"/>
        </w:rPr>
        <w:t xml:space="preserve">; § 3 einziger Absatz Punkt 2 ersetzt durch Art. 2 Nr. 5 des K.E. vom 18. Februar 1994 (B.S. vom 26. Februar 1994); § 3 einziger Absatz Punkt 2 </w:t>
      </w:r>
      <w:r w:rsidR="00294B0B">
        <w:rPr>
          <w:rFonts w:eastAsia="Calibri"/>
          <w:i/>
          <w:lang w:eastAsia="de-DE" w:bidi="de-DE"/>
        </w:rPr>
        <w:t xml:space="preserve">Abs. 1 und </w:t>
      </w:r>
      <w:r w:rsidRPr="002616E4">
        <w:rPr>
          <w:rFonts w:eastAsia="Calibri"/>
          <w:i/>
          <w:lang w:eastAsia="de-DE" w:bidi="de-DE"/>
        </w:rPr>
        <w:t xml:space="preserve">2 </w:t>
      </w:r>
      <w:r w:rsidR="00294B0B">
        <w:rPr>
          <w:rFonts w:eastAsia="Calibri"/>
          <w:i/>
          <w:lang w:eastAsia="de-DE" w:bidi="de-DE"/>
        </w:rPr>
        <w:t>ersetzt durch Art. 1 des K.E. vom 7. Dezember 2018 (B.S. vom 27. Dezember 2018)</w:t>
      </w:r>
      <w:r w:rsidRPr="002616E4">
        <w:rPr>
          <w:rFonts w:eastAsia="Calibri"/>
          <w:i/>
          <w:lang w:eastAsia="de-DE" w:bidi="de-DE"/>
        </w:rPr>
        <w:t xml:space="preserve">; § 3 einziger Absatz Punkt 2 Abs. 3 abgeändert durch Art. 1 Nr. 3 des K.E. vom 5. April 1995 (B.S. vom 13. Mai 1995), selbst für nichtig erklärt durch Entscheid Nr. 77.164 des Staatsrates vom 24. November 1998 (B.S. vom 11. März 1999); § 3 einziger Absatz Punkt 2 Abs. 5 abgeändert durch Art. 2 des K.E. vom 13. Juli 2001 (B.S. vom 11. August 2001); § 3 einziger Absatz Punkt 3 abgeändert durch Art. 2 des K.E. vom 13. Juli 2001 (B.S. vom 11. August 2001); § 3 einziger Absatz Punkt 4 ersetzt durch Art. 2 Nr. 2 des K.E. vom 23. Februar 2012 (B.S. vom 28. Februar 2012); </w:t>
      </w:r>
      <w:r w:rsidR="00114099">
        <w:rPr>
          <w:rFonts w:eastAsia="Calibri"/>
          <w:i/>
          <w:lang w:eastAsia="de-DE" w:bidi="de-DE"/>
        </w:rPr>
        <w:t>§ 3 einziger Absatz Punkt 4 neuer Absatz 1 eingefügt durch Art. 1 Nr. 1 des K.E. vom 19. Dezember 2021 (B.S. vom 27. Dezember 2021); § 3 einziger Absatz Punkt 4 Abs. 2 einleitende Bestimmung er</w:t>
      </w:r>
      <w:r w:rsidR="00ED5A78">
        <w:rPr>
          <w:rFonts w:eastAsia="Calibri"/>
          <w:i/>
          <w:lang w:eastAsia="de-DE" w:bidi="de-DE"/>
        </w:rPr>
        <w:t>setz</w:t>
      </w:r>
      <w:r w:rsidR="00114099">
        <w:rPr>
          <w:rFonts w:eastAsia="Calibri"/>
          <w:i/>
          <w:lang w:eastAsia="de-DE" w:bidi="de-DE"/>
        </w:rPr>
        <w:t xml:space="preserve">t durch Art. 1 Nr. 2 des K.E. vom 19. Dezember 2021 (B.S. vom 27. Dezember 2021); § 3 einziger Absatz Punkt 4 Abs. 3 abgeändert durch Art. 1 Nr. 3 und 4 des K.E. vom 19. Dezember 2021 (B.S. vom 27. Dezember 2021); </w:t>
      </w:r>
      <w:r w:rsidRPr="002616E4">
        <w:rPr>
          <w:rFonts w:eastAsia="Calibri"/>
          <w:i/>
          <w:lang w:eastAsia="de-DE" w:bidi="de-DE"/>
        </w:rPr>
        <w:t>§ 3 einziger Absatz Punkt 5 abgeändert durch Art. 2 des K.E. vom 13. Juli 2001 (B.S. vom 11. August 2001); § 3 einziger Absatz Punkt 6 Abs. 1 Tabelle ersetzt durch Art. 4 des K.E. vom 13. Juli 2001 (B.S. vom 11. August 2001); § 3 einziger Absatz Punkt 7 abgeändert durch Art. 2 des K.E. vom 13. Juli 2001 (B.S. vom 11. August 2001); § 3 einziger Absatz Punkt 9 aufgehoben durch Art. 2 Nr. 3 des K.E. vom 23. Februar 2012 (B.S. vom 28. Februar 2012) und wieder aufgenommen durch Art. 1 des K.E. vom 3. April 2013 (B.S. vom 8. April 2013); § 3 einziger Absatz Punkt 9 einziger Absatz Tabelle abgeändert durch Art. 1 des K.E. vom 24. Januar 2014 (B.S. vom 29. Januar 2014, Err. vom 4. Februar 2014)</w:t>
      </w:r>
      <w:r w:rsidR="00AF3BAB">
        <w:rPr>
          <w:rFonts w:eastAsia="Calibri"/>
          <w:i/>
          <w:lang w:eastAsia="de-DE" w:bidi="de-DE"/>
        </w:rPr>
        <w:t>,</w:t>
      </w:r>
      <w:r w:rsidRPr="002616E4">
        <w:rPr>
          <w:rFonts w:eastAsia="Calibri"/>
          <w:i/>
          <w:lang w:eastAsia="de-DE" w:bidi="de-DE"/>
        </w:rPr>
        <w:t xml:space="preserve"> Art. 1 des K.E. vom 16. Dezember 2014 (B.S. vom 22. Dezember 2014)</w:t>
      </w:r>
      <w:r w:rsidR="00405835">
        <w:rPr>
          <w:rFonts w:eastAsia="Calibri"/>
          <w:i/>
          <w:lang w:eastAsia="de-DE" w:bidi="de-DE"/>
        </w:rPr>
        <w:t>,</w:t>
      </w:r>
      <w:r w:rsidR="00AF3BAB">
        <w:rPr>
          <w:rFonts w:eastAsia="Calibri"/>
          <w:i/>
          <w:lang w:eastAsia="de-DE" w:bidi="de-DE"/>
        </w:rPr>
        <w:t xml:space="preserve"> Art. 1 des K.E. vom 9. Dezember 2015 (B.S. vom 17. Dezember 2015)</w:t>
      </w:r>
      <w:r w:rsidR="00E3507A">
        <w:rPr>
          <w:rFonts w:eastAsia="Calibri"/>
          <w:i/>
          <w:lang w:eastAsia="de-DE" w:bidi="de-DE"/>
        </w:rPr>
        <w:t>,</w:t>
      </w:r>
      <w:r w:rsidR="00405835">
        <w:rPr>
          <w:rFonts w:eastAsia="Calibri"/>
          <w:i/>
          <w:lang w:eastAsia="de-DE" w:bidi="de-DE"/>
        </w:rPr>
        <w:t xml:space="preserve"> Art. 1 des K.E. vom 24. November 201</w:t>
      </w:r>
      <w:r w:rsidR="0029637E">
        <w:rPr>
          <w:rFonts w:eastAsia="Calibri"/>
          <w:i/>
          <w:lang w:eastAsia="de-DE" w:bidi="de-DE"/>
        </w:rPr>
        <w:t>6</w:t>
      </w:r>
      <w:r w:rsidR="00405835">
        <w:rPr>
          <w:rFonts w:eastAsia="Calibri"/>
          <w:i/>
          <w:lang w:eastAsia="de-DE" w:bidi="de-DE"/>
        </w:rPr>
        <w:t xml:space="preserve"> (B.S. vom 5. Dezember 201</w:t>
      </w:r>
      <w:r w:rsidR="0029637E">
        <w:rPr>
          <w:rFonts w:eastAsia="Calibri"/>
          <w:i/>
          <w:lang w:eastAsia="de-DE" w:bidi="de-DE"/>
        </w:rPr>
        <w:t>6</w:t>
      </w:r>
      <w:r w:rsidR="00405835">
        <w:rPr>
          <w:rFonts w:eastAsia="Calibri"/>
          <w:i/>
          <w:lang w:eastAsia="de-DE" w:bidi="de-DE"/>
        </w:rPr>
        <w:t>)</w:t>
      </w:r>
      <w:r w:rsidR="00BE2D14">
        <w:rPr>
          <w:rFonts w:eastAsia="Calibri"/>
          <w:i/>
          <w:lang w:eastAsia="de-DE" w:bidi="de-DE"/>
        </w:rPr>
        <w:t xml:space="preserve">, </w:t>
      </w:r>
      <w:r w:rsidR="00E3507A">
        <w:rPr>
          <w:rFonts w:eastAsia="Calibri"/>
          <w:i/>
          <w:lang w:eastAsia="de-DE" w:bidi="de-DE"/>
        </w:rPr>
        <w:t>Art. 1 des K.E. vom 13. Dezember 2017</w:t>
      </w:r>
      <w:r w:rsidR="00F404FB">
        <w:rPr>
          <w:rFonts w:eastAsia="Calibri"/>
          <w:i/>
          <w:lang w:eastAsia="de-DE" w:bidi="de-DE"/>
        </w:rPr>
        <w:t xml:space="preserve"> (B.S. vom 19. Dezember 2017)</w:t>
      </w:r>
      <w:r w:rsidR="00FB5481">
        <w:rPr>
          <w:rFonts w:eastAsia="Calibri"/>
          <w:i/>
          <w:lang w:eastAsia="de-DE" w:bidi="de-DE"/>
        </w:rPr>
        <w:t>,</w:t>
      </w:r>
      <w:r w:rsidR="00BE2D14">
        <w:rPr>
          <w:rFonts w:eastAsia="Calibri"/>
          <w:i/>
          <w:lang w:eastAsia="de-DE" w:bidi="de-DE"/>
        </w:rPr>
        <w:t xml:space="preserve"> Art. 1 des K.E. vom 19. Dezember 2018 (B.S. vom 27. Dezember 2018)</w:t>
      </w:r>
      <w:r w:rsidR="0086766B">
        <w:rPr>
          <w:rFonts w:eastAsia="Calibri"/>
          <w:i/>
          <w:lang w:eastAsia="de-DE" w:bidi="de-DE"/>
        </w:rPr>
        <w:t xml:space="preserve">, </w:t>
      </w:r>
      <w:r w:rsidR="00FB5481">
        <w:rPr>
          <w:rFonts w:eastAsia="Calibri"/>
          <w:i/>
          <w:lang w:eastAsia="de-DE" w:bidi="de-DE"/>
        </w:rPr>
        <w:t>Art. 1 des K.E. vom 3. Dezember 2019 (B.S. vom 11. Dezember 2019)</w:t>
      </w:r>
      <w:r w:rsidR="00D91DB0">
        <w:rPr>
          <w:rFonts w:eastAsia="Calibri"/>
          <w:i/>
          <w:lang w:eastAsia="de-DE" w:bidi="de-DE"/>
        </w:rPr>
        <w:t>,</w:t>
      </w:r>
      <w:r w:rsidR="0086766B">
        <w:rPr>
          <w:rFonts w:eastAsia="Calibri"/>
          <w:i/>
          <w:lang w:eastAsia="de-DE" w:bidi="de-DE"/>
        </w:rPr>
        <w:t xml:space="preserve"> Art. 1</w:t>
      </w:r>
      <w:r w:rsidR="0086766B">
        <w:rPr>
          <w:rFonts w:eastAsia="Calibri"/>
          <w:i/>
          <w:szCs w:val="22"/>
          <w:lang w:eastAsia="de-DE" w:bidi="de-DE"/>
        </w:rPr>
        <w:t xml:space="preserve"> des K.E. vom 20. Dezember 2020 (II) (B.S. vom 29. Dezember 2020)</w:t>
      </w:r>
      <w:r w:rsidR="00D95A77">
        <w:rPr>
          <w:rFonts w:eastAsia="Calibri"/>
          <w:i/>
          <w:szCs w:val="22"/>
          <w:lang w:eastAsia="de-DE" w:bidi="de-DE"/>
        </w:rPr>
        <w:t>,</w:t>
      </w:r>
      <w:r w:rsidR="00D91DB0">
        <w:rPr>
          <w:rFonts w:eastAsia="Calibri"/>
          <w:i/>
          <w:szCs w:val="22"/>
          <w:lang w:eastAsia="de-DE" w:bidi="de-DE"/>
        </w:rPr>
        <w:t xml:space="preserve"> Art. 1 des K.E. vom 7. Dezember 2021 (B.S. vom 13. Dezember 2021)</w:t>
      </w:r>
      <w:r w:rsidR="009F4A15">
        <w:rPr>
          <w:rFonts w:eastAsia="Calibri"/>
          <w:i/>
          <w:szCs w:val="22"/>
          <w:lang w:eastAsia="de-DE" w:bidi="de-DE"/>
        </w:rPr>
        <w:t>,</w:t>
      </w:r>
      <w:r w:rsidR="00D95A77">
        <w:rPr>
          <w:rFonts w:eastAsia="Calibri"/>
          <w:i/>
          <w:szCs w:val="22"/>
          <w:lang w:eastAsia="de-DE" w:bidi="de-DE"/>
        </w:rPr>
        <w:t xml:space="preserve"> Art. 1 des K.E. vom 11. Dezember 2022 (B.S. vom 16. Dezember 2022)</w:t>
      </w:r>
      <w:r w:rsidR="008C14CF">
        <w:rPr>
          <w:rFonts w:eastAsia="Calibri"/>
          <w:i/>
          <w:szCs w:val="22"/>
          <w:lang w:eastAsia="de-DE" w:bidi="de-DE"/>
        </w:rPr>
        <w:t xml:space="preserve">, </w:t>
      </w:r>
      <w:r w:rsidR="009F4A15">
        <w:rPr>
          <w:rFonts w:eastAsia="Calibri"/>
          <w:i/>
          <w:szCs w:val="22"/>
          <w:lang w:eastAsia="de-DE" w:bidi="de-DE"/>
        </w:rPr>
        <w:t>Art. 1 des K.E. vom 5. Februar 2024 (B.S. vom 8. Februar 2024)</w:t>
      </w:r>
      <w:r w:rsidR="008C14CF">
        <w:rPr>
          <w:rFonts w:eastAsia="Calibri"/>
          <w:i/>
          <w:szCs w:val="22"/>
          <w:lang w:eastAsia="de-DE" w:bidi="de-DE"/>
        </w:rPr>
        <w:t xml:space="preserve"> und Art. 1 des K.E. vom 8. Dezember 2024 (B.S. vom 12. Dezember 2024)</w:t>
      </w:r>
      <w:r w:rsidRPr="002616E4">
        <w:rPr>
          <w:rFonts w:eastAsia="Calibri"/>
          <w:i/>
          <w:lang w:eastAsia="de-DE" w:bidi="de-DE"/>
        </w:rPr>
        <w:t>; § 3 einziger Absatz Punkt 10 eingefügt durch Art. 1 des K.E. vom 25. März 2003 (II) (B.S. vom 4. April 2003)</w:t>
      </w:r>
      <w:r w:rsidR="0083683B">
        <w:rPr>
          <w:rFonts w:eastAsia="Calibri"/>
          <w:i/>
          <w:lang w:eastAsia="de-DE" w:bidi="de-DE"/>
        </w:rPr>
        <w:t xml:space="preserve"> und ersetzt durch Art. 1 des K.E. vom 2. November 2017 (B.S. vom 13. November 2017)</w:t>
      </w:r>
      <w:r w:rsidRPr="002616E4">
        <w:rPr>
          <w:rFonts w:eastAsia="Calibri"/>
          <w:i/>
          <w:lang w:eastAsia="de-DE" w:bidi="de-DE"/>
        </w:rPr>
        <w:t>; § 4 abgeändert durch Art. 1 des K.E. vom 11. Dezember 2006 (B.S. vom 18. Dezember 2006)]</w:t>
      </w:r>
    </w:p>
    <w:p w14:paraId="12B831AC" w14:textId="77777777" w:rsidR="000C2D5D" w:rsidRDefault="000C2D5D" w:rsidP="00D91DB0">
      <w:pPr>
        <w:jc w:val="both"/>
        <w:rPr>
          <w:rFonts w:eastAsia="Calibri"/>
          <w:i/>
          <w:lang w:eastAsia="de-DE" w:bidi="de-DE"/>
        </w:rPr>
      </w:pPr>
    </w:p>
    <w:p w14:paraId="62E72159" w14:textId="3F565592" w:rsidR="008E123B" w:rsidRDefault="008E123B" w:rsidP="00D91DB0">
      <w:pPr>
        <w:jc w:val="both"/>
        <w:rPr>
          <w:rFonts w:eastAsia="Calibri"/>
          <w:i/>
          <w:lang w:eastAsia="de-DE" w:bidi="de-DE"/>
        </w:rPr>
      </w:pPr>
    </w:p>
    <w:p w14:paraId="57350D59" w14:textId="0DE9F19F" w:rsidR="00017FD7" w:rsidRPr="00892F7C" w:rsidRDefault="005A5BD5" w:rsidP="00017FD7">
      <w:pPr>
        <w:jc w:val="center"/>
      </w:pPr>
      <w:r w:rsidRPr="002616E4">
        <w:rPr>
          <w:rFonts w:eastAsia="Calibri"/>
          <w:i/>
          <w:lang w:eastAsia="de-DE" w:bidi="de-DE"/>
        </w:rPr>
        <w:t>Abschnitt 8</w:t>
      </w:r>
      <w:r w:rsidR="00017FD7">
        <w:rPr>
          <w:rFonts w:eastAsia="Calibri"/>
          <w:lang w:eastAsia="de-DE" w:bidi="de-DE"/>
        </w:rPr>
        <w:t> - [</w:t>
      </w:r>
      <w:r w:rsidR="00017FD7" w:rsidRPr="00892F7C">
        <w:t>Entsprechendes Fahrzeug</w:t>
      </w:r>
    </w:p>
    <w:p w14:paraId="294DFB28" w14:textId="77777777" w:rsidR="00017FD7" w:rsidRPr="00892F7C" w:rsidRDefault="00017FD7" w:rsidP="00017FD7">
      <w:pPr>
        <w:jc w:val="both"/>
        <w:rPr>
          <w:i/>
        </w:rPr>
      </w:pPr>
    </w:p>
    <w:p w14:paraId="4FC13820" w14:textId="2FA8EF9F" w:rsidR="005A5BD5" w:rsidRPr="002616E4" w:rsidRDefault="00017FD7" w:rsidP="00017FD7">
      <w:pPr>
        <w:jc w:val="center"/>
        <w:rPr>
          <w:lang w:eastAsia="de-DE" w:bidi="de-DE"/>
        </w:rPr>
      </w:pPr>
      <w:r w:rsidRPr="00892F7C">
        <w:rPr>
          <w:i/>
        </w:rPr>
        <w:t>(Einkommensteuergesetzbuch 1992, Artikel 36 § 2 Absatz 11 und 66 § 1 Absatz 5)</w:t>
      </w:r>
      <w:r w:rsidR="005A5BD5" w:rsidRPr="002616E4">
        <w:rPr>
          <w:rFonts w:eastAsia="Calibri"/>
          <w:lang w:eastAsia="de-DE" w:bidi="de-DE"/>
        </w:rPr>
        <w:t>]</w:t>
      </w:r>
    </w:p>
    <w:p w14:paraId="42930A34" w14:textId="77777777" w:rsidR="005A5BD5" w:rsidRPr="002616E4" w:rsidRDefault="005A5BD5" w:rsidP="004C2C7D">
      <w:pPr>
        <w:jc w:val="both"/>
        <w:rPr>
          <w:lang w:eastAsia="fr-BE" w:bidi="de-DE"/>
        </w:rPr>
      </w:pPr>
    </w:p>
    <w:p w14:paraId="1DFB50EC" w14:textId="051A3152" w:rsidR="005A5BD5" w:rsidRPr="002616E4" w:rsidRDefault="005A5BD5" w:rsidP="004C2C7D">
      <w:pPr>
        <w:jc w:val="both"/>
        <w:rPr>
          <w:lang w:eastAsia="de-DE" w:bidi="de-DE"/>
        </w:rPr>
      </w:pPr>
      <w:r w:rsidRPr="002616E4">
        <w:rPr>
          <w:rFonts w:eastAsia="Calibri"/>
          <w:i/>
          <w:lang w:eastAsia="de-DE" w:bidi="de-DE"/>
        </w:rPr>
        <w:t>[Früherer Abschnitt 8 mit den früheren Artikeln 19 bis 21 aufgehoben durch Art. 2 des K.E. vom 12. August 1994 (II) (B.S. vom 10. September 1994); neuer Abschnitt 8 mit neuem Artikel 19 eingefügt durch Art. 2 des K.E. vom 25. März 2003 (II) (B.S. vom 4. April 2003)</w:t>
      </w:r>
      <w:r w:rsidR="00017FD7">
        <w:rPr>
          <w:rFonts w:eastAsia="Calibri"/>
          <w:i/>
          <w:lang w:eastAsia="de-DE" w:bidi="de-DE"/>
        </w:rPr>
        <w:t>,</w:t>
      </w:r>
      <w:r w:rsidRPr="002616E4">
        <w:rPr>
          <w:rFonts w:eastAsia="Calibri"/>
          <w:i/>
          <w:lang w:eastAsia="de-DE" w:bidi="de-DE"/>
        </w:rPr>
        <w:t xml:space="preserve"> aufgehoben durch Art. 1 des K.E. vom 6. April 2010 (B.S. vom 13. April 2010)</w:t>
      </w:r>
      <w:r w:rsidR="00017FD7">
        <w:rPr>
          <w:rFonts w:eastAsia="Calibri"/>
          <w:i/>
          <w:lang w:eastAsia="de-DE" w:bidi="de-DE"/>
        </w:rPr>
        <w:t xml:space="preserve"> und wieder aufgenommen durch Art. 1 des K.E. vom 5. September 2019 (B.S. vom 17. September 2019)</w:t>
      </w:r>
      <w:r w:rsidRPr="002616E4">
        <w:rPr>
          <w:rFonts w:eastAsia="Calibri"/>
          <w:i/>
          <w:lang w:eastAsia="de-DE" w:bidi="de-DE"/>
        </w:rPr>
        <w:t>]</w:t>
      </w:r>
      <w:r w:rsidRPr="002616E4">
        <w:rPr>
          <w:rFonts w:eastAsia="Calibri"/>
          <w:lang w:eastAsia="de-DE" w:bidi="de-DE"/>
        </w:rPr>
        <w:t xml:space="preserve"> </w:t>
      </w:r>
    </w:p>
    <w:p w14:paraId="4D5C3404" w14:textId="77777777" w:rsidR="005A5BD5" w:rsidRPr="002616E4" w:rsidRDefault="005A5BD5" w:rsidP="004C2C7D">
      <w:pPr>
        <w:jc w:val="both"/>
        <w:rPr>
          <w:lang w:eastAsia="fr-BE" w:bidi="de-DE"/>
        </w:rPr>
      </w:pPr>
    </w:p>
    <w:p w14:paraId="654465D4" w14:textId="77777777" w:rsidR="005A5BD5" w:rsidRPr="002616E4" w:rsidRDefault="005A5BD5" w:rsidP="004C2C7D">
      <w:pPr>
        <w:jc w:val="both"/>
        <w:rPr>
          <w:lang w:eastAsia="fr-BE" w:bidi="de-DE"/>
        </w:rPr>
      </w:pPr>
    </w:p>
    <w:p w14:paraId="6C565469" w14:textId="1E3BC59D" w:rsidR="00017FD7" w:rsidRPr="00892F7C" w:rsidRDefault="005A5BD5" w:rsidP="00017FD7">
      <w:pPr>
        <w:jc w:val="both"/>
      </w:pPr>
      <w:r w:rsidRPr="002616E4">
        <w:rPr>
          <w:rFonts w:eastAsia="Calibri"/>
          <w:szCs w:val="22"/>
          <w:lang w:eastAsia="de-DE" w:bidi="de-DE"/>
        </w:rPr>
        <w:tab/>
      </w:r>
      <w:r w:rsidRPr="002616E4">
        <w:rPr>
          <w:rFonts w:eastAsia="Calibri"/>
          <w:b/>
          <w:lang w:eastAsia="de-DE" w:bidi="de-DE"/>
        </w:rPr>
        <w:t>Art. 19</w:t>
      </w:r>
      <w:r w:rsidRPr="002616E4">
        <w:rPr>
          <w:rFonts w:eastAsia="Calibri"/>
          <w:szCs w:val="22"/>
          <w:lang w:eastAsia="de-DE" w:bidi="de-DE"/>
        </w:rPr>
        <w:t> -</w:t>
      </w:r>
      <w:r w:rsidRPr="002616E4">
        <w:rPr>
          <w:rFonts w:eastAsia="Calibri"/>
          <w:lang w:eastAsia="de-DE" w:bidi="de-DE"/>
        </w:rPr>
        <w:t xml:space="preserve"> [</w:t>
      </w:r>
      <w:r w:rsidR="00017FD7" w:rsidRPr="00892F7C">
        <w:t xml:space="preserve">Unter entsprechendem Fahrzeug </w:t>
      </w:r>
      <w:r w:rsidR="00573383">
        <w:t>[</w:t>
      </w:r>
      <w:r w:rsidR="00573383" w:rsidRPr="00A115C4">
        <w:t>im Sinne der Artikel 36 § 2 Absatz 9, 66 § 1 Absatz 3 und 550 Absatz 5 des Einkommensteuer</w:t>
      </w:r>
      <w:r w:rsidR="00573383" w:rsidRPr="00A115C4">
        <w:softHyphen/>
        <w:t>gesetzbuches 1992</w:t>
      </w:r>
      <w:r w:rsidR="00573383">
        <w:t>]</w:t>
      </w:r>
      <w:r w:rsidR="00017FD7" w:rsidRPr="00892F7C">
        <w:t xml:space="preserve"> versteht man das </w:t>
      </w:r>
      <w:r w:rsidR="00017FD7" w:rsidRPr="00892F7C">
        <w:lastRenderedPageBreak/>
        <w:t>Fahrzeug, das auf der Grundlage des europäischen Konformitätszertifikats folgende Merkmale aufweist:</w:t>
      </w:r>
    </w:p>
    <w:p w14:paraId="46F1369B" w14:textId="77777777" w:rsidR="00017FD7" w:rsidRPr="00892F7C" w:rsidRDefault="00017FD7" w:rsidP="00017FD7">
      <w:pPr>
        <w:jc w:val="both"/>
      </w:pPr>
    </w:p>
    <w:p w14:paraId="2EC8B8E4" w14:textId="77777777" w:rsidR="00017FD7" w:rsidRPr="00892F7C" w:rsidRDefault="00017FD7" w:rsidP="00017FD7">
      <w:pPr>
        <w:jc w:val="both"/>
      </w:pPr>
      <w:r w:rsidRPr="00892F7C">
        <w:tab/>
        <w:t>- dieselbe Marke,</w:t>
      </w:r>
    </w:p>
    <w:p w14:paraId="6569E1D6" w14:textId="77777777" w:rsidR="00017FD7" w:rsidRPr="00892F7C" w:rsidRDefault="00017FD7" w:rsidP="00017FD7">
      <w:pPr>
        <w:jc w:val="both"/>
      </w:pPr>
    </w:p>
    <w:p w14:paraId="2A09B4DF" w14:textId="77777777" w:rsidR="00017FD7" w:rsidRPr="00892F7C" w:rsidRDefault="00017FD7" w:rsidP="00017FD7">
      <w:pPr>
        <w:jc w:val="both"/>
      </w:pPr>
      <w:r w:rsidRPr="00892F7C">
        <w:tab/>
        <w:t>- dasselbe Modell,</w:t>
      </w:r>
    </w:p>
    <w:p w14:paraId="516C9897" w14:textId="77777777" w:rsidR="00017FD7" w:rsidRPr="00892F7C" w:rsidRDefault="00017FD7" w:rsidP="00017FD7">
      <w:pPr>
        <w:jc w:val="both"/>
      </w:pPr>
    </w:p>
    <w:p w14:paraId="4E26C0EE" w14:textId="77777777" w:rsidR="00017FD7" w:rsidRPr="00892F7C" w:rsidRDefault="00017FD7" w:rsidP="00017FD7">
      <w:pPr>
        <w:jc w:val="both"/>
      </w:pPr>
      <w:r w:rsidRPr="00892F7C">
        <w:tab/>
        <w:t>- denselben Karosserietyp,</w:t>
      </w:r>
    </w:p>
    <w:p w14:paraId="3FC44FC4" w14:textId="77777777" w:rsidR="00017FD7" w:rsidRPr="00892F7C" w:rsidRDefault="00017FD7" w:rsidP="00017FD7">
      <w:pPr>
        <w:jc w:val="both"/>
      </w:pPr>
    </w:p>
    <w:p w14:paraId="6934DBDB" w14:textId="77777777" w:rsidR="00017FD7" w:rsidRPr="00892F7C" w:rsidRDefault="00017FD7" w:rsidP="00017FD7">
      <w:pPr>
        <w:jc w:val="both"/>
      </w:pPr>
      <w:r w:rsidRPr="00892F7C">
        <w:tab/>
        <w:t>- ein Verhältnis zwischen seiner Leistung, ausgedrückt in kW, und der Leistung des Hybridfahrzeugs, ausgedrückt in kW, das am nächsten bei 1 liegt, sofern dieses Verhältnis zwischen 0,75 und 1,25 liegt.</w:t>
      </w:r>
    </w:p>
    <w:p w14:paraId="2BE34F9B" w14:textId="77777777" w:rsidR="00017FD7" w:rsidRPr="00892F7C" w:rsidRDefault="00017FD7" w:rsidP="00017FD7">
      <w:pPr>
        <w:jc w:val="both"/>
      </w:pPr>
    </w:p>
    <w:p w14:paraId="4A71A821" w14:textId="77777777" w:rsidR="00017FD7" w:rsidRPr="00892F7C" w:rsidRDefault="00017FD7" w:rsidP="00017FD7">
      <w:pPr>
        <w:jc w:val="both"/>
      </w:pPr>
      <w:r w:rsidRPr="00892F7C">
        <w:tab/>
        <w:t>Sollten mehrere Fahrzeuge in Betracht kommen, um als entsprechendes Fahrzeug bezeichnet zu werden, wird das Fahrzeug mit der höchsten CO</w:t>
      </w:r>
      <w:r w:rsidRPr="00892F7C">
        <w:rPr>
          <w:vertAlign w:val="subscript"/>
        </w:rPr>
        <w:t>2</w:t>
      </w:r>
      <w:r w:rsidRPr="00892F7C">
        <w:t>-Emission als entsprechendes Fahrzeug bezeichnet.</w:t>
      </w:r>
    </w:p>
    <w:p w14:paraId="054BC405" w14:textId="057D0D6F" w:rsidR="00017FD7" w:rsidRPr="00892F7C" w:rsidRDefault="00017FD7" w:rsidP="00017FD7">
      <w:pPr>
        <w:jc w:val="both"/>
      </w:pPr>
    </w:p>
    <w:p w14:paraId="46ABB8FA" w14:textId="09627BCF" w:rsidR="00017FD7" w:rsidRPr="00892F7C" w:rsidRDefault="00017FD7" w:rsidP="00017FD7">
      <w:pPr>
        <w:jc w:val="both"/>
      </w:pPr>
      <w:r w:rsidRPr="00892F7C">
        <w:tab/>
        <w:t>Hersteller, die auf dem Staatsgebiet des Königreichs ansässig sind, oder in deren Erman</w:t>
      </w:r>
      <w:r w:rsidR="00CF2BB7">
        <w:softHyphen/>
      </w:r>
      <w:r w:rsidRPr="00892F7C">
        <w:t xml:space="preserve">gelung Autoimporteure müssen für jedes </w:t>
      </w:r>
      <w:r w:rsidR="0086766B">
        <w:t>[</w:t>
      </w:r>
      <w:r w:rsidR="0086766B" w:rsidRPr="001E70FB">
        <w:t>Hybridfahrzeug wie erwähnt in den Artikeln 36 § 2 Absatz 9 und 66 § 1 Absatz 3 des Einkommensteuergesetzbuches 1992</w:t>
      </w:r>
      <w:r w:rsidR="0086766B">
        <w:t>]</w:t>
      </w:r>
      <w:r w:rsidRPr="00892F7C">
        <w:t xml:space="preserve"> das entsprechende Fahrzeug identifizieren und diese Information sowie alle für diese Identifizierung erforderlichen technischen Daten zum Zeitpunkt der Markteinführung eines vorerwähnten Hybridfahrzeugs an den FÖD Finanzen übermitteln. Der Minister der Finanzen oder sein Beauftragter legt fest, welche technischen Daten dem FÖD Finanzen übermittelt werden müssen und wie diese technischen Daten dem FÖD Finanzen übermittelt werden müssen.</w:t>
      </w:r>
    </w:p>
    <w:p w14:paraId="44E41B66" w14:textId="77777777" w:rsidR="00017FD7" w:rsidRPr="00892F7C" w:rsidRDefault="00017FD7" w:rsidP="00017FD7">
      <w:pPr>
        <w:jc w:val="both"/>
      </w:pPr>
    </w:p>
    <w:p w14:paraId="7DFBE3F4" w14:textId="16701B0E" w:rsidR="00017FD7" w:rsidRPr="00892F7C" w:rsidRDefault="00017FD7" w:rsidP="00017FD7">
      <w:pPr>
        <w:jc w:val="both"/>
      </w:pPr>
      <w:r w:rsidRPr="00892F7C">
        <w:tab/>
        <w:t xml:space="preserve">Das entsprechende Fahrzeug wird zum Zeitpunkt der Markteinführung des </w:t>
      </w:r>
      <w:r w:rsidR="0086766B">
        <w:t>[</w:t>
      </w:r>
      <w:r w:rsidR="0086766B" w:rsidRPr="001E70FB">
        <w:t>Hybridfahrzeugs wie erwähnt in den Artikeln 36 § 2 Absatz 9 und 66 § 1 Absatz 3 des Einkommensteuergesetzbuches 1992 bestimmt</w:t>
      </w:r>
      <w:r w:rsidR="0086766B">
        <w:t>]</w:t>
      </w:r>
      <w:r w:rsidRPr="00892F7C">
        <w:t>.</w:t>
      </w:r>
    </w:p>
    <w:p w14:paraId="436507EB" w14:textId="77777777" w:rsidR="00017FD7" w:rsidRPr="00892F7C" w:rsidRDefault="00017FD7" w:rsidP="00017FD7">
      <w:pPr>
        <w:jc w:val="both"/>
      </w:pPr>
    </w:p>
    <w:p w14:paraId="0C0350D5" w14:textId="2DABB3B2" w:rsidR="00515F91" w:rsidRDefault="00017FD7" w:rsidP="00017FD7">
      <w:pPr>
        <w:jc w:val="both"/>
        <w:rPr>
          <w:rFonts w:eastAsia="Calibri"/>
          <w:lang w:eastAsia="de-DE" w:bidi="de-DE"/>
        </w:rPr>
      </w:pPr>
      <w:r w:rsidRPr="00892F7C">
        <w:tab/>
        <w:t xml:space="preserve">Die Liste der entsprechenden Fahrzeuge für die verschiedenen </w:t>
      </w:r>
      <w:r w:rsidR="0086766B">
        <w:t>[</w:t>
      </w:r>
      <w:r w:rsidR="0086766B" w:rsidRPr="001E70FB">
        <w:t>Hybridfahrzeuge wie erwähnt in den Artikeln 36 § 2 Absatz 9 und 66 § 1 Absatz 3 des Einkommensteuergesetzbuches 1992</w:t>
      </w:r>
      <w:r w:rsidR="0086766B">
        <w:t>]</w:t>
      </w:r>
      <w:r w:rsidRPr="00892F7C">
        <w:t xml:space="preserve"> wird auf der Website des FÖD Finanzen veröffentlicht.</w:t>
      </w:r>
      <w:r w:rsidR="005A5BD5" w:rsidRPr="002616E4">
        <w:rPr>
          <w:rFonts w:eastAsia="Calibri"/>
          <w:lang w:eastAsia="de-DE" w:bidi="de-DE"/>
        </w:rPr>
        <w:t>]]</w:t>
      </w:r>
    </w:p>
    <w:p w14:paraId="7640B48C" w14:textId="6E6D1B05" w:rsidR="006E0DCC" w:rsidRDefault="006E0DCC" w:rsidP="0086766B">
      <w:pPr>
        <w:ind w:firstLine="708"/>
        <w:jc w:val="both"/>
        <w:rPr>
          <w:rFonts w:eastAsia="Calibri"/>
          <w:lang w:eastAsia="de-DE" w:bidi="de-DE"/>
        </w:rPr>
      </w:pPr>
    </w:p>
    <w:p w14:paraId="20A4A170" w14:textId="263C8A29" w:rsidR="0086766B" w:rsidRDefault="0086766B" w:rsidP="006E0DCC">
      <w:pPr>
        <w:jc w:val="both"/>
        <w:rPr>
          <w:rFonts w:eastAsia="Calibri"/>
          <w:i/>
          <w:szCs w:val="22"/>
          <w:lang w:eastAsia="de-DE" w:bidi="de-DE"/>
        </w:rPr>
      </w:pPr>
      <w:r>
        <w:rPr>
          <w:rFonts w:eastAsia="Calibri"/>
          <w:i/>
          <w:lang w:eastAsia="de-DE" w:bidi="de-DE"/>
        </w:rPr>
        <w:t>[Art. 19</w:t>
      </w:r>
      <w:r w:rsidR="00CF2BB7">
        <w:rPr>
          <w:rFonts w:eastAsia="Calibri"/>
          <w:i/>
          <w:lang w:eastAsia="de-DE" w:bidi="de-DE"/>
        </w:rPr>
        <w:t xml:space="preserve"> Abs. 1 einleitende Bestimmung abgeändert durch Art. 2</w:t>
      </w:r>
      <w:r w:rsidR="00CF2BB7" w:rsidRPr="00CF2BB7">
        <w:rPr>
          <w:rFonts w:eastAsia="Calibri"/>
          <w:i/>
          <w:lang w:eastAsia="de-DE" w:bidi="de-DE"/>
        </w:rPr>
        <w:t xml:space="preserve"> des K.E. vom 17. Juli 2023 (II) (B.S. vom 26. Juli 2023)</w:t>
      </w:r>
      <w:r>
        <w:rPr>
          <w:rFonts w:eastAsia="Calibri"/>
          <w:i/>
          <w:lang w:eastAsia="de-DE" w:bidi="de-DE"/>
        </w:rPr>
        <w:t xml:space="preserve"> Abs. 3 abgeändert durch Art. 6 Nr. 1</w:t>
      </w:r>
      <w:r>
        <w:rPr>
          <w:rFonts w:eastAsia="Calibri"/>
          <w:i/>
          <w:szCs w:val="22"/>
          <w:lang w:eastAsia="de-DE" w:bidi="de-DE"/>
        </w:rPr>
        <w:t xml:space="preserve"> des K.E. vom 20. Dezember 2020 (I) (B.S. vom 29. Dezember 2020); Abs. 4 abgeändert durch Art. 6 Nr. 1 des K.E. vom 20. Dezember 2020 (I) (B.S. vom 29. Dezember 2020); Abs. 5 abgeändert durch Art. 6 Nr. 2 des K.E. vom 20. Dezember 2020 (I) (B.S. vom 29. Dezember 2020)]</w:t>
      </w:r>
    </w:p>
    <w:p w14:paraId="0305B7A6" w14:textId="159C1A2B" w:rsidR="0086766B" w:rsidRDefault="0086766B" w:rsidP="006E0DCC">
      <w:pPr>
        <w:jc w:val="both"/>
        <w:rPr>
          <w:rFonts w:eastAsia="Calibri"/>
          <w:i/>
          <w:szCs w:val="22"/>
          <w:lang w:eastAsia="de-DE" w:bidi="de-DE"/>
        </w:rPr>
      </w:pPr>
      <w:r>
        <w:rPr>
          <w:rFonts w:eastAsia="Calibri"/>
          <w:i/>
          <w:szCs w:val="22"/>
          <w:lang w:eastAsia="de-DE" w:bidi="de-DE"/>
        </w:rPr>
        <w:t xml:space="preserve"> </w:t>
      </w:r>
    </w:p>
    <w:p w14:paraId="578DCDDA" w14:textId="77777777" w:rsidR="0043031B" w:rsidRDefault="0043031B" w:rsidP="006E0DCC">
      <w:pPr>
        <w:jc w:val="both"/>
        <w:rPr>
          <w:rFonts w:eastAsia="Calibri"/>
          <w:i/>
          <w:szCs w:val="22"/>
          <w:lang w:eastAsia="de-DE" w:bidi="de-DE"/>
        </w:rPr>
      </w:pPr>
    </w:p>
    <w:p w14:paraId="66FB73C3" w14:textId="502DCC84" w:rsidR="0043031B" w:rsidRPr="0043031B" w:rsidRDefault="0043031B" w:rsidP="0043031B">
      <w:pPr>
        <w:jc w:val="center"/>
        <w:rPr>
          <w:rFonts w:eastAsia="Calibri"/>
          <w:iCs/>
          <w:lang w:eastAsia="de-DE" w:bidi="de-DE"/>
        </w:rPr>
      </w:pPr>
      <w:r>
        <w:rPr>
          <w:rFonts w:eastAsia="Calibri"/>
          <w:iCs/>
          <w:lang w:eastAsia="de-DE" w:bidi="de-DE"/>
        </w:rPr>
        <w:t>[</w:t>
      </w:r>
      <w:r w:rsidRPr="0043031B">
        <w:rPr>
          <w:rFonts w:eastAsia="Calibri"/>
          <w:i/>
          <w:lang w:eastAsia="de-DE" w:bidi="de-DE"/>
        </w:rPr>
        <w:t>Abschnitt 8/1 -</w:t>
      </w:r>
      <w:r>
        <w:rPr>
          <w:rFonts w:eastAsia="Calibri"/>
          <w:i/>
          <w:lang w:eastAsia="de-DE" w:bidi="de-DE"/>
        </w:rPr>
        <w:t> </w:t>
      </w:r>
      <w:r w:rsidRPr="0043031B">
        <w:rPr>
          <w:rFonts w:eastAsia="Calibri"/>
          <w:iCs/>
          <w:lang w:eastAsia="de-DE" w:bidi="de-DE"/>
        </w:rPr>
        <w:t>Soziale und kulturelle Steuerbefreiungen wie in Artikel 38 des Einkommen</w:t>
      </w:r>
      <w:r>
        <w:rPr>
          <w:rFonts w:eastAsia="Calibri"/>
          <w:iCs/>
          <w:lang w:eastAsia="de-DE" w:bidi="de-DE"/>
        </w:rPr>
        <w:softHyphen/>
      </w:r>
      <w:r w:rsidRPr="0043031B">
        <w:rPr>
          <w:rFonts w:eastAsia="Calibri"/>
          <w:iCs/>
          <w:lang w:eastAsia="de-DE" w:bidi="de-DE"/>
        </w:rPr>
        <w:t>steuergesetzbuches 1992 erwähnt</w:t>
      </w:r>
    </w:p>
    <w:p w14:paraId="5794FFBE" w14:textId="77777777" w:rsidR="0043031B" w:rsidRDefault="0043031B" w:rsidP="0043031B">
      <w:pPr>
        <w:jc w:val="center"/>
        <w:rPr>
          <w:rFonts w:eastAsia="Calibri"/>
          <w:iCs/>
          <w:lang w:eastAsia="de-DE" w:bidi="de-DE"/>
        </w:rPr>
      </w:pPr>
    </w:p>
    <w:p w14:paraId="6FE85CE0" w14:textId="15A9FDDE" w:rsidR="0043031B" w:rsidRDefault="0043031B" w:rsidP="0043031B">
      <w:pPr>
        <w:jc w:val="both"/>
        <w:rPr>
          <w:rFonts w:eastAsia="Calibri"/>
          <w:i/>
          <w:lang w:eastAsia="de-DE" w:bidi="de-DE"/>
        </w:rPr>
      </w:pPr>
      <w:r>
        <w:rPr>
          <w:rFonts w:eastAsia="Calibri"/>
          <w:i/>
          <w:lang w:eastAsia="de-DE" w:bidi="de-DE"/>
        </w:rPr>
        <w:t>[Abschnitt 8/1 mit Art. 19/1 eingefügt durch Art. 1 des K.E. vom 9. April 2024 (B.S. vom 15. April 2024)]</w:t>
      </w:r>
    </w:p>
    <w:p w14:paraId="1237416A" w14:textId="77777777" w:rsidR="0043031B" w:rsidRPr="0043031B" w:rsidRDefault="0043031B" w:rsidP="0043031B">
      <w:pPr>
        <w:jc w:val="both"/>
        <w:rPr>
          <w:rFonts w:eastAsia="Calibri"/>
          <w:i/>
          <w:lang w:eastAsia="de-DE" w:bidi="de-DE"/>
        </w:rPr>
      </w:pPr>
    </w:p>
    <w:p w14:paraId="4862850D" w14:textId="77777777" w:rsidR="0043031B" w:rsidRPr="0043031B" w:rsidRDefault="0043031B" w:rsidP="0043031B">
      <w:pPr>
        <w:jc w:val="center"/>
        <w:rPr>
          <w:rFonts w:eastAsia="Calibri"/>
          <w:iCs/>
          <w:lang w:eastAsia="de-DE" w:bidi="de-DE"/>
        </w:rPr>
      </w:pPr>
    </w:p>
    <w:p w14:paraId="1E8E6ABC" w14:textId="6CD52F03" w:rsidR="0043031B" w:rsidRDefault="0043031B" w:rsidP="0043031B">
      <w:pPr>
        <w:jc w:val="both"/>
        <w:rPr>
          <w:rFonts w:eastAsia="Calibri"/>
          <w:iCs/>
          <w:lang w:eastAsia="de-DE" w:bidi="de-DE"/>
        </w:rPr>
      </w:pPr>
      <w:r w:rsidRPr="0043031B">
        <w:rPr>
          <w:rFonts w:eastAsia="Calibri"/>
          <w:iCs/>
          <w:lang w:eastAsia="de-DE" w:bidi="de-DE"/>
        </w:rPr>
        <w:tab/>
      </w:r>
      <w:r w:rsidRPr="0043031B">
        <w:rPr>
          <w:rFonts w:eastAsia="Calibri"/>
          <w:b/>
          <w:bCs/>
          <w:iCs/>
          <w:lang w:eastAsia="de-DE" w:bidi="de-DE"/>
        </w:rPr>
        <w:t>Art. 19/1</w:t>
      </w:r>
      <w:r w:rsidRPr="0043031B">
        <w:rPr>
          <w:rFonts w:eastAsia="Calibri"/>
          <w:iCs/>
          <w:lang w:eastAsia="de-DE" w:bidi="de-DE"/>
        </w:rPr>
        <w:t xml:space="preserve"> - In Ausführung von Artikel 38 § 1 Absatz 6 des Einkommensteuergesetzbuches 1992 wird der in Artikel 38 § 1 Absatz 1 Nr. 14 Buchstabe a) </w:t>
      </w:r>
      <w:r w:rsidRPr="0043031B">
        <w:rPr>
          <w:rFonts w:eastAsia="Calibri"/>
          <w:iCs/>
          <w:lang w:eastAsia="de-DE" w:bidi="de-DE"/>
        </w:rPr>
        <w:lastRenderedPageBreak/>
        <w:t>desselben Gesetzbuches erwähnte Betrag für die ab dem 1. Januar 2024 bewilligten Entschädigungen auf 0,178 EUR pro Kilometer erhöht.</w:t>
      </w:r>
      <w:r>
        <w:rPr>
          <w:rFonts w:eastAsia="Calibri"/>
          <w:iCs/>
          <w:lang w:eastAsia="de-DE" w:bidi="de-DE"/>
        </w:rPr>
        <w:t>]</w:t>
      </w:r>
    </w:p>
    <w:p w14:paraId="6509094E" w14:textId="77777777" w:rsidR="00BB32CA" w:rsidRDefault="00BB32CA" w:rsidP="0043031B">
      <w:pPr>
        <w:jc w:val="both"/>
        <w:rPr>
          <w:rFonts w:eastAsia="Calibri"/>
          <w:iCs/>
          <w:lang w:eastAsia="de-DE" w:bidi="de-DE"/>
        </w:rPr>
      </w:pPr>
    </w:p>
    <w:p w14:paraId="51EE3836" w14:textId="77777777" w:rsidR="00BB32CA" w:rsidRDefault="00BB32CA" w:rsidP="0043031B">
      <w:pPr>
        <w:jc w:val="both"/>
        <w:rPr>
          <w:rFonts w:eastAsia="Calibri"/>
          <w:iCs/>
          <w:lang w:eastAsia="de-DE" w:bidi="de-DE"/>
        </w:rPr>
      </w:pPr>
    </w:p>
    <w:p w14:paraId="0B5D2299" w14:textId="1A6CB445" w:rsidR="00BB32CA" w:rsidRDefault="00BB32CA" w:rsidP="0043031B">
      <w:pPr>
        <w:jc w:val="both"/>
      </w:pPr>
      <w:r>
        <w:rPr>
          <w:rFonts w:eastAsia="Calibri"/>
          <w:iCs/>
          <w:lang w:eastAsia="de-DE" w:bidi="de-DE"/>
        </w:rPr>
        <w:tab/>
        <w:t>[</w:t>
      </w:r>
      <w:r w:rsidRPr="00BB32CA">
        <w:rPr>
          <w:b/>
          <w:bCs/>
        </w:rPr>
        <w:t>Art. 19/2</w:t>
      </w:r>
      <w:r w:rsidRPr="00A064E4">
        <w:t> - In Ausführung von Artikel 38 § 5/1 Absatz 1 des Einkommensteuer</w:t>
      </w:r>
      <w:r w:rsidRPr="00A064E4">
        <w:softHyphen/>
        <w:t xml:space="preserve">gesetzbuches 1992 wird die in Artikel 38 § 1 Absatz 1 Nr. 29 des vorerwähnten Gesetzbuches erwähnte Steuerbefreiung auf Entlohnungen für Leistungen anwendbar gemacht, die von Arbeitnehmern erbracht werden, die aufgrund </w:t>
      </w:r>
      <w:r>
        <w:t>[der</w:t>
      </w:r>
      <w:r w:rsidRPr="00A064E4">
        <w:t xml:space="preserve"> Artikel </w:t>
      </w:r>
      <w:r w:rsidR="00891B3D">
        <w:t>1/1 bis</w:t>
      </w:r>
      <w:r>
        <w:t xml:space="preserve"> 2/1]</w:t>
      </w:r>
      <w:r w:rsidRPr="00A064E4">
        <w:t xml:space="preserve"> des Königlichen Erlasses vom 18. April 2024 zur Ausführung von Artikel 2 §§ 1 und 2 des Gesetzes vom 16. November 2015 zur Festlegung verschiedener Bestimmungen im Bereich Soziales in Bezug auf den Anwendungsbereich von Flexi-Jobs in den Anwendungsbereich der Flexi-Job-Regelung fallen.</w:t>
      </w:r>
      <w:r>
        <w:t>]</w:t>
      </w:r>
    </w:p>
    <w:p w14:paraId="1685E7D4" w14:textId="77777777" w:rsidR="00BB32CA" w:rsidRDefault="00BB32CA" w:rsidP="0043031B">
      <w:pPr>
        <w:jc w:val="both"/>
      </w:pPr>
    </w:p>
    <w:p w14:paraId="286BF221" w14:textId="55530260" w:rsidR="00BB32CA" w:rsidRDefault="00BB32CA" w:rsidP="0043031B">
      <w:pPr>
        <w:jc w:val="both"/>
        <w:rPr>
          <w:rFonts w:eastAsia="Calibri"/>
          <w:iCs/>
          <w:lang w:eastAsia="de-DE" w:bidi="de-DE"/>
        </w:rPr>
      </w:pPr>
      <w:r>
        <w:rPr>
          <w:i/>
          <w:iCs/>
        </w:rPr>
        <w:t>[Art. 19/2 eingefügt durch Art. 1 des K.E. vom 25. Juli 2024 (B.S. vom 1. August 2024) und abgeändert durch Art. 2 des K.E. vom 25. Juli 2024 (B.S. vom 1. August 2024)</w:t>
      </w:r>
      <w:r w:rsidR="00891B3D">
        <w:rPr>
          <w:i/>
          <w:iCs/>
        </w:rPr>
        <w:t xml:space="preserve"> und Art. 1</w:t>
      </w:r>
      <w:r w:rsidR="00891B3D" w:rsidRPr="00891B3D">
        <w:rPr>
          <w:i/>
          <w:iCs/>
        </w:rPr>
        <w:t xml:space="preserve"> des K.E. vom 25. Juli 2024 (B.S. vom </w:t>
      </w:r>
      <w:r w:rsidR="00891B3D">
        <w:rPr>
          <w:i/>
          <w:iCs/>
        </w:rPr>
        <w:t>2</w:t>
      </w:r>
      <w:r w:rsidR="00891B3D" w:rsidRPr="00891B3D">
        <w:rPr>
          <w:i/>
          <w:iCs/>
        </w:rPr>
        <w:t>. August 2024)</w:t>
      </w:r>
      <w:r>
        <w:rPr>
          <w:i/>
          <w:iCs/>
        </w:rPr>
        <w:t>]</w:t>
      </w:r>
    </w:p>
    <w:p w14:paraId="514DB49A" w14:textId="77777777" w:rsidR="0043031B" w:rsidRPr="0043031B" w:rsidRDefault="0043031B" w:rsidP="0043031B">
      <w:pPr>
        <w:jc w:val="both"/>
        <w:rPr>
          <w:rFonts w:eastAsia="Calibri"/>
          <w:iCs/>
          <w:lang w:eastAsia="de-DE" w:bidi="de-DE"/>
        </w:rPr>
      </w:pPr>
    </w:p>
    <w:p w14:paraId="2B5B4F67" w14:textId="77777777" w:rsidR="006E0DCC" w:rsidRDefault="006E0DCC" w:rsidP="006E0DCC">
      <w:pPr>
        <w:jc w:val="both"/>
        <w:rPr>
          <w:rFonts w:eastAsia="Calibri"/>
          <w:lang w:eastAsia="de-DE" w:bidi="de-DE"/>
        </w:rPr>
      </w:pPr>
    </w:p>
    <w:p w14:paraId="6901F5A9" w14:textId="77777777" w:rsidR="005A5BD5" w:rsidRPr="002616E4" w:rsidRDefault="005A5BD5" w:rsidP="004C2C7D">
      <w:pPr>
        <w:jc w:val="center"/>
        <w:rPr>
          <w:lang w:eastAsia="de-DE" w:bidi="de-DE"/>
        </w:rPr>
      </w:pPr>
      <w:r w:rsidRPr="002616E4">
        <w:rPr>
          <w:rFonts w:eastAsia="Calibri"/>
          <w:lang w:eastAsia="de-DE" w:bidi="de-DE"/>
        </w:rPr>
        <w:t>[</w:t>
      </w:r>
      <w:r w:rsidRPr="002616E4">
        <w:rPr>
          <w:rFonts w:eastAsia="Calibri"/>
          <w:i/>
          <w:lang w:eastAsia="de-DE" w:bidi="de-DE"/>
        </w:rPr>
        <w:t>Abschnitt 8bis</w:t>
      </w:r>
      <w:r w:rsidRPr="002616E4">
        <w:rPr>
          <w:rFonts w:eastAsia="Calibri"/>
          <w:lang w:eastAsia="de-DE" w:bidi="de-DE"/>
        </w:rPr>
        <w:t> - Steuerbefreiung von Mehrwerten, die auf bestimmte Betriebsfahrzeuge verwirklicht werden</w:t>
      </w:r>
    </w:p>
    <w:p w14:paraId="0B3A4D08" w14:textId="77777777" w:rsidR="005A5BD5" w:rsidRPr="002616E4" w:rsidRDefault="005A5BD5" w:rsidP="004C2C7D">
      <w:pPr>
        <w:jc w:val="both"/>
        <w:rPr>
          <w:lang w:eastAsia="fr-BE" w:bidi="de-DE"/>
        </w:rPr>
      </w:pPr>
    </w:p>
    <w:p w14:paraId="56A9F051" w14:textId="77777777" w:rsidR="005A5BD5" w:rsidRPr="002616E4" w:rsidRDefault="005A5BD5" w:rsidP="004C2C7D">
      <w:pPr>
        <w:jc w:val="both"/>
        <w:rPr>
          <w:i/>
          <w:lang w:eastAsia="de-DE" w:bidi="de-DE"/>
        </w:rPr>
      </w:pPr>
      <w:r w:rsidRPr="002616E4">
        <w:rPr>
          <w:rFonts w:eastAsia="Calibri"/>
          <w:i/>
          <w:lang w:eastAsia="de-DE" w:bidi="de-DE"/>
        </w:rPr>
        <w:t>[Abschnitt 8bis mit neuem Artikel 20 eingefügt durch Art. 1 des K.E. vom 3. April 2003 (II) (B.S. vom 30. April 2003)]</w:t>
      </w:r>
    </w:p>
    <w:p w14:paraId="5075270C" w14:textId="77777777" w:rsidR="005A5BD5" w:rsidRPr="002616E4" w:rsidRDefault="005A5BD5" w:rsidP="004C2C7D">
      <w:pPr>
        <w:jc w:val="both"/>
        <w:rPr>
          <w:lang w:eastAsia="fr-BE" w:bidi="de-DE"/>
        </w:rPr>
      </w:pPr>
    </w:p>
    <w:p w14:paraId="3967C61C" w14:textId="77777777" w:rsidR="005A5BD5" w:rsidRPr="002616E4" w:rsidRDefault="005A5BD5" w:rsidP="004C2C7D">
      <w:pPr>
        <w:jc w:val="both"/>
        <w:rPr>
          <w:lang w:eastAsia="fr-BE" w:bidi="de-DE"/>
        </w:rPr>
      </w:pPr>
    </w:p>
    <w:p w14:paraId="5D27F657"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b/>
          <w:lang w:eastAsia="de-DE" w:bidi="de-DE"/>
        </w:rPr>
        <w:t>Art. 20</w:t>
      </w:r>
      <w:r w:rsidRPr="002616E4">
        <w:rPr>
          <w:rFonts w:eastAsia="Calibri"/>
          <w:szCs w:val="22"/>
          <w:lang w:eastAsia="de-DE" w:bidi="de-DE"/>
        </w:rPr>
        <w:t> -</w:t>
      </w:r>
      <w:r w:rsidRPr="002616E4">
        <w:rPr>
          <w:rFonts w:eastAsia="Calibri"/>
          <w:lang w:eastAsia="de-DE" w:bidi="de-DE"/>
        </w:rPr>
        <w:t xml:space="preserve"> § 1 - Damit Mehrwerte, die auf die in Artikel 44</w:t>
      </w:r>
      <w:r w:rsidRPr="002616E4">
        <w:rPr>
          <w:rFonts w:eastAsia="Calibri"/>
          <w:i/>
          <w:lang w:eastAsia="de-DE" w:bidi="de-DE"/>
        </w:rPr>
        <w:t>bis</w:t>
      </w:r>
      <w:r w:rsidRPr="002616E4">
        <w:rPr>
          <w:rFonts w:eastAsia="Calibri"/>
          <w:lang w:eastAsia="de-DE" w:bidi="de-DE"/>
        </w:rPr>
        <w:t xml:space="preserve"> des Einkommensteuer</w:t>
      </w:r>
      <w:r w:rsidRPr="002616E4">
        <w:rPr>
          <w:rFonts w:eastAsia="Calibri"/>
          <w:lang w:eastAsia="de-DE" w:bidi="de-DE"/>
        </w:rPr>
        <w:softHyphen/>
        <w:t xml:space="preserve">gesetzbuches 1992 erwähnten Betriebsfahrzeuge verwirklicht werden, gemäß diesem Artikel von der Steuer befreit werden können, müssen als Wiederanlage erworbene Betriebsfahrzeuge folgenden Umweltnormen entsprechen: </w:t>
      </w:r>
    </w:p>
    <w:p w14:paraId="61223D19" w14:textId="77777777" w:rsidR="005A5BD5" w:rsidRPr="002616E4" w:rsidRDefault="005A5BD5" w:rsidP="004C2C7D">
      <w:pPr>
        <w:jc w:val="both"/>
        <w:rPr>
          <w:lang w:eastAsia="fr-BE" w:bidi="de-DE"/>
        </w:rPr>
      </w:pPr>
    </w:p>
    <w:p w14:paraId="798ECB95"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1. Anhänger und Sattelauflieger mit einem zulässigen Höchstgewicht von mindestens vier Tonnen, die zum Güterverkehr genutzt werden, müssen im Neuzustand erworben werden und mit Luftfederung beziehungsweise einer als gleichwertig anerkannten Federung ausgestattet sein.</w:t>
      </w:r>
    </w:p>
    <w:p w14:paraId="76251BB8" w14:textId="77777777" w:rsidR="005A5BD5" w:rsidRPr="002616E4" w:rsidRDefault="005A5BD5" w:rsidP="004C2C7D">
      <w:pPr>
        <w:jc w:val="both"/>
        <w:rPr>
          <w:lang w:eastAsia="fr-BE" w:bidi="de-DE"/>
        </w:rPr>
      </w:pPr>
    </w:p>
    <w:p w14:paraId="08A56725"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2. Ausschließlich von Linien- oder Reisebussen gezogene Anhänger mit einem zulässigen Höchstgewicht von mehr als 750 kg müssen im Neuzustand erworben werden.</w:t>
      </w:r>
    </w:p>
    <w:p w14:paraId="4C72AF50" w14:textId="77777777" w:rsidR="005A5BD5" w:rsidRPr="002616E4" w:rsidRDefault="005A5BD5" w:rsidP="004C2C7D">
      <w:pPr>
        <w:jc w:val="both"/>
        <w:rPr>
          <w:lang w:eastAsia="fr-BE" w:bidi="de-DE"/>
        </w:rPr>
      </w:pPr>
    </w:p>
    <w:p w14:paraId="66BC64BB" w14:textId="27FB7C21"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3. Zugmaschinen und Lastkraftwagen, die zum Güterverkehr genutzt werden, und Linien- und Reisebusse, die zum gewerblichen Personenverkehr genutzt werden, müssen im Neuzustand erworben werden oder dürfen zum Zeitpunkt des Erwerbs nicht mehr als drei Jahre zuvor in Betrieb genommen worden sein und müssen eine der folgenden alternativen Bedingungen erfüllen:</w:t>
      </w:r>
    </w:p>
    <w:p w14:paraId="64713D83" w14:textId="77777777" w:rsidR="005A5BD5" w:rsidRPr="002616E4" w:rsidRDefault="005A5BD5" w:rsidP="004C2C7D">
      <w:pPr>
        <w:jc w:val="both"/>
        <w:rPr>
          <w:lang w:eastAsia="fr-BE" w:bidi="de-DE"/>
        </w:rPr>
      </w:pPr>
    </w:p>
    <w:p w14:paraId="6751B3C9" w14:textId="77777777" w:rsidR="005A5BD5" w:rsidRPr="002616E4" w:rsidRDefault="005A5BD5" w:rsidP="004C2C7D">
      <w:pPr>
        <w:jc w:val="both"/>
        <w:rPr>
          <w:lang w:eastAsia="de-DE" w:bidi="de-DE"/>
        </w:rPr>
      </w:pPr>
      <w:r w:rsidRPr="002616E4">
        <w:rPr>
          <w:rFonts w:eastAsia="Calibri"/>
          <w:szCs w:val="22"/>
          <w:lang w:eastAsia="de-DE" w:bidi="de-DE"/>
        </w:rPr>
        <w:tab/>
      </w:r>
      <w:r w:rsidRPr="008C4E20">
        <w:rPr>
          <w:rFonts w:eastAsia="Calibri"/>
          <w:i/>
          <w:lang w:eastAsia="de-DE" w:bidi="de-DE"/>
        </w:rPr>
        <w:t>a)</w:t>
      </w:r>
      <w:r w:rsidRPr="002616E4">
        <w:rPr>
          <w:rFonts w:eastAsia="Calibri"/>
          <w:lang w:eastAsia="de-DE" w:bidi="de-DE"/>
        </w:rPr>
        <w:t xml:space="preserve"> Die Stickoxid-Emission (N</w:t>
      </w:r>
      <w:r w:rsidR="009251F9" w:rsidRPr="002616E4">
        <w:rPr>
          <w:rFonts w:eastAsia="Calibri"/>
          <w:lang w:eastAsia="de-DE" w:bidi="de-DE"/>
        </w:rPr>
        <w:t>o</w:t>
      </w:r>
      <w:r w:rsidRPr="002616E4">
        <w:rPr>
          <w:rFonts w:eastAsia="Calibri"/>
          <w:lang w:eastAsia="de-DE" w:bidi="de-DE"/>
        </w:rPr>
        <w:t>x-Norm) liegt unter 4,9 gr/kWh.</w:t>
      </w:r>
    </w:p>
    <w:p w14:paraId="446B271F" w14:textId="77777777" w:rsidR="005A5BD5" w:rsidRPr="002616E4" w:rsidRDefault="005A5BD5" w:rsidP="004C2C7D">
      <w:pPr>
        <w:jc w:val="both"/>
        <w:rPr>
          <w:lang w:eastAsia="fr-BE" w:bidi="de-DE"/>
        </w:rPr>
      </w:pPr>
    </w:p>
    <w:p w14:paraId="5DC8A8D3" w14:textId="77777777" w:rsidR="005A5BD5" w:rsidRPr="002616E4" w:rsidRDefault="005A5BD5" w:rsidP="004C2C7D">
      <w:pPr>
        <w:jc w:val="both"/>
        <w:rPr>
          <w:lang w:eastAsia="de-DE" w:bidi="de-DE"/>
        </w:rPr>
      </w:pPr>
      <w:r w:rsidRPr="002616E4">
        <w:rPr>
          <w:rFonts w:eastAsia="Calibri"/>
          <w:szCs w:val="22"/>
          <w:lang w:eastAsia="de-DE" w:bidi="de-DE"/>
        </w:rPr>
        <w:tab/>
      </w:r>
      <w:r w:rsidRPr="008C4E20">
        <w:rPr>
          <w:rFonts w:eastAsia="Calibri"/>
          <w:i/>
          <w:lang w:eastAsia="de-DE" w:bidi="de-DE"/>
        </w:rPr>
        <w:t>b)</w:t>
      </w:r>
      <w:r w:rsidRPr="002616E4">
        <w:rPr>
          <w:rFonts w:eastAsia="Calibri"/>
          <w:lang w:eastAsia="de-DE" w:bidi="de-DE"/>
        </w:rPr>
        <w:t xml:space="preserve"> Das Fahrzeug ist mit Luftfederung beziehungsweise einer als gleichwertig anerkannten Federung ausgestattet.</w:t>
      </w:r>
    </w:p>
    <w:p w14:paraId="76019B50" w14:textId="77777777" w:rsidR="005A5BD5" w:rsidRPr="002616E4" w:rsidRDefault="005A5BD5" w:rsidP="004C2C7D">
      <w:pPr>
        <w:jc w:val="both"/>
        <w:rPr>
          <w:lang w:eastAsia="fr-BE" w:bidi="de-DE"/>
        </w:rPr>
      </w:pPr>
    </w:p>
    <w:p w14:paraId="36B04526" w14:textId="77777777" w:rsidR="005A5BD5" w:rsidRPr="002616E4" w:rsidRDefault="005A5BD5" w:rsidP="004C2C7D">
      <w:pPr>
        <w:jc w:val="both"/>
        <w:rPr>
          <w:lang w:eastAsia="de-DE" w:bidi="de-DE"/>
        </w:rPr>
      </w:pPr>
      <w:r w:rsidRPr="002616E4">
        <w:rPr>
          <w:rFonts w:eastAsia="Calibri"/>
          <w:szCs w:val="22"/>
          <w:lang w:eastAsia="de-DE" w:bidi="de-DE"/>
        </w:rPr>
        <w:tab/>
      </w:r>
      <w:r w:rsidRPr="008C4E20">
        <w:rPr>
          <w:rFonts w:eastAsia="Calibri"/>
          <w:i/>
          <w:lang w:eastAsia="de-DE" w:bidi="de-DE"/>
        </w:rPr>
        <w:t>c)</w:t>
      </w:r>
      <w:r w:rsidRPr="002616E4">
        <w:rPr>
          <w:rFonts w:eastAsia="Calibri"/>
          <w:lang w:eastAsia="de-DE" w:bidi="de-DE"/>
        </w:rPr>
        <w:t xml:space="preserve"> Das Fahrzeug besteht zu mindestens 25 Prozent aus recycelbaren Materialien. </w:t>
      </w:r>
    </w:p>
    <w:p w14:paraId="23598AAA" w14:textId="77777777" w:rsidR="005A5BD5" w:rsidRPr="002616E4" w:rsidRDefault="005A5BD5" w:rsidP="004C2C7D">
      <w:pPr>
        <w:jc w:val="both"/>
        <w:rPr>
          <w:lang w:eastAsia="fr-BE" w:bidi="de-DE"/>
        </w:rPr>
      </w:pPr>
    </w:p>
    <w:p w14:paraId="3D2956A7" w14:textId="77777777" w:rsidR="005A5BD5" w:rsidRPr="002616E4" w:rsidRDefault="005A5BD5" w:rsidP="004C2C7D">
      <w:pPr>
        <w:jc w:val="both"/>
        <w:rPr>
          <w:lang w:eastAsia="de-DE" w:bidi="de-DE"/>
        </w:rPr>
      </w:pPr>
      <w:r w:rsidRPr="002616E4">
        <w:rPr>
          <w:rFonts w:eastAsia="Calibri"/>
          <w:szCs w:val="22"/>
          <w:lang w:eastAsia="de-DE" w:bidi="de-DE"/>
        </w:rPr>
        <w:tab/>
      </w:r>
      <w:r w:rsidRPr="008C4E20">
        <w:rPr>
          <w:rFonts w:eastAsia="Calibri"/>
          <w:i/>
          <w:lang w:eastAsia="de-DE" w:bidi="de-DE"/>
        </w:rPr>
        <w:t>d)</w:t>
      </w:r>
      <w:r w:rsidRPr="002616E4">
        <w:rPr>
          <w:rFonts w:eastAsia="Calibri"/>
          <w:lang w:eastAsia="de-DE" w:bidi="de-DE"/>
        </w:rPr>
        <w:t xml:space="preserve"> Die Karosserie des Fahrzeugs ist mit einer ökologisch unbedenklichen Lackschicht überzogen.</w:t>
      </w:r>
    </w:p>
    <w:p w14:paraId="75EE15AA" w14:textId="77777777" w:rsidR="005A5BD5" w:rsidRPr="002616E4" w:rsidRDefault="005A5BD5" w:rsidP="004C2C7D">
      <w:pPr>
        <w:jc w:val="both"/>
        <w:rPr>
          <w:lang w:eastAsia="fr-BE" w:bidi="de-DE"/>
        </w:rPr>
      </w:pPr>
    </w:p>
    <w:p w14:paraId="49C20229" w14:textId="77777777" w:rsidR="005A5BD5" w:rsidRPr="002616E4" w:rsidRDefault="005A5BD5" w:rsidP="004C2C7D">
      <w:pPr>
        <w:jc w:val="both"/>
        <w:rPr>
          <w:lang w:eastAsia="de-DE" w:bidi="de-DE"/>
        </w:rPr>
      </w:pPr>
      <w:r w:rsidRPr="002616E4">
        <w:rPr>
          <w:rFonts w:eastAsia="Calibri"/>
          <w:szCs w:val="22"/>
          <w:lang w:eastAsia="de-DE" w:bidi="de-DE"/>
        </w:rPr>
        <w:tab/>
      </w:r>
      <w:r w:rsidRPr="008C4E20">
        <w:rPr>
          <w:rFonts w:eastAsia="Calibri"/>
          <w:i/>
          <w:lang w:eastAsia="de-DE" w:bidi="de-DE"/>
        </w:rPr>
        <w:t>e)</w:t>
      </w:r>
      <w:r w:rsidRPr="002616E4">
        <w:rPr>
          <w:rFonts w:eastAsia="Calibri"/>
          <w:lang w:eastAsia="de-DE" w:bidi="de-DE"/>
        </w:rPr>
        <w:t xml:space="preserve"> Das Fahrzeug ist mit einem elektronisch gesteuerten Schaltgetriebe ausgestattet. </w:t>
      </w:r>
    </w:p>
    <w:p w14:paraId="32D9ABD9" w14:textId="77777777" w:rsidR="005A5BD5" w:rsidRPr="002616E4" w:rsidRDefault="005A5BD5" w:rsidP="004C2C7D">
      <w:pPr>
        <w:jc w:val="both"/>
        <w:rPr>
          <w:lang w:eastAsia="fr-BE" w:bidi="de-DE"/>
        </w:rPr>
      </w:pPr>
    </w:p>
    <w:p w14:paraId="63A26C36" w14:textId="77777777" w:rsidR="005A5BD5" w:rsidRPr="002616E4" w:rsidRDefault="005A5BD5" w:rsidP="004C2C7D">
      <w:pPr>
        <w:jc w:val="both"/>
        <w:rPr>
          <w:lang w:eastAsia="de-DE" w:bidi="de-DE"/>
        </w:rPr>
      </w:pPr>
      <w:r w:rsidRPr="002616E4">
        <w:rPr>
          <w:rFonts w:eastAsia="Calibri"/>
          <w:szCs w:val="22"/>
          <w:lang w:eastAsia="de-DE" w:bidi="de-DE"/>
        </w:rPr>
        <w:tab/>
      </w:r>
      <w:r w:rsidRPr="008C4E20">
        <w:rPr>
          <w:rFonts w:eastAsia="Calibri"/>
          <w:i/>
          <w:lang w:eastAsia="de-DE" w:bidi="de-DE"/>
        </w:rPr>
        <w:t>f)</w:t>
      </w:r>
      <w:r w:rsidRPr="002616E4">
        <w:rPr>
          <w:rFonts w:eastAsia="Calibri"/>
          <w:lang w:eastAsia="de-DE" w:bidi="de-DE"/>
        </w:rPr>
        <w:t xml:space="preserve"> Das Fahrzeug ist mit einem Toter-Winkel-Spiegel oder einer Kamera- beziehungsweise Radarüberwachung zur Erweiterung des Sichtfelds des Fahrers ausgestattet.</w:t>
      </w:r>
    </w:p>
    <w:p w14:paraId="691E3F49" w14:textId="77777777" w:rsidR="005A5BD5" w:rsidRPr="002616E4" w:rsidRDefault="005A5BD5" w:rsidP="004C2C7D">
      <w:pPr>
        <w:jc w:val="both"/>
        <w:rPr>
          <w:lang w:eastAsia="fr-BE" w:bidi="de-DE"/>
        </w:rPr>
      </w:pPr>
    </w:p>
    <w:p w14:paraId="486ED465" w14:textId="77777777" w:rsidR="005A5BD5" w:rsidRPr="002616E4" w:rsidRDefault="005A5BD5" w:rsidP="004C2C7D">
      <w:pPr>
        <w:jc w:val="both"/>
        <w:rPr>
          <w:lang w:eastAsia="de-DE" w:bidi="de-DE"/>
        </w:rPr>
      </w:pPr>
      <w:r w:rsidRPr="002616E4">
        <w:rPr>
          <w:rFonts w:eastAsia="Calibri"/>
          <w:szCs w:val="22"/>
          <w:lang w:eastAsia="de-DE" w:bidi="de-DE"/>
        </w:rPr>
        <w:tab/>
      </w:r>
      <w:r w:rsidRPr="008C4E20">
        <w:rPr>
          <w:rFonts w:eastAsia="Calibri"/>
          <w:i/>
          <w:lang w:eastAsia="de-DE" w:bidi="de-DE"/>
        </w:rPr>
        <w:t>g)</w:t>
      </w:r>
      <w:r w:rsidRPr="002616E4">
        <w:rPr>
          <w:rFonts w:eastAsia="Calibri"/>
          <w:lang w:eastAsia="de-DE" w:bidi="de-DE"/>
        </w:rPr>
        <w:t xml:space="preserve"> Alle Sitze in Reise- beziehungsweise Linienbussen sind mit Sicherheitsgurten ausgestattet. </w:t>
      </w:r>
    </w:p>
    <w:p w14:paraId="5ED710B7" w14:textId="77777777" w:rsidR="005A5BD5" w:rsidRPr="002616E4" w:rsidRDefault="005A5BD5" w:rsidP="004C2C7D">
      <w:pPr>
        <w:jc w:val="both"/>
        <w:rPr>
          <w:lang w:eastAsia="fr-BE" w:bidi="de-DE"/>
        </w:rPr>
      </w:pPr>
    </w:p>
    <w:p w14:paraId="7BA91724"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xml:space="preserve">4. Kraftfahrzeuge, die für einen Taxidienst oder die Vermietung mit Fahrer genutzt werden, müssen im Neuzustand erworben werden. </w:t>
      </w:r>
    </w:p>
    <w:p w14:paraId="20E9B80A" w14:textId="77777777" w:rsidR="005A5BD5" w:rsidRPr="002616E4" w:rsidRDefault="005A5BD5" w:rsidP="004C2C7D">
      <w:pPr>
        <w:jc w:val="both"/>
        <w:rPr>
          <w:lang w:eastAsia="fr-BE" w:bidi="de-DE"/>
        </w:rPr>
      </w:pPr>
    </w:p>
    <w:p w14:paraId="41462A21" w14:textId="77777777" w:rsidR="005A5BD5" w:rsidRDefault="005A5BD5" w:rsidP="004C2C7D">
      <w:pPr>
        <w:jc w:val="both"/>
        <w:rPr>
          <w:rFonts w:eastAsia="Calibri"/>
          <w:lang w:eastAsia="de-DE" w:bidi="de-DE"/>
        </w:rPr>
      </w:pPr>
      <w:r w:rsidRPr="002616E4">
        <w:rPr>
          <w:rFonts w:eastAsia="Calibri"/>
          <w:szCs w:val="22"/>
          <w:lang w:eastAsia="de-DE" w:bidi="de-DE"/>
        </w:rPr>
        <w:tab/>
      </w:r>
      <w:r w:rsidRPr="002616E4">
        <w:rPr>
          <w:rFonts w:eastAsia="Calibri"/>
          <w:lang w:eastAsia="de-DE" w:bidi="de-DE"/>
        </w:rPr>
        <w:t>§ 2 - Sobald eine der in § 1 Nr. 3 erwähnten alternativen Bedingungen zur verbindlichen Norm wird, muss das Fahrzeug mindestens eine der übrigen alternativen Bedingungen erfüllen, um als gültige Wiederanlage berücks</w:t>
      </w:r>
      <w:r>
        <w:rPr>
          <w:rFonts w:eastAsia="Calibri"/>
          <w:lang w:eastAsia="de-DE" w:bidi="de-DE"/>
        </w:rPr>
        <w:t>ichtigt werden zu können.</w:t>
      </w:r>
    </w:p>
    <w:p w14:paraId="3BCB0D4E" w14:textId="77777777" w:rsidR="0094417E" w:rsidRDefault="0094417E" w:rsidP="004C2C7D">
      <w:pPr>
        <w:jc w:val="both"/>
        <w:rPr>
          <w:rFonts w:eastAsia="Calibri"/>
          <w:szCs w:val="22"/>
          <w:lang w:eastAsia="de-DE" w:bidi="de-DE"/>
        </w:rPr>
      </w:pPr>
    </w:p>
    <w:p w14:paraId="77CA3097"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3 - Die Erfüllung der in § 1 erwähnten Umweltnormen muss anhand von Belegen nachgewiesen werden, die vom Hersteller, Importeur oder Ausrüster ausgestellt werden.]</w:t>
      </w:r>
    </w:p>
    <w:p w14:paraId="22B70718" w14:textId="77777777" w:rsidR="005A5BD5" w:rsidRPr="002616E4" w:rsidRDefault="005A5BD5" w:rsidP="004C2C7D">
      <w:pPr>
        <w:jc w:val="both"/>
        <w:rPr>
          <w:lang w:eastAsia="fr-BE" w:bidi="de-DE"/>
        </w:rPr>
      </w:pPr>
    </w:p>
    <w:p w14:paraId="364DB6D2" w14:textId="2D165FA6" w:rsidR="00A34B45" w:rsidRDefault="00A34B45">
      <w:pPr>
        <w:rPr>
          <w:rFonts w:eastAsia="Calibri"/>
          <w:lang w:eastAsia="de-DE" w:bidi="de-DE"/>
        </w:rPr>
      </w:pPr>
    </w:p>
    <w:p w14:paraId="79CAC0EE" w14:textId="7DD02CA5" w:rsidR="005A5BD5" w:rsidRPr="002616E4" w:rsidRDefault="005A5BD5" w:rsidP="004C2C7D">
      <w:pPr>
        <w:jc w:val="center"/>
        <w:rPr>
          <w:lang w:eastAsia="de-DE" w:bidi="de-DE"/>
        </w:rPr>
      </w:pPr>
      <w:r w:rsidRPr="002616E4">
        <w:rPr>
          <w:rFonts w:eastAsia="Calibri"/>
          <w:lang w:eastAsia="de-DE" w:bidi="de-DE"/>
        </w:rPr>
        <w:t>[</w:t>
      </w:r>
      <w:r w:rsidRPr="00633455">
        <w:rPr>
          <w:rFonts w:eastAsia="Calibri"/>
          <w:i/>
          <w:lang w:eastAsia="de-DE" w:bidi="de-DE"/>
        </w:rPr>
        <w:t>Abschnitt 8</w:t>
      </w:r>
      <w:r w:rsidRPr="002616E4">
        <w:rPr>
          <w:rFonts w:eastAsia="Calibri"/>
          <w:i/>
          <w:lang w:eastAsia="de-DE" w:bidi="de-DE"/>
        </w:rPr>
        <w:t>ter</w:t>
      </w:r>
      <w:r w:rsidRPr="002616E4">
        <w:rPr>
          <w:rFonts w:eastAsia="Calibri"/>
          <w:lang w:eastAsia="de-DE" w:bidi="de-DE"/>
        </w:rPr>
        <w:t> - Steuerbefreiung von Mehrwerten, die auf bestimmte Binnenschiffe verwirklicht werden</w:t>
      </w:r>
    </w:p>
    <w:p w14:paraId="725871B4" w14:textId="77777777" w:rsidR="005A5BD5" w:rsidRPr="002616E4" w:rsidRDefault="005A5BD5" w:rsidP="004C2C7D">
      <w:pPr>
        <w:jc w:val="center"/>
        <w:rPr>
          <w:lang w:eastAsia="fr-BE" w:bidi="de-DE"/>
        </w:rPr>
      </w:pPr>
    </w:p>
    <w:p w14:paraId="460F0159" w14:textId="77777777" w:rsidR="005A5BD5" w:rsidRPr="002616E4" w:rsidRDefault="005A5BD5" w:rsidP="004C2C7D">
      <w:pPr>
        <w:jc w:val="center"/>
        <w:rPr>
          <w:lang w:eastAsia="de-DE" w:bidi="de-DE"/>
        </w:rPr>
      </w:pPr>
      <w:r w:rsidRPr="002616E4">
        <w:rPr>
          <w:rFonts w:eastAsia="Calibri"/>
          <w:lang w:eastAsia="de-DE" w:bidi="de-DE"/>
        </w:rPr>
        <w:t>(Einkommensteuergesetzbuch 1992, Artikel 44</w:t>
      </w:r>
      <w:r w:rsidRPr="002616E4">
        <w:rPr>
          <w:rFonts w:eastAsia="Calibri"/>
          <w:i/>
          <w:lang w:eastAsia="de-DE" w:bidi="de-DE"/>
        </w:rPr>
        <w:t>ter</w:t>
      </w:r>
      <w:r w:rsidRPr="002616E4">
        <w:rPr>
          <w:rFonts w:eastAsia="Calibri"/>
          <w:lang w:eastAsia="de-DE" w:bidi="de-DE"/>
        </w:rPr>
        <w:t xml:space="preserve"> § 2 Nr. 1)</w:t>
      </w:r>
    </w:p>
    <w:p w14:paraId="48B39005" w14:textId="77777777" w:rsidR="005A5BD5" w:rsidRPr="002616E4" w:rsidRDefault="005A5BD5" w:rsidP="004C2C7D">
      <w:pPr>
        <w:jc w:val="both"/>
        <w:rPr>
          <w:lang w:eastAsia="fr-BE" w:bidi="de-DE"/>
        </w:rPr>
      </w:pPr>
    </w:p>
    <w:p w14:paraId="2BA8DDBE" w14:textId="77777777" w:rsidR="005A5BD5" w:rsidRPr="002616E4" w:rsidRDefault="005A5BD5" w:rsidP="004C2C7D">
      <w:pPr>
        <w:jc w:val="both"/>
        <w:rPr>
          <w:i/>
          <w:lang w:eastAsia="de-DE" w:bidi="de-DE"/>
        </w:rPr>
      </w:pPr>
      <w:r w:rsidRPr="002616E4">
        <w:rPr>
          <w:rFonts w:eastAsia="Calibri"/>
          <w:i/>
          <w:lang w:eastAsia="de-DE" w:bidi="de-DE"/>
        </w:rPr>
        <w:t>[Abschnitt 8ter mit neuem Artikel 21 eingefügt durch Art. 1 des K.E. vom 11. Mai 2007 (B.S. vom 24. Mai 2007)]</w:t>
      </w:r>
    </w:p>
    <w:p w14:paraId="084F9845" w14:textId="77777777" w:rsidR="005A5BD5" w:rsidRPr="002616E4" w:rsidRDefault="005A5BD5" w:rsidP="004C2C7D">
      <w:pPr>
        <w:jc w:val="both"/>
        <w:rPr>
          <w:lang w:eastAsia="fr-BE" w:bidi="de-DE"/>
        </w:rPr>
      </w:pPr>
    </w:p>
    <w:p w14:paraId="70914529" w14:textId="77777777" w:rsidR="005A5BD5" w:rsidRPr="002616E4" w:rsidRDefault="005A5BD5" w:rsidP="004C2C7D">
      <w:pPr>
        <w:jc w:val="both"/>
        <w:rPr>
          <w:lang w:eastAsia="fr-BE" w:bidi="de-DE"/>
        </w:rPr>
      </w:pPr>
    </w:p>
    <w:p w14:paraId="10173BA5"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b/>
          <w:lang w:eastAsia="de-DE" w:bidi="de-DE"/>
        </w:rPr>
        <w:t>Art. 21</w:t>
      </w:r>
      <w:r w:rsidRPr="002616E4">
        <w:rPr>
          <w:rFonts w:eastAsia="Calibri"/>
          <w:szCs w:val="22"/>
          <w:lang w:eastAsia="de-DE" w:bidi="de-DE"/>
        </w:rPr>
        <w:t> -</w:t>
      </w:r>
      <w:r w:rsidRPr="002616E4">
        <w:rPr>
          <w:rFonts w:eastAsia="Calibri"/>
          <w:lang w:eastAsia="de-DE" w:bidi="de-DE"/>
        </w:rPr>
        <w:t xml:space="preserve"> § 1 - Damit Mehrwerte, die auf die in Artikel 44</w:t>
      </w:r>
      <w:r w:rsidRPr="002616E4">
        <w:rPr>
          <w:rFonts w:eastAsia="Calibri"/>
          <w:i/>
          <w:lang w:eastAsia="de-DE" w:bidi="de-DE"/>
        </w:rPr>
        <w:t>ter</w:t>
      </w:r>
      <w:r w:rsidRPr="002616E4">
        <w:rPr>
          <w:rFonts w:eastAsia="Calibri"/>
          <w:lang w:eastAsia="de-DE" w:bidi="de-DE"/>
        </w:rPr>
        <w:t xml:space="preserve"> des Einkommensteuer</w:t>
      </w:r>
      <w:r w:rsidRPr="002616E4">
        <w:rPr>
          <w:rFonts w:eastAsia="Calibri"/>
          <w:lang w:eastAsia="de-DE" w:bidi="de-DE"/>
        </w:rPr>
        <w:softHyphen/>
        <w:t xml:space="preserve">gesetzbuches 1992 erwähnten Binnenschiffe für die kommerzielle Schifffahrt verwirklicht werden, gemäß diesem Artikel von der Steuer befreit werden können, müssen als Wiederanlage erworbene Binnenschiffe für die kommerzielle Schifffahrt einer der folgenden Umweltnormen entsprechen: </w:t>
      </w:r>
    </w:p>
    <w:p w14:paraId="6657E542" w14:textId="77777777" w:rsidR="005A5BD5" w:rsidRPr="002616E4" w:rsidRDefault="005A5BD5" w:rsidP="004C2C7D">
      <w:pPr>
        <w:jc w:val="both"/>
        <w:rPr>
          <w:lang w:eastAsia="fr-BE" w:bidi="de-DE"/>
        </w:rPr>
      </w:pPr>
    </w:p>
    <w:p w14:paraId="5502F748"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1. Das Schiff ist mit einem der Rheinschiffsuntersuchungsordnung oder dem Königlichen Erlass vom 5. Dezember 2004 über die Normen in Bezug auf Emission von gasförmigen Schadstoffen und luftverunreinigenden Partikeln aus Verbrennungsmotoren für mobile Maschinen und Geräte entsprechenden typengenehmigten Antriebsmotor ausgestattet.</w:t>
      </w:r>
    </w:p>
    <w:p w14:paraId="6DD56AFB" w14:textId="77777777" w:rsidR="005A5BD5" w:rsidRPr="002616E4" w:rsidRDefault="005A5BD5" w:rsidP="004C2C7D">
      <w:pPr>
        <w:jc w:val="both"/>
        <w:rPr>
          <w:lang w:eastAsia="fr-BE" w:bidi="de-DE"/>
        </w:rPr>
      </w:pPr>
    </w:p>
    <w:p w14:paraId="2F76199E"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xml:space="preserve">2. Das Schiff ist mit einer vorschriftsmäßigen technischen Einrichtung zur Vorbeugung von Brennstoffaustritt an Bord bei Befüllung der Brennstofftanks ausgestattet. </w:t>
      </w:r>
    </w:p>
    <w:p w14:paraId="60C194BE" w14:textId="77777777" w:rsidR="005A5BD5" w:rsidRPr="002616E4" w:rsidRDefault="005A5BD5" w:rsidP="004C2C7D">
      <w:pPr>
        <w:jc w:val="both"/>
        <w:rPr>
          <w:lang w:eastAsia="fr-BE" w:bidi="de-DE"/>
        </w:rPr>
      </w:pPr>
    </w:p>
    <w:p w14:paraId="7D742EC3"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xml:space="preserve">3. Das Schiff ist mit einer vom Steuerstand aus bedienbaren aktiven Bugsteuerung ausgestattet. </w:t>
      </w:r>
    </w:p>
    <w:p w14:paraId="6D32E4B3" w14:textId="77777777" w:rsidR="005A5BD5" w:rsidRPr="002616E4" w:rsidRDefault="005A5BD5" w:rsidP="004C2C7D">
      <w:pPr>
        <w:jc w:val="both"/>
        <w:rPr>
          <w:lang w:eastAsia="fr-BE" w:bidi="de-DE"/>
        </w:rPr>
      </w:pPr>
    </w:p>
    <w:p w14:paraId="547C9C97" w14:textId="77777777" w:rsidR="005A5BD5" w:rsidRPr="002616E4" w:rsidRDefault="005A5BD5" w:rsidP="004C2C7D">
      <w:pPr>
        <w:jc w:val="both"/>
        <w:rPr>
          <w:lang w:eastAsia="de-DE" w:bidi="de-DE"/>
        </w:rPr>
      </w:pPr>
      <w:r w:rsidRPr="002616E4">
        <w:rPr>
          <w:rFonts w:eastAsia="Calibri"/>
          <w:szCs w:val="22"/>
          <w:lang w:eastAsia="de-DE" w:bidi="de-DE"/>
        </w:rPr>
        <w:lastRenderedPageBreak/>
        <w:tab/>
      </w:r>
      <w:r w:rsidRPr="002616E4">
        <w:rPr>
          <w:rFonts w:eastAsia="Calibri"/>
          <w:lang w:eastAsia="de-DE" w:bidi="de-DE"/>
        </w:rPr>
        <w:t xml:space="preserve">4. Das Schiff ist mit einem vorschriftsmäßigen Radar und einem Ein-Mann-Radar-Steuerstand ausgestattet. </w:t>
      </w:r>
    </w:p>
    <w:p w14:paraId="4B90268B" w14:textId="77777777" w:rsidR="005A5BD5" w:rsidRPr="002616E4" w:rsidRDefault="005A5BD5" w:rsidP="004C2C7D">
      <w:pPr>
        <w:jc w:val="both"/>
        <w:rPr>
          <w:lang w:eastAsia="fr-BE" w:bidi="de-DE"/>
        </w:rPr>
      </w:pPr>
    </w:p>
    <w:p w14:paraId="74238C97"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5. Das Schiff ist mit einer Schraubenwellendichtung ausgestattet, die das Einströmen von Wasser oder Schmiermitteln in das Schiff unmöglich macht und das Ausströmen von wasserverschmutzenden Schmiermitteln verhindert.</w:t>
      </w:r>
    </w:p>
    <w:p w14:paraId="12D584DA" w14:textId="77777777" w:rsidR="005A5BD5" w:rsidRPr="002616E4" w:rsidRDefault="005A5BD5" w:rsidP="004C2C7D">
      <w:pPr>
        <w:jc w:val="both"/>
        <w:rPr>
          <w:lang w:eastAsia="fr-BE" w:bidi="de-DE"/>
        </w:rPr>
      </w:pPr>
    </w:p>
    <w:p w14:paraId="24566CC0"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xml:space="preserve">6. Das Schiff ist so gebaut oder angepasst worden, dass Böden und Wandungen der Laderäume aus glatten Stahlflächen bestehen, sodass die Spanten nicht mehr sichtbar sind. </w:t>
      </w:r>
    </w:p>
    <w:p w14:paraId="2296B527" w14:textId="77777777" w:rsidR="005A5BD5" w:rsidRPr="002616E4" w:rsidRDefault="005A5BD5" w:rsidP="004C2C7D">
      <w:pPr>
        <w:jc w:val="both"/>
        <w:rPr>
          <w:lang w:eastAsia="fr-BE" w:bidi="de-DE"/>
        </w:rPr>
      </w:pPr>
    </w:p>
    <w:p w14:paraId="0AB063E0" w14:textId="77777777" w:rsidR="005A5BD5" w:rsidRPr="002616E4" w:rsidRDefault="005A5BD5" w:rsidP="004C2C7D">
      <w:pPr>
        <w:jc w:val="both"/>
        <w:rPr>
          <w:lang w:eastAsia="de-DE" w:bidi="de-DE"/>
        </w:rPr>
      </w:pPr>
      <w:r w:rsidRPr="002616E4">
        <w:rPr>
          <w:rFonts w:eastAsia="Calibri"/>
          <w:szCs w:val="22"/>
          <w:lang w:eastAsia="de-DE" w:bidi="de-DE"/>
        </w:rPr>
        <w:tab/>
      </w:r>
      <w:r w:rsidRPr="002616E4">
        <w:rPr>
          <w:rFonts w:eastAsia="Calibri"/>
          <w:lang w:eastAsia="de-DE" w:bidi="de-DE"/>
        </w:rPr>
        <w:t>§ 2 - Sobald eine der in § 1 erwähnten alternativen Bedingungen zur verbindlichen Norm wird, muss das Schiff mindestens eine der übrigen alternativen Bedingungen erfüllen, um als gültige Wiederanlage berücksichtigt werden zu können.</w:t>
      </w:r>
    </w:p>
    <w:p w14:paraId="2BF43F86" w14:textId="77777777" w:rsidR="005A5BD5" w:rsidRPr="002616E4" w:rsidRDefault="005A5BD5" w:rsidP="004C2C7D">
      <w:pPr>
        <w:jc w:val="both"/>
        <w:rPr>
          <w:lang w:eastAsia="fr-BE" w:bidi="de-DE"/>
        </w:rPr>
      </w:pPr>
    </w:p>
    <w:p w14:paraId="5435C587" w14:textId="77777777" w:rsidR="0094417E" w:rsidRDefault="005A5BD5" w:rsidP="00E31BF7">
      <w:pPr>
        <w:jc w:val="both"/>
        <w:rPr>
          <w:rFonts w:eastAsia="Calibri"/>
          <w:i/>
          <w:szCs w:val="22"/>
          <w:lang w:eastAsia="de-DE" w:bidi="de-DE"/>
        </w:rPr>
      </w:pPr>
      <w:r w:rsidRPr="002616E4">
        <w:rPr>
          <w:rFonts w:eastAsia="Calibri"/>
          <w:szCs w:val="22"/>
          <w:lang w:eastAsia="de-DE" w:bidi="de-DE"/>
        </w:rPr>
        <w:tab/>
      </w:r>
      <w:r w:rsidRPr="002616E4">
        <w:rPr>
          <w:rFonts w:eastAsia="Calibri"/>
          <w:lang w:eastAsia="de-DE" w:bidi="de-DE"/>
        </w:rPr>
        <w:t>§ 3 - Die Erfüllung der in § 1 festgelegten Umweltnormen muss durch einen Vermerk in den obligatorischen technischen Zertifikaten oder durch eine Erklärung einer Klassifikationsgesellschaft bescheinigt werden.]</w:t>
      </w:r>
    </w:p>
    <w:p w14:paraId="2DE7C1AF" w14:textId="77777777" w:rsidR="0094417E" w:rsidRDefault="0094417E" w:rsidP="004C2C7D">
      <w:pPr>
        <w:jc w:val="center"/>
        <w:rPr>
          <w:rFonts w:eastAsia="Calibri"/>
          <w:i/>
          <w:szCs w:val="22"/>
          <w:lang w:eastAsia="de-DE" w:bidi="de-DE"/>
        </w:rPr>
      </w:pPr>
    </w:p>
    <w:p w14:paraId="2EFE10CB" w14:textId="77777777" w:rsidR="00AF3BAB" w:rsidRDefault="00AF3BAB">
      <w:pPr>
        <w:rPr>
          <w:rFonts w:eastAsia="Calibri"/>
          <w:i/>
          <w:szCs w:val="22"/>
          <w:lang w:eastAsia="de-DE" w:bidi="de-DE"/>
        </w:rPr>
      </w:pPr>
    </w:p>
    <w:p w14:paraId="63D71AC1" w14:textId="34591F0E" w:rsidR="005A5BD5" w:rsidRPr="002616E4" w:rsidRDefault="005A5BD5" w:rsidP="004C2C7D">
      <w:pPr>
        <w:jc w:val="center"/>
        <w:rPr>
          <w:rFonts w:eastAsia="Calibri"/>
          <w:szCs w:val="22"/>
          <w:lang w:eastAsia="de-DE" w:bidi="de-DE"/>
        </w:rPr>
      </w:pPr>
      <w:r w:rsidRPr="002616E4">
        <w:rPr>
          <w:rFonts w:eastAsia="Calibri"/>
          <w:i/>
          <w:szCs w:val="22"/>
          <w:lang w:eastAsia="de-DE" w:bidi="de-DE"/>
        </w:rPr>
        <w:t>Abschnitt 9</w:t>
      </w:r>
      <w:r w:rsidRPr="002616E4">
        <w:rPr>
          <w:rFonts w:eastAsia="Calibri"/>
          <w:szCs w:val="22"/>
          <w:lang w:eastAsia="de-DE" w:bidi="de-DE"/>
        </w:rPr>
        <w:t> - Grenzen und Bedingungen der Steuerbefreiung für Wertminderungen und Rückstellungen für Risiken und Aufwendungen</w:t>
      </w:r>
    </w:p>
    <w:p w14:paraId="4E2A443D" w14:textId="77777777" w:rsidR="005A5BD5" w:rsidRPr="002616E4" w:rsidRDefault="005A5BD5" w:rsidP="004C2C7D">
      <w:pPr>
        <w:jc w:val="center"/>
        <w:rPr>
          <w:rFonts w:eastAsia="Calibri"/>
          <w:szCs w:val="22"/>
          <w:lang w:eastAsia="de-DE" w:bidi="de-DE"/>
        </w:rPr>
      </w:pPr>
    </w:p>
    <w:p w14:paraId="4688C81A"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(Einkommensteuergesetzbuch 1992, Artikel 48)</w:t>
      </w:r>
    </w:p>
    <w:p w14:paraId="08717586" w14:textId="77777777" w:rsidR="005A5BD5" w:rsidRPr="002616E4" w:rsidRDefault="005A5BD5" w:rsidP="004C2C7D">
      <w:pPr>
        <w:jc w:val="both"/>
        <w:rPr>
          <w:rFonts w:eastAsia="Calibri"/>
          <w:szCs w:val="22"/>
          <w:lang w:eastAsia="de-DE" w:bidi="de-DE"/>
        </w:rPr>
      </w:pPr>
    </w:p>
    <w:p w14:paraId="03B654A0" w14:textId="77777777" w:rsidR="005A5BD5" w:rsidRPr="002616E4" w:rsidRDefault="005A5BD5" w:rsidP="004C2C7D">
      <w:pPr>
        <w:jc w:val="both"/>
        <w:rPr>
          <w:rFonts w:eastAsia="Calibri"/>
          <w:szCs w:val="22"/>
          <w:lang w:eastAsia="de-DE" w:bidi="de-DE"/>
        </w:rPr>
      </w:pPr>
    </w:p>
    <w:p w14:paraId="04D9216C"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22</w:t>
      </w:r>
      <w:r w:rsidRPr="002616E4">
        <w:rPr>
          <w:rFonts w:eastAsia="Calibri"/>
          <w:szCs w:val="22"/>
          <w:lang w:eastAsia="de-DE" w:bidi="de-DE"/>
        </w:rPr>
        <w:t> - § 1 - Von den Gewinnen des aufgrund von Artikel 360 des Einkommensteuergesetzbuches 1992 bestimmten Besteuerungszeitraums werden die bei Ablauf dieses Zeitraums gebuchten Wertminderungen [</w:t>
      </w:r>
      <w:r w:rsidR="009251F9">
        <w:rPr>
          <w:rFonts w:eastAsia="Calibri"/>
          <w:szCs w:val="22"/>
          <w:lang w:eastAsia="de-DE" w:bidi="de-DE"/>
        </w:rPr>
        <w:t>…</w:t>
      </w:r>
      <w:r w:rsidRPr="002616E4">
        <w:rPr>
          <w:rFonts w:eastAsia="Calibri"/>
          <w:szCs w:val="22"/>
          <w:lang w:eastAsia="de-DE" w:bidi="de-DE"/>
        </w:rPr>
        <w:t>] unter folgenden Bedingungen ausgenommen:</w:t>
      </w:r>
    </w:p>
    <w:p w14:paraId="18E3CE8E" w14:textId="77777777" w:rsidR="005A5BD5" w:rsidRPr="002616E4" w:rsidRDefault="005A5BD5" w:rsidP="004C2C7D">
      <w:pPr>
        <w:jc w:val="both"/>
        <w:rPr>
          <w:rFonts w:eastAsia="Calibri"/>
          <w:szCs w:val="22"/>
          <w:lang w:eastAsia="de-DE" w:bidi="de-DE"/>
        </w:rPr>
      </w:pPr>
    </w:p>
    <w:p w14:paraId="7677D867"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1. Verluste, denen diese Wertminderungen begegnen sollen, müssen ihrem Wesen nach als berufliche Verluste zulässig sein und sich ausschließlich auf Forderungen beziehen, die nicht durch Schuldverschreibungen oder andere gleichartige [Namenspapiere, Inhaberpapiere oder entmaterialisierte Wertpapiere] vertreten werden. </w:t>
      </w:r>
    </w:p>
    <w:p w14:paraId="6EB5D7CF" w14:textId="77777777" w:rsidR="005A5BD5" w:rsidRPr="002616E4" w:rsidRDefault="005A5BD5" w:rsidP="004C2C7D">
      <w:pPr>
        <w:jc w:val="both"/>
        <w:rPr>
          <w:rFonts w:eastAsia="Calibri"/>
          <w:szCs w:val="22"/>
          <w:lang w:eastAsia="de-DE" w:bidi="de-DE"/>
        </w:rPr>
      </w:pPr>
    </w:p>
    <w:p w14:paraId="51250BB8"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2. Diese Verluste müssen genau beschrieben sein und ihre Wahrscheinlichkeit muss sich für jede Forderung nicht aus einem einfachen Risiko allgemeiner Art, sondern aus besonderen, im Laufe des Besteuerungszeitraums aufgetretenen und bei dessen Ablauf fortbestehenden Umständen ergeben. </w:t>
      </w:r>
    </w:p>
    <w:p w14:paraId="153F84DD" w14:textId="77777777" w:rsidR="005A5BD5" w:rsidRPr="002616E4" w:rsidRDefault="005A5BD5" w:rsidP="004C2C7D">
      <w:pPr>
        <w:jc w:val="both"/>
        <w:rPr>
          <w:rFonts w:eastAsia="Calibri"/>
          <w:szCs w:val="22"/>
          <w:lang w:eastAsia="de-DE" w:bidi="de-DE"/>
        </w:rPr>
      </w:pPr>
    </w:p>
    <w:p w14:paraId="40D8BECB"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3. Wertminderungen müssen bei Geschäftsjahresabschluss des Besteuerungszeitraums gebucht sein und ihr Betrag muss auf einem oder mehreren getrennten Konten ausgewiesen sein. </w:t>
      </w:r>
    </w:p>
    <w:p w14:paraId="561C478A" w14:textId="77777777" w:rsidR="005A5BD5" w:rsidRPr="002616E4" w:rsidRDefault="005A5BD5" w:rsidP="004C2C7D">
      <w:pPr>
        <w:jc w:val="both"/>
        <w:rPr>
          <w:rFonts w:eastAsia="Calibri"/>
          <w:szCs w:val="22"/>
          <w:lang w:eastAsia="de-DE" w:bidi="de-DE"/>
        </w:rPr>
      </w:pPr>
    </w:p>
    <w:p w14:paraId="15F15227"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4. Der nach Ablauf eines Besteuerungszeitraums verbleibende Gesamtbetrag befreiter Wertminderungen muss pro Gegenstand belegt werden und in einer Aufstellung, deren Muster vom Minister der Finanzen oder von seinem Beauftragten festgelegt wird, detailliert aufgeführt werden; diese Aufstellung muss binnen der Frist für die Hinterlegung der Einkommensteuererklärung des betreffenden Besteuerungszeitraums eingereicht und dieser Erklärung beigefügt werden. </w:t>
      </w:r>
    </w:p>
    <w:p w14:paraId="65E94D8D" w14:textId="77777777" w:rsidR="005A5BD5" w:rsidRPr="002616E4" w:rsidRDefault="005A5BD5" w:rsidP="004C2C7D">
      <w:pPr>
        <w:jc w:val="both"/>
        <w:rPr>
          <w:rFonts w:eastAsia="Calibri"/>
          <w:szCs w:val="22"/>
          <w:lang w:eastAsia="de-DE" w:bidi="de-DE"/>
        </w:rPr>
      </w:pPr>
    </w:p>
    <w:p w14:paraId="4250FA95"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5. [</w:t>
      </w:r>
      <w:r w:rsidR="009251F9">
        <w:rPr>
          <w:rFonts w:eastAsia="Calibri"/>
          <w:szCs w:val="22"/>
          <w:lang w:eastAsia="de-DE" w:bidi="de-DE"/>
        </w:rPr>
        <w:t>…</w:t>
      </w:r>
      <w:r w:rsidRPr="002616E4">
        <w:rPr>
          <w:rFonts w:eastAsia="Calibri"/>
          <w:szCs w:val="22"/>
          <w:lang w:eastAsia="de-DE" w:bidi="de-DE"/>
        </w:rPr>
        <w:t>]</w:t>
      </w:r>
    </w:p>
    <w:p w14:paraId="37A9F03C" w14:textId="77777777" w:rsidR="005A5BD5" w:rsidRPr="002616E4" w:rsidRDefault="005A5BD5" w:rsidP="004C2C7D">
      <w:pPr>
        <w:jc w:val="both"/>
        <w:rPr>
          <w:rFonts w:eastAsia="Calibri"/>
          <w:szCs w:val="22"/>
          <w:lang w:eastAsia="de-DE" w:bidi="de-DE"/>
        </w:rPr>
      </w:pPr>
    </w:p>
    <w:p w14:paraId="0D71F9ED"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6. [</w:t>
      </w:r>
      <w:r w:rsidR="009251F9">
        <w:rPr>
          <w:rFonts w:eastAsia="Calibri"/>
          <w:szCs w:val="22"/>
          <w:lang w:eastAsia="de-DE" w:bidi="de-DE"/>
        </w:rPr>
        <w:t>…</w:t>
      </w:r>
      <w:r w:rsidRPr="002616E4">
        <w:rPr>
          <w:rFonts w:eastAsia="Calibri"/>
          <w:szCs w:val="22"/>
          <w:lang w:eastAsia="de-DE" w:bidi="de-DE"/>
        </w:rPr>
        <w:t>]</w:t>
      </w:r>
    </w:p>
    <w:p w14:paraId="688DC18D" w14:textId="77777777" w:rsidR="005A5BD5" w:rsidRPr="002616E4" w:rsidRDefault="005A5BD5" w:rsidP="004C2C7D">
      <w:pPr>
        <w:jc w:val="both"/>
        <w:rPr>
          <w:rFonts w:eastAsia="Calibri"/>
          <w:szCs w:val="22"/>
          <w:lang w:eastAsia="de-DE" w:bidi="de-DE"/>
        </w:rPr>
      </w:pPr>
    </w:p>
    <w:p w14:paraId="214730DD"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2 - [</w:t>
      </w:r>
      <w:r w:rsidR="009251F9">
        <w:rPr>
          <w:rFonts w:eastAsia="Calibri"/>
          <w:szCs w:val="22"/>
          <w:lang w:eastAsia="de-DE" w:bidi="de-DE"/>
        </w:rPr>
        <w:t>…</w:t>
      </w:r>
      <w:r w:rsidRPr="002616E4">
        <w:rPr>
          <w:rFonts w:eastAsia="Calibri"/>
          <w:szCs w:val="22"/>
          <w:lang w:eastAsia="de-DE" w:bidi="de-DE"/>
        </w:rPr>
        <w:t>]</w:t>
      </w:r>
    </w:p>
    <w:p w14:paraId="432A64AD" w14:textId="77777777" w:rsidR="005A5BD5" w:rsidRPr="002616E4" w:rsidRDefault="005A5BD5" w:rsidP="004C2C7D">
      <w:pPr>
        <w:jc w:val="both"/>
        <w:rPr>
          <w:rFonts w:eastAsia="Calibri"/>
          <w:szCs w:val="22"/>
          <w:lang w:eastAsia="de-DE" w:bidi="de-DE"/>
        </w:rPr>
      </w:pPr>
    </w:p>
    <w:p w14:paraId="4C652B3F" w14:textId="5760975B" w:rsidR="005A5BD5" w:rsidRPr="002616E4" w:rsidRDefault="005A5BD5" w:rsidP="004C2C7D">
      <w:pPr>
        <w:jc w:val="both"/>
        <w:rPr>
          <w:rFonts w:eastAsia="Calibri"/>
          <w:szCs w:val="22"/>
          <w:lang w:eastAsia="de-DE" w:bidi="de-DE"/>
        </w:rPr>
      </w:pPr>
      <w:r w:rsidRPr="002616E4">
        <w:rPr>
          <w:rFonts w:eastAsia="Calibri"/>
          <w:szCs w:val="22"/>
          <w:lang w:eastAsia="de-DE" w:bidi="de-DE"/>
        </w:rPr>
        <w:tab/>
        <w:t>§ 3 - [</w:t>
      </w:r>
      <w:r w:rsidR="009251F9">
        <w:rPr>
          <w:rFonts w:eastAsia="Calibri"/>
          <w:szCs w:val="22"/>
          <w:lang w:eastAsia="de-DE" w:bidi="de-DE"/>
        </w:rPr>
        <w:t>…</w:t>
      </w:r>
      <w:r w:rsidRPr="002616E4">
        <w:rPr>
          <w:rFonts w:eastAsia="Calibri"/>
          <w:szCs w:val="22"/>
          <w:lang w:eastAsia="de-DE" w:bidi="de-DE"/>
        </w:rPr>
        <w:t xml:space="preserve">] </w:t>
      </w:r>
    </w:p>
    <w:p w14:paraId="6038E707" w14:textId="77777777" w:rsidR="005A5BD5" w:rsidRPr="002616E4" w:rsidRDefault="005A5BD5" w:rsidP="004C2C7D">
      <w:pPr>
        <w:jc w:val="both"/>
        <w:rPr>
          <w:rFonts w:eastAsia="Calibri"/>
          <w:szCs w:val="22"/>
          <w:lang w:eastAsia="de-DE" w:bidi="de-DE"/>
        </w:rPr>
      </w:pPr>
    </w:p>
    <w:p w14:paraId="0203DAE7" w14:textId="77777777" w:rsidR="005A5BD5" w:rsidRPr="002616E4" w:rsidRDefault="005A5BD5" w:rsidP="004C2C7D">
      <w:pPr>
        <w:jc w:val="both"/>
        <w:rPr>
          <w:rFonts w:eastAsia="Calibri"/>
          <w:i/>
          <w:szCs w:val="22"/>
          <w:lang w:eastAsia="de-DE" w:bidi="de-DE"/>
        </w:rPr>
      </w:pPr>
      <w:r w:rsidRPr="002616E4">
        <w:rPr>
          <w:rFonts w:eastAsia="Calibri"/>
          <w:i/>
          <w:szCs w:val="22"/>
          <w:lang w:eastAsia="de-DE" w:bidi="de-DE"/>
        </w:rPr>
        <w:t>[Art. 22 § 1 einziger Absatz einleitende Bestimmung abgeändert durch Art. 1 Nr. 1 des K.E. vom 20. Dezember 1995 (B.S. vom 28. Dezember 1995); § 1 einziger Absatz Nr. 1 abgeändert durch Art. 3 des K.E. vom 7. Dezember 2007 (I) (B.S. vom 12. Dezember 2007); § 1 einziger Absatz Nr. 5 und 6 aufgehoben durch Art. 1 Nr. 2 des K.E. vom 20. Dezember 1995 (B.S. vom 28. Dezember 1995); §§ 2 und 3 aufgehoben durch Art. 1 Nr. 3 des K.E. vom 20. Dezember 1995 (B.S. vom 28. Dezember 1995)]</w:t>
      </w:r>
    </w:p>
    <w:p w14:paraId="68F17DD9" w14:textId="77777777" w:rsidR="0094417E" w:rsidRDefault="0094417E" w:rsidP="004C2C7D">
      <w:pPr>
        <w:jc w:val="both"/>
        <w:rPr>
          <w:rFonts w:eastAsia="Calibri"/>
          <w:szCs w:val="22"/>
          <w:lang w:eastAsia="de-DE" w:bidi="de-DE"/>
        </w:rPr>
      </w:pPr>
    </w:p>
    <w:p w14:paraId="7409A77A" w14:textId="77777777" w:rsidR="00852D5F" w:rsidRDefault="00852D5F" w:rsidP="004C2C7D">
      <w:pPr>
        <w:jc w:val="both"/>
        <w:rPr>
          <w:rFonts w:eastAsia="Calibri"/>
          <w:szCs w:val="22"/>
          <w:lang w:eastAsia="de-DE" w:bidi="de-DE"/>
        </w:rPr>
      </w:pPr>
    </w:p>
    <w:p w14:paraId="2A76C345" w14:textId="2C16716A"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23</w:t>
      </w:r>
      <w:r w:rsidRPr="002616E4">
        <w:rPr>
          <w:rFonts w:eastAsia="Calibri"/>
          <w:szCs w:val="22"/>
          <w:lang w:eastAsia="de-DE" w:bidi="de-DE"/>
        </w:rPr>
        <w:t xml:space="preserve"> - Tatsächlich erlittene Verluste auf Forderungen, auf die sich eine gemäß Artikel 22 gebuchte Wertminderung bezieht, müssen auf diese Wertminderung angerechnet werden, wenn sie in steuerlicher Hinsicht definitiv zulässig werden. </w:t>
      </w:r>
    </w:p>
    <w:p w14:paraId="292DFDDE" w14:textId="77777777" w:rsidR="005A5BD5" w:rsidRPr="002616E4" w:rsidRDefault="005A5BD5" w:rsidP="004C2C7D">
      <w:pPr>
        <w:jc w:val="both"/>
        <w:rPr>
          <w:rFonts w:eastAsia="Calibri"/>
          <w:szCs w:val="22"/>
          <w:lang w:eastAsia="de-DE" w:bidi="de-DE"/>
        </w:rPr>
      </w:pPr>
    </w:p>
    <w:p w14:paraId="6470F248"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[Befreite Wertminderungen auf Forderungen, die die in Artikel 22 vorgesehenen Bedingungen [</w:t>
      </w:r>
      <w:r w:rsidR="009251F9">
        <w:rPr>
          <w:rFonts w:eastAsia="Calibri"/>
          <w:szCs w:val="22"/>
          <w:lang w:eastAsia="de-DE" w:bidi="de-DE"/>
        </w:rPr>
        <w:t>…</w:t>
      </w:r>
      <w:r w:rsidRPr="002616E4">
        <w:rPr>
          <w:rFonts w:eastAsia="Calibri"/>
          <w:szCs w:val="22"/>
          <w:lang w:eastAsia="de-DE" w:bidi="de-DE"/>
        </w:rPr>
        <w:t>] nicht mehr erfüllen, sind zurückzunehmen.]</w:t>
      </w:r>
    </w:p>
    <w:p w14:paraId="5C0B9CAE" w14:textId="77777777" w:rsidR="005A5BD5" w:rsidRPr="002616E4" w:rsidRDefault="005A5BD5" w:rsidP="004C2C7D">
      <w:pPr>
        <w:jc w:val="both"/>
        <w:rPr>
          <w:rFonts w:eastAsia="Calibri"/>
          <w:szCs w:val="22"/>
          <w:lang w:eastAsia="de-DE" w:bidi="de-DE"/>
        </w:rPr>
      </w:pPr>
    </w:p>
    <w:p w14:paraId="4486A7F6" w14:textId="77777777" w:rsidR="005A5BD5" w:rsidRPr="002616E4" w:rsidRDefault="005A5BD5" w:rsidP="004C2C7D">
      <w:pPr>
        <w:jc w:val="both"/>
        <w:rPr>
          <w:rFonts w:eastAsia="Calibri"/>
          <w:szCs w:val="22"/>
          <w:lang w:eastAsia="de-DE" w:bidi="de-DE"/>
        </w:rPr>
      </w:pPr>
      <w:r w:rsidRPr="002616E4">
        <w:rPr>
          <w:rFonts w:eastAsia="Calibri"/>
          <w:i/>
          <w:szCs w:val="22"/>
          <w:lang w:eastAsia="de-DE" w:bidi="de-DE"/>
        </w:rPr>
        <w:t>[Art. 23 Abs. 2 eingefügt durch Art. 2 des K.E. vom 20. Dezember 1995 (B.S. vom 28. Dezember 1995) und abgeändert durch Art. 3 des K.E. vom 6. März 1996 (B.S. vom 19. März 1996)]</w:t>
      </w:r>
    </w:p>
    <w:p w14:paraId="7CE65FA8" w14:textId="77777777" w:rsidR="005A5BD5" w:rsidRPr="002616E4" w:rsidRDefault="005A5BD5" w:rsidP="004C2C7D">
      <w:pPr>
        <w:jc w:val="both"/>
        <w:rPr>
          <w:rFonts w:eastAsia="Calibri"/>
          <w:szCs w:val="22"/>
          <w:lang w:eastAsia="de-DE" w:bidi="de-DE"/>
        </w:rPr>
      </w:pPr>
    </w:p>
    <w:p w14:paraId="2CF0A153" w14:textId="77777777" w:rsidR="005A5BD5" w:rsidRPr="002616E4" w:rsidRDefault="005A5BD5" w:rsidP="004C2C7D">
      <w:pPr>
        <w:jc w:val="both"/>
        <w:rPr>
          <w:rFonts w:eastAsia="Calibri"/>
          <w:szCs w:val="22"/>
          <w:lang w:eastAsia="de-DE" w:bidi="de-DE"/>
        </w:rPr>
      </w:pPr>
    </w:p>
    <w:p w14:paraId="2669B935" w14:textId="08B77CE5"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24</w:t>
      </w:r>
      <w:r w:rsidRPr="002616E4">
        <w:rPr>
          <w:rFonts w:eastAsia="Calibri"/>
          <w:szCs w:val="22"/>
          <w:lang w:eastAsia="de-DE" w:bidi="de-DE"/>
        </w:rPr>
        <w:t> - Von den Gewinnen des in Artikel 22 bestimmten Besteuerungszeitraums werden ebenfalls die bei Ablauf dieses Zeitraums gebildeten Rückstellungen für Risiken und Aufwendungen ausgenommen, wenn:</w:t>
      </w:r>
    </w:p>
    <w:p w14:paraId="40F2E7BE" w14:textId="77777777" w:rsidR="005A5BD5" w:rsidRPr="002616E4" w:rsidRDefault="005A5BD5" w:rsidP="004C2C7D">
      <w:pPr>
        <w:jc w:val="both"/>
        <w:rPr>
          <w:rFonts w:eastAsia="Calibri"/>
          <w:szCs w:val="22"/>
          <w:lang w:eastAsia="de-DE" w:bidi="de-DE"/>
        </w:rPr>
      </w:pPr>
    </w:p>
    <w:p w14:paraId="41B1346C"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1. Aufwendungen, denen diese Rückstellungen begegnen sollen, die ihrem Wesen nach als Werbungskosten zulässig sind und die als Aufwendungen gelten, die die Ergebnisse des betreffenden Zeitraums </w:t>
      </w:r>
      <w:r>
        <w:rPr>
          <w:rFonts w:eastAsia="Calibri"/>
          <w:szCs w:val="22"/>
          <w:lang w:eastAsia="de-DE" w:bidi="de-DE"/>
        </w:rPr>
        <w:t>auf normale Weise</w:t>
      </w:r>
      <w:r w:rsidRPr="002616E4">
        <w:rPr>
          <w:rFonts w:eastAsia="Calibri"/>
          <w:szCs w:val="22"/>
          <w:lang w:eastAsia="de-DE" w:bidi="de-DE"/>
        </w:rPr>
        <w:t xml:space="preserve"> belasten,</w:t>
      </w:r>
    </w:p>
    <w:p w14:paraId="4634E941" w14:textId="77777777" w:rsidR="005A5BD5" w:rsidRPr="002616E4" w:rsidRDefault="005A5BD5" w:rsidP="004C2C7D">
      <w:pPr>
        <w:jc w:val="both"/>
        <w:rPr>
          <w:rFonts w:eastAsia="Calibri"/>
          <w:szCs w:val="22"/>
          <w:lang w:eastAsia="de-DE" w:bidi="de-DE"/>
        </w:rPr>
      </w:pPr>
    </w:p>
    <w:p w14:paraId="76E52A2B"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2. die Rückstellungen die in Artikel 22 § 1 Nr. 3 und 4 für Wertminderungen vorgesehenen Bedingungen erfüllen. </w:t>
      </w:r>
    </w:p>
    <w:p w14:paraId="508F9F5E" w14:textId="77777777" w:rsidR="005A5BD5" w:rsidRPr="002616E4" w:rsidRDefault="005A5BD5" w:rsidP="004C2C7D">
      <w:pPr>
        <w:jc w:val="both"/>
        <w:rPr>
          <w:rFonts w:eastAsia="Calibri"/>
          <w:szCs w:val="22"/>
          <w:lang w:eastAsia="de-DE" w:bidi="de-DE"/>
        </w:rPr>
      </w:pPr>
    </w:p>
    <w:p w14:paraId="30E1BAC8" w14:textId="77777777" w:rsidR="005A5BD5" w:rsidRPr="002616E4" w:rsidRDefault="005A5BD5" w:rsidP="004C2C7D">
      <w:pPr>
        <w:jc w:val="both"/>
        <w:rPr>
          <w:rFonts w:eastAsia="Calibri"/>
          <w:szCs w:val="22"/>
          <w:lang w:eastAsia="de-DE" w:bidi="de-DE"/>
        </w:rPr>
      </w:pPr>
    </w:p>
    <w:p w14:paraId="5EC75821"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25</w:t>
      </w:r>
      <w:r w:rsidRPr="002616E4">
        <w:rPr>
          <w:rFonts w:eastAsia="Calibri"/>
          <w:szCs w:val="22"/>
          <w:lang w:eastAsia="de-DE" w:bidi="de-DE"/>
        </w:rPr>
        <w:t xml:space="preserve"> - Für die Anwendung von Artikel 24 gelten als Aufwendungen, die die Ergebnisse des Besteuerungszeitraums </w:t>
      </w:r>
      <w:r>
        <w:rPr>
          <w:rFonts w:eastAsia="Calibri"/>
          <w:szCs w:val="22"/>
          <w:lang w:eastAsia="de-DE" w:bidi="de-DE"/>
        </w:rPr>
        <w:t>auf normale Weise</w:t>
      </w:r>
      <w:r w:rsidRPr="002616E4">
        <w:rPr>
          <w:rFonts w:eastAsia="Calibri"/>
          <w:szCs w:val="22"/>
          <w:lang w:eastAsia="de-DE" w:bidi="de-DE"/>
        </w:rPr>
        <w:t xml:space="preserve"> belasten, Aufwendungen, die aus beruflichen Tätigkeiten oder Ereignissen hervorgehen, die während dieses Zeitraums ausgeübt worden sind beziehungsweise aufgetreten sind, Aufwendungen, die im Voraus gedeckt worden sind durch die im Laufe desselben Zeitraums erhaltenen Entschädigungen aus Schadensfällen, Enteignungen, Eigentumsrequirierungen oder anderen ähnlichen Ereignissen oder Aufwendungen, die sich im Verhältnis zur Dauer des Besteuerungszeitraums auf große, periodisch in regelmäßigen Abständen von nicht mehr als zehn Jahren durchgeführte </w:t>
      </w:r>
      <w:r w:rsidRPr="002616E4">
        <w:rPr>
          <w:rFonts w:eastAsia="Calibri"/>
          <w:szCs w:val="22"/>
          <w:lang w:eastAsia="de-DE" w:bidi="de-DE"/>
        </w:rPr>
        <w:lastRenderedPageBreak/>
        <w:t>Reparaturen von Immobilien, Material und Ausrüstung beziehen, mit Ausnahme von Erneuerungen.</w:t>
      </w:r>
    </w:p>
    <w:p w14:paraId="208CE326" w14:textId="77777777" w:rsidR="005A5BD5" w:rsidRPr="002616E4" w:rsidRDefault="005A5BD5" w:rsidP="004C2C7D">
      <w:pPr>
        <w:jc w:val="both"/>
        <w:rPr>
          <w:rFonts w:eastAsia="Calibri"/>
          <w:szCs w:val="22"/>
          <w:lang w:eastAsia="de-DE" w:bidi="de-DE"/>
        </w:rPr>
      </w:pPr>
    </w:p>
    <w:p w14:paraId="57F2F7A1"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Aufwendungen in Zusammenhang mit dem Abbau von Kernkraftwerken und der Dekontamination ihrer Standorte gelten, soweit sie im Verhältnis zur Dauer des Besteuerungszeitraums stehen, ebenfalls als Aufwendungen, die die Ergebnisse des Besteuerungszeitraums </w:t>
      </w:r>
      <w:r>
        <w:rPr>
          <w:rFonts w:eastAsia="Calibri"/>
          <w:szCs w:val="22"/>
          <w:lang w:eastAsia="de-DE" w:bidi="de-DE"/>
        </w:rPr>
        <w:t>auf normale Weise</w:t>
      </w:r>
      <w:r w:rsidRPr="002616E4">
        <w:rPr>
          <w:rFonts w:eastAsia="Calibri"/>
          <w:szCs w:val="22"/>
          <w:lang w:eastAsia="de-DE" w:bidi="de-DE"/>
        </w:rPr>
        <w:t xml:space="preserve"> belasten.</w:t>
      </w:r>
    </w:p>
    <w:p w14:paraId="1F12B8A0" w14:textId="77777777" w:rsidR="005A5BD5" w:rsidRPr="002616E4" w:rsidRDefault="005A5BD5" w:rsidP="004C2C7D">
      <w:pPr>
        <w:jc w:val="both"/>
        <w:rPr>
          <w:rFonts w:eastAsia="Calibri"/>
          <w:szCs w:val="22"/>
          <w:lang w:eastAsia="de-DE" w:bidi="de-DE"/>
        </w:rPr>
      </w:pPr>
    </w:p>
    <w:p w14:paraId="2C41A380" w14:textId="77777777" w:rsidR="005A5BD5" w:rsidRPr="002616E4" w:rsidRDefault="005A5BD5" w:rsidP="004C2C7D">
      <w:pPr>
        <w:jc w:val="both"/>
        <w:rPr>
          <w:rFonts w:eastAsia="Calibri"/>
          <w:szCs w:val="22"/>
          <w:lang w:eastAsia="de-DE" w:bidi="de-DE"/>
        </w:rPr>
      </w:pPr>
    </w:p>
    <w:p w14:paraId="6D2A2304"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26</w:t>
      </w:r>
      <w:r w:rsidRPr="002616E4">
        <w:rPr>
          <w:rFonts w:eastAsia="Calibri"/>
          <w:szCs w:val="22"/>
          <w:lang w:eastAsia="de-DE" w:bidi="de-DE"/>
        </w:rPr>
        <w:t> - Aufwendungen, auf die sich eine gemäß Artikel 24 gebildete Rückstellung bezieht, müssen zu dem Zeitpunkt, zu dem sie tatsächlich getragen werden, auf diese Rückstellung angerechnet werden.</w:t>
      </w:r>
    </w:p>
    <w:p w14:paraId="048E2F2B" w14:textId="77777777" w:rsidR="0094417E" w:rsidRDefault="0094417E" w:rsidP="004C2C7D">
      <w:pPr>
        <w:jc w:val="both"/>
        <w:rPr>
          <w:rFonts w:eastAsia="Calibri"/>
          <w:szCs w:val="22"/>
          <w:lang w:eastAsia="de-DE" w:bidi="de-DE"/>
        </w:rPr>
      </w:pPr>
    </w:p>
    <w:p w14:paraId="5DB42883" w14:textId="77777777" w:rsidR="0094417E" w:rsidRDefault="0094417E" w:rsidP="004C2C7D">
      <w:pPr>
        <w:jc w:val="both"/>
        <w:rPr>
          <w:rFonts w:eastAsia="Calibri"/>
          <w:szCs w:val="22"/>
          <w:lang w:eastAsia="de-DE" w:bidi="de-DE"/>
        </w:rPr>
      </w:pPr>
    </w:p>
    <w:p w14:paraId="638303A7"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27</w:t>
      </w:r>
      <w:r w:rsidRPr="002616E4">
        <w:rPr>
          <w:rFonts w:eastAsia="Calibri"/>
          <w:szCs w:val="22"/>
          <w:lang w:eastAsia="de-DE" w:bidi="de-DE"/>
        </w:rPr>
        <w:t xml:space="preserve"> - Die Steuerbefreiung jeder der in den Artikeln 22 bis 26 erwähnten Wertminderungen oder Rückstellungen wird so lange aufrechterhalten, wie der Steuerpflichtige die Wahrscheinlichkeit des Verlusts oder der Aufwendung, denen diese Wertminderung beziehungsweise Rückstellung entspricht, </w:t>
      </w:r>
      <w:r>
        <w:rPr>
          <w:rFonts w:eastAsia="Calibri"/>
          <w:szCs w:val="22"/>
          <w:lang w:eastAsia="de-DE" w:bidi="de-DE"/>
        </w:rPr>
        <w:t>rechtfertigt</w:t>
      </w:r>
      <w:r w:rsidRPr="002616E4">
        <w:rPr>
          <w:rFonts w:eastAsia="Calibri"/>
          <w:szCs w:val="22"/>
          <w:lang w:eastAsia="de-DE" w:bidi="de-DE"/>
        </w:rPr>
        <w:t>; in Ermangelung eine</w:t>
      </w:r>
      <w:r>
        <w:rPr>
          <w:rFonts w:eastAsia="Calibri"/>
          <w:szCs w:val="22"/>
          <w:lang w:eastAsia="de-DE" w:bidi="de-DE"/>
        </w:rPr>
        <w:t>r</w:t>
      </w:r>
      <w:r w:rsidRPr="002616E4">
        <w:rPr>
          <w:rFonts w:eastAsia="Calibri"/>
          <w:szCs w:val="22"/>
          <w:lang w:eastAsia="de-DE" w:bidi="de-DE"/>
        </w:rPr>
        <w:t xml:space="preserve"> solchen </w:t>
      </w:r>
      <w:r>
        <w:rPr>
          <w:rFonts w:eastAsia="Calibri"/>
          <w:szCs w:val="22"/>
          <w:lang w:eastAsia="de-DE" w:bidi="de-DE"/>
        </w:rPr>
        <w:t>Rechtfertigung</w:t>
      </w:r>
      <w:r w:rsidRPr="002616E4">
        <w:rPr>
          <w:rFonts w:eastAsia="Calibri"/>
          <w:szCs w:val="22"/>
          <w:lang w:eastAsia="de-DE" w:bidi="de-DE"/>
        </w:rPr>
        <w:t xml:space="preserve"> bei Ablauf eines Besteuerungszeitraums gilt die Wertminderung beziehungsweise Rückstellung als Gewinn dieses Besteuerungszeitraums. </w:t>
      </w:r>
    </w:p>
    <w:p w14:paraId="3430043F" w14:textId="77777777" w:rsidR="005A5BD5" w:rsidRPr="002616E4" w:rsidRDefault="005A5BD5" w:rsidP="004C2C7D">
      <w:pPr>
        <w:jc w:val="both"/>
        <w:rPr>
          <w:rFonts w:eastAsia="Calibri"/>
          <w:szCs w:val="22"/>
          <w:lang w:eastAsia="de-DE" w:bidi="de-DE"/>
        </w:rPr>
      </w:pPr>
    </w:p>
    <w:p w14:paraId="311FB1EA" w14:textId="77777777" w:rsidR="005A5BD5" w:rsidRPr="002616E4" w:rsidRDefault="005A5BD5" w:rsidP="004C2C7D">
      <w:pPr>
        <w:jc w:val="both"/>
        <w:rPr>
          <w:rFonts w:eastAsia="Calibri"/>
          <w:szCs w:val="22"/>
          <w:lang w:eastAsia="de-DE" w:bidi="de-DE"/>
        </w:rPr>
      </w:pPr>
    </w:p>
    <w:p w14:paraId="27F92D5C" w14:textId="1203AE2F" w:rsidR="005A5BD5" w:rsidRPr="002616E4" w:rsidRDefault="005A5BD5" w:rsidP="004C2C7D">
      <w:pPr>
        <w:jc w:val="both"/>
        <w:rPr>
          <w:rFonts w:eastAsia="Calibri"/>
          <w:szCs w:val="22"/>
          <w:lang w:eastAsia="de-DE" w:bidi="de-DE"/>
        </w:rPr>
      </w:pPr>
      <w:r w:rsidRPr="002616E4">
        <w:rPr>
          <w:rFonts w:eastAsia="Calibri"/>
          <w:szCs w:val="22"/>
          <w:lang w:eastAsia="de-DE" w:bidi="de-DE"/>
        </w:rPr>
        <w:t>[</w:t>
      </w:r>
      <w:r w:rsidRPr="002616E4">
        <w:rPr>
          <w:rFonts w:eastAsia="Calibri"/>
          <w:i/>
          <w:szCs w:val="22"/>
          <w:lang w:eastAsia="de-DE" w:bidi="de-DE"/>
        </w:rPr>
        <w:t>Abschnitt 9bis</w:t>
      </w:r>
      <w:r w:rsidRPr="002616E4">
        <w:rPr>
          <w:rFonts w:eastAsia="Calibri"/>
          <w:szCs w:val="22"/>
          <w:lang w:eastAsia="de-DE" w:bidi="de-DE"/>
        </w:rPr>
        <w:t> - Steuerbefreiung der Gewinne aus Minderwerten, die infolge der Homologierung eines Reorganisationsplans oder der Feststellung einer gütlichen Einigung gebucht worden sind</w:t>
      </w:r>
    </w:p>
    <w:p w14:paraId="1D4DE39D" w14:textId="77777777" w:rsidR="005A5BD5" w:rsidRPr="002616E4" w:rsidRDefault="005A5BD5" w:rsidP="004C2C7D">
      <w:pPr>
        <w:jc w:val="center"/>
        <w:rPr>
          <w:rFonts w:eastAsia="Calibri"/>
          <w:szCs w:val="22"/>
          <w:lang w:eastAsia="de-DE" w:bidi="de-DE"/>
        </w:rPr>
      </w:pPr>
    </w:p>
    <w:p w14:paraId="5021B28F"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(Einkommensteuergesetzbuch 1992, Artikel 48/1)</w:t>
      </w:r>
    </w:p>
    <w:p w14:paraId="37CBFE74" w14:textId="77777777" w:rsidR="005A5BD5" w:rsidRPr="002616E4" w:rsidRDefault="005A5BD5" w:rsidP="004C2C7D">
      <w:pPr>
        <w:jc w:val="both"/>
        <w:rPr>
          <w:rFonts w:eastAsia="Calibri"/>
          <w:szCs w:val="22"/>
          <w:lang w:eastAsia="de-DE" w:bidi="de-DE"/>
        </w:rPr>
      </w:pPr>
    </w:p>
    <w:p w14:paraId="27ED6E33" w14:textId="77777777" w:rsidR="005A5BD5" w:rsidRPr="002616E4" w:rsidRDefault="005A5BD5" w:rsidP="004C2C7D">
      <w:pPr>
        <w:jc w:val="both"/>
        <w:rPr>
          <w:rFonts w:eastAsia="Calibri"/>
          <w:i/>
          <w:szCs w:val="22"/>
          <w:lang w:eastAsia="de-DE" w:bidi="de-DE"/>
        </w:rPr>
      </w:pPr>
      <w:r w:rsidRPr="002616E4">
        <w:rPr>
          <w:rFonts w:eastAsia="Calibri"/>
          <w:i/>
          <w:szCs w:val="22"/>
          <w:lang w:eastAsia="de-DE" w:bidi="de-DE"/>
        </w:rPr>
        <w:t>[Abschnitt 9bis mit Art. 27/1 eingefügt durch Art. 1 des K.E. vom 9. Juli 2010 (B.S. vom 16. Juli 2010)]</w:t>
      </w:r>
    </w:p>
    <w:p w14:paraId="5AA96DFF" w14:textId="77777777" w:rsidR="005A5BD5" w:rsidRPr="002616E4" w:rsidRDefault="005A5BD5" w:rsidP="004C2C7D">
      <w:pPr>
        <w:jc w:val="both"/>
        <w:rPr>
          <w:rFonts w:eastAsia="Calibri"/>
          <w:szCs w:val="22"/>
          <w:lang w:eastAsia="de-DE" w:bidi="de-DE"/>
        </w:rPr>
      </w:pPr>
    </w:p>
    <w:p w14:paraId="30EDB6D0" w14:textId="77777777" w:rsidR="005A5BD5" w:rsidRPr="002616E4" w:rsidRDefault="005A5BD5" w:rsidP="004C2C7D">
      <w:pPr>
        <w:jc w:val="both"/>
        <w:rPr>
          <w:rFonts w:eastAsia="Calibri"/>
          <w:szCs w:val="22"/>
          <w:lang w:eastAsia="de-DE" w:bidi="de-DE"/>
        </w:rPr>
      </w:pPr>
    </w:p>
    <w:p w14:paraId="2A8B27F9" w14:textId="7CA874F1"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27/1</w:t>
      </w:r>
      <w:r w:rsidRPr="002616E4">
        <w:rPr>
          <w:rFonts w:eastAsia="Calibri"/>
          <w:szCs w:val="22"/>
          <w:lang w:eastAsia="de-DE" w:bidi="de-DE"/>
        </w:rPr>
        <w:t xml:space="preserve"> - § 1 - Die in Artikel 48/1 des Einkommensteuergesetzbuches 1992 erwähnte Steuerbefreiung ist anwendbar auf das Steuerjahr, das sich auf den Besteuerungszeitraum bezieht, in dem der Reorganisationsplan oder die gütliche Einigung vollständig ausgeführt worden ist, sofern der Steuerpflichtige eine Abschrift des im </w:t>
      </w:r>
      <w:r w:rsidRPr="002616E4">
        <w:rPr>
          <w:rFonts w:eastAsia="Calibri"/>
          <w:i/>
          <w:szCs w:val="22"/>
          <w:lang w:eastAsia="de-DE" w:bidi="de-DE"/>
        </w:rPr>
        <w:t>Belgischen Staatsblatt</w:t>
      </w:r>
      <w:r w:rsidRPr="002616E4">
        <w:rPr>
          <w:rFonts w:eastAsia="Calibri"/>
          <w:szCs w:val="22"/>
          <w:lang w:eastAsia="de-DE" w:bidi="de-DE"/>
        </w:rPr>
        <w:t xml:space="preserve"> veröffentlichten Urteils übermittelt, das in Ausführung von </w:t>
      </w:r>
      <w:r w:rsidR="00F738D5">
        <w:rPr>
          <w:rFonts w:eastAsia="Calibri"/>
          <w:szCs w:val="22"/>
          <w:lang w:eastAsia="de-DE" w:bidi="de-DE"/>
        </w:rPr>
        <w:t>[</w:t>
      </w:r>
      <w:r w:rsidR="00F738D5" w:rsidRPr="000F0B8A">
        <w:t>Artikel XX.79 des Wirtschaftsgesetzbuches</w:t>
      </w:r>
      <w:r w:rsidR="00F738D5">
        <w:t>]</w:t>
      </w:r>
      <w:r w:rsidR="00F738D5">
        <w:rPr>
          <w:rFonts w:eastAsia="Calibri"/>
          <w:szCs w:val="22"/>
          <w:lang w:eastAsia="de-DE" w:bidi="de-DE"/>
        </w:rPr>
        <w:t xml:space="preserve"> </w:t>
      </w:r>
      <w:r w:rsidRPr="002616E4">
        <w:rPr>
          <w:rFonts w:eastAsia="Calibri"/>
          <w:szCs w:val="22"/>
          <w:lang w:eastAsia="de-DE" w:bidi="de-DE"/>
        </w:rPr>
        <w:t xml:space="preserve">den Reorganisationsplan homologiert oder in Ausführung von </w:t>
      </w:r>
      <w:r w:rsidR="00F738D5">
        <w:rPr>
          <w:rFonts w:eastAsia="Calibri"/>
          <w:szCs w:val="22"/>
          <w:lang w:eastAsia="de-DE" w:bidi="de-DE"/>
        </w:rPr>
        <w:t>[</w:t>
      </w:r>
      <w:r w:rsidR="00F738D5" w:rsidRPr="000F0B8A">
        <w:t>Artikel XX.65 des Wirtschafts</w:t>
      </w:r>
      <w:r w:rsidR="00F738D5" w:rsidRPr="000F0B8A">
        <w:softHyphen/>
        <w:t>gesetzbuches</w:t>
      </w:r>
      <w:r w:rsidR="00F738D5">
        <w:t>]</w:t>
      </w:r>
      <w:r w:rsidR="00F738D5">
        <w:rPr>
          <w:rFonts w:eastAsia="Calibri"/>
          <w:szCs w:val="22"/>
          <w:lang w:eastAsia="de-DE" w:bidi="de-DE"/>
        </w:rPr>
        <w:t xml:space="preserve"> </w:t>
      </w:r>
      <w:r w:rsidRPr="002616E4">
        <w:rPr>
          <w:rFonts w:eastAsia="Calibri"/>
          <w:szCs w:val="22"/>
          <w:lang w:eastAsia="de-DE" w:bidi="de-DE"/>
        </w:rPr>
        <w:t xml:space="preserve">die gütliche Einigung feststellt, und er nachweist, dass dieser Plan beziehungsweise diese Einigung vollständig ausgeführt worden ist. </w:t>
      </w:r>
    </w:p>
    <w:p w14:paraId="37895034" w14:textId="77777777" w:rsidR="005A5BD5" w:rsidRPr="002616E4" w:rsidRDefault="005A5BD5" w:rsidP="004C2C7D">
      <w:pPr>
        <w:jc w:val="both"/>
        <w:rPr>
          <w:rFonts w:eastAsia="Calibri"/>
          <w:szCs w:val="22"/>
          <w:lang w:eastAsia="de-DE" w:bidi="de-DE"/>
        </w:rPr>
      </w:pPr>
    </w:p>
    <w:p w14:paraId="071EB339" w14:textId="77777777" w:rsidR="00811447" w:rsidRDefault="00811447">
      <w:pPr>
        <w:rPr>
          <w:rFonts w:eastAsia="Calibri"/>
          <w:szCs w:val="22"/>
          <w:lang w:eastAsia="de-DE" w:bidi="de-DE"/>
        </w:rPr>
      </w:pPr>
      <w:r>
        <w:rPr>
          <w:rFonts w:eastAsia="Calibri"/>
          <w:szCs w:val="22"/>
          <w:lang w:eastAsia="de-DE" w:bidi="de-DE"/>
        </w:rPr>
        <w:br w:type="page"/>
      </w:r>
    </w:p>
    <w:p w14:paraId="29D69F14" w14:textId="0D801E7F" w:rsidR="005A5BD5" w:rsidRPr="002616E4" w:rsidRDefault="005A5BD5" w:rsidP="004C2C7D">
      <w:pPr>
        <w:jc w:val="both"/>
        <w:rPr>
          <w:rFonts w:eastAsia="Calibri"/>
          <w:szCs w:val="22"/>
          <w:lang w:eastAsia="de-DE" w:bidi="de-DE"/>
        </w:rPr>
      </w:pPr>
      <w:r w:rsidRPr="002616E4">
        <w:rPr>
          <w:rFonts w:eastAsia="Calibri"/>
          <w:szCs w:val="22"/>
          <w:lang w:eastAsia="de-DE" w:bidi="de-DE"/>
        </w:rPr>
        <w:lastRenderedPageBreak/>
        <w:tab/>
        <w:t xml:space="preserve">§ 2 - In Abweichung von § 1 findet die in Artikel 48/1 </w:t>
      </w:r>
      <w:r w:rsidR="00F738D5">
        <w:rPr>
          <w:rFonts w:eastAsia="Calibri"/>
          <w:szCs w:val="22"/>
          <w:lang w:eastAsia="de-DE" w:bidi="de-DE"/>
        </w:rPr>
        <w:t>[</w:t>
      </w:r>
      <w:r w:rsidR="00F738D5" w:rsidRPr="000F0B8A">
        <w:t>des Einkom</w:t>
      </w:r>
      <w:r w:rsidR="00F738D5" w:rsidRPr="000F0B8A">
        <w:softHyphen/>
        <w:t>mensteuergesetzbuches 1992</w:t>
      </w:r>
      <w:r w:rsidR="00F738D5">
        <w:t>]</w:t>
      </w:r>
      <w:r w:rsidRPr="002616E4">
        <w:rPr>
          <w:rFonts w:eastAsia="Calibri"/>
          <w:szCs w:val="22"/>
          <w:lang w:eastAsia="de-DE" w:bidi="de-DE"/>
        </w:rPr>
        <w:t xml:space="preserve"> erwähnte Steuerbefreiung Anwendung auf das Steuerjahr, das sich auf den Besteuerungszeitraum bezieht, in dem das Urteil in Ausführung </w:t>
      </w:r>
      <w:r w:rsidR="00F738D5">
        <w:rPr>
          <w:rFonts w:eastAsia="Calibri"/>
          <w:szCs w:val="22"/>
          <w:lang w:eastAsia="de-DE" w:bidi="de-DE"/>
        </w:rPr>
        <w:t>[</w:t>
      </w:r>
      <w:r w:rsidR="00F738D5" w:rsidRPr="000F0B8A">
        <w:t>der Artikel XX.65 beziehungsweise XX.79 des Wirtschaftsgesetzbuches</w:t>
      </w:r>
      <w:r w:rsidR="00F738D5">
        <w:t>]</w:t>
      </w:r>
      <w:r w:rsidRPr="002616E4">
        <w:rPr>
          <w:rFonts w:eastAsia="Calibri"/>
          <w:szCs w:val="22"/>
          <w:lang w:eastAsia="de-DE" w:bidi="de-DE"/>
        </w:rPr>
        <w:t xml:space="preserve"> im </w:t>
      </w:r>
      <w:r w:rsidRPr="002616E4">
        <w:rPr>
          <w:rFonts w:eastAsia="Calibri"/>
          <w:i/>
          <w:szCs w:val="22"/>
          <w:lang w:eastAsia="de-DE" w:bidi="de-DE"/>
        </w:rPr>
        <w:t>Belgischen Staatsblatt</w:t>
      </w:r>
      <w:r w:rsidRPr="002616E4">
        <w:rPr>
          <w:rFonts w:eastAsia="Calibri"/>
          <w:szCs w:val="22"/>
          <w:lang w:eastAsia="de-DE" w:bidi="de-DE"/>
        </w:rPr>
        <w:t xml:space="preserve"> veröffentlicht wird, und wird diese Steuerbefreiung für die nachfolgenden Steuerjahre aufrechterhalten, sofern: </w:t>
      </w:r>
    </w:p>
    <w:p w14:paraId="29A180FB" w14:textId="77777777" w:rsidR="005A5BD5" w:rsidRPr="002616E4" w:rsidRDefault="005A5BD5" w:rsidP="004C2C7D">
      <w:pPr>
        <w:jc w:val="both"/>
        <w:rPr>
          <w:rFonts w:eastAsia="Calibri"/>
          <w:szCs w:val="22"/>
          <w:lang w:eastAsia="de-DE" w:bidi="de-DE"/>
        </w:rPr>
      </w:pPr>
    </w:p>
    <w:p w14:paraId="33DDF84C"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1. steuerfreie Gewinne bis zu dem Datum, an dem der Reorganisationsplan oder die gütliche Einigung vollständig ausgeführt ist, auf einem getrennten Konto der Passivseite der Bilanz gebucht sind und bleiben,</w:t>
      </w:r>
    </w:p>
    <w:p w14:paraId="658B50A7" w14:textId="77777777" w:rsidR="005A5BD5" w:rsidRPr="002616E4" w:rsidRDefault="005A5BD5" w:rsidP="004C2C7D">
      <w:pPr>
        <w:jc w:val="both"/>
        <w:rPr>
          <w:rFonts w:eastAsia="Calibri"/>
          <w:szCs w:val="22"/>
          <w:lang w:eastAsia="de-DE" w:bidi="de-DE"/>
        </w:rPr>
      </w:pPr>
    </w:p>
    <w:p w14:paraId="2CA1F6BA"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2. steuerfreie Gewinne bis zu dem Datum, an dem der Reorganisationsplan oder die gütliche Einigung vollständig ausgeführt ist, nicht als Grundlage für die Berechnung von Entlohnungen oder Zuerkennungen dienen,</w:t>
      </w:r>
    </w:p>
    <w:p w14:paraId="5C83122A" w14:textId="77777777" w:rsidR="005A5BD5" w:rsidRPr="002616E4" w:rsidRDefault="005A5BD5" w:rsidP="004C2C7D">
      <w:pPr>
        <w:jc w:val="both"/>
        <w:rPr>
          <w:rFonts w:eastAsia="Calibri"/>
          <w:szCs w:val="22"/>
          <w:lang w:eastAsia="de-DE" w:bidi="de-DE"/>
        </w:rPr>
      </w:pPr>
    </w:p>
    <w:p w14:paraId="2B5CB1DF"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3. Steuerpflichtige, die die Steuerbefreiung beanspruchen, eine Abschrift des betreffenden im </w:t>
      </w:r>
      <w:r w:rsidRPr="002616E4">
        <w:rPr>
          <w:rFonts w:eastAsia="Calibri"/>
          <w:i/>
          <w:szCs w:val="22"/>
          <w:lang w:eastAsia="de-DE" w:bidi="de-DE"/>
        </w:rPr>
        <w:t xml:space="preserve">Belgischen Staatsblatt </w:t>
      </w:r>
      <w:r w:rsidRPr="002616E4">
        <w:rPr>
          <w:rFonts w:eastAsia="Calibri"/>
          <w:szCs w:val="22"/>
          <w:lang w:eastAsia="de-DE" w:bidi="de-DE"/>
        </w:rPr>
        <w:t>veröffentlichten Urteils übermitteln,</w:t>
      </w:r>
    </w:p>
    <w:p w14:paraId="1E207EF9" w14:textId="77777777" w:rsidR="0094417E" w:rsidRDefault="0094417E" w:rsidP="004C2C7D">
      <w:pPr>
        <w:jc w:val="both"/>
        <w:rPr>
          <w:rFonts w:eastAsia="Calibri"/>
          <w:szCs w:val="22"/>
          <w:lang w:eastAsia="de-DE" w:bidi="de-DE"/>
        </w:rPr>
      </w:pPr>
    </w:p>
    <w:p w14:paraId="5FB3CA75"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4. Steuerpflichtige, die die Aufrechterhaltung der Steuerbefreiung für einen Besteuerungszeitraum beanspruchen, eine Unterlage übermitteln, aus der hervorgeht, dass der Reorganisationsplan oder die gütliche Einigung noch nicht vollständig ausgeführt ist und am Datum des Abschlusses des betreffenden Besteuerungszeitraums noch immer eingehalten wird. </w:t>
      </w:r>
    </w:p>
    <w:p w14:paraId="0F6AC698" w14:textId="77777777" w:rsidR="007D4A9A" w:rsidRDefault="007D4A9A" w:rsidP="004C2C7D">
      <w:pPr>
        <w:jc w:val="both"/>
        <w:rPr>
          <w:rFonts w:eastAsia="Calibri"/>
          <w:szCs w:val="22"/>
          <w:lang w:eastAsia="de-DE" w:bidi="de-DE"/>
        </w:rPr>
      </w:pPr>
    </w:p>
    <w:p w14:paraId="0E5171C4"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Falls eine dieser Bedingungen während eines Besteuerungszeitraums nicht mehr erfüllt wird oder fehlt, gelten die vorher steuerfreien Gewinne als in diesem Besteuerungs</w:t>
      </w:r>
      <w:r>
        <w:rPr>
          <w:rFonts w:eastAsia="Calibri"/>
          <w:szCs w:val="22"/>
          <w:lang w:eastAsia="de-DE" w:bidi="de-DE"/>
        </w:rPr>
        <w:softHyphen/>
      </w:r>
      <w:r w:rsidRPr="002616E4">
        <w:rPr>
          <w:rFonts w:eastAsia="Calibri"/>
          <w:szCs w:val="22"/>
          <w:lang w:eastAsia="de-DE" w:bidi="de-DE"/>
        </w:rPr>
        <w:t>zeitraum erzielte Gewinne.</w:t>
      </w:r>
    </w:p>
    <w:p w14:paraId="658616AF" w14:textId="77777777" w:rsidR="005A5BD5" w:rsidRPr="002616E4" w:rsidRDefault="005A5BD5" w:rsidP="004C2C7D">
      <w:pPr>
        <w:jc w:val="both"/>
        <w:rPr>
          <w:rFonts w:eastAsia="Calibri"/>
          <w:szCs w:val="22"/>
          <w:lang w:eastAsia="de-DE" w:bidi="de-DE"/>
        </w:rPr>
      </w:pPr>
    </w:p>
    <w:p w14:paraId="64213766"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Die gemäß Absatz 1 zeitweilig steuerfreien Summen werden unter den in § 1 erwähnten Bedingungen definitiv steuerfrei ab dem Steuerjahr, das sich auf den Besteuerungszeitraum bezieht, in dem der Reorganisationsplan oder die gütliche Einigung vollständig ausgeführt worden ist.</w:t>
      </w:r>
    </w:p>
    <w:p w14:paraId="69573F9C" w14:textId="77777777" w:rsidR="005A5BD5" w:rsidRPr="002616E4" w:rsidRDefault="005A5BD5" w:rsidP="004C2C7D">
      <w:pPr>
        <w:jc w:val="both"/>
        <w:rPr>
          <w:rFonts w:eastAsia="Calibri"/>
          <w:szCs w:val="22"/>
          <w:lang w:eastAsia="de-DE" w:bidi="de-DE"/>
        </w:rPr>
      </w:pPr>
    </w:p>
    <w:p w14:paraId="533031AA" w14:textId="2C21517F" w:rsidR="005A5BD5" w:rsidRDefault="005A5BD5" w:rsidP="004C2C7D">
      <w:pPr>
        <w:jc w:val="both"/>
        <w:rPr>
          <w:rFonts w:eastAsia="Calibri"/>
          <w:szCs w:val="22"/>
          <w:lang w:eastAsia="de-DE" w:bidi="de-DE"/>
        </w:rPr>
      </w:pPr>
      <w:r w:rsidRPr="002616E4">
        <w:rPr>
          <w:rFonts w:eastAsia="Calibri"/>
          <w:szCs w:val="22"/>
          <w:lang w:eastAsia="de-DE" w:bidi="de-DE"/>
        </w:rPr>
        <w:tab/>
        <w:t>§ 3 - Die in § 1 und § 2 Absatz 1 Nr. 3 und 4 erwähnten Unterlagen müssen der in Artikel 305 des Einkommensteuergesetzbuches 1992 erwähnten Erklärung mit Bezug auf den Besteuerungszeitraum, für den der Steuerpflichtige die Steuerbefreiung beanspruchen oder aufrechterhalten möchte, beigefügt werden.]</w:t>
      </w:r>
    </w:p>
    <w:p w14:paraId="15403368" w14:textId="5B00CE15" w:rsidR="00F738D5" w:rsidRDefault="00F738D5" w:rsidP="004C2C7D">
      <w:pPr>
        <w:jc w:val="both"/>
        <w:rPr>
          <w:rFonts w:eastAsia="Calibri"/>
          <w:szCs w:val="22"/>
          <w:lang w:eastAsia="de-DE" w:bidi="de-DE"/>
        </w:rPr>
      </w:pPr>
    </w:p>
    <w:p w14:paraId="48EEE966" w14:textId="4EB3A37F" w:rsidR="00F738D5" w:rsidRPr="00F738D5" w:rsidRDefault="00F738D5" w:rsidP="004C2C7D">
      <w:pPr>
        <w:jc w:val="both"/>
        <w:rPr>
          <w:rFonts w:eastAsia="Calibri"/>
          <w:i/>
          <w:szCs w:val="22"/>
          <w:lang w:eastAsia="de-DE" w:bidi="de-DE"/>
        </w:rPr>
      </w:pPr>
      <w:r>
        <w:rPr>
          <w:rFonts w:eastAsia="Calibri"/>
          <w:i/>
          <w:szCs w:val="22"/>
          <w:lang w:eastAsia="de-DE" w:bidi="de-DE"/>
        </w:rPr>
        <w:t>[Art. 27/1 § 1 abgeändert durch Art. 9 Buchstabe a) des K.E. vom 3. Oktober 2019 (B.S. vom 30. Oktober 2019); § 2 Abs. 1 einleitende Bestimmung abgeändert durch Art. 9 Buchstabe b) des K.E. vom 3. Oktober 2019 (B.S. vom 30. Oktober 2019)]</w:t>
      </w:r>
    </w:p>
    <w:p w14:paraId="7AEE3978" w14:textId="77777777" w:rsidR="005A5BD5" w:rsidRPr="002616E4" w:rsidRDefault="005A5BD5" w:rsidP="004C2C7D">
      <w:pPr>
        <w:jc w:val="both"/>
        <w:rPr>
          <w:rFonts w:eastAsia="Calibri"/>
          <w:szCs w:val="22"/>
          <w:lang w:eastAsia="de-DE" w:bidi="de-DE"/>
        </w:rPr>
      </w:pPr>
    </w:p>
    <w:p w14:paraId="201FB452" w14:textId="77777777" w:rsidR="0094417E" w:rsidRDefault="0094417E">
      <w:pPr>
        <w:rPr>
          <w:rFonts w:eastAsia="Calibri"/>
          <w:i/>
          <w:szCs w:val="22"/>
          <w:lang w:eastAsia="de-DE" w:bidi="de-DE"/>
        </w:rPr>
      </w:pPr>
    </w:p>
    <w:p w14:paraId="7B556DD9" w14:textId="77777777" w:rsidR="005A5BD5" w:rsidRPr="002616E4" w:rsidRDefault="005A5BD5" w:rsidP="004C2C7D">
      <w:pPr>
        <w:jc w:val="center"/>
        <w:rPr>
          <w:rFonts w:eastAsia="Calibri"/>
          <w:szCs w:val="22"/>
          <w:lang w:eastAsia="de-DE" w:bidi="de-DE"/>
        </w:rPr>
      </w:pPr>
      <w:r w:rsidRPr="002616E4">
        <w:rPr>
          <w:rFonts w:eastAsia="Calibri"/>
          <w:i/>
          <w:szCs w:val="22"/>
          <w:lang w:eastAsia="de-DE" w:bidi="de-DE"/>
        </w:rPr>
        <w:t>Abschnitt 10</w:t>
      </w:r>
      <w:r w:rsidRPr="002616E4">
        <w:rPr>
          <w:rFonts w:eastAsia="Calibri"/>
          <w:szCs w:val="22"/>
          <w:lang w:eastAsia="de-DE" w:bidi="de-DE"/>
        </w:rPr>
        <w:t xml:space="preserve"> - Pauschaler Abzug </w:t>
      </w:r>
      <w:r>
        <w:rPr>
          <w:rFonts w:eastAsia="Calibri"/>
          <w:szCs w:val="22"/>
          <w:lang w:eastAsia="de-DE" w:bidi="de-DE"/>
        </w:rPr>
        <w:t>für</w:t>
      </w:r>
      <w:r w:rsidRPr="002616E4">
        <w:rPr>
          <w:rFonts w:eastAsia="Calibri"/>
          <w:szCs w:val="22"/>
          <w:lang w:eastAsia="de-DE" w:bidi="de-DE"/>
        </w:rPr>
        <w:t xml:space="preserve"> außergewöhnliche Werbungskosten, die aufgrund der Entfernung zwischen Wohnsitz und Arbeitsplatz entstehen</w:t>
      </w:r>
    </w:p>
    <w:p w14:paraId="176429A7" w14:textId="77777777" w:rsidR="005A5BD5" w:rsidRPr="002616E4" w:rsidRDefault="005A5BD5" w:rsidP="004C2C7D">
      <w:pPr>
        <w:jc w:val="center"/>
        <w:rPr>
          <w:rFonts w:eastAsia="Calibri"/>
          <w:szCs w:val="22"/>
          <w:lang w:eastAsia="de-DE" w:bidi="de-DE"/>
        </w:rPr>
      </w:pPr>
    </w:p>
    <w:p w14:paraId="789E9D0B"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(Einkommensteuergesetzbuch 1992, Artikel 51 Absatz 4)</w:t>
      </w:r>
    </w:p>
    <w:p w14:paraId="77FBA3BB" w14:textId="77777777" w:rsidR="005A5BD5" w:rsidRPr="002616E4" w:rsidRDefault="005A5BD5" w:rsidP="004C2C7D">
      <w:pPr>
        <w:jc w:val="both"/>
        <w:rPr>
          <w:rFonts w:eastAsia="Calibri"/>
          <w:szCs w:val="22"/>
          <w:lang w:eastAsia="de-DE" w:bidi="de-DE"/>
        </w:rPr>
      </w:pPr>
    </w:p>
    <w:p w14:paraId="0BC53D24" w14:textId="77777777" w:rsidR="005A5BD5" w:rsidRPr="002616E4" w:rsidRDefault="005A5BD5" w:rsidP="004C2C7D">
      <w:pPr>
        <w:jc w:val="both"/>
        <w:rPr>
          <w:rFonts w:eastAsia="Calibri"/>
          <w:szCs w:val="22"/>
          <w:lang w:eastAsia="de-DE" w:bidi="de-DE"/>
        </w:rPr>
      </w:pPr>
    </w:p>
    <w:p w14:paraId="28C73977"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28</w:t>
      </w:r>
      <w:r w:rsidRPr="002616E4">
        <w:rPr>
          <w:rFonts w:eastAsia="Calibri"/>
          <w:szCs w:val="22"/>
          <w:lang w:eastAsia="de-DE" w:bidi="de-DE"/>
        </w:rPr>
        <w:t xml:space="preserve"> - Der in Artikel 51 Absatz 4 des Einkommensteuergesetzbuches 1992 erwähnte Betrag wird auf [75 EUR], [125 EUR] beziehungsweise [175 EUR] festgelegt, je nachdem ob </w:t>
      </w:r>
      <w:r w:rsidRPr="002616E4">
        <w:rPr>
          <w:rFonts w:eastAsia="Calibri"/>
          <w:szCs w:val="22"/>
          <w:lang w:eastAsia="de-DE" w:bidi="de-DE"/>
        </w:rPr>
        <w:lastRenderedPageBreak/>
        <w:t>die Entfernung zwischen dem Wohnsitz des Steuerpflichtigen und seinem Arbeitsplatz am 1. Januar des Steuerjahres 75 bis 100 km, 101 bis 125 km oder mehr als 125 km beträgt.</w:t>
      </w:r>
    </w:p>
    <w:p w14:paraId="7DF44439" w14:textId="77777777" w:rsidR="005A5BD5" w:rsidRPr="002616E4" w:rsidRDefault="005A5BD5" w:rsidP="004C2C7D">
      <w:pPr>
        <w:jc w:val="both"/>
        <w:rPr>
          <w:rFonts w:eastAsia="Calibri"/>
          <w:szCs w:val="22"/>
          <w:lang w:eastAsia="de-DE" w:bidi="de-DE"/>
        </w:rPr>
      </w:pPr>
    </w:p>
    <w:p w14:paraId="1EEA2F2D" w14:textId="77777777" w:rsidR="005A5BD5" w:rsidRPr="002616E4" w:rsidRDefault="005A5BD5" w:rsidP="004C2C7D">
      <w:pPr>
        <w:jc w:val="both"/>
        <w:rPr>
          <w:rFonts w:eastAsia="Calibri"/>
          <w:i/>
          <w:szCs w:val="22"/>
          <w:lang w:eastAsia="de-DE" w:bidi="de-DE"/>
        </w:rPr>
      </w:pPr>
      <w:r w:rsidRPr="002616E4">
        <w:rPr>
          <w:rFonts w:eastAsia="Calibri"/>
          <w:i/>
          <w:szCs w:val="22"/>
          <w:lang w:eastAsia="de-DE" w:bidi="de-DE"/>
        </w:rPr>
        <w:t>[Art. 28 abgeändert durch Art. 2 Tabelle des K.E. vom 20. Juli 2000 (B.S. vom 30. August 2000), selbst abgeändert durch Art. 37 Nr. 6 des K.E. vom 13. Juli 2001 (B.S. vom 11. August 2001)]</w:t>
      </w:r>
    </w:p>
    <w:p w14:paraId="19209D8D" w14:textId="77777777" w:rsidR="005A5BD5" w:rsidRPr="002616E4" w:rsidRDefault="005A5BD5" w:rsidP="004C2C7D">
      <w:pPr>
        <w:jc w:val="both"/>
        <w:rPr>
          <w:rFonts w:eastAsia="Calibri"/>
          <w:szCs w:val="22"/>
          <w:lang w:eastAsia="de-DE" w:bidi="de-DE"/>
        </w:rPr>
      </w:pPr>
    </w:p>
    <w:p w14:paraId="1348F9A6" w14:textId="77777777" w:rsidR="005A5BD5" w:rsidRPr="002616E4" w:rsidRDefault="005A5BD5" w:rsidP="004C2C7D">
      <w:pPr>
        <w:jc w:val="both"/>
        <w:rPr>
          <w:rFonts w:eastAsia="Calibri"/>
          <w:szCs w:val="22"/>
          <w:lang w:eastAsia="de-DE" w:bidi="de-DE"/>
        </w:rPr>
      </w:pPr>
    </w:p>
    <w:p w14:paraId="719E1D75" w14:textId="215A4D8D" w:rsidR="005A5BD5" w:rsidRPr="002616E4" w:rsidRDefault="005A5BD5" w:rsidP="004C2C7D">
      <w:pPr>
        <w:jc w:val="center"/>
        <w:rPr>
          <w:rFonts w:eastAsia="Calibri"/>
          <w:szCs w:val="22"/>
          <w:lang w:eastAsia="de-DE" w:bidi="de-DE"/>
        </w:rPr>
      </w:pPr>
      <w:r w:rsidRPr="002616E4">
        <w:rPr>
          <w:rFonts w:eastAsia="Calibri"/>
          <w:szCs w:val="22"/>
          <w:lang w:eastAsia="de-DE" w:bidi="de-DE"/>
        </w:rPr>
        <w:t>[</w:t>
      </w:r>
      <w:r w:rsidRPr="002616E4">
        <w:rPr>
          <w:rFonts w:eastAsia="Calibri"/>
          <w:i/>
          <w:szCs w:val="22"/>
          <w:lang w:eastAsia="de-DE" w:bidi="de-DE"/>
        </w:rPr>
        <w:t>Abschnitt 11 </w:t>
      </w:r>
      <w:r w:rsidRPr="002616E4">
        <w:rPr>
          <w:rFonts w:eastAsia="Calibri"/>
          <w:szCs w:val="22"/>
          <w:lang w:eastAsia="de-DE" w:bidi="de-DE"/>
        </w:rPr>
        <w:t>- [</w:t>
      </w:r>
      <w:r w:rsidR="009251F9">
        <w:rPr>
          <w:rFonts w:eastAsia="Calibri"/>
          <w:szCs w:val="22"/>
          <w:lang w:eastAsia="de-DE" w:bidi="de-DE"/>
        </w:rPr>
        <w:t>…</w:t>
      </w:r>
      <w:r w:rsidRPr="002616E4">
        <w:rPr>
          <w:rFonts w:eastAsia="Calibri"/>
          <w:szCs w:val="22"/>
          <w:lang w:eastAsia="de-DE" w:bidi="de-DE"/>
        </w:rPr>
        <w:t>]</w:t>
      </w:r>
    </w:p>
    <w:p w14:paraId="59DD0EA2" w14:textId="77777777" w:rsidR="005A5BD5" w:rsidRPr="002616E4" w:rsidRDefault="005A5BD5" w:rsidP="004C2C7D">
      <w:pPr>
        <w:jc w:val="center"/>
        <w:rPr>
          <w:rFonts w:eastAsia="Calibri"/>
          <w:szCs w:val="22"/>
          <w:lang w:eastAsia="de-DE" w:bidi="de-DE"/>
        </w:rPr>
      </w:pPr>
    </w:p>
    <w:p w14:paraId="108743E2" w14:textId="77777777" w:rsidR="005A5BD5" w:rsidRPr="002616E4" w:rsidRDefault="005A5BD5" w:rsidP="004C2C7D">
      <w:pPr>
        <w:jc w:val="both"/>
        <w:rPr>
          <w:rFonts w:eastAsia="Calibri"/>
          <w:i/>
          <w:szCs w:val="22"/>
          <w:lang w:eastAsia="de-DE" w:bidi="de-DE"/>
        </w:rPr>
      </w:pPr>
      <w:r w:rsidRPr="002616E4">
        <w:rPr>
          <w:rFonts w:eastAsia="Calibri"/>
          <w:i/>
          <w:szCs w:val="22"/>
          <w:lang w:eastAsia="de-DE" w:bidi="de-DE"/>
        </w:rPr>
        <w:t>[Abschnitt 11 mit Art. 29 aufgehoben durch Art. 3 des K.E. vom 22. Oktober 1993 (B.S. vom 29. Oktober 1993)]</w:t>
      </w:r>
    </w:p>
    <w:p w14:paraId="3043DF36" w14:textId="77777777" w:rsidR="005A5BD5" w:rsidRPr="002616E4" w:rsidRDefault="005A5BD5" w:rsidP="004C2C7D">
      <w:pPr>
        <w:jc w:val="both"/>
        <w:rPr>
          <w:rFonts w:eastAsia="Calibri"/>
          <w:szCs w:val="22"/>
          <w:lang w:eastAsia="de-DE" w:bidi="de-DE"/>
        </w:rPr>
      </w:pPr>
    </w:p>
    <w:p w14:paraId="36D6F79B" w14:textId="77777777" w:rsidR="005A5BD5" w:rsidRPr="002616E4" w:rsidRDefault="005A5BD5" w:rsidP="004C2C7D">
      <w:pPr>
        <w:jc w:val="both"/>
        <w:rPr>
          <w:rFonts w:eastAsia="Calibri"/>
          <w:szCs w:val="22"/>
          <w:lang w:eastAsia="de-DE" w:bidi="de-DE"/>
        </w:rPr>
      </w:pPr>
    </w:p>
    <w:p w14:paraId="6FE5B8BE"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29</w:t>
      </w:r>
      <w:r w:rsidRPr="002616E4">
        <w:rPr>
          <w:rFonts w:eastAsia="Calibri"/>
          <w:szCs w:val="22"/>
          <w:lang w:eastAsia="de-DE" w:bidi="de-DE"/>
        </w:rPr>
        <w:t> - [</w:t>
      </w:r>
      <w:r w:rsidR="009251F9">
        <w:rPr>
          <w:rFonts w:eastAsia="Calibri"/>
          <w:szCs w:val="22"/>
          <w:lang w:eastAsia="de-DE" w:bidi="de-DE"/>
        </w:rPr>
        <w:t>…</w:t>
      </w:r>
      <w:r w:rsidRPr="002616E4">
        <w:rPr>
          <w:rFonts w:eastAsia="Calibri"/>
          <w:szCs w:val="22"/>
          <w:lang w:eastAsia="de-DE" w:bidi="de-DE"/>
        </w:rPr>
        <w:t>]]</w:t>
      </w:r>
    </w:p>
    <w:p w14:paraId="5AED3D25" w14:textId="77777777" w:rsidR="0094417E" w:rsidRDefault="0094417E" w:rsidP="004C2C7D">
      <w:pPr>
        <w:jc w:val="center"/>
        <w:rPr>
          <w:rFonts w:eastAsia="Calibri"/>
          <w:i/>
          <w:szCs w:val="22"/>
          <w:lang w:eastAsia="de-DE" w:bidi="de-DE"/>
        </w:rPr>
      </w:pPr>
    </w:p>
    <w:p w14:paraId="52C3FD20" w14:textId="77777777" w:rsidR="0086766B" w:rsidRDefault="0086766B" w:rsidP="004C2C7D">
      <w:pPr>
        <w:jc w:val="center"/>
        <w:rPr>
          <w:rFonts w:eastAsia="Calibri"/>
          <w:i/>
          <w:szCs w:val="22"/>
          <w:lang w:eastAsia="de-DE" w:bidi="de-DE"/>
        </w:rPr>
      </w:pPr>
    </w:p>
    <w:p w14:paraId="29759549" w14:textId="17F21C47" w:rsidR="005A5BD5" w:rsidRPr="002616E4" w:rsidRDefault="005A5BD5" w:rsidP="004C2C7D">
      <w:pPr>
        <w:jc w:val="center"/>
        <w:rPr>
          <w:rFonts w:eastAsia="Calibri"/>
          <w:szCs w:val="22"/>
          <w:lang w:eastAsia="de-DE" w:bidi="de-DE"/>
        </w:rPr>
      </w:pPr>
      <w:r w:rsidRPr="002616E4">
        <w:rPr>
          <w:rFonts w:eastAsia="Calibri"/>
          <w:i/>
          <w:szCs w:val="22"/>
          <w:lang w:eastAsia="de-DE" w:bidi="de-DE"/>
        </w:rPr>
        <w:t>Abschnitt 12</w:t>
      </w:r>
      <w:r w:rsidRPr="002616E4">
        <w:rPr>
          <w:rFonts w:eastAsia="Calibri"/>
          <w:szCs w:val="22"/>
          <w:lang w:eastAsia="de-DE" w:bidi="de-DE"/>
        </w:rPr>
        <w:t> - Nachweis bestimmter Werbungskosten</w:t>
      </w:r>
    </w:p>
    <w:p w14:paraId="1EECCE5D" w14:textId="77777777" w:rsidR="005A5BD5" w:rsidRPr="002616E4" w:rsidRDefault="005A5BD5" w:rsidP="004C2C7D">
      <w:pPr>
        <w:jc w:val="center"/>
        <w:rPr>
          <w:rFonts w:eastAsia="Calibri"/>
          <w:szCs w:val="22"/>
          <w:lang w:eastAsia="de-DE" w:bidi="de-DE"/>
        </w:rPr>
      </w:pPr>
    </w:p>
    <w:p w14:paraId="7DB58C24"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(Einkommensteuergesetzbuch 1992, Artikel 57)</w:t>
      </w:r>
    </w:p>
    <w:p w14:paraId="38CE306C" w14:textId="77777777" w:rsidR="005A5BD5" w:rsidRPr="002616E4" w:rsidRDefault="005A5BD5" w:rsidP="004C2C7D">
      <w:pPr>
        <w:jc w:val="both"/>
        <w:rPr>
          <w:rFonts w:eastAsia="Calibri"/>
          <w:szCs w:val="22"/>
          <w:lang w:eastAsia="de-DE" w:bidi="de-DE"/>
        </w:rPr>
      </w:pPr>
    </w:p>
    <w:p w14:paraId="59247613" w14:textId="77777777" w:rsidR="005A5BD5" w:rsidRPr="002616E4" w:rsidRDefault="005A5BD5" w:rsidP="004C2C7D">
      <w:pPr>
        <w:jc w:val="both"/>
        <w:rPr>
          <w:rFonts w:eastAsia="Calibri"/>
          <w:szCs w:val="22"/>
          <w:lang w:eastAsia="de-DE" w:bidi="de-DE"/>
        </w:rPr>
      </w:pPr>
    </w:p>
    <w:p w14:paraId="2863130F" w14:textId="18AEA94B" w:rsidR="00524DE0" w:rsidRDefault="00524DE0" w:rsidP="00524DE0">
      <w:pPr>
        <w:jc w:val="both"/>
        <w:rPr>
          <w:rFonts w:eastAsia="Calibri"/>
          <w:szCs w:val="22"/>
          <w:lang w:eastAsia="de-DE" w:bidi="de-DE"/>
        </w:rPr>
      </w:pPr>
      <w:r>
        <w:rPr>
          <w:rFonts w:eastAsia="Calibri"/>
          <w:szCs w:val="22"/>
          <w:lang w:eastAsia="de-DE" w:bidi="de-DE"/>
        </w:rPr>
        <w:tab/>
      </w:r>
      <w:r>
        <w:rPr>
          <w:rFonts w:eastAsia="Calibri"/>
          <w:b/>
          <w:szCs w:val="22"/>
          <w:lang w:eastAsia="de-DE" w:bidi="de-DE"/>
        </w:rPr>
        <w:t>Art. 30</w:t>
      </w:r>
      <w:r>
        <w:rPr>
          <w:rFonts w:eastAsia="Calibri"/>
          <w:szCs w:val="22"/>
          <w:lang w:eastAsia="de-DE" w:bidi="de-DE"/>
        </w:rPr>
        <w:t xml:space="preserve"> - [§ 1 - Am Ende jeden Jahres müssen Schuldner der in </w:t>
      </w:r>
      <w:r w:rsidR="00E26B5F">
        <w:rPr>
          <w:rFonts w:eastAsia="Calibri"/>
          <w:szCs w:val="22"/>
          <w:lang w:eastAsia="de-DE" w:bidi="de-DE"/>
        </w:rPr>
        <w:t>[</w:t>
      </w:r>
      <w:r>
        <w:rPr>
          <w:rFonts w:eastAsia="Calibri"/>
          <w:szCs w:val="22"/>
          <w:lang w:eastAsia="de-DE" w:bidi="de-DE"/>
        </w:rPr>
        <w:t xml:space="preserve">Artikel 57 </w:t>
      </w:r>
      <w:r w:rsidR="00E26B5F">
        <w:rPr>
          <w:rFonts w:eastAsia="Calibri"/>
          <w:szCs w:val="22"/>
          <w:lang w:eastAsia="de-DE" w:bidi="de-DE"/>
        </w:rPr>
        <w:t xml:space="preserve">Absatz 1 </w:t>
      </w:r>
      <w:r>
        <w:rPr>
          <w:rFonts w:eastAsia="Calibri"/>
          <w:szCs w:val="22"/>
          <w:lang w:eastAsia="de-DE" w:bidi="de-DE"/>
        </w:rPr>
        <w:t>Nr. 1</w:t>
      </w:r>
      <w:r w:rsidR="00E26B5F">
        <w:rPr>
          <w:rFonts w:eastAsia="Calibri"/>
          <w:szCs w:val="22"/>
          <w:lang w:eastAsia="de-DE" w:bidi="de-DE"/>
        </w:rPr>
        <w:t>]</w:t>
      </w:r>
      <w:r>
        <w:rPr>
          <w:rFonts w:eastAsia="Calibri"/>
          <w:szCs w:val="22"/>
          <w:lang w:eastAsia="de-DE" w:bidi="de-DE"/>
        </w:rPr>
        <w:t xml:space="preserve"> des Einkommensteuergesetzbuches 1992 erwähnten Kosten für jeden Empfänger von Einkünften[</w:t>
      </w:r>
      <w:r>
        <w:t xml:space="preserve">, dessen Einkünfte mehr als 250 EUR pro Jahr betragen,] </w:t>
      </w:r>
      <w:r w:rsidR="00E26B5F">
        <w:rPr>
          <w:rFonts w:eastAsia="Calibri"/>
          <w:szCs w:val="22"/>
          <w:lang w:eastAsia="de-DE" w:bidi="de-DE"/>
        </w:rPr>
        <w:t>[</w:t>
      </w:r>
      <w:r w:rsidR="00E26B5F">
        <w:t>die in Artikel 57 desselben Gesetzbuches erwähnten Karten</w:t>
      </w:r>
      <w:r w:rsidR="00E26B5F">
        <w:rPr>
          <w:rFonts w:eastAsia="Calibri"/>
          <w:szCs w:val="22"/>
          <w:lang w:eastAsia="de-DE" w:bidi="de-DE"/>
        </w:rPr>
        <w:t>]</w:t>
      </w:r>
      <w:r>
        <w:rPr>
          <w:rFonts w:eastAsia="Calibri"/>
          <w:szCs w:val="22"/>
          <w:lang w:eastAsia="de-DE" w:bidi="de-DE"/>
        </w:rPr>
        <w:t xml:space="preserve"> gemäß den vom Minister der Finanzen oder von seinem Beauftragten bestimmten Modalitäten elektronisch einreichen.</w:t>
      </w:r>
    </w:p>
    <w:p w14:paraId="7AD6D701" w14:textId="77777777" w:rsidR="00E26B5F" w:rsidRDefault="00E26B5F" w:rsidP="00524DE0">
      <w:pPr>
        <w:jc w:val="both"/>
        <w:rPr>
          <w:rFonts w:eastAsia="Calibri"/>
          <w:szCs w:val="22"/>
          <w:lang w:eastAsia="de-DE" w:bidi="de-DE"/>
        </w:rPr>
      </w:pPr>
    </w:p>
    <w:p w14:paraId="5A0E53F9" w14:textId="025CE743" w:rsidR="00E26B5F" w:rsidRDefault="00E26B5F" w:rsidP="00524DE0">
      <w:pPr>
        <w:jc w:val="both"/>
        <w:rPr>
          <w:rFonts w:eastAsia="Calibri"/>
          <w:szCs w:val="22"/>
          <w:lang w:eastAsia="de-DE" w:bidi="de-DE"/>
        </w:rPr>
      </w:pPr>
      <w:r>
        <w:rPr>
          <w:rFonts w:eastAsia="Calibri"/>
          <w:szCs w:val="22"/>
          <w:lang w:eastAsia="de-DE" w:bidi="de-DE"/>
        </w:rPr>
        <w:tab/>
        <w:t>[</w:t>
      </w:r>
      <w:r>
        <w:t>Am Ende jeden Jahres müssen Schuldner der in Artikel 57 Absatz 1 Nr. 4 desselben Gesetzbuches erwähnten Einkünfte für jeden Empfänger von Einkünften [die in Artikel 57 desselben Gesetzbuches erwähnten Karten] gemäß den vom Minister der Finanzen oder von seinem Beauftragten bestimmten Modalitäten elektronisch einreichen.</w:t>
      </w:r>
      <w:r>
        <w:rPr>
          <w:rFonts w:eastAsia="Calibri"/>
          <w:szCs w:val="22"/>
          <w:lang w:eastAsia="de-DE" w:bidi="de-DE"/>
        </w:rPr>
        <w:t>]</w:t>
      </w:r>
    </w:p>
    <w:p w14:paraId="7BDEF7E5" w14:textId="77777777" w:rsidR="00524DE0" w:rsidRDefault="00524DE0" w:rsidP="00524DE0">
      <w:pPr>
        <w:jc w:val="both"/>
        <w:rPr>
          <w:rFonts w:eastAsia="Calibri"/>
          <w:szCs w:val="22"/>
          <w:lang w:eastAsia="de-DE" w:bidi="de-DE"/>
        </w:rPr>
      </w:pPr>
    </w:p>
    <w:p w14:paraId="33D8F70A" w14:textId="0E05905D" w:rsidR="00524DE0" w:rsidRDefault="00524DE0" w:rsidP="00524DE0">
      <w:pPr>
        <w:jc w:val="both"/>
        <w:rPr>
          <w:rFonts w:eastAsia="Calibri"/>
          <w:szCs w:val="22"/>
          <w:lang w:eastAsia="de-DE" w:bidi="de-DE"/>
        </w:rPr>
      </w:pPr>
      <w:r>
        <w:rPr>
          <w:rFonts w:eastAsia="Calibri"/>
          <w:szCs w:val="22"/>
          <w:lang w:eastAsia="de-DE" w:bidi="de-DE"/>
        </w:rPr>
        <w:tab/>
        <w:t>§ 2 - In § 1 erwähnte Schuldner werden von der Pflicht zur elektronischen Einreichung befreit, solange sie selbst oder</w:t>
      </w:r>
      <w:r w:rsidR="00E26B5F">
        <w:rPr>
          <w:rFonts w:eastAsia="Calibri"/>
          <w:szCs w:val="22"/>
          <w:lang w:eastAsia="de-DE" w:bidi="de-DE"/>
        </w:rPr>
        <w:t>...]</w:t>
      </w:r>
      <w:r>
        <w:rPr>
          <w:rFonts w:eastAsia="Calibri"/>
          <w:szCs w:val="22"/>
          <w:lang w:eastAsia="de-DE" w:bidi="de-DE"/>
        </w:rPr>
        <w:t xml:space="preserve"> gegebenenfalls die Person, die zur Einreichung der Karten </w:t>
      </w:r>
      <w:r w:rsidR="00E26B5F">
        <w:rPr>
          <w:rFonts w:eastAsia="Calibri"/>
          <w:szCs w:val="22"/>
          <w:lang w:eastAsia="de-DE" w:bidi="de-DE"/>
        </w:rPr>
        <w:t>[...]</w:t>
      </w:r>
      <w:r>
        <w:rPr>
          <w:rFonts w:eastAsia="Calibri"/>
          <w:szCs w:val="22"/>
          <w:lang w:eastAsia="de-DE" w:bidi="de-DE"/>
        </w:rPr>
        <w:t xml:space="preserve"> bevollmächtigt ist, nicht über die zur Erfüllung dieser Pflicht erforderlichen Informatikmittel verfügen. In diesem Fall erfolgt die Einreichung dieser Karten </w:t>
      </w:r>
      <w:r w:rsidR="00E26B5F">
        <w:rPr>
          <w:rFonts w:eastAsia="Calibri"/>
          <w:szCs w:val="22"/>
          <w:lang w:eastAsia="de-DE" w:bidi="de-DE"/>
        </w:rPr>
        <w:t>[...]</w:t>
      </w:r>
      <w:r>
        <w:rPr>
          <w:rFonts w:eastAsia="Calibri"/>
          <w:szCs w:val="22"/>
          <w:lang w:eastAsia="de-DE" w:bidi="de-DE"/>
        </w:rPr>
        <w:t xml:space="preserve"> entweder in Papierform oder auf Datenträger. </w:t>
      </w:r>
    </w:p>
    <w:p w14:paraId="258A155F" w14:textId="77777777" w:rsidR="00524DE0" w:rsidRDefault="00524DE0" w:rsidP="00524DE0">
      <w:pPr>
        <w:jc w:val="both"/>
        <w:rPr>
          <w:rFonts w:eastAsia="Calibri"/>
          <w:szCs w:val="22"/>
          <w:lang w:eastAsia="de-DE" w:bidi="de-DE"/>
        </w:rPr>
      </w:pPr>
    </w:p>
    <w:p w14:paraId="3D62B614" w14:textId="63FF50AD" w:rsidR="00524DE0" w:rsidRDefault="00524DE0" w:rsidP="00524DE0">
      <w:pPr>
        <w:jc w:val="both"/>
        <w:rPr>
          <w:rFonts w:eastAsia="Calibri"/>
          <w:szCs w:val="22"/>
          <w:lang w:eastAsia="de-DE" w:bidi="de-DE"/>
        </w:rPr>
      </w:pPr>
      <w:r>
        <w:rPr>
          <w:rFonts w:eastAsia="Calibri"/>
          <w:szCs w:val="22"/>
          <w:lang w:eastAsia="de-DE" w:bidi="de-DE"/>
        </w:rPr>
        <w:tab/>
        <w:t xml:space="preserve">Der Minister der Finanzen oder sein Beauftragter legt das Muster der Karten </w:t>
      </w:r>
      <w:r w:rsidR="00E26B5F">
        <w:rPr>
          <w:rFonts w:eastAsia="Calibri"/>
          <w:szCs w:val="22"/>
          <w:lang w:eastAsia="de-DE" w:bidi="de-DE"/>
        </w:rPr>
        <w:t>[...]</w:t>
      </w:r>
      <w:r>
        <w:rPr>
          <w:rFonts w:eastAsia="Calibri"/>
          <w:szCs w:val="22"/>
          <w:lang w:eastAsia="de-DE" w:bidi="de-DE"/>
        </w:rPr>
        <w:t xml:space="preserve"> fest und bestimmt die Modalitäten in Bezug auf ihre Einreichung. </w:t>
      </w:r>
    </w:p>
    <w:p w14:paraId="0EEFEB92" w14:textId="77777777" w:rsidR="00524DE0" w:rsidRDefault="00524DE0" w:rsidP="00524DE0">
      <w:pPr>
        <w:jc w:val="both"/>
        <w:rPr>
          <w:rFonts w:eastAsia="Calibri"/>
          <w:szCs w:val="22"/>
          <w:lang w:eastAsia="de-DE" w:bidi="de-DE"/>
        </w:rPr>
      </w:pPr>
    </w:p>
    <w:p w14:paraId="252CEC66" w14:textId="3B297663" w:rsidR="00524DE0" w:rsidRDefault="00524DE0" w:rsidP="00524DE0">
      <w:pPr>
        <w:jc w:val="both"/>
        <w:rPr>
          <w:rFonts w:eastAsia="Calibri"/>
          <w:szCs w:val="22"/>
          <w:lang w:eastAsia="de-DE" w:bidi="de-DE"/>
        </w:rPr>
      </w:pPr>
      <w:r>
        <w:rPr>
          <w:rFonts w:eastAsia="Calibri"/>
          <w:szCs w:val="22"/>
          <w:lang w:eastAsia="de-DE" w:bidi="de-DE"/>
        </w:rPr>
        <w:tab/>
        <w:t>§ 3 </w:t>
      </w:r>
      <w:r w:rsidR="00E26B5F">
        <w:rPr>
          <w:rFonts w:eastAsia="Calibri"/>
          <w:szCs w:val="22"/>
          <w:lang w:eastAsia="de-DE" w:bidi="de-DE"/>
        </w:rPr>
        <w:t>-</w:t>
      </w:r>
      <w:r>
        <w:rPr>
          <w:rFonts w:eastAsia="Calibri"/>
          <w:szCs w:val="22"/>
          <w:lang w:eastAsia="de-DE" w:bidi="de-DE"/>
        </w:rPr>
        <w:t xml:space="preserve"> </w:t>
      </w:r>
      <w:r w:rsidR="00E26B5F">
        <w:rPr>
          <w:rFonts w:eastAsia="Calibri"/>
          <w:szCs w:val="22"/>
          <w:lang w:eastAsia="de-DE" w:bidi="de-DE"/>
        </w:rPr>
        <w:t>[</w:t>
      </w:r>
      <w:r w:rsidR="00E26B5F">
        <w:t>In § 1 Absatz 1 erwähnte Schuldner</w:t>
      </w:r>
      <w:r w:rsidR="00E26B5F">
        <w:rPr>
          <w:rFonts w:eastAsia="Calibri"/>
          <w:szCs w:val="22"/>
          <w:lang w:eastAsia="de-DE" w:bidi="de-DE"/>
        </w:rPr>
        <w:t>]</w:t>
      </w:r>
      <w:r>
        <w:rPr>
          <w:rFonts w:eastAsia="Calibri"/>
          <w:szCs w:val="22"/>
          <w:lang w:eastAsia="de-DE" w:bidi="de-DE"/>
        </w:rPr>
        <w:t xml:space="preserve"> müssen </w:t>
      </w:r>
      <w:r w:rsidR="00E26B5F">
        <w:rPr>
          <w:rFonts w:eastAsia="Calibri"/>
          <w:szCs w:val="22"/>
          <w:lang w:eastAsia="de-DE" w:bidi="de-DE"/>
        </w:rPr>
        <w:t xml:space="preserve">[die </w:t>
      </w:r>
      <w:r>
        <w:rPr>
          <w:rFonts w:eastAsia="Calibri"/>
          <w:szCs w:val="22"/>
          <w:lang w:eastAsia="de-DE" w:bidi="de-DE"/>
        </w:rPr>
        <w:t>Karten</w:t>
      </w:r>
      <w:r w:rsidR="00E26B5F">
        <w:rPr>
          <w:rFonts w:eastAsia="Calibri"/>
          <w:szCs w:val="22"/>
          <w:lang w:eastAsia="de-DE" w:bidi="de-DE"/>
        </w:rPr>
        <w:t xml:space="preserve">] </w:t>
      </w:r>
      <w:r>
        <w:rPr>
          <w:rFonts w:eastAsia="Calibri"/>
          <w:szCs w:val="22"/>
          <w:lang w:eastAsia="de-DE" w:bidi="de-DE"/>
        </w:rPr>
        <w:t>vor dem 30. Juni des Jahres nach dem Jahr, auf das sich diese Unterlagen beziehen, beim zuständigen Dienst einreichen.]</w:t>
      </w:r>
    </w:p>
    <w:p w14:paraId="3A6EE8FA" w14:textId="77777777" w:rsidR="00E26B5F" w:rsidRDefault="00E26B5F" w:rsidP="00524DE0">
      <w:pPr>
        <w:jc w:val="both"/>
        <w:rPr>
          <w:rFonts w:eastAsia="Calibri"/>
          <w:szCs w:val="22"/>
          <w:lang w:eastAsia="de-DE" w:bidi="de-DE"/>
        </w:rPr>
      </w:pPr>
    </w:p>
    <w:p w14:paraId="7F7DAB50" w14:textId="77777777" w:rsidR="00811447" w:rsidRDefault="00811447">
      <w:pPr>
        <w:rPr>
          <w:rFonts w:eastAsia="Calibri"/>
          <w:szCs w:val="22"/>
          <w:lang w:eastAsia="de-DE" w:bidi="de-DE"/>
        </w:rPr>
      </w:pPr>
      <w:r>
        <w:rPr>
          <w:rFonts w:eastAsia="Calibri"/>
          <w:szCs w:val="22"/>
          <w:lang w:eastAsia="de-DE" w:bidi="de-DE"/>
        </w:rPr>
        <w:br w:type="page"/>
      </w:r>
    </w:p>
    <w:p w14:paraId="4C08BB54" w14:textId="69F88E72" w:rsidR="00E26B5F" w:rsidRDefault="00E26B5F" w:rsidP="00524DE0">
      <w:pPr>
        <w:jc w:val="both"/>
        <w:rPr>
          <w:rFonts w:eastAsia="Calibri"/>
          <w:szCs w:val="22"/>
          <w:lang w:eastAsia="de-DE" w:bidi="de-DE"/>
        </w:rPr>
      </w:pPr>
      <w:r>
        <w:rPr>
          <w:rFonts w:eastAsia="Calibri"/>
          <w:szCs w:val="22"/>
          <w:lang w:eastAsia="de-DE" w:bidi="de-DE"/>
        </w:rPr>
        <w:lastRenderedPageBreak/>
        <w:tab/>
        <w:t>[</w:t>
      </w:r>
      <w:r>
        <w:t xml:space="preserve">In § 1 Absatz 2 erwähnte Schuldner müssen [die Karten] </w:t>
      </w:r>
      <w:r w:rsidR="00D53C50" w:rsidRPr="00D53C50">
        <w:t xml:space="preserve">[vor dem 1. März] </w:t>
      </w:r>
      <w:r>
        <w:t>des Jahres nach dem Jahr, auf das sich diese Unterlagen beziehen, beim zuständigen Dienst einreichen.</w:t>
      </w:r>
      <w:r>
        <w:rPr>
          <w:rFonts w:eastAsia="Calibri"/>
          <w:szCs w:val="22"/>
          <w:lang w:eastAsia="de-DE" w:bidi="de-DE"/>
        </w:rPr>
        <w:t>]</w:t>
      </w:r>
    </w:p>
    <w:p w14:paraId="4775CCE9" w14:textId="77777777" w:rsidR="00524DE0" w:rsidRDefault="00524DE0" w:rsidP="00524DE0">
      <w:pPr>
        <w:jc w:val="both"/>
        <w:rPr>
          <w:rFonts w:eastAsia="Calibri"/>
          <w:szCs w:val="22"/>
          <w:lang w:eastAsia="de-DE" w:bidi="de-DE"/>
        </w:rPr>
      </w:pPr>
    </w:p>
    <w:p w14:paraId="0D42E7E8" w14:textId="6462502F" w:rsidR="00524DE0" w:rsidRDefault="00524DE0" w:rsidP="00524DE0">
      <w:pPr>
        <w:jc w:val="both"/>
        <w:rPr>
          <w:rFonts w:eastAsia="Calibri"/>
          <w:i/>
          <w:szCs w:val="22"/>
          <w:lang w:eastAsia="de-DE" w:bidi="de-DE"/>
        </w:rPr>
      </w:pPr>
      <w:r>
        <w:rPr>
          <w:rFonts w:eastAsia="Calibri"/>
          <w:i/>
          <w:szCs w:val="22"/>
          <w:lang w:eastAsia="de-DE" w:bidi="de-DE"/>
        </w:rPr>
        <w:t xml:space="preserve">[Art. 30 ersetzt durch Art. 1 des K.E. vom 3. Juni 2007 (I) (B.S. vom 14. Juni 2007); § 1 </w:t>
      </w:r>
      <w:r w:rsidR="00E26B5F">
        <w:rPr>
          <w:rFonts w:eastAsia="Calibri"/>
          <w:i/>
          <w:szCs w:val="22"/>
          <w:lang w:eastAsia="de-DE" w:bidi="de-DE"/>
        </w:rPr>
        <w:t xml:space="preserve">Abs. 1 (früherer einziger Absatz) </w:t>
      </w:r>
      <w:r>
        <w:rPr>
          <w:rFonts w:eastAsia="Calibri"/>
          <w:i/>
          <w:szCs w:val="22"/>
          <w:lang w:eastAsia="de-DE" w:bidi="de-DE"/>
        </w:rPr>
        <w:t>abgeändert durch Art. 1 des K.E. vom 10. April 2022 (B.S. vom 26. April 2022)</w:t>
      </w:r>
      <w:r w:rsidR="000C49BB">
        <w:rPr>
          <w:rFonts w:eastAsia="Calibri"/>
          <w:i/>
          <w:szCs w:val="22"/>
          <w:lang w:eastAsia="de-DE" w:bidi="de-DE"/>
        </w:rPr>
        <w:t xml:space="preserve"> und Art. 1 Nr. 2 und 3 des K.E. vom 13. März 2023 (B.S. vom 17. März 2023)</w:t>
      </w:r>
      <w:r w:rsidR="00E26B5F">
        <w:rPr>
          <w:rFonts w:eastAsia="Calibri"/>
          <w:i/>
          <w:szCs w:val="22"/>
          <w:lang w:eastAsia="de-DE" w:bidi="de-DE"/>
        </w:rPr>
        <w:t>; § 1 Abs. 2 eingefügt durch Art. 1 Nr. 1 des K.E. vom 13. März 2023 (B.S. vom 17. März 2023)</w:t>
      </w:r>
      <w:r w:rsidR="000C49BB">
        <w:rPr>
          <w:rFonts w:eastAsia="Calibri"/>
          <w:i/>
          <w:szCs w:val="22"/>
          <w:lang w:eastAsia="de-DE" w:bidi="de-DE"/>
        </w:rPr>
        <w:t xml:space="preserve"> und abgeändert durch Art. 1 Nr. 2 des K.E. vom 13. März 2023 (B.S. vom 17. März 2023)</w:t>
      </w:r>
      <w:r w:rsidR="00E26B5F">
        <w:rPr>
          <w:rFonts w:eastAsia="Calibri"/>
          <w:i/>
          <w:szCs w:val="22"/>
          <w:lang w:eastAsia="de-DE" w:bidi="de-DE"/>
        </w:rPr>
        <w:t>; § </w:t>
      </w:r>
      <w:r w:rsidR="000C49BB">
        <w:rPr>
          <w:rFonts w:eastAsia="Calibri"/>
          <w:i/>
          <w:szCs w:val="22"/>
          <w:lang w:eastAsia="de-DE" w:bidi="de-DE"/>
        </w:rPr>
        <w:t>2 Abs. 1 abgeändert durch Art. 1 Nr. 4 des K.E. vom 13. März 2023 (B.S. vom 17. März 2023); § 2 Abs. 2 abgeändert durch Art. 1 Nr. 5 des K.E. vom 13. März 2023 (B.S. vom 17. März 2023); § 3 Abs. 1 abgeändert durch Art. 1 Nr. 6 und 8 des K.E. vom 13. März 2023 (B.S. vom 17. März 2023); § 3 Abs. 2 eingefügt durch Art. 1 Nr. 7 bis 9 des K.E. vom 13. März 2023 (B.S. vom 17. März 2023)</w:t>
      </w:r>
      <w:r>
        <w:rPr>
          <w:rFonts w:eastAsia="Calibri"/>
          <w:i/>
          <w:szCs w:val="22"/>
          <w:lang w:eastAsia="de-DE" w:bidi="de-DE"/>
        </w:rPr>
        <w:t>]</w:t>
      </w:r>
    </w:p>
    <w:p w14:paraId="74561352" w14:textId="77777777" w:rsidR="005A5BD5" w:rsidRPr="00C949AA" w:rsidRDefault="005A5BD5" w:rsidP="004C2C7D">
      <w:pPr>
        <w:jc w:val="both"/>
        <w:rPr>
          <w:rFonts w:eastAsia="Calibri"/>
          <w:szCs w:val="22"/>
          <w:lang w:eastAsia="de-DE" w:bidi="de-DE"/>
        </w:rPr>
      </w:pPr>
    </w:p>
    <w:p w14:paraId="25303497" w14:textId="77777777" w:rsidR="005A5BD5" w:rsidRPr="00C949AA" w:rsidRDefault="005A5BD5" w:rsidP="004C2C7D">
      <w:pPr>
        <w:jc w:val="both"/>
        <w:rPr>
          <w:rFonts w:eastAsia="Calibri"/>
          <w:szCs w:val="22"/>
          <w:lang w:eastAsia="de-DE" w:bidi="de-DE"/>
        </w:rPr>
      </w:pPr>
    </w:p>
    <w:p w14:paraId="455E4BD0" w14:textId="4253A647" w:rsidR="005A5BD5" w:rsidRPr="002616E4" w:rsidRDefault="005A5BD5" w:rsidP="004C2C7D">
      <w:pPr>
        <w:jc w:val="both"/>
        <w:rPr>
          <w:rFonts w:eastAsia="Calibri"/>
          <w:szCs w:val="22"/>
          <w:lang w:eastAsia="de-DE" w:bidi="de-DE"/>
        </w:rPr>
      </w:pPr>
      <w:r w:rsidRPr="00C949AA">
        <w:rPr>
          <w:rFonts w:eastAsia="Calibri"/>
          <w:szCs w:val="22"/>
          <w:lang w:eastAsia="de-DE" w:bidi="de-DE"/>
        </w:rPr>
        <w:tab/>
      </w:r>
      <w:r w:rsidRPr="002616E4">
        <w:rPr>
          <w:rFonts w:eastAsia="Calibri"/>
          <w:b/>
          <w:szCs w:val="22"/>
          <w:lang w:eastAsia="de-DE" w:bidi="de-DE"/>
        </w:rPr>
        <w:t>Art. 31</w:t>
      </w:r>
      <w:r w:rsidRPr="002616E4">
        <w:rPr>
          <w:rFonts w:eastAsia="Calibri"/>
          <w:szCs w:val="22"/>
          <w:lang w:eastAsia="de-DE" w:bidi="de-DE"/>
        </w:rPr>
        <w:t xml:space="preserve"> - [In Artikel 30 erwähnte Schuldner, die gemäß der in § 2 dieses Artikels vorgesehenen Befreiung Karten </w:t>
      </w:r>
      <w:r w:rsidR="00F1286E">
        <w:rPr>
          <w:rFonts w:eastAsia="Calibri"/>
          <w:szCs w:val="22"/>
          <w:lang w:eastAsia="de-DE" w:bidi="de-DE"/>
        </w:rPr>
        <w:t>[...]</w:t>
      </w:r>
      <w:r w:rsidRPr="002616E4">
        <w:rPr>
          <w:rFonts w:eastAsia="Calibri"/>
          <w:szCs w:val="22"/>
          <w:lang w:eastAsia="de-DE" w:bidi="de-DE"/>
        </w:rPr>
        <w:t xml:space="preserve"> in Papierform einreichen, können bei der </w:t>
      </w:r>
      <w:r w:rsidR="00F1286E">
        <w:rPr>
          <w:rFonts w:eastAsia="Calibri"/>
          <w:szCs w:val="22"/>
          <w:lang w:eastAsia="de-DE" w:bidi="de-DE"/>
        </w:rPr>
        <w:t>[</w:t>
      </w:r>
      <w:r w:rsidR="00F1286E">
        <w:t>Generalverwaltung Steuerwesen</w:t>
      </w:r>
      <w:r w:rsidR="00F1286E">
        <w:rPr>
          <w:rFonts w:eastAsia="Calibri"/>
          <w:szCs w:val="22"/>
          <w:lang w:eastAsia="de-DE" w:bidi="de-DE"/>
        </w:rPr>
        <w:t>]</w:t>
      </w:r>
      <w:r w:rsidRPr="002616E4">
        <w:rPr>
          <w:rFonts w:eastAsia="Calibri"/>
          <w:szCs w:val="22"/>
          <w:lang w:eastAsia="de-DE" w:bidi="de-DE"/>
        </w:rPr>
        <w:t xml:space="preserve"> die kostenlose Übermittlung der für die Erstellung dieser Karten </w:t>
      </w:r>
      <w:r w:rsidR="00F1286E" w:rsidRPr="00F1286E">
        <w:rPr>
          <w:rFonts w:eastAsia="Calibri"/>
          <w:szCs w:val="22"/>
          <w:lang w:eastAsia="de-DE" w:bidi="de-DE"/>
        </w:rPr>
        <w:t>[...]</w:t>
      </w:r>
      <w:r w:rsidR="00F1286E">
        <w:rPr>
          <w:rFonts w:eastAsia="Calibri"/>
          <w:szCs w:val="22"/>
          <w:lang w:eastAsia="de-DE" w:bidi="de-DE"/>
        </w:rPr>
        <w:t xml:space="preserve"> </w:t>
      </w:r>
      <w:r w:rsidRPr="002616E4">
        <w:rPr>
          <w:rFonts w:eastAsia="Calibri"/>
          <w:szCs w:val="22"/>
          <w:lang w:eastAsia="de-DE" w:bidi="de-DE"/>
        </w:rPr>
        <w:t xml:space="preserve">erforderlichen Ausdrucke beantragen. </w:t>
      </w:r>
    </w:p>
    <w:p w14:paraId="4D8F44ED" w14:textId="77777777" w:rsidR="005A5BD5" w:rsidRPr="002616E4" w:rsidRDefault="005A5BD5" w:rsidP="004C2C7D">
      <w:pPr>
        <w:jc w:val="both"/>
        <w:rPr>
          <w:rFonts w:eastAsia="Calibri"/>
          <w:szCs w:val="22"/>
          <w:lang w:eastAsia="de-DE" w:bidi="de-DE"/>
        </w:rPr>
      </w:pPr>
    </w:p>
    <w:p w14:paraId="0C541430"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Diese Schuldner dürfen darüber hinaus Ausdrucke verwenden, die von den vom Minister der Finanzen oder von seinem Beauftragten erstellten Mustern abweichen, sofern diese Ausdrucke dieselben Angaben enthalten und sie dasselbe Format aufweisen wie diese Muster.]</w:t>
      </w:r>
    </w:p>
    <w:p w14:paraId="109731FC" w14:textId="77777777" w:rsidR="005A5BD5" w:rsidRPr="002616E4" w:rsidRDefault="005A5BD5" w:rsidP="004C2C7D">
      <w:pPr>
        <w:jc w:val="both"/>
        <w:rPr>
          <w:rFonts w:eastAsia="Calibri"/>
          <w:szCs w:val="22"/>
          <w:lang w:eastAsia="de-DE" w:bidi="de-DE"/>
        </w:rPr>
      </w:pPr>
    </w:p>
    <w:p w14:paraId="13653B09" w14:textId="3E72F09E" w:rsidR="005A5BD5" w:rsidRPr="00C949AA" w:rsidRDefault="005A5BD5" w:rsidP="004C2C7D">
      <w:pPr>
        <w:jc w:val="both"/>
        <w:rPr>
          <w:rFonts w:eastAsia="Calibri"/>
          <w:i/>
          <w:szCs w:val="22"/>
          <w:lang w:eastAsia="de-DE" w:bidi="de-DE"/>
        </w:rPr>
      </w:pPr>
      <w:r w:rsidRPr="002616E4">
        <w:rPr>
          <w:rFonts w:eastAsia="Calibri"/>
          <w:i/>
          <w:szCs w:val="22"/>
          <w:lang w:eastAsia="de-DE" w:bidi="de-DE"/>
        </w:rPr>
        <w:t>[Art. 31 ersetzt durch Art. 2 des K.E. vom 3. </w:t>
      </w:r>
      <w:r w:rsidRPr="00C949AA">
        <w:rPr>
          <w:rFonts w:eastAsia="Calibri"/>
          <w:i/>
          <w:szCs w:val="22"/>
          <w:lang w:eastAsia="de-DE" w:bidi="de-DE"/>
        </w:rPr>
        <w:t>Juni 2007 (I) (B.S. vom 14. Juni 2007)</w:t>
      </w:r>
      <w:r w:rsidR="00F1286E">
        <w:rPr>
          <w:rFonts w:eastAsia="Calibri"/>
          <w:i/>
          <w:szCs w:val="22"/>
          <w:lang w:eastAsia="de-DE" w:bidi="de-DE"/>
        </w:rPr>
        <w:t>; Abs. 1 abgeändert durch Art. 2 Nr. 1 und 2</w:t>
      </w:r>
      <w:r w:rsidR="00F1286E" w:rsidRPr="00F1286E">
        <w:rPr>
          <w:rFonts w:eastAsia="Calibri"/>
          <w:i/>
          <w:szCs w:val="22"/>
          <w:lang w:eastAsia="de-DE" w:bidi="de-DE"/>
        </w:rPr>
        <w:t xml:space="preserve"> des K.E. vom 13. März 2023 (B.S. vom 17. März 2023)</w:t>
      </w:r>
      <w:r w:rsidRPr="00C949AA">
        <w:rPr>
          <w:rFonts w:eastAsia="Calibri"/>
          <w:i/>
          <w:szCs w:val="22"/>
          <w:lang w:eastAsia="de-DE" w:bidi="de-DE"/>
        </w:rPr>
        <w:t>]</w:t>
      </w:r>
    </w:p>
    <w:p w14:paraId="2D967B5F" w14:textId="77777777" w:rsidR="005A5BD5" w:rsidRPr="00C949AA" w:rsidRDefault="005A5BD5" w:rsidP="004C2C7D">
      <w:pPr>
        <w:jc w:val="both"/>
        <w:rPr>
          <w:rFonts w:eastAsia="Calibri"/>
          <w:szCs w:val="22"/>
          <w:lang w:eastAsia="de-DE" w:bidi="de-DE"/>
        </w:rPr>
      </w:pPr>
    </w:p>
    <w:p w14:paraId="0107C0B6" w14:textId="77777777" w:rsidR="005A5BD5" w:rsidRPr="00C949AA" w:rsidRDefault="005A5BD5" w:rsidP="004C2C7D">
      <w:pPr>
        <w:jc w:val="both"/>
        <w:rPr>
          <w:rFonts w:eastAsia="Calibri"/>
          <w:szCs w:val="22"/>
          <w:lang w:eastAsia="de-DE" w:bidi="de-DE"/>
        </w:rPr>
      </w:pPr>
    </w:p>
    <w:p w14:paraId="2178A763" w14:textId="75AC383E" w:rsidR="005A5BD5" w:rsidRPr="002616E4" w:rsidRDefault="005A5BD5" w:rsidP="00BB32CA">
      <w:pPr>
        <w:rPr>
          <w:rFonts w:eastAsia="Calibri"/>
          <w:szCs w:val="22"/>
          <w:lang w:eastAsia="de-DE" w:bidi="de-DE"/>
        </w:rPr>
      </w:pPr>
      <w:r w:rsidRPr="00C949AA">
        <w:rPr>
          <w:rFonts w:eastAsia="Calibri"/>
          <w:szCs w:val="22"/>
          <w:lang w:eastAsia="de-DE" w:bidi="de-DE"/>
        </w:rPr>
        <w:tab/>
      </w:r>
      <w:r w:rsidRPr="002616E4">
        <w:rPr>
          <w:rFonts w:eastAsia="Calibri"/>
          <w:b/>
          <w:szCs w:val="22"/>
          <w:lang w:eastAsia="de-DE" w:bidi="de-DE"/>
        </w:rPr>
        <w:t>Art. 32</w:t>
      </w:r>
      <w:r w:rsidRPr="002616E4">
        <w:rPr>
          <w:rFonts w:eastAsia="Calibri"/>
          <w:szCs w:val="22"/>
          <w:lang w:eastAsia="de-DE" w:bidi="de-DE"/>
        </w:rPr>
        <w:t xml:space="preserve"> - Bei Individualkarten </w:t>
      </w:r>
      <w:r w:rsidR="00924788" w:rsidRPr="00924788">
        <w:rPr>
          <w:rFonts w:eastAsia="Calibri"/>
          <w:szCs w:val="22"/>
          <w:lang w:eastAsia="de-DE" w:bidi="de-DE"/>
        </w:rPr>
        <w:t xml:space="preserve">[...] </w:t>
      </w:r>
      <w:r w:rsidRPr="002616E4">
        <w:rPr>
          <w:rFonts w:eastAsia="Calibri"/>
          <w:szCs w:val="22"/>
          <w:lang w:eastAsia="de-DE" w:bidi="de-DE"/>
        </w:rPr>
        <w:t xml:space="preserve">in Bezug auf die in </w:t>
      </w:r>
      <w:r w:rsidR="00924788">
        <w:rPr>
          <w:rFonts w:eastAsia="Calibri"/>
          <w:szCs w:val="22"/>
          <w:lang w:eastAsia="de-DE" w:bidi="de-DE"/>
        </w:rPr>
        <w:t>[</w:t>
      </w:r>
      <w:r w:rsidRPr="002616E4">
        <w:rPr>
          <w:rFonts w:eastAsia="Calibri"/>
          <w:szCs w:val="22"/>
          <w:lang w:eastAsia="de-DE" w:bidi="de-DE"/>
        </w:rPr>
        <w:t xml:space="preserve">Artikel 57 </w:t>
      </w:r>
      <w:r w:rsidR="00924788">
        <w:rPr>
          <w:rFonts w:eastAsia="Calibri"/>
          <w:szCs w:val="22"/>
          <w:lang w:eastAsia="de-DE" w:bidi="de-DE"/>
        </w:rPr>
        <w:t xml:space="preserve">Absatz 1 </w:t>
      </w:r>
      <w:r w:rsidRPr="002616E4">
        <w:rPr>
          <w:rFonts w:eastAsia="Calibri"/>
          <w:szCs w:val="22"/>
          <w:lang w:eastAsia="de-DE" w:bidi="de-DE"/>
        </w:rPr>
        <w:t>Nr. 2</w:t>
      </w:r>
      <w:r w:rsidR="00924788">
        <w:rPr>
          <w:rFonts w:eastAsia="Calibri"/>
          <w:szCs w:val="22"/>
          <w:lang w:eastAsia="de-DE" w:bidi="de-DE"/>
        </w:rPr>
        <w:t>]</w:t>
      </w:r>
      <w:r w:rsidRPr="002616E4">
        <w:rPr>
          <w:rFonts w:eastAsia="Calibri"/>
          <w:szCs w:val="22"/>
          <w:lang w:eastAsia="de-DE" w:bidi="de-DE"/>
        </w:rPr>
        <w:t xml:space="preserve"> des Einkommensteuergesetzbuches 1992 erwähnten Kosten handelt es sich um die in den Artikeln 92 und 93 erwähnten Karten </w:t>
      </w:r>
      <w:r w:rsidR="00924788" w:rsidRPr="00924788">
        <w:rPr>
          <w:rFonts w:eastAsia="Calibri"/>
          <w:szCs w:val="22"/>
          <w:lang w:eastAsia="de-DE" w:bidi="de-DE"/>
        </w:rPr>
        <w:t>[...]</w:t>
      </w:r>
      <w:r>
        <w:rPr>
          <w:rFonts w:eastAsia="Calibri"/>
          <w:szCs w:val="22"/>
          <w:lang w:eastAsia="de-DE" w:bidi="de-DE"/>
        </w:rPr>
        <w:t>.</w:t>
      </w:r>
    </w:p>
    <w:p w14:paraId="2CBA4D52" w14:textId="77777777" w:rsidR="005A5BD5" w:rsidRDefault="005A5BD5" w:rsidP="004C2C7D">
      <w:pPr>
        <w:jc w:val="both"/>
        <w:rPr>
          <w:rFonts w:eastAsia="Calibri"/>
          <w:szCs w:val="22"/>
          <w:lang w:eastAsia="de-DE" w:bidi="de-DE"/>
        </w:rPr>
      </w:pPr>
    </w:p>
    <w:p w14:paraId="7E0C2AAE" w14:textId="0F3253FD" w:rsidR="00924788" w:rsidRDefault="00924788" w:rsidP="004C2C7D">
      <w:pPr>
        <w:jc w:val="both"/>
        <w:rPr>
          <w:rFonts w:eastAsia="Calibri"/>
          <w:i/>
          <w:iCs/>
          <w:szCs w:val="22"/>
          <w:lang w:eastAsia="de-DE" w:bidi="de-DE"/>
        </w:rPr>
      </w:pPr>
      <w:r>
        <w:rPr>
          <w:rFonts w:eastAsia="Calibri"/>
          <w:i/>
          <w:iCs/>
          <w:szCs w:val="22"/>
          <w:lang w:eastAsia="de-DE" w:bidi="de-DE"/>
        </w:rPr>
        <w:t>[Art. 32 abgeändert durch Art. 3 Nr. 1 und 2</w:t>
      </w:r>
      <w:r w:rsidRPr="00924788">
        <w:rPr>
          <w:rFonts w:eastAsia="Calibri"/>
          <w:i/>
          <w:iCs/>
          <w:szCs w:val="22"/>
          <w:lang w:eastAsia="de-DE" w:bidi="de-DE"/>
        </w:rPr>
        <w:t xml:space="preserve"> des K.E. vom 13. März 2023 (B.S. vom 17. März 2023)</w:t>
      </w:r>
      <w:r>
        <w:rPr>
          <w:rFonts w:eastAsia="Calibri"/>
          <w:i/>
          <w:iCs/>
          <w:szCs w:val="22"/>
          <w:lang w:eastAsia="de-DE" w:bidi="de-DE"/>
        </w:rPr>
        <w:t>]</w:t>
      </w:r>
    </w:p>
    <w:p w14:paraId="01776893" w14:textId="77777777" w:rsidR="00924788" w:rsidRDefault="00924788" w:rsidP="004C2C7D">
      <w:pPr>
        <w:jc w:val="both"/>
        <w:rPr>
          <w:rFonts w:eastAsia="Calibri"/>
          <w:i/>
          <w:iCs/>
          <w:szCs w:val="22"/>
          <w:lang w:eastAsia="de-DE" w:bidi="de-DE"/>
        </w:rPr>
      </w:pPr>
    </w:p>
    <w:p w14:paraId="03641543" w14:textId="77777777" w:rsidR="00924788" w:rsidRPr="00924788" w:rsidRDefault="00924788" w:rsidP="004C2C7D">
      <w:pPr>
        <w:jc w:val="both"/>
        <w:rPr>
          <w:rFonts w:eastAsia="Calibri"/>
          <w:i/>
          <w:iCs/>
          <w:vanish/>
          <w:szCs w:val="22"/>
          <w:lang w:eastAsia="de-DE" w:bidi="de-DE"/>
          <w:specVanish/>
        </w:rPr>
      </w:pPr>
    </w:p>
    <w:p w14:paraId="3348AA5C" w14:textId="243E32C7" w:rsidR="00924788" w:rsidRPr="002616E4" w:rsidRDefault="00924788" w:rsidP="004C2C7D">
      <w:pPr>
        <w:jc w:val="both"/>
        <w:rPr>
          <w:rFonts w:eastAsia="Calibri"/>
          <w:szCs w:val="22"/>
          <w:lang w:eastAsia="de-DE" w:bidi="de-DE"/>
        </w:rPr>
      </w:pPr>
    </w:p>
    <w:p w14:paraId="4718B672" w14:textId="6E7893B2" w:rsidR="00515F91" w:rsidRDefault="005A5BD5" w:rsidP="00C11570">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33</w:t>
      </w:r>
      <w:r w:rsidRPr="002616E4">
        <w:rPr>
          <w:rFonts w:eastAsia="Calibri"/>
          <w:szCs w:val="22"/>
          <w:lang w:eastAsia="de-DE" w:bidi="de-DE"/>
        </w:rPr>
        <w:t xml:space="preserve"> - In </w:t>
      </w:r>
      <w:r w:rsidR="00924788">
        <w:rPr>
          <w:rFonts w:eastAsia="Calibri"/>
          <w:szCs w:val="22"/>
          <w:lang w:eastAsia="de-DE" w:bidi="de-DE"/>
        </w:rPr>
        <w:t>[</w:t>
      </w:r>
      <w:r w:rsidRPr="002616E4">
        <w:rPr>
          <w:rFonts w:eastAsia="Calibri"/>
          <w:szCs w:val="22"/>
          <w:lang w:eastAsia="de-DE" w:bidi="de-DE"/>
        </w:rPr>
        <w:t xml:space="preserve">Artikel 57 </w:t>
      </w:r>
      <w:r w:rsidR="00924788">
        <w:rPr>
          <w:rFonts w:eastAsia="Calibri"/>
          <w:szCs w:val="22"/>
          <w:lang w:eastAsia="de-DE" w:bidi="de-DE"/>
        </w:rPr>
        <w:t xml:space="preserve">Absatz 1 </w:t>
      </w:r>
      <w:r w:rsidRPr="002616E4">
        <w:rPr>
          <w:rFonts w:eastAsia="Calibri"/>
          <w:szCs w:val="22"/>
          <w:lang w:eastAsia="de-DE" w:bidi="de-DE"/>
        </w:rPr>
        <w:t>Nr. 3</w:t>
      </w:r>
      <w:r w:rsidR="0023782D" w:rsidRPr="0023782D">
        <w:rPr>
          <w:rFonts w:eastAsia="Calibri"/>
          <w:szCs w:val="22"/>
          <w:lang w:eastAsia="de-DE" w:bidi="de-DE"/>
        </w:rPr>
        <w:t xml:space="preserve"> und Absatz 2</w:t>
      </w:r>
      <w:r w:rsidR="00924788">
        <w:rPr>
          <w:rFonts w:eastAsia="Calibri"/>
          <w:szCs w:val="22"/>
          <w:lang w:eastAsia="de-DE" w:bidi="de-DE"/>
        </w:rPr>
        <w:t>]</w:t>
      </w:r>
      <w:r w:rsidRPr="002616E4">
        <w:rPr>
          <w:rFonts w:eastAsia="Calibri"/>
          <w:szCs w:val="22"/>
          <w:lang w:eastAsia="de-DE" w:bidi="de-DE"/>
        </w:rPr>
        <w:t xml:space="preserve"> des Einkommensteuer</w:t>
      </w:r>
      <w:r w:rsidR="0023782D">
        <w:rPr>
          <w:rFonts w:eastAsia="Calibri"/>
          <w:szCs w:val="22"/>
          <w:lang w:eastAsia="de-DE" w:bidi="de-DE"/>
        </w:rPr>
        <w:softHyphen/>
      </w:r>
      <w:r w:rsidRPr="002616E4">
        <w:rPr>
          <w:rFonts w:eastAsia="Calibri"/>
          <w:szCs w:val="22"/>
          <w:lang w:eastAsia="de-DE" w:bidi="de-DE"/>
        </w:rPr>
        <w:t xml:space="preserve">gesetzbuches 1992 erwähnte Kosten müssen in der dafür vorgesehenen Rubrik der in Artikel 32 erwähnten Individualkarten </w:t>
      </w:r>
      <w:r w:rsidR="00924788" w:rsidRPr="00924788">
        <w:rPr>
          <w:rFonts w:eastAsia="Calibri"/>
          <w:szCs w:val="22"/>
          <w:lang w:eastAsia="de-DE" w:bidi="de-DE"/>
        </w:rPr>
        <w:t xml:space="preserve">[...] </w:t>
      </w:r>
      <w:r>
        <w:rPr>
          <w:rFonts w:eastAsia="Calibri"/>
          <w:szCs w:val="22"/>
          <w:lang w:eastAsia="de-DE" w:bidi="de-DE"/>
        </w:rPr>
        <w:t>eingetragen werden.</w:t>
      </w:r>
    </w:p>
    <w:p w14:paraId="41907BBB" w14:textId="77777777" w:rsidR="00924788" w:rsidRDefault="00924788" w:rsidP="00C11570">
      <w:pPr>
        <w:jc w:val="both"/>
        <w:rPr>
          <w:rFonts w:eastAsia="Calibri"/>
          <w:szCs w:val="22"/>
          <w:lang w:eastAsia="de-DE" w:bidi="de-DE"/>
        </w:rPr>
      </w:pPr>
    </w:p>
    <w:p w14:paraId="72466BA7" w14:textId="6DD77F82" w:rsidR="00924788" w:rsidRPr="00924788" w:rsidRDefault="00924788" w:rsidP="00C11570">
      <w:pPr>
        <w:jc w:val="both"/>
        <w:rPr>
          <w:rFonts w:eastAsia="Calibri"/>
          <w:i/>
          <w:iCs/>
          <w:szCs w:val="22"/>
          <w:lang w:eastAsia="de-DE" w:bidi="de-DE"/>
        </w:rPr>
      </w:pPr>
      <w:r>
        <w:rPr>
          <w:rFonts w:eastAsia="Calibri"/>
          <w:i/>
          <w:iCs/>
          <w:szCs w:val="22"/>
          <w:lang w:eastAsia="de-DE" w:bidi="de-DE"/>
        </w:rPr>
        <w:t>[Art. 33 abgeändert durch Art. 4 Nr. 1 und 2</w:t>
      </w:r>
      <w:r w:rsidRPr="00924788">
        <w:rPr>
          <w:rFonts w:eastAsia="Calibri"/>
          <w:i/>
          <w:iCs/>
          <w:szCs w:val="22"/>
          <w:lang w:eastAsia="de-DE" w:bidi="de-DE"/>
        </w:rPr>
        <w:t xml:space="preserve"> des K.E. vom 13. März 2023 (B.S. vom 17. März 2023)</w:t>
      </w:r>
      <w:r>
        <w:rPr>
          <w:rFonts w:eastAsia="Calibri"/>
          <w:i/>
          <w:iCs/>
          <w:szCs w:val="22"/>
          <w:lang w:eastAsia="de-DE" w:bidi="de-DE"/>
        </w:rPr>
        <w:t>]</w:t>
      </w:r>
    </w:p>
    <w:p w14:paraId="1A1C0B59" w14:textId="34F2692C" w:rsidR="005A1A7A" w:rsidRDefault="005A1A7A">
      <w:pPr>
        <w:rPr>
          <w:rFonts w:eastAsia="Calibri"/>
          <w:i/>
          <w:szCs w:val="22"/>
          <w:lang w:eastAsia="de-DE" w:bidi="de-DE"/>
        </w:rPr>
      </w:pPr>
    </w:p>
    <w:p w14:paraId="40EC128C" w14:textId="77777777" w:rsidR="005A1A7A" w:rsidRDefault="005A1A7A">
      <w:pPr>
        <w:rPr>
          <w:rFonts w:eastAsia="Calibri"/>
          <w:i/>
          <w:szCs w:val="22"/>
          <w:lang w:eastAsia="de-DE" w:bidi="de-DE"/>
        </w:rPr>
      </w:pPr>
    </w:p>
    <w:p w14:paraId="1EFC4A85" w14:textId="77777777" w:rsidR="00811447" w:rsidRDefault="00811447">
      <w:pPr>
        <w:rPr>
          <w:rFonts w:eastAsia="Calibri"/>
          <w:i/>
          <w:szCs w:val="22"/>
          <w:lang w:eastAsia="de-DE" w:bidi="de-DE"/>
        </w:rPr>
      </w:pPr>
      <w:r>
        <w:rPr>
          <w:rFonts w:eastAsia="Calibri"/>
          <w:i/>
          <w:szCs w:val="22"/>
          <w:lang w:eastAsia="de-DE" w:bidi="de-DE"/>
        </w:rPr>
        <w:br w:type="page"/>
      </w:r>
    </w:p>
    <w:p w14:paraId="3B906E0F" w14:textId="13221E97" w:rsidR="005A5BD5" w:rsidRPr="002616E4" w:rsidRDefault="005A5BD5" w:rsidP="0094417E">
      <w:pPr>
        <w:jc w:val="center"/>
        <w:rPr>
          <w:rFonts w:eastAsia="Calibri"/>
          <w:szCs w:val="22"/>
          <w:lang w:eastAsia="de-DE" w:bidi="de-DE"/>
        </w:rPr>
      </w:pPr>
      <w:r w:rsidRPr="002616E4">
        <w:rPr>
          <w:rFonts w:eastAsia="Calibri"/>
          <w:i/>
          <w:szCs w:val="22"/>
          <w:lang w:eastAsia="de-DE" w:bidi="de-DE"/>
        </w:rPr>
        <w:lastRenderedPageBreak/>
        <w:t>Abschnitt 13</w:t>
      </w:r>
      <w:r w:rsidRPr="002616E4">
        <w:rPr>
          <w:rFonts w:eastAsia="Calibri"/>
          <w:szCs w:val="22"/>
          <w:lang w:eastAsia="de-DE" w:bidi="de-DE"/>
        </w:rPr>
        <w:t> - [In Artikel 52 Nr. 3 Buchstabe </w:t>
      </w:r>
      <w:r w:rsidRPr="002616E4">
        <w:rPr>
          <w:rFonts w:eastAsia="Calibri"/>
          <w:i/>
          <w:szCs w:val="22"/>
          <w:lang w:eastAsia="de-DE" w:bidi="de-DE"/>
        </w:rPr>
        <w:t>b)</w:t>
      </w:r>
      <w:r w:rsidRPr="002616E4">
        <w:rPr>
          <w:rFonts w:eastAsia="Calibri"/>
          <w:szCs w:val="22"/>
          <w:lang w:eastAsia="de-DE" w:bidi="de-DE"/>
        </w:rPr>
        <w:t xml:space="preserve"> erwähnte A</w:t>
      </w:r>
      <w:r>
        <w:rPr>
          <w:rFonts w:eastAsia="Calibri"/>
          <w:szCs w:val="22"/>
          <w:lang w:eastAsia="de-DE" w:bidi="de-DE"/>
        </w:rPr>
        <w:t>rbeitgeberbeiträge und -prämien</w:t>
      </w:r>
    </w:p>
    <w:p w14:paraId="2EDB1030" w14:textId="77777777" w:rsidR="005A5BD5" w:rsidRPr="002616E4" w:rsidRDefault="005A5BD5" w:rsidP="004C2C7D">
      <w:pPr>
        <w:jc w:val="center"/>
        <w:rPr>
          <w:rFonts w:eastAsia="Calibri"/>
          <w:szCs w:val="22"/>
          <w:lang w:eastAsia="de-DE" w:bidi="de-DE"/>
        </w:rPr>
      </w:pPr>
    </w:p>
    <w:p w14:paraId="2508DA01" w14:textId="77777777" w:rsidR="005A5BD5" w:rsidRPr="002616E4" w:rsidRDefault="005A5BD5" w:rsidP="004C2C7D">
      <w:pPr>
        <w:jc w:val="center"/>
        <w:rPr>
          <w:rFonts w:eastAsia="Calibri"/>
          <w:szCs w:val="22"/>
          <w:lang w:eastAsia="de-DE" w:bidi="de-DE"/>
        </w:rPr>
      </w:pPr>
      <w:r w:rsidRPr="002616E4">
        <w:rPr>
          <w:rFonts w:eastAsia="Calibri"/>
          <w:szCs w:val="22"/>
          <w:lang w:eastAsia="de-DE" w:bidi="de-DE"/>
        </w:rPr>
        <w:t>(Einkommensteuergesetzbuch 1992, Artikel 59 § 1 Nr. 4 und § 5)]</w:t>
      </w:r>
    </w:p>
    <w:p w14:paraId="5FA026A9" w14:textId="77777777" w:rsidR="005A5BD5" w:rsidRPr="002616E4" w:rsidRDefault="005A5BD5" w:rsidP="004C2C7D">
      <w:pPr>
        <w:jc w:val="both"/>
        <w:rPr>
          <w:rFonts w:eastAsia="Calibri"/>
          <w:szCs w:val="22"/>
          <w:lang w:eastAsia="de-DE" w:bidi="de-DE"/>
        </w:rPr>
      </w:pPr>
    </w:p>
    <w:p w14:paraId="1DF81A7B" w14:textId="77777777" w:rsidR="005A5BD5" w:rsidRPr="002616E4" w:rsidRDefault="005A5BD5" w:rsidP="004C2C7D">
      <w:pPr>
        <w:jc w:val="both"/>
        <w:rPr>
          <w:rFonts w:eastAsia="Calibri"/>
          <w:i/>
          <w:szCs w:val="22"/>
          <w:lang w:eastAsia="de-DE" w:bidi="de-DE"/>
        </w:rPr>
      </w:pPr>
      <w:r w:rsidRPr="002616E4">
        <w:rPr>
          <w:rFonts w:eastAsia="Calibri"/>
          <w:i/>
          <w:szCs w:val="22"/>
          <w:lang w:eastAsia="de-DE" w:bidi="de-DE"/>
        </w:rPr>
        <w:t>[Überschrift von Abschnitt 13 ersetzt durch Art. 1 des K.E. vom 1. März 2005 (B.S. vom 9. März 2005)]</w:t>
      </w:r>
    </w:p>
    <w:p w14:paraId="521CA88A" w14:textId="77777777" w:rsidR="005A5BD5" w:rsidRPr="002616E4" w:rsidRDefault="005A5BD5" w:rsidP="004C2C7D">
      <w:pPr>
        <w:jc w:val="both"/>
        <w:rPr>
          <w:rFonts w:eastAsia="Calibri"/>
          <w:i/>
          <w:szCs w:val="22"/>
          <w:lang w:eastAsia="de-DE" w:bidi="de-DE"/>
        </w:rPr>
      </w:pPr>
    </w:p>
    <w:p w14:paraId="307A9764" w14:textId="77777777" w:rsidR="005A5BD5" w:rsidRPr="002616E4" w:rsidRDefault="005A5BD5" w:rsidP="004C2C7D">
      <w:pPr>
        <w:jc w:val="both"/>
        <w:rPr>
          <w:rFonts w:eastAsia="Calibri"/>
          <w:szCs w:val="22"/>
          <w:lang w:eastAsia="de-DE" w:bidi="de-DE"/>
        </w:rPr>
      </w:pPr>
    </w:p>
    <w:p w14:paraId="6A0EA853"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34</w:t>
      </w:r>
      <w:r w:rsidRPr="002616E4">
        <w:rPr>
          <w:rFonts w:eastAsia="Calibri"/>
          <w:szCs w:val="22"/>
          <w:lang w:eastAsia="de-DE" w:bidi="de-DE"/>
        </w:rPr>
        <w:t> - Für die Anwendung [der Artikel 52 Nr. 3 Buchstabe </w:t>
      </w:r>
      <w:r w:rsidRPr="002616E4">
        <w:rPr>
          <w:rFonts w:eastAsia="Calibri"/>
          <w:i/>
          <w:szCs w:val="22"/>
          <w:lang w:eastAsia="de-DE" w:bidi="de-DE"/>
        </w:rPr>
        <w:t>b)</w:t>
      </w:r>
      <w:r w:rsidRPr="002616E4">
        <w:rPr>
          <w:rFonts w:eastAsia="Calibri"/>
          <w:szCs w:val="22"/>
          <w:lang w:eastAsia="de-DE" w:bidi="de-DE"/>
        </w:rPr>
        <w:t xml:space="preserve"> und Nr. 5 und 59] des Einkommensteuergesetzbuches 1992 und des vorliegenden Abschnitts versteht man unter:</w:t>
      </w:r>
    </w:p>
    <w:p w14:paraId="4F5C5F8E" w14:textId="77777777" w:rsidR="005A5BD5" w:rsidRPr="002616E4" w:rsidRDefault="005A5BD5" w:rsidP="004C2C7D">
      <w:pPr>
        <w:jc w:val="both"/>
        <w:rPr>
          <w:rFonts w:eastAsia="Calibri"/>
          <w:szCs w:val="22"/>
          <w:lang w:eastAsia="de-DE" w:bidi="de-DE"/>
        </w:rPr>
      </w:pPr>
    </w:p>
    <w:p w14:paraId="25CA978A"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1. normaler Bruttojahresentlohnung: den gesamten Bruttobetrag aller Summen, die vor Abzug der in Ausführung der sozialen Rechtsvorschriften oder eines damit gleichgesetzten gesetzlichen oder verordnungsrechtlichen Statuts vorgeschrieben</w:t>
      </w:r>
      <w:r>
        <w:rPr>
          <w:rFonts w:eastAsia="Calibri"/>
          <w:szCs w:val="22"/>
          <w:lang w:eastAsia="de-DE" w:bidi="de-DE"/>
        </w:rPr>
        <w:t>en</w:t>
      </w:r>
      <w:r w:rsidRPr="002616E4">
        <w:rPr>
          <w:rFonts w:eastAsia="Calibri"/>
          <w:szCs w:val="22"/>
          <w:lang w:eastAsia="de-DE" w:bidi="de-DE"/>
        </w:rPr>
        <w:t xml:space="preserve"> Einbehaltungen einem Arbeitnehmer im Laufe eines bestimmten Jahres in anderer Weise als außergewöhnlich oder gelegentlich gewährt oder ausgezahlt worden sind, </w:t>
      </w:r>
    </w:p>
    <w:p w14:paraId="68245183" w14:textId="77777777" w:rsidR="005A5BD5" w:rsidRPr="002616E4" w:rsidRDefault="005A5BD5" w:rsidP="004C2C7D">
      <w:pPr>
        <w:jc w:val="both"/>
        <w:rPr>
          <w:rFonts w:eastAsia="Calibri"/>
          <w:szCs w:val="22"/>
          <w:lang w:eastAsia="de-DE" w:bidi="de-DE"/>
        </w:rPr>
      </w:pPr>
    </w:p>
    <w:p w14:paraId="5457FA43"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2. letzter normaler Bruttojahresentlohnung: die Bruttojahresentlohnung, die angesichts der vorherigen Entlohnungen des Arbeitnehmers als normal betrachtet werden kann und ihm im Laufe des letzten Jahres vor seiner Versetzung in den Ruhestand, in dem er eine normale berufliche Tätigkeit ausgeübt hat, ausgezahlt oder gewährt worden ist,</w:t>
      </w:r>
    </w:p>
    <w:p w14:paraId="4E28B6DA" w14:textId="77777777" w:rsidR="005A5BD5" w:rsidRPr="002616E4" w:rsidRDefault="005A5BD5" w:rsidP="004C2C7D">
      <w:pPr>
        <w:jc w:val="both"/>
        <w:rPr>
          <w:rFonts w:eastAsia="Calibri"/>
          <w:szCs w:val="22"/>
          <w:lang w:eastAsia="de-DE" w:bidi="de-DE"/>
        </w:rPr>
      </w:pPr>
    </w:p>
    <w:p w14:paraId="0AFBB339" w14:textId="2296BCFA" w:rsidR="005A5BD5" w:rsidRPr="002616E4" w:rsidRDefault="005A5BD5" w:rsidP="004C2C7D">
      <w:pPr>
        <w:jc w:val="both"/>
        <w:rPr>
          <w:rFonts w:eastAsia="Calibri"/>
          <w:szCs w:val="22"/>
          <w:lang w:eastAsia="de-DE" w:bidi="de-DE"/>
        </w:rPr>
      </w:pPr>
      <w:r w:rsidRPr="002616E4">
        <w:rPr>
          <w:rFonts w:eastAsia="Calibri"/>
          <w:szCs w:val="22"/>
          <w:lang w:eastAsia="de-DE" w:bidi="de-DE"/>
        </w:rPr>
        <w:t xml:space="preserve">3. normaler Berufstätigkeitsdauer: vierzig Jahre oder, in Berufen, für die die betroffenen Arbeitgeber und Arbeitnehmer nachweisen, dass sich eine vollständige Laufbahn auf mehr oder weniger als vierzig Jahre erstreckt, die Anzahl Jahre dieser vollständigen Laufbahn. </w:t>
      </w:r>
    </w:p>
    <w:p w14:paraId="75174601" w14:textId="77777777" w:rsidR="005A5BD5" w:rsidRPr="002616E4" w:rsidRDefault="005A5BD5" w:rsidP="004C2C7D">
      <w:pPr>
        <w:jc w:val="both"/>
        <w:rPr>
          <w:rFonts w:eastAsia="Calibri"/>
          <w:szCs w:val="22"/>
          <w:lang w:eastAsia="de-DE" w:bidi="de-DE"/>
        </w:rPr>
      </w:pPr>
    </w:p>
    <w:p w14:paraId="18E58C54" w14:textId="77777777" w:rsidR="005A5BD5" w:rsidRPr="002616E4" w:rsidRDefault="005A5BD5" w:rsidP="004C2C7D">
      <w:pPr>
        <w:jc w:val="both"/>
        <w:rPr>
          <w:rFonts w:eastAsia="Calibri"/>
          <w:i/>
          <w:szCs w:val="22"/>
          <w:lang w:eastAsia="de-DE" w:bidi="de-DE"/>
        </w:rPr>
      </w:pPr>
      <w:r w:rsidRPr="002616E4">
        <w:rPr>
          <w:rFonts w:eastAsia="Calibri"/>
          <w:i/>
          <w:szCs w:val="22"/>
          <w:lang w:eastAsia="de-DE" w:bidi="de-DE"/>
        </w:rPr>
        <w:t>[Art. 34 einziger Absatz einleitende Bestimmung abgeändert durch Art. 6 des K.E. vom 1. September 1995 (II) (B.S. vom 5. Oktober 1995)]</w:t>
      </w:r>
    </w:p>
    <w:p w14:paraId="39451EA6" w14:textId="77777777" w:rsidR="005A5BD5" w:rsidRPr="002616E4" w:rsidRDefault="005A5BD5" w:rsidP="004C2C7D">
      <w:pPr>
        <w:jc w:val="both"/>
        <w:rPr>
          <w:rFonts w:eastAsia="Calibri"/>
          <w:i/>
          <w:szCs w:val="22"/>
          <w:lang w:eastAsia="de-DE" w:bidi="de-DE"/>
        </w:rPr>
      </w:pPr>
    </w:p>
    <w:p w14:paraId="2BB59F9F" w14:textId="77777777" w:rsidR="005A5BD5" w:rsidRPr="002616E4" w:rsidRDefault="005A5BD5" w:rsidP="004C2C7D">
      <w:pPr>
        <w:jc w:val="both"/>
        <w:rPr>
          <w:rFonts w:eastAsia="Calibri"/>
          <w:szCs w:val="22"/>
          <w:lang w:eastAsia="de-DE" w:bidi="de-DE"/>
        </w:rPr>
      </w:pPr>
    </w:p>
    <w:p w14:paraId="71B95E04" w14:textId="28708CD5" w:rsidR="005A5BD5" w:rsidRPr="002616E4" w:rsidRDefault="005A5BD5" w:rsidP="004C2C7D">
      <w:pPr>
        <w:jc w:val="both"/>
        <w:rPr>
          <w:rFonts w:eastAsia="Calibri"/>
          <w:szCs w:val="22"/>
          <w:lang w:eastAsia="de-DE" w:bidi="de-DE"/>
        </w:rPr>
      </w:pPr>
      <w:r w:rsidRPr="002616E4">
        <w:rPr>
          <w:rFonts w:eastAsia="Calibri"/>
          <w:szCs w:val="22"/>
          <w:lang w:eastAsia="de-DE" w:bidi="de-DE"/>
        </w:rPr>
        <w:tab/>
      </w:r>
      <w:r w:rsidRPr="002616E4">
        <w:rPr>
          <w:rFonts w:eastAsia="Calibri"/>
          <w:b/>
          <w:szCs w:val="22"/>
          <w:lang w:eastAsia="de-DE" w:bidi="de-DE"/>
        </w:rPr>
        <w:t>Art. 35</w:t>
      </w:r>
      <w:r w:rsidRPr="002616E4">
        <w:rPr>
          <w:rFonts w:eastAsia="Calibri"/>
          <w:szCs w:val="22"/>
          <w:lang w:eastAsia="de-DE" w:bidi="de-DE"/>
        </w:rPr>
        <w:t> - § 1 - [Der Abzug der in Artikel 52 Nr. 3 Buchstabe </w:t>
      </w:r>
      <w:r w:rsidRPr="002616E4">
        <w:rPr>
          <w:rFonts w:eastAsia="Calibri"/>
          <w:i/>
          <w:szCs w:val="22"/>
          <w:lang w:eastAsia="de-DE" w:bidi="de-DE"/>
        </w:rPr>
        <w:t>b)</w:t>
      </w:r>
      <w:r w:rsidRPr="002616E4">
        <w:rPr>
          <w:rFonts w:eastAsia="Calibri"/>
          <w:szCs w:val="22"/>
          <w:lang w:eastAsia="de-DE" w:bidi="de-DE"/>
        </w:rPr>
        <w:t xml:space="preserve"> des Einkommensteuergesetzbuches 1992 erwähnten Arbeitgeberbeiträge und -prämien als Werbungskosten unterliegt folgenden Bedingungen:</w:t>
      </w:r>
    </w:p>
    <w:p w14:paraId="6F58B5B0" w14:textId="77777777" w:rsidR="005A5BD5" w:rsidRPr="002616E4" w:rsidRDefault="005A5BD5" w:rsidP="004C2C7D">
      <w:pPr>
        <w:jc w:val="both"/>
        <w:rPr>
          <w:rFonts w:eastAsia="Calibri"/>
          <w:szCs w:val="22"/>
          <w:lang w:eastAsia="de-DE" w:bidi="de-DE"/>
        </w:rPr>
      </w:pPr>
    </w:p>
    <w:p w14:paraId="393F130E" w14:textId="003AF77A" w:rsidR="005A5BD5" w:rsidRPr="002616E4" w:rsidRDefault="005A5BD5" w:rsidP="004C2C7D">
      <w:pPr>
        <w:jc w:val="both"/>
        <w:rPr>
          <w:rFonts w:eastAsia="Calibri"/>
          <w:szCs w:val="22"/>
          <w:lang w:eastAsia="de-DE" w:bidi="de-DE"/>
        </w:rPr>
      </w:pPr>
      <w:r w:rsidRPr="002616E4">
        <w:rPr>
          <w:rFonts w:eastAsia="Calibri"/>
          <w:szCs w:val="22"/>
          <w:lang w:eastAsia="de-DE" w:bidi="de-DE"/>
        </w:rPr>
        <w:tab/>
        <w:t>1. [Diese Arbeitgeberbeiträge und -prämien müssen an ein Versicherungs</w:t>
      </w:r>
      <w:r w:rsidRPr="002616E4">
        <w:rPr>
          <w:rFonts w:eastAsia="Calibri"/>
          <w:szCs w:val="22"/>
          <w:lang w:eastAsia="de-DE" w:bidi="de-DE"/>
        </w:rPr>
        <w:softHyphen/>
        <w:t xml:space="preserve">unternehmen, eine Vorsorgeeinrichtung oder eine Einrichtung der betrieblichen Altersversorgung, deren </w:t>
      </w:r>
      <w:r w:rsidR="00B27F11">
        <w:rPr>
          <w:rFonts w:eastAsia="Calibri"/>
          <w:szCs w:val="22"/>
          <w:lang w:eastAsia="de-DE" w:bidi="de-DE"/>
        </w:rPr>
        <w:t>[…]</w:t>
      </w:r>
      <w:r w:rsidRPr="002616E4">
        <w:rPr>
          <w:rFonts w:eastAsia="Calibri"/>
          <w:szCs w:val="22"/>
          <w:lang w:eastAsia="de-DE" w:bidi="de-DE"/>
        </w:rPr>
        <w:t xml:space="preserve"> Hauptniederlassung oder Geschäftsführungs- beziehungsweise Verwaltungssitz in einem Mitgliedstaat des Europäischen Wirtschaftsraums liegt, oder an eine Einrichtung innerhalb des Europäischen Wirtschaftsraums eines solchen Unternehmens beziehungsweise einer solchen Einrichtung mit </w:t>
      </w:r>
      <w:r w:rsidR="00B27F11">
        <w:rPr>
          <w:rFonts w:eastAsia="Calibri"/>
          <w:szCs w:val="22"/>
          <w:lang w:eastAsia="de-DE" w:bidi="de-DE"/>
        </w:rPr>
        <w:t>[…]</w:t>
      </w:r>
      <w:r w:rsidRPr="002616E4">
        <w:rPr>
          <w:rFonts w:eastAsia="Calibri"/>
          <w:szCs w:val="22"/>
          <w:lang w:eastAsia="de-DE" w:bidi="de-DE"/>
        </w:rPr>
        <w:t xml:space="preserve"> Hauptniederlassung außerhalb des Europäischen Wirtschaftsraums gezahlt werden.]</w:t>
      </w:r>
    </w:p>
    <w:p w14:paraId="43CACC23" w14:textId="77777777" w:rsidR="005A5BD5" w:rsidRPr="002616E4" w:rsidRDefault="005A5BD5" w:rsidP="004C2C7D">
      <w:pPr>
        <w:jc w:val="both"/>
        <w:rPr>
          <w:rFonts w:eastAsia="Calibri"/>
          <w:szCs w:val="22"/>
          <w:lang w:eastAsia="de-DE" w:bidi="de-DE"/>
        </w:rPr>
      </w:pPr>
    </w:p>
    <w:p w14:paraId="56064290"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2. Diese Beiträge und Prämien müssen in Ausführung einer nachfolgend erwähnten Vereinbarung gezahlt werden: </w:t>
      </w:r>
    </w:p>
    <w:p w14:paraId="49348513" w14:textId="77777777" w:rsidR="005A5BD5" w:rsidRPr="002616E4" w:rsidRDefault="005A5BD5" w:rsidP="004C2C7D">
      <w:pPr>
        <w:jc w:val="both"/>
        <w:rPr>
          <w:rFonts w:eastAsia="Calibri"/>
          <w:szCs w:val="22"/>
          <w:lang w:eastAsia="de-DE" w:bidi="de-DE"/>
        </w:rPr>
      </w:pPr>
    </w:p>
    <w:p w14:paraId="7EE1FFEB"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entweder einer Gruppenversicherungsregelung, die die in den Vorschriften über die Kontrolle dieser Regelungen bestimmten Bedingungen erfüllt,</w:t>
      </w:r>
    </w:p>
    <w:p w14:paraId="3F23C84B" w14:textId="77777777" w:rsidR="0094417E" w:rsidRDefault="0094417E" w:rsidP="004C2C7D">
      <w:pPr>
        <w:jc w:val="both"/>
        <w:rPr>
          <w:rFonts w:eastAsia="Calibri"/>
          <w:szCs w:val="22"/>
          <w:lang w:eastAsia="de-DE" w:bidi="de-DE"/>
        </w:rPr>
      </w:pPr>
    </w:p>
    <w:p w14:paraId="5AC7AAB4"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lastRenderedPageBreak/>
        <w:tab/>
        <w:t>- oder eines Versicherungsvertrags in Bezug auf die Gewährung außergesetzlicher Vorteile an Lohnempfänger, erwähnt in den Vorschriften über die Ruhestands- und Hinterbliebenenpension für Lohnempfänger,</w:t>
      </w:r>
    </w:p>
    <w:p w14:paraId="38ECA3D7" w14:textId="77777777" w:rsidR="005A5BD5" w:rsidRPr="002616E4" w:rsidRDefault="005A5BD5" w:rsidP="004C2C7D">
      <w:pPr>
        <w:jc w:val="both"/>
        <w:rPr>
          <w:rFonts w:eastAsia="Calibri"/>
          <w:szCs w:val="22"/>
          <w:lang w:eastAsia="de-DE" w:bidi="de-DE"/>
        </w:rPr>
      </w:pPr>
    </w:p>
    <w:p w14:paraId="695650E2"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oder der Regelung eines Pensionsfonds, der zugunsten des Personals des Unternehmens eingerichtet und bei [der Autorität Finanzielle Dienste und Märkte] eingetragen oder durch Königlichen Erlass zugelassen ist,</w:t>
      </w:r>
    </w:p>
    <w:p w14:paraId="2F69EFE1" w14:textId="77777777" w:rsidR="005A5BD5" w:rsidRPr="002616E4" w:rsidRDefault="005A5BD5" w:rsidP="004C2C7D">
      <w:pPr>
        <w:jc w:val="both"/>
        <w:rPr>
          <w:rFonts w:eastAsia="Calibri"/>
          <w:szCs w:val="22"/>
          <w:lang w:eastAsia="de-DE" w:bidi="de-DE"/>
        </w:rPr>
      </w:pPr>
    </w:p>
    <w:p w14:paraId="0E24554C"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oder einer Vereinbarung in Bezug auf eine ergänzende Pension, die die im Gesetz vom 28. April 2003 über ergänzende Pensionen und das Besteuerungssystem für diese Pensionen und für bestimmte Zusatzleistungen im Bereich der sozialen Sicherheit vorgesehenen Bedingungen erfüllt,</w:t>
      </w:r>
    </w:p>
    <w:p w14:paraId="22E8EDD2" w14:textId="77777777" w:rsidR="005A5BD5" w:rsidRPr="002616E4" w:rsidRDefault="005A5BD5" w:rsidP="004C2C7D">
      <w:pPr>
        <w:jc w:val="both"/>
        <w:rPr>
          <w:rFonts w:eastAsia="Calibri"/>
          <w:szCs w:val="22"/>
          <w:lang w:eastAsia="de-DE" w:bidi="de-DE"/>
        </w:rPr>
      </w:pPr>
    </w:p>
    <w:p w14:paraId="5CF86761"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oder einer Solidaritätszusage, die in den Artikeln 10 und 11 des Gesetzes vom 28. April 2003 über ergänzende Pensionen und das Besteuerungssystem für diese Pensionen und für bestimmte Zusatzleistungen im Bereich der sozialen Sicherheit erwähnt ist.</w:t>
      </w:r>
    </w:p>
    <w:p w14:paraId="40A2E920" w14:textId="77777777" w:rsidR="005A5BD5" w:rsidRPr="002616E4" w:rsidRDefault="005A5BD5" w:rsidP="004C2C7D">
      <w:pPr>
        <w:jc w:val="both"/>
        <w:rPr>
          <w:rFonts w:eastAsia="Calibri"/>
          <w:szCs w:val="22"/>
          <w:lang w:eastAsia="de-DE" w:bidi="de-DE"/>
        </w:rPr>
      </w:pPr>
    </w:p>
    <w:p w14:paraId="44D65840"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3. In Artikel 145</w:t>
      </w:r>
      <w:r w:rsidRPr="002616E4">
        <w:rPr>
          <w:rFonts w:eastAsia="Calibri"/>
          <w:szCs w:val="22"/>
          <w:vertAlign w:val="superscript"/>
          <w:lang w:eastAsia="de-DE" w:bidi="de-DE"/>
        </w:rPr>
        <w:t>1</w:t>
      </w:r>
      <w:r w:rsidRPr="002616E4">
        <w:rPr>
          <w:rFonts w:eastAsia="Calibri"/>
          <w:szCs w:val="22"/>
          <w:lang w:eastAsia="de-DE" w:bidi="de-DE"/>
        </w:rPr>
        <w:t xml:space="preserve"> Nr. 1 desselben Gesetzbuches erwähnte persönliche Beiträge und Prämien, die der Arbeitgeber von den Entlohnungen eines Arbeitnehmers </w:t>
      </w:r>
      <w:r>
        <w:rPr>
          <w:rFonts w:eastAsia="Calibri"/>
          <w:szCs w:val="22"/>
          <w:lang w:eastAsia="de-DE" w:bidi="de-DE"/>
        </w:rPr>
        <w:t>einb</w:t>
      </w:r>
      <w:r w:rsidRPr="002616E4">
        <w:rPr>
          <w:rFonts w:eastAsia="Calibri"/>
          <w:szCs w:val="22"/>
          <w:lang w:eastAsia="de-DE" w:bidi="de-DE"/>
        </w:rPr>
        <w:t xml:space="preserve">ehalten hat, müssen jährlich auf den [in Artikel 92 § 1] erwähnten individuellen Lohnkarten in einer getrennten Rubrik unter Angabe von Bezeichnung und Adresse des Unternehmens beziehungsweise der Einrichtung vermerkt werden, der sie gezahlt worden sind. </w:t>
      </w:r>
    </w:p>
    <w:p w14:paraId="6E04711B" w14:textId="77777777" w:rsidR="005A5BD5" w:rsidRPr="002616E4" w:rsidRDefault="005A5BD5" w:rsidP="004C2C7D">
      <w:pPr>
        <w:jc w:val="both"/>
        <w:rPr>
          <w:rFonts w:eastAsia="Calibri"/>
          <w:szCs w:val="22"/>
          <w:lang w:eastAsia="de-DE" w:bidi="de-DE"/>
        </w:rPr>
      </w:pPr>
    </w:p>
    <w:p w14:paraId="3B73FB31"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4. [</w:t>
      </w:r>
      <w:r w:rsidR="009251F9">
        <w:rPr>
          <w:rFonts w:eastAsia="Calibri"/>
          <w:szCs w:val="22"/>
          <w:lang w:eastAsia="de-DE" w:bidi="de-DE"/>
        </w:rPr>
        <w:t>…</w:t>
      </w:r>
      <w:r w:rsidRPr="002616E4">
        <w:rPr>
          <w:rFonts w:eastAsia="Calibri"/>
          <w:szCs w:val="22"/>
          <w:lang w:eastAsia="de-DE" w:bidi="de-DE"/>
        </w:rPr>
        <w:t>]</w:t>
      </w:r>
    </w:p>
    <w:p w14:paraId="6B784D4E" w14:textId="77777777" w:rsidR="005A5BD5" w:rsidRPr="002616E4" w:rsidRDefault="005A5BD5" w:rsidP="004C2C7D">
      <w:pPr>
        <w:jc w:val="both"/>
        <w:rPr>
          <w:rFonts w:eastAsia="Calibri"/>
          <w:szCs w:val="22"/>
          <w:lang w:eastAsia="de-DE" w:bidi="de-DE"/>
        </w:rPr>
      </w:pPr>
    </w:p>
    <w:p w14:paraId="013AA69F"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5. Der in Gruppenversicherungsregelungen, Versicherungsverträgen, Pensions</w:t>
      </w:r>
      <w:r w:rsidRPr="002616E4">
        <w:rPr>
          <w:rFonts w:eastAsia="Calibri"/>
          <w:szCs w:val="22"/>
          <w:lang w:eastAsia="de-DE" w:bidi="de-DE"/>
        </w:rPr>
        <w:softHyphen/>
        <w:t>regelungen, Vereinbarungen in Bezug auf eine ergänzende Pension und Solidaritätszusagen vorgesehene Koeffizient der Übertragbarkeit von Leistungen zugunsten des hinterbliebenen Ehepartners darf 80 Prozent nicht übersteigen.]</w:t>
      </w:r>
    </w:p>
    <w:p w14:paraId="4216C9D9" w14:textId="77777777" w:rsidR="005A5BD5" w:rsidRPr="002616E4" w:rsidRDefault="005A5BD5" w:rsidP="004C2C7D">
      <w:pPr>
        <w:jc w:val="both"/>
        <w:rPr>
          <w:rFonts w:eastAsia="Calibri"/>
          <w:szCs w:val="22"/>
          <w:lang w:eastAsia="de-DE" w:bidi="de-DE"/>
        </w:rPr>
      </w:pPr>
    </w:p>
    <w:p w14:paraId="7F4A6A7D"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2 - [Der Abzug der in § 1 erwähnten Arbeitgeberbeiträge und -prämien als Werbungskosten ist nur zulässig während der normalen Berufstätigkeitsdauer des betreffenden Arbeitnehmers und nur insofern diese Beiträge und Prämien, erhöht um die in Artikel 145</w:t>
      </w:r>
      <w:r w:rsidRPr="002616E4">
        <w:rPr>
          <w:rFonts w:eastAsia="Calibri"/>
          <w:szCs w:val="22"/>
          <w:vertAlign w:val="superscript"/>
          <w:lang w:eastAsia="de-DE" w:bidi="de-DE"/>
        </w:rPr>
        <w:t>1</w:t>
      </w:r>
      <w:r w:rsidRPr="002616E4">
        <w:rPr>
          <w:rFonts w:eastAsia="Calibri"/>
          <w:szCs w:val="22"/>
          <w:lang w:eastAsia="de-DE" w:bidi="de-DE"/>
        </w:rPr>
        <w:t xml:space="preserve"> Nr. 1 desselben Gesetzbuches erwähnten persönlichen Beiträge und Prämien, pro Arbeitnehmer:</w:t>
      </w:r>
    </w:p>
    <w:p w14:paraId="64E42EDA" w14:textId="77777777" w:rsidR="005A5BD5" w:rsidRPr="002616E4" w:rsidRDefault="005A5BD5" w:rsidP="004C2C7D">
      <w:pPr>
        <w:jc w:val="both"/>
        <w:rPr>
          <w:rFonts w:eastAsia="Calibri"/>
          <w:szCs w:val="22"/>
          <w:lang w:eastAsia="de-DE" w:bidi="de-DE"/>
        </w:rPr>
      </w:pPr>
    </w:p>
    <w:p w14:paraId="20E63B56"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1. die aufgrund der Gruppenversicherungsregelung, des Versicherungsvertrags, der Pensionsregelung, der Vereinbarung in Bezug auf eine ergänzende Pension oder der Solidaritätszusage zu zahlenden Beträge pro Jahr nicht übersteigen und diese Vereinbarungen, was kollektive Vereinbarungen betrifft, für das gesamte Personal des Unternehmens oder eine spezifische Kategorie dieses Personals auf gleiche, nicht diskriminierende Weise zugänglich sind,</w:t>
      </w:r>
    </w:p>
    <w:p w14:paraId="3B7F196D" w14:textId="77777777" w:rsidR="005A5BD5" w:rsidRPr="002616E4" w:rsidRDefault="005A5BD5" w:rsidP="004C2C7D">
      <w:pPr>
        <w:jc w:val="both"/>
        <w:rPr>
          <w:rFonts w:eastAsia="Calibri"/>
          <w:szCs w:val="22"/>
          <w:lang w:eastAsia="de-DE" w:bidi="de-DE"/>
        </w:rPr>
      </w:pPr>
    </w:p>
    <w:p w14:paraId="15FF3381" w14:textId="77777777" w:rsidR="005A5BD5" w:rsidRDefault="005A5BD5" w:rsidP="004C2C7D">
      <w:pPr>
        <w:jc w:val="both"/>
        <w:rPr>
          <w:rFonts w:eastAsia="Calibri"/>
          <w:szCs w:val="22"/>
          <w:lang w:eastAsia="de-DE" w:bidi="de-DE"/>
        </w:rPr>
      </w:pPr>
      <w:r w:rsidRPr="002616E4">
        <w:rPr>
          <w:rFonts w:eastAsia="Calibri"/>
          <w:szCs w:val="22"/>
          <w:lang w:eastAsia="de-DE" w:bidi="de-DE"/>
        </w:rPr>
        <w:tab/>
        <w:t>2. Anspruch auf Leistungen, einschließlich Gewinnbeteiligungen, eröffnen, deren in jährlichen Leibrenten ausgedrückter oder in jährliche Leibrenten umgewandelter Betrag, erhöht um die gesetzliche Pension, 80 Prozent der normalen Bruttojahresentlohnung des Arbeitnehmers während des betreffenden Jahres, multipliziert mit einem Bruch, dessen Zähler die im Unternehmen tatsächlich geleistete und noch zu leistende Anzahl Jahre der normalen Berufstätigkeitsdauer und dessen Nenner die Anzahl Jahre der normalen Berufstätigkeitsdauer ist, nicht überschreitet.]</w:t>
      </w:r>
    </w:p>
    <w:p w14:paraId="7A67AB95" w14:textId="77777777" w:rsidR="0094417E" w:rsidRDefault="0094417E" w:rsidP="004C2C7D">
      <w:pPr>
        <w:jc w:val="both"/>
        <w:rPr>
          <w:rFonts w:eastAsia="Calibri"/>
          <w:szCs w:val="22"/>
          <w:lang w:eastAsia="de-DE" w:bidi="de-DE"/>
        </w:rPr>
      </w:pPr>
    </w:p>
    <w:p w14:paraId="762E7D85"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w:t>
      </w:r>
      <w:r w:rsidR="009251F9">
        <w:rPr>
          <w:rFonts w:eastAsia="Calibri"/>
          <w:szCs w:val="22"/>
          <w:lang w:eastAsia="de-DE" w:bidi="de-DE"/>
        </w:rPr>
        <w:t>…</w:t>
      </w:r>
      <w:r w:rsidRPr="002616E4">
        <w:rPr>
          <w:rFonts w:eastAsia="Calibri"/>
          <w:szCs w:val="22"/>
          <w:lang w:eastAsia="de-DE" w:bidi="de-DE"/>
        </w:rPr>
        <w:t>]</w:t>
      </w:r>
    </w:p>
    <w:p w14:paraId="70924409" w14:textId="77777777" w:rsidR="005A5BD5" w:rsidRPr="002616E4" w:rsidRDefault="005A5BD5" w:rsidP="004C2C7D">
      <w:pPr>
        <w:jc w:val="both"/>
        <w:rPr>
          <w:rFonts w:eastAsia="Calibri"/>
          <w:szCs w:val="22"/>
          <w:lang w:eastAsia="de-DE" w:bidi="de-DE"/>
        </w:rPr>
      </w:pPr>
    </w:p>
    <w:p w14:paraId="3648FCB0"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 3 - [Für Arbeitnehmer, die im Unternehmen keine vollständige Laufbahn erreichen, darf im Zähler des in § 2 Nr. 2 erwähnten Bruches eine Berufstätigkeitsdauer berücksichtigt werden, die über derjenigen liegt, die sie in diesem Unternehmen leisten werden, sofern die in § 2 Nr. 2 erwähnten Leistungen sich auf höchstens zehn Jahre einer vorherigen tatsächlich ausgeübten beruflichen Tätigkeit oder auf höchstens fünf Jahre einer bis zum normalen Ruhestandsalter noch auszuübenden beruflichen Tätigkeit beziehen und sofern die Gesamtanzahl der auf diese Weise berücksichtigten Jahre die Anzahl Jahre der normalen Dauer ihrer beruflichen Tätigkeit nicht überschreitet. In </w:t>
      </w:r>
      <w:r>
        <w:rPr>
          <w:rFonts w:eastAsia="Calibri"/>
          <w:szCs w:val="22"/>
          <w:lang w:eastAsia="de-DE" w:bidi="de-DE"/>
        </w:rPr>
        <w:t>einem solchen</w:t>
      </w:r>
      <w:r w:rsidRPr="002616E4">
        <w:rPr>
          <w:rFonts w:eastAsia="Calibri"/>
          <w:szCs w:val="22"/>
          <w:lang w:eastAsia="de-DE" w:bidi="de-DE"/>
        </w:rPr>
        <w:t xml:space="preserve"> Fall müssen in § 1 Nr. 2 erwähnte Regelungen, Verträge, Vereinbarungen in Bezug auf eine ergänzende Pension und Solidaritätszusagen darüber hinaus ausdrücklich die Bedingungen enthalten, unter denen diese Beiträge und Prämien gewährt werden.]</w:t>
      </w:r>
    </w:p>
    <w:p w14:paraId="2912C9AD" w14:textId="77777777" w:rsidR="005A5BD5" w:rsidRPr="002616E4" w:rsidRDefault="005A5BD5" w:rsidP="004C2C7D">
      <w:pPr>
        <w:jc w:val="both"/>
        <w:rPr>
          <w:rFonts w:eastAsia="Calibri"/>
          <w:szCs w:val="22"/>
          <w:lang w:eastAsia="de-DE" w:bidi="de-DE"/>
        </w:rPr>
      </w:pPr>
    </w:p>
    <w:p w14:paraId="50CFAE3D"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Um die Einhaltung der [in § 2 Nr. 2 erwähnten Grenzen] zu überprüfen, müssen in Kapital ausgedrückte Leistungen in Renten umgewandelt werden anhand der Angaben in nachstehender Tabelle, die gegebenenfalls angepasst werden, um die Übertragbarkeit oder [die Indexierung aufgeschobener Renten innerhalb der Grenze von 2 Prozent pro Jahr ab Einsetzen dieser Renten] zu berücksichtigen.</w:t>
      </w:r>
    </w:p>
    <w:p w14:paraId="4A5C436F" w14:textId="77777777" w:rsidR="005A5BD5" w:rsidRPr="002616E4" w:rsidRDefault="005A5BD5" w:rsidP="004C2C7D">
      <w:pPr>
        <w:jc w:val="both"/>
        <w:rPr>
          <w:rFonts w:eastAsia="Calibri"/>
          <w:szCs w:val="22"/>
          <w:lang w:eastAsia="de-DE" w:bidi="de-DE"/>
        </w:rPr>
      </w:pPr>
    </w:p>
    <w:tbl>
      <w:tblPr>
        <w:tblW w:w="0" w:type="auto"/>
        <w:tblInd w:w="262" w:type="dxa"/>
        <w:tblLayout w:type="fixed"/>
        <w:tblCellMar>
          <w:left w:w="120" w:type="dxa"/>
          <w:right w:w="120" w:type="dxa"/>
        </w:tblCellMar>
        <w:tblLook w:val="0000" w:firstRow="0" w:lastRow="0" w:firstColumn="0" w:lastColumn="0" w:noHBand="0" w:noVBand="0"/>
      </w:tblPr>
      <w:tblGrid>
        <w:gridCol w:w="4394"/>
        <w:gridCol w:w="4536"/>
      </w:tblGrid>
      <w:tr w:rsidR="005A5BD5" w:rsidRPr="00516EF3" w14:paraId="53469659" w14:textId="77777777" w:rsidTr="004C2C7D">
        <w:trPr>
          <w:tblHeader/>
        </w:trPr>
        <w:tc>
          <w:tcPr>
            <w:tcW w:w="8930" w:type="dxa"/>
            <w:gridSpan w:val="2"/>
            <w:tcBorders>
              <w:top w:val="double" w:sz="6" w:space="0" w:color="auto"/>
              <w:left w:val="double" w:sz="6" w:space="0" w:color="auto"/>
              <w:bottom w:val="single" w:sz="6" w:space="0" w:color="auto"/>
              <w:right w:val="double" w:sz="6" w:space="0" w:color="auto"/>
            </w:tcBorders>
            <w:vAlign w:val="center"/>
          </w:tcPr>
          <w:p w14:paraId="5093DB08" w14:textId="77777777" w:rsidR="005A5BD5" w:rsidRPr="002616E4" w:rsidRDefault="005A5BD5" w:rsidP="004C2C7D">
            <w:pPr>
              <w:keepNext/>
              <w:spacing w:before="120" w:after="120"/>
              <w:jc w:val="center"/>
              <w:rPr>
                <w:rFonts w:eastAsia="Calibri"/>
                <w:spacing w:val="-2"/>
                <w:szCs w:val="22"/>
                <w:lang w:eastAsia="de-DE" w:bidi="de-DE"/>
              </w:rPr>
            </w:pPr>
            <w:r w:rsidRPr="002616E4">
              <w:rPr>
                <w:rFonts w:eastAsia="Calibri"/>
                <w:spacing w:val="-2"/>
                <w:szCs w:val="22"/>
                <w:lang w:eastAsia="de-DE" w:bidi="de-DE"/>
              </w:rPr>
              <w:t>Tabelle, in der - ohne</w:t>
            </w:r>
            <w:r>
              <w:rPr>
                <w:rFonts w:eastAsia="Calibri"/>
                <w:spacing w:val="-2"/>
                <w:szCs w:val="22"/>
                <w:lang w:eastAsia="de-DE" w:bidi="de-DE"/>
              </w:rPr>
              <w:t xml:space="preserve"> Berücksichtigung von</w:t>
            </w:r>
            <w:r w:rsidRPr="002616E4">
              <w:rPr>
                <w:rFonts w:eastAsia="Calibri"/>
                <w:spacing w:val="-2"/>
                <w:szCs w:val="22"/>
                <w:lang w:eastAsia="de-DE" w:bidi="de-DE"/>
              </w:rPr>
              <w:t xml:space="preserve"> Übertragbarkeit oder Indexierung der Renten - für verschiedene Alter bei Einsetzen der Rente das Kapital angegeben ist, das für die Zahlung in Zwölfteln und bei Fälligkeit einer Jahresrente von 1</w:t>
            </w:r>
            <w:r>
              <w:rPr>
                <w:rFonts w:eastAsia="Calibri"/>
                <w:spacing w:val="-2"/>
                <w:szCs w:val="22"/>
                <w:lang w:eastAsia="de-DE" w:bidi="de-DE"/>
              </w:rPr>
              <w:t> </w:t>
            </w:r>
            <w:r w:rsidRPr="002616E4">
              <w:rPr>
                <w:rFonts w:eastAsia="Calibri"/>
                <w:spacing w:val="-2"/>
                <w:szCs w:val="22"/>
                <w:lang w:eastAsia="de-DE" w:bidi="de-DE"/>
              </w:rPr>
              <w:t>[EUR] als notwendig gilt.</w:t>
            </w:r>
          </w:p>
        </w:tc>
      </w:tr>
      <w:tr w:rsidR="005A5BD5" w:rsidRPr="00516EF3" w14:paraId="0531EFBC" w14:textId="77777777" w:rsidTr="004C2C7D">
        <w:trPr>
          <w:tblHeader/>
        </w:trPr>
        <w:tc>
          <w:tcPr>
            <w:tcW w:w="4394" w:type="dxa"/>
            <w:tcBorders>
              <w:top w:val="single" w:sz="6" w:space="0" w:color="auto"/>
              <w:left w:val="double" w:sz="6" w:space="0" w:color="auto"/>
              <w:bottom w:val="single" w:sz="4" w:space="0" w:color="auto"/>
              <w:right w:val="single" w:sz="8" w:space="0" w:color="auto"/>
            </w:tcBorders>
            <w:vAlign w:val="center"/>
          </w:tcPr>
          <w:p w14:paraId="5602C95E" w14:textId="77777777" w:rsidR="005A5BD5" w:rsidRPr="002616E4" w:rsidRDefault="005A5BD5" w:rsidP="004C2C7D">
            <w:pPr>
              <w:spacing w:before="120" w:after="120"/>
              <w:jc w:val="center"/>
              <w:rPr>
                <w:rFonts w:eastAsia="Calibri"/>
                <w:spacing w:val="-2"/>
                <w:szCs w:val="22"/>
                <w:lang w:eastAsia="de-DE" w:bidi="de-DE"/>
              </w:rPr>
            </w:pPr>
            <w:r w:rsidRPr="002616E4">
              <w:rPr>
                <w:rFonts w:eastAsia="Calibri"/>
                <w:spacing w:val="-2"/>
                <w:szCs w:val="22"/>
                <w:lang w:eastAsia="de-DE" w:bidi="de-DE"/>
              </w:rPr>
              <w:t>Alter bei Einsetzen der Rente</w:t>
            </w:r>
          </w:p>
        </w:tc>
        <w:tc>
          <w:tcPr>
            <w:tcW w:w="4536" w:type="dxa"/>
            <w:tcBorders>
              <w:top w:val="single" w:sz="6" w:space="0" w:color="auto"/>
              <w:left w:val="single" w:sz="8" w:space="0" w:color="auto"/>
              <w:bottom w:val="single" w:sz="4" w:space="0" w:color="auto"/>
              <w:right w:val="double" w:sz="6" w:space="0" w:color="auto"/>
            </w:tcBorders>
            <w:vAlign w:val="center"/>
          </w:tcPr>
          <w:p w14:paraId="43F410B6" w14:textId="77777777" w:rsidR="005A5BD5" w:rsidRPr="002616E4" w:rsidRDefault="005A5BD5" w:rsidP="004C2C7D">
            <w:pPr>
              <w:spacing w:before="120" w:after="120"/>
              <w:jc w:val="center"/>
              <w:rPr>
                <w:rFonts w:eastAsia="Calibri"/>
                <w:spacing w:val="-2"/>
                <w:szCs w:val="22"/>
                <w:lang w:eastAsia="de-DE" w:bidi="de-DE"/>
              </w:rPr>
            </w:pPr>
            <w:r w:rsidRPr="002616E4">
              <w:rPr>
                <w:rFonts w:eastAsia="Calibri"/>
                <w:spacing w:val="-2"/>
                <w:szCs w:val="22"/>
                <w:lang w:eastAsia="de-DE" w:bidi="de-DE"/>
              </w:rPr>
              <w:t>Kapital in [EUR], das für eine Jahresrente von 1 [EUR] erforderlich ist</w:t>
            </w:r>
          </w:p>
        </w:tc>
      </w:tr>
      <w:tr w:rsidR="005A5BD5" w:rsidRPr="002616E4" w14:paraId="2CA862C7" w14:textId="77777777" w:rsidTr="004C2C7D">
        <w:trPr>
          <w:trHeight w:val="360"/>
        </w:trPr>
        <w:tc>
          <w:tcPr>
            <w:tcW w:w="4394" w:type="dxa"/>
            <w:tcBorders>
              <w:top w:val="single" w:sz="4" w:space="0" w:color="auto"/>
              <w:left w:val="double" w:sz="6" w:space="0" w:color="auto"/>
              <w:right w:val="single" w:sz="6" w:space="0" w:color="auto"/>
            </w:tcBorders>
            <w:vAlign w:val="center"/>
          </w:tcPr>
          <w:p w14:paraId="67C6BC10"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40 und jünger</w:t>
            </w:r>
          </w:p>
        </w:tc>
        <w:tc>
          <w:tcPr>
            <w:tcW w:w="4536" w:type="dxa"/>
            <w:tcBorders>
              <w:top w:val="single" w:sz="4" w:space="0" w:color="auto"/>
              <w:left w:val="single" w:sz="6" w:space="0" w:color="auto"/>
              <w:right w:val="double" w:sz="6" w:space="0" w:color="auto"/>
            </w:tcBorders>
            <w:vAlign w:val="center"/>
          </w:tcPr>
          <w:p w14:paraId="4E299791"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17,7063</w:t>
            </w:r>
          </w:p>
        </w:tc>
      </w:tr>
      <w:tr w:rsidR="005A5BD5" w:rsidRPr="002616E4" w14:paraId="35B546B5" w14:textId="77777777" w:rsidTr="004C2C7D">
        <w:trPr>
          <w:trHeight w:val="360"/>
        </w:trPr>
        <w:tc>
          <w:tcPr>
            <w:tcW w:w="4394" w:type="dxa"/>
            <w:tcBorders>
              <w:left w:val="double" w:sz="6" w:space="0" w:color="auto"/>
            </w:tcBorders>
            <w:vAlign w:val="center"/>
          </w:tcPr>
          <w:p w14:paraId="52E2429C"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41 Jahre</w:t>
            </w:r>
          </w:p>
        </w:tc>
        <w:tc>
          <w:tcPr>
            <w:tcW w:w="4536" w:type="dxa"/>
            <w:tcBorders>
              <w:left w:val="single" w:sz="7" w:space="0" w:color="auto"/>
              <w:right w:val="double" w:sz="6" w:space="0" w:color="auto"/>
            </w:tcBorders>
            <w:vAlign w:val="center"/>
          </w:tcPr>
          <w:p w14:paraId="4D223E1A"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17,5247</w:t>
            </w:r>
          </w:p>
        </w:tc>
      </w:tr>
      <w:tr w:rsidR="005A5BD5" w:rsidRPr="002616E4" w14:paraId="46AD91E1" w14:textId="77777777" w:rsidTr="004C2C7D">
        <w:trPr>
          <w:trHeight w:val="360"/>
        </w:trPr>
        <w:tc>
          <w:tcPr>
            <w:tcW w:w="4394" w:type="dxa"/>
            <w:tcBorders>
              <w:left w:val="double" w:sz="6" w:space="0" w:color="auto"/>
            </w:tcBorders>
            <w:vAlign w:val="center"/>
          </w:tcPr>
          <w:p w14:paraId="066670BD"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42 Jahre</w:t>
            </w:r>
          </w:p>
        </w:tc>
        <w:tc>
          <w:tcPr>
            <w:tcW w:w="4536" w:type="dxa"/>
            <w:tcBorders>
              <w:left w:val="single" w:sz="7" w:space="0" w:color="auto"/>
              <w:right w:val="double" w:sz="6" w:space="0" w:color="auto"/>
            </w:tcBorders>
            <w:vAlign w:val="center"/>
          </w:tcPr>
          <w:p w14:paraId="22FFB41D"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17,3371</w:t>
            </w:r>
          </w:p>
        </w:tc>
      </w:tr>
      <w:tr w:rsidR="005A5BD5" w:rsidRPr="002616E4" w14:paraId="00495F50" w14:textId="77777777" w:rsidTr="004C2C7D">
        <w:trPr>
          <w:trHeight w:val="360"/>
        </w:trPr>
        <w:tc>
          <w:tcPr>
            <w:tcW w:w="4394" w:type="dxa"/>
            <w:tcBorders>
              <w:left w:val="double" w:sz="6" w:space="0" w:color="auto"/>
            </w:tcBorders>
            <w:vAlign w:val="center"/>
          </w:tcPr>
          <w:p w14:paraId="0BC23A4F"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43 Jahre</w:t>
            </w:r>
          </w:p>
        </w:tc>
        <w:tc>
          <w:tcPr>
            <w:tcW w:w="4536" w:type="dxa"/>
            <w:tcBorders>
              <w:left w:val="single" w:sz="7" w:space="0" w:color="auto"/>
              <w:right w:val="double" w:sz="6" w:space="0" w:color="auto"/>
            </w:tcBorders>
            <w:vAlign w:val="center"/>
          </w:tcPr>
          <w:p w14:paraId="3543ACCF"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17,1434</w:t>
            </w:r>
          </w:p>
        </w:tc>
      </w:tr>
      <w:tr w:rsidR="005A5BD5" w:rsidRPr="002616E4" w14:paraId="63F7BCB8" w14:textId="77777777" w:rsidTr="004C2C7D">
        <w:trPr>
          <w:trHeight w:val="360"/>
        </w:trPr>
        <w:tc>
          <w:tcPr>
            <w:tcW w:w="4394" w:type="dxa"/>
            <w:tcBorders>
              <w:left w:val="double" w:sz="6" w:space="0" w:color="auto"/>
            </w:tcBorders>
            <w:vAlign w:val="center"/>
          </w:tcPr>
          <w:p w14:paraId="19DA38F0"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44 Jahre</w:t>
            </w:r>
          </w:p>
        </w:tc>
        <w:tc>
          <w:tcPr>
            <w:tcW w:w="4536" w:type="dxa"/>
            <w:tcBorders>
              <w:left w:val="single" w:sz="7" w:space="0" w:color="auto"/>
              <w:right w:val="double" w:sz="6" w:space="0" w:color="auto"/>
            </w:tcBorders>
            <w:vAlign w:val="center"/>
          </w:tcPr>
          <w:p w14:paraId="63C6FD7E"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16,9436</w:t>
            </w:r>
          </w:p>
        </w:tc>
      </w:tr>
      <w:tr w:rsidR="005A5BD5" w:rsidRPr="002616E4" w14:paraId="6CC08260" w14:textId="77777777" w:rsidTr="004C2C7D">
        <w:trPr>
          <w:trHeight w:val="360"/>
        </w:trPr>
        <w:tc>
          <w:tcPr>
            <w:tcW w:w="4394" w:type="dxa"/>
            <w:tcBorders>
              <w:left w:val="double" w:sz="6" w:space="0" w:color="auto"/>
              <w:right w:val="single" w:sz="8" w:space="0" w:color="auto"/>
            </w:tcBorders>
            <w:vAlign w:val="center"/>
          </w:tcPr>
          <w:p w14:paraId="320FCB1E"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45 Jahre</w:t>
            </w:r>
          </w:p>
        </w:tc>
        <w:tc>
          <w:tcPr>
            <w:tcW w:w="4536" w:type="dxa"/>
            <w:tcBorders>
              <w:left w:val="single" w:sz="8" w:space="0" w:color="auto"/>
              <w:right w:val="double" w:sz="6" w:space="0" w:color="auto"/>
            </w:tcBorders>
            <w:vAlign w:val="center"/>
          </w:tcPr>
          <w:p w14:paraId="22F0036F"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16,7376</w:t>
            </w:r>
          </w:p>
        </w:tc>
      </w:tr>
      <w:tr w:rsidR="005A5BD5" w:rsidRPr="002616E4" w14:paraId="49C67DBE" w14:textId="77777777" w:rsidTr="004C2C7D">
        <w:trPr>
          <w:trHeight w:val="360"/>
        </w:trPr>
        <w:tc>
          <w:tcPr>
            <w:tcW w:w="4394" w:type="dxa"/>
            <w:tcBorders>
              <w:left w:val="double" w:sz="6" w:space="0" w:color="auto"/>
            </w:tcBorders>
            <w:vAlign w:val="center"/>
          </w:tcPr>
          <w:p w14:paraId="3056A0E6"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46 Jahre</w:t>
            </w:r>
          </w:p>
        </w:tc>
        <w:tc>
          <w:tcPr>
            <w:tcW w:w="4536" w:type="dxa"/>
            <w:tcBorders>
              <w:left w:val="single" w:sz="7" w:space="0" w:color="auto"/>
              <w:right w:val="double" w:sz="6" w:space="0" w:color="auto"/>
            </w:tcBorders>
            <w:vAlign w:val="center"/>
          </w:tcPr>
          <w:p w14:paraId="0667737F"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16,5254</w:t>
            </w:r>
          </w:p>
        </w:tc>
      </w:tr>
      <w:tr w:rsidR="005A5BD5" w:rsidRPr="002616E4" w14:paraId="0A1F137E" w14:textId="77777777" w:rsidTr="004C2C7D">
        <w:trPr>
          <w:trHeight w:val="360"/>
        </w:trPr>
        <w:tc>
          <w:tcPr>
            <w:tcW w:w="4394" w:type="dxa"/>
            <w:tcBorders>
              <w:left w:val="double" w:sz="6" w:space="0" w:color="auto"/>
            </w:tcBorders>
            <w:vAlign w:val="center"/>
          </w:tcPr>
          <w:p w14:paraId="5ED2BB1D"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47 Jahre</w:t>
            </w:r>
          </w:p>
        </w:tc>
        <w:tc>
          <w:tcPr>
            <w:tcW w:w="4536" w:type="dxa"/>
            <w:tcBorders>
              <w:left w:val="single" w:sz="7" w:space="0" w:color="auto"/>
              <w:right w:val="double" w:sz="6" w:space="0" w:color="auto"/>
            </w:tcBorders>
            <w:vAlign w:val="center"/>
          </w:tcPr>
          <w:p w14:paraId="55612040"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16,3069</w:t>
            </w:r>
          </w:p>
        </w:tc>
      </w:tr>
      <w:tr w:rsidR="005A5BD5" w:rsidRPr="002616E4" w14:paraId="61A18F89" w14:textId="77777777" w:rsidTr="004C2C7D">
        <w:trPr>
          <w:trHeight w:val="360"/>
        </w:trPr>
        <w:tc>
          <w:tcPr>
            <w:tcW w:w="4394" w:type="dxa"/>
            <w:tcBorders>
              <w:left w:val="double" w:sz="6" w:space="0" w:color="auto"/>
            </w:tcBorders>
            <w:vAlign w:val="center"/>
          </w:tcPr>
          <w:p w14:paraId="653B6CE3"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48 Jahre</w:t>
            </w:r>
          </w:p>
        </w:tc>
        <w:tc>
          <w:tcPr>
            <w:tcW w:w="4536" w:type="dxa"/>
            <w:tcBorders>
              <w:left w:val="single" w:sz="7" w:space="0" w:color="auto"/>
              <w:right w:val="double" w:sz="6" w:space="0" w:color="auto"/>
            </w:tcBorders>
            <w:vAlign w:val="center"/>
          </w:tcPr>
          <w:p w14:paraId="33CD2F6F"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16,0821</w:t>
            </w:r>
          </w:p>
        </w:tc>
      </w:tr>
      <w:tr w:rsidR="005A5BD5" w:rsidRPr="002616E4" w14:paraId="7E49686E" w14:textId="77777777" w:rsidTr="004C2C7D">
        <w:trPr>
          <w:trHeight w:val="360"/>
        </w:trPr>
        <w:tc>
          <w:tcPr>
            <w:tcW w:w="4394" w:type="dxa"/>
            <w:tcBorders>
              <w:left w:val="double" w:sz="6" w:space="0" w:color="auto"/>
            </w:tcBorders>
            <w:vAlign w:val="center"/>
          </w:tcPr>
          <w:p w14:paraId="0E0C6F49"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49 Jahre</w:t>
            </w:r>
          </w:p>
        </w:tc>
        <w:tc>
          <w:tcPr>
            <w:tcW w:w="4536" w:type="dxa"/>
            <w:tcBorders>
              <w:left w:val="single" w:sz="7" w:space="0" w:color="auto"/>
              <w:right w:val="double" w:sz="6" w:space="0" w:color="auto"/>
            </w:tcBorders>
            <w:vAlign w:val="center"/>
          </w:tcPr>
          <w:p w14:paraId="0E16084F"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15,8510</w:t>
            </w:r>
          </w:p>
        </w:tc>
      </w:tr>
      <w:tr w:rsidR="005A5BD5" w:rsidRPr="002616E4" w14:paraId="3925E41F" w14:textId="77777777" w:rsidTr="004C2C7D">
        <w:trPr>
          <w:trHeight w:val="360"/>
        </w:trPr>
        <w:tc>
          <w:tcPr>
            <w:tcW w:w="4394" w:type="dxa"/>
            <w:tcBorders>
              <w:left w:val="double" w:sz="6" w:space="0" w:color="auto"/>
            </w:tcBorders>
            <w:vAlign w:val="center"/>
          </w:tcPr>
          <w:p w14:paraId="61384AD5"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50 Jahre</w:t>
            </w:r>
          </w:p>
        </w:tc>
        <w:tc>
          <w:tcPr>
            <w:tcW w:w="4536" w:type="dxa"/>
            <w:tcBorders>
              <w:left w:val="single" w:sz="7" w:space="0" w:color="auto"/>
              <w:right w:val="double" w:sz="6" w:space="0" w:color="auto"/>
            </w:tcBorders>
            <w:vAlign w:val="center"/>
          </w:tcPr>
          <w:p w14:paraId="479BA56B"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15,6137</w:t>
            </w:r>
          </w:p>
        </w:tc>
      </w:tr>
      <w:tr w:rsidR="005A5BD5" w:rsidRPr="002616E4" w14:paraId="5A9B2A8F" w14:textId="77777777" w:rsidTr="004C2C7D">
        <w:trPr>
          <w:trHeight w:val="360"/>
        </w:trPr>
        <w:tc>
          <w:tcPr>
            <w:tcW w:w="4394" w:type="dxa"/>
            <w:tcBorders>
              <w:left w:val="double" w:sz="6" w:space="0" w:color="auto"/>
            </w:tcBorders>
            <w:vAlign w:val="center"/>
          </w:tcPr>
          <w:p w14:paraId="7DAD4277"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51 Jahre</w:t>
            </w:r>
          </w:p>
        </w:tc>
        <w:tc>
          <w:tcPr>
            <w:tcW w:w="4536" w:type="dxa"/>
            <w:tcBorders>
              <w:left w:val="single" w:sz="7" w:space="0" w:color="auto"/>
              <w:right w:val="double" w:sz="6" w:space="0" w:color="auto"/>
            </w:tcBorders>
            <w:vAlign w:val="center"/>
          </w:tcPr>
          <w:p w14:paraId="7ADBBAD3"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15,3701</w:t>
            </w:r>
          </w:p>
        </w:tc>
      </w:tr>
      <w:tr w:rsidR="005A5BD5" w:rsidRPr="002616E4" w14:paraId="3B1D60BD" w14:textId="77777777" w:rsidTr="004C2C7D">
        <w:trPr>
          <w:trHeight w:val="360"/>
        </w:trPr>
        <w:tc>
          <w:tcPr>
            <w:tcW w:w="4394" w:type="dxa"/>
            <w:tcBorders>
              <w:left w:val="double" w:sz="6" w:space="0" w:color="auto"/>
            </w:tcBorders>
            <w:vAlign w:val="center"/>
          </w:tcPr>
          <w:p w14:paraId="0DBC9E2C"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52 Jahre</w:t>
            </w:r>
          </w:p>
        </w:tc>
        <w:tc>
          <w:tcPr>
            <w:tcW w:w="4536" w:type="dxa"/>
            <w:tcBorders>
              <w:left w:val="single" w:sz="7" w:space="0" w:color="auto"/>
              <w:right w:val="double" w:sz="6" w:space="0" w:color="auto"/>
            </w:tcBorders>
            <w:vAlign w:val="center"/>
          </w:tcPr>
          <w:p w14:paraId="180CB8E1"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15,1203</w:t>
            </w:r>
          </w:p>
        </w:tc>
      </w:tr>
      <w:tr w:rsidR="005A5BD5" w:rsidRPr="002616E4" w14:paraId="680AF3A3" w14:textId="77777777" w:rsidTr="00811447">
        <w:trPr>
          <w:trHeight w:val="360"/>
        </w:trPr>
        <w:tc>
          <w:tcPr>
            <w:tcW w:w="4394" w:type="dxa"/>
            <w:tcBorders>
              <w:left w:val="double" w:sz="6" w:space="0" w:color="auto"/>
            </w:tcBorders>
            <w:vAlign w:val="center"/>
          </w:tcPr>
          <w:p w14:paraId="7114F3B2"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53 Jahre</w:t>
            </w:r>
          </w:p>
        </w:tc>
        <w:tc>
          <w:tcPr>
            <w:tcW w:w="4536" w:type="dxa"/>
            <w:tcBorders>
              <w:left w:val="single" w:sz="7" w:space="0" w:color="auto"/>
              <w:right w:val="double" w:sz="6" w:space="0" w:color="auto"/>
            </w:tcBorders>
            <w:vAlign w:val="center"/>
          </w:tcPr>
          <w:p w14:paraId="4BD5E6FA"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14,8644</w:t>
            </w:r>
          </w:p>
        </w:tc>
      </w:tr>
      <w:tr w:rsidR="005A5BD5" w:rsidRPr="002616E4" w14:paraId="691A55AC" w14:textId="77777777" w:rsidTr="00811447">
        <w:trPr>
          <w:trHeight w:val="360"/>
        </w:trPr>
        <w:tc>
          <w:tcPr>
            <w:tcW w:w="4394" w:type="dxa"/>
            <w:tcBorders>
              <w:left w:val="double" w:sz="6" w:space="0" w:color="auto"/>
              <w:bottom w:val="single" w:sz="4" w:space="0" w:color="auto"/>
              <w:right w:val="single" w:sz="6" w:space="0" w:color="auto"/>
            </w:tcBorders>
            <w:vAlign w:val="center"/>
          </w:tcPr>
          <w:p w14:paraId="0731A6DC"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54 Jahre</w:t>
            </w:r>
          </w:p>
        </w:tc>
        <w:tc>
          <w:tcPr>
            <w:tcW w:w="4536" w:type="dxa"/>
            <w:tcBorders>
              <w:left w:val="single" w:sz="6" w:space="0" w:color="auto"/>
              <w:bottom w:val="single" w:sz="4" w:space="0" w:color="auto"/>
              <w:right w:val="double" w:sz="6" w:space="0" w:color="auto"/>
            </w:tcBorders>
            <w:vAlign w:val="center"/>
          </w:tcPr>
          <w:p w14:paraId="16DAF5F4"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14,6025</w:t>
            </w:r>
          </w:p>
        </w:tc>
      </w:tr>
      <w:tr w:rsidR="005A5BD5" w:rsidRPr="002616E4" w14:paraId="224B4200" w14:textId="77777777" w:rsidTr="00811447">
        <w:trPr>
          <w:trHeight w:val="360"/>
        </w:trPr>
        <w:tc>
          <w:tcPr>
            <w:tcW w:w="4394" w:type="dxa"/>
            <w:tcBorders>
              <w:top w:val="single" w:sz="4" w:space="0" w:color="auto"/>
              <w:left w:val="double" w:sz="6" w:space="0" w:color="auto"/>
            </w:tcBorders>
            <w:vAlign w:val="center"/>
          </w:tcPr>
          <w:p w14:paraId="3255A4FE"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lastRenderedPageBreak/>
              <w:t>55 Jahre</w:t>
            </w:r>
          </w:p>
        </w:tc>
        <w:tc>
          <w:tcPr>
            <w:tcW w:w="4536" w:type="dxa"/>
            <w:tcBorders>
              <w:top w:val="single" w:sz="4" w:space="0" w:color="auto"/>
              <w:left w:val="single" w:sz="7" w:space="0" w:color="auto"/>
              <w:right w:val="double" w:sz="6" w:space="0" w:color="auto"/>
            </w:tcBorders>
            <w:vAlign w:val="center"/>
          </w:tcPr>
          <w:p w14:paraId="1AA76145"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14,3347</w:t>
            </w:r>
          </w:p>
        </w:tc>
      </w:tr>
      <w:tr w:rsidR="005A5BD5" w:rsidRPr="002616E4" w14:paraId="590C0A4F" w14:textId="77777777" w:rsidTr="004C2C7D">
        <w:trPr>
          <w:trHeight w:val="360"/>
        </w:trPr>
        <w:tc>
          <w:tcPr>
            <w:tcW w:w="4394" w:type="dxa"/>
            <w:tcBorders>
              <w:left w:val="double" w:sz="6" w:space="0" w:color="auto"/>
            </w:tcBorders>
            <w:vAlign w:val="center"/>
          </w:tcPr>
          <w:p w14:paraId="3C2FBABD"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56 Jahre</w:t>
            </w:r>
          </w:p>
        </w:tc>
        <w:tc>
          <w:tcPr>
            <w:tcW w:w="4536" w:type="dxa"/>
            <w:tcBorders>
              <w:left w:val="single" w:sz="7" w:space="0" w:color="auto"/>
              <w:right w:val="double" w:sz="6" w:space="0" w:color="auto"/>
            </w:tcBorders>
            <w:vAlign w:val="center"/>
          </w:tcPr>
          <w:p w14:paraId="0E1BBC1B"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14,0612</w:t>
            </w:r>
          </w:p>
        </w:tc>
      </w:tr>
      <w:tr w:rsidR="005A5BD5" w:rsidRPr="002616E4" w14:paraId="0A856965" w14:textId="77777777" w:rsidTr="004C2C7D">
        <w:trPr>
          <w:trHeight w:val="360"/>
        </w:trPr>
        <w:tc>
          <w:tcPr>
            <w:tcW w:w="4394" w:type="dxa"/>
            <w:tcBorders>
              <w:left w:val="double" w:sz="6" w:space="0" w:color="auto"/>
            </w:tcBorders>
            <w:vAlign w:val="center"/>
          </w:tcPr>
          <w:p w14:paraId="3DF462E0"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57 Jahre</w:t>
            </w:r>
          </w:p>
        </w:tc>
        <w:tc>
          <w:tcPr>
            <w:tcW w:w="4536" w:type="dxa"/>
            <w:tcBorders>
              <w:left w:val="single" w:sz="7" w:space="0" w:color="auto"/>
              <w:right w:val="double" w:sz="6" w:space="0" w:color="auto"/>
            </w:tcBorders>
            <w:vAlign w:val="center"/>
          </w:tcPr>
          <w:p w14:paraId="6381ED9C"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13,7820</w:t>
            </w:r>
          </w:p>
        </w:tc>
      </w:tr>
      <w:tr w:rsidR="005A5BD5" w:rsidRPr="002616E4" w14:paraId="700AB05D" w14:textId="77777777" w:rsidTr="004C2C7D">
        <w:trPr>
          <w:trHeight w:val="360"/>
        </w:trPr>
        <w:tc>
          <w:tcPr>
            <w:tcW w:w="4394" w:type="dxa"/>
            <w:tcBorders>
              <w:left w:val="double" w:sz="6" w:space="0" w:color="auto"/>
            </w:tcBorders>
            <w:vAlign w:val="center"/>
          </w:tcPr>
          <w:p w14:paraId="3B28F480"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58 Jahre</w:t>
            </w:r>
          </w:p>
        </w:tc>
        <w:tc>
          <w:tcPr>
            <w:tcW w:w="4536" w:type="dxa"/>
            <w:tcBorders>
              <w:left w:val="single" w:sz="7" w:space="0" w:color="auto"/>
              <w:right w:val="double" w:sz="6" w:space="0" w:color="auto"/>
            </w:tcBorders>
            <w:vAlign w:val="center"/>
          </w:tcPr>
          <w:p w14:paraId="2D389DCE"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13,4974</w:t>
            </w:r>
          </w:p>
        </w:tc>
      </w:tr>
      <w:tr w:rsidR="005A5BD5" w:rsidRPr="002616E4" w14:paraId="316FAD03" w14:textId="77777777" w:rsidTr="004C2C7D">
        <w:trPr>
          <w:trHeight w:val="360"/>
        </w:trPr>
        <w:tc>
          <w:tcPr>
            <w:tcW w:w="4394" w:type="dxa"/>
            <w:tcBorders>
              <w:left w:val="double" w:sz="6" w:space="0" w:color="auto"/>
            </w:tcBorders>
            <w:vAlign w:val="center"/>
          </w:tcPr>
          <w:p w14:paraId="651CD964"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59 Jahre</w:t>
            </w:r>
          </w:p>
        </w:tc>
        <w:tc>
          <w:tcPr>
            <w:tcW w:w="4536" w:type="dxa"/>
            <w:tcBorders>
              <w:left w:val="single" w:sz="7" w:space="0" w:color="auto"/>
              <w:right w:val="double" w:sz="6" w:space="0" w:color="auto"/>
            </w:tcBorders>
            <w:vAlign w:val="center"/>
          </w:tcPr>
          <w:p w14:paraId="1ECCCA0A"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13,2077</w:t>
            </w:r>
          </w:p>
        </w:tc>
      </w:tr>
      <w:tr w:rsidR="005A5BD5" w:rsidRPr="002616E4" w14:paraId="4C04F5D4" w14:textId="77777777" w:rsidTr="004C2C7D">
        <w:trPr>
          <w:trHeight w:val="360"/>
        </w:trPr>
        <w:tc>
          <w:tcPr>
            <w:tcW w:w="4394" w:type="dxa"/>
            <w:tcBorders>
              <w:left w:val="double" w:sz="6" w:space="0" w:color="auto"/>
            </w:tcBorders>
            <w:vAlign w:val="center"/>
          </w:tcPr>
          <w:p w14:paraId="244D1B97"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60 Jahre</w:t>
            </w:r>
          </w:p>
        </w:tc>
        <w:tc>
          <w:tcPr>
            <w:tcW w:w="4536" w:type="dxa"/>
            <w:tcBorders>
              <w:left w:val="single" w:sz="7" w:space="0" w:color="auto"/>
              <w:right w:val="double" w:sz="6" w:space="0" w:color="auto"/>
            </w:tcBorders>
            <w:vAlign w:val="center"/>
          </w:tcPr>
          <w:p w14:paraId="3D283EFB"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12,9130</w:t>
            </w:r>
          </w:p>
        </w:tc>
      </w:tr>
      <w:tr w:rsidR="005A5BD5" w:rsidRPr="002616E4" w14:paraId="4F46C953" w14:textId="77777777" w:rsidTr="004C2C7D">
        <w:trPr>
          <w:trHeight w:val="360"/>
        </w:trPr>
        <w:tc>
          <w:tcPr>
            <w:tcW w:w="4394" w:type="dxa"/>
            <w:tcBorders>
              <w:left w:val="double" w:sz="6" w:space="0" w:color="auto"/>
              <w:right w:val="single" w:sz="8" w:space="0" w:color="auto"/>
            </w:tcBorders>
            <w:vAlign w:val="center"/>
          </w:tcPr>
          <w:p w14:paraId="7557AD44"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61 Jahre</w:t>
            </w:r>
          </w:p>
        </w:tc>
        <w:tc>
          <w:tcPr>
            <w:tcW w:w="4536" w:type="dxa"/>
            <w:tcBorders>
              <w:left w:val="single" w:sz="8" w:space="0" w:color="auto"/>
              <w:right w:val="double" w:sz="6" w:space="0" w:color="auto"/>
            </w:tcBorders>
            <w:vAlign w:val="center"/>
          </w:tcPr>
          <w:p w14:paraId="3F9EEF15"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12,6137</w:t>
            </w:r>
          </w:p>
        </w:tc>
      </w:tr>
      <w:tr w:rsidR="005A5BD5" w:rsidRPr="002616E4" w14:paraId="3D86DF35" w14:textId="77777777" w:rsidTr="004C2C7D">
        <w:trPr>
          <w:trHeight w:val="360"/>
        </w:trPr>
        <w:tc>
          <w:tcPr>
            <w:tcW w:w="4394" w:type="dxa"/>
            <w:tcBorders>
              <w:left w:val="double" w:sz="6" w:space="0" w:color="auto"/>
            </w:tcBorders>
            <w:vAlign w:val="center"/>
          </w:tcPr>
          <w:p w14:paraId="69A6670B"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62 Jahre</w:t>
            </w:r>
          </w:p>
        </w:tc>
        <w:tc>
          <w:tcPr>
            <w:tcW w:w="4536" w:type="dxa"/>
            <w:tcBorders>
              <w:left w:val="single" w:sz="7" w:space="0" w:color="auto"/>
              <w:right w:val="double" w:sz="6" w:space="0" w:color="auto"/>
            </w:tcBorders>
            <w:vAlign w:val="center"/>
          </w:tcPr>
          <w:p w14:paraId="2FCBEE6F"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12,3100</w:t>
            </w:r>
          </w:p>
        </w:tc>
      </w:tr>
      <w:tr w:rsidR="005A5BD5" w:rsidRPr="002616E4" w14:paraId="4533831F" w14:textId="77777777" w:rsidTr="004C2C7D">
        <w:trPr>
          <w:trHeight w:val="360"/>
        </w:trPr>
        <w:tc>
          <w:tcPr>
            <w:tcW w:w="4394" w:type="dxa"/>
            <w:tcBorders>
              <w:left w:val="double" w:sz="6" w:space="0" w:color="auto"/>
            </w:tcBorders>
            <w:vAlign w:val="center"/>
          </w:tcPr>
          <w:p w14:paraId="7A2DC7A5"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63 Jahre</w:t>
            </w:r>
          </w:p>
        </w:tc>
        <w:tc>
          <w:tcPr>
            <w:tcW w:w="4536" w:type="dxa"/>
            <w:tcBorders>
              <w:left w:val="single" w:sz="7" w:space="0" w:color="auto"/>
              <w:right w:val="double" w:sz="6" w:space="0" w:color="auto"/>
            </w:tcBorders>
            <w:vAlign w:val="center"/>
          </w:tcPr>
          <w:p w14:paraId="49510B83"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12,0023</w:t>
            </w:r>
          </w:p>
        </w:tc>
      </w:tr>
      <w:tr w:rsidR="005A5BD5" w:rsidRPr="002616E4" w14:paraId="7712E744" w14:textId="77777777" w:rsidTr="004C2C7D">
        <w:trPr>
          <w:trHeight w:val="360"/>
        </w:trPr>
        <w:tc>
          <w:tcPr>
            <w:tcW w:w="4394" w:type="dxa"/>
            <w:tcBorders>
              <w:left w:val="double" w:sz="6" w:space="0" w:color="auto"/>
            </w:tcBorders>
            <w:vAlign w:val="center"/>
          </w:tcPr>
          <w:p w14:paraId="643A10A1"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64 Jahre</w:t>
            </w:r>
          </w:p>
        </w:tc>
        <w:tc>
          <w:tcPr>
            <w:tcW w:w="4536" w:type="dxa"/>
            <w:tcBorders>
              <w:left w:val="single" w:sz="7" w:space="0" w:color="auto"/>
              <w:right w:val="double" w:sz="6" w:space="0" w:color="auto"/>
            </w:tcBorders>
            <w:vAlign w:val="center"/>
          </w:tcPr>
          <w:p w14:paraId="229CDE8F"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11,6908</w:t>
            </w:r>
          </w:p>
        </w:tc>
      </w:tr>
      <w:tr w:rsidR="005A5BD5" w:rsidRPr="002616E4" w14:paraId="49E34EC6" w14:textId="77777777" w:rsidTr="004C2C7D">
        <w:trPr>
          <w:trHeight w:val="360"/>
        </w:trPr>
        <w:tc>
          <w:tcPr>
            <w:tcW w:w="4394" w:type="dxa"/>
            <w:tcBorders>
              <w:left w:val="double" w:sz="6" w:space="0" w:color="auto"/>
              <w:bottom w:val="double" w:sz="6" w:space="0" w:color="auto"/>
            </w:tcBorders>
            <w:vAlign w:val="center"/>
          </w:tcPr>
          <w:p w14:paraId="2B3F1B4F" w14:textId="77777777" w:rsidR="005A5BD5" w:rsidRPr="002616E4" w:rsidRDefault="005A5BD5" w:rsidP="004C2C7D">
            <w:pPr>
              <w:spacing w:before="60" w:after="60"/>
              <w:rPr>
                <w:rFonts w:eastAsia="Calibri"/>
                <w:spacing w:val="-2"/>
                <w:szCs w:val="22"/>
                <w:lang w:eastAsia="de-DE" w:bidi="de-DE"/>
              </w:rPr>
            </w:pPr>
            <w:r w:rsidRPr="002616E4">
              <w:rPr>
                <w:rFonts w:eastAsia="Calibri"/>
                <w:spacing w:val="-2"/>
                <w:szCs w:val="22"/>
                <w:lang w:eastAsia="de-DE" w:bidi="de-DE"/>
              </w:rPr>
              <w:t>65 Jahre und älter</w:t>
            </w:r>
          </w:p>
        </w:tc>
        <w:tc>
          <w:tcPr>
            <w:tcW w:w="4536" w:type="dxa"/>
            <w:tcBorders>
              <w:left w:val="single" w:sz="7" w:space="0" w:color="auto"/>
              <w:bottom w:val="double" w:sz="6" w:space="0" w:color="auto"/>
              <w:right w:val="double" w:sz="6" w:space="0" w:color="auto"/>
            </w:tcBorders>
            <w:vAlign w:val="center"/>
          </w:tcPr>
          <w:p w14:paraId="2F076610" w14:textId="77777777" w:rsidR="005A5BD5" w:rsidRPr="002616E4" w:rsidRDefault="005A5BD5" w:rsidP="004C2C7D">
            <w:pPr>
              <w:spacing w:before="60" w:after="60"/>
              <w:jc w:val="center"/>
              <w:rPr>
                <w:rFonts w:eastAsia="Calibri"/>
                <w:spacing w:val="-2"/>
                <w:szCs w:val="22"/>
                <w:lang w:eastAsia="de-DE" w:bidi="de-DE"/>
              </w:rPr>
            </w:pPr>
            <w:r w:rsidRPr="002616E4">
              <w:rPr>
                <w:rFonts w:eastAsia="Calibri"/>
                <w:spacing w:val="-2"/>
                <w:szCs w:val="22"/>
                <w:lang w:eastAsia="de-DE" w:bidi="de-DE"/>
              </w:rPr>
              <w:t>11,3761]</w:t>
            </w:r>
          </w:p>
        </w:tc>
      </w:tr>
    </w:tbl>
    <w:p w14:paraId="3051EF67" w14:textId="77777777" w:rsidR="005A5BD5" w:rsidRPr="002616E4" w:rsidRDefault="005A5BD5" w:rsidP="004C2C7D">
      <w:pPr>
        <w:jc w:val="both"/>
        <w:rPr>
          <w:rFonts w:eastAsia="Calibri"/>
          <w:szCs w:val="22"/>
          <w:lang w:eastAsia="de-DE" w:bidi="de-DE"/>
        </w:rPr>
      </w:pPr>
    </w:p>
    <w:p w14:paraId="525A045B" w14:textId="77777777" w:rsidR="005A5BD5" w:rsidRPr="002616E4" w:rsidRDefault="005A5BD5" w:rsidP="004C2C7D">
      <w:pPr>
        <w:jc w:val="both"/>
        <w:rPr>
          <w:rFonts w:eastAsia="Calibri"/>
          <w:i/>
          <w:szCs w:val="22"/>
          <w:lang w:eastAsia="de-DE" w:bidi="de-DE"/>
        </w:rPr>
      </w:pPr>
      <w:r w:rsidRPr="002616E4">
        <w:rPr>
          <w:rFonts w:eastAsia="Calibri"/>
          <w:szCs w:val="22"/>
          <w:lang w:eastAsia="de-DE" w:bidi="de-DE"/>
        </w:rPr>
        <w:tab/>
        <w:t>[</w:t>
      </w:r>
      <w:r w:rsidR="009251F9">
        <w:rPr>
          <w:rFonts w:eastAsia="Calibri"/>
          <w:szCs w:val="22"/>
          <w:lang w:eastAsia="de-DE" w:bidi="de-DE"/>
        </w:rPr>
        <w:t>…</w:t>
      </w:r>
      <w:r w:rsidRPr="002616E4">
        <w:rPr>
          <w:rFonts w:eastAsia="Calibri"/>
          <w:szCs w:val="22"/>
          <w:lang w:eastAsia="de-DE" w:bidi="de-DE"/>
        </w:rPr>
        <w:t>]</w:t>
      </w:r>
    </w:p>
    <w:p w14:paraId="6265EAE7" w14:textId="77777777" w:rsidR="005A5BD5" w:rsidRPr="002616E4" w:rsidRDefault="005A5BD5" w:rsidP="004C2C7D">
      <w:pPr>
        <w:jc w:val="both"/>
        <w:rPr>
          <w:rFonts w:eastAsia="Calibri"/>
          <w:szCs w:val="22"/>
          <w:lang w:eastAsia="de-DE" w:bidi="de-DE"/>
        </w:rPr>
      </w:pPr>
    </w:p>
    <w:p w14:paraId="7AF18392"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4] - [Die in § 2 Nr. 2 erwähnte Grenze findet keine Anwendung auf Beiträge oder Prämien, die gezahlt werden, um eine Erhöhung laufende</w:t>
      </w:r>
      <w:r>
        <w:rPr>
          <w:rFonts w:eastAsia="Calibri"/>
          <w:szCs w:val="22"/>
          <w:lang w:eastAsia="de-DE" w:bidi="de-DE"/>
        </w:rPr>
        <w:t>r</w:t>
      </w:r>
      <w:r w:rsidRPr="002616E4">
        <w:rPr>
          <w:rFonts w:eastAsia="Calibri"/>
          <w:szCs w:val="22"/>
          <w:lang w:eastAsia="de-DE" w:bidi="de-DE"/>
        </w:rPr>
        <w:t xml:space="preserve"> Renten zu ermöglichen, ohne dass diese Erhöhung die Erhöhung durch Indexierung dieser Renten gemäß den auf die Indexierung der Pensionen des öffentlichen Sektors anwendbaren Regeln überschreitet.]</w:t>
      </w:r>
    </w:p>
    <w:p w14:paraId="1E516836" w14:textId="77777777" w:rsidR="005A5BD5" w:rsidRPr="002616E4" w:rsidRDefault="005A5BD5" w:rsidP="004C2C7D">
      <w:pPr>
        <w:jc w:val="both"/>
        <w:rPr>
          <w:rFonts w:eastAsia="Calibri"/>
          <w:szCs w:val="22"/>
          <w:lang w:eastAsia="de-DE" w:bidi="de-DE"/>
        </w:rPr>
      </w:pPr>
    </w:p>
    <w:p w14:paraId="34178FF2"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 5 - Auf der Grundlage der vom Steuerpflichtigen übermittelten Angaben stellen [Versicherungsunternehmen, Vorsorgeeinrichtungen beziehungsweise Einrichtungen der betrieblichen Altersversorgung] bei Unterzeichnung und jeder Änderung der in § 1 Nr. 2 erwähnten Verträge eine Bescheinigung aus, aus der hervorgeht, dass die gesetzlichen und außergesetzlichen Leistungen bei Versetzung in den Ruhestand, ausgedrückt in Jahresrenten und berechnet im Verhältnis einer normalen Berufstätigkeitsdauer, gemäß Artikel 59 desselben Gesetzbuches 80 Prozent der letzten normalen Bruttojahresentlohnung nicht übersteigen. </w:t>
      </w:r>
    </w:p>
    <w:p w14:paraId="06FA16D3" w14:textId="77777777" w:rsidR="005A5BD5" w:rsidRPr="002616E4" w:rsidRDefault="005A5BD5" w:rsidP="004C2C7D">
      <w:pPr>
        <w:jc w:val="both"/>
        <w:rPr>
          <w:rFonts w:eastAsia="Calibri"/>
          <w:szCs w:val="22"/>
          <w:lang w:eastAsia="de-DE" w:bidi="de-DE"/>
        </w:rPr>
      </w:pPr>
    </w:p>
    <w:p w14:paraId="434A634F"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Ferner stellen die in Absatz 1 erwähnten Unternehmen und Einrichtungen ebenfalls jedes Mal eine Bescheinigung aus, wenn vorerwähnte Grenze von 80 Prozent überschritten wird. </w:t>
      </w:r>
    </w:p>
    <w:p w14:paraId="17D0B28E" w14:textId="77777777" w:rsidR="005A5BD5" w:rsidRPr="002616E4" w:rsidRDefault="005A5BD5" w:rsidP="004C2C7D">
      <w:pPr>
        <w:jc w:val="both"/>
        <w:rPr>
          <w:rFonts w:eastAsia="Calibri"/>
          <w:szCs w:val="22"/>
          <w:lang w:eastAsia="de-DE" w:bidi="de-DE"/>
        </w:rPr>
      </w:pPr>
    </w:p>
    <w:p w14:paraId="3C5EB7CB"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Das Muster der in den Absätzen 1 und 2 erwähnten Bescheinigungen wird vom Minister der Finanzen oder von seinem Beauftragten festgelegt.]</w:t>
      </w:r>
    </w:p>
    <w:p w14:paraId="18BDC828" w14:textId="77777777" w:rsidR="0094417E" w:rsidRDefault="0094417E" w:rsidP="004C2C7D">
      <w:pPr>
        <w:jc w:val="both"/>
        <w:rPr>
          <w:rFonts w:eastAsia="Calibri"/>
          <w:szCs w:val="22"/>
          <w:lang w:eastAsia="de-DE" w:bidi="de-DE"/>
        </w:rPr>
      </w:pPr>
    </w:p>
    <w:p w14:paraId="43B45F1A" w14:textId="77777777" w:rsidR="005A5BD5" w:rsidRPr="002616E4" w:rsidRDefault="005A5BD5" w:rsidP="004C2C7D">
      <w:pPr>
        <w:jc w:val="both"/>
        <w:rPr>
          <w:rFonts w:eastAsia="Calibri"/>
          <w:szCs w:val="22"/>
          <w:lang w:eastAsia="de-DE" w:bidi="de-DE"/>
        </w:rPr>
      </w:pPr>
      <w:r w:rsidRPr="002616E4">
        <w:rPr>
          <w:rFonts w:eastAsia="Calibri"/>
          <w:szCs w:val="22"/>
          <w:lang w:eastAsia="de-DE" w:bidi="de-DE"/>
        </w:rPr>
        <w:tab/>
        <w:t xml:space="preserve">[§ 6 - Arbeitgeber übermitteln spätestens am 31. März des Jahres nach dem Jahr, in dem in § 2 Absatz 1 erwähnte Verträge, Regelungen, Vereinbarungen oder Zusagen in Kraft treten, ein Informationsblatt, dessen Muster der Minister der Finanzen oder sein Beauftragter festlegt. Dieses Informationsblatt enthält alle Angaben in Bezug auf die in § 1 Nr. 2 erwähnten </w:t>
      </w:r>
      <w:r w:rsidRPr="002616E4">
        <w:rPr>
          <w:rFonts w:eastAsia="Calibri"/>
          <w:szCs w:val="22"/>
          <w:lang w:eastAsia="de-DE" w:bidi="de-DE"/>
        </w:rPr>
        <w:lastRenderedPageBreak/>
        <w:t>Regelungen der ergänzenden Altersversorgung, die zu einem Steuerabzug oder einer Steuerermäßigung im Sinne der Artikel 52 Nr. 3 Buchstabe </w:t>
      </w:r>
      <w:r w:rsidRPr="002616E4">
        <w:rPr>
          <w:rFonts w:eastAsia="Calibri"/>
          <w:i/>
          <w:szCs w:val="22"/>
          <w:lang w:eastAsia="de-DE" w:bidi="de-DE"/>
        </w:rPr>
        <w:t>b)</w:t>
      </w:r>
      <w:r w:rsidRPr="002616E4">
        <w:rPr>
          <w:rFonts w:eastAsia="Calibri"/>
          <w:szCs w:val="22"/>
          <w:lang w:eastAsia="de-DE" w:bidi="de-DE"/>
        </w:rPr>
        <w:t>, 59, 60, 145</w:t>
      </w:r>
      <w:r w:rsidRPr="002616E4">
        <w:rPr>
          <w:rFonts w:eastAsia="Calibri"/>
          <w:szCs w:val="22"/>
          <w:vertAlign w:val="superscript"/>
          <w:lang w:eastAsia="de-DE" w:bidi="de-DE"/>
        </w:rPr>
        <w:t>1</w:t>
      </w:r>
      <w:r w:rsidRPr="002616E4">
        <w:rPr>
          <w:rFonts w:eastAsia="Calibri"/>
          <w:szCs w:val="22"/>
          <w:lang w:eastAsia="de-DE" w:bidi="de-DE"/>
        </w:rPr>
        <w:t xml:space="preserve"> Nr. 1 und 145</w:t>
      </w:r>
      <w:r w:rsidRPr="002616E4">
        <w:rPr>
          <w:rFonts w:eastAsia="Calibri"/>
          <w:szCs w:val="22"/>
          <w:vertAlign w:val="superscript"/>
          <w:lang w:eastAsia="de-DE" w:bidi="de-DE"/>
        </w:rPr>
        <w:t>3</w:t>
      </w:r>
      <w:r w:rsidRPr="002616E4">
        <w:rPr>
          <w:rFonts w:eastAsia="Calibri"/>
          <w:szCs w:val="22"/>
          <w:lang w:eastAsia="de-DE" w:bidi="de-DE"/>
        </w:rPr>
        <w:t xml:space="preserve"> desselben Gesetzbuches führen.]</w:t>
      </w:r>
    </w:p>
    <w:p w14:paraId="79B1479A" w14:textId="77777777" w:rsidR="005A5BD5" w:rsidRPr="002616E4" w:rsidRDefault="005A5BD5" w:rsidP="004C2C7D">
      <w:pPr>
        <w:jc w:val="both"/>
        <w:rPr>
          <w:rFonts w:eastAsia="Calibri"/>
          <w:szCs w:val="22"/>
          <w:lang w:eastAsia="de-DE" w:bidi="de-DE"/>
        </w:rPr>
      </w:pPr>
    </w:p>
    <w:p w14:paraId="2114D303" w14:textId="58261775" w:rsidR="005A5BD5" w:rsidRPr="002616E4" w:rsidRDefault="005A5BD5" w:rsidP="004C2C7D">
      <w:pPr>
        <w:jc w:val="both"/>
        <w:rPr>
          <w:rFonts w:eastAsia="Calibri"/>
          <w:i/>
          <w:szCs w:val="22"/>
          <w:lang w:eastAsia="de-DE" w:bidi="de-DE"/>
        </w:rPr>
      </w:pPr>
      <w:r w:rsidRPr="002616E4">
        <w:rPr>
          <w:rFonts w:eastAsia="Calibri"/>
          <w:i/>
          <w:szCs w:val="22"/>
          <w:lang w:eastAsia="de-DE" w:bidi="de-DE"/>
        </w:rPr>
        <w:t>[Art. 35 § 1 ersetzt durch Art. 2 Nr. 1 des K.E. vom 1. März 2005 (B.S. vom 9. März 2005); § 1 einziger Absatz Nr. 1 ersetzt durch Art. 1 Nr. 1 des K.E. vom 7. Dezember 2008 (I) (B.S. vom 12. Dezember 2008)</w:t>
      </w:r>
      <w:r w:rsidR="00B27F11">
        <w:rPr>
          <w:rFonts w:eastAsia="Calibri"/>
          <w:i/>
          <w:szCs w:val="22"/>
          <w:lang w:eastAsia="de-DE" w:bidi="de-DE"/>
        </w:rPr>
        <w:t xml:space="preserve"> und abgeändert durch Art. 6 des K.E. vom 29. August 2019</w:t>
      </w:r>
      <w:r w:rsidR="00865C4C">
        <w:rPr>
          <w:rFonts w:eastAsia="Calibri"/>
          <w:i/>
          <w:szCs w:val="22"/>
          <w:lang w:eastAsia="de-DE" w:bidi="de-DE"/>
        </w:rPr>
        <w:t> (I)</w:t>
      </w:r>
      <w:r w:rsidR="00B27F11">
        <w:rPr>
          <w:rFonts w:eastAsia="Calibri"/>
          <w:i/>
          <w:szCs w:val="22"/>
          <w:lang w:eastAsia="de-DE" w:bidi="de-DE"/>
        </w:rPr>
        <w:t xml:space="preserve"> (B.S. vom 13. September 2019)</w:t>
      </w:r>
      <w:r w:rsidRPr="002616E4">
        <w:rPr>
          <w:rFonts w:eastAsia="Calibri"/>
          <w:i/>
          <w:szCs w:val="22"/>
          <w:lang w:eastAsia="de-DE" w:bidi="de-DE"/>
        </w:rPr>
        <w:t>; § 1 einziger Absatz Nr. 2 einziger Absatz dritter Gedankenstrich abgeändert durch Art. 33 des K.E. vom 25. März 2003 (I) (B.S. vom 31. März 2003) und Art. 331 Abs. 2 des K.E. vom 3. März 2011 (B.S. vom 9. März 2011); § 1 einziger Absatz Nr. 3 abgeändert durch Art. 1 Nr. 2 des K.E. vom 7. Dezember 2008 (I) (B.S. vom 12. Dezember 2008); § 1 einziger Absatz Nr. 4 aufgehoben durch Art. 1 Nr. 3 des K.E. vom 7. Dezember 2008 (I) (B.S. vom 12. Dezember 2008); § 2 ersetzt durch Art. 2 Nr. 2 des K.E. vom 1. März 2005 (B.S. vom 9. März 2005); § 2 früherer Absatz 2 mit Tabelle umgegliedert zu § 3 Abs. 2 durch Art. 2 Nr. 2 des K.E. vom 1. März 2005 (B.S. vom 9. März 2005); § 3 Abs. 1 eingefügt durch Art. 2 Nr. 3 Buchstabe A des K.E. vom 1. März 2005 (B.S. vom 9. März 2005); § 3 Abs. 2 (früherer § 2 Absatz 2) eingegliedert durch Art. 2 Nr. 2 und abgeändert durch Art. 2 Nr. 3 Buchstabe B des K.E. vom 1. März 2005 (B.S. vom 9. März 2005) und Art. 1 Nr. 1 des K.E. vom 2. Juni 2010 (B.S. vom 8. Juni 2010); § 3 Abs. 2 Tabelle abgeändert durch Art. 5 Nr. 2 des K.E. vom 20. Juli 2000 (B.S. vom 30. August 2000); § 3 Abs. 3 eingefügt durch Art. 2 Nr. 3 Buchstabe C des K.E. vom 1. März 2005 (B.S. vom 9. März 2005) und aufgehoben durch Art. 1 Nr. 2 des K.E. vom 2. Juni 2010 (B.S. vom 8. Juni 2010); früherer Paragraph 3 umnummeriert zu § 4 und ersetzt durch Art. 2 Nr. 4 des K.E. vom 1. März 2005 (B.S. vom 9. März 2005); § 5 eingefügt durch Art. 2 Nr. 5 des K.E. vom 1. März 2005 (B.S. vom 9. März 2005); § 5 Abs. 1 abgeändert durch Art. 1 Nr. 4 des K.E. vom 7. Dezember 2008 (I) (B.S. vom 12. Dezember 2008); § 6 eingefügt durch Art. 2 Nr. 5 des K.E. vom 1. März 2005 (B.S. vom 9. März 2005)]</w:t>
      </w:r>
    </w:p>
    <w:p w14:paraId="302B6E4D" w14:textId="4B020E2E" w:rsidR="00924788" w:rsidRDefault="00924788">
      <w:pPr>
        <w:rPr>
          <w:rFonts w:eastAsia="Calibri"/>
          <w:i/>
          <w:szCs w:val="22"/>
          <w:lang w:eastAsia="de-DE" w:bidi="de-DE"/>
        </w:rPr>
      </w:pPr>
    </w:p>
    <w:p w14:paraId="3B5230A4" w14:textId="77777777" w:rsidR="00BB32CA" w:rsidRDefault="00BB32CA" w:rsidP="004C2C7D">
      <w:pPr>
        <w:jc w:val="center"/>
        <w:rPr>
          <w:rFonts w:eastAsia="Calibri"/>
          <w:i/>
          <w:szCs w:val="22"/>
          <w:lang w:eastAsia="de-DE" w:bidi="de-DE"/>
        </w:rPr>
      </w:pPr>
    </w:p>
    <w:p w14:paraId="5638F062" w14:textId="0D922997" w:rsidR="005A5BD5" w:rsidRPr="00D4747A" w:rsidRDefault="005A5BD5" w:rsidP="004C2C7D">
      <w:pPr>
        <w:jc w:val="center"/>
        <w:rPr>
          <w:rFonts w:eastAsia="Calibri"/>
          <w:szCs w:val="22"/>
          <w:lang w:eastAsia="de-DE" w:bidi="de-DE"/>
        </w:rPr>
      </w:pPr>
      <w:r w:rsidRPr="00D4747A">
        <w:rPr>
          <w:rFonts w:eastAsia="Calibri"/>
          <w:i/>
          <w:szCs w:val="22"/>
          <w:lang w:eastAsia="de-DE" w:bidi="de-DE"/>
        </w:rPr>
        <w:t>Abschnitt 14</w:t>
      </w:r>
      <w:r w:rsidRPr="00D4747A">
        <w:rPr>
          <w:rFonts w:eastAsia="Calibri"/>
          <w:szCs w:val="22"/>
          <w:lang w:eastAsia="de-DE" w:bidi="de-DE"/>
        </w:rPr>
        <w:t> - Degressive Abschreibungen</w:t>
      </w:r>
    </w:p>
    <w:p w14:paraId="616ACD25" w14:textId="77777777" w:rsidR="005A5BD5" w:rsidRPr="00D4747A" w:rsidRDefault="005A5BD5" w:rsidP="004C2C7D">
      <w:pPr>
        <w:jc w:val="center"/>
        <w:rPr>
          <w:rFonts w:eastAsia="Calibri"/>
          <w:szCs w:val="22"/>
          <w:lang w:eastAsia="de-DE" w:bidi="de-DE"/>
        </w:rPr>
      </w:pPr>
    </w:p>
    <w:p w14:paraId="594CF3B5" w14:textId="77777777" w:rsidR="005A5BD5" w:rsidRPr="00D4747A" w:rsidRDefault="005A5BD5" w:rsidP="004C2C7D">
      <w:pPr>
        <w:jc w:val="center"/>
        <w:rPr>
          <w:rFonts w:eastAsia="Calibri"/>
          <w:szCs w:val="22"/>
          <w:lang w:eastAsia="de-DE" w:bidi="de-DE"/>
        </w:rPr>
      </w:pPr>
      <w:r w:rsidRPr="00D4747A">
        <w:rPr>
          <w:rFonts w:eastAsia="Calibri"/>
          <w:szCs w:val="22"/>
          <w:lang w:eastAsia="de-DE" w:bidi="de-DE"/>
        </w:rPr>
        <w:t>(Einkommensteuergesetzbuch 1992, Artikel 64)</w:t>
      </w:r>
    </w:p>
    <w:p w14:paraId="782E5CD6" w14:textId="77777777" w:rsidR="005A5BD5" w:rsidRPr="00D4747A" w:rsidRDefault="005A5BD5" w:rsidP="004C2C7D">
      <w:pPr>
        <w:jc w:val="both"/>
        <w:rPr>
          <w:rFonts w:eastAsia="Calibri"/>
          <w:i/>
          <w:szCs w:val="22"/>
          <w:lang w:eastAsia="de-DE" w:bidi="de-DE"/>
        </w:rPr>
      </w:pPr>
    </w:p>
    <w:p w14:paraId="25AC8823" w14:textId="77777777" w:rsidR="005A5BD5" w:rsidRPr="00D4747A" w:rsidRDefault="005A5BD5" w:rsidP="004C2C7D">
      <w:pPr>
        <w:jc w:val="both"/>
        <w:rPr>
          <w:rFonts w:eastAsia="Calibri"/>
          <w:szCs w:val="22"/>
          <w:lang w:eastAsia="de-DE" w:bidi="de-DE"/>
        </w:rPr>
      </w:pPr>
    </w:p>
    <w:p w14:paraId="66EF6D12"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36</w:t>
      </w:r>
      <w:r w:rsidRPr="00D4747A">
        <w:rPr>
          <w:rFonts w:eastAsia="Calibri"/>
          <w:szCs w:val="22"/>
          <w:lang w:eastAsia="de-DE" w:bidi="de-DE"/>
        </w:rPr>
        <w:t> - Hat ein Steuerpflichtiger, der der Steuer der natürlichen Personen, der Gesellschaftssteuer oder der Steuer der Gebietsfremden unterliegt, für das in Artikel 64 des Einkommensteuergesetzbuches 1992 erwähnte System der degressiven Abschreibung optiert, wird der Betrag der Jahresrate der degressiven Abschreibung für jede Gruppe von Anlagen selber Art, die zum gleichen degressiven Satz abschreibbar und als Werbungskosten zugelassen sind,</w:t>
      </w:r>
    </w:p>
    <w:p w14:paraId="0A383AE3" w14:textId="77777777" w:rsidR="005A5BD5" w:rsidRPr="00D4747A" w:rsidRDefault="005A5BD5" w:rsidP="004C2C7D">
      <w:pPr>
        <w:jc w:val="both"/>
        <w:rPr>
          <w:rFonts w:eastAsia="Calibri"/>
          <w:szCs w:val="22"/>
          <w:lang w:eastAsia="de-DE" w:bidi="de-DE"/>
        </w:rPr>
      </w:pPr>
    </w:p>
    <w:p w14:paraId="2A37C6CC"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1. für den am Datum des Erwerbs oder der Bildung dieser Anlagen laufenden Besteuerungszeitraum bestimmt, indem ungeachtet dieses Datums auf den Anschaffungs- oder Investitionswert ein Satz angewandt wird, der nicht mehr als das Doppelte des linearen Abschreibungssatzes für die normale Nutzungsdauer der gleichen Anlagen beträgt,</w:t>
      </w:r>
    </w:p>
    <w:p w14:paraId="38D239A8" w14:textId="77777777" w:rsidR="0094417E" w:rsidRDefault="0094417E" w:rsidP="004C2C7D">
      <w:pPr>
        <w:jc w:val="both"/>
        <w:rPr>
          <w:rFonts w:eastAsia="Calibri"/>
          <w:szCs w:val="22"/>
          <w:lang w:eastAsia="de-DE" w:bidi="de-DE"/>
        </w:rPr>
      </w:pPr>
    </w:p>
    <w:p w14:paraId="73FAA8B0"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2. für jeden der folgenden Besteuerungszeiträume bestimmt, indem der gemäß Nr. 1 festgelegte Satz auf den Restwert dieser Anlagen angewandt wird, das heißt auf ihren Anschaffungs- oder Investitionswert abzüglich der bis zum Ende des vorhergehenden Besteuerungszeitraums vorgenommenen und zugelassenen Abschreibungen.</w:t>
      </w:r>
    </w:p>
    <w:p w14:paraId="72264CCA" w14:textId="77777777" w:rsidR="005A5BD5" w:rsidRPr="00D4747A" w:rsidRDefault="005A5BD5" w:rsidP="004C2C7D">
      <w:pPr>
        <w:jc w:val="both"/>
        <w:rPr>
          <w:rFonts w:eastAsia="Calibri"/>
          <w:szCs w:val="22"/>
          <w:lang w:eastAsia="de-DE" w:bidi="de-DE"/>
        </w:rPr>
      </w:pPr>
    </w:p>
    <w:p w14:paraId="425CCE1B" w14:textId="77777777" w:rsidR="005A5BD5" w:rsidRPr="00D4747A" w:rsidRDefault="005A5BD5" w:rsidP="004C2C7D">
      <w:pPr>
        <w:jc w:val="both"/>
        <w:rPr>
          <w:rFonts w:eastAsia="Calibri"/>
          <w:szCs w:val="22"/>
          <w:lang w:eastAsia="de-DE" w:bidi="de-DE"/>
        </w:rPr>
      </w:pPr>
    </w:p>
    <w:p w14:paraId="7D5BAADC"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37</w:t>
      </w:r>
      <w:r w:rsidRPr="00D4747A">
        <w:rPr>
          <w:rFonts w:eastAsia="Calibri"/>
          <w:szCs w:val="22"/>
          <w:lang w:eastAsia="de-DE" w:bidi="de-DE"/>
        </w:rPr>
        <w:t> - Für die Anwendung von Artikel 36 ergibt sich der lineare Abschreibungssatz, indem die Zahl 100 durch die Anzahl Jahre der normalen Nutzungsdauer der abschreibbaren Anlagen geteilt wird. Die Jahresrate der linearen Abschreibung ist die Jahresrate, die zu diesem linearen Abschreibungssatz auf den Anschaffungs- oder Investitionswert berechnet wird.</w:t>
      </w:r>
    </w:p>
    <w:p w14:paraId="40B6BDF2" w14:textId="77777777" w:rsidR="005A5BD5" w:rsidRPr="00D4747A" w:rsidRDefault="005A5BD5" w:rsidP="004C2C7D">
      <w:pPr>
        <w:jc w:val="both"/>
        <w:rPr>
          <w:rFonts w:eastAsia="Calibri"/>
          <w:szCs w:val="22"/>
          <w:lang w:eastAsia="de-DE" w:bidi="de-DE"/>
        </w:rPr>
      </w:pPr>
    </w:p>
    <w:p w14:paraId="3DA1C8DA" w14:textId="77777777" w:rsidR="005A5BD5" w:rsidRPr="00D4747A" w:rsidRDefault="005A5BD5" w:rsidP="004C2C7D">
      <w:pPr>
        <w:jc w:val="both"/>
        <w:rPr>
          <w:rFonts w:eastAsia="Calibri"/>
          <w:szCs w:val="22"/>
          <w:lang w:eastAsia="de-DE" w:bidi="de-DE"/>
        </w:rPr>
      </w:pPr>
    </w:p>
    <w:p w14:paraId="02A3282B"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38</w:t>
      </w:r>
      <w:r w:rsidRPr="00D4747A">
        <w:rPr>
          <w:rFonts w:eastAsia="Calibri"/>
          <w:szCs w:val="22"/>
          <w:lang w:eastAsia="de-DE" w:bidi="de-DE"/>
        </w:rPr>
        <w:t> - Ab dem Besteuerungszeitraum, in dem die auf eine Anlagengruppe anwendbare Jahresrate der degressiven Abschreibung die Jahresrate der linearen Abschreibung nicht mehr übersteigt, hat der Steuerpflichtige die Möglichkeit, bis zur Wiederherstellung des Anschaffungs- oder Investitionswertes jährlich eine gemäß Artikel 37 berechnete lineare Abschreibung anzuwenden.</w:t>
      </w:r>
    </w:p>
    <w:p w14:paraId="4848AC59" w14:textId="77777777" w:rsidR="005A5BD5" w:rsidRPr="00D4747A" w:rsidRDefault="005A5BD5" w:rsidP="004C2C7D">
      <w:pPr>
        <w:jc w:val="both"/>
        <w:rPr>
          <w:rFonts w:eastAsia="Calibri"/>
          <w:szCs w:val="22"/>
          <w:lang w:eastAsia="de-DE" w:bidi="de-DE"/>
        </w:rPr>
      </w:pPr>
    </w:p>
    <w:p w14:paraId="2708AB0D" w14:textId="77777777" w:rsidR="005A5BD5" w:rsidRPr="00D4747A" w:rsidRDefault="005A5BD5" w:rsidP="004C2C7D">
      <w:pPr>
        <w:jc w:val="both"/>
        <w:rPr>
          <w:rFonts w:eastAsia="Calibri"/>
          <w:szCs w:val="22"/>
          <w:lang w:eastAsia="de-DE" w:bidi="de-DE"/>
        </w:rPr>
      </w:pPr>
    </w:p>
    <w:p w14:paraId="1296DE9A"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39</w:t>
      </w:r>
      <w:r w:rsidRPr="00D4747A">
        <w:rPr>
          <w:rFonts w:eastAsia="Calibri"/>
          <w:szCs w:val="22"/>
          <w:lang w:eastAsia="de-DE" w:bidi="de-DE"/>
        </w:rPr>
        <w:t> - Unzureichende Abschreibungen in Bezug auf einen Besteuerungszeitraum für eine der degressiven Abschreibung unterliegende Anlagengruppe können durch Übertragung von zu einem früheren Zeitpunkt besteuerten Abschreibung</w:t>
      </w:r>
      <w:r>
        <w:rPr>
          <w:rFonts w:eastAsia="Calibri"/>
          <w:szCs w:val="22"/>
          <w:lang w:eastAsia="de-DE" w:bidi="de-DE"/>
        </w:rPr>
        <w:t>süberschüssen</w:t>
      </w:r>
      <w:r w:rsidRPr="00D4747A">
        <w:rPr>
          <w:rFonts w:eastAsia="Calibri"/>
          <w:szCs w:val="22"/>
          <w:lang w:eastAsia="de-DE" w:bidi="de-DE"/>
        </w:rPr>
        <w:t xml:space="preserve"> in Bezug auf dieselbe Anlagengruppe ausgeglichen werden.</w:t>
      </w:r>
    </w:p>
    <w:p w14:paraId="40E67B5C" w14:textId="77777777" w:rsidR="005A5BD5" w:rsidRPr="00D4747A" w:rsidRDefault="005A5BD5" w:rsidP="004C2C7D">
      <w:pPr>
        <w:jc w:val="both"/>
        <w:rPr>
          <w:rFonts w:eastAsia="Calibri"/>
          <w:szCs w:val="22"/>
          <w:lang w:eastAsia="de-DE" w:bidi="de-DE"/>
        </w:rPr>
      </w:pPr>
    </w:p>
    <w:p w14:paraId="651741DA" w14:textId="77777777" w:rsidR="005A5BD5" w:rsidRPr="00D4747A" w:rsidRDefault="005A5BD5" w:rsidP="004C2C7D">
      <w:pPr>
        <w:jc w:val="both"/>
        <w:rPr>
          <w:rFonts w:eastAsia="Calibri"/>
          <w:szCs w:val="22"/>
          <w:lang w:eastAsia="de-DE" w:bidi="de-DE"/>
        </w:rPr>
      </w:pPr>
    </w:p>
    <w:p w14:paraId="48462255"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40</w:t>
      </w:r>
      <w:r w:rsidRPr="00D4747A">
        <w:rPr>
          <w:rFonts w:eastAsia="Calibri"/>
          <w:szCs w:val="22"/>
          <w:lang w:eastAsia="de-DE" w:bidi="de-DE"/>
        </w:rPr>
        <w:t> - Unzureichende Abschreibungen, die nicht auf die in Artikel 39 vorgesehene Weise während der normalen Nutzungsdauer ausgeglichen worden sind, können nach Ablauf dieser Dauer durch eine oder mehrere jährliche Abschreibungen, die die gemäß Artikel 37 berechnete lineare Abschreibung nicht übersteigen dürfen, gedeckt werden.</w:t>
      </w:r>
    </w:p>
    <w:p w14:paraId="45A0046D" w14:textId="77777777" w:rsidR="005A5BD5" w:rsidRPr="00D4747A" w:rsidRDefault="005A5BD5" w:rsidP="004C2C7D">
      <w:pPr>
        <w:jc w:val="both"/>
        <w:rPr>
          <w:rFonts w:eastAsia="Calibri"/>
          <w:szCs w:val="22"/>
          <w:lang w:eastAsia="de-DE" w:bidi="de-DE"/>
        </w:rPr>
      </w:pPr>
    </w:p>
    <w:p w14:paraId="26D69281" w14:textId="77777777" w:rsidR="005A5BD5" w:rsidRPr="00D4747A" w:rsidRDefault="005A5BD5" w:rsidP="004C2C7D">
      <w:pPr>
        <w:jc w:val="both"/>
        <w:rPr>
          <w:rFonts w:eastAsia="Calibri"/>
          <w:szCs w:val="22"/>
          <w:lang w:eastAsia="de-DE" w:bidi="de-DE"/>
        </w:rPr>
      </w:pPr>
    </w:p>
    <w:p w14:paraId="10BF2E97"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41</w:t>
      </w:r>
      <w:r w:rsidRPr="00D4747A">
        <w:rPr>
          <w:rFonts w:eastAsia="Calibri"/>
          <w:szCs w:val="22"/>
          <w:lang w:eastAsia="de-DE" w:bidi="de-DE"/>
        </w:rPr>
        <w:t> - Steuerpflichtige, die in Bezug auf ab einem bestimmten Besteuerungs</w:t>
      </w:r>
      <w:r w:rsidRPr="00D4747A">
        <w:rPr>
          <w:rFonts w:eastAsia="Calibri"/>
          <w:szCs w:val="22"/>
          <w:lang w:eastAsia="de-DE" w:bidi="de-DE"/>
        </w:rPr>
        <w:softHyphen/>
        <w:t xml:space="preserve">zeitraum erworbene oder gebildete abschreibbare Anlagen für das System der degressiven Abschreibung optieren, müssen dem Steuerkontrollamt oder dem für ihr Gebiet zuständigen zentralen Besteuerungsamt binnen der für die Einreichung der Erklärung zur Steuer der natürlichen Personen, der Gesellschaftssteuererklärung oder der Erklärung zur Steuer der Gebietsfremden vorgeschriebenen Frist ihre </w:t>
      </w:r>
      <w:r>
        <w:rPr>
          <w:rFonts w:eastAsia="Calibri"/>
          <w:szCs w:val="22"/>
          <w:lang w:eastAsia="de-DE" w:bidi="de-DE"/>
        </w:rPr>
        <w:t>Option</w:t>
      </w:r>
      <w:r w:rsidRPr="00D4747A">
        <w:rPr>
          <w:rFonts w:eastAsia="Calibri"/>
          <w:szCs w:val="22"/>
          <w:lang w:eastAsia="de-DE" w:bidi="de-DE"/>
        </w:rPr>
        <w:t xml:space="preserve"> in Bezug auf diesen Zeitraum notifizieren; diese Notifizierung muss der Erklärung beigefügt werden und für jede Gruppe von zum gleichen degressiven Satz abschreibbaren Anlagen selber Art, die während dieses Zeitraums erworben oder gebildet wurden, eine Aufstellung mit folgenden Angaben enthalten:</w:t>
      </w:r>
    </w:p>
    <w:p w14:paraId="116B1486" w14:textId="77777777" w:rsidR="005A5BD5" w:rsidRPr="00D4747A" w:rsidRDefault="005A5BD5" w:rsidP="004C2C7D">
      <w:pPr>
        <w:jc w:val="both"/>
        <w:rPr>
          <w:rFonts w:eastAsia="Calibri"/>
          <w:szCs w:val="22"/>
          <w:lang w:eastAsia="de-DE" w:bidi="de-DE"/>
        </w:rPr>
      </w:pPr>
    </w:p>
    <w:p w14:paraId="53FF1EF6"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1. die Art der verschiedenen auf diese Weise gruppierten Anlagen,</w:t>
      </w:r>
    </w:p>
    <w:p w14:paraId="7D53ABBD" w14:textId="77777777" w:rsidR="005A5BD5" w:rsidRPr="00D4747A" w:rsidRDefault="005A5BD5" w:rsidP="004C2C7D">
      <w:pPr>
        <w:jc w:val="both"/>
        <w:rPr>
          <w:rFonts w:eastAsia="Calibri"/>
          <w:szCs w:val="22"/>
          <w:lang w:eastAsia="de-DE" w:bidi="de-DE"/>
        </w:rPr>
      </w:pPr>
    </w:p>
    <w:p w14:paraId="0DF072D7"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2. ihren Anschaffungs- oder Investitionswert,</w:t>
      </w:r>
    </w:p>
    <w:p w14:paraId="5C725B46" w14:textId="77777777" w:rsidR="005A5BD5" w:rsidRPr="00D4747A" w:rsidRDefault="005A5BD5" w:rsidP="004C2C7D">
      <w:pPr>
        <w:jc w:val="both"/>
        <w:rPr>
          <w:rFonts w:eastAsia="Calibri"/>
          <w:szCs w:val="22"/>
          <w:lang w:eastAsia="de-DE" w:bidi="de-DE"/>
        </w:rPr>
      </w:pPr>
    </w:p>
    <w:p w14:paraId="2A247CF9"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3. ihre normale vermutliche Nutzungsdauer,</w:t>
      </w:r>
    </w:p>
    <w:p w14:paraId="54DB2F8D" w14:textId="77777777" w:rsidR="005A5BD5" w:rsidRPr="00D4747A" w:rsidRDefault="005A5BD5" w:rsidP="004C2C7D">
      <w:pPr>
        <w:jc w:val="both"/>
        <w:rPr>
          <w:rFonts w:eastAsia="Calibri"/>
          <w:szCs w:val="22"/>
          <w:lang w:eastAsia="de-DE" w:bidi="de-DE"/>
        </w:rPr>
      </w:pPr>
    </w:p>
    <w:p w14:paraId="77BC1EEB"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4. den degressiven Abschreibungssatz.</w:t>
      </w:r>
    </w:p>
    <w:p w14:paraId="06FB1064" w14:textId="77777777" w:rsidR="0094417E" w:rsidRDefault="0094417E" w:rsidP="004C2C7D">
      <w:pPr>
        <w:jc w:val="both"/>
        <w:rPr>
          <w:rFonts w:eastAsia="Calibri"/>
          <w:szCs w:val="22"/>
          <w:lang w:eastAsia="de-DE" w:bidi="de-DE"/>
        </w:rPr>
      </w:pPr>
    </w:p>
    <w:p w14:paraId="68B078E9" w14:textId="77777777" w:rsidR="0094417E" w:rsidRDefault="0094417E" w:rsidP="004C2C7D">
      <w:pPr>
        <w:jc w:val="both"/>
        <w:rPr>
          <w:rFonts w:eastAsia="Calibri"/>
          <w:szCs w:val="22"/>
          <w:lang w:eastAsia="de-DE" w:bidi="de-DE"/>
        </w:rPr>
      </w:pPr>
    </w:p>
    <w:p w14:paraId="551B5F68"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42</w:t>
      </w:r>
      <w:r w:rsidRPr="00D4747A">
        <w:rPr>
          <w:rFonts w:eastAsia="Calibri"/>
          <w:szCs w:val="22"/>
          <w:lang w:eastAsia="de-DE" w:bidi="de-DE"/>
        </w:rPr>
        <w:t> - Für jede Gruppe von Anlagen, die während des in Artikel 41 erwähnten Besteuerungszeitraums erworben oder gebildet werden, ist die Option unwiderruflich; Gleiches gilt für Gruppen von zum gleichen degressiven Satz abschreibbaren Anlagen selber Art, die während den darauf folgenden Besteuerungszeiträumen erworben oder gebildet w</w:t>
      </w:r>
      <w:r>
        <w:rPr>
          <w:rFonts w:eastAsia="Calibri"/>
          <w:szCs w:val="22"/>
          <w:lang w:eastAsia="de-DE" w:bidi="de-DE"/>
        </w:rPr>
        <w:t>e</w:t>
      </w:r>
      <w:r w:rsidRPr="00D4747A">
        <w:rPr>
          <w:rFonts w:eastAsia="Calibri"/>
          <w:szCs w:val="22"/>
          <w:lang w:eastAsia="de-DE" w:bidi="de-DE"/>
        </w:rPr>
        <w:t xml:space="preserve">rden, außer </w:t>
      </w:r>
      <w:r w:rsidRPr="00D4747A">
        <w:rPr>
          <w:rFonts w:eastAsia="Calibri"/>
          <w:szCs w:val="22"/>
          <w:lang w:eastAsia="de-DE" w:bidi="de-DE"/>
        </w:rPr>
        <w:lastRenderedPageBreak/>
        <w:t xml:space="preserve">wenn der Steuerpflichtige dem Steuerkontrollamt oder dem für sein Gebiet zuständigen zentralen Besteuerungsamt vor Ablauf eines der Zeiträume seine </w:t>
      </w:r>
      <w:r>
        <w:rPr>
          <w:rFonts w:eastAsia="Calibri"/>
          <w:szCs w:val="22"/>
          <w:lang w:eastAsia="de-DE" w:bidi="de-DE"/>
        </w:rPr>
        <w:t>Option</w:t>
      </w:r>
      <w:r w:rsidRPr="00D4747A">
        <w:rPr>
          <w:rFonts w:eastAsia="Calibri"/>
          <w:szCs w:val="22"/>
          <w:lang w:eastAsia="de-DE" w:bidi="de-DE"/>
        </w:rPr>
        <w:t xml:space="preserve"> notifiziert, für alle oder für einen genau bestimmten Teil dieser Gruppen von Anlagen, die ab dem gleichen Zeitraum erworben oder gebildet wurden, auf das System der degressiven Abschreibung zu verzichten.</w:t>
      </w:r>
    </w:p>
    <w:p w14:paraId="1627EDAE" w14:textId="77777777" w:rsidR="005A5BD5" w:rsidRPr="00D4747A" w:rsidRDefault="005A5BD5" w:rsidP="004C2C7D">
      <w:pPr>
        <w:jc w:val="both"/>
        <w:rPr>
          <w:rFonts w:eastAsia="Calibri"/>
          <w:szCs w:val="22"/>
          <w:lang w:eastAsia="de-DE" w:bidi="de-DE"/>
        </w:rPr>
      </w:pPr>
    </w:p>
    <w:p w14:paraId="14D5D7F9"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xml:space="preserve">Dieser Verzicht bleibt gültig, solange der Steuerpflichtige keine neue </w:t>
      </w:r>
      <w:r>
        <w:rPr>
          <w:rFonts w:eastAsia="Calibri"/>
          <w:szCs w:val="22"/>
          <w:lang w:eastAsia="de-DE" w:bidi="de-DE"/>
        </w:rPr>
        <w:t>Option</w:t>
      </w:r>
      <w:r w:rsidRPr="00D4747A">
        <w:rPr>
          <w:rFonts w:eastAsia="Calibri"/>
          <w:szCs w:val="22"/>
          <w:lang w:eastAsia="de-DE" w:bidi="de-DE"/>
        </w:rPr>
        <w:t xml:space="preserve"> gemäß den in Artikel 41 vorgesehenen Formen und Fristen notifiziert.</w:t>
      </w:r>
    </w:p>
    <w:p w14:paraId="6ACB21ED" w14:textId="77777777" w:rsidR="005A5BD5" w:rsidRPr="00D4747A" w:rsidRDefault="005A5BD5" w:rsidP="004C2C7D">
      <w:pPr>
        <w:jc w:val="both"/>
        <w:rPr>
          <w:rFonts w:eastAsia="Calibri"/>
          <w:szCs w:val="22"/>
          <w:lang w:eastAsia="de-DE" w:bidi="de-DE"/>
        </w:rPr>
      </w:pPr>
    </w:p>
    <w:p w14:paraId="0DE18354" w14:textId="77777777" w:rsidR="005A5BD5" w:rsidRPr="00D4747A" w:rsidRDefault="005A5BD5" w:rsidP="004C2C7D">
      <w:pPr>
        <w:jc w:val="both"/>
        <w:rPr>
          <w:rFonts w:eastAsia="Calibri"/>
          <w:szCs w:val="22"/>
          <w:lang w:eastAsia="de-DE" w:bidi="de-DE"/>
        </w:rPr>
      </w:pPr>
    </w:p>
    <w:p w14:paraId="1F77D54E" w14:textId="43D2A804"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43</w:t>
      </w:r>
      <w:r w:rsidRPr="00D4747A">
        <w:rPr>
          <w:rFonts w:eastAsia="Calibri"/>
          <w:szCs w:val="22"/>
          <w:lang w:eastAsia="de-DE" w:bidi="de-DE"/>
        </w:rPr>
        <w:t> - Das System der degressiven Abschreibung, für das optiert werden kann, ist nicht anwendbar auf folgende Anlagen:</w:t>
      </w:r>
    </w:p>
    <w:p w14:paraId="533ED61F" w14:textId="77777777" w:rsidR="005A5BD5" w:rsidRPr="00D4747A" w:rsidRDefault="005A5BD5" w:rsidP="004C2C7D">
      <w:pPr>
        <w:jc w:val="both"/>
        <w:rPr>
          <w:rFonts w:eastAsia="Calibri"/>
          <w:szCs w:val="22"/>
          <w:lang w:eastAsia="de-DE" w:bidi="de-DE"/>
        </w:rPr>
      </w:pPr>
    </w:p>
    <w:p w14:paraId="2CA9335D"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1. Personenkraftwagen, Kombiwagen und Kleinbusse, wie sie in den Vorschriften über die Zulassung von Motorfahrzeugen beschrieben sind, [einschließlich der in Artikel 4 § 3 des Gesetzbuches der den Einkommensteuern gleichgesetzten Steuern erwähnten Lieferwagen,] außer wenn es sich um Fahrzeuge handelt, die ausschließlich für einen Taxidienst oder die Vermietung mit Fahrer genutzt werden und aus diesem Grund von der Verkehrssteuer auf Kraftfahrzeuge befreit sind,</w:t>
      </w:r>
    </w:p>
    <w:p w14:paraId="722430ED" w14:textId="77777777" w:rsidR="005A5BD5" w:rsidRPr="00D4747A" w:rsidRDefault="005A5BD5" w:rsidP="004C2C7D">
      <w:pPr>
        <w:jc w:val="both"/>
        <w:rPr>
          <w:rFonts w:eastAsia="Calibri"/>
          <w:szCs w:val="22"/>
          <w:lang w:eastAsia="de-DE" w:bidi="de-DE"/>
        </w:rPr>
      </w:pPr>
    </w:p>
    <w:p w14:paraId="7175F280"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2. Anlagen, die der Steuerpflichtige, der die Anlagen abschreibt, Dritten zur Nutzung überlässt.</w:t>
      </w:r>
    </w:p>
    <w:p w14:paraId="54E502D3" w14:textId="77777777" w:rsidR="005A5BD5" w:rsidRPr="00D4747A" w:rsidRDefault="005A5BD5" w:rsidP="004C2C7D">
      <w:pPr>
        <w:jc w:val="both"/>
        <w:rPr>
          <w:rFonts w:eastAsia="Calibri"/>
          <w:szCs w:val="22"/>
          <w:lang w:eastAsia="de-DE" w:bidi="de-DE"/>
        </w:rPr>
      </w:pPr>
    </w:p>
    <w:p w14:paraId="70AA28E6" w14:textId="77777777" w:rsidR="005A5BD5" w:rsidRDefault="005A5BD5" w:rsidP="004C2C7D">
      <w:pPr>
        <w:jc w:val="both"/>
        <w:rPr>
          <w:rFonts w:eastAsia="Calibri"/>
          <w:i/>
          <w:szCs w:val="22"/>
          <w:lang w:eastAsia="de-DE" w:bidi="de-DE"/>
        </w:rPr>
      </w:pPr>
      <w:r w:rsidRPr="00D4747A">
        <w:rPr>
          <w:rFonts w:eastAsia="Calibri"/>
          <w:i/>
          <w:szCs w:val="22"/>
          <w:lang w:eastAsia="de-DE" w:bidi="de-DE"/>
        </w:rPr>
        <w:t>[Art. 43 einziger Absatz Nr. 1 abgeändert durch Art. 1 des K.E. vom 19. März 2007 (B.S. vom 30. März 2007)]</w:t>
      </w:r>
    </w:p>
    <w:p w14:paraId="3DF1371D" w14:textId="77777777" w:rsidR="008C14CF" w:rsidRDefault="008C14CF" w:rsidP="004C2C7D">
      <w:pPr>
        <w:jc w:val="both"/>
        <w:rPr>
          <w:rFonts w:eastAsia="Calibri"/>
          <w:i/>
          <w:szCs w:val="22"/>
          <w:lang w:eastAsia="de-DE" w:bidi="de-DE"/>
        </w:rPr>
      </w:pPr>
    </w:p>
    <w:p w14:paraId="3FD6A143" w14:textId="77777777" w:rsidR="008C14CF" w:rsidRDefault="008C14CF" w:rsidP="004C2C7D">
      <w:pPr>
        <w:jc w:val="both"/>
        <w:rPr>
          <w:rFonts w:eastAsia="Calibri"/>
          <w:i/>
          <w:szCs w:val="22"/>
          <w:lang w:eastAsia="de-DE" w:bidi="de-DE"/>
        </w:rPr>
      </w:pPr>
    </w:p>
    <w:p w14:paraId="60AA4DD9" w14:textId="0D334223" w:rsidR="005A5BD5" w:rsidRPr="00D4747A" w:rsidRDefault="005A5BD5" w:rsidP="004C2C7D">
      <w:pPr>
        <w:jc w:val="center"/>
        <w:rPr>
          <w:rFonts w:eastAsia="Calibri"/>
          <w:szCs w:val="22"/>
          <w:lang w:eastAsia="de-DE" w:bidi="de-DE"/>
        </w:rPr>
      </w:pPr>
      <w:r w:rsidRPr="00D4747A">
        <w:rPr>
          <w:rFonts w:eastAsia="Calibri"/>
          <w:szCs w:val="22"/>
          <w:lang w:eastAsia="de-DE" w:bidi="de-DE"/>
        </w:rPr>
        <w:t>[</w:t>
      </w:r>
      <w:r w:rsidRPr="00D4747A">
        <w:rPr>
          <w:rFonts w:eastAsia="Calibri"/>
          <w:i/>
          <w:szCs w:val="22"/>
          <w:lang w:eastAsia="de-DE" w:bidi="de-DE"/>
        </w:rPr>
        <w:t>Abschnitt 14bis</w:t>
      </w:r>
      <w:r w:rsidRPr="00D4747A">
        <w:rPr>
          <w:rFonts w:eastAsia="Calibri"/>
          <w:szCs w:val="22"/>
          <w:lang w:eastAsia="de-DE" w:bidi="de-DE"/>
        </w:rPr>
        <w:t> - Werbungskosten in Bezug auf die Fahrt zwischen Wohnsitz und Arbeitsplatz</w:t>
      </w:r>
    </w:p>
    <w:p w14:paraId="00795E45" w14:textId="77777777" w:rsidR="005A5BD5" w:rsidRPr="00D4747A" w:rsidRDefault="005A5BD5" w:rsidP="004C2C7D">
      <w:pPr>
        <w:jc w:val="center"/>
        <w:rPr>
          <w:rFonts w:eastAsia="Calibri"/>
          <w:szCs w:val="22"/>
          <w:lang w:eastAsia="de-DE" w:bidi="de-DE"/>
        </w:rPr>
      </w:pPr>
    </w:p>
    <w:p w14:paraId="4B2227C6" w14:textId="545A338D" w:rsidR="005A5BD5" w:rsidRPr="00D4747A" w:rsidRDefault="005A5BD5" w:rsidP="004C2C7D">
      <w:pPr>
        <w:jc w:val="center"/>
        <w:rPr>
          <w:rFonts w:eastAsia="Calibri"/>
          <w:szCs w:val="22"/>
          <w:lang w:eastAsia="de-DE" w:bidi="de-DE"/>
        </w:rPr>
      </w:pPr>
      <w:r w:rsidRPr="00D4747A">
        <w:rPr>
          <w:rFonts w:eastAsia="Calibri"/>
          <w:szCs w:val="22"/>
          <w:lang w:eastAsia="de-DE" w:bidi="de-DE"/>
        </w:rPr>
        <w:t>(Einkommensteuergesetzbuch 1992, Artikel 66</w:t>
      </w:r>
      <w:r w:rsidRPr="00D4747A">
        <w:rPr>
          <w:rFonts w:eastAsia="Calibri"/>
          <w:i/>
          <w:szCs w:val="22"/>
          <w:lang w:eastAsia="de-DE" w:bidi="de-DE"/>
        </w:rPr>
        <w:t>bis</w:t>
      </w:r>
      <w:r w:rsidRPr="00D4747A">
        <w:rPr>
          <w:rFonts w:eastAsia="Calibri"/>
          <w:szCs w:val="22"/>
          <w:lang w:eastAsia="de-DE" w:bidi="de-DE"/>
        </w:rPr>
        <w:t xml:space="preserve"> </w:t>
      </w:r>
      <w:r w:rsidR="0043031B">
        <w:rPr>
          <w:rFonts w:eastAsia="Calibri"/>
          <w:szCs w:val="22"/>
          <w:lang w:eastAsia="de-DE" w:bidi="de-DE"/>
        </w:rPr>
        <w:t>[</w:t>
      </w:r>
      <w:r w:rsidRPr="00D4747A">
        <w:rPr>
          <w:rFonts w:eastAsia="Calibri"/>
          <w:szCs w:val="22"/>
          <w:lang w:eastAsia="de-DE" w:bidi="de-DE"/>
        </w:rPr>
        <w:t>Absatz 2</w:t>
      </w:r>
      <w:r w:rsidR="0043031B">
        <w:rPr>
          <w:rFonts w:eastAsia="Calibri"/>
          <w:szCs w:val="22"/>
          <w:lang w:eastAsia="de-DE" w:bidi="de-DE"/>
        </w:rPr>
        <w:t xml:space="preserve"> und 4]</w:t>
      </w:r>
      <w:r w:rsidRPr="00D4747A">
        <w:rPr>
          <w:rFonts w:eastAsia="Calibri"/>
          <w:szCs w:val="22"/>
          <w:lang w:eastAsia="de-DE" w:bidi="de-DE"/>
        </w:rPr>
        <w:t>)</w:t>
      </w:r>
    </w:p>
    <w:p w14:paraId="785CC54C" w14:textId="77777777" w:rsidR="005A5BD5" w:rsidRPr="00D4747A" w:rsidRDefault="005A5BD5" w:rsidP="004C2C7D">
      <w:pPr>
        <w:jc w:val="center"/>
        <w:rPr>
          <w:rFonts w:eastAsia="Calibri"/>
          <w:szCs w:val="22"/>
          <w:lang w:eastAsia="de-DE" w:bidi="de-DE"/>
        </w:rPr>
      </w:pPr>
    </w:p>
    <w:p w14:paraId="1A09EF45" w14:textId="0EA6E5F0" w:rsidR="005A5BD5" w:rsidRPr="00D4747A" w:rsidRDefault="005A5BD5" w:rsidP="004C2C7D">
      <w:pPr>
        <w:jc w:val="both"/>
        <w:rPr>
          <w:rFonts w:eastAsia="Calibri"/>
          <w:i/>
          <w:szCs w:val="22"/>
          <w:lang w:eastAsia="de-DE" w:bidi="de-DE"/>
        </w:rPr>
      </w:pPr>
      <w:r w:rsidRPr="00D4747A">
        <w:rPr>
          <w:rFonts w:eastAsia="Calibri"/>
          <w:i/>
          <w:szCs w:val="22"/>
          <w:lang w:eastAsia="de-DE" w:bidi="de-DE"/>
        </w:rPr>
        <w:t>[Abschnitt 14bis mit Art. 43</w:t>
      </w:r>
      <w:r w:rsidRPr="00D4747A">
        <w:rPr>
          <w:rFonts w:eastAsia="Calibri"/>
          <w:i/>
          <w:szCs w:val="22"/>
          <w:vertAlign w:val="superscript"/>
          <w:lang w:eastAsia="de-DE" w:bidi="de-DE"/>
        </w:rPr>
        <w:t>1</w:t>
      </w:r>
      <w:r w:rsidRPr="00D4747A">
        <w:rPr>
          <w:rFonts w:eastAsia="Calibri"/>
          <w:i/>
          <w:szCs w:val="22"/>
          <w:lang w:eastAsia="de-DE" w:bidi="de-DE"/>
        </w:rPr>
        <w:t xml:space="preserve"> eingefügt durch Art. 1 des K.E. vom 22. August 2002 (B.S. vom 5. September 2002)</w:t>
      </w:r>
      <w:r w:rsidR="0043031B">
        <w:rPr>
          <w:rFonts w:eastAsia="Calibri"/>
          <w:i/>
          <w:szCs w:val="22"/>
          <w:lang w:eastAsia="de-DE" w:bidi="de-DE"/>
        </w:rPr>
        <w:t>; Überschrift von Abschnitt 14bis abgeändert durch Art. 2 des K.E. vom 9. April 2024 (B.S. vom 15. April 2024)</w:t>
      </w:r>
      <w:r w:rsidRPr="00D4747A">
        <w:rPr>
          <w:rFonts w:eastAsia="Calibri"/>
          <w:i/>
          <w:szCs w:val="22"/>
          <w:lang w:eastAsia="de-DE" w:bidi="de-DE"/>
        </w:rPr>
        <w:t>]</w:t>
      </w:r>
    </w:p>
    <w:p w14:paraId="0A2CEAE2" w14:textId="77777777" w:rsidR="005A5BD5" w:rsidRPr="00D4747A" w:rsidRDefault="005A5BD5" w:rsidP="004C2C7D">
      <w:pPr>
        <w:jc w:val="center"/>
        <w:rPr>
          <w:rFonts w:eastAsia="Calibri"/>
          <w:szCs w:val="22"/>
          <w:lang w:eastAsia="de-DE" w:bidi="de-DE"/>
        </w:rPr>
      </w:pPr>
    </w:p>
    <w:p w14:paraId="783B9825" w14:textId="77777777" w:rsidR="005A5BD5" w:rsidRPr="00D4747A" w:rsidRDefault="005A5BD5" w:rsidP="004C2C7D">
      <w:pPr>
        <w:jc w:val="center"/>
        <w:rPr>
          <w:rFonts w:eastAsia="Calibri"/>
          <w:szCs w:val="22"/>
          <w:lang w:eastAsia="de-DE" w:bidi="de-DE"/>
        </w:rPr>
      </w:pPr>
    </w:p>
    <w:p w14:paraId="2148BE8D" w14:textId="4DE826EA" w:rsidR="005A5BD5"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43</w:t>
      </w:r>
      <w:r w:rsidRPr="00D4747A">
        <w:rPr>
          <w:rFonts w:eastAsia="Calibri"/>
          <w:b/>
          <w:szCs w:val="22"/>
          <w:vertAlign w:val="superscript"/>
          <w:lang w:eastAsia="de-DE" w:bidi="de-DE"/>
        </w:rPr>
        <w:t>1</w:t>
      </w:r>
      <w:r w:rsidRPr="00D4747A">
        <w:rPr>
          <w:rFonts w:eastAsia="Calibri"/>
          <w:szCs w:val="22"/>
          <w:lang w:eastAsia="de-DE" w:bidi="de-DE"/>
        </w:rPr>
        <w:t> - Für die Anwendung von Artikel 66</w:t>
      </w:r>
      <w:r w:rsidRPr="00D4747A">
        <w:rPr>
          <w:rFonts w:eastAsia="Calibri"/>
          <w:i/>
          <w:szCs w:val="22"/>
          <w:lang w:eastAsia="de-DE" w:bidi="de-DE"/>
        </w:rPr>
        <w:t>bis</w:t>
      </w:r>
      <w:r w:rsidRPr="00D4747A">
        <w:rPr>
          <w:rFonts w:eastAsia="Calibri"/>
          <w:szCs w:val="22"/>
          <w:lang w:eastAsia="de-DE" w:bidi="de-DE"/>
        </w:rPr>
        <w:t xml:space="preserve"> des Einkommensteuergesetz</w:t>
      </w:r>
      <w:r w:rsidRPr="00D4747A">
        <w:rPr>
          <w:rFonts w:eastAsia="Calibri"/>
          <w:szCs w:val="22"/>
          <w:lang w:eastAsia="de-DE" w:bidi="de-DE"/>
        </w:rPr>
        <w:softHyphen/>
        <w:t>buches 1992 wird die 25-Kilometer-Grenze [auf 100 Kilometer erhöht]</w:t>
      </w:r>
    </w:p>
    <w:p w14:paraId="0417D251" w14:textId="77777777" w:rsidR="0043031B" w:rsidRDefault="0043031B" w:rsidP="004C2C7D">
      <w:pPr>
        <w:jc w:val="both"/>
        <w:rPr>
          <w:rFonts w:eastAsia="Calibri"/>
          <w:szCs w:val="22"/>
          <w:lang w:eastAsia="de-DE" w:bidi="de-DE"/>
        </w:rPr>
      </w:pPr>
    </w:p>
    <w:p w14:paraId="1B3EAC0B" w14:textId="539759AD" w:rsidR="0043031B" w:rsidRPr="00D4747A" w:rsidRDefault="0043031B" w:rsidP="004C2C7D">
      <w:pPr>
        <w:jc w:val="both"/>
        <w:rPr>
          <w:rFonts w:eastAsia="Calibri"/>
          <w:szCs w:val="22"/>
          <w:lang w:eastAsia="de-DE" w:bidi="de-DE"/>
        </w:rPr>
      </w:pPr>
      <w:r>
        <w:rPr>
          <w:rFonts w:eastAsia="Calibri"/>
          <w:szCs w:val="22"/>
          <w:lang w:eastAsia="de-DE" w:bidi="de-DE"/>
        </w:rPr>
        <w:tab/>
        <w:t>[</w:t>
      </w:r>
      <w:r w:rsidRPr="008B14AF">
        <w:t>Der in Artikel 66</w:t>
      </w:r>
      <w:r w:rsidRPr="008B14AF">
        <w:rPr>
          <w:i/>
        </w:rPr>
        <w:t>bis</w:t>
      </w:r>
      <w:r w:rsidRPr="008B14AF">
        <w:t xml:space="preserve"> Absatz 3 desselben Gesetzbuches erwähnte Betrag wird für Kosten in Bezug auf die ab dem 1. Januar 2024 gemachten Fahrten auf 0,178 EUR pro Kilometer erhöht.</w:t>
      </w:r>
      <w:r>
        <w:t>]</w:t>
      </w:r>
    </w:p>
    <w:p w14:paraId="7EC2EB7B" w14:textId="77777777" w:rsidR="005A5BD5" w:rsidRPr="00D4747A" w:rsidRDefault="005A5BD5" w:rsidP="004C2C7D">
      <w:pPr>
        <w:jc w:val="both"/>
        <w:rPr>
          <w:rFonts w:eastAsia="Calibri"/>
          <w:szCs w:val="22"/>
          <w:lang w:eastAsia="de-DE" w:bidi="de-DE"/>
        </w:rPr>
      </w:pPr>
    </w:p>
    <w:p w14:paraId="16D0B9BC" w14:textId="5BCDAD1B" w:rsidR="005A5BD5" w:rsidRPr="00D4747A" w:rsidRDefault="005A5BD5" w:rsidP="004C2C7D">
      <w:pPr>
        <w:jc w:val="both"/>
        <w:rPr>
          <w:rFonts w:eastAsia="Calibri"/>
          <w:i/>
          <w:szCs w:val="22"/>
          <w:lang w:eastAsia="de-DE" w:bidi="de-DE"/>
        </w:rPr>
      </w:pPr>
      <w:r w:rsidRPr="00D4747A">
        <w:rPr>
          <w:rFonts w:eastAsia="Calibri"/>
          <w:i/>
          <w:szCs w:val="22"/>
          <w:lang w:eastAsia="de-DE" w:bidi="de-DE"/>
        </w:rPr>
        <w:t>[Art. 43</w:t>
      </w:r>
      <w:r w:rsidRPr="00D4747A">
        <w:rPr>
          <w:rFonts w:eastAsia="Calibri"/>
          <w:i/>
          <w:szCs w:val="22"/>
          <w:vertAlign w:val="superscript"/>
          <w:lang w:eastAsia="de-DE" w:bidi="de-DE"/>
        </w:rPr>
        <w:t>1</w:t>
      </w:r>
      <w:r w:rsidRPr="00D4747A">
        <w:rPr>
          <w:rFonts w:eastAsia="Calibri"/>
          <w:i/>
          <w:szCs w:val="22"/>
          <w:lang w:eastAsia="de-DE" w:bidi="de-DE"/>
        </w:rPr>
        <w:t xml:space="preserve"> </w:t>
      </w:r>
      <w:r w:rsidR="0043031B">
        <w:rPr>
          <w:rFonts w:eastAsia="Calibri"/>
          <w:i/>
          <w:szCs w:val="22"/>
          <w:lang w:eastAsia="de-DE" w:bidi="de-DE"/>
        </w:rPr>
        <w:t xml:space="preserve">Abs. 1 (früherer einziger Absatz) </w:t>
      </w:r>
      <w:r w:rsidRPr="00D4747A">
        <w:rPr>
          <w:rFonts w:eastAsia="Calibri"/>
          <w:i/>
          <w:szCs w:val="22"/>
          <w:lang w:eastAsia="de-DE" w:bidi="de-DE"/>
        </w:rPr>
        <w:t>abgeändert durch Art. 1 Buchstabe A und B des K.E. vom 12. Mai 2004 (B.S. vom 27. Mai 2004)</w:t>
      </w:r>
      <w:r w:rsidR="0043031B">
        <w:rPr>
          <w:rFonts w:eastAsia="Calibri"/>
          <w:i/>
          <w:szCs w:val="22"/>
          <w:lang w:eastAsia="de-DE" w:bidi="de-DE"/>
        </w:rPr>
        <w:t>; Abs. 2 eingefügt durch Art. 3</w:t>
      </w:r>
      <w:r w:rsidR="0043031B" w:rsidRPr="0043031B">
        <w:rPr>
          <w:rFonts w:eastAsia="Calibri"/>
          <w:i/>
          <w:szCs w:val="22"/>
          <w:lang w:eastAsia="de-DE" w:bidi="de-DE"/>
        </w:rPr>
        <w:t xml:space="preserve"> des K.E. vom 9. April 2024 (B.S. vom 15. April 2024)</w:t>
      </w:r>
      <w:r w:rsidRPr="00D4747A">
        <w:rPr>
          <w:rFonts w:eastAsia="Calibri"/>
          <w:i/>
          <w:szCs w:val="22"/>
          <w:lang w:eastAsia="de-DE" w:bidi="de-DE"/>
        </w:rPr>
        <w:t>]</w:t>
      </w:r>
    </w:p>
    <w:p w14:paraId="60721213" w14:textId="77777777" w:rsidR="0094417E" w:rsidRDefault="0094417E" w:rsidP="004C2C7D">
      <w:pPr>
        <w:jc w:val="center"/>
        <w:rPr>
          <w:rFonts w:eastAsia="Calibri"/>
          <w:i/>
          <w:szCs w:val="22"/>
          <w:lang w:eastAsia="de-DE" w:bidi="de-DE"/>
        </w:rPr>
      </w:pPr>
    </w:p>
    <w:p w14:paraId="132C4643" w14:textId="77777777" w:rsidR="0094417E" w:rsidRDefault="0094417E" w:rsidP="004C2C7D">
      <w:pPr>
        <w:jc w:val="center"/>
        <w:rPr>
          <w:rFonts w:eastAsia="Calibri"/>
          <w:i/>
          <w:szCs w:val="22"/>
          <w:lang w:eastAsia="de-DE" w:bidi="de-DE"/>
        </w:rPr>
      </w:pPr>
    </w:p>
    <w:p w14:paraId="49190C2B" w14:textId="39616265" w:rsidR="005A5BD5" w:rsidRPr="00D4747A" w:rsidRDefault="005A5BD5" w:rsidP="004C2C7D">
      <w:pPr>
        <w:jc w:val="center"/>
        <w:rPr>
          <w:rFonts w:eastAsia="Calibri"/>
          <w:szCs w:val="22"/>
          <w:lang w:eastAsia="de-DE" w:bidi="de-DE"/>
        </w:rPr>
      </w:pPr>
      <w:r w:rsidRPr="00D4747A">
        <w:rPr>
          <w:rFonts w:eastAsia="Calibri"/>
          <w:i/>
          <w:szCs w:val="22"/>
          <w:lang w:eastAsia="de-DE" w:bidi="de-DE"/>
        </w:rPr>
        <w:lastRenderedPageBreak/>
        <w:t>Abschnitt 15</w:t>
      </w:r>
      <w:r w:rsidRPr="00D4747A">
        <w:rPr>
          <w:rFonts w:eastAsia="Calibri"/>
          <w:szCs w:val="22"/>
          <w:lang w:eastAsia="de-DE" w:bidi="de-DE"/>
        </w:rPr>
        <w:t> - [Steuerbefreiung für Zusatzpersonal, das in Belgien für [</w:t>
      </w:r>
      <w:r w:rsidR="009251F9">
        <w:rPr>
          <w:rFonts w:eastAsia="Calibri"/>
          <w:szCs w:val="22"/>
          <w:lang w:eastAsia="de-DE" w:bidi="de-DE"/>
        </w:rPr>
        <w:t>…</w:t>
      </w:r>
      <w:r w:rsidRPr="00D4747A">
        <w:rPr>
          <w:rFonts w:eastAsia="Calibri"/>
          <w:szCs w:val="22"/>
          <w:lang w:eastAsia="de-DE" w:bidi="de-DE"/>
        </w:rPr>
        <w:t>] [</w:t>
      </w:r>
      <w:r w:rsidR="009251F9">
        <w:rPr>
          <w:rFonts w:eastAsia="Calibri"/>
          <w:szCs w:val="22"/>
          <w:lang w:eastAsia="de-DE" w:bidi="de-DE"/>
        </w:rPr>
        <w:t>…</w:t>
      </w:r>
      <w:r w:rsidRPr="00D4747A">
        <w:rPr>
          <w:rFonts w:eastAsia="Calibri"/>
          <w:szCs w:val="22"/>
          <w:lang w:eastAsia="de-DE" w:bidi="de-DE"/>
        </w:rPr>
        <w:t>] Ausfuhr und umfassendes Qualitätsmanagement beschäftigt wird</w:t>
      </w:r>
    </w:p>
    <w:p w14:paraId="60F4A510" w14:textId="77777777" w:rsidR="005A5BD5" w:rsidRPr="00D4747A" w:rsidRDefault="005A5BD5" w:rsidP="004C2C7D">
      <w:pPr>
        <w:jc w:val="center"/>
        <w:rPr>
          <w:rFonts w:eastAsia="Calibri"/>
          <w:szCs w:val="22"/>
          <w:lang w:eastAsia="de-DE" w:bidi="de-DE"/>
        </w:rPr>
      </w:pPr>
    </w:p>
    <w:p w14:paraId="246D2FAE" w14:textId="77777777" w:rsidR="005A5BD5" w:rsidRPr="00D4747A" w:rsidRDefault="005A5BD5" w:rsidP="004C2C7D">
      <w:pPr>
        <w:jc w:val="center"/>
        <w:rPr>
          <w:rFonts w:eastAsia="Calibri"/>
          <w:szCs w:val="22"/>
          <w:lang w:eastAsia="de-DE" w:bidi="de-DE"/>
        </w:rPr>
      </w:pPr>
      <w:r w:rsidRPr="00D4747A">
        <w:rPr>
          <w:rFonts w:eastAsia="Calibri"/>
          <w:szCs w:val="22"/>
          <w:lang w:eastAsia="de-DE" w:bidi="de-DE"/>
        </w:rPr>
        <w:t>(Einkommensteuergesetzbuch 1992, Artikel 67 § 5)]</w:t>
      </w:r>
    </w:p>
    <w:p w14:paraId="0BCAEA06" w14:textId="77777777" w:rsidR="005A5BD5" w:rsidRPr="00D4747A" w:rsidRDefault="005A5BD5" w:rsidP="004C2C7D">
      <w:pPr>
        <w:jc w:val="center"/>
        <w:rPr>
          <w:rFonts w:eastAsia="Calibri"/>
          <w:szCs w:val="22"/>
          <w:lang w:eastAsia="de-DE" w:bidi="de-DE"/>
        </w:rPr>
      </w:pPr>
    </w:p>
    <w:p w14:paraId="0280AA6C" w14:textId="77777777" w:rsidR="005A5BD5" w:rsidRPr="00D4747A" w:rsidRDefault="005A5BD5" w:rsidP="004C2C7D">
      <w:pPr>
        <w:jc w:val="both"/>
        <w:rPr>
          <w:rFonts w:eastAsia="Calibri"/>
          <w:i/>
          <w:szCs w:val="22"/>
          <w:lang w:eastAsia="de-DE" w:bidi="de-DE"/>
        </w:rPr>
      </w:pPr>
      <w:r w:rsidRPr="00D4747A">
        <w:rPr>
          <w:rFonts w:eastAsia="Calibri"/>
          <w:i/>
          <w:szCs w:val="22"/>
          <w:lang w:eastAsia="de-DE" w:bidi="de-DE"/>
        </w:rPr>
        <w:t>[Überschrift von Abschnitt 15 ersetzt durch Art. 1 des K.E. vom 9. Juni 1999 (II) (B.S. vom 8. Juli 1999) und abgeändert durch Art. 1 des K.E. vom 12. März 2007 (B.S. vom 20. März 2007) und Art. 1 des K.E. vom 5. Dezember 2011 (II) (B.S. vom 12. Dezember 2011)]</w:t>
      </w:r>
    </w:p>
    <w:p w14:paraId="1D16943A" w14:textId="77777777" w:rsidR="005A5BD5" w:rsidRPr="00D4747A" w:rsidRDefault="005A5BD5" w:rsidP="004C2C7D">
      <w:pPr>
        <w:jc w:val="both"/>
        <w:rPr>
          <w:rFonts w:eastAsia="Calibri"/>
          <w:i/>
          <w:szCs w:val="22"/>
          <w:lang w:eastAsia="de-DE" w:bidi="de-DE"/>
        </w:rPr>
      </w:pPr>
    </w:p>
    <w:p w14:paraId="0641483F" w14:textId="77777777" w:rsidR="005A5BD5" w:rsidRPr="00D4747A" w:rsidRDefault="005A5BD5" w:rsidP="004C2C7D">
      <w:pPr>
        <w:jc w:val="both"/>
        <w:rPr>
          <w:rFonts w:eastAsia="Calibri"/>
          <w:i/>
          <w:szCs w:val="22"/>
          <w:lang w:eastAsia="de-DE" w:bidi="de-DE"/>
        </w:rPr>
      </w:pPr>
    </w:p>
    <w:p w14:paraId="117D54D5"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44</w:t>
      </w:r>
      <w:r w:rsidRPr="00D4747A">
        <w:rPr>
          <w:rFonts w:eastAsia="Calibri"/>
          <w:szCs w:val="22"/>
          <w:lang w:eastAsia="de-DE" w:bidi="de-DE"/>
        </w:rPr>
        <w:t> - [</w:t>
      </w:r>
      <w:r w:rsidR="009251F9">
        <w:rPr>
          <w:rFonts w:eastAsia="Calibri"/>
          <w:szCs w:val="22"/>
          <w:lang w:eastAsia="de-DE" w:bidi="de-DE"/>
        </w:rPr>
        <w:t>…</w:t>
      </w:r>
      <w:r w:rsidRPr="00D4747A">
        <w:rPr>
          <w:rFonts w:eastAsia="Calibri"/>
          <w:szCs w:val="22"/>
          <w:lang w:eastAsia="de-DE" w:bidi="de-DE"/>
        </w:rPr>
        <w:t>]</w:t>
      </w:r>
    </w:p>
    <w:p w14:paraId="102C2ED9" w14:textId="77777777" w:rsidR="005A5BD5" w:rsidRPr="00D4747A" w:rsidRDefault="005A5BD5" w:rsidP="004C2C7D">
      <w:pPr>
        <w:jc w:val="both"/>
        <w:rPr>
          <w:rFonts w:eastAsia="Calibri"/>
          <w:szCs w:val="22"/>
          <w:lang w:eastAsia="de-DE" w:bidi="de-DE"/>
        </w:rPr>
      </w:pPr>
    </w:p>
    <w:p w14:paraId="0A0DE88B" w14:textId="77777777" w:rsidR="005A5BD5" w:rsidRPr="00D4747A" w:rsidRDefault="005A5BD5" w:rsidP="004C2C7D">
      <w:pPr>
        <w:jc w:val="both"/>
        <w:rPr>
          <w:rFonts w:eastAsia="Calibri"/>
          <w:i/>
          <w:szCs w:val="22"/>
          <w:lang w:eastAsia="de-DE" w:bidi="de-DE"/>
        </w:rPr>
      </w:pPr>
      <w:r w:rsidRPr="00D4747A">
        <w:rPr>
          <w:rFonts w:eastAsia="Calibri"/>
          <w:i/>
          <w:szCs w:val="22"/>
          <w:lang w:eastAsia="de-DE" w:bidi="de-DE"/>
        </w:rPr>
        <w:t>[Art. 44 aufgehoben durch Art. 2 des K.E. vom 12. März 2007 (B.S. vom 20. März 2007)]</w:t>
      </w:r>
    </w:p>
    <w:p w14:paraId="529EC854" w14:textId="77777777" w:rsidR="005A5BD5" w:rsidRPr="00D4747A" w:rsidRDefault="005A5BD5" w:rsidP="004C2C7D">
      <w:pPr>
        <w:jc w:val="both"/>
        <w:rPr>
          <w:rFonts w:eastAsia="Calibri"/>
          <w:szCs w:val="22"/>
          <w:lang w:eastAsia="de-DE" w:bidi="de-DE"/>
        </w:rPr>
      </w:pPr>
    </w:p>
    <w:p w14:paraId="30782252" w14:textId="77777777" w:rsidR="005A5BD5" w:rsidRPr="00D4747A" w:rsidRDefault="005A5BD5" w:rsidP="004C2C7D">
      <w:pPr>
        <w:jc w:val="both"/>
        <w:rPr>
          <w:rFonts w:eastAsia="Calibri"/>
          <w:szCs w:val="22"/>
          <w:lang w:eastAsia="de-DE" w:bidi="de-DE"/>
        </w:rPr>
      </w:pPr>
    </w:p>
    <w:p w14:paraId="0BC97B89"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45</w:t>
      </w:r>
      <w:r w:rsidRPr="00D4747A">
        <w:rPr>
          <w:rFonts w:eastAsia="Calibri"/>
          <w:szCs w:val="22"/>
          <w:lang w:eastAsia="de-DE" w:bidi="de-DE"/>
        </w:rPr>
        <w:t> - [§ 1 - [</w:t>
      </w:r>
      <w:r w:rsidR="009251F9">
        <w:rPr>
          <w:rFonts w:eastAsia="Calibri"/>
          <w:szCs w:val="22"/>
          <w:lang w:eastAsia="de-DE" w:bidi="de-DE"/>
        </w:rPr>
        <w:t>…</w:t>
      </w:r>
      <w:r w:rsidRPr="00D4747A">
        <w:rPr>
          <w:rFonts w:eastAsia="Calibri"/>
          <w:szCs w:val="22"/>
          <w:lang w:eastAsia="de-DE" w:bidi="de-DE"/>
        </w:rPr>
        <w:t>]</w:t>
      </w:r>
    </w:p>
    <w:p w14:paraId="4B94DEC8" w14:textId="77777777" w:rsidR="005A5BD5" w:rsidRPr="00D4747A" w:rsidRDefault="005A5BD5" w:rsidP="004C2C7D">
      <w:pPr>
        <w:jc w:val="both"/>
        <w:rPr>
          <w:rFonts w:eastAsia="Calibri"/>
          <w:szCs w:val="22"/>
          <w:lang w:eastAsia="de-DE" w:bidi="de-DE"/>
        </w:rPr>
      </w:pPr>
    </w:p>
    <w:p w14:paraId="29337859"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2 - Für Personal, das bei den in den Artikeln 46 § 1 Absatz 1 Nr. 1 und 2, 211 § 1 und 214 § 1 Absatz 1 des Einkommensteuergesetzbuches 1992 erwähnten Vorgängen über</w:t>
      </w:r>
      <w:r w:rsidR="003B5C18">
        <w:rPr>
          <w:rFonts w:eastAsia="Calibri"/>
          <w:szCs w:val="22"/>
          <w:lang w:eastAsia="de-DE" w:bidi="de-DE"/>
        </w:rPr>
        <w:softHyphen/>
      </w:r>
      <w:r w:rsidRPr="00D4747A">
        <w:rPr>
          <w:rFonts w:eastAsia="Calibri"/>
          <w:szCs w:val="22"/>
          <w:lang w:eastAsia="de-DE" w:bidi="de-DE"/>
        </w:rPr>
        <w:t>nommen wird, sind die Bestimmungen von Artikel 67 des vorerwähnten Gesetzbuches für den neuen Steuerpflichtigen oder für übernehmende, begünstigte oder aus der Umwandlung entstandene Gesellschaften anwendbar, als ob diese Vorgänge nicht stattgefunden hätten.</w:t>
      </w:r>
    </w:p>
    <w:p w14:paraId="369CB211" w14:textId="77777777" w:rsidR="005A5BD5" w:rsidRPr="00D4747A" w:rsidRDefault="005A5BD5" w:rsidP="004C2C7D">
      <w:pPr>
        <w:jc w:val="both"/>
        <w:rPr>
          <w:rFonts w:eastAsia="Calibri"/>
          <w:szCs w:val="22"/>
          <w:lang w:eastAsia="de-DE" w:bidi="de-DE"/>
        </w:rPr>
      </w:pPr>
    </w:p>
    <w:p w14:paraId="346817CF" w14:textId="069AE692" w:rsidR="005A5BD5" w:rsidRPr="00D4747A" w:rsidRDefault="005A5BD5" w:rsidP="004C2C7D">
      <w:pPr>
        <w:jc w:val="both"/>
        <w:rPr>
          <w:rFonts w:eastAsia="Calibri"/>
          <w:szCs w:val="22"/>
          <w:lang w:eastAsia="de-DE" w:bidi="de-DE"/>
        </w:rPr>
      </w:pPr>
      <w:r w:rsidRPr="00D4747A">
        <w:rPr>
          <w:rFonts w:eastAsia="Calibri"/>
          <w:szCs w:val="22"/>
          <w:lang w:eastAsia="de-DE" w:bidi="de-DE"/>
        </w:rPr>
        <w:tab/>
        <w:t>§ 3 - Nicht berücksichtigt für die Anwendung von Artikel 67 § 1 desselben Gesetzbuches wird die Zuweisung aufgrund der Übernahme von Personalmitgliedern, die vorher entweder von einem Steuerpflichtigen beschäftigt waren, dem gegenüber das</w:t>
      </w:r>
      <w:r w:rsidR="005130BD">
        <w:rPr>
          <w:rFonts w:eastAsia="Calibri"/>
          <w:szCs w:val="22"/>
          <w:lang w:eastAsia="de-DE" w:bidi="de-DE"/>
        </w:rPr>
        <w:t xml:space="preserve"> </w:t>
      </w:r>
      <w:r w:rsidRPr="00D4747A">
        <w:rPr>
          <w:rFonts w:eastAsia="Calibri"/>
          <w:szCs w:val="22"/>
          <w:lang w:eastAsia="de-DE" w:bidi="de-DE"/>
        </w:rPr>
        <w:t>Unternehmen sich direkt oder indirekt in einem Verhältnis gegenseitiger Abhängigkeit befindet, oder von einem Steuerpflichtigen, dessen berufliche Tätigkeit das Unternehmen infolge eines nicht in § 2 erwähnten Umstandes ganz oder teilweise fortsetzt.]</w:t>
      </w:r>
    </w:p>
    <w:p w14:paraId="18662DAE" w14:textId="77777777" w:rsidR="005A5BD5" w:rsidRPr="00D4747A" w:rsidRDefault="005A5BD5" w:rsidP="004C2C7D">
      <w:pPr>
        <w:jc w:val="both"/>
        <w:rPr>
          <w:rFonts w:eastAsia="Calibri"/>
          <w:szCs w:val="22"/>
          <w:lang w:eastAsia="de-DE" w:bidi="de-DE"/>
        </w:rPr>
      </w:pPr>
    </w:p>
    <w:p w14:paraId="22F318A5" w14:textId="77777777" w:rsidR="005A5BD5" w:rsidRPr="00D4747A" w:rsidRDefault="005A5BD5" w:rsidP="004C2C7D">
      <w:pPr>
        <w:jc w:val="both"/>
        <w:rPr>
          <w:rFonts w:eastAsia="Calibri"/>
          <w:i/>
          <w:szCs w:val="22"/>
          <w:lang w:eastAsia="de-DE" w:bidi="de-DE"/>
        </w:rPr>
      </w:pPr>
      <w:r w:rsidRPr="00D4747A">
        <w:rPr>
          <w:rFonts w:eastAsia="Calibri"/>
          <w:i/>
          <w:szCs w:val="22"/>
          <w:lang w:eastAsia="de-DE" w:bidi="de-DE"/>
        </w:rPr>
        <w:t>[Art. 45 ersetzt durch Art. 1 des K.E. vom 9. Juni 1999 (III) (B.S. vom 8. Juli 1999); § 1 aufgehoben durch Art. 2 des K.E. vom 5. Dezember 2011 (II) (B.S. vom 12. Dezember 2011)]</w:t>
      </w:r>
    </w:p>
    <w:p w14:paraId="630540C4" w14:textId="77777777" w:rsidR="005A5BD5" w:rsidRDefault="005A5BD5" w:rsidP="004C2C7D">
      <w:pPr>
        <w:jc w:val="both"/>
        <w:rPr>
          <w:rFonts w:eastAsia="Calibri"/>
          <w:szCs w:val="22"/>
          <w:lang w:eastAsia="de-DE" w:bidi="de-DE"/>
        </w:rPr>
      </w:pPr>
    </w:p>
    <w:p w14:paraId="5B927C56" w14:textId="77777777" w:rsidR="00972E19" w:rsidRPr="00D4747A" w:rsidRDefault="00972E19" w:rsidP="004C2C7D">
      <w:pPr>
        <w:jc w:val="both"/>
        <w:rPr>
          <w:rFonts w:eastAsia="Calibri"/>
          <w:szCs w:val="22"/>
          <w:lang w:eastAsia="de-DE" w:bidi="de-DE"/>
        </w:rPr>
      </w:pPr>
    </w:p>
    <w:p w14:paraId="1DB8E6FB"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46</w:t>
      </w:r>
      <w:r w:rsidRPr="00D4747A">
        <w:rPr>
          <w:rFonts w:eastAsia="Calibri"/>
          <w:szCs w:val="22"/>
          <w:lang w:eastAsia="de-DE" w:bidi="de-DE"/>
        </w:rPr>
        <w:t> - [§ 1 - Für jeden der Besteuerungszeiträume, für den die Gewährung oder die Aufrechterhaltung der Steuerbefreiung beantragt wird, müssen Steuerpflichtige ihrer Einkommensteuererklärung pro Kategorie der Steuerbefreiung eine namentliche Aufstellung beifügen, deren Muster vom Minister der Finanzen oder von seinem Beauftragten festgelegt wird.</w:t>
      </w:r>
    </w:p>
    <w:p w14:paraId="5981E8B3" w14:textId="77777777" w:rsidR="005A5BD5" w:rsidRPr="00D4747A" w:rsidRDefault="005A5BD5" w:rsidP="004C2C7D">
      <w:pPr>
        <w:jc w:val="both"/>
        <w:rPr>
          <w:rFonts w:eastAsia="Calibri"/>
          <w:szCs w:val="22"/>
          <w:lang w:eastAsia="de-DE" w:bidi="de-DE"/>
        </w:rPr>
      </w:pPr>
    </w:p>
    <w:p w14:paraId="67C8F9BC"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2 - [</w:t>
      </w:r>
      <w:r w:rsidR="009251F9">
        <w:rPr>
          <w:rFonts w:eastAsia="Calibri"/>
          <w:szCs w:val="22"/>
          <w:lang w:eastAsia="de-DE" w:bidi="de-DE"/>
        </w:rPr>
        <w:t>…</w:t>
      </w:r>
      <w:r w:rsidRPr="00D4747A">
        <w:rPr>
          <w:rFonts w:eastAsia="Calibri"/>
          <w:szCs w:val="22"/>
          <w:lang w:eastAsia="de-DE" w:bidi="de-DE"/>
        </w:rPr>
        <w:t>]</w:t>
      </w:r>
    </w:p>
    <w:p w14:paraId="242191EB" w14:textId="77777777" w:rsidR="005A5BD5" w:rsidRPr="00D4747A" w:rsidRDefault="005A5BD5" w:rsidP="004C2C7D">
      <w:pPr>
        <w:jc w:val="both"/>
        <w:rPr>
          <w:rFonts w:eastAsia="Calibri"/>
          <w:szCs w:val="22"/>
          <w:lang w:eastAsia="de-DE" w:bidi="de-DE"/>
        </w:rPr>
      </w:pPr>
    </w:p>
    <w:p w14:paraId="36E79813"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3 - Was die Stelle des Leiters der Abteilung Ausfuhr betrifft, müssen Steuerpflichtige für jeden der Besteuerungszeiträume, für den die Gewährung oder die Aufrechterhaltung der Steuerbefreiung beantragt wird, eine namentliche Bescheinigung [der Agentur für Außenhandel] vorlegen, deren Muster und Modalitäten der Gewährung von dem für Außenhandel zuständigen Minister festgelegt werden.</w:t>
      </w:r>
    </w:p>
    <w:p w14:paraId="6DC1D11D" w14:textId="77777777" w:rsidR="003B5C18" w:rsidRDefault="003B5C18" w:rsidP="004C2C7D">
      <w:pPr>
        <w:jc w:val="both"/>
        <w:rPr>
          <w:rFonts w:eastAsia="Calibri"/>
          <w:szCs w:val="22"/>
          <w:lang w:eastAsia="de-DE" w:bidi="de-DE"/>
        </w:rPr>
      </w:pPr>
    </w:p>
    <w:p w14:paraId="3F8038ED"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xml:space="preserve">§ 4 - Was die Stelle des Leiters der Abteilung Umfassendes Qualitätsmanagement betrifft, müssen Steuerpflichtige für jeden der Besteuerungszeiträume, für den die Gewährung </w:t>
      </w:r>
      <w:r w:rsidRPr="00D4747A">
        <w:rPr>
          <w:rFonts w:eastAsia="Calibri"/>
          <w:szCs w:val="22"/>
          <w:lang w:eastAsia="de-DE" w:bidi="de-DE"/>
        </w:rPr>
        <w:lastRenderedPageBreak/>
        <w:t>oder die Aufrechterhaltung der Steuerbefreiung beantragt wird, eine namentliche Bescheinigung vorlegen entweder von dem für Wirtschaftsangelegenheiten zuständigen Minister [oder seinem Beauftragten] oder, was Unternehmen mit weniger als fünfzig Arbeitnehmern betrifft, von dem für den Mittelstand zuständigen Minister [oder seinem Beauftragten]. [Das Muster und die Modalitäten für die Gewährung der Bescheinigung werden von den vorerwähnten Ministern festgelegt.]</w:t>
      </w:r>
    </w:p>
    <w:p w14:paraId="3514AB73" w14:textId="77777777" w:rsidR="005A5BD5" w:rsidRPr="00D4747A" w:rsidRDefault="005A5BD5" w:rsidP="004C2C7D">
      <w:pPr>
        <w:jc w:val="both"/>
        <w:rPr>
          <w:rFonts w:eastAsia="Calibri"/>
          <w:szCs w:val="22"/>
          <w:lang w:eastAsia="de-DE" w:bidi="de-DE"/>
        </w:rPr>
      </w:pPr>
    </w:p>
    <w:p w14:paraId="75021BF6"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5 - Zur Vermeidung des Verfalls müssen die [in den Paragraphen 3 und 4 vorgesehenen] Bescheinigungen binnen drei Monaten ab dem letzten Tag des Besteuerungszeitraums beim zuständigen Minister oder Dienst beantragt werden. Steuerpflichtige müssen diese Bescheinigungen entweder ihrer Einkommensteuererklärung beilegen oder, falls das nicht möglich ist, innerhalb einer Frist von einem Monat ab dem Tag der Versendung dieser Bescheinigungen vorlegen.]</w:t>
      </w:r>
    </w:p>
    <w:p w14:paraId="6CF7AD9E" w14:textId="77777777" w:rsidR="005A5BD5" w:rsidRPr="00D4747A" w:rsidRDefault="005A5BD5" w:rsidP="004C2C7D">
      <w:pPr>
        <w:jc w:val="both"/>
        <w:rPr>
          <w:rFonts w:eastAsia="Calibri"/>
          <w:szCs w:val="22"/>
          <w:lang w:eastAsia="de-DE" w:bidi="de-DE"/>
        </w:rPr>
      </w:pPr>
    </w:p>
    <w:p w14:paraId="74CC6CF9" w14:textId="77777777" w:rsidR="005A5BD5" w:rsidRPr="00D4747A" w:rsidRDefault="005A5BD5" w:rsidP="004C2C7D">
      <w:pPr>
        <w:jc w:val="both"/>
        <w:rPr>
          <w:rFonts w:eastAsia="Calibri"/>
          <w:i/>
          <w:szCs w:val="22"/>
          <w:lang w:eastAsia="de-DE" w:bidi="de-DE"/>
        </w:rPr>
      </w:pPr>
      <w:r w:rsidRPr="00D4747A">
        <w:rPr>
          <w:rFonts w:eastAsia="Calibri"/>
          <w:i/>
          <w:szCs w:val="22"/>
          <w:lang w:eastAsia="de-DE" w:bidi="de-DE"/>
        </w:rPr>
        <w:t>[Art. 46 ersetzt durch Art. 2 des K.E. vom 9. Juni 1999 (III) (B.S. vom 8. Juli 1999); § 2 aufgehoben durch Art. 2 Nr. 1 des K.E. vom 6. April 2010 (B.S. vom 13. April 2010); § 3 abgeändert durch Art. 2 Nr. 2 des K.E. vom 27. Januar 2009 (B.S. vom 3. Februar 2009); § 4 abgeändert durch Art. 1 Nr. 1 und 2 des K.E. vom 25. April 2000 (I) (B.S. vom 6. Mai 2000); § 5 abgeändert durch Art. 2 Nr. 2 des K.E. vom 6. April 2010 (B.S. vom 13. April 2010)]</w:t>
      </w:r>
    </w:p>
    <w:p w14:paraId="617D7FEB" w14:textId="77777777" w:rsidR="005A5BD5" w:rsidRPr="00D4747A" w:rsidRDefault="005A5BD5" w:rsidP="004C2C7D">
      <w:pPr>
        <w:jc w:val="both"/>
        <w:rPr>
          <w:rFonts w:eastAsia="Calibri"/>
          <w:szCs w:val="22"/>
          <w:lang w:eastAsia="de-DE" w:bidi="de-DE"/>
        </w:rPr>
      </w:pPr>
    </w:p>
    <w:p w14:paraId="26A15721" w14:textId="77777777" w:rsidR="005A5BD5" w:rsidRPr="00D4747A" w:rsidRDefault="005A5BD5" w:rsidP="004C2C7D">
      <w:pPr>
        <w:jc w:val="both"/>
        <w:rPr>
          <w:rFonts w:eastAsia="Calibri"/>
          <w:szCs w:val="22"/>
          <w:lang w:eastAsia="de-DE" w:bidi="de-DE"/>
        </w:rPr>
      </w:pPr>
    </w:p>
    <w:p w14:paraId="16985107" w14:textId="6A957C97" w:rsidR="005A5BD5" w:rsidRPr="00D4747A" w:rsidRDefault="005A5BD5" w:rsidP="004C2C7D">
      <w:pPr>
        <w:jc w:val="center"/>
        <w:rPr>
          <w:rFonts w:eastAsia="Calibri"/>
          <w:szCs w:val="22"/>
          <w:lang w:eastAsia="de-DE" w:bidi="de-DE"/>
        </w:rPr>
      </w:pPr>
      <w:r w:rsidRPr="00D4747A">
        <w:rPr>
          <w:rFonts w:eastAsia="Calibri"/>
          <w:szCs w:val="22"/>
          <w:lang w:eastAsia="de-DE" w:bidi="de-DE"/>
        </w:rPr>
        <w:t>[</w:t>
      </w:r>
      <w:r w:rsidRPr="00D4747A">
        <w:rPr>
          <w:rFonts w:eastAsia="Calibri"/>
          <w:i/>
          <w:szCs w:val="22"/>
          <w:lang w:eastAsia="de-DE" w:bidi="de-DE"/>
        </w:rPr>
        <w:t>Abschnitt 15bis</w:t>
      </w:r>
      <w:r w:rsidRPr="00D4747A">
        <w:rPr>
          <w:rFonts w:eastAsia="Calibri"/>
          <w:szCs w:val="22"/>
          <w:lang w:eastAsia="de-DE" w:bidi="de-DE"/>
        </w:rPr>
        <w:t> - Betriebspraktikum</w:t>
      </w:r>
    </w:p>
    <w:p w14:paraId="6C692A52" w14:textId="77777777" w:rsidR="005A5BD5" w:rsidRPr="00D4747A" w:rsidRDefault="005A5BD5" w:rsidP="004C2C7D">
      <w:pPr>
        <w:jc w:val="center"/>
        <w:rPr>
          <w:rFonts w:eastAsia="Calibri"/>
          <w:szCs w:val="22"/>
          <w:lang w:eastAsia="de-DE" w:bidi="de-DE"/>
        </w:rPr>
      </w:pPr>
    </w:p>
    <w:p w14:paraId="19896F26" w14:textId="77777777" w:rsidR="005A5BD5" w:rsidRPr="00D4747A" w:rsidRDefault="005A5BD5" w:rsidP="004C2C7D">
      <w:pPr>
        <w:jc w:val="center"/>
        <w:rPr>
          <w:rFonts w:eastAsia="Calibri"/>
          <w:szCs w:val="22"/>
          <w:lang w:eastAsia="de-DE" w:bidi="de-DE"/>
        </w:rPr>
      </w:pPr>
      <w:r w:rsidRPr="00D4747A">
        <w:rPr>
          <w:rFonts w:eastAsia="Calibri"/>
          <w:szCs w:val="22"/>
          <w:lang w:eastAsia="de-DE" w:bidi="de-DE"/>
        </w:rPr>
        <w:t>(Einkommensteuergesetzbuch 1992, Artikel 67</w:t>
      </w:r>
      <w:r w:rsidRPr="00D4747A">
        <w:rPr>
          <w:rFonts w:eastAsia="Calibri"/>
          <w:i/>
          <w:szCs w:val="22"/>
          <w:lang w:eastAsia="de-DE" w:bidi="de-DE"/>
        </w:rPr>
        <w:t>bis</w:t>
      </w:r>
      <w:r w:rsidRPr="00D4747A">
        <w:rPr>
          <w:rFonts w:eastAsia="Calibri"/>
          <w:szCs w:val="22"/>
          <w:lang w:eastAsia="de-DE" w:bidi="de-DE"/>
        </w:rPr>
        <w:t xml:space="preserve"> Absatz 2)</w:t>
      </w:r>
    </w:p>
    <w:p w14:paraId="4879B2E3" w14:textId="77777777" w:rsidR="005A5BD5" w:rsidRPr="00D4747A" w:rsidRDefault="005A5BD5" w:rsidP="004C2C7D">
      <w:pPr>
        <w:jc w:val="center"/>
        <w:rPr>
          <w:rFonts w:eastAsia="Calibri"/>
          <w:szCs w:val="22"/>
          <w:lang w:eastAsia="de-DE" w:bidi="de-DE"/>
        </w:rPr>
      </w:pPr>
    </w:p>
    <w:p w14:paraId="7FD07D23" w14:textId="77777777" w:rsidR="005A5BD5" w:rsidRPr="00D4747A" w:rsidRDefault="005A5BD5" w:rsidP="004C2C7D">
      <w:pPr>
        <w:jc w:val="both"/>
        <w:rPr>
          <w:rFonts w:eastAsia="Calibri"/>
          <w:i/>
          <w:szCs w:val="22"/>
          <w:lang w:eastAsia="de-DE" w:bidi="de-DE"/>
        </w:rPr>
      </w:pPr>
      <w:r w:rsidRPr="00D4747A">
        <w:rPr>
          <w:rFonts w:eastAsia="Calibri"/>
          <w:i/>
          <w:szCs w:val="22"/>
          <w:lang w:eastAsia="de-DE" w:bidi="de-DE"/>
        </w:rPr>
        <w:t>[Abschnitt 15bis mit Art. 46bis eingefügt durch Art. 2 des K.E. vom 11. Dezember 2006 (B.S. vom 18. Dezember 2006)]</w:t>
      </w:r>
    </w:p>
    <w:p w14:paraId="7C5D9D46" w14:textId="77777777" w:rsidR="005A5BD5" w:rsidRPr="00D4747A" w:rsidRDefault="005A5BD5" w:rsidP="004C2C7D">
      <w:pPr>
        <w:jc w:val="both"/>
        <w:rPr>
          <w:rFonts w:eastAsia="Calibri"/>
          <w:szCs w:val="22"/>
          <w:lang w:eastAsia="de-DE" w:bidi="de-DE"/>
        </w:rPr>
      </w:pPr>
    </w:p>
    <w:p w14:paraId="2E67867C" w14:textId="77777777" w:rsidR="005A5BD5" w:rsidRPr="00D4747A" w:rsidRDefault="005A5BD5" w:rsidP="004C2C7D">
      <w:pPr>
        <w:jc w:val="both"/>
        <w:rPr>
          <w:rFonts w:eastAsia="Calibri"/>
          <w:szCs w:val="22"/>
          <w:lang w:eastAsia="de-DE" w:bidi="de-DE"/>
        </w:rPr>
      </w:pPr>
    </w:p>
    <w:p w14:paraId="549F06DB"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46</w:t>
      </w:r>
      <w:r w:rsidRPr="00D4747A">
        <w:rPr>
          <w:rFonts w:eastAsia="Calibri"/>
          <w:b/>
          <w:i/>
          <w:szCs w:val="22"/>
          <w:lang w:eastAsia="de-DE" w:bidi="de-DE"/>
        </w:rPr>
        <w:t>bis</w:t>
      </w:r>
      <w:r w:rsidRPr="00D4747A">
        <w:rPr>
          <w:rFonts w:eastAsia="Calibri"/>
          <w:szCs w:val="22"/>
          <w:lang w:eastAsia="de-DE" w:bidi="de-DE"/>
        </w:rPr>
        <w:t> - Um die in Artikel 67</w:t>
      </w:r>
      <w:r w:rsidRPr="00D4747A">
        <w:rPr>
          <w:rFonts w:eastAsia="Calibri"/>
          <w:i/>
          <w:szCs w:val="22"/>
          <w:lang w:eastAsia="de-DE" w:bidi="de-DE"/>
        </w:rPr>
        <w:t>bis</w:t>
      </w:r>
      <w:r w:rsidRPr="00D4747A">
        <w:rPr>
          <w:rFonts w:eastAsia="Calibri"/>
          <w:szCs w:val="22"/>
          <w:lang w:eastAsia="de-DE" w:bidi="de-DE"/>
        </w:rPr>
        <w:t xml:space="preserve"> des Einkommensteuergesetzbuches 1992 vorgesehene Steuerbefreiung zu erhalten, müssen Steuerpflichtige folgende Unterlagen zur Verfügung der Verwaltung bereithalten:</w:t>
      </w:r>
    </w:p>
    <w:p w14:paraId="73D6E828" w14:textId="77777777" w:rsidR="005A5BD5" w:rsidRPr="00D4747A" w:rsidRDefault="005A5BD5" w:rsidP="004C2C7D">
      <w:pPr>
        <w:jc w:val="both"/>
        <w:rPr>
          <w:rFonts w:eastAsia="Calibri"/>
          <w:szCs w:val="22"/>
          <w:lang w:eastAsia="de-DE" w:bidi="de-DE"/>
        </w:rPr>
      </w:pPr>
    </w:p>
    <w:p w14:paraId="16953641"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1. den Nachweis, dass sie während des Besteuerungszeitraums für jeden eingestellten Praktikanten einen Praktikumsbonus erhalten haben,</w:t>
      </w:r>
    </w:p>
    <w:p w14:paraId="754F087E" w14:textId="77777777" w:rsidR="005A5BD5" w:rsidRPr="00D4747A" w:rsidRDefault="005A5BD5" w:rsidP="004C2C7D">
      <w:pPr>
        <w:jc w:val="both"/>
        <w:rPr>
          <w:rFonts w:eastAsia="Calibri"/>
          <w:szCs w:val="22"/>
          <w:lang w:eastAsia="de-DE" w:bidi="de-DE"/>
        </w:rPr>
      </w:pPr>
    </w:p>
    <w:p w14:paraId="7405C268"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2. eine namentliche Liste der eingestellten Praktikanten unter Angabe für jeden Praktikanten:</w:t>
      </w:r>
    </w:p>
    <w:p w14:paraId="1BFFFAB5" w14:textId="77777777" w:rsidR="005A5BD5" w:rsidRPr="00D4747A" w:rsidRDefault="005A5BD5" w:rsidP="004C2C7D">
      <w:pPr>
        <w:jc w:val="both"/>
        <w:rPr>
          <w:rFonts w:eastAsia="Calibri"/>
          <w:szCs w:val="22"/>
          <w:lang w:eastAsia="de-DE" w:bidi="de-DE"/>
        </w:rPr>
      </w:pPr>
    </w:p>
    <w:p w14:paraId="4641AD06"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der vollständigen Identität und gegebenenfalls der nationalen Nummer,</w:t>
      </w:r>
    </w:p>
    <w:p w14:paraId="60978CA7" w14:textId="77777777" w:rsidR="005A5BD5" w:rsidRPr="00D4747A" w:rsidRDefault="005A5BD5" w:rsidP="004C2C7D">
      <w:pPr>
        <w:jc w:val="both"/>
        <w:rPr>
          <w:rFonts w:eastAsia="Calibri"/>
          <w:szCs w:val="22"/>
          <w:lang w:eastAsia="de-DE" w:bidi="de-DE"/>
        </w:rPr>
      </w:pPr>
    </w:p>
    <w:p w14:paraId="30FBDBD4"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der den Praktikanten gezahlten oder zuerkannten steuerpflichtigen Brutto</w:t>
      </w:r>
      <w:r w:rsidRPr="00D4747A">
        <w:rPr>
          <w:rFonts w:eastAsia="Calibri"/>
          <w:szCs w:val="22"/>
          <w:lang w:eastAsia="de-DE" w:bidi="de-DE"/>
        </w:rPr>
        <w:softHyphen/>
        <w:t>entlohnungen, gesetzliche Soziallasten, Arbeitgeberbeiträge und -prämien und andere aufgrund von vertraglichen Verpflichtungen geschuldete Sozialbeiträge einbegriffen.]</w:t>
      </w:r>
    </w:p>
    <w:p w14:paraId="492D22D7" w14:textId="77777777" w:rsidR="003B5C18" w:rsidRDefault="003B5C18" w:rsidP="004C2C7D">
      <w:pPr>
        <w:jc w:val="center"/>
        <w:rPr>
          <w:rFonts w:eastAsia="Calibri"/>
          <w:szCs w:val="22"/>
          <w:lang w:eastAsia="de-DE" w:bidi="de-DE"/>
        </w:rPr>
      </w:pPr>
    </w:p>
    <w:p w14:paraId="47A27B92" w14:textId="4C72BC6E" w:rsidR="008E123B" w:rsidRDefault="008E123B">
      <w:pPr>
        <w:rPr>
          <w:rFonts w:eastAsia="Calibri"/>
          <w:szCs w:val="22"/>
          <w:lang w:eastAsia="de-DE" w:bidi="de-DE"/>
        </w:rPr>
      </w:pPr>
    </w:p>
    <w:p w14:paraId="571F730F" w14:textId="77777777" w:rsidR="00811447" w:rsidRDefault="00811447">
      <w:pPr>
        <w:rPr>
          <w:rFonts w:eastAsia="Calibri"/>
          <w:szCs w:val="22"/>
          <w:lang w:eastAsia="de-DE" w:bidi="de-DE"/>
        </w:rPr>
      </w:pPr>
      <w:r>
        <w:rPr>
          <w:rFonts w:eastAsia="Calibri"/>
          <w:szCs w:val="22"/>
          <w:lang w:eastAsia="de-DE" w:bidi="de-DE"/>
        </w:rPr>
        <w:br w:type="page"/>
      </w:r>
    </w:p>
    <w:p w14:paraId="3A912B12" w14:textId="1AC372FF" w:rsidR="005A5BD5" w:rsidRPr="00D4747A" w:rsidRDefault="005A5BD5" w:rsidP="004C2C7D">
      <w:pPr>
        <w:jc w:val="center"/>
        <w:rPr>
          <w:rFonts w:eastAsia="Calibri"/>
          <w:szCs w:val="22"/>
          <w:lang w:eastAsia="de-DE" w:bidi="de-DE"/>
        </w:rPr>
      </w:pPr>
      <w:r w:rsidRPr="00D4747A">
        <w:rPr>
          <w:rFonts w:eastAsia="Calibri"/>
          <w:szCs w:val="22"/>
          <w:lang w:eastAsia="de-DE" w:bidi="de-DE"/>
        </w:rPr>
        <w:lastRenderedPageBreak/>
        <w:t>[</w:t>
      </w:r>
      <w:r w:rsidRPr="00D4747A">
        <w:rPr>
          <w:rFonts w:eastAsia="Calibri"/>
          <w:i/>
          <w:szCs w:val="22"/>
          <w:lang w:eastAsia="de-DE" w:bidi="de-DE"/>
        </w:rPr>
        <w:t>Abschnitt 15ter</w:t>
      </w:r>
      <w:r w:rsidRPr="00D4747A">
        <w:rPr>
          <w:rFonts w:eastAsia="Calibri"/>
          <w:szCs w:val="22"/>
          <w:lang w:eastAsia="de-DE" w:bidi="de-DE"/>
        </w:rPr>
        <w:t> - Sozialverbindlichkeiten aufgrund des Einheitsstatuts</w:t>
      </w:r>
    </w:p>
    <w:p w14:paraId="6E2E303F" w14:textId="77777777" w:rsidR="005A5BD5" w:rsidRPr="00D4747A" w:rsidRDefault="005A5BD5" w:rsidP="004C2C7D">
      <w:pPr>
        <w:jc w:val="center"/>
        <w:rPr>
          <w:rFonts w:eastAsia="Calibri"/>
          <w:szCs w:val="22"/>
          <w:lang w:eastAsia="de-DE" w:bidi="de-DE"/>
        </w:rPr>
      </w:pPr>
    </w:p>
    <w:p w14:paraId="7CFDD180" w14:textId="77777777" w:rsidR="005A5BD5" w:rsidRPr="00D4747A" w:rsidRDefault="005A5BD5" w:rsidP="004C2C7D">
      <w:pPr>
        <w:jc w:val="center"/>
        <w:rPr>
          <w:rFonts w:eastAsia="Calibri"/>
          <w:szCs w:val="22"/>
          <w:lang w:eastAsia="de-DE" w:bidi="de-DE"/>
        </w:rPr>
      </w:pPr>
      <w:r w:rsidRPr="00D4747A">
        <w:rPr>
          <w:rFonts w:eastAsia="Calibri"/>
          <w:szCs w:val="22"/>
          <w:lang w:eastAsia="de-DE" w:bidi="de-DE"/>
        </w:rPr>
        <w:t>(Einkommensteuergesetzbuch 1992, Artikel 67</w:t>
      </w:r>
      <w:r w:rsidRPr="00D4747A">
        <w:rPr>
          <w:rFonts w:eastAsia="Calibri"/>
          <w:i/>
          <w:szCs w:val="22"/>
          <w:lang w:eastAsia="de-DE" w:bidi="de-DE"/>
        </w:rPr>
        <w:t>quater</w:t>
      </w:r>
      <w:r w:rsidRPr="00D4747A">
        <w:rPr>
          <w:rFonts w:eastAsia="Calibri"/>
          <w:szCs w:val="22"/>
          <w:lang w:eastAsia="de-DE" w:bidi="de-DE"/>
        </w:rPr>
        <w:t>)</w:t>
      </w:r>
    </w:p>
    <w:p w14:paraId="305B1C01" w14:textId="77777777" w:rsidR="005A5BD5" w:rsidRPr="00D4747A" w:rsidRDefault="005A5BD5" w:rsidP="004C2C7D">
      <w:pPr>
        <w:jc w:val="center"/>
        <w:rPr>
          <w:rFonts w:eastAsia="Calibri"/>
          <w:szCs w:val="22"/>
          <w:lang w:eastAsia="de-DE" w:bidi="de-DE"/>
        </w:rPr>
      </w:pPr>
    </w:p>
    <w:p w14:paraId="324E199F" w14:textId="77777777" w:rsidR="005A5BD5" w:rsidRPr="00D4747A" w:rsidRDefault="005A5BD5" w:rsidP="004C2C7D">
      <w:pPr>
        <w:jc w:val="both"/>
        <w:rPr>
          <w:rFonts w:eastAsia="Calibri"/>
          <w:i/>
          <w:szCs w:val="22"/>
          <w:lang w:eastAsia="de-DE" w:bidi="de-DE"/>
        </w:rPr>
      </w:pPr>
      <w:r w:rsidRPr="00D4747A">
        <w:rPr>
          <w:rFonts w:eastAsia="Calibri"/>
          <w:i/>
          <w:szCs w:val="22"/>
          <w:lang w:eastAsia="de-DE" w:bidi="de-DE"/>
        </w:rPr>
        <w:t>[Abschnitt 15ter mit Art. 46ter eingefügt durch Art. 1 des K.E. vom 25. April 2014 (I) (B.S. vom 14. Mai 2014)]</w:t>
      </w:r>
    </w:p>
    <w:p w14:paraId="7939B8A2" w14:textId="77777777" w:rsidR="005A5BD5" w:rsidRPr="00D4747A" w:rsidRDefault="005A5BD5" w:rsidP="004C2C7D">
      <w:pPr>
        <w:jc w:val="both"/>
        <w:rPr>
          <w:rFonts w:eastAsia="Calibri"/>
          <w:szCs w:val="22"/>
          <w:lang w:eastAsia="de-DE" w:bidi="de-DE"/>
        </w:rPr>
      </w:pPr>
    </w:p>
    <w:p w14:paraId="366D10D2" w14:textId="77777777" w:rsidR="005A5BD5" w:rsidRPr="00D4747A" w:rsidRDefault="005A5BD5" w:rsidP="004C2C7D">
      <w:pPr>
        <w:jc w:val="both"/>
        <w:rPr>
          <w:rFonts w:eastAsia="Calibri"/>
          <w:szCs w:val="22"/>
          <w:lang w:eastAsia="de-DE" w:bidi="de-DE"/>
        </w:rPr>
      </w:pPr>
    </w:p>
    <w:p w14:paraId="08E11B81" w14:textId="77777777" w:rsidR="002E4002" w:rsidRDefault="002E4002" w:rsidP="002E4002">
      <w:pPr>
        <w:jc w:val="both"/>
        <w:rPr>
          <w:rFonts w:eastAsia="Calibri"/>
          <w:szCs w:val="22"/>
          <w:lang w:eastAsia="de-DE" w:bidi="de-DE"/>
        </w:rPr>
      </w:pPr>
      <w:r>
        <w:rPr>
          <w:rFonts w:eastAsia="Calibri"/>
          <w:szCs w:val="22"/>
          <w:lang w:eastAsia="de-DE" w:bidi="de-DE"/>
        </w:rPr>
        <w:tab/>
      </w:r>
      <w:r>
        <w:rPr>
          <w:rFonts w:eastAsia="Calibri"/>
          <w:b/>
          <w:szCs w:val="22"/>
          <w:lang w:eastAsia="de-DE" w:bidi="de-DE"/>
        </w:rPr>
        <w:t>Art. 46</w:t>
      </w:r>
      <w:r>
        <w:rPr>
          <w:rFonts w:eastAsia="Calibri"/>
          <w:b/>
          <w:i/>
          <w:szCs w:val="22"/>
          <w:lang w:eastAsia="de-DE" w:bidi="de-DE"/>
        </w:rPr>
        <w:t>ter</w:t>
      </w:r>
      <w:r>
        <w:rPr>
          <w:rFonts w:eastAsia="Calibri"/>
          <w:szCs w:val="22"/>
          <w:lang w:eastAsia="de-DE" w:bidi="de-DE"/>
        </w:rPr>
        <w:t> - Der Höchstbetrag der in Artikel 67</w:t>
      </w:r>
      <w:r>
        <w:rPr>
          <w:rFonts w:eastAsia="Calibri"/>
          <w:i/>
          <w:szCs w:val="22"/>
          <w:lang w:eastAsia="de-DE" w:bidi="de-DE"/>
        </w:rPr>
        <w:t>quater</w:t>
      </w:r>
      <w:r>
        <w:rPr>
          <w:rFonts w:eastAsia="Calibri"/>
          <w:szCs w:val="22"/>
          <w:lang w:eastAsia="de-DE" w:bidi="de-DE"/>
        </w:rPr>
        <w:t xml:space="preserve"> Absatz 2 des Einkommen</w:t>
      </w:r>
      <w:r>
        <w:rPr>
          <w:rFonts w:eastAsia="Calibri"/>
          <w:szCs w:val="22"/>
          <w:lang w:eastAsia="de-DE" w:bidi="de-DE"/>
        </w:rPr>
        <w:softHyphen/>
        <w:t>steuergesetzbuches 1992 erwähnten Entlohnungen wird festgelegt auf:</w:t>
      </w:r>
    </w:p>
    <w:p w14:paraId="3EE8C8F4" w14:textId="77777777" w:rsidR="002E4002" w:rsidRDefault="002E4002" w:rsidP="002E4002">
      <w:pPr>
        <w:jc w:val="both"/>
        <w:rPr>
          <w:rFonts w:eastAsia="Calibri"/>
          <w:szCs w:val="22"/>
          <w:lang w:eastAsia="de-DE" w:bidi="de-DE"/>
        </w:rPr>
      </w:pPr>
    </w:p>
    <w:p w14:paraId="03720F1D" w14:textId="77777777" w:rsidR="002E4002" w:rsidRDefault="002E4002" w:rsidP="002E4002">
      <w:pPr>
        <w:jc w:val="both"/>
        <w:rPr>
          <w:rFonts w:eastAsia="Calibri"/>
          <w:szCs w:val="22"/>
          <w:lang w:eastAsia="de-DE" w:bidi="de-DE"/>
        </w:rPr>
      </w:pPr>
      <w:r>
        <w:rPr>
          <w:rFonts w:eastAsia="Calibri"/>
          <w:szCs w:val="22"/>
          <w:lang w:eastAsia="de-DE" w:bidi="de-DE"/>
        </w:rPr>
        <w:tab/>
        <w:t>- 100 Prozent für den Teilbetrag von 0,01 EUR bis 1.500,00 EUR,</w:t>
      </w:r>
    </w:p>
    <w:p w14:paraId="49BA702D" w14:textId="77777777" w:rsidR="002E4002" w:rsidRDefault="002E4002" w:rsidP="002E4002">
      <w:pPr>
        <w:jc w:val="both"/>
        <w:rPr>
          <w:rFonts w:eastAsia="Calibri"/>
          <w:szCs w:val="22"/>
          <w:lang w:eastAsia="de-DE" w:bidi="de-DE"/>
        </w:rPr>
      </w:pPr>
    </w:p>
    <w:p w14:paraId="106E415F" w14:textId="77777777" w:rsidR="002E4002" w:rsidRDefault="002E4002" w:rsidP="002E4002">
      <w:pPr>
        <w:jc w:val="both"/>
        <w:rPr>
          <w:rFonts w:eastAsia="Calibri"/>
          <w:szCs w:val="22"/>
          <w:lang w:eastAsia="de-DE" w:bidi="de-DE"/>
        </w:rPr>
      </w:pPr>
      <w:r>
        <w:rPr>
          <w:rFonts w:eastAsia="Calibri"/>
          <w:szCs w:val="22"/>
          <w:lang w:eastAsia="de-DE" w:bidi="de-DE"/>
        </w:rPr>
        <w:tab/>
        <w:t>- 30 Prozent für den Teilbetrag von 1500,01 EUR bis 2.600,00 EUR.</w:t>
      </w:r>
    </w:p>
    <w:p w14:paraId="70CE96E0" w14:textId="77777777" w:rsidR="002E4002" w:rsidRDefault="002E4002" w:rsidP="002E4002">
      <w:pPr>
        <w:jc w:val="both"/>
        <w:rPr>
          <w:rFonts w:eastAsia="Calibri"/>
          <w:szCs w:val="22"/>
          <w:lang w:eastAsia="de-DE" w:bidi="de-DE"/>
        </w:rPr>
      </w:pPr>
    </w:p>
    <w:p w14:paraId="407F0683" w14:textId="77777777" w:rsidR="002E4002" w:rsidRDefault="002E4002" w:rsidP="002E4002">
      <w:pPr>
        <w:jc w:val="both"/>
        <w:rPr>
          <w:rFonts w:eastAsia="Calibri"/>
          <w:szCs w:val="22"/>
          <w:lang w:eastAsia="de-DE" w:bidi="de-DE"/>
        </w:rPr>
      </w:pPr>
      <w:r>
        <w:rPr>
          <w:rFonts w:eastAsia="Calibri"/>
          <w:szCs w:val="22"/>
          <w:lang w:eastAsia="de-DE" w:bidi="de-DE"/>
        </w:rPr>
        <w:tab/>
        <w:t>Der so festgelegte [</w:t>
      </w:r>
      <w:r>
        <w:t>Höchstbetrag der monatlichen Bruttoentlohnung pro Arbeitnehmer</w:t>
      </w:r>
      <w:r>
        <w:rPr>
          <w:rFonts w:eastAsia="Calibri"/>
          <w:szCs w:val="22"/>
          <w:lang w:eastAsia="de-DE" w:bidi="de-DE"/>
        </w:rPr>
        <w:t>] kann nach Konzertierung mit den Vertretern der repräsentativen Arbeitgeber- und Arbeitnehmerorganisationen ab 2018 angepasst werden unter Berücksichtigung des Gesundheitsindexes, der Entwicklung der Löhne und eventueller Änderungen der steuerrechtlichen Vorschriften und unter der Bedingung, [</w:t>
      </w:r>
      <w:r>
        <w:t>dass die jährliche Kostenobergrenze sich 2019 auf 50.000.000 EUR, 2020 auf 100.000.000 EUR, 2021 auf 150.000.000 EUR, 2022 auf 200.000.000 EUR und ab 2023 auf 250.000.000 EUR belaufen wird</w:t>
      </w:r>
      <w:r>
        <w:rPr>
          <w:rFonts w:eastAsia="Calibri"/>
          <w:szCs w:val="22"/>
          <w:lang w:eastAsia="de-DE" w:bidi="de-DE"/>
        </w:rPr>
        <w:t>].</w:t>
      </w:r>
    </w:p>
    <w:p w14:paraId="6429A23C" w14:textId="77777777" w:rsidR="002E4002" w:rsidRDefault="002E4002" w:rsidP="002E4002">
      <w:pPr>
        <w:jc w:val="both"/>
        <w:rPr>
          <w:rFonts w:eastAsia="Calibri"/>
          <w:szCs w:val="22"/>
          <w:lang w:eastAsia="de-DE" w:bidi="de-DE"/>
        </w:rPr>
      </w:pPr>
    </w:p>
    <w:p w14:paraId="2C41BF0D" w14:textId="77777777" w:rsidR="002E4002" w:rsidRDefault="002E4002" w:rsidP="002E4002">
      <w:pPr>
        <w:jc w:val="both"/>
        <w:rPr>
          <w:rFonts w:eastAsia="Calibri"/>
          <w:szCs w:val="22"/>
          <w:lang w:eastAsia="de-DE" w:bidi="de-DE"/>
        </w:rPr>
      </w:pPr>
      <w:r>
        <w:rPr>
          <w:rFonts w:eastAsia="Calibri"/>
          <w:szCs w:val="22"/>
          <w:lang w:eastAsia="de-DE" w:bidi="de-DE"/>
        </w:rPr>
        <w:tab/>
        <w:t>Um in dem in Absatz 2 erwähnten Kostenrahmen zu bleiben, der ab 2020 indexiert wird, wird der Koeffizient von 30 Prozent gegebenenfalls angepasst. Im Hinblick auf diese Indexierung wird vorerwähnter Kostenrahmen an den Gesundheitsindex des Monats Januar 2019 gebunden. Der indexierte Betrag des Kostenrahmens wird auf das höhere oder niedrigere Vielfache von 1.000.000 EUR auf- beziehungsweise abgerundet, je nachdem, ob die Ziffer der Hunderttausender 5 erreicht oder nicht.</w:t>
      </w:r>
    </w:p>
    <w:p w14:paraId="714B14BC" w14:textId="77777777" w:rsidR="002E4002" w:rsidRDefault="002E4002" w:rsidP="002E4002">
      <w:pPr>
        <w:jc w:val="both"/>
        <w:rPr>
          <w:rFonts w:eastAsia="Calibri"/>
          <w:szCs w:val="22"/>
          <w:lang w:eastAsia="de-DE" w:bidi="de-DE"/>
        </w:rPr>
      </w:pPr>
    </w:p>
    <w:p w14:paraId="68676748" w14:textId="77777777" w:rsidR="002E4002" w:rsidRDefault="002E4002" w:rsidP="002E4002">
      <w:pPr>
        <w:jc w:val="both"/>
        <w:rPr>
          <w:rFonts w:eastAsia="Calibri"/>
          <w:szCs w:val="22"/>
          <w:lang w:eastAsia="de-DE" w:bidi="de-DE"/>
        </w:rPr>
      </w:pPr>
      <w:r>
        <w:rPr>
          <w:rFonts w:eastAsia="Calibri"/>
          <w:szCs w:val="22"/>
          <w:lang w:eastAsia="de-DE" w:bidi="de-DE"/>
        </w:rPr>
        <w:tab/>
        <w:t>Dieser Koeffizient wird jährlich nach Konzertierung mit den Vertretern der Arbeitgeber- und Arbeitnehmerorganisationen von Uns festgelegt.]</w:t>
      </w:r>
    </w:p>
    <w:p w14:paraId="61F22014" w14:textId="77777777" w:rsidR="002E4002" w:rsidRDefault="002E4002" w:rsidP="002E4002">
      <w:pPr>
        <w:jc w:val="both"/>
        <w:rPr>
          <w:rFonts w:eastAsia="Calibri"/>
          <w:szCs w:val="22"/>
          <w:lang w:eastAsia="de-DE" w:bidi="de-DE"/>
        </w:rPr>
      </w:pPr>
    </w:p>
    <w:p w14:paraId="20C580D3" w14:textId="77777777" w:rsidR="002E4002" w:rsidRDefault="002E4002" w:rsidP="002E4002">
      <w:pPr>
        <w:jc w:val="both"/>
        <w:rPr>
          <w:rFonts w:eastAsia="Calibri"/>
          <w:i/>
          <w:szCs w:val="22"/>
          <w:lang w:eastAsia="de-DE" w:bidi="de-DE"/>
        </w:rPr>
      </w:pPr>
      <w:r>
        <w:rPr>
          <w:rFonts w:eastAsia="Calibri"/>
          <w:i/>
          <w:szCs w:val="22"/>
          <w:lang w:eastAsia="de-DE" w:bidi="de-DE"/>
        </w:rPr>
        <w:t>[Art. 46ter Abs. 2 abgeändert durch Art. 1 des K.E. vom 4. April 2019 (B.S. vom 18. April 2019)]</w:t>
      </w:r>
    </w:p>
    <w:p w14:paraId="53EBE529" w14:textId="77777777" w:rsidR="002E4002" w:rsidRDefault="002E4002" w:rsidP="002E4002">
      <w:pPr>
        <w:jc w:val="both"/>
        <w:rPr>
          <w:rFonts w:eastAsia="Calibri"/>
          <w:szCs w:val="22"/>
          <w:lang w:eastAsia="de-DE" w:bidi="de-DE"/>
        </w:rPr>
      </w:pPr>
    </w:p>
    <w:p w14:paraId="1BC32CD0" w14:textId="77777777" w:rsidR="002E4002" w:rsidRDefault="002E4002" w:rsidP="002E4002">
      <w:pPr>
        <w:jc w:val="both"/>
        <w:rPr>
          <w:rFonts w:eastAsia="Calibri"/>
          <w:szCs w:val="22"/>
          <w:lang w:eastAsia="de-DE" w:bidi="de-DE"/>
        </w:rPr>
      </w:pPr>
    </w:p>
    <w:p w14:paraId="7A8FD577" w14:textId="310F5EF1" w:rsidR="005A5BD5" w:rsidRPr="00D4747A" w:rsidRDefault="005A5BD5" w:rsidP="004C2C7D">
      <w:pPr>
        <w:jc w:val="both"/>
        <w:rPr>
          <w:rFonts w:eastAsia="Calibri"/>
          <w:szCs w:val="22"/>
          <w:lang w:eastAsia="de-DE" w:bidi="de-DE"/>
        </w:rPr>
      </w:pPr>
      <w:r w:rsidRPr="00D4747A">
        <w:rPr>
          <w:rFonts w:eastAsia="Calibri"/>
          <w:szCs w:val="22"/>
          <w:lang w:eastAsia="de-DE" w:bidi="de-DE"/>
        </w:rPr>
        <w:tab/>
        <w:t>[</w:t>
      </w:r>
      <w:r w:rsidRPr="00D4747A">
        <w:rPr>
          <w:rFonts w:eastAsia="Calibri"/>
          <w:b/>
          <w:szCs w:val="22"/>
          <w:lang w:eastAsia="de-DE" w:bidi="de-DE"/>
        </w:rPr>
        <w:t>Art. 46</w:t>
      </w:r>
      <w:r w:rsidRPr="00D4747A">
        <w:rPr>
          <w:rFonts w:eastAsia="Calibri"/>
          <w:b/>
          <w:i/>
          <w:szCs w:val="22"/>
          <w:lang w:eastAsia="de-DE" w:bidi="de-DE"/>
        </w:rPr>
        <w:t>quater</w:t>
      </w:r>
      <w:r w:rsidRPr="00D4747A">
        <w:rPr>
          <w:rFonts w:eastAsia="Calibri"/>
          <w:szCs w:val="22"/>
          <w:lang w:eastAsia="de-DE" w:bidi="de-DE"/>
        </w:rPr>
        <w:t xml:space="preserve"> - </w:t>
      </w:r>
      <w:r w:rsidR="00E6184A">
        <w:rPr>
          <w:rFonts w:eastAsia="Calibri"/>
          <w:szCs w:val="22"/>
          <w:lang w:eastAsia="de-DE" w:bidi="de-DE"/>
        </w:rPr>
        <w:t>[</w:t>
      </w:r>
      <w:r w:rsidR="00E6184A" w:rsidRPr="00EF574E">
        <w:t>Um die in Artikel 67</w:t>
      </w:r>
      <w:r w:rsidR="00E6184A" w:rsidRPr="00EF574E">
        <w:rPr>
          <w:i/>
        </w:rPr>
        <w:t>quater</w:t>
      </w:r>
      <w:r w:rsidR="00E6184A" w:rsidRPr="00EF574E">
        <w:t xml:space="preserve"> des Einkommensteuergesetzbuches 1992 vorgesehene Steuerbefreiung zu erhalten, sind Steuerpflichtige zur jährlichen elektronischen Übermittlung einer namentlichen Liste der eingestellten Arbeitnehmer gemäß den vom Minister der Finanzen oder von seinem Beauftragten festgelegten Modalitäten verpflichtet, unter Angabe für jeden Arbeitnehmer:</w:t>
      </w:r>
      <w:r w:rsidR="00E6184A">
        <w:rPr>
          <w:rFonts w:eastAsia="Calibri"/>
          <w:szCs w:val="22"/>
          <w:lang w:eastAsia="de-DE" w:bidi="de-DE"/>
        </w:rPr>
        <w:t>]</w:t>
      </w:r>
    </w:p>
    <w:p w14:paraId="7AFD3EE5" w14:textId="77777777" w:rsidR="005A5BD5" w:rsidRPr="00D4747A" w:rsidRDefault="005A5BD5" w:rsidP="004C2C7D">
      <w:pPr>
        <w:jc w:val="both"/>
        <w:rPr>
          <w:rFonts w:eastAsia="Calibri"/>
          <w:szCs w:val="22"/>
          <w:lang w:eastAsia="de-DE" w:bidi="de-DE"/>
        </w:rPr>
      </w:pPr>
    </w:p>
    <w:p w14:paraId="6062E361" w14:textId="26369A96" w:rsidR="005A5BD5" w:rsidRPr="00D4747A" w:rsidRDefault="005A5BD5" w:rsidP="004C2C7D">
      <w:pPr>
        <w:jc w:val="both"/>
        <w:rPr>
          <w:rFonts w:eastAsia="Calibri"/>
          <w:szCs w:val="22"/>
          <w:lang w:eastAsia="de-DE" w:bidi="de-DE"/>
        </w:rPr>
      </w:pPr>
      <w:r w:rsidRPr="00D4747A">
        <w:rPr>
          <w:rFonts w:eastAsia="Calibri"/>
          <w:szCs w:val="22"/>
          <w:lang w:eastAsia="de-DE" w:bidi="de-DE"/>
        </w:rPr>
        <w:tab/>
        <w:t xml:space="preserve">- der vollständigen Identität </w:t>
      </w:r>
      <w:r w:rsidR="00E6184A">
        <w:rPr>
          <w:rFonts w:eastAsia="Calibri"/>
          <w:szCs w:val="22"/>
          <w:lang w:eastAsia="de-DE" w:bidi="de-DE"/>
        </w:rPr>
        <w:t>[</w:t>
      </w:r>
      <w:r w:rsidR="00E6184A" w:rsidRPr="00EF574E">
        <w:t>und gegebenenfalls der nationalen Nummer oder der Bis-Erkennungsnummer, die von der Zentralen Datenbank der sozialen Sicherheit zugeteilt wird</w:t>
      </w:r>
      <w:r w:rsidR="00E6184A">
        <w:rPr>
          <w:rFonts w:eastAsia="Calibri"/>
          <w:szCs w:val="22"/>
          <w:lang w:eastAsia="de-DE" w:bidi="de-DE"/>
        </w:rPr>
        <w:t>]</w:t>
      </w:r>
      <w:r w:rsidRPr="00D4747A">
        <w:rPr>
          <w:rFonts w:eastAsia="Calibri"/>
          <w:szCs w:val="22"/>
          <w:lang w:eastAsia="de-DE" w:bidi="de-DE"/>
        </w:rPr>
        <w:t>,</w:t>
      </w:r>
    </w:p>
    <w:p w14:paraId="4CB9FABF" w14:textId="77777777" w:rsidR="005A5BD5" w:rsidRPr="00D4747A" w:rsidRDefault="005A5BD5" w:rsidP="004C2C7D">
      <w:pPr>
        <w:jc w:val="both"/>
        <w:rPr>
          <w:rFonts w:eastAsia="Calibri"/>
          <w:szCs w:val="22"/>
          <w:lang w:eastAsia="de-DE" w:bidi="de-DE"/>
        </w:rPr>
      </w:pPr>
    </w:p>
    <w:p w14:paraId="15D54A8E"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des Datums des Dienstantritts,</w:t>
      </w:r>
    </w:p>
    <w:p w14:paraId="3299E2E8" w14:textId="77777777" w:rsidR="005A5BD5" w:rsidRPr="00D4747A" w:rsidRDefault="005A5BD5" w:rsidP="004C2C7D">
      <w:pPr>
        <w:jc w:val="both"/>
        <w:rPr>
          <w:rFonts w:eastAsia="Calibri"/>
          <w:szCs w:val="22"/>
          <w:lang w:eastAsia="de-DE" w:bidi="de-DE"/>
        </w:rPr>
      </w:pPr>
    </w:p>
    <w:p w14:paraId="54A2B665"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des im Einheitsstatut erworbenen Dienstalters,</w:t>
      </w:r>
    </w:p>
    <w:p w14:paraId="013C31EA" w14:textId="77777777" w:rsidR="005A5BD5" w:rsidRDefault="005A5BD5" w:rsidP="004C2C7D">
      <w:pPr>
        <w:jc w:val="both"/>
        <w:rPr>
          <w:rFonts w:eastAsia="Calibri"/>
          <w:szCs w:val="22"/>
          <w:lang w:eastAsia="de-DE" w:bidi="de-DE"/>
        </w:rPr>
      </w:pPr>
    </w:p>
    <w:p w14:paraId="67879868" w14:textId="1717A030" w:rsidR="00E6184A" w:rsidRPr="00EF574E" w:rsidRDefault="00E6184A" w:rsidP="00E6184A">
      <w:pPr>
        <w:jc w:val="both"/>
      </w:pPr>
      <w:r>
        <w:rPr>
          <w:rFonts w:eastAsia="Calibri"/>
          <w:szCs w:val="22"/>
          <w:lang w:eastAsia="de-DE" w:bidi="de-DE"/>
        </w:rPr>
        <w:lastRenderedPageBreak/>
        <w:tab/>
        <w:t>[</w:t>
      </w:r>
      <w:r w:rsidRPr="00EF574E">
        <w:t>- des Betrags der Steuerbefreiung,</w:t>
      </w:r>
    </w:p>
    <w:p w14:paraId="57EEB914" w14:textId="77777777" w:rsidR="00E6184A" w:rsidRPr="00EF574E" w:rsidRDefault="00E6184A" w:rsidP="00E6184A">
      <w:pPr>
        <w:jc w:val="both"/>
      </w:pPr>
    </w:p>
    <w:p w14:paraId="7C3F124C" w14:textId="77777777" w:rsidR="00E6184A" w:rsidRPr="00EF574E" w:rsidRDefault="00E6184A" w:rsidP="00E6184A">
      <w:pPr>
        <w:jc w:val="both"/>
      </w:pPr>
      <w:r w:rsidRPr="00EF574E">
        <w:tab/>
        <w:t>- gegebenenfalls des Enddatums des Arbeitsvertrags,</w:t>
      </w:r>
    </w:p>
    <w:p w14:paraId="1AADEC3E" w14:textId="77777777" w:rsidR="00E6184A" w:rsidRPr="00EF574E" w:rsidRDefault="00E6184A" w:rsidP="00E6184A">
      <w:pPr>
        <w:jc w:val="both"/>
      </w:pPr>
    </w:p>
    <w:p w14:paraId="17D52704" w14:textId="5B441045" w:rsidR="00E6184A" w:rsidRDefault="00E6184A" w:rsidP="00E6184A">
      <w:pPr>
        <w:jc w:val="both"/>
        <w:rPr>
          <w:rFonts w:eastAsia="Calibri"/>
          <w:szCs w:val="22"/>
          <w:lang w:eastAsia="de-DE" w:bidi="de-DE"/>
        </w:rPr>
      </w:pPr>
      <w:r w:rsidRPr="00EF574E">
        <w:tab/>
        <w:t>-</w:t>
      </w:r>
      <w:r>
        <w:t> </w:t>
      </w:r>
      <w:r w:rsidRPr="00EF574E">
        <w:t>gegebenenfalls des Betrags, der gemäß Artikel 67</w:t>
      </w:r>
      <w:r w:rsidRPr="00EF574E">
        <w:rPr>
          <w:i/>
        </w:rPr>
        <w:t>quater</w:t>
      </w:r>
      <w:r w:rsidRPr="00EF574E">
        <w:t xml:space="preserve"> Absatz 8 desselben Gesetzbuches in die Gewinne und Profite des Besteuerungszeitraums aufgenommen wird,</w:t>
      </w:r>
      <w:r>
        <w:rPr>
          <w:rFonts w:eastAsia="Calibri"/>
          <w:szCs w:val="22"/>
          <w:lang w:eastAsia="de-DE" w:bidi="de-DE"/>
        </w:rPr>
        <w:t>]</w:t>
      </w:r>
    </w:p>
    <w:p w14:paraId="2365E53A" w14:textId="77777777" w:rsidR="00E6184A" w:rsidRPr="00D4747A" w:rsidRDefault="00E6184A" w:rsidP="00E6184A">
      <w:pPr>
        <w:jc w:val="both"/>
        <w:rPr>
          <w:rFonts w:eastAsia="Calibri"/>
          <w:szCs w:val="22"/>
          <w:lang w:eastAsia="de-DE" w:bidi="de-DE"/>
        </w:rPr>
      </w:pPr>
    </w:p>
    <w:p w14:paraId="7D537CBA"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der dem Arbeitnehmer gezahlten oder zuerkannten steuerpflichtigen Brutto</w:t>
      </w:r>
      <w:r w:rsidRPr="00D4747A">
        <w:rPr>
          <w:rFonts w:eastAsia="Calibri"/>
          <w:szCs w:val="22"/>
          <w:lang w:eastAsia="de-DE" w:bidi="de-DE"/>
        </w:rPr>
        <w:softHyphen/>
        <w:t>entlohnungen - Sozialversicherungsbeiträge des Arbeitnehmers einbegriffen - die gegebenenfalls auf den in Artikel 46</w:t>
      </w:r>
      <w:r w:rsidRPr="00D4747A">
        <w:rPr>
          <w:rFonts w:eastAsia="Calibri"/>
          <w:i/>
          <w:szCs w:val="22"/>
          <w:lang w:eastAsia="de-DE" w:bidi="de-DE"/>
        </w:rPr>
        <w:t>ter</w:t>
      </w:r>
      <w:r w:rsidRPr="00D4747A">
        <w:rPr>
          <w:rFonts w:eastAsia="Calibri"/>
          <w:szCs w:val="22"/>
          <w:lang w:eastAsia="de-DE" w:bidi="de-DE"/>
        </w:rPr>
        <w:t xml:space="preserve"> festgelegten Betrag zu begrenzen sind.]</w:t>
      </w:r>
    </w:p>
    <w:p w14:paraId="06E4D78C" w14:textId="77777777" w:rsidR="005A5BD5" w:rsidRPr="00D4747A" w:rsidRDefault="005A5BD5" w:rsidP="004C2C7D">
      <w:pPr>
        <w:jc w:val="both"/>
        <w:rPr>
          <w:rFonts w:eastAsia="Calibri"/>
          <w:szCs w:val="22"/>
          <w:lang w:eastAsia="de-DE" w:bidi="de-DE"/>
        </w:rPr>
      </w:pPr>
    </w:p>
    <w:p w14:paraId="142DCB23" w14:textId="51E7AAD6" w:rsidR="005A5BD5" w:rsidRPr="00D4747A" w:rsidRDefault="005A5BD5" w:rsidP="004C2C7D">
      <w:pPr>
        <w:jc w:val="both"/>
        <w:rPr>
          <w:rFonts w:eastAsia="Calibri"/>
          <w:i/>
          <w:szCs w:val="22"/>
          <w:lang w:eastAsia="de-DE" w:bidi="de-DE"/>
        </w:rPr>
      </w:pPr>
      <w:r w:rsidRPr="00D4747A">
        <w:rPr>
          <w:rFonts w:eastAsia="Calibri"/>
          <w:i/>
          <w:szCs w:val="22"/>
          <w:lang w:eastAsia="de-DE" w:bidi="de-DE"/>
        </w:rPr>
        <w:t>[Art. 46quater eingefügt durch Art. 1 des K.E. vom 25. April 2014 (II) (B.S. vom 14. Mai 2014)</w:t>
      </w:r>
      <w:r w:rsidR="00E6184A">
        <w:rPr>
          <w:rFonts w:eastAsia="Calibri"/>
          <w:i/>
          <w:szCs w:val="22"/>
          <w:lang w:eastAsia="de-DE" w:bidi="de-DE"/>
        </w:rPr>
        <w:t>; einziger</w:t>
      </w:r>
      <w:r w:rsidR="00A95C24">
        <w:rPr>
          <w:rFonts w:eastAsia="Calibri"/>
          <w:i/>
          <w:szCs w:val="22"/>
          <w:lang w:eastAsia="de-DE" w:bidi="de-DE"/>
        </w:rPr>
        <w:t xml:space="preserve"> Absatz einleitende Bestimmung </w:t>
      </w:r>
      <w:r w:rsidR="00E6184A">
        <w:rPr>
          <w:rFonts w:eastAsia="Calibri"/>
          <w:i/>
          <w:szCs w:val="22"/>
          <w:lang w:eastAsia="de-DE" w:bidi="de-DE"/>
        </w:rPr>
        <w:t>ersetzt durch Art. 1 erster Gedankenstrich des K.E. vom 13. Juni 2019 (B.S. vom 4. Juli 2019); einziger Absatz erster Gedankenstrich abgeändert durch Art. 1 zweiter Gedankenstrich des K.E. vom 13. Juni 2019 (B.S. vom 4. Juli 2019); einziger Absatz neuer vierter bis sechster Gedankenstrich eingefügt durch Art. 1 dritter Gedankenstrich des K.E. vom 13. Juni 2019 (B.S. vom 4. Juli 2019)</w:t>
      </w:r>
      <w:r w:rsidRPr="00D4747A">
        <w:rPr>
          <w:rFonts w:eastAsia="Calibri"/>
          <w:i/>
          <w:szCs w:val="22"/>
          <w:lang w:eastAsia="de-DE" w:bidi="de-DE"/>
        </w:rPr>
        <w:t>]</w:t>
      </w:r>
    </w:p>
    <w:p w14:paraId="3BD6B6D0" w14:textId="77777777" w:rsidR="003B5C18" w:rsidRDefault="003B5C18" w:rsidP="004C2C7D">
      <w:pPr>
        <w:jc w:val="center"/>
        <w:rPr>
          <w:rFonts w:eastAsia="Calibri"/>
          <w:i/>
          <w:szCs w:val="22"/>
          <w:lang w:eastAsia="de-DE" w:bidi="de-DE"/>
        </w:rPr>
      </w:pPr>
    </w:p>
    <w:p w14:paraId="37300CC6" w14:textId="77777777" w:rsidR="003B5C18" w:rsidRDefault="003B5C18" w:rsidP="004C2C7D">
      <w:pPr>
        <w:jc w:val="center"/>
        <w:rPr>
          <w:rFonts w:eastAsia="Calibri"/>
          <w:i/>
          <w:szCs w:val="22"/>
          <w:lang w:eastAsia="de-DE" w:bidi="de-DE"/>
        </w:rPr>
      </w:pPr>
    </w:p>
    <w:p w14:paraId="4966DF25" w14:textId="68B3992E" w:rsidR="005A5BD5" w:rsidRPr="00D4747A" w:rsidRDefault="005A5BD5" w:rsidP="004C2C7D">
      <w:pPr>
        <w:jc w:val="center"/>
        <w:rPr>
          <w:rFonts w:eastAsia="Calibri"/>
          <w:szCs w:val="22"/>
          <w:lang w:eastAsia="de-DE" w:bidi="de-DE"/>
        </w:rPr>
      </w:pPr>
      <w:r w:rsidRPr="00D4747A">
        <w:rPr>
          <w:rFonts w:eastAsia="Calibri"/>
          <w:i/>
          <w:szCs w:val="22"/>
          <w:lang w:eastAsia="de-DE" w:bidi="de-DE"/>
        </w:rPr>
        <w:t>Abschnitt 16</w:t>
      </w:r>
      <w:r w:rsidRPr="00D4747A">
        <w:rPr>
          <w:rFonts w:eastAsia="Calibri"/>
          <w:szCs w:val="22"/>
          <w:lang w:eastAsia="de-DE" w:bidi="de-DE"/>
        </w:rPr>
        <w:t> - Investitionsabzug</w:t>
      </w:r>
    </w:p>
    <w:p w14:paraId="0A8B78C5" w14:textId="77777777" w:rsidR="005A5BD5" w:rsidRPr="00D4747A" w:rsidRDefault="005A5BD5" w:rsidP="004C2C7D">
      <w:pPr>
        <w:jc w:val="center"/>
        <w:rPr>
          <w:rFonts w:eastAsia="Calibri"/>
          <w:szCs w:val="22"/>
          <w:lang w:eastAsia="de-DE" w:bidi="de-DE"/>
        </w:rPr>
      </w:pPr>
    </w:p>
    <w:p w14:paraId="23A4C761" w14:textId="77777777" w:rsidR="005A5BD5" w:rsidRPr="00D4747A" w:rsidRDefault="005A5BD5" w:rsidP="004C2C7D">
      <w:pPr>
        <w:jc w:val="center"/>
        <w:rPr>
          <w:rFonts w:eastAsia="Calibri"/>
          <w:szCs w:val="22"/>
          <w:lang w:eastAsia="de-DE" w:bidi="de-DE"/>
        </w:rPr>
      </w:pPr>
      <w:r w:rsidRPr="00D4747A">
        <w:rPr>
          <w:rFonts w:eastAsia="Calibri"/>
          <w:szCs w:val="22"/>
          <w:lang w:eastAsia="de-DE" w:bidi="de-DE"/>
        </w:rPr>
        <w:t>[(Einkommensteuergesetzbuch 1992, Artikel 69 § 2 Absatz 3 und Artikel 77)]</w:t>
      </w:r>
    </w:p>
    <w:p w14:paraId="0381955B" w14:textId="77777777" w:rsidR="005A5BD5" w:rsidRPr="00D4747A" w:rsidRDefault="005A5BD5" w:rsidP="004C2C7D">
      <w:pPr>
        <w:jc w:val="center"/>
        <w:rPr>
          <w:rFonts w:eastAsia="Calibri"/>
          <w:szCs w:val="22"/>
          <w:lang w:eastAsia="de-DE" w:bidi="de-DE"/>
        </w:rPr>
      </w:pPr>
    </w:p>
    <w:p w14:paraId="1D4B719E" w14:textId="77777777" w:rsidR="005A5BD5" w:rsidRPr="00D4747A" w:rsidRDefault="005A5BD5" w:rsidP="004C2C7D">
      <w:pPr>
        <w:jc w:val="both"/>
        <w:rPr>
          <w:rFonts w:eastAsia="Calibri"/>
          <w:i/>
          <w:szCs w:val="22"/>
          <w:lang w:eastAsia="de-DE" w:bidi="de-DE"/>
        </w:rPr>
      </w:pPr>
      <w:r w:rsidRPr="00D4747A">
        <w:rPr>
          <w:rFonts w:eastAsia="Calibri"/>
          <w:i/>
          <w:szCs w:val="22"/>
          <w:lang w:eastAsia="de-DE" w:bidi="de-DE"/>
        </w:rPr>
        <w:t>[Überschrift von Abschnitt 16 abgeändert durch Art. 1 des K.E. vom 21. September 2000 (B.S. vom 17. Oktober 2000)]</w:t>
      </w:r>
    </w:p>
    <w:p w14:paraId="72527EA8" w14:textId="77777777" w:rsidR="005A5BD5" w:rsidRPr="00D4747A" w:rsidRDefault="005A5BD5" w:rsidP="004C2C7D">
      <w:pPr>
        <w:jc w:val="both"/>
        <w:rPr>
          <w:rFonts w:eastAsia="Calibri"/>
          <w:i/>
          <w:szCs w:val="22"/>
          <w:lang w:eastAsia="de-DE" w:bidi="de-DE"/>
        </w:rPr>
      </w:pPr>
    </w:p>
    <w:p w14:paraId="61D1DF13" w14:textId="77777777" w:rsidR="005A5BD5" w:rsidRPr="00D4747A" w:rsidRDefault="005A5BD5" w:rsidP="004C2C7D">
      <w:pPr>
        <w:jc w:val="both"/>
        <w:rPr>
          <w:rFonts w:eastAsia="Calibri"/>
          <w:szCs w:val="22"/>
          <w:lang w:eastAsia="de-DE" w:bidi="de-DE"/>
        </w:rPr>
      </w:pPr>
    </w:p>
    <w:p w14:paraId="4B67D968" w14:textId="7D81EA3E"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47</w:t>
      </w:r>
      <w:r w:rsidRPr="00D4747A">
        <w:rPr>
          <w:rFonts w:eastAsia="Calibri"/>
          <w:szCs w:val="22"/>
          <w:lang w:eastAsia="de-DE" w:bidi="de-DE"/>
        </w:rPr>
        <w:t> - [Um den in den Artikeln </w:t>
      </w:r>
      <w:r w:rsidR="00887AA4">
        <w:rPr>
          <w:rFonts w:eastAsia="Calibri"/>
          <w:szCs w:val="22"/>
          <w:lang w:eastAsia="de-DE" w:bidi="de-DE"/>
        </w:rPr>
        <w:t>[</w:t>
      </w:r>
      <w:r w:rsidRPr="00D4747A">
        <w:rPr>
          <w:rFonts w:eastAsia="Calibri"/>
          <w:szCs w:val="22"/>
          <w:lang w:eastAsia="de-DE" w:bidi="de-DE"/>
        </w:rPr>
        <w:t>68 bis 7</w:t>
      </w:r>
      <w:r w:rsidR="00887AA4">
        <w:rPr>
          <w:rFonts w:eastAsia="Calibri"/>
          <w:szCs w:val="22"/>
          <w:lang w:eastAsia="de-DE" w:bidi="de-DE"/>
        </w:rPr>
        <w:t>7 und 201]</w:t>
      </w:r>
      <w:r w:rsidRPr="00D4747A">
        <w:rPr>
          <w:rFonts w:eastAsia="Calibri"/>
          <w:szCs w:val="22"/>
          <w:lang w:eastAsia="de-DE" w:bidi="de-DE"/>
        </w:rPr>
        <w:t xml:space="preserve"> des Einkommensteuer</w:t>
      </w:r>
      <w:r w:rsidR="00887AA4">
        <w:rPr>
          <w:rFonts w:eastAsia="Calibri"/>
          <w:szCs w:val="22"/>
          <w:lang w:eastAsia="de-DE" w:bidi="de-DE"/>
        </w:rPr>
        <w:softHyphen/>
      </w:r>
      <w:r w:rsidRPr="00D4747A">
        <w:rPr>
          <w:rFonts w:eastAsia="Calibri"/>
          <w:szCs w:val="22"/>
          <w:lang w:eastAsia="de-DE" w:bidi="de-DE"/>
        </w:rPr>
        <w:t>gesetz</w:t>
      </w:r>
      <w:r w:rsidR="00887AA4">
        <w:rPr>
          <w:rFonts w:eastAsia="Calibri"/>
          <w:szCs w:val="22"/>
          <w:lang w:eastAsia="de-DE" w:bidi="de-DE"/>
        </w:rPr>
        <w:softHyphen/>
      </w:r>
      <w:r w:rsidRPr="00D4747A">
        <w:rPr>
          <w:rFonts w:eastAsia="Calibri"/>
          <w:szCs w:val="22"/>
          <w:lang w:eastAsia="de-DE" w:bidi="de-DE"/>
        </w:rPr>
        <w:t>buches 1992 erwähnten Investitionsabzug zu erhalten, müssen Steuerpflichtige:</w:t>
      </w:r>
    </w:p>
    <w:p w14:paraId="6A0C4E22" w14:textId="77777777" w:rsidR="005A5BD5" w:rsidRPr="00D4747A" w:rsidRDefault="005A5BD5" w:rsidP="004C2C7D">
      <w:pPr>
        <w:jc w:val="both"/>
        <w:rPr>
          <w:rFonts w:eastAsia="Calibri"/>
          <w:szCs w:val="22"/>
          <w:lang w:eastAsia="de-DE" w:bidi="de-DE"/>
        </w:rPr>
      </w:pPr>
    </w:p>
    <w:p w14:paraId="2F3777BB" w14:textId="77777777" w:rsidR="00887AA4" w:rsidRPr="007A314E" w:rsidRDefault="005A5BD5" w:rsidP="00887AA4">
      <w:pPr>
        <w:jc w:val="both"/>
      </w:pPr>
      <w:r w:rsidRPr="00D4747A">
        <w:rPr>
          <w:rFonts w:eastAsia="Calibri"/>
          <w:szCs w:val="22"/>
          <w:lang w:eastAsia="de-DE" w:bidi="de-DE"/>
        </w:rPr>
        <w:tab/>
        <w:t>1. </w:t>
      </w:r>
      <w:r w:rsidR="00887AA4">
        <w:rPr>
          <w:rFonts w:eastAsia="Calibri"/>
          <w:szCs w:val="22"/>
          <w:lang w:eastAsia="de-DE" w:bidi="de-DE"/>
        </w:rPr>
        <w:t>[</w:t>
      </w:r>
      <w:r w:rsidR="00887AA4" w:rsidRPr="007A314E">
        <w:t>ihrer Einkommensteuererklärung des Besteuerungszeitraums, in dem die Anlagen erworben oder gebildet werden, folgende Unterlagen beifügen:</w:t>
      </w:r>
    </w:p>
    <w:p w14:paraId="7DF9068A" w14:textId="77777777" w:rsidR="00887AA4" w:rsidRPr="007A314E" w:rsidRDefault="00887AA4" w:rsidP="00887AA4">
      <w:pPr>
        <w:jc w:val="both"/>
      </w:pPr>
    </w:p>
    <w:p w14:paraId="557CD285" w14:textId="77777777" w:rsidR="00887AA4" w:rsidRPr="007A314E" w:rsidRDefault="00887AA4" w:rsidP="00887AA4">
      <w:pPr>
        <w:jc w:val="both"/>
      </w:pPr>
      <w:r w:rsidRPr="007A314E">
        <w:tab/>
      </w:r>
      <w:r w:rsidRPr="007A314E">
        <w:rPr>
          <w:i/>
        </w:rPr>
        <w:t>a)</w:t>
      </w:r>
      <w:r w:rsidRPr="007A314E">
        <w:t> ein ausgefülltes, datiertes und unterzeichnetes Formular, dessen Muster vom Minister der Finanzen oder von seinem Beauftragten festgelegt wird,</w:t>
      </w:r>
    </w:p>
    <w:p w14:paraId="30A511DB" w14:textId="77777777" w:rsidR="00887AA4" w:rsidRPr="007A314E" w:rsidRDefault="00887AA4" w:rsidP="00887AA4">
      <w:pPr>
        <w:jc w:val="both"/>
      </w:pPr>
    </w:p>
    <w:p w14:paraId="47AADAB8" w14:textId="77777777" w:rsidR="00887AA4" w:rsidRPr="007A314E" w:rsidRDefault="00887AA4" w:rsidP="00887AA4">
      <w:pPr>
        <w:jc w:val="both"/>
      </w:pPr>
      <w:r w:rsidRPr="007A314E">
        <w:tab/>
      </w:r>
      <w:r w:rsidRPr="007A314E">
        <w:rPr>
          <w:i/>
        </w:rPr>
        <w:t>b)</w:t>
      </w:r>
      <w:r w:rsidRPr="007A314E">
        <w:t> bei Anwendung des in Artikel 69/1 desselben Gesetzbuches erwähnten Investitionsabzugs die in Artikel 69/3 desselben Gesetzbuches erwähnte Bescheinigung,</w:t>
      </w:r>
    </w:p>
    <w:p w14:paraId="0095AEB9" w14:textId="77777777" w:rsidR="00887AA4" w:rsidRPr="007A314E" w:rsidRDefault="00887AA4" w:rsidP="00887AA4">
      <w:pPr>
        <w:jc w:val="both"/>
      </w:pPr>
    </w:p>
    <w:p w14:paraId="751E6902" w14:textId="095C9593" w:rsidR="005A5BD5" w:rsidRPr="00D4747A" w:rsidRDefault="00887AA4" w:rsidP="00887AA4">
      <w:pPr>
        <w:jc w:val="both"/>
        <w:rPr>
          <w:rFonts w:eastAsia="Calibri"/>
          <w:szCs w:val="22"/>
          <w:lang w:eastAsia="de-DE" w:bidi="de-DE"/>
        </w:rPr>
      </w:pPr>
      <w:r w:rsidRPr="007A314E">
        <w:tab/>
      </w:r>
      <w:r w:rsidRPr="007A314E">
        <w:rPr>
          <w:i/>
        </w:rPr>
        <w:t>c)</w:t>
      </w:r>
      <w:r w:rsidRPr="007A314E">
        <w:t> bei Anwendung des in Artikel 69/2 Nr. 2 desselben Gesetzbuches erwähnten Investitionsabzugs die in Artikel 48 § 4 Nr. 5 des vorliegenden Erlasses erwähnte Bescheinigung,</w:t>
      </w:r>
      <w:r>
        <w:rPr>
          <w:rFonts w:eastAsia="Calibri"/>
          <w:szCs w:val="22"/>
          <w:lang w:eastAsia="de-DE" w:bidi="de-DE"/>
        </w:rPr>
        <w:t>]</w:t>
      </w:r>
    </w:p>
    <w:p w14:paraId="2AAF58D4" w14:textId="77777777" w:rsidR="005A5BD5" w:rsidRPr="00D4747A" w:rsidRDefault="005A5BD5" w:rsidP="004C2C7D">
      <w:pPr>
        <w:jc w:val="both"/>
        <w:rPr>
          <w:rFonts w:eastAsia="Calibri"/>
          <w:szCs w:val="22"/>
          <w:lang w:eastAsia="de-DE" w:bidi="de-DE"/>
        </w:rPr>
      </w:pPr>
    </w:p>
    <w:p w14:paraId="23EF9475" w14:textId="5041F899" w:rsidR="005A5BD5" w:rsidRPr="00D4747A" w:rsidRDefault="005A5BD5" w:rsidP="004C2C7D">
      <w:pPr>
        <w:jc w:val="both"/>
        <w:rPr>
          <w:rFonts w:eastAsia="Calibri"/>
          <w:szCs w:val="22"/>
          <w:lang w:eastAsia="de-DE" w:bidi="de-DE"/>
        </w:rPr>
      </w:pPr>
      <w:r w:rsidRPr="00D4747A">
        <w:rPr>
          <w:rFonts w:eastAsia="Calibri"/>
          <w:szCs w:val="22"/>
          <w:lang w:eastAsia="de-DE" w:bidi="de-DE"/>
        </w:rPr>
        <w:tab/>
        <w:t>2. pro Kategorie der in den Artikeln </w:t>
      </w:r>
      <w:r w:rsidR="00887AA4">
        <w:rPr>
          <w:rFonts w:eastAsia="Calibri"/>
          <w:szCs w:val="22"/>
          <w:lang w:eastAsia="de-DE" w:bidi="de-DE"/>
        </w:rPr>
        <w:t>[</w:t>
      </w:r>
      <w:r w:rsidRPr="00D4747A">
        <w:rPr>
          <w:rFonts w:eastAsia="Calibri"/>
          <w:szCs w:val="22"/>
          <w:lang w:eastAsia="de-DE" w:bidi="de-DE"/>
        </w:rPr>
        <w:t>69</w:t>
      </w:r>
      <w:r w:rsidR="00887AA4">
        <w:rPr>
          <w:rFonts w:eastAsia="Calibri"/>
          <w:szCs w:val="22"/>
          <w:lang w:eastAsia="de-DE" w:bidi="de-DE"/>
        </w:rPr>
        <w:t xml:space="preserve"> bis 77</w:t>
      </w:r>
      <w:r w:rsidRPr="00D4747A">
        <w:rPr>
          <w:rFonts w:eastAsia="Calibri"/>
          <w:szCs w:val="22"/>
          <w:lang w:eastAsia="de-DE" w:bidi="de-DE"/>
        </w:rPr>
        <w:t xml:space="preserve"> und </w:t>
      </w:r>
      <w:r w:rsidR="00887AA4">
        <w:rPr>
          <w:rFonts w:eastAsia="Calibri"/>
          <w:szCs w:val="22"/>
          <w:lang w:eastAsia="de-DE" w:bidi="de-DE"/>
        </w:rPr>
        <w:t>201]</w:t>
      </w:r>
      <w:r w:rsidRPr="00D4747A">
        <w:rPr>
          <w:rFonts w:eastAsia="Calibri"/>
          <w:szCs w:val="22"/>
          <w:lang w:eastAsia="de-DE" w:bidi="de-DE"/>
        </w:rPr>
        <w:t xml:space="preserve"> desselben Gesetzbuches erwähnten Anlagen eine Aufstellung zur Verfügung der Verwaltung bereithalten unter Angabe für jede dieser Anlagen:</w:t>
      </w:r>
    </w:p>
    <w:p w14:paraId="391F255F" w14:textId="77777777" w:rsidR="005A5BD5" w:rsidRPr="00D4747A" w:rsidRDefault="005A5BD5" w:rsidP="004C2C7D">
      <w:pPr>
        <w:jc w:val="both"/>
        <w:rPr>
          <w:rFonts w:eastAsia="Calibri"/>
          <w:szCs w:val="22"/>
          <w:lang w:eastAsia="de-DE" w:bidi="de-DE"/>
        </w:rPr>
      </w:pPr>
    </w:p>
    <w:p w14:paraId="7AE97152"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a)</w:t>
      </w:r>
      <w:r w:rsidRPr="00D4747A">
        <w:rPr>
          <w:rFonts w:eastAsia="Calibri"/>
          <w:szCs w:val="22"/>
          <w:lang w:eastAsia="de-DE" w:bidi="de-DE"/>
        </w:rPr>
        <w:t> des Erwerbs- oder Bildungsdatums,</w:t>
      </w:r>
    </w:p>
    <w:p w14:paraId="68AD3F63" w14:textId="77777777" w:rsidR="005A5BD5" w:rsidRPr="00D4747A" w:rsidRDefault="005A5BD5" w:rsidP="004C2C7D">
      <w:pPr>
        <w:jc w:val="both"/>
        <w:rPr>
          <w:rFonts w:eastAsia="Calibri"/>
          <w:szCs w:val="22"/>
          <w:lang w:eastAsia="de-DE" w:bidi="de-DE"/>
        </w:rPr>
      </w:pPr>
    </w:p>
    <w:p w14:paraId="5965A8AF"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b)</w:t>
      </w:r>
      <w:r w:rsidRPr="00D4747A">
        <w:rPr>
          <w:rFonts w:eastAsia="Calibri"/>
          <w:szCs w:val="22"/>
          <w:lang w:eastAsia="de-DE" w:bidi="de-DE"/>
        </w:rPr>
        <w:t> der genauen Bezeichnung,</w:t>
      </w:r>
    </w:p>
    <w:p w14:paraId="2C0514BF" w14:textId="77777777" w:rsidR="005A5BD5" w:rsidRPr="00D4747A" w:rsidRDefault="005A5BD5" w:rsidP="004C2C7D">
      <w:pPr>
        <w:jc w:val="both"/>
        <w:rPr>
          <w:rFonts w:eastAsia="Calibri"/>
          <w:szCs w:val="22"/>
          <w:lang w:eastAsia="de-DE" w:bidi="de-DE"/>
        </w:rPr>
      </w:pPr>
    </w:p>
    <w:p w14:paraId="59F9AEB0"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c)</w:t>
      </w:r>
      <w:r w:rsidRPr="00D4747A">
        <w:rPr>
          <w:rFonts w:eastAsia="Calibri"/>
          <w:szCs w:val="22"/>
          <w:lang w:eastAsia="de-DE" w:bidi="de-DE"/>
        </w:rPr>
        <w:t> des Anschaffungs- oder Investitionswertes,</w:t>
      </w:r>
    </w:p>
    <w:p w14:paraId="5AAF84D4" w14:textId="77777777" w:rsidR="005A5BD5" w:rsidRPr="00D4747A" w:rsidRDefault="005A5BD5" w:rsidP="004C2C7D">
      <w:pPr>
        <w:jc w:val="both"/>
        <w:rPr>
          <w:rFonts w:eastAsia="Calibri"/>
          <w:szCs w:val="22"/>
          <w:lang w:eastAsia="de-DE" w:bidi="de-DE"/>
        </w:rPr>
      </w:pPr>
    </w:p>
    <w:p w14:paraId="1A87B2A0"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d)</w:t>
      </w:r>
      <w:r w:rsidRPr="00D4747A">
        <w:rPr>
          <w:rFonts w:eastAsia="Calibri"/>
          <w:szCs w:val="22"/>
          <w:lang w:eastAsia="de-DE" w:bidi="de-DE"/>
        </w:rPr>
        <w:t> der normalen Nutzungsdauer und der Abschreibungsdauer.]</w:t>
      </w:r>
    </w:p>
    <w:p w14:paraId="62DC7665" w14:textId="77777777" w:rsidR="005A5BD5" w:rsidRPr="00D4747A" w:rsidRDefault="005A5BD5" w:rsidP="004C2C7D">
      <w:pPr>
        <w:jc w:val="both"/>
        <w:rPr>
          <w:rFonts w:eastAsia="Calibri"/>
          <w:szCs w:val="22"/>
          <w:lang w:eastAsia="de-DE" w:bidi="de-DE"/>
        </w:rPr>
      </w:pPr>
    </w:p>
    <w:p w14:paraId="3EB6EB77" w14:textId="0A321E28" w:rsidR="005A5BD5" w:rsidRPr="00D4747A" w:rsidRDefault="005A5BD5" w:rsidP="004C2C7D">
      <w:pPr>
        <w:jc w:val="both"/>
        <w:rPr>
          <w:rFonts w:eastAsia="Calibri"/>
          <w:i/>
          <w:szCs w:val="22"/>
          <w:lang w:eastAsia="de-DE" w:bidi="de-DE"/>
        </w:rPr>
      </w:pPr>
      <w:r w:rsidRPr="00D4747A">
        <w:rPr>
          <w:rFonts w:eastAsia="Calibri"/>
          <w:i/>
          <w:szCs w:val="22"/>
          <w:lang w:eastAsia="de-DE" w:bidi="de-DE"/>
        </w:rPr>
        <w:t>[Art. 47 ersetzt durch Art. 3 des K.E. vom 11. Dezember 2006 (B.S. vom 18. Dezember 2006)</w:t>
      </w:r>
      <w:r w:rsidR="00887AA4">
        <w:rPr>
          <w:rFonts w:eastAsia="Calibri"/>
          <w:i/>
          <w:szCs w:val="22"/>
          <w:lang w:eastAsia="de-DE" w:bidi="de-DE"/>
        </w:rPr>
        <w:t>; einziger Absatz einleitende Bestimmung abgeändert durch Art. 1 Nr. 1 des K.E. vom 20. Dezember 2024 (B.S. vom 30. Dezember 2024); einziger Absatz Nr. 1 ersetzt durch Art. 1 Nr. 2 des K.E. vom 20. Dezember 2024 (B.S. vom 30. Dezember 2024); einziger Absatz Nr. 2 einziger Absatz einleitende Bestimmung abgeändert durch Art. 1 Nr. 3 des K.E. vom 20. Dezember 2024 (B.S. vom 30. Dezember 2024)</w:t>
      </w:r>
      <w:r w:rsidRPr="00D4747A">
        <w:rPr>
          <w:rFonts w:eastAsia="Calibri"/>
          <w:i/>
          <w:szCs w:val="22"/>
          <w:lang w:eastAsia="de-DE" w:bidi="de-DE"/>
        </w:rPr>
        <w:t>]</w:t>
      </w:r>
    </w:p>
    <w:p w14:paraId="0A7407DB" w14:textId="77777777" w:rsidR="005A5BD5" w:rsidRPr="00D4747A" w:rsidRDefault="005A5BD5" w:rsidP="004C2C7D">
      <w:pPr>
        <w:jc w:val="both"/>
        <w:rPr>
          <w:rFonts w:eastAsia="Calibri"/>
          <w:szCs w:val="22"/>
          <w:lang w:eastAsia="de-DE" w:bidi="de-DE"/>
        </w:rPr>
      </w:pPr>
    </w:p>
    <w:p w14:paraId="205E04F2" w14:textId="77777777" w:rsidR="005A5BD5" w:rsidRPr="00D4747A" w:rsidRDefault="005A5BD5" w:rsidP="004C2C7D">
      <w:pPr>
        <w:jc w:val="both"/>
        <w:rPr>
          <w:rFonts w:eastAsia="Calibri"/>
          <w:szCs w:val="22"/>
          <w:lang w:eastAsia="de-DE" w:bidi="de-DE"/>
        </w:rPr>
      </w:pPr>
    </w:p>
    <w:p w14:paraId="51F08E15" w14:textId="3AECAE6B" w:rsidR="005A5BD5" w:rsidRPr="00D4747A" w:rsidRDefault="005A5BD5" w:rsidP="004C2C7D">
      <w:pPr>
        <w:jc w:val="both"/>
        <w:rPr>
          <w:rFonts w:eastAsia="Calibri"/>
          <w:szCs w:val="22"/>
          <w:lang w:eastAsia="de-DE" w:bidi="de-DE"/>
        </w:rPr>
      </w:pPr>
      <w:r w:rsidRPr="00D4747A">
        <w:rPr>
          <w:rFonts w:eastAsia="Calibri"/>
          <w:szCs w:val="22"/>
          <w:lang w:eastAsia="de-DE" w:bidi="de-DE"/>
        </w:rPr>
        <w:tab/>
        <w:t>[</w:t>
      </w:r>
      <w:r w:rsidRPr="00D4747A">
        <w:rPr>
          <w:rFonts w:eastAsia="Calibri"/>
          <w:b/>
          <w:szCs w:val="22"/>
          <w:lang w:eastAsia="de-DE" w:bidi="de-DE"/>
        </w:rPr>
        <w:t>Art. 47</w:t>
      </w:r>
      <w:r w:rsidRPr="00D4747A">
        <w:rPr>
          <w:rFonts w:eastAsia="Calibri"/>
          <w:b/>
          <w:i/>
          <w:szCs w:val="22"/>
          <w:lang w:eastAsia="de-DE" w:bidi="de-DE"/>
        </w:rPr>
        <w:t>bis</w:t>
      </w:r>
      <w:r w:rsidRPr="00D4747A">
        <w:rPr>
          <w:rFonts w:eastAsia="Calibri"/>
          <w:szCs w:val="22"/>
          <w:lang w:eastAsia="de-DE" w:bidi="de-DE"/>
        </w:rPr>
        <w:t xml:space="preserve"> - Was die [in </w:t>
      </w:r>
      <w:r w:rsidR="00887AA4">
        <w:rPr>
          <w:rFonts w:eastAsia="Calibri"/>
          <w:szCs w:val="22"/>
          <w:lang w:eastAsia="de-DE" w:bidi="de-DE"/>
        </w:rPr>
        <w:t>[</w:t>
      </w:r>
      <w:r w:rsidRPr="00D4747A">
        <w:rPr>
          <w:rFonts w:eastAsia="Calibri"/>
          <w:szCs w:val="22"/>
          <w:lang w:eastAsia="de-DE" w:bidi="de-DE"/>
        </w:rPr>
        <w:t>Artikel 69</w:t>
      </w:r>
      <w:r w:rsidR="00887AA4">
        <w:rPr>
          <w:rFonts w:eastAsia="Calibri"/>
          <w:szCs w:val="22"/>
          <w:lang w:eastAsia="de-DE" w:bidi="de-DE"/>
        </w:rPr>
        <w:t xml:space="preserve">/2 </w:t>
      </w:r>
      <w:r w:rsidRPr="00D4747A">
        <w:rPr>
          <w:rFonts w:eastAsia="Calibri"/>
          <w:szCs w:val="22"/>
          <w:lang w:eastAsia="de-DE" w:bidi="de-DE"/>
        </w:rPr>
        <w:t>Nr. 2]] des Einkommensteuergesetzbuches 1992 erwähnten Patente betrifft, müssen die betreffenden Steuerpflichtigen [der in Artikel 47 Nr. 2 erwähnten Aufstellung] Folgendes beilegen:</w:t>
      </w:r>
    </w:p>
    <w:p w14:paraId="14879120" w14:textId="77777777" w:rsidR="005A5BD5" w:rsidRPr="00D4747A" w:rsidRDefault="005A5BD5" w:rsidP="004C2C7D">
      <w:pPr>
        <w:jc w:val="both"/>
        <w:rPr>
          <w:rFonts w:eastAsia="Calibri"/>
          <w:szCs w:val="22"/>
          <w:lang w:eastAsia="de-DE" w:bidi="de-DE"/>
        </w:rPr>
      </w:pPr>
    </w:p>
    <w:p w14:paraId="2FD735C5"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1. eine Abschrift des Vertrags, auf dessen Grundlage das Unternehmen das Patent oder dessen Nutzungsrecht erworben hat,</w:t>
      </w:r>
    </w:p>
    <w:p w14:paraId="6E36826E" w14:textId="77777777" w:rsidR="005A5BD5" w:rsidRPr="00D4747A" w:rsidRDefault="005A5BD5" w:rsidP="004C2C7D">
      <w:pPr>
        <w:jc w:val="both"/>
        <w:rPr>
          <w:rFonts w:eastAsia="Calibri"/>
          <w:szCs w:val="22"/>
          <w:lang w:eastAsia="de-DE" w:bidi="de-DE"/>
        </w:rPr>
      </w:pPr>
    </w:p>
    <w:p w14:paraId="3C36BB2F" w14:textId="299AF604" w:rsidR="005A5BD5" w:rsidRPr="00D4747A" w:rsidRDefault="005A5BD5" w:rsidP="004C2C7D">
      <w:pPr>
        <w:jc w:val="both"/>
        <w:rPr>
          <w:rFonts w:eastAsia="Calibri"/>
          <w:szCs w:val="22"/>
          <w:lang w:eastAsia="de-DE" w:bidi="de-DE"/>
        </w:rPr>
      </w:pPr>
      <w:r w:rsidRPr="00D4747A">
        <w:rPr>
          <w:rFonts w:eastAsia="Calibri"/>
          <w:szCs w:val="22"/>
          <w:lang w:eastAsia="de-DE" w:bidi="de-DE"/>
        </w:rPr>
        <w:tab/>
        <w:t>2. den Beweis, dass das Patent oder dessen Nutzungsrecht niemals von einem Unternehmen in Belgien zur Ausübung seiner beruflichen Tätigkeit genutzt worden ist.]</w:t>
      </w:r>
    </w:p>
    <w:p w14:paraId="1AB7D26B" w14:textId="77777777" w:rsidR="005A5BD5" w:rsidRPr="00D4747A" w:rsidRDefault="005A5BD5" w:rsidP="004C2C7D">
      <w:pPr>
        <w:jc w:val="both"/>
        <w:rPr>
          <w:rFonts w:eastAsia="Calibri"/>
          <w:szCs w:val="22"/>
          <w:lang w:eastAsia="de-DE" w:bidi="de-DE"/>
        </w:rPr>
      </w:pPr>
    </w:p>
    <w:p w14:paraId="19100C45" w14:textId="40D5C8CC" w:rsidR="005A5BD5" w:rsidRPr="00D4747A" w:rsidRDefault="005A5BD5" w:rsidP="004C2C7D">
      <w:pPr>
        <w:jc w:val="both"/>
        <w:rPr>
          <w:rFonts w:eastAsia="Calibri"/>
          <w:i/>
          <w:szCs w:val="22"/>
          <w:lang w:eastAsia="de-DE" w:bidi="de-DE"/>
        </w:rPr>
      </w:pPr>
      <w:r w:rsidRPr="00D4747A">
        <w:rPr>
          <w:rFonts w:eastAsia="Calibri"/>
          <w:i/>
          <w:szCs w:val="22"/>
          <w:lang w:eastAsia="de-DE" w:bidi="de-DE"/>
        </w:rPr>
        <w:t>[Art. 47bis eingefügt durch Art. 1 des K.E. vom 31. Januar 1996 (B.S. vom 12. März 1996); einziger Absatz einleitende Bestimmung abgeändert durch Art. 2 des K.E. vom 21. September 2000 (B.S. vom 17. Oktober 2000), Art. 1 des K.E. vom 12. Mai 2003 (I) (B.S. vom 20. Mai 2003)</w:t>
      </w:r>
      <w:r w:rsidR="00887AA4">
        <w:rPr>
          <w:rFonts w:eastAsia="Calibri"/>
          <w:i/>
          <w:szCs w:val="22"/>
          <w:lang w:eastAsia="de-DE" w:bidi="de-DE"/>
        </w:rPr>
        <w:t>,</w:t>
      </w:r>
      <w:r w:rsidRPr="00D4747A">
        <w:rPr>
          <w:rFonts w:eastAsia="Calibri"/>
          <w:i/>
          <w:szCs w:val="22"/>
          <w:lang w:eastAsia="de-DE" w:bidi="de-DE"/>
        </w:rPr>
        <w:t xml:space="preserve"> Art. 4 des K.E. vom 11. Dezember 2006 (B.S. vom 18. Dezember 2006)</w:t>
      </w:r>
      <w:r w:rsidR="00887AA4">
        <w:rPr>
          <w:rFonts w:eastAsia="Calibri"/>
          <w:i/>
          <w:szCs w:val="22"/>
          <w:lang w:eastAsia="de-DE" w:bidi="de-DE"/>
        </w:rPr>
        <w:t xml:space="preserve"> und Art. 2</w:t>
      </w:r>
      <w:r w:rsidR="00887AA4" w:rsidRPr="00887AA4">
        <w:rPr>
          <w:rFonts w:eastAsia="Calibri"/>
          <w:i/>
          <w:szCs w:val="22"/>
          <w:lang w:eastAsia="de-DE" w:bidi="de-DE"/>
        </w:rPr>
        <w:t xml:space="preserve"> des K.E. vom 20. Dezember 2024 (B.S. vom 30. Dezember 2024)</w:t>
      </w:r>
      <w:r w:rsidRPr="00D4747A">
        <w:rPr>
          <w:rFonts w:eastAsia="Calibri"/>
          <w:i/>
          <w:szCs w:val="22"/>
          <w:lang w:eastAsia="de-DE" w:bidi="de-DE"/>
        </w:rPr>
        <w:t>]</w:t>
      </w:r>
    </w:p>
    <w:p w14:paraId="17B36BCA" w14:textId="77777777" w:rsidR="003B5C18" w:rsidRDefault="003B5C18" w:rsidP="004C2C7D">
      <w:pPr>
        <w:jc w:val="both"/>
        <w:rPr>
          <w:rFonts w:eastAsia="Calibri"/>
          <w:szCs w:val="22"/>
          <w:lang w:eastAsia="de-DE" w:bidi="de-DE"/>
        </w:rPr>
      </w:pPr>
    </w:p>
    <w:p w14:paraId="593AEB1D" w14:textId="77777777" w:rsidR="003B5C18" w:rsidRDefault="003B5C18" w:rsidP="004C2C7D">
      <w:pPr>
        <w:jc w:val="both"/>
        <w:rPr>
          <w:rFonts w:eastAsia="Calibri"/>
          <w:szCs w:val="22"/>
          <w:lang w:eastAsia="de-DE" w:bidi="de-DE"/>
        </w:rPr>
      </w:pPr>
    </w:p>
    <w:p w14:paraId="445AA35B" w14:textId="11833DE8"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48</w:t>
      </w:r>
      <w:r w:rsidRPr="00D4747A">
        <w:rPr>
          <w:rFonts w:eastAsia="Calibri"/>
          <w:szCs w:val="22"/>
          <w:lang w:eastAsia="de-DE" w:bidi="de-DE"/>
        </w:rPr>
        <w:t> - § 1 - Für die Anwendung von [</w:t>
      </w:r>
      <w:r w:rsidR="00887AA4" w:rsidRPr="00D4747A">
        <w:rPr>
          <w:rFonts w:eastAsia="Calibri"/>
          <w:szCs w:val="22"/>
          <w:lang w:eastAsia="de-DE" w:bidi="de-DE"/>
        </w:rPr>
        <w:t>Artikel 69</w:t>
      </w:r>
      <w:r w:rsidR="00887AA4">
        <w:rPr>
          <w:rFonts w:eastAsia="Calibri"/>
          <w:szCs w:val="22"/>
          <w:lang w:eastAsia="de-DE" w:bidi="de-DE"/>
        </w:rPr>
        <w:t xml:space="preserve">/2 </w:t>
      </w:r>
      <w:r w:rsidR="00887AA4" w:rsidRPr="00D4747A">
        <w:rPr>
          <w:rFonts w:eastAsia="Calibri"/>
          <w:szCs w:val="22"/>
          <w:lang w:eastAsia="de-DE" w:bidi="de-DE"/>
        </w:rPr>
        <w:t>Nr. 2]</w:t>
      </w:r>
      <w:r w:rsidRPr="00D4747A">
        <w:rPr>
          <w:rFonts w:eastAsia="Calibri"/>
          <w:szCs w:val="22"/>
          <w:lang w:eastAsia="de-DE" w:bidi="de-DE"/>
        </w:rPr>
        <w:t xml:space="preserve"> des Einkommensteuergesetzbuches 1992 gelten als Anlagen zur Förderung der Forschung und der Entwicklung neuer Produkte und hoch entwickelter Technologien:</w:t>
      </w:r>
    </w:p>
    <w:p w14:paraId="6439C282" w14:textId="77777777" w:rsidR="005A5BD5" w:rsidRPr="00D4747A" w:rsidRDefault="005A5BD5" w:rsidP="004C2C7D">
      <w:pPr>
        <w:jc w:val="both"/>
        <w:rPr>
          <w:rFonts w:eastAsia="Calibri"/>
          <w:szCs w:val="22"/>
          <w:lang w:eastAsia="de-DE" w:bidi="de-DE"/>
        </w:rPr>
      </w:pPr>
    </w:p>
    <w:p w14:paraId="16E7D703"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A. was Sachanlagen betrifft:</w:t>
      </w:r>
    </w:p>
    <w:p w14:paraId="57304323" w14:textId="77777777" w:rsidR="005A5BD5" w:rsidRPr="00D4747A" w:rsidRDefault="005A5BD5" w:rsidP="004C2C7D">
      <w:pPr>
        <w:jc w:val="both"/>
        <w:rPr>
          <w:rFonts w:eastAsia="Calibri"/>
          <w:szCs w:val="22"/>
          <w:lang w:eastAsia="de-DE" w:bidi="de-DE"/>
        </w:rPr>
      </w:pPr>
    </w:p>
    <w:p w14:paraId="718C86A1"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1. Sachanlagen, die genutzt werden für die Betreibung von Forschungszentren, die im Sinne von [Artikel 46 § 1 Absatz 1 Nr. 2] desselben Gesetzbuches einen oder mehrere Teilbetriebe beziehungsweise einen oder mehrere Teile einer Tätigkeit bilden und für die ein getrenntes Kontensystem geführt wird, sofern sie nicht über den Rahmen dessen hinausgehen, was zur Gewährleistung einer reibungslosen Arbeit dieser Zentren erforderlich ist,</w:t>
      </w:r>
    </w:p>
    <w:p w14:paraId="3715C46D" w14:textId="77777777" w:rsidR="005A5BD5" w:rsidRPr="00D4747A" w:rsidRDefault="005A5BD5" w:rsidP="004C2C7D">
      <w:pPr>
        <w:jc w:val="both"/>
        <w:rPr>
          <w:rFonts w:eastAsia="Calibri"/>
          <w:szCs w:val="22"/>
          <w:lang w:eastAsia="de-DE" w:bidi="de-DE"/>
        </w:rPr>
      </w:pPr>
    </w:p>
    <w:p w14:paraId="591D5FD7"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2. Sachanlagen, die nicht für die Betreibung der in Nr. 1 erwähnten Forschungszentren genutzt werden, aber eine der folgenden Bedingungen erfüllen:</w:t>
      </w:r>
    </w:p>
    <w:p w14:paraId="56F29791" w14:textId="77777777" w:rsidR="005A5BD5" w:rsidRPr="00D4747A" w:rsidRDefault="005A5BD5" w:rsidP="004C2C7D">
      <w:pPr>
        <w:jc w:val="both"/>
        <w:rPr>
          <w:rFonts w:eastAsia="Calibri"/>
          <w:szCs w:val="22"/>
          <w:lang w:eastAsia="de-DE" w:bidi="de-DE"/>
        </w:rPr>
      </w:pPr>
    </w:p>
    <w:p w14:paraId="33AD7510"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a)</w:t>
      </w:r>
      <w:r w:rsidRPr="00D4747A">
        <w:rPr>
          <w:rFonts w:eastAsia="Calibri"/>
          <w:szCs w:val="22"/>
          <w:lang w:eastAsia="de-DE" w:bidi="de-DE"/>
        </w:rPr>
        <w:t> Gegenstand einer Beteiligung sein oder gewesen sein, die gewährt wird:</w:t>
      </w:r>
    </w:p>
    <w:p w14:paraId="2070A30F" w14:textId="77777777" w:rsidR="005A5BD5" w:rsidRPr="00D4747A" w:rsidRDefault="005A5BD5" w:rsidP="004C2C7D">
      <w:pPr>
        <w:jc w:val="both"/>
        <w:rPr>
          <w:rFonts w:eastAsia="Calibri"/>
          <w:szCs w:val="22"/>
          <w:lang w:eastAsia="de-DE" w:bidi="de-DE"/>
        </w:rPr>
      </w:pPr>
    </w:p>
    <w:p w14:paraId="1C2C2B6D"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xml:space="preserve">- vom Staat entweder aufgrund </w:t>
      </w:r>
      <w:r>
        <w:rPr>
          <w:rFonts w:eastAsia="Calibri"/>
          <w:szCs w:val="22"/>
          <w:lang w:eastAsia="de-DE" w:bidi="de-DE"/>
        </w:rPr>
        <w:t>von</w:t>
      </w:r>
      <w:r w:rsidRPr="00D4747A">
        <w:rPr>
          <w:rFonts w:eastAsia="Calibri"/>
          <w:szCs w:val="22"/>
          <w:lang w:eastAsia="de-DE" w:bidi="de-DE"/>
        </w:rPr>
        <w:t xml:space="preserve"> Artikel 3 Buchstabe </w:t>
      </w:r>
      <w:r w:rsidRPr="00D4747A">
        <w:rPr>
          <w:rFonts w:eastAsia="Calibri"/>
          <w:i/>
          <w:szCs w:val="22"/>
          <w:lang w:eastAsia="de-DE" w:bidi="de-DE"/>
        </w:rPr>
        <w:t>a)</w:t>
      </w:r>
      <w:r w:rsidRPr="00D4747A">
        <w:rPr>
          <w:rFonts w:eastAsia="Calibri"/>
          <w:szCs w:val="22"/>
          <w:lang w:eastAsia="de-DE" w:bidi="de-DE"/>
        </w:rPr>
        <w:t xml:space="preserve"> Absatz 4 oder </w:t>
      </w:r>
      <w:r>
        <w:rPr>
          <w:rFonts w:eastAsia="Calibri"/>
          <w:szCs w:val="22"/>
          <w:lang w:eastAsia="de-DE" w:bidi="de-DE"/>
        </w:rPr>
        <w:t>Artikel </w:t>
      </w:r>
      <w:r w:rsidRPr="00D4747A">
        <w:rPr>
          <w:rFonts w:eastAsia="Calibri"/>
          <w:szCs w:val="22"/>
          <w:lang w:eastAsia="de-DE" w:bidi="de-DE"/>
        </w:rPr>
        <w:t xml:space="preserve">7 des Gesetzes vom 17. Juli 1959 zur Einführung und Koordinierung von Maßnahmen zur Förderung des Wirtschaftsaufschwungs und der Schaffung neuer Industrien oder aufgrund </w:t>
      </w:r>
      <w:r>
        <w:rPr>
          <w:rFonts w:eastAsia="Calibri"/>
          <w:szCs w:val="22"/>
          <w:lang w:eastAsia="de-DE" w:bidi="de-DE"/>
        </w:rPr>
        <w:t>von</w:t>
      </w:r>
      <w:r w:rsidRPr="00D4747A">
        <w:rPr>
          <w:rFonts w:eastAsia="Calibri"/>
          <w:szCs w:val="22"/>
          <w:lang w:eastAsia="de-DE" w:bidi="de-DE"/>
        </w:rPr>
        <w:t xml:space="preserve"> Artikel 7 </w:t>
      </w:r>
      <w:r w:rsidRPr="00D4747A">
        <w:rPr>
          <w:rFonts w:eastAsia="Calibri"/>
          <w:szCs w:val="22"/>
          <w:lang w:eastAsia="de-DE" w:bidi="de-DE"/>
        </w:rPr>
        <w:lastRenderedPageBreak/>
        <w:t xml:space="preserve">Absatz 1 dritter Gedankenstrich oder </w:t>
      </w:r>
      <w:r>
        <w:rPr>
          <w:rFonts w:eastAsia="Calibri"/>
          <w:szCs w:val="22"/>
          <w:lang w:eastAsia="de-DE" w:bidi="de-DE"/>
        </w:rPr>
        <w:t>Artikel </w:t>
      </w:r>
      <w:r w:rsidRPr="00D4747A">
        <w:rPr>
          <w:rFonts w:eastAsia="Calibri"/>
          <w:szCs w:val="22"/>
          <w:lang w:eastAsia="de-DE" w:bidi="de-DE"/>
        </w:rPr>
        <w:t>25 des Gesetzes vom 30. Dezem</w:t>
      </w:r>
      <w:r>
        <w:rPr>
          <w:rFonts w:eastAsia="Calibri"/>
          <w:szCs w:val="22"/>
          <w:lang w:eastAsia="de-DE" w:bidi="de-DE"/>
        </w:rPr>
        <w:softHyphen/>
      </w:r>
      <w:r w:rsidRPr="00D4747A">
        <w:rPr>
          <w:rFonts w:eastAsia="Calibri"/>
          <w:szCs w:val="22"/>
          <w:lang w:eastAsia="de-DE" w:bidi="de-DE"/>
        </w:rPr>
        <w:t>ber 1970 über den Wirtschaftsaufschwung oder aufgrund von Artikel 4 Buchstabe </w:t>
      </w:r>
      <w:r w:rsidRPr="00D4747A">
        <w:rPr>
          <w:rFonts w:eastAsia="Calibri"/>
          <w:i/>
          <w:szCs w:val="22"/>
          <w:lang w:eastAsia="de-DE" w:bidi="de-DE"/>
        </w:rPr>
        <w:t>b)</w:t>
      </w:r>
      <w:r w:rsidRPr="00D4747A">
        <w:rPr>
          <w:rFonts w:eastAsia="Calibri"/>
          <w:szCs w:val="22"/>
          <w:lang w:eastAsia="de-DE" w:bidi="de-DE"/>
        </w:rPr>
        <w:t xml:space="preserve"> des Gesetzes vom 4. August 1978 zur wirtschaftlichen Neuorientierung im Hinblick auf die Finanzierung anderer Investitionen als Markt- und Organisationsstudien und Vermarktungs</w:t>
      </w:r>
      <w:r>
        <w:rPr>
          <w:rFonts w:eastAsia="Calibri"/>
          <w:szCs w:val="22"/>
          <w:lang w:eastAsia="de-DE" w:bidi="de-DE"/>
        </w:rPr>
        <w:softHyphen/>
      </w:r>
      <w:r w:rsidRPr="00D4747A">
        <w:rPr>
          <w:rFonts w:eastAsia="Calibri"/>
          <w:szCs w:val="22"/>
          <w:lang w:eastAsia="de-DE" w:bidi="de-DE"/>
        </w:rPr>
        <w:t>methoden oder aufgrund eines Forschungsvertrags, der vom Minister, zu dessen Zuständig</w:t>
      </w:r>
      <w:r>
        <w:rPr>
          <w:rFonts w:eastAsia="Calibri"/>
          <w:szCs w:val="22"/>
          <w:lang w:eastAsia="de-DE" w:bidi="de-DE"/>
        </w:rPr>
        <w:softHyphen/>
      </w:r>
      <w:r w:rsidRPr="00D4747A">
        <w:rPr>
          <w:rFonts w:eastAsia="Calibri"/>
          <w:szCs w:val="22"/>
          <w:lang w:eastAsia="de-DE" w:bidi="de-DE"/>
        </w:rPr>
        <w:t>keitsbereich die Wissenschaftspolitik gehört, abgeschlossen wird,</w:t>
      </w:r>
    </w:p>
    <w:p w14:paraId="658AB82E" w14:textId="77777777" w:rsidR="005A5BD5" w:rsidRPr="00D4747A" w:rsidRDefault="005A5BD5" w:rsidP="004C2C7D">
      <w:pPr>
        <w:jc w:val="both"/>
        <w:rPr>
          <w:rFonts w:eastAsia="Calibri"/>
          <w:szCs w:val="22"/>
          <w:lang w:eastAsia="de-DE" w:bidi="de-DE"/>
        </w:rPr>
      </w:pPr>
    </w:p>
    <w:p w14:paraId="15C8B6C6"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w:t>
      </w:r>
      <w:r w:rsidR="009971A3">
        <w:rPr>
          <w:rFonts w:eastAsia="Calibri"/>
          <w:szCs w:val="22"/>
          <w:lang w:eastAsia="de-DE" w:bidi="de-DE"/>
        </w:rPr>
        <w:t>[</w:t>
      </w:r>
      <w:r w:rsidR="009971A3" w:rsidRPr="00B617CF">
        <w:t>von der "Agentschap Innoveren en Ondernemen" oder der Operativen Generaldirektion Wirtschaft, Beschäftigung und Forschung ("Direction générale opérationnelle de l'Economie, de l'Emploi et de la Recherche" - DGO6),</w:t>
      </w:r>
      <w:r w:rsidR="009971A3">
        <w:rPr>
          <w:rFonts w:eastAsia="Calibri"/>
          <w:szCs w:val="22"/>
          <w:lang w:eastAsia="de-DE" w:bidi="de-DE"/>
        </w:rPr>
        <w:t>]</w:t>
      </w:r>
    </w:p>
    <w:p w14:paraId="50187949" w14:textId="77777777" w:rsidR="005A5BD5" w:rsidRPr="00D4747A" w:rsidRDefault="005A5BD5" w:rsidP="004C2C7D">
      <w:pPr>
        <w:jc w:val="both"/>
        <w:rPr>
          <w:rFonts w:eastAsia="Calibri"/>
          <w:szCs w:val="22"/>
          <w:lang w:eastAsia="de-DE" w:bidi="de-DE"/>
        </w:rPr>
      </w:pPr>
    </w:p>
    <w:p w14:paraId="55F1B791" w14:textId="60017C68"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b)</w:t>
      </w:r>
      <w:r w:rsidRPr="00D4747A">
        <w:rPr>
          <w:rFonts w:eastAsia="Calibri"/>
          <w:szCs w:val="22"/>
          <w:lang w:eastAsia="de-DE" w:bidi="de-DE"/>
        </w:rPr>
        <w:t> genutzt werden für:</w:t>
      </w:r>
    </w:p>
    <w:p w14:paraId="351C0B8B" w14:textId="77777777" w:rsidR="005A5BD5" w:rsidRPr="00D4747A" w:rsidRDefault="005A5BD5" w:rsidP="004C2C7D">
      <w:pPr>
        <w:jc w:val="both"/>
        <w:rPr>
          <w:rFonts w:eastAsia="Calibri"/>
          <w:szCs w:val="22"/>
          <w:lang w:eastAsia="de-DE" w:bidi="de-DE"/>
        </w:rPr>
      </w:pPr>
    </w:p>
    <w:p w14:paraId="0FF3B37C"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Ausarbeitung oder Entwicklung von neuen Produktionstechniken, neuen Geräten, neuen Herstellungsverfahren, neuen Produkten oder Rohstoffen,</w:t>
      </w:r>
    </w:p>
    <w:p w14:paraId="13394350" w14:textId="77777777" w:rsidR="005A5BD5" w:rsidRPr="00D4747A" w:rsidRDefault="005A5BD5" w:rsidP="004C2C7D">
      <w:pPr>
        <w:jc w:val="both"/>
        <w:rPr>
          <w:rFonts w:eastAsia="Calibri"/>
          <w:szCs w:val="22"/>
          <w:lang w:eastAsia="de-DE" w:bidi="de-DE"/>
        </w:rPr>
      </w:pPr>
    </w:p>
    <w:p w14:paraId="16D80E6F"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Verbesserung bestehender Techniken, Geräte und Herstellungsverfahren,</w:t>
      </w:r>
    </w:p>
    <w:p w14:paraId="79AE7EE7" w14:textId="77777777" w:rsidR="005A5BD5" w:rsidRPr="00D4747A" w:rsidRDefault="005A5BD5" w:rsidP="004C2C7D">
      <w:pPr>
        <w:jc w:val="both"/>
        <w:rPr>
          <w:rFonts w:eastAsia="Calibri"/>
          <w:szCs w:val="22"/>
          <w:lang w:eastAsia="de-DE" w:bidi="de-DE"/>
        </w:rPr>
      </w:pPr>
    </w:p>
    <w:p w14:paraId="3647682B"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Ausdehnung von Entdeckungen aus Untersuchungen und Theorien wissen</w:t>
      </w:r>
      <w:r w:rsidRPr="00D4747A">
        <w:rPr>
          <w:rFonts w:eastAsia="Calibri"/>
          <w:szCs w:val="22"/>
          <w:lang w:eastAsia="de-DE" w:bidi="de-DE"/>
        </w:rPr>
        <w:softHyphen/>
        <w:t>schaftlicher oder technischer Art auf praktische Anwendungen zur Experimentierung und Beweisführung, experimentelle Produktion und Durchführung von Versuchen mit neuen Vorrichtungen, Geräten, Materialien und Verfahren einbegriffen.</w:t>
      </w:r>
    </w:p>
    <w:p w14:paraId="6C740406" w14:textId="77777777" w:rsidR="005A5BD5" w:rsidRPr="00D4747A" w:rsidRDefault="005A5BD5" w:rsidP="004C2C7D">
      <w:pPr>
        <w:jc w:val="both"/>
        <w:rPr>
          <w:rFonts w:eastAsia="Calibri"/>
          <w:szCs w:val="22"/>
          <w:lang w:eastAsia="de-DE" w:bidi="de-DE"/>
        </w:rPr>
      </w:pPr>
    </w:p>
    <w:p w14:paraId="39CB422E"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Gemeint sind hier insbesondere:</w:t>
      </w:r>
    </w:p>
    <w:p w14:paraId="45B6BD0C" w14:textId="77777777" w:rsidR="005A5BD5" w:rsidRPr="00D4747A" w:rsidRDefault="005A5BD5" w:rsidP="004C2C7D">
      <w:pPr>
        <w:jc w:val="both"/>
        <w:rPr>
          <w:rFonts w:eastAsia="Calibri"/>
          <w:szCs w:val="22"/>
          <w:lang w:eastAsia="de-DE" w:bidi="de-DE"/>
        </w:rPr>
      </w:pPr>
    </w:p>
    <w:p w14:paraId="0E7F4323"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Geräte oder Ausrüstungen zur Messung von physikalischen Größen,</w:t>
      </w:r>
    </w:p>
    <w:p w14:paraId="433F5E05" w14:textId="77777777" w:rsidR="005A5BD5" w:rsidRPr="00D4747A" w:rsidRDefault="005A5BD5" w:rsidP="004C2C7D">
      <w:pPr>
        <w:jc w:val="both"/>
        <w:rPr>
          <w:rFonts w:eastAsia="Calibri"/>
          <w:szCs w:val="22"/>
          <w:lang w:eastAsia="de-DE" w:bidi="de-DE"/>
        </w:rPr>
      </w:pPr>
    </w:p>
    <w:p w14:paraId="7106CA84"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Versuchsgeräte, deren Produktionsfähigkeit a priori nicht ausreichen kann, um einen normalen Ertrag zu gewährleisten,</w:t>
      </w:r>
    </w:p>
    <w:p w14:paraId="2C942EF4" w14:textId="77777777" w:rsidR="003B5C18" w:rsidRDefault="003B5C18" w:rsidP="004C2C7D">
      <w:pPr>
        <w:jc w:val="both"/>
        <w:rPr>
          <w:rFonts w:eastAsia="Calibri"/>
          <w:szCs w:val="22"/>
          <w:lang w:eastAsia="de-DE" w:bidi="de-DE"/>
        </w:rPr>
      </w:pPr>
    </w:p>
    <w:p w14:paraId="4BDA0A00"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Prototypen,</w:t>
      </w:r>
    </w:p>
    <w:p w14:paraId="06BE8728" w14:textId="77777777" w:rsidR="005A5BD5" w:rsidRPr="00D4747A" w:rsidRDefault="005A5BD5" w:rsidP="004C2C7D">
      <w:pPr>
        <w:jc w:val="both"/>
        <w:rPr>
          <w:rFonts w:eastAsia="Calibri"/>
          <w:szCs w:val="22"/>
          <w:lang w:eastAsia="de-DE" w:bidi="de-DE"/>
        </w:rPr>
      </w:pPr>
    </w:p>
    <w:p w14:paraId="5653C540"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Bestandteile von Vorserien, die dazu bestimmt sind, Forschungsprodukte vor ihrer Vermarktung zu testen und definitiv fertigzustellen.</w:t>
      </w:r>
    </w:p>
    <w:p w14:paraId="66C2F92C" w14:textId="77777777" w:rsidR="005A5BD5" w:rsidRPr="00D4747A" w:rsidRDefault="005A5BD5" w:rsidP="004C2C7D">
      <w:pPr>
        <w:jc w:val="both"/>
        <w:rPr>
          <w:rFonts w:eastAsia="Calibri"/>
          <w:szCs w:val="22"/>
          <w:lang w:eastAsia="de-DE" w:bidi="de-DE"/>
        </w:rPr>
      </w:pPr>
    </w:p>
    <w:p w14:paraId="60DDED6A"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Ausgeschlossen sind hingegen Geräte oder Ausrüstungen, die im Rahmen der normalen Produktion des Unternehmens genutzt werden für Routinetätigkeiten oder immer wiederkehrende Tätigkeiten, die sich auf diese Weise in das Produktionsverfahren eingliedern, wie: Versuche, Tätigkeiten von Studien- und Zeichenbüros und Qualitätskontrolle,</w:t>
      </w:r>
    </w:p>
    <w:p w14:paraId="3CE9F2F2" w14:textId="77777777" w:rsidR="005A5BD5" w:rsidRPr="00D4747A" w:rsidRDefault="005A5BD5" w:rsidP="004C2C7D">
      <w:pPr>
        <w:jc w:val="both"/>
        <w:rPr>
          <w:rFonts w:eastAsia="Calibri"/>
          <w:szCs w:val="22"/>
          <w:lang w:eastAsia="de-DE" w:bidi="de-DE"/>
        </w:rPr>
      </w:pPr>
    </w:p>
    <w:p w14:paraId="7619F5EB"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c)</w:t>
      </w:r>
      <w:r w:rsidRPr="00D4747A">
        <w:rPr>
          <w:rFonts w:eastAsia="Calibri"/>
          <w:szCs w:val="22"/>
          <w:lang w:eastAsia="de-DE" w:bidi="de-DE"/>
        </w:rPr>
        <w:t> wenn nicht nachweisbar ist, ob Sachanlagen eine der unter Buchstabe </w:t>
      </w:r>
      <w:r w:rsidRPr="00D4747A">
        <w:rPr>
          <w:rFonts w:eastAsia="Calibri"/>
          <w:i/>
          <w:szCs w:val="22"/>
          <w:lang w:eastAsia="de-DE" w:bidi="de-DE"/>
        </w:rPr>
        <w:t>a)</w:t>
      </w:r>
      <w:r w:rsidRPr="00D4747A">
        <w:rPr>
          <w:rFonts w:eastAsia="Calibri"/>
          <w:szCs w:val="22"/>
          <w:lang w:eastAsia="de-DE" w:bidi="de-DE"/>
        </w:rPr>
        <w:t xml:space="preserve"> oder </w:t>
      </w:r>
      <w:r w:rsidRPr="00D4747A">
        <w:rPr>
          <w:rFonts w:eastAsia="Calibri"/>
          <w:i/>
          <w:szCs w:val="22"/>
          <w:lang w:eastAsia="de-DE" w:bidi="de-DE"/>
        </w:rPr>
        <w:t>b)</w:t>
      </w:r>
      <w:r w:rsidRPr="00D4747A">
        <w:rPr>
          <w:rFonts w:eastAsia="Calibri"/>
          <w:szCs w:val="22"/>
          <w:lang w:eastAsia="de-DE" w:bidi="de-DE"/>
        </w:rPr>
        <w:t xml:space="preserve"> erwähnten Bedingungen erfüllen, gemeinsam anerkannt sein vom Minister der Wirtschaftsangelegenheiten oder vom Minister, zu dessen Zuständigkeitsbereich der Mittelstand gehört, und vom Minister, zu dessen Zuständigkeitsbereich die Wissenschafts</w:t>
      </w:r>
      <w:r>
        <w:rPr>
          <w:rFonts w:eastAsia="Calibri"/>
          <w:szCs w:val="22"/>
          <w:lang w:eastAsia="de-DE" w:bidi="de-DE"/>
        </w:rPr>
        <w:softHyphen/>
      </w:r>
      <w:r w:rsidRPr="00D4747A">
        <w:rPr>
          <w:rFonts w:eastAsia="Calibri"/>
          <w:szCs w:val="22"/>
          <w:lang w:eastAsia="de-DE" w:bidi="de-DE"/>
        </w:rPr>
        <w:t>politik gehört, als erforderlich für die Verwirklichung eines Programms der wissenschaft</w:t>
      </w:r>
      <w:r>
        <w:rPr>
          <w:rFonts w:eastAsia="Calibri"/>
          <w:szCs w:val="22"/>
          <w:lang w:eastAsia="de-DE" w:bidi="de-DE"/>
        </w:rPr>
        <w:softHyphen/>
      </w:r>
      <w:r w:rsidRPr="00D4747A">
        <w:rPr>
          <w:rFonts w:eastAsia="Calibri"/>
          <w:szCs w:val="22"/>
          <w:lang w:eastAsia="de-DE" w:bidi="de-DE"/>
        </w:rPr>
        <w:t>lichen Forschung, das zur technologischen Innovation beiträgt,</w:t>
      </w:r>
    </w:p>
    <w:p w14:paraId="5CFC2790" w14:textId="77777777" w:rsidR="005A5BD5" w:rsidRPr="00D4747A" w:rsidRDefault="005A5BD5" w:rsidP="004C2C7D">
      <w:pPr>
        <w:jc w:val="both"/>
        <w:rPr>
          <w:rFonts w:eastAsia="Calibri"/>
          <w:szCs w:val="22"/>
          <w:lang w:eastAsia="de-DE" w:bidi="de-DE"/>
        </w:rPr>
      </w:pPr>
    </w:p>
    <w:p w14:paraId="5086AE6E"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3. unbewegliche Güter, die erforderlich sind, um einerseits die in Nr. 2 erwähnten Anlagen und andererseits Forscher und direkt an diese Anlagen angegliedertes Personal unterzubringen,</w:t>
      </w:r>
    </w:p>
    <w:p w14:paraId="59DE9A1C" w14:textId="77777777" w:rsidR="005A5BD5" w:rsidRPr="00D4747A" w:rsidRDefault="005A5BD5" w:rsidP="004C2C7D">
      <w:pPr>
        <w:jc w:val="both"/>
        <w:rPr>
          <w:rFonts w:eastAsia="Calibri"/>
          <w:szCs w:val="22"/>
          <w:lang w:eastAsia="de-DE" w:bidi="de-DE"/>
        </w:rPr>
      </w:pPr>
    </w:p>
    <w:p w14:paraId="4BCB1071" w14:textId="77777777" w:rsidR="005A5BD5" w:rsidRPr="00D4747A" w:rsidRDefault="005A5BD5" w:rsidP="004C2C7D">
      <w:pPr>
        <w:jc w:val="both"/>
        <w:rPr>
          <w:rFonts w:eastAsia="Calibri"/>
          <w:i/>
          <w:szCs w:val="22"/>
          <w:lang w:eastAsia="de-DE" w:bidi="de-DE"/>
        </w:rPr>
      </w:pPr>
      <w:r w:rsidRPr="00D4747A">
        <w:rPr>
          <w:rFonts w:eastAsia="Calibri"/>
          <w:szCs w:val="22"/>
          <w:lang w:eastAsia="de-DE" w:bidi="de-DE"/>
        </w:rPr>
        <w:tab/>
        <w:t>B. was immaterielle Anlagen betrifft: Forschungs- und Entwicklungskosten, [</w:t>
      </w:r>
      <w:r w:rsidR="009251F9">
        <w:rPr>
          <w:rFonts w:eastAsia="Calibri"/>
          <w:szCs w:val="22"/>
          <w:lang w:eastAsia="de-DE" w:bidi="de-DE"/>
        </w:rPr>
        <w:t>…</w:t>
      </w:r>
      <w:r w:rsidRPr="00D4747A">
        <w:rPr>
          <w:rFonts w:eastAsia="Calibri"/>
          <w:szCs w:val="22"/>
          <w:lang w:eastAsia="de-DE" w:bidi="de-DE"/>
        </w:rPr>
        <w:t>] Lizenzen und Know-how und Anzahlungen auf diese Anlagen.</w:t>
      </w:r>
    </w:p>
    <w:p w14:paraId="4842AAF3" w14:textId="77777777" w:rsidR="005A5BD5" w:rsidRPr="00D4747A" w:rsidRDefault="005A5BD5" w:rsidP="004C2C7D">
      <w:pPr>
        <w:jc w:val="both"/>
        <w:rPr>
          <w:rFonts w:eastAsia="Calibri"/>
          <w:szCs w:val="22"/>
          <w:lang w:eastAsia="de-DE" w:bidi="de-DE"/>
        </w:rPr>
      </w:pPr>
    </w:p>
    <w:p w14:paraId="40A4F555"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Der Betrag der Abschreibungen in Bezug auf die in Buchstabe A erwähnten Sachanlagen, der gegebenenfalls als immaterielle Anlage auf der Aktivseite der Bilanz ausgewiesen wird, wird für die Berechnung des Investitionsabzugs nicht berücksichtigt.</w:t>
      </w:r>
    </w:p>
    <w:p w14:paraId="13649B8B" w14:textId="77777777" w:rsidR="005A5BD5" w:rsidRPr="00D4747A" w:rsidRDefault="005A5BD5" w:rsidP="004C2C7D">
      <w:pPr>
        <w:jc w:val="both"/>
        <w:rPr>
          <w:rFonts w:eastAsia="Calibri"/>
          <w:szCs w:val="22"/>
          <w:lang w:eastAsia="de-DE" w:bidi="de-DE"/>
        </w:rPr>
      </w:pPr>
    </w:p>
    <w:p w14:paraId="15AFD8EC"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Forschungs- und Entwicklungskosten, die ein Unternehmen außerhalb eines in Buchstabe A Nr. 1 erwähnten Forschungszentrums auslegt, werden nur berücksichtigt, sofern sie entweder für die vom Staat oder vom Institut zur Förderung der Wissenschaftlichen Forschung in Industrie und Landwirtschaft gewährte Beteiligung berücksichtigt worden sind oder von dem Minister der Wirtschaftsangelegenheiten oder dem Minister, zu dessen Zuständigkeitsbereich der Mittelstand gehört, und dem Minister, zu dessen Zuständigkeits</w:t>
      </w:r>
      <w:r>
        <w:rPr>
          <w:rFonts w:eastAsia="Calibri"/>
          <w:szCs w:val="22"/>
          <w:lang w:eastAsia="de-DE" w:bidi="de-DE"/>
        </w:rPr>
        <w:softHyphen/>
      </w:r>
      <w:r w:rsidRPr="00D4747A">
        <w:rPr>
          <w:rFonts w:eastAsia="Calibri"/>
          <w:szCs w:val="22"/>
          <w:lang w:eastAsia="de-DE" w:bidi="de-DE"/>
        </w:rPr>
        <w:t>bereich die Wissenschaftspolitik gehört, gemeinsam anerkannt</w:t>
      </w:r>
      <w:r>
        <w:rPr>
          <w:rFonts w:eastAsia="Calibri"/>
          <w:szCs w:val="22"/>
          <w:lang w:eastAsia="de-DE" w:bidi="de-DE"/>
        </w:rPr>
        <w:t xml:space="preserve"> worden</w:t>
      </w:r>
      <w:r w:rsidRPr="00D4747A">
        <w:rPr>
          <w:rFonts w:eastAsia="Calibri"/>
          <w:szCs w:val="22"/>
          <w:lang w:eastAsia="de-DE" w:bidi="de-DE"/>
        </w:rPr>
        <w:t xml:space="preserve"> sind als erforderlich für die Verwirklichung eines Programms der wissenschaftlichen Forschung, das zur technologischen Innovation beiträgt.</w:t>
      </w:r>
    </w:p>
    <w:p w14:paraId="16219CC5" w14:textId="77777777" w:rsidR="005A5BD5" w:rsidRPr="00D4747A" w:rsidRDefault="005A5BD5" w:rsidP="004C2C7D">
      <w:pPr>
        <w:jc w:val="both"/>
        <w:rPr>
          <w:rFonts w:eastAsia="Calibri"/>
          <w:szCs w:val="22"/>
          <w:lang w:eastAsia="de-DE" w:bidi="de-DE"/>
        </w:rPr>
      </w:pPr>
    </w:p>
    <w:p w14:paraId="2287EC89"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2 - Sachanlagen und von Dritten erworbene immaterielle Anlagen, [die keine Patente sind,] die zur Förderung der Forschung und der Entwicklung neuer Produkte und hoch entwickelter Technologien genutzt werden und für die der Investitionsabzug aufgrund dieser Nutzung erhalten wurde, müssen während der gesamten Abschreibungsdauer dieser Anlagen von dem Steuerpflichtigen, der den Investitionsabzug erhalten hat, oder von dem Steuerpflichtigen, der die Anlagen anlässlich eines in den Artikeln 46 und 211 bis 214 des Einkommensteuergesetzbuches 1992 erwähnten Vorgangs erworben hat, für diese Nutzung verwendet werden.</w:t>
      </w:r>
    </w:p>
    <w:p w14:paraId="538A1BBC" w14:textId="77777777" w:rsidR="003B5C18" w:rsidRDefault="003B5C18" w:rsidP="004C2C7D">
      <w:pPr>
        <w:jc w:val="both"/>
        <w:rPr>
          <w:rFonts w:eastAsia="Calibri"/>
          <w:szCs w:val="22"/>
          <w:lang w:eastAsia="de-DE" w:bidi="de-DE"/>
        </w:rPr>
      </w:pPr>
    </w:p>
    <w:p w14:paraId="7456DE93"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3 - Was Anlagen betrifft, für die die durch die Bestimmungen von § 2 auferlegte Verpflichtung nicht eingehalten wird, wird ein Teil des gewährten Investitionsabzugs als Gewinn oder Profit des Besteuerungszeitraums besteuert, in dem die Nichteinhaltung stattgefunden hat; dieser Teil entspricht einem Prozent des Anschaffungs- oder Investitionswertes der betreffenden Anlage, multipliziert mit dem Produkt von zwei Faktoren, die nach den in den Buchstaben </w:t>
      </w:r>
      <w:r w:rsidRPr="00D4747A">
        <w:rPr>
          <w:rFonts w:eastAsia="Calibri"/>
          <w:i/>
          <w:szCs w:val="22"/>
          <w:lang w:eastAsia="de-DE" w:bidi="de-DE"/>
        </w:rPr>
        <w:t>a)</w:t>
      </w:r>
      <w:r w:rsidRPr="00D4747A">
        <w:rPr>
          <w:rFonts w:eastAsia="Calibri"/>
          <w:szCs w:val="22"/>
          <w:lang w:eastAsia="de-DE" w:bidi="de-DE"/>
        </w:rPr>
        <w:t xml:space="preserve"> und </w:t>
      </w:r>
      <w:r w:rsidRPr="00D4747A">
        <w:rPr>
          <w:rFonts w:eastAsia="Calibri"/>
          <w:i/>
          <w:szCs w:val="22"/>
          <w:lang w:eastAsia="de-DE" w:bidi="de-DE"/>
        </w:rPr>
        <w:t>b)</w:t>
      </w:r>
      <w:r w:rsidRPr="00D4747A">
        <w:rPr>
          <w:rFonts w:eastAsia="Calibri"/>
          <w:szCs w:val="22"/>
          <w:lang w:eastAsia="de-DE" w:bidi="de-DE"/>
        </w:rPr>
        <w:t xml:space="preserve"> erwähnten Regeln bestimmt werden:</w:t>
      </w:r>
    </w:p>
    <w:p w14:paraId="43A5A117" w14:textId="77777777" w:rsidR="005A5BD5" w:rsidRPr="00D4747A" w:rsidRDefault="005A5BD5" w:rsidP="004C2C7D">
      <w:pPr>
        <w:jc w:val="both"/>
        <w:rPr>
          <w:rFonts w:eastAsia="Calibri"/>
          <w:szCs w:val="22"/>
          <w:lang w:eastAsia="de-DE" w:bidi="de-DE"/>
        </w:rPr>
      </w:pPr>
    </w:p>
    <w:p w14:paraId="4421DA94" w14:textId="77777777" w:rsidR="005A5BD5" w:rsidRPr="00D4747A" w:rsidRDefault="005A5BD5" w:rsidP="004C2C7D">
      <w:pPr>
        <w:jc w:val="both"/>
        <w:rPr>
          <w:rFonts w:eastAsia="Calibri"/>
          <w:i/>
          <w:szCs w:val="22"/>
          <w:lang w:eastAsia="de-DE" w:bidi="de-DE"/>
        </w:rPr>
      </w:pPr>
      <w:r w:rsidRPr="00D4747A">
        <w:rPr>
          <w:rFonts w:eastAsia="Calibri"/>
          <w:szCs w:val="22"/>
          <w:lang w:eastAsia="de-DE" w:bidi="de-DE"/>
        </w:rPr>
        <w:tab/>
      </w:r>
      <w:r w:rsidRPr="00D4747A">
        <w:rPr>
          <w:rFonts w:eastAsia="Calibri"/>
          <w:i/>
          <w:szCs w:val="22"/>
          <w:lang w:eastAsia="de-DE" w:bidi="de-DE"/>
        </w:rPr>
        <w:t>a)</w:t>
      </w:r>
      <w:r w:rsidRPr="00D4747A">
        <w:rPr>
          <w:rFonts w:eastAsia="Calibri"/>
          <w:szCs w:val="22"/>
          <w:lang w:eastAsia="de-DE" w:bidi="de-DE"/>
        </w:rPr>
        <w:t> - falls die betreffende Anlage während eines Besteuerungszeitraums erworben oder gebildet wurde, der an das Steuerjahr 1989 oder an ein vorheriges Steuerjahr gebunden ist: 15 oder 7, je nachdem, ob es sich einerseits um Mobiliar und Büromaterial oder andererseits um jegliche anderen Bestandteile handelt,</w:t>
      </w:r>
    </w:p>
    <w:p w14:paraId="61CB36D5" w14:textId="77777777" w:rsidR="005A5BD5" w:rsidRPr="00D4747A" w:rsidRDefault="005A5BD5" w:rsidP="004C2C7D">
      <w:pPr>
        <w:jc w:val="both"/>
        <w:rPr>
          <w:rFonts w:eastAsia="Calibri"/>
          <w:szCs w:val="22"/>
          <w:lang w:eastAsia="de-DE" w:bidi="de-DE"/>
        </w:rPr>
      </w:pPr>
    </w:p>
    <w:p w14:paraId="4C0365C4"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falls die betreffende Anlage während eines Besteuerungszeitraums erworben oder gebildet wurde, der an das Steuerjahr 1990 oder ein späteres Steuerjahr gebunden ist: 10,</w:t>
      </w:r>
    </w:p>
    <w:p w14:paraId="3963E89F" w14:textId="77777777" w:rsidR="005A5BD5" w:rsidRPr="00D4747A" w:rsidRDefault="005A5BD5" w:rsidP="004C2C7D">
      <w:pPr>
        <w:jc w:val="both"/>
        <w:rPr>
          <w:rFonts w:eastAsia="Calibri"/>
          <w:szCs w:val="22"/>
          <w:lang w:eastAsia="de-DE" w:bidi="de-DE"/>
        </w:rPr>
      </w:pPr>
    </w:p>
    <w:p w14:paraId="48DFDC20"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b)</w:t>
      </w:r>
      <w:r w:rsidRPr="00D4747A">
        <w:rPr>
          <w:rFonts w:eastAsia="Calibri"/>
          <w:szCs w:val="22"/>
          <w:lang w:eastAsia="de-DE" w:bidi="de-DE"/>
        </w:rPr>
        <w:t> einem Bruch:</w:t>
      </w:r>
    </w:p>
    <w:p w14:paraId="4F0C9296" w14:textId="77777777" w:rsidR="005A5BD5" w:rsidRPr="00D4747A" w:rsidRDefault="005A5BD5" w:rsidP="004C2C7D">
      <w:pPr>
        <w:jc w:val="both"/>
        <w:rPr>
          <w:rFonts w:eastAsia="Calibri"/>
          <w:szCs w:val="22"/>
          <w:lang w:eastAsia="de-DE" w:bidi="de-DE"/>
        </w:rPr>
      </w:pPr>
    </w:p>
    <w:p w14:paraId="306071F7"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der als Nenner die Anzahl Besteuerungszeiträume hat, auf die der Abschreibungszeitraum der betreffenden Anlage sich erstreckt,</w:t>
      </w:r>
    </w:p>
    <w:p w14:paraId="7F00D2AA" w14:textId="77777777" w:rsidR="005A5BD5" w:rsidRPr="00D4747A" w:rsidRDefault="005A5BD5" w:rsidP="004C2C7D">
      <w:pPr>
        <w:jc w:val="both"/>
        <w:rPr>
          <w:rFonts w:eastAsia="Calibri"/>
          <w:szCs w:val="22"/>
          <w:lang w:eastAsia="de-DE" w:bidi="de-DE"/>
        </w:rPr>
      </w:pPr>
    </w:p>
    <w:p w14:paraId="5D9EBDF7"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der als Zähler die Anzahl dieser Zeiträume hat, die zum Zeitpunkt, zu dem die Nichteinhaltung stattgefunden hat, noch nicht abgelaufen sind.</w:t>
      </w:r>
    </w:p>
    <w:p w14:paraId="2DEA9076" w14:textId="77777777" w:rsidR="005A5BD5" w:rsidRPr="00D4747A" w:rsidRDefault="005A5BD5" w:rsidP="004C2C7D">
      <w:pPr>
        <w:jc w:val="both"/>
        <w:rPr>
          <w:rFonts w:eastAsia="Calibri"/>
          <w:szCs w:val="22"/>
          <w:lang w:eastAsia="de-DE" w:bidi="de-DE"/>
        </w:rPr>
      </w:pPr>
    </w:p>
    <w:p w14:paraId="1AB4CFA4"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lastRenderedPageBreak/>
        <w:tab/>
        <w:t>Was Anlagen betrifft, die ab dem 1. Januar 1991 erworben oder gebildet wurden, für die der Investitionsabzug in Anwendung von Artikel 201 des Einkommensteuergesetz</w:t>
      </w:r>
      <w:r w:rsidRPr="00D4747A">
        <w:rPr>
          <w:rFonts w:eastAsia="Calibri"/>
          <w:szCs w:val="22"/>
          <w:lang w:eastAsia="de-DE" w:bidi="de-DE"/>
        </w:rPr>
        <w:softHyphen/>
        <w:t>buches 1992 gewährt wird, entspricht der in Absatz 1 Buchstabe </w:t>
      </w:r>
      <w:r w:rsidRPr="00D4747A">
        <w:rPr>
          <w:rFonts w:eastAsia="Calibri"/>
          <w:i/>
          <w:szCs w:val="22"/>
          <w:lang w:eastAsia="de-DE" w:bidi="de-DE"/>
        </w:rPr>
        <w:t>a)</w:t>
      </w:r>
      <w:r w:rsidRPr="00D4747A">
        <w:rPr>
          <w:rFonts w:eastAsia="Calibri"/>
          <w:szCs w:val="22"/>
          <w:lang w:eastAsia="de-DE" w:bidi="de-DE"/>
        </w:rPr>
        <w:t xml:space="preserve"> zweiter Gedankenstrich erwähnte Faktor 10,5.</w:t>
      </w:r>
    </w:p>
    <w:p w14:paraId="0CB6796F" w14:textId="3F97B30A" w:rsidR="002D4CCA" w:rsidRDefault="002D4CCA">
      <w:pPr>
        <w:rPr>
          <w:rFonts w:eastAsia="Calibri"/>
          <w:szCs w:val="22"/>
          <w:lang w:eastAsia="de-DE" w:bidi="de-DE"/>
        </w:rPr>
      </w:pPr>
    </w:p>
    <w:p w14:paraId="6A934737" w14:textId="2E388B70" w:rsidR="005A5BD5" w:rsidRPr="00D4747A" w:rsidRDefault="005A5BD5" w:rsidP="004C2C7D">
      <w:pPr>
        <w:jc w:val="both"/>
        <w:rPr>
          <w:rFonts w:eastAsia="Calibri"/>
          <w:szCs w:val="22"/>
          <w:lang w:eastAsia="de-DE" w:bidi="de-DE"/>
        </w:rPr>
      </w:pPr>
      <w:r w:rsidRPr="00D4747A">
        <w:rPr>
          <w:rFonts w:eastAsia="Calibri"/>
          <w:szCs w:val="22"/>
          <w:lang w:eastAsia="de-DE" w:bidi="de-DE"/>
        </w:rPr>
        <w:tab/>
        <w:t>§ 4 - Die betreffenden Steuerpflichtigen müssen [der in Artikel 47 Nr. 2 erwähnten Aufstellung] Folgendes beilegen:</w:t>
      </w:r>
    </w:p>
    <w:p w14:paraId="2F1FF69A" w14:textId="77777777" w:rsidR="005A5BD5" w:rsidRPr="00D4747A" w:rsidRDefault="005A5BD5" w:rsidP="004C2C7D">
      <w:pPr>
        <w:jc w:val="both"/>
        <w:rPr>
          <w:rFonts w:eastAsia="Calibri"/>
          <w:szCs w:val="22"/>
          <w:lang w:eastAsia="de-DE" w:bidi="de-DE"/>
        </w:rPr>
      </w:pPr>
    </w:p>
    <w:p w14:paraId="784441D1"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1. wenn es sich um Sachanlagen handelt:</w:t>
      </w:r>
    </w:p>
    <w:p w14:paraId="6D9DE0E4" w14:textId="77777777" w:rsidR="005A5BD5" w:rsidRPr="00D4747A" w:rsidRDefault="005A5BD5" w:rsidP="004C2C7D">
      <w:pPr>
        <w:jc w:val="both"/>
        <w:rPr>
          <w:rFonts w:eastAsia="Calibri"/>
          <w:szCs w:val="22"/>
          <w:lang w:eastAsia="de-DE" w:bidi="de-DE"/>
        </w:rPr>
      </w:pPr>
    </w:p>
    <w:p w14:paraId="5CC96F4E"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entweder ein Rechtfertigungsschreiben, das mit Verweis auf § 1 Buchstabe A Nr. 1, Nr. 2 Buchstabe </w:t>
      </w:r>
      <w:r w:rsidRPr="00D4747A">
        <w:rPr>
          <w:rFonts w:eastAsia="Calibri"/>
          <w:i/>
          <w:szCs w:val="22"/>
          <w:lang w:eastAsia="de-DE" w:bidi="de-DE"/>
        </w:rPr>
        <w:t>a)</w:t>
      </w:r>
      <w:r w:rsidRPr="00D4747A">
        <w:rPr>
          <w:rFonts w:eastAsia="Calibri"/>
          <w:szCs w:val="22"/>
          <w:lang w:eastAsia="de-DE" w:bidi="de-DE"/>
        </w:rPr>
        <w:t xml:space="preserve"> oder </w:t>
      </w:r>
      <w:r w:rsidRPr="00D4747A">
        <w:rPr>
          <w:rFonts w:eastAsia="Calibri"/>
          <w:i/>
          <w:szCs w:val="22"/>
          <w:lang w:eastAsia="de-DE" w:bidi="de-DE"/>
        </w:rPr>
        <w:t>b)</w:t>
      </w:r>
      <w:r w:rsidRPr="00D4747A">
        <w:rPr>
          <w:rFonts w:eastAsia="Calibri"/>
          <w:szCs w:val="22"/>
          <w:lang w:eastAsia="de-DE" w:bidi="de-DE"/>
        </w:rPr>
        <w:t xml:space="preserve"> oder Nr. 3 nachweist, dass die Anlagen eine der erforderlichen Bedingungen erfüllen,</w:t>
      </w:r>
    </w:p>
    <w:p w14:paraId="36BFF381" w14:textId="77777777" w:rsidR="005A5BD5" w:rsidRPr="00D4747A" w:rsidRDefault="005A5BD5" w:rsidP="004C2C7D">
      <w:pPr>
        <w:jc w:val="both"/>
        <w:rPr>
          <w:rFonts w:eastAsia="Calibri"/>
          <w:szCs w:val="22"/>
          <w:lang w:eastAsia="de-DE" w:bidi="de-DE"/>
        </w:rPr>
      </w:pPr>
    </w:p>
    <w:p w14:paraId="7CED727A"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oder ein</w:t>
      </w:r>
      <w:r>
        <w:rPr>
          <w:rFonts w:eastAsia="Calibri"/>
          <w:szCs w:val="22"/>
          <w:lang w:eastAsia="de-DE" w:bidi="de-DE"/>
        </w:rPr>
        <w:t>en</w:t>
      </w:r>
      <w:r w:rsidRPr="00D4747A">
        <w:rPr>
          <w:rFonts w:eastAsia="Calibri"/>
          <w:szCs w:val="22"/>
          <w:lang w:eastAsia="de-DE" w:bidi="de-DE"/>
        </w:rPr>
        <w:t xml:space="preserve"> in § 1 Buchstabe A Nr. 2 Buchstabe </w:t>
      </w:r>
      <w:r w:rsidRPr="00D4747A">
        <w:rPr>
          <w:rFonts w:eastAsia="Calibri"/>
          <w:i/>
          <w:szCs w:val="22"/>
          <w:lang w:eastAsia="de-DE" w:bidi="de-DE"/>
        </w:rPr>
        <w:t>c)</w:t>
      </w:r>
      <w:r w:rsidRPr="00D4747A">
        <w:rPr>
          <w:rFonts w:eastAsia="Calibri"/>
          <w:szCs w:val="22"/>
          <w:lang w:eastAsia="de-DE" w:bidi="de-DE"/>
        </w:rPr>
        <w:t xml:space="preserve"> erwähnte</w:t>
      </w:r>
      <w:r>
        <w:rPr>
          <w:rFonts w:eastAsia="Calibri"/>
          <w:szCs w:val="22"/>
          <w:lang w:eastAsia="de-DE" w:bidi="de-DE"/>
        </w:rPr>
        <w:t>n</w:t>
      </w:r>
      <w:r w:rsidRPr="00D4747A">
        <w:rPr>
          <w:rFonts w:eastAsia="Calibri"/>
          <w:szCs w:val="22"/>
          <w:lang w:eastAsia="de-DE" w:bidi="de-DE"/>
        </w:rPr>
        <w:t xml:space="preserve"> Antrag auf Aner</w:t>
      </w:r>
      <w:r>
        <w:rPr>
          <w:rFonts w:eastAsia="Calibri"/>
          <w:szCs w:val="22"/>
          <w:lang w:eastAsia="de-DE" w:bidi="de-DE"/>
        </w:rPr>
        <w:softHyphen/>
      </w:r>
      <w:r w:rsidRPr="00D4747A">
        <w:rPr>
          <w:rFonts w:eastAsia="Calibri"/>
          <w:szCs w:val="22"/>
          <w:lang w:eastAsia="de-DE" w:bidi="de-DE"/>
        </w:rPr>
        <w:t>kennung; dieser Antrag muss mit Gründen versehen sein und ihm müssen alle Angaben beiliegen, die erforderlich sind, um über seine Begründetheit zu urteilen.</w:t>
      </w:r>
    </w:p>
    <w:p w14:paraId="3C4DB1A0" w14:textId="77777777" w:rsidR="005A5BD5" w:rsidRPr="00D4747A" w:rsidRDefault="005A5BD5" w:rsidP="004C2C7D">
      <w:pPr>
        <w:jc w:val="both"/>
        <w:rPr>
          <w:rFonts w:eastAsia="Calibri"/>
          <w:szCs w:val="22"/>
          <w:lang w:eastAsia="de-DE" w:bidi="de-DE"/>
        </w:rPr>
      </w:pPr>
    </w:p>
    <w:p w14:paraId="0BA411FB"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Für die in § 1 Buchstabe A Nr. 2 Buchstabe </w:t>
      </w:r>
      <w:r w:rsidRPr="00D4747A">
        <w:rPr>
          <w:rFonts w:eastAsia="Calibri"/>
          <w:i/>
          <w:szCs w:val="22"/>
          <w:lang w:eastAsia="de-DE" w:bidi="de-DE"/>
        </w:rPr>
        <w:t>b)</w:t>
      </w:r>
      <w:r w:rsidRPr="00D4747A">
        <w:rPr>
          <w:rFonts w:eastAsia="Calibri"/>
          <w:szCs w:val="22"/>
          <w:lang w:eastAsia="de-DE" w:bidi="de-DE"/>
        </w:rPr>
        <w:t xml:space="preserve"> und </w:t>
      </w:r>
      <w:r w:rsidRPr="00D4747A">
        <w:rPr>
          <w:rFonts w:eastAsia="Calibri"/>
          <w:i/>
          <w:szCs w:val="22"/>
          <w:lang w:eastAsia="de-DE" w:bidi="de-DE"/>
        </w:rPr>
        <w:t>c)</w:t>
      </w:r>
      <w:r w:rsidRPr="00D4747A">
        <w:rPr>
          <w:rFonts w:eastAsia="Calibri"/>
          <w:szCs w:val="22"/>
          <w:lang w:eastAsia="de-DE" w:bidi="de-DE"/>
        </w:rPr>
        <w:t xml:space="preserve"> erwähnten Anlagen müssen außerdem die Forschungsziele, für die diese Anlagen erforderlich sind, durch folgende nähere Angaben bestimmt werden:</w:t>
      </w:r>
    </w:p>
    <w:p w14:paraId="30528F45" w14:textId="77777777" w:rsidR="005A5BD5" w:rsidRPr="00D4747A" w:rsidRDefault="005A5BD5" w:rsidP="004C2C7D">
      <w:pPr>
        <w:jc w:val="both"/>
        <w:rPr>
          <w:rFonts w:eastAsia="Calibri"/>
          <w:szCs w:val="22"/>
          <w:lang w:eastAsia="de-DE" w:bidi="de-DE"/>
        </w:rPr>
      </w:pPr>
    </w:p>
    <w:p w14:paraId="6A4F0FAC"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a)</w:t>
      </w:r>
      <w:r w:rsidRPr="00D4747A">
        <w:rPr>
          <w:rFonts w:eastAsia="Calibri"/>
          <w:szCs w:val="22"/>
          <w:lang w:eastAsia="de-DE" w:bidi="de-DE"/>
        </w:rPr>
        <w:t> Ziel der Tätigkeiten, für die diese Anlage genutzt wird,</w:t>
      </w:r>
    </w:p>
    <w:p w14:paraId="76192FDE" w14:textId="77777777" w:rsidR="005A5BD5" w:rsidRPr="00D4747A" w:rsidRDefault="005A5BD5" w:rsidP="004C2C7D">
      <w:pPr>
        <w:jc w:val="both"/>
        <w:rPr>
          <w:rFonts w:eastAsia="Calibri"/>
          <w:szCs w:val="22"/>
          <w:lang w:eastAsia="de-DE" w:bidi="de-DE"/>
        </w:rPr>
      </w:pPr>
    </w:p>
    <w:p w14:paraId="3F4E578D"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b)</w:t>
      </w:r>
      <w:r w:rsidRPr="00D4747A">
        <w:rPr>
          <w:rFonts w:eastAsia="Calibri"/>
          <w:szCs w:val="22"/>
          <w:lang w:eastAsia="de-DE" w:bidi="de-DE"/>
        </w:rPr>
        <w:t> Grundsätze oder Hypothesen, die diesen Tätigkeiten zugrunde liegen,</w:t>
      </w:r>
    </w:p>
    <w:p w14:paraId="3B819876" w14:textId="77777777" w:rsidR="005A5BD5" w:rsidRPr="00D4747A" w:rsidRDefault="005A5BD5" w:rsidP="004C2C7D">
      <w:pPr>
        <w:jc w:val="both"/>
        <w:rPr>
          <w:rFonts w:eastAsia="Calibri"/>
          <w:szCs w:val="22"/>
          <w:lang w:eastAsia="de-DE" w:bidi="de-DE"/>
        </w:rPr>
      </w:pPr>
    </w:p>
    <w:p w14:paraId="75C2B158" w14:textId="77777777" w:rsidR="005A5BD5"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c)</w:t>
      </w:r>
      <w:r w:rsidRPr="00D4747A">
        <w:rPr>
          <w:rFonts w:eastAsia="Calibri"/>
          <w:szCs w:val="22"/>
          <w:lang w:eastAsia="de-DE" w:bidi="de-DE"/>
        </w:rPr>
        <w:t> technische Schwierigkeiten, die mit diesen Tätigkeiten überwunden werden sollen,</w:t>
      </w:r>
    </w:p>
    <w:p w14:paraId="491A6BF0" w14:textId="77777777" w:rsidR="003B5C18" w:rsidRDefault="003B5C18" w:rsidP="004C2C7D">
      <w:pPr>
        <w:jc w:val="both"/>
        <w:rPr>
          <w:rFonts w:eastAsia="Calibri"/>
          <w:szCs w:val="22"/>
          <w:lang w:eastAsia="de-DE" w:bidi="de-DE"/>
        </w:rPr>
      </w:pPr>
    </w:p>
    <w:p w14:paraId="15ABB07B"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d)</w:t>
      </w:r>
      <w:r w:rsidRPr="00D4747A">
        <w:rPr>
          <w:rFonts w:eastAsia="Calibri"/>
          <w:szCs w:val="22"/>
          <w:lang w:eastAsia="de-DE" w:bidi="de-DE"/>
        </w:rPr>
        <w:t> innovativer Charakter, den die Tätigkeiten für das Unternehmen darstellen,</w:t>
      </w:r>
    </w:p>
    <w:p w14:paraId="769E0D70" w14:textId="77777777" w:rsidR="005A5BD5" w:rsidRPr="00D4747A" w:rsidRDefault="005A5BD5" w:rsidP="004C2C7D">
      <w:pPr>
        <w:jc w:val="both"/>
        <w:rPr>
          <w:rFonts w:eastAsia="Calibri"/>
          <w:szCs w:val="22"/>
          <w:lang w:eastAsia="de-DE" w:bidi="de-DE"/>
        </w:rPr>
      </w:pPr>
    </w:p>
    <w:p w14:paraId="287668B7"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e)</w:t>
      </w:r>
      <w:r w:rsidRPr="00D4747A">
        <w:rPr>
          <w:rFonts w:eastAsia="Calibri"/>
          <w:szCs w:val="22"/>
          <w:lang w:eastAsia="de-DE" w:bidi="de-DE"/>
        </w:rPr>
        <w:t> technische und wirtschaftliche Vorteile, die das Unternehmen aus diesen Tätigkeiten ziehen will,</w:t>
      </w:r>
    </w:p>
    <w:p w14:paraId="619C0507" w14:textId="77777777" w:rsidR="005A5BD5" w:rsidRPr="00D4747A" w:rsidRDefault="005A5BD5" w:rsidP="004C2C7D">
      <w:pPr>
        <w:jc w:val="both"/>
        <w:rPr>
          <w:rFonts w:eastAsia="Calibri"/>
          <w:szCs w:val="22"/>
          <w:lang w:eastAsia="de-DE" w:bidi="de-DE"/>
        </w:rPr>
      </w:pPr>
    </w:p>
    <w:p w14:paraId="3979C17F"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f)</w:t>
      </w:r>
      <w:r w:rsidRPr="00D4747A">
        <w:rPr>
          <w:rFonts w:eastAsia="Calibri"/>
          <w:szCs w:val="22"/>
          <w:lang w:eastAsia="de-DE" w:bidi="de-DE"/>
        </w:rPr>
        <w:t> Merkmale der Anlage,</w:t>
      </w:r>
    </w:p>
    <w:p w14:paraId="0F010AD1" w14:textId="77777777" w:rsidR="005A5BD5" w:rsidRPr="00D4747A" w:rsidRDefault="005A5BD5" w:rsidP="004C2C7D">
      <w:pPr>
        <w:jc w:val="both"/>
        <w:rPr>
          <w:rFonts w:eastAsia="Calibri"/>
          <w:szCs w:val="22"/>
          <w:lang w:eastAsia="de-DE" w:bidi="de-DE"/>
        </w:rPr>
      </w:pPr>
    </w:p>
    <w:p w14:paraId="3608BA0F"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2. wenn es sich um von Dritten erworbene immaterielle Anlagen handelt[, die keine Patente sind]:</w:t>
      </w:r>
    </w:p>
    <w:p w14:paraId="07D6ABE4" w14:textId="77777777" w:rsidR="005A5BD5" w:rsidRPr="00D4747A" w:rsidRDefault="005A5BD5" w:rsidP="004C2C7D">
      <w:pPr>
        <w:jc w:val="both"/>
        <w:rPr>
          <w:rFonts w:eastAsia="Calibri"/>
          <w:szCs w:val="22"/>
          <w:lang w:eastAsia="de-DE" w:bidi="de-DE"/>
        </w:rPr>
      </w:pPr>
    </w:p>
    <w:p w14:paraId="518D0685"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a)</w:t>
      </w:r>
      <w:r w:rsidRPr="00D4747A">
        <w:rPr>
          <w:rFonts w:eastAsia="Calibri"/>
          <w:szCs w:val="22"/>
          <w:lang w:eastAsia="de-DE" w:bidi="de-DE"/>
        </w:rPr>
        <w:t> Rechtfertigung des Potenzials der Anlagen, Forschung und Entwicklung neuer Produkte oder hoch entwickelter Technologien zu fördern; diesbezüglich kann der Minister der Finanzen vom Minister der Wirtschaftsangelegenheiten oder vom Minister, zu dessen Zuständigkeitsbereich der Mittelstand gehört, und vom Minister, zu dessen Zuständigkeits</w:t>
      </w:r>
      <w:r w:rsidRPr="00D4747A">
        <w:rPr>
          <w:rFonts w:eastAsia="Calibri"/>
          <w:szCs w:val="22"/>
          <w:lang w:eastAsia="de-DE" w:bidi="de-DE"/>
        </w:rPr>
        <w:softHyphen/>
        <w:t>bereich die Wissenschaftspolitik gehört, eine gemeinsame Bescheinigung verlangen,</w:t>
      </w:r>
    </w:p>
    <w:p w14:paraId="2A3FFB1A" w14:textId="77777777" w:rsidR="005A5BD5" w:rsidRPr="00D4747A" w:rsidRDefault="005A5BD5" w:rsidP="004C2C7D">
      <w:pPr>
        <w:jc w:val="both"/>
        <w:rPr>
          <w:rFonts w:eastAsia="Calibri"/>
          <w:szCs w:val="22"/>
          <w:lang w:eastAsia="de-DE" w:bidi="de-DE"/>
        </w:rPr>
      </w:pPr>
    </w:p>
    <w:p w14:paraId="7390E5AA"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b)</w:t>
      </w:r>
      <w:r w:rsidRPr="00D4747A">
        <w:rPr>
          <w:rFonts w:eastAsia="Calibri"/>
          <w:szCs w:val="22"/>
          <w:lang w:eastAsia="de-DE" w:bidi="de-DE"/>
        </w:rPr>
        <w:t> Abschrift des Vertrags, auf dessen Grundlage das Unternehmen die Anlage erworben hat,</w:t>
      </w:r>
    </w:p>
    <w:p w14:paraId="18C7A711" w14:textId="77777777" w:rsidR="005A5BD5" w:rsidRPr="00D4747A" w:rsidRDefault="005A5BD5" w:rsidP="004C2C7D">
      <w:pPr>
        <w:jc w:val="both"/>
        <w:rPr>
          <w:rFonts w:eastAsia="Calibri"/>
          <w:szCs w:val="22"/>
          <w:lang w:eastAsia="de-DE" w:bidi="de-DE"/>
        </w:rPr>
      </w:pPr>
    </w:p>
    <w:p w14:paraId="3E60F7D7"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c)</w:t>
      </w:r>
      <w:r w:rsidRPr="00D4747A">
        <w:rPr>
          <w:rFonts w:eastAsia="Calibri"/>
          <w:szCs w:val="22"/>
          <w:lang w:eastAsia="de-DE" w:bidi="de-DE"/>
        </w:rPr>
        <w:t> Beweis, dass die Anlage ein immaterielles Gut ist, das noch nie von einem Unternehmen zur Ausübung seiner beruflichen Tätigkeit in Belgien genutzt worden ist,</w:t>
      </w:r>
    </w:p>
    <w:p w14:paraId="2910C395" w14:textId="77777777" w:rsidR="005A5BD5" w:rsidRPr="00D4747A" w:rsidRDefault="005A5BD5" w:rsidP="004C2C7D">
      <w:pPr>
        <w:jc w:val="both"/>
        <w:rPr>
          <w:rFonts w:eastAsia="Calibri"/>
          <w:szCs w:val="22"/>
          <w:lang w:eastAsia="de-DE" w:bidi="de-DE"/>
        </w:rPr>
      </w:pPr>
    </w:p>
    <w:p w14:paraId="032BE1C1" w14:textId="18962DFC" w:rsidR="005A5BD5" w:rsidRPr="00D4747A" w:rsidRDefault="005A5BD5" w:rsidP="00B27F11">
      <w:pPr>
        <w:jc w:val="both"/>
        <w:rPr>
          <w:rFonts w:eastAsia="Calibri"/>
          <w:szCs w:val="22"/>
          <w:lang w:eastAsia="de-DE" w:bidi="de-DE"/>
        </w:rPr>
      </w:pPr>
      <w:r w:rsidRPr="00D4747A">
        <w:rPr>
          <w:rFonts w:eastAsia="Calibri"/>
          <w:szCs w:val="22"/>
          <w:lang w:eastAsia="de-DE" w:bidi="de-DE"/>
        </w:rPr>
        <w:lastRenderedPageBreak/>
        <w:tab/>
        <w:t>3. wenn es sich um immaterielle Anlagen handelt, die das Unternehmen in einem Forschungszentrum gebildet hat:</w:t>
      </w:r>
    </w:p>
    <w:p w14:paraId="45806C8C" w14:textId="77777777" w:rsidR="005A5BD5" w:rsidRPr="00D4747A" w:rsidRDefault="005A5BD5" w:rsidP="004C2C7D">
      <w:pPr>
        <w:jc w:val="both"/>
        <w:rPr>
          <w:rFonts w:eastAsia="Calibri"/>
          <w:szCs w:val="22"/>
          <w:lang w:eastAsia="de-DE" w:bidi="de-DE"/>
        </w:rPr>
      </w:pPr>
    </w:p>
    <w:p w14:paraId="6AD122FB"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a)</w:t>
      </w:r>
      <w:r w:rsidRPr="00D4747A">
        <w:rPr>
          <w:rFonts w:eastAsia="Calibri"/>
          <w:szCs w:val="22"/>
          <w:lang w:eastAsia="de-DE" w:bidi="de-DE"/>
        </w:rPr>
        <w:t> in § 1 Buchstabe A Nr. 1 erwähntes getrenntes Kontensystem, das es ermöglicht, die Kosten dieses Forschungszentrums zu bestimmen; der Minister der Finanzen kann Form und Inhalt dieser Konten bestimmen und gegebenenfalls ihre Bestätigung verlangen,</w:t>
      </w:r>
    </w:p>
    <w:p w14:paraId="7437EC25" w14:textId="77777777" w:rsidR="005A5BD5" w:rsidRPr="00D4747A" w:rsidRDefault="005A5BD5" w:rsidP="004C2C7D">
      <w:pPr>
        <w:jc w:val="both"/>
        <w:rPr>
          <w:rFonts w:eastAsia="Calibri"/>
          <w:szCs w:val="22"/>
          <w:lang w:eastAsia="de-DE" w:bidi="de-DE"/>
        </w:rPr>
      </w:pPr>
    </w:p>
    <w:p w14:paraId="206B361D"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b)</w:t>
      </w:r>
      <w:r w:rsidRPr="00D4747A">
        <w:rPr>
          <w:rFonts w:eastAsia="Calibri"/>
          <w:szCs w:val="22"/>
          <w:lang w:eastAsia="de-DE" w:bidi="de-DE"/>
        </w:rPr>
        <w:t> Darlegung der Regeln, die das Unternehmen dazu veranlasst haben, seine Forschungskosten wie immaterielle Anlagen zu behandeln,</w:t>
      </w:r>
    </w:p>
    <w:p w14:paraId="4C07B4F3" w14:textId="77777777" w:rsidR="005A5BD5" w:rsidRPr="00D4747A" w:rsidRDefault="005A5BD5" w:rsidP="004C2C7D">
      <w:pPr>
        <w:jc w:val="both"/>
        <w:rPr>
          <w:rFonts w:eastAsia="Calibri"/>
          <w:szCs w:val="22"/>
          <w:lang w:eastAsia="de-DE" w:bidi="de-DE"/>
        </w:rPr>
      </w:pPr>
    </w:p>
    <w:p w14:paraId="5EB5B3E1"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c)</w:t>
      </w:r>
      <w:r w:rsidRPr="00D4747A">
        <w:rPr>
          <w:rFonts w:eastAsia="Calibri"/>
          <w:szCs w:val="22"/>
          <w:lang w:eastAsia="de-DE" w:bidi="de-DE"/>
        </w:rPr>
        <w:t> detaillierte Aufstellung der Berechnung der Teile der Sachanlagen, die gemäß § 1 Buchstabe B Absatz 2 aus der Berechnungsgrundlage des Investitionsabzugs ausgeschlossen werden müssen,</w:t>
      </w:r>
    </w:p>
    <w:p w14:paraId="7BC2A443" w14:textId="77777777" w:rsidR="005A5BD5" w:rsidRPr="00D4747A" w:rsidRDefault="005A5BD5" w:rsidP="004C2C7D">
      <w:pPr>
        <w:jc w:val="both"/>
        <w:rPr>
          <w:rFonts w:eastAsia="Calibri"/>
          <w:szCs w:val="22"/>
          <w:lang w:eastAsia="de-DE" w:bidi="de-DE"/>
        </w:rPr>
      </w:pPr>
    </w:p>
    <w:p w14:paraId="7524A342" w14:textId="31A6DBCD" w:rsidR="005A5BD5" w:rsidRPr="00D4747A" w:rsidRDefault="005A5BD5" w:rsidP="00887AA4">
      <w:pPr>
        <w:ind w:firstLine="708"/>
        <w:jc w:val="both"/>
        <w:rPr>
          <w:rFonts w:eastAsia="Calibri"/>
          <w:szCs w:val="22"/>
          <w:lang w:eastAsia="de-DE" w:bidi="de-DE"/>
        </w:rPr>
      </w:pPr>
      <w:r w:rsidRPr="00D4747A">
        <w:rPr>
          <w:rFonts w:eastAsia="Calibri"/>
          <w:szCs w:val="22"/>
          <w:lang w:eastAsia="de-DE" w:bidi="de-DE"/>
        </w:rPr>
        <w:t>4. wenn es sich um immaterielle Anlagen handelt, die vom Unternehmen außerhalb eines Forschungszentrums gebildet werden:</w:t>
      </w:r>
    </w:p>
    <w:p w14:paraId="1998242C" w14:textId="77777777" w:rsidR="005A5BD5" w:rsidRPr="00D4747A" w:rsidRDefault="005A5BD5" w:rsidP="004C2C7D">
      <w:pPr>
        <w:jc w:val="both"/>
        <w:rPr>
          <w:rFonts w:eastAsia="Calibri"/>
          <w:szCs w:val="22"/>
          <w:lang w:eastAsia="de-DE" w:bidi="de-DE"/>
        </w:rPr>
      </w:pPr>
    </w:p>
    <w:p w14:paraId="7CB075EF"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a)</w:t>
      </w:r>
      <w:r w:rsidRPr="00D4747A">
        <w:rPr>
          <w:rFonts w:eastAsia="Calibri"/>
          <w:szCs w:val="22"/>
          <w:lang w:eastAsia="de-DE" w:bidi="de-DE"/>
        </w:rPr>
        <w:t> Beweis, dass die in den Anlagen erfassten Forschungskosten für eine in § 1 Buchstabe A Nr. 2 Buchstabe </w:t>
      </w:r>
      <w:r w:rsidRPr="00D4747A">
        <w:rPr>
          <w:rFonts w:eastAsia="Calibri"/>
          <w:i/>
          <w:szCs w:val="22"/>
          <w:lang w:eastAsia="de-DE" w:bidi="de-DE"/>
        </w:rPr>
        <w:t>a)</w:t>
      </w:r>
      <w:r w:rsidRPr="00D4747A">
        <w:rPr>
          <w:rFonts w:eastAsia="Calibri"/>
          <w:szCs w:val="22"/>
          <w:lang w:eastAsia="de-DE" w:bidi="de-DE"/>
        </w:rPr>
        <w:t xml:space="preserve"> erwähnte Beteiligung berücksichtigt wurden,</w:t>
      </w:r>
    </w:p>
    <w:p w14:paraId="18A95CBE" w14:textId="77777777" w:rsidR="005A5BD5" w:rsidRPr="00D4747A" w:rsidRDefault="005A5BD5" w:rsidP="004C2C7D">
      <w:pPr>
        <w:jc w:val="both"/>
        <w:rPr>
          <w:rFonts w:eastAsia="Calibri"/>
          <w:szCs w:val="22"/>
          <w:lang w:eastAsia="de-DE" w:bidi="de-DE"/>
        </w:rPr>
      </w:pPr>
    </w:p>
    <w:p w14:paraId="3457B5DF"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b)</w:t>
      </w:r>
      <w:r w:rsidRPr="00D4747A">
        <w:rPr>
          <w:rFonts w:eastAsia="Calibri"/>
          <w:szCs w:val="22"/>
          <w:lang w:eastAsia="de-DE" w:bidi="de-DE"/>
        </w:rPr>
        <w:t> in § 1 Buchstabe B letzter Absatz erwähnte</w:t>
      </w:r>
      <w:r>
        <w:rPr>
          <w:rFonts w:eastAsia="Calibri"/>
          <w:szCs w:val="22"/>
          <w:lang w:eastAsia="de-DE" w:bidi="de-DE"/>
        </w:rPr>
        <w:t>n</w:t>
      </w:r>
      <w:r w:rsidRPr="00D4747A">
        <w:rPr>
          <w:rFonts w:eastAsia="Calibri"/>
          <w:szCs w:val="22"/>
          <w:lang w:eastAsia="de-DE" w:bidi="de-DE"/>
        </w:rPr>
        <w:t xml:space="preserve"> Antrag auf Anerkennung; dieser Antrag muss mit Gründen versehen sein und ihm müssen alle Angaben beiliegen, die erforderlich sind, um über seine Begründetheit zu urteilen,</w:t>
      </w:r>
    </w:p>
    <w:p w14:paraId="23E9057A" w14:textId="77777777" w:rsidR="005A5BD5" w:rsidRPr="00D4747A" w:rsidRDefault="005A5BD5" w:rsidP="004C2C7D">
      <w:pPr>
        <w:jc w:val="both"/>
        <w:rPr>
          <w:rFonts w:eastAsia="Calibri"/>
          <w:szCs w:val="22"/>
          <w:lang w:eastAsia="de-DE" w:bidi="de-DE"/>
        </w:rPr>
      </w:pPr>
    </w:p>
    <w:p w14:paraId="3D83EE84"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c)</w:t>
      </w:r>
      <w:r w:rsidRPr="00D4747A">
        <w:rPr>
          <w:rFonts w:eastAsia="Calibri"/>
          <w:szCs w:val="22"/>
          <w:lang w:eastAsia="de-DE" w:bidi="de-DE"/>
        </w:rPr>
        <w:t> Konten, die es ermöglichen, die Höhe der entstandenen Kosten zu bestimmen; der Minister der Finanzen kann Form und Inhalt dieser Konten bestimmen und gegebenenfalls ihre Bestätigung verlangen,</w:t>
      </w:r>
    </w:p>
    <w:p w14:paraId="09620597" w14:textId="77777777" w:rsidR="003B5C18" w:rsidRDefault="003B5C18" w:rsidP="004C2C7D">
      <w:pPr>
        <w:jc w:val="both"/>
        <w:rPr>
          <w:rFonts w:eastAsia="Calibri"/>
          <w:szCs w:val="22"/>
          <w:lang w:eastAsia="de-DE" w:bidi="de-DE"/>
        </w:rPr>
      </w:pPr>
    </w:p>
    <w:p w14:paraId="107D17D9"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d)</w:t>
      </w:r>
      <w:r w:rsidRPr="00D4747A">
        <w:rPr>
          <w:rFonts w:eastAsia="Calibri"/>
          <w:szCs w:val="22"/>
          <w:lang w:eastAsia="de-DE" w:bidi="de-DE"/>
        </w:rPr>
        <w:t> detaillierte Aufstellung der Berechnung der Teile der Sachanlagen, die gemäß § 1 Buchstabe B Absatz 2 aus der Berechnungsgrundlage des Investitionsabzugs ausgeschlossen werden müssen,</w:t>
      </w:r>
    </w:p>
    <w:p w14:paraId="2A0896D5" w14:textId="77777777" w:rsidR="005A5BD5" w:rsidRPr="00D4747A" w:rsidRDefault="005A5BD5" w:rsidP="004C2C7D">
      <w:pPr>
        <w:jc w:val="both"/>
        <w:rPr>
          <w:rFonts w:eastAsia="Calibri"/>
          <w:szCs w:val="22"/>
          <w:lang w:eastAsia="de-DE" w:bidi="de-DE"/>
        </w:rPr>
      </w:pPr>
    </w:p>
    <w:p w14:paraId="268F294B"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5. von [der zuständigen Regionalregierung] ausgestellte Bescheinigung, aus der hervorgeht, dass die neuen Produkte und hoch entwickelten Technologien, die sich aus der Forschung und Entwicklung, für die die betreffenden Anlagen genutzt werden, ergeben, keine Auswirkungen auf die Umwelt haben oder dass sie negative Auswirkungen auf die Umwelt verringern sollen.</w:t>
      </w:r>
    </w:p>
    <w:p w14:paraId="5D2FF9C3" w14:textId="77777777" w:rsidR="005A5BD5" w:rsidRPr="00D4747A" w:rsidRDefault="005A5BD5" w:rsidP="004C2C7D">
      <w:pPr>
        <w:jc w:val="both"/>
        <w:rPr>
          <w:rFonts w:eastAsia="Calibri"/>
          <w:szCs w:val="22"/>
          <w:lang w:eastAsia="de-DE" w:bidi="de-DE"/>
        </w:rPr>
      </w:pPr>
    </w:p>
    <w:p w14:paraId="148D8DAD" w14:textId="74A03FB3" w:rsidR="005A5BD5" w:rsidRPr="00D4747A" w:rsidRDefault="005A5BD5" w:rsidP="004C2C7D">
      <w:pPr>
        <w:jc w:val="both"/>
        <w:rPr>
          <w:rFonts w:eastAsia="Calibri"/>
          <w:i/>
          <w:szCs w:val="22"/>
          <w:lang w:eastAsia="de-DE" w:bidi="de-DE"/>
        </w:rPr>
      </w:pPr>
      <w:r w:rsidRPr="00D4747A">
        <w:rPr>
          <w:rFonts w:eastAsia="Calibri"/>
          <w:i/>
          <w:szCs w:val="22"/>
          <w:lang w:eastAsia="de-DE" w:bidi="de-DE"/>
        </w:rPr>
        <w:t>[Art. 48 § 1 einziger Absatz einleitende Bestimmung abgeändert durch Art. 3 des K.E. vom 21. September 2000 (B.S. vom 17. Oktober 2000)</w:t>
      </w:r>
      <w:r w:rsidR="00887AA4">
        <w:rPr>
          <w:rFonts w:eastAsia="Calibri"/>
          <w:i/>
          <w:szCs w:val="22"/>
          <w:lang w:eastAsia="de-DE" w:bidi="de-DE"/>
        </w:rPr>
        <w:t>,</w:t>
      </w:r>
      <w:r w:rsidRPr="00D4747A">
        <w:rPr>
          <w:rFonts w:eastAsia="Calibri"/>
          <w:i/>
          <w:szCs w:val="22"/>
          <w:lang w:eastAsia="de-DE" w:bidi="de-DE"/>
        </w:rPr>
        <w:t xml:space="preserve"> Art. 2 des K.E. vom 12. Mai 2003 (I) (B.S. vom 20. Mai 2003)</w:t>
      </w:r>
      <w:r w:rsidR="00887AA4">
        <w:rPr>
          <w:rFonts w:eastAsia="Calibri"/>
          <w:i/>
          <w:szCs w:val="22"/>
          <w:lang w:eastAsia="de-DE" w:bidi="de-DE"/>
        </w:rPr>
        <w:t xml:space="preserve"> und Art. 3</w:t>
      </w:r>
      <w:r w:rsidR="00887AA4" w:rsidRPr="00887AA4">
        <w:rPr>
          <w:rFonts w:eastAsia="Calibri"/>
          <w:i/>
          <w:szCs w:val="22"/>
          <w:lang w:eastAsia="de-DE" w:bidi="de-DE"/>
        </w:rPr>
        <w:t xml:space="preserve"> des K.E. vom 20. Dezember 2024 (B.S. vom 30. Dezember 2024)</w:t>
      </w:r>
      <w:r w:rsidRPr="00D4747A">
        <w:rPr>
          <w:rFonts w:eastAsia="Calibri"/>
          <w:i/>
          <w:szCs w:val="22"/>
          <w:lang w:eastAsia="de-DE" w:bidi="de-DE"/>
        </w:rPr>
        <w:t xml:space="preserve">; § 1 einziger Absatz Buchstabe A einziger Absatz Nr. 1 abgeändert durch Art. 2 Nr. 1 des K.E. vom 31. Januar 1996 (B.S. vom 12. März 1996); </w:t>
      </w:r>
      <w:r w:rsidR="009971A3" w:rsidRPr="00D4747A">
        <w:rPr>
          <w:rFonts w:eastAsia="Calibri"/>
          <w:i/>
          <w:szCs w:val="22"/>
          <w:lang w:eastAsia="de-DE" w:bidi="de-DE"/>
        </w:rPr>
        <w:t>§ 1 einziger Absatz Buchstabe A einziger Absatz Nr. </w:t>
      </w:r>
      <w:r w:rsidR="009971A3">
        <w:rPr>
          <w:rFonts w:eastAsia="Calibri"/>
          <w:i/>
          <w:szCs w:val="22"/>
          <w:lang w:eastAsia="de-DE" w:bidi="de-DE"/>
        </w:rPr>
        <w:t xml:space="preserve">2 einziger Absatz Buchstabe a) zweiter Gedankenstrich ersetzt durch Art. 1 des K.E. vom </w:t>
      </w:r>
      <w:r w:rsidR="005024BD">
        <w:rPr>
          <w:rFonts w:eastAsia="Calibri"/>
          <w:i/>
          <w:szCs w:val="22"/>
          <w:lang w:eastAsia="de-DE" w:bidi="de-DE"/>
        </w:rPr>
        <w:t>22. Mai 2017 (I</w:t>
      </w:r>
      <w:r w:rsidR="00F057F1">
        <w:rPr>
          <w:rFonts w:eastAsia="Calibri"/>
          <w:i/>
          <w:szCs w:val="22"/>
          <w:lang w:eastAsia="de-DE" w:bidi="de-DE"/>
        </w:rPr>
        <w:t>I</w:t>
      </w:r>
      <w:r w:rsidR="005024BD">
        <w:rPr>
          <w:rFonts w:eastAsia="Calibri"/>
          <w:i/>
          <w:szCs w:val="22"/>
          <w:lang w:eastAsia="de-DE" w:bidi="de-DE"/>
        </w:rPr>
        <w:t>)</w:t>
      </w:r>
      <w:r w:rsidR="009971A3">
        <w:rPr>
          <w:rFonts w:eastAsia="Calibri"/>
          <w:i/>
          <w:szCs w:val="22"/>
          <w:lang w:eastAsia="de-DE" w:bidi="de-DE"/>
        </w:rPr>
        <w:t xml:space="preserve"> (B.S. vom 6. Juni 2017);</w:t>
      </w:r>
      <w:r w:rsidR="009971A3" w:rsidRPr="00D4747A">
        <w:rPr>
          <w:rFonts w:eastAsia="Calibri"/>
          <w:i/>
          <w:szCs w:val="22"/>
          <w:lang w:eastAsia="de-DE" w:bidi="de-DE"/>
        </w:rPr>
        <w:t xml:space="preserve"> </w:t>
      </w:r>
      <w:r w:rsidRPr="00D4747A">
        <w:rPr>
          <w:rFonts w:eastAsia="Calibri"/>
          <w:i/>
          <w:szCs w:val="22"/>
          <w:lang w:eastAsia="de-DE" w:bidi="de-DE"/>
        </w:rPr>
        <w:t xml:space="preserve">§ 1 einziger Absatz Buchstabe B Abs. 1 abgeändert durch Art. 2 Nr. 2 des K.E. vom 31. Januar 1996 (B.S. vom 12. März 1996); § 2 abgeändert durch Art. 2 Nr. 3 des K.E. vom 31. Januar 1996 (B.S. vom 12. März 1996); § 4 einziger Absatz einleitende Bestimmung abgeändert durch Art. 5 des K.E. vom 11. Dezember 2006 (B.S. vom 18. Dezember 2006); § 4 einziger Absatz Nr. 2 einziger Absatz einleitende Bestimmung abgeändert durch Art. 2 Nr. 4 des K.E. vom 31. Januar 1996 (B.S. vom </w:t>
      </w:r>
      <w:r w:rsidRPr="00D4747A">
        <w:rPr>
          <w:rFonts w:eastAsia="Calibri"/>
          <w:i/>
          <w:szCs w:val="22"/>
          <w:lang w:eastAsia="de-DE" w:bidi="de-DE"/>
        </w:rPr>
        <w:lastRenderedPageBreak/>
        <w:t>12. März 1996); § 4 einziger Absatz Nr. 5 abgeändert durch Art. 3 des K.E. vom 5. Dezember 2011 (II) (B.S. vom 12. Dezember 2011)]</w:t>
      </w:r>
    </w:p>
    <w:p w14:paraId="1580E58A" w14:textId="77777777" w:rsidR="005A5BD5" w:rsidRPr="00D4747A" w:rsidRDefault="005A5BD5" w:rsidP="004C2C7D">
      <w:pPr>
        <w:jc w:val="both"/>
        <w:rPr>
          <w:rFonts w:eastAsia="Calibri"/>
          <w:szCs w:val="22"/>
          <w:lang w:eastAsia="de-DE" w:bidi="de-DE"/>
        </w:rPr>
      </w:pPr>
    </w:p>
    <w:p w14:paraId="0CF2A1BF" w14:textId="77777777" w:rsidR="005A5BD5" w:rsidRPr="00D4747A" w:rsidRDefault="005A5BD5" w:rsidP="004C2C7D">
      <w:pPr>
        <w:jc w:val="both"/>
        <w:rPr>
          <w:rFonts w:eastAsia="Calibri"/>
          <w:szCs w:val="22"/>
          <w:lang w:eastAsia="de-DE" w:bidi="de-DE"/>
        </w:rPr>
      </w:pPr>
    </w:p>
    <w:p w14:paraId="13BAAF88" w14:textId="77777777" w:rsidR="001F7921" w:rsidRPr="007A314E" w:rsidRDefault="005A5BD5" w:rsidP="001F7921">
      <w:pPr>
        <w:jc w:val="both"/>
      </w:pPr>
      <w:r w:rsidRPr="00D4747A">
        <w:rPr>
          <w:rFonts w:eastAsia="Calibri"/>
          <w:szCs w:val="22"/>
          <w:lang w:eastAsia="de-DE" w:bidi="de-DE"/>
        </w:rPr>
        <w:tab/>
      </w:r>
      <w:r w:rsidRPr="00D4747A">
        <w:rPr>
          <w:rFonts w:eastAsia="Calibri"/>
          <w:b/>
          <w:szCs w:val="22"/>
          <w:lang w:eastAsia="de-DE" w:bidi="de-DE"/>
        </w:rPr>
        <w:t>Art. 49</w:t>
      </w:r>
      <w:r w:rsidRPr="00D4747A">
        <w:rPr>
          <w:rFonts w:eastAsia="Calibri"/>
          <w:szCs w:val="22"/>
          <w:lang w:eastAsia="de-DE" w:bidi="de-DE"/>
        </w:rPr>
        <w:t xml:space="preserve"> - </w:t>
      </w:r>
      <w:r w:rsidR="00887AA4">
        <w:rPr>
          <w:rFonts w:eastAsia="Calibri"/>
          <w:szCs w:val="22"/>
          <w:lang w:eastAsia="de-DE" w:bidi="de-DE"/>
        </w:rPr>
        <w:t>[</w:t>
      </w:r>
      <w:r w:rsidR="001F7921" w:rsidRPr="007A314E">
        <w:t>§ 1 - Für die in Artikel 69/1 des Einkommensteuergesetzbuches 1992 erwähnten Anlagen beantragt der Steuerpflichtige schriftlich oder elektronisch die Bescheinigung bei dem aufgrund von Artikel 69/3 § 3 desselben Gesetzbuches zuständigen Minister:</w:t>
      </w:r>
    </w:p>
    <w:p w14:paraId="7BECB285" w14:textId="77777777" w:rsidR="001F7921" w:rsidRPr="007A314E" w:rsidRDefault="001F7921" w:rsidP="001F7921">
      <w:pPr>
        <w:jc w:val="both"/>
      </w:pPr>
    </w:p>
    <w:p w14:paraId="42898869" w14:textId="77777777" w:rsidR="001F7921" w:rsidRPr="007A314E" w:rsidRDefault="001F7921" w:rsidP="001F7921">
      <w:pPr>
        <w:jc w:val="both"/>
      </w:pPr>
      <w:r w:rsidRPr="007A314E">
        <w:tab/>
        <w:t>- zur Vermeidung des Verfalls binnen drei Monaten nach dem letzten Tag des Besteuerungszeitraums, in dem die Anlagen erworben oder gebildet werden,</w:t>
      </w:r>
    </w:p>
    <w:p w14:paraId="3142F3CB" w14:textId="77777777" w:rsidR="001F7921" w:rsidRPr="007A314E" w:rsidRDefault="001F7921" w:rsidP="001F7921">
      <w:pPr>
        <w:jc w:val="both"/>
      </w:pPr>
    </w:p>
    <w:p w14:paraId="708F8FCE" w14:textId="77777777" w:rsidR="001F7921" w:rsidRPr="007A314E" w:rsidRDefault="001F7921" w:rsidP="001F7921">
      <w:pPr>
        <w:jc w:val="both"/>
      </w:pPr>
      <w:r w:rsidRPr="007A314E">
        <w:tab/>
        <w:t>- anhand eines elektronischen oder nicht elektronischen ausgefüllten, datierten und unterzeichneten Formulars, dessen Muster vom Minister der Finanzen oder von seinem Beauftragten festgelegt wird.</w:t>
      </w:r>
    </w:p>
    <w:p w14:paraId="4E8CC29A" w14:textId="77777777" w:rsidR="001F7921" w:rsidRPr="007A314E" w:rsidRDefault="001F7921" w:rsidP="001F7921">
      <w:pPr>
        <w:jc w:val="both"/>
      </w:pPr>
    </w:p>
    <w:p w14:paraId="09127606" w14:textId="77777777" w:rsidR="001F7921" w:rsidRPr="007A314E" w:rsidRDefault="001F7921" w:rsidP="001F7921">
      <w:pPr>
        <w:jc w:val="both"/>
      </w:pPr>
      <w:r w:rsidRPr="007A314E">
        <w:tab/>
        <w:t>§ 2 - Die mit Gründen versehene Bescheinigung oder die mit Gründen versehene Ablehnung wird dem Steuerpflichtigen binnen sechs Monaten nach seinem Antrag übermittelt.</w:t>
      </w:r>
    </w:p>
    <w:p w14:paraId="2446831F" w14:textId="77777777" w:rsidR="001F7921" w:rsidRPr="007A314E" w:rsidRDefault="001F7921" w:rsidP="001F7921">
      <w:pPr>
        <w:jc w:val="both"/>
      </w:pPr>
    </w:p>
    <w:p w14:paraId="402105EB" w14:textId="77777777" w:rsidR="001F7921" w:rsidRPr="007A314E" w:rsidRDefault="001F7921" w:rsidP="001F7921">
      <w:pPr>
        <w:jc w:val="both"/>
      </w:pPr>
      <w:r w:rsidRPr="007A314E">
        <w:tab/>
        <w:t>§ 3 - Der Antrag auf Bescheinigung wie in § 1 erwähnt enthält unbeschadet der Bestimmungen des in Artikel 69/3 desselben Gesetzbuches erwähnten Zusammenarbeitsabkommens mindestens folgende Angaben:</w:t>
      </w:r>
    </w:p>
    <w:p w14:paraId="4DECD10D" w14:textId="77777777" w:rsidR="001F7921" w:rsidRPr="007A314E" w:rsidRDefault="001F7921" w:rsidP="001F7921">
      <w:pPr>
        <w:jc w:val="both"/>
      </w:pPr>
    </w:p>
    <w:p w14:paraId="111CC0E8" w14:textId="77777777" w:rsidR="001F7921" w:rsidRPr="007A314E" w:rsidRDefault="001F7921" w:rsidP="001F7921">
      <w:pPr>
        <w:jc w:val="both"/>
      </w:pPr>
      <w:r w:rsidRPr="007A314E">
        <w:tab/>
        <w:t>- zur Identifizierung des Steuerpflichtigen erforderliche Daten,</w:t>
      </w:r>
    </w:p>
    <w:p w14:paraId="17214E50" w14:textId="77777777" w:rsidR="001F7921" w:rsidRPr="007A314E" w:rsidRDefault="001F7921" w:rsidP="001F7921">
      <w:pPr>
        <w:jc w:val="both"/>
      </w:pPr>
    </w:p>
    <w:p w14:paraId="73C61838" w14:textId="77777777" w:rsidR="001F7921" w:rsidRPr="007A314E" w:rsidRDefault="001F7921" w:rsidP="001F7921">
      <w:pPr>
        <w:jc w:val="both"/>
      </w:pPr>
      <w:r w:rsidRPr="007A314E">
        <w:tab/>
        <w:t>- detaillierte technische Beschreibung der Investitionen mit Verweis auf die Anlage in der Investitionsliste,</w:t>
      </w:r>
    </w:p>
    <w:p w14:paraId="119C0F49" w14:textId="77777777" w:rsidR="001F7921" w:rsidRPr="007A314E" w:rsidRDefault="001F7921" w:rsidP="001F7921">
      <w:pPr>
        <w:jc w:val="both"/>
      </w:pPr>
    </w:p>
    <w:p w14:paraId="2B032F93" w14:textId="77777777" w:rsidR="001F7921" w:rsidRPr="007A314E" w:rsidRDefault="001F7921" w:rsidP="001F7921">
      <w:pPr>
        <w:jc w:val="both"/>
      </w:pPr>
      <w:r w:rsidRPr="007A314E">
        <w:tab/>
        <w:t>- Kopien der detaillierten Rechnungen.</w:t>
      </w:r>
    </w:p>
    <w:p w14:paraId="3444DBE4" w14:textId="77777777" w:rsidR="001F7921" w:rsidRPr="007A314E" w:rsidRDefault="001F7921" w:rsidP="001F7921">
      <w:pPr>
        <w:jc w:val="both"/>
      </w:pPr>
    </w:p>
    <w:p w14:paraId="50B48A3A" w14:textId="77777777" w:rsidR="001F7921" w:rsidRPr="007A314E" w:rsidRDefault="001F7921" w:rsidP="001F7921">
      <w:pPr>
        <w:jc w:val="both"/>
      </w:pPr>
      <w:r w:rsidRPr="007A314E">
        <w:tab/>
        <w:t>§ 4 - Der Steuerpflichtige hat die Möglichkeit, für die in § 1 erwähnten Anlagen, die Teil eines Investitionsvorhabens sind, das sich über mehr als einen Besteuerungszeitraum erstreckt, auch ein Investitionszertifikat auf der Grundlage der in diesem Besteuerungszeitraum geltenden Investitionslisten zu beantragen.</w:t>
      </w:r>
    </w:p>
    <w:p w14:paraId="3927A917" w14:textId="77777777" w:rsidR="001F7921" w:rsidRPr="007A314E" w:rsidRDefault="001F7921" w:rsidP="001F7921">
      <w:pPr>
        <w:jc w:val="both"/>
      </w:pPr>
    </w:p>
    <w:p w14:paraId="418E9EEA" w14:textId="77777777" w:rsidR="001F7921" w:rsidRPr="007A314E" w:rsidRDefault="001F7921" w:rsidP="001F7921">
      <w:pPr>
        <w:jc w:val="both"/>
      </w:pPr>
      <w:r w:rsidRPr="007A314E">
        <w:tab/>
        <w:t>Bei Anlagen, die Teil eines Investitionsvorhabens mit gebilligtem Investitionszertifikat sind, wird im Hinblick auf den Erhalt der Bescheinigung die Übereinstimmung auf der Grundlage der Listen beurteilt, die zum Zeitpunkt der Beantragung des Zertifikats in Kraft sind.</w:t>
      </w:r>
    </w:p>
    <w:p w14:paraId="17733C65" w14:textId="77777777" w:rsidR="001F7921" w:rsidRPr="007A314E" w:rsidRDefault="001F7921" w:rsidP="001F7921">
      <w:pPr>
        <w:jc w:val="both"/>
      </w:pPr>
    </w:p>
    <w:p w14:paraId="3AE0A9CF" w14:textId="77777777" w:rsidR="001F7921" w:rsidRPr="007A314E" w:rsidRDefault="001F7921" w:rsidP="001F7921">
      <w:pPr>
        <w:jc w:val="both"/>
      </w:pPr>
      <w:r w:rsidRPr="007A314E">
        <w:tab/>
        <w:t>§ 5 - Der Steuerpflichtige beantragt das in § 4 erwähnte Investitionszertifikat zur Vermeidung der Unzulässigkeit schriftlich oder elektronisch bei der Stelle, die von dem aufgrund von Artikel 69/3 § 3 desselben Gesetzbuches zuständigen Minister beauftragt worden ist, binnen drei Monaten nach dem letzten Tag des Besteuerungszeitraums, in dem das Investitionsvorhaben begonnen worden ist:</w:t>
      </w:r>
    </w:p>
    <w:p w14:paraId="57DF501A" w14:textId="77777777" w:rsidR="001F7921" w:rsidRPr="007A314E" w:rsidRDefault="001F7921" w:rsidP="001F7921">
      <w:pPr>
        <w:jc w:val="both"/>
      </w:pPr>
    </w:p>
    <w:p w14:paraId="2D10D07C" w14:textId="77777777" w:rsidR="001F7921" w:rsidRPr="007A314E" w:rsidRDefault="001F7921" w:rsidP="001F7921">
      <w:pPr>
        <w:jc w:val="both"/>
      </w:pPr>
      <w:r w:rsidRPr="007A314E">
        <w:tab/>
        <w:t>- anhand eines elektronischen oder nicht elektronischen ausgefüllten, datierten und unterzeichneten Formulars, dessen Muster vom Minister der Finanzen oder von seinem Beauftragten festgelegt wird,</w:t>
      </w:r>
    </w:p>
    <w:p w14:paraId="791AF31E" w14:textId="77777777" w:rsidR="001F7921" w:rsidRPr="007A314E" w:rsidRDefault="001F7921" w:rsidP="001F7921">
      <w:pPr>
        <w:jc w:val="both"/>
      </w:pPr>
    </w:p>
    <w:p w14:paraId="19EDD072" w14:textId="77777777" w:rsidR="001F7921" w:rsidRPr="007A314E" w:rsidRDefault="001F7921" w:rsidP="001F7921">
      <w:pPr>
        <w:jc w:val="both"/>
      </w:pPr>
      <w:r w:rsidRPr="007A314E">
        <w:lastRenderedPageBreak/>
        <w:tab/>
        <w:t>- unter Beifügung einer detaillierten technischen Beschreibung der vorgesehenen Investitionen mit Verweis auf die Anlage in der Investitionsliste,</w:t>
      </w:r>
    </w:p>
    <w:p w14:paraId="53625358" w14:textId="77777777" w:rsidR="001F7921" w:rsidRPr="007A314E" w:rsidRDefault="001F7921" w:rsidP="001F7921">
      <w:pPr>
        <w:jc w:val="both"/>
      </w:pPr>
    </w:p>
    <w:p w14:paraId="7E243E11" w14:textId="77777777" w:rsidR="001F7921" w:rsidRPr="007A314E" w:rsidRDefault="001F7921" w:rsidP="001F7921">
      <w:pPr>
        <w:jc w:val="both"/>
      </w:pPr>
      <w:r w:rsidRPr="007A314E">
        <w:tab/>
        <w:t>- unter Beifügung eines Finanzierungsplans mit einer mit Gründen versehenen Schätzung der Gesamtkosten des Investitionsvorhabens,</w:t>
      </w:r>
    </w:p>
    <w:p w14:paraId="4F6E0FFB" w14:textId="77777777" w:rsidR="001F7921" w:rsidRPr="007A314E" w:rsidRDefault="001F7921" w:rsidP="001F7921">
      <w:pPr>
        <w:jc w:val="both"/>
      </w:pPr>
    </w:p>
    <w:p w14:paraId="4C67E91F" w14:textId="77777777" w:rsidR="001F7921" w:rsidRPr="007A314E" w:rsidRDefault="001F7921" w:rsidP="001F7921">
      <w:pPr>
        <w:jc w:val="both"/>
      </w:pPr>
      <w:r w:rsidRPr="007A314E">
        <w:tab/>
        <w:t>- unter Beifügung der mit Gründen versehenen geschätzten Dauer des Investitionsvorhabens.</w:t>
      </w:r>
    </w:p>
    <w:p w14:paraId="49673B67" w14:textId="77777777" w:rsidR="001F7921" w:rsidRPr="007A314E" w:rsidRDefault="001F7921" w:rsidP="001F7921">
      <w:pPr>
        <w:jc w:val="both"/>
      </w:pPr>
    </w:p>
    <w:p w14:paraId="185EC2E6" w14:textId="77777777" w:rsidR="001F7921" w:rsidRPr="007A314E" w:rsidRDefault="001F7921" w:rsidP="001F7921">
      <w:pPr>
        <w:jc w:val="both"/>
      </w:pPr>
      <w:r w:rsidRPr="007A314E">
        <w:tab/>
        <w:t>Die zuständige Stelle stellt das mit Gründen versehene Investitionszertifikat oder die mit Gründen versehene Ablehnung der Erteilung des Investitionszertifikats binnen einer Frist von sechs Monaten ab Beantragung aus und gibt dabei die Gültigkeitsdauer an, für die das Investitionszertifikat ausgestellt wird.</w:t>
      </w:r>
    </w:p>
    <w:p w14:paraId="0667BB4A" w14:textId="77777777" w:rsidR="001F7921" w:rsidRPr="007A314E" w:rsidRDefault="001F7921" w:rsidP="001F7921">
      <w:pPr>
        <w:jc w:val="both"/>
      </w:pPr>
    </w:p>
    <w:p w14:paraId="158E81FD" w14:textId="5488AF2B" w:rsidR="005A5BD5" w:rsidRPr="00D4747A" w:rsidRDefault="001F7921" w:rsidP="001F7921">
      <w:pPr>
        <w:jc w:val="both"/>
        <w:rPr>
          <w:rFonts w:eastAsia="Calibri"/>
          <w:szCs w:val="22"/>
          <w:lang w:eastAsia="de-DE" w:bidi="de-DE"/>
        </w:rPr>
      </w:pPr>
      <w:r w:rsidRPr="007A314E">
        <w:tab/>
        <w:t>§ 6 - Umfasst das Investitionsvorhaben Anlagen, die unter verschiedene Investitionslisten fallen, ist für jeden dieser Teile des Investitionsvorhabens pro betreffende Investitionsliste bei den in Artikel 69/3 § 3 desselben Gesetzbuches bestimmten Stellen ein gesondertes Investitionszertifikat zu beantragen.</w:t>
      </w:r>
      <w:r w:rsidR="005A5BD5" w:rsidRPr="00D4747A">
        <w:rPr>
          <w:rFonts w:eastAsia="Calibri"/>
          <w:szCs w:val="22"/>
          <w:lang w:eastAsia="de-DE" w:bidi="de-DE"/>
        </w:rPr>
        <w:t>]</w:t>
      </w:r>
    </w:p>
    <w:p w14:paraId="171D882D" w14:textId="77777777" w:rsidR="005A5BD5" w:rsidRPr="00D4747A" w:rsidRDefault="005A5BD5" w:rsidP="004C2C7D">
      <w:pPr>
        <w:jc w:val="both"/>
        <w:rPr>
          <w:rFonts w:eastAsia="Calibri"/>
          <w:szCs w:val="22"/>
          <w:lang w:eastAsia="de-DE" w:bidi="de-DE"/>
        </w:rPr>
      </w:pPr>
    </w:p>
    <w:p w14:paraId="62FDE1D7" w14:textId="180C9083" w:rsidR="005A5BD5" w:rsidRPr="00D4747A" w:rsidRDefault="005A5BD5" w:rsidP="004C2C7D">
      <w:pPr>
        <w:jc w:val="both"/>
        <w:rPr>
          <w:rFonts w:eastAsia="Calibri"/>
          <w:i/>
          <w:szCs w:val="22"/>
          <w:lang w:eastAsia="de-DE" w:bidi="de-DE"/>
        </w:rPr>
      </w:pPr>
      <w:r w:rsidRPr="00D4747A">
        <w:rPr>
          <w:rFonts w:eastAsia="Calibri"/>
          <w:i/>
          <w:szCs w:val="22"/>
          <w:lang w:eastAsia="de-DE" w:bidi="de-DE"/>
        </w:rPr>
        <w:t xml:space="preserve">[Art. 49 </w:t>
      </w:r>
      <w:r w:rsidR="001F7921">
        <w:rPr>
          <w:rFonts w:eastAsia="Calibri"/>
          <w:i/>
          <w:szCs w:val="22"/>
          <w:lang w:eastAsia="de-DE" w:bidi="de-DE"/>
        </w:rPr>
        <w:t>ersetzt durch Art. 4</w:t>
      </w:r>
      <w:r w:rsidR="001F7921" w:rsidRPr="001F7921">
        <w:rPr>
          <w:rFonts w:eastAsia="Calibri"/>
          <w:i/>
          <w:szCs w:val="22"/>
          <w:lang w:eastAsia="de-DE" w:bidi="de-DE"/>
        </w:rPr>
        <w:t xml:space="preserve"> des K.E. vom 20. Dezember 2024 (B.S. vom 30. Dezember 2024)</w:t>
      </w:r>
      <w:r w:rsidRPr="00D4747A">
        <w:rPr>
          <w:rFonts w:eastAsia="Calibri"/>
          <w:i/>
          <w:szCs w:val="22"/>
          <w:lang w:eastAsia="de-DE" w:bidi="de-DE"/>
        </w:rPr>
        <w:t>]</w:t>
      </w:r>
    </w:p>
    <w:p w14:paraId="40CDD77D" w14:textId="77777777" w:rsidR="005A5BD5" w:rsidRDefault="005A5BD5" w:rsidP="004C2C7D">
      <w:pPr>
        <w:jc w:val="both"/>
        <w:rPr>
          <w:rFonts w:eastAsia="Calibri"/>
          <w:szCs w:val="22"/>
          <w:lang w:eastAsia="de-DE" w:bidi="de-DE"/>
        </w:rPr>
      </w:pPr>
    </w:p>
    <w:p w14:paraId="33D09CD8" w14:textId="77777777" w:rsidR="00A34A12" w:rsidRDefault="00A34A12" w:rsidP="004C2C7D">
      <w:pPr>
        <w:jc w:val="both"/>
        <w:rPr>
          <w:rFonts w:eastAsia="Calibri"/>
          <w:szCs w:val="22"/>
          <w:lang w:eastAsia="de-DE" w:bidi="de-DE"/>
        </w:rPr>
      </w:pPr>
    </w:p>
    <w:p w14:paraId="651DDA6A" w14:textId="01B62612" w:rsidR="00A34A12" w:rsidRDefault="00A34A12" w:rsidP="00A34A12">
      <w:pPr>
        <w:jc w:val="both"/>
      </w:pPr>
      <w:r>
        <w:rPr>
          <w:rFonts w:eastAsia="Calibri"/>
          <w:szCs w:val="22"/>
          <w:lang w:eastAsia="de-DE" w:bidi="de-DE"/>
        </w:rPr>
        <w:tab/>
        <w:t>[</w:t>
      </w:r>
      <w:r>
        <w:rPr>
          <w:b/>
        </w:rPr>
        <w:t>Art. 49/1</w:t>
      </w:r>
      <w:r>
        <w:t xml:space="preserve"> - § 1 - Die in </w:t>
      </w:r>
      <w:r w:rsidR="001F7921">
        <w:t>[</w:t>
      </w:r>
      <w:r>
        <w:t>Artikel 69 Absatz </w:t>
      </w:r>
      <w:r w:rsidR="001F7921">
        <w:t xml:space="preserve">3] </w:t>
      </w:r>
      <w:r>
        <w:t>des Einkommen</w:t>
      </w:r>
      <w:r>
        <w:softHyphen/>
        <w:t>steuergesetzbuches 1992 erwähnten Anlagen betreffen folgende Kategorien:</w:t>
      </w:r>
    </w:p>
    <w:p w14:paraId="45510D71" w14:textId="77777777" w:rsidR="00A34A12" w:rsidRDefault="00A34A12" w:rsidP="00A34A12">
      <w:pPr>
        <w:jc w:val="both"/>
      </w:pPr>
    </w:p>
    <w:p w14:paraId="517D8855" w14:textId="77777777" w:rsidR="00A34A12" w:rsidRDefault="00A34A12" w:rsidP="00A34A12">
      <w:pPr>
        <w:jc w:val="both"/>
      </w:pPr>
      <w:r>
        <w:tab/>
        <w:t>A. was digitale Anlagen für Integration und Betrieb digitaler Zahlungs- und Rechnungsstellungssysteme betrifft:</w:t>
      </w:r>
    </w:p>
    <w:p w14:paraId="57E40E60" w14:textId="77777777" w:rsidR="00A34A12" w:rsidRDefault="00A34A12" w:rsidP="00A34A12">
      <w:pPr>
        <w:jc w:val="both"/>
      </w:pPr>
    </w:p>
    <w:p w14:paraId="63086F7C" w14:textId="0FA37AAF" w:rsidR="00A34A12" w:rsidRDefault="00A34A12" w:rsidP="00A34A12">
      <w:pPr>
        <w:jc w:val="both"/>
      </w:pPr>
      <w:r>
        <w:tab/>
        <w:t xml:space="preserve">1. Investitionen in Systeme (Software und Geräte), die </w:t>
      </w:r>
      <w:r w:rsidR="00A95C24">
        <w:t>die elektronische Zahlung</w:t>
      </w:r>
      <w:r>
        <w:t xml:space="preserve"> erleichtern,</w:t>
      </w:r>
    </w:p>
    <w:p w14:paraId="55A9D67D" w14:textId="77777777" w:rsidR="00A34A12" w:rsidRDefault="00A34A12" w:rsidP="00A34A12">
      <w:pPr>
        <w:jc w:val="both"/>
      </w:pPr>
    </w:p>
    <w:p w14:paraId="6F966F92" w14:textId="77777777" w:rsidR="00A34A12" w:rsidRDefault="00A34A12" w:rsidP="00A34A12">
      <w:pPr>
        <w:jc w:val="both"/>
      </w:pPr>
      <w:r>
        <w:tab/>
        <w:t>2. Investitionen in Systeme (Software und Geräte), die die elektronische Rechnungsstellung, Signatur oder Archivierung ermöglichen,</w:t>
      </w:r>
    </w:p>
    <w:p w14:paraId="79431F09" w14:textId="77777777" w:rsidR="00A34A12" w:rsidRDefault="00A34A12" w:rsidP="00A34A12">
      <w:pPr>
        <w:jc w:val="both"/>
      </w:pPr>
    </w:p>
    <w:p w14:paraId="1F0A84CC" w14:textId="3D40048C" w:rsidR="00A34A12" w:rsidRDefault="00A34A12" w:rsidP="00A34A12">
      <w:pPr>
        <w:jc w:val="both"/>
      </w:pPr>
      <w:r>
        <w:tab/>
        <w:t>B. was Investitionen in Systeme zur Sicherung der Informations- und Kommunika</w:t>
      </w:r>
      <w:r>
        <w:softHyphen/>
        <w:t>tionstechnologie (IKT) betrifft:</w:t>
      </w:r>
    </w:p>
    <w:p w14:paraId="71954891" w14:textId="77777777" w:rsidR="00A34A12" w:rsidRDefault="00A34A12" w:rsidP="00A34A12">
      <w:pPr>
        <w:jc w:val="both"/>
      </w:pPr>
    </w:p>
    <w:p w14:paraId="070DE74D" w14:textId="77777777" w:rsidR="00A34A12" w:rsidRDefault="00A34A12" w:rsidP="00A34A12">
      <w:pPr>
        <w:jc w:val="both"/>
      </w:pPr>
      <w:r>
        <w:tab/>
        <w:t>1. Investitionen in Systeme (Software und Geräte), die die Sicherung von Daten, Netzen und IKT-Anwendungen gewährleisten,</w:t>
      </w:r>
    </w:p>
    <w:p w14:paraId="3B6F3BEE" w14:textId="77777777" w:rsidR="00A34A12" w:rsidRDefault="00A34A12" w:rsidP="00A34A12">
      <w:pPr>
        <w:jc w:val="both"/>
      </w:pPr>
    </w:p>
    <w:p w14:paraId="355AF3D3" w14:textId="77777777" w:rsidR="00A34A12" w:rsidRDefault="00A34A12" w:rsidP="00A34A12">
      <w:pPr>
        <w:jc w:val="both"/>
      </w:pPr>
      <w:r>
        <w:tab/>
        <w:t>2. Investitionen in Monitoring- und Auditinstrumente für Systeme zur Sicherung der IKT,</w:t>
      </w:r>
    </w:p>
    <w:p w14:paraId="7D48C1BC" w14:textId="77777777" w:rsidR="00A34A12" w:rsidRDefault="00A34A12" w:rsidP="00A34A12">
      <w:pPr>
        <w:jc w:val="both"/>
      </w:pPr>
    </w:p>
    <w:p w14:paraId="6B3D5290" w14:textId="77777777" w:rsidR="00A34A12" w:rsidRDefault="00A34A12" w:rsidP="00A34A12">
      <w:pPr>
        <w:jc w:val="both"/>
      </w:pPr>
      <w:r>
        <w:tab/>
        <w:t>3. Investitionen in Systeme (Software und Geräte), die eine sicherere Verwaltung der vom Unternehmen gesammelten personenbezogenen Daten ermöglichen,</w:t>
      </w:r>
    </w:p>
    <w:p w14:paraId="2A955586" w14:textId="77777777" w:rsidR="00A34A12" w:rsidRDefault="00A34A12" w:rsidP="00A34A12">
      <w:pPr>
        <w:jc w:val="both"/>
      </w:pPr>
    </w:p>
    <w:p w14:paraId="5760D882" w14:textId="77777777" w:rsidR="00811447" w:rsidRDefault="00811447">
      <w:r>
        <w:br w:type="page"/>
      </w:r>
    </w:p>
    <w:p w14:paraId="3DFECF38" w14:textId="0584EC10" w:rsidR="00A34A12" w:rsidRDefault="00A34A12" w:rsidP="00A34A12">
      <w:pPr>
        <w:jc w:val="both"/>
      </w:pPr>
      <w:r>
        <w:lastRenderedPageBreak/>
        <w:tab/>
        <w:t>C. ergänzende Investitionen, die für die Implementierung der Investitionen in digitale Zahlungs- und Rechnungsstellungssysteme oder in Systeme zur Sicherung der IKT nützlich sind:</w:t>
      </w:r>
    </w:p>
    <w:p w14:paraId="73607381" w14:textId="77777777" w:rsidR="00A34A12" w:rsidRDefault="00A34A12" w:rsidP="00A34A12">
      <w:pPr>
        <w:jc w:val="both"/>
      </w:pPr>
    </w:p>
    <w:p w14:paraId="563C05BC" w14:textId="77777777" w:rsidR="00A34A12" w:rsidRDefault="00A34A12" w:rsidP="00A34A12">
      <w:pPr>
        <w:jc w:val="both"/>
      </w:pPr>
      <w:r>
        <w:tab/>
        <w:t>1. Kosten für Softwareentwicklung, die mit den Investitionen in den Buchstaben A Nr. 1 bis B Nr. 3 verbunden sind und gleichzeitig mit den Anlagen, auf die sie sich beziehen, abgeschrieben werden,</w:t>
      </w:r>
    </w:p>
    <w:p w14:paraId="57B4F076" w14:textId="77777777" w:rsidR="00A34A12" w:rsidRDefault="00A34A12" w:rsidP="00A34A12">
      <w:pPr>
        <w:jc w:val="both"/>
      </w:pPr>
    </w:p>
    <w:p w14:paraId="5379BFAC" w14:textId="77777777" w:rsidR="00A34A12" w:rsidRDefault="00A34A12" w:rsidP="00A34A12">
      <w:pPr>
        <w:jc w:val="both"/>
      </w:pPr>
      <w:r>
        <w:tab/>
        <w:t>2. Investitionen in Systeme (Software und Geräte), die ermöglichen, die in den Buchstaben A Nr. 1 bis C Nr. 1 erwähnten Systeme mit Systemen des Unternehmens oder externen Systemen über eine Schnittstelle zu verbinden, einschließlich Investitionen in Schnittstellen zwischen Rechnungsstellungssystemen, Zahlungssystemen und Buchführungs</w:t>
      </w:r>
      <w:r>
        <w:softHyphen/>
        <w:t>programmen.</w:t>
      </w:r>
    </w:p>
    <w:p w14:paraId="00BB1D67" w14:textId="77777777" w:rsidR="00A34A12" w:rsidRDefault="00A34A12" w:rsidP="00A34A12">
      <w:pPr>
        <w:jc w:val="both"/>
      </w:pPr>
    </w:p>
    <w:p w14:paraId="2563ABD2" w14:textId="77777777" w:rsidR="00A34A12" w:rsidRDefault="00A34A12" w:rsidP="00A34A12">
      <w:pPr>
        <w:jc w:val="both"/>
      </w:pPr>
      <w:r>
        <w:tab/>
        <w:t>§ 2 - Leistungen, die mit den in § 1 angegebenen Anlagen verbunden sind, müssen für den Steuerpflichtigen erbracht und ihm in Rechnung gestellt werden.</w:t>
      </w:r>
    </w:p>
    <w:p w14:paraId="7BC361FE" w14:textId="77777777" w:rsidR="00A34A12" w:rsidRDefault="00A34A12" w:rsidP="00A34A12">
      <w:pPr>
        <w:jc w:val="both"/>
      </w:pPr>
    </w:p>
    <w:p w14:paraId="1193364A" w14:textId="089FA815" w:rsidR="00A34A12" w:rsidRDefault="00A34A12" w:rsidP="00A34A12">
      <w:pPr>
        <w:jc w:val="both"/>
      </w:pPr>
      <w:r>
        <w:tab/>
        <w:t xml:space="preserve">§ 3 - Wenn die in § 1 angegebenen Anlagen in einer globalen Rechnung aufgeführt sind, die Komponenten enthält, die nicht in </w:t>
      </w:r>
      <w:r w:rsidR="001F7921">
        <w:t>[</w:t>
      </w:r>
      <w:r>
        <w:t>§ 1</w:t>
      </w:r>
      <w:r w:rsidR="001F7921">
        <w:t>]</w:t>
      </w:r>
      <w:r>
        <w:t xml:space="preserve"> erwähnt sind, entspricht der Anschaffungs- oder Investitionswert der Anlagen, der im Rahmen des vorliegenden Abzugs zu berücksichtigen ist, dem Realwert dieser auf der Rechnung getrennt angegebenen Anlagen.</w:t>
      </w:r>
    </w:p>
    <w:p w14:paraId="57966B0E" w14:textId="77777777" w:rsidR="00A34A12" w:rsidRDefault="00A34A12" w:rsidP="00A34A12">
      <w:pPr>
        <w:jc w:val="both"/>
      </w:pPr>
    </w:p>
    <w:p w14:paraId="4095DE70" w14:textId="77777777" w:rsidR="00A34A12" w:rsidRDefault="00A34A12" w:rsidP="00A34A12">
      <w:pPr>
        <w:jc w:val="both"/>
      </w:pPr>
      <w:r>
        <w:tab/>
        <w:t>§ 4 - Anbieter der in den Paragraphen 2 und 3 erwähnten Leistungen garantieren die Konformität der Güter oder Dienstleistungen auf der Grundlage der in Anlage 2</w:t>
      </w:r>
      <w:r>
        <w:rPr>
          <w:i/>
        </w:rPr>
        <w:t>ter</w:t>
      </w:r>
      <w:r>
        <w:t>/1 enthaltenen technischen Kriterien.</w:t>
      </w:r>
    </w:p>
    <w:p w14:paraId="50834D2C" w14:textId="77777777" w:rsidR="00A34A12" w:rsidRDefault="00A34A12" w:rsidP="00A34A12">
      <w:pPr>
        <w:jc w:val="both"/>
      </w:pPr>
    </w:p>
    <w:p w14:paraId="58346CB2" w14:textId="77777777" w:rsidR="00A34A12" w:rsidRDefault="00A34A12" w:rsidP="00A34A12">
      <w:pPr>
        <w:jc w:val="both"/>
      </w:pPr>
      <w:r>
        <w:tab/>
        <w:t>Zu diesem Zweck muss in der Rechnung, die vom Anbieter der Güter oder Dienstleistungen ausgestellt wird, oder ihrer Anlage:</w:t>
      </w:r>
    </w:p>
    <w:p w14:paraId="6E3ACF17" w14:textId="77777777" w:rsidR="00A34A12" w:rsidRDefault="00A34A12" w:rsidP="00A34A12">
      <w:pPr>
        <w:jc w:val="both"/>
      </w:pPr>
    </w:p>
    <w:p w14:paraId="61278ACF" w14:textId="77777777" w:rsidR="00A34A12" w:rsidRDefault="00A34A12" w:rsidP="00A34A12">
      <w:pPr>
        <w:jc w:val="both"/>
      </w:pPr>
      <w:r>
        <w:tab/>
      </w:r>
      <w:r>
        <w:rPr>
          <w:i/>
        </w:rPr>
        <w:t>a)</w:t>
      </w:r>
      <w:r>
        <w:t> die in § 1 erwähnte Investitionskategorie angegeben sein,</w:t>
      </w:r>
    </w:p>
    <w:p w14:paraId="4504FEF1" w14:textId="77777777" w:rsidR="00A34A12" w:rsidRDefault="00A34A12" w:rsidP="00A34A12">
      <w:pPr>
        <w:jc w:val="both"/>
      </w:pPr>
    </w:p>
    <w:p w14:paraId="6BB531EC" w14:textId="77777777" w:rsidR="00A34A12" w:rsidRDefault="00A34A12" w:rsidP="00A34A12">
      <w:pPr>
        <w:jc w:val="both"/>
      </w:pPr>
      <w:r>
        <w:tab/>
      </w:r>
      <w:r>
        <w:rPr>
          <w:i/>
        </w:rPr>
        <w:t>b)</w:t>
      </w:r>
      <w:r>
        <w:t> folgender Vermerk enthalten sein:</w:t>
      </w:r>
    </w:p>
    <w:p w14:paraId="21492ACA" w14:textId="77777777" w:rsidR="00A34A12" w:rsidRDefault="00A34A12" w:rsidP="00A34A12">
      <w:pPr>
        <w:jc w:val="both"/>
      </w:pPr>
    </w:p>
    <w:p w14:paraId="0EFB4B32" w14:textId="5A3B6B4B" w:rsidR="00A34A12" w:rsidRDefault="00A34A12" w:rsidP="00A34A12">
      <w:pPr>
        <w:jc w:val="both"/>
      </w:pPr>
      <w:r>
        <w:tab/>
        <w:t xml:space="preserve">"Bescheinigung in Anwendung von Artikel 49/1 des KE/EStGB 92 über den Investitionsabzug für digitale Investitionen wie in </w:t>
      </w:r>
      <w:r w:rsidR="001F7921">
        <w:t>[</w:t>
      </w:r>
      <w:r>
        <w:t>Artikel 69 Absatz </w:t>
      </w:r>
      <w:r w:rsidR="001F7921">
        <w:t>3</w:t>
      </w:r>
      <w:r w:rsidR="00144C2F">
        <w:t>]</w:t>
      </w:r>
      <w:r>
        <w:t xml:space="preserve"> des Einkommensteuergesetzbuches 1992 erwähnt</w:t>
      </w:r>
    </w:p>
    <w:p w14:paraId="59807F66" w14:textId="77777777" w:rsidR="00A34A12" w:rsidRDefault="00A34A12" w:rsidP="00A34A12">
      <w:pPr>
        <w:jc w:val="both"/>
      </w:pPr>
    </w:p>
    <w:p w14:paraId="31A45BC6" w14:textId="77777777" w:rsidR="00A34A12" w:rsidRDefault="00A34A12" w:rsidP="00A34A12">
      <w:pPr>
        <w:jc w:val="both"/>
      </w:pPr>
      <w:r>
        <w:tab/>
        <w:t>Der/Die Unterzeichnete, ..., bescheinigt, dass:</w:t>
      </w:r>
    </w:p>
    <w:p w14:paraId="09618E1B" w14:textId="77777777" w:rsidR="00A34A12" w:rsidRDefault="00A34A12" w:rsidP="00A34A12">
      <w:pPr>
        <w:jc w:val="both"/>
      </w:pPr>
    </w:p>
    <w:p w14:paraId="7E9546BF" w14:textId="77777777" w:rsidR="00A34A12" w:rsidRDefault="00A34A12" w:rsidP="00A34A12">
      <w:pPr>
        <w:jc w:val="both"/>
      </w:pPr>
      <w:r>
        <w:tab/>
        <w:t>- ... (pro Kategorie die Angaben übernehmen, die aufgrund der Anlage 2</w:t>
      </w:r>
      <w:r>
        <w:rPr>
          <w:i/>
        </w:rPr>
        <w:t>ter</w:t>
      </w:r>
      <w:r>
        <w:t>/1 zum KE/EStGB 92 erforderlich sind)</w:t>
      </w:r>
    </w:p>
    <w:p w14:paraId="3FC7FC48" w14:textId="77777777" w:rsidR="00A34A12" w:rsidRDefault="00A34A12" w:rsidP="00A34A12">
      <w:pPr>
        <w:jc w:val="both"/>
      </w:pPr>
    </w:p>
    <w:p w14:paraId="76262966" w14:textId="77777777" w:rsidR="00A34A12" w:rsidRDefault="00A34A12" w:rsidP="00A34A12">
      <w:pPr>
        <w:jc w:val="both"/>
      </w:pPr>
      <w:r>
        <w:tab/>
        <w:t>- ...</w:t>
      </w:r>
    </w:p>
    <w:p w14:paraId="310F26B1" w14:textId="77777777" w:rsidR="00A34A12" w:rsidRDefault="00A34A12" w:rsidP="00A34A12">
      <w:pPr>
        <w:jc w:val="both"/>
      </w:pPr>
    </w:p>
    <w:p w14:paraId="2D4C18DD" w14:textId="77777777" w:rsidR="00A34A12" w:rsidRDefault="00A34A12" w:rsidP="00A34A12">
      <w:pPr>
        <w:jc w:val="both"/>
      </w:pPr>
      <w:r>
        <w:tab/>
        <w:t>... (Datum)</w:t>
      </w:r>
    </w:p>
    <w:p w14:paraId="5B62917A" w14:textId="77777777" w:rsidR="00A34A12" w:rsidRDefault="00A34A12" w:rsidP="00A34A12">
      <w:pPr>
        <w:jc w:val="both"/>
      </w:pPr>
    </w:p>
    <w:p w14:paraId="6F73E230" w14:textId="77777777" w:rsidR="00A34A12" w:rsidRDefault="00A34A12" w:rsidP="00A34A12">
      <w:pPr>
        <w:jc w:val="both"/>
      </w:pPr>
      <w:r>
        <w:tab/>
        <w:t>... (Name)</w:t>
      </w:r>
    </w:p>
    <w:p w14:paraId="4BB948B8" w14:textId="77777777" w:rsidR="00A34A12" w:rsidRDefault="00A34A12" w:rsidP="00A34A12">
      <w:pPr>
        <w:jc w:val="both"/>
      </w:pPr>
    </w:p>
    <w:p w14:paraId="1E27894C" w14:textId="77777777" w:rsidR="00A34A12" w:rsidRDefault="00A34A12" w:rsidP="00A34A12">
      <w:pPr>
        <w:jc w:val="both"/>
      </w:pPr>
      <w:r>
        <w:tab/>
        <w:t>... (Unterschrift)".</w:t>
      </w:r>
    </w:p>
    <w:p w14:paraId="6DCAE2E7" w14:textId="77777777" w:rsidR="00A34A12" w:rsidRDefault="00A34A12" w:rsidP="00A34A12">
      <w:pPr>
        <w:jc w:val="both"/>
      </w:pPr>
    </w:p>
    <w:p w14:paraId="1B6F9DE6" w14:textId="4E11FA8D" w:rsidR="00A34A12" w:rsidRDefault="00A34A12" w:rsidP="00A34A12">
      <w:pPr>
        <w:jc w:val="both"/>
        <w:rPr>
          <w:rFonts w:eastAsia="Calibri"/>
          <w:szCs w:val="22"/>
          <w:lang w:eastAsia="de-DE" w:bidi="de-DE"/>
        </w:rPr>
      </w:pPr>
      <w:r>
        <w:lastRenderedPageBreak/>
        <w:tab/>
        <w:t xml:space="preserve">§ 5 - Steuerpflichtige, die den in </w:t>
      </w:r>
      <w:r w:rsidR="001F7921">
        <w:t>[</w:t>
      </w:r>
      <w:r>
        <w:t>Artikel 69 Absatz </w:t>
      </w:r>
      <w:r w:rsidR="001F7921">
        <w:t>3]</w:t>
      </w:r>
      <w:r>
        <w:t xml:space="preserve"> des vorerwähnten Gesetzbuches erwähnten Investitionsabzug für digitale Investitionen beantragen, müssen die Rechnungen in Bezug auf die in § 1 erwähnten Anlagen zur Verfügung des Föderalen Öffentlichen Dienstes Finanzen bereithalten.</w:t>
      </w:r>
      <w:r>
        <w:rPr>
          <w:rFonts w:eastAsia="Calibri"/>
          <w:szCs w:val="22"/>
          <w:lang w:eastAsia="de-DE" w:bidi="de-DE"/>
        </w:rPr>
        <w:t>]</w:t>
      </w:r>
    </w:p>
    <w:p w14:paraId="24093C46" w14:textId="77777777" w:rsidR="00A34A12" w:rsidRDefault="00A34A12" w:rsidP="00A34A12">
      <w:pPr>
        <w:jc w:val="both"/>
        <w:rPr>
          <w:rFonts w:eastAsia="Calibri"/>
          <w:szCs w:val="22"/>
          <w:lang w:eastAsia="de-DE" w:bidi="de-DE"/>
        </w:rPr>
      </w:pPr>
    </w:p>
    <w:p w14:paraId="115A1A5B" w14:textId="24F521C2" w:rsidR="00A34A12" w:rsidRDefault="00A34A12" w:rsidP="00A34A12">
      <w:pPr>
        <w:jc w:val="both"/>
        <w:rPr>
          <w:rFonts w:eastAsia="Calibri"/>
          <w:szCs w:val="22"/>
          <w:lang w:eastAsia="de-DE" w:bidi="de-DE"/>
        </w:rPr>
      </w:pPr>
      <w:r>
        <w:rPr>
          <w:rFonts w:eastAsia="Calibri"/>
          <w:i/>
          <w:szCs w:val="22"/>
          <w:lang w:eastAsia="de-DE" w:bidi="de-DE"/>
        </w:rPr>
        <w:t>[Art. 49/1 eingefügt durch Art. 1 des K.E. vom 2. Dezember 2015 (B.S. vom 8. Dezember 2015)</w:t>
      </w:r>
      <w:r w:rsidR="00993315">
        <w:rPr>
          <w:rFonts w:eastAsia="Calibri"/>
          <w:i/>
          <w:szCs w:val="22"/>
          <w:lang w:eastAsia="de-DE" w:bidi="de-DE"/>
        </w:rPr>
        <w:t>; § 1 einziger Absatz einleitende Bestimmung abgeändert durch Art. 5 Nr. 1</w:t>
      </w:r>
      <w:r w:rsidR="00993315" w:rsidRPr="00993315">
        <w:rPr>
          <w:rFonts w:eastAsia="Calibri"/>
          <w:i/>
          <w:szCs w:val="22"/>
          <w:lang w:eastAsia="de-DE" w:bidi="de-DE"/>
        </w:rPr>
        <w:t xml:space="preserve"> des K.E. vom 20. Dezember 2024 (B.S. vom 30. Dezember 2024)</w:t>
      </w:r>
      <w:r w:rsidR="00993315">
        <w:rPr>
          <w:rFonts w:eastAsia="Calibri"/>
          <w:i/>
          <w:szCs w:val="22"/>
          <w:lang w:eastAsia="de-DE" w:bidi="de-DE"/>
        </w:rPr>
        <w:t>; § 3 abgeändert durch Art. 5 Nr. 2</w:t>
      </w:r>
      <w:r w:rsidR="00993315" w:rsidRPr="00993315">
        <w:rPr>
          <w:rFonts w:eastAsia="Calibri"/>
          <w:i/>
          <w:szCs w:val="22"/>
          <w:lang w:eastAsia="de-DE" w:bidi="de-DE"/>
        </w:rPr>
        <w:t xml:space="preserve"> des K.E. vom 20. Dezember 2024 (B.S. vom 30. Dezember 2024)</w:t>
      </w:r>
      <w:r w:rsidR="00993315">
        <w:rPr>
          <w:rFonts w:eastAsia="Calibri"/>
          <w:i/>
          <w:szCs w:val="22"/>
          <w:lang w:eastAsia="de-DE" w:bidi="de-DE"/>
        </w:rPr>
        <w:t>; § 4 Abs. 2 Buchstabe b) abgeändert durch Art. 5 Nr. 3</w:t>
      </w:r>
      <w:r w:rsidR="00993315" w:rsidRPr="00993315">
        <w:rPr>
          <w:rFonts w:eastAsia="Calibri"/>
          <w:i/>
          <w:szCs w:val="22"/>
          <w:lang w:eastAsia="de-DE" w:bidi="de-DE"/>
        </w:rPr>
        <w:t xml:space="preserve"> des K.E. vom 20. Dezember 2024 (B.S. vom 30. Dezember 2024)</w:t>
      </w:r>
      <w:r w:rsidR="00993315">
        <w:rPr>
          <w:rFonts w:eastAsia="Calibri"/>
          <w:i/>
          <w:szCs w:val="22"/>
          <w:lang w:eastAsia="de-DE" w:bidi="de-DE"/>
        </w:rPr>
        <w:t>; § 5 abgeändert durch Art. 5 Nr. 3</w:t>
      </w:r>
      <w:r w:rsidR="00993315" w:rsidRPr="00993315">
        <w:rPr>
          <w:rFonts w:eastAsia="Calibri"/>
          <w:i/>
          <w:szCs w:val="22"/>
          <w:lang w:eastAsia="de-DE" w:bidi="de-DE"/>
        </w:rPr>
        <w:t xml:space="preserve"> des K.E. vom 20. Dezember 2024 (B.S. vom 30. Dezember 2024)</w:t>
      </w:r>
      <w:r>
        <w:rPr>
          <w:rFonts w:eastAsia="Calibri"/>
          <w:i/>
          <w:szCs w:val="22"/>
          <w:lang w:eastAsia="de-DE" w:bidi="de-DE"/>
        </w:rPr>
        <w:t>]</w:t>
      </w:r>
    </w:p>
    <w:p w14:paraId="48B1CF21" w14:textId="77777777" w:rsidR="00A34A12" w:rsidRPr="00D4747A" w:rsidRDefault="00A34A12" w:rsidP="004C2C7D">
      <w:pPr>
        <w:jc w:val="both"/>
        <w:rPr>
          <w:rFonts w:eastAsia="Calibri"/>
          <w:szCs w:val="22"/>
          <w:lang w:eastAsia="de-DE" w:bidi="de-DE"/>
        </w:rPr>
      </w:pPr>
    </w:p>
    <w:p w14:paraId="6863F60F" w14:textId="77777777" w:rsidR="005A5BD5" w:rsidRPr="00D4747A" w:rsidRDefault="005A5BD5" w:rsidP="004C2C7D">
      <w:pPr>
        <w:jc w:val="both"/>
        <w:rPr>
          <w:rFonts w:eastAsia="Calibri"/>
          <w:szCs w:val="22"/>
          <w:lang w:eastAsia="de-DE" w:bidi="de-DE"/>
        </w:rPr>
      </w:pPr>
    </w:p>
    <w:p w14:paraId="155AF917" w14:textId="6AAC3E87" w:rsidR="005A5BD5" w:rsidRPr="00D4747A" w:rsidRDefault="005A5BD5" w:rsidP="00993315">
      <w:pPr>
        <w:jc w:val="both"/>
        <w:rPr>
          <w:rFonts w:eastAsia="Calibri"/>
          <w:szCs w:val="22"/>
          <w:lang w:eastAsia="de-DE" w:bidi="de-DE"/>
        </w:rPr>
      </w:pPr>
      <w:r w:rsidRPr="00D4747A">
        <w:rPr>
          <w:rFonts w:eastAsia="Calibri"/>
          <w:szCs w:val="22"/>
          <w:lang w:eastAsia="de-DE" w:bidi="de-DE"/>
        </w:rPr>
        <w:tab/>
        <w:t>[</w:t>
      </w:r>
      <w:r w:rsidRPr="00D4747A">
        <w:rPr>
          <w:rFonts w:eastAsia="Calibri"/>
          <w:b/>
          <w:szCs w:val="22"/>
          <w:lang w:eastAsia="de-DE" w:bidi="de-DE"/>
        </w:rPr>
        <w:t>Art. 49</w:t>
      </w:r>
      <w:r w:rsidRPr="00D4747A">
        <w:rPr>
          <w:rFonts w:eastAsia="Calibri"/>
          <w:b/>
          <w:szCs w:val="22"/>
          <w:vertAlign w:val="superscript"/>
          <w:lang w:eastAsia="de-DE" w:bidi="de-DE"/>
        </w:rPr>
        <w:t>1</w:t>
      </w:r>
      <w:r w:rsidRPr="00D4747A">
        <w:rPr>
          <w:rFonts w:eastAsia="Calibri"/>
          <w:szCs w:val="22"/>
          <w:lang w:eastAsia="de-DE" w:bidi="de-DE"/>
        </w:rPr>
        <w:t xml:space="preserve"> - </w:t>
      </w:r>
      <w:r w:rsidR="00993315">
        <w:rPr>
          <w:rFonts w:eastAsia="Calibri"/>
          <w:szCs w:val="22"/>
          <w:lang w:eastAsia="de-DE" w:bidi="de-DE"/>
        </w:rPr>
        <w:t>[...]</w:t>
      </w:r>
      <w:r w:rsidRPr="00D4747A">
        <w:rPr>
          <w:rFonts w:eastAsia="Calibri"/>
          <w:szCs w:val="22"/>
          <w:lang w:eastAsia="de-DE" w:bidi="de-DE"/>
        </w:rPr>
        <w:t>]</w:t>
      </w:r>
    </w:p>
    <w:p w14:paraId="5E12AC37" w14:textId="77777777" w:rsidR="005A5BD5" w:rsidRPr="00D4747A" w:rsidRDefault="005A5BD5" w:rsidP="004C2C7D">
      <w:pPr>
        <w:jc w:val="both"/>
        <w:rPr>
          <w:rFonts w:eastAsia="Calibri"/>
          <w:szCs w:val="22"/>
          <w:lang w:eastAsia="de-DE" w:bidi="de-DE"/>
        </w:rPr>
      </w:pPr>
    </w:p>
    <w:p w14:paraId="0D65910D" w14:textId="403A138E" w:rsidR="005A5BD5" w:rsidRPr="00D4747A" w:rsidRDefault="005A5BD5" w:rsidP="004C2C7D">
      <w:pPr>
        <w:jc w:val="both"/>
        <w:rPr>
          <w:rFonts w:eastAsia="Calibri"/>
          <w:i/>
          <w:szCs w:val="22"/>
          <w:lang w:eastAsia="de-DE" w:bidi="de-DE"/>
        </w:rPr>
      </w:pPr>
      <w:r w:rsidRPr="00D4747A">
        <w:rPr>
          <w:rFonts w:eastAsia="Calibri"/>
          <w:i/>
          <w:szCs w:val="22"/>
          <w:lang w:eastAsia="de-DE" w:bidi="de-DE"/>
        </w:rPr>
        <w:t>[Art. 49</w:t>
      </w:r>
      <w:r w:rsidRPr="00D4747A">
        <w:rPr>
          <w:rFonts w:eastAsia="Calibri"/>
          <w:i/>
          <w:szCs w:val="22"/>
          <w:vertAlign w:val="superscript"/>
          <w:lang w:eastAsia="de-DE" w:bidi="de-DE"/>
        </w:rPr>
        <w:t>1</w:t>
      </w:r>
      <w:r w:rsidRPr="00D4747A">
        <w:rPr>
          <w:rFonts w:eastAsia="Calibri"/>
          <w:i/>
          <w:szCs w:val="22"/>
          <w:lang w:eastAsia="de-DE" w:bidi="de-DE"/>
        </w:rPr>
        <w:t xml:space="preserve"> eingefügt durch Art. 4 des K.E. vom 12. Mai 2003 (I) (B.S. vom 20. Mai 2003) und </w:t>
      </w:r>
      <w:r w:rsidR="00993315">
        <w:rPr>
          <w:rFonts w:eastAsia="Calibri"/>
          <w:i/>
          <w:szCs w:val="22"/>
          <w:lang w:eastAsia="de-DE" w:bidi="de-DE"/>
        </w:rPr>
        <w:t>aufgehoben durch Art. 6</w:t>
      </w:r>
      <w:r w:rsidR="00993315" w:rsidRPr="00993315">
        <w:rPr>
          <w:rFonts w:eastAsia="Calibri"/>
          <w:i/>
          <w:szCs w:val="22"/>
          <w:lang w:eastAsia="de-DE" w:bidi="de-DE"/>
        </w:rPr>
        <w:t xml:space="preserve"> des K.E. vom 20. Dezember 2024 (B.S. vom 30. Dezember 2024)</w:t>
      </w:r>
      <w:r w:rsidRPr="00D4747A">
        <w:rPr>
          <w:rFonts w:eastAsia="Calibri"/>
          <w:i/>
          <w:szCs w:val="22"/>
          <w:lang w:eastAsia="de-DE" w:bidi="de-DE"/>
        </w:rPr>
        <w:t>]</w:t>
      </w:r>
    </w:p>
    <w:p w14:paraId="0C7A55C0" w14:textId="77777777" w:rsidR="005A5BD5" w:rsidRPr="00D4747A" w:rsidRDefault="005A5BD5" w:rsidP="004C2C7D">
      <w:pPr>
        <w:jc w:val="both"/>
        <w:rPr>
          <w:rFonts w:eastAsia="Calibri"/>
          <w:szCs w:val="22"/>
          <w:lang w:eastAsia="de-DE" w:bidi="de-DE"/>
        </w:rPr>
      </w:pPr>
    </w:p>
    <w:p w14:paraId="4C3858CD" w14:textId="77777777" w:rsidR="005A5BD5" w:rsidRPr="00D4747A" w:rsidRDefault="005A5BD5" w:rsidP="004C2C7D">
      <w:pPr>
        <w:jc w:val="both"/>
        <w:rPr>
          <w:rFonts w:eastAsia="Calibri"/>
          <w:szCs w:val="22"/>
          <w:lang w:eastAsia="de-DE" w:bidi="de-DE"/>
        </w:rPr>
      </w:pPr>
    </w:p>
    <w:p w14:paraId="0D8D2C36" w14:textId="7A479D44" w:rsidR="005A5BD5" w:rsidRPr="00D4747A" w:rsidRDefault="005A5BD5" w:rsidP="00993315">
      <w:pPr>
        <w:jc w:val="both"/>
        <w:rPr>
          <w:rFonts w:eastAsia="Calibri"/>
          <w:szCs w:val="22"/>
          <w:lang w:eastAsia="de-DE" w:bidi="de-DE"/>
        </w:rPr>
      </w:pPr>
      <w:r w:rsidRPr="00D4747A">
        <w:rPr>
          <w:rFonts w:eastAsia="Calibri"/>
          <w:szCs w:val="22"/>
          <w:lang w:eastAsia="de-DE" w:bidi="de-DE"/>
        </w:rPr>
        <w:tab/>
        <w:t>[</w:t>
      </w:r>
      <w:r w:rsidRPr="00D4747A">
        <w:rPr>
          <w:rFonts w:eastAsia="Calibri"/>
          <w:b/>
          <w:szCs w:val="22"/>
          <w:lang w:eastAsia="de-DE" w:bidi="de-DE"/>
        </w:rPr>
        <w:t>Art. 49</w:t>
      </w:r>
      <w:r w:rsidRPr="00D4747A">
        <w:rPr>
          <w:rFonts w:eastAsia="Calibri"/>
          <w:b/>
          <w:i/>
          <w:szCs w:val="22"/>
          <w:lang w:eastAsia="de-DE" w:bidi="de-DE"/>
        </w:rPr>
        <w:t>bis</w:t>
      </w:r>
      <w:r w:rsidRPr="00D4747A">
        <w:rPr>
          <w:rFonts w:eastAsia="Calibri"/>
          <w:szCs w:val="22"/>
          <w:lang w:eastAsia="de-DE" w:bidi="de-DE"/>
        </w:rPr>
        <w:t xml:space="preserve"> - </w:t>
      </w:r>
      <w:r w:rsidR="00993315">
        <w:rPr>
          <w:rFonts w:eastAsia="Calibri"/>
          <w:szCs w:val="22"/>
          <w:lang w:eastAsia="de-DE" w:bidi="de-DE"/>
        </w:rPr>
        <w:t>[...]</w:t>
      </w:r>
      <w:r w:rsidRPr="00D4747A">
        <w:rPr>
          <w:rFonts w:eastAsia="Calibri"/>
          <w:szCs w:val="22"/>
          <w:lang w:eastAsia="de-DE" w:bidi="de-DE"/>
        </w:rPr>
        <w:t>]</w:t>
      </w:r>
    </w:p>
    <w:p w14:paraId="7BE5CA16" w14:textId="77777777" w:rsidR="005A5BD5" w:rsidRPr="00D4747A" w:rsidRDefault="005A5BD5" w:rsidP="004C2C7D">
      <w:pPr>
        <w:jc w:val="both"/>
        <w:rPr>
          <w:rFonts w:eastAsia="Calibri"/>
          <w:szCs w:val="22"/>
          <w:lang w:eastAsia="de-DE" w:bidi="de-DE"/>
        </w:rPr>
      </w:pPr>
    </w:p>
    <w:p w14:paraId="3986B038" w14:textId="2D7E7D0C" w:rsidR="005A5BD5" w:rsidRPr="00D4747A" w:rsidRDefault="005A5BD5" w:rsidP="004C2C7D">
      <w:pPr>
        <w:jc w:val="both"/>
        <w:rPr>
          <w:rFonts w:eastAsia="Calibri"/>
          <w:i/>
          <w:szCs w:val="22"/>
          <w:lang w:eastAsia="de-DE" w:bidi="de-DE"/>
        </w:rPr>
      </w:pPr>
      <w:r w:rsidRPr="00D4747A">
        <w:rPr>
          <w:rFonts w:eastAsia="Calibri"/>
          <w:i/>
          <w:szCs w:val="22"/>
          <w:lang w:eastAsia="de-DE" w:bidi="de-DE"/>
        </w:rPr>
        <w:t>[Art. 49bis eingefügt durch Art. 5 des K.E. vom 21. September 2000 (B.S. vom 17. Oktober 2000</w:t>
      </w:r>
      <w:r w:rsidR="00993315">
        <w:rPr>
          <w:rFonts w:eastAsia="Calibri"/>
          <w:i/>
          <w:szCs w:val="22"/>
          <w:lang w:eastAsia="de-DE" w:bidi="de-DE"/>
        </w:rPr>
        <w:t>) und aufgehoben durch Art. 7</w:t>
      </w:r>
      <w:r w:rsidR="00993315" w:rsidRPr="00993315">
        <w:rPr>
          <w:rFonts w:eastAsia="Calibri"/>
          <w:i/>
          <w:szCs w:val="22"/>
          <w:lang w:eastAsia="de-DE" w:bidi="de-DE"/>
        </w:rPr>
        <w:t xml:space="preserve"> des K.E. vom 20. Dezember 2024 (B.S. vom 30. Dezember 2024)</w:t>
      </w:r>
      <w:r w:rsidRPr="00D4747A">
        <w:rPr>
          <w:rFonts w:eastAsia="Calibri"/>
          <w:i/>
          <w:szCs w:val="22"/>
          <w:lang w:eastAsia="de-DE" w:bidi="de-DE"/>
        </w:rPr>
        <w:t>]</w:t>
      </w:r>
    </w:p>
    <w:p w14:paraId="7DBCD3BA" w14:textId="77777777" w:rsidR="0043740D" w:rsidRDefault="0043740D" w:rsidP="0043740D">
      <w:pPr>
        <w:jc w:val="center"/>
        <w:rPr>
          <w:rFonts w:eastAsia="Calibri"/>
          <w:szCs w:val="22"/>
          <w:lang w:eastAsia="de-DE" w:bidi="de-DE"/>
        </w:rPr>
      </w:pPr>
    </w:p>
    <w:p w14:paraId="501377C9" w14:textId="77777777" w:rsidR="0043740D" w:rsidRDefault="0043740D" w:rsidP="0043740D">
      <w:pPr>
        <w:jc w:val="center"/>
        <w:rPr>
          <w:rFonts w:eastAsia="Calibri"/>
          <w:szCs w:val="22"/>
          <w:lang w:eastAsia="de-DE" w:bidi="de-DE"/>
        </w:rPr>
      </w:pPr>
    </w:p>
    <w:p w14:paraId="15E7458B" w14:textId="77777777" w:rsidR="0043740D" w:rsidRDefault="0043740D" w:rsidP="0043740D">
      <w:pPr>
        <w:jc w:val="center"/>
      </w:pPr>
      <w:r>
        <w:rPr>
          <w:rFonts w:eastAsia="Calibri"/>
          <w:szCs w:val="22"/>
          <w:lang w:eastAsia="de-DE" w:bidi="de-DE"/>
        </w:rPr>
        <w:t>[</w:t>
      </w:r>
      <w:r>
        <w:rPr>
          <w:i/>
          <w:iCs/>
        </w:rPr>
        <w:t>Abschnitt 16/1</w:t>
      </w:r>
      <w:r>
        <w:t> - Rückwirkender Abzug von beruflichen Verlusten</w:t>
      </w:r>
    </w:p>
    <w:p w14:paraId="6463B212" w14:textId="77777777" w:rsidR="0043740D" w:rsidRDefault="0043740D" w:rsidP="0043740D">
      <w:pPr>
        <w:jc w:val="center"/>
      </w:pPr>
    </w:p>
    <w:p w14:paraId="5FB34ECE" w14:textId="77777777" w:rsidR="0043740D" w:rsidRDefault="0043740D" w:rsidP="0043740D">
      <w:pPr>
        <w:jc w:val="both"/>
        <w:rPr>
          <w:i/>
        </w:rPr>
      </w:pPr>
      <w:r>
        <w:rPr>
          <w:i/>
        </w:rPr>
        <w:t>[Abschnitt 16/1 mit Art. 49ter eingefügt durch Art. 1 des K.E. vom 11. Januar 2021 (B.S. vom 19. Januar 2021)]</w:t>
      </w:r>
    </w:p>
    <w:p w14:paraId="7CE30EBF" w14:textId="77777777" w:rsidR="0043740D" w:rsidRDefault="0043740D" w:rsidP="0043740D">
      <w:pPr>
        <w:jc w:val="both"/>
        <w:rPr>
          <w:bCs/>
          <w:i/>
        </w:rPr>
      </w:pPr>
    </w:p>
    <w:p w14:paraId="2DB9B464" w14:textId="77777777" w:rsidR="0043740D" w:rsidRDefault="0043740D" w:rsidP="0043740D">
      <w:pPr>
        <w:jc w:val="both"/>
        <w:rPr>
          <w:bCs/>
        </w:rPr>
      </w:pPr>
    </w:p>
    <w:p w14:paraId="484A35AC" w14:textId="77777777" w:rsidR="0043740D" w:rsidRDefault="0043740D" w:rsidP="0043740D">
      <w:pPr>
        <w:jc w:val="both"/>
        <w:rPr>
          <w:rFonts w:eastAsia="Calibri"/>
          <w:szCs w:val="22"/>
          <w:lang w:eastAsia="de-DE" w:bidi="de-DE"/>
        </w:rPr>
      </w:pPr>
      <w:r>
        <w:tab/>
      </w:r>
      <w:r>
        <w:rPr>
          <w:b/>
        </w:rPr>
        <w:t>Art. 49</w:t>
      </w:r>
      <w:r>
        <w:rPr>
          <w:b/>
          <w:i/>
        </w:rPr>
        <w:t>ter</w:t>
      </w:r>
      <w:r>
        <w:t> - Für die Anwendung der Artikel 78 § 2 und 206 § 4 des Einkommensteuer</w:t>
      </w:r>
      <w:r>
        <w:softHyphen/>
        <w:t>gesetzbuches 1992 wird das Datum der Unterzeichnung des Protokolls wie erwähnt in Artikel 4 § 5 des Erlasses der Wallonischen Regierung vom 31. Mai 2017 zur Ausführung des Titels X/1 des wallonischen Gesetzbuches über die Landwirtschaft betreffend den Schadensersatz für die durch landwirtschaftliche Naturkatastrophen verursachten Schäden als Zeitpunkt betrachtet, zu dem die Schäden infolge der in der Wallonischen Region anerkannten landwirtschaftlichen Naturkatastrophe endgültig festgestellt sind.</w:t>
      </w:r>
      <w:r>
        <w:rPr>
          <w:rFonts w:eastAsia="Calibri"/>
          <w:szCs w:val="22"/>
          <w:lang w:eastAsia="de-DE" w:bidi="de-DE"/>
        </w:rPr>
        <w:t>]</w:t>
      </w:r>
    </w:p>
    <w:p w14:paraId="7F23227E" w14:textId="77777777" w:rsidR="003B5C18" w:rsidRDefault="003B5C18" w:rsidP="004C2C7D">
      <w:pPr>
        <w:jc w:val="center"/>
        <w:rPr>
          <w:rFonts w:eastAsia="Calibri"/>
          <w:szCs w:val="22"/>
          <w:lang w:eastAsia="de-DE" w:bidi="de-DE"/>
        </w:rPr>
      </w:pPr>
    </w:p>
    <w:p w14:paraId="78DFE92F" w14:textId="77777777" w:rsidR="004B65B3" w:rsidRDefault="004B65B3" w:rsidP="004C2C7D">
      <w:pPr>
        <w:jc w:val="center"/>
        <w:rPr>
          <w:rFonts w:eastAsia="Calibri"/>
          <w:szCs w:val="22"/>
          <w:lang w:eastAsia="de-DE" w:bidi="de-DE"/>
        </w:rPr>
      </w:pPr>
    </w:p>
    <w:p w14:paraId="0A99F702" w14:textId="77777777" w:rsidR="00D30FE1" w:rsidRPr="005A0D43" w:rsidRDefault="004B65B3" w:rsidP="00D30FE1">
      <w:pPr>
        <w:jc w:val="both"/>
      </w:pPr>
      <w:r>
        <w:rPr>
          <w:rFonts w:eastAsia="Calibri"/>
          <w:szCs w:val="22"/>
          <w:lang w:eastAsia="de-DE" w:bidi="de-DE"/>
        </w:rPr>
        <w:tab/>
        <w:t>[</w:t>
      </w:r>
      <w:r w:rsidR="00D30FE1" w:rsidRPr="00D30FE1">
        <w:rPr>
          <w:b/>
          <w:bCs/>
        </w:rPr>
        <w:t>Art. 49</w:t>
      </w:r>
      <w:r w:rsidR="00D30FE1" w:rsidRPr="00D30FE1">
        <w:rPr>
          <w:b/>
          <w:bCs/>
          <w:i/>
        </w:rPr>
        <w:t>quater</w:t>
      </w:r>
      <w:r w:rsidR="00D30FE1">
        <w:t> - Steuerpflichtige beantragen die Anwendung des rückwirkenden Verlustabzugs für Schäden, die definitiv festgestellt sind, anhand eines Formulars, dessen Muster vom Minister der Finanzen oder von seinem Beauftragten festgelegt wird.</w:t>
      </w:r>
    </w:p>
    <w:p w14:paraId="4FA5B881" w14:textId="77777777" w:rsidR="00D30FE1" w:rsidRDefault="00D30FE1" w:rsidP="00D30FE1">
      <w:pPr>
        <w:jc w:val="both"/>
      </w:pPr>
    </w:p>
    <w:p w14:paraId="23A41038" w14:textId="77777777" w:rsidR="00D30FE1" w:rsidRPr="005A0D43" w:rsidRDefault="00D30FE1" w:rsidP="00D30FE1">
      <w:pPr>
        <w:jc w:val="both"/>
      </w:pPr>
      <w:r>
        <w:tab/>
        <w:t>Das Formular enthält folgende Angaben:</w:t>
      </w:r>
    </w:p>
    <w:p w14:paraId="680F08A3" w14:textId="77777777" w:rsidR="00D30FE1" w:rsidRDefault="00D30FE1" w:rsidP="00D30FE1">
      <w:pPr>
        <w:jc w:val="both"/>
      </w:pPr>
    </w:p>
    <w:p w14:paraId="23CB3C51" w14:textId="77777777" w:rsidR="00D30FE1" w:rsidRPr="005A0D43" w:rsidRDefault="00D30FE1" w:rsidP="00D30FE1">
      <w:pPr>
        <w:jc w:val="both"/>
      </w:pPr>
      <w:r>
        <w:tab/>
        <w:t>1. Namen und Vornamen des Steuerpflichtigen, wenn es sich um eine natürliche Person handelt, oder Bezeichnung des Steuerpflichtigen, wenn es sich um eine Gesellschaft handelt,</w:t>
      </w:r>
    </w:p>
    <w:p w14:paraId="46D5C6DE" w14:textId="77777777" w:rsidR="00D30FE1" w:rsidRDefault="00D30FE1" w:rsidP="00D30FE1">
      <w:pPr>
        <w:jc w:val="both"/>
      </w:pPr>
    </w:p>
    <w:p w14:paraId="123B0B84" w14:textId="77777777" w:rsidR="00D30FE1" w:rsidRPr="005A0D43" w:rsidRDefault="00D30FE1" w:rsidP="00D30FE1">
      <w:pPr>
        <w:jc w:val="both"/>
      </w:pPr>
      <w:r>
        <w:tab/>
        <w:t>2. Steuernummer, wenn der Steuerpflichtige eine natürliche Person ist, oder Unternehmensnummer, wenn der Steuerpflichtige eine Gesellschaft ist,</w:t>
      </w:r>
    </w:p>
    <w:p w14:paraId="7E358AC2" w14:textId="77777777" w:rsidR="00D30FE1" w:rsidRDefault="00D30FE1" w:rsidP="00D30FE1">
      <w:pPr>
        <w:jc w:val="both"/>
      </w:pPr>
    </w:p>
    <w:p w14:paraId="67194370" w14:textId="77777777" w:rsidR="00D30FE1" w:rsidRPr="005A0D43" w:rsidRDefault="00D30FE1" w:rsidP="00D30FE1">
      <w:pPr>
        <w:jc w:val="both"/>
      </w:pPr>
      <w:r>
        <w:tab/>
        <w:t>3. Datum, an dem die Schäden entstanden sind,</w:t>
      </w:r>
    </w:p>
    <w:p w14:paraId="4F3D0F68" w14:textId="77777777" w:rsidR="00D30FE1" w:rsidRDefault="00D30FE1" w:rsidP="00D30FE1">
      <w:pPr>
        <w:jc w:val="both"/>
      </w:pPr>
    </w:p>
    <w:p w14:paraId="7484DBF3" w14:textId="77777777" w:rsidR="00D30FE1" w:rsidRPr="005A0D43" w:rsidRDefault="00D30FE1" w:rsidP="00D30FE1">
      <w:pPr>
        <w:jc w:val="both"/>
      </w:pPr>
      <w:r>
        <w:tab/>
        <w:t>4. Betrag der erlittenen Schäden, die von der Region definitiv festgestellt worden sind,</w:t>
      </w:r>
    </w:p>
    <w:p w14:paraId="27F6EAF2" w14:textId="77777777" w:rsidR="00D30FE1" w:rsidRDefault="00D30FE1" w:rsidP="00D30FE1">
      <w:pPr>
        <w:jc w:val="both"/>
      </w:pPr>
    </w:p>
    <w:p w14:paraId="46A00E85" w14:textId="77777777" w:rsidR="00D30FE1" w:rsidRPr="005A0D43" w:rsidRDefault="00D30FE1" w:rsidP="00D30FE1">
      <w:pPr>
        <w:jc w:val="both"/>
      </w:pPr>
      <w:r>
        <w:tab/>
        <w:t>5. Datum, an dem die Schäden von der Region definitiv festgestellt worden sind,</w:t>
      </w:r>
    </w:p>
    <w:p w14:paraId="0559DE89" w14:textId="77777777" w:rsidR="00D30FE1" w:rsidRDefault="00D30FE1" w:rsidP="00D30FE1">
      <w:pPr>
        <w:jc w:val="both"/>
      </w:pPr>
      <w:r>
        <w:tab/>
      </w:r>
    </w:p>
    <w:p w14:paraId="63BAD58E" w14:textId="77777777" w:rsidR="00D30FE1" w:rsidRPr="005A0D43" w:rsidRDefault="00D30FE1" w:rsidP="00D30FE1">
      <w:pPr>
        <w:jc w:val="both"/>
      </w:pPr>
      <w:r>
        <w:tab/>
        <w:t>6. wenn der Steuerpflichtige eine Gesellschaft ist: Betrag der landwirtschaftlichen Verluste, die durch schlechte Witterungsbedingungen verursacht worden sind und für die die Gesellschaft die Anwendung des rückwirkenden Verlustabzugs beantragt.</w:t>
      </w:r>
    </w:p>
    <w:p w14:paraId="119F93BD" w14:textId="77777777" w:rsidR="00D30FE1" w:rsidRDefault="00D30FE1" w:rsidP="00D30FE1">
      <w:pPr>
        <w:jc w:val="both"/>
      </w:pPr>
    </w:p>
    <w:p w14:paraId="31F36365" w14:textId="77777777" w:rsidR="00D30FE1" w:rsidRPr="005A0D43" w:rsidRDefault="00D30FE1" w:rsidP="00D30FE1">
      <w:pPr>
        <w:jc w:val="both"/>
      </w:pPr>
      <w:r>
        <w:tab/>
        <w:t>Das Formular enthält ebenfalls eine Erklärung, aus der hervorgeht, dass für den rückwirkenden Verlustabzug optiert wird und diese Option definitiv und unwiderruflich ist.</w:t>
      </w:r>
    </w:p>
    <w:p w14:paraId="6138FA33" w14:textId="77777777" w:rsidR="00D30FE1" w:rsidRDefault="00D30FE1" w:rsidP="00D30FE1">
      <w:pPr>
        <w:jc w:val="both"/>
      </w:pPr>
    </w:p>
    <w:p w14:paraId="77B4F278" w14:textId="081365DC" w:rsidR="004B65B3" w:rsidRDefault="00D30FE1" w:rsidP="00D30FE1">
      <w:pPr>
        <w:jc w:val="both"/>
        <w:rPr>
          <w:rFonts w:eastAsia="Calibri"/>
          <w:szCs w:val="22"/>
          <w:lang w:eastAsia="de-DE" w:bidi="de-DE"/>
        </w:rPr>
      </w:pPr>
      <w:r>
        <w:tab/>
        <w:t>Das in vorliegendem Artikel erwähnte Formular, das gemäß den darin befindlichen Vorgaben ausgefüllt, für richtig bescheinigt, datiert und unterzeichnet ist, ist bei dem Zentrum einzureichen, dem der Steuerpflichtige für das Steuerjahr untersteht, das an den Besteuerungszeitraum gebunden ist, in dem die Schäden von der Region definitiv festgestellt worden sind, und zwar binnen der Frist für die Einreichung der Einkommensteuererklärung für dieses Steuerjahr.</w:t>
      </w:r>
      <w:r w:rsidR="004B65B3">
        <w:rPr>
          <w:rFonts w:eastAsia="Calibri"/>
          <w:szCs w:val="22"/>
          <w:lang w:eastAsia="de-DE" w:bidi="de-DE"/>
        </w:rPr>
        <w:t>]</w:t>
      </w:r>
    </w:p>
    <w:p w14:paraId="0D4C5210" w14:textId="77777777" w:rsidR="00D30FE1" w:rsidRDefault="00D30FE1" w:rsidP="00D30FE1">
      <w:pPr>
        <w:jc w:val="both"/>
        <w:rPr>
          <w:rFonts w:eastAsia="Calibri"/>
          <w:szCs w:val="22"/>
          <w:lang w:eastAsia="de-DE" w:bidi="de-DE"/>
        </w:rPr>
      </w:pPr>
    </w:p>
    <w:p w14:paraId="2613904C" w14:textId="42EA9FDE" w:rsidR="00D30FE1" w:rsidRDefault="00D30FE1" w:rsidP="00D30FE1">
      <w:pPr>
        <w:jc w:val="both"/>
        <w:rPr>
          <w:rFonts w:eastAsia="Calibri"/>
          <w:i/>
          <w:iCs/>
          <w:szCs w:val="22"/>
          <w:lang w:eastAsia="de-DE" w:bidi="de-DE"/>
        </w:rPr>
      </w:pPr>
      <w:r>
        <w:rPr>
          <w:rFonts w:eastAsia="Calibri"/>
          <w:i/>
          <w:iCs/>
          <w:szCs w:val="22"/>
          <w:lang w:eastAsia="de-DE" w:bidi="de-DE"/>
        </w:rPr>
        <w:t>[Art. 49quater eingefügt durch Art. 1 des K.E. vom 16. November 2022 (B.S. vom 25. November 2022)]</w:t>
      </w:r>
    </w:p>
    <w:p w14:paraId="36168846" w14:textId="77777777" w:rsidR="00D30FE1" w:rsidRPr="00D30FE1" w:rsidRDefault="00D30FE1" w:rsidP="00D30FE1">
      <w:pPr>
        <w:jc w:val="both"/>
        <w:rPr>
          <w:rFonts w:eastAsia="Calibri"/>
        </w:rPr>
      </w:pPr>
    </w:p>
    <w:p w14:paraId="01EF26ED" w14:textId="77777777" w:rsidR="003B5C18" w:rsidRDefault="003B5C18" w:rsidP="004C2C7D">
      <w:pPr>
        <w:jc w:val="center"/>
        <w:rPr>
          <w:rFonts w:eastAsia="Calibri"/>
          <w:szCs w:val="22"/>
          <w:lang w:eastAsia="de-DE" w:bidi="de-DE"/>
        </w:rPr>
      </w:pPr>
    </w:p>
    <w:p w14:paraId="4EB4FBFB" w14:textId="77777777" w:rsidR="005A5BD5" w:rsidRPr="00D4747A" w:rsidRDefault="005A5BD5" w:rsidP="004C2C7D">
      <w:pPr>
        <w:jc w:val="center"/>
        <w:rPr>
          <w:rFonts w:eastAsia="Calibri"/>
          <w:szCs w:val="22"/>
          <w:lang w:eastAsia="de-DE" w:bidi="de-DE"/>
        </w:rPr>
      </w:pPr>
      <w:r w:rsidRPr="00D4747A">
        <w:rPr>
          <w:rFonts w:eastAsia="Calibri"/>
          <w:szCs w:val="22"/>
          <w:lang w:eastAsia="de-DE" w:bidi="de-DE"/>
        </w:rPr>
        <w:t>[</w:t>
      </w:r>
      <w:r w:rsidRPr="00D4747A">
        <w:rPr>
          <w:rFonts w:eastAsia="Calibri"/>
          <w:i/>
          <w:szCs w:val="22"/>
          <w:lang w:eastAsia="de-DE" w:bidi="de-DE"/>
        </w:rPr>
        <w:t>Abschnitt 17 </w:t>
      </w:r>
      <w:r w:rsidRPr="00D4747A">
        <w:rPr>
          <w:rFonts w:eastAsia="Calibri"/>
          <w:szCs w:val="22"/>
          <w:lang w:eastAsia="de-DE" w:bidi="de-DE"/>
        </w:rPr>
        <w:t>- [</w:t>
      </w:r>
      <w:r w:rsidR="009251F9">
        <w:rPr>
          <w:rFonts w:eastAsia="Calibri"/>
          <w:szCs w:val="22"/>
          <w:lang w:eastAsia="de-DE" w:bidi="de-DE"/>
        </w:rPr>
        <w:t>…</w:t>
      </w:r>
      <w:r w:rsidRPr="00D4747A">
        <w:rPr>
          <w:rFonts w:eastAsia="Calibri"/>
          <w:szCs w:val="22"/>
          <w:lang w:eastAsia="de-DE" w:bidi="de-DE"/>
        </w:rPr>
        <w:t>]</w:t>
      </w:r>
    </w:p>
    <w:p w14:paraId="1033BAA2" w14:textId="77777777" w:rsidR="005A5BD5" w:rsidRPr="00D4747A" w:rsidRDefault="005A5BD5" w:rsidP="004C2C7D">
      <w:pPr>
        <w:jc w:val="center"/>
        <w:rPr>
          <w:rFonts w:eastAsia="Calibri"/>
          <w:szCs w:val="22"/>
          <w:lang w:eastAsia="de-DE" w:bidi="de-DE"/>
        </w:rPr>
      </w:pPr>
    </w:p>
    <w:p w14:paraId="2B8B994B" w14:textId="77777777" w:rsidR="005A5BD5" w:rsidRPr="00D4747A" w:rsidRDefault="005A5BD5" w:rsidP="004C2C7D">
      <w:pPr>
        <w:jc w:val="both"/>
        <w:rPr>
          <w:rFonts w:eastAsia="Calibri"/>
          <w:i/>
          <w:szCs w:val="22"/>
          <w:lang w:eastAsia="de-DE" w:bidi="de-DE"/>
        </w:rPr>
      </w:pPr>
      <w:r w:rsidRPr="00D4747A">
        <w:rPr>
          <w:rFonts w:eastAsia="Calibri"/>
          <w:i/>
          <w:szCs w:val="22"/>
          <w:lang w:eastAsia="de-DE" w:bidi="de-DE"/>
        </w:rPr>
        <w:t>[Abschnitt 17 mit den Artikeln 50 bis 52 aufgehoben durch Art. 8 des K.E. vom 1. September 1995 (II) (B.S. vom 5. Oktober 1995)]</w:t>
      </w:r>
    </w:p>
    <w:p w14:paraId="25848DD1" w14:textId="77777777" w:rsidR="005A5BD5" w:rsidRPr="00D4747A" w:rsidRDefault="005A5BD5" w:rsidP="004C2C7D">
      <w:pPr>
        <w:jc w:val="both"/>
        <w:rPr>
          <w:rFonts w:eastAsia="Calibri"/>
          <w:i/>
          <w:szCs w:val="22"/>
          <w:lang w:eastAsia="de-DE" w:bidi="de-DE"/>
        </w:rPr>
      </w:pPr>
    </w:p>
    <w:p w14:paraId="69414DE9" w14:textId="77777777" w:rsidR="005A5BD5" w:rsidRPr="00D4747A" w:rsidRDefault="005A5BD5" w:rsidP="004C2C7D">
      <w:pPr>
        <w:jc w:val="both"/>
        <w:rPr>
          <w:rFonts w:eastAsia="Calibri"/>
          <w:szCs w:val="22"/>
          <w:lang w:eastAsia="de-DE" w:bidi="de-DE"/>
        </w:rPr>
      </w:pPr>
    </w:p>
    <w:p w14:paraId="0956CC53"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50 - 52 -</w:t>
      </w:r>
      <w:r w:rsidRPr="00D4747A">
        <w:rPr>
          <w:rFonts w:eastAsia="Calibri"/>
          <w:szCs w:val="22"/>
          <w:lang w:eastAsia="de-DE" w:bidi="de-DE"/>
        </w:rPr>
        <w:t xml:space="preserve"> [</w:t>
      </w:r>
      <w:r w:rsidR="009251F9">
        <w:rPr>
          <w:rFonts w:eastAsia="Calibri"/>
          <w:szCs w:val="22"/>
          <w:lang w:eastAsia="de-DE" w:bidi="de-DE"/>
        </w:rPr>
        <w:t>…</w:t>
      </w:r>
      <w:r w:rsidRPr="00D4747A">
        <w:rPr>
          <w:rFonts w:eastAsia="Calibri"/>
          <w:szCs w:val="22"/>
          <w:lang w:eastAsia="de-DE" w:bidi="de-DE"/>
        </w:rPr>
        <w:t>]]</w:t>
      </w:r>
    </w:p>
    <w:p w14:paraId="36A4A5B3" w14:textId="43F21CF8" w:rsidR="00924788" w:rsidRDefault="00924788">
      <w:pPr>
        <w:rPr>
          <w:rFonts w:eastAsia="Calibri"/>
          <w:i/>
          <w:szCs w:val="22"/>
          <w:lang w:eastAsia="de-DE" w:bidi="de-DE"/>
        </w:rPr>
      </w:pPr>
    </w:p>
    <w:p w14:paraId="67439675" w14:textId="77777777" w:rsidR="004C24ED" w:rsidRDefault="004C24ED">
      <w:pPr>
        <w:rPr>
          <w:rFonts w:eastAsia="Calibri"/>
          <w:i/>
          <w:szCs w:val="22"/>
          <w:lang w:eastAsia="de-DE" w:bidi="de-DE"/>
        </w:rPr>
      </w:pPr>
    </w:p>
    <w:p w14:paraId="544877FE" w14:textId="3FD3AD1A" w:rsidR="005A5BD5" w:rsidRPr="00D4747A" w:rsidRDefault="005A5BD5" w:rsidP="004C2C7D">
      <w:pPr>
        <w:jc w:val="center"/>
        <w:rPr>
          <w:rFonts w:eastAsia="Calibri"/>
          <w:szCs w:val="22"/>
          <w:lang w:eastAsia="de-DE" w:bidi="de-DE"/>
        </w:rPr>
      </w:pPr>
      <w:r w:rsidRPr="00D4747A">
        <w:rPr>
          <w:rFonts w:eastAsia="Calibri"/>
          <w:i/>
          <w:szCs w:val="22"/>
          <w:lang w:eastAsia="de-DE" w:bidi="de-DE"/>
        </w:rPr>
        <w:t>Abschnitt 18</w:t>
      </w:r>
      <w:r w:rsidRPr="00D4747A">
        <w:rPr>
          <w:rFonts w:eastAsia="Calibri"/>
          <w:szCs w:val="22"/>
          <w:lang w:eastAsia="de-DE" w:bidi="de-DE"/>
        </w:rPr>
        <w:t> - Steuerbefreiung für Preise und Zuschüsse, die Wissenschaftlern, Schriftstellern oder Künstlern zuerkannt werden</w:t>
      </w:r>
    </w:p>
    <w:p w14:paraId="7B303046" w14:textId="77777777" w:rsidR="005A5BD5" w:rsidRPr="00D4747A" w:rsidRDefault="005A5BD5" w:rsidP="004C2C7D">
      <w:pPr>
        <w:jc w:val="center"/>
        <w:rPr>
          <w:rFonts w:eastAsia="Calibri"/>
          <w:szCs w:val="22"/>
          <w:lang w:eastAsia="de-DE" w:bidi="de-DE"/>
        </w:rPr>
      </w:pPr>
    </w:p>
    <w:p w14:paraId="02B8E7F1" w14:textId="77777777" w:rsidR="005A5BD5" w:rsidRPr="00D4747A" w:rsidRDefault="005A5BD5" w:rsidP="004C2C7D">
      <w:pPr>
        <w:jc w:val="center"/>
        <w:rPr>
          <w:rFonts w:eastAsia="Calibri"/>
          <w:szCs w:val="22"/>
          <w:lang w:eastAsia="de-DE" w:bidi="de-DE"/>
        </w:rPr>
      </w:pPr>
      <w:r w:rsidRPr="00D4747A">
        <w:rPr>
          <w:rFonts w:eastAsia="Calibri"/>
          <w:szCs w:val="22"/>
          <w:lang w:eastAsia="de-DE" w:bidi="de-DE"/>
        </w:rPr>
        <w:t>(Einkommensteuergesetzbuch 1992, Artikel 90 Nr. 2 Absatz 2)</w:t>
      </w:r>
    </w:p>
    <w:p w14:paraId="0AA6BB6E" w14:textId="77777777" w:rsidR="005A5BD5" w:rsidRPr="00D4747A" w:rsidRDefault="005A5BD5" w:rsidP="004C2C7D">
      <w:pPr>
        <w:jc w:val="center"/>
        <w:rPr>
          <w:rFonts w:eastAsia="Calibri"/>
          <w:szCs w:val="22"/>
          <w:lang w:eastAsia="de-DE" w:bidi="de-DE"/>
        </w:rPr>
      </w:pPr>
    </w:p>
    <w:p w14:paraId="39712B41" w14:textId="77777777" w:rsidR="005A5BD5" w:rsidRPr="00D4747A" w:rsidRDefault="005A5BD5" w:rsidP="004C2C7D">
      <w:pPr>
        <w:jc w:val="center"/>
        <w:rPr>
          <w:rFonts w:eastAsia="Calibri"/>
          <w:szCs w:val="22"/>
          <w:lang w:eastAsia="de-DE" w:bidi="de-DE"/>
        </w:rPr>
      </w:pPr>
    </w:p>
    <w:p w14:paraId="4595213D"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53</w:t>
      </w:r>
      <w:r w:rsidRPr="00D4747A">
        <w:rPr>
          <w:rFonts w:eastAsia="Calibri"/>
          <w:szCs w:val="22"/>
          <w:lang w:eastAsia="de-DE" w:bidi="de-DE"/>
        </w:rPr>
        <w:t xml:space="preserve"> - § 1 - In Anwendung </w:t>
      </w:r>
      <w:r w:rsidR="002B2C96">
        <w:rPr>
          <w:rFonts w:eastAsia="Calibri"/>
          <w:szCs w:val="22"/>
          <w:lang w:eastAsia="de-DE" w:bidi="de-DE"/>
        </w:rPr>
        <w:t>[</w:t>
      </w:r>
      <w:r w:rsidR="002B2C96" w:rsidRPr="00B617CF">
        <w:t>von Artikel 90 Absatz 1 Nr. 2</w:t>
      </w:r>
      <w:r w:rsidR="002B2C96">
        <w:rPr>
          <w:rFonts w:eastAsia="Calibri"/>
          <w:szCs w:val="22"/>
          <w:lang w:eastAsia="de-DE" w:bidi="de-DE"/>
        </w:rPr>
        <w:t>]</w:t>
      </w:r>
      <w:r w:rsidRPr="00D4747A">
        <w:rPr>
          <w:rFonts w:eastAsia="Calibri"/>
          <w:szCs w:val="22"/>
          <w:lang w:eastAsia="de-DE" w:bidi="de-DE"/>
        </w:rPr>
        <w:t xml:space="preserve"> des Einkommen</w:t>
      </w:r>
      <w:r>
        <w:rPr>
          <w:rFonts w:eastAsia="Calibri"/>
          <w:szCs w:val="22"/>
          <w:lang w:eastAsia="de-DE" w:bidi="de-DE"/>
        </w:rPr>
        <w:softHyphen/>
      </w:r>
      <w:r w:rsidRPr="00D4747A">
        <w:rPr>
          <w:rFonts w:eastAsia="Calibri"/>
          <w:szCs w:val="22"/>
          <w:lang w:eastAsia="de-DE" w:bidi="de-DE"/>
        </w:rPr>
        <w:t>steuergesetzbuches 1992 sind Preise und Zuschüsse steuerfrei, die nachstehende Bedingungen alle erfüllen:</w:t>
      </w:r>
    </w:p>
    <w:p w14:paraId="0528FA67" w14:textId="77777777" w:rsidR="005A5BD5" w:rsidRPr="00D4747A" w:rsidRDefault="005A5BD5" w:rsidP="004C2C7D">
      <w:pPr>
        <w:jc w:val="both"/>
        <w:rPr>
          <w:rFonts w:eastAsia="Calibri"/>
          <w:szCs w:val="22"/>
          <w:lang w:eastAsia="de-DE" w:bidi="de-DE"/>
        </w:rPr>
      </w:pPr>
    </w:p>
    <w:p w14:paraId="101B01B6"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1. außerordentliche Verdienste belohnen oder außergewöhnliche Anstrengungen ermöglichen im Bereich der wissenschaftlichen Forschung, der Künste oder der Geistes</w:t>
      </w:r>
      <w:r w:rsidRPr="00D4747A">
        <w:rPr>
          <w:rFonts w:eastAsia="Calibri"/>
          <w:szCs w:val="22"/>
          <w:lang w:eastAsia="de-DE" w:bidi="de-DE"/>
        </w:rPr>
        <w:softHyphen/>
        <w:t>wissenschaften,</w:t>
      </w:r>
    </w:p>
    <w:p w14:paraId="771D50BF" w14:textId="77777777" w:rsidR="005A5BD5" w:rsidRPr="00D4747A" w:rsidRDefault="005A5BD5" w:rsidP="004C2C7D">
      <w:pPr>
        <w:jc w:val="both"/>
        <w:rPr>
          <w:rFonts w:eastAsia="Calibri"/>
          <w:szCs w:val="22"/>
          <w:lang w:eastAsia="de-DE" w:bidi="de-DE"/>
        </w:rPr>
      </w:pPr>
    </w:p>
    <w:p w14:paraId="3AAFA0FB" w14:textId="490DB480" w:rsidR="005A5BD5" w:rsidRPr="00D4747A" w:rsidRDefault="005A5BD5" w:rsidP="004C2C7D">
      <w:pPr>
        <w:jc w:val="both"/>
        <w:rPr>
          <w:rFonts w:eastAsia="Calibri"/>
          <w:szCs w:val="22"/>
          <w:lang w:eastAsia="de-DE" w:bidi="de-DE"/>
        </w:rPr>
      </w:pPr>
      <w:r w:rsidRPr="00D4747A">
        <w:rPr>
          <w:rFonts w:eastAsia="Calibri"/>
          <w:szCs w:val="22"/>
          <w:lang w:eastAsia="de-DE" w:bidi="de-DE"/>
        </w:rPr>
        <w:tab/>
        <w:t xml:space="preserve">2. unter Umständen gewährt werden, </w:t>
      </w:r>
      <w:r w:rsidR="0043740D">
        <w:rPr>
          <w:rFonts w:eastAsia="Calibri"/>
          <w:szCs w:val="22"/>
          <w:lang w:eastAsia="de-DE" w:bidi="de-DE"/>
        </w:rPr>
        <w:t xml:space="preserve">die </w:t>
      </w:r>
      <w:r w:rsidRPr="00D4747A">
        <w:rPr>
          <w:rFonts w:eastAsia="Calibri"/>
          <w:szCs w:val="22"/>
          <w:lang w:eastAsia="de-DE" w:bidi="de-DE"/>
        </w:rPr>
        <w:t>Wissenschaftlern, Schriftstellern und Künstlern in der Weiterführung oder Ausführung ihrer Studien, Forschungen, Arbeiten oder künstlerischen Werke ein hohes Maß an Eigeninitiative lassen,</w:t>
      </w:r>
    </w:p>
    <w:p w14:paraId="7EBF7EBE" w14:textId="77777777" w:rsidR="005A5BD5" w:rsidRPr="00D4747A" w:rsidRDefault="005A5BD5" w:rsidP="004C2C7D">
      <w:pPr>
        <w:jc w:val="both"/>
        <w:rPr>
          <w:rFonts w:eastAsia="Calibri"/>
          <w:szCs w:val="22"/>
          <w:lang w:eastAsia="de-DE" w:bidi="de-DE"/>
        </w:rPr>
      </w:pPr>
    </w:p>
    <w:p w14:paraId="136E3CC2"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3. auf uneigennützige Weise zuerkannt werden, sodass jegliche Abhängigkeit des Empfängers dem Schenker gegenüber und jeglicher Ausgleich zugunsten des Schenkers ausgeschlossen ist,</w:t>
      </w:r>
    </w:p>
    <w:p w14:paraId="071D8A2A" w14:textId="77777777" w:rsidR="005A5BD5" w:rsidRPr="00D4747A" w:rsidRDefault="005A5BD5" w:rsidP="004C2C7D">
      <w:pPr>
        <w:jc w:val="both"/>
        <w:rPr>
          <w:rFonts w:eastAsia="Calibri"/>
          <w:szCs w:val="22"/>
          <w:lang w:eastAsia="de-DE" w:bidi="de-DE"/>
        </w:rPr>
      </w:pPr>
    </w:p>
    <w:p w14:paraId="134A1CC4"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4. nicht direkt oder indirekt von belgischen oder ausländischen Industrie-, Handels- oder Landwirtschaftsunternehmen finanziert werden, die auf die eine oder andere Weise Nutzen aus den Arbeiten, Forschungen, Studien oder künstlerischen Werken ziehen könnten.</w:t>
      </w:r>
    </w:p>
    <w:p w14:paraId="1D3E44D3" w14:textId="77777777" w:rsidR="005A5BD5" w:rsidRPr="00D4747A" w:rsidRDefault="005A5BD5" w:rsidP="004C2C7D">
      <w:pPr>
        <w:jc w:val="both"/>
        <w:rPr>
          <w:rFonts w:eastAsia="Calibri"/>
          <w:szCs w:val="22"/>
          <w:lang w:eastAsia="de-DE" w:bidi="de-DE"/>
        </w:rPr>
      </w:pPr>
    </w:p>
    <w:p w14:paraId="78E32046" w14:textId="26EFE84A" w:rsidR="005A5BD5" w:rsidRPr="00D4747A" w:rsidRDefault="005A5BD5" w:rsidP="004C2C7D">
      <w:pPr>
        <w:jc w:val="both"/>
        <w:rPr>
          <w:rFonts w:eastAsia="Calibri"/>
          <w:szCs w:val="22"/>
          <w:lang w:eastAsia="de-DE" w:bidi="de-DE"/>
        </w:rPr>
      </w:pPr>
      <w:r w:rsidRPr="00D4747A">
        <w:rPr>
          <w:rFonts w:eastAsia="Calibri"/>
          <w:szCs w:val="22"/>
          <w:lang w:eastAsia="de-DE" w:bidi="de-DE"/>
        </w:rPr>
        <w:tab/>
        <w:t>§ 2 - In Anwendung desselben Artikels werden zugelassen:</w:t>
      </w:r>
    </w:p>
    <w:p w14:paraId="3C5A2487" w14:textId="77777777" w:rsidR="005A5BD5" w:rsidRPr="00D4747A" w:rsidRDefault="005A5BD5" w:rsidP="004C2C7D">
      <w:pPr>
        <w:jc w:val="both"/>
        <w:rPr>
          <w:rFonts w:eastAsia="Calibri"/>
          <w:szCs w:val="22"/>
          <w:lang w:eastAsia="de-DE" w:bidi="de-DE"/>
        </w:rPr>
      </w:pPr>
    </w:p>
    <w:p w14:paraId="693815B3"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der Staat, die Gemeinschaften, die Regionen, [die Französische Gemeinschafts</w:t>
      </w:r>
      <w:r w:rsidRPr="00D4747A">
        <w:rPr>
          <w:rFonts w:eastAsia="Calibri"/>
          <w:szCs w:val="22"/>
          <w:lang w:eastAsia="de-DE" w:bidi="de-DE"/>
        </w:rPr>
        <w:softHyphen/>
        <w:t>kommission, die Flämische Gemeinschaftskommission, die Gemeinsame Gemeinschafts</w:t>
      </w:r>
      <w:r w:rsidRPr="00D4747A">
        <w:rPr>
          <w:rFonts w:eastAsia="Calibri"/>
          <w:szCs w:val="22"/>
          <w:lang w:eastAsia="de-DE" w:bidi="de-DE"/>
        </w:rPr>
        <w:softHyphen/>
        <w:t>kommission,] die Provinzen, die Agglomerationen, die Gemeindeföderationen und die Gemeinden,</w:t>
      </w:r>
    </w:p>
    <w:p w14:paraId="27A558E2" w14:textId="77777777" w:rsidR="005A5BD5" w:rsidRPr="00D4747A" w:rsidRDefault="005A5BD5" w:rsidP="004C2C7D">
      <w:pPr>
        <w:jc w:val="both"/>
        <w:rPr>
          <w:rFonts w:eastAsia="Calibri"/>
          <w:szCs w:val="22"/>
          <w:lang w:eastAsia="de-DE" w:bidi="de-DE"/>
        </w:rPr>
      </w:pPr>
    </w:p>
    <w:p w14:paraId="0D4F9C50"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die Königlichen Akademien,</w:t>
      </w:r>
    </w:p>
    <w:p w14:paraId="422C641B" w14:textId="77777777" w:rsidR="005A5BD5" w:rsidRPr="00D4747A" w:rsidRDefault="005A5BD5" w:rsidP="004C2C7D">
      <w:pPr>
        <w:jc w:val="both"/>
        <w:rPr>
          <w:rFonts w:eastAsia="Calibri"/>
          <w:szCs w:val="22"/>
          <w:lang w:eastAsia="de-DE" w:bidi="de-DE"/>
        </w:rPr>
      </w:pPr>
    </w:p>
    <w:p w14:paraId="3C093EBE"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die Universitäten,</w:t>
      </w:r>
    </w:p>
    <w:p w14:paraId="49B8DE2F" w14:textId="77777777" w:rsidR="005A5BD5" w:rsidRPr="00D4747A" w:rsidRDefault="005A5BD5" w:rsidP="004C2C7D">
      <w:pPr>
        <w:jc w:val="both"/>
        <w:rPr>
          <w:rFonts w:eastAsia="Calibri"/>
          <w:szCs w:val="22"/>
          <w:lang w:eastAsia="de-DE" w:bidi="de-DE"/>
        </w:rPr>
      </w:pPr>
    </w:p>
    <w:p w14:paraId="54307EC6"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der Nationale Fonds für wissenschaftliche Forschung,</w:t>
      </w:r>
    </w:p>
    <w:p w14:paraId="637C59A1" w14:textId="77777777" w:rsidR="005A5BD5" w:rsidRPr="00D4747A" w:rsidRDefault="005A5BD5" w:rsidP="004C2C7D">
      <w:pPr>
        <w:jc w:val="both"/>
        <w:rPr>
          <w:rFonts w:eastAsia="Calibri"/>
          <w:szCs w:val="22"/>
          <w:lang w:eastAsia="de-DE" w:bidi="de-DE"/>
        </w:rPr>
      </w:pPr>
    </w:p>
    <w:p w14:paraId="34875E50" w14:textId="77777777" w:rsidR="005A5BD5" w:rsidRDefault="005A5BD5" w:rsidP="004C2C7D">
      <w:pPr>
        <w:jc w:val="both"/>
        <w:rPr>
          <w:rFonts w:eastAsia="Calibri"/>
          <w:szCs w:val="22"/>
          <w:lang w:eastAsia="de-DE" w:bidi="de-DE"/>
        </w:rPr>
      </w:pPr>
      <w:r w:rsidRPr="00D4747A">
        <w:rPr>
          <w:rFonts w:eastAsia="Calibri"/>
          <w:szCs w:val="22"/>
          <w:lang w:eastAsia="de-DE" w:bidi="de-DE"/>
        </w:rPr>
        <w:tab/>
        <w:t>- das Institut zur Förderung der Wissenschaftlichen Forschung in Industrie und Landwirtschaft,</w:t>
      </w:r>
    </w:p>
    <w:p w14:paraId="483A0152" w14:textId="77777777" w:rsidR="003B5C18" w:rsidRDefault="003B5C18" w:rsidP="004C2C7D">
      <w:pPr>
        <w:jc w:val="both"/>
        <w:rPr>
          <w:rFonts w:eastAsia="Calibri"/>
          <w:szCs w:val="22"/>
          <w:lang w:eastAsia="de-DE" w:bidi="de-DE"/>
        </w:rPr>
      </w:pPr>
    </w:p>
    <w:p w14:paraId="745193F5"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die Königin-Elisabeth-Stiftung für Medizin,</w:t>
      </w:r>
    </w:p>
    <w:p w14:paraId="78A610CA" w14:textId="77777777" w:rsidR="005A5BD5" w:rsidRPr="00D4747A" w:rsidRDefault="005A5BD5" w:rsidP="004C2C7D">
      <w:pPr>
        <w:jc w:val="both"/>
        <w:rPr>
          <w:rFonts w:eastAsia="Calibri"/>
          <w:szCs w:val="22"/>
          <w:lang w:eastAsia="de-DE" w:bidi="de-DE"/>
        </w:rPr>
      </w:pPr>
    </w:p>
    <w:p w14:paraId="15DF2014"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die Francqui-Stiftung,</w:t>
      </w:r>
    </w:p>
    <w:p w14:paraId="2BDE5B23" w14:textId="77777777" w:rsidR="005A5BD5" w:rsidRPr="00D4747A" w:rsidRDefault="005A5BD5" w:rsidP="004C2C7D">
      <w:pPr>
        <w:jc w:val="both"/>
        <w:rPr>
          <w:rFonts w:eastAsia="Calibri"/>
          <w:szCs w:val="22"/>
          <w:lang w:eastAsia="de-DE" w:bidi="de-DE"/>
        </w:rPr>
      </w:pPr>
    </w:p>
    <w:p w14:paraId="0C5B0637"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die Universitätsstiftung,</w:t>
      </w:r>
    </w:p>
    <w:p w14:paraId="1B0A1DCF" w14:textId="77777777" w:rsidR="005A5BD5" w:rsidRPr="00D4747A" w:rsidRDefault="005A5BD5" w:rsidP="004C2C7D">
      <w:pPr>
        <w:jc w:val="both"/>
        <w:rPr>
          <w:rFonts w:eastAsia="Calibri"/>
          <w:szCs w:val="22"/>
          <w:lang w:eastAsia="de-DE" w:bidi="de-DE"/>
        </w:rPr>
      </w:pPr>
    </w:p>
    <w:p w14:paraId="6E266005"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die Studierende Jugend,</w:t>
      </w:r>
    </w:p>
    <w:p w14:paraId="513E8724" w14:textId="77777777" w:rsidR="005A5BD5" w:rsidRPr="00D4747A" w:rsidRDefault="005A5BD5" w:rsidP="004C2C7D">
      <w:pPr>
        <w:jc w:val="both"/>
        <w:rPr>
          <w:rFonts w:eastAsia="Calibri"/>
          <w:szCs w:val="22"/>
          <w:lang w:eastAsia="de-DE" w:bidi="de-DE"/>
        </w:rPr>
      </w:pPr>
    </w:p>
    <w:p w14:paraId="66D35C7F"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der Internationale Königin-Elisabeth-Musikwettbewerb,</w:t>
      </w:r>
    </w:p>
    <w:p w14:paraId="55906DF8" w14:textId="77777777" w:rsidR="005A5BD5" w:rsidRPr="00D4747A" w:rsidRDefault="005A5BD5" w:rsidP="004C2C7D">
      <w:pPr>
        <w:tabs>
          <w:tab w:val="left" w:pos="709"/>
        </w:tabs>
        <w:ind w:firstLine="709"/>
        <w:jc w:val="both"/>
        <w:rPr>
          <w:rFonts w:eastAsia="Calibri"/>
          <w:szCs w:val="22"/>
          <w:lang w:eastAsia="de-DE" w:bidi="de-DE"/>
        </w:rPr>
      </w:pPr>
    </w:p>
    <w:p w14:paraId="20D7AA46"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Nobelstiftung in Stockholm,</w:t>
      </w:r>
    </w:p>
    <w:p w14:paraId="0CABF77B" w14:textId="77777777" w:rsidR="005A5BD5" w:rsidRPr="00D4747A" w:rsidRDefault="005A5BD5" w:rsidP="004C2C7D">
      <w:pPr>
        <w:tabs>
          <w:tab w:val="left" w:pos="709"/>
        </w:tabs>
        <w:ind w:firstLine="709"/>
        <w:jc w:val="both"/>
        <w:rPr>
          <w:rFonts w:eastAsia="Calibri"/>
          <w:szCs w:val="22"/>
          <w:lang w:eastAsia="de-DE" w:bidi="de-DE"/>
        </w:rPr>
      </w:pPr>
    </w:p>
    <w:p w14:paraId="3C41D811"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w:t>
      </w:r>
      <w:r w:rsidR="009251F9">
        <w:rPr>
          <w:rFonts w:eastAsia="Calibri"/>
          <w:szCs w:val="22"/>
          <w:lang w:eastAsia="de-DE" w:bidi="de-DE"/>
        </w:rPr>
        <w:t>…</w:t>
      </w:r>
      <w:r w:rsidRPr="00D4747A">
        <w:rPr>
          <w:rFonts w:eastAsia="Calibri"/>
          <w:szCs w:val="22"/>
          <w:lang w:eastAsia="de-DE" w:bidi="de-DE"/>
        </w:rPr>
        <w:t>]</w:t>
      </w:r>
    </w:p>
    <w:p w14:paraId="450AC85C" w14:textId="77777777" w:rsidR="005A5BD5" w:rsidRPr="00D4747A" w:rsidRDefault="005A5BD5" w:rsidP="004C2C7D">
      <w:pPr>
        <w:tabs>
          <w:tab w:val="left" w:pos="709"/>
        </w:tabs>
        <w:ind w:firstLine="709"/>
        <w:jc w:val="both"/>
        <w:rPr>
          <w:rFonts w:eastAsia="Calibri"/>
          <w:szCs w:val="22"/>
          <w:lang w:eastAsia="de-DE" w:bidi="de-DE"/>
        </w:rPr>
      </w:pPr>
    </w:p>
    <w:p w14:paraId="49B55680"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"Fondation Alexandre et Gaston Tytgat",</w:t>
      </w:r>
    </w:p>
    <w:p w14:paraId="4CC4479D" w14:textId="77777777" w:rsidR="005A5BD5" w:rsidRPr="00D4747A" w:rsidRDefault="005A5BD5" w:rsidP="004C2C7D">
      <w:pPr>
        <w:tabs>
          <w:tab w:val="left" w:pos="709"/>
        </w:tabs>
        <w:ind w:firstLine="709"/>
        <w:jc w:val="both"/>
        <w:rPr>
          <w:rFonts w:eastAsia="Calibri"/>
          <w:szCs w:val="22"/>
          <w:lang w:eastAsia="de-DE" w:bidi="de-DE"/>
        </w:rPr>
      </w:pPr>
    </w:p>
    <w:p w14:paraId="20FC2715" w14:textId="77777777" w:rsidR="005A5BD5" w:rsidRPr="00D4747A" w:rsidRDefault="005A5BD5" w:rsidP="004C2C7D">
      <w:pPr>
        <w:tabs>
          <w:tab w:val="left" w:pos="709"/>
        </w:tabs>
        <w:ind w:firstLine="709"/>
        <w:jc w:val="both"/>
        <w:rPr>
          <w:rFonts w:eastAsia="Calibri"/>
          <w:szCs w:val="22"/>
          <w:lang w:val="fr-BE" w:eastAsia="de-DE" w:bidi="de-DE"/>
        </w:rPr>
      </w:pPr>
      <w:r w:rsidRPr="00D4747A">
        <w:rPr>
          <w:rFonts w:eastAsia="Calibri"/>
          <w:szCs w:val="22"/>
          <w:lang w:val="fr-BE" w:eastAsia="de-DE" w:bidi="de-DE"/>
        </w:rPr>
        <w:t>- das "Institut européen de Recherches et d'Etudes supérieures en Management",</w:t>
      </w:r>
    </w:p>
    <w:p w14:paraId="04740A54" w14:textId="77777777" w:rsidR="005A5BD5" w:rsidRPr="00D4747A" w:rsidRDefault="005A5BD5" w:rsidP="004C2C7D">
      <w:pPr>
        <w:tabs>
          <w:tab w:val="left" w:pos="709"/>
        </w:tabs>
        <w:ind w:firstLine="709"/>
        <w:jc w:val="both"/>
        <w:rPr>
          <w:rFonts w:eastAsia="Calibri"/>
          <w:szCs w:val="22"/>
          <w:lang w:val="fr-BE" w:eastAsia="de-DE" w:bidi="de-DE"/>
        </w:rPr>
      </w:pPr>
    </w:p>
    <w:p w14:paraId="72BCE6BE"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Ländliche Stiftung der Wallonie,</w:t>
      </w:r>
    </w:p>
    <w:p w14:paraId="53ED09FF" w14:textId="77777777" w:rsidR="005A5BD5" w:rsidRPr="00D4747A" w:rsidRDefault="005A5BD5" w:rsidP="004C2C7D">
      <w:pPr>
        <w:tabs>
          <w:tab w:val="left" w:pos="709"/>
        </w:tabs>
        <w:ind w:firstLine="709"/>
        <w:jc w:val="both"/>
        <w:rPr>
          <w:rFonts w:eastAsia="Calibri"/>
          <w:szCs w:val="22"/>
          <w:lang w:eastAsia="de-DE" w:bidi="de-DE"/>
        </w:rPr>
      </w:pPr>
    </w:p>
    <w:p w14:paraId="47A568F5"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Stiftung Balzan-"Preis" in Mailand,</w:t>
      </w:r>
    </w:p>
    <w:p w14:paraId="2FB8595E" w14:textId="77777777" w:rsidR="005A5BD5" w:rsidRPr="00D4747A" w:rsidRDefault="005A5BD5" w:rsidP="004C2C7D">
      <w:pPr>
        <w:tabs>
          <w:tab w:val="left" w:pos="709"/>
        </w:tabs>
        <w:ind w:firstLine="709"/>
        <w:jc w:val="both"/>
        <w:rPr>
          <w:rFonts w:eastAsia="Calibri"/>
          <w:szCs w:val="22"/>
          <w:lang w:eastAsia="de-DE" w:bidi="de-DE"/>
        </w:rPr>
      </w:pPr>
    </w:p>
    <w:p w14:paraId="4E49473C"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das Belgische Hilfswerk gegen Krebs,</w:t>
      </w:r>
    </w:p>
    <w:p w14:paraId="6C3EABB3" w14:textId="77777777" w:rsidR="005A5BD5" w:rsidRPr="00D4747A" w:rsidRDefault="005A5BD5" w:rsidP="004C2C7D">
      <w:pPr>
        <w:tabs>
          <w:tab w:val="left" w:pos="709"/>
        </w:tabs>
        <w:ind w:firstLine="709"/>
        <w:jc w:val="both"/>
        <w:rPr>
          <w:rFonts w:eastAsia="Calibri"/>
          <w:szCs w:val="22"/>
          <w:lang w:eastAsia="de-DE" w:bidi="de-DE"/>
        </w:rPr>
      </w:pPr>
    </w:p>
    <w:p w14:paraId="3B4DE93D"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Nordatlantikvertragsorganisation,</w:t>
      </w:r>
    </w:p>
    <w:p w14:paraId="36F9A2B3" w14:textId="77777777" w:rsidR="005A5BD5" w:rsidRPr="00D4747A" w:rsidRDefault="005A5BD5" w:rsidP="004C2C7D">
      <w:pPr>
        <w:tabs>
          <w:tab w:val="left" w:pos="709"/>
        </w:tabs>
        <w:ind w:firstLine="709"/>
        <w:jc w:val="both"/>
        <w:rPr>
          <w:rFonts w:eastAsia="Calibri"/>
          <w:szCs w:val="22"/>
          <w:lang w:eastAsia="de-DE" w:bidi="de-DE"/>
        </w:rPr>
      </w:pPr>
    </w:p>
    <w:p w14:paraId="21E38931"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Wolf-Stiftung in Herzliya (Israel),</w:t>
      </w:r>
    </w:p>
    <w:p w14:paraId="3112E050" w14:textId="77777777" w:rsidR="005A5BD5" w:rsidRPr="00D4747A" w:rsidRDefault="005A5BD5" w:rsidP="004C2C7D">
      <w:pPr>
        <w:tabs>
          <w:tab w:val="left" w:pos="709"/>
        </w:tabs>
        <w:ind w:firstLine="709"/>
        <w:jc w:val="both"/>
        <w:rPr>
          <w:rFonts w:eastAsia="Calibri"/>
          <w:szCs w:val="22"/>
          <w:lang w:eastAsia="de-DE" w:bidi="de-DE"/>
        </w:rPr>
      </w:pPr>
    </w:p>
    <w:p w14:paraId="3C3429CA" w14:textId="77777777" w:rsidR="005A5BD5" w:rsidRPr="00D4747A" w:rsidRDefault="005A5BD5" w:rsidP="004C2C7D">
      <w:pPr>
        <w:tabs>
          <w:tab w:val="left" w:pos="709"/>
        </w:tabs>
        <w:ind w:firstLine="709"/>
        <w:jc w:val="both"/>
        <w:rPr>
          <w:rFonts w:eastAsia="Calibri"/>
          <w:szCs w:val="22"/>
          <w:lang w:val="fr-BE" w:eastAsia="de-DE" w:bidi="de-DE"/>
        </w:rPr>
      </w:pPr>
      <w:r w:rsidRPr="00D4747A">
        <w:rPr>
          <w:rFonts w:eastAsia="Calibri"/>
          <w:szCs w:val="22"/>
          <w:lang w:val="fr-BE" w:eastAsia="de-DE" w:bidi="de-DE"/>
        </w:rPr>
        <w:t>- die "Vereniging voor Economie",</w:t>
      </w:r>
    </w:p>
    <w:p w14:paraId="38340439" w14:textId="77777777" w:rsidR="005A5BD5" w:rsidRPr="00D4747A" w:rsidRDefault="005A5BD5" w:rsidP="004C2C7D">
      <w:pPr>
        <w:tabs>
          <w:tab w:val="left" w:pos="709"/>
        </w:tabs>
        <w:ind w:firstLine="709"/>
        <w:jc w:val="both"/>
        <w:rPr>
          <w:rFonts w:eastAsia="Calibri"/>
          <w:szCs w:val="22"/>
          <w:lang w:val="fr-BE" w:eastAsia="de-DE" w:bidi="de-DE"/>
        </w:rPr>
      </w:pPr>
    </w:p>
    <w:p w14:paraId="3E92D061" w14:textId="77777777" w:rsidR="005A5BD5" w:rsidRPr="00D4747A" w:rsidRDefault="005A5BD5" w:rsidP="004C2C7D">
      <w:pPr>
        <w:tabs>
          <w:tab w:val="left" w:pos="709"/>
        </w:tabs>
        <w:ind w:firstLine="709"/>
        <w:jc w:val="both"/>
        <w:rPr>
          <w:rFonts w:eastAsia="Calibri"/>
          <w:szCs w:val="22"/>
          <w:lang w:val="fr-BE" w:eastAsia="de-DE" w:bidi="de-DE"/>
        </w:rPr>
      </w:pPr>
      <w:r w:rsidRPr="00D4747A">
        <w:rPr>
          <w:rFonts w:eastAsia="Calibri"/>
          <w:szCs w:val="22"/>
          <w:lang w:val="fr-BE" w:eastAsia="de-DE" w:bidi="de-DE"/>
        </w:rPr>
        <w:t>- die "Fondation économique et sociale du Brabant wallon",</w:t>
      </w:r>
    </w:p>
    <w:p w14:paraId="2150F2A1" w14:textId="77777777" w:rsidR="005A5BD5" w:rsidRPr="00D4747A" w:rsidRDefault="005A5BD5" w:rsidP="004C2C7D">
      <w:pPr>
        <w:tabs>
          <w:tab w:val="left" w:pos="709"/>
        </w:tabs>
        <w:ind w:firstLine="709"/>
        <w:jc w:val="both"/>
        <w:rPr>
          <w:rFonts w:eastAsia="Calibri"/>
          <w:szCs w:val="22"/>
          <w:lang w:val="fr-BE" w:eastAsia="de-DE" w:bidi="de-DE"/>
        </w:rPr>
      </w:pPr>
    </w:p>
    <w:p w14:paraId="3978D8B7"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Vereinigung zur Krebsbekämpfung,</w:t>
      </w:r>
    </w:p>
    <w:p w14:paraId="6C1EB03B" w14:textId="77777777" w:rsidR="005A5BD5" w:rsidRPr="00D4747A" w:rsidRDefault="005A5BD5" w:rsidP="004C2C7D">
      <w:pPr>
        <w:tabs>
          <w:tab w:val="left" w:pos="709"/>
        </w:tabs>
        <w:ind w:firstLine="709"/>
        <w:jc w:val="both"/>
        <w:rPr>
          <w:rFonts w:eastAsia="Calibri"/>
          <w:szCs w:val="22"/>
          <w:lang w:eastAsia="de-DE" w:bidi="de-DE"/>
        </w:rPr>
      </w:pPr>
    </w:p>
    <w:p w14:paraId="705BB9C6"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Van-Gysel-Stiftung,</w:t>
      </w:r>
    </w:p>
    <w:p w14:paraId="09F2C1F7" w14:textId="77777777" w:rsidR="005A5BD5" w:rsidRPr="00D4747A" w:rsidRDefault="005A5BD5" w:rsidP="004C2C7D">
      <w:pPr>
        <w:tabs>
          <w:tab w:val="left" w:pos="709"/>
        </w:tabs>
        <w:ind w:firstLine="709"/>
        <w:jc w:val="both"/>
        <w:rPr>
          <w:rFonts w:eastAsia="Calibri"/>
          <w:szCs w:val="22"/>
          <w:lang w:eastAsia="de-DE" w:bidi="de-DE"/>
        </w:rPr>
      </w:pPr>
    </w:p>
    <w:p w14:paraId="4107DCE6"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Nany-Philippart-Stiftung,</w:t>
      </w:r>
    </w:p>
    <w:p w14:paraId="65B237EC" w14:textId="77777777" w:rsidR="005A5BD5" w:rsidRPr="00D4747A" w:rsidRDefault="005A5BD5" w:rsidP="004C2C7D">
      <w:pPr>
        <w:tabs>
          <w:tab w:val="left" w:pos="709"/>
        </w:tabs>
        <w:ind w:firstLine="709"/>
        <w:jc w:val="both"/>
        <w:rPr>
          <w:rFonts w:eastAsia="Calibri"/>
          <w:szCs w:val="22"/>
          <w:lang w:eastAsia="de-DE" w:bidi="de-DE"/>
        </w:rPr>
      </w:pPr>
    </w:p>
    <w:p w14:paraId="011846CF"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Rik&amp;Nel-Wouters-Stiftung,</w:t>
      </w:r>
    </w:p>
    <w:p w14:paraId="1B612029" w14:textId="77777777" w:rsidR="005A5BD5" w:rsidRPr="00D4747A" w:rsidRDefault="005A5BD5" w:rsidP="004C2C7D">
      <w:pPr>
        <w:tabs>
          <w:tab w:val="left" w:pos="709"/>
        </w:tabs>
        <w:ind w:firstLine="709"/>
        <w:jc w:val="both"/>
        <w:rPr>
          <w:rFonts w:eastAsia="Calibri"/>
          <w:szCs w:val="22"/>
          <w:lang w:eastAsia="de-DE" w:bidi="de-DE"/>
        </w:rPr>
      </w:pPr>
    </w:p>
    <w:p w14:paraId="781B77C5" w14:textId="77777777" w:rsidR="005A5BD5" w:rsidRPr="00D4747A" w:rsidRDefault="005A5BD5" w:rsidP="004C2C7D">
      <w:pPr>
        <w:tabs>
          <w:tab w:val="left" w:pos="709"/>
        </w:tabs>
        <w:ind w:firstLine="709"/>
        <w:jc w:val="both"/>
        <w:rPr>
          <w:rFonts w:eastAsia="Calibri"/>
          <w:szCs w:val="22"/>
          <w:lang w:val="en-US" w:eastAsia="de-DE" w:bidi="de-DE"/>
        </w:rPr>
      </w:pPr>
      <w:r w:rsidRPr="00D4747A">
        <w:rPr>
          <w:rFonts w:eastAsia="Calibri"/>
          <w:szCs w:val="22"/>
          <w:lang w:val="en-US" w:eastAsia="de-DE" w:bidi="de-DE"/>
        </w:rPr>
        <w:t>- die René-De-Cooman-Stiftung,</w:t>
      </w:r>
    </w:p>
    <w:p w14:paraId="50CEB2B8" w14:textId="77777777" w:rsidR="005A5BD5" w:rsidRPr="00D4747A" w:rsidRDefault="005A5BD5" w:rsidP="004C2C7D">
      <w:pPr>
        <w:tabs>
          <w:tab w:val="left" w:pos="709"/>
        </w:tabs>
        <w:ind w:firstLine="709"/>
        <w:jc w:val="both"/>
        <w:rPr>
          <w:rFonts w:eastAsia="Calibri"/>
          <w:szCs w:val="22"/>
          <w:lang w:val="en-US" w:eastAsia="de-DE" w:bidi="de-DE"/>
        </w:rPr>
      </w:pPr>
    </w:p>
    <w:p w14:paraId="24AB1F87" w14:textId="77777777" w:rsidR="005A5BD5" w:rsidRPr="00D4747A" w:rsidRDefault="005A5BD5" w:rsidP="004C2C7D">
      <w:pPr>
        <w:tabs>
          <w:tab w:val="left" w:pos="709"/>
        </w:tabs>
        <w:ind w:firstLine="709"/>
        <w:jc w:val="both"/>
        <w:rPr>
          <w:rFonts w:eastAsia="Calibri"/>
          <w:szCs w:val="22"/>
          <w:lang w:val="en-US" w:eastAsia="de-DE" w:bidi="de-DE"/>
        </w:rPr>
      </w:pPr>
      <w:r w:rsidRPr="00D4747A">
        <w:rPr>
          <w:rFonts w:eastAsia="Calibri"/>
          <w:szCs w:val="22"/>
          <w:lang w:val="en-US" w:eastAsia="de-DE" w:bidi="de-DE"/>
        </w:rPr>
        <w:t>- die "European Organisation for Research and Treatment of Cancer Foundation",</w:t>
      </w:r>
    </w:p>
    <w:p w14:paraId="53E539FC" w14:textId="77777777" w:rsidR="005A5BD5" w:rsidRPr="00D4747A" w:rsidRDefault="005A5BD5" w:rsidP="004C2C7D">
      <w:pPr>
        <w:tabs>
          <w:tab w:val="left" w:pos="709"/>
        </w:tabs>
        <w:ind w:firstLine="709"/>
        <w:jc w:val="both"/>
        <w:rPr>
          <w:rFonts w:eastAsia="Calibri"/>
          <w:szCs w:val="22"/>
          <w:lang w:val="en-GB" w:eastAsia="de-DE" w:bidi="de-DE"/>
        </w:rPr>
      </w:pPr>
    </w:p>
    <w:p w14:paraId="1BEE5E60"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Robert-Koch-Stiftung,</w:t>
      </w:r>
    </w:p>
    <w:p w14:paraId="22A75CF2" w14:textId="77777777" w:rsidR="005A5BD5" w:rsidRPr="00D4747A" w:rsidRDefault="005A5BD5" w:rsidP="004C2C7D">
      <w:pPr>
        <w:tabs>
          <w:tab w:val="left" w:pos="709"/>
        </w:tabs>
        <w:ind w:firstLine="709"/>
        <w:jc w:val="both"/>
        <w:rPr>
          <w:rFonts w:eastAsia="Calibri"/>
          <w:szCs w:val="22"/>
          <w:lang w:eastAsia="de-DE" w:bidi="de-DE"/>
        </w:rPr>
      </w:pPr>
    </w:p>
    <w:p w14:paraId="09A5821D"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Heineken-Stiftung,</w:t>
      </w:r>
    </w:p>
    <w:p w14:paraId="2D7D4FFA" w14:textId="77777777" w:rsidR="005A5BD5" w:rsidRPr="00D4747A" w:rsidRDefault="005A5BD5" w:rsidP="004C2C7D">
      <w:pPr>
        <w:tabs>
          <w:tab w:val="left" w:pos="709"/>
        </w:tabs>
        <w:ind w:firstLine="709"/>
        <w:jc w:val="both"/>
        <w:rPr>
          <w:rFonts w:eastAsia="Calibri"/>
          <w:szCs w:val="22"/>
          <w:lang w:eastAsia="de-DE" w:bidi="de-DE"/>
        </w:rPr>
      </w:pPr>
    </w:p>
    <w:p w14:paraId="3B720190"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Stiftung "Alfred Heineken Fondsen",]</w:t>
      </w:r>
    </w:p>
    <w:p w14:paraId="1FB2BFB1" w14:textId="77777777" w:rsidR="003B5C18" w:rsidRPr="00440BE3" w:rsidRDefault="003B5C18" w:rsidP="004C2C7D">
      <w:pPr>
        <w:tabs>
          <w:tab w:val="left" w:pos="709"/>
        </w:tabs>
        <w:ind w:firstLine="709"/>
        <w:jc w:val="both"/>
        <w:rPr>
          <w:rFonts w:eastAsia="Calibri"/>
          <w:szCs w:val="22"/>
          <w:lang w:eastAsia="de-DE" w:bidi="de-DE"/>
        </w:rPr>
      </w:pPr>
    </w:p>
    <w:p w14:paraId="27709CA1" w14:textId="77777777" w:rsidR="005A5BD5" w:rsidRPr="00D4747A" w:rsidRDefault="005A5BD5" w:rsidP="004C2C7D">
      <w:pPr>
        <w:tabs>
          <w:tab w:val="left" w:pos="709"/>
        </w:tabs>
        <w:ind w:firstLine="709"/>
        <w:jc w:val="both"/>
        <w:rPr>
          <w:rFonts w:eastAsia="Calibri"/>
          <w:szCs w:val="22"/>
          <w:lang w:val="nl-NL" w:eastAsia="de-DE" w:bidi="de-DE"/>
        </w:rPr>
      </w:pPr>
      <w:r w:rsidRPr="00D4747A">
        <w:rPr>
          <w:rFonts w:eastAsia="Calibri"/>
          <w:szCs w:val="22"/>
          <w:lang w:val="nl-NL" w:eastAsia="de-DE" w:bidi="de-DE"/>
        </w:rPr>
        <w:t>[- das "Vlaams Instituut voor de bevordering van het wetenschappelijk-technologisch onderzoek in de industrie",]</w:t>
      </w:r>
    </w:p>
    <w:p w14:paraId="2635903A" w14:textId="77777777" w:rsidR="005A5BD5" w:rsidRPr="00D4747A" w:rsidRDefault="005A5BD5" w:rsidP="004C2C7D">
      <w:pPr>
        <w:tabs>
          <w:tab w:val="left" w:pos="709"/>
        </w:tabs>
        <w:ind w:firstLine="709"/>
        <w:jc w:val="both"/>
        <w:rPr>
          <w:rFonts w:eastAsia="Calibri"/>
          <w:szCs w:val="22"/>
          <w:lang w:val="nl-NL" w:eastAsia="de-DE" w:bidi="de-DE"/>
        </w:rPr>
      </w:pPr>
    </w:p>
    <w:p w14:paraId="6FEABC56" w14:textId="77777777" w:rsidR="005A5BD5" w:rsidRPr="00D4747A" w:rsidRDefault="005A5BD5" w:rsidP="004C2C7D">
      <w:pPr>
        <w:tabs>
          <w:tab w:val="left" w:pos="709"/>
        </w:tabs>
        <w:ind w:firstLine="709"/>
        <w:jc w:val="both"/>
        <w:rPr>
          <w:rFonts w:eastAsia="Calibri"/>
          <w:szCs w:val="22"/>
          <w:lang w:val="nl-NL" w:eastAsia="de-DE" w:bidi="de-DE"/>
        </w:rPr>
      </w:pPr>
      <w:r w:rsidRPr="00D4747A">
        <w:rPr>
          <w:rFonts w:eastAsia="Calibri"/>
          <w:szCs w:val="22"/>
          <w:lang w:val="nl-NL" w:eastAsia="de-DE" w:bidi="de-DE"/>
        </w:rPr>
        <w:t>[- die Stiftung "Prix Willy et Marcy De Vooght",]</w:t>
      </w:r>
    </w:p>
    <w:p w14:paraId="1B482315" w14:textId="77777777" w:rsidR="005A5BD5" w:rsidRPr="00D4747A" w:rsidRDefault="005A5BD5" w:rsidP="004C2C7D">
      <w:pPr>
        <w:tabs>
          <w:tab w:val="left" w:pos="709"/>
        </w:tabs>
        <w:ind w:firstLine="709"/>
        <w:jc w:val="both"/>
        <w:rPr>
          <w:rFonts w:eastAsia="Calibri"/>
          <w:szCs w:val="22"/>
          <w:lang w:val="nl-NL" w:eastAsia="de-DE" w:bidi="de-DE"/>
        </w:rPr>
      </w:pPr>
    </w:p>
    <w:p w14:paraId="3976AF93" w14:textId="77777777" w:rsidR="005A5BD5" w:rsidRPr="00D4747A" w:rsidRDefault="005A5BD5" w:rsidP="004C2C7D">
      <w:pPr>
        <w:tabs>
          <w:tab w:val="left" w:pos="709"/>
        </w:tabs>
        <w:ind w:firstLine="709"/>
        <w:jc w:val="both"/>
        <w:rPr>
          <w:rFonts w:eastAsia="Calibri"/>
          <w:szCs w:val="22"/>
          <w:lang w:val="nl-NL" w:eastAsia="de-DE" w:bidi="de-DE"/>
        </w:rPr>
      </w:pPr>
      <w:r w:rsidRPr="00D4747A">
        <w:rPr>
          <w:rFonts w:eastAsia="Calibri"/>
          <w:szCs w:val="22"/>
          <w:lang w:val="nl-NL" w:eastAsia="de-DE" w:bidi="de-DE"/>
        </w:rPr>
        <w:t>[- das "Centrum voor Studie en Behandeling van Gezwelziekten te Gent",]</w:t>
      </w:r>
    </w:p>
    <w:p w14:paraId="193A772B" w14:textId="77777777" w:rsidR="005A5BD5" w:rsidRPr="00D4747A" w:rsidRDefault="005A5BD5" w:rsidP="004C2C7D">
      <w:pPr>
        <w:tabs>
          <w:tab w:val="left" w:pos="709"/>
        </w:tabs>
        <w:ind w:firstLine="709"/>
        <w:jc w:val="both"/>
        <w:rPr>
          <w:rFonts w:eastAsia="Calibri"/>
          <w:szCs w:val="22"/>
          <w:lang w:val="nl-BE" w:eastAsia="de-DE" w:bidi="de-DE"/>
        </w:rPr>
      </w:pPr>
    </w:p>
    <w:p w14:paraId="72FA5B26" w14:textId="77777777" w:rsidR="005A5BD5" w:rsidRPr="00D4747A" w:rsidRDefault="005A5BD5" w:rsidP="004C2C7D">
      <w:pPr>
        <w:tabs>
          <w:tab w:val="left" w:pos="709"/>
        </w:tabs>
        <w:ind w:firstLine="709"/>
        <w:jc w:val="both"/>
        <w:rPr>
          <w:rFonts w:eastAsia="Calibri"/>
          <w:i/>
          <w:szCs w:val="22"/>
          <w:lang w:eastAsia="de-DE" w:bidi="de-DE"/>
        </w:rPr>
      </w:pPr>
      <w:r w:rsidRPr="00D4747A">
        <w:rPr>
          <w:rFonts w:eastAsia="Calibri"/>
          <w:szCs w:val="22"/>
          <w:lang w:eastAsia="de-DE" w:bidi="de-DE"/>
        </w:rPr>
        <w:t>[- die Stiftung "Philippe Wiener - Maurice Anspach",]</w:t>
      </w:r>
    </w:p>
    <w:p w14:paraId="0987B94B" w14:textId="77777777" w:rsidR="005A5BD5" w:rsidRPr="00D4747A" w:rsidRDefault="005A5BD5" w:rsidP="004C2C7D">
      <w:pPr>
        <w:tabs>
          <w:tab w:val="left" w:pos="709"/>
        </w:tabs>
        <w:ind w:firstLine="709"/>
        <w:jc w:val="both"/>
        <w:rPr>
          <w:rFonts w:eastAsia="Calibri"/>
          <w:szCs w:val="22"/>
          <w:lang w:eastAsia="de-DE" w:bidi="de-DE"/>
        </w:rPr>
      </w:pPr>
    </w:p>
    <w:p w14:paraId="36DC28B8"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Wissenschaftliche Stiftung des Königin-Fabiola-Universitätskinderkranken</w:t>
      </w:r>
      <w:r w:rsidRPr="00D4747A">
        <w:rPr>
          <w:rFonts w:eastAsia="Calibri"/>
          <w:szCs w:val="22"/>
          <w:lang w:eastAsia="de-DE" w:bidi="de-DE"/>
        </w:rPr>
        <w:softHyphen/>
        <w:t>hauses,]</w:t>
      </w:r>
    </w:p>
    <w:p w14:paraId="3712F6B5" w14:textId="77777777" w:rsidR="005A5BD5" w:rsidRPr="00D4747A" w:rsidRDefault="005A5BD5" w:rsidP="004C2C7D">
      <w:pPr>
        <w:tabs>
          <w:tab w:val="left" w:pos="709"/>
        </w:tabs>
        <w:ind w:firstLine="709"/>
        <w:jc w:val="both"/>
        <w:rPr>
          <w:rFonts w:eastAsia="Calibri"/>
          <w:szCs w:val="22"/>
          <w:lang w:eastAsia="de-DE" w:bidi="de-DE"/>
        </w:rPr>
      </w:pPr>
    </w:p>
    <w:p w14:paraId="6D8F4BC0"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xml:space="preserve">[- der Belgische Verband gegen Krebs,] </w:t>
      </w:r>
    </w:p>
    <w:p w14:paraId="2D5A0853" w14:textId="77777777" w:rsidR="005A5BD5" w:rsidRPr="00D4747A" w:rsidRDefault="005A5BD5" w:rsidP="004C2C7D">
      <w:pPr>
        <w:tabs>
          <w:tab w:val="left" w:pos="709"/>
        </w:tabs>
        <w:ind w:firstLine="709"/>
        <w:jc w:val="both"/>
        <w:rPr>
          <w:rFonts w:eastAsia="Calibri"/>
          <w:szCs w:val="22"/>
          <w:lang w:eastAsia="de-DE" w:bidi="de-DE"/>
        </w:rPr>
      </w:pPr>
    </w:p>
    <w:p w14:paraId="71FE307D"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Belgische Stiftung Berufung,</w:t>
      </w:r>
    </w:p>
    <w:p w14:paraId="3F973188" w14:textId="77777777" w:rsidR="005A5BD5" w:rsidRPr="00D4747A" w:rsidRDefault="005A5BD5" w:rsidP="004C2C7D">
      <w:pPr>
        <w:tabs>
          <w:tab w:val="left" w:pos="709"/>
        </w:tabs>
        <w:ind w:firstLine="709"/>
        <w:jc w:val="both"/>
        <w:rPr>
          <w:rFonts w:eastAsia="Calibri"/>
          <w:szCs w:val="22"/>
          <w:lang w:eastAsia="de-DE" w:bidi="de-DE"/>
        </w:rPr>
      </w:pPr>
    </w:p>
    <w:p w14:paraId="26540DA4"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VoG Interbrew - Baillet Latour,]</w:t>
      </w:r>
    </w:p>
    <w:p w14:paraId="019C2140" w14:textId="77777777" w:rsidR="005A5BD5" w:rsidRPr="00D4747A" w:rsidRDefault="005A5BD5" w:rsidP="004C2C7D">
      <w:pPr>
        <w:tabs>
          <w:tab w:val="left" w:pos="709"/>
        </w:tabs>
        <w:ind w:firstLine="709"/>
        <w:jc w:val="both"/>
        <w:rPr>
          <w:rFonts w:eastAsia="Calibri"/>
          <w:szCs w:val="22"/>
          <w:lang w:eastAsia="de-DE" w:bidi="de-DE"/>
        </w:rPr>
      </w:pPr>
    </w:p>
    <w:p w14:paraId="5DB45177" w14:textId="77777777" w:rsidR="005A5BD5" w:rsidRPr="00D4747A" w:rsidRDefault="005A5BD5" w:rsidP="004C2C7D">
      <w:pPr>
        <w:tabs>
          <w:tab w:val="left" w:pos="709"/>
        </w:tabs>
        <w:ind w:firstLine="709"/>
        <w:jc w:val="both"/>
        <w:rPr>
          <w:rFonts w:eastAsia="Calibri"/>
          <w:szCs w:val="22"/>
          <w:lang w:val="nl-NL" w:eastAsia="de-DE" w:bidi="de-DE"/>
        </w:rPr>
      </w:pPr>
      <w:r w:rsidRPr="00D4747A">
        <w:rPr>
          <w:rFonts w:eastAsia="Calibri"/>
          <w:szCs w:val="22"/>
          <w:lang w:val="nl-NL" w:eastAsia="de-DE" w:bidi="de-DE"/>
        </w:rPr>
        <w:t>[- der "Vlaams Fonds voor de Letteren",]</w:t>
      </w:r>
    </w:p>
    <w:p w14:paraId="69A62B6E" w14:textId="77777777" w:rsidR="005A5BD5" w:rsidRPr="00D4747A" w:rsidRDefault="005A5BD5" w:rsidP="004C2C7D">
      <w:pPr>
        <w:tabs>
          <w:tab w:val="left" w:pos="709"/>
        </w:tabs>
        <w:ind w:firstLine="709"/>
        <w:jc w:val="both"/>
        <w:rPr>
          <w:rFonts w:eastAsia="Calibri"/>
          <w:szCs w:val="22"/>
          <w:lang w:val="nl-BE" w:eastAsia="de-DE" w:bidi="de-DE"/>
        </w:rPr>
      </w:pPr>
    </w:p>
    <w:p w14:paraId="26DD012A"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Bernheim-Stiftung, was die Börsen "Esprit européen" betrifft,]</w:t>
      </w:r>
    </w:p>
    <w:p w14:paraId="078278CF" w14:textId="77777777" w:rsidR="005A5BD5" w:rsidRPr="00D4747A" w:rsidRDefault="005A5BD5" w:rsidP="004C2C7D">
      <w:pPr>
        <w:tabs>
          <w:tab w:val="left" w:pos="709"/>
        </w:tabs>
        <w:ind w:firstLine="709"/>
        <w:jc w:val="both"/>
        <w:rPr>
          <w:rFonts w:eastAsia="Calibri"/>
          <w:szCs w:val="22"/>
          <w:lang w:eastAsia="de-DE" w:bidi="de-DE"/>
        </w:rPr>
      </w:pPr>
    </w:p>
    <w:p w14:paraId="33615ACB"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der "Vlaams Audiovisueel Fonds", was die Zuschüsse für die Entwicklung von Szenarios betrifft,]</w:t>
      </w:r>
    </w:p>
    <w:p w14:paraId="38E4DD10" w14:textId="77777777" w:rsidR="005A5BD5" w:rsidRPr="00D4747A" w:rsidRDefault="005A5BD5" w:rsidP="004C2C7D">
      <w:pPr>
        <w:tabs>
          <w:tab w:val="left" w:pos="709"/>
        </w:tabs>
        <w:ind w:firstLine="709"/>
        <w:jc w:val="both"/>
        <w:rPr>
          <w:rFonts w:eastAsia="Calibri"/>
          <w:szCs w:val="22"/>
          <w:lang w:eastAsia="de-DE" w:bidi="de-DE"/>
        </w:rPr>
      </w:pPr>
    </w:p>
    <w:p w14:paraId="3F0174F2" w14:textId="77777777" w:rsidR="005A5BD5" w:rsidRPr="00D4747A" w:rsidRDefault="005A5BD5" w:rsidP="004C2C7D">
      <w:pPr>
        <w:tabs>
          <w:tab w:val="left" w:pos="709"/>
        </w:tabs>
        <w:ind w:firstLine="709"/>
        <w:jc w:val="both"/>
        <w:rPr>
          <w:rFonts w:eastAsia="Calibri"/>
          <w:szCs w:val="22"/>
          <w:lang w:val="nl-NL" w:eastAsia="de-DE" w:bidi="de-DE"/>
        </w:rPr>
      </w:pPr>
      <w:r w:rsidRPr="00D4747A">
        <w:rPr>
          <w:rFonts w:eastAsia="Calibri"/>
          <w:szCs w:val="22"/>
          <w:lang w:val="nl-NL" w:eastAsia="de-DE" w:bidi="de-DE"/>
        </w:rPr>
        <w:t>[- der "Fonds voor Wetenschappelijk onderzoek - Vlaanderen",</w:t>
      </w:r>
    </w:p>
    <w:p w14:paraId="35F0425A" w14:textId="77777777" w:rsidR="005A5BD5" w:rsidRPr="00D4747A" w:rsidRDefault="005A5BD5" w:rsidP="004C2C7D">
      <w:pPr>
        <w:tabs>
          <w:tab w:val="left" w:pos="709"/>
        </w:tabs>
        <w:ind w:firstLine="709"/>
        <w:jc w:val="both"/>
        <w:rPr>
          <w:rFonts w:eastAsia="Calibri"/>
          <w:szCs w:val="22"/>
          <w:lang w:val="nl-BE" w:eastAsia="de-DE" w:bidi="de-DE"/>
        </w:rPr>
      </w:pPr>
    </w:p>
    <w:p w14:paraId="5D2E59C0" w14:textId="77777777" w:rsidR="005A5BD5" w:rsidRPr="00D4747A" w:rsidRDefault="005A5BD5" w:rsidP="004C2C7D">
      <w:pPr>
        <w:tabs>
          <w:tab w:val="left" w:pos="709"/>
        </w:tabs>
        <w:ind w:firstLine="709"/>
        <w:jc w:val="both"/>
        <w:rPr>
          <w:rFonts w:eastAsia="Calibri"/>
          <w:szCs w:val="22"/>
          <w:lang w:val="fr-BE" w:eastAsia="de-DE" w:bidi="de-DE"/>
        </w:rPr>
      </w:pPr>
      <w:r w:rsidRPr="00D4747A">
        <w:rPr>
          <w:rFonts w:eastAsia="Calibri"/>
          <w:szCs w:val="22"/>
          <w:lang w:val="fr-BE" w:eastAsia="de-DE" w:bidi="de-DE"/>
        </w:rPr>
        <w:t>- der "Fonds de la Recherche scientifique",</w:t>
      </w:r>
    </w:p>
    <w:p w14:paraId="5635F989" w14:textId="77777777" w:rsidR="005A5BD5" w:rsidRPr="00D4747A" w:rsidRDefault="005A5BD5" w:rsidP="004C2C7D">
      <w:pPr>
        <w:tabs>
          <w:tab w:val="left" w:pos="709"/>
        </w:tabs>
        <w:ind w:firstLine="709"/>
        <w:jc w:val="both"/>
        <w:rPr>
          <w:rFonts w:eastAsia="Calibri"/>
          <w:szCs w:val="22"/>
          <w:lang w:val="fr-BE" w:eastAsia="de-DE" w:bidi="de-DE"/>
        </w:rPr>
      </w:pPr>
    </w:p>
    <w:p w14:paraId="6FB2CDFD"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Stiftung gegen Krebs,</w:t>
      </w:r>
    </w:p>
    <w:p w14:paraId="39955F38" w14:textId="77777777" w:rsidR="005A5BD5" w:rsidRPr="00D4747A" w:rsidRDefault="005A5BD5" w:rsidP="004C2C7D">
      <w:pPr>
        <w:tabs>
          <w:tab w:val="left" w:pos="709"/>
        </w:tabs>
        <w:ind w:firstLine="709"/>
        <w:jc w:val="both"/>
        <w:rPr>
          <w:rFonts w:eastAsia="Calibri"/>
          <w:szCs w:val="22"/>
          <w:lang w:eastAsia="de-DE" w:bidi="de-DE"/>
        </w:rPr>
      </w:pPr>
    </w:p>
    <w:p w14:paraId="3272A802"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"Académie française",]</w:t>
      </w:r>
    </w:p>
    <w:p w14:paraId="73A42532" w14:textId="77777777" w:rsidR="005A5BD5" w:rsidRPr="00D4747A" w:rsidRDefault="005A5BD5" w:rsidP="004C2C7D">
      <w:pPr>
        <w:tabs>
          <w:tab w:val="left" w:pos="709"/>
        </w:tabs>
        <w:ind w:firstLine="709"/>
        <w:jc w:val="both"/>
        <w:rPr>
          <w:rFonts w:eastAsia="Calibri"/>
          <w:szCs w:val="22"/>
          <w:lang w:eastAsia="de-DE" w:bidi="de-DE"/>
        </w:rPr>
      </w:pPr>
    </w:p>
    <w:p w14:paraId="7B33F283"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ULB-Stiftung,]</w:t>
      </w:r>
    </w:p>
    <w:p w14:paraId="12EB7577" w14:textId="77777777" w:rsidR="005A5BD5" w:rsidRPr="00D4747A" w:rsidRDefault="005A5BD5" w:rsidP="004C2C7D">
      <w:pPr>
        <w:tabs>
          <w:tab w:val="left" w:pos="709"/>
        </w:tabs>
        <w:ind w:firstLine="709"/>
        <w:jc w:val="both"/>
        <w:rPr>
          <w:rFonts w:eastAsia="Calibri"/>
          <w:szCs w:val="22"/>
          <w:lang w:eastAsia="de-DE" w:bidi="de-DE"/>
        </w:rPr>
      </w:pPr>
    </w:p>
    <w:p w14:paraId="6E062308"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die Stiftung für zukünftige Generationen, was die Zuschüsse für HERA betrifft,]</w:t>
      </w:r>
    </w:p>
    <w:p w14:paraId="7C7ACAB6" w14:textId="77777777" w:rsidR="005A5BD5" w:rsidRPr="00D4747A" w:rsidRDefault="005A5BD5" w:rsidP="004C2C7D">
      <w:pPr>
        <w:tabs>
          <w:tab w:val="left" w:pos="709"/>
        </w:tabs>
        <w:ind w:firstLine="709"/>
        <w:jc w:val="both"/>
        <w:rPr>
          <w:rFonts w:eastAsia="Calibri"/>
          <w:szCs w:val="22"/>
          <w:lang w:eastAsia="de-DE" w:bidi="de-DE"/>
        </w:rPr>
      </w:pPr>
    </w:p>
    <w:p w14:paraId="0DBF9C09" w14:textId="77777777" w:rsidR="005A5BD5" w:rsidRPr="00D4747A" w:rsidRDefault="005A5BD5" w:rsidP="004C2C7D">
      <w:pPr>
        <w:tabs>
          <w:tab w:val="left" w:pos="709"/>
        </w:tabs>
        <w:ind w:firstLine="709"/>
        <w:jc w:val="both"/>
        <w:rPr>
          <w:rFonts w:eastAsia="Calibri"/>
          <w:szCs w:val="22"/>
          <w:lang w:eastAsia="de-DE" w:bidi="de-DE"/>
        </w:rPr>
      </w:pPr>
      <w:r w:rsidRPr="00D4747A">
        <w:rPr>
          <w:rFonts w:eastAsia="Calibri"/>
          <w:szCs w:val="22"/>
          <w:lang w:eastAsia="de-DE" w:bidi="de-DE"/>
        </w:rPr>
        <w:t>[- </w:t>
      </w:r>
      <w:r w:rsidR="009C54A7">
        <w:rPr>
          <w:rFonts w:eastAsia="Calibri"/>
          <w:szCs w:val="22"/>
          <w:lang w:eastAsia="de-DE" w:bidi="de-DE"/>
        </w:rPr>
        <w:t>[</w:t>
      </w:r>
      <w:r w:rsidR="009C54A7" w:rsidRPr="003669B2">
        <w:t>die VoG "Les Amis des Instituts Pasteur", was den "Prix Jules Bordet" und die Forschungsstipendien betrifft,</w:t>
      </w:r>
      <w:r w:rsidR="009C54A7">
        <w:rPr>
          <w:rFonts w:eastAsia="Calibri"/>
          <w:szCs w:val="22"/>
          <w:lang w:eastAsia="de-DE" w:bidi="de-DE"/>
        </w:rPr>
        <w:t>]</w:t>
      </w:r>
      <w:r w:rsidRPr="00D4747A">
        <w:rPr>
          <w:rFonts w:eastAsia="Calibri"/>
          <w:szCs w:val="22"/>
          <w:lang w:eastAsia="de-DE" w:bidi="de-DE"/>
        </w:rPr>
        <w:t>]</w:t>
      </w:r>
    </w:p>
    <w:p w14:paraId="0AD1B8C0" w14:textId="77777777" w:rsidR="005A5BD5" w:rsidRPr="00D4747A" w:rsidRDefault="005A5BD5" w:rsidP="004C2C7D">
      <w:pPr>
        <w:tabs>
          <w:tab w:val="left" w:pos="709"/>
        </w:tabs>
        <w:ind w:firstLine="709"/>
        <w:jc w:val="both"/>
        <w:rPr>
          <w:rFonts w:eastAsia="Calibri"/>
          <w:szCs w:val="22"/>
          <w:lang w:eastAsia="de-DE" w:bidi="de-DE"/>
        </w:rPr>
      </w:pPr>
    </w:p>
    <w:p w14:paraId="2AA9490F" w14:textId="77777777" w:rsidR="005A5BD5" w:rsidRPr="00BE45D3" w:rsidRDefault="005A5BD5" w:rsidP="004C2C7D">
      <w:pPr>
        <w:tabs>
          <w:tab w:val="left" w:pos="709"/>
        </w:tabs>
        <w:ind w:firstLine="709"/>
        <w:jc w:val="both"/>
        <w:rPr>
          <w:rFonts w:eastAsia="Calibri"/>
          <w:szCs w:val="22"/>
          <w:lang w:val="nl-BE" w:eastAsia="de-DE" w:bidi="de-DE"/>
        </w:rPr>
      </w:pPr>
      <w:r w:rsidRPr="00BE45D3">
        <w:rPr>
          <w:rFonts w:eastAsia="Calibri"/>
          <w:szCs w:val="22"/>
          <w:lang w:val="nl-BE" w:eastAsia="de-DE" w:bidi="de-DE"/>
        </w:rPr>
        <w:t>[- die I</w:t>
      </w:r>
      <w:r w:rsidR="009251F9" w:rsidRPr="00BE45D3">
        <w:rPr>
          <w:rFonts w:eastAsia="Calibri"/>
          <w:szCs w:val="22"/>
          <w:lang w:val="nl-BE" w:eastAsia="de-DE" w:bidi="de-DE"/>
        </w:rPr>
        <w:t>v</w:t>
      </w:r>
      <w:r w:rsidRPr="00BE45D3">
        <w:rPr>
          <w:rFonts w:eastAsia="Calibri"/>
          <w:szCs w:val="22"/>
          <w:lang w:val="nl-BE" w:eastAsia="de-DE" w:bidi="de-DE"/>
        </w:rPr>
        <w:t>oG "de Duve Institute"</w:t>
      </w:r>
      <w:r w:rsidR="00516EF3" w:rsidRPr="00BE45D3">
        <w:rPr>
          <w:rFonts w:eastAsia="Calibri"/>
          <w:szCs w:val="22"/>
          <w:lang w:val="nl-BE" w:eastAsia="de-DE" w:bidi="de-DE"/>
        </w:rPr>
        <w:t>,</w:t>
      </w:r>
      <w:r w:rsidRPr="00BE45D3">
        <w:rPr>
          <w:rFonts w:eastAsia="Calibri"/>
          <w:szCs w:val="22"/>
          <w:lang w:val="nl-BE" w:eastAsia="de-DE" w:bidi="de-DE"/>
        </w:rPr>
        <w:t>]</w:t>
      </w:r>
    </w:p>
    <w:p w14:paraId="3B649DD7" w14:textId="77777777" w:rsidR="00516EF3" w:rsidRPr="00BE45D3" w:rsidRDefault="00516EF3" w:rsidP="004C2C7D">
      <w:pPr>
        <w:tabs>
          <w:tab w:val="left" w:pos="709"/>
        </w:tabs>
        <w:ind w:firstLine="709"/>
        <w:jc w:val="both"/>
        <w:rPr>
          <w:rFonts w:eastAsia="Calibri"/>
          <w:szCs w:val="22"/>
          <w:lang w:val="nl-BE" w:eastAsia="de-DE" w:bidi="de-DE"/>
        </w:rPr>
      </w:pPr>
    </w:p>
    <w:p w14:paraId="1E080F55" w14:textId="77777777" w:rsidR="00516EF3" w:rsidRPr="00C949AA" w:rsidRDefault="00516EF3" w:rsidP="004C2C7D">
      <w:pPr>
        <w:tabs>
          <w:tab w:val="left" w:pos="709"/>
        </w:tabs>
        <w:ind w:firstLine="709"/>
        <w:jc w:val="both"/>
        <w:rPr>
          <w:rFonts w:eastAsia="Calibri"/>
          <w:szCs w:val="22"/>
          <w:lang w:val="nl-BE" w:eastAsia="de-DE" w:bidi="de-DE"/>
        </w:rPr>
      </w:pPr>
      <w:r w:rsidRPr="00C949AA">
        <w:rPr>
          <w:rFonts w:eastAsia="Calibri"/>
          <w:szCs w:val="22"/>
          <w:lang w:val="nl-BE" w:eastAsia="de-DE" w:bidi="de-DE"/>
        </w:rPr>
        <w:t>[</w:t>
      </w:r>
      <w:r w:rsidRPr="00C949AA">
        <w:rPr>
          <w:lang w:val="nl-BE"/>
        </w:rPr>
        <w:t>- die Stiftung "Prins Bernhard Cultuurfonds", was den "Martinus Nijhoff Vertaalprijs" (ehemals "Ma</w:t>
      </w:r>
      <w:r w:rsidR="009C54A7" w:rsidRPr="00C949AA">
        <w:rPr>
          <w:lang w:val="nl-BE"/>
        </w:rPr>
        <w:t>rtinus Nijhoff Prijs") betrifft,</w:t>
      </w:r>
      <w:r w:rsidRPr="00C949AA">
        <w:rPr>
          <w:rFonts w:eastAsia="Calibri"/>
          <w:szCs w:val="22"/>
          <w:lang w:val="nl-BE" w:eastAsia="de-DE" w:bidi="de-DE"/>
        </w:rPr>
        <w:t>]</w:t>
      </w:r>
    </w:p>
    <w:p w14:paraId="3640FBA2" w14:textId="77777777" w:rsidR="009C54A7" w:rsidRPr="00C949AA" w:rsidRDefault="009C54A7" w:rsidP="004C2C7D">
      <w:pPr>
        <w:tabs>
          <w:tab w:val="left" w:pos="709"/>
        </w:tabs>
        <w:ind w:firstLine="709"/>
        <w:jc w:val="both"/>
        <w:rPr>
          <w:rFonts w:eastAsia="Calibri"/>
          <w:szCs w:val="22"/>
          <w:lang w:val="nl-BE" w:eastAsia="de-DE" w:bidi="de-DE"/>
        </w:rPr>
      </w:pPr>
    </w:p>
    <w:p w14:paraId="760241D3" w14:textId="350CC80D" w:rsidR="009C54A7" w:rsidRPr="009C54A7" w:rsidRDefault="009C54A7" w:rsidP="004C2C7D">
      <w:pPr>
        <w:tabs>
          <w:tab w:val="left" w:pos="709"/>
        </w:tabs>
        <w:ind w:firstLine="709"/>
        <w:jc w:val="both"/>
        <w:rPr>
          <w:rFonts w:eastAsia="Calibri"/>
          <w:szCs w:val="22"/>
          <w:lang w:val="fr-BE" w:eastAsia="de-DE" w:bidi="de-DE"/>
        </w:rPr>
      </w:pPr>
      <w:r w:rsidRPr="009C54A7">
        <w:rPr>
          <w:rFonts w:eastAsia="Calibri"/>
          <w:szCs w:val="22"/>
          <w:lang w:val="fr-BE" w:eastAsia="de-DE" w:bidi="de-DE"/>
        </w:rPr>
        <w:t>[</w:t>
      </w:r>
      <w:r w:rsidRPr="00311EF8">
        <w:rPr>
          <w:lang w:val="fr-BE"/>
        </w:rPr>
        <w:t>- die "Sciences, Art, Culture en Wallonie - Fondation Désiré Jaumain"</w:t>
      </w:r>
      <w:r w:rsidR="00B20E83">
        <w:rPr>
          <w:lang w:val="fr-BE"/>
        </w:rPr>
        <w:t>,</w:t>
      </w:r>
      <w:r w:rsidRPr="009C54A7">
        <w:rPr>
          <w:rFonts w:eastAsia="Calibri"/>
          <w:szCs w:val="22"/>
          <w:lang w:val="fr-BE" w:eastAsia="de-DE" w:bidi="de-DE"/>
        </w:rPr>
        <w:t>]</w:t>
      </w:r>
    </w:p>
    <w:p w14:paraId="4FA442E6" w14:textId="77777777" w:rsidR="005A5BD5" w:rsidRPr="009C54A7" w:rsidRDefault="005A5BD5" w:rsidP="004C2C7D">
      <w:pPr>
        <w:jc w:val="both"/>
        <w:rPr>
          <w:rFonts w:eastAsia="Calibri"/>
          <w:i/>
          <w:szCs w:val="22"/>
          <w:lang w:val="fr-BE" w:eastAsia="de-DE" w:bidi="de-DE"/>
        </w:rPr>
      </w:pPr>
    </w:p>
    <w:p w14:paraId="137E6529" w14:textId="438B5923" w:rsidR="00B20E83" w:rsidRDefault="00B20E83" w:rsidP="00B20E83">
      <w:pPr>
        <w:tabs>
          <w:tab w:val="left" w:pos="709"/>
          <w:tab w:val="left" w:pos="2552"/>
        </w:tabs>
        <w:ind w:firstLine="709"/>
        <w:jc w:val="both"/>
      </w:pPr>
      <w:r>
        <w:rPr>
          <w:rFonts w:eastAsia="Calibri"/>
          <w:szCs w:val="22"/>
          <w:lang w:eastAsia="de-DE" w:bidi="de-DE"/>
        </w:rPr>
        <w:t>[</w:t>
      </w:r>
      <w:r>
        <w:t>- die VoG "Vlaamse Literatuurprijs", was ihre jährlichen Preise betrifft</w:t>
      </w:r>
      <w:r w:rsidR="00162690">
        <w:t>,</w:t>
      </w:r>
      <w:r>
        <w:t>]</w:t>
      </w:r>
    </w:p>
    <w:p w14:paraId="6D941296" w14:textId="77777777" w:rsidR="00162690" w:rsidRDefault="00162690" w:rsidP="00B20E83">
      <w:pPr>
        <w:tabs>
          <w:tab w:val="left" w:pos="709"/>
          <w:tab w:val="left" w:pos="2552"/>
        </w:tabs>
        <w:ind w:firstLine="709"/>
        <w:jc w:val="both"/>
      </w:pPr>
    </w:p>
    <w:p w14:paraId="02CCFCC3" w14:textId="09909ED2" w:rsidR="00162690" w:rsidRDefault="00162690" w:rsidP="00B20E83">
      <w:pPr>
        <w:tabs>
          <w:tab w:val="left" w:pos="709"/>
          <w:tab w:val="left" w:pos="2552"/>
        </w:tabs>
        <w:ind w:firstLine="709"/>
        <w:jc w:val="both"/>
      </w:pPr>
      <w:r>
        <w:t>[- </w:t>
      </w:r>
      <w:r w:rsidRPr="008C2E9E">
        <w:t>die Einstein Stiftung Berlin, was den "Einstein Foundation Award for Promoting Quality in Research" in den Kategorien "Individual Award" und "Early Career Award" betrifft</w:t>
      </w:r>
      <w:r w:rsidR="00701F45">
        <w:t>,</w:t>
      </w:r>
      <w:r>
        <w:t>]</w:t>
      </w:r>
    </w:p>
    <w:p w14:paraId="31B89EA7" w14:textId="77777777" w:rsidR="00701F45" w:rsidRDefault="00701F45" w:rsidP="00B20E83">
      <w:pPr>
        <w:tabs>
          <w:tab w:val="left" w:pos="709"/>
          <w:tab w:val="left" w:pos="2552"/>
        </w:tabs>
        <w:ind w:firstLine="709"/>
        <w:jc w:val="both"/>
      </w:pPr>
    </w:p>
    <w:p w14:paraId="4DA05336" w14:textId="688D58B3" w:rsidR="00701F45" w:rsidRPr="00887AA4" w:rsidRDefault="00701F45" w:rsidP="00B20E83">
      <w:pPr>
        <w:tabs>
          <w:tab w:val="left" w:pos="709"/>
          <w:tab w:val="left" w:pos="2552"/>
        </w:tabs>
        <w:ind w:firstLine="709"/>
        <w:jc w:val="both"/>
        <w:rPr>
          <w:rFonts w:eastAsia="Calibri"/>
          <w:szCs w:val="22"/>
          <w:lang w:val="fr-BE" w:eastAsia="de-DE" w:bidi="de-DE"/>
        </w:rPr>
      </w:pPr>
      <w:r w:rsidRPr="00887AA4">
        <w:rPr>
          <w:lang w:val="fr-BE"/>
        </w:rPr>
        <w:t>[- die "Fondation Docteurs Désiré et Maurice Jaumain".]</w:t>
      </w:r>
    </w:p>
    <w:p w14:paraId="72FB9009" w14:textId="77777777" w:rsidR="00B20E83" w:rsidRPr="00887AA4" w:rsidRDefault="00B20E83" w:rsidP="00B20E83">
      <w:pPr>
        <w:jc w:val="both"/>
        <w:rPr>
          <w:rFonts w:eastAsia="Calibri"/>
          <w:i/>
          <w:szCs w:val="22"/>
          <w:lang w:val="fr-BE" w:eastAsia="de-DE" w:bidi="de-DE"/>
        </w:rPr>
      </w:pPr>
    </w:p>
    <w:p w14:paraId="37D1A7AD" w14:textId="09A8245C" w:rsidR="00B20E83" w:rsidRDefault="00B20E83" w:rsidP="00B20E83">
      <w:pPr>
        <w:jc w:val="both"/>
        <w:rPr>
          <w:rFonts w:eastAsia="Calibri"/>
          <w:i/>
          <w:szCs w:val="22"/>
          <w:lang w:eastAsia="de-DE" w:bidi="de-DE"/>
        </w:rPr>
      </w:pPr>
      <w:r>
        <w:rPr>
          <w:rFonts w:eastAsia="Calibri"/>
          <w:i/>
          <w:szCs w:val="22"/>
          <w:lang w:eastAsia="de-DE" w:bidi="de-DE"/>
        </w:rPr>
        <w:t xml:space="preserve">[Art. 53 § 1 einziger Absatz einleitende Bestimmung abgeändert durch Art. 3 des K.E. vom 22. Mai 2017 (II) (B.S. vom 6. Juni 2017); § 2 einziger Absatz erster Gedankenstrich abgeändert durch Art. 1 des K.E. vom 7. Oktober 1994 (B.S. vom 25. Oktober 1994); § 2 einziger Absatz früherer zwölfter Gedankenstrich aufgehoben durch Art. 1 Nr. 2 des K.E. vom 18. Februar 2004 (B.S. vom 1. März 2004); § 2 einziger Absatz vierundzwanzigster bis neunundzwanzigster Gedankenstrich eingefügt durch Art. 1 des K.E. vom 13. Dezember 1993 (B.S. vom 24. Dezember 1993); § 2 einziger Absatz dreißigster Gedankenstrich eingefügt durch Art. 1 des K.E. vom 28. März 1994 (B.S. vom 19. April 1994); § 2 einziger Absatz einunddreißigster Gedankenstrich eingefügt durch Art. 1 des K.E. vom 17. Oktober 1996 (B.S. vom 21. November 1996); § 2 einziger Absatz zweiunddreißigster Gedankenstrich eingefügt durch Art. 1 des K.E. vom 9. Juni 1999 (I) (B.S. vom 7. Juli 1999); § 2 einziger Absatz dreiunddreißigster Gedankenstrich eingefügt durch Art. 1 des K.E. vom 5. September 2001 (B.S. vom 28. September 2001); § 2 einziger Absatz vierunddreißigster Gedankenstrich eingefügt durch Art. 1 des K.E. vom 26. Juni 2002 (B.S. vom 5. Juli 2002); § 2 einziger Absatz fünfunddreißigster Gedankenstrich eingefügt durch Art. 1 des K.E. vom 10. März 2003 (B.S. vom 25. März 2003); § 2 einziger Absatz sechsunddreißigster und siebenunddreißigster Gedankenstrich eingefügt durch Art. 1 Nr. 1 des K.E. vom 18. Februar 2004 (B.S. vom </w:t>
      </w:r>
      <w:r>
        <w:rPr>
          <w:rFonts w:eastAsia="Calibri"/>
          <w:i/>
          <w:szCs w:val="22"/>
          <w:lang w:eastAsia="de-DE" w:bidi="de-DE"/>
        </w:rPr>
        <w:lastRenderedPageBreak/>
        <w:t>1. März 2004); § 2 einziger Absatz achtunddreißigster Gedankenstrich eingefügt durch Art. 1 des K.E. vom 28. Februar 2005 (B.S. vom 8. März 2005); § 2 einziger Absatz neununddreißigster Gedankenstrich eingefügt durch Art. 1 des K.E. vom 15. September 2006 (B.S. vom 21. September 2006); § 2 einziger Absatz vierzigster Gedankenstrich eingefügt durch Art. 1 des K.E. vom 9. April 2007 (I) (B.S. vom 18. April 2007); § 2 einziger Absatz einundvierzigster bis vierundvierzigster Gedankenstrich eingefügt durch Art. 1 des K.E. vom 7. Juni 2007 (B.S. vom 13. Juni 2007); § 2 einziger Absatz fünfundvierzigster Gedankenstrich eingefügt durch Art. 1 des K.E. vom 17. Juli 2012 (B.S. vom 30. Juli 2012); § 2 einziger Absatz sechsundvierzigster Gedankenstrich eingefügt durch Art. 1 des K.E. vom 11. Februar 2013 (B.S. vom 21. Februar 2013); § 2 einziger Absatz siebenundvierzigster Gedankenstrich eingefügt durch Art. 1 des K.E. vom 24. Oktober 2013 (B.S. vom 31. Oktober 2013) und ersetzt durch Art. 1 des K.E. vom 31. Januar 2017 (I) (B.S. vom 10. Februar 2017); § 2 einziger Absatz achtundvierzigster Gedankenstrich eingefügt durch Art. 1 des K.E. vom 26. März 2014 (B.S. vom 11. April 2014); § 2 einziger Absatz neunundvierzigster Gedankenstrich eingefügt durch Art. 1 des K.E. vom 27. Juni 2016 (B.S. vom 4. Juli 2016); § 2 einziger Absatz fünfzigster Gedankenstrich eingefügt durch Art. 1 des K.E. vom 31. Januar 2017 (II) (B.S. vom 10. Februar 2017); § 2 einziger Absatz einundfünfzigster Gedankenstrich eingefügt durch Art. 1 des K.E. vom 21. Februar 2022 (B.S. vom 11. März 2022)</w:t>
      </w:r>
      <w:r w:rsidR="0017044A">
        <w:rPr>
          <w:rFonts w:eastAsia="Calibri"/>
          <w:i/>
          <w:szCs w:val="22"/>
          <w:lang w:eastAsia="de-DE" w:bidi="de-DE"/>
        </w:rPr>
        <w:t>; § 2 einziger Absatz zweiundfünfzigster Gedankenstrich eingefügt durch Art. 1 des K.E. vom 20. November 2024 (B.S. vom 28. November 2024)</w:t>
      </w:r>
      <w:r w:rsidR="00701F45">
        <w:rPr>
          <w:rFonts w:eastAsia="Calibri"/>
          <w:i/>
          <w:szCs w:val="22"/>
          <w:lang w:eastAsia="de-DE" w:bidi="de-DE"/>
        </w:rPr>
        <w:t>; § 2 einziger Absatz dreiundfünfzigster Gedankenstrich eingefügt durch Art. 1 des K.E. vom 12. Dezember 2024 (B.S. vom 17. Dezember 2024)</w:t>
      </w:r>
      <w:r>
        <w:rPr>
          <w:rFonts w:eastAsia="Calibri"/>
          <w:i/>
          <w:szCs w:val="22"/>
          <w:lang w:eastAsia="de-DE" w:bidi="de-DE"/>
        </w:rPr>
        <w:t>]</w:t>
      </w:r>
    </w:p>
    <w:p w14:paraId="0B3AFC6B" w14:textId="77777777" w:rsidR="005A5BD5" w:rsidRDefault="005A5BD5" w:rsidP="004C2C7D">
      <w:pPr>
        <w:jc w:val="both"/>
        <w:rPr>
          <w:rFonts w:eastAsia="Calibri"/>
          <w:szCs w:val="22"/>
          <w:lang w:eastAsia="de-DE" w:bidi="de-DE"/>
        </w:rPr>
      </w:pPr>
    </w:p>
    <w:p w14:paraId="70F25BD3" w14:textId="77777777" w:rsidR="00D86CA4" w:rsidRDefault="00D86CA4" w:rsidP="004C2C7D">
      <w:pPr>
        <w:jc w:val="both"/>
        <w:rPr>
          <w:rFonts w:eastAsia="Calibri"/>
          <w:szCs w:val="22"/>
          <w:lang w:eastAsia="de-DE" w:bidi="de-DE"/>
        </w:rPr>
      </w:pPr>
    </w:p>
    <w:p w14:paraId="113D7CD0" w14:textId="77777777" w:rsidR="00DA7FA9" w:rsidRPr="00A87454" w:rsidRDefault="00D86CA4" w:rsidP="00DA7FA9">
      <w:pPr>
        <w:jc w:val="both"/>
      </w:pPr>
      <w:r>
        <w:rPr>
          <w:rFonts w:eastAsia="Calibri"/>
          <w:szCs w:val="22"/>
          <w:lang w:eastAsia="de-DE" w:bidi="de-DE"/>
        </w:rPr>
        <w:t>[</w:t>
      </w:r>
      <w:r w:rsidRPr="00D86CA4">
        <w:rPr>
          <w:rFonts w:eastAsia="Calibri"/>
          <w:i/>
          <w:szCs w:val="22"/>
          <w:lang w:eastAsia="de-DE" w:bidi="de-DE"/>
        </w:rPr>
        <w:t>Abschnitt 18/1</w:t>
      </w:r>
      <w:r w:rsidRPr="00D86CA4">
        <w:rPr>
          <w:rFonts w:eastAsia="Calibri"/>
          <w:szCs w:val="22"/>
          <w:lang w:eastAsia="de-DE" w:bidi="de-DE"/>
        </w:rPr>
        <w:t xml:space="preserve"> - </w:t>
      </w:r>
      <w:r w:rsidR="00DA7FA9">
        <w:rPr>
          <w:rFonts w:eastAsia="Calibri"/>
          <w:szCs w:val="22"/>
          <w:lang w:eastAsia="de-DE" w:bidi="de-DE"/>
        </w:rPr>
        <w:t>[</w:t>
      </w:r>
      <w:r w:rsidR="00DA7FA9" w:rsidRPr="00A87454">
        <w:t>Sharing Economy - Bedingungen für die Erteilung und Aufrecht</w:t>
      </w:r>
      <w:r w:rsidR="00DA7FA9" w:rsidRPr="00A87454">
        <w:softHyphen/>
        <w:t xml:space="preserve">erhaltung der Zulassung von elektronischen Plattformen - Von zugelassenen elektronischen Plattformen jährlich zu erstellender Beleg </w:t>
      </w:r>
    </w:p>
    <w:p w14:paraId="7EE9EB69" w14:textId="77777777" w:rsidR="00DA7FA9" w:rsidRPr="00A87454" w:rsidRDefault="00DA7FA9" w:rsidP="00DA7FA9">
      <w:pPr>
        <w:jc w:val="both"/>
      </w:pPr>
    </w:p>
    <w:p w14:paraId="1CB9AE62" w14:textId="6EF90FA8" w:rsidR="00D86CA4" w:rsidRPr="00D86CA4" w:rsidRDefault="00DA7FA9" w:rsidP="00DA7FA9">
      <w:pPr>
        <w:jc w:val="center"/>
        <w:rPr>
          <w:rFonts w:eastAsia="Calibri"/>
          <w:szCs w:val="22"/>
          <w:lang w:eastAsia="de-DE" w:bidi="de-DE"/>
        </w:rPr>
      </w:pPr>
      <w:r w:rsidRPr="00A87454">
        <w:t>(Einkommensteuergesetzbuch 1992, Artikel 90 Absatz 2)</w:t>
      </w:r>
      <w:r>
        <w:rPr>
          <w:rFonts w:eastAsia="Calibri"/>
          <w:szCs w:val="22"/>
          <w:lang w:eastAsia="de-DE" w:bidi="de-DE"/>
        </w:rPr>
        <w:t>]</w:t>
      </w:r>
    </w:p>
    <w:p w14:paraId="1A639B7A" w14:textId="77777777" w:rsidR="00D86CA4" w:rsidRPr="00D86CA4" w:rsidRDefault="00D86CA4" w:rsidP="00D86CA4">
      <w:pPr>
        <w:jc w:val="center"/>
        <w:rPr>
          <w:rFonts w:eastAsia="Calibri"/>
          <w:szCs w:val="22"/>
          <w:lang w:eastAsia="de-DE" w:bidi="de-DE"/>
        </w:rPr>
      </w:pPr>
    </w:p>
    <w:p w14:paraId="2EBCDF8E" w14:textId="3F8104D4" w:rsidR="00D86CA4" w:rsidRDefault="00D86CA4" w:rsidP="00D86CA4">
      <w:pPr>
        <w:jc w:val="both"/>
        <w:rPr>
          <w:rFonts w:eastAsia="Calibri"/>
          <w:i/>
          <w:szCs w:val="22"/>
          <w:lang w:eastAsia="de-DE" w:bidi="de-DE"/>
        </w:rPr>
      </w:pPr>
      <w:r>
        <w:rPr>
          <w:rFonts w:eastAsia="Calibri"/>
          <w:i/>
          <w:szCs w:val="22"/>
          <w:lang w:eastAsia="de-DE" w:bidi="de-DE"/>
        </w:rPr>
        <w:t>[Abschnitt 18/1 mit den Artikeln 53/1 und 53/2 eingefügt durch Art. 1 des K.E. vom 12. Januar 2017</w:t>
      </w:r>
      <w:r w:rsidR="00B86FD1">
        <w:rPr>
          <w:rFonts w:eastAsia="Calibri"/>
          <w:i/>
          <w:szCs w:val="22"/>
          <w:lang w:eastAsia="de-DE" w:bidi="de-DE"/>
        </w:rPr>
        <w:t> (I)</w:t>
      </w:r>
      <w:r>
        <w:rPr>
          <w:rFonts w:eastAsia="Calibri"/>
          <w:i/>
          <w:szCs w:val="22"/>
          <w:lang w:eastAsia="de-DE" w:bidi="de-DE"/>
        </w:rPr>
        <w:t xml:space="preserve"> (B.S. vom 24. Januar 2017)</w:t>
      </w:r>
      <w:r w:rsidR="00DA7FA9">
        <w:rPr>
          <w:rFonts w:eastAsia="Calibri"/>
          <w:i/>
          <w:szCs w:val="22"/>
          <w:lang w:eastAsia="de-DE" w:bidi="de-DE"/>
        </w:rPr>
        <w:t>; Überschrift von Abschnitt 18/1 ersetzt durch Art. 1 des K.E. vom 3. Juli 2019 (B.S. vom 12. Juli 2019)</w:t>
      </w:r>
      <w:r>
        <w:rPr>
          <w:rFonts w:eastAsia="Calibri"/>
          <w:i/>
          <w:szCs w:val="22"/>
          <w:lang w:eastAsia="de-DE" w:bidi="de-DE"/>
        </w:rPr>
        <w:t>]</w:t>
      </w:r>
    </w:p>
    <w:p w14:paraId="1ED91FC8" w14:textId="77777777" w:rsidR="00D86CA4" w:rsidRDefault="00D86CA4" w:rsidP="00D86CA4">
      <w:pPr>
        <w:jc w:val="both"/>
        <w:rPr>
          <w:rFonts w:eastAsia="Calibri"/>
          <w:i/>
          <w:szCs w:val="22"/>
          <w:lang w:eastAsia="de-DE" w:bidi="de-DE"/>
        </w:rPr>
      </w:pPr>
    </w:p>
    <w:p w14:paraId="0AA5034B" w14:textId="77777777" w:rsidR="00D86CA4" w:rsidRPr="00D86CA4" w:rsidRDefault="00D86CA4" w:rsidP="00D86CA4">
      <w:pPr>
        <w:jc w:val="both"/>
        <w:rPr>
          <w:rFonts w:eastAsia="Calibri"/>
          <w:i/>
          <w:szCs w:val="22"/>
          <w:lang w:eastAsia="de-DE" w:bidi="de-DE"/>
        </w:rPr>
      </w:pPr>
    </w:p>
    <w:p w14:paraId="777BFA3B" w14:textId="77777777" w:rsidR="00D86CA4" w:rsidRPr="00D86CA4" w:rsidRDefault="00D86CA4" w:rsidP="00D86CA4">
      <w:pPr>
        <w:jc w:val="both"/>
        <w:rPr>
          <w:rFonts w:eastAsia="Calibri"/>
          <w:szCs w:val="22"/>
          <w:lang w:eastAsia="de-DE" w:bidi="de-DE"/>
        </w:rPr>
      </w:pPr>
      <w:r w:rsidRPr="00D86CA4">
        <w:rPr>
          <w:rFonts w:eastAsia="Calibri"/>
          <w:szCs w:val="22"/>
          <w:lang w:eastAsia="de-DE" w:bidi="de-DE"/>
        </w:rPr>
        <w:tab/>
      </w:r>
      <w:r w:rsidRPr="009C06D0">
        <w:rPr>
          <w:rFonts w:eastAsia="Calibri"/>
          <w:b/>
          <w:szCs w:val="22"/>
          <w:lang w:eastAsia="de-DE" w:bidi="de-DE"/>
        </w:rPr>
        <w:t>Art. 53/1</w:t>
      </w:r>
      <w:r w:rsidRPr="00D86CA4">
        <w:rPr>
          <w:rFonts w:eastAsia="Calibri"/>
          <w:szCs w:val="22"/>
          <w:lang w:eastAsia="de-DE" w:bidi="de-DE"/>
        </w:rPr>
        <w:t xml:space="preserve"> - § 1 - Elektronische Plattformen können für die Anwendung von Artikel 90 Absatz 1 Nr. 1</w:t>
      </w:r>
      <w:r w:rsidRPr="00D86CA4">
        <w:rPr>
          <w:rFonts w:eastAsia="Calibri"/>
          <w:i/>
          <w:szCs w:val="22"/>
          <w:lang w:eastAsia="de-DE" w:bidi="de-DE"/>
        </w:rPr>
        <w:t>bis</w:t>
      </w:r>
      <w:r w:rsidRPr="00D86CA4">
        <w:rPr>
          <w:rFonts w:eastAsia="Calibri"/>
          <w:szCs w:val="22"/>
          <w:lang w:eastAsia="de-DE" w:bidi="de-DE"/>
        </w:rPr>
        <w:t xml:space="preserve"> des Einkommensteuergesetzbuches 1992 zugelassen werden, wenn sie nachstehende Bedingungen alle erfüllen:</w:t>
      </w:r>
    </w:p>
    <w:p w14:paraId="6A3BAD28" w14:textId="77777777" w:rsidR="00D86CA4" w:rsidRPr="00D86CA4" w:rsidRDefault="00D86CA4" w:rsidP="00D86CA4">
      <w:pPr>
        <w:jc w:val="both"/>
        <w:rPr>
          <w:rFonts w:eastAsia="Calibri"/>
          <w:szCs w:val="22"/>
          <w:lang w:eastAsia="de-DE" w:bidi="de-DE"/>
        </w:rPr>
      </w:pPr>
    </w:p>
    <w:p w14:paraId="0E6EBDF6" w14:textId="042A8D67" w:rsidR="00D86CA4" w:rsidRPr="00162690" w:rsidRDefault="00D86CA4" w:rsidP="00D86CA4">
      <w:pPr>
        <w:jc w:val="both"/>
        <w:rPr>
          <w:rFonts w:eastAsia="Calibri"/>
          <w:szCs w:val="22"/>
          <w:lang w:eastAsia="de-DE" w:bidi="de-DE"/>
        </w:rPr>
      </w:pPr>
      <w:r w:rsidRPr="00162690">
        <w:rPr>
          <w:rFonts w:eastAsia="Calibri"/>
          <w:szCs w:val="22"/>
          <w:lang w:eastAsia="de-DE" w:bidi="de-DE"/>
        </w:rPr>
        <w:tab/>
        <w:t>1. Die Plattform ist innerhalb einer Gesellschaft oder einer VoG eingerichtet, die gemäß den Rechtsvorschriften eines Mitgliedstaates des Europäischen Wirtschaftsraums oder den Rechts</w:t>
      </w:r>
      <w:r w:rsidR="0017044A" w:rsidRPr="00162690">
        <w:rPr>
          <w:rFonts w:eastAsia="Calibri"/>
          <w:szCs w:val="22"/>
          <w:lang w:eastAsia="de-DE" w:bidi="de-DE"/>
        </w:rPr>
        <w:softHyphen/>
      </w:r>
      <w:r w:rsidR="0017044A" w:rsidRPr="00162690">
        <w:rPr>
          <w:rFonts w:eastAsia="Calibri"/>
          <w:szCs w:val="22"/>
          <w:lang w:eastAsia="de-DE" w:bidi="de-DE"/>
        </w:rPr>
        <w:softHyphen/>
      </w:r>
      <w:r w:rsidRPr="00162690">
        <w:rPr>
          <w:rFonts w:eastAsia="Calibri"/>
          <w:szCs w:val="22"/>
          <w:lang w:eastAsia="de-DE" w:bidi="de-DE"/>
        </w:rPr>
        <w:t>vorschriften eines Staates, dessen Unternehmen in Anwendung eines internationalen Abkommens in Belgien wie belgische Unternehmen behandelt werden müssen, gegründet worden ist.</w:t>
      </w:r>
    </w:p>
    <w:p w14:paraId="497A4575" w14:textId="77777777" w:rsidR="00D86CA4" w:rsidRPr="00D86CA4" w:rsidRDefault="00D86CA4" w:rsidP="00D86CA4">
      <w:pPr>
        <w:jc w:val="both"/>
        <w:rPr>
          <w:rFonts w:eastAsia="Calibri"/>
          <w:szCs w:val="22"/>
          <w:lang w:eastAsia="de-DE" w:bidi="de-DE"/>
        </w:rPr>
      </w:pPr>
    </w:p>
    <w:p w14:paraId="72C77118" w14:textId="7DC19187" w:rsidR="00D86CA4" w:rsidRPr="00D86CA4" w:rsidRDefault="00D86CA4" w:rsidP="00D86CA4">
      <w:pPr>
        <w:jc w:val="both"/>
        <w:rPr>
          <w:rFonts w:eastAsia="Calibri"/>
          <w:szCs w:val="22"/>
          <w:lang w:eastAsia="de-DE" w:bidi="de-DE"/>
        </w:rPr>
      </w:pPr>
      <w:r w:rsidRPr="00D86CA4">
        <w:rPr>
          <w:rFonts w:eastAsia="Calibri"/>
          <w:szCs w:val="22"/>
          <w:lang w:eastAsia="de-DE" w:bidi="de-DE"/>
        </w:rPr>
        <w:tab/>
        <w:t xml:space="preserve">2. Die in Nr. 1 erwähnte Gesellschaft oder VoG muss </w:t>
      </w:r>
      <w:r w:rsidR="00960344">
        <w:rPr>
          <w:rFonts w:eastAsia="Calibri"/>
          <w:szCs w:val="22"/>
          <w:lang w:eastAsia="de-DE" w:bidi="de-DE"/>
        </w:rPr>
        <w:t>[…]</w:t>
      </w:r>
      <w:r w:rsidRPr="00D86CA4">
        <w:rPr>
          <w:rFonts w:eastAsia="Calibri"/>
          <w:szCs w:val="22"/>
          <w:lang w:eastAsia="de-DE" w:bidi="de-DE"/>
        </w:rPr>
        <w:t xml:space="preserve"> ihre Hauptniederlassung oder ihren Geschäftsführungs- oder Verwaltungssitz im Europäischen Wirtschaftsraum oder in einem Staat haben, mit dem Belgien durch ein in Nr. 1 erwähntes internationales Abkommen verbunden ist.</w:t>
      </w:r>
    </w:p>
    <w:p w14:paraId="684A8C85" w14:textId="77777777" w:rsidR="00D86CA4" w:rsidRPr="00D86CA4" w:rsidRDefault="00D86CA4" w:rsidP="00D86CA4">
      <w:pPr>
        <w:jc w:val="both"/>
        <w:rPr>
          <w:rFonts w:eastAsia="Calibri"/>
          <w:szCs w:val="22"/>
          <w:lang w:eastAsia="de-DE" w:bidi="de-DE"/>
        </w:rPr>
      </w:pPr>
    </w:p>
    <w:p w14:paraId="0EFDAC40" w14:textId="77777777" w:rsidR="00D86CA4" w:rsidRPr="00D86CA4" w:rsidRDefault="00D86CA4" w:rsidP="00D86CA4">
      <w:pPr>
        <w:jc w:val="both"/>
        <w:rPr>
          <w:rFonts w:eastAsia="Calibri"/>
          <w:szCs w:val="22"/>
          <w:lang w:eastAsia="de-DE" w:bidi="de-DE"/>
        </w:rPr>
      </w:pPr>
      <w:r w:rsidRPr="00D86CA4">
        <w:rPr>
          <w:rFonts w:eastAsia="Calibri"/>
          <w:szCs w:val="22"/>
          <w:lang w:eastAsia="de-DE" w:bidi="de-DE"/>
        </w:rPr>
        <w:lastRenderedPageBreak/>
        <w:tab/>
        <w:t>3. Die Gesellschaft oder die VoG ist für diese Tätigkeit in der Zentralen Datenbank der Unternehmen als Handels- oder Handwerksbetrieb eingetragen oder gemäß den Rechtsvorschriften des Mitgliedstaates des Europäischen Wirtschaftsraums, in dem die Gesellschaft oder die VoG ansässig ist, oder des Staates, in dem sie ansässig ist und dessen Unternehmen in Anwendung eines internationalen Abkommens in Belgien wie belgische Unternehmen behandelt werden müssen, im Handelsregister eingetragen.</w:t>
      </w:r>
    </w:p>
    <w:p w14:paraId="34C5D63D" w14:textId="77777777" w:rsidR="00D86CA4" w:rsidRPr="00D86CA4" w:rsidRDefault="00D86CA4" w:rsidP="00D86CA4">
      <w:pPr>
        <w:jc w:val="both"/>
        <w:rPr>
          <w:rFonts w:eastAsia="Calibri"/>
          <w:szCs w:val="22"/>
          <w:lang w:eastAsia="de-DE" w:bidi="de-DE"/>
        </w:rPr>
      </w:pPr>
    </w:p>
    <w:p w14:paraId="24B8A479" w14:textId="6F7F6149" w:rsidR="00D86CA4" w:rsidRPr="00162690" w:rsidRDefault="00D86CA4" w:rsidP="00D86CA4">
      <w:pPr>
        <w:jc w:val="both"/>
        <w:rPr>
          <w:rFonts w:eastAsia="Calibri"/>
          <w:szCs w:val="22"/>
          <w:lang w:eastAsia="de-DE" w:bidi="de-DE"/>
        </w:rPr>
      </w:pPr>
      <w:r w:rsidRPr="00162690">
        <w:rPr>
          <w:rFonts w:eastAsia="Calibri"/>
          <w:szCs w:val="22"/>
          <w:lang w:eastAsia="de-DE" w:bidi="de-DE"/>
        </w:rPr>
        <w:tab/>
        <w:t>4. Die Gesellschaft oder die VoG verfügt über eine von der Zentralen Datenbank der Unternehmen zugeteilte Unternehmensnummer, die als Mehrwertsteueridentifikationsnummer gilt und die Buchstaben BE enthält, oder verfügt, in Ermangelung der vorerwähnten Unternehmens</w:t>
      </w:r>
      <w:r w:rsidR="0017044A" w:rsidRPr="00162690">
        <w:rPr>
          <w:rFonts w:eastAsia="Calibri"/>
          <w:szCs w:val="22"/>
          <w:lang w:eastAsia="de-DE" w:bidi="de-DE"/>
        </w:rPr>
        <w:softHyphen/>
      </w:r>
      <w:r w:rsidRPr="00162690">
        <w:rPr>
          <w:rFonts w:eastAsia="Calibri"/>
          <w:szCs w:val="22"/>
          <w:lang w:eastAsia="de-DE" w:bidi="de-DE"/>
        </w:rPr>
        <w:t>nummer, in dem Mitgliedstaat des Europäischen Wirtschaftsraums, in dem sie ansässig ist, oder in dem Staat, in dem sie ansässig ist und dessen Unternehmen in Anwendung eines internationalen Abkommens in Belgien wie belgische Unternehmen behandelt werden müssen, über eine Identifikationsnummer für die Mehrwertsteuer, sofern es eine solche Nummer gibt.</w:t>
      </w:r>
    </w:p>
    <w:p w14:paraId="5A8A8647" w14:textId="77777777" w:rsidR="00D86CA4" w:rsidRPr="00D86CA4" w:rsidRDefault="00D86CA4" w:rsidP="00D86CA4">
      <w:pPr>
        <w:jc w:val="both"/>
        <w:rPr>
          <w:rFonts w:eastAsia="Calibri"/>
          <w:szCs w:val="22"/>
          <w:lang w:eastAsia="de-DE" w:bidi="de-DE"/>
        </w:rPr>
      </w:pPr>
    </w:p>
    <w:p w14:paraId="0F4E4735" w14:textId="789DADE1" w:rsidR="00D86CA4" w:rsidRPr="00D86CA4" w:rsidRDefault="00D86CA4" w:rsidP="00D86CA4">
      <w:pPr>
        <w:jc w:val="both"/>
        <w:rPr>
          <w:rFonts w:eastAsia="Calibri"/>
          <w:szCs w:val="22"/>
          <w:lang w:eastAsia="de-DE" w:bidi="de-DE"/>
        </w:rPr>
      </w:pPr>
      <w:r w:rsidRPr="00D86CA4">
        <w:rPr>
          <w:rFonts w:eastAsia="Calibri"/>
          <w:szCs w:val="22"/>
          <w:lang w:eastAsia="de-DE" w:bidi="de-DE"/>
        </w:rPr>
        <w:tab/>
        <w:t>§ 2 - Die Verwalter, Geschäftsführer und Personen, die befugt sind, die Gesellschaft oder die VoG zu verpflichten, müssen nachstehende Bedingungen alle erfüllen:</w:t>
      </w:r>
    </w:p>
    <w:p w14:paraId="490E87EE" w14:textId="77777777" w:rsidR="00D86CA4" w:rsidRPr="00D86CA4" w:rsidRDefault="00D86CA4" w:rsidP="00D86CA4">
      <w:pPr>
        <w:jc w:val="both"/>
        <w:rPr>
          <w:rFonts w:eastAsia="Calibri"/>
          <w:szCs w:val="22"/>
          <w:lang w:eastAsia="de-DE" w:bidi="de-DE"/>
        </w:rPr>
      </w:pPr>
    </w:p>
    <w:p w14:paraId="4D81A0D5" w14:textId="77777777" w:rsidR="00D86CA4" w:rsidRPr="00D86CA4" w:rsidRDefault="00D86CA4" w:rsidP="00D86CA4">
      <w:pPr>
        <w:jc w:val="both"/>
        <w:rPr>
          <w:rFonts w:eastAsia="Calibri"/>
          <w:szCs w:val="22"/>
          <w:lang w:eastAsia="de-DE" w:bidi="de-DE"/>
        </w:rPr>
      </w:pPr>
      <w:r w:rsidRPr="00D86CA4">
        <w:rPr>
          <w:rFonts w:eastAsia="Calibri"/>
          <w:szCs w:val="22"/>
          <w:lang w:eastAsia="de-DE" w:bidi="de-DE"/>
        </w:rPr>
        <w:tab/>
        <w:t>1. Sie dürfen keine Personen sein, denen die Ausübung solcher Funktionen aufgrund des Königlichen Erlasses Nr. 22 vom 24. Oktober 1934 oder aufgrund ähnlicher Bestimmungen eines anderen Mitgliedstaates des Europäischen Wirtschaftsraums verboten worden ist.</w:t>
      </w:r>
    </w:p>
    <w:p w14:paraId="0103F063" w14:textId="77777777" w:rsidR="00D86CA4" w:rsidRPr="00D86CA4" w:rsidRDefault="00D86CA4" w:rsidP="00D86CA4">
      <w:pPr>
        <w:jc w:val="both"/>
        <w:rPr>
          <w:rFonts w:eastAsia="Calibri"/>
          <w:szCs w:val="22"/>
          <w:lang w:eastAsia="de-DE" w:bidi="de-DE"/>
        </w:rPr>
      </w:pPr>
    </w:p>
    <w:p w14:paraId="0F29B3C0" w14:textId="77777777" w:rsidR="00D86CA4" w:rsidRPr="00D86CA4" w:rsidRDefault="00D86CA4" w:rsidP="00D86CA4">
      <w:pPr>
        <w:jc w:val="both"/>
        <w:rPr>
          <w:rFonts w:eastAsia="Calibri"/>
          <w:szCs w:val="22"/>
          <w:lang w:eastAsia="de-DE" w:bidi="de-DE"/>
        </w:rPr>
      </w:pPr>
      <w:r w:rsidRPr="00D86CA4">
        <w:rPr>
          <w:rFonts w:eastAsia="Calibri"/>
          <w:szCs w:val="22"/>
          <w:lang w:eastAsia="de-DE" w:bidi="de-DE"/>
        </w:rPr>
        <w:tab/>
        <w:t>2. Sie dürfen sich nicht im Konkurs befinden, außer bei Entschuldbarkeit oder Rehabilitierung, und sie dürfen nicht Gegenstand eines Konkurseröffnungsverfahrens oder ähnlicher Verfahren ausländischen Rechts sein.</w:t>
      </w:r>
    </w:p>
    <w:p w14:paraId="4DE17F8D" w14:textId="77777777" w:rsidR="00D86CA4" w:rsidRPr="00D86CA4" w:rsidRDefault="00D86CA4" w:rsidP="00D86CA4">
      <w:pPr>
        <w:jc w:val="both"/>
        <w:rPr>
          <w:rFonts w:eastAsia="Calibri"/>
          <w:szCs w:val="22"/>
          <w:lang w:eastAsia="de-DE" w:bidi="de-DE"/>
        </w:rPr>
      </w:pPr>
    </w:p>
    <w:p w14:paraId="5EE72F68" w14:textId="2B369097" w:rsidR="00D86CA4" w:rsidRDefault="00960344" w:rsidP="00D86CA4">
      <w:pPr>
        <w:jc w:val="both"/>
        <w:rPr>
          <w:rFonts w:eastAsia="Calibri"/>
          <w:i/>
          <w:szCs w:val="22"/>
          <w:lang w:eastAsia="de-DE" w:bidi="de-DE"/>
        </w:rPr>
      </w:pPr>
      <w:r>
        <w:rPr>
          <w:rFonts w:eastAsia="Calibri"/>
          <w:i/>
          <w:szCs w:val="22"/>
          <w:lang w:eastAsia="de-DE" w:bidi="de-DE"/>
        </w:rPr>
        <w:t>[Art. 53/1 § 1 einziger Absatz Nr. 2 abgeändert durch Art. 7 des K.E. vom 29. August 2019</w:t>
      </w:r>
      <w:r w:rsidR="00865C4C">
        <w:rPr>
          <w:rFonts w:eastAsia="Calibri"/>
          <w:i/>
          <w:szCs w:val="22"/>
          <w:lang w:eastAsia="de-DE" w:bidi="de-DE"/>
        </w:rPr>
        <w:t> (I)</w:t>
      </w:r>
      <w:r>
        <w:rPr>
          <w:rFonts w:eastAsia="Calibri"/>
          <w:i/>
          <w:szCs w:val="22"/>
          <w:lang w:eastAsia="de-DE" w:bidi="de-DE"/>
        </w:rPr>
        <w:t xml:space="preserve"> (B.S. vom 13. September 2019)]</w:t>
      </w:r>
    </w:p>
    <w:p w14:paraId="585496F9" w14:textId="77777777" w:rsidR="00960344" w:rsidRDefault="00960344" w:rsidP="00D86CA4">
      <w:pPr>
        <w:jc w:val="both"/>
        <w:rPr>
          <w:rFonts w:eastAsia="Calibri"/>
          <w:i/>
          <w:szCs w:val="22"/>
          <w:lang w:eastAsia="de-DE" w:bidi="de-DE"/>
        </w:rPr>
      </w:pPr>
    </w:p>
    <w:p w14:paraId="4030A2FA" w14:textId="77777777" w:rsidR="00960344" w:rsidRPr="00960344" w:rsidRDefault="00960344" w:rsidP="00D86CA4">
      <w:pPr>
        <w:jc w:val="both"/>
        <w:rPr>
          <w:rFonts w:eastAsia="Calibri"/>
          <w:i/>
          <w:szCs w:val="22"/>
          <w:lang w:eastAsia="de-DE" w:bidi="de-DE"/>
        </w:rPr>
      </w:pPr>
    </w:p>
    <w:p w14:paraId="66128F95" w14:textId="77777777" w:rsidR="00D86CA4" w:rsidRPr="00D86CA4" w:rsidRDefault="00D86CA4" w:rsidP="00D86CA4">
      <w:pPr>
        <w:jc w:val="both"/>
        <w:rPr>
          <w:rFonts w:eastAsia="Calibri"/>
          <w:szCs w:val="22"/>
          <w:lang w:eastAsia="de-DE" w:bidi="de-DE"/>
        </w:rPr>
      </w:pPr>
      <w:r w:rsidRPr="00D86CA4">
        <w:rPr>
          <w:rFonts w:eastAsia="Calibri"/>
          <w:szCs w:val="22"/>
          <w:lang w:eastAsia="de-DE" w:bidi="de-DE"/>
        </w:rPr>
        <w:tab/>
      </w:r>
      <w:r w:rsidRPr="009C06D0">
        <w:rPr>
          <w:rFonts w:eastAsia="Calibri"/>
          <w:b/>
          <w:szCs w:val="22"/>
          <w:lang w:eastAsia="de-DE" w:bidi="de-DE"/>
        </w:rPr>
        <w:t>Art. 53/2</w:t>
      </w:r>
      <w:r w:rsidRPr="00D86CA4">
        <w:rPr>
          <w:rFonts w:eastAsia="Calibri"/>
          <w:szCs w:val="22"/>
          <w:lang w:eastAsia="de-DE" w:bidi="de-DE"/>
        </w:rPr>
        <w:t xml:space="preserve"> - § 1 - Die in Artikel 53/1 § 1 Nr. 1 erwähnte Gesellschaft oder VoG, innerhalb deren die elektronische Plattform eingerichtet ist, reicht den Antrag auf Zulassung der Plattform per Brief oder per E-Mail beim Präsidenten des Föderalen Öffentlichen Dienstes Finanzen oder über das auf der Website des Föderalen Öffentlichen Dienstes Finanzen verfügbare elektronische Formular ein.</w:t>
      </w:r>
    </w:p>
    <w:p w14:paraId="711B290F" w14:textId="77777777" w:rsidR="00D86CA4" w:rsidRPr="00D86CA4" w:rsidRDefault="00D86CA4" w:rsidP="00D86CA4">
      <w:pPr>
        <w:jc w:val="both"/>
        <w:rPr>
          <w:rFonts w:eastAsia="Calibri"/>
          <w:szCs w:val="22"/>
          <w:lang w:eastAsia="de-DE" w:bidi="de-DE"/>
        </w:rPr>
      </w:pPr>
    </w:p>
    <w:p w14:paraId="3A030DCD" w14:textId="77777777" w:rsidR="00D86CA4" w:rsidRPr="00D86CA4" w:rsidRDefault="00D86CA4" w:rsidP="00D86CA4">
      <w:pPr>
        <w:jc w:val="both"/>
        <w:rPr>
          <w:rFonts w:eastAsia="Calibri"/>
          <w:szCs w:val="22"/>
          <w:lang w:eastAsia="de-DE" w:bidi="de-DE"/>
        </w:rPr>
      </w:pPr>
      <w:r w:rsidRPr="00D86CA4">
        <w:rPr>
          <w:rFonts w:eastAsia="Calibri"/>
          <w:szCs w:val="22"/>
          <w:lang w:eastAsia="de-DE" w:bidi="de-DE"/>
        </w:rPr>
        <w:tab/>
        <w:t>Das Muster des Zulassungsantrags wird vom leitenden Beamten der für die Festlegung der Einkommensteuern zuständigen Verwaltung erstellt.</w:t>
      </w:r>
    </w:p>
    <w:p w14:paraId="223533F0" w14:textId="77777777" w:rsidR="00D86CA4" w:rsidRPr="00D86CA4" w:rsidRDefault="00D86CA4" w:rsidP="00D86CA4">
      <w:pPr>
        <w:jc w:val="both"/>
        <w:rPr>
          <w:rFonts w:eastAsia="Calibri"/>
          <w:szCs w:val="22"/>
          <w:lang w:eastAsia="de-DE" w:bidi="de-DE"/>
        </w:rPr>
      </w:pPr>
    </w:p>
    <w:p w14:paraId="6E163615" w14:textId="68310D9E" w:rsidR="00D86CA4" w:rsidRPr="00D86CA4" w:rsidRDefault="00D86CA4" w:rsidP="00D86CA4">
      <w:pPr>
        <w:jc w:val="both"/>
        <w:rPr>
          <w:rFonts w:eastAsia="Calibri"/>
          <w:szCs w:val="22"/>
          <w:lang w:eastAsia="de-DE" w:bidi="de-DE"/>
        </w:rPr>
      </w:pPr>
      <w:r w:rsidRPr="00D86CA4">
        <w:rPr>
          <w:rFonts w:eastAsia="Calibri"/>
          <w:szCs w:val="22"/>
          <w:lang w:eastAsia="de-DE" w:bidi="de-DE"/>
        </w:rPr>
        <w:tab/>
        <w:t>Der Antrag ist nur zulässig, wenn:</w:t>
      </w:r>
    </w:p>
    <w:p w14:paraId="6525B0CC" w14:textId="77777777" w:rsidR="00D86CA4" w:rsidRPr="00D86CA4" w:rsidRDefault="00D86CA4" w:rsidP="00D86CA4">
      <w:pPr>
        <w:jc w:val="both"/>
        <w:rPr>
          <w:rFonts w:eastAsia="Calibri"/>
          <w:szCs w:val="22"/>
          <w:lang w:eastAsia="de-DE" w:bidi="de-DE"/>
        </w:rPr>
      </w:pPr>
    </w:p>
    <w:p w14:paraId="71FC74F9" w14:textId="77777777" w:rsidR="00D86CA4" w:rsidRPr="00D86CA4" w:rsidRDefault="00D86CA4" w:rsidP="00D86CA4">
      <w:pPr>
        <w:jc w:val="both"/>
        <w:rPr>
          <w:rFonts w:eastAsia="Calibri"/>
          <w:szCs w:val="22"/>
          <w:lang w:eastAsia="de-DE" w:bidi="de-DE"/>
        </w:rPr>
      </w:pPr>
      <w:r w:rsidRPr="00D86CA4">
        <w:rPr>
          <w:rFonts w:eastAsia="Calibri"/>
          <w:szCs w:val="22"/>
          <w:lang w:eastAsia="de-DE" w:bidi="de-DE"/>
        </w:rPr>
        <w:tab/>
        <w:t>1. folgende Unterlagen beigefügt sind:</w:t>
      </w:r>
    </w:p>
    <w:p w14:paraId="7D205FC0" w14:textId="77777777" w:rsidR="00D86CA4" w:rsidRPr="00D86CA4" w:rsidRDefault="00D86CA4" w:rsidP="00D86CA4">
      <w:pPr>
        <w:jc w:val="both"/>
        <w:rPr>
          <w:rFonts w:eastAsia="Calibri"/>
          <w:szCs w:val="22"/>
          <w:lang w:eastAsia="de-DE" w:bidi="de-DE"/>
        </w:rPr>
      </w:pPr>
    </w:p>
    <w:p w14:paraId="5E064D26" w14:textId="77777777" w:rsidR="00D86CA4" w:rsidRPr="00D86CA4" w:rsidRDefault="00D86CA4" w:rsidP="00D86CA4">
      <w:pPr>
        <w:jc w:val="both"/>
        <w:rPr>
          <w:rFonts w:eastAsia="Calibri"/>
          <w:szCs w:val="22"/>
          <w:lang w:eastAsia="de-DE" w:bidi="de-DE"/>
        </w:rPr>
      </w:pPr>
      <w:r w:rsidRPr="00D86CA4">
        <w:rPr>
          <w:rFonts w:eastAsia="Calibri"/>
          <w:szCs w:val="22"/>
          <w:lang w:eastAsia="de-DE" w:bidi="de-DE"/>
        </w:rPr>
        <w:tab/>
      </w:r>
      <w:r w:rsidRPr="00D86CA4">
        <w:rPr>
          <w:rFonts w:eastAsia="Calibri"/>
          <w:i/>
          <w:szCs w:val="22"/>
          <w:lang w:eastAsia="de-DE" w:bidi="de-DE"/>
        </w:rPr>
        <w:t>a)</w:t>
      </w:r>
      <w:r w:rsidRPr="00D86CA4">
        <w:rPr>
          <w:rFonts w:eastAsia="Calibri"/>
          <w:szCs w:val="22"/>
          <w:lang w:eastAsia="de-DE" w:bidi="de-DE"/>
        </w:rPr>
        <w:t xml:space="preserve"> Abschrift der Gründungsurkunde, so wie sie bis zum Datum des Antrags abgeändert worden ist, oder Abschrift der koordinierten Satzung,</w:t>
      </w:r>
    </w:p>
    <w:p w14:paraId="32CA8325" w14:textId="77777777" w:rsidR="00D86CA4" w:rsidRPr="00D86CA4" w:rsidRDefault="00D86CA4" w:rsidP="00D86CA4">
      <w:pPr>
        <w:jc w:val="both"/>
        <w:rPr>
          <w:rFonts w:eastAsia="Calibri"/>
          <w:szCs w:val="22"/>
          <w:lang w:eastAsia="de-DE" w:bidi="de-DE"/>
        </w:rPr>
      </w:pPr>
    </w:p>
    <w:p w14:paraId="1E160234" w14:textId="77777777" w:rsidR="00D86CA4" w:rsidRPr="00D86CA4" w:rsidRDefault="00D86CA4" w:rsidP="00D86CA4">
      <w:pPr>
        <w:jc w:val="both"/>
        <w:rPr>
          <w:rFonts w:eastAsia="Calibri"/>
          <w:szCs w:val="22"/>
          <w:lang w:eastAsia="de-DE" w:bidi="de-DE"/>
        </w:rPr>
      </w:pPr>
      <w:r w:rsidRPr="00D86CA4">
        <w:rPr>
          <w:rFonts w:eastAsia="Calibri"/>
          <w:szCs w:val="22"/>
          <w:lang w:eastAsia="de-DE" w:bidi="de-DE"/>
        </w:rPr>
        <w:tab/>
      </w:r>
      <w:r w:rsidRPr="00D86CA4">
        <w:rPr>
          <w:rFonts w:eastAsia="Calibri"/>
          <w:i/>
          <w:szCs w:val="22"/>
          <w:lang w:eastAsia="de-DE" w:bidi="de-DE"/>
        </w:rPr>
        <w:t>b)</w:t>
      </w:r>
      <w:r w:rsidRPr="00D86CA4">
        <w:rPr>
          <w:rFonts w:eastAsia="Calibri"/>
          <w:szCs w:val="22"/>
          <w:lang w:eastAsia="de-DE" w:bidi="de-DE"/>
        </w:rPr>
        <w:t xml:space="preserve"> Beleg, aus dem hervorgeht, dass die in Artikel 53/1 § 1 Nr. 2 erwähnte Bedingung erfüllt ist,</w:t>
      </w:r>
    </w:p>
    <w:p w14:paraId="4D5F3D9C" w14:textId="77777777" w:rsidR="00D86CA4" w:rsidRPr="00D86CA4" w:rsidRDefault="00D86CA4" w:rsidP="00D86CA4">
      <w:pPr>
        <w:jc w:val="both"/>
        <w:rPr>
          <w:rFonts w:eastAsia="Calibri"/>
          <w:szCs w:val="22"/>
          <w:lang w:eastAsia="de-DE" w:bidi="de-DE"/>
        </w:rPr>
      </w:pPr>
    </w:p>
    <w:p w14:paraId="59CB76C4" w14:textId="77777777" w:rsidR="00D86CA4" w:rsidRPr="00D86CA4" w:rsidRDefault="00D86CA4" w:rsidP="00D86CA4">
      <w:pPr>
        <w:jc w:val="both"/>
        <w:rPr>
          <w:rFonts w:eastAsia="Calibri"/>
          <w:szCs w:val="22"/>
          <w:lang w:eastAsia="de-DE" w:bidi="de-DE"/>
        </w:rPr>
      </w:pPr>
      <w:r w:rsidRPr="00D86CA4">
        <w:rPr>
          <w:rFonts w:eastAsia="Calibri"/>
          <w:szCs w:val="22"/>
          <w:lang w:eastAsia="de-DE" w:bidi="de-DE"/>
        </w:rPr>
        <w:lastRenderedPageBreak/>
        <w:tab/>
      </w:r>
      <w:r w:rsidRPr="00D86CA4">
        <w:rPr>
          <w:rFonts w:eastAsia="Calibri"/>
          <w:i/>
          <w:szCs w:val="22"/>
          <w:lang w:eastAsia="de-DE" w:bidi="de-DE"/>
        </w:rPr>
        <w:t>c)</w:t>
      </w:r>
      <w:r w:rsidRPr="00D86CA4">
        <w:rPr>
          <w:rFonts w:eastAsia="Calibri"/>
          <w:szCs w:val="22"/>
          <w:lang w:eastAsia="de-DE" w:bidi="de-DE"/>
        </w:rPr>
        <w:t xml:space="preserve"> Abschrift der Eintragung im Handelsregister gemäß den Rechtsvorschriften des Landes, in dem die Gesellschaft oder die VoG ansässig ist,</w:t>
      </w:r>
    </w:p>
    <w:p w14:paraId="6D982906" w14:textId="77777777" w:rsidR="00D86CA4" w:rsidRPr="00D86CA4" w:rsidRDefault="00D86CA4" w:rsidP="00D86CA4">
      <w:pPr>
        <w:jc w:val="both"/>
        <w:rPr>
          <w:rFonts w:eastAsia="Calibri"/>
          <w:szCs w:val="22"/>
          <w:lang w:eastAsia="de-DE" w:bidi="de-DE"/>
        </w:rPr>
      </w:pPr>
    </w:p>
    <w:p w14:paraId="016AB3A2" w14:textId="77777777" w:rsidR="00D86CA4" w:rsidRPr="00D86CA4" w:rsidRDefault="00D86CA4" w:rsidP="00D86CA4">
      <w:pPr>
        <w:jc w:val="both"/>
        <w:rPr>
          <w:rFonts w:eastAsia="Calibri"/>
          <w:szCs w:val="22"/>
          <w:lang w:eastAsia="de-DE" w:bidi="de-DE"/>
        </w:rPr>
      </w:pPr>
      <w:r w:rsidRPr="00D86CA4">
        <w:rPr>
          <w:rFonts w:eastAsia="Calibri"/>
          <w:szCs w:val="22"/>
          <w:lang w:eastAsia="de-DE" w:bidi="de-DE"/>
        </w:rPr>
        <w:tab/>
      </w:r>
      <w:r w:rsidRPr="00D86CA4">
        <w:rPr>
          <w:rFonts w:eastAsia="Calibri"/>
          <w:i/>
          <w:szCs w:val="22"/>
          <w:lang w:eastAsia="de-DE" w:bidi="de-DE"/>
        </w:rPr>
        <w:t>d)</w:t>
      </w:r>
      <w:r w:rsidRPr="00D86CA4">
        <w:rPr>
          <w:rFonts w:eastAsia="Calibri"/>
          <w:szCs w:val="22"/>
          <w:lang w:eastAsia="de-DE" w:bidi="de-DE"/>
        </w:rPr>
        <w:t xml:space="preserve"> Liste mit den Namen der Verwalter, Geschäftsführer und Personen, die befugt sind, die Gesellschaft oder die VoG zu verpflichten,</w:t>
      </w:r>
    </w:p>
    <w:p w14:paraId="757A096B" w14:textId="77777777" w:rsidR="00D86CA4" w:rsidRPr="00D86CA4" w:rsidRDefault="00D86CA4" w:rsidP="00D86CA4">
      <w:pPr>
        <w:jc w:val="both"/>
        <w:rPr>
          <w:rFonts w:eastAsia="Calibri"/>
          <w:szCs w:val="22"/>
          <w:lang w:eastAsia="de-DE" w:bidi="de-DE"/>
        </w:rPr>
      </w:pPr>
    </w:p>
    <w:p w14:paraId="65C83738" w14:textId="04D1A0D7" w:rsidR="00D86CA4" w:rsidRPr="00D86CA4" w:rsidRDefault="00D86CA4" w:rsidP="00D86CA4">
      <w:pPr>
        <w:jc w:val="both"/>
        <w:rPr>
          <w:rFonts w:eastAsia="Calibri"/>
          <w:szCs w:val="22"/>
          <w:lang w:eastAsia="de-DE" w:bidi="de-DE"/>
        </w:rPr>
      </w:pPr>
      <w:r w:rsidRPr="00D86CA4">
        <w:rPr>
          <w:rFonts w:eastAsia="Calibri"/>
          <w:szCs w:val="22"/>
          <w:lang w:eastAsia="de-DE" w:bidi="de-DE"/>
        </w:rPr>
        <w:tab/>
      </w:r>
      <w:r w:rsidRPr="00D86CA4">
        <w:rPr>
          <w:rFonts w:eastAsia="Calibri"/>
          <w:i/>
          <w:szCs w:val="22"/>
          <w:lang w:eastAsia="de-DE" w:bidi="de-DE"/>
        </w:rPr>
        <w:t>e)</w:t>
      </w:r>
      <w:r w:rsidRPr="00D86CA4">
        <w:rPr>
          <w:rFonts w:eastAsia="Calibri"/>
          <w:szCs w:val="22"/>
          <w:lang w:eastAsia="de-DE" w:bidi="de-DE"/>
        </w:rPr>
        <w:t xml:space="preserve"> Erklärung, durch die die Gesellschaft oder die VoG sich verpflichtet, am Ende jeden Jahres für jeden Dienstleistungserbringer </w:t>
      </w:r>
      <w:r w:rsidR="00DA7FA9">
        <w:rPr>
          <w:rFonts w:eastAsia="Calibri"/>
          <w:szCs w:val="22"/>
          <w:lang w:eastAsia="de-DE" w:bidi="de-DE"/>
        </w:rPr>
        <w:t>[</w:t>
      </w:r>
      <w:r w:rsidR="00DA7FA9" w:rsidRPr="00A87454">
        <w:t>den in Artikel 53/3 erwähnten Beleg</w:t>
      </w:r>
      <w:r w:rsidR="00DA7FA9">
        <w:rPr>
          <w:rFonts w:eastAsia="Calibri"/>
          <w:szCs w:val="22"/>
          <w:lang w:eastAsia="de-DE" w:bidi="de-DE"/>
        </w:rPr>
        <w:t>]</w:t>
      </w:r>
      <w:r w:rsidRPr="00D86CA4">
        <w:rPr>
          <w:rFonts w:eastAsia="Calibri"/>
          <w:szCs w:val="22"/>
          <w:lang w:eastAsia="de-DE" w:bidi="de-DE"/>
        </w:rPr>
        <w:t xml:space="preserve"> zu erstellen, den sie dem betreffenden Dienstleistungserbringer und der zuständigen Verwaltung übermittelt,</w:t>
      </w:r>
    </w:p>
    <w:p w14:paraId="4CFB538F" w14:textId="77777777" w:rsidR="00D86CA4" w:rsidRPr="00D86CA4" w:rsidRDefault="00D86CA4" w:rsidP="00D86CA4">
      <w:pPr>
        <w:jc w:val="both"/>
        <w:rPr>
          <w:rFonts w:eastAsia="Calibri"/>
          <w:szCs w:val="22"/>
          <w:lang w:eastAsia="de-DE" w:bidi="de-DE"/>
        </w:rPr>
      </w:pPr>
    </w:p>
    <w:p w14:paraId="60C16439" w14:textId="77777777" w:rsidR="00D86CA4" w:rsidRPr="00D86CA4" w:rsidRDefault="00D86CA4" w:rsidP="00D86CA4">
      <w:pPr>
        <w:jc w:val="both"/>
        <w:rPr>
          <w:rFonts w:eastAsia="Calibri"/>
          <w:szCs w:val="22"/>
          <w:lang w:eastAsia="de-DE" w:bidi="de-DE"/>
        </w:rPr>
      </w:pPr>
      <w:r w:rsidRPr="00D86CA4">
        <w:rPr>
          <w:rFonts w:eastAsia="Calibri"/>
          <w:szCs w:val="22"/>
          <w:lang w:eastAsia="de-DE" w:bidi="de-DE"/>
        </w:rPr>
        <w:tab/>
        <w:t>2. er von einem gesetzlichen oder satzungsmäßigen Bevollmächtigten der Gesellschaft oder der VoG unterzeichnet ist.</w:t>
      </w:r>
    </w:p>
    <w:p w14:paraId="762EBF49" w14:textId="77777777" w:rsidR="00D86CA4" w:rsidRPr="00D86CA4" w:rsidRDefault="00D86CA4" w:rsidP="00D86CA4">
      <w:pPr>
        <w:jc w:val="both"/>
        <w:rPr>
          <w:rFonts w:eastAsia="Calibri"/>
          <w:szCs w:val="22"/>
          <w:lang w:eastAsia="de-DE" w:bidi="de-DE"/>
        </w:rPr>
      </w:pPr>
    </w:p>
    <w:p w14:paraId="7A6D58E3" w14:textId="51E39CC5" w:rsidR="00D86CA4" w:rsidRPr="00D86CA4" w:rsidRDefault="00D86CA4" w:rsidP="00D86CA4">
      <w:pPr>
        <w:jc w:val="both"/>
        <w:rPr>
          <w:rFonts w:eastAsia="Calibri"/>
          <w:szCs w:val="22"/>
          <w:lang w:eastAsia="de-DE" w:bidi="de-DE"/>
        </w:rPr>
      </w:pPr>
      <w:r w:rsidRPr="00D86CA4">
        <w:rPr>
          <w:rFonts w:eastAsia="Calibri"/>
          <w:szCs w:val="22"/>
          <w:lang w:eastAsia="de-DE" w:bidi="de-DE"/>
        </w:rPr>
        <w:tab/>
        <w:t xml:space="preserve">§ 2 - Die Zulassung wird entzogen, wenn der Begünstigte der Zulassung </w:t>
      </w:r>
      <w:r w:rsidR="00DA7FA9">
        <w:rPr>
          <w:rFonts w:eastAsia="Calibri"/>
          <w:szCs w:val="22"/>
          <w:lang w:eastAsia="de-DE" w:bidi="de-DE"/>
        </w:rPr>
        <w:t>[</w:t>
      </w:r>
      <w:r w:rsidR="002E1059" w:rsidRPr="00FD1CA6">
        <w:t>seinen in den Artikeln 53/3 und 90 § 1 Absatz 1 erwähnten Verpflichtungen</w:t>
      </w:r>
      <w:r w:rsidR="00DA7FA9">
        <w:rPr>
          <w:rFonts w:eastAsia="Calibri"/>
          <w:szCs w:val="22"/>
          <w:lang w:eastAsia="de-DE" w:bidi="de-DE"/>
        </w:rPr>
        <w:t>]</w:t>
      </w:r>
      <w:r w:rsidRPr="00D86CA4">
        <w:rPr>
          <w:rFonts w:eastAsia="Calibri"/>
          <w:szCs w:val="22"/>
          <w:lang w:eastAsia="de-DE" w:bidi="de-DE"/>
        </w:rPr>
        <w:t xml:space="preserve"> zweimal innerhalb eines Zeitraums von drei Jahren ab dem Jahr, in dem der erste Verstoß begangen worden ist, </w:t>
      </w:r>
      <w:r w:rsidR="00DA7FA9">
        <w:rPr>
          <w:rFonts w:eastAsia="Calibri"/>
          <w:szCs w:val="22"/>
          <w:lang w:eastAsia="de-DE" w:bidi="de-DE"/>
        </w:rPr>
        <w:t>[</w:t>
      </w:r>
      <w:r w:rsidR="002E1059">
        <w:t>...</w:t>
      </w:r>
      <w:r w:rsidR="00DA7FA9">
        <w:t>]</w:t>
      </w:r>
      <w:r w:rsidR="00DA7FA9">
        <w:rPr>
          <w:rFonts w:eastAsia="Calibri"/>
          <w:szCs w:val="22"/>
          <w:lang w:eastAsia="de-DE" w:bidi="de-DE"/>
        </w:rPr>
        <w:t xml:space="preserve"> </w:t>
      </w:r>
      <w:r w:rsidRPr="00D86CA4">
        <w:rPr>
          <w:rFonts w:eastAsia="Calibri"/>
          <w:szCs w:val="22"/>
          <w:lang w:eastAsia="de-DE" w:bidi="de-DE"/>
        </w:rPr>
        <w:t>absichtlich nicht nachgekommen ist.</w:t>
      </w:r>
    </w:p>
    <w:p w14:paraId="4FF808F4" w14:textId="77777777" w:rsidR="00D86CA4" w:rsidRPr="00D86CA4" w:rsidRDefault="00D86CA4" w:rsidP="00D86CA4">
      <w:pPr>
        <w:jc w:val="both"/>
        <w:rPr>
          <w:rFonts w:eastAsia="Calibri"/>
          <w:szCs w:val="22"/>
          <w:lang w:eastAsia="de-DE" w:bidi="de-DE"/>
        </w:rPr>
      </w:pPr>
    </w:p>
    <w:p w14:paraId="797C68A8" w14:textId="77777777" w:rsidR="00D86CA4" w:rsidRDefault="00D86CA4" w:rsidP="00D86CA4">
      <w:pPr>
        <w:jc w:val="both"/>
        <w:rPr>
          <w:rFonts w:eastAsia="Calibri"/>
          <w:szCs w:val="22"/>
          <w:lang w:eastAsia="de-DE" w:bidi="de-DE"/>
        </w:rPr>
      </w:pPr>
      <w:r w:rsidRPr="00D86CA4">
        <w:rPr>
          <w:rFonts w:eastAsia="Calibri"/>
          <w:szCs w:val="22"/>
          <w:lang w:eastAsia="de-DE" w:bidi="de-DE"/>
        </w:rPr>
        <w:tab/>
        <w:t>Der Entzug wird auf der Website des FÖD Finanzen veröffentlicht. Er wird ab dem dreißigsten Tag nach seiner Veröffentlichung wirksam.</w:t>
      </w:r>
    </w:p>
    <w:p w14:paraId="6B927AE5" w14:textId="77777777" w:rsidR="00DA7FA9" w:rsidRDefault="00DA7FA9" w:rsidP="00D86CA4">
      <w:pPr>
        <w:jc w:val="both"/>
        <w:rPr>
          <w:rFonts w:eastAsia="Calibri"/>
          <w:szCs w:val="22"/>
          <w:lang w:eastAsia="de-DE" w:bidi="de-DE"/>
        </w:rPr>
      </w:pPr>
    </w:p>
    <w:p w14:paraId="6D81A2B8" w14:textId="5569A8E7" w:rsidR="00DA7FA9" w:rsidRPr="00D86CA4" w:rsidRDefault="00DA7FA9" w:rsidP="00D86CA4">
      <w:pPr>
        <w:jc w:val="both"/>
        <w:rPr>
          <w:rFonts w:eastAsia="Calibri"/>
          <w:szCs w:val="22"/>
          <w:lang w:eastAsia="de-DE" w:bidi="de-DE"/>
        </w:rPr>
      </w:pPr>
      <w:r>
        <w:rPr>
          <w:rFonts w:eastAsia="Calibri"/>
          <w:szCs w:val="22"/>
          <w:lang w:eastAsia="de-DE" w:bidi="de-DE"/>
        </w:rPr>
        <w:tab/>
        <w:t>[</w:t>
      </w:r>
      <w:r w:rsidRPr="00A87454">
        <w:t>Die Zulassung kann ebenfalls auf Antrag des Begünstigten der Zulassung hin entzogen werden.</w:t>
      </w:r>
      <w:r>
        <w:rPr>
          <w:rFonts w:eastAsia="Calibri"/>
          <w:szCs w:val="22"/>
          <w:lang w:eastAsia="de-DE" w:bidi="de-DE"/>
        </w:rPr>
        <w:t>]</w:t>
      </w:r>
    </w:p>
    <w:p w14:paraId="34C7E413" w14:textId="77777777" w:rsidR="00D86CA4" w:rsidRPr="00D86CA4" w:rsidRDefault="00D86CA4" w:rsidP="00D86CA4">
      <w:pPr>
        <w:jc w:val="both"/>
        <w:rPr>
          <w:rFonts w:eastAsia="Calibri"/>
          <w:szCs w:val="22"/>
          <w:lang w:eastAsia="de-DE" w:bidi="de-DE"/>
        </w:rPr>
      </w:pPr>
    </w:p>
    <w:p w14:paraId="65AE6BC3" w14:textId="3131DB75" w:rsidR="00D86CA4" w:rsidRPr="00D4747A" w:rsidRDefault="00D86CA4" w:rsidP="00D86CA4">
      <w:pPr>
        <w:jc w:val="both"/>
        <w:rPr>
          <w:rFonts w:eastAsia="Calibri"/>
          <w:szCs w:val="22"/>
          <w:lang w:eastAsia="de-DE" w:bidi="de-DE"/>
        </w:rPr>
      </w:pPr>
      <w:r w:rsidRPr="00D86CA4">
        <w:rPr>
          <w:rFonts w:eastAsia="Calibri"/>
          <w:szCs w:val="22"/>
          <w:lang w:eastAsia="de-DE" w:bidi="de-DE"/>
        </w:rPr>
        <w:tab/>
        <w:t>§ 3 - Ein Verzeichnis der zugelassenen Plattformen wird auf der Website des FÖD Finanzen fortgeschrieben.</w:t>
      </w:r>
      <w:r>
        <w:rPr>
          <w:rFonts w:eastAsia="Calibri"/>
          <w:szCs w:val="22"/>
          <w:lang w:eastAsia="de-DE" w:bidi="de-DE"/>
        </w:rPr>
        <w:t>]</w:t>
      </w:r>
    </w:p>
    <w:p w14:paraId="6F68FB44" w14:textId="77777777" w:rsidR="005A5BD5" w:rsidRPr="00D4747A" w:rsidRDefault="005A5BD5" w:rsidP="004C2C7D">
      <w:pPr>
        <w:jc w:val="both"/>
        <w:rPr>
          <w:rFonts w:eastAsia="Calibri"/>
          <w:i/>
          <w:szCs w:val="22"/>
          <w:lang w:eastAsia="de-DE" w:bidi="de-DE"/>
        </w:rPr>
      </w:pPr>
    </w:p>
    <w:p w14:paraId="1787F2B6" w14:textId="34C5B1B4" w:rsidR="00DD3207" w:rsidRDefault="00DA7FA9" w:rsidP="00DA7FA9">
      <w:pPr>
        <w:jc w:val="both"/>
        <w:rPr>
          <w:rFonts w:eastAsia="Calibri"/>
          <w:szCs w:val="22"/>
          <w:lang w:eastAsia="de-DE" w:bidi="de-DE"/>
        </w:rPr>
      </w:pPr>
      <w:r>
        <w:rPr>
          <w:rFonts w:eastAsia="Calibri"/>
          <w:i/>
          <w:szCs w:val="22"/>
          <w:lang w:eastAsia="de-DE" w:bidi="de-DE"/>
        </w:rPr>
        <w:t>[Art. 53/2 § 1 Abs. 3 Nr. 1 einziger Absatz Buchstabe e) abgeändert durch Art. 2 Nr. 1 des K.E. vom 3. Juli 2019 (B.S. vom 12. Juli 2019); § 2 Abs. 1 abgeändert durch Art. 2 Nr. 2 und 3 des K.E. vom 3. Juli 2019 (B.S. vom 12. Juli 2019)</w:t>
      </w:r>
      <w:r w:rsidR="002E1059">
        <w:rPr>
          <w:rFonts w:eastAsia="Calibri"/>
          <w:i/>
          <w:szCs w:val="22"/>
          <w:lang w:eastAsia="de-DE" w:bidi="de-DE"/>
        </w:rPr>
        <w:t xml:space="preserve"> und Art. 1 Nr. 1 und 2 des K.E. vom 1. Februar 2022</w:t>
      </w:r>
      <w:r w:rsidR="00C7204C">
        <w:rPr>
          <w:rFonts w:eastAsia="Calibri"/>
          <w:i/>
          <w:szCs w:val="22"/>
          <w:lang w:eastAsia="de-DE" w:bidi="de-DE"/>
        </w:rPr>
        <w:t> (I)</w:t>
      </w:r>
      <w:r w:rsidR="002E1059">
        <w:rPr>
          <w:rFonts w:eastAsia="Calibri"/>
          <w:i/>
          <w:szCs w:val="22"/>
          <w:lang w:eastAsia="de-DE" w:bidi="de-DE"/>
        </w:rPr>
        <w:t xml:space="preserve"> (B.S. vom 21. Februar 2022)</w:t>
      </w:r>
      <w:r>
        <w:rPr>
          <w:rFonts w:eastAsia="Calibri"/>
          <w:i/>
          <w:szCs w:val="22"/>
          <w:lang w:eastAsia="de-DE" w:bidi="de-DE"/>
        </w:rPr>
        <w:t>; § 2 Abs. </w:t>
      </w:r>
      <w:r w:rsidR="00DD3207">
        <w:rPr>
          <w:rFonts w:eastAsia="Calibri"/>
          <w:i/>
          <w:szCs w:val="22"/>
          <w:lang w:eastAsia="de-DE" w:bidi="de-DE"/>
        </w:rPr>
        <w:t>3 eingefügt durch Art. 2 Nr. 4 des K.E. vom 3. Juli 2019 (B.S. vom 12. Juli 2019)]</w:t>
      </w:r>
    </w:p>
    <w:p w14:paraId="4FA0F1E3" w14:textId="77777777" w:rsidR="00DD3207" w:rsidRDefault="00DD3207" w:rsidP="00DA7FA9">
      <w:pPr>
        <w:jc w:val="both"/>
        <w:rPr>
          <w:rFonts w:eastAsia="Calibri"/>
          <w:szCs w:val="22"/>
          <w:lang w:eastAsia="de-DE" w:bidi="de-DE"/>
        </w:rPr>
      </w:pPr>
    </w:p>
    <w:p w14:paraId="6C6C6DD9" w14:textId="77777777" w:rsidR="00DD3207" w:rsidRDefault="00DD3207" w:rsidP="00DA7FA9">
      <w:pPr>
        <w:jc w:val="both"/>
        <w:rPr>
          <w:rFonts w:eastAsia="Calibri"/>
          <w:szCs w:val="22"/>
          <w:lang w:eastAsia="de-DE" w:bidi="de-DE"/>
        </w:rPr>
      </w:pPr>
    </w:p>
    <w:p w14:paraId="4F92D8A4" w14:textId="77777777" w:rsidR="00DD3207" w:rsidRPr="00A87454" w:rsidRDefault="00DD3207" w:rsidP="00DD3207">
      <w:pPr>
        <w:jc w:val="both"/>
      </w:pPr>
      <w:r>
        <w:rPr>
          <w:rFonts w:eastAsia="Calibri"/>
          <w:szCs w:val="22"/>
          <w:lang w:eastAsia="de-DE" w:bidi="de-DE"/>
        </w:rPr>
        <w:tab/>
        <w:t>[</w:t>
      </w:r>
      <w:r w:rsidRPr="00DD3207">
        <w:rPr>
          <w:b/>
        </w:rPr>
        <w:t>Art. 53/3</w:t>
      </w:r>
      <w:r w:rsidRPr="00A87454">
        <w:t> - § 1 - Am Ende jeden Jahres erstellen Gesellschaften oder VoGs, innerhalb deren eine gemäß den Artikeln 53/1 und 53/2 § 1 zugelassene Plattform eingerichtet ist, einschließlich Gesellschaften und VoGs, innerhalb deren eine Plattform eingerichtet war, deren Zulassung gemäß Artikel 53/2 § 2 während des besagten Jahres entzogen worden ist, für jeden Empfänger der in Artikel 90 Absatz 1 Nr. 1</w:t>
      </w:r>
      <w:r w:rsidRPr="00A87454">
        <w:rPr>
          <w:i/>
        </w:rPr>
        <w:t>bis</w:t>
      </w:r>
      <w:r w:rsidRPr="00A87454">
        <w:t xml:space="preserve"> des Einkommensteuergesetzbuches 1992 erwähnten Einkünfte eine Karte, deren Muster vom Minister der Finanzen oder von seinem Beauftragten festgelegt wird und die folgende Angaben enthält:</w:t>
      </w:r>
    </w:p>
    <w:p w14:paraId="4F8DE44B" w14:textId="77777777" w:rsidR="00DD3207" w:rsidRPr="00A87454" w:rsidRDefault="00DD3207" w:rsidP="00DD3207">
      <w:pPr>
        <w:jc w:val="both"/>
      </w:pPr>
    </w:p>
    <w:p w14:paraId="117BED7C" w14:textId="77777777" w:rsidR="00DD3207" w:rsidRPr="00A87454" w:rsidRDefault="00DD3207" w:rsidP="00DD3207">
      <w:pPr>
        <w:jc w:val="both"/>
      </w:pPr>
      <w:r w:rsidRPr="00A87454">
        <w:tab/>
        <w:t>1. Identität des Empfängers der Einkünfte und seine Steuernummer,</w:t>
      </w:r>
    </w:p>
    <w:p w14:paraId="5A527886" w14:textId="77777777" w:rsidR="00DD3207" w:rsidRPr="00A87454" w:rsidRDefault="00DD3207" w:rsidP="00DD3207">
      <w:pPr>
        <w:jc w:val="both"/>
      </w:pPr>
    </w:p>
    <w:p w14:paraId="28E69BA6" w14:textId="77777777" w:rsidR="00DD3207" w:rsidRPr="00A87454" w:rsidRDefault="00DD3207" w:rsidP="00DD3207">
      <w:pPr>
        <w:jc w:val="both"/>
      </w:pPr>
      <w:r w:rsidRPr="00A87454">
        <w:tab/>
        <w:t>2. Datum des Beginns oder der Einstellung seiner Tätigkeit,</w:t>
      </w:r>
    </w:p>
    <w:p w14:paraId="31EE0985" w14:textId="77777777" w:rsidR="00DD3207" w:rsidRPr="00A87454" w:rsidRDefault="00DD3207" w:rsidP="00DD3207">
      <w:pPr>
        <w:jc w:val="both"/>
      </w:pPr>
    </w:p>
    <w:p w14:paraId="13F00178" w14:textId="77777777" w:rsidR="00DD3207" w:rsidRPr="00A87454" w:rsidRDefault="00DD3207" w:rsidP="00DD3207">
      <w:pPr>
        <w:jc w:val="both"/>
      </w:pPr>
      <w:r w:rsidRPr="00A87454">
        <w:tab/>
        <w:t>3. Beschreibung der vom Empfänger erbrachten Dienste,</w:t>
      </w:r>
    </w:p>
    <w:p w14:paraId="79751D60" w14:textId="77777777" w:rsidR="00DD3207" w:rsidRPr="00A87454" w:rsidRDefault="00DD3207" w:rsidP="00DD3207">
      <w:pPr>
        <w:jc w:val="both"/>
      </w:pPr>
    </w:p>
    <w:p w14:paraId="1CF4E257" w14:textId="516D2EC3" w:rsidR="00DD3207" w:rsidRDefault="00DD3207" w:rsidP="00DD3207">
      <w:pPr>
        <w:jc w:val="both"/>
      </w:pPr>
      <w:r w:rsidRPr="00A87454">
        <w:tab/>
        <w:t>4. Bruttobetrag der in Artikel 90 Absatz 1 Nr. 1</w:t>
      </w:r>
      <w:r w:rsidRPr="00A87454">
        <w:rPr>
          <w:i/>
          <w:iCs/>
        </w:rPr>
        <w:t>bis</w:t>
      </w:r>
      <w:r w:rsidRPr="00A87454">
        <w:t xml:space="preserve"> des vorerwähnten Gesetzbuches erwähnten Entschädigungen, gegebenenfalls aufgegliedert nach der Art der erbrachten Dienste,</w:t>
      </w:r>
    </w:p>
    <w:p w14:paraId="64A7CD79" w14:textId="1482849C" w:rsidR="00FC7240" w:rsidRDefault="00FC7240" w:rsidP="00DD3207">
      <w:pPr>
        <w:jc w:val="both"/>
      </w:pPr>
    </w:p>
    <w:p w14:paraId="6E260C7E" w14:textId="78FCD9D2" w:rsidR="00FC7240" w:rsidRPr="00A87454" w:rsidRDefault="00FC7240" w:rsidP="00DD3207">
      <w:pPr>
        <w:jc w:val="both"/>
      </w:pPr>
      <w:r>
        <w:tab/>
        <w:t>[4/1. Betrag des auf die in Nr. 4 erwähnten Entschädigungen einbehaltenen Berufssteuervorabzugs,]</w:t>
      </w:r>
    </w:p>
    <w:p w14:paraId="799BDDD2" w14:textId="77777777" w:rsidR="00DD3207" w:rsidRPr="00A87454" w:rsidRDefault="00DD3207" w:rsidP="00DD3207">
      <w:pPr>
        <w:jc w:val="both"/>
      </w:pPr>
    </w:p>
    <w:p w14:paraId="6B99C6A9" w14:textId="032E4505" w:rsidR="00DD3207" w:rsidRPr="00A87454" w:rsidRDefault="00DD3207" w:rsidP="00DD3207">
      <w:pPr>
        <w:jc w:val="both"/>
      </w:pPr>
      <w:r w:rsidRPr="00A87454">
        <w:tab/>
        <w:t xml:space="preserve">5. gegebenenfalls Betrag und Art eventueller einbehaltener Summen, </w:t>
      </w:r>
      <w:r w:rsidR="00FC7240">
        <w:t xml:space="preserve">[die nicht in Nr. 4/1 erwähnt sind,] </w:t>
      </w:r>
      <w:r w:rsidRPr="00A87454">
        <w:t>gegebenenfalls aufgegliedert nach der Art der erbrachten Dienste.</w:t>
      </w:r>
    </w:p>
    <w:p w14:paraId="05672787" w14:textId="77777777" w:rsidR="00DD3207" w:rsidRPr="00A87454" w:rsidRDefault="00DD3207" w:rsidP="00DD3207">
      <w:pPr>
        <w:jc w:val="both"/>
      </w:pPr>
    </w:p>
    <w:p w14:paraId="61640955" w14:textId="77777777" w:rsidR="00DD3207" w:rsidRPr="00A87454" w:rsidRDefault="00DD3207" w:rsidP="00DD3207">
      <w:pPr>
        <w:jc w:val="both"/>
      </w:pPr>
      <w:r w:rsidRPr="00A87454">
        <w:tab/>
        <w:t>Der Empfänger der Einkünfte wird wie folgt identifiziert:</w:t>
      </w:r>
    </w:p>
    <w:p w14:paraId="55C6F0EC" w14:textId="77777777" w:rsidR="00DD3207" w:rsidRPr="00A87454" w:rsidRDefault="00DD3207" w:rsidP="00DD3207">
      <w:pPr>
        <w:jc w:val="both"/>
      </w:pPr>
    </w:p>
    <w:p w14:paraId="4C156EEA" w14:textId="77777777" w:rsidR="00DD3207" w:rsidRPr="00A87454" w:rsidRDefault="00DD3207" w:rsidP="00DD3207">
      <w:pPr>
        <w:jc w:val="both"/>
      </w:pPr>
      <w:r w:rsidRPr="00A87454">
        <w:tab/>
      </w:r>
      <w:r w:rsidRPr="00A87454">
        <w:rPr>
          <w:i/>
        </w:rPr>
        <w:t>a)</w:t>
      </w:r>
      <w:r w:rsidRPr="00A87454">
        <w:t> anhand seiner Steuernummer, die der Nationalregisternummer des Empfängers oder, für Gebietsfremde, die keine Nationalregisternummer haben, der von der Zentralen Datenbank der sozialen Sicherheit zugeteilten Bis-Erkennungsnummer entspricht,</w:t>
      </w:r>
    </w:p>
    <w:p w14:paraId="6D4CF766" w14:textId="77777777" w:rsidR="00DD3207" w:rsidRPr="00A87454" w:rsidRDefault="00DD3207" w:rsidP="00DD3207">
      <w:pPr>
        <w:jc w:val="both"/>
      </w:pPr>
    </w:p>
    <w:p w14:paraId="3CBBEF94" w14:textId="77777777" w:rsidR="00DD3207" w:rsidRPr="00A87454" w:rsidRDefault="00DD3207" w:rsidP="00DD3207">
      <w:pPr>
        <w:jc w:val="both"/>
      </w:pPr>
      <w:r w:rsidRPr="00A87454">
        <w:tab/>
      </w:r>
      <w:r w:rsidRPr="00A87454">
        <w:rPr>
          <w:i/>
        </w:rPr>
        <w:t>b)</w:t>
      </w:r>
      <w:r w:rsidRPr="00A87454">
        <w:t> wenn der Empfänger keine Steuernummer hat: anhand seines Geburtsdatums, seines Vornamens und Namens und seiner vollständigen Adresse.</w:t>
      </w:r>
    </w:p>
    <w:p w14:paraId="10E2CD6C" w14:textId="77777777" w:rsidR="00DD3207" w:rsidRPr="00A87454" w:rsidRDefault="00DD3207" w:rsidP="00DD3207">
      <w:pPr>
        <w:jc w:val="both"/>
      </w:pPr>
    </w:p>
    <w:p w14:paraId="67EF54BD" w14:textId="77777777" w:rsidR="00DD3207" w:rsidRPr="00A87454" w:rsidRDefault="00DD3207" w:rsidP="00DD3207">
      <w:pPr>
        <w:jc w:val="both"/>
      </w:pPr>
      <w:r w:rsidRPr="00A87454">
        <w:tab/>
        <w:t>Für die in Absatz 1 Nr. 3 erwähnte Beschreibung der erbrachten Dienste werden eine oder mehrere Beschreibungen verwendet, die in einer vom Minister der Finanzen oder von seinem Beauftragten festgelegten Liste zu finden sind.</w:t>
      </w:r>
    </w:p>
    <w:p w14:paraId="6392D2D1" w14:textId="77777777" w:rsidR="00DD3207" w:rsidRPr="00A87454" w:rsidRDefault="00DD3207" w:rsidP="00DD3207">
      <w:pPr>
        <w:jc w:val="both"/>
      </w:pPr>
    </w:p>
    <w:p w14:paraId="12AE74F2" w14:textId="77777777" w:rsidR="00DD3207" w:rsidRPr="00A87454" w:rsidRDefault="00DD3207" w:rsidP="00DD3207">
      <w:pPr>
        <w:jc w:val="both"/>
      </w:pPr>
      <w:r w:rsidRPr="00A87454">
        <w:tab/>
        <w:t>§ 2 - Die in § 1 erwähnten Karten werden vor dem 1. März des Jahres nach dem Einkommensjahr elektronisch bei der mit der Festlegung der Einkommensteuer beauftragten Verwaltung eingereicht und elektronisch oder auf Papier dem Empfänger der Einkünfte übermittelt.</w:t>
      </w:r>
    </w:p>
    <w:p w14:paraId="49C9134C" w14:textId="77777777" w:rsidR="00DD3207" w:rsidRPr="00A87454" w:rsidRDefault="00DD3207" w:rsidP="00DD3207">
      <w:pPr>
        <w:jc w:val="both"/>
      </w:pPr>
    </w:p>
    <w:p w14:paraId="41F62AF8" w14:textId="77777777" w:rsidR="00DD3207" w:rsidRPr="00A87454" w:rsidRDefault="00DD3207" w:rsidP="00DD3207">
      <w:pPr>
        <w:jc w:val="both"/>
      </w:pPr>
      <w:r w:rsidRPr="00A87454">
        <w:tab/>
        <w:t>§ 3 - Für das Einkommensjahr 2018 enthalten die in § 1 erwähnten Karten außerdem den Betrag des Berufssteuervorabzugs, der gemäß den Artikeln 86 Absatz 2 und 87 Nr. 2</w:t>
      </w:r>
      <w:r w:rsidRPr="00A87454">
        <w:rPr>
          <w:i/>
        </w:rPr>
        <w:t>bis</w:t>
      </w:r>
      <w:r w:rsidRPr="00A87454">
        <w:t>, so wie sie vor ihrer Aufhebung durch den Königlichen Erlass vom [Datum des vorliegenden Erlasses] bestanden, und Kapitel 7 Abschnitt 1/1 der Anlage 3 zu vorliegendem Erlass, so wie er vor seiner Ersetzung durch den Königlichen Erlass vom 7. Dezember 2018 bestand, auf die in § 1 Absatz 1 Nr. 4 erwähnten für dieses Einkommensjahr zuerkannten oder gezahlten Entschädigungen einbehalten wurde.</w:t>
      </w:r>
    </w:p>
    <w:p w14:paraId="1BDB3633" w14:textId="77777777" w:rsidR="00DD3207" w:rsidRPr="00A87454" w:rsidRDefault="00DD3207" w:rsidP="00DD3207">
      <w:pPr>
        <w:jc w:val="both"/>
      </w:pPr>
    </w:p>
    <w:p w14:paraId="7A2E0B7C" w14:textId="23070BA8" w:rsidR="00DD3207" w:rsidRDefault="00DD3207" w:rsidP="004C24ED">
      <w:pPr>
        <w:rPr>
          <w:rFonts w:eastAsia="Calibri"/>
          <w:szCs w:val="22"/>
          <w:lang w:eastAsia="de-DE" w:bidi="de-DE"/>
        </w:rPr>
      </w:pPr>
      <w:r w:rsidRPr="00A87454">
        <w:tab/>
        <w:t>In Abweichung von § 2 können die in Absatz 1 erwähnten Karten in Bezug auf die in Artikel 90 Absatz 1 Nr. 1</w:t>
      </w:r>
      <w:r w:rsidRPr="00A87454">
        <w:rPr>
          <w:i/>
        </w:rPr>
        <w:t>bis</w:t>
      </w:r>
      <w:r w:rsidRPr="00A87454">
        <w:t xml:space="preserve"> des vorerwähnten Gesetzbuches erwähnten Einkünfte bis zum 14. August 2019 elektronisch bei der mit der Festlegung der Einkommensteuer beauftragten Verwaltung eingereicht und elektronisch oder auf Papier dem Empfänger der Einkünfte übermittelt werden.</w:t>
      </w:r>
      <w:r>
        <w:rPr>
          <w:rFonts w:eastAsia="Calibri"/>
          <w:szCs w:val="22"/>
          <w:lang w:eastAsia="de-DE" w:bidi="de-DE"/>
        </w:rPr>
        <w:t>]</w:t>
      </w:r>
    </w:p>
    <w:p w14:paraId="44EAE47B" w14:textId="77777777" w:rsidR="00DD3207" w:rsidRDefault="00DD3207" w:rsidP="00DD3207">
      <w:pPr>
        <w:jc w:val="both"/>
        <w:rPr>
          <w:rFonts w:eastAsia="Calibri"/>
          <w:szCs w:val="22"/>
          <w:lang w:eastAsia="de-DE" w:bidi="de-DE"/>
        </w:rPr>
      </w:pPr>
    </w:p>
    <w:p w14:paraId="5A7A47C4" w14:textId="600ED483" w:rsidR="00DD3207" w:rsidRDefault="00DD3207" w:rsidP="00DD3207">
      <w:pPr>
        <w:jc w:val="both"/>
        <w:rPr>
          <w:rFonts w:eastAsia="Calibri"/>
          <w:i/>
          <w:szCs w:val="22"/>
          <w:lang w:eastAsia="de-DE" w:bidi="de-DE"/>
        </w:rPr>
      </w:pPr>
      <w:r>
        <w:rPr>
          <w:rFonts w:eastAsia="Calibri"/>
          <w:i/>
          <w:szCs w:val="22"/>
          <w:lang w:eastAsia="de-DE" w:bidi="de-DE"/>
        </w:rPr>
        <w:t>[Art. 53/3 eingefügt durch Art. 3 des K.E. vom 3. Juli 2019 (B.S. vom 12. Juli 2019</w:t>
      </w:r>
      <w:r w:rsidR="00AD004A">
        <w:rPr>
          <w:rFonts w:eastAsia="Calibri"/>
          <w:i/>
          <w:szCs w:val="22"/>
          <w:lang w:eastAsia="de-DE" w:bidi="de-DE"/>
        </w:rPr>
        <w:t>); § 1 Abs. 1 Nr. 4/1 eingefügt durch Art. 1 Buchstabe a) des K.E. vom 23. Dezember 2021</w:t>
      </w:r>
      <w:r w:rsidR="00FC280D">
        <w:rPr>
          <w:bCs/>
        </w:rPr>
        <w:t> </w:t>
      </w:r>
      <w:r w:rsidR="00FC280D">
        <w:rPr>
          <w:bCs/>
          <w:i/>
          <w:iCs/>
        </w:rPr>
        <w:t>(I)</w:t>
      </w:r>
      <w:r w:rsidR="00AD004A">
        <w:rPr>
          <w:rFonts w:eastAsia="Calibri"/>
          <w:i/>
          <w:szCs w:val="22"/>
          <w:lang w:eastAsia="de-DE" w:bidi="de-DE"/>
        </w:rPr>
        <w:t xml:space="preserve"> (B.S. vom 30. Dezember 2021); § 1 Abs. 1 Nr. 5 abgeändert durch Art. 1 Buchstabe b) des K.E. vom 23. Dezember 2021</w:t>
      </w:r>
      <w:r w:rsidR="00FC280D">
        <w:rPr>
          <w:bCs/>
        </w:rPr>
        <w:t> </w:t>
      </w:r>
      <w:r w:rsidR="00FC280D">
        <w:rPr>
          <w:bCs/>
          <w:i/>
          <w:iCs/>
        </w:rPr>
        <w:t>(I)</w:t>
      </w:r>
      <w:r w:rsidR="00AD004A">
        <w:rPr>
          <w:rFonts w:eastAsia="Calibri"/>
          <w:i/>
          <w:szCs w:val="22"/>
          <w:lang w:eastAsia="de-DE" w:bidi="de-DE"/>
        </w:rPr>
        <w:t xml:space="preserve"> (B.S. vom 30. Dezember 2021)</w:t>
      </w:r>
      <w:r>
        <w:rPr>
          <w:rFonts w:eastAsia="Calibri"/>
          <w:i/>
          <w:szCs w:val="22"/>
          <w:lang w:eastAsia="de-DE" w:bidi="de-DE"/>
        </w:rPr>
        <w:t>]</w:t>
      </w:r>
    </w:p>
    <w:p w14:paraId="7C624038" w14:textId="0C5C91D7" w:rsidR="00CB6F05" w:rsidRDefault="00CB6F05" w:rsidP="00DD3207">
      <w:pPr>
        <w:jc w:val="both"/>
        <w:rPr>
          <w:rFonts w:eastAsia="Calibri"/>
          <w:szCs w:val="22"/>
          <w:lang w:eastAsia="de-DE" w:bidi="de-DE"/>
        </w:rPr>
      </w:pPr>
    </w:p>
    <w:p w14:paraId="5653ADDC" w14:textId="6341B912" w:rsidR="00CB6F05" w:rsidRDefault="00CB6F05" w:rsidP="00DD3207">
      <w:pPr>
        <w:jc w:val="both"/>
        <w:rPr>
          <w:rFonts w:eastAsia="Calibri"/>
          <w:szCs w:val="22"/>
          <w:lang w:eastAsia="de-DE" w:bidi="de-DE"/>
        </w:rPr>
      </w:pPr>
    </w:p>
    <w:p w14:paraId="4A98073B" w14:textId="152C4F0B" w:rsidR="00CB6F05" w:rsidRPr="00F05683" w:rsidRDefault="00CB6F05" w:rsidP="003903BC">
      <w:pPr>
        <w:jc w:val="both"/>
      </w:pPr>
      <w:r>
        <w:rPr>
          <w:rFonts w:eastAsia="Calibri"/>
          <w:szCs w:val="22"/>
          <w:lang w:eastAsia="de-DE" w:bidi="de-DE"/>
        </w:rPr>
        <w:tab/>
        <w:t>[</w:t>
      </w:r>
      <w:r w:rsidRPr="00CB6F05">
        <w:rPr>
          <w:b/>
        </w:rPr>
        <w:t>Art. 53/4</w:t>
      </w:r>
      <w:r w:rsidRPr="00F05683">
        <w:t xml:space="preserve"> - </w:t>
      </w:r>
      <w:r w:rsidR="003903BC">
        <w:t>[...]</w:t>
      </w:r>
      <w:r>
        <w:t>]</w:t>
      </w:r>
    </w:p>
    <w:p w14:paraId="455A3262" w14:textId="10618F57" w:rsidR="00CB6F05" w:rsidRDefault="00CB6F05" w:rsidP="00CB6F05">
      <w:pPr>
        <w:jc w:val="both"/>
      </w:pPr>
    </w:p>
    <w:p w14:paraId="09C4BB79" w14:textId="4F3D147C" w:rsidR="00CB6F05" w:rsidRPr="00CB6F05" w:rsidRDefault="00CB6F05" w:rsidP="00CB6F05">
      <w:pPr>
        <w:tabs>
          <w:tab w:val="center" w:pos="4535"/>
        </w:tabs>
        <w:jc w:val="both"/>
        <w:rPr>
          <w:i/>
        </w:rPr>
      </w:pPr>
      <w:r>
        <w:rPr>
          <w:i/>
        </w:rPr>
        <w:t>[Art. 53/4 eingefügt durch Art. 1 des K.E. vom 18. April 2021 (B.S. vom 26. April 2021)</w:t>
      </w:r>
      <w:r w:rsidR="003903BC">
        <w:rPr>
          <w:i/>
        </w:rPr>
        <w:t xml:space="preserve"> und </w:t>
      </w:r>
      <w:r w:rsidR="00CF47FF">
        <w:rPr>
          <w:i/>
        </w:rPr>
        <w:t>aufgehoben</w:t>
      </w:r>
      <w:r w:rsidR="003903BC">
        <w:rPr>
          <w:i/>
        </w:rPr>
        <w:t xml:space="preserve"> durch Art. 1 des K.E. vom 25. Dezember 2023 (B.S. vom 29. Dezember 2023)</w:t>
      </w:r>
      <w:r>
        <w:rPr>
          <w:i/>
        </w:rPr>
        <w:t>]</w:t>
      </w:r>
    </w:p>
    <w:p w14:paraId="304BAC2C" w14:textId="77777777" w:rsidR="00CB6F05" w:rsidRPr="00F05683" w:rsidRDefault="00CB6F05" w:rsidP="00CB6F05">
      <w:pPr>
        <w:jc w:val="both"/>
      </w:pPr>
    </w:p>
    <w:p w14:paraId="725FBE33" w14:textId="77777777" w:rsidR="00CB6F05" w:rsidRPr="00F05683" w:rsidRDefault="00CB6F05" w:rsidP="00CB6F05">
      <w:pPr>
        <w:jc w:val="both"/>
      </w:pPr>
    </w:p>
    <w:p w14:paraId="6B65D3CF" w14:textId="4606773E" w:rsidR="00CB6F05" w:rsidRDefault="00CB6F05" w:rsidP="00CB6F05">
      <w:pPr>
        <w:jc w:val="both"/>
        <w:rPr>
          <w:rFonts w:eastAsia="Calibri"/>
          <w:szCs w:val="22"/>
          <w:lang w:eastAsia="de-DE" w:bidi="de-DE"/>
        </w:rPr>
      </w:pPr>
      <w:r>
        <w:tab/>
        <w:t>[</w:t>
      </w:r>
      <w:r w:rsidRPr="00CB6F05">
        <w:rPr>
          <w:b/>
        </w:rPr>
        <w:t>Art. 53/5</w:t>
      </w:r>
      <w:r w:rsidRPr="00F05683">
        <w:t xml:space="preserve"> - </w:t>
      </w:r>
      <w:r w:rsidR="003903BC">
        <w:t>[...]</w:t>
      </w:r>
      <w:r>
        <w:rPr>
          <w:rFonts w:eastAsia="Calibri"/>
          <w:szCs w:val="22"/>
          <w:lang w:eastAsia="de-DE" w:bidi="de-DE"/>
        </w:rPr>
        <w:t>]</w:t>
      </w:r>
    </w:p>
    <w:p w14:paraId="1228F4EA" w14:textId="29BB82F9" w:rsidR="00CB6F05" w:rsidRPr="00CB6F05" w:rsidRDefault="00CB6F05" w:rsidP="00DD3207">
      <w:pPr>
        <w:jc w:val="both"/>
        <w:rPr>
          <w:rFonts w:eastAsia="Calibri"/>
          <w:szCs w:val="22"/>
          <w:lang w:eastAsia="de-DE" w:bidi="de-DE"/>
        </w:rPr>
      </w:pPr>
      <w:r>
        <w:rPr>
          <w:rFonts w:eastAsia="Calibri"/>
          <w:szCs w:val="22"/>
          <w:lang w:eastAsia="de-DE" w:bidi="de-DE"/>
        </w:rPr>
        <w:tab/>
      </w:r>
    </w:p>
    <w:p w14:paraId="64749F5D" w14:textId="1AFA2E91" w:rsidR="00CB6F05" w:rsidRDefault="00CB6F05" w:rsidP="00CB6F05">
      <w:pPr>
        <w:tabs>
          <w:tab w:val="center" w:pos="4535"/>
        </w:tabs>
        <w:jc w:val="both"/>
        <w:rPr>
          <w:i/>
        </w:rPr>
      </w:pPr>
      <w:r>
        <w:rPr>
          <w:i/>
        </w:rPr>
        <w:t>[Art. 53/5 eingefügt durch Art. 2 des K.E. vom 18. April 2021 (B.S. vom 26. April 2021)</w:t>
      </w:r>
      <w:r w:rsidR="003903BC">
        <w:rPr>
          <w:i/>
        </w:rPr>
        <w:t xml:space="preserve"> und </w:t>
      </w:r>
      <w:r w:rsidR="00CF47FF">
        <w:rPr>
          <w:i/>
        </w:rPr>
        <w:t>aufgehoben</w:t>
      </w:r>
      <w:r w:rsidR="003903BC">
        <w:rPr>
          <w:i/>
        </w:rPr>
        <w:t xml:space="preserve"> durch Art. 2 des K.E. vom 25. Dezember 2023 (B.S. vom 29. Dezember 2023)</w:t>
      </w:r>
      <w:r>
        <w:rPr>
          <w:i/>
        </w:rPr>
        <w:t>]</w:t>
      </w:r>
    </w:p>
    <w:p w14:paraId="20115F75" w14:textId="321C9202" w:rsidR="00DD3207" w:rsidRDefault="00DD3207" w:rsidP="00DD3207">
      <w:pPr>
        <w:jc w:val="both"/>
        <w:rPr>
          <w:rFonts w:eastAsia="Calibri"/>
          <w:iCs/>
          <w:szCs w:val="22"/>
          <w:lang w:eastAsia="de-DE" w:bidi="de-DE"/>
        </w:rPr>
      </w:pPr>
    </w:p>
    <w:p w14:paraId="3DF4B4FD" w14:textId="77777777" w:rsidR="00162AD3" w:rsidRDefault="00162AD3" w:rsidP="00DD3207">
      <w:pPr>
        <w:jc w:val="both"/>
        <w:rPr>
          <w:rFonts w:eastAsia="Calibri"/>
          <w:iCs/>
          <w:szCs w:val="22"/>
          <w:lang w:eastAsia="de-DE" w:bidi="de-DE"/>
        </w:rPr>
      </w:pPr>
    </w:p>
    <w:p w14:paraId="3D276D72" w14:textId="6056FA8E" w:rsidR="00162AD3" w:rsidRPr="00A44DD5" w:rsidRDefault="00162AD3" w:rsidP="00162AD3">
      <w:pPr>
        <w:jc w:val="center"/>
      </w:pPr>
      <w:r>
        <w:rPr>
          <w:rFonts w:eastAsia="Calibri"/>
          <w:iCs/>
          <w:szCs w:val="22"/>
          <w:lang w:eastAsia="de-DE" w:bidi="de-DE"/>
        </w:rPr>
        <w:t>[</w:t>
      </w:r>
      <w:r w:rsidRPr="00162AD3">
        <w:rPr>
          <w:i/>
          <w:iCs/>
        </w:rPr>
        <w:t>Abschnitt 18/2</w:t>
      </w:r>
      <w:r w:rsidRPr="00A44DD5">
        <w:t> - Von Schuldnern von Vergütungen wie erwähnt in Artikel 90 Absatz 1 Nr. 1</w:t>
      </w:r>
      <w:r w:rsidRPr="00A44DD5">
        <w:rPr>
          <w:i/>
          <w:iCs/>
        </w:rPr>
        <w:t>ter</w:t>
      </w:r>
      <w:r w:rsidRPr="00A44DD5">
        <w:t xml:space="preserve"> des Einkommensteuergesetzbuches 1992 jährlich zu erstellender Beleg</w:t>
      </w:r>
    </w:p>
    <w:p w14:paraId="2C9E7692" w14:textId="77777777" w:rsidR="00162AD3" w:rsidRPr="00A44DD5" w:rsidRDefault="00162AD3" w:rsidP="00162AD3">
      <w:pPr>
        <w:jc w:val="both"/>
      </w:pPr>
    </w:p>
    <w:p w14:paraId="563795CE" w14:textId="7E264769" w:rsidR="00162AD3" w:rsidRPr="00A44DD5" w:rsidRDefault="00162AD3" w:rsidP="00162AD3">
      <w:pPr>
        <w:jc w:val="center"/>
      </w:pPr>
      <w:r w:rsidRPr="00A44DD5">
        <w:t>(Einkommensteuergesetzbuch 1992, Artikel 90 Absatz 4)</w:t>
      </w:r>
    </w:p>
    <w:p w14:paraId="2D7AE6B7" w14:textId="77777777" w:rsidR="00162AD3" w:rsidRDefault="00162AD3" w:rsidP="00162AD3">
      <w:pPr>
        <w:jc w:val="both"/>
      </w:pPr>
    </w:p>
    <w:p w14:paraId="01A5DF2B" w14:textId="7A0BF5E7" w:rsidR="00162AD3" w:rsidRDefault="00162AD3" w:rsidP="00162AD3">
      <w:pPr>
        <w:jc w:val="both"/>
        <w:rPr>
          <w:i/>
          <w:iCs/>
        </w:rPr>
      </w:pPr>
      <w:r>
        <w:rPr>
          <w:i/>
          <w:iCs/>
        </w:rPr>
        <w:t>[Abschnitt 18/2 mit Art. 53/6 eingefügt durch Art. 1 des K.E. vom 19. Dezember 2022 (B.S. vom 22. Dezember 2022)]</w:t>
      </w:r>
    </w:p>
    <w:p w14:paraId="7E194563" w14:textId="77777777" w:rsidR="00162AD3" w:rsidRDefault="00162AD3" w:rsidP="00162AD3">
      <w:pPr>
        <w:jc w:val="both"/>
        <w:rPr>
          <w:i/>
          <w:iCs/>
        </w:rPr>
      </w:pPr>
    </w:p>
    <w:p w14:paraId="38916767" w14:textId="77777777" w:rsidR="00162AD3" w:rsidRPr="00162AD3" w:rsidRDefault="00162AD3" w:rsidP="00162AD3">
      <w:pPr>
        <w:jc w:val="both"/>
        <w:rPr>
          <w:i/>
          <w:iCs/>
        </w:rPr>
      </w:pPr>
    </w:p>
    <w:p w14:paraId="5EF1BD04" w14:textId="77777777" w:rsidR="00162AD3" w:rsidRPr="00A44DD5" w:rsidRDefault="00162AD3" w:rsidP="00162AD3">
      <w:pPr>
        <w:jc w:val="both"/>
      </w:pPr>
      <w:r w:rsidRPr="00A44DD5">
        <w:tab/>
      </w:r>
      <w:r w:rsidRPr="00162AD3">
        <w:rPr>
          <w:b/>
          <w:bCs/>
        </w:rPr>
        <w:t>Art. 53/6</w:t>
      </w:r>
      <w:r w:rsidRPr="00A44DD5">
        <w:t> - § 1 - Am Ende jeden Jahres erstellen Schuldner von Vergütungen wie erwähnt in Artikel 90 Absatz 1 Nr. 1</w:t>
      </w:r>
      <w:r w:rsidRPr="00A44DD5">
        <w:rPr>
          <w:i/>
          <w:iCs/>
        </w:rPr>
        <w:t>ter</w:t>
      </w:r>
      <w:r w:rsidRPr="00A44DD5">
        <w:t xml:space="preserve"> des Einkommensteuergesetzbuches 1992 für jeden Empfänger eine Karte, deren Muster vom Minister der Finanzen oder von seinem Beauftragten festgelegt wird und die folgende Angaben enthält:</w:t>
      </w:r>
    </w:p>
    <w:p w14:paraId="7AED27AE" w14:textId="77777777" w:rsidR="00162AD3" w:rsidRPr="00A44DD5" w:rsidRDefault="00162AD3" w:rsidP="00162AD3">
      <w:pPr>
        <w:jc w:val="both"/>
      </w:pPr>
    </w:p>
    <w:p w14:paraId="77182742" w14:textId="77777777" w:rsidR="00162AD3" w:rsidRPr="00A44DD5" w:rsidRDefault="00162AD3" w:rsidP="00162AD3">
      <w:pPr>
        <w:jc w:val="both"/>
      </w:pPr>
      <w:r w:rsidRPr="00A44DD5">
        <w:tab/>
        <w:t>1. Identität des Empfängers der Vergütungen und seine Steuernummer,</w:t>
      </w:r>
    </w:p>
    <w:p w14:paraId="74A7024A" w14:textId="77777777" w:rsidR="00162AD3" w:rsidRPr="00A44DD5" w:rsidRDefault="00162AD3" w:rsidP="00162AD3">
      <w:pPr>
        <w:jc w:val="both"/>
      </w:pPr>
    </w:p>
    <w:p w14:paraId="460FBFB4" w14:textId="77777777" w:rsidR="00162AD3" w:rsidRPr="00A44DD5" w:rsidRDefault="00162AD3" w:rsidP="00162AD3">
      <w:pPr>
        <w:jc w:val="both"/>
      </w:pPr>
      <w:r w:rsidRPr="00A44DD5">
        <w:tab/>
        <w:t>2. Branche, in der der Empfänger der Vergütungen Leistungen erbracht hat,</w:t>
      </w:r>
    </w:p>
    <w:p w14:paraId="653A28BE" w14:textId="77777777" w:rsidR="00162AD3" w:rsidRPr="00A44DD5" w:rsidRDefault="00162AD3" w:rsidP="00162AD3">
      <w:pPr>
        <w:jc w:val="both"/>
      </w:pPr>
    </w:p>
    <w:p w14:paraId="5E153BE1" w14:textId="77777777" w:rsidR="00162AD3" w:rsidRPr="00A44DD5" w:rsidRDefault="00162AD3" w:rsidP="00162AD3">
      <w:pPr>
        <w:jc w:val="both"/>
      </w:pPr>
      <w:r w:rsidRPr="00A44DD5">
        <w:tab/>
        <w:t>3. Anzahl der vom Empfänger der Vergütungen pro Quartal geleisteten Stunden,</w:t>
      </w:r>
    </w:p>
    <w:p w14:paraId="6FA6FE41" w14:textId="77777777" w:rsidR="00162AD3" w:rsidRPr="00A44DD5" w:rsidRDefault="00162AD3" w:rsidP="00162AD3">
      <w:pPr>
        <w:jc w:val="both"/>
      </w:pPr>
    </w:p>
    <w:p w14:paraId="7474FA72" w14:textId="77777777" w:rsidR="00162AD3" w:rsidRPr="00A44DD5" w:rsidRDefault="00162AD3" w:rsidP="00162AD3">
      <w:pPr>
        <w:jc w:val="both"/>
      </w:pPr>
      <w:r w:rsidRPr="00A44DD5">
        <w:tab/>
        <w:t>4. Bruttobetrag der in Artikel 90 Absatz 1 Nr. 1</w:t>
      </w:r>
      <w:r w:rsidRPr="00A44DD5">
        <w:rPr>
          <w:i/>
          <w:iCs/>
        </w:rPr>
        <w:t>ter</w:t>
      </w:r>
      <w:r w:rsidRPr="00A44DD5">
        <w:t xml:space="preserve"> des vorerwähnten Gesetzbuches erwähnten Vergütungen, die im Laufe des betreffenden Jahres gezahlt oder zuerkannt worden sind, gegebenenfalls aufgegliedert nach dem Bruttobetrag der Vergütungen für Leistungen, die in diesem Jahr erbracht wurden, und dem Bruttobetrag der Vergütungen für Leistungen, die in den vorherigen Jahren erbracht wurden,</w:t>
      </w:r>
    </w:p>
    <w:p w14:paraId="46B8EAEA" w14:textId="77777777" w:rsidR="00162AD3" w:rsidRPr="00A44DD5" w:rsidRDefault="00162AD3" w:rsidP="00162AD3">
      <w:pPr>
        <w:jc w:val="both"/>
      </w:pPr>
    </w:p>
    <w:p w14:paraId="3F18E475" w14:textId="77777777" w:rsidR="00162AD3" w:rsidRPr="00A44DD5" w:rsidRDefault="00162AD3" w:rsidP="00162AD3">
      <w:pPr>
        <w:jc w:val="both"/>
      </w:pPr>
      <w:r w:rsidRPr="00A44DD5">
        <w:tab/>
        <w:t>5. gegebenenfalls Betrag der Erstattungen eigener Kosten des Arbeitgebers.</w:t>
      </w:r>
    </w:p>
    <w:p w14:paraId="390120FD" w14:textId="77777777" w:rsidR="00162AD3" w:rsidRPr="00A44DD5" w:rsidRDefault="00162AD3" w:rsidP="00162AD3">
      <w:pPr>
        <w:jc w:val="both"/>
      </w:pPr>
    </w:p>
    <w:p w14:paraId="7B5B647F" w14:textId="77777777" w:rsidR="00162AD3" w:rsidRPr="00A44DD5" w:rsidRDefault="00162AD3" w:rsidP="00162AD3">
      <w:pPr>
        <w:jc w:val="both"/>
      </w:pPr>
      <w:r w:rsidRPr="00A44DD5">
        <w:tab/>
        <w:t>Der Empfänger der Einkünfte wird wie folgt identifiziert:</w:t>
      </w:r>
    </w:p>
    <w:p w14:paraId="7C2B4D20" w14:textId="77777777" w:rsidR="00162AD3" w:rsidRPr="00A44DD5" w:rsidRDefault="00162AD3" w:rsidP="00162AD3">
      <w:pPr>
        <w:jc w:val="both"/>
      </w:pPr>
    </w:p>
    <w:p w14:paraId="243AC188" w14:textId="77777777" w:rsidR="00162AD3" w:rsidRPr="00A44DD5" w:rsidRDefault="00162AD3" w:rsidP="00162AD3">
      <w:pPr>
        <w:jc w:val="both"/>
      </w:pPr>
      <w:r w:rsidRPr="00A44DD5">
        <w:tab/>
      </w:r>
      <w:r w:rsidRPr="00A44DD5">
        <w:rPr>
          <w:i/>
        </w:rPr>
        <w:t>a)</w:t>
      </w:r>
      <w:r w:rsidRPr="00A44DD5">
        <w:t> anhand seiner Steuernummer, die der Nationalregisternummer des Empfängers oder, für Gebietsfremde, die keine Nationalregisternummer haben, der von der Zentralen Datenbank der sozialen Sicherheit zugeteilten Bis-Erkennungsnummer entspricht,</w:t>
      </w:r>
    </w:p>
    <w:p w14:paraId="7D1F5073" w14:textId="77777777" w:rsidR="00162AD3" w:rsidRPr="00A44DD5" w:rsidRDefault="00162AD3" w:rsidP="00162AD3">
      <w:pPr>
        <w:jc w:val="both"/>
      </w:pPr>
    </w:p>
    <w:p w14:paraId="355E4802" w14:textId="77777777" w:rsidR="00162AD3" w:rsidRPr="00A44DD5" w:rsidRDefault="00162AD3" w:rsidP="00162AD3">
      <w:pPr>
        <w:jc w:val="both"/>
      </w:pPr>
      <w:r w:rsidRPr="00A44DD5">
        <w:tab/>
      </w:r>
      <w:r w:rsidRPr="00A44DD5">
        <w:rPr>
          <w:i/>
        </w:rPr>
        <w:t>b)</w:t>
      </w:r>
      <w:r w:rsidRPr="00A44DD5">
        <w:t> wenn der Empfänger keine Steuernummer hat: anhand seines Geburtsdatums, seines Vornamens und Namens und seiner vollständigen Adresse.</w:t>
      </w:r>
    </w:p>
    <w:p w14:paraId="7CFD54DB" w14:textId="77777777" w:rsidR="00162AD3" w:rsidRPr="00A44DD5" w:rsidRDefault="00162AD3" w:rsidP="00162AD3">
      <w:pPr>
        <w:jc w:val="both"/>
      </w:pPr>
    </w:p>
    <w:p w14:paraId="1DAD577D" w14:textId="77777777" w:rsidR="00162AD3" w:rsidRPr="00A44DD5" w:rsidRDefault="00162AD3" w:rsidP="00162AD3">
      <w:pPr>
        <w:jc w:val="both"/>
      </w:pPr>
      <w:r w:rsidRPr="00A44DD5">
        <w:tab/>
        <w:t>Für die in Absatz 1 Nr. 2 erwähnte Angabe in Bezug auf die Branche wird eine Beschreibung verwendet, die in einer vom Minister der Finanzen oder von seinem Beauftragten festgelegten Liste zu finden ist.</w:t>
      </w:r>
    </w:p>
    <w:p w14:paraId="1E0208B0" w14:textId="77777777" w:rsidR="00162AD3" w:rsidRPr="00A44DD5" w:rsidRDefault="00162AD3" w:rsidP="00162AD3">
      <w:pPr>
        <w:jc w:val="both"/>
      </w:pPr>
    </w:p>
    <w:p w14:paraId="2060B91D" w14:textId="0D53C99D" w:rsidR="00162AD3" w:rsidRDefault="00162AD3" w:rsidP="00162AD3">
      <w:pPr>
        <w:jc w:val="both"/>
      </w:pPr>
      <w:r w:rsidRPr="00A44DD5">
        <w:tab/>
        <w:t xml:space="preserve">§ 2 ­ Die in § 1 erwähnten Karten werden vor dem 1. März des Jahres nach dem Einkommensjahr elektronisch bei der mit der Festlegung der Einkommensteuer beauftragten </w:t>
      </w:r>
      <w:r w:rsidRPr="00A44DD5">
        <w:lastRenderedPageBreak/>
        <w:t>Verwaltung eingereicht und dem Empfänger der Einkünfte elektronisch oder auf Papier übermittelt.</w:t>
      </w:r>
      <w:r>
        <w:t>]</w:t>
      </w:r>
    </w:p>
    <w:p w14:paraId="1F448B16" w14:textId="77777777" w:rsidR="00162AD3" w:rsidRPr="00162AD3" w:rsidRDefault="00162AD3" w:rsidP="00162AD3">
      <w:pPr>
        <w:jc w:val="both"/>
        <w:rPr>
          <w:rFonts w:eastAsia="Calibri"/>
          <w:iCs/>
          <w:szCs w:val="22"/>
          <w:lang w:eastAsia="de-DE" w:bidi="de-DE"/>
        </w:rPr>
      </w:pPr>
    </w:p>
    <w:p w14:paraId="0D1A366A" w14:textId="77777777" w:rsidR="00CB6F05" w:rsidRDefault="00CB6F05" w:rsidP="00DD3207">
      <w:pPr>
        <w:jc w:val="both"/>
        <w:rPr>
          <w:rFonts w:eastAsia="Calibri"/>
          <w:i/>
          <w:szCs w:val="22"/>
          <w:lang w:eastAsia="de-DE" w:bidi="de-DE"/>
        </w:rPr>
      </w:pPr>
    </w:p>
    <w:p w14:paraId="59582199" w14:textId="6A565679" w:rsidR="003903BC" w:rsidRPr="00597277" w:rsidRDefault="003903BC" w:rsidP="003903BC">
      <w:pPr>
        <w:jc w:val="center"/>
      </w:pPr>
      <w:r>
        <w:rPr>
          <w:rFonts w:eastAsia="Calibri"/>
          <w:iCs/>
          <w:szCs w:val="22"/>
          <w:lang w:eastAsia="de-DE" w:bidi="de-DE"/>
        </w:rPr>
        <w:t>[</w:t>
      </w:r>
      <w:r w:rsidRPr="003903BC">
        <w:rPr>
          <w:i/>
          <w:iCs/>
        </w:rPr>
        <w:t>Abschnitt 18/3</w:t>
      </w:r>
      <w:r w:rsidRPr="00597277">
        <w:t> - Meldemodalitäten für meldende Plattformbetreiber wie in Artikel 321</w:t>
      </w:r>
      <w:r w:rsidRPr="00597277">
        <w:rPr>
          <w:i/>
        </w:rPr>
        <w:t>quater</w:t>
      </w:r>
      <w:r w:rsidRPr="00597277">
        <w:t xml:space="preserve"> des Einkommensteuergesetzbuches 1992 bestimmt</w:t>
      </w:r>
    </w:p>
    <w:p w14:paraId="250DBE94" w14:textId="77777777" w:rsidR="003903BC" w:rsidRDefault="003903BC" w:rsidP="003903BC">
      <w:pPr>
        <w:jc w:val="both"/>
      </w:pPr>
    </w:p>
    <w:p w14:paraId="1F111518" w14:textId="2861F153" w:rsidR="003903BC" w:rsidRDefault="003903BC" w:rsidP="003903BC">
      <w:pPr>
        <w:jc w:val="both"/>
        <w:rPr>
          <w:i/>
          <w:iCs/>
        </w:rPr>
      </w:pPr>
      <w:r>
        <w:rPr>
          <w:i/>
          <w:iCs/>
        </w:rPr>
        <w:t>[Abschnitt 18/3 mit den Artikeln 53/7 bis 53/9 eingefügt durch Art. 3</w:t>
      </w:r>
      <w:r w:rsidRPr="003903BC">
        <w:rPr>
          <w:i/>
          <w:iCs/>
        </w:rPr>
        <w:t xml:space="preserve"> des K.E. vom 25. Dezember 2023 (B.S. vom 29. Dezember 2023</w:t>
      </w:r>
      <w:r>
        <w:rPr>
          <w:i/>
          <w:iCs/>
        </w:rPr>
        <w:t>, Err. vom 15. Januar 2024)]</w:t>
      </w:r>
    </w:p>
    <w:p w14:paraId="04CCB9D0" w14:textId="77777777" w:rsidR="003903BC" w:rsidRDefault="003903BC" w:rsidP="003903BC">
      <w:pPr>
        <w:jc w:val="both"/>
        <w:rPr>
          <w:i/>
          <w:iCs/>
        </w:rPr>
      </w:pPr>
    </w:p>
    <w:p w14:paraId="70223601" w14:textId="77777777" w:rsidR="003903BC" w:rsidRPr="003903BC" w:rsidRDefault="003903BC" w:rsidP="003903BC">
      <w:pPr>
        <w:jc w:val="both"/>
        <w:rPr>
          <w:i/>
          <w:iCs/>
        </w:rPr>
      </w:pPr>
    </w:p>
    <w:p w14:paraId="1B54FEFF" w14:textId="77777777" w:rsidR="003903BC" w:rsidRPr="00597277" w:rsidRDefault="003903BC" w:rsidP="003903BC">
      <w:pPr>
        <w:jc w:val="both"/>
      </w:pPr>
      <w:r w:rsidRPr="00597277">
        <w:tab/>
      </w:r>
      <w:r w:rsidRPr="003903BC">
        <w:rPr>
          <w:b/>
          <w:bCs/>
        </w:rPr>
        <w:t>Art. 53/7</w:t>
      </w:r>
      <w:r w:rsidRPr="00597277">
        <w:t> - Die in Artikel 321</w:t>
      </w:r>
      <w:r w:rsidRPr="00597277">
        <w:rPr>
          <w:i/>
        </w:rPr>
        <w:t>sexies</w:t>
      </w:r>
      <w:r w:rsidRPr="00597277">
        <w:t xml:space="preserve"> § 5 des Einkommensteuergesetzbuches 1992 erwähnten Meldungen werden elektronisch anhand einer XML-Datei über die vom FÖD Finanzen zur Verfügung gestellte elektronische Plattform eingereicht.</w:t>
      </w:r>
    </w:p>
    <w:p w14:paraId="26C73E33" w14:textId="77777777" w:rsidR="003903BC" w:rsidRPr="00597277" w:rsidRDefault="003903BC" w:rsidP="003903BC">
      <w:pPr>
        <w:jc w:val="both"/>
      </w:pPr>
    </w:p>
    <w:p w14:paraId="44AA01E5" w14:textId="77777777" w:rsidR="003903BC" w:rsidRPr="00597277" w:rsidRDefault="003903BC" w:rsidP="003903BC">
      <w:pPr>
        <w:jc w:val="both"/>
      </w:pPr>
      <w:r w:rsidRPr="00597277">
        <w:tab/>
        <w:t>Wenn der meldende Plattformbetreiber in Anwendung von Artikel 321</w:t>
      </w:r>
      <w:r w:rsidRPr="00597277">
        <w:rPr>
          <w:i/>
        </w:rPr>
        <w:t xml:space="preserve">sexies </w:t>
      </w:r>
      <w:r w:rsidRPr="00597277">
        <w:t>§ 6 des Einkommensteuergesetzbuches 1992 von der Meldung der in § 5 erwähnten Informationen befreit ist, teilt dieser der belgischen zuständigen Behörde anhand der für die Meldung vorgesehenen XML-Datei über die vom FÖD Finanzen zur Verfügung gestellte elektronische Plattform die Identität des Plattformbetreibers, der die Meldung bereits vorgenommen hat, und den Staat, in dem diese Meldung vorgenommen worden ist, mit.</w:t>
      </w:r>
    </w:p>
    <w:p w14:paraId="49178016" w14:textId="77777777" w:rsidR="003903BC" w:rsidRPr="00597277" w:rsidRDefault="003903BC" w:rsidP="003903BC">
      <w:pPr>
        <w:jc w:val="both"/>
      </w:pPr>
    </w:p>
    <w:p w14:paraId="2599BA4A" w14:textId="77777777" w:rsidR="003903BC" w:rsidRPr="00597277" w:rsidRDefault="003903BC" w:rsidP="003903BC">
      <w:pPr>
        <w:jc w:val="both"/>
      </w:pPr>
      <w:r w:rsidRPr="00597277">
        <w:tab/>
        <w:t>Wenn der meldende Plattformbetreiber in Anwendung von Artikel 321</w:t>
      </w:r>
      <w:r w:rsidRPr="00597277">
        <w:rPr>
          <w:i/>
        </w:rPr>
        <w:t>sexies</w:t>
      </w:r>
      <w:r w:rsidRPr="00597277">
        <w:t xml:space="preserve"> § 7 des Einkommensteuergesetzbuches 1992 keine Informationen zu melden hat, setzt dieser die belgische zuständige Behörde über die vom FÖD Finanzen zur Verfügung gestellte elektronische Plattform davon in Kenntnis, dass er ihr keine Informationen zu melden hat, indem er das zu diesem Zweck vorgesehene Feld auf der vom FÖD Finanzen zur Verfügung gestellten elektronischen Plattform ankreuzt.</w:t>
      </w:r>
    </w:p>
    <w:p w14:paraId="158C6ABF" w14:textId="77777777" w:rsidR="003903BC" w:rsidRPr="00597277" w:rsidRDefault="003903BC" w:rsidP="003903BC">
      <w:pPr>
        <w:jc w:val="both"/>
      </w:pPr>
    </w:p>
    <w:p w14:paraId="46E7EE43" w14:textId="77777777" w:rsidR="003903BC" w:rsidRPr="00597277" w:rsidRDefault="003903BC" w:rsidP="003903BC">
      <w:pPr>
        <w:jc w:val="both"/>
      </w:pPr>
      <w:r w:rsidRPr="00597277">
        <w:tab/>
        <w:t>Wenn der Plattformbetreiber in Anwendung von Artikel 321</w:t>
      </w:r>
      <w:r w:rsidRPr="00597277">
        <w:rPr>
          <w:i/>
        </w:rPr>
        <w:t xml:space="preserve">sexies </w:t>
      </w:r>
      <w:r w:rsidRPr="00597277">
        <w:t>§ 1 Absatz 2 des Einkommensteuergesetzbuches 1992 beschließt, seine Meldepflichten in einem anderen Mitgliedstaat als Belgien zu erfüllen, setzt Letzterer die belgische zuständige Behörde über die vom FÖD Finanzen zur Verfügung gestellte elektronische Plattform von seiner Wahl und dem Mitgliedstaat in Kenntnis, in dem er beschlossen hat, seine Pflichten zu erfüllen.</w:t>
      </w:r>
    </w:p>
    <w:p w14:paraId="4AAC681D" w14:textId="77777777" w:rsidR="003903BC" w:rsidRDefault="003903BC" w:rsidP="003903BC">
      <w:pPr>
        <w:jc w:val="both"/>
      </w:pPr>
    </w:p>
    <w:p w14:paraId="793C40F0" w14:textId="77777777" w:rsidR="003903BC" w:rsidRPr="00597277" w:rsidRDefault="003903BC" w:rsidP="003903BC">
      <w:pPr>
        <w:jc w:val="both"/>
      </w:pPr>
    </w:p>
    <w:p w14:paraId="53231054" w14:textId="77777777" w:rsidR="003903BC" w:rsidRPr="00597277" w:rsidRDefault="003903BC" w:rsidP="003903BC">
      <w:pPr>
        <w:jc w:val="both"/>
      </w:pPr>
      <w:r w:rsidRPr="00597277">
        <w:tab/>
      </w:r>
      <w:r w:rsidRPr="003903BC">
        <w:rPr>
          <w:b/>
          <w:bCs/>
        </w:rPr>
        <w:t>Art. 53/8</w:t>
      </w:r>
      <w:r w:rsidRPr="00597277">
        <w:t> - Ist der Plattformbetreiber der Ansicht, dass er als freigestellter Plattformbetreiber im Sinne von Artikel 321</w:t>
      </w:r>
      <w:r w:rsidRPr="00597277">
        <w:rPr>
          <w:i/>
        </w:rPr>
        <w:t>quater</w:t>
      </w:r>
      <w:r w:rsidRPr="00597277">
        <w:t xml:space="preserve"> Nr. 3 des Einkommensteuer</w:t>
      </w:r>
      <w:r w:rsidRPr="00597277">
        <w:softHyphen/>
        <w:t>gesetzbuches 1992 eingestuft werden muss, übermittelt er dem zuständigen Dienst des FÖD Finanzen seinen Antrag spätestens am 15. Januar des Kalenderjahres, das auf das Kalenderjahr folgt, auf das sich die Meldung beziehen würde, die er einreichen müsste, wenn er nicht als freigestellter Plattformbetreiber betrachtet werden sollte, über die vom FÖD Finanzen zur Verfügung gestellte elektronische Plattform und liefert er alle Informationen, die erforderlich sind, um festzustellen, ob er angesichts seines Geschäftsmodells freigestellt werden muss und ob er keine Verkäufer hat, die er melden müsste.</w:t>
      </w:r>
    </w:p>
    <w:p w14:paraId="033640A9" w14:textId="77777777" w:rsidR="003903BC" w:rsidRPr="00597277" w:rsidRDefault="003903BC" w:rsidP="003903BC">
      <w:pPr>
        <w:jc w:val="both"/>
      </w:pPr>
    </w:p>
    <w:p w14:paraId="535B3436" w14:textId="77777777" w:rsidR="003903BC" w:rsidRPr="00597277" w:rsidRDefault="003903BC" w:rsidP="003903BC">
      <w:pPr>
        <w:jc w:val="both"/>
      </w:pPr>
      <w:r w:rsidRPr="00597277">
        <w:tab/>
        <w:t>Der Plattformbetreiber, der der Ansicht ist, dass er freigestellt werden muss, muss insbesondere Folgendes angeben:</w:t>
      </w:r>
    </w:p>
    <w:p w14:paraId="6CEEEAE3" w14:textId="77777777" w:rsidR="003903BC" w:rsidRPr="00597277" w:rsidRDefault="003903BC" w:rsidP="003903BC">
      <w:pPr>
        <w:jc w:val="both"/>
      </w:pPr>
    </w:p>
    <w:p w14:paraId="24B5ED32" w14:textId="77777777" w:rsidR="003903BC" w:rsidRPr="00597277" w:rsidRDefault="003903BC" w:rsidP="003903BC">
      <w:pPr>
        <w:jc w:val="both"/>
      </w:pPr>
      <w:r w:rsidRPr="00597277">
        <w:tab/>
        <w:t>- das Jahr, für das er beantragt, freigestellt zu werden,</w:t>
      </w:r>
    </w:p>
    <w:p w14:paraId="72594BD6" w14:textId="77777777" w:rsidR="003903BC" w:rsidRPr="00597277" w:rsidRDefault="003903BC" w:rsidP="003903BC">
      <w:pPr>
        <w:jc w:val="both"/>
      </w:pPr>
    </w:p>
    <w:p w14:paraId="66BF452E" w14:textId="77777777" w:rsidR="003903BC" w:rsidRPr="00597277" w:rsidRDefault="003903BC" w:rsidP="003903BC">
      <w:pPr>
        <w:jc w:val="both"/>
      </w:pPr>
      <w:r w:rsidRPr="00597277">
        <w:tab/>
        <w:t>- seine rechtliche Bezeichnung,</w:t>
      </w:r>
    </w:p>
    <w:p w14:paraId="52CDDA0A" w14:textId="77777777" w:rsidR="003903BC" w:rsidRPr="00597277" w:rsidRDefault="003903BC" w:rsidP="003903BC">
      <w:pPr>
        <w:jc w:val="both"/>
      </w:pPr>
    </w:p>
    <w:p w14:paraId="3E3293CA" w14:textId="77777777" w:rsidR="003903BC" w:rsidRPr="00597277" w:rsidRDefault="003903BC" w:rsidP="003903BC">
      <w:pPr>
        <w:jc w:val="both"/>
      </w:pPr>
      <w:r w:rsidRPr="00597277">
        <w:tab/>
        <w:t>- seine Mehrwertsteuernummer oder ZDU-Nummer,</w:t>
      </w:r>
    </w:p>
    <w:p w14:paraId="355C8446" w14:textId="77777777" w:rsidR="003903BC" w:rsidRPr="00597277" w:rsidRDefault="003903BC" w:rsidP="003903BC">
      <w:pPr>
        <w:jc w:val="both"/>
      </w:pPr>
    </w:p>
    <w:p w14:paraId="394B4DBE" w14:textId="77777777" w:rsidR="003903BC" w:rsidRPr="00597277" w:rsidRDefault="003903BC" w:rsidP="003903BC">
      <w:pPr>
        <w:jc w:val="both"/>
      </w:pPr>
      <w:r w:rsidRPr="00597277">
        <w:tab/>
        <w:t>- die vollständige Anschrift seines Gesellschaftssitzes,</w:t>
      </w:r>
    </w:p>
    <w:p w14:paraId="18F24379" w14:textId="77777777" w:rsidR="003903BC" w:rsidRPr="00597277" w:rsidRDefault="003903BC" w:rsidP="003903BC">
      <w:pPr>
        <w:jc w:val="both"/>
      </w:pPr>
    </w:p>
    <w:p w14:paraId="21133D72" w14:textId="77777777" w:rsidR="003903BC" w:rsidRPr="00597277" w:rsidRDefault="003903BC" w:rsidP="003903BC">
      <w:pPr>
        <w:jc w:val="both"/>
      </w:pPr>
      <w:r w:rsidRPr="00597277">
        <w:tab/>
        <w:t>- den Namen der Kontaktperson und ihre Kontaktdaten, vollständige Adresse einschließlich Land, Telefonnummer und E-Mail-Adresse,</w:t>
      </w:r>
    </w:p>
    <w:p w14:paraId="7A28F2A3" w14:textId="77777777" w:rsidR="003903BC" w:rsidRPr="00597277" w:rsidRDefault="003903BC" w:rsidP="003903BC">
      <w:pPr>
        <w:jc w:val="both"/>
      </w:pPr>
    </w:p>
    <w:p w14:paraId="0FF14836" w14:textId="77777777" w:rsidR="003903BC" w:rsidRPr="00597277" w:rsidRDefault="003903BC" w:rsidP="003903BC">
      <w:pPr>
        <w:jc w:val="both"/>
      </w:pPr>
      <w:r w:rsidRPr="00597277">
        <w:tab/>
        <w:t>- den Handelsnamen der Plattform,</w:t>
      </w:r>
    </w:p>
    <w:p w14:paraId="366BEFCC" w14:textId="77777777" w:rsidR="003903BC" w:rsidRPr="00597277" w:rsidRDefault="003903BC" w:rsidP="003903BC">
      <w:pPr>
        <w:jc w:val="both"/>
      </w:pPr>
    </w:p>
    <w:p w14:paraId="65DB3714" w14:textId="77777777" w:rsidR="003903BC" w:rsidRPr="00597277" w:rsidRDefault="003903BC" w:rsidP="003903BC">
      <w:pPr>
        <w:jc w:val="both"/>
      </w:pPr>
      <w:r w:rsidRPr="00597277">
        <w:tab/>
        <w:t>- die Website der Plattform,</w:t>
      </w:r>
    </w:p>
    <w:p w14:paraId="25DCEF88" w14:textId="77777777" w:rsidR="003903BC" w:rsidRPr="00597277" w:rsidRDefault="003903BC" w:rsidP="003903BC">
      <w:pPr>
        <w:jc w:val="both"/>
      </w:pPr>
    </w:p>
    <w:p w14:paraId="27DDF226" w14:textId="77777777" w:rsidR="003903BC" w:rsidRPr="00597277" w:rsidRDefault="003903BC" w:rsidP="003903BC">
      <w:pPr>
        <w:jc w:val="both"/>
      </w:pPr>
      <w:r w:rsidRPr="00597277">
        <w:tab/>
        <w:t>- eine detaillierte Beschreibung des Geschäftsmodells, anhand derer nachgewiesen werden kann, dass die Bedingungen für die Freistellung erfüllt sind, oder eine Bestätigung, dass das Geschäftsmodell nicht geändert worden ist und weiterhin die Bedingungen für die Freistellung erfüllt, falls der Plattformbetreiber bereits im vorangegangenen Jahr als freigestellter Plattformbetreiber eingestuft worden ist.</w:t>
      </w:r>
    </w:p>
    <w:p w14:paraId="089F690F" w14:textId="77777777" w:rsidR="003903BC" w:rsidRDefault="003903BC" w:rsidP="003903BC">
      <w:pPr>
        <w:jc w:val="both"/>
      </w:pPr>
    </w:p>
    <w:p w14:paraId="29D36376" w14:textId="77777777" w:rsidR="003903BC" w:rsidRPr="00597277" w:rsidRDefault="003903BC" w:rsidP="003903BC">
      <w:pPr>
        <w:jc w:val="both"/>
      </w:pPr>
    </w:p>
    <w:p w14:paraId="1183AD4E" w14:textId="111ED469" w:rsidR="003903BC" w:rsidRDefault="003903BC" w:rsidP="003903BC">
      <w:pPr>
        <w:jc w:val="both"/>
      </w:pPr>
      <w:r w:rsidRPr="00597277">
        <w:tab/>
      </w:r>
      <w:r w:rsidRPr="003903BC">
        <w:rPr>
          <w:b/>
          <w:bCs/>
        </w:rPr>
        <w:t>Art. 53/9</w:t>
      </w:r>
      <w:r w:rsidRPr="00597277">
        <w:t> - Erfüllt der meldende Plattformbetreiber eine der in Artikel 321</w:t>
      </w:r>
      <w:r w:rsidRPr="00597277">
        <w:rPr>
          <w:i/>
        </w:rPr>
        <w:t>quater</w:t>
      </w:r>
      <w:r w:rsidRPr="00597277">
        <w:t xml:space="preserve"> Nr. 4 Buchstabe </w:t>
      </w:r>
      <w:r w:rsidRPr="00597277">
        <w:rPr>
          <w:i/>
        </w:rPr>
        <w:t>a)</w:t>
      </w:r>
      <w:r w:rsidRPr="00597277">
        <w:t xml:space="preserve"> des Einkommensteuergesetzbuches 1992 aufgeführten Bedingungen und beschließt er, seinen in Artikel 321</w:t>
      </w:r>
      <w:r w:rsidRPr="00597277">
        <w:rPr>
          <w:i/>
        </w:rPr>
        <w:t>sexies</w:t>
      </w:r>
      <w:r w:rsidRPr="00597277">
        <w:t xml:space="preserve"> § 1 desselben Gesetzbuches erwähnten Pflichten in Belgien nachzukommen, setzt er den FÖD Finanzen davon in Kenntnis, indem er die in Artikel 321</w:t>
      </w:r>
      <w:r w:rsidRPr="00597277">
        <w:rPr>
          <w:i/>
        </w:rPr>
        <w:t>sexies</w:t>
      </w:r>
      <w:r w:rsidRPr="00597277">
        <w:t xml:space="preserve"> § 5 erwähnte Meldung anhand der XML-Datei über die vom FÖD Finanzen zur Verfügung gestellte elektronische Plattform einreicht.</w:t>
      </w:r>
      <w:r>
        <w:t>]</w:t>
      </w:r>
    </w:p>
    <w:p w14:paraId="0FCA887C" w14:textId="753DCA09" w:rsidR="003903BC" w:rsidRDefault="003903BC">
      <w:pPr>
        <w:rPr>
          <w:rFonts w:eastAsia="Calibri"/>
          <w:i/>
          <w:szCs w:val="22"/>
          <w:lang w:eastAsia="de-DE" w:bidi="de-DE"/>
        </w:rPr>
      </w:pPr>
    </w:p>
    <w:p w14:paraId="70B573C6" w14:textId="77777777" w:rsidR="004C24ED" w:rsidRDefault="004C24ED">
      <w:pPr>
        <w:rPr>
          <w:rFonts w:eastAsia="Calibri"/>
          <w:i/>
          <w:szCs w:val="22"/>
          <w:lang w:eastAsia="de-DE" w:bidi="de-DE"/>
        </w:rPr>
      </w:pPr>
    </w:p>
    <w:p w14:paraId="297C6155" w14:textId="66C78873" w:rsidR="005A5BD5" w:rsidRPr="00D4747A" w:rsidRDefault="005A5BD5" w:rsidP="00DD3207">
      <w:pPr>
        <w:jc w:val="center"/>
        <w:rPr>
          <w:rFonts w:eastAsia="Calibri"/>
          <w:szCs w:val="22"/>
          <w:lang w:eastAsia="de-DE" w:bidi="de-DE"/>
        </w:rPr>
      </w:pPr>
      <w:r w:rsidRPr="00D4747A">
        <w:rPr>
          <w:rFonts w:eastAsia="Calibri"/>
          <w:i/>
          <w:szCs w:val="22"/>
          <w:lang w:eastAsia="de-DE" w:bidi="de-DE"/>
        </w:rPr>
        <w:t>Abschnitt 19</w:t>
      </w:r>
      <w:r w:rsidRPr="00D4747A">
        <w:rPr>
          <w:rFonts w:eastAsia="Calibri"/>
          <w:szCs w:val="22"/>
          <w:lang w:eastAsia="de-DE" w:bidi="de-DE"/>
        </w:rPr>
        <w:t> - Mehrwerte auf unbewegliche Güter</w:t>
      </w:r>
    </w:p>
    <w:p w14:paraId="23AEB6A6" w14:textId="77777777" w:rsidR="005A5BD5" w:rsidRPr="00D4747A" w:rsidRDefault="005A5BD5" w:rsidP="004C2C7D">
      <w:pPr>
        <w:jc w:val="center"/>
        <w:rPr>
          <w:rFonts w:eastAsia="Calibri"/>
          <w:szCs w:val="22"/>
          <w:lang w:eastAsia="de-DE" w:bidi="de-DE"/>
        </w:rPr>
      </w:pPr>
    </w:p>
    <w:p w14:paraId="00A1BDB3" w14:textId="77777777" w:rsidR="005A5BD5" w:rsidRPr="00D4747A" w:rsidRDefault="005A5BD5" w:rsidP="004C2C7D">
      <w:pPr>
        <w:jc w:val="center"/>
        <w:rPr>
          <w:rFonts w:eastAsia="Calibri"/>
          <w:szCs w:val="22"/>
          <w:lang w:eastAsia="de-DE" w:bidi="de-DE"/>
        </w:rPr>
      </w:pPr>
      <w:r w:rsidRPr="00D4747A">
        <w:rPr>
          <w:rFonts w:eastAsia="Calibri"/>
          <w:szCs w:val="22"/>
          <w:lang w:eastAsia="de-DE" w:bidi="de-DE"/>
        </w:rPr>
        <w:t>(Einkommensteuergesetzbuch 1992, Artikel 101 § 3)</w:t>
      </w:r>
    </w:p>
    <w:p w14:paraId="57F722C4" w14:textId="77777777" w:rsidR="005A5BD5" w:rsidRPr="00D4747A" w:rsidRDefault="005A5BD5" w:rsidP="004C2C7D">
      <w:pPr>
        <w:jc w:val="center"/>
        <w:rPr>
          <w:rFonts w:eastAsia="Calibri"/>
          <w:szCs w:val="22"/>
          <w:lang w:eastAsia="de-DE" w:bidi="de-DE"/>
        </w:rPr>
      </w:pPr>
    </w:p>
    <w:p w14:paraId="3EFD8F86" w14:textId="77777777" w:rsidR="005A5BD5" w:rsidRPr="00D4747A" w:rsidRDefault="005A5BD5" w:rsidP="004C2C7D">
      <w:pPr>
        <w:jc w:val="center"/>
        <w:rPr>
          <w:rFonts w:eastAsia="Calibri"/>
          <w:szCs w:val="22"/>
          <w:lang w:eastAsia="de-DE" w:bidi="de-DE"/>
        </w:rPr>
      </w:pPr>
    </w:p>
    <w:p w14:paraId="2077D036"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54</w:t>
      </w:r>
      <w:r w:rsidRPr="00D4747A">
        <w:rPr>
          <w:rFonts w:eastAsia="Calibri"/>
          <w:szCs w:val="22"/>
          <w:lang w:eastAsia="de-DE" w:bidi="de-DE"/>
        </w:rPr>
        <w:t> - § 1 - [In den in Artikel 101 § 3 des Einkommensteuergesetzbuches 1992 erwähnten Fällen und unbeschadet der Paragraphen 1 und 2 dieses Artikels wird der Mehrwert, der anlässlich einer entgeltlichen Abtretung von in Belgien gelegenen unbeweglichen Gütern oder von dinglichen Rechten an diesen unbeweglichen Gütern verwirklicht wird, unter Berücksichtigung der folgenden Bestimmungen festgelegt.]</w:t>
      </w:r>
    </w:p>
    <w:p w14:paraId="2F7B7ADD" w14:textId="77777777" w:rsidR="005A5BD5" w:rsidRPr="00D4747A" w:rsidRDefault="005A5BD5" w:rsidP="004C2C7D">
      <w:pPr>
        <w:jc w:val="both"/>
        <w:rPr>
          <w:rFonts w:eastAsia="Calibri"/>
          <w:szCs w:val="22"/>
          <w:lang w:eastAsia="de-DE" w:bidi="de-DE"/>
        </w:rPr>
      </w:pPr>
    </w:p>
    <w:p w14:paraId="2F25428F" w14:textId="77777777" w:rsidR="005A5BD5" w:rsidRPr="00D4747A" w:rsidRDefault="005A5BD5" w:rsidP="004C2C7D">
      <w:pPr>
        <w:jc w:val="both"/>
        <w:rPr>
          <w:rFonts w:eastAsia="Calibri"/>
          <w:i/>
          <w:szCs w:val="22"/>
          <w:lang w:eastAsia="de-DE" w:bidi="de-DE"/>
        </w:rPr>
      </w:pPr>
      <w:r w:rsidRPr="00D4747A">
        <w:rPr>
          <w:rFonts w:eastAsia="Calibri"/>
          <w:szCs w:val="22"/>
          <w:lang w:eastAsia="de-DE" w:bidi="de-DE"/>
        </w:rPr>
        <w:tab/>
        <w:t xml:space="preserve">§ 2 - Bei Abtretung des bloßen Eigentums ohne Vorbehalt des Nießbrauchs, des Nießbrauchs oder des Nutzungsrechts an einem Gut entspricht die erste Größe der Differenz, die zur Bestimmung des Mehrwerts berechnet werden muss, dem Preis, zu dem die Abtretung des Rechts erfolgte, oder, wenn der Verkaufswert höher als dieser Preis ist, dem Verkaufswert, der als Grundlage für die Erhebung [der Registrierungsgebühr oder der Mehrwertsteuer] gedient hat. Bei Abtretung des bloßen Eigentums mit Vorbehalt des Nießbrauchs durch den Zedenten entspricht die erste Größe der Differenz dem Preis der Abtretung oder, wenn der Verkaufswert höher als dieser Preis ist, dem Verkaufswert des Volleigentums, der als Grundlage für die Erhebung [der Registrierungsgebühr oder der Mehrwertsteuer] gedient hat, </w:t>
      </w:r>
      <w:r w:rsidRPr="00D4747A">
        <w:rPr>
          <w:rFonts w:eastAsia="Calibri"/>
          <w:szCs w:val="22"/>
          <w:lang w:eastAsia="de-DE" w:bidi="de-DE"/>
        </w:rPr>
        <w:lastRenderedPageBreak/>
        <w:t>verringert um den Wert des Nießbrauchs</w:t>
      </w:r>
      <w:r>
        <w:rPr>
          <w:rFonts w:eastAsia="Calibri"/>
          <w:szCs w:val="22"/>
          <w:lang w:eastAsia="de-DE" w:bidi="de-DE"/>
        </w:rPr>
        <w:t>, festgelegt</w:t>
      </w:r>
      <w:r w:rsidRPr="00D4747A">
        <w:rPr>
          <w:rFonts w:eastAsia="Calibri"/>
          <w:szCs w:val="22"/>
          <w:lang w:eastAsia="de-DE" w:bidi="de-DE"/>
        </w:rPr>
        <w:t xml:space="preserve"> gemäß Artikel 47 des Registrierungsgebührengesetzbuches.</w:t>
      </w:r>
    </w:p>
    <w:p w14:paraId="43772C5C" w14:textId="77777777" w:rsidR="005A5BD5" w:rsidRPr="00D4747A" w:rsidRDefault="005A5BD5" w:rsidP="004C2C7D">
      <w:pPr>
        <w:jc w:val="both"/>
        <w:rPr>
          <w:rFonts w:eastAsia="Calibri"/>
          <w:szCs w:val="22"/>
          <w:lang w:eastAsia="de-DE" w:bidi="de-DE"/>
        </w:rPr>
      </w:pPr>
    </w:p>
    <w:p w14:paraId="4DED990B" w14:textId="77777777" w:rsidR="005A5BD5" w:rsidRDefault="005A5BD5" w:rsidP="004C2C7D">
      <w:pPr>
        <w:jc w:val="both"/>
        <w:rPr>
          <w:rFonts w:eastAsia="Calibri"/>
          <w:szCs w:val="22"/>
          <w:lang w:eastAsia="de-DE" w:bidi="de-DE"/>
        </w:rPr>
      </w:pPr>
      <w:r w:rsidRPr="00D4747A">
        <w:rPr>
          <w:rFonts w:eastAsia="Calibri"/>
          <w:szCs w:val="22"/>
          <w:lang w:eastAsia="de-DE" w:bidi="de-DE"/>
        </w:rPr>
        <w:tab/>
        <w:t>Ist ein dingliches Recht wie in vorangehendem Absatz erwähnt als solches vom Veräußerer erworben worden, entspricht die zweite Größe der Differenz dem Verkaufswert des Volleigentums am Gut am Erwerbsdatum, multipliziert mit einem Bruch, der als Zähler den Verkaufswert des dinglichen Rechts am Tag der Veräußerung und als Nenner den Verkaufswert des Volleigentums am Gut am gleichen Datum hat.</w:t>
      </w:r>
    </w:p>
    <w:p w14:paraId="2F1509BF" w14:textId="77777777" w:rsidR="003B5C18" w:rsidRDefault="003B5C18" w:rsidP="004C2C7D">
      <w:pPr>
        <w:jc w:val="both"/>
        <w:rPr>
          <w:rFonts w:eastAsia="Calibri"/>
          <w:szCs w:val="22"/>
          <w:lang w:eastAsia="de-DE" w:bidi="de-DE"/>
        </w:rPr>
      </w:pPr>
    </w:p>
    <w:p w14:paraId="5523BA8E"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Wenn nur das bloße Eigentum an einem Gut erworben wurde und nach Beendigung des Nießbrauchs das Volleigentum an diesem Gut abgetreten wird, dann wird für dieses Gut als zweite Größe der Differenz der Verkaufswert des Volleigentums am Tag des Erwerbs des bloßen Eigentums berücksichtigt.</w:t>
      </w:r>
    </w:p>
    <w:p w14:paraId="56B8AF14" w14:textId="77777777" w:rsidR="005A5BD5" w:rsidRPr="00D4747A" w:rsidRDefault="005A5BD5" w:rsidP="004C2C7D">
      <w:pPr>
        <w:jc w:val="both"/>
        <w:rPr>
          <w:rFonts w:eastAsia="Calibri"/>
          <w:szCs w:val="22"/>
          <w:lang w:eastAsia="de-DE" w:bidi="de-DE"/>
        </w:rPr>
      </w:pPr>
    </w:p>
    <w:p w14:paraId="062175C6"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[Betrifft die Abtretung das bloße Eigentum oder den Nießbrauch an einem Gut oder wird ein anderes dingliches Recht an einem Gut begründet, obwohl der Veräußerer das Volleigentum an diesem Gut erworben hatte, entspricht die zweite Größe der Differenz dem gemäß Artikel 101 § 1 Nr. 2 oder § 2 Absatz 1 Nr. 2 des Einkommensteuergesetzbuches 1992 festgelegten Preis oder dem Verkaufswert des Volleigentums an diesem Gut bei Erwerb, je nach Fall multipliziert mit einem Bruch, der als Zähler die gemäß vorliegendem Paragraphen bestimmte erste Größe der Differenz und als Nenner den Verkaufswert des Volleigentums am Gut am Tag der Abtretung beziehungsweise Begründung des besagten Rechts hat. Der Betrag dieser zweiten Größe darf die Kosten oder den Verkaufswert des Volleigentums an diesem Gut bei Erwerb nicht übersteigen.]</w:t>
      </w:r>
    </w:p>
    <w:p w14:paraId="4CAFE8CC" w14:textId="77777777" w:rsidR="005A5BD5" w:rsidRPr="00D4747A" w:rsidRDefault="005A5BD5" w:rsidP="004C2C7D">
      <w:pPr>
        <w:jc w:val="both"/>
        <w:rPr>
          <w:rFonts w:eastAsia="Calibri"/>
          <w:szCs w:val="22"/>
          <w:lang w:eastAsia="de-DE" w:bidi="de-DE"/>
        </w:rPr>
      </w:pPr>
    </w:p>
    <w:p w14:paraId="1382B8F9"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3 - Was Güter betrifft, die in Volleigentum oder in bloßem Eigentum ohne Vorbehalt des Nießbrauchs gegen Zahlung einer Leib- oder Zeitrente oder gegen Einräumung eines anderen lebenslangen Rechts abgetreten werden, entspricht die erste Größe der Differenz dem Wert, der als Grundlage für die Erhebung der Registrierungsgebühren [oder der Mehrwertsteuer] gedient hat, das heißt entweder dem kapitalisierten Wert der Rente oder des lebenslangen Rechts, gegebenenfalls erhöht um den Betrag, dessen Zahlung in Kapitalform zusätzlich zu der Rente oder dem lebenslangen Recht ausbedungen worden ist, oder, wenn der Verkaufswert höher als dieser Wert ist, dem Verkaufswert des Volleigentums beziehungs</w:t>
      </w:r>
      <w:r w:rsidRPr="00D4747A">
        <w:rPr>
          <w:rFonts w:eastAsia="Calibri"/>
          <w:szCs w:val="22"/>
          <w:lang w:eastAsia="de-DE" w:bidi="de-DE"/>
        </w:rPr>
        <w:softHyphen/>
        <w:t>weise des bloßen Eigentums an den Gütern.</w:t>
      </w:r>
    </w:p>
    <w:p w14:paraId="18FEDA49" w14:textId="77777777" w:rsidR="005A5BD5" w:rsidRPr="00D4747A" w:rsidRDefault="005A5BD5" w:rsidP="004C2C7D">
      <w:pPr>
        <w:jc w:val="both"/>
        <w:rPr>
          <w:rFonts w:eastAsia="Calibri"/>
          <w:szCs w:val="22"/>
          <w:lang w:eastAsia="de-DE" w:bidi="de-DE"/>
        </w:rPr>
      </w:pPr>
    </w:p>
    <w:p w14:paraId="0408F458"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Wurden Güter gegen Zahlung einer Leib- oder Zeitrente oder Einräumung eines anderen lebenslangen Rechts in Volleigentum oder in bloßem Eigentum ohne Vorbehalt des Nießbrauchs erworben, entspricht die zweite Größe der Differenz dem Wert, der bei Erwerb als Grundlage für die Erhebung der Registrierungsgebühren [oder der Mehrwertsteuer] gedient hat, das heißt entweder dem kapitalisierten Wert der Rente oder des lebenslangen Rechts, gegebenenfalls erhöht um den Betrag, dessen Zahlung in Kapitalform zusätzlich zu der Rente oder dem lebenslangen Recht ausbedungen worden ist, oder, wenn der Verkaufswert höher als dieser Wert ist, dem Verkaufswert des Volleigentums beziehungsweise des bloßen Eigentums an den Gütern zum Zeitpunkt des Erwerbs.</w:t>
      </w:r>
    </w:p>
    <w:p w14:paraId="669294EE" w14:textId="77777777" w:rsidR="005A5BD5" w:rsidRPr="00D4747A" w:rsidRDefault="005A5BD5" w:rsidP="004C2C7D">
      <w:pPr>
        <w:jc w:val="both"/>
        <w:rPr>
          <w:rFonts w:eastAsia="Calibri"/>
          <w:szCs w:val="22"/>
          <w:lang w:eastAsia="de-DE" w:bidi="de-DE"/>
        </w:rPr>
      </w:pPr>
    </w:p>
    <w:p w14:paraId="20685ACF" w14:textId="77777777" w:rsidR="005A5BD5" w:rsidRPr="00D4747A" w:rsidRDefault="005A5BD5" w:rsidP="004C2C7D">
      <w:pPr>
        <w:jc w:val="both"/>
        <w:rPr>
          <w:rFonts w:eastAsia="Calibri"/>
          <w:i/>
          <w:szCs w:val="22"/>
          <w:lang w:eastAsia="de-DE" w:bidi="de-DE"/>
        </w:rPr>
      </w:pPr>
      <w:r w:rsidRPr="00D4747A">
        <w:rPr>
          <w:rFonts w:eastAsia="Calibri"/>
          <w:szCs w:val="22"/>
          <w:lang w:eastAsia="de-DE" w:bidi="de-DE"/>
        </w:rPr>
        <w:tab/>
        <w:t>Betrifft eine durch vorliegenden Paragraphen vorgesehene Abtretung oder ein durch vorliegenden Paragraphen vorgesehener Erwerb das bloße Eigentum mit Vorbehalt des Nießbrauchs, gelten die gleichen Regeln, wobei der Verkaufswert des Gutes um den Wert des Nießbrauchs am Tag des Erwerbs zu verringern ist</w:t>
      </w:r>
      <w:r>
        <w:rPr>
          <w:rFonts w:eastAsia="Calibri"/>
          <w:szCs w:val="22"/>
          <w:lang w:eastAsia="de-DE" w:bidi="de-DE"/>
        </w:rPr>
        <w:t>, festgelegt</w:t>
      </w:r>
      <w:r w:rsidRPr="002A2795">
        <w:rPr>
          <w:rFonts w:eastAsia="Calibri"/>
          <w:szCs w:val="22"/>
          <w:lang w:eastAsia="de-DE" w:bidi="de-DE"/>
        </w:rPr>
        <w:t xml:space="preserve"> </w:t>
      </w:r>
      <w:r w:rsidRPr="00D4747A">
        <w:rPr>
          <w:rFonts w:eastAsia="Calibri"/>
          <w:szCs w:val="22"/>
          <w:lang w:eastAsia="de-DE" w:bidi="de-DE"/>
        </w:rPr>
        <w:t>gemäß Artikel 47 des Registrierungsgebührengesetzbuches.</w:t>
      </w:r>
    </w:p>
    <w:p w14:paraId="0CBB7C3E" w14:textId="4A1CFF7D" w:rsidR="004C24ED" w:rsidRDefault="004C24ED">
      <w:pPr>
        <w:rPr>
          <w:rFonts w:eastAsia="Calibri"/>
          <w:szCs w:val="22"/>
          <w:lang w:eastAsia="de-DE" w:bidi="de-DE"/>
        </w:rPr>
      </w:pPr>
    </w:p>
    <w:p w14:paraId="1D795554" w14:textId="7C275A2D" w:rsidR="005A5BD5" w:rsidRPr="00D4747A" w:rsidRDefault="005A5BD5" w:rsidP="004C2C7D">
      <w:pPr>
        <w:jc w:val="both"/>
        <w:rPr>
          <w:rFonts w:eastAsia="Calibri"/>
          <w:szCs w:val="22"/>
          <w:lang w:eastAsia="de-DE" w:bidi="de-DE"/>
        </w:rPr>
      </w:pPr>
      <w:r w:rsidRPr="00D4747A">
        <w:rPr>
          <w:rFonts w:eastAsia="Calibri"/>
          <w:szCs w:val="22"/>
          <w:lang w:eastAsia="de-DE" w:bidi="de-DE"/>
        </w:rPr>
        <w:tab/>
        <w:t>§ 4 - Bei Tausch von Gütern und wenn das Tauschgeschäft nicht in Artikel 93 Nr. 1 und 2 des Einkommensteuergesetzbuches 1992 erwähnt ist, entspricht:</w:t>
      </w:r>
    </w:p>
    <w:p w14:paraId="52CB2F30" w14:textId="77777777" w:rsidR="005A5BD5" w:rsidRPr="00D4747A" w:rsidRDefault="005A5BD5" w:rsidP="004C2C7D">
      <w:pPr>
        <w:jc w:val="both"/>
        <w:rPr>
          <w:rFonts w:eastAsia="Calibri"/>
          <w:szCs w:val="22"/>
          <w:lang w:eastAsia="de-DE" w:bidi="de-DE"/>
        </w:rPr>
      </w:pPr>
    </w:p>
    <w:p w14:paraId="57DE1CB4"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1. die erste Größe der Differenz dem vereinbarten Wert der abgetretenen Güter oder, in Ermangelung dessen, dem Verkaufswert der durch Tausch erworbenen Güter, erhöht um die erhaltene beziehungsweise verringert um die gezahlte Zuzahlung, ohne dass diese Größe unter dem Verkaufswert der abgetretenen Güter liegen darf,</w:t>
      </w:r>
    </w:p>
    <w:p w14:paraId="7EFFFE2D" w14:textId="77777777" w:rsidR="003B5C18" w:rsidRDefault="003B5C18" w:rsidP="004C2C7D">
      <w:pPr>
        <w:jc w:val="both"/>
        <w:rPr>
          <w:rFonts w:eastAsia="Calibri"/>
          <w:szCs w:val="22"/>
          <w:lang w:eastAsia="de-DE" w:bidi="de-DE"/>
        </w:rPr>
      </w:pPr>
    </w:p>
    <w:p w14:paraId="3DC70DEB"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2. die zweite Größe der Differenz dem vereinbarten Wert der durch Tausch erworbenen Güter oder, in Ermangelung dessen, dem Verkaufswert der durch Tausch abgetretenen Güter, erhöht um die beim Tausch erhaltene oder verringert um die zu diesem Zeitpunkt gezahlte Zuzahlung, ohne dass diese Größe unter dem Verkaufswert der durch Tausch erworbenen Güter zum Zeitpunkt des Erwerbs liegen darf.</w:t>
      </w:r>
    </w:p>
    <w:p w14:paraId="186DB6BB" w14:textId="77777777" w:rsidR="005A5BD5" w:rsidRPr="00D4747A" w:rsidRDefault="005A5BD5" w:rsidP="004C2C7D">
      <w:pPr>
        <w:jc w:val="both"/>
        <w:rPr>
          <w:rFonts w:eastAsia="Calibri"/>
          <w:szCs w:val="22"/>
          <w:lang w:eastAsia="de-DE" w:bidi="de-DE"/>
        </w:rPr>
      </w:pPr>
    </w:p>
    <w:p w14:paraId="4407ECEA"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Wenn bei einem Tauschgeschäft wie in Artikel 93 Nr. 2 desselben Gesetzbuches erwähnt die getauschten Lose ungleich sind, ist im Prinzip nur der Mehrwert in Bezug auf die Ungleichheit zwischen den Losen steuerpflichtig und entspricht der Differenz zwischen:</w:t>
      </w:r>
    </w:p>
    <w:p w14:paraId="7F18A3B2" w14:textId="77777777" w:rsidR="005A5BD5" w:rsidRPr="00D4747A" w:rsidRDefault="005A5BD5" w:rsidP="004C2C7D">
      <w:pPr>
        <w:jc w:val="both"/>
        <w:rPr>
          <w:rFonts w:eastAsia="Calibri"/>
          <w:szCs w:val="22"/>
          <w:lang w:eastAsia="de-DE" w:bidi="de-DE"/>
        </w:rPr>
      </w:pPr>
    </w:p>
    <w:p w14:paraId="6F4CE9EF"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einerseits der Zuzahlung oder, wenn die Differenz größer als diese Zuzahlung ist, der Differenz zwischen dem Verkaufswert der beiden Lose, der als Grundlage für die Erhebung der Registrierungsgebühr gedient hat, und</w:t>
      </w:r>
    </w:p>
    <w:p w14:paraId="74B762D8" w14:textId="77777777" w:rsidR="005A5BD5" w:rsidRPr="00D4747A" w:rsidRDefault="005A5BD5" w:rsidP="004C2C7D">
      <w:pPr>
        <w:jc w:val="both"/>
        <w:rPr>
          <w:rFonts w:eastAsia="Calibri"/>
          <w:szCs w:val="22"/>
          <w:lang w:eastAsia="de-DE" w:bidi="de-DE"/>
        </w:rPr>
      </w:pPr>
    </w:p>
    <w:p w14:paraId="3A57DD66"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andererseits dem Erwerbspreis des abgetretenen Gutes oder dem gemäß Artikel 101 § 1 Nr. 2 desselben Gesetzbuches bestimmten Verkaufswert zu diesem Zeitpunkt, multipliziert mit einem Bruch, der als Zähler die Zuzahlung oder, wenn die Differenz größer als diese Zuzahlung ist, die Differenz zwischen dem Verkaufswert der beiden Lose, der als Grundlage für die Erhebung der Registrierungsgebühr gedient hat, und als Nenner den vereinbarten Wert oder, wenn der Verkaufswert größer als dieser Wert ist, den Verkaufswert des abgetretenen Gutes am Tag der Abtretung hat.</w:t>
      </w:r>
    </w:p>
    <w:p w14:paraId="57D55F4E" w14:textId="77777777" w:rsidR="005A5BD5" w:rsidRPr="00D4747A" w:rsidRDefault="005A5BD5" w:rsidP="004C2C7D">
      <w:pPr>
        <w:jc w:val="both"/>
        <w:rPr>
          <w:rFonts w:eastAsia="Calibri"/>
          <w:szCs w:val="22"/>
          <w:lang w:eastAsia="de-DE" w:bidi="de-DE"/>
        </w:rPr>
      </w:pPr>
    </w:p>
    <w:p w14:paraId="2FB61797"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xml:space="preserve">§ 5 - Bei Teilung von Gütern entspricht für jeden der Eigentümer in einer ungeteilten Rechtsgemeinschaft die erste Größe der Differenz dem </w:t>
      </w:r>
      <w:r>
        <w:rPr>
          <w:rFonts w:eastAsia="Calibri"/>
          <w:szCs w:val="22"/>
          <w:lang w:eastAsia="de-DE" w:bidi="de-DE"/>
        </w:rPr>
        <w:t>vereinbarten Wert</w:t>
      </w:r>
      <w:r w:rsidRPr="00D4747A">
        <w:rPr>
          <w:rFonts w:eastAsia="Calibri"/>
          <w:szCs w:val="22"/>
          <w:lang w:eastAsia="de-DE" w:bidi="de-DE"/>
        </w:rPr>
        <w:t xml:space="preserve"> seines Anteils an den einem oder mehreren seiner Miteigentümer zugewiesenen Gütern oder, falls es keinen vereinbarten Wert gibt oder dieser Wert unter dem Verkaufswert liegt, dem Verkaufswert, der diesem Anteil zur Festlegung der Grundlage für die Erhebung der Registrierungsgebühr [oder der Mehrwertsteuer] zugewiesen worden ist.</w:t>
      </w:r>
    </w:p>
    <w:p w14:paraId="6264E63F" w14:textId="7F141A6F" w:rsidR="00CB6F05" w:rsidRDefault="00CB6F05">
      <w:pPr>
        <w:rPr>
          <w:rFonts w:eastAsia="Calibri"/>
          <w:szCs w:val="22"/>
          <w:lang w:eastAsia="de-DE" w:bidi="de-DE"/>
        </w:rPr>
      </w:pPr>
    </w:p>
    <w:p w14:paraId="494D9D02" w14:textId="1FE2FF32" w:rsidR="005A5BD5" w:rsidRPr="00D4747A" w:rsidRDefault="005A5BD5" w:rsidP="004C2C7D">
      <w:pPr>
        <w:jc w:val="both"/>
        <w:rPr>
          <w:rFonts w:eastAsia="Calibri"/>
          <w:szCs w:val="22"/>
          <w:lang w:eastAsia="de-DE" w:bidi="de-DE"/>
        </w:rPr>
      </w:pPr>
      <w:r w:rsidRPr="00D4747A">
        <w:rPr>
          <w:rFonts w:eastAsia="Calibri"/>
          <w:szCs w:val="22"/>
          <w:lang w:eastAsia="de-DE" w:bidi="de-DE"/>
        </w:rPr>
        <w:tab/>
        <w:t>Bei Abtretung von Gütern, deren Eigentümer der Zedent teils durch Erwerb von Teilen einer ungeteilten Rechtsgemeinschaft, teils durch eine spätere Teilung der ungeteilten Rechtsgemeinschaft geworden ist, entspricht die zweite Größe der Differenz der Summe der beiden folgenden Bestandteile:</w:t>
      </w:r>
    </w:p>
    <w:p w14:paraId="418D31AA" w14:textId="77777777" w:rsidR="005A5BD5" w:rsidRPr="00D4747A" w:rsidRDefault="005A5BD5" w:rsidP="004C2C7D">
      <w:pPr>
        <w:jc w:val="both"/>
        <w:rPr>
          <w:rFonts w:eastAsia="Calibri"/>
          <w:szCs w:val="22"/>
          <w:lang w:eastAsia="de-DE" w:bidi="de-DE"/>
        </w:rPr>
      </w:pPr>
    </w:p>
    <w:p w14:paraId="60B71BBA"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erstens entweder des Preises, der für den Erwerb der Teile der ungeteilten Rechtsgemeinschaft gezahlt wird, oder des [gemäß Artikel 101 § 1 Nr. 2 beziehungsweise § 2 Absatz 1 Nr. 2 des Einkommensteuergesetzbuches 1992 festgelegten] Verkaufswertes dieser Teile der ungeteilten Rechtsgemeinschaft bei Erwerb, insofern dieser Preis oder dieser Wert sich auf die abgetretenen Güter bezieht,</w:t>
      </w:r>
    </w:p>
    <w:p w14:paraId="6BAF87A8" w14:textId="77777777" w:rsidR="005A5BD5" w:rsidRPr="00D4747A" w:rsidRDefault="005A5BD5" w:rsidP="004C2C7D">
      <w:pPr>
        <w:jc w:val="both"/>
        <w:rPr>
          <w:rFonts w:eastAsia="Calibri"/>
          <w:szCs w:val="22"/>
          <w:lang w:eastAsia="de-DE" w:bidi="de-DE"/>
        </w:rPr>
      </w:pPr>
    </w:p>
    <w:p w14:paraId="47F4371C"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lastRenderedPageBreak/>
        <w:tab/>
        <w:t>- zweitens des vereinbarten Wertes, der dem übrigbleibenden Teil dieser Güter bei besagter späterer Teilung zugewiesen worden ist, oder des Verkaufswertes, der diesem Teil zur Festlegung der Grundlage für die Erhebung der Registrierungsgebühr [oder der Mehrwertsteuer] zugewiesen worden ist, wenn bei der Teilung kein Wert vereinbart wurde oder wenn letztgenannter Wert unter dem damaligen Verkaufswert l</w:t>
      </w:r>
      <w:r>
        <w:rPr>
          <w:rFonts w:eastAsia="Calibri"/>
          <w:szCs w:val="22"/>
          <w:lang w:eastAsia="de-DE" w:bidi="de-DE"/>
        </w:rPr>
        <w:t>a</w:t>
      </w:r>
      <w:r w:rsidRPr="00D4747A">
        <w:rPr>
          <w:rFonts w:eastAsia="Calibri"/>
          <w:szCs w:val="22"/>
          <w:lang w:eastAsia="de-DE" w:bidi="de-DE"/>
        </w:rPr>
        <w:t>g.</w:t>
      </w:r>
    </w:p>
    <w:p w14:paraId="7EF30968" w14:textId="77777777" w:rsidR="003B5C18" w:rsidRDefault="003B5C18" w:rsidP="004C2C7D">
      <w:pPr>
        <w:jc w:val="both"/>
        <w:rPr>
          <w:rFonts w:eastAsia="Calibri"/>
          <w:szCs w:val="22"/>
          <w:lang w:eastAsia="de-DE" w:bidi="de-DE"/>
        </w:rPr>
      </w:pPr>
    </w:p>
    <w:p w14:paraId="4CBCCB9F"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6 - Bei der Einbringung von Gütern in eine Gesellschaft entspricht die erste Größe der Differenz dem Wert, der als Grundlage für die Erhebung der Registrierungsgebühr [oder der Mehrwertsteuer] gedient hat, das heißt dem Wert der Gesellschaftsrechte und der Kosten, die die Gesellschaft zugunsten des Einbringers getragen hat, oder, wenn der Verkaufswert höher als dieser Wert ist, dem Verkaufswert der eingebrachten Güter.</w:t>
      </w:r>
    </w:p>
    <w:p w14:paraId="01DC81E2" w14:textId="77777777" w:rsidR="005A5BD5" w:rsidRPr="00D4747A" w:rsidRDefault="005A5BD5" w:rsidP="004C2C7D">
      <w:pPr>
        <w:jc w:val="both"/>
        <w:rPr>
          <w:rFonts w:eastAsia="Calibri"/>
          <w:szCs w:val="22"/>
          <w:lang w:eastAsia="de-DE" w:bidi="de-DE"/>
        </w:rPr>
      </w:pPr>
    </w:p>
    <w:p w14:paraId="036F7CE5"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Wenn es sich um eine Abtretung durch einen Steuerpflichtigen handelt, der gemäß Artikel 227 Nr. 2 oder 3 des Einkommensteuergesetzbuches 1992 der Steuer der Gebiets</w:t>
      </w:r>
      <w:r>
        <w:rPr>
          <w:rFonts w:eastAsia="Calibri"/>
          <w:szCs w:val="22"/>
          <w:lang w:eastAsia="de-DE" w:bidi="de-DE"/>
        </w:rPr>
        <w:softHyphen/>
      </w:r>
      <w:r w:rsidRPr="00D4747A">
        <w:rPr>
          <w:rFonts w:eastAsia="Calibri"/>
          <w:szCs w:val="22"/>
          <w:lang w:eastAsia="de-DE" w:bidi="de-DE"/>
        </w:rPr>
        <w:t>fremden unterliegt und das Gut vorher durch Einbringung in eine Gesellschaft erworben hat, ergibt die zweite Größe der Differenz sich aus dem Wert, der bei der Einbringung als Grundlage für die Erhebung der Registrierungsgebühr [oder der Mehrwertsteuer] gedient hat, das heißt dem Wert der Gesellschaftsrechte und der Kosten, die dieser Steuerpflichtige zugunsten des Einbringers getragen hat, oder, wenn der Verkaufswert höher als dieser Wert ist, dem Verkaufswert der zu diesem Zeitpunkt eingebrachten Güter.</w:t>
      </w:r>
    </w:p>
    <w:p w14:paraId="6716FCBD" w14:textId="77777777" w:rsidR="005A5BD5" w:rsidRPr="00D4747A" w:rsidRDefault="005A5BD5" w:rsidP="004C2C7D">
      <w:pPr>
        <w:jc w:val="both"/>
        <w:rPr>
          <w:rFonts w:eastAsia="Calibri"/>
          <w:szCs w:val="22"/>
          <w:lang w:eastAsia="de-DE" w:bidi="de-DE"/>
        </w:rPr>
      </w:pPr>
    </w:p>
    <w:p w14:paraId="77EABB2F"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7 - Betrifft eine in den Paragraphen 4 bis 6 vorgesehene Abtretung oder ein in den Paragraphen 4 bis 6 vorgesehener Erwerb das bloße Eigentum an einem Gut mit Vorbehalt des Nießbrauchs durch den Zedenten, bleiben die in diesen Paragraphen festgelegten Regeln anwendbar, wobei der zu berücksichtigende Verkaufswert dieses bloßen Eigentums dem Verkaufswert des Volleigentums am Tag der Abtretung entspricht, verringert um den Wert des Nießbrauchs</w:t>
      </w:r>
      <w:r>
        <w:rPr>
          <w:rFonts w:eastAsia="Calibri"/>
          <w:szCs w:val="22"/>
          <w:lang w:eastAsia="de-DE" w:bidi="de-DE"/>
        </w:rPr>
        <w:t>, festgelegt</w:t>
      </w:r>
      <w:r w:rsidRPr="00D4747A">
        <w:rPr>
          <w:rFonts w:eastAsia="Calibri"/>
          <w:szCs w:val="22"/>
          <w:lang w:eastAsia="de-DE" w:bidi="de-DE"/>
        </w:rPr>
        <w:t xml:space="preserve"> gemäß Artikel 47 des Registrierungsgebührengesetzbuches.</w:t>
      </w:r>
    </w:p>
    <w:p w14:paraId="031BF782" w14:textId="77777777" w:rsidR="005A5BD5" w:rsidRPr="00D4747A" w:rsidRDefault="005A5BD5" w:rsidP="004C2C7D">
      <w:pPr>
        <w:jc w:val="both"/>
        <w:rPr>
          <w:rFonts w:eastAsia="Calibri"/>
          <w:szCs w:val="22"/>
          <w:lang w:eastAsia="de-DE" w:bidi="de-DE"/>
        </w:rPr>
      </w:pPr>
    </w:p>
    <w:p w14:paraId="62F2EC66"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8 - Bei der Abtretung von Gütern, die vorher anlässlich der Auflösung oder Verteilung eines Gesellschaftsvermögens erworben wurden, entspricht die zweite Größe der Differenz dem Wert, für den die Güter zur Festlegung der Beträge beigetragen haben, die den Aktionären oder Gesellschaftern bei Auflösung oder Verteilung des Gesellschaftsvermögens ausgezahlt wurden, oder, wenn der Verkaufswert höher als dieser Wert ist, dem Verkaufswert dieser Güter, der anlässlich dieses Ereignisses als Grundlage für die Erhebung der Registrierungsgebühr [oder der Mehrwertsteuer] gedient hat.</w:t>
      </w:r>
    </w:p>
    <w:p w14:paraId="1C63EB69" w14:textId="77777777" w:rsidR="005A5BD5" w:rsidRPr="00D4747A" w:rsidRDefault="005A5BD5" w:rsidP="004C2C7D">
      <w:pPr>
        <w:jc w:val="both"/>
        <w:rPr>
          <w:rFonts w:eastAsia="Calibri"/>
          <w:szCs w:val="22"/>
          <w:lang w:eastAsia="de-DE" w:bidi="de-DE"/>
        </w:rPr>
      </w:pPr>
    </w:p>
    <w:p w14:paraId="404AEA45"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 9 - In den in vorliegendem Artikel vorgesehenen Fällen wird der Mehrwert bestimmt unter Berücksichtigung der Kosten und Aufwendungen, der jährlichen Erhöhung um 5 Prozent und der in [Artikel 101 Paragraphen 1 und 2] des Einkommensteuergesetz</w:t>
      </w:r>
      <w:r w:rsidRPr="00D4747A">
        <w:rPr>
          <w:rFonts w:eastAsia="Calibri"/>
          <w:szCs w:val="22"/>
          <w:lang w:eastAsia="de-DE" w:bidi="de-DE"/>
        </w:rPr>
        <w:softHyphen/>
        <w:t>buches 1992 erwähnten [Entschädigungen].</w:t>
      </w:r>
    </w:p>
    <w:p w14:paraId="150A2BB7" w14:textId="77777777" w:rsidR="005A5BD5" w:rsidRPr="00D4747A" w:rsidRDefault="005A5BD5" w:rsidP="004C2C7D">
      <w:pPr>
        <w:jc w:val="both"/>
        <w:rPr>
          <w:rFonts w:eastAsia="Calibri"/>
          <w:szCs w:val="22"/>
          <w:lang w:eastAsia="de-DE" w:bidi="de-DE"/>
        </w:rPr>
      </w:pPr>
    </w:p>
    <w:p w14:paraId="423BCC5E"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In den in § 5 Absatz 2 erwähnten Fällen wird die jährliche Erhöhung um 5 Prozent angewandt, indem einerseits der Erwerb von Teilen der ungeteilten Rechtsgemeinschaft und andererseits die Teilung getrennt berücksichtigt werden.</w:t>
      </w:r>
    </w:p>
    <w:p w14:paraId="0B1C1788" w14:textId="77777777" w:rsidR="005A5BD5" w:rsidRPr="00D4747A" w:rsidRDefault="005A5BD5" w:rsidP="004C2C7D">
      <w:pPr>
        <w:jc w:val="both"/>
        <w:rPr>
          <w:rFonts w:eastAsia="Calibri"/>
          <w:szCs w:val="22"/>
          <w:lang w:eastAsia="de-DE" w:bidi="de-DE"/>
        </w:rPr>
      </w:pPr>
    </w:p>
    <w:p w14:paraId="4FBF66AA" w14:textId="77777777" w:rsidR="005A5BD5" w:rsidRPr="00D4747A" w:rsidRDefault="005A5BD5" w:rsidP="004C2C7D">
      <w:pPr>
        <w:jc w:val="both"/>
        <w:rPr>
          <w:rFonts w:eastAsia="Calibri"/>
          <w:i/>
          <w:szCs w:val="22"/>
          <w:lang w:eastAsia="de-DE" w:bidi="de-DE"/>
        </w:rPr>
      </w:pPr>
      <w:r w:rsidRPr="00D4747A">
        <w:rPr>
          <w:rFonts w:eastAsia="Calibri"/>
          <w:i/>
          <w:szCs w:val="22"/>
          <w:lang w:eastAsia="de-DE" w:bidi="de-DE"/>
        </w:rPr>
        <w:t xml:space="preserve">[Art. 54 § 1 ersetzt durch Art. 3 Nr. 1 des K.E. vom 20. Mai 1997 (B.S. vom 10. Juni 1997); § 2 Abs. 1 abgeändert durch Art. 3 Nr. 2 des K.E. vom 20. Mai 1997 (B.S. vom 10. Juni 1997); § 2 Abs. 4 ersetzt durch Art. 3 Nr. 3 des K.E. vom 20. Mai 1997 (B.S. vom 10. Juni 1997); § 3 Abs. 1 und 2 abgeändert durch Art. 3 Nr. 4 des K.E. vom 20. Mai 1997 (B.S. vom 10. Juni 1997); § 5 Abs. 1 abgeändert durch Art. 3 Nr. 5 des K.E. vom 20. Mai 1997 (B.S. vom </w:t>
      </w:r>
      <w:r w:rsidRPr="00D4747A">
        <w:rPr>
          <w:rFonts w:eastAsia="Calibri"/>
          <w:i/>
          <w:szCs w:val="22"/>
          <w:lang w:eastAsia="de-DE" w:bidi="de-DE"/>
        </w:rPr>
        <w:lastRenderedPageBreak/>
        <w:t>10. Juni 1997); § 5 Abs. 2 erster Gedankenstrich abgeändert durch Art. 3 Nr. 6 des K.E. vom 20. Mai 1997 (B.S. vom 10. Juni 1997); § 5 Abs. 2 zweiter Gedankenstrich abgeändert durch Art. 3 Nr. 7 des K.E. vom 20. Mai 1997 (B.S. vom 10. Juni 1997); § 6 Abs. 1 und 2 abgeändert durch Art. 3 Nr. 8 des K.E. vom 20. Mai 1997 (B.S. vom 10. Juni 1997); § 8 abgeändert durch Art. 3 Nr. 9 des K.E. vom 20. Mai 1997 (B.S. vom 10. Juni 1997); § 9 Abs. 1 abgeändert durch Art. 3 Nr. 10 des K.E. vom 20. Mai 1997 (B.S. vom 10. Juni 1997)]</w:t>
      </w:r>
    </w:p>
    <w:p w14:paraId="7CD272AD" w14:textId="77777777" w:rsidR="005A5BD5" w:rsidRPr="00D4747A" w:rsidRDefault="005A5BD5" w:rsidP="004C2C7D">
      <w:pPr>
        <w:jc w:val="both"/>
        <w:rPr>
          <w:rFonts w:eastAsia="Calibri"/>
          <w:szCs w:val="22"/>
          <w:lang w:eastAsia="de-DE" w:bidi="de-DE"/>
        </w:rPr>
      </w:pPr>
    </w:p>
    <w:p w14:paraId="54FB463E" w14:textId="24E92677" w:rsidR="00DD3207" w:rsidRDefault="00DD3207">
      <w:pPr>
        <w:rPr>
          <w:rFonts w:eastAsia="Calibri"/>
          <w:szCs w:val="22"/>
          <w:lang w:eastAsia="de-DE" w:bidi="de-DE"/>
        </w:rPr>
      </w:pPr>
    </w:p>
    <w:p w14:paraId="2FA0D990" w14:textId="7D61D024" w:rsidR="005A5BD5" w:rsidRPr="00D4747A" w:rsidRDefault="005A5BD5" w:rsidP="004C2C7D">
      <w:pPr>
        <w:jc w:val="center"/>
        <w:rPr>
          <w:rFonts w:eastAsia="Calibri"/>
          <w:szCs w:val="22"/>
          <w:lang w:eastAsia="de-DE" w:bidi="de-DE"/>
        </w:rPr>
      </w:pPr>
      <w:r w:rsidRPr="00D4747A">
        <w:rPr>
          <w:rFonts w:eastAsia="Calibri"/>
          <w:szCs w:val="22"/>
          <w:lang w:eastAsia="de-DE" w:bidi="de-DE"/>
        </w:rPr>
        <w:t>[</w:t>
      </w:r>
      <w:r w:rsidRPr="00D4747A">
        <w:rPr>
          <w:rFonts w:eastAsia="Calibri"/>
          <w:i/>
          <w:szCs w:val="22"/>
          <w:lang w:eastAsia="de-DE" w:bidi="de-DE"/>
        </w:rPr>
        <w:t>Abschnitt 20 </w:t>
      </w:r>
      <w:r w:rsidRPr="00D4747A">
        <w:rPr>
          <w:rFonts w:eastAsia="Calibri"/>
          <w:szCs w:val="22"/>
          <w:lang w:eastAsia="de-DE" w:bidi="de-DE"/>
        </w:rPr>
        <w:t>- [</w:t>
      </w:r>
      <w:r w:rsidR="009251F9">
        <w:rPr>
          <w:rFonts w:eastAsia="Calibri"/>
          <w:szCs w:val="22"/>
          <w:lang w:eastAsia="de-DE" w:bidi="de-DE"/>
        </w:rPr>
        <w:t>…</w:t>
      </w:r>
      <w:r w:rsidRPr="00D4747A">
        <w:rPr>
          <w:rFonts w:eastAsia="Calibri"/>
          <w:szCs w:val="22"/>
          <w:lang w:eastAsia="de-DE" w:bidi="de-DE"/>
        </w:rPr>
        <w:t>]</w:t>
      </w:r>
    </w:p>
    <w:p w14:paraId="48C72F85" w14:textId="77777777" w:rsidR="005A5BD5" w:rsidRPr="00D4747A" w:rsidRDefault="005A5BD5" w:rsidP="004C2C7D">
      <w:pPr>
        <w:jc w:val="center"/>
        <w:rPr>
          <w:rFonts w:eastAsia="Calibri"/>
          <w:szCs w:val="22"/>
          <w:lang w:eastAsia="de-DE" w:bidi="de-DE"/>
        </w:rPr>
      </w:pPr>
    </w:p>
    <w:p w14:paraId="1C76E2BA" w14:textId="77777777" w:rsidR="005A5BD5" w:rsidRPr="00D4747A" w:rsidRDefault="005A5BD5" w:rsidP="004C2C7D">
      <w:pPr>
        <w:jc w:val="both"/>
        <w:rPr>
          <w:rFonts w:eastAsia="Calibri"/>
          <w:i/>
          <w:szCs w:val="22"/>
          <w:lang w:eastAsia="de-DE" w:bidi="de-DE"/>
        </w:rPr>
      </w:pPr>
      <w:r w:rsidRPr="00D4747A">
        <w:rPr>
          <w:rFonts w:eastAsia="Calibri"/>
          <w:i/>
          <w:szCs w:val="22"/>
          <w:lang w:eastAsia="de-DE" w:bidi="de-DE"/>
        </w:rPr>
        <w:t>[Abschnitt 20 mit Art. 55 aufgehoben durch Art. 1 des K.E. vom 30. Juni 2014 (B.S. vom 10. Juli 2014)]</w:t>
      </w:r>
    </w:p>
    <w:p w14:paraId="17E4B225" w14:textId="77777777" w:rsidR="005A5BD5" w:rsidRPr="00D4747A" w:rsidRDefault="005A5BD5" w:rsidP="004C2C7D">
      <w:pPr>
        <w:jc w:val="both"/>
        <w:rPr>
          <w:rFonts w:eastAsia="Calibri"/>
          <w:i/>
          <w:szCs w:val="22"/>
          <w:lang w:eastAsia="de-DE" w:bidi="de-DE"/>
        </w:rPr>
      </w:pPr>
    </w:p>
    <w:p w14:paraId="3B92EE3D" w14:textId="77777777" w:rsidR="005A5BD5" w:rsidRPr="00D4747A" w:rsidRDefault="005A5BD5" w:rsidP="004C2C7D">
      <w:pPr>
        <w:jc w:val="both"/>
        <w:rPr>
          <w:rFonts w:eastAsia="Calibri"/>
          <w:i/>
          <w:szCs w:val="22"/>
          <w:lang w:eastAsia="de-DE" w:bidi="de-DE"/>
        </w:rPr>
      </w:pPr>
    </w:p>
    <w:p w14:paraId="0ECA67DD"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55</w:t>
      </w:r>
      <w:r w:rsidRPr="00D4747A">
        <w:rPr>
          <w:rFonts w:eastAsia="Calibri"/>
          <w:szCs w:val="22"/>
          <w:lang w:eastAsia="de-DE" w:bidi="de-DE"/>
        </w:rPr>
        <w:t> - [</w:t>
      </w:r>
      <w:r w:rsidR="009251F9">
        <w:rPr>
          <w:rFonts w:eastAsia="Calibri"/>
          <w:szCs w:val="22"/>
          <w:lang w:eastAsia="de-DE" w:bidi="de-DE"/>
        </w:rPr>
        <w:t>…</w:t>
      </w:r>
      <w:r w:rsidRPr="00D4747A">
        <w:rPr>
          <w:rFonts w:eastAsia="Calibri"/>
          <w:szCs w:val="22"/>
          <w:lang w:eastAsia="de-DE" w:bidi="de-DE"/>
        </w:rPr>
        <w:t>]]</w:t>
      </w:r>
    </w:p>
    <w:p w14:paraId="60FE7929" w14:textId="77777777" w:rsidR="00AD004A" w:rsidRDefault="00AD004A" w:rsidP="004C2C7D">
      <w:pPr>
        <w:jc w:val="center"/>
        <w:rPr>
          <w:rFonts w:eastAsia="Calibri"/>
          <w:i/>
          <w:szCs w:val="22"/>
          <w:lang w:eastAsia="de-DE" w:bidi="de-DE"/>
        </w:rPr>
      </w:pPr>
    </w:p>
    <w:p w14:paraId="12B13048" w14:textId="77777777" w:rsidR="00AD004A" w:rsidRDefault="00AD004A" w:rsidP="004C2C7D">
      <w:pPr>
        <w:jc w:val="center"/>
        <w:rPr>
          <w:rFonts w:eastAsia="Calibri"/>
          <w:i/>
          <w:szCs w:val="22"/>
          <w:lang w:eastAsia="de-DE" w:bidi="de-DE"/>
        </w:rPr>
      </w:pPr>
    </w:p>
    <w:p w14:paraId="5076BEC0" w14:textId="1D7AFFB9" w:rsidR="005A5BD5" w:rsidRPr="00D4747A" w:rsidRDefault="005A5BD5" w:rsidP="004C2C7D">
      <w:pPr>
        <w:jc w:val="center"/>
        <w:rPr>
          <w:rFonts w:eastAsia="Calibri"/>
          <w:szCs w:val="22"/>
          <w:lang w:eastAsia="de-DE" w:bidi="de-DE"/>
        </w:rPr>
      </w:pPr>
      <w:r w:rsidRPr="00D4747A">
        <w:rPr>
          <w:rFonts w:eastAsia="Calibri"/>
          <w:i/>
          <w:szCs w:val="22"/>
          <w:lang w:eastAsia="de-DE" w:bidi="de-DE"/>
        </w:rPr>
        <w:t>Abschnitt 21</w:t>
      </w:r>
      <w:r w:rsidRPr="00D4747A">
        <w:rPr>
          <w:rFonts w:eastAsia="Calibri"/>
          <w:szCs w:val="22"/>
          <w:lang w:eastAsia="de-DE" w:bidi="de-DE"/>
        </w:rPr>
        <w:t> - Anrechnung der von der Gesamtheit der Nettoeinkünfte abzugsfähigen Ausgaben</w:t>
      </w:r>
    </w:p>
    <w:p w14:paraId="7680B8EB" w14:textId="77777777" w:rsidR="005A5BD5" w:rsidRPr="00D4747A" w:rsidRDefault="005A5BD5" w:rsidP="004C2C7D">
      <w:pPr>
        <w:jc w:val="center"/>
        <w:rPr>
          <w:rFonts w:eastAsia="Calibri"/>
          <w:szCs w:val="22"/>
          <w:lang w:eastAsia="de-DE" w:bidi="de-DE"/>
        </w:rPr>
      </w:pPr>
    </w:p>
    <w:p w14:paraId="43430229" w14:textId="77777777" w:rsidR="005A5BD5" w:rsidRPr="00D4747A" w:rsidRDefault="005A5BD5" w:rsidP="004C2C7D">
      <w:pPr>
        <w:jc w:val="center"/>
        <w:rPr>
          <w:rFonts w:eastAsia="Calibri"/>
          <w:szCs w:val="22"/>
          <w:lang w:eastAsia="de-DE" w:bidi="de-DE"/>
        </w:rPr>
      </w:pPr>
      <w:r w:rsidRPr="00D4747A">
        <w:rPr>
          <w:rFonts w:eastAsia="Calibri"/>
          <w:szCs w:val="22"/>
          <w:lang w:eastAsia="de-DE" w:bidi="de-DE"/>
        </w:rPr>
        <w:t>(Einkommensteuergesetzbuch 1992, Artikel 106)</w:t>
      </w:r>
    </w:p>
    <w:p w14:paraId="7CB6C338" w14:textId="77777777" w:rsidR="005A5BD5" w:rsidRPr="00D4747A" w:rsidRDefault="005A5BD5" w:rsidP="004C2C7D">
      <w:pPr>
        <w:jc w:val="center"/>
        <w:rPr>
          <w:rFonts w:eastAsia="Calibri"/>
          <w:szCs w:val="22"/>
          <w:lang w:eastAsia="de-DE" w:bidi="de-DE"/>
        </w:rPr>
      </w:pPr>
    </w:p>
    <w:p w14:paraId="0A6C43DE" w14:textId="77777777" w:rsidR="005A5BD5" w:rsidRPr="00D4747A" w:rsidRDefault="005A5BD5" w:rsidP="004C2C7D">
      <w:pPr>
        <w:jc w:val="center"/>
        <w:rPr>
          <w:rFonts w:eastAsia="Calibri"/>
          <w:szCs w:val="22"/>
          <w:lang w:eastAsia="de-DE" w:bidi="de-DE"/>
        </w:rPr>
      </w:pPr>
    </w:p>
    <w:p w14:paraId="76744D53" w14:textId="77777777" w:rsidR="005A5BD5" w:rsidRPr="00D4747A" w:rsidRDefault="005A5BD5" w:rsidP="004C2C7D">
      <w:pPr>
        <w:jc w:val="both"/>
        <w:rPr>
          <w:rFonts w:eastAsia="Calibri"/>
          <w:i/>
          <w:szCs w:val="22"/>
          <w:lang w:eastAsia="de-DE" w:bidi="de-DE"/>
        </w:rPr>
      </w:pPr>
      <w:r w:rsidRPr="00D4747A">
        <w:rPr>
          <w:rFonts w:eastAsia="Calibri"/>
          <w:szCs w:val="22"/>
          <w:lang w:eastAsia="de-DE" w:bidi="de-DE"/>
        </w:rPr>
        <w:tab/>
      </w:r>
      <w:r w:rsidRPr="00D4747A">
        <w:rPr>
          <w:rFonts w:eastAsia="Calibri"/>
          <w:b/>
          <w:szCs w:val="22"/>
          <w:lang w:eastAsia="de-DE" w:bidi="de-DE"/>
        </w:rPr>
        <w:t>Art. 56</w:t>
      </w:r>
      <w:r w:rsidRPr="00D4747A">
        <w:rPr>
          <w:rFonts w:eastAsia="Calibri"/>
          <w:szCs w:val="22"/>
          <w:lang w:eastAsia="de-DE" w:bidi="de-DE"/>
        </w:rPr>
        <w:t xml:space="preserve"> - </w:t>
      </w:r>
      <w:r>
        <w:rPr>
          <w:rFonts w:eastAsia="Calibri"/>
          <w:szCs w:val="22"/>
          <w:lang w:eastAsia="de-DE" w:bidi="de-DE"/>
        </w:rPr>
        <w:t>A</w:t>
      </w:r>
      <w:r w:rsidRPr="00D4747A">
        <w:rPr>
          <w:rFonts w:eastAsia="Calibri"/>
          <w:szCs w:val="22"/>
          <w:lang w:eastAsia="de-DE" w:bidi="de-DE"/>
        </w:rPr>
        <w:t>ufgrund von Artikel 104 des Einkommensteuergesetzbuches 1992</w:t>
      </w:r>
      <w:r>
        <w:rPr>
          <w:rFonts w:eastAsia="Calibri"/>
          <w:szCs w:val="22"/>
          <w:lang w:eastAsia="de-DE" w:bidi="de-DE"/>
        </w:rPr>
        <w:t xml:space="preserve"> v</w:t>
      </w:r>
      <w:r w:rsidRPr="00D4747A">
        <w:rPr>
          <w:rFonts w:eastAsia="Calibri"/>
          <w:szCs w:val="22"/>
          <w:lang w:eastAsia="de-DE" w:bidi="de-DE"/>
        </w:rPr>
        <w:t>on der Gesamtheit der Nettoeinkünfte abzugsfähige Ausgaben werden proportional auf die verschiedenen Einkommenskategorien angerechnet.</w:t>
      </w:r>
      <w:r w:rsidRPr="00D4747A">
        <w:rPr>
          <w:rFonts w:eastAsia="Calibri"/>
          <w:i/>
          <w:szCs w:val="22"/>
          <w:lang w:eastAsia="de-DE" w:bidi="de-DE"/>
        </w:rPr>
        <w:t xml:space="preserve"> </w:t>
      </w:r>
    </w:p>
    <w:p w14:paraId="26B88D17" w14:textId="0F9A0ECC" w:rsidR="003903BC" w:rsidRDefault="003903BC">
      <w:pPr>
        <w:rPr>
          <w:rFonts w:eastAsia="Calibri"/>
          <w:szCs w:val="22"/>
          <w:lang w:eastAsia="de-DE" w:bidi="de-DE"/>
        </w:rPr>
      </w:pPr>
    </w:p>
    <w:p w14:paraId="56C2DFE0" w14:textId="77777777" w:rsidR="004C24ED" w:rsidRDefault="004C24ED">
      <w:pPr>
        <w:rPr>
          <w:rFonts w:eastAsia="Calibri"/>
          <w:szCs w:val="22"/>
          <w:lang w:eastAsia="de-DE" w:bidi="de-DE"/>
        </w:rPr>
      </w:pPr>
    </w:p>
    <w:p w14:paraId="6C820219" w14:textId="7F52CE12" w:rsidR="005A5BD5" w:rsidRPr="00D4747A" w:rsidRDefault="005A5BD5" w:rsidP="0043740D">
      <w:pPr>
        <w:jc w:val="center"/>
        <w:rPr>
          <w:rFonts w:eastAsia="Calibri"/>
          <w:szCs w:val="22"/>
          <w:lang w:eastAsia="de-DE" w:bidi="de-DE"/>
        </w:rPr>
      </w:pPr>
      <w:r w:rsidRPr="00D4747A">
        <w:rPr>
          <w:rFonts w:eastAsia="Calibri"/>
          <w:szCs w:val="22"/>
          <w:lang w:eastAsia="de-DE" w:bidi="de-DE"/>
        </w:rPr>
        <w:t>[</w:t>
      </w:r>
      <w:r w:rsidRPr="00D4747A">
        <w:rPr>
          <w:rFonts w:eastAsia="Calibri"/>
          <w:i/>
          <w:szCs w:val="22"/>
          <w:lang w:eastAsia="de-DE" w:bidi="de-DE"/>
        </w:rPr>
        <w:t>Abschnitt 22 </w:t>
      </w:r>
      <w:r w:rsidRPr="00D4747A">
        <w:rPr>
          <w:rFonts w:eastAsia="Calibri"/>
          <w:szCs w:val="22"/>
          <w:lang w:eastAsia="de-DE" w:bidi="de-DE"/>
        </w:rPr>
        <w:t>- [</w:t>
      </w:r>
      <w:r w:rsidR="009251F9">
        <w:rPr>
          <w:rFonts w:eastAsia="Calibri"/>
          <w:szCs w:val="22"/>
          <w:lang w:eastAsia="de-DE" w:bidi="de-DE"/>
        </w:rPr>
        <w:t>…</w:t>
      </w:r>
      <w:r w:rsidRPr="00D4747A">
        <w:rPr>
          <w:rFonts w:eastAsia="Calibri"/>
          <w:szCs w:val="22"/>
          <w:lang w:eastAsia="de-DE" w:bidi="de-DE"/>
        </w:rPr>
        <w:t>]</w:t>
      </w:r>
    </w:p>
    <w:p w14:paraId="52976ABF" w14:textId="77777777" w:rsidR="005A5BD5" w:rsidRPr="00D4747A" w:rsidRDefault="005A5BD5" w:rsidP="004C2C7D">
      <w:pPr>
        <w:jc w:val="center"/>
        <w:rPr>
          <w:rFonts w:eastAsia="Calibri"/>
          <w:szCs w:val="22"/>
          <w:lang w:eastAsia="de-DE" w:bidi="de-DE"/>
        </w:rPr>
      </w:pPr>
    </w:p>
    <w:p w14:paraId="15E7105C" w14:textId="77777777" w:rsidR="005A5BD5" w:rsidRPr="00D4747A" w:rsidRDefault="005A5BD5" w:rsidP="004C2C7D">
      <w:pPr>
        <w:jc w:val="both"/>
        <w:rPr>
          <w:rFonts w:eastAsia="Calibri"/>
          <w:i/>
          <w:szCs w:val="22"/>
          <w:lang w:eastAsia="de-DE" w:bidi="de-DE"/>
        </w:rPr>
      </w:pPr>
      <w:r w:rsidRPr="00D4747A">
        <w:rPr>
          <w:rFonts w:eastAsia="Calibri"/>
          <w:i/>
          <w:szCs w:val="22"/>
          <w:lang w:eastAsia="de-DE" w:bidi="de-DE"/>
        </w:rPr>
        <w:t>[Abschnitt 22 mit den Artikeln 57 bis 60/3 aufgehoben durch Art. 2 des K.E. vom 4. August 2014 (B.S. vom 18. August 2014)]</w:t>
      </w:r>
    </w:p>
    <w:p w14:paraId="5C6B4D45" w14:textId="77777777" w:rsidR="005A5BD5" w:rsidRPr="00D4747A" w:rsidRDefault="005A5BD5" w:rsidP="004C2C7D">
      <w:pPr>
        <w:jc w:val="both"/>
        <w:rPr>
          <w:rFonts w:eastAsia="Calibri"/>
          <w:szCs w:val="22"/>
          <w:lang w:eastAsia="de-DE" w:bidi="de-DE"/>
        </w:rPr>
      </w:pPr>
    </w:p>
    <w:p w14:paraId="1B804495" w14:textId="77777777" w:rsidR="005A5BD5" w:rsidRPr="00D4747A" w:rsidRDefault="005A5BD5" w:rsidP="004C2C7D">
      <w:pPr>
        <w:jc w:val="both"/>
        <w:rPr>
          <w:rFonts w:eastAsia="Calibri"/>
          <w:szCs w:val="22"/>
          <w:lang w:eastAsia="de-DE" w:bidi="de-DE"/>
        </w:rPr>
      </w:pPr>
    </w:p>
    <w:p w14:paraId="22D3CCEA"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t>[</w:t>
      </w:r>
      <w:r w:rsidR="009251F9">
        <w:rPr>
          <w:rFonts w:eastAsia="Calibri"/>
          <w:szCs w:val="22"/>
          <w:lang w:eastAsia="de-DE" w:bidi="de-DE"/>
        </w:rPr>
        <w:t>…</w:t>
      </w:r>
      <w:r w:rsidRPr="00D4747A">
        <w:rPr>
          <w:rFonts w:eastAsia="Calibri"/>
          <w:szCs w:val="22"/>
          <w:lang w:eastAsia="de-DE" w:bidi="de-DE"/>
        </w:rPr>
        <w:t>]]</w:t>
      </w:r>
    </w:p>
    <w:p w14:paraId="3268FD1B" w14:textId="77777777" w:rsidR="005A5BD5" w:rsidRPr="00D4747A" w:rsidRDefault="005A5BD5" w:rsidP="004C2C7D">
      <w:pPr>
        <w:jc w:val="both"/>
        <w:rPr>
          <w:rFonts w:eastAsia="Calibri"/>
          <w:szCs w:val="22"/>
          <w:lang w:eastAsia="de-DE" w:bidi="de-DE"/>
        </w:rPr>
      </w:pPr>
    </w:p>
    <w:p w14:paraId="00C2D552" w14:textId="77777777" w:rsidR="005A5BD5" w:rsidRPr="00D4747A" w:rsidRDefault="005A5BD5" w:rsidP="004C2C7D">
      <w:pPr>
        <w:jc w:val="both"/>
        <w:rPr>
          <w:rFonts w:eastAsia="Calibri"/>
          <w:i/>
          <w:szCs w:val="22"/>
          <w:lang w:eastAsia="de-DE" w:bidi="de-DE"/>
        </w:rPr>
      </w:pPr>
      <w:r w:rsidRPr="00D4747A">
        <w:rPr>
          <w:rFonts w:eastAsia="Calibri"/>
          <w:i/>
          <w:szCs w:val="22"/>
          <w:lang w:eastAsia="de-DE" w:bidi="de-DE"/>
        </w:rPr>
        <w:t>[Früherer Artikel 56/1 eingefügt durch Art. 1 des K.E. vom 26. Dezember 2013 (B.S. vom 31. Dezember 2013), selbst widerrufen durch Art. 1 des K.E. vom 4. August 2014 (B.S. vom 18. August 2014)]</w:t>
      </w:r>
    </w:p>
    <w:p w14:paraId="4D7E5C77" w14:textId="77777777" w:rsidR="005A5BD5" w:rsidRPr="00D4747A" w:rsidRDefault="005A5BD5" w:rsidP="004C2C7D">
      <w:pPr>
        <w:jc w:val="both"/>
        <w:rPr>
          <w:rFonts w:eastAsia="Calibri"/>
          <w:i/>
          <w:szCs w:val="22"/>
          <w:lang w:eastAsia="de-DE" w:bidi="de-DE"/>
        </w:rPr>
      </w:pPr>
    </w:p>
    <w:p w14:paraId="03AE2B7C" w14:textId="77777777" w:rsidR="005A5BD5" w:rsidRPr="00D4747A" w:rsidRDefault="005A5BD5" w:rsidP="004C2C7D">
      <w:pPr>
        <w:jc w:val="both"/>
        <w:rPr>
          <w:rFonts w:eastAsia="Calibri"/>
          <w:i/>
          <w:szCs w:val="22"/>
          <w:lang w:eastAsia="de-DE" w:bidi="de-DE"/>
        </w:rPr>
      </w:pPr>
    </w:p>
    <w:p w14:paraId="4BC6E25A"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57 - 60/3 -</w:t>
      </w:r>
      <w:r w:rsidRPr="00D4747A">
        <w:rPr>
          <w:rFonts w:eastAsia="Calibri"/>
          <w:szCs w:val="22"/>
          <w:lang w:eastAsia="de-DE" w:bidi="de-DE"/>
        </w:rPr>
        <w:t xml:space="preserve"> [</w:t>
      </w:r>
      <w:r w:rsidR="009251F9">
        <w:rPr>
          <w:rFonts w:eastAsia="Calibri"/>
          <w:szCs w:val="22"/>
          <w:lang w:eastAsia="de-DE" w:bidi="de-DE"/>
        </w:rPr>
        <w:t>…</w:t>
      </w:r>
      <w:r w:rsidRPr="00D4747A">
        <w:rPr>
          <w:rFonts w:eastAsia="Calibri"/>
          <w:szCs w:val="22"/>
          <w:lang w:eastAsia="de-DE" w:bidi="de-DE"/>
        </w:rPr>
        <w:t>]]</w:t>
      </w:r>
    </w:p>
    <w:p w14:paraId="27E67A47" w14:textId="77777777" w:rsidR="005A5BD5" w:rsidRPr="00D4747A" w:rsidRDefault="005A5BD5" w:rsidP="004C2C7D">
      <w:pPr>
        <w:jc w:val="both"/>
        <w:rPr>
          <w:rFonts w:eastAsia="Calibri"/>
          <w:i/>
          <w:szCs w:val="22"/>
          <w:lang w:eastAsia="de-DE" w:bidi="de-DE"/>
        </w:rPr>
      </w:pPr>
    </w:p>
    <w:p w14:paraId="4FEDB8A1" w14:textId="77777777" w:rsidR="005A5BD5" w:rsidRPr="00D4747A" w:rsidRDefault="005A5BD5" w:rsidP="004C2C7D">
      <w:pPr>
        <w:jc w:val="both"/>
        <w:rPr>
          <w:rFonts w:eastAsia="Calibri"/>
          <w:szCs w:val="22"/>
          <w:lang w:eastAsia="de-DE" w:bidi="de-DE"/>
        </w:rPr>
      </w:pPr>
    </w:p>
    <w:p w14:paraId="01558E2C" w14:textId="77777777" w:rsidR="00811447" w:rsidRDefault="00811447">
      <w:pPr>
        <w:rPr>
          <w:rFonts w:eastAsia="Calibri"/>
          <w:szCs w:val="22"/>
          <w:lang w:eastAsia="de-DE" w:bidi="de-DE"/>
        </w:rPr>
      </w:pPr>
      <w:r>
        <w:rPr>
          <w:rFonts w:eastAsia="Calibri"/>
          <w:szCs w:val="22"/>
          <w:lang w:eastAsia="de-DE" w:bidi="de-DE"/>
        </w:rPr>
        <w:br w:type="page"/>
      </w:r>
    </w:p>
    <w:p w14:paraId="6DD0D339" w14:textId="5582431D" w:rsidR="005A5BD5" w:rsidRPr="00D4747A" w:rsidRDefault="005A5BD5" w:rsidP="00972E19">
      <w:pPr>
        <w:jc w:val="center"/>
        <w:rPr>
          <w:rFonts w:eastAsia="Calibri"/>
          <w:szCs w:val="22"/>
          <w:lang w:eastAsia="de-DE" w:bidi="de-DE"/>
        </w:rPr>
      </w:pPr>
      <w:r w:rsidRPr="00D4747A">
        <w:rPr>
          <w:rFonts w:eastAsia="Calibri"/>
          <w:szCs w:val="22"/>
          <w:lang w:eastAsia="de-DE" w:bidi="de-DE"/>
        </w:rPr>
        <w:lastRenderedPageBreak/>
        <w:t>[</w:t>
      </w:r>
      <w:r w:rsidRPr="00D4747A">
        <w:rPr>
          <w:rFonts w:eastAsia="Calibri"/>
          <w:i/>
          <w:szCs w:val="22"/>
          <w:lang w:eastAsia="de-DE" w:bidi="de-DE"/>
        </w:rPr>
        <w:t>Abschnitt 23 </w:t>
      </w:r>
      <w:r w:rsidRPr="00D4747A">
        <w:rPr>
          <w:rFonts w:eastAsia="Calibri"/>
          <w:szCs w:val="22"/>
          <w:lang w:eastAsia="de-DE" w:bidi="de-DE"/>
        </w:rPr>
        <w:t>- [</w:t>
      </w:r>
      <w:r w:rsidR="009251F9">
        <w:rPr>
          <w:rFonts w:eastAsia="Calibri"/>
          <w:szCs w:val="22"/>
          <w:lang w:eastAsia="de-DE" w:bidi="de-DE"/>
        </w:rPr>
        <w:t>…</w:t>
      </w:r>
      <w:r w:rsidRPr="00D4747A">
        <w:rPr>
          <w:rFonts w:eastAsia="Calibri"/>
          <w:szCs w:val="22"/>
          <w:lang w:eastAsia="de-DE" w:bidi="de-DE"/>
        </w:rPr>
        <w:t>]</w:t>
      </w:r>
    </w:p>
    <w:p w14:paraId="7F4430A2" w14:textId="77777777" w:rsidR="005A5BD5" w:rsidRPr="00D4747A" w:rsidRDefault="005A5BD5" w:rsidP="004C2C7D">
      <w:pPr>
        <w:jc w:val="center"/>
        <w:rPr>
          <w:rFonts w:eastAsia="Calibri"/>
          <w:szCs w:val="22"/>
          <w:lang w:eastAsia="de-DE" w:bidi="de-DE"/>
        </w:rPr>
      </w:pPr>
    </w:p>
    <w:p w14:paraId="760AABA9" w14:textId="77777777" w:rsidR="005A5BD5" w:rsidRPr="00D4747A" w:rsidRDefault="005A5BD5" w:rsidP="004C2C7D">
      <w:pPr>
        <w:jc w:val="both"/>
        <w:rPr>
          <w:rFonts w:eastAsia="Calibri"/>
          <w:i/>
          <w:szCs w:val="22"/>
          <w:lang w:eastAsia="de-DE" w:bidi="de-DE"/>
        </w:rPr>
      </w:pPr>
      <w:r w:rsidRPr="00D4747A">
        <w:rPr>
          <w:rFonts w:eastAsia="Calibri"/>
          <w:i/>
          <w:szCs w:val="22"/>
          <w:lang w:eastAsia="de-DE" w:bidi="de-DE"/>
        </w:rPr>
        <w:t>[Abschnitt 23 mit Art. 61 aufgehoben durch Art. 1 des K.E. vom 30. September 2014 (I) (B.S. vom 6. Oktober 2014)]</w:t>
      </w:r>
    </w:p>
    <w:p w14:paraId="1268797E" w14:textId="77777777" w:rsidR="005A5BD5" w:rsidRPr="00D4747A" w:rsidRDefault="005A5BD5" w:rsidP="004C2C7D">
      <w:pPr>
        <w:jc w:val="both"/>
        <w:rPr>
          <w:rFonts w:eastAsia="Calibri"/>
          <w:szCs w:val="22"/>
          <w:lang w:eastAsia="de-DE" w:bidi="de-DE"/>
        </w:rPr>
      </w:pPr>
    </w:p>
    <w:p w14:paraId="4D099D6E" w14:textId="77777777" w:rsidR="005A5BD5" w:rsidRPr="00D4747A" w:rsidRDefault="005A5BD5" w:rsidP="004C2C7D">
      <w:pPr>
        <w:jc w:val="both"/>
        <w:rPr>
          <w:rFonts w:eastAsia="Calibri"/>
          <w:szCs w:val="22"/>
          <w:lang w:eastAsia="de-DE" w:bidi="de-DE"/>
        </w:rPr>
      </w:pPr>
    </w:p>
    <w:p w14:paraId="04E969D1" w14:textId="77777777" w:rsidR="005A5BD5" w:rsidRPr="00D4747A" w:rsidRDefault="005A5BD5" w:rsidP="004C2C7D">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61</w:t>
      </w:r>
      <w:r w:rsidRPr="00D4747A">
        <w:rPr>
          <w:rFonts w:eastAsia="Calibri"/>
          <w:szCs w:val="22"/>
          <w:lang w:eastAsia="de-DE" w:bidi="de-DE"/>
        </w:rPr>
        <w:t> - [</w:t>
      </w:r>
      <w:r w:rsidR="009251F9">
        <w:rPr>
          <w:rFonts w:eastAsia="Calibri"/>
          <w:szCs w:val="22"/>
          <w:lang w:eastAsia="de-DE" w:bidi="de-DE"/>
        </w:rPr>
        <w:t>…</w:t>
      </w:r>
      <w:r w:rsidRPr="00D4747A">
        <w:rPr>
          <w:rFonts w:eastAsia="Calibri"/>
          <w:szCs w:val="22"/>
          <w:lang w:eastAsia="de-DE" w:bidi="de-DE"/>
        </w:rPr>
        <w:t>]]</w:t>
      </w:r>
    </w:p>
    <w:p w14:paraId="098D3D23" w14:textId="77777777" w:rsidR="00AF3BAB" w:rsidRDefault="00AF3BAB">
      <w:pPr>
        <w:rPr>
          <w:rFonts w:eastAsia="Calibri"/>
          <w:szCs w:val="22"/>
          <w:lang w:eastAsia="de-DE" w:bidi="de-DE"/>
        </w:rPr>
      </w:pPr>
    </w:p>
    <w:p w14:paraId="0A6F22C3" w14:textId="64352D96" w:rsidR="00DF6019" w:rsidRDefault="00DF6019">
      <w:pPr>
        <w:rPr>
          <w:rFonts w:eastAsia="Calibri"/>
          <w:szCs w:val="22"/>
          <w:lang w:eastAsia="de-DE" w:bidi="de-DE"/>
        </w:rPr>
      </w:pPr>
    </w:p>
    <w:p w14:paraId="64954B69" w14:textId="31650D95" w:rsidR="005A5BD5" w:rsidRPr="00D4747A" w:rsidRDefault="005A5BD5" w:rsidP="003903BC">
      <w:pPr>
        <w:jc w:val="center"/>
        <w:rPr>
          <w:rFonts w:eastAsia="Calibri"/>
          <w:szCs w:val="22"/>
          <w:lang w:eastAsia="de-DE" w:bidi="de-DE"/>
        </w:rPr>
      </w:pPr>
      <w:r w:rsidRPr="00D4747A">
        <w:rPr>
          <w:rFonts w:eastAsia="Calibri"/>
          <w:szCs w:val="22"/>
          <w:lang w:eastAsia="de-DE" w:bidi="de-DE"/>
        </w:rPr>
        <w:t>[</w:t>
      </w:r>
      <w:r w:rsidRPr="00D4747A">
        <w:rPr>
          <w:rFonts w:eastAsia="Calibri"/>
          <w:i/>
          <w:szCs w:val="22"/>
          <w:lang w:eastAsia="de-DE" w:bidi="de-DE"/>
        </w:rPr>
        <w:t>Abschnitt 24 </w:t>
      </w:r>
      <w:r w:rsidRPr="00D4747A">
        <w:rPr>
          <w:rFonts w:eastAsia="Calibri"/>
          <w:szCs w:val="22"/>
          <w:lang w:eastAsia="de-DE" w:bidi="de-DE"/>
        </w:rPr>
        <w:t>- [</w:t>
      </w:r>
      <w:r w:rsidR="009251F9">
        <w:rPr>
          <w:rFonts w:eastAsia="Calibri"/>
          <w:szCs w:val="22"/>
          <w:lang w:eastAsia="de-DE" w:bidi="de-DE"/>
        </w:rPr>
        <w:t>…</w:t>
      </w:r>
      <w:r w:rsidRPr="00D4747A">
        <w:rPr>
          <w:rFonts w:eastAsia="Calibri"/>
          <w:szCs w:val="22"/>
          <w:lang w:eastAsia="de-DE" w:bidi="de-DE"/>
        </w:rPr>
        <w:t>]</w:t>
      </w:r>
    </w:p>
    <w:p w14:paraId="4E7ADA4E" w14:textId="77777777" w:rsidR="005A5BD5" w:rsidRPr="00D4747A" w:rsidRDefault="005A5BD5" w:rsidP="004C2C7D">
      <w:pPr>
        <w:tabs>
          <w:tab w:val="left" w:pos="960"/>
        </w:tabs>
        <w:jc w:val="both"/>
        <w:rPr>
          <w:rFonts w:eastAsia="Calibri"/>
          <w:szCs w:val="22"/>
          <w:lang w:eastAsia="de-DE" w:bidi="de-DE"/>
        </w:rPr>
      </w:pPr>
    </w:p>
    <w:p w14:paraId="5A15B009" w14:textId="77777777" w:rsidR="005A5BD5" w:rsidRPr="00D4747A" w:rsidRDefault="005A5BD5" w:rsidP="004C2C7D">
      <w:pPr>
        <w:tabs>
          <w:tab w:val="left" w:pos="960"/>
        </w:tabs>
        <w:jc w:val="both"/>
        <w:rPr>
          <w:rFonts w:eastAsia="Calibri"/>
          <w:i/>
          <w:szCs w:val="22"/>
          <w:lang w:eastAsia="de-DE" w:bidi="de-DE"/>
        </w:rPr>
      </w:pPr>
      <w:r w:rsidRPr="00D4747A">
        <w:rPr>
          <w:rFonts w:eastAsia="Calibri"/>
          <w:i/>
          <w:szCs w:val="22"/>
          <w:lang w:eastAsia="de-DE" w:bidi="de-DE"/>
        </w:rPr>
        <w:t>[Abschnitt 24 mit Art. 62 aufgehoben durch Art. 2 des K.E. vom 30. September 2014 (II) (B.S. vom 9. Oktober 2014)]</w:t>
      </w:r>
    </w:p>
    <w:p w14:paraId="0D0F30F9" w14:textId="77777777" w:rsidR="005A5BD5" w:rsidRPr="00D4747A" w:rsidRDefault="005A5BD5" w:rsidP="004C2C7D">
      <w:pPr>
        <w:tabs>
          <w:tab w:val="left" w:pos="960"/>
        </w:tabs>
        <w:jc w:val="both"/>
        <w:rPr>
          <w:rFonts w:eastAsia="Calibri"/>
          <w:i/>
          <w:szCs w:val="22"/>
          <w:lang w:eastAsia="de-DE" w:bidi="de-DE"/>
        </w:rPr>
      </w:pPr>
    </w:p>
    <w:p w14:paraId="1AD682EC" w14:textId="77777777" w:rsidR="005A5BD5" w:rsidRPr="00D4747A" w:rsidRDefault="005A5BD5" w:rsidP="00FB3E9E">
      <w:pPr>
        <w:jc w:val="both"/>
        <w:rPr>
          <w:rFonts w:eastAsia="Calibri"/>
          <w:b/>
          <w:szCs w:val="22"/>
          <w:lang w:eastAsia="de-DE" w:bidi="de-DE"/>
        </w:rPr>
      </w:pPr>
    </w:p>
    <w:p w14:paraId="32694FA2"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62</w:t>
      </w:r>
      <w:r w:rsidRPr="00D4747A">
        <w:rPr>
          <w:rFonts w:eastAsia="Calibri"/>
          <w:szCs w:val="22"/>
          <w:lang w:eastAsia="de-DE" w:bidi="de-DE"/>
        </w:rPr>
        <w:t> - [</w:t>
      </w:r>
      <w:r w:rsidR="009251F9">
        <w:rPr>
          <w:rFonts w:eastAsia="Calibri"/>
          <w:szCs w:val="22"/>
          <w:lang w:eastAsia="de-DE" w:bidi="de-DE"/>
        </w:rPr>
        <w:t>…</w:t>
      </w:r>
      <w:r w:rsidRPr="00D4747A">
        <w:rPr>
          <w:rFonts w:eastAsia="Calibri"/>
          <w:szCs w:val="22"/>
          <w:lang w:eastAsia="de-DE" w:bidi="de-DE"/>
        </w:rPr>
        <w:t>]]</w:t>
      </w:r>
    </w:p>
    <w:p w14:paraId="0D20C0AA" w14:textId="77777777" w:rsidR="005A5BD5" w:rsidRPr="00D4747A" w:rsidRDefault="005A5BD5" w:rsidP="00FB3E9E">
      <w:pPr>
        <w:jc w:val="both"/>
        <w:rPr>
          <w:rFonts w:eastAsia="Calibri"/>
          <w:i/>
          <w:szCs w:val="22"/>
          <w:lang w:eastAsia="de-DE" w:bidi="de-DE"/>
        </w:rPr>
      </w:pPr>
    </w:p>
    <w:p w14:paraId="3C8BDFD2" w14:textId="77777777" w:rsidR="005A5BD5" w:rsidRPr="00D4747A" w:rsidRDefault="005A5BD5" w:rsidP="00FB3E9E">
      <w:pPr>
        <w:jc w:val="both"/>
        <w:rPr>
          <w:rFonts w:eastAsia="Calibri"/>
          <w:szCs w:val="22"/>
          <w:lang w:eastAsia="de-DE" w:bidi="de-DE"/>
        </w:rPr>
      </w:pPr>
    </w:p>
    <w:p w14:paraId="5D165F9E" w14:textId="3BA4FEB7" w:rsidR="005A5BD5" w:rsidRPr="00D4747A" w:rsidRDefault="005A5BD5" w:rsidP="00FB3E9E">
      <w:pPr>
        <w:jc w:val="center"/>
        <w:rPr>
          <w:rFonts w:eastAsia="Calibri"/>
          <w:szCs w:val="22"/>
          <w:lang w:eastAsia="de-DE" w:bidi="de-DE"/>
        </w:rPr>
      </w:pPr>
      <w:r w:rsidRPr="00D4747A">
        <w:rPr>
          <w:rFonts w:eastAsia="Calibri"/>
          <w:i/>
          <w:szCs w:val="22"/>
          <w:lang w:eastAsia="de-DE" w:bidi="de-DE"/>
        </w:rPr>
        <w:t>Abschnitt 25</w:t>
      </w:r>
      <w:r w:rsidRPr="00D4747A">
        <w:rPr>
          <w:rFonts w:eastAsia="Calibri"/>
          <w:szCs w:val="22"/>
          <w:lang w:eastAsia="de-DE" w:bidi="de-DE"/>
        </w:rPr>
        <w:t> - Anrechnung der Verluste von einem der Ehepartner auf die Einkünfte des anderen Ehepartners</w:t>
      </w:r>
    </w:p>
    <w:p w14:paraId="3E5F128E" w14:textId="77777777" w:rsidR="005A5BD5" w:rsidRPr="00D4747A" w:rsidRDefault="005A5BD5" w:rsidP="00FB3E9E">
      <w:pPr>
        <w:jc w:val="center"/>
        <w:rPr>
          <w:rFonts w:eastAsia="Calibri"/>
          <w:szCs w:val="22"/>
          <w:lang w:eastAsia="de-DE" w:bidi="de-DE"/>
        </w:rPr>
      </w:pPr>
    </w:p>
    <w:p w14:paraId="6057A97A" w14:textId="77777777" w:rsidR="005A5BD5" w:rsidRPr="00D4747A" w:rsidRDefault="005A5BD5" w:rsidP="00FB3E9E">
      <w:pPr>
        <w:jc w:val="center"/>
        <w:rPr>
          <w:rFonts w:eastAsia="Calibri"/>
          <w:szCs w:val="22"/>
          <w:lang w:eastAsia="de-DE" w:bidi="de-DE"/>
        </w:rPr>
      </w:pPr>
      <w:r w:rsidRPr="00D4747A">
        <w:rPr>
          <w:rFonts w:eastAsia="Calibri"/>
          <w:szCs w:val="22"/>
          <w:lang w:eastAsia="de-DE" w:bidi="de-DE"/>
        </w:rPr>
        <w:t>(Einkommensteuergesetzbuch 1992, Artikel 129)</w:t>
      </w:r>
    </w:p>
    <w:p w14:paraId="1E0D89A2" w14:textId="77777777" w:rsidR="005A5BD5" w:rsidRPr="00D4747A" w:rsidRDefault="005A5BD5" w:rsidP="00FB3E9E">
      <w:pPr>
        <w:jc w:val="center"/>
        <w:rPr>
          <w:rFonts w:eastAsia="Calibri"/>
          <w:szCs w:val="22"/>
          <w:lang w:eastAsia="de-DE" w:bidi="de-DE"/>
        </w:rPr>
      </w:pPr>
    </w:p>
    <w:p w14:paraId="0865DD4D" w14:textId="77777777" w:rsidR="005A5BD5" w:rsidRPr="00D4747A" w:rsidRDefault="005A5BD5" w:rsidP="00C7204C">
      <w:pPr>
        <w:jc w:val="both"/>
        <w:rPr>
          <w:rFonts w:eastAsia="Calibri"/>
          <w:szCs w:val="22"/>
          <w:lang w:eastAsia="de-DE" w:bidi="de-DE"/>
        </w:rPr>
      </w:pPr>
    </w:p>
    <w:p w14:paraId="3B13B2D7" w14:textId="77777777" w:rsidR="00C7204C" w:rsidRPr="00C7204C" w:rsidRDefault="00C7204C" w:rsidP="00C7204C">
      <w:pPr>
        <w:tabs>
          <w:tab w:val="left" w:pos="960"/>
        </w:tabs>
        <w:jc w:val="both"/>
        <w:rPr>
          <w:rFonts w:eastAsia="Calibri"/>
          <w:szCs w:val="22"/>
          <w:lang w:eastAsia="de-DE" w:bidi="de-DE"/>
        </w:rPr>
      </w:pPr>
      <w:r w:rsidRPr="00C7204C">
        <w:rPr>
          <w:rFonts w:eastAsia="Calibri"/>
          <w:szCs w:val="22"/>
          <w:lang w:eastAsia="de-DE" w:bidi="de-DE"/>
        </w:rPr>
        <w:tab/>
      </w:r>
      <w:r w:rsidRPr="00C7204C">
        <w:rPr>
          <w:rFonts w:eastAsia="Calibri"/>
          <w:b/>
          <w:bCs/>
          <w:szCs w:val="22"/>
          <w:lang w:eastAsia="de-DE" w:bidi="de-DE"/>
        </w:rPr>
        <w:t>Art. 63</w:t>
      </w:r>
      <w:r w:rsidRPr="00C7204C">
        <w:rPr>
          <w:rFonts w:eastAsia="Calibri"/>
          <w:szCs w:val="22"/>
          <w:lang w:eastAsia="de-DE" w:bidi="de-DE"/>
        </w:rPr>
        <w:t xml:space="preserve"> - § 1 - [Während des Besteuerungszeitraums, während eines vorhergehenden Besteuerungszeitraums oder, in dem in Artikel 78 § 2 des Einkommensteuergesetzbuches 1992 erwähnten Fall, während eines späteren Besteuerungszeitraums von einem der Ehepartner erlittene berufliche Verluste, die aufgrund von Artikel 129 desselben Gesetzbuches] ganz oder teilweise auf die beruflichen Einkünfte des anderen Ehepartners angerechnet werden können, werden proportional abgezogen von den gemäß Artikel 23 desselben Gesetzbuches bestimmten Berufseinkünften aus den verschiedenen beruflichen Tätigkeiten dieses Ehepartners, die [mit den anderen Einkünften dieses Ehepartners] global besteuert werden [...]; der eventuelle Restbetrag wird proportional auf die getrennt besteuerten Berufseinkünfte angerechnet.</w:t>
      </w:r>
    </w:p>
    <w:p w14:paraId="7DC0BD97" w14:textId="77777777" w:rsidR="00C7204C" w:rsidRPr="00C7204C" w:rsidRDefault="00C7204C" w:rsidP="00C7204C">
      <w:pPr>
        <w:tabs>
          <w:tab w:val="left" w:pos="960"/>
        </w:tabs>
        <w:jc w:val="both"/>
        <w:rPr>
          <w:rFonts w:eastAsia="Calibri"/>
          <w:szCs w:val="22"/>
          <w:lang w:eastAsia="de-DE" w:bidi="de-DE"/>
        </w:rPr>
      </w:pPr>
    </w:p>
    <w:p w14:paraId="663641BD" w14:textId="77777777" w:rsidR="00C7204C" w:rsidRPr="00C7204C" w:rsidRDefault="00C7204C" w:rsidP="00C7204C">
      <w:pPr>
        <w:tabs>
          <w:tab w:val="left" w:pos="960"/>
        </w:tabs>
        <w:jc w:val="both"/>
        <w:rPr>
          <w:rFonts w:eastAsia="Calibri"/>
          <w:szCs w:val="22"/>
          <w:lang w:eastAsia="de-DE" w:bidi="de-DE"/>
        </w:rPr>
      </w:pPr>
      <w:r w:rsidRPr="00C7204C">
        <w:rPr>
          <w:rFonts w:eastAsia="Calibri"/>
          <w:szCs w:val="22"/>
          <w:lang w:eastAsia="de-DE" w:bidi="de-DE"/>
        </w:rPr>
        <w:tab/>
        <w:t>§ 2 - Die Anrechnung der in den [Paragraphen 1, 2 und 3] von Artikel 103 desselben Gesetzbuches erwähnten Verluste auf die verschiedenen Einkünfte des anderen Ehepartners erfolgt proportional und innerhalb der in diesem Artikel festgelegten Grenzen.</w:t>
      </w:r>
    </w:p>
    <w:p w14:paraId="4A84E17A" w14:textId="77777777" w:rsidR="00C7204C" w:rsidRPr="00C7204C" w:rsidRDefault="00C7204C" w:rsidP="00C7204C">
      <w:pPr>
        <w:tabs>
          <w:tab w:val="left" w:pos="960"/>
        </w:tabs>
        <w:jc w:val="both"/>
        <w:rPr>
          <w:rFonts w:eastAsia="Calibri"/>
          <w:szCs w:val="22"/>
          <w:lang w:eastAsia="de-DE" w:bidi="de-DE"/>
        </w:rPr>
      </w:pPr>
    </w:p>
    <w:p w14:paraId="5047353B" w14:textId="66CADBC9" w:rsidR="00972E19" w:rsidRPr="00C7204C" w:rsidRDefault="00C7204C" w:rsidP="00C7204C">
      <w:pPr>
        <w:tabs>
          <w:tab w:val="left" w:pos="960"/>
        </w:tabs>
        <w:jc w:val="both"/>
        <w:rPr>
          <w:rFonts w:eastAsia="Calibri"/>
          <w:i/>
          <w:iCs/>
          <w:szCs w:val="22"/>
          <w:lang w:eastAsia="de-DE" w:bidi="de-DE"/>
        </w:rPr>
      </w:pPr>
      <w:r w:rsidRPr="00C7204C">
        <w:rPr>
          <w:rFonts w:eastAsia="Calibri"/>
          <w:i/>
          <w:iCs/>
          <w:szCs w:val="22"/>
          <w:lang w:eastAsia="de-DE" w:bidi="de-DE"/>
        </w:rPr>
        <w:t>[Art. 63 § 1 abgeändert durch Art. 9 des K.E. vom 11. Dezember 2006 (B.S. vom 18. Dezember 2006), Art. 7 des K.E. vom 20. Dezember 2020 (I) (B.S. vom 29. Dezember 2020) und Art. 4 des G. vom 1. Februar 2022 (II) (B.S. vom 1. März 2022); § 2 abgeändert durch Art. 4 des K.E. vom 20. Mai 1997 (B.S. vom 10. Juni 1997)]</w:t>
      </w:r>
    </w:p>
    <w:p w14:paraId="59613A55" w14:textId="027F2275" w:rsidR="00E448DD" w:rsidRDefault="00E448DD">
      <w:pPr>
        <w:rPr>
          <w:rFonts w:eastAsia="Calibri"/>
          <w:szCs w:val="22"/>
          <w:lang w:eastAsia="de-DE" w:bidi="de-DE"/>
        </w:rPr>
      </w:pPr>
    </w:p>
    <w:p w14:paraId="3C156BFC" w14:textId="77777777" w:rsidR="00C7204C" w:rsidRDefault="00C7204C">
      <w:pPr>
        <w:rPr>
          <w:rFonts w:eastAsia="Calibri"/>
          <w:szCs w:val="22"/>
          <w:lang w:eastAsia="de-DE" w:bidi="de-DE"/>
        </w:rPr>
      </w:pPr>
    </w:p>
    <w:p w14:paraId="04DFF73F" w14:textId="77777777" w:rsidR="006F3CD4" w:rsidRDefault="006F3CD4">
      <w:pPr>
        <w:rPr>
          <w:rFonts w:eastAsia="Calibri"/>
          <w:szCs w:val="22"/>
          <w:lang w:eastAsia="de-DE" w:bidi="de-DE"/>
        </w:rPr>
      </w:pPr>
      <w:r>
        <w:rPr>
          <w:rFonts w:eastAsia="Calibri"/>
          <w:szCs w:val="22"/>
          <w:lang w:eastAsia="de-DE" w:bidi="de-DE"/>
        </w:rPr>
        <w:br w:type="page"/>
      </w:r>
    </w:p>
    <w:p w14:paraId="50D20762" w14:textId="3F6E487F" w:rsidR="005A5BD5" w:rsidRPr="00D4747A" w:rsidRDefault="005A5BD5" w:rsidP="004C2C7D">
      <w:pPr>
        <w:tabs>
          <w:tab w:val="left" w:pos="960"/>
        </w:tabs>
        <w:jc w:val="center"/>
        <w:rPr>
          <w:rFonts w:eastAsia="Calibri"/>
          <w:szCs w:val="22"/>
          <w:lang w:eastAsia="de-DE" w:bidi="de-DE"/>
        </w:rPr>
      </w:pPr>
      <w:r w:rsidRPr="00D4747A">
        <w:rPr>
          <w:rFonts w:eastAsia="Calibri"/>
          <w:szCs w:val="22"/>
          <w:lang w:eastAsia="de-DE" w:bidi="de-DE"/>
        </w:rPr>
        <w:lastRenderedPageBreak/>
        <w:t>[</w:t>
      </w:r>
      <w:r w:rsidRPr="00D4747A">
        <w:rPr>
          <w:rFonts w:eastAsia="Calibri"/>
          <w:i/>
          <w:szCs w:val="22"/>
          <w:lang w:eastAsia="de-DE" w:bidi="de-DE"/>
        </w:rPr>
        <w:t>Abschnitt 25bis</w:t>
      </w:r>
      <w:r w:rsidRPr="00D4747A">
        <w:rPr>
          <w:rFonts w:eastAsia="Calibri"/>
          <w:szCs w:val="22"/>
          <w:lang w:eastAsia="de-DE" w:bidi="de-DE"/>
        </w:rPr>
        <w:t> - [Vom Arbeitgeber oder Unternehmen gezahlte persönliche Beiträge und Prämien</w:t>
      </w:r>
    </w:p>
    <w:p w14:paraId="24721EDC" w14:textId="77777777" w:rsidR="005A5BD5" w:rsidRPr="00D4747A" w:rsidRDefault="005A5BD5" w:rsidP="004C2C7D">
      <w:pPr>
        <w:tabs>
          <w:tab w:val="left" w:pos="960"/>
        </w:tabs>
        <w:jc w:val="center"/>
        <w:rPr>
          <w:rFonts w:eastAsia="Calibri"/>
          <w:szCs w:val="22"/>
          <w:lang w:eastAsia="de-DE" w:bidi="de-DE"/>
        </w:rPr>
      </w:pPr>
    </w:p>
    <w:p w14:paraId="491692BF" w14:textId="77777777" w:rsidR="005A5BD5" w:rsidRPr="00D4747A" w:rsidRDefault="005A5BD5" w:rsidP="004C2C7D">
      <w:pPr>
        <w:tabs>
          <w:tab w:val="left" w:pos="960"/>
        </w:tabs>
        <w:jc w:val="center"/>
        <w:rPr>
          <w:rFonts w:eastAsia="Calibri"/>
          <w:szCs w:val="22"/>
          <w:lang w:eastAsia="de-DE" w:bidi="de-DE"/>
        </w:rPr>
      </w:pPr>
      <w:r w:rsidRPr="00D4747A">
        <w:rPr>
          <w:rFonts w:eastAsia="Calibri"/>
          <w:szCs w:val="22"/>
          <w:lang w:eastAsia="de-DE" w:bidi="de-DE"/>
        </w:rPr>
        <w:t>(Einkommensteuergesetzbuch 1992, Artikel 145</w:t>
      </w:r>
      <w:r w:rsidRPr="00D4747A">
        <w:rPr>
          <w:rFonts w:eastAsia="Calibri"/>
          <w:szCs w:val="22"/>
          <w:vertAlign w:val="superscript"/>
          <w:lang w:eastAsia="de-DE" w:bidi="de-DE"/>
        </w:rPr>
        <w:t>3</w:t>
      </w:r>
      <w:r w:rsidRPr="00D4747A">
        <w:rPr>
          <w:rFonts w:eastAsia="Calibri"/>
          <w:szCs w:val="22"/>
          <w:lang w:eastAsia="de-DE" w:bidi="de-DE"/>
        </w:rPr>
        <w:t xml:space="preserve"> Absatz 4)]</w:t>
      </w:r>
    </w:p>
    <w:p w14:paraId="02088567" w14:textId="77777777" w:rsidR="005A5BD5" w:rsidRPr="00D4747A" w:rsidRDefault="005A5BD5" w:rsidP="004C2C7D">
      <w:pPr>
        <w:tabs>
          <w:tab w:val="left" w:pos="960"/>
        </w:tabs>
        <w:jc w:val="both"/>
        <w:rPr>
          <w:rFonts w:eastAsia="Calibri"/>
          <w:szCs w:val="22"/>
          <w:lang w:eastAsia="de-DE" w:bidi="de-DE"/>
        </w:rPr>
      </w:pPr>
    </w:p>
    <w:p w14:paraId="1BF275FF" w14:textId="77777777" w:rsidR="005A5BD5" w:rsidRPr="00D4747A" w:rsidRDefault="005A5BD5" w:rsidP="004C2C7D">
      <w:pPr>
        <w:tabs>
          <w:tab w:val="left" w:pos="960"/>
        </w:tabs>
        <w:jc w:val="both"/>
        <w:rPr>
          <w:rFonts w:eastAsia="Calibri"/>
          <w:i/>
          <w:szCs w:val="22"/>
          <w:lang w:eastAsia="de-DE" w:bidi="de-DE"/>
        </w:rPr>
      </w:pPr>
      <w:r w:rsidRPr="00D4747A">
        <w:rPr>
          <w:rFonts w:eastAsia="Calibri"/>
          <w:i/>
          <w:szCs w:val="22"/>
          <w:lang w:eastAsia="de-DE" w:bidi="de-DE"/>
        </w:rPr>
        <w:t>[Früherer Abschnitt 25bis mit früherem Artikel 63bis eingefügt durch Art. 1 des K.E. vom 12. August 1994 (I) (B.S. vom 6. September 1994), selbst widerrufen durch Art. 20 Nr. 1 des K.E. vom 1. September 1995 (II) (B.S. vom 5. Oktober 1995); neuer Abschnitt 25bis mit Art. 63</w:t>
      </w:r>
      <w:r w:rsidRPr="00D4747A">
        <w:rPr>
          <w:rFonts w:eastAsia="Calibri"/>
          <w:i/>
          <w:szCs w:val="22"/>
          <w:vertAlign w:val="superscript"/>
          <w:lang w:eastAsia="de-DE" w:bidi="de-DE"/>
        </w:rPr>
        <w:t>1</w:t>
      </w:r>
      <w:r w:rsidRPr="00D4747A">
        <w:rPr>
          <w:rFonts w:eastAsia="Calibri"/>
          <w:i/>
          <w:szCs w:val="22"/>
          <w:lang w:eastAsia="de-DE" w:bidi="de-DE"/>
        </w:rPr>
        <w:t xml:space="preserve"> eingefügt durch Art. 9 des K.E. vom 1. September 1995 (II) (B.S. vom 5. Oktober 1995); Überschrift von Abschnitt 25bis ersetzt durch Art. 3 des K.E. vom 1. März 2005 (B.S. vom 9. März 2005)]</w:t>
      </w:r>
    </w:p>
    <w:p w14:paraId="3FA5663F" w14:textId="77777777" w:rsidR="005A5BD5" w:rsidRPr="00D4747A" w:rsidRDefault="005A5BD5" w:rsidP="004C2C7D">
      <w:pPr>
        <w:tabs>
          <w:tab w:val="left" w:pos="960"/>
        </w:tabs>
        <w:jc w:val="both"/>
        <w:rPr>
          <w:rFonts w:eastAsia="Calibri"/>
          <w:i/>
          <w:szCs w:val="22"/>
          <w:lang w:eastAsia="de-DE" w:bidi="de-DE"/>
        </w:rPr>
      </w:pPr>
    </w:p>
    <w:p w14:paraId="4750489E" w14:textId="77777777" w:rsidR="005A5BD5" w:rsidRPr="00D4747A" w:rsidRDefault="005A5BD5" w:rsidP="00FB3E9E">
      <w:pPr>
        <w:jc w:val="both"/>
        <w:rPr>
          <w:rFonts w:eastAsia="Calibri"/>
          <w:i/>
          <w:szCs w:val="22"/>
          <w:lang w:eastAsia="de-DE" w:bidi="de-DE"/>
        </w:rPr>
      </w:pPr>
    </w:p>
    <w:p w14:paraId="6DFEA50B"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63</w:t>
      </w:r>
      <w:r w:rsidRPr="00D4747A">
        <w:rPr>
          <w:rFonts w:eastAsia="Calibri"/>
          <w:b/>
          <w:szCs w:val="22"/>
          <w:vertAlign w:val="superscript"/>
          <w:lang w:eastAsia="de-DE" w:bidi="de-DE"/>
        </w:rPr>
        <w:t>1</w:t>
      </w:r>
      <w:r w:rsidRPr="00D4747A">
        <w:rPr>
          <w:rFonts w:eastAsia="Calibri"/>
          <w:szCs w:val="22"/>
          <w:lang w:eastAsia="de-DE" w:bidi="de-DE"/>
        </w:rPr>
        <w:t> - [In Artikel 145</w:t>
      </w:r>
      <w:r w:rsidRPr="00D4747A">
        <w:rPr>
          <w:rFonts w:eastAsia="Calibri"/>
          <w:szCs w:val="22"/>
          <w:vertAlign w:val="superscript"/>
          <w:lang w:eastAsia="de-DE" w:bidi="de-DE"/>
        </w:rPr>
        <w:t>3</w:t>
      </w:r>
      <w:r w:rsidRPr="00D4747A">
        <w:rPr>
          <w:rFonts w:eastAsia="Calibri"/>
          <w:szCs w:val="22"/>
          <w:lang w:eastAsia="de-DE" w:bidi="de-DE"/>
        </w:rPr>
        <w:t xml:space="preserve"> des Einkommensteuergesetzbuches 1992 erwähnte vom Arbeitgeber oder Unternehmen gezahlte persönliche Beiträge und Prämien] werden gemäß den Bestimmungen der Artikel 34 und 35 für die Ermäßigung für langfristiges Sparen berücksichtigt.]</w:t>
      </w:r>
    </w:p>
    <w:p w14:paraId="5D0E9A6B" w14:textId="77777777" w:rsidR="005A5BD5" w:rsidRPr="00D4747A" w:rsidRDefault="005A5BD5" w:rsidP="00FB3E9E">
      <w:pPr>
        <w:jc w:val="both"/>
        <w:rPr>
          <w:rFonts w:eastAsia="Calibri"/>
          <w:szCs w:val="22"/>
          <w:lang w:eastAsia="de-DE" w:bidi="de-DE"/>
        </w:rPr>
      </w:pPr>
    </w:p>
    <w:p w14:paraId="1446EBCB" w14:textId="77777777" w:rsidR="005A5BD5" w:rsidRPr="00D4747A" w:rsidRDefault="005A5BD5" w:rsidP="00FB3E9E">
      <w:pPr>
        <w:jc w:val="both"/>
        <w:rPr>
          <w:rFonts w:eastAsia="Calibri"/>
          <w:i/>
          <w:szCs w:val="22"/>
          <w:lang w:eastAsia="de-DE" w:bidi="de-DE"/>
        </w:rPr>
      </w:pPr>
      <w:r w:rsidRPr="00D4747A">
        <w:rPr>
          <w:rFonts w:eastAsia="Calibri"/>
          <w:i/>
          <w:szCs w:val="22"/>
          <w:lang w:eastAsia="de-DE" w:bidi="de-DE"/>
        </w:rPr>
        <w:t>[Art. 63</w:t>
      </w:r>
      <w:r w:rsidRPr="00D4747A">
        <w:rPr>
          <w:rFonts w:eastAsia="Calibri"/>
          <w:i/>
          <w:szCs w:val="22"/>
          <w:vertAlign w:val="superscript"/>
          <w:lang w:eastAsia="de-DE" w:bidi="de-DE"/>
        </w:rPr>
        <w:t>1</w:t>
      </w:r>
      <w:r w:rsidRPr="00D4747A">
        <w:rPr>
          <w:rFonts w:eastAsia="Calibri"/>
          <w:i/>
          <w:szCs w:val="22"/>
          <w:lang w:eastAsia="de-DE" w:bidi="de-DE"/>
        </w:rPr>
        <w:t xml:space="preserve"> abgeändert durch Art. 4 des K.E. vom 1. März 2005 (B.S. vom 9. März 2005)]</w:t>
      </w:r>
    </w:p>
    <w:p w14:paraId="7FD073F4" w14:textId="77777777" w:rsidR="005A5BD5" w:rsidRPr="00D4747A" w:rsidRDefault="005A5BD5" w:rsidP="00FB3E9E">
      <w:pPr>
        <w:jc w:val="both"/>
        <w:rPr>
          <w:rFonts w:eastAsia="Calibri"/>
          <w:szCs w:val="22"/>
          <w:lang w:eastAsia="de-DE" w:bidi="de-DE"/>
        </w:rPr>
      </w:pPr>
    </w:p>
    <w:p w14:paraId="7AFD5418" w14:textId="77777777" w:rsidR="005A5BD5" w:rsidRPr="00D4747A" w:rsidRDefault="005A5BD5" w:rsidP="00FB3E9E">
      <w:pPr>
        <w:jc w:val="both"/>
        <w:rPr>
          <w:rFonts w:eastAsia="Calibri"/>
          <w:szCs w:val="22"/>
          <w:lang w:eastAsia="de-DE" w:bidi="de-DE"/>
        </w:rPr>
      </w:pPr>
    </w:p>
    <w:p w14:paraId="639011AE" w14:textId="18DF7B16" w:rsidR="005A5BD5" w:rsidRPr="00D4747A" w:rsidRDefault="005A5BD5" w:rsidP="00FB3E9E">
      <w:pPr>
        <w:jc w:val="both"/>
        <w:rPr>
          <w:rFonts w:eastAsia="Calibri"/>
          <w:szCs w:val="22"/>
          <w:lang w:eastAsia="de-DE" w:bidi="de-DE"/>
        </w:rPr>
      </w:pPr>
      <w:r w:rsidRPr="00D4747A">
        <w:rPr>
          <w:rFonts w:eastAsia="Calibri"/>
          <w:szCs w:val="22"/>
          <w:lang w:eastAsia="de-DE" w:bidi="de-DE"/>
        </w:rPr>
        <w:tab/>
        <w:t>[</w:t>
      </w:r>
      <w:r w:rsidR="009251F9">
        <w:rPr>
          <w:rFonts w:eastAsia="Calibri"/>
          <w:szCs w:val="22"/>
          <w:lang w:eastAsia="de-DE" w:bidi="de-DE"/>
        </w:rPr>
        <w:t>…</w:t>
      </w:r>
      <w:r w:rsidRPr="00D4747A">
        <w:rPr>
          <w:rFonts w:eastAsia="Calibri"/>
          <w:szCs w:val="22"/>
          <w:lang w:eastAsia="de-DE" w:bidi="de-DE"/>
        </w:rPr>
        <w:t>]</w:t>
      </w:r>
    </w:p>
    <w:p w14:paraId="29032EE2" w14:textId="77777777" w:rsidR="005A5BD5" w:rsidRPr="00D4747A" w:rsidRDefault="005A5BD5" w:rsidP="00FB3E9E">
      <w:pPr>
        <w:jc w:val="both"/>
        <w:rPr>
          <w:rFonts w:eastAsia="Calibri"/>
          <w:szCs w:val="22"/>
          <w:lang w:eastAsia="de-DE" w:bidi="de-DE"/>
        </w:rPr>
      </w:pPr>
    </w:p>
    <w:p w14:paraId="7A2A5270" w14:textId="77777777" w:rsidR="005A5BD5" w:rsidRPr="00D4747A" w:rsidRDefault="005A5BD5" w:rsidP="00FB3E9E">
      <w:pPr>
        <w:jc w:val="both"/>
        <w:rPr>
          <w:rFonts w:eastAsia="Calibri"/>
          <w:i/>
          <w:szCs w:val="22"/>
          <w:lang w:eastAsia="de-DE" w:bidi="de-DE"/>
        </w:rPr>
      </w:pPr>
      <w:r w:rsidRPr="00D4747A">
        <w:rPr>
          <w:rFonts w:eastAsia="Calibri"/>
          <w:i/>
          <w:szCs w:val="22"/>
          <w:lang w:eastAsia="de-DE" w:bidi="de-DE"/>
        </w:rPr>
        <w:t>[Früherer Artikel 63ter eingefügt durch Art. 1 des K.E. vom 24. August 1994 (B.S. vom 6. September 1994), selbst widerrufen durch Art. 20 Nr. 2 des K.E. vom 1. September 1995 (II) (B.S. vom 5. Oktober 1995)]</w:t>
      </w:r>
    </w:p>
    <w:p w14:paraId="44A997AF" w14:textId="77777777" w:rsidR="005A5BD5" w:rsidRDefault="005A5BD5" w:rsidP="00FB3E9E">
      <w:pPr>
        <w:jc w:val="both"/>
        <w:rPr>
          <w:rFonts w:eastAsia="Calibri"/>
          <w:szCs w:val="22"/>
          <w:lang w:eastAsia="de-DE" w:bidi="de-DE"/>
        </w:rPr>
      </w:pPr>
    </w:p>
    <w:p w14:paraId="68E0788B" w14:textId="77777777" w:rsidR="00356AE5" w:rsidRDefault="00356AE5" w:rsidP="00FB3E9E">
      <w:pPr>
        <w:jc w:val="both"/>
        <w:rPr>
          <w:rFonts w:eastAsia="Calibri"/>
          <w:szCs w:val="22"/>
          <w:lang w:eastAsia="de-DE" w:bidi="de-DE"/>
        </w:rPr>
      </w:pPr>
    </w:p>
    <w:p w14:paraId="66D763E3" w14:textId="57315E03" w:rsidR="00356AE5" w:rsidRPr="00D9591C" w:rsidRDefault="00356AE5" w:rsidP="00FB3E9E">
      <w:pPr>
        <w:jc w:val="center"/>
      </w:pPr>
      <w:r>
        <w:rPr>
          <w:rFonts w:eastAsia="Calibri"/>
          <w:szCs w:val="22"/>
          <w:lang w:eastAsia="de-DE" w:bidi="de-DE"/>
        </w:rPr>
        <w:t>[</w:t>
      </w:r>
      <w:r w:rsidRPr="00356AE5">
        <w:rPr>
          <w:i/>
        </w:rPr>
        <w:t>Abschnitt 25bis/1 </w:t>
      </w:r>
      <w:r w:rsidRPr="00D9591C">
        <w:t>- Für eine ergänzende Pension für Selbständige gezahlte Beiträge und Prämien</w:t>
      </w:r>
    </w:p>
    <w:p w14:paraId="701FFAB1" w14:textId="77777777" w:rsidR="00356AE5" w:rsidRPr="00D9591C" w:rsidRDefault="00356AE5" w:rsidP="00FB3E9E">
      <w:pPr>
        <w:ind w:firstLine="708"/>
        <w:jc w:val="both"/>
      </w:pPr>
    </w:p>
    <w:p w14:paraId="15E1427A" w14:textId="77777777" w:rsidR="00356AE5" w:rsidRPr="00D9591C" w:rsidRDefault="00356AE5" w:rsidP="00FB3E9E">
      <w:pPr>
        <w:jc w:val="center"/>
      </w:pPr>
      <w:r w:rsidRPr="00D9591C">
        <w:t>(Artikel 145</w:t>
      </w:r>
      <w:r w:rsidRPr="00D9591C">
        <w:rPr>
          <w:vertAlign w:val="superscript"/>
        </w:rPr>
        <w:t>3/1</w:t>
      </w:r>
      <w:r w:rsidRPr="00D9591C">
        <w:t xml:space="preserve"> des Einkommensteuergesetzbuches 1992)</w:t>
      </w:r>
    </w:p>
    <w:p w14:paraId="7DC004A1" w14:textId="77777777" w:rsidR="00356AE5" w:rsidRDefault="00356AE5" w:rsidP="00FB3E9E">
      <w:pPr>
        <w:jc w:val="both"/>
      </w:pPr>
    </w:p>
    <w:p w14:paraId="65D7A174" w14:textId="7EF225E5" w:rsidR="00356AE5" w:rsidRDefault="00356AE5" w:rsidP="00FB3E9E">
      <w:pPr>
        <w:jc w:val="both"/>
        <w:rPr>
          <w:i/>
        </w:rPr>
      </w:pPr>
      <w:r>
        <w:rPr>
          <w:i/>
        </w:rPr>
        <w:t>[Abschnitt 25bis/1 mit Art. 63</w:t>
      </w:r>
      <w:r w:rsidRPr="00701B70">
        <w:rPr>
          <w:i/>
          <w:vertAlign w:val="superscript"/>
        </w:rPr>
        <w:t>1/1</w:t>
      </w:r>
      <w:r>
        <w:rPr>
          <w:i/>
        </w:rPr>
        <w:t xml:space="preserve"> eingefügt durch Art. 1 des K.E. vom 2. Mai 2</w:t>
      </w:r>
      <w:r w:rsidR="00701B70">
        <w:rPr>
          <w:i/>
        </w:rPr>
        <w:t>019 (I) (B.S. vom 13. Mai 2019)</w:t>
      </w:r>
      <w:r>
        <w:rPr>
          <w:i/>
        </w:rPr>
        <w:t>]</w:t>
      </w:r>
    </w:p>
    <w:p w14:paraId="247FD44E" w14:textId="77777777" w:rsidR="00356AE5" w:rsidRPr="00356AE5" w:rsidRDefault="00356AE5" w:rsidP="00FB3E9E">
      <w:pPr>
        <w:jc w:val="both"/>
        <w:rPr>
          <w:i/>
        </w:rPr>
      </w:pPr>
    </w:p>
    <w:p w14:paraId="73AE0C65" w14:textId="77777777" w:rsidR="00356AE5" w:rsidRDefault="00356AE5" w:rsidP="00FB3E9E">
      <w:pPr>
        <w:jc w:val="both"/>
      </w:pPr>
    </w:p>
    <w:p w14:paraId="067D4F08" w14:textId="2AA4D08F" w:rsidR="00356AE5" w:rsidRPr="00356AE5" w:rsidRDefault="00356AE5" w:rsidP="00FB3E9E">
      <w:pPr>
        <w:jc w:val="both"/>
        <w:rPr>
          <w:rFonts w:eastAsia="Calibri"/>
          <w:szCs w:val="22"/>
          <w:lang w:eastAsia="de-DE" w:bidi="de-DE"/>
        </w:rPr>
      </w:pPr>
      <w:r>
        <w:tab/>
      </w:r>
      <w:r w:rsidRPr="00356AE5">
        <w:rPr>
          <w:b/>
        </w:rPr>
        <w:t>Art. 63</w:t>
      </w:r>
      <w:r w:rsidRPr="00356AE5">
        <w:rPr>
          <w:b/>
          <w:vertAlign w:val="superscript"/>
        </w:rPr>
        <w:t>1/1</w:t>
      </w:r>
      <w:r w:rsidR="00701B70">
        <w:rPr>
          <w:b/>
          <w:vertAlign w:val="superscript"/>
        </w:rPr>
        <w:t xml:space="preserve"> </w:t>
      </w:r>
      <w:r w:rsidRPr="00701B70">
        <w:t>-</w:t>
      </w:r>
      <w:r w:rsidRPr="00D9591C">
        <w:t xml:space="preserve"> Um die Einhaltung der in Artikel 145</w:t>
      </w:r>
      <w:r w:rsidRPr="00D9591C">
        <w:rPr>
          <w:vertAlign w:val="superscript"/>
        </w:rPr>
        <w:t>3/1</w:t>
      </w:r>
      <w:r w:rsidRPr="00D9591C">
        <w:t xml:space="preserve"> § 1 Absatz 1 Nr. 2 des Einkommensteuergesetzbuches 1992 erwähnten Grenzen für Leistungen, die in Kapitalform ausgezahlt werden, zu überprüfen, werden diese Leistungen anhand der in Artikel 35 § 3 Absatz 2 festgelegten Tabelle in Renten umgewandelt.</w:t>
      </w:r>
      <w:r>
        <w:rPr>
          <w:rFonts w:eastAsia="Calibri"/>
          <w:szCs w:val="22"/>
          <w:lang w:eastAsia="de-DE" w:bidi="de-DE"/>
        </w:rPr>
        <w:t>]</w:t>
      </w:r>
    </w:p>
    <w:p w14:paraId="392CFE4C" w14:textId="77777777" w:rsidR="005A5BD5" w:rsidRDefault="005A5BD5" w:rsidP="00FB3E9E">
      <w:pPr>
        <w:jc w:val="both"/>
        <w:rPr>
          <w:rFonts w:eastAsia="Calibri"/>
          <w:i/>
          <w:szCs w:val="22"/>
          <w:lang w:eastAsia="de-DE" w:bidi="de-DE"/>
        </w:rPr>
      </w:pPr>
    </w:p>
    <w:p w14:paraId="57006962" w14:textId="77777777" w:rsidR="00356AE5" w:rsidRPr="00D4747A" w:rsidRDefault="00356AE5" w:rsidP="00FB3E9E">
      <w:pPr>
        <w:jc w:val="both"/>
        <w:rPr>
          <w:rFonts w:eastAsia="Calibri"/>
          <w:i/>
          <w:szCs w:val="22"/>
          <w:lang w:eastAsia="de-DE" w:bidi="de-DE"/>
        </w:rPr>
      </w:pPr>
    </w:p>
    <w:p w14:paraId="512E0C21" w14:textId="77777777" w:rsidR="004C24ED" w:rsidRDefault="004C24ED">
      <w:pPr>
        <w:rPr>
          <w:rFonts w:eastAsia="Calibri"/>
          <w:szCs w:val="22"/>
          <w:lang w:eastAsia="de-DE" w:bidi="de-DE"/>
        </w:rPr>
      </w:pPr>
      <w:r>
        <w:rPr>
          <w:rFonts w:eastAsia="Calibri"/>
          <w:szCs w:val="22"/>
          <w:lang w:eastAsia="de-DE" w:bidi="de-DE"/>
        </w:rPr>
        <w:br w:type="page"/>
      </w:r>
    </w:p>
    <w:p w14:paraId="0E248EC4" w14:textId="53DFF104" w:rsidR="005A5BD5" w:rsidRPr="00D4747A" w:rsidRDefault="005A5BD5" w:rsidP="00FB3E9E">
      <w:pPr>
        <w:jc w:val="both"/>
        <w:rPr>
          <w:rFonts w:eastAsia="Calibri"/>
          <w:szCs w:val="22"/>
          <w:lang w:eastAsia="de-DE" w:bidi="de-DE"/>
        </w:rPr>
      </w:pPr>
      <w:r w:rsidRPr="00D4747A">
        <w:rPr>
          <w:rFonts w:eastAsia="Calibri"/>
          <w:szCs w:val="22"/>
          <w:lang w:eastAsia="de-DE" w:bidi="de-DE"/>
        </w:rPr>
        <w:lastRenderedPageBreak/>
        <w:t>[</w:t>
      </w:r>
      <w:r w:rsidRPr="00D4747A">
        <w:rPr>
          <w:rFonts w:eastAsia="Calibri"/>
          <w:i/>
          <w:szCs w:val="22"/>
          <w:lang w:eastAsia="de-DE" w:bidi="de-DE"/>
        </w:rPr>
        <w:t>Abschnitt 25ter</w:t>
      </w:r>
      <w:r w:rsidRPr="00D4747A">
        <w:rPr>
          <w:rFonts w:eastAsia="Calibri"/>
          <w:szCs w:val="22"/>
          <w:lang w:eastAsia="de-DE" w:bidi="de-DE"/>
        </w:rPr>
        <w:t> - Bedingungen und Modalitäten für die Anwendung der Ermäßigung für langfristiges Sparen in Bezug auf individuelle Lebensversicherungsprämien und Summen, die für Tilgung oder Wiederherstellung von Hypothekenanleihen gezahlt werden</w:t>
      </w:r>
    </w:p>
    <w:p w14:paraId="2B85B0EC" w14:textId="77777777" w:rsidR="005A5BD5" w:rsidRPr="00D4747A" w:rsidRDefault="005A5BD5" w:rsidP="00FB3E9E">
      <w:pPr>
        <w:jc w:val="both"/>
        <w:rPr>
          <w:rFonts w:eastAsia="Calibri"/>
          <w:szCs w:val="22"/>
          <w:lang w:eastAsia="de-DE" w:bidi="de-DE"/>
        </w:rPr>
      </w:pPr>
    </w:p>
    <w:p w14:paraId="42E11EA8" w14:textId="77777777" w:rsidR="005A5BD5" w:rsidRPr="00D4747A" w:rsidRDefault="005A5BD5" w:rsidP="00FB3E9E">
      <w:pPr>
        <w:jc w:val="center"/>
        <w:rPr>
          <w:rFonts w:eastAsia="Calibri"/>
          <w:szCs w:val="22"/>
          <w:lang w:eastAsia="de-DE" w:bidi="de-DE"/>
        </w:rPr>
      </w:pPr>
      <w:r w:rsidRPr="00D4747A">
        <w:rPr>
          <w:rFonts w:eastAsia="Calibri"/>
          <w:szCs w:val="22"/>
          <w:lang w:eastAsia="de-DE" w:bidi="de-DE"/>
        </w:rPr>
        <w:t>(Einkommensteuergesetzbuch 1992, Artikel 145</w:t>
      </w:r>
      <w:r w:rsidRPr="00D4747A">
        <w:rPr>
          <w:rFonts w:eastAsia="Calibri"/>
          <w:szCs w:val="22"/>
          <w:vertAlign w:val="superscript"/>
          <w:lang w:eastAsia="de-DE" w:bidi="de-DE"/>
        </w:rPr>
        <w:t>6</w:t>
      </w:r>
      <w:r w:rsidRPr="00D4747A">
        <w:rPr>
          <w:rFonts w:eastAsia="Calibri"/>
          <w:szCs w:val="22"/>
          <w:lang w:eastAsia="de-DE" w:bidi="de-DE"/>
        </w:rPr>
        <w:t xml:space="preserve"> Absatz 3)</w:t>
      </w:r>
    </w:p>
    <w:p w14:paraId="5161F377" w14:textId="77777777" w:rsidR="005A5BD5" w:rsidRPr="00D4747A" w:rsidRDefault="005A5BD5" w:rsidP="00FB3E9E">
      <w:pPr>
        <w:jc w:val="both"/>
        <w:rPr>
          <w:rFonts w:eastAsia="Calibri"/>
          <w:szCs w:val="22"/>
          <w:lang w:eastAsia="de-DE" w:bidi="de-DE"/>
        </w:rPr>
      </w:pPr>
    </w:p>
    <w:p w14:paraId="35C5ED4E" w14:textId="77777777" w:rsidR="005A5BD5" w:rsidRPr="00D4747A" w:rsidRDefault="005A5BD5" w:rsidP="00FB3E9E">
      <w:pPr>
        <w:jc w:val="both"/>
        <w:rPr>
          <w:rFonts w:eastAsia="Calibri"/>
          <w:i/>
          <w:szCs w:val="22"/>
          <w:lang w:eastAsia="de-DE" w:bidi="de-DE"/>
        </w:rPr>
      </w:pPr>
      <w:r w:rsidRPr="00D4747A">
        <w:rPr>
          <w:rFonts w:eastAsia="Calibri"/>
          <w:i/>
          <w:szCs w:val="22"/>
          <w:lang w:eastAsia="de-DE" w:bidi="de-DE"/>
        </w:rPr>
        <w:t>[Abschnitt 25ter mit den Artikeln 63</w:t>
      </w:r>
      <w:r w:rsidRPr="00D4747A">
        <w:rPr>
          <w:rFonts w:eastAsia="Calibri"/>
          <w:i/>
          <w:szCs w:val="22"/>
          <w:vertAlign w:val="superscript"/>
          <w:lang w:eastAsia="de-DE" w:bidi="de-DE"/>
        </w:rPr>
        <w:t>2</w:t>
      </w:r>
      <w:r w:rsidRPr="00D4747A">
        <w:rPr>
          <w:rFonts w:eastAsia="Calibri"/>
          <w:i/>
          <w:szCs w:val="22"/>
          <w:lang w:eastAsia="de-DE" w:bidi="de-DE"/>
        </w:rPr>
        <w:t xml:space="preserve"> bis 63</w:t>
      </w:r>
      <w:r w:rsidRPr="00D4747A">
        <w:rPr>
          <w:rFonts w:eastAsia="Calibri"/>
          <w:i/>
          <w:szCs w:val="22"/>
          <w:vertAlign w:val="superscript"/>
          <w:lang w:eastAsia="de-DE" w:bidi="de-DE"/>
        </w:rPr>
        <w:t>4</w:t>
      </w:r>
      <w:r w:rsidRPr="00D4747A">
        <w:rPr>
          <w:rFonts w:eastAsia="Calibri"/>
          <w:i/>
          <w:szCs w:val="22"/>
          <w:lang w:eastAsia="de-DE" w:bidi="de-DE"/>
        </w:rPr>
        <w:t xml:space="preserve"> eingefügt durch Art. 10 des K.E. vom 1. September 1995 (II) (B.S. vom 5. Oktober 1995)]</w:t>
      </w:r>
    </w:p>
    <w:p w14:paraId="052D9159" w14:textId="77777777" w:rsidR="005A5BD5" w:rsidRPr="00D4747A" w:rsidRDefault="005A5BD5" w:rsidP="00FB3E9E">
      <w:pPr>
        <w:jc w:val="both"/>
        <w:rPr>
          <w:rFonts w:eastAsia="Calibri"/>
          <w:szCs w:val="22"/>
          <w:lang w:eastAsia="de-DE" w:bidi="de-DE"/>
        </w:rPr>
      </w:pPr>
    </w:p>
    <w:p w14:paraId="402DA5CD" w14:textId="77777777" w:rsidR="005A5BD5" w:rsidRPr="00D4747A" w:rsidRDefault="005A5BD5" w:rsidP="00FB3E9E">
      <w:pPr>
        <w:jc w:val="both"/>
        <w:rPr>
          <w:rFonts w:eastAsia="Calibri"/>
          <w:szCs w:val="22"/>
          <w:lang w:eastAsia="de-DE" w:bidi="de-DE"/>
        </w:rPr>
      </w:pPr>
    </w:p>
    <w:p w14:paraId="323E723B"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63</w:t>
      </w:r>
      <w:r w:rsidRPr="00D4747A">
        <w:rPr>
          <w:rFonts w:eastAsia="Calibri"/>
          <w:b/>
          <w:szCs w:val="22"/>
          <w:vertAlign w:val="superscript"/>
          <w:lang w:eastAsia="de-DE" w:bidi="de-DE"/>
        </w:rPr>
        <w:t>2</w:t>
      </w:r>
      <w:r w:rsidRPr="00D4747A">
        <w:rPr>
          <w:rFonts w:eastAsia="Calibri"/>
          <w:szCs w:val="22"/>
          <w:lang w:eastAsia="de-DE" w:bidi="de-DE"/>
        </w:rPr>
        <w:t> - [Einmalige oder periodische Prämien, die der Steuerpflichtige in Ausführung eines von ihm individuell abgeschlossenen Lebensversicherungsvertrags gezahlt hat, werden in</w:t>
      </w:r>
      <w:r>
        <w:rPr>
          <w:rFonts w:eastAsia="Calibri"/>
          <w:szCs w:val="22"/>
          <w:lang w:eastAsia="de-DE" w:bidi="de-DE"/>
        </w:rPr>
        <w:t xml:space="preserve"> den</w:t>
      </w:r>
      <w:r w:rsidRPr="00D4747A">
        <w:rPr>
          <w:rFonts w:eastAsia="Calibri"/>
          <w:szCs w:val="22"/>
          <w:lang w:eastAsia="de-DE" w:bidi="de-DE"/>
        </w:rPr>
        <w:t xml:space="preserve"> in den Artikeln 145</w:t>
      </w:r>
      <w:r w:rsidRPr="00D4747A">
        <w:rPr>
          <w:rFonts w:eastAsia="Calibri"/>
          <w:szCs w:val="22"/>
          <w:vertAlign w:val="superscript"/>
          <w:lang w:eastAsia="de-DE" w:bidi="de-DE"/>
        </w:rPr>
        <w:t>4</w:t>
      </w:r>
      <w:r w:rsidRPr="00D4747A">
        <w:rPr>
          <w:rFonts w:eastAsia="Calibri"/>
          <w:szCs w:val="22"/>
          <w:lang w:eastAsia="de-DE" w:bidi="de-DE"/>
        </w:rPr>
        <w:t xml:space="preserve"> und 145</w:t>
      </w:r>
      <w:r w:rsidRPr="00D4747A">
        <w:rPr>
          <w:rFonts w:eastAsia="Calibri"/>
          <w:szCs w:val="22"/>
          <w:vertAlign w:val="superscript"/>
          <w:lang w:eastAsia="de-DE" w:bidi="de-DE"/>
        </w:rPr>
        <w:t>6</w:t>
      </w:r>
      <w:r w:rsidRPr="00D4747A">
        <w:rPr>
          <w:rFonts w:eastAsia="Calibri"/>
          <w:szCs w:val="22"/>
          <w:lang w:eastAsia="de-DE" w:bidi="de-DE"/>
        </w:rPr>
        <w:t xml:space="preserve"> Absatz 1 des Einkommensteuergesetz</w:t>
      </w:r>
      <w:r>
        <w:rPr>
          <w:rFonts w:eastAsia="Calibri"/>
          <w:szCs w:val="22"/>
          <w:lang w:eastAsia="de-DE" w:bidi="de-DE"/>
        </w:rPr>
        <w:softHyphen/>
      </w:r>
      <w:r w:rsidRPr="00D4747A">
        <w:rPr>
          <w:rFonts w:eastAsia="Calibri"/>
          <w:szCs w:val="22"/>
          <w:lang w:eastAsia="de-DE" w:bidi="de-DE"/>
        </w:rPr>
        <w:t>buches 1992 vorgesehenen</w:t>
      </w:r>
      <w:r>
        <w:rPr>
          <w:rFonts w:eastAsia="Calibri"/>
          <w:szCs w:val="22"/>
          <w:lang w:eastAsia="de-DE" w:bidi="de-DE"/>
        </w:rPr>
        <w:t xml:space="preserve"> Grenzen</w:t>
      </w:r>
      <w:r w:rsidRPr="00D4747A">
        <w:rPr>
          <w:rFonts w:eastAsia="Calibri"/>
          <w:szCs w:val="22"/>
          <w:lang w:eastAsia="de-DE" w:bidi="de-DE"/>
        </w:rPr>
        <w:t xml:space="preserve"> für die Ermäßigung für langfristiges Sparen nur berücksichtigt, wenn:</w:t>
      </w:r>
    </w:p>
    <w:p w14:paraId="20B10339" w14:textId="77777777" w:rsidR="005A5BD5" w:rsidRPr="00D4747A" w:rsidRDefault="005A5BD5" w:rsidP="00FB3E9E">
      <w:pPr>
        <w:jc w:val="both"/>
        <w:rPr>
          <w:rFonts w:eastAsia="Calibri"/>
          <w:szCs w:val="22"/>
          <w:lang w:eastAsia="de-DE" w:bidi="de-DE"/>
        </w:rPr>
      </w:pPr>
    </w:p>
    <w:p w14:paraId="41D5679E"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 xml:space="preserve">1. die Verträge </w:t>
      </w:r>
      <w:r>
        <w:rPr>
          <w:rFonts w:eastAsia="Calibri"/>
          <w:szCs w:val="22"/>
          <w:lang w:eastAsia="de-DE" w:bidi="de-DE"/>
        </w:rPr>
        <w:t>abgeschlossen</w:t>
      </w:r>
      <w:r w:rsidRPr="00D4747A">
        <w:rPr>
          <w:rFonts w:eastAsia="Calibri"/>
          <w:szCs w:val="22"/>
          <w:lang w:eastAsia="de-DE" w:bidi="de-DE"/>
        </w:rPr>
        <w:t xml:space="preserve"> worden sind:</w:t>
      </w:r>
    </w:p>
    <w:p w14:paraId="32F4DDEF" w14:textId="77777777" w:rsidR="005A5BD5" w:rsidRPr="00D4747A" w:rsidRDefault="005A5BD5" w:rsidP="00FB3E9E">
      <w:pPr>
        <w:jc w:val="both"/>
        <w:rPr>
          <w:rFonts w:eastAsia="Calibri"/>
          <w:szCs w:val="22"/>
          <w:lang w:eastAsia="de-DE" w:bidi="de-DE"/>
        </w:rPr>
      </w:pPr>
    </w:p>
    <w:p w14:paraId="76F2E2E0" w14:textId="77777777" w:rsidR="005A5BD5" w:rsidRDefault="005A5BD5" w:rsidP="00FB3E9E">
      <w:pPr>
        <w:jc w:val="both"/>
        <w:rPr>
          <w:rFonts w:eastAsia="Calibri"/>
          <w:szCs w:val="22"/>
          <w:lang w:eastAsia="de-DE" w:bidi="de-DE"/>
        </w:rPr>
      </w:pPr>
      <w:r w:rsidRPr="00D4747A">
        <w:rPr>
          <w:rFonts w:eastAsia="Calibri"/>
          <w:szCs w:val="22"/>
          <w:lang w:eastAsia="de-DE" w:bidi="de-DE"/>
        </w:rPr>
        <w:tab/>
        <w:t>- bei im Europäischen Wirtschaftsraum ansässigen Unternehmen oder bei im Europäischen Wirtschaftsraum ansässigen Niederlassungen von außerhalb des Europäischen Wirtschaftsraums ansässigen Unternehmen, die Verpflichtungen eingehen, deren Erfüllung von der menschlichen Lebensdauer abhängt,</w:t>
      </w:r>
    </w:p>
    <w:p w14:paraId="5EF6AF66" w14:textId="77777777" w:rsidR="00972E19" w:rsidRDefault="00972E19" w:rsidP="00FB3E9E">
      <w:pPr>
        <w:jc w:val="both"/>
        <w:rPr>
          <w:rFonts w:eastAsia="Calibri"/>
          <w:szCs w:val="22"/>
          <w:lang w:eastAsia="de-DE" w:bidi="de-DE"/>
        </w:rPr>
      </w:pPr>
    </w:p>
    <w:p w14:paraId="38B3B7FE"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 bei öffentlichen oder privaten Vorsorgeeinrichtungen, die durch Sondergesetze geregelt werden,</w:t>
      </w:r>
    </w:p>
    <w:p w14:paraId="61A6603E" w14:textId="77777777" w:rsidR="005A5BD5" w:rsidRPr="00D4747A" w:rsidRDefault="005A5BD5" w:rsidP="004C2C7D">
      <w:pPr>
        <w:tabs>
          <w:tab w:val="left" w:pos="960"/>
        </w:tabs>
        <w:jc w:val="both"/>
        <w:rPr>
          <w:rFonts w:eastAsia="Calibri"/>
          <w:szCs w:val="22"/>
          <w:lang w:eastAsia="de-DE" w:bidi="de-DE"/>
        </w:rPr>
      </w:pPr>
    </w:p>
    <w:p w14:paraId="46C7039D" w14:textId="77777777" w:rsidR="000614F9" w:rsidRPr="00F86574" w:rsidRDefault="005A5BD5" w:rsidP="000614F9">
      <w:pPr>
        <w:ind w:firstLine="708"/>
        <w:jc w:val="both"/>
      </w:pPr>
      <w:r w:rsidRPr="00D4747A">
        <w:rPr>
          <w:rFonts w:eastAsia="Calibri"/>
          <w:szCs w:val="22"/>
          <w:lang w:eastAsia="de-DE" w:bidi="de-DE"/>
        </w:rPr>
        <w:t>2. </w:t>
      </w:r>
      <w:r w:rsidR="000614F9">
        <w:rPr>
          <w:rFonts w:eastAsia="Calibri"/>
          <w:szCs w:val="22"/>
          <w:lang w:eastAsia="de-DE" w:bidi="de-DE"/>
        </w:rPr>
        <w:t>[</w:t>
      </w:r>
      <w:r w:rsidR="000614F9" w:rsidRPr="00F86574">
        <w:t>der Versicherte je nach Fall folgende Bescheinigung oder folgende Bescheinigungen, deren Muster vom Minister der Finanzen oder von seinem Beauftragten festgelegt wird und die vom Versicherer ausgestellt werden, zur Verfügung des Föderalen Öffentlichen Dienstes Finanzen bereithält:</w:t>
      </w:r>
    </w:p>
    <w:p w14:paraId="5BE276C0" w14:textId="77777777" w:rsidR="000614F9" w:rsidRPr="00F86574" w:rsidRDefault="000614F9" w:rsidP="000614F9">
      <w:pPr>
        <w:ind w:firstLine="708"/>
        <w:jc w:val="both"/>
      </w:pPr>
    </w:p>
    <w:p w14:paraId="19F27FFD" w14:textId="77777777" w:rsidR="000614F9" w:rsidRPr="00F86574" w:rsidRDefault="000614F9" w:rsidP="000614F9">
      <w:pPr>
        <w:ind w:firstLine="708"/>
        <w:jc w:val="both"/>
      </w:pPr>
      <w:r w:rsidRPr="00F86574">
        <w:t>A. für vor dem 1. Januar 2016 abgeschlossene Verträge:</w:t>
      </w:r>
    </w:p>
    <w:p w14:paraId="0724D765" w14:textId="77777777" w:rsidR="000614F9" w:rsidRDefault="000614F9" w:rsidP="000614F9">
      <w:pPr>
        <w:pStyle w:val="Paragraphedeliste"/>
        <w:ind w:left="1068"/>
        <w:jc w:val="both"/>
      </w:pPr>
    </w:p>
    <w:p w14:paraId="2B67DFEF" w14:textId="77777777" w:rsidR="000614F9" w:rsidRPr="00F86574" w:rsidRDefault="000614F9" w:rsidP="000614F9">
      <w:pPr>
        <w:ind w:firstLine="708"/>
        <w:jc w:val="both"/>
      </w:pPr>
      <w:r w:rsidRPr="00F86574">
        <w:t>1) einmalige Grundbescheinigung, in der der Versicherer Angaben mitteilt, die belegen, dass der Lebensversicherungsvertrag für die Anwendung der Steuerermäßigung für langfristiges Sparen berücksichtigt werden kann,</w:t>
      </w:r>
    </w:p>
    <w:p w14:paraId="4B06AE0A" w14:textId="77777777" w:rsidR="000614F9" w:rsidRPr="00F86574" w:rsidRDefault="000614F9" w:rsidP="000614F9">
      <w:pPr>
        <w:ind w:firstLine="708"/>
        <w:jc w:val="both"/>
      </w:pPr>
    </w:p>
    <w:p w14:paraId="5A4F83C8" w14:textId="77777777" w:rsidR="000614F9" w:rsidRPr="00F86574" w:rsidRDefault="000614F9" w:rsidP="000614F9">
      <w:pPr>
        <w:ind w:firstLine="708"/>
        <w:jc w:val="both"/>
      </w:pPr>
      <w:r w:rsidRPr="00F86574">
        <w:t>2) jährliche Bescheinigung, in der der Versicherer den Betrag der vom Steuerpflichtigen während des Besteuerungszeitraums gezahlten Prämien und Angaben mitteilt, die notwendig sind, um zu überprüfen, ob die Bedingungen für die Anwendung von Artikel 145</w:t>
      </w:r>
      <w:r w:rsidRPr="00F86574">
        <w:rPr>
          <w:vertAlign w:val="superscript"/>
        </w:rPr>
        <w:t>1</w:t>
      </w:r>
      <w:r w:rsidRPr="00F86574">
        <w:t xml:space="preserve"> Nr. 2 des vorerwähnten Gesetzbuches weiter erfüllt sind,</w:t>
      </w:r>
    </w:p>
    <w:p w14:paraId="467D7F6B" w14:textId="6E943A7B" w:rsidR="003903BC" w:rsidRDefault="003903BC"/>
    <w:p w14:paraId="309700F0" w14:textId="0CC6ECF7" w:rsidR="005A5BD5" w:rsidRPr="007E74E4" w:rsidRDefault="000614F9" w:rsidP="002E4002">
      <w:pPr>
        <w:jc w:val="both"/>
        <w:rPr>
          <w:rFonts w:eastAsia="Calibri"/>
          <w:szCs w:val="22"/>
          <w:lang w:eastAsia="de-DE" w:bidi="de-DE"/>
        </w:rPr>
      </w:pPr>
      <w:r>
        <w:tab/>
      </w:r>
      <w:r w:rsidRPr="00F86574">
        <w:t>B. für ab dem 1. Januar 2016 abgeschlossene Verträge: jährliche Bescheinigung, in der der Versicherer den Betrag der vom Steuerpflichtigen während des Besteuerungszeitraums gezahlten Prämien und Angaben mitteilt, die notwendig sind, um zu überprüfen, ob die Bedingungen für die Anwendung von Artikel 145</w:t>
      </w:r>
      <w:r w:rsidRPr="00F86574">
        <w:rPr>
          <w:vertAlign w:val="superscript"/>
        </w:rPr>
        <w:t>1</w:t>
      </w:r>
      <w:r w:rsidRPr="00F86574">
        <w:t xml:space="preserve"> Nr. 2 des vorerwähnten Gesetzbuches erfüllt </w:t>
      </w:r>
      <w:r w:rsidRPr="007E74E4">
        <w:t>sind.</w:t>
      </w:r>
      <w:r w:rsidRPr="007E74E4">
        <w:rPr>
          <w:rFonts w:eastAsia="Calibri"/>
          <w:szCs w:val="22"/>
          <w:lang w:eastAsia="de-DE" w:bidi="de-DE"/>
        </w:rPr>
        <w:t>]</w:t>
      </w:r>
      <w:r w:rsidR="005A5BD5" w:rsidRPr="007E74E4">
        <w:rPr>
          <w:rFonts w:eastAsia="Calibri"/>
          <w:szCs w:val="22"/>
          <w:lang w:eastAsia="de-DE" w:bidi="de-DE"/>
        </w:rPr>
        <w:t>]</w:t>
      </w:r>
    </w:p>
    <w:p w14:paraId="2C0BB155" w14:textId="77777777" w:rsidR="005A5BD5" w:rsidRPr="007E74E4" w:rsidRDefault="005A5BD5" w:rsidP="004C2C7D">
      <w:pPr>
        <w:tabs>
          <w:tab w:val="left" w:pos="960"/>
        </w:tabs>
        <w:jc w:val="both"/>
        <w:rPr>
          <w:rFonts w:eastAsia="Calibri"/>
          <w:szCs w:val="22"/>
          <w:lang w:eastAsia="de-DE" w:bidi="de-DE"/>
        </w:rPr>
      </w:pPr>
    </w:p>
    <w:p w14:paraId="579EE1EB" w14:textId="77777777" w:rsidR="005A5BD5" w:rsidRPr="007E74E4" w:rsidRDefault="005A5BD5" w:rsidP="004C2C7D">
      <w:pPr>
        <w:tabs>
          <w:tab w:val="left" w:pos="960"/>
        </w:tabs>
        <w:jc w:val="both"/>
        <w:rPr>
          <w:rFonts w:eastAsia="Calibri"/>
          <w:i/>
          <w:szCs w:val="22"/>
          <w:lang w:eastAsia="de-DE" w:bidi="de-DE"/>
        </w:rPr>
      </w:pPr>
      <w:r w:rsidRPr="007E74E4">
        <w:rPr>
          <w:rFonts w:eastAsia="Calibri"/>
          <w:i/>
          <w:szCs w:val="22"/>
          <w:lang w:eastAsia="de-DE" w:bidi="de-DE"/>
        </w:rPr>
        <w:t>[Art. 63</w:t>
      </w:r>
      <w:r w:rsidRPr="007E74E4">
        <w:rPr>
          <w:rFonts w:eastAsia="Calibri"/>
          <w:i/>
          <w:szCs w:val="22"/>
          <w:vertAlign w:val="superscript"/>
          <w:lang w:eastAsia="de-DE" w:bidi="de-DE"/>
        </w:rPr>
        <w:t>2</w:t>
      </w:r>
      <w:r w:rsidRPr="007E74E4">
        <w:rPr>
          <w:rFonts w:eastAsia="Calibri"/>
          <w:i/>
          <w:szCs w:val="22"/>
          <w:lang w:eastAsia="de-DE" w:bidi="de-DE"/>
        </w:rPr>
        <w:t xml:space="preserve"> ersetzt durch Art. 2 des K.E. vom 10. Juni 2006 (B.S. vom 19. Juni 2006)</w:t>
      </w:r>
      <w:r w:rsidR="000614F9" w:rsidRPr="007E74E4">
        <w:rPr>
          <w:rFonts w:eastAsia="Calibri"/>
          <w:i/>
          <w:szCs w:val="22"/>
          <w:lang w:eastAsia="de-DE" w:bidi="de-DE"/>
        </w:rPr>
        <w:t>; einziger Absatz Nr. 2 ersetzt durch Art. 1 des K.E. vom 6. März 2018 (II) (B.S. vom 20. März 2018)</w:t>
      </w:r>
      <w:r w:rsidRPr="007E74E4">
        <w:rPr>
          <w:rFonts w:eastAsia="Calibri"/>
          <w:i/>
          <w:szCs w:val="22"/>
          <w:lang w:eastAsia="de-DE" w:bidi="de-DE"/>
        </w:rPr>
        <w:t>]</w:t>
      </w:r>
    </w:p>
    <w:p w14:paraId="054DDEA0" w14:textId="77777777" w:rsidR="005A5BD5" w:rsidRPr="007E74E4" w:rsidRDefault="005A5BD5" w:rsidP="004C2C7D">
      <w:pPr>
        <w:tabs>
          <w:tab w:val="left" w:pos="960"/>
        </w:tabs>
        <w:jc w:val="both"/>
        <w:rPr>
          <w:rFonts w:eastAsia="Calibri"/>
          <w:szCs w:val="22"/>
          <w:lang w:eastAsia="de-DE" w:bidi="de-DE"/>
        </w:rPr>
      </w:pPr>
    </w:p>
    <w:p w14:paraId="176242F8" w14:textId="77777777" w:rsidR="005A5BD5" w:rsidRPr="007E74E4" w:rsidRDefault="005A5BD5" w:rsidP="004C2C7D">
      <w:pPr>
        <w:tabs>
          <w:tab w:val="left" w:pos="960"/>
        </w:tabs>
        <w:jc w:val="both"/>
        <w:rPr>
          <w:rFonts w:eastAsia="Calibri"/>
          <w:szCs w:val="22"/>
          <w:lang w:eastAsia="de-DE" w:bidi="de-DE"/>
        </w:rPr>
      </w:pPr>
    </w:p>
    <w:p w14:paraId="2FAFE954" w14:textId="7929FFCF" w:rsidR="005A5BD5" w:rsidRPr="00D4747A" w:rsidRDefault="005A5BD5" w:rsidP="002E4002">
      <w:pPr>
        <w:tabs>
          <w:tab w:val="left" w:pos="709"/>
        </w:tabs>
        <w:jc w:val="both"/>
        <w:rPr>
          <w:rFonts w:eastAsia="Calibri"/>
          <w:szCs w:val="22"/>
          <w:lang w:eastAsia="de-DE" w:bidi="de-DE"/>
        </w:rPr>
      </w:pPr>
      <w:r w:rsidRPr="007E74E4">
        <w:rPr>
          <w:rFonts w:eastAsia="Calibri"/>
          <w:szCs w:val="22"/>
          <w:lang w:eastAsia="de-DE" w:bidi="de-DE"/>
        </w:rPr>
        <w:tab/>
      </w:r>
      <w:r w:rsidRPr="007E74E4">
        <w:rPr>
          <w:rFonts w:eastAsia="Calibri"/>
          <w:b/>
          <w:szCs w:val="22"/>
          <w:lang w:eastAsia="de-DE" w:bidi="de-DE"/>
        </w:rPr>
        <w:t>Art. 63</w:t>
      </w:r>
      <w:r w:rsidRPr="007E74E4">
        <w:rPr>
          <w:rFonts w:eastAsia="Calibri"/>
          <w:b/>
          <w:szCs w:val="22"/>
          <w:vertAlign w:val="superscript"/>
          <w:lang w:eastAsia="de-DE" w:bidi="de-DE"/>
        </w:rPr>
        <w:t>3</w:t>
      </w:r>
      <w:r w:rsidRPr="007E74E4">
        <w:rPr>
          <w:rFonts w:eastAsia="Calibri"/>
          <w:szCs w:val="22"/>
          <w:lang w:eastAsia="de-DE" w:bidi="de-DE"/>
        </w:rPr>
        <w:t> - [Summen, die für Tilgung oder Wiederherstellung einer Hypotheken</w:t>
      </w:r>
      <w:r w:rsidRPr="007E74E4">
        <w:rPr>
          <w:rFonts w:eastAsia="Calibri"/>
          <w:szCs w:val="22"/>
          <w:lang w:eastAsia="de-DE" w:bidi="de-DE"/>
        </w:rPr>
        <w:softHyphen/>
        <w:t>anleihe</w:t>
      </w:r>
      <w:r w:rsidRPr="00D4747A">
        <w:rPr>
          <w:rFonts w:eastAsia="Calibri"/>
          <w:szCs w:val="22"/>
          <w:lang w:eastAsia="de-DE" w:bidi="de-DE"/>
        </w:rPr>
        <w:t xml:space="preserve"> gezahlt werden, die aufgenommen wird, um eine [in einem anderen Mitgliedstaat des Europäischen Wirtschaftsraums gelegene] Wohnung zu bauen, zu erwerben oder umzubauen, werden in den in Artikel 145</w:t>
      </w:r>
      <w:r w:rsidRPr="00D4747A">
        <w:rPr>
          <w:rFonts w:eastAsia="Calibri"/>
          <w:szCs w:val="22"/>
          <w:vertAlign w:val="superscript"/>
          <w:lang w:eastAsia="de-DE" w:bidi="de-DE"/>
        </w:rPr>
        <w:t>6</w:t>
      </w:r>
      <w:r w:rsidRPr="00D4747A">
        <w:rPr>
          <w:rFonts w:eastAsia="Calibri"/>
          <w:szCs w:val="22"/>
          <w:lang w:eastAsia="de-DE" w:bidi="de-DE"/>
        </w:rPr>
        <w:t xml:space="preserve"> Absatz 1 und 2 des Einkommen</w:t>
      </w:r>
      <w:r w:rsidRPr="00D4747A">
        <w:rPr>
          <w:rFonts w:eastAsia="Calibri"/>
          <w:szCs w:val="22"/>
          <w:lang w:eastAsia="de-DE" w:bidi="de-DE"/>
        </w:rPr>
        <w:softHyphen/>
        <w:t>steuergesetzbuches 1992 vorgesehenen Grenzen für die Ermäßigung für langfristiges Sparen nur berücksichtigt</w:t>
      </w:r>
      <w:r w:rsidR="007E74E4">
        <w:rPr>
          <w:rFonts w:eastAsia="Calibri"/>
          <w:szCs w:val="22"/>
          <w:lang w:eastAsia="de-DE" w:bidi="de-DE"/>
        </w:rPr>
        <w:t>[</w:t>
      </w:r>
      <w:r w:rsidR="007E74E4" w:rsidRPr="00F86574">
        <w:t>, wenn der Steuerpflichtige je nach Fall folgende Bescheinigung oder folgende Bescheinigungen, deren Muster vom Minister der Finanzen oder von seinem Beauftragten festgelegt wird und die vom Institut, das die Anleihe gewährt hat, ausgestellt werden, zur Verfügung des Föderalen Öffentlichen Dienstes Finanzen bereithält:</w:t>
      </w:r>
      <w:r w:rsidR="007E74E4">
        <w:rPr>
          <w:rFonts w:eastAsia="Calibri"/>
          <w:szCs w:val="22"/>
          <w:lang w:eastAsia="de-DE" w:bidi="de-DE"/>
        </w:rPr>
        <w:t>]</w:t>
      </w:r>
    </w:p>
    <w:p w14:paraId="0A970F10" w14:textId="77777777" w:rsidR="005A5BD5" w:rsidRPr="00D4747A" w:rsidRDefault="005A5BD5" w:rsidP="004C2C7D">
      <w:pPr>
        <w:tabs>
          <w:tab w:val="left" w:pos="960"/>
        </w:tabs>
        <w:jc w:val="both"/>
        <w:rPr>
          <w:rFonts w:eastAsia="Calibri"/>
          <w:szCs w:val="22"/>
          <w:lang w:eastAsia="de-DE" w:bidi="de-DE"/>
        </w:rPr>
      </w:pPr>
    </w:p>
    <w:p w14:paraId="6029A098" w14:textId="77777777" w:rsidR="007E74E4" w:rsidRPr="00F86574" w:rsidRDefault="005A5BD5" w:rsidP="007E74E4">
      <w:pPr>
        <w:ind w:firstLine="708"/>
        <w:jc w:val="both"/>
      </w:pPr>
      <w:r w:rsidRPr="00D4747A">
        <w:rPr>
          <w:rFonts w:eastAsia="Calibri"/>
          <w:szCs w:val="22"/>
          <w:lang w:eastAsia="de-DE" w:bidi="de-DE"/>
        </w:rPr>
        <w:t>1. [</w:t>
      </w:r>
      <w:r w:rsidR="007E74E4" w:rsidRPr="00F86574">
        <w:t>für vor dem 1. Januar 2016 aufgenommene Anleihen:</w:t>
      </w:r>
    </w:p>
    <w:p w14:paraId="3802C182" w14:textId="77777777" w:rsidR="007E74E4" w:rsidRPr="00F86574" w:rsidRDefault="007E74E4" w:rsidP="007E74E4">
      <w:pPr>
        <w:ind w:firstLine="708"/>
        <w:jc w:val="both"/>
      </w:pPr>
    </w:p>
    <w:p w14:paraId="5CC66D58" w14:textId="77777777" w:rsidR="007E74E4" w:rsidRPr="00F86574" w:rsidRDefault="007E74E4" w:rsidP="007E74E4">
      <w:pPr>
        <w:ind w:firstLine="708"/>
        <w:jc w:val="both"/>
      </w:pPr>
      <w:r w:rsidRPr="00F86574">
        <w:rPr>
          <w:i/>
        </w:rPr>
        <w:t>a)</w:t>
      </w:r>
      <w:r w:rsidRPr="00F86574">
        <w:t> einmalige Grundbescheinigung, in der das Institut Angaben mitteilt, die belegen, dass der Anleihevertrag für die Anwendung der Steuerermäßigung für langfristiges Sparen berücksichtigt werden kann,</w:t>
      </w:r>
    </w:p>
    <w:p w14:paraId="435DAFFF" w14:textId="77777777" w:rsidR="007E74E4" w:rsidRPr="00F86574" w:rsidRDefault="007E74E4" w:rsidP="007E74E4">
      <w:pPr>
        <w:jc w:val="both"/>
      </w:pPr>
    </w:p>
    <w:p w14:paraId="7C359A1B" w14:textId="77777777" w:rsidR="007E74E4" w:rsidRPr="00F86574" w:rsidRDefault="007E74E4" w:rsidP="007E74E4">
      <w:pPr>
        <w:ind w:firstLine="708"/>
        <w:jc w:val="both"/>
      </w:pPr>
      <w:r w:rsidRPr="00F86574">
        <w:rPr>
          <w:i/>
        </w:rPr>
        <w:t>b)</w:t>
      </w:r>
      <w:r w:rsidRPr="00F86574">
        <w:t> jährliche Bescheinigung, in der das Institut den Betrag der vom Steuerpflichtigen während des Besteuerungszeitraums getätigten Zahlungen und Angaben mitteilt, die notwendig sind, um zu überprüfen, ob die Bedingungen für die Anwendung von Artikel 145</w:t>
      </w:r>
      <w:r w:rsidRPr="00F86574">
        <w:rPr>
          <w:vertAlign w:val="superscript"/>
        </w:rPr>
        <w:t>1</w:t>
      </w:r>
      <w:r w:rsidRPr="00F86574">
        <w:t xml:space="preserve"> Nr. 3 des vorerwähnten Gesetzbuches weiter erfüllt sind,</w:t>
      </w:r>
    </w:p>
    <w:p w14:paraId="2F660129" w14:textId="77777777" w:rsidR="007E74E4" w:rsidRPr="00F86574" w:rsidRDefault="007E74E4" w:rsidP="007E74E4">
      <w:pPr>
        <w:ind w:firstLine="708"/>
        <w:jc w:val="both"/>
      </w:pPr>
    </w:p>
    <w:p w14:paraId="77474567" w14:textId="77777777" w:rsidR="005A5BD5" w:rsidRPr="00D4747A" w:rsidRDefault="007E74E4" w:rsidP="002E4002">
      <w:pPr>
        <w:tabs>
          <w:tab w:val="left" w:pos="709"/>
        </w:tabs>
        <w:jc w:val="both"/>
        <w:rPr>
          <w:rFonts w:eastAsia="Calibri"/>
          <w:szCs w:val="22"/>
          <w:lang w:eastAsia="de-DE" w:bidi="de-DE"/>
        </w:rPr>
      </w:pPr>
      <w:r>
        <w:tab/>
      </w:r>
      <w:r w:rsidRPr="00F86574">
        <w:t>2. für ab dem 1. Januar 2016 aufgenommene Anleihen einschließlich Anleihen, die ab dem 1. Januar 2016 aufgenommen worden sind, um vor diesem Datum aufgenommene Anleihen zu refinanzieren: jährliche Bescheinigung, in der das Finanzinstitut den Betrag der vom Steuerpflichtigen während des Besteuerungszeitraums getätigten Zahlungen und Angaben mitteilt, die notwendig sind, um zu überprüfen, ob die Bedingungen für die Anwendung von Artikel 145</w:t>
      </w:r>
      <w:r w:rsidRPr="00F86574">
        <w:rPr>
          <w:vertAlign w:val="superscript"/>
        </w:rPr>
        <w:t>1</w:t>
      </w:r>
      <w:r w:rsidRPr="00F86574">
        <w:t xml:space="preserve"> Nr. 3 des vorerwähnten Gesetzbuches erfüllt sind.</w:t>
      </w:r>
      <w:r>
        <w:rPr>
          <w:rFonts w:eastAsia="Calibri"/>
          <w:szCs w:val="22"/>
          <w:lang w:eastAsia="de-DE" w:bidi="de-DE"/>
        </w:rPr>
        <w:t>]</w:t>
      </w:r>
      <w:r w:rsidR="005A5BD5" w:rsidRPr="00D4747A">
        <w:rPr>
          <w:rFonts w:eastAsia="Calibri"/>
          <w:szCs w:val="22"/>
          <w:lang w:eastAsia="de-DE" w:bidi="de-DE"/>
        </w:rPr>
        <w:t>]</w:t>
      </w:r>
    </w:p>
    <w:p w14:paraId="043E7383" w14:textId="77777777" w:rsidR="005A5BD5" w:rsidRPr="00D4747A" w:rsidRDefault="005A5BD5" w:rsidP="002E4002">
      <w:pPr>
        <w:tabs>
          <w:tab w:val="left" w:pos="709"/>
        </w:tabs>
        <w:jc w:val="both"/>
        <w:rPr>
          <w:rFonts w:eastAsia="Calibri"/>
          <w:szCs w:val="22"/>
          <w:lang w:eastAsia="de-DE" w:bidi="de-DE"/>
        </w:rPr>
      </w:pPr>
    </w:p>
    <w:p w14:paraId="6AE21C10" w14:textId="77777777" w:rsidR="005A5BD5" w:rsidRPr="00D4747A" w:rsidRDefault="005A5BD5" w:rsidP="002E4002">
      <w:pPr>
        <w:tabs>
          <w:tab w:val="left" w:pos="709"/>
        </w:tabs>
        <w:jc w:val="both"/>
        <w:rPr>
          <w:rFonts w:eastAsia="Calibri"/>
          <w:i/>
          <w:szCs w:val="22"/>
          <w:lang w:eastAsia="de-DE" w:bidi="de-DE"/>
        </w:rPr>
      </w:pPr>
      <w:r w:rsidRPr="00D4747A">
        <w:rPr>
          <w:rFonts w:eastAsia="Calibri"/>
          <w:i/>
          <w:szCs w:val="22"/>
          <w:lang w:eastAsia="de-DE" w:bidi="de-DE"/>
        </w:rPr>
        <w:t>[Art. 63</w:t>
      </w:r>
      <w:r w:rsidRPr="00D4747A">
        <w:rPr>
          <w:rFonts w:eastAsia="Calibri"/>
          <w:i/>
          <w:szCs w:val="22"/>
          <w:vertAlign w:val="superscript"/>
          <w:lang w:eastAsia="de-DE" w:bidi="de-DE"/>
        </w:rPr>
        <w:t>3</w:t>
      </w:r>
      <w:r w:rsidRPr="00D4747A">
        <w:rPr>
          <w:rFonts w:eastAsia="Calibri"/>
          <w:i/>
          <w:szCs w:val="22"/>
          <w:lang w:eastAsia="de-DE" w:bidi="de-DE"/>
        </w:rPr>
        <w:t xml:space="preserve"> ersetzt durch Art. 1 des K.E. vom 23. Oktober 2003 (B.S. vom 31. Oktober 2003); einziger Absatz einleitende Bestimmung abgeändert durch Art. 5 des K.E. vom 27. Januar 2009 (B.S. vom 3. Februar 2009)</w:t>
      </w:r>
      <w:r w:rsidR="007E74E4">
        <w:rPr>
          <w:rFonts w:eastAsia="Calibri"/>
          <w:i/>
          <w:szCs w:val="22"/>
          <w:lang w:eastAsia="de-DE" w:bidi="de-DE"/>
        </w:rPr>
        <w:t xml:space="preserve"> und Art. 2 Buchstabe a) des K.E. vom 6. März 2018 (II) (B.S. vom 20. März 2018)</w:t>
      </w:r>
      <w:r w:rsidRPr="00D4747A">
        <w:rPr>
          <w:rFonts w:eastAsia="Calibri"/>
          <w:i/>
          <w:szCs w:val="22"/>
          <w:lang w:eastAsia="de-DE" w:bidi="de-DE"/>
        </w:rPr>
        <w:t xml:space="preserve">; einziger Absatz Nr. 1 </w:t>
      </w:r>
      <w:r w:rsidR="007E74E4">
        <w:rPr>
          <w:rFonts w:eastAsia="Calibri"/>
          <w:i/>
          <w:szCs w:val="22"/>
          <w:lang w:eastAsia="de-DE" w:bidi="de-DE"/>
        </w:rPr>
        <w:t xml:space="preserve">und 2 </w:t>
      </w:r>
      <w:r w:rsidRPr="00D4747A">
        <w:rPr>
          <w:rFonts w:eastAsia="Calibri"/>
          <w:i/>
          <w:szCs w:val="22"/>
          <w:lang w:eastAsia="de-DE" w:bidi="de-DE"/>
        </w:rPr>
        <w:t>ersetzt durch Art. </w:t>
      </w:r>
      <w:r w:rsidR="007E74E4">
        <w:rPr>
          <w:rFonts w:eastAsia="Calibri"/>
          <w:i/>
          <w:szCs w:val="22"/>
          <w:lang w:eastAsia="de-DE" w:bidi="de-DE"/>
        </w:rPr>
        <w:t>2 Buchstabe b) des K.E. vom 6. März 2018 (II) (B.S. vom 20. März 2018)</w:t>
      </w:r>
      <w:r w:rsidRPr="00D4747A">
        <w:rPr>
          <w:rFonts w:eastAsia="Calibri"/>
          <w:i/>
          <w:szCs w:val="22"/>
          <w:lang w:eastAsia="de-DE" w:bidi="de-DE"/>
        </w:rPr>
        <w:t>]</w:t>
      </w:r>
    </w:p>
    <w:p w14:paraId="7F5B89D8" w14:textId="77777777" w:rsidR="005A5BD5" w:rsidRPr="00D4747A" w:rsidRDefault="005A5BD5" w:rsidP="002E4002">
      <w:pPr>
        <w:tabs>
          <w:tab w:val="left" w:pos="709"/>
        </w:tabs>
        <w:jc w:val="both"/>
        <w:rPr>
          <w:rFonts w:eastAsia="Calibri"/>
          <w:szCs w:val="22"/>
          <w:lang w:eastAsia="de-DE" w:bidi="de-DE"/>
        </w:rPr>
      </w:pPr>
    </w:p>
    <w:p w14:paraId="75C4235E" w14:textId="77777777" w:rsidR="005A5BD5" w:rsidRPr="00D4747A" w:rsidRDefault="005A5BD5" w:rsidP="002E4002">
      <w:pPr>
        <w:tabs>
          <w:tab w:val="left" w:pos="709"/>
        </w:tabs>
        <w:jc w:val="both"/>
        <w:rPr>
          <w:rFonts w:eastAsia="Calibri"/>
          <w:szCs w:val="22"/>
          <w:lang w:eastAsia="de-DE" w:bidi="de-DE"/>
        </w:rPr>
      </w:pPr>
    </w:p>
    <w:p w14:paraId="008DCFC1" w14:textId="77777777" w:rsidR="005A5BD5" w:rsidRPr="00D4747A" w:rsidRDefault="005A5BD5" w:rsidP="002E4002">
      <w:pPr>
        <w:tabs>
          <w:tab w:val="left" w:pos="709"/>
        </w:tabs>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63</w:t>
      </w:r>
      <w:r w:rsidRPr="00D4747A">
        <w:rPr>
          <w:rFonts w:eastAsia="Calibri"/>
          <w:b/>
          <w:szCs w:val="22"/>
          <w:vertAlign w:val="superscript"/>
          <w:lang w:eastAsia="de-DE" w:bidi="de-DE"/>
        </w:rPr>
        <w:t>4</w:t>
      </w:r>
      <w:r w:rsidRPr="00D4747A">
        <w:rPr>
          <w:rFonts w:eastAsia="Calibri"/>
          <w:szCs w:val="22"/>
          <w:lang w:eastAsia="de-DE" w:bidi="de-DE"/>
        </w:rPr>
        <w:t> - Prämien in Bezug auf einen Vertrag mit unentgeltlicher oder entgeltlicher erfolgsabhängiger Beitragsrückerstattung werden für die Ermäßigung für langfristiges Sparen im Verhältnis zu ihrem Nennbetrag berücksichtigt.]</w:t>
      </w:r>
    </w:p>
    <w:p w14:paraId="36BC56E9" w14:textId="77777777" w:rsidR="00972E19" w:rsidRDefault="00972E19" w:rsidP="004C2C7D">
      <w:pPr>
        <w:tabs>
          <w:tab w:val="left" w:pos="960"/>
        </w:tabs>
        <w:jc w:val="center"/>
        <w:rPr>
          <w:rFonts w:eastAsia="Calibri"/>
          <w:szCs w:val="22"/>
          <w:lang w:eastAsia="de-DE" w:bidi="de-DE"/>
        </w:rPr>
      </w:pPr>
    </w:p>
    <w:p w14:paraId="0D655292" w14:textId="63DD474F" w:rsidR="002E4002" w:rsidRDefault="002E4002">
      <w:pPr>
        <w:rPr>
          <w:rFonts w:eastAsia="Calibri"/>
          <w:szCs w:val="22"/>
          <w:lang w:eastAsia="de-DE" w:bidi="de-DE"/>
        </w:rPr>
      </w:pPr>
    </w:p>
    <w:p w14:paraId="2738552E" w14:textId="77777777" w:rsidR="004C24ED" w:rsidRDefault="004C24ED">
      <w:pPr>
        <w:rPr>
          <w:rFonts w:eastAsia="Calibri"/>
          <w:szCs w:val="22"/>
          <w:lang w:eastAsia="de-DE" w:bidi="de-DE"/>
        </w:rPr>
      </w:pPr>
      <w:r>
        <w:rPr>
          <w:rFonts w:eastAsia="Calibri"/>
          <w:szCs w:val="22"/>
          <w:lang w:eastAsia="de-DE" w:bidi="de-DE"/>
        </w:rPr>
        <w:br w:type="page"/>
      </w:r>
    </w:p>
    <w:p w14:paraId="725F0A33" w14:textId="4794817C" w:rsidR="005A5BD5" w:rsidRPr="00D4747A" w:rsidRDefault="005A5BD5" w:rsidP="004C2C7D">
      <w:pPr>
        <w:tabs>
          <w:tab w:val="left" w:pos="960"/>
        </w:tabs>
        <w:jc w:val="center"/>
        <w:rPr>
          <w:rFonts w:eastAsia="Calibri"/>
          <w:szCs w:val="22"/>
          <w:lang w:eastAsia="de-DE" w:bidi="de-DE"/>
        </w:rPr>
      </w:pPr>
      <w:r w:rsidRPr="00D4747A">
        <w:rPr>
          <w:rFonts w:eastAsia="Calibri"/>
          <w:szCs w:val="22"/>
          <w:lang w:eastAsia="de-DE" w:bidi="de-DE"/>
        </w:rPr>
        <w:lastRenderedPageBreak/>
        <w:t>[</w:t>
      </w:r>
      <w:r w:rsidRPr="00D4747A">
        <w:rPr>
          <w:rFonts w:eastAsia="Calibri"/>
          <w:i/>
          <w:szCs w:val="22"/>
          <w:lang w:eastAsia="de-DE" w:bidi="de-DE"/>
        </w:rPr>
        <w:t>Abschnitt 25quater</w:t>
      </w:r>
      <w:r w:rsidRPr="00D4747A">
        <w:rPr>
          <w:rFonts w:eastAsia="Calibri"/>
          <w:szCs w:val="22"/>
          <w:lang w:eastAsia="de-DE" w:bidi="de-DE"/>
        </w:rPr>
        <w:t> - [Ermäßigung für Pensionssparen - Höchstbetrag - Auskünfte, die in Bezug auf Zahlungen für Pensionssparen zu erteilen sind</w:t>
      </w:r>
    </w:p>
    <w:p w14:paraId="43173366" w14:textId="77777777" w:rsidR="005A5BD5" w:rsidRPr="00D4747A" w:rsidRDefault="005A5BD5" w:rsidP="004C2C7D">
      <w:pPr>
        <w:tabs>
          <w:tab w:val="left" w:pos="960"/>
        </w:tabs>
        <w:jc w:val="center"/>
        <w:rPr>
          <w:rFonts w:eastAsia="Calibri"/>
          <w:szCs w:val="22"/>
          <w:lang w:eastAsia="de-DE" w:bidi="de-DE"/>
        </w:rPr>
      </w:pPr>
    </w:p>
    <w:p w14:paraId="6C1BA70B" w14:textId="77777777" w:rsidR="005A5BD5" w:rsidRPr="00D4747A" w:rsidRDefault="005A5BD5" w:rsidP="004C2C7D">
      <w:pPr>
        <w:tabs>
          <w:tab w:val="left" w:pos="960"/>
        </w:tabs>
        <w:jc w:val="center"/>
        <w:rPr>
          <w:rFonts w:eastAsia="Calibri"/>
          <w:szCs w:val="22"/>
          <w:lang w:eastAsia="de-DE" w:bidi="de-DE"/>
        </w:rPr>
      </w:pPr>
      <w:r w:rsidRPr="00D4747A">
        <w:rPr>
          <w:rFonts w:eastAsia="Calibri"/>
          <w:szCs w:val="22"/>
          <w:lang w:eastAsia="de-DE" w:bidi="de-DE"/>
        </w:rPr>
        <w:t>(Einkommensteuergesetzbuch 1992, Artikel 21 Nr. 8, 145</w:t>
      </w:r>
      <w:r w:rsidRPr="00D4747A">
        <w:rPr>
          <w:rFonts w:eastAsia="Calibri"/>
          <w:szCs w:val="22"/>
          <w:vertAlign w:val="superscript"/>
          <w:lang w:eastAsia="de-DE" w:bidi="de-DE"/>
        </w:rPr>
        <w:t>8</w:t>
      </w:r>
      <w:r w:rsidRPr="00D4747A">
        <w:rPr>
          <w:rFonts w:eastAsia="Calibri"/>
          <w:szCs w:val="22"/>
          <w:lang w:eastAsia="de-DE" w:bidi="de-DE"/>
        </w:rPr>
        <w:t xml:space="preserve"> Absatz 2, 145</w:t>
      </w:r>
      <w:r w:rsidRPr="00D4747A">
        <w:rPr>
          <w:rFonts w:eastAsia="Calibri"/>
          <w:szCs w:val="22"/>
          <w:vertAlign w:val="superscript"/>
          <w:lang w:eastAsia="de-DE" w:bidi="de-DE"/>
        </w:rPr>
        <w:t>10</w:t>
      </w:r>
      <w:r w:rsidRPr="00D4747A">
        <w:rPr>
          <w:rFonts w:eastAsia="Calibri"/>
          <w:szCs w:val="22"/>
          <w:lang w:eastAsia="de-DE" w:bidi="de-DE"/>
        </w:rPr>
        <w:t xml:space="preserve"> Absatz 2, 145</w:t>
      </w:r>
      <w:r w:rsidRPr="00D4747A">
        <w:rPr>
          <w:rFonts w:eastAsia="Calibri"/>
          <w:szCs w:val="22"/>
          <w:vertAlign w:val="superscript"/>
          <w:lang w:eastAsia="de-DE" w:bidi="de-DE"/>
        </w:rPr>
        <w:t>12</w:t>
      </w:r>
      <w:r w:rsidRPr="00D4747A">
        <w:rPr>
          <w:rFonts w:eastAsia="Calibri"/>
          <w:szCs w:val="22"/>
          <w:lang w:eastAsia="de-DE" w:bidi="de-DE"/>
        </w:rPr>
        <w:t xml:space="preserve"> Absatz 6 und 263 Absatz 2)]</w:t>
      </w:r>
    </w:p>
    <w:p w14:paraId="7BE44CC6" w14:textId="77777777" w:rsidR="005A5BD5" w:rsidRPr="00D4747A" w:rsidRDefault="005A5BD5" w:rsidP="004C2C7D">
      <w:pPr>
        <w:tabs>
          <w:tab w:val="left" w:pos="960"/>
        </w:tabs>
        <w:jc w:val="both"/>
        <w:rPr>
          <w:rFonts w:eastAsia="Calibri"/>
          <w:szCs w:val="22"/>
          <w:lang w:eastAsia="de-DE" w:bidi="de-DE"/>
        </w:rPr>
      </w:pPr>
    </w:p>
    <w:p w14:paraId="00624AD5" w14:textId="77777777" w:rsidR="005A5BD5" w:rsidRPr="00D4747A" w:rsidRDefault="005A5BD5" w:rsidP="004C2C7D">
      <w:pPr>
        <w:tabs>
          <w:tab w:val="left" w:pos="960"/>
        </w:tabs>
        <w:jc w:val="both"/>
        <w:rPr>
          <w:rFonts w:eastAsia="Calibri"/>
          <w:i/>
          <w:szCs w:val="22"/>
          <w:lang w:eastAsia="de-DE" w:bidi="de-DE"/>
        </w:rPr>
      </w:pPr>
      <w:r w:rsidRPr="00D4747A">
        <w:rPr>
          <w:rFonts w:eastAsia="Calibri"/>
          <w:i/>
          <w:szCs w:val="22"/>
          <w:lang w:eastAsia="de-DE" w:bidi="de-DE"/>
        </w:rPr>
        <w:t>[Abschnitt 25quater mit Art. 63</w:t>
      </w:r>
      <w:r w:rsidRPr="00D4747A">
        <w:rPr>
          <w:rFonts w:eastAsia="Calibri"/>
          <w:i/>
          <w:szCs w:val="22"/>
          <w:vertAlign w:val="superscript"/>
          <w:lang w:eastAsia="de-DE" w:bidi="de-DE"/>
        </w:rPr>
        <w:t>5</w:t>
      </w:r>
      <w:r w:rsidRPr="00D4747A">
        <w:rPr>
          <w:rFonts w:eastAsia="Calibri"/>
          <w:i/>
          <w:szCs w:val="22"/>
          <w:lang w:eastAsia="de-DE" w:bidi="de-DE"/>
        </w:rPr>
        <w:t xml:space="preserve"> eingefügt durch Art. 11 des K.E. vom 1. September 1995 (II) (B.S. vom 5. Oktober 1995); Überschrift von Abschnitt 25quater ersetzt durch Art. 1 Nr. 1 des K.E. vom 10. November 2005 (B.S. vom 18. November 2005)]</w:t>
      </w:r>
    </w:p>
    <w:p w14:paraId="55DD8D71" w14:textId="77777777" w:rsidR="005A5BD5" w:rsidRPr="00D4747A" w:rsidRDefault="005A5BD5" w:rsidP="004C2C7D">
      <w:pPr>
        <w:tabs>
          <w:tab w:val="left" w:pos="960"/>
        </w:tabs>
        <w:jc w:val="both"/>
        <w:rPr>
          <w:rFonts w:eastAsia="Calibri"/>
          <w:szCs w:val="22"/>
          <w:lang w:eastAsia="de-DE" w:bidi="de-DE"/>
        </w:rPr>
      </w:pPr>
    </w:p>
    <w:p w14:paraId="2F880D82" w14:textId="77777777" w:rsidR="005A5BD5" w:rsidRPr="00D4747A" w:rsidRDefault="005A5BD5" w:rsidP="00FB3E9E">
      <w:pPr>
        <w:jc w:val="both"/>
        <w:rPr>
          <w:rFonts w:eastAsia="Calibri"/>
          <w:b/>
          <w:szCs w:val="22"/>
          <w:lang w:eastAsia="de-DE" w:bidi="de-DE"/>
        </w:rPr>
      </w:pPr>
    </w:p>
    <w:p w14:paraId="117AF3D8"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w:t>
      </w:r>
      <w:r w:rsidRPr="00D4747A">
        <w:rPr>
          <w:rFonts w:eastAsia="Calibri"/>
          <w:b/>
          <w:szCs w:val="22"/>
          <w:lang w:eastAsia="de-DE" w:bidi="de-DE"/>
        </w:rPr>
        <w:t>Art. 63</w:t>
      </w:r>
      <w:r w:rsidRPr="00D4747A">
        <w:rPr>
          <w:rFonts w:eastAsia="Calibri"/>
          <w:b/>
          <w:szCs w:val="22"/>
          <w:vertAlign w:val="superscript"/>
          <w:lang w:eastAsia="de-DE" w:bidi="de-DE"/>
        </w:rPr>
        <w:t>4</w:t>
      </w:r>
      <w:r w:rsidRPr="00D4747A">
        <w:rPr>
          <w:rFonts w:eastAsia="Calibri"/>
          <w:b/>
          <w:i/>
          <w:szCs w:val="22"/>
          <w:lang w:eastAsia="de-DE" w:bidi="de-DE"/>
        </w:rPr>
        <w:t>bis</w:t>
      </w:r>
      <w:r w:rsidRPr="00D4747A">
        <w:rPr>
          <w:rFonts w:eastAsia="Calibri"/>
          <w:szCs w:val="22"/>
          <w:lang w:eastAsia="de-DE" w:bidi="de-DE"/>
        </w:rPr>
        <w:t xml:space="preserve"> - Der in </w:t>
      </w:r>
      <w:r w:rsidR="002B2C96">
        <w:rPr>
          <w:rFonts w:eastAsia="Calibri"/>
          <w:szCs w:val="22"/>
          <w:lang w:eastAsia="de-DE" w:bidi="de-DE"/>
        </w:rPr>
        <w:t>[</w:t>
      </w:r>
      <w:r w:rsidR="002B2C96" w:rsidRPr="00B617CF">
        <w:t>Artikel 145</w:t>
      </w:r>
      <w:r w:rsidR="002B2C96" w:rsidRPr="00B617CF">
        <w:rPr>
          <w:vertAlign w:val="superscript"/>
        </w:rPr>
        <w:t>8</w:t>
      </w:r>
      <w:r w:rsidR="002B2C96" w:rsidRPr="00B617CF">
        <w:t xml:space="preserve"> § 1 Absatz 2</w:t>
      </w:r>
      <w:r w:rsidR="002B2C96">
        <w:rPr>
          <w:rFonts w:eastAsia="Calibri"/>
          <w:szCs w:val="22"/>
          <w:lang w:eastAsia="de-DE" w:bidi="de-DE"/>
        </w:rPr>
        <w:t>]</w:t>
      </w:r>
      <w:r w:rsidRPr="00D4747A">
        <w:rPr>
          <w:rFonts w:eastAsia="Calibri"/>
          <w:szCs w:val="22"/>
          <w:lang w:eastAsia="de-DE" w:bidi="de-DE"/>
        </w:rPr>
        <w:t xml:space="preserve"> des Einkommensteuer</w:t>
      </w:r>
      <w:r w:rsidR="002B2C96">
        <w:rPr>
          <w:rFonts w:eastAsia="Calibri"/>
          <w:szCs w:val="22"/>
          <w:lang w:eastAsia="de-DE" w:bidi="de-DE"/>
        </w:rPr>
        <w:softHyphen/>
      </w:r>
      <w:r w:rsidRPr="00D4747A">
        <w:rPr>
          <w:rFonts w:eastAsia="Calibri"/>
          <w:szCs w:val="22"/>
          <w:lang w:eastAsia="de-DE" w:bidi="de-DE"/>
        </w:rPr>
        <w:t>gesetzbuches 1992 erwähnte Betrag von 500 EUR wird auf 625 EUR erhöht.]</w:t>
      </w:r>
    </w:p>
    <w:p w14:paraId="34E9611D" w14:textId="77777777" w:rsidR="005A5BD5" w:rsidRPr="00D4747A" w:rsidRDefault="005A5BD5" w:rsidP="00FB3E9E">
      <w:pPr>
        <w:jc w:val="both"/>
        <w:rPr>
          <w:rFonts w:eastAsia="Calibri"/>
          <w:szCs w:val="22"/>
          <w:lang w:eastAsia="de-DE" w:bidi="de-DE"/>
        </w:rPr>
      </w:pPr>
    </w:p>
    <w:p w14:paraId="783F5F7C" w14:textId="77777777" w:rsidR="005A5BD5" w:rsidRPr="00D4747A" w:rsidRDefault="005A5BD5" w:rsidP="00FB3E9E">
      <w:pPr>
        <w:jc w:val="both"/>
        <w:rPr>
          <w:rFonts w:eastAsia="Calibri"/>
          <w:i/>
          <w:szCs w:val="22"/>
          <w:lang w:eastAsia="de-DE" w:bidi="de-DE"/>
        </w:rPr>
      </w:pPr>
      <w:r w:rsidRPr="00D4747A">
        <w:rPr>
          <w:rFonts w:eastAsia="Calibri"/>
          <w:i/>
          <w:szCs w:val="22"/>
          <w:lang w:eastAsia="de-DE" w:bidi="de-DE"/>
        </w:rPr>
        <w:t>[Art. 63</w:t>
      </w:r>
      <w:r w:rsidRPr="00D4747A">
        <w:rPr>
          <w:rFonts w:eastAsia="Calibri"/>
          <w:i/>
          <w:szCs w:val="22"/>
          <w:vertAlign w:val="superscript"/>
          <w:lang w:eastAsia="de-DE" w:bidi="de-DE"/>
        </w:rPr>
        <w:t>4</w:t>
      </w:r>
      <w:r w:rsidRPr="00D4747A">
        <w:rPr>
          <w:rFonts w:eastAsia="Calibri"/>
          <w:i/>
          <w:szCs w:val="22"/>
          <w:lang w:eastAsia="de-DE" w:bidi="de-DE"/>
        </w:rPr>
        <w:t>bis eingefügt durch Art. 1 Nr. 2 des K.E. vom 10. November 2005 (B.S. vom 18. November 2005)</w:t>
      </w:r>
      <w:r w:rsidR="002B2C96">
        <w:rPr>
          <w:rFonts w:eastAsia="Calibri"/>
          <w:i/>
          <w:szCs w:val="22"/>
          <w:lang w:eastAsia="de-DE" w:bidi="de-DE"/>
        </w:rPr>
        <w:t xml:space="preserve"> und abgeändert durch Art. 4 des K.E. vom </w:t>
      </w:r>
      <w:r w:rsidR="005024BD">
        <w:rPr>
          <w:rFonts w:eastAsia="Calibri"/>
          <w:i/>
          <w:szCs w:val="22"/>
          <w:lang w:eastAsia="de-DE" w:bidi="de-DE"/>
        </w:rPr>
        <w:t>22. Mai 2017 (II)</w:t>
      </w:r>
      <w:r w:rsidR="002B2C96">
        <w:rPr>
          <w:rFonts w:eastAsia="Calibri"/>
          <w:i/>
          <w:szCs w:val="22"/>
          <w:lang w:eastAsia="de-DE" w:bidi="de-DE"/>
        </w:rPr>
        <w:t xml:space="preserve"> (B.S. vom 6. Juni 2017)</w:t>
      </w:r>
      <w:r w:rsidRPr="00D4747A">
        <w:rPr>
          <w:rFonts w:eastAsia="Calibri"/>
          <w:i/>
          <w:szCs w:val="22"/>
          <w:lang w:eastAsia="de-DE" w:bidi="de-DE"/>
        </w:rPr>
        <w:t>]</w:t>
      </w:r>
    </w:p>
    <w:p w14:paraId="323F22F7" w14:textId="77777777" w:rsidR="005A5BD5" w:rsidRPr="00D4747A" w:rsidRDefault="005A5BD5" w:rsidP="00FB3E9E">
      <w:pPr>
        <w:jc w:val="both"/>
        <w:rPr>
          <w:rFonts w:eastAsia="Calibri"/>
          <w:i/>
          <w:szCs w:val="22"/>
          <w:lang w:eastAsia="de-DE" w:bidi="de-DE"/>
        </w:rPr>
      </w:pPr>
    </w:p>
    <w:p w14:paraId="3B2D2E94" w14:textId="77777777" w:rsidR="005A5BD5" w:rsidRPr="00D4747A" w:rsidRDefault="005A5BD5" w:rsidP="00FB3E9E">
      <w:pPr>
        <w:jc w:val="both"/>
        <w:rPr>
          <w:rFonts w:eastAsia="Calibri"/>
          <w:szCs w:val="22"/>
          <w:lang w:eastAsia="de-DE" w:bidi="de-DE"/>
        </w:rPr>
      </w:pPr>
    </w:p>
    <w:p w14:paraId="42544279" w14:textId="797EA977" w:rsidR="005A5BD5" w:rsidRPr="00D4747A" w:rsidRDefault="005A5BD5" w:rsidP="00E54B0C">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63</w:t>
      </w:r>
      <w:r w:rsidRPr="00D4747A">
        <w:rPr>
          <w:rFonts w:eastAsia="Calibri"/>
          <w:b/>
          <w:szCs w:val="22"/>
          <w:vertAlign w:val="superscript"/>
          <w:lang w:eastAsia="de-DE" w:bidi="de-DE"/>
        </w:rPr>
        <w:t>5</w:t>
      </w:r>
      <w:r w:rsidRPr="00D4747A">
        <w:rPr>
          <w:rFonts w:eastAsia="Calibri"/>
          <w:szCs w:val="22"/>
          <w:lang w:eastAsia="de-DE" w:bidi="de-DE"/>
        </w:rPr>
        <w:t xml:space="preserve"> - </w:t>
      </w:r>
      <w:r w:rsidR="00E54B0C">
        <w:rPr>
          <w:rFonts w:eastAsia="Calibri"/>
          <w:szCs w:val="22"/>
          <w:lang w:eastAsia="de-DE" w:bidi="de-DE"/>
        </w:rPr>
        <w:t>[</w:t>
      </w:r>
      <w:r w:rsidR="00E54B0C" w:rsidRPr="00B50BE7">
        <w:t>Binnen zwei Monaten nach jedem Kalenderjahr, in dem Zahlungen für Pensionssparen erfolgt sind, müssen die in Artikel 145</w:t>
      </w:r>
      <w:r w:rsidR="00E54B0C" w:rsidRPr="00B50BE7">
        <w:rPr>
          <w:vertAlign w:val="superscript"/>
        </w:rPr>
        <w:t>15</w:t>
      </w:r>
      <w:r w:rsidR="00E54B0C" w:rsidRPr="00B50BE7">
        <w:t xml:space="preserve"> des Einkommensteuergesetzbuches 1992 erwähnten Institute und Unternehmen der Generalverwaltung Steuerwesen elektronisch eine Kopie der Bescheinigung übermitteln, die sie jedem Inhaber eines Sparkontos oder Unterzeichner eines Sparversicherungsvertrags ausgestellt haben und deren Muster in Ausführung von Artikel 145</w:t>
      </w:r>
      <w:r w:rsidR="00E54B0C" w:rsidRPr="00B50BE7">
        <w:rPr>
          <w:vertAlign w:val="superscript"/>
        </w:rPr>
        <w:t>9</w:t>
      </w:r>
      <w:r w:rsidR="00E54B0C" w:rsidRPr="00B50BE7">
        <w:t xml:space="preserve"> Absatz 1 Nr. 3 desselben Gesetzbuches vom Minister der Finanzen oder von seinem Beauftragten festgelegt wird.</w:t>
      </w:r>
      <w:r w:rsidR="00E54B0C">
        <w:rPr>
          <w:rFonts w:eastAsia="Calibri"/>
          <w:szCs w:val="22"/>
          <w:lang w:eastAsia="de-DE" w:bidi="de-DE"/>
        </w:rPr>
        <w:t>]</w:t>
      </w:r>
      <w:r w:rsidRPr="00D4747A">
        <w:rPr>
          <w:rFonts w:eastAsia="Calibri"/>
          <w:szCs w:val="22"/>
          <w:lang w:eastAsia="de-DE" w:bidi="de-DE"/>
        </w:rPr>
        <w:t>]</w:t>
      </w:r>
    </w:p>
    <w:p w14:paraId="3586E2EA" w14:textId="77777777" w:rsidR="005A5BD5" w:rsidRDefault="005A5BD5" w:rsidP="00FB3E9E">
      <w:pPr>
        <w:jc w:val="both"/>
        <w:rPr>
          <w:rFonts w:eastAsia="Calibri"/>
          <w:szCs w:val="22"/>
          <w:lang w:eastAsia="de-DE" w:bidi="de-DE"/>
        </w:rPr>
      </w:pPr>
    </w:p>
    <w:p w14:paraId="03DFD780" w14:textId="43AAB10F" w:rsidR="00E54B0C" w:rsidRDefault="00E54B0C" w:rsidP="00FB3E9E">
      <w:pPr>
        <w:jc w:val="both"/>
        <w:rPr>
          <w:i/>
        </w:rPr>
      </w:pPr>
      <w:r>
        <w:rPr>
          <w:rFonts w:eastAsia="Calibri"/>
          <w:i/>
          <w:szCs w:val="22"/>
          <w:lang w:eastAsia="de-DE" w:bidi="de-DE"/>
        </w:rPr>
        <w:t>[Art. 63</w:t>
      </w:r>
      <w:r w:rsidRPr="00E54B0C">
        <w:rPr>
          <w:rFonts w:eastAsia="Calibri"/>
          <w:i/>
          <w:szCs w:val="22"/>
          <w:vertAlign w:val="superscript"/>
          <w:lang w:eastAsia="de-DE" w:bidi="de-DE"/>
        </w:rPr>
        <w:t>5</w:t>
      </w:r>
      <w:r>
        <w:rPr>
          <w:rFonts w:eastAsia="Calibri"/>
          <w:i/>
          <w:szCs w:val="22"/>
          <w:lang w:eastAsia="de-DE" w:bidi="de-DE"/>
        </w:rPr>
        <w:t xml:space="preserve"> ersetzt durch Art. 2</w:t>
      </w:r>
      <w:r>
        <w:rPr>
          <w:i/>
        </w:rPr>
        <w:t xml:space="preserve"> des K.E. vom 28. Juni 2019 (II) (B.S. vom 8. Juli 2019)]</w:t>
      </w:r>
    </w:p>
    <w:p w14:paraId="065756DB" w14:textId="77777777" w:rsidR="00E54B0C" w:rsidRPr="00E54B0C" w:rsidRDefault="00E54B0C" w:rsidP="00FB3E9E">
      <w:pPr>
        <w:jc w:val="both"/>
        <w:rPr>
          <w:rFonts w:eastAsia="Calibri"/>
          <w:i/>
          <w:szCs w:val="22"/>
          <w:lang w:eastAsia="de-DE" w:bidi="de-DE"/>
        </w:rPr>
      </w:pPr>
    </w:p>
    <w:p w14:paraId="12BC0560" w14:textId="77777777" w:rsidR="005A5BD5" w:rsidRPr="00D4747A" w:rsidRDefault="005A5BD5" w:rsidP="00FB3E9E">
      <w:pPr>
        <w:jc w:val="both"/>
        <w:rPr>
          <w:rFonts w:eastAsia="Calibri"/>
          <w:szCs w:val="22"/>
          <w:lang w:eastAsia="de-DE" w:bidi="de-DE"/>
        </w:rPr>
      </w:pPr>
    </w:p>
    <w:p w14:paraId="5226E999" w14:textId="08C98B66" w:rsidR="005A5BD5" w:rsidRPr="00D4747A" w:rsidRDefault="005A5BD5" w:rsidP="00FB3E9E">
      <w:pPr>
        <w:jc w:val="center"/>
        <w:rPr>
          <w:rFonts w:eastAsia="Calibri"/>
          <w:szCs w:val="22"/>
          <w:lang w:eastAsia="de-DE" w:bidi="de-DE"/>
        </w:rPr>
      </w:pPr>
      <w:r w:rsidRPr="00D4747A">
        <w:rPr>
          <w:rFonts w:eastAsia="Calibri"/>
          <w:szCs w:val="22"/>
          <w:lang w:eastAsia="de-DE" w:bidi="de-DE"/>
        </w:rPr>
        <w:t>[</w:t>
      </w:r>
      <w:r w:rsidRPr="00D4747A">
        <w:rPr>
          <w:rFonts w:eastAsia="Calibri"/>
          <w:i/>
          <w:szCs w:val="22"/>
          <w:lang w:eastAsia="de-DE" w:bidi="de-DE"/>
        </w:rPr>
        <w:t>Abschnitt 25quinquies</w:t>
      </w:r>
      <w:r w:rsidRPr="00D4747A">
        <w:rPr>
          <w:rFonts w:eastAsia="Calibri"/>
          <w:szCs w:val="22"/>
          <w:lang w:eastAsia="de-DE" w:bidi="de-DE"/>
        </w:rPr>
        <w:t> - Bedingungen für die Erteilung und Aufrechterhaltung der Zulassung von Pensionssparfonds</w:t>
      </w:r>
    </w:p>
    <w:p w14:paraId="39DC757D" w14:textId="77777777" w:rsidR="005A5BD5" w:rsidRPr="00D4747A" w:rsidRDefault="005A5BD5" w:rsidP="00FB3E9E">
      <w:pPr>
        <w:jc w:val="center"/>
        <w:rPr>
          <w:rFonts w:eastAsia="Calibri"/>
          <w:szCs w:val="22"/>
          <w:lang w:eastAsia="de-DE" w:bidi="de-DE"/>
        </w:rPr>
      </w:pPr>
    </w:p>
    <w:p w14:paraId="59940D42" w14:textId="77777777" w:rsidR="005A5BD5" w:rsidRPr="00D4747A" w:rsidRDefault="005A5BD5" w:rsidP="00FB3E9E">
      <w:pPr>
        <w:jc w:val="center"/>
        <w:rPr>
          <w:rFonts w:eastAsia="Calibri"/>
          <w:szCs w:val="22"/>
          <w:lang w:eastAsia="de-DE" w:bidi="de-DE"/>
        </w:rPr>
      </w:pPr>
      <w:r w:rsidRPr="00D4747A">
        <w:rPr>
          <w:rFonts w:eastAsia="Calibri"/>
          <w:szCs w:val="22"/>
          <w:lang w:eastAsia="de-DE" w:bidi="de-DE"/>
        </w:rPr>
        <w:t>(Einkommensteuergesetzbuch 1992, Artikel 145</w:t>
      </w:r>
      <w:r w:rsidRPr="00D4747A">
        <w:rPr>
          <w:rFonts w:eastAsia="Calibri"/>
          <w:szCs w:val="22"/>
          <w:vertAlign w:val="superscript"/>
          <w:lang w:eastAsia="de-DE" w:bidi="de-DE"/>
        </w:rPr>
        <w:t>16</w:t>
      </w:r>
      <w:r w:rsidRPr="00D4747A">
        <w:rPr>
          <w:rFonts w:eastAsia="Calibri"/>
          <w:szCs w:val="22"/>
          <w:lang w:eastAsia="de-DE" w:bidi="de-DE"/>
        </w:rPr>
        <w:t xml:space="preserve"> Nr. 1)</w:t>
      </w:r>
    </w:p>
    <w:p w14:paraId="1FCD7671" w14:textId="77777777" w:rsidR="005A5BD5" w:rsidRPr="00D4747A" w:rsidRDefault="005A5BD5" w:rsidP="00FB3E9E">
      <w:pPr>
        <w:jc w:val="both"/>
        <w:rPr>
          <w:rFonts w:eastAsia="Calibri"/>
          <w:szCs w:val="22"/>
          <w:lang w:eastAsia="de-DE" w:bidi="de-DE"/>
        </w:rPr>
      </w:pPr>
    </w:p>
    <w:p w14:paraId="2845A23F" w14:textId="77777777" w:rsidR="005A5BD5" w:rsidRPr="00D4747A" w:rsidRDefault="005A5BD5" w:rsidP="00FB3E9E">
      <w:pPr>
        <w:jc w:val="both"/>
        <w:rPr>
          <w:rFonts w:eastAsia="Calibri"/>
          <w:i/>
          <w:szCs w:val="22"/>
          <w:lang w:eastAsia="de-DE" w:bidi="de-DE"/>
        </w:rPr>
      </w:pPr>
      <w:r w:rsidRPr="00D4747A">
        <w:rPr>
          <w:rFonts w:eastAsia="Calibri"/>
          <w:i/>
          <w:szCs w:val="22"/>
          <w:lang w:eastAsia="de-DE" w:bidi="de-DE"/>
        </w:rPr>
        <w:t>[Abschnitt 25quinquies mit den Artikeln 63</w:t>
      </w:r>
      <w:r w:rsidRPr="00D4747A">
        <w:rPr>
          <w:rFonts w:eastAsia="Calibri"/>
          <w:i/>
          <w:szCs w:val="22"/>
          <w:vertAlign w:val="superscript"/>
          <w:lang w:eastAsia="de-DE" w:bidi="de-DE"/>
        </w:rPr>
        <w:t>6</w:t>
      </w:r>
      <w:r w:rsidRPr="00D4747A">
        <w:rPr>
          <w:rFonts w:eastAsia="Calibri"/>
          <w:i/>
          <w:szCs w:val="22"/>
          <w:lang w:eastAsia="de-DE" w:bidi="de-DE"/>
        </w:rPr>
        <w:t xml:space="preserve"> bis 63</w:t>
      </w:r>
      <w:r w:rsidRPr="00D4747A">
        <w:rPr>
          <w:rFonts w:eastAsia="Calibri"/>
          <w:i/>
          <w:szCs w:val="22"/>
          <w:vertAlign w:val="superscript"/>
          <w:lang w:eastAsia="de-DE" w:bidi="de-DE"/>
        </w:rPr>
        <w:t>9</w:t>
      </w:r>
      <w:r w:rsidRPr="00D4747A">
        <w:rPr>
          <w:rFonts w:eastAsia="Calibri"/>
          <w:i/>
          <w:szCs w:val="22"/>
          <w:lang w:eastAsia="de-DE" w:bidi="de-DE"/>
        </w:rPr>
        <w:t xml:space="preserve"> eingefügt durch Art. 12 des K.E. vom 1. September 1995 (II) (B.S. vom 5. Oktober 1995)]</w:t>
      </w:r>
    </w:p>
    <w:p w14:paraId="126E1285" w14:textId="77777777" w:rsidR="005A5BD5" w:rsidRPr="00D4747A" w:rsidRDefault="005A5BD5" w:rsidP="00FB3E9E">
      <w:pPr>
        <w:jc w:val="both"/>
        <w:rPr>
          <w:rFonts w:eastAsia="Calibri"/>
          <w:szCs w:val="22"/>
          <w:lang w:eastAsia="de-DE" w:bidi="de-DE"/>
        </w:rPr>
      </w:pPr>
    </w:p>
    <w:p w14:paraId="23C944AC" w14:textId="77777777" w:rsidR="005A5BD5" w:rsidRPr="00D4747A" w:rsidRDefault="005A5BD5" w:rsidP="00FB3E9E">
      <w:pPr>
        <w:jc w:val="both"/>
        <w:rPr>
          <w:rFonts w:eastAsia="Calibri"/>
          <w:szCs w:val="22"/>
          <w:lang w:eastAsia="de-DE" w:bidi="de-DE"/>
        </w:rPr>
      </w:pPr>
    </w:p>
    <w:p w14:paraId="7B5C317A"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63</w:t>
      </w:r>
      <w:r w:rsidRPr="00D4747A">
        <w:rPr>
          <w:rFonts w:eastAsia="Calibri"/>
          <w:b/>
          <w:szCs w:val="22"/>
          <w:vertAlign w:val="superscript"/>
          <w:lang w:eastAsia="de-DE" w:bidi="de-DE"/>
        </w:rPr>
        <w:t>6</w:t>
      </w:r>
      <w:r w:rsidRPr="00D4747A">
        <w:rPr>
          <w:rFonts w:eastAsia="Calibri"/>
          <w:szCs w:val="22"/>
          <w:lang w:eastAsia="de-DE" w:bidi="de-DE"/>
        </w:rPr>
        <w:t> - § 1 - Dem Antrag, den eine Verwaltungsgesellschaft für die Anwendung von Artikel 145</w:t>
      </w:r>
      <w:r w:rsidRPr="00D4747A">
        <w:rPr>
          <w:rFonts w:eastAsia="Calibri"/>
          <w:szCs w:val="22"/>
          <w:vertAlign w:val="superscript"/>
          <w:lang w:eastAsia="de-DE" w:bidi="de-DE"/>
        </w:rPr>
        <w:t>16</w:t>
      </w:r>
      <w:r w:rsidRPr="00D4747A">
        <w:rPr>
          <w:rFonts w:eastAsia="Calibri"/>
          <w:szCs w:val="22"/>
          <w:lang w:eastAsia="de-DE" w:bidi="de-DE"/>
        </w:rPr>
        <w:t xml:space="preserve"> Nr. 1 des Einkommensteuergesetzbuches 1992 im Hinblick auf die Zulassung eines belgischen Investmentfonds als Pensionssparfonds einreicht, legt diese Gesellschaft Folgendes bei:</w:t>
      </w:r>
    </w:p>
    <w:p w14:paraId="1AE321F7" w14:textId="77777777" w:rsidR="005A5BD5" w:rsidRPr="00D4747A" w:rsidRDefault="005A5BD5" w:rsidP="00FB3E9E">
      <w:pPr>
        <w:jc w:val="both"/>
        <w:rPr>
          <w:rFonts w:eastAsia="Calibri"/>
          <w:szCs w:val="22"/>
          <w:lang w:eastAsia="de-DE" w:bidi="de-DE"/>
        </w:rPr>
      </w:pPr>
    </w:p>
    <w:p w14:paraId="169AB1F6"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 xml:space="preserve">1. von [der Autorität Finanzielle Dienste und Märkte] ausgestellte Bescheinigung, wonach dieser Fonds </w:t>
      </w:r>
      <w:r w:rsidR="005611C2">
        <w:rPr>
          <w:rFonts w:eastAsia="Calibri"/>
          <w:szCs w:val="22"/>
          <w:lang w:eastAsia="de-DE" w:bidi="de-DE"/>
        </w:rPr>
        <w:t>[</w:t>
      </w:r>
      <w:r w:rsidR="007C4292" w:rsidRPr="00B617CF">
        <w:t xml:space="preserve">gemäß </w:t>
      </w:r>
      <w:r w:rsidR="00DE1915">
        <w:t>[</w:t>
      </w:r>
      <w:r w:rsidR="00DE1915" w:rsidRPr="00037993">
        <w:t>den Artikeln 30 bis 33 des Gesetzes vom 3. August 2012 über Organismen für gemeinsame Anlagen, die die Bedingungen der Richtlinie 2009/65/EG erfüllen, und Organismen für Anlagen in Forderungen oder</w:t>
      </w:r>
      <w:r w:rsidR="00DE1915">
        <w:t xml:space="preserve">] </w:t>
      </w:r>
      <w:r w:rsidR="007C4292" w:rsidRPr="00B617CF">
        <w:t xml:space="preserve">den Artikeln 197 bis 200 des Gesetzes vom 19. April 2014 über alternative Organismen für gemeinsame Anlagen und ihre </w:t>
      </w:r>
      <w:r w:rsidR="007C4292" w:rsidRPr="00B617CF">
        <w:lastRenderedPageBreak/>
        <w:t>Verwalter im Verzeichnis der zugelassenen belgischen Organismen für gemeinsame Anlagen</w:t>
      </w:r>
      <w:r w:rsidR="005611C2">
        <w:rPr>
          <w:rFonts w:eastAsia="Calibri"/>
          <w:szCs w:val="22"/>
          <w:lang w:eastAsia="de-DE" w:bidi="de-DE"/>
        </w:rPr>
        <w:t>]</w:t>
      </w:r>
      <w:r w:rsidRPr="00D4747A">
        <w:rPr>
          <w:rFonts w:eastAsia="Calibri"/>
          <w:szCs w:val="22"/>
          <w:lang w:eastAsia="de-DE" w:bidi="de-DE"/>
        </w:rPr>
        <w:t xml:space="preserve"> im Verzeichnis der belgischen Organismen für Anlagen eingetragen ist,</w:t>
      </w:r>
    </w:p>
    <w:p w14:paraId="47A9EACE" w14:textId="77777777" w:rsidR="005A5BD5" w:rsidRPr="00D4747A" w:rsidRDefault="005A5BD5" w:rsidP="00FB3E9E">
      <w:pPr>
        <w:jc w:val="both"/>
        <w:rPr>
          <w:rFonts w:eastAsia="Calibri"/>
          <w:szCs w:val="22"/>
          <w:lang w:eastAsia="de-DE" w:bidi="de-DE"/>
        </w:rPr>
      </w:pPr>
    </w:p>
    <w:p w14:paraId="5CA1C2C4"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2. gegebenenfalls koordinierter Text der Satzung der Verwaltungsgesellschaft,</w:t>
      </w:r>
    </w:p>
    <w:p w14:paraId="44B9C28D" w14:textId="77777777" w:rsidR="005A5BD5" w:rsidRPr="00D4747A" w:rsidRDefault="005A5BD5" w:rsidP="00FB3E9E">
      <w:pPr>
        <w:jc w:val="both"/>
        <w:rPr>
          <w:rFonts w:eastAsia="Calibri"/>
          <w:szCs w:val="22"/>
          <w:lang w:eastAsia="de-DE" w:bidi="de-DE"/>
        </w:rPr>
      </w:pPr>
    </w:p>
    <w:p w14:paraId="256983E6" w14:textId="423AC693" w:rsidR="005A5BD5" w:rsidRPr="00D4747A" w:rsidRDefault="005A5BD5" w:rsidP="00FB3E9E">
      <w:pPr>
        <w:jc w:val="both"/>
        <w:rPr>
          <w:rFonts w:eastAsia="Calibri"/>
          <w:szCs w:val="22"/>
          <w:lang w:eastAsia="de-DE" w:bidi="de-DE"/>
        </w:rPr>
      </w:pPr>
      <w:r w:rsidRPr="00D4747A">
        <w:rPr>
          <w:rFonts w:eastAsia="Calibri"/>
          <w:szCs w:val="22"/>
          <w:lang w:eastAsia="de-DE" w:bidi="de-DE"/>
        </w:rPr>
        <w:tab/>
        <w:t xml:space="preserve">3. Verzeichnis der Aktionäre der Verwaltungsgesellschaft und Beteiligung jedes dieser Aktionäre am </w:t>
      </w:r>
      <w:r w:rsidR="00960344">
        <w:rPr>
          <w:rFonts w:eastAsia="Calibri"/>
          <w:szCs w:val="22"/>
          <w:lang w:eastAsia="de-DE" w:bidi="de-DE"/>
        </w:rPr>
        <w:t>[K</w:t>
      </w:r>
      <w:r w:rsidRPr="00D4747A">
        <w:rPr>
          <w:rFonts w:eastAsia="Calibri"/>
          <w:szCs w:val="22"/>
          <w:lang w:eastAsia="de-DE" w:bidi="de-DE"/>
        </w:rPr>
        <w:t>apital</w:t>
      </w:r>
      <w:r w:rsidR="00960344">
        <w:rPr>
          <w:rFonts w:eastAsia="Calibri"/>
          <w:szCs w:val="22"/>
          <w:lang w:eastAsia="de-DE" w:bidi="de-DE"/>
        </w:rPr>
        <w:t>]</w:t>
      </w:r>
      <w:r w:rsidRPr="00D4747A">
        <w:rPr>
          <w:rFonts w:eastAsia="Calibri"/>
          <w:szCs w:val="22"/>
          <w:lang w:eastAsia="de-DE" w:bidi="de-DE"/>
        </w:rPr>
        <w:t>,</w:t>
      </w:r>
    </w:p>
    <w:p w14:paraId="5BF5DEE0" w14:textId="77777777" w:rsidR="005A5BD5" w:rsidRPr="00D4747A" w:rsidRDefault="005A5BD5" w:rsidP="00FB3E9E">
      <w:pPr>
        <w:jc w:val="both"/>
        <w:rPr>
          <w:rFonts w:eastAsia="Calibri"/>
          <w:szCs w:val="22"/>
          <w:lang w:eastAsia="de-DE" w:bidi="de-DE"/>
        </w:rPr>
      </w:pPr>
    </w:p>
    <w:p w14:paraId="02742CCB"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4. sofern vorhanden, die letzten drei Jahresabschlüsse der Verwaltungsgesellschaft,</w:t>
      </w:r>
    </w:p>
    <w:p w14:paraId="3DE70D10" w14:textId="77777777" w:rsidR="005A5BD5" w:rsidRPr="00D4747A" w:rsidRDefault="005A5BD5" w:rsidP="00FB3E9E">
      <w:pPr>
        <w:jc w:val="both"/>
        <w:rPr>
          <w:rFonts w:eastAsia="Calibri"/>
          <w:szCs w:val="22"/>
          <w:lang w:eastAsia="de-DE" w:bidi="de-DE"/>
        </w:rPr>
      </w:pPr>
    </w:p>
    <w:p w14:paraId="63ECE3D2"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5. Namen, Vornamen, Wohnsitz und Staatsangehörigkeit der Verwalter, Direktoren und mit der täglichen Geschäftsführung der Verwaltungsgesellschaft beauftragten Personen,</w:t>
      </w:r>
    </w:p>
    <w:p w14:paraId="11ECEB4C" w14:textId="77777777" w:rsidR="005A5BD5" w:rsidRPr="00D4747A" w:rsidRDefault="005A5BD5" w:rsidP="00FB3E9E">
      <w:pPr>
        <w:jc w:val="both"/>
        <w:rPr>
          <w:rFonts w:eastAsia="Calibri"/>
          <w:szCs w:val="22"/>
          <w:lang w:eastAsia="de-DE" w:bidi="de-DE"/>
        </w:rPr>
      </w:pPr>
    </w:p>
    <w:p w14:paraId="490B8DB0"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 xml:space="preserve">6. Verpflichtung der Verwaltungsgesellschaft, die Aktiva dieses Fonds und Einkünfte aus diesen Aktiva nach Abzug der Aufwendungen </w:t>
      </w:r>
      <w:r w:rsidR="007C4292">
        <w:rPr>
          <w:rFonts w:eastAsia="Calibri"/>
          <w:szCs w:val="22"/>
          <w:lang w:eastAsia="de-DE" w:bidi="de-DE"/>
        </w:rPr>
        <w:t>[</w:t>
      </w:r>
      <w:r w:rsidR="00DE1915" w:rsidRPr="00037993">
        <w:t>gemäß Teil II des vorerwähnten Gesetzes vom 3. August 2012 und seinen Ausführungserlassen, wenn der Fonds in dem in Artikel 33 desselben Gesetzes erwähnten Verzeichnis eingetragen ist, oder gemäß Teil II und Teil III des vorerwähnten Gesetzes vom 19. April 2014 und seinen Ausführungserlassen, wenn der Fonds in dem in Artikel 200 desselben Gesetzes erwähnten Verzeichnis eingetragen ist,</w:t>
      </w:r>
      <w:r w:rsidR="00DE1915">
        <w:t>]</w:t>
      </w:r>
      <w:r w:rsidRPr="00D4747A">
        <w:rPr>
          <w:rFonts w:eastAsia="Calibri"/>
          <w:szCs w:val="22"/>
          <w:lang w:eastAsia="de-DE" w:bidi="de-DE"/>
        </w:rPr>
        <w:t xml:space="preserve"> und unter Einhaltung der in Artikel 145</w:t>
      </w:r>
      <w:r w:rsidRPr="00D4747A">
        <w:rPr>
          <w:rFonts w:eastAsia="Calibri"/>
          <w:szCs w:val="22"/>
          <w:vertAlign w:val="superscript"/>
          <w:lang w:eastAsia="de-DE" w:bidi="de-DE"/>
        </w:rPr>
        <w:t>11</w:t>
      </w:r>
      <w:r w:rsidRPr="00D4747A">
        <w:rPr>
          <w:rFonts w:eastAsia="Calibri"/>
          <w:szCs w:val="22"/>
          <w:lang w:eastAsia="de-DE" w:bidi="de-DE"/>
        </w:rPr>
        <w:t xml:space="preserve"> desselben Gesetzbuches vorgesehenen Bedingungen anzulegen,</w:t>
      </w:r>
    </w:p>
    <w:p w14:paraId="5B4772ED" w14:textId="77777777" w:rsidR="005A5BD5" w:rsidRPr="00D4747A" w:rsidRDefault="005A5BD5" w:rsidP="00FB3E9E">
      <w:pPr>
        <w:jc w:val="both"/>
        <w:rPr>
          <w:rFonts w:eastAsia="Calibri"/>
          <w:szCs w:val="22"/>
          <w:lang w:eastAsia="de-DE" w:bidi="de-DE"/>
        </w:rPr>
      </w:pPr>
    </w:p>
    <w:p w14:paraId="5F10CDB4" w14:textId="77777777" w:rsidR="005A5BD5" w:rsidRPr="00DE1915" w:rsidRDefault="005A5BD5" w:rsidP="00FB3E9E">
      <w:pPr>
        <w:jc w:val="both"/>
        <w:rPr>
          <w:rFonts w:eastAsia="Calibri"/>
          <w:spacing w:val="-2"/>
          <w:szCs w:val="22"/>
          <w:lang w:eastAsia="de-DE" w:bidi="de-DE"/>
        </w:rPr>
      </w:pPr>
      <w:r w:rsidRPr="00DE1915">
        <w:rPr>
          <w:rFonts w:eastAsia="Calibri"/>
          <w:spacing w:val="-2"/>
          <w:szCs w:val="22"/>
          <w:lang w:eastAsia="de-DE" w:bidi="de-DE"/>
        </w:rPr>
        <w:tab/>
        <w:t>7. Namen, Vornamen und Wohnsitz eines Kommissar-Revisors, der unein</w:t>
      </w:r>
      <w:r w:rsidR="00DE1915" w:rsidRPr="00DE1915">
        <w:rPr>
          <w:rFonts w:eastAsia="Calibri"/>
          <w:spacing w:val="-2"/>
          <w:szCs w:val="22"/>
          <w:lang w:eastAsia="de-DE" w:bidi="de-DE"/>
        </w:rPr>
        <w:softHyphen/>
      </w:r>
      <w:r w:rsidRPr="00DE1915">
        <w:rPr>
          <w:rFonts w:eastAsia="Calibri"/>
          <w:spacing w:val="-2"/>
          <w:szCs w:val="22"/>
          <w:lang w:eastAsia="de-DE" w:bidi="de-DE"/>
        </w:rPr>
        <w:t>ge</w:t>
      </w:r>
      <w:r w:rsidR="00DE1915" w:rsidRPr="00DE1915">
        <w:rPr>
          <w:rFonts w:eastAsia="Calibri"/>
          <w:spacing w:val="-2"/>
          <w:szCs w:val="22"/>
          <w:lang w:eastAsia="de-DE" w:bidi="de-DE"/>
        </w:rPr>
        <w:softHyphen/>
      </w:r>
      <w:r w:rsidRPr="00DE1915">
        <w:rPr>
          <w:rFonts w:eastAsia="Calibri"/>
          <w:spacing w:val="-2"/>
          <w:szCs w:val="22"/>
          <w:lang w:eastAsia="de-DE" w:bidi="de-DE"/>
        </w:rPr>
        <w:t>schränkten Zugang hat zu Unterlagen und Urkunden der Verwaltungsgesellschaft und zu Unterlagen und Urkunden des Verwahrers mit Bezug auf Verwahrungen von Effekten und Wert</w:t>
      </w:r>
      <w:r w:rsidR="00DE1915">
        <w:rPr>
          <w:rFonts w:eastAsia="Calibri"/>
          <w:spacing w:val="-2"/>
          <w:szCs w:val="22"/>
          <w:lang w:eastAsia="de-DE" w:bidi="de-DE"/>
        </w:rPr>
        <w:softHyphen/>
      </w:r>
      <w:r w:rsidRPr="00DE1915">
        <w:rPr>
          <w:rFonts w:eastAsia="Calibri"/>
          <w:spacing w:val="-2"/>
          <w:szCs w:val="22"/>
          <w:lang w:eastAsia="de-DE" w:bidi="de-DE"/>
        </w:rPr>
        <w:t>papieren, zusammen mit der Zustimmung des Verwahrers zu diesem uneingeschränkten Zugang,</w:t>
      </w:r>
    </w:p>
    <w:p w14:paraId="22B069E7" w14:textId="77777777" w:rsidR="005A5BD5" w:rsidRPr="00D4747A" w:rsidRDefault="005A5BD5" w:rsidP="00FB3E9E">
      <w:pPr>
        <w:jc w:val="both"/>
        <w:rPr>
          <w:rFonts w:eastAsia="Calibri"/>
          <w:szCs w:val="22"/>
          <w:lang w:eastAsia="de-DE" w:bidi="de-DE"/>
        </w:rPr>
      </w:pPr>
    </w:p>
    <w:p w14:paraId="64DB91E4"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8. Bescheinigung des Fondsverwahrers, in der er:</w:t>
      </w:r>
    </w:p>
    <w:p w14:paraId="5678C2E6" w14:textId="77777777" w:rsidR="005A5BD5" w:rsidRPr="00D4747A" w:rsidRDefault="005A5BD5" w:rsidP="00FB3E9E">
      <w:pPr>
        <w:jc w:val="both"/>
        <w:rPr>
          <w:rFonts w:eastAsia="Calibri"/>
          <w:szCs w:val="22"/>
          <w:lang w:eastAsia="de-DE" w:bidi="de-DE"/>
        </w:rPr>
      </w:pPr>
    </w:p>
    <w:p w14:paraId="71D9E10C"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 xml:space="preserve">- sich dazu verpflichtet, allen seinen Verpflichtungen </w:t>
      </w:r>
      <w:r w:rsidR="00DE1915">
        <w:rPr>
          <w:rFonts w:eastAsia="Calibri"/>
          <w:szCs w:val="22"/>
          <w:lang w:eastAsia="de-DE" w:bidi="de-DE"/>
        </w:rPr>
        <w:t>[</w:t>
      </w:r>
      <w:r w:rsidR="00DE1915" w:rsidRPr="00037993">
        <w:t>gemäß Teil II Buch II Titel 2 Kapitel 2 Abschnitt 2 Unterabschnitt 4 des vorerwähnten Gesetzes vom 3. August 2012 und</w:t>
      </w:r>
      <w:r w:rsidR="00DE1915">
        <w:rPr>
          <w:rFonts w:eastAsia="Calibri"/>
          <w:szCs w:val="22"/>
          <w:lang w:eastAsia="de-DE" w:bidi="de-DE"/>
        </w:rPr>
        <w:t xml:space="preserve">] </w:t>
      </w:r>
      <w:r w:rsidR="007C4292">
        <w:rPr>
          <w:rFonts w:eastAsia="Calibri"/>
          <w:szCs w:val="22"/>
          <w:lang w:eastAsia="de-DE" w:bidi="de-DE"/>
        </w:rPr>
        <w:t>[</w:t>
      </w:r>
      <w:r w:rsidR="007C4292" w:rsidRPr="00B617CF">
        <w:t>gemäß Teil II Buch I Titel I Kapitel 3 Abschnitt 2 Unterabschnitt 1 Buchstabe C des vorerwähnten Gesetzes vom 19. April 2014</w:t>
      </w:r>
      <w:r w:rsidR="007C4292">
        <w:rPr>
          <w:rFonts w:eastAsia="Calibri"/>
          <w:szCs w:val="22"/>
          <w:lang w:eastAsia="de-DE" w:bidi="de-DE"/>
        </w:rPr>
        <w:t>]</w:t>
      </w:r>
      <w:r w:rsidRPr="00D4747A">
        <w:rPr>
          <w:rFonts w:eastAsia="Calibri"/>
          <w:szCs w:val="22"/>
          <w:lang w:eastAsia="de-DE" w:bidi="de-DE"/>
        </w:rPr>
        <w:t xml:space="preserve"> nachzukommen,</w:t>
      </w:r>
    </w:p>
    <w:p w14:paraId="4E9B6DFD" w14:textId="77777777" w:rsidR="005A5BD5" w:rsidRPr="00D4747A" w:rsidRDefault="005A5BD5" w:rsidP="00FB3E9E">
      <w:pPr>
        <w:jc w:val="both"/>
        <w:rPr>
          <w:rFonts w:eastAsia="Calibri"/>
          <w:szCs w:val="22"/>
          <w:lang w:eastAsia="de-DE" w:bidi="de-DE"/>
        </w:rPr>
      </w:pPr>
    </w:p>
    <w:p w14:paraId="3BD75AA7"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 eventuelle Sicherheiten beschreibt, die er den Anteilinhabern gewährt hat,</w:t>
      </w:r>
    </w:p>
    <w:p w14:paraId="4FBD870B" w14:textId="77777777" w:rsidR="005A5BD5" w:rsidRPr="00D4747A" w:rsidRDefault="005A5BD5" w:rsidP="00FB3E9E">
      <w:pPr>
        <w:jc w:val="both"/>
        <w:rPr>
          <w:rFonts w:eastAsia="Calibri"/>
          <w:szCs w:val="22"/>
          <w:lang w:eastAsia="de-DE" w:bidi="de-DE"/>
        </w:rPr>
      </w:pPr>
    </w:p>
    <w:p w14:paraId="34F28AB0"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 mit der Verwaltungsgesellschaft getroffene Vereinbarungen beschreibt,</w:t>
      </w:r>
    </w:p>
    <w:p w14:paraId="57BF45AC" w14:textId="77777777" w:rsidR="005A5BD5" w:rsidRPr="00D4747A" w:rsidRDefault="005A5BD5" w:rsidP="00FB3E9E">
      <w:pPr>
        <w:jc w:val="both"/>
        <w:rPr>
          <w:rFonts w:eastAsia="Calibri"/>
          <w:szCs w:val="22"/>
          <w:lang w:eastAsia="de-DE" w:bidi="de-DE"/>
        </w:rPr>
      </w:pPr>
    </w:p>
    <w:p w14:paraId="5FE0B91D"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 sich dazu verpflichtet, dem Minister der Finanzen alle diesbezüglichen Änderungen mitzuteilen.</w:t>
      </w:r>
    </w:p>
    <w:p w14:paraId="4B2A8160" w14:textId="77777777" w:rsidR="005A5BD5" w:rsidRPr="00D4747A" w:rsidRDefault="005A5BD5" w:rsidP="00FB3E9E">
      <w:pPr>
        <w:jc w:val="both"/>
        <w:rPr>
          <w:rFonts w:eastAsia="Calibri"/>
          <w:szCs w:val="22"/>
          <w:lang w:eastAsia="de-DE" w:bidi="de-DE"/>
        </w:rPr>
      </w:pPr>
    </w:p>
    <w:p w14:paraId="38B212AC"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 2 - Damit die Zulassungsakte ständig fortgeschrieben werden kann, unterrichtet die Verwaltungsgesellschaft den Minister der Finanzen unverzüglich über Änderungen, die in den Unterlagen, die dem Antrag beiliegen, vorzunehmen sind und übermittelt ihm die Jahresabschlüsse, sobald die Generalversammlung sie gebilligt hat.</w:t>
      </w:r>
    </w:p>
    <w:p w14:paraId="22831F50" w14:textId="77777777" w:rsidR="005A5BD5" w:rsidRPr="00D4747A" w:rsidRDefault="005A5BD5" w:rsidP="00FB3E9E">
      <w:pPr>
        <w:jc w:val="both"/>
        <w:rPr>
          <w:rFonts w:eastAsia="Calibri"/>
          <w:szCs w:val="22"/>
          <w:lang w:eastAsia="de-DE" w:bidi="de-DE"/>
        </w:rPr>
      </w:pPr>
    </w:p>
    <w:p w14:paraId="1B54F6D6" w14:textId="17321E39" w:rsidR="005A5BD5" w:rsidRPr="007C4292" w:rsidRDefault="005A5BD5" w:rsidP="00FB3E9E">
      <w:pPr>
        <w:jc w:val="both"/>
        <w:rPr>
          <w:rFonts w:eastAsia="Calibri"/>
          <w:szCs w:val="22"/>
          <w:lang w:eastAsia="de-DE" w:bidi="de-DE"/>
        </w:rPr>
      </w:pPr>
      <w:r w:rsidRPr="00D4747A">
        <w:rPr>
          <w:rFonts w:eastAsia="Calibri"/>
          <w:i/>
          <w:szCs w:val="22"/>
          <w:lang w:eastAsia="de-DE" w:bidi="de-DE"/>
        </w:rPr>
        <w:t>[Art. 63</w:t>
      </w:r>
      <w:r w:rsidRPr="00D4747A">
        <w:rPr>
          <w:rFonts w:eastAsia="Calibri"/>
          <w:i/>
          <w:szCs w:val="22"/>
          <w:vertAlign w:val="superscript"/>
          <w:lang w:eastAsia="de-DE" w:bidi="de-DE"/>
        </w:rPr>
        <w:t>6</w:t>
      </w:r>
      <w:r w:rsidRPr="00D4747A">
        <w:rPr>
          <w:rFonts w:eastAsia="Calibri"/>
          <w:i/>
          <w:szCs w:val="22"/>
          <w:lang w:eastAsia="de-DE" w:bidi="de-DE"/>
        </w:rPr>
        <w:t xml:space="preserve"> § 1 einziger Absatz Nr. 1 abgeändert durch Art. 1 des K.E. vom 1. September 2006 (II) (B.S. vom 15. September 2006)</w:t>
      </w:r>
      <w:r w:rsidR="007C4292">
        <w:rPr>
          <w:rFonts w:eastAsia="Calibri"/>
          <w:i/>
          <w:szCs w:val="22"/>
          <w:lang w:eastAsia="de-DE" w:bidi="de-DE"/>
        </w:rPr>
        <w:t>,</w:t>
      </w:r>
      <w:r w:rsidRPr="00D4747A">
        <w:rPr>
          <w:rFonts w:eastAsia="Calibri"/>
          <w:i/>
          <w:szCs w:val="22"/>
          <w:lang w:eastAsia="de-DE" w:bidi="de-DE"/>
        </w:rPr>
        <w:t xml:space="preserve"> Art. 331 Abs. 2 des K.E. vom 3. März 2011 (B.S. vom 9. März 2011)</w:t>
      </w:r>
      <w:r w:rsidR="00DE1915">
        <w:rPr>
          <w:rFonts w:eastAsia="Calibri"/>
          <w:i/>
          <w:szCs w:val="22"/>
          <w:lang w:eastAsia="de-DE" w:bidi="de-DE"/>
        </w:rPr>
        <w:t>,</w:t>
      </w:r>
      <w:r w:rsidR="007C4292">
        <w:rPr>
          <w:rFonts w:eastAsia="Calibri"/>
          <w:i/>
          <w:szCs w:val="22"/>
          <w:lang w:eastAsia="de-DE" w:bidi="de-DE"/>
        </w:rPr>
        <w:t xml:space="preserve"> Art. 5 Nr. 1 des K.E. vom </w:t>
      </w:r>
      <w:r w:rsidR="005024BD">
        <w:rPr>
          <w:rFonts w:eastAsia="Calibri"/>
          <w:i/>
          <w:szCs w:val="22"/>
          <w:lang w:eastAsia="de-DE" w:bidi="de-DE"/>
        </w:rPr>
        <w:t>22. Mai 2017 (II)</w:t>
      </w:r>
      <w:r w:rsidR="007C4292">
        <w:rPr>
          <w:rFonts w:eastAsia="Calibri"/>
          <w:i/>
          <w:szCs w:val="22"/>
          <w:lang w:eastAsia="de-DE" w:bidi="de-DE"/>
        </w:rPr>
        <w:t xml:space="preserve"> (B.S. vom 6. Juni 2017)</w:t>
      </w:r>
      <w:r w:rsidR="00DE1915">
        <w:rPr>
          <w:rFonts w:eastAsia="Calibri"/>
          <w:i/>
          <w:szCs w:val="22"/>
          <w:lang w:eastAsia="de-DE" w:bidi="de-DE"/>
        </w:rPr>
        <w:t xml:space="preserve"> und Art. 1 Buchstabe a) des K.E. vom 25. Dezember 2017 (B.S. vom 29. Dezember 2017)</w:t>
      </w:r>
      <w:r w:rsidR="007C4292">
        <w:rPr>
          <w:rFonts w:eastAsia="Calibri"/>
          <w:i/>
          <w:szCs w:val="22"/>
          <w:lang w:eastAsia="de-DE" w:bidi="de-DE"/>
        </w:rPr>
        <w:t xml:space="preserve">; </w:t>
      </w:r>
      <w:r w:rsidR="00960344">
        <w:rPr>
          <w:rFonts w:eastAsia="Calibri"/>
          <w:i/>
          <w:szCs w:val="22"/>
          <w:lang w:eastAsia="de-DE" w:bidi="de-DE"/>
        </w:rPr>
        <w:t>§ 1 einziger Absatz Nr. 3 abgeändert durch Art. 8 des K.E. vom 29. August 2019</w:t>
      </w:r>
      <w:r w:rsidR="00865C4C">
        <w:rPr>
          <w:rFonts w:eastAsia="Calibri"/>
          <w:i/>
          <w:szCs w:val="22"/>
          <w:lang w:eastAsia="de-DE" w:bidi="de-DE"/>
        </w:rPr>
        <w:t> (I)</w:t>
      </w:r>
      <w:r w:rsidR="00960344">
        <w:rPr>
          <w:rFonts w:eastAsia="Calibri"/>
          <w:i/>
          <w:szCs w:val="22"/>
          <w:lang w:eastAsia="de-DE" w:bidi="de-DE"/>
        </w:rPr>
        <w:t xml:space="preserve"> (B.S. vom </w:t>
      </w:r>
      <w:r w:rsidR="00960344">
        <w:rPr>
          <w:rFonts w:eastAsia="Calibri"/>
          <w:i/>
          <w:szCs w:val="22"/>
          <w:lang w:eastAsia="de-DE" w:bidi="de-DE"/>
        </w:rPr>
        <w:lastRenderedPageBreak/>
        <w:t xml:space="preserve">13. September 2019); </w:t>
      </w:r>
      <w:r w:rsidR="007C4292">
        <w:rPr>
          <w:rFonts w:eastAsia="Calibri"/>
          <w:i/>
          <w:szCs w:val="22"/>
          <w:lang w:eastAsia="de-DE" w:bidi="de-DE"/>
        </w:rPr>
        <w:t xml:space="preserve">§ 1 einziger Absatz Nr. 6 abgeändert durch Art. 5 Nr. 2 des K.E. vom </w:t>
      </w:r>
      <w:r w:rsidR="005024BD">
        <w:rPr>
          <w:rFonts w:eastAsia="Calibri"/>
          <w:i/>
          <w:szCs w:val="22"/>
          <w:lang w:eastAsia="de-DE" w:bidi="de-DE"/>
        </w:rPr>
        <w:t>22. Mai 2017 (II)</w:t>
      </w:r>
      <w:r w:rsidR="007C4292">
        <w:rPr>
          <w:rFonts w:eastAsia="Calibri"/>
          <w:i/>
          <w:szCs w:val="22"/>
          <w:lang w:eastAsia="de-DE" w:bidi="de-DE"/>
        </w:rPr>
        <w:t xml:space="preserve"> (B.S. vom 6. Juni 2017)</w:t>
      </w:r>
      <w:r w:rsidR="00DE1915">
        <w:rPr>
          <w:rFonts w:eastAsia="Calibri"/>
          <w:i/>
          <w:szCs w:val="22"/>
          <w:lang w:eastAsia="de-DE" w:bidi="de-DE"/>
        </w:rPr>
        <w:t xml:space="preserve"> und Art. 1 Buchstabe b) des K.E. vom 25. Dezember 2017 (B.S. vom 29. Dezember 2017)</w:t>
      </w:r>
      <w:r w:rsidR="007C4292">
        <w:rPr>
          <w:rFonts w:eastAsia="Calibri"/>
          <w:i/>
          <w:szCs w:val="22"/>
          <w:lang w:eastAsia="de-DE" w:bidi="de-DE"/>
        </w:rPr>
        <w:t xml:space="preserve">; § 1 einziger Absatz Nr. 8 einziger Absatz erster Gedankenstrich abgeändert durch Art. 5 Nr. 3 des K.E. vom </w:t>
      </w:r>
      <w:r w:rsidR="005024BD">
        <w:rPr>
          <w:rFonts w:eastAsia="Calibri"/>
          <w:i/>
          <w:szCs w:val="22"/>
          <w:lang w:eastAsia="de-DE" w:bidi="de-DE"/>
        </w:rPr>
        <w:t>22. Mai 2017 (II)</w:t>
      </w:r>
      <w:r w:rsidR="007C4292">
        <w:rPr>
          <w:rFonts w:eastAsia="Calibri"/>
          <w:i/>
          <w:szCs w:val="22"/>
          <w:lang w:eastAsia="de-DE" w:bidi="de-DE"/>
        </w:rPr>
        <w:t xml:space="preserve"> (B.S. vom 6. Juni 2017)</w:t>
      </w:r>
      <w:r w:rsidR="00DE1915">
        <w:rPr>
          <w:rFonts w:eastAsia="Calibri"/>
          <w:i/>
          <w:szCs w:val="22"/>
          <w:lang w:eastAsia="de-DE" w:bidi="de-DE"/>
        </w:rPr>
        <w:t xml:space="preserve"> und Art. 1 Buchstabe d) des K.E. vom 25. Dezember 2017 (B.S. vom 29. Dezember 2017)</w:t>
      </w:r>
      <w:r w:rsidRPr="00D4747A">
        <w:rPr>
          <w:rFonts w:eastAsia="Calibri"/>
          <w:i/>
          <w:szCs w:val="22"/>
          <w:lang w:eastAsia="de-DE" w:bidi="de-DE"/>
        </w:rPr>
        <w:t>]</w:t>
      </w:r>
    </w:p>
    <w:p w14:paraId="258E411E" w14:textId="77777777" w:rsidR="003B5C18" w:rsidRDefault="003B5C18" w:rsidP="00FB3E9E">
      <w:pPr>
        <w:jc w:val="both"/>
        <w:rPr>
          <w:rFonts w:eastAsia="Calibri"/>
          <w:szCs w:val="22"/>
          <w:lang w:eastAsia="de-DE" w:bidi="de-DE"/>
        </w:rPr>
      </w:pPr>
    </w:p>
    <w:p w14:paraId="5D64D96A" w14:textId="77777777" w:rsidR="003B5C18" w:rsidRDefault="003B5C18" w:rsidP="00FB3E9E">
      <w:pPr>
        <w:jc w:val="both"/>
        <w:rPr>
          <w:rFonts w:eastAsia="Calibri"/>
          <w:szCs w:val="22"/>
          <w:lang w:eastAsia="de-DE" w:bidi="de-DE"/>
        </w:rPr>
      </w:pPr>
    </w:p>
    <w:p w14:paraId="00F59639"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63</w:t>
      </w:r>
      <w:r w:rsidRPr="00D4747A">
        <w:rPr>
          <w:rFonts w:eastAsia="Calibri"/>
          <w:b/>
          <w:szCs w:val="22"/>
          <w:vertAlign w:val="superscript"/>
          <w:lang w:eastAsia="de-DE" w:bidi="de-DE"/>
        </w:rPr>
        <w:t>7</w:t>
      </w:r>
      <w:r w:rsidRPr="00D4747A">
        <w:rPr>
          <w:rFonts w:eastAsia="Calibri"/>
          <w:szCs w:val="22"/>
          <w:lang w:eastAsia="de-DE" w:bidi="de-DE"/>
        </w:rPr>
        <w:t> - § 1 - Die Erfüllung der in Artikel 145</w:t>
      </w:r>
      <w:r w:rsidRPr="00D4747A">
        <w:rPr>
          <w:rFonts w:eastAsia="Calibri"/>
          <w:szCs w:val="22"/>
          <w:vertAlign w:val="superscript"/>
          <w:lang w:eastAsia="de-DE" w:bidi="de-DE"/>
        </w:rPr>
        <w:t>11</w:t>
      </w:r>
      <w:r w:rsidRPr="00D4747A">
        <w:rPr>
          <w:rFonts w:eastAsia="Calibri"/>
          <w:szCs w:val="22"/>
          <w:lang w:eastAsia="de-DE" w:bidi="de-DE"/>
        </w:rPr>
        <w:t xml:space="preserve"> des Einkommensteuergesetz</w:t>
      </w:r>
      <w:r>
        <w:rPr>
          <w:rFonts w:eastAsia="Calibri"/>
          <w:szCs w:val="22"/>
          <w:lang w:eastAsia="de-DE" w:bidi="de-DE"/>
        </w:rPr>
        <w:softHyphen/>
      </w:r>
      <w:r w:rsidRPr="00D4747A">
        <w:rPr>
          <w:rFonts w:eastAsia="Calibri"/>
          <w:szCs w:val="22"/>
          <w:lang w:eastAsia="de-DE" w:bidi="de-DE"/>
        </w:rPr>
        <w:t xml:space="preserve">buches 1992 erwähnten Bedingungen wird auf der Grundlage der in § 2 erwähnten Unterlagen überprüft, die die Verwaltungsgesellschaft spätestens einen Monat nach Ablauf jedes seit der Zulassung des Fonds abgeschlossenen Kalenderquartals beim Minister der Finanzen vorlegen muss und die </w:t>
      </w:r>
      <w:r w:rsidR="007C4292">
        <w:rPr>
          <w:rFonts w:eastAsia="Calibri"/>
          <w:szCs w:val="22"/>
          <w:lang w:eastAsia="de-DE" w:bidi="de-DE"/>
        </w:rPr>
        <w:t>[</w:t>
      </w:r>
      <w:r w:rsidR="007C4292" w:rsidRPr="00B617CF">
        <w:t xml:space="preserve">von den </w:t>
      </w:r>
      <w:r w:rsidR="00DA0A20">
        <w:t>[</w:t>
      </w:r>
      <w:r w:rsidR="00DA0A20" w:rsidRPr="00037993">
        <w:t>in Artikel 199 § 2 des Gesetzes vom 3. August 2012 über Organismen für gemeinsame Anlagen, die die Bedingungen der Richtlinie 2009/65/EG erfüllen, und Organismen für Anlagen in Forderungen oder</w:t>
      </w:r>
      <w:r w:rsidR="00DA0A20">
        <w:t xml:space="preserve">] </w:t>
      </w:r>
      <w:r w:rsidR="007C4292" w:rsidRPr="00B617CF">
        <w:t>in Artikel 25 des Gesetzes vom 19. April 2014 über alternative Organismen für gemeinsame Anlagen und ihre Verwalter erwähnten Leitern</w:t>
      </w:r>
      <w:r w:rsidR="007C4292">
        <w:rPr>
          <w:rFonts w:eastAsia="Calibri"/>
          <w:szCs w:val="22"/>
          <w:lang w:eastAsia="de-DE" w:bidi="de-DE"/>
        </w:rPr>
        <w:t>]</w:t>
      </w:r>
      <w:r w:rsidRPr="00D4747A">
        <w:rPr>
          <w:rFonts w:eastAsia="Calibri"/>
          <w:szCs w:val="22"/>
          <w:lang w:eastAsia="de-DE" w:bidi="de-DE"/>
        </w:rPr>
        <w:t xml:space="preserve"> unterzeichnet und ohne Vorbehalt von dem in Artikel 63</w:t>
      </w:r>
      <w:r w:rsidRPr="00D4747A">
        <w:rPr>
          <w:rFonts w:eastAsia="Calibri"/>
          <w:szCs w:val="22"/>
          <w:vertAlign w:val="superscript"/>
          <w:lang w:eastAsia="de-DE" w:bidi="de-DE"/>
        </w:rPr>
        <w:t>6</w:t>
      </w:r>
      <w:r w:rsidRPr="00D4747A">
        <w:rPr>
          <w:rFonts w:eastAsia="Calibri"/>
          <w:szCs w:val="22"/>
          <w:lang w:eastAsia="de-DE" w:bidi="de-DE"/>
        </w:rPr>
        <w:t xml:space="preserve"> § 1 Nr. 7 erwähnten Kommissar-Revisor beglaubigt sind.</w:t>
      </w:r>
    </w:p>
    <w:p w14:paraId="6890AC98" w14:textId="77777777" w:rsidR="005A5BD5" w:rsidRPr="00D4747A" w:rsidRDefault="005A5BD5" w:rsidP="00FB3E9E">
      <w:pPr>
        <w:jc w:val="both"/>
        <w:rPr>
          <w:rFonts w:eastAsia="Calibri"/>
          <w:szCs w:val="22"/>
          <w:lang w:eastAsia="de-DE" w:bidi="de-DE"/>
        </w:rPr>
      </w:pPr>
    </w:p>
    <w:p w14:paraId="113A43A6"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 2 - Die in § 1 erwähnten Unterlagen bestehen aus dem detaillierten Stand des Fonds, so wie er am Ende des letzten Bankgeschäftstages jeden Monats, der in das jeweilige Kalenderquartal fällt, ermittelt wird.</w:t>
      </w:r>
    </w:p>
    <w:p w14:paraId="034202FC" w14:textId="77777777" w:rsidR="005A5BD5" w:rsidRPr="00D4747A" w:rsidRDefault="005A5BD5" w:rsidP="00FB3E9E">
      <w:pPr>
        <w:jc w:val="both"/>
        <w:rPr>
          <w:rFonts w:eastAsia="Calibri"/>
          <w:szCs w:val="22"/>
          <w:lang w:eastAsia="de-DE" w:bidi="de-DE"/>
        </w:rPr>
      </w:pPr>
    </w:p>
    <w:p w14:paraId="1679428F"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Diese Unterlagen beschreiben die detaillierte Zusammensetzung des Fonds am Ende des Monats, die Bewertung - einerseits in Kapitalform und andererseits in Form von Einkünften - jedes Vermögensteils und gemäß den in § 3 erwähnten Regeln</w:t>
      </w:r>
      <w:r w:rsidRPr="00F97318">
        <w:rPr>
          <w:rFonts w:eastAsia="Calibri"/>
          <w:szCs w:val="22"/>
          <w:lang w:eastAsia="de-DE" w:bidi="de-DE"/>
        </w:rPr>
        <w:t xml:space="preserve"> </w:t>
      </w:r>
      <w:r w:rsidRPr="00D4747A">
        <w:rPr>
          <w:rFonts w:eastAsia="Calibri"/>
          <w:szCs w:val="22"/>
          <w:lang w:eastAsia="de-DE" w:bidi="de-DE"/>
        </w:rPr>
        <w:t>des Gesamt</w:t>
      </w:r>
      <w:r>
        <w:rPr>
          <w:rFonts w:eastAsia="Calibri"/>
          <w:szCs w:val="22"/>
          <w:lang w:eastAsia="de-DE" w:bidi="de-DE"/>
        </w:rPr>
        <w:softHyphen/>
      </w:r>
      <w:r w:rsidRPr="00D4747A">
        <w:rPr>
          <w:rFonts w:eastAsia="Calibri"/>
          <w:szCs w:val="22"/>
          <w:lang w:eastAsia="de-DE" w:bidi="de-DE"/>
        </w:rPr>
        <w:t>vermögens; weiter werden die Nettozeichnungen in Kapitalform beim Fonds für jeden der drei vorhergehenden Monate angegeben.</w:t>
      </w:r>
    </w:p>
    <w:p w14:paraId="44FB2697" w14:textId="77777777" w:rsidR="005A5BD5" w:rsidRPr="00D4747A" w:rsidRDefault="005A5BD5" w:rsidP="004C2C7D">
      <w:pPr>
        <w:tabs>
          <w:tab w:val="left" w:pos="960"/>
        </w:tabs>
        <w:jc w:val="both"/>
        <w:rPr>
          <w:rFonts w:eastAsia="Calibri"/>
          <w:szCs w:val="22"/>
          <w:lang w:eastAsia="de-DE" w:bidi="de-DE"/>
        </w:rPr>
      </w:pPr>
    </w:p>
    <w:p w14:paraId="72045A00" w14:textId="3E659CB0" w:rsidR="00DA0A20" w:rsidRPr="00037993" w:rsidRDefault="005A5BD5" w:rsidP="00DA0A20">
      <w:pPr>
        <w:jc w:val="both"/>
      </w:pPr>
      <w:r w:rsidRPr="00D4747A">
        <w:rPr>
          <w:rFonts w:eastAsia="Calibri"/>
          <w:szCs w:val="22"/>
          <w:lang w:eastAsia="de-DE" w:bidi="de-DE"/>
        </w:rPr>
        <w:tab/>
        <w:t xml:space="preserve">§ 3 - </w:t>
      </w:r>
      <w:r w:rsidR="00DA0A20">
        <w:rPr>
          <w:rFonts w:eastAsia="Calibri"/>
          <w:szCs w:val="22"/>
          <w:lang w:eastAsia="de-DE" w:bidi="de-DE"/>
        </w:rPr>
        <w:t>[</w:t>
      </w:r>
      <w:r w:rsidR="00DA0A20" w:rsidRPr="00037993">
        <w:t>Die Verfahren zur Bewertung des Fondsvermögens müssen:</w:t>
      </w:r>
    </w:p>
    <w:p w14:paraId="2BFDA877" w14:textId="77777777" w:rsidR="00DA0A20" w:rsidRPr="00037993" w:rsidRDefault="00DA0A20" w:rsidP="00DA0A20">
      <w:pPr>
        <w:jc w:val="both"/>
      </w:pPr>
    </w:p>
    <w:p w14:paraId="3D349773" w14:textId="77777777" w:rsidR="00DA0A20" w:rsidRPr="001C72EE" w:rsidRDefault="00DA0A20" w:rsidP="00DA0A20">
      <w:pPr>
        <w:jc w:val="both"/>
      </w:pPr>
      <w:r w:rsidRPr="00037993">
        <w:tab/>
      </w:r>
      <w:r>
        <w:t>1. die Bedingungen einhalten, die:</w:t>
      </w:r>
    </w:p>
    <w:p w14:paraId="25A2F5CA" w14:textId="77777777" w:rsidR="00DA0A20" w:rsidRDefault="00DA0A20" w:rsidP="00DA0A20">
      <w:pPr>
        <w:jc w:val="both"/>
      </w:pPr>
    </w:p>
    <w:p w14:paraId="77BC0625" w14:textId="77777777" w:rsidR="00DA0A20" w:rsidRPr="001C72EE" w:rsidRDefault="00DA0A20" w:rsidP="00DA0A20">
      <w:pPr>
        <w:jc w:val="both"/>
      </w:pPr>
      <w:r>
        <w:tab/>
      </w:r>
      <w:r w:rsidRPr="00037993">
        <w:rPr>
          <w:i/>
        </w:rPr>
        <w:t>a)</w:t>
      </w:r>
      <w:r w:rsidRPr="00037993">
        <w:t> in Teil II Buch II Titel 2 Kapitel 3 Abschnitt 5 des Gesetzes vom 3. August 2012 über Organismen für gemeinsame Anlagen, die die Bedingungen der Richtlinie 2009/65/EG erfüllen, und Organismen für Anlagen in Forderungen und in Titel II Kapitel 2 Abschnitt 4 und 5 des Königlichen Erlasses vom 12. November 2012 über Organismen für gemeinsame Anlagen, die die Bedingungen der Richtlinie 2009/65/EG erfüllen, vorgesehen sind, wenn der Fonds in dem in Artikel 33 des vorerwähnten Gesetzes vom 3. </w:t>
      </w:r>
      <w:r>
        <w:t>August 2012 erwähnten Verzeichnis eingetragen ist,</w:t>
      </w:r>
    </w:p>
    <w:p w14:paraId="0344A963" w14:textId="77777777" w:rsidR="00DA0A20" w:rsidRDefault="00DA0A20" w:rsidP="00DA0A20">
      <w:pPr>
        <w:jc w:val="both"/>
      </w:pPr>
    </w:p>
    <w:p w14:paraId="7C22FCD3" w14:textId="77777777" w:rsidR="00DA0A20" w:rsidRPr="001C72EE" w:rsidRDefault="00DA0A20" w:rsidP="00DA0A20">
      <w:pPr>
        <w:jc w:val="both"/>
      </w:pPr>
      <w:r>
        <w:tab/>
      </w:r>
      <w:r w:rsidRPr="00037993">
        <w:rPr>
          <w:i/>
        </w:rPr>
        <w:t>b)</w:t>
      </w:r>
      <w:r w:rsidRPr="00037993">
        <w:t> in Teil II Buch I Titel I Kapitel 3 Abschnitt 2 Unterabschnitt 1 Punkt B des Gesetzes vom 19. April 2014 über alternative Organismen für gemeinsame Anlagen und ihre Verwalter und in Titel II Kapitel 2 Abschnitt 4 und 5 des Königlichen Erlasses vom 25. Februar 2017 über bestimmte öffentliche alternative Organismen für gemeinsame Anlagen und ihre Verwaltungsgesellschaften und zur Festlegung verschiedener Bestimmungen vorgesehen sind, wenn der Fonds in dem in Artikel 200 des vorerwähnten Gesetzes vom 19. </w:t>
      </w:r>
      <w:r>
        <w:t>April 2014 erwähnten Verzeichnis eingetragen ist,</w:t>
      </w:r>
    </w:p>
    <w:p w14:paraId="654A1DE4" w14:textId="77777777" w:rsidR="00DA0A20" w:rsidRDefault="00DA0A20" w:rsidP="00DA0A20">
      <w:pPr>
        <w:jc w:val="both"/>
      </w:pPr>
    </w:p>
    <w:p w14:paraId="6769B2AE" w14:textId="77777777" w:rsidR="005A5BD5" w:rsidRPr="00D4747A" w:rsidRDefault="00DA0A20" w:rsidP="00FB3E9E">
      <w:pPr>
        <w:tabs>
          <w:tab w:val="left" w:pos="709"/>
        </w:tabs>
        <w:jc w:val="both"/>
        <w:rPr>
          <w:rFonts w:eastAsia="Calibri"/>
          <w:szCs w:val="22"/>
          <w:lang w:eastAsia="de-DE" w:bidi="de-DE"/>
        </w:rPr>
      </w:pPr>
      <w:r>
        <w:lastRenderedPageBreak/>
        <w:tab/>
      </w:r>
      <w:r w:rsidRPr="00037993">
        <w:t>2. den Regeln entsprechen, die im Königlichen Erlass vom 10. November 2006 über die Buchhaltung, den Jahresabschluss und die periodischen Berichte von bestimmten öffentlichen Organismen für gemeinsame Anlagen mit variabler Anzahl Anteile festgelegt sind.</w:t>
      </w:r>
      <w:r>
        <w:rPr>
          <w:rFonts w:eastAsia="Calibri"/>
          <w:szCs w:val="22"/>
          <w:lang w:eastAsia="de-DE" w:bidi="de-DE"/>
        </w:rPr>
        <w:t>]</w:t>
      </w:r>
    </w:p>
    <w:p w14:paraId="5CF8AAE8" w14:textId="77777777" w:rsidR="005A5BD5" w:rsidRPr="00D4747A" w:rsidRDefault="005A5BD5" w:rsidP="00FB3E9E">
      <w:pPr>
        <w:tabs>
          <w:tab w:val="left" w:pos="709"/>
        </w:tabs>
        <w:jc w:val="both"/>
        <w:rPr>
          <w:rFonts w:eastAsia="Calibri"/>
          <w:szCs w:val="22"/>
          <w:lang w:eastAsia="de-DE" w:bidi="de-DE"/>
        </w:rPr>
      </w:pPr>
    </w:p>
    <w:p w14:paraId="4AC15D1F" w14:textId="77777777" w:rsidR="005A5BD5" w:rsidRPr="00D4747A" w:rsidRDefault="005A5BD5" w:rsidP="00FB3E9E">
      <w:pPr>
        <w:tabs>
          <w:tab w:val="left" w:pos="709"/>
        </w:tabs>
        <w:jc w:val="both"/>
        <w:rPr>
          <w:rFonts w:eastAsia="Calibri"/>
          <w:szCs w:val="22"/>
          <w:lang w:eastAsia="de-DE" w:bidi="de-DE"/>
        </w:rPr>
      </w:pPr>
      <w:r w:rsidRPr="00D4747A">
        <w:rPr>
          <w:rFonts w:eastAsia="Calibri"/>
          <w:szCs w:val="22"/>
          <w:lang w:eastAsia="de-DE" w:bidi="de-DE"/>
        </w:rPr>
        <w:tab/>
        <w:t>Besteht jedoch für einen Vermögensteil kein liquider geregelter Markt, müssen die in Absatz 1 erwähnten Bewertungsverfahren eigens von einem Kommissar-Revisor zugelassen werden.</w:t>
      </w:r>
    </w:p>
    <w:p w14:paraId="771E5C1B" w14:textId="77777777" w:rsidR="005A5BD5" w:rsidRPr="00D4747A" w:rsidRDefault="005A5BD5" w:rsidP="00FB3E9E">
      <w:pPr>
        <w:tabs>
          <w:tab w:val="left" w:pos="709"/>
        </w:tabs>
        <w:jc w:val="both"/>
        <w:rPr>
          <w:rFonts w:eastAsia="Calibri"/>
          <w:szCs w:val="22"/>
          <w:lang w:eastAsia="de-DE" w:bidi="de-DE"/>
        </w:rPr>
      </w:pPr>
    </w:p>
    <w:p w14:paraId="62C05C96" w14:textId="77777777" w:rsidR="005A5BD5" w:rsidRPr="00D4747A" w:rsidRDefault="005A5BD5" w:rsidP="00FB3E9E">
      <w:pPr>
        <w:tabs>
          <w:tab w:val="left" w:pos="709"/>
        </w:tabs>
        <w:jc w:val="both"/>
        <w:rPr>
          <w:rFonts w:eastAsia="Calibri"/>
          <w:szCs w:val="22"/>
          <w:lang w:eastAsia="de-DE" w:bidi="de-DE"/>
        </w:rPr>
      </w:pPr>
      <w:r w:rsidRPr="00D4747A">
        <w:rPr>
          <w:rFonts w:eastAsia="Calibri"/>
          <w:szCs w:val="22"/>
          <w:lang w:eastAsia="de-DE" w:bidi="de-DE"/>
        </w:rPr>
        <w:tab/>
        <w:t>§ 4 - [Die in Artikel 145</w:t>
      </w:r>
      <w:r w:rsidRPr="00D4747A">
        <w:rPr>
          <w:rFonts w:eastAsia="Calibri"/>
          <w:szCs w:val="22"/>
          <w:vertAlign w:val="superscript"/>
          <w:lang w:eastAsia="de-DE" w:bidi="de-DE"/>
        </w:rPr>
        <w:t>11</w:t>
      </w:r>
      <w:r w:rsidRPr="00D4747A">
        <w:rPr>
          <w:rFonts w:eastAsia="Calibri"/>
          <w:szCs w:val="22"/>
          <w:lang w:eastAsia="de-DE" w:bidi="de-DE"/>
        </w:rPr>
        <w:t xml:space="preserve"> desselben Gesetzbuches erwähnten Bedingungen sind erfüllt, wenn aus den in den Paragraphen 1 und 2 erwähnten Unterlagen hervorgeht,</w:t>
      </w:r>
    </w:p>
    <w:p w14:paraId="08ACCC2C" w14:textId="77777777" w:rsidR="005A5BD5" w:rsidRPr="00D4747A" w:rsidRDefault="005A5BD5" w:rsidP="00FB3E9E">
      <w:pPr>
        <w:tabs>
          <w:tab w:val="left" w:pos="709"/>
        </w:tabs>
        <w:jc w:val="both"/>
        <w:rPr>
          <w:rFonts w:eastAsia="Calibri"/>
          <w:szCs w:val="22"/>
          <w:lang w:eastAsia="de-DE" w:bidi="de-DE"/>
        </w:rPr>
      </w:pPr>
    </w:p>
    <w:p w14:paraId="68217A1D" w14:textId="77777777" w:rsidR="005A5BD5" w:rsidRPr="00D4747A" w:rsidRDefault="005A5BD5" w:rsidP="00FB3E9E">
      <w:pPr>
        <w:tabs>
          <w:tab w:val="left" w:pos="709"/>
        </w:tabs>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a)</w:t>
      </w:r>
      <w:r w:rsidRPr="00D4747A">
        <w:rPr>
          <w:rFonts w:eastAsia="Calibri"/>
          <w:szCs w:val="22"/>
          <w:lang w:eastAsia="de-DE" w:bidi="de-DE"/>
        </w:rPr>
        <w:t> dass der auf der Grundlage des Stands am Ende jeden Monats des Kalenderquartals ermittelte durchschnittliche Gesamtwert in Kapitalform:</w:t>
      </w:r>
    </w:p>
    <w:p w14:paraId="6756AB56" w14:textId="77777777" w:rsidR="005A5BD5" w:rsidRPr="00D4747A" w:rsidRDefault="005A5BD5" w:rsidP="00FB3E9E">
      <w:pPr>
        <w:tabs>
          <w:tab w:val="left" w:pos="709"/>
        </w:tabs>
        <w:jc w:val="both"/>
        <w:rPr>
          <w:rFonts w:eastAsia="Calibri"/>
          <w:szCs w:val="22"/>
          <w:lang w:eastAsia="de-DE" w:bidi="de-DE"/>
        </w:rPr>
      </w:pPr>
    </w:p>
    <w:p w14:paraId="02F7E54D" w14:textId="77777777" w:rsidR="005A5BD5" w:rsidRPr="00D4747A" w:rsidRDefault="005A5BD5" w:rsidP="00FB3E9E">
      <w:pPr>
        <w:tabs>
          <w:tab w:val="left" w:pos="709"/>
        </w:tabs>
        <w:jc w:val="both"/>
        <w:rPr>
          <w:rFonts w:eastAsia="Calibri"/>
          <w:szCs w:val="22"/>
          <w:lang w:eastAsia="de-DE" w:bidi="de-DE"/>
        </w:rPr>
      </w:pPr>
      <w:r w:rsidRPr="00D4747A">
        <w:rPr>
          <w:rFonts w:eastAsia="Calibri"/>
          <w:szCs w:val="22"/>
          <w:lang w:eastAsia="de-DE" w:bidi="de-DE"/>
        </w:rPr>
        <w:tab/>
        <w:t>- von in Besitz gehaltenen und auf eine andere Währung als Euro lautenden Investitionen höchstens 20 Prozent des Referenzwertes des Fonds beträgt,</w:t>
      </w:r>
    </w:p>
    <w:p w14:paraId="7B247364" w14:textId="77777777" w:rsidR="005A5BD5" w:rsidRPr="00D4747A" w:rsidRDefault="005A5BD5" w:rsidP="00FB3E9E">
      <w:pPr>
        <w:tabs>
          <w:tab w:val="left" w:pos="709"/>
        </w:tabs>
        <w:jc w:val="both"/>
        <w:rPr>
          <w:rFonts w:eastAsia="Calibri"/>
          <w:szCs w:val="22"/>
          <w:lang w:eastAsia="de-DE" w:bidi="de-DE"/>
        </w:rPr>
      </w:pPr>
    </w:p>
    <w:p w14:paraId="406BBAEB" w14:textId="77777777" w:rsidR="005A5BD5" w:rsidRPr="00D4747A" w:rsidRDefault="005A5BD5" w:rsidP="00FB3E9E">
      <w:pPr>
        <w:tabs>
          <w:tab w:val="left" w:pos="709"/>
        </w:tabs>
        <w:jc w:val="both"/>
        <w:rPr>
          <w:rFonts w:eastAsia="Calibri"/>
          <w:szCs w:val="22"/>
          <w:lang w:eastAsia="de-DE" w:bidi="de-DE"/>
        </w:rPr>
      </w:pPr>
      <w:r w:rsidRPr="00D4747A">
        <w:rPr>
          <w:rFonts w:eastAsia="Calibri"/>
          <w:szCs w:val="22"/>
          <w:lang w:eastAsia="de-DE" w:bidi="de-DE"/>
        </w:rPr>
        <w:tab/>
        <w:t>- von in Besitz gehaltenen Aktiva, die in Grenzen und gemäß Modalitäten wie in Artikel 145</w:t>
      </w:r>
      <w:r w:rsidRPr="00D4747A">
        <w:rPr>
          <w:rFonts w:eastAsia="Calibri"/>
          <w:szCs w:val="22"/>
          <w:vertAlign w:val="superscript"/>
          <w:lang w:eastAsia="de-DE" w:bidi="de-DE"/>
        </w:rPr>
        <w:t>11</w:t>
      </w:r>
      <w:r w:rsidRPr="00D4747A">
        <w:rPr>
          <w:rFonts w:eastAsia="Calibri"/>
          <w:szCs w:val="22"/>
          <w:lang w:eastAsia="de-DE" w:bidi="de-DE"/>
        </w:rPr>
        <w:t xml:space="preserve"> Nr. 2 desselben Gesetzbuches erwähnt in Schuldverschreibungen und andere verbriefte Schuldtitel, die am Kapitalmarkt gehandelt werden können, in Hypothekendarlehen und in Geldeinlagen investiert werden, höchstens 75 Prozent des Referenzwertes des Fonds beträgt,</w:t>
      </w:r>
    </w:p>
    <w:p w14:paraId="7FEE9006" w14:textId="77777777" w:rsidR="005A5BD5" w:rsidRPr="00D4747A" w:rsidRDefault="005A5BD5" w:rsidP="00FB3E9E">
      <w:pPr>
        <w:tabs>
          <w:tab w:val="left" w:pos="709"/>
        </w:tabs>
        <w:jc w:val="both"/>
        <w:rPr>
          <w:rFonts w:eastAsia="Calibri"/>
          <w:szCs w:val="22"/>
          <w:lang w:eastAsia="de-DE" w:bidi="de-DE"/>
        </w:rPr>
      </w:pPr>
    </w:p>
    <w:p w14:paraId="7E184165" w14:textId="77777777" w:rsidR="005A5BD5" w:rsidRPr="00D4747A" w:rsidRDefault="005A5BD5" w:rsidP="00FB3E9E">
      <w:pPr>
        <w:tabs>
          <w:tab w:val="left" w:pos="709"/>
        </w:tabs>
        <w:jc w:val="both"/>
        <w:rPr>
          <w:rFonts w:eastAsia="Calibri"/>
          <w:szCs w:val="22"/>
          <w:lang w:eastAsia="de-DE" w:bidi="de-DE"/>
        </w:rPr>
      </w:pPr>
      <w:r w:rsidRPr="00D4747A">
        <w:rPr>
          <w:rFonts w:eastAsia="Calibri"/>
          <w:szCs w:val="22"/>
          <w:lang w:eastAsia="de-DE" w:bidi="de-DE"/>
        </w:rPr>
        <w:tab/>
        <w:t>- von in Besitz gehaltenen Aktiva, die in Grenzen und gemäß Modalitäten wie in Artikel 145</w:t>
      </w:r>
      <w:r w:rsidRPr="00D4747A">
        <w:rPr>
          <w:rFonts w:eastAsia="Calibri"/>
          <w:szCs w:val="22"/>
          <w:vertAlign w:val="superscript"/>
          <w:lang w:eastAsia="de-DE" w:bidi="de-DE"/>
        </w:rPr>
        <w:t>11</w:t>
      </w:r>
      <w:r w:rsidRPr="00D4747A">
        <w:rPr>
          <w:rFonts w:eastAsia="Calibri"/>
          <w:szCs w:val="22"/>
          <w:lang w:eastAsia="de-DE" w:bidi="de-DE"/>
        </w:rPr>
        <w:t xml:space="preserve"> Nr. 3 desselben Gesetzbuches erwähnt direkt in Aktien und andere mit Aktien gleichsetzbare Wertpapiere investiert werden, höchstens 75 Prozent des Referenzwertes des Fonds beträgt,</w:t>
      </w:r>
    </w:p>
    <w:p w14:paraId="0391AC6B" w14:textId="77777777" w:rsidR="003B5C18" w:rsidRDefault="003B5C18" w:rsidP="00FB3E9E">
      <w:pPr>
        <w:tabs>
          <w:tab w:val="left" w:pos="709"/>
        </w:tabs>
        <w:jc w:val="both"/>
        <w:rPr>
          <w:rFonts w:eastAsia="Calibri"/>
          <w:szCs w:val="22"/>
          <w:lang w:eastAsia="de-DE" w:bidi="de-DE"/>
        </w:rPr>
      </w:pPr>
    </w:p>
    <w:p w14:paraId="06902791" w14:textId="77777777" w:rsidR="005A5BD5" w:rsidRPr="00D4747A" w:rsidRDefault="005A5BD5" w:rsidP="00FB3E9E">
      <w:pPr>
        <w:tabs>
          <w:tab w:val="left" w:pos="709"/>
        </w:tabs>
        <w:jc w:val="both"/>
        <w:rPr>
          <w:rFonts w:eastAsia="Calibri"/>
          <w:szCs w:val="22"/>
          <w:lang w:eastAsia="de-DE" w:bidi="de-DE"/>
        </w:rPr>
      </w:pPr>
      <w:r w:rsidRPr="00D4747A">
        <w:rPr>
          <w:rFonts w:eastAsia="Calibri"/>
          <w:szCs w:val="22"/>
          <w:lang w:eastAsia="de-DE" w:bidi="de-DE"/>
        </w:rPr>
        <w:tab/>
        <w:t>- von flüssigen Mitteln, die auf ein Konto in Euro oder in einer Währung eines Mitgliedstaates des Europäischen Wirtschaftsraums bei einem von einer Aufsichtsbehörde eines Mitgliedstaates des Europäischen Wirtschaftsraums zugelassenen und kontrollierten Kreditinstitut investiert werden, höchstens 10 Prozent des Referenzwertes des Fonds beträgt,</w:t>
      </w:r>
    </w:p>
    <w:p w14:paraId="634A9CF9" w14:textId="77777777" w:rsidR="005A5BD5" w:rsidRPr="00D4747A" w:rsidRDefault="005A5BD5" w:rsidP="00FB3E9E">
      <w:pPr>
        <w:tabs>
          <w:tab w:val="left" w:pos="709"/>
        </w:tabs>
        <w:jc w:val="both"/>
        <w:rPr>
          <w:rFonts w:eastAsia="Calibri"/>
          <w:szCs w:val="22"/>
          <w:lang w:eastAsia="de-DE" w:bidi="de-DE"/>
        </w:rPr>
      </w:pPr>
    </w:p>
    <w:p w14:paraId="4074D83F" w14:textId="77777777" w:rsidR="005A5BD5" w:rsidRPr="00D4747A" w:rsidRDefault="005A5BD5" w:rsidP="00FB3E9E">
      <w:pPr>
        <w:tabs>
          <w:tab w:val="left" w:pos="709"/>
        </w:tabs>
        <w:jc w:val="both"/>
        <w:rPr>
          <w:rFonts w:eastAsia="Calibri"/>
          <w:szCs w:val="22"/>
          <w:lang w:eastAsia="de-DE" w:bidi="de-DE"/>
        </w:rPr>
      </w:pPr>
      <w:r w:rsidRPr="00D4747A">
        <w:rPr>
          <w:rFonts w:eastAsia="Calibri"/>
          <w:szCs w:val="22"/>
          <w:lang w:eastAsia="de-DE" w:bidi="de-DE"/>
        </w:rPr>
        <w:tab/>
      </w:r>
      <w:r w:rsidRPr="00D4747A">
        <w:rPr>
          <w:rFonts w:eastAsia="Calibri"/>
          <w:i/>
          <w:szCs w:val="22"/>
          <w:lang w:eastAsia="de-DE" w:bidi="de-DE"/>
        </w:rPr>
        <w:t>b)</w:t>
      </w:r>
      <w:r w:rsidRPr="00D4747A">
        <w:rPr>
          <w:rFonts w:eastAsia="Calibri"/>
          <w:szCs w:val="22"/>
          <w:lang w:eastAsia="de-DE" w:bidi="de-DE"/>
        </w:rPr>
        <w:t> dass der Referenzwert des Fonds, der dazu dient, die in Buchstabe </w:t>
      </w:r>
      <w:r w:rsidRPr="00D4747A">
        <w:rPr>
          <w:rFonts w:eastAsia="Calibri"/>
          <w:i/>
          <w:szCs w:val="22"/>
          <w:lang w:eastAsia="de-DE" w:bidi="de-DE"/>
        </w:rPr>
        <w:t>a)</w:t>
      </w:r>
      <w:r w:rsidRPr="00D4747A">
        <w:rPr>
          <w:rFonts w:eastAsia="Calibri"/>
          <w:szCs w:val="22"/>
          <w:lang w:eastAsia="de-DE" w:bidi="de-DE"/>
        </w:rPr>
        <w:t xml:space="preserve"> erwähnten Koeffizienten zu berechnen, für jedes Kalenderquartal bestimmt wird, indem der Durchschnittswert des Fonds in Kapitalform um ein Drittel des Wertes der Nettozeichnungen in Kapitalform beim Fonds während des dritten Monats vor dem Kalenderquartal, für das der Referenzwert berechnet wird, um zwei Drittel der während des zweiten Monats vor dem betreffenden Quartal erfolgten Nettozeichnungen und um die Gesamtheit der während des Monats vor dem jeweiligen Kalenderquartal erfolgten Nettozeichnungen verringert wird.]</w:t>
      </w:r>
    </w:p>
    <w:p w14:paraId="5D98AFEB" w14:textId="77777777" w:rsidR="005A5BD5" w:rsidRPr="00D4747A" w:rsidRDefault="005A5BD5" w:rsidP="004C2C7D">
      <w:pPr>
        <w:tabs>
          <w:tab w:val="left" w:pos="960"/>
        </w:tabs>
        <w:jc w:val="both"/>
        <w:rPr>
          <w:rFonts w:eastAsia="Calibri"/>
          <w:szCs w:val="22"/>
          <w:lang w:eastAsia="de-DE" w:bidi="de-DE"/>
        </w:rPr>
      </w:pPr>
    </w:p>
    <w:p w14:paraId="45A1ABB4" w14:textId="77777777" w:rsidR="005A5BD5" w:rsidRPr="00387A73" w:rsidRDefault="005A5BD5" w:rsidP="004C2C7D">
      <w:pPr>
        <w:tabs>
          <w:tab w:val="left" w:pos="960"/>
        </w:tabs>
        <w:jc w:val="both"/>
        <w:rPr>
          <w:rFonts w:eastAsia="Calibri"/>
          <w:szCs w:val="22"/>
          <w:lang w:eastAsia="de-DE" w:bidi="de-DE"/>
        </w:rPr>
      </w:pPr>
      <w:r w:rsidRPr="00D4747A">
        <w:rPr>
          <w:rFonts w:eastAsia="Calibri"/>
          <w:i/>
          <w:szCs w:val="22"/>
          <w:lang w:eastAsia="de-DE" w:bidi="de-DE"/>
        </w:rPr>
        <w:t>[Art. 63</w:t>
      </w:r>
      <w:r w:rsidRPr="00D4747A">
        <w:rPr>
          <w:rFonts w:eastAsia="Calibri"/>
          <w:i/>
          <w:szCs w:val="22"/>
          <w:vertAlign w:val="superscript"/>
          <w:lang w:eastAsia="de-DE" w:bidi="de-DE"/>
        </w:rPr>
        <w:t>7</w:t>
      </w:r>
      <w:r w:rsidRPr="00D4747A">
        <w:rPr>
          <w:rFonts w:eastAsia="Calibri"/>
          <w:i/>
          <w:szCs w:val="22"/>
          <w:lang w:eastAsia="de-DE" w:bidi="de-DE"/>
        </w:rPr>
        <w:t xml:space="preserve"> </w:t>
      </w:r>
      <w:r w:rsidR="00387A73">
        <w:rPr>
          <w:rFonts w:eastAsia="Calibri"/>
          <w:i/>
          <w:szCs w:val="22"/>
          <w:lang w:eastAsia="de-DE" w:bidi="de-DE"/>
        </w:rPr>
        <w:t xml:space="preserve">§ 1 abgeändert durch Art. 6 Nr. 1 des K.E. vom </w:t>
      </w:r>
      <w:r w:rsidR="005024BD">
        <w:rPr>
          <w:rFonts w:eastAsia="Calibri"/>
          <w:i/>
          <w:szCs w:val="22"/>
          <w:lang w:eastAsia="de-DE" w:bidi="de-DE"/>
        </w:rPr>
        <w:t>22. Mai 2017 (II)</w:t>
      </w:r>
      <w:r w:rsidR="00387A73">
        <w:rPr>
          <w:rFonts w:eastAsia="Calibri"/>
          <w:i/>
          <w:szCs w:val="22"/>
          <w:lang w:eastAsia="de-DE" w:bidi="de-DE"/>
        </w:rPr>
        <w:t xml:space="preserve"> (B.S. vom 6. Juni 2017)</w:t>
      </w:r>
      <w:r w:rsidR="00DA0A20">
        <w:rPr>
          <w:rFonts w:eastAsia="Calibri"/>
          <w:i/>
          <w:szCs w:val="22"/>
          <w:lang w:eastAsia="de-DE" w:bidi="de-DE"/>
        </w:rPr>
        <w:t xml:space="preserve"> und Art. 2 Nr. 1</w:t>
      </w:r>
      <w:r w:rsidR="00DA0A20" w:rsidRPr="00DA0A20">
        <w:rPr>
          <w:rFonts w:eastAsia="Calibri"/>
          <w:i/>
          <w:szCs w:val="22"/>
          <w:lang w:eastAsia="de-DE" w:bidi="de-DE"/>
        </w:rPr>
        <w:t xml:space="preserve"> </w:t>
      </w:r>
      <w:r w:rsidR="00DA0A20">
        <w:rPr>
          <w:rFonts w:eastAsia="Calibri"/>
          <w:i/>
          <w:szCs w:val="22"/>
          <w:lang w:eastAsia="de-DE" w:bidi="de-DE"/>
        </w:rPr>
        <w:t>des K.E. vom 25. Dezember 2017 (B.S. vom 29. Dezember 2017)</w:t>
      </w:r>
      <w:r w:rsidR="00387A73">
        <w:rPr>
          <w:rFonts w:eastAsia="Calibri"/>
          <w:i/>
          <w:szCs w:val="22"/>
          <w:lang w:eastAsia="de-DE" w:bidi="de-DE"/>
        </w:rPr>
        <w:t xml:space="preserve">; § 3 Abs. 1 </w:t>
      </w:r>
      <w:r w:rsidR="00DA0A20">
        <w:rPr>
          <w:rFonts w:eastAsia="Calibri"/>
          <w:i/>
          <w:szCs w:val="22"/>
          <w:lang w:eastAsia="de-DE" w:bidi="de-DE"/>
        </w:rPr>
        <w:t>ersetzt durch Art. 2 Nr. 2</w:t>
      </w:r>
      <w:r w:rsidR="00DA0A20" w:rsidRPr="00DA0A20">
        <w:rPr>
          <w:rFonts w:eastAsia="Calibri"/>
          <w:i/>
          <w:szCs w:val="22"/>
          <w:lang w:eastAsia="de-DE" w:bidi="de-DE"/>
        </w:rPr>
        <w:t xml:space="preserve"> </w:t>
      </w:r>
      <w:r w:rsidR="00DA0A20">
        <w:rPr>
          <w:rFonts w:eastAsia="Calibri"/>
          <w:i/>
          <w:szCs w:val="22"/>
          <w:lang w:eastAsia="de-DE" w:bidi="de-DE"/>
        </w:rPr>
        <w:t>des K.E. vom 25. Dezember 2017 (B.S. vom 29. Dezember 2017)</w:t>
      </w:r>
      <w:r w:rsidR="00387A73">
        <w:rPr>
          <w:rFonts w:eastAsia="Calibri"/>
          <w:i/>
          <w:szCs w:val="22"/>
          <w:lang w:eastAsia="de-DE" w:bidi="de-DE"/>
        </w:rPr>
        <w:t xml:space="preserve">; </w:t>
      </w:r>
      <w:r w:rsidRPr="00D4747A">
        <w:rPr>
          <w:rFonts w:eastAsia="Calibri"/>
          <w:i/>
          <w:szCs w:val="22"/>
          <w:lang w:eastAsia="de-DE" w:bidi="de-DE"/>
        </w:rPr>
        <w:t>§ 4 ersetzt durch Art. 2 des K.E. vom 1. September 2006 (II) (B.S. vom 15. September 2006)]</w:t>
      </w:r>
    </w:p>
    <w:p w14:paraId="6644F05B" w14:textId="77777777" w:rsidR="005A5BD5" w:rsidRPr="00D4747A" w:rsidRDefault="005A5BD5" w:rsidP="004C2C7D">
      <w:pPr>
        <w:tabs>
          <w:tab w:val="left" w:pos="960"/>
        </w:tabs>
        <w:jc w:val="both"/>
        <w:rPr>
          <w:rFonts w:eastAsia="Calibri"/>
          <w:szCs w:val="22"/>
          <w:lang w:eastAsia="de-DE" w:bidi="de-DE"/>
        </w:rPr>
      </w:pPr>
    </w:p>
    <w:p w14:paraId="010AA65F" w14:textId="7553226E" w:rsidR="00E448DD" w:rsidRDefault="00E448DD">
      <w:pPr>
        <w:rPr>
          <w:rFonts w:eastAsia="Calibri"/>
          <w:szCs w:val="22"/>
          <w:lang w:eastAsia="de-DE" w:bidi="de-DE"/>
        </w:rPr>
      </w:pPr>
    </w:p>
    <w:p w14:paraId="42E7F4B0" w14:textId="77777777" w:rsidR="003903BC" w:rsidRDefault="003903BC">
      <w:pPr>
        <w:rPr>
          <w:rFonts w:eastAsia="Calibri"/>
          <w:szCs w:val="22"/>
          <w:lang w:eastAsia="de-DE" w:bidi="de-DE"/>
        </w:rPr>
      </w:pPr>
      <w:r>
        <w:rPr>
          <w:rFonts w:eastAsia="Calibri"/>
          <w:szCs w:val="22"/>
          <w:lang w:eastAsia="de-DE" w:bidi="de-DE"/>
        </w:rPr>
        <w:br w:type="page"/>
      </w:r>
    </w:p>
    <w:p w14:paraId="24F0F4EF" w14:textId="00C28EAB" w:rsidR="005A5BD5" w:rsidRPr="00D4747A" w:rsidRDefault="005A5BD5" w:rsidP="00FB3E9E">
      <w:pPr>
        <w:jc w:val="both"/>
        <w:rPr>
          <w:rFonts w:eastAsia="Calibri"/>
          <w:szCs w:val="22"/>
          <w:lang w:eastAsia="de-DE" w:bidi="de-DE"/>
        </w:rPr>
      </w:pPr>
      <w:r w:rsidRPr="00D4747A">
        <w:rPr>
          <w:rFonts w:eastAsia="Calibri"/>
          <w:szCs w:val="22"/>
          <w:lang w:eastAsia="de-DE" w:bidi="de-DE"/>
        </w:rPr>
        <w:lastRenderedPageBreak/>
        <w:tab/>
      </w:r>
      <w:r w:rsidRPr="00D4747A">
        <w:rPr>
          <w:rFonts w:eastAsia="Calibri"/>
          <w:b/>
          <w:szCs w:val="22"/>
          <w:lang w:eastAsia="de-DE" w:bidi="de-DE"/>
        </w:rPr>
        <w:t>Art. 63</w:t>
      </w:r>
      <w:r w:rsidRPr="00D4747A">
        <w:rPr>
          <w:rFonts w:eastAsia="Calibri"/>
          <w:b/>
          <w:szCs w:val="22"/>
          <w:vertAlign w:val="superscript"/>
          <w:lang w:eastAsia="de-DE" w:bidi="de-DE"/>
        </w:rPr>
        <w:t>8</w:t>
      </w:r>
      <w:r w:rsidRPr="00D4747A">
        <w:rPr>
          <w:rFonts w:eastAsia="Calibri"/>
          <w:szCs w:val="22"/>
          <w:lang w:eastAsia="de-DE" w:bidi="de-DE"/>
        </w:rPr>
        <w:t> - § 1 - Die Zulassung des Fonds wird entzogen:</w:t>
      </w:r>
    </w:p>
    <w:p w14:paraId="4AF139AF" w14:textId="77777777" w:rsidR="005A5BD5" w:rsidRPr="00D4747A" w:rsidRDefault="005A5BD5" w:rsidP="00FB3E9E">
      <w:pPr>
        <w:jc w:val="both"/>
        <w:rPr>
          <w:rFonts w:eastAsia="Calibri"/>
          <w:szCs w:val="22"/>
          <w:lang w:eastAsia="de-DE" w:bidi="de-DE"/>
        </w:rPr>
      </w:pPr>
    </w:p>
    <w:p w14:paraId="233EC5A5"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1. wenn [die Autorität Finanzielle Dienste und Märkte] die Eintragung des Pensionssparfonds im Verzeichnis der Belgischen Organismen für Anlagen widerruft,</w:t>
      </w:r>
    </w:p>
    <w:p w14:paraId="3A3100F7" w14:textId="77777777" w:rsidR="005A5BD5" w:rsidRPr="00D4747A" w:rsidRDefault="005A5BD5" w:rsidP="00FB3E9E">
      <w:pPr>
        <w:jc w:val="both"/>
        <w:rPr>
          <w:rFonts w:eastAsia="Calibri"/>
          <w:szCs w:val="22"/>
          <w:lang w:eastAsia="de-DE" w:bidi="de-DE"/>
        </w:rPr>
      </w:pPr>
    </w:p>
    <w:p w14:paraId="04FEDC26"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2. wenn [die Autorität Finanzielle Dienste und Märkte] die Liquidation des Fonds feststellt,</w:t>
      </w:r>
    </w:p>
    <w:p w14:paraId="40505E2B" w14:textId="77777777" w:rsidR="005A5BD5" w:rsidRPr="00D4747A" w:rsidRDefault="005A5BD5" w:rsidP="00FB3E9E">
      <w:pPr>
        <w:jc w:val="both"/>
        <w:rPr>
          <w:rFonts w:eastAsia="Calibri"/>
          <w:szCs w:val="22"/>
          <w:lang w:eastAsia="de-DE" w:bidi="de-DE"/>
        </w:rPr>
      </w:pPr>
    </w:p>
    <w:p w14:paraId="66397295"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3. wenn die Verwaltungsgesellschaft die in Artikel 63</w:t>
      </w:r>
      <w:r w:rsidRPr="00D4747A">
        <w:rPr>
          <w:rFonts w:eastAsia="Calibri"/>
          <w:szCs w:val="22"/>
          <w:vertAlign w:val="superscript"/>
          <w:lang w:eastAsia="de-DE" w:bidi="de-DE"/>
        </w:rPr>
        <w:t>6</w:t>
      </w:r>
      <w:r w:rsidRPr="00D4747A">
        <w:rPr>
          <w:rFonts w:eastAsia="Calibri"/>
          <w:szCs w:val="22"/>
          <w:lang w:eastAsia="de-DE" w:bidi="de-DE"/>
        </w:rPr>
        <w:t xml:space="preserve"> § 2 erwähnten Unterlagen und Auskünfte nicht übermittelt,</w:t>
      </w:r>
    </w:p>
    <w:p w14:paraId="44EDAB99" w14:textId="77777777" w:rsidR="005A5BD5" w:rsidRPr="00D4747A" w:rsidRDefault="005A5BD5" w:rsidP="00FB3E9E">
      <w:pPr>
        <w:jc w:val="both"/>
        <w:rPr>
          <w:rFonts w:eastAsia="Calibri"/>
          <w:szCs w:val="22"/>
          <w:lang w:eastAsia="de-DE" w:bidi="de-DE"/>
        </w:rPr>
      </w:pPr>
    </w:p>
    <w:p w14:paraId="6CDCF4E1"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4. wenn aus den in Artikel 63</w:t>
      </w:r>
      <w:r w:rsidRPr="00D4747A">
        <w:rPr>
          <w:rFonts w:eastAsia="Calibri"/>
          <w:szCs w:val="22"/>
          <w:vertAlign w:val="superscript"/>
          <w:lang w:eastAsia="de-DE" w:bidi="de-DE"/>
        </w:rPr>
        <w:t>7</w:t>
      </w:r>
      <w:r w:rsidRPr="00D4747A">
        <w:rPr>
          <w:rFonts w:eastAsia="Calibri"/>
          <w:szCs w:val="22"/>
          <w:lang w:eastAsia="de-DE" w:bidi="de-DE"/>
        </w:rPr>
        <w:t xml:space="preserve"> erwähnten Unterlagen hervorgeht, dass die Verwaltungsgesellschaft oder der Verwahrer den eingegangenen Verpflichtungen nicht nachkommt.</w:t>
      </w:r>
    </w:p>
    <w:p w14:paraId="73AB55F2" w14:textId="77777777" w:rsidR="005A5BD5" w:rsidRPr="00D4747A" w:rsidRDefault="005A5BD5" w:rsidP="00FB3E9E">
      <w:pPr>
        <w:jc w:val="both"/>
        <w:rPr>
          <w:rFonts w:eastAsia="Calibri"/>
          <w:szCs w:val="22"/>
          <w:lang w:eastAsia="de-DE" w:bidi="de-DE"/>
        </w:rPr>
      </w:pPr>
    </w:p>
    <w:p w14:paraId="0F0D08A6"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Jedoch kann der Minister der Finanzen auf einen mit Gründen versehenen Antrag der Verwaltungsgesellschaft hin eine Frist von höchstens drei Monaten gewähren, um eine festgestellte Unzulänglichkeit zu beheben.</w:t>
      </w:r>
    </w:p>
    <w:p w14:paraId="021172CB" w14:textId="77777777" w:rsidR="005A5BD5" w:rsidRPr="00D4747A" w:rsidRDefault="005A5BD5" w:rsidP="00FB3E9E">
      <w:pPr>
        <w:jc w:val="both"/>
        <w:rPr>
          <w:rFonts w:eastAsia="Calibri"/>
          <w:szCs w:val="22"/>
          <w:lang w:eastAsia="de-DE" w:bidi="de-DE"/>
        </w:rPr>
      </w:pPr>
    </w:p>
    <w:p w14:paraId="726D88D8"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 2 - Der Entzug der Zulassung und die Gewährung der in § 1 Absatz 2 erwähnten Frist wird der Verwaltungsgesellschaft, [der Autorität Finanzielle Dienste und Märkte], dem Verwahrer und dem in Artikel 63</w:t>
      </w:r>
      <w:r w:rsidRPr="00D4747A">
        <w:rPr>
          <w:rFonts w:eastAsia="Calibri"/>
          <w:szCs w:val="22"/>
          <w:vertAlign w:val="superscript"/>
          <w:lang w:eastAsia="de-DE" w:bidi="de-DE"/>
        </w:rPr>
        <w:t>6</w:t>
      </w:r>
      <w:r w:rsidRPr="00D4747A">
        <w:rPr>
          <w:rFonts w:eastAsia="Calibri"/>
          <w:szCs w:val="22"/>
          <w:lang w:eastAsia="de-DE" w:bidi="de-DE"/>
        </w:rPr>
        <w:t xml:space="preserve"> § 1 Nr. 7 erwähnten Kommissar-Revisor notifiziert.</w:t>
      </w:r>
    </w:p>
    <w:p w14:paraId="6F27C206" w14:textId="77777777" w:rsidR="005A5BD5" w:rsidRPr="00D4747A" w:rsidRDefault="005A5BD5" w:rsidP="00FB3E9E">
      <w:pPr>
        <w:jc w:val="both"/>
        <w:rPr>
          <w:rFonts w:eastAsia="Calibri"/>
          <w:szCs w:val="22"/>
          <w:lang w:eastAsia="de-DE" w:bidi="de-DE"/>
        </w:rPr>
      </w:pPr>
    </w:p>
    <w:p w14:paraId="634B652D"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t>§ 3 - [Die Autorität Finanzielle Dienste und Märkte] notifiziert dem Minister der Finanzen unverzüglich den in § 1 Absatz 1 Nr. 1 erwähnte</w:t>
      </w:r>
      <w:r>
        <w:rPr>
          <w:rFonts w:eastAsia="Calibri"/>
          <w:szCs w:val="22"/>
          <w:lang w:eastAsia="de-DE" w:bidi="de-DE"/>
        </w:rPr>
        <w:t>n</w:t>
      </w:r>
      <w:r w:rsidRPr="00D4747A">
        <w:rPr>
          <w:rFonts w:eastAsia="Calibri"/>
          <w:szCs w:val="22"/>
          <w:lang w:eastAsia="de-DE" w:bidi="de-DE"/>
        </w:rPr>
        <w:t xml:space="preserve"> Widerruf oder die in § 1 Absatz 1 Nr. 2 erwähnte Feststellung.</w:t>
      </w:r>
    </w:p>
    <w:p w14:paraId="5E755912" w14:textId="77777777" w:rsidR="005A5BD5" w:rsidRPr="00D4747A" w:rsidRDefault="005A5BD5" w:rsidP="004C2C7D">
      <w:pPr>
        <w:tabs>
          <w:tab w:val="left" w:pos="960"/>
        </w:tabs>
        <w:jc w:val="both"/>
        <w:rPr>
          <w:rFonts w:eastAsia="Calibri"/>
          <w:szCs w:val="22"/>
          <w:lang w:eastAsia="de-DE" w:bidi="de-DE"/>
        </w:rPr>
      </w:pPr>
    </w:p>
    <w:p w14:paraId="56E6ECB1" w14:textId="77777777" w:rsidR="005A5BD5" w:rsidRPr="00D4747A" w:rsidRDefault="005A5BD5" w:rsidP="004C2C7D">
      <w:pPr>
        <w:tabs>
          <w:tab w:val="left" w:pos="960"/>
        </w:tabs>
        <w:jc w:val="both"/>
        <w:rPr>
          <w:rFonts w:eastAsia="Calibri"/>
          <w:szCs w:val="22"/>
          <w:lang w:eastAsia="de-DE" w:bidi="de-DE"/>
        </w:rPr>
      </w:pPr>
      <w:r w:rsidRPr="00D4747A">
        <w:rPr>
          <w:rFonts w:eastAsia="Calibri"/>
          <w:i/>
          <w:szCs w:val="22"/>
          <w:lang w:eastAsia="de-DE" w:bidi="de-DE"/>
        </w:rPr>
        <w:t>[Art. 63</w:t>
      </w:r>
      <w:r w:rsidRPr="00D4747A">
        <w:rPr>
          <w:rFonts w:eastAsia="Calibri"/>
          <w:i/>
          <w:szCs w:val="22"/>
          <w:vertAlign w:val="superscript"/>
          <w:lang w:eastAsia="de-DE" w:bidi="de-DE"/>
        </w:rPr>
        <w:t>8</w:t>
      </w:r>
      <w:r w:rsidRPr="00D4747A">
        <w:rPr>
          <w:rFonts w:eastAsia="Calibri"/>
          <w:i/>
          <w:szCs w:val="22"/>
          <w:lang w:eastAsia="de-DE" w:bidi="de-DE"/>
        </w:rPr>
        <w:t xml:space="preserve"> § 1 einziger Absatz Nr. 1 und 2 abgeändert durch Art. 1 des K.E. vom 1. September 2006 (II) (B.S. vom 15. September 2006) und Art. 331 Abs. 2 des K.E. vom 3. März 2011 (B.S. vom 9. März 2011); § 2 abgeändert durch Art. 1 des K.E. vom 1. September 2006 (II) (B.S. vom 15. September 2006) und Art. 331 Abs. 2 des K.E. vom 3. März 2011 (B.S. vom 9. März 2011); § 3 abgeändert durch Art. 1 des K.E. vom 1. September 2006 (II) (B.S. vom 15. September 2006) und Art. 331 Abs. 2 des K.E. vom 3. März 2011 (B.S. vom 9. März 2011)]</w:t>
      </w:r>
    </w:p>
    <w:p w14:paraId="74132461" w14:textId="77777777" w:rsidR="005A5BD5" w:rsidRPr="00D4747A" w:rsidRDefault="005A5BD5" w:rsidP="004C2C7D">
      <w:pPr>
        <w:tabs>
          <w:tab w:val="left" w:pos="960"/>
        </w:tabs>
        <w:jc w:val="both"/>
        <w:rPr>
          <w:rFonts w:eastAsia="Calibri"/>
          <w:szCs w:val="22"/>
          <w:lang w:eastAsia="de-DE" w:bidi="de-DE"/>
        </w:rPr>
      </w:pPr>
    </w:p>
    <w:p w14:paraId="1D679487" w14:textId="77777777" w:rsidR="005A5BD5" w:rsidRPr="00D4747A" w:rsidRDefault="005A5BD5" w:rsidP="004C2C7D">
      <w:pPr>
        <w:tabs>
          <w:tab w:val="left" w:pos="960"/>
        </w:tabs>
        <w:jc w:val="both"/>
        <w:rPr>
          <w:rFonts w:eastAsia="Calibri"/>
          <w:szCs w:val="22"/>
          <w:lang w:eastAsia="de-DE" w:bidi="de-DE"/>
        </w:rPr>
      </w:pPr>
    </w:p>
    <w:p w14:paraId="29B9B91D" w14:textId="77777777" w:rsidR="005A5BD5" w:rsidRPr="00D4747A" w:rsidRDefault="005A5BD5" w:rsidP="00FB3E9E">
      <w:pPr>
        <w:jc w:val="both"/>
        <w:rPr>
          <w:rFonts w:eastAsia="Calibri"/>
          <w:szCs w:val="22"/>
          <w:lang w:eastAsia="de-DE" w:bidi="de-DE"/>
        </w:rPr>
      </w:pPr>
      <w:r w:rsidRPr="00D4747A">
        <w:rPr>
          <w:rFonts w:eastAsia="Calibri"/>
          <w:szCs w:val="22"/>
          <w:lang w:eastAsia="de-DE" w:bidi="de-DE"/>
        </w:rPr>
        <w:tab/>
      </w:r>
      <w:r w:rsidRPr="00D4747A">
        <w:rPr>
          <w:rFonts w:eastAsia="Calibri"/>
          <w:b/>
          <w:szCs w:val="22"/>
          <w:lang w:eastAsia="de-DE" w:bidi="de-DE"/>
        </w:rPr>
        <w:t>Art. 63</w:t>
      </w:r>
      <w:r w:rsidRPr="00D4747A">
        <w:rPr>
          <w:rFonts w:eastAsia="Calibri"/>
          <w:b/>
          <w:szCs w:val="22"/>
          <w:vertAlign w:val="superscript"/>
          <w:lang w:eastAsia="de-DE" w:bidi="de-DE"/>
        </w:rPr>
        <w:t>9</w:t>
      </w:r>
      <w:r w:rsidRPr="00D4747A">
        <w:rPr>
          <w:rFonts w:eastAsia="Calibri"/>
          <w:szCs w:val="22"/>
          <w:lang w:eastAsia="de-DE" w:bidi="de-DE"/>
        </w:rPr>
        <w:t xml:space="preserve"> - Erteilung und Entzug der Zulassung werden im </w:t>
      </w:r>
      <w:r w:rsidRPr="00D4747A">
        <w:rPr>
          <w:rFonts w:eastAsia="Calibri"/>
          <w:i/>
          <w:szCs w:val="22"/>
          <w:lang w:eastAsia="de-DE" w:bidi="de-DE"/>
        </w:rPr>
        <w:t>Belgischen Staatsblatt</w:t>
      </w:r>
      <w:r w:rsidRPr="00D4747A">
        <w:rPr>
          <w:rFonts w:eastAsia="Calibri"/>
          <w:szCs w:val="22"/>
          <w:lang w:eastAsia="de-DE" w:bidi="de-DE"/>
        </w:rPr>
        <w:t xml:space="preserve"> veröffentlicht.]</w:t>
      </w:r>
    </w:p>
    <w:p w14:paraId="54FF5E9B" w14:textId="77777777" w:rsidR="005A5BD5" w:rsidRDefault="005A5BD5" w:rsidP="004C2C7D">
      <w:pPr>
        <w:jc w:val="both"/>
        <w:rPr>
          <w:color w:val="000000"/>
        </w:rPr>
      </w:pPr>
    </w:p>
    <w:p w14:paraId="3336A6B2" w14:textId="0AEEAA7A" w:rsidR="00D30FE1" w:rsidRDefault="00D30FE1">
      <w:pPr>
        <w:rPr>
          <w:rFonts w:eastAsia="Calibri"/>
          <w:szCs w:val="22"/>
          <w:lang w:eastAsia="de-DE" w:bidi="de-DE"/>
        </w:rPr>
      </w:pPr>
    </w:p>
    <w:p w14:paraId="5E9FE82D" w14:textId="77777777" w:rsidR="004C24ED" w:rsidRDefault="004C24ED">
      <w:pPr>
        <w:rPr>
          <w:rFonts w:eastAsia="Calibri"/>
          <w:szCs w:val="22"/>
          <w:lang w:eastAsia="de-DE" w:bidi="de-DE"/>
        </w:rPr>
      </w:pPr>
      <w:r>
        <w:rPr>
          <w:rFonts w:eastAsia="Calibri"/>
          <w:szCs w:val="22"/>
          <w:lang w:eastAsia="de-DE" w:bidi="de-DE"/>
        </w:rPr>
        <w:br w:type="page"/>
      </w:r>
    </w:p>
    <w:p w14:paraId="3A2C98C1" w14:textId="2887038C" w:rsidR="005A5BD5" w:rsidRPr="00334017" w:rsidRDefault="005A5BD5" w:rsidP="004C2C7D">
      <w:pPr>
        <w:tabs>
          <w:tab w:val="left" w:pos="960"/>
        </w:tabs>
        <w:jc w:val="both"/>
        <w:rPr>
          <w:rFonts w:eastAsia="Calibri"/>
          <w:szCs w:val="22"/>
          <w:lang w:eastAsia="de-DE" w:bidi="de-DE"/>
        </w:rPr>
      </w:pPr>
      <w:r w:rsidRPr="00334017">
        <w:rPr>
          <w:rFonts w:eastAsia="Calibri"/>
          <w:szCs w:val="22"/>
          <w:lang w:eastAsia="de-DE" w:bidi="de-DE"/>
        </w:rPr>
        <w:lastRenderedPageBreak/>
        <w:t>[</w:t>
      </w:r>
      <w:r w:rsidRPr="00334017">
        <w:rPr>
          <w:rFonts w:eastAsia="Calibri"/>
          <w:i/>
          <w:szCs w:val="22"/>
          <w:lang w:eastAsia="de-DE" w:bidi="de-DE"/>
        </w:rPr>
        <w:t>Abschnitt 25sexies</w:t>
      </w:r>
      <w:r w:rsidRPr="00334017">
        <w:rPr>
          <w:rFonts w:eastAsia="Calibri"/>
          <w:szCs w:val="22"/>
          <w:lang w:eastAsia="de-DE" w:bidi="de-DE"/>
        </w:rPr>
        <w:t> - [Ermäßigung für Ausgaben, die für Leistungen im Rahmen der lokalen Beschäftigungsagenturen gezahlt werden und für Leistungen, die mit Dienstleistungsschecks vergütet werden</w:t>
      </w:r>
    </w:p>
    <w:p w14:paraId="5BECE5E6" w14:textId="77777777" w:rsidR="005A5BD5" w:rsidRPr="00334017" w:rsidRDefault="005A5BD5" w:rsidP="004C2C7D">
      <w:pPr>
        <w:tabs>
          <w:tab w:val="left" w:pos="960"/>
        </w:tabs>
        <w:jc w:val="center"/>
        <w:rPr>
          <w:rFonts w:eastAsia="Calibri"/>
          <w:szCs w:val="22"/>
          <w:lang w:eastAsia="de-DE" w:bidi="de-DE"/>
        </w:rPr>
      </w:pPr>
    </w:p>
    <w:p w14:paraId="2A3C94D4" w14:textId="77777777" w:rsidR="005A5BD5" w:rsidRPr="00334017" w:rsidRDefault="005A5BD5" w:rsidP="004C2C7D">
      <w:pPr>
        <w:tabs>
          <w:tab w:val="left" w:pos="960"/>
        </w:tabs>
        <w:jc w:val="center"/>
        <w:rPr>
          <w:rFonts w:eastAsia="Calibri"/>
          <w:szCs w:val="22"/>
          <w:lang w:eastAsia="de-DE" w:bidi="de-DE"/>
        </w:rPr>
      </w:pPr>
      <w:r w:rsidRPr="00334017">
        <w:rPr>
          <w:rFonts w:eastAsia="Calibri"/>
          <w:szCs w:val="22"/>
          <w:lang w:eastAsia="de-DE" w:bidi="de-DE"/>
        </w:rPr>
        <w:t>(Einkommensteuergesetzbuch 1992, Artikel 145</w:t>
      </w:r>
      <w:r w:rsidRPr="00334017">
        <w:rPr>
          <w:rFonts w:eastAsia="Calibri"/>
          <w:szCs w:val="22"/>
          <w:vertAlign w:val="superscript"/>
          <w:lang w:eastAsia="de-DE" w:bidi="de-DE"/>
        </w:rPr>
        <w:t>22</w:t>
      </w:r>
      <w:r w:rsidRPr="00334017">
        <w:rPr>
          <w:rFonts w:eastAsia="Calibri"/>
          <w:szCs w:val="22"/>
          <w:lang w:eastAsia="de-DE" w:bidi="de-DE"/>
        </w:rPr>
        <w:t xml:space="preserve">) </w:t>
      </w:r>
    </w:p>
    <w:p w14:paraId="71264E8C" w14:textId="77777777" w:rsidR="005A5BD5" w:rsidRPr="00334017" w:rsidRDefault="005A5BD5" w:rsidP="004C2C7D">
      <w:pPr>
        <w:tabs>
          <w:tab w:val="left" w:pos="960"/>
        </w:tabs>
        <w:jc w:val="both"/>
        <w:rPr>
          <w:rFonts w:eastAsia="Calibri"/>
          <w:szCs w:val="22"/>
          <w:lang w:eastAsia="de-DE" w:bidi="de-DE"/>
        </w:rPr>
      </w:pPr>
    </w:p>
    <w:p w14:paraId="65A04047"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[Abschnitt 25sexies mit Art. 63</w:t>
      </w:r>
      <w:r w:rsidRPr="00334017">
        <w:rPr>
          <w:rFonts w:eastAsia="Calibri"/>
          <w:i/>
          <w:szCs w:val="22"/>
          <w:vertAlign w:val="superscript"/>
          <w:lang w:eastAsia="de-DE" w:bidi="de-DE"/>
        </w:rPr>
        <w:t>10</w:t>
      </w:r>
      <w:r w:rsidRPr="00334017">
        <w:rPr>
          <w:rFonts w:eastAsia="Calibri"/>
          <w:i/>
          <w:szCs w:val="22"/>
          <w:lang w:eastAsia="de-DE" w:bidi="de-DE"/>
        </w:rPr>
        <w:t xml:space="preserve"> eingefügt durch Art. 13 des K.E. vom 1. September 1995 (II) (B.S. vom 5. Oktober 1995) und ersetzt durch Art. 1 des K.E. vom 2. April 2002 (B.S. vom 25. April 2002)]</w:t>
      </w:r>
    </w:p>
    <w:p w14:paraId="4FCEC187" w14:textId="77777777" w:rsidR="005A5BD5" w:rsidRPr="00334017" w:rsidRDefault="005A5BD5" w:rsidP="004C2C7D">
      <w:pPr>
        <w:tabs>
          <w:tab w:val="left" w:pos="960"/>
        </w:tabs>
        <w:jc w:val="both"/>
        <w:rPr>
          <w:rFonts w:eastAsia="Calibri"/>
          <w:i/>
          <w:szCs w:val="22"/>
          <w:lang w:eastAsia="de-DE" w:bidi="de-DE"/>
        </w:rPr>
      </w:pPr>
    </w:p>
    <w:p w14:paraId="49E33ACC" w14:textId="77777777" w:rsidR="005A5BD5" w:rsidRPr="00334017" w:rsidRDefault="005A5BD5" w:rsidP="00FB3E9E">
      <w:pPr>
        <w:jc w:val="both"/>
        <w:rPr>
          <w:rFonts w:eastAsia="Calibri"/>
          <w:szCs w:val="22"/>
          <w:lang w:eastAsia="de-DE" w:bidi="de-DE"/>
        </w:rPr>
      </w:pPr>
    </w:p>
    <w:p w14:paraId="2D538D63"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10</w:t>
      </w:r>
      <w:r w:rsidRPr="00334017">
        <w:rPr>
          <w:rFonts w:eastAsia="Calibri"/>
          <w:szCs w:val="22"/>
          <w:lang w:eastAsia="de-DE" w:bidi="de-DE"/>
        </w:rPr>
        <w:t> - In Artikel 145</w:t>
      </w:r>
      <w:r w:rsidRPr="00334017">
        <w:rPr>
          <w:rFonts w:eastAsia="Calibri"/>
          <w:szCs w:val="22"/>
          <w:vertAlign w:val="superscript"/>
          <w:lang w:eastAsia="de-DE" w:bidi="de-DE"/>
        </w:rPr>
        <w:t>21</w:t>
      </w:r>
      <w:r w:rsidRPr="00334017">
        <w:rPr>
          <w:rFonts w:eastAsia="Calibri"/>
          <w:szCs w:val="22"/>
          <w:lang w:eastAsia="de-DE" w:bidi="de-DE"/>
        </w:rPr>
        <w:t xml:space="preserve"> des Einkommensteuergesetzbuches 1992 erwähnte Ausgaben werden für die Steuerermäßigung nur berücksichtigt:</w:t>
      </w:r>
    </w:p>
    <w:p w14:paraId="7963CA4E" w14:textId="77777777" w:rsidR="005A5BD5" w:rsidRPr="00334017" w:rsidRDefault="005A5BD5" w:rsidP="00FB3E9E">
      <w:pPr>
        <w:jc w:val="both"/>
        <w:rPr>
          <w:rFonts w:eastAsia="Calibri"/>
          <w:szCs w:val="22"/>
          <w:lang w:eastAsia="de-DE" w:bidi="de-DE"/>
        </w:rPr>
      </w:pPr>
    </w:p>
    <w:p w14:paraId="04550D26"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1. in Bezug auf Ausgaben, die für Leistungen im Rahmen der lokalen Beschäftigungsagenturen gezahlt werden:</w:t>
      </w:r>
    </w:p>
    <w:p w14:paraId="4DE61331" w14:textId="77777777" w:rsidR="005A5BD5" w:rsidRPr="00334017" w:rsidRDefault="005A5BD5" w:rsidP="00FB3E9E">
      <w:pPr>
        <w:jc w:val="both"/>
        <w:rPr>
          <w:rFonts w:eastAsia="Calibri"/>
          <w:szCs w:val="22"/>
          <w:lang w:eastAsia="de-DE" w:bidi="de-DE"/>
        </w:rPr>
      </w:pPr>
    </w:p>
    <w:p w14:paraId="0E7B14F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bis zum Nennwert der LBA-Schecks, die auf den Namen des Steuerpflichtigen ausgestellt sind und die er während des Besteuerungszeitraums beim Ausgeber gekauft hat, abzüglich des Nennwerts der LBA-Schecks, die dem Ausgeber während desselben Besteuerungszeitraums zurückgesendet worden sind,</w:t>
      </w:r>
    </w:p>
    <w:p w14:paraId="22E04397" w14:textId="77777777" w:rsidR="005A5BD5" w:rsidRPr="00334017" w:rsidRDefault="005A5BD5" w:rsidP="00FB3E9E">
      <w:pPr>
        <w:jc w:val="both"/>
        <w:rPr>
          <w:rFonts w:eastAsia="Calibri"/>
          <w:szCs w:val="22"/>
          <w:lang w:eastAsia="de-DE" w:bidi="de-DE"/>
        </w:rPr>
      </w:pPr>
    </w:p>
    <w:p w14:paraId="108DB500"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unter der Bedingung, dass der Steuerpflichtige seiner Einkommensteuererklärung die Bescheinigung beilegt, die in </w:t>
      </w:r>
      <w:r>
        <w:rPr>
          <w:rFonts w:eastAsia="Calibri"/>
          <w:szCs w:val="22"/>
          <w:lang w:eastAsia="de-DE" w:bidi="de-DE"/>
        </w:rPr>
        <w:t>den Vorschriften über die</w:t>
      </w:r>
      <w:r w:rsidRPr="00334017">
        <w:rPr>
          <w:rFonts w:eastAsia="Calibri"/>
          <w:szCs w:val="22"/>
          <w:lang w:eastAsia="de-DE" w:bidi="de-DE"/>
        </w:rPr>
        <w:t xml:space="preserve"> lokalen Beschäftigungsagenturen vorgesehen ist und vom Ausgeber der LBA-Schecks ausgestellt wird,</w:t>
      </w:r>
    </w:p>
    <w:p w14:paraId="27657CDF" w14:textId="77777777" w:rsidR="005A5BD5" w:rsidRPr="00334017" w:rsidRDefault="005A5BD5" w:rsidP="00FB3E9E">
      <w:pPr>
        <w:jc w:val="both"/>
        <w:rPr>
          <w:rFonts w:eastAsia="Calibri"/>
          <w:szCs w:val="22"/>
          <w:lang w:eastAsia="de-DE" w:bidi="de-DE"/>
        </w:rPr>
      </w:pPr>
    </w:p>
    <w:p w14:paraId="7B742F8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2. in Bezug auf Ausgaben für Leistungen, die mit Dienstleistungsschecks vergütet werden:</w:t>
      </w:r>
    </w:p>
    <w:p w14:paraId="334F666B" w14:textId="77777777" w:rsidR="005A5BD5" w:rsidRPr="00334017" w:rsidRDefault="005A5BD5" w:rsidP="00FB3E9E">
      <w:pPr>
        <w:jc w:val="both"/>
        <w:rPr>
          <w:rFonts w:eastAsia="Calibri"/>
          <w:szCs w:val="22"/>
          <w:lang w:eastAsia="de-DE" w:bidi="de-DE"/>
        </w:rPr>
      </w:pPr>
    </w:p>
    <w:p w14:paraId="0818E8C5"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bis zum Erwerbspreis der Dienstleistungsschecks, die auf den Namen des Steuerpflichtigen ausgestellt sind und die er während des Besteuerungszeitraums bei der ausgebenden Gesellschaft gekauft hat, abzüglich des Erwerbspreises der Dienstleistungs</w:t>
      </w:r>
      <w:r w:rsidRPr="00334017">
        <w:rPr>
          <w:rFonts w:eastAsia="Calibri"/>
          <w:szCs w:val="22"/>
          <w:lang w:eastAsia="de-DE" w:bidi="de-DE"/>
        </w:rPr>
        <w:softHyphen/>
        <w:t>schecks, die die ausgebende Gesellschaft dem Steuerpflichtigen während desselben Besteuerungszeitraums erstattet hat,</w:t>
      </w:r>
    </w:p>
    <w:p w14:paraId="3EA6957F" w14:textId="77777777" w:rsidR="005A5BD5" w:rsidRPr="00334017" w:rsidRDefault="005A5BD5" w:rsidP="00FB3E9E">
      <w:pPr>
        <w:jc w:val="both"/>
        <w:rPr>
          <w:rFonts w:eastAsia="Calibri"/>
          <w:szCs w:val="22"/>
          <w:lang w:eastAsia="de-DE" w:bidi="de-DE"/>
        </w:rPr>
      </w:pPr>
    </w:p>
    <w:p w14:paraId="17C2115D" w14:textId="77777777" w:rsidR="00972E19"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unter der Bedingung, dass der Steuerpflichtige seiner Einkommensteuererklärung die Bescheinigung beilegt, die in den Vorschriften über die Entwicklung von Dienstleistungen und Arbeitsplätzen im Nahbereich vorgesehen ist und von der Gesellschaft ausgestellt wird, die die Dienstleistungsschecks ausgibt.]]</w:t>
      </w:r>
    </w:p>
    <w:p w14:paraId="0B20E9AA" w14:textId="77777777" w:rsidR="0078059C" w:rsidRDefault="0078059C" w:rsidP="00FB3E9E">
      <w:pPr>
        <w:rPr>
          <w:rFonts w:eastAsia="Calibri"/>
          <w:szCs w:val="22"/>
          <w:lang w:eastAsia="de-DE" w:bidi="de-DE"/>
        </w:rPr>
      </w:pPr>
    </w:p>
    <w:p w14:paraId="08B0E02D" w14:textId="77777777" w:rsidR="0078059C" w:rsidRDefault="0078059C" w:rsidP="00FB3E9E">
      <w:pPr>
        <w:rPr>
          <w:rFonts w:eastAsia="Calibri"/>
          <w:szCs w:val="22"/>
          <w:lang w:eastAsia="de-DE" w:bidi="de-DE"/>
        </w:rPr>
      </w:pPr>
    </w:p>
    <w:p w14:paraId="105430D4" w14:textId="77777777" w:rsidR="003903BC" w:rsidRDefault="003903BC">
      <w:pPr>
        <w:rPr>
          <w:rFonts w:eastAsia="Calibri"/>
          <w:szCs w:val="22"/>
          <w:lang w:eastAsia="de-DE" w:bidi="de-DE"/>
        </w:rPr>
      </w:pPr>
      <w:r>
        <w:rPr>
          <w:rFonts w:eastAsia="Calibri"/>
          <w:szCs w:val="22"/>
          <w:lang w:eastAsia="de-DE" w:bidi="de-DE"/>
        </w:rPr>
        <w:br w:type="page"/>
      </w:r>
    </w:p>
    <w:p w14:paraId="59CCD9A5" w14:textId="23585F7E" w:rsidR="005A5BD5" w:rsidRPr="00334017" w:rsidRDefault="005A5BD5" w:rsidP="004C2C7D">
      <w:pPr>
        <w:tabs>
          <w:tab w:val="left" w:pos="960"/>
        </w:tabs>
        <w:jc w:val="center"/>
        <w:rPr>
          <w:rFonts w:eastAsia="Calibri"/>
          <w:szCs w:val="22"/>
          <w:lang w:eastAsia="de-DE" w:bidi="de-DE"/>
        </w:rPr>
      </w:pPr>
      <w:r w:rsidRPr="00334017">
        <w:rPr>
          <w:rFonts w:eastAsia="Calibri"/>
          <w:szCs w:val="22"/>
          <w:lang w:eastAsia="de-DE" w:bidi="de-DE"/>
        </w:rPr>
        <w:lastRenderedPageBreak/>
        <w:t>[</w:t>
      </w:r>
      <w:r w:rsidRPr="00334017">
        <w:rPr>
          <w:rFonts w:eastAsia="Calibri"/>
          <w:i/>
          <w:szCs w:val="22"/>
          <w:lang w:eastAsia="de-DE" w:bidi="de-DE"/>
        </w:rPr>
        <w:t>Abschnitt 25septies</w:t>
      </w:r>
      <w:r w:rsidRPr="00334017">
        <w:rPr>
          <w:rFonts w:eastAsia="Calibri"/>
          <w:szCs w:val="22"/>
          <w:lang w:eastAsia="de-DE" w:bidi="de-DE"/>
        </w:rPr>
        <w:t> - [Ermäßigung für Ausgaben zur Energieeinsparung in einer Wohnung</w:t>
      </w:r>
    </w:p>
    <w:p w14:paraId="22C67C7D" w14:textId="77777777" w:rsidR="005A5BD5" w:rsidRPr="00334017" w:rsidRDefault="005A5BD5" w:rsidP="004C2C7D">
      <w:pPr>
        <w:tabs>
          <w:tab w:val="left" w:pos="960"/>
        </w:tabs>
        <w:jc w:val="center"/>
        <w:rPr>
          <w:rFonts w:eastAsia="Calibri"/>
          <w:szCs w:val="22"/>
          <w:lang w:eastAsia="de-DE" w:bidi="de-DE"/>
        </w:rPr>
      </w:pPr>
    </w:p>
    <w:p w14:paraId="33A29051" w14:textId="77777777" w:rsidR="005A5BD5" w:rsidRPr="00334017" w:rsidRDefault="005A5BD5" w:rsidP="004C2C7D">
      <w:pPr>
        <w:tabs>
          <w:tab w:val="left" w:pos="960"/>
        </w:tabs>
        <w:jc w:val="center"/>
        <w:rPr>
          <w:rFonts w:eastAsia="Calibri"/>
          <w:szCs w:val="22"/>
          <w:lang w:eastAsia="de-DE" w:bidi="de-DE"/>
        </w:rPr>
      </w:pPr>
      <w:r w:rsidRPr="00334017">
        <w:rPr>
          <w:rFonts w:eastAsia="Calibri"/>
          <w:szCs w:val="22"/>
          <w:lang w:eastAsia="de-DE" w:bidi="de-DE"/>
        </w:rPr>
        <w:t>(Einkommensteuergesetzbuch 1992, Artikel 145</w:t>
      </w:r>
      <w:r w:rsidRPr="00334017">
        <w:rPr>
          <w:rFonts w:eastAsia="Calibri"/>
          <w:szCs w:val="22"/>
          <w:vertAlign w:val="superscript"/>
          <w:lang w:eastAsia="de-DE" w:bidi="de-DE"/>
        </w:rPr>
        <w:t>24</w:t>
      </w:r>
      <w:r w:rsidRPr="00334017">
        <w:rPr>
          <w:rFonts w:eastAsia="Calibri"/>
          <w:szCs w:val="22"/>
          <w:lang w:eastAsia="de-DE" w:bidi="de-DE"/>
        </w:rPr>
        <w:t>)]</w:t>
      </w:r>
    </w:p>
    <w:p w14:paraId="7E874325" w14:textId="77777777" w:rsidR="005A5BD5" w:rsidRPr="00334017" w:rsidRDefault="005A5BD5" w:rsidP="004C2C7D">
      <w:pPr>
        <w:tabs>
          <w:tab w:val="left" w:pos="960"/>
        </w:tabs>
        <w:jc w:val="both"/>
        <w:rPr>
          <w:rFonts w:eastAsia="Calibri"/>
          <w:szCs w:val="22"/>
          <w:lang w:eastAsia="de-DE" w:bidi="de-DE"/>
        </w:rPr>
      </w:pPr>
    </w:p>
    <w:p w14:paraId="2627ECD6"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[Abschnitt 25septies mit Art. 63</w:t>
      </w:r>
      <w:r w:rsidRPr="00334017">
        <w:rPr>
          <w:rFonts w:eastAsia="Calibri"/>
          <w:i/>
          <w:szCs w:val="22"/>
          <w:vertAlign w:val="superscript"/>
          <w:lang w:eastAsia="de-DE" w:bidi="de-DE"/>
        </w:rPr>
        <w:t>11</w:t>
      </w:r>
      <w:r w:rsidRPr="00334017">
        <w:rPr>
          <w:rFonts w:eastAsia="Calibri"/>
          <w:i/>
          <w:szCs w:val="22"/>
          <w:lang w:eastAsia="de-DE" w:bidi="de-DE"/>
        </w:rPr>
        <w:t xml:space="preserve"> eingefügt durch Art. 1 des K.E. vom 20. Dezember 2002 (B.S. vom 28. Dezember 2002); Überschrift von Abschnitt 25septies ersetzt durch Art. 1 des K.E. vom 10. September 2010 (B.S. vom 22. September 2010)]</w:t>
      </w:r>
    </w:p>
    <w:p w14:paraId="64B59419" w14:textId="77777777" w:rsidR="005A5BD5" w:rsidRPr="00334017" w:rsidRDefault="005A5BD5" w:rsidP="004C2C7D">
      <w:pPr>
        <w:tabs>
          <w:tab w:val="left" w:pos="960"/>
        </w:tabs>
        <w:jc w:val="both"/>
        <w:rPr>
          <w:rFonts w:eastAsia="Calibri"/>
          <w:szCs w:val="22"/>
          <w:lang w:eastAsia="de-DE" w:bidi="de-DE"/>
        </w:rPr>
      </w:pPr>
    </w:p>
    <w:p w14:paraId="24FF726D" w14:textId="77777777" w:rsidR="009C59B6" w:rsidRDefault="009C59B6" w:rsidP="00FB3E9E">
      <w:pPr>
        <w:tabs>
          <w:tab w:val="left" w:pos="851"/>
        </w:tabs>
        <w:jc w:val="both"/>
        <w:rPr>
          <w:rFonts w:eastAsia="Calibri"/>
          <w:sz w:val="20"/>
          <w:szCs w:val="20"/>
          <w:lang w:eastAsia="de-DE" w:bidi="de-DE"/>
        </w:rPr>
      </w:pPr>
    </w:p>
    <w:p w14:paraId="76D59649" w14:textId="77777777" w:rsidR="005A5BD5" w:rsidRPr="009C59B6" w:rsidRDefault="009C59B6" w:rsidP="00FB3E9E">
      <w:pPr>
        <w:tabs>
          <w:tab w:val="left" w:pos="851"/>
        </w:tabs>
        <w:jc w:val="both"/>
        <w:rPr>
          <w:rFonts w:eastAsia="Calibri"/>
          <w:lang w:eastAsia="de-DE" w:bidi="de-DE"/>
        </w:rPr>
      </w:pPr>
      <w:r>
        <w:rPr>
          <w:rFonts w:eastAsia="Calibri"/>
          <w:sz w:val="20"/>
          <w:szCs w:val="20"/>
          <w:lang w:eastAsia="de-DE" w:bidi="de-DE"/>
        </w:rPr>
        <w:tab/>
      </w:r>
      <w:r w:rsidR="005A5BD5" w:rsidRPr="009C59B6">
        <w:rPr>
          <w:rFonts w:eastAsia="Calibri"/>
          <w:b/>
          <w:lang w:eastAsia="de-DE" w:bidi="de-DE"/>
        </w:rPr>
        <w:t>Art. 63</w:t>
      </w:r>
      <w:r w:rsidR="005A5BD5" w:rsidRPr="009C59B6">
        <w:rPr>
          <w:rFonts w:eastAsia="Calibri"/>
          <w:b/>
          <w:vertAlign w:val="superscript"/>
          <w:lang w:eastAsia="de-DE" w:bidi="de-DE"/>
        </w:rPr>
        <w:t>11</w:t>
      </w:r>
      <w:r w:rsidR="005A5BD5" w:rsidRPr="009C59B6">
        <w:rPr>
          <w:rFonts w:eastAsia="Calibri"/>
          <w:lang w:eastAsia="de-DE" w:bidi="de-DE"/>
        </w:rPr>
        <w:t> - [</w:t>
      </w:r>
      <w:r w:rsidR="009251F9" w:rsidRPr="009C59B6">
        <w:rPr>
          <w:rFonts w:eastAsia="Calibri"/>
          <w:lang w:eastAsia="de-DE" w:bidi="de-DE"/>
        </w:rPr>
        <w:t>…</w:t>
      </w:r>
      <w:r w:rsidR="005A5BD5" w:rsidRPr="009C59B6">
        <w:rPr>
          <w:rFonts w:eastAsia="Calibri"/>
          <w:lang w:eastAsia="de-DE" w:bidi="de-DE"/>
        </w:rPr>
        <w:t>]]</w:t>
      </w:r>
    </w:p>
    <w:p w14:paraId="7AF374CA" w14:textId="77777777" w:rsidR="005A5BD5" w:rsidRPr="009C59B6" w:rsidRDefault="005A5BD5" w:rsidP="00FB3E9E">
      <w:pPr>
        <w:tabs>
          <w:tab w:val="left" w:pos="851"/>
        </w:tabs>
        <w:jc w:val="both"/>
        <w:rPr>
          <w:rFonts w:eastAsia="Calibri"/>
          <w:lang w:eastAsia="de-DE" w:bidi="de-DE"/>
        </w:rPr>
      </w:pPr>
    </w:p>
    <w:p w14:paraId="68D45667" w14:textId="77777777" w:rsidR="005A5BD5" w:rsidRPr="009C59B6" w:rsidRDefault="005A5BD5" w:rsidP="00FB3E9E">
      <w:pPr>
        <w:tabs>
          <w:tab w:val="left" w:pos="851"/>
        </w:tabs>
        <w:jc w:val="both"/>
        <w:rPr>
          <w:rFonts w:eastAsia="Calibri"/>
          <w:lang w:eastAsia="de-DE" w:bidi="de-DE"/>
        </w:rPr>
      </w:pPr>
      <w:r w:rsidRPr="009C59B6">
        <w:rPr>
          <w:rFonts w:eastAsia="Calibri"/>
          <w:i/>
          <w:lang w:eastAsia="de-DE" w:bidi="de-DE"/>
        </w:rPr>
        <w:t>[Art. 63</w:t>
      </w:r>
      <w:r w:rsidRPr="009C59B6">
        <w:rPr>
          <w:rFonts w:eastAsia="Calibri"/>
          <w:i/>
          <w:vertAlign w:val="superscript"/>
          <w:lang w:eastAsia="de-DE" w:bidi="de-DE"/>
        </w:rPr>
        <w:t>11</w:t>
      </w:r>
      <w:r w:rsidRPr="009C59B6">
        <w:rPr>
          <w:rFonts w:eastAsia="Calibri"/>
          <w:i/>
          <w:lang w:eastAsia="de-DE" w:bidi="de-DE"/>
        </w:rPr>
        <w:t xml:space="preserve"> aufgehoben durch Art. 6 des K.E. vom 30. September 2014 (II) (B.S. vom 9. Oktober 2014)]</w:t>
      </w:r>
    </w:p>
    <w:p w14:paraId="35039259" w14:textId="77777777" w:rsidR="005A5BD5" w:rsidRPr="00334017" w:rsidRDefault="005A5BD5" w:rsidP="00FB3E9E">
      <w:pPr>
        <w:tabs>
          <w:tab w:val="left" w:pos="851"/>
        </w:tabs>
        <w:jc w:val="both"/>
        <w:rPr>
          <w:rFonts w:eastAsia="Calibri"/>
          <w:lang w:eastAsia="de-DE" w:bidi="de-DE"/>
        </w:rPr>
      </w:pPr>
    </w:p>
    <w:p w14:paraId="65122D82" w14:textId="77777777" w:rsidR="005A5BD5" w:rsidRPr="00334017" w:rsidRDefault="005A5BD5" w:rsidP="00FB3E9E">
      <w:pPr>
        <w:tabs>
          <w:tab w:val="left" w:pos="851"/>
        </w:tabs>
        <w:jc w:val="both"/>
        <w:rPr>
          <w:rFonts w:eastAsia="Calibri"/>
          <w:lang w:eastAsia="de-DE" w:bidi="de-DE"/>
        </w:rPr>
      </w:pPr>
    </w:p>
    <w:p w14:paraId="0568B184" w14:textId="77777777" w:rsidR="005A5BD5" w:rsidRPr="00334017" w:rsidRDefault="005A5BD5" w:rsidP="00FB3E9E">
      <w:pPr>
        <w:tabs>
          <w:tab w:val="left" w:pos="851"/>
        </w:tabs>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11</w:t>
      </w:r>
      <w:r w:rsidRPr="00334017">
        <w:rPr>
          <w:rFonts w:eastAsia="Calibri"/>
          <w:b/>
          <w:i/>
          <w:szCs w:val="22"/>
          <w:lang w:eastAsia="de-DE" w:bidi="de-DE"/>
        </w:rPr>
        <w:t>bis</w:t>
      </w:r>
      <w:r w:rsidRPr="00334017">
        <w:rPr>
          <w:rFonts w:eastAsia="Calibri"/>
          <w:szCs w:val="22"/>
          <w:lang w:eastAsia="de-DE" w:bidi="de-DE"/>
        </w:rPr>
        <w:t> - [</w:t>
      </w:r>
      <w:r w:rsidR="009251F9">
        <w:rPr>
          <w:rFonts w:eastAsia="Calibri"/>
          <w:szCs w:val="22"/>
          <w:lang w:eastAsia="de-DE" w:bidi="de-DE"/>
        </w:rPr>
        <w:t>…</w:t>
      </w:r>
      <w:r w:rsidRPr="00334017">
        <w:rPr>
          <w:rFonts w:eastAsia="Calibri"/>
          <w:szCs w:val="22"/>
          <w:lang w:eastAsia="de-DE" w:bidi="de-DE"/>
        </w:rPr>
        <w:t>]</w:t>
      </w:r>
    </w:p>
    <w:p w14:paraId="1C6ECDE7" w14:textId="77777777" w:rsidR="005A5BD5" w:rsidRPr="00334017" w:rsidRDefault="005A5BD5" w:rsidP="00FB3E9E">
      <w:pPr>
        <w:tabs>
          <w:tab w:val="left" w:pos="851"/>
        </w:tabs>
        <w:jc w:val="both"/>
        <w:rPr>
          <w:rFonts w:eastAsia="Calibri"/>
          <w:szCs w:val="22"/>
          <w:lang w:eastAsia="de-DE" w:bidi="de-DE"/>
        </w:rPr>
      </w:pPr>
    </w:p>
    <w:p w14:paraId="61DDCC31" w14:textId="77777777" w:rsidR="005A5BD5" w:rsidRPr="00334017" w:rsidRDefault="005A5BD5" w:rsidP="00FB3E9E">
      <w:pPr>
        <w:tabs>
          <w:tab w:val="left" w:pos="851"/>
        </w:tabs>
        <w:jc w:val="both"/>
        <w:rPr>
          <w:rFonts w:eastAsia="Calibri"/>
          <w:i/>
          <w:szCs w:val="22"/>
          <w:lang w:eastAsia="de-DE" w:bidi="de-DE"/>
        </w:rPr>
      </w:pPr>
      <w:r w:rsidRPr="00334017">
        <w:rPr>
          <w:rFonts w:eastAsia="Calibri"/>
          <w:i/>
          <w:szCs w:val="22"/>
          <w:lang w:eastAsia="de-DE" w:bidi="de-DE"/>
        </w:rPr>
        <w:t>[Art. 63</w:t>
      </w:r>
      <w:r w:rsidRPr="00334017">
        <w:rPr>
          <w:rFonts w:eastAsia="Calibri"/>
          <w:i/>
          <w:szCs w:val="22"/>
          <w:vertAlign w:val="superscript"/>
          <w:lang w:eastAsia="de-DE" w:bidi="de-DE"/>
        </w:rPr>
        <w:t>11</w:t>
      </w:r>
      <w:r w:rsidRPr="00334017">
        <w:rPr>
          <w:rFonts w:eastAsia="Calibri"/>
          <w:i/>
          <w:szCs w:val="22"/>
          <w:lang w:eastAsia="de-DE" w:bidi="de-DE"/>
        </w:rPr>
        <w:t>bis eingefügt durch Art. 2 des K.E. vom 19. Dezember 2007 (II) (B.S. vom 27. Dezember 2007) und aufgehoben durch Art. 7 des K.E. vom 30. September 2014 (II) (B.S. vom 9. Oktober 2014)]</w:t>
      </w:r>
    </w:p>
    <w:p w14:paraId="14EF5343" w14:textId="77777777" w:rsidR="005A5BD5" w:rsidRPr="00334017" w:rsidRDefault="005A5BD5" w:rsidP="00FB3E9E">
      <w:pPr>
        <w:tabs>
          <w:tab w:val="left" w:pos="851"/>
        </w:tabs>
        <w:jc w:val="both"/>
        <w:rPr>
          <w:rFonts w:eastAsia="Calibri"/>
          <w:szCs w:val="22"/>
          <w:lang w:eastAsia="de-DE" w:bidi="de-DE"/>
        </w:rPr>
      </w:pPr>
    </w:p>
    <w:p w14:paraId="3C59F48D" w14:textId="77777777" w:rsidR="005A5BD5" w:rsidRPr="00334017" w:rsidRDefault="005A5BD5" w:rsidP="00FB3E9E">
      <w:pPr>
        <w:tabs>
          <w:tab w:val="left" w:pos="851"/>
        </w:tabs>
        <w:jc w:val="both"/>
        <w:rPr>
          <w:rFonts w:eastAsia="Calibri"/>
          <w:szCs w:val="22"/>
          <w:lang w:eastAsia="de-DE" w:bidi="de-DE"/>
        </w:rPr>
      </w:pPr>
    </w:p>
    <w:p w14:paraId="62079C70" w14:textId="77777777" w:rsidR="005A5BD5" w:rsidRPr="00334017" w:rsidRDefault="005A5BD5" w:rsidP="00FB3E9E">
      <w:pPr>
        <w:tabs>
          <w:tab w:val="left" w:pos="851"/>
        </w:tabs>
        <w:jc w:val="both"/>
        <w:rPr>
          <w:rFonts w:eastAsia="Calibri"/>
          <w:szCs w:val="22"/>
          <w:lang w:eastAsia="de-DE" w:bidi="de-DE"/>
        </w:rPr>
      </w:pPr>
      <w:r w:rsidRPr="00334017">
        <w:rPr>
          <w:rFonts w:eastAsia="Calibri"/>
          <w:szCs w:val="22"/>
          <w:lang w:eastAsia="de-DE" w:bidi="de-DE"/>
        </w:rPr>
        <w:tab/>
        <w:t>[</w:t>
      </w:r>
      <w:r w:rsidRPr="00334017">
        <w:rPr>
          <w:rFonts w:eastAsia="Calibri"/>
          <w:b/>
          <w:szCs w:val="22"/>
          <w:lang w:eastAsia="de-DE" w:bidi="de-DE"/>
        </w:rPr>
        <w:t>Art. 63</w:t>
      </w:r>
      <w:r w:rsidRPr="00334017">
        <w:rPr>
          <w:rFonts w:eastAsia="Calibri"/>
          <w:b/>
          <w:szCs w:val="22"/>
          <w:vertAlign w:val="superscript"/>
          <w:lang w:eastAsia="de-DE" w:bidi="de-DE"/>
        </w:rPr>
        <w:t>11</w:t>
      </w:r>
      <w:r w:rsidRPr="00334017">
        <w:rPr>
          <w:rFonts w:eastAsia="Calibri"/>
          <w:b/>
          <w:i/>
          <w:szCs w:val="22"/>
          <w:lang w:eastAsia="de-DE" w:bidi="de-DE"/>
        </w:rPr>
        <w:t>ter</w:t>
      </w:r>
      <w:r w:rsidRPr="00334017">
        <w:rPr>
          <w:rFonts w:eastAsia="Calibri"/>
          <w:szCs w:val="22"/>
          <w:lang w:eastAsia="de-DE" w:bidi="de-DE"/>
        </w:rPr>
        <w:t> - Steuerpflichtige, die die Geltendmachung von Artikel 145</w:t>
      </w:r>
      <w:r w:rsidRPr="00334017">
        <w:rPr>
          <w:rFonts w:eastAsia="Calibri"/>
          <w:szCs w:val="22"/>
          <w:vertAlign w:val="superscript"/>
          <w:lang w:eastAsia="de-DE" w:bidi="de-DE"/>
        </w:rPr>
        <w:t>24</w:t>
      </w:r>
      <w:r w:rsidRPr="00334017">
        <w:rPr>
          <w:rFonts w:eastAsia="Calibri"/>
          <w:szCs w:val="22"/>
          <w:lang w:eastAsia="de-DE" w:bidi="de-DE"/>
        </w:rPr>
        <w:t xml:space="preserve"> § 3 des Einkommensteuergesetzbuches 1992 beantragen, halten folgende Bescheinigungen, deren Muster vom Minister der Finanzen oder von seinem Beauftragten festlegt wird und die vom Kreditgeber ausgestellt werden, zur Verfügung des Föderalen Öffentlichen Dienstes Finanzen bereit:</w:t>
      </w:r>
    </w:p>
    <w:p w14:paraId="59095F02" w14:textId="77777777" w:rsidR="005A5BD5" w:rsidRPr="00334017" w:rsidRDefault="005A5BD5" w:rsidP="00FB3E9E">
      <w:pPr>
        <w:tabs>
          <w:tab w:val="left" w:pos="851"/>
        </w:tabs>
        <w:jc w:val="both"/>
        <w:rPr>
          <w:rFonts w:eastAsia="Calibri"/>
          <w:szCs w:val="22"/>
          <w:lang w:eastAsia="de-DE" w:bidi="de-DE"/>
        </w:rPr>
      </w:pPr>
    </w:p>
    <w:p w14:paraId="578EC643" w14:textId="77777777" w:rsidR="00AD4D61" w:rsidRPr="002E592D" w:rsidRDefault="00AD4D61" w:rsidP="00FB3E9E">
      <w:pPr>
        <w:tabs>
          <w:tab w:val="left" w:pos="851"/>
          <w:tab w:val="left" w:pos="993"/>
        </w:tabs>
        <w:jc w:val="both"/>
        <w:rPr>
          <w:rFonts w:eastAsia="Calibri"/>
          <w:szCs w:val="22"/>
          <w:lang w:eastAsia="de-DE" w:bidi="de-DE"/>
        </w:rPr>
      </w:pPr>
      <w:r>
        <w:rPr>
          <w:rFonts w:eastAsia="Calibri"/>
          <w:szCs w:val="22"/>
          <w:lang w:eastAsia="de-DE" w:bidi="de-DE"/>
        </w:rPr>
        <w:t xml:space="preserve"> </w:t>
      </w:r>
      <w:r w:rsidR="002E592D">
        <w:rPr>
          <w:rFonts w:eastAsia="Calibri"/>
          <w:szCs w:val="22"/>
          <w:lang w:eastAsia="de-DE" w:bidi="de-DE"/>
        </w:rPr>
        <w:tab/>
        <w:t>1. </w:t>
      </w:r>
      <w:r>
        <w:rPr>
          <w:rFonts w:eastAsia="Calibri"/>
          <w:szCs w:val="22"/>
          <w:lang w:eastAsia="de-DE" w:bidi="de-DE"/>
        </w:rPr>
        <w:t>[</w:t>
      </w:r>
      <w:r w:rsidRPr="00F86574">
        <w:t>für ab dem 1. Januar 2016 aufgenommene Hypothekenanleihen zur Refinanzierung einer Hypothekenanleihe mit einer Mindestlaufzeit von zehn Jahren: jährliche Bescheinigung, in der der Kreditgeber den Betrag der vom Steuerpflichtigen während des Besteuerungs</w:t>
      </w:r>
      <w:r w:rsidRPr="00F86574">
        <w:softHyphen/>
        <w:t>zeitraums getätigten Zahlungen und Angaben mitteilt, die notwendig sind, um zu überprüfen, ob die Bedingungen für die Anwendung von Artikel 145</w:t>
      </w:r>
      <w:r w:rsidRPr="00F86574">
        <w:rPr>
          <w:vertAlign w:val="superscript"/>
        </w:rPr>
        <w:t>24</w:t>
      </w:r>
      <w:r w:rsidRPr="00F86574">
        <w:t xml:space="preserve"> § 3 des vorerwähnten Gesetzbuches erfüllt sind,</w:t>
      </w:r>
    </w:p>
    <w:p w14:paraId="1B58DFD2" w14:textId="77777777" w:rsidR="00AD4D61" w:rsidRPr="00F86574" w:rsidRDefault="00AD4D61" w:rsidP="00FB3E9E">
      <w:pPr>
        <w:tabs>
          <w:tab w:val="left" w:pos="851"/>
        </w:tabs>
        <w:ind w:firstLine="708"/>
        <w:jc w:val="both"/>
      </w:pPr>
    </w:p>
    <w:p w14:paraId="3B8F28D9" w14:textId="77777777" w:rsidR="00AD4D61" w:rsidRPr="00F86574" w:rsidRDefault="002E592D" w:rsidP="00FB3E9E">
      <w:pPr>
        <w:tabs>
          <w:tab w:val="left" w:pos="851"/>
          <w:tab w:val="left" w:pos="993"/>
        </w:tabs>
        <w:jc w:val="both"/>
      </w:pPr>
      <w:r>
        <w:tab/>
      </w:r>
      <w:r w:rsidR="00AD4D61" w:rsidRPr="00F86574">
        <w:t>2. für andere als in Nr. 1 erwähnte Anleihen:</w:t>
      </w:r>
    </w:p>
    <w:p w14:paraId="7E1ED117" w14:textId="77777777" w:rsidR="00AD4D61" w:rsidRPr="00F86574" w:rsidRDefault="00AD4D61" w:rsidP="00FB3E9E">
      <w:pPr>
        <w:tabs>
          <w:tab w:val="left" w:pos="851"/>
          <w:tab w:val="left" w:pos="993"/>
        </w:tabs>
        <w:ind w:firstLine="993"/>
        <w:jc w:val="both"/>
      </w:pPr>
    </w:p>
    <w:p w14:paraId="7F484B66" w14:textId="77777777" w:rsidR="00AD4D61" w:rsidRPr="00F86574" w:rsidRDefault="002E592D" w:rsidP="00FB3E9E">
      <w:pPr>
        <w:tabs>
          <w:tab w:val="left" w:pos="851"/>
          <w:tab w:val="left" w:pos="993"/>
        </w:tabs>
        <w:jc w:val="both"/>
      </w:pPr>
      <w:r>
        <w:rPr>
          <w:i/>
        </w:rPr>
        <w:tab/>
      </w:r>
      <w:r w:rsidR="00AD4D61" w:rsidRPr="00F86574">
        <w:rPr>
          <w:i/>
        </w:rPr>
        <w:t>a)</w:t>
      </w:r>
      <w:r w:rsidR="00AD4D61" w:rsidRPr="00F86574">
        <w:t> einmalige Grundbescheinigung, in der der Kreditgeber Angaben mitteilt, die belegen, dass der Darlehensvertrag für die Anwendung von Artikel 145</w:t>
      </w:r>
      <w:r w:rsidR="00AD4D61" w:rsidRPr="00F86574">
        <w:rPr>
          <w:vertAlign w:val="superscript"/>
        </w:rPr>
        <w:t>24</w:t>
      </w:r>
      <w:r w:rsidR="00AD4D61" w:rsidRPr="00F86574">
        <w:t xml:space="preserve"> § 3 des vorerwähnten Gesetzbuches berücksichtigt werden kann,</w:t>
      </w:r>
    </w:p>
    <w:p w14:paraId="13818590" w14:textId="77777777" w:rsidR="00AD4D61" w:rsidRPr="00F86574" w:rsidRDefault="00AD4D61" w:rsidP="00FB3E9E">
      <w:pPr>
        <w:tabs>
          <w:tab w:val="left" w:pos="851"/>
          <w:tab w:val="left" w:pos="993"/>
        </w:tabs>
        <w:jc w:val="both"/>
      </w:pPr>
    </w:p>
    <w:p w14:paraId="6AEDA260" w14:textId="77777777" w:rsidR="005A5BD5" w:rsidRPr="00334017" w:rsidRDefault="002E592D" w:rsidP="00FB3E9E">
      <w:pPr>
        <w:tabs>
          <w:tab w:val="left" w:pos="851"/>
        </w:tabs>
        <w:jc w:val="both"/>
        <w:rPr>
          <w:rFonts w:eastAsia="Calibri"/>
          <w:szCs w:val="22"/>
          <w:lang w:eastAsia="de-DE" w:bidi="de-DE"/>
        </w:rPr>
      </w:pPr>
      <w:r>
        <w:rPr>
          <w:i/>
        </w:rPr>
        <w:tab/>
      </w:r>
      <w:r w:rsidR="00AD4D61" w:rsidRPr="00F86574">
        <w:rPr>
          <w:i/>
        </w:rPr>
        <w:t>b)</w:t>
      </w:r>
      <w:r w:rsidR="00AD4D61" w:rsidRPr="00F86574">
        <w:t> jährliche Bescheinigung, in der der Kreditgeber den Betrag der vom Steuerpflichtigen während des Besteuerungszeitraums getätigten Zahlungen und Angaben mitteilt, die notwendig sind, um zu überprüfen, ob die Bedingungen für die Anwendung von Artikel 145</w:t>
      </w:r>
      <w:r w:rsidR="00AD4D61" w:rsidRPr="00F86574">
        <w:rPr>
          <w:vertAlign w:val="superscript"/>
        </w:rPr>
        <w:t>24</w:t>
      </w:r>
      <w:r w:rsidR="00AD4D61" w:rsidRPr="00F86574">
        <w:t xml:space="preserve"> § 3 des vorerwähnten Gesetzbuches weiter erfüllt sind.</w:t>
      </w:r>
      <w:r w:rsidR="00AD4D61">
        <w:rPr>
          <w:rFonts w:eastAsia="Calibri"/>
          <w:szCs w:val="22"/>
          <w:lang w:eastAsia="de-DE" w:bidi="de-DE"/>
        </w:rPr>
        <w:t>]</w:t>
      </w:r>
      <w:r w:rsidR="005A5BD5" w:rsidRPr="00334017">
        <w:rPr>
          <w:rFonts w:eastAsia="Calibri"/>
          <w:szCs w:val="22"/>
          <w:lang w:eastAsia="de-DE" w:bidi="de-DE"/>
        </w:rPr>
        <w:t>]</w:t>
      </w:r>
    </w:p>
    <w:p w14:paraId="397B3E80" w14:textId="77777777" w:rsidR="005A5BD5" w:rsidRPr="00334017" w:rsidRDefault="005A5BD5" w:rsidP="00FB3E9E">
      <w:pPr>
        <w:tabs>
          <w:tab w:val="left" w:pos="851"/>
        </w:tabs>
        <w:jc w:val="both"/>
        <w:rPr>
          <w:rFonts w:eastAsia="Calibri"/>
          <w:szCs w:val="22"/>
          <w:lang w:eastAsia="de-DE" w:bidi="de-DE"/>
        </w:rPr>
      </w:pPr>
    </w:p>
    <w:p w14:paraId="481997A1" w14:textId="77777777" w:rsidR="002E592D" w:rsidRDefault="005A5BD5" w:rsidP="00FB3E9E">
      <w:pPr>
        <w:tabs>
          <w:tab w:val="left" w:pos="851"/>
        </w:tabs>
        <w:jc w:val="both"/>
        <w:rPr>
          <w:rFonts w:eastAsia="Calibri"/>
          <w:i/>
          <w:szCs w:val="22"/>
          <w:lang w:eastAsia="de-DE" w:bidi="de-DE"/>
        </w:rPr>
      </w:pPr>
      <w:r w:rsidRPr="00334017">
        <w:rPr>
          <w:rFonts w:eastAsia="Calibri"/>
          <w:i/>
          <w:szCs w:val="22"/>
          <w:lang w:eastAsia="de-DE" w:bidi="de-DE"/>
        </w:rPr>
        <w:t>[Art. 63</w:t>
      </w:r>
      <w:r w:rsidRPr="00334017">
        <w:rPr>
          <w:rFonts w:eastAsia="Calibri"/>
          <w:i/>
          <w:szCs w:val="22"/>
          <w:vertAlign w:val="superscript"/>
          <w:lang w:eastAsia="de-DE" w:bidi="de-DE"/>
        </w:rPr>
        <w:t>11</w:t>
      </w:r>
      <w:r w:rsidRPr="00334017">
        <w:rPr>
          <w:rFonts w:eastAsia="Calibri"/>
          <w:i/>
          <w:szCs w:val="22"/>
          <w:lang w:eastAsia="de-DE" w:bidi="de-DE"/>
        </w:rPr>
        <w:t>ter eingefügt durch Art. 1 Nr. 2 des K.E. vom 12. Juli 2009 (B.S. vom 17. Juli 2009)</w:t>
      </w:r>
      <w:r w:rsidR="002E592D">
        <w:rPr>
          <w:rFonts w:eastAsia="Calibri"/>
          <w:i/>
          <w:szCs w:val="22"/>
          <w:lang w:eastAsia="de-DE" w:bidi="de-DE"/>
        </w:rPr>
        <w:t>; einziger Absatz Nr. 1 und 2 ersetzt durch Art. 3 des K.E. vom 6. März 2018 (II) (B.S. vom 20. März </w:t>
      </w:r>
      <w:r w:rsidR="002E592D" w:rsidRPr="002E592D">
        <w:rPr>
          <w:rFonts w:eastAsia="Calibri"/>
          <w:i/>
          <w:szCs w:val="22"/>
          <w:lang w:eastAsia="de-DE" w:bidi="de-DE"/>
        </w:rPr>
        <w:t>2018)</w:t>
      </w:r>
      <w:r w:rsidRPr="00334017">
        <w:rPr>
          <w:rFonts w:eastAsia="Calibri"/>
          <w:i/>
          <w:szCs w:val="22"/>
          <w:lang w:eastAsia="de-DE" w:bidi="de-DE"/>
        </w:rPr>
        <w:t>]</w:t>
      </w:r>
    </w:p>
    <w:p w14:paraId="18DAE13E" w14:textId="77777777" w:rsidR="002E592D" w:rsidRDefault="002E592D" w:rsidP="00FB3E9E">
      <w:pPr>
        <w:tabs>
          <w:tab w:val="left" w:pos="851"/>
        </w:tabs>
        <w:jc w:val="both"/>
        <w:rPr>
          <w:rFonts w:eastAsia="Calibri"/>
          <w:i/>
          <w:szCs w:val="22"/>
          <w:lang w:eastAsia="de-DE" w:bidi="de-DE"/>
        </w:rPr>
      </w:pPr>
    </w:p>
    <w:p w14:paraId="1FFFD4A0" w14:textId="77777777" w:rsidR="005A5BD5" w:rsidRPr="00334017" w:rsidRDefault="005A5BD5" w:rsidP="004C2C7D">
      <w:pPr>
        <w:tabs>
          <w:tab w:val="left" w:pos="960"/>
        </w:tabs>
        <w:jc w:val="center"/>
        <w:rPr>
          <w:rFonts w:eastAsia="Calibri"/>
          <w:szCs w:val="22"/>
          <w:lang w:eastAsia="de-DE" w:bidi="de-DE"/>
        </w:rPr>
      </w:pPr>
      <w:r w:rsidRPr="00334017">
        <w:rPr>
          <w:rFonts w:eastAsia="Calibri"/>
          <w:szCs w:val="22"/>
          <w:lang w:eastAsia="de-DE" w:bidi="de-DE"/>
        </w:rPr>
        <w:lastRenderedPageBreak/>
        <w:t>[</w:t>
      </w:r>
      <w:r w:rsidRPr="00334017">
        <w:rPr>
          <w:rFonts w:eastAsia="Calibri"/>
          <w:i/>
          <w:szCs w:val="22"/>
          <w:lang w:eastAsia="de-DE" w:bidi="de-DE"/>
        </w:rPr>
        <w:t>Abschnitt 25octies</w:t>
      </w:r>
      <w:r w:rsidRPr="00334017">
        <w:rPr>
          <w:rFonts w:eastAsia="Calibri"/>
          <w:szCs w:val="22"/>
          <w:lang w:eastAsia="de-DE" w:bidi="de-DE"/>
        </w:rPr>
        <w:t> - Ermäßigung für Ausgaben für die Renovierung von Wohnungen, die in einer großstädtischen Förderzone liegen</w:t>
      </w:r>
    </w:p>
    <w:p w14:paraId="348CD472" w14:textId="77777777" w:rsidR="005A5BD5" w:rsidRPr="00334017" w:rsidRDefault="005A5BD5" w:rsidP="004C2C7D">
      <w:pPr>
        <w:tabs>
          <w:tab w:val="left" w:pos="960"/>
        </w:tabs>
        <w:jc w:val="center"/>
        <w:rPr>
          <w:rFonts w:eastAsia="Calibri"/>
          <w:szCs w:val="22"/>
          <w:lang w:eastAsia="de-DE" w:bidi="de-DE"/>
        </w:rPr>
      </w:pPr>
    </w:p>
    <w:p w14:paraId="19BED67C" w14:textId="77777777" w:rsidR="005A5BD5" w:rsidRPr="00334017" w:rsidRDefault="005A5BD5" w:rsidP="004C2C7D">
      <w:pPr>
        <w:tabs>
          <w:tab w:val="left" w:pos="960"/>
        </w:tabs>
        <w:jc w:val="center"/>
        <w:rPr>
          <w:rFonts w:eastAsia="Calibri"/>
          <w:szCs w:val="22"/>
          <w:lang w:eastAsia="de-DE" w:bidi="de-DE"/>
        </w:rPr>
      </w:pPr>
      <w:r w:rsidRPr="00334017">
        <w:rPr>
          <w:rFonts w:eastAsia="Calibri"/>
          <w:szCs w:val="22"/>
          <w:lang w:eastAsia="de-DE" w:bidi="de-DE"/>
        </w:rPr>
        <w:t>(Einkommensteuergesetzbuch 1992, Artikel 145</w:t>
      </w:r>
      <w:r w:rsidRPr="00334017">
        <w:rPr>
          <w:rFonts w:eastAsia="Calibri"/>
          <w:szCs w:val="22"/>
          <w:vertAlign w:val="superscript"/>
          <w:lang w:eastAsia="de-DE" w:bidi="de-DE"/>
        </w:rPr>
        <w:t>25</w:t>
      </w:r>
      <w:r w:rsidRPr="00334017">
        <w:rPr>
          <w:rFonts w:eastAsia="Calibri"/>
          <w:szCs w:val="22"/>
          <w:lang w:eastAsia="de-DE" w:bidi="de-DE"/>
        </w:rPr>
        <w:t>)</w:t>
      </w:r>
    </w:p>
    <w:p w14:paraId="493707F2" w14:textId="77777777" w:rsidR="005A5BD5" w:rsidRPr="00334017" w:rsidRDefault="005A5BD5" w:rsidP="004C2C7D">
      <w:pPr>
        <w:tabs>
          <w:tab w:val="left" w:pos="960"/>
        </w:tabs>
        <w:jc w:val="center"/>
        <w:rPr>
          <w:rFonts w:eastAsia="Calibri"/>
          <w:szCs w:val="22"/>
          <w:lang w:eastAsia="de-DE" w:bidi="de-DE"/>
        </w:rPr>
      </w:pPr>
    </w:p>
    <w:p w14:paraId="5F38B1E5"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[Abschnitt 25octies mit Art. 63</w:t>
      </w:r>
      <w:r w:rsidRPr="00334017">
        <w:rPr>
          <w:rFonts w:eastAsia="Calibri"/>
          <w:i/>
          <w:szCs w:val="22"/>
          <w:vertAlign w:val="superscript"/>
          <w:lang w:eastAsia="de-DE" w:bidi="de-DE"/>
        </w:rPr>
        <w:t>12</w:t>
      </w:r>
      <w:r w:rsidRPr="00334017">
        <w:rPr>
          <w:rFonts w:eastAsia="Calibri"/>
          <w:i/>
          <w:szCs w:val="22"/>
          <w:lang w:eastAsia="de-DE" w:bidi="de-DE"/>
        </w:rPr>
        <w:t xml:space="preserve"> eingefügt durch Art. 1 des K.E. vom 12. Mai 2003 (II) (B.S. vom 20. Juni 2003)]</w:t>
      </w:r>
    </w:p>
    <w:p w14:paraId="1D0D7603" w14:textId="77777777" w:rsidR="005A5BD5" w:rsidRPr="00334017" w:rsidRDefault="005A5BD5" w:rsidP="004C2C7D">
      <w:pPr>
        <w:tabs>
          <w:tab w:val="left" w:pos="960"/>
        </w:tabs>
        <w:jc w:val="both"/>
        <w:rPr>
          <w:rFonts w:eastAsia="Calibri"/>
          <w:i/>
          <w:szCs w:val="22"/>
          <w:lang w:eastAsia="de-DE" w:bidi="de-DE"/>
        </w:rPr>
      </w:pPr>
    </w:p>
    <w:p w14:paraId="28750012" w14:textId="77777777" w:rsidR="005A5BD5" w:rsidRPr="00334017" w:rsidRDefault="005A5BD5" w:rsidP="004C2C7D">
      <w:pPr>
        <w:tabs>
          <w:tab w:val="left" w:pos="960"/>
        </w:tabs>
        <w:jc w:val="both"/>
        <w:rPr>
          <w:rFonts w:eastAsia="Calibri"/>
          <w:szCs w:val="22"/>
          <w:lang w:eastAsia="de-DE" w:bidi="de-DE"/>
        </w:rPr>
      </w:pPr>
    </w:p>
    <w:p w14:paraId="2B90881C" w14:textId="77777777" w:rsidR="005A5BD5" w:rsidRPr="00334017" w:rsidRDefault="005A5BD5" w:rsidP="00FB3E9E">
      <w:pPr>
        <w:tabs>
          <w:tab w:val="left" w:pos="709"/>
        </w:tabs>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12</w:t>
      </w:r>
      <w:r w:rsidRPr="00334017">
        <w:rPr>
          <w:rFonts w:eastAsia="Calibri"/>
          <w:szCs w:val="22"/>
          <w:lang w:eastAsia="de-DE" w:bidi="de-DE"/>
        </w:rPr>
        <w:t> - § 1 - Leistungen, die den in Artikel 145</w:t>
      </w:r>
      <w:r w:rsidRPr="00334017">
        <w:rPr>
          <w:rFonts w:eastAsia="Calibri"/>
          <w:szCs w:val="22"/>
          <w:vertAlign w:val="superscript"/>
          <w:lang w:eastAsia="de-DE" w:bidi="de-DE"/>
        </w:rPr>
        <w:t>25</w:t>
      </w:r>
      <w:r w:rsidRPr="00334017">
        <w:rPr>
          <w:rFonts w:eastAsia="Calibri"/>
          <w:szCs w:val="22"/>
          <w:lang w:eastAsia="de-DE" w:bidi="de-DE"/>
        </w:rPr>
        <w:t xml:space="preserve"> des Einkommensteuergesetz</w:t>
      </w:r>
      <w:r w:rsidRPr="00334017">
        <w:rPr>
          <w:rFonts w:eastAsia="Calibri"/>
          <w:szCs w:val="22"/>
          <w:lang w:eastAsia="de-DE" w:bidi="de-DE"/>
        </w:rPr>
        <w:softHyphen/>
        <w:t>buches 1992 erwähnten Ausgaben zugrunde liegen, sind Leistungen, die in Tabelle A Rubrik XXXI der Anlage zum Königlichen Erlass Nr. 20 vom 20. Juli 1970 zur Festlegung der Mehrwertsteuersätze und zur Einteilung der Güter und Dienstleistungen nach diesen Sätzen erwähnt sind.</w:t>
      </w:r>
    </w:p>
    <w:p w14:paraId="62C25E48" w14:textId="77777777" w:rsidR="005A5BD5" w:rsidRPr="00334017" w:rsidRDefault="005A5BD5" w:rsidP="00FB3E9E">
      <w:pPr>
        <w:tabs>
          <w:tab w:val="left" w:pos="709"/>
        </w:tabs>
        <w:jc w:val="both"/>
        <w:rPr>
          <w:rFonts w:eastAsia="Calibri"/>
          <w:szCs w:val="22"/>
          <w:lang w:eastAsia="de-DE" w:bidi="de-DE"/>
        </w:rPr>
      </w:pPr>
    </w:p>
    <w:p w14:paraId="55A7CE44" w14:textId="77777777" w:rsidR="005A5BD5" w:rsidRPr="00334017" w:rsidRDefault="005A5BD5" w:rsidP="00FB3E9E">
      <w:pPr>
        <w:tabs>
          <w:tab w:val="left" w:pos="709"/>
        </w:tabs>
        <w:jc w:val="both"/>
        <w:rPr>
          <w:rFonts w:eastAsia="Calibri"/>
          <w:szCs w:val="22"/>
          <w:lang w:eastAsia="de-DE" w:bidi="de-DE"/>
        </w:rPr>
      </w:pPr>
      <w:r w:rsidRPr="00334017">
        <w:rPr>
          <w:rFonts w:eastAsia="Calibri"/>
          <w:szCs w:val="22"/>
          <w:lang w:eastAsia="de-DE" w:bidi="de-DE"/>
        </w:rPr>
        <w:tab/>
        <w:t>Der [</w:t>
      </w:r>
      <w:r w:rsidR="009251F9">
        <w:rPr>
          <w:rFonts w:eastAsia="Calibri"/>
          <w:szCs w:val="22"/>
          <w:lang w:eastAsia="de-DE" w:bidi="de-DE"/>
        </w:rPr>
        <w:t>…</w:t>
      </w:r>
      <w:r w:rsidRPr="00334017">
        <w:rPr>
          <w:rFonts w:eastAsia="Calibri"/>
          <w:szCs w:val="22"/>
          <w:lang w:eastAsia="de-DE" w:bidi="de-DE"/>
        </w:rPr>
        <w:t>] Unternehmer, der die Arbeiten ausführt, muss eine Rechnung ausstellen, in der:</w:t>
      </w:r>
    </w:p>
    <w:p w14:paraId="21A0E5F0" w14:textId="77777777" w:rsidR="005A5BD5" w:rsidRPr="00334017" w:rsidRDefault="005A5BD5" w:rsidP="00FB3E9E">
      <w:pPr>
        <w:tabs>
          <w:tab w:val="left" w:pos="709"/>
        </w:tabs>
        <w:jc w:val="both"/>
        <w:rPr>
          <w:rFonts w:eastAsia="Calibri"/>
          <w:szCs w:val="22"/>
          <w:lang w:eastAsia="de-DE" w:bidi="de-DE"/>
        </w:rPr>
      </w:pPr>
      <w:r w:rsidRPr="00334017">
        <w:rPr>
          <w:rFonts w:eastAsia="Calibri"/>
          <w:szCs w:val="22"/>
          <w:lang w:eastAsia="de-DE" w:bidi="de-DE"/>
        </w:rPr>
        <w:tab/>
      </w:r>
    </w:p>
    <w:p w14:paraId="34A1FCDC" w14:textId="77777777" w:rsidR="005A5BD5" w:rsidRPr="00334017" w:rsidRDefault="005A5BD5" w:rsidP="00FB3E9E">
      <w:pPr>
        <w:tabs>
          <w:tab w:val="left" w:pos="709"/>
        </w:tabs>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die Wohnung angegeben ist, i</w:t>
      </w:r>
      <w:r>
        <w:rPr>
          <w:rFonts w:eastAsia="Calibri"/>
          <w:szCs w:val="22"/>
          <w:lang w:eastAsia="de-DE" w:bidi="de-DE"/>
        </w:rPr>
        <w:t>n der die Arbeiten ausgeführt wu</w:t>
      </w:r>
      <w:r w:rsidRPr="00334017">
        <w:rPr>
          <w:rFonts w:eastAsia="Calibri"/>
          <w:szCs w:val="22"/>
          <w:lang w:eastAsia="de-DE" w:bidi="de-DE"/>
        </w:rPr>
        <w:t>rden,</w:t>
      </w:r>
    </w:p>
    <w:p w14:paraId="456E4123" w14:textId="77777777" w:rsidR="005A5BD5" w:rsidRPr="00334017" w:rsidRDefault="005A5BD5" w:rsidP="00FB3E9E">
      <w:pPr>
        <w:tabs>
          <w:tab w:val="left" w:pos="709"/>
        </w:tabs>
        <w:jc w:val="both"/>
        <w:rPr>
          <w:rFonts w:eastAsia="Calibri"/>
          <w:szCs w:val="22"/>
          <w:lang w:eastAsia="de-DE" w:bidi="de-DE"/>
        </w:rPr>
      </w:pPr>
    </w:p>
    <w:p w14:paraId="31C5C4EA" w14:textId="77777777" w:rsidR="005A5BD5" w:rsidRPr="00334017" w:rsidRDefault="005A5BD5" w:rsidP="00FB3E9E">
      <w:pPr>
        <w:tabs>
          <w:tab w:val="left" w:pos="709"/>
        </w:tabs>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 xml:space="preserve">b) </w:t>
      </w:r>
      <w:r w:rsidRPr="00334017">
        <w:rPr>
          <w:rFonts w:eastAsia="Calibri"/>
          <w:szCs w:val="22"/>
          <w:lang w:eastAsia="de-DE" w:bidi="de-DE"/>
        </w:rPr>
        <w:t>auf der Grundlage einer ausdrücklichen und präzisen Bescheinigung des Kunden bestätigt wird, dass die Wohnung zum Zeitpunkt des Beginns der Arbeiten seit mindestens fünfzehn Jahren bewohnt ist,</w:t>
      </w:r>
    </w:p>
    <w:p w14:paraId="0B201FC0" w14:textId="77777777" w:rsidR="005A5BD5" w:rsidRPr="00334017" w:rsidRDefault="005A5BD5" w:rsidP="00FB3E9E">
      <w:pPr>
        <w:tabs>
          <w:tab w:val="left" w:pos="709"/>
        </w:tabs>
        <w:jc w:val="both"/>
        <w:rPr>
          <w:rFonts w:eastAsia="Calibri"/>
          <w:szCs w:val="22"/>
          <w:lang w:eastAsia="de-DE" w:bidi="de-DE"/>
        </w:rPr>
      </w:pPr>
    </w:p>
    <w:p w14:paraId="6A6EBAF3" w14:textId="77777777" w:rsidR="005A5BD5" w:rsidRPr="00334017" w:rsidRDefault="005A5BD5" w:rsidP="00FB3E9E">
      <w:pPr>
        <w:tabs>
          <w:tab w:val="left" w:pos="709"/>
        </w:tabs>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 xml:space="preserve">c) </w:t>
      </w:r>
      <w:r w:rsidRPr="00334017">
        <w:rPr>
          <w:rFonts w:eastAsia="Calibri"/>
          <w:szCs w:val="22"/>
          <w:lang w:eastAsia="de-DE" w:bidi="de-DE"/>
        </w:rPr>
        <w:t>durch Angabe des Vermerks "Ausführung von Arbeiten wie in Artikel 63</w:t>
      </w:r>
      <w:r w:rsidRPr="00334017">
        <w:rPr>
          <w:rFonts w:eastAsia="Calibri"/>
          <w:szCs w:val="22"/>
          <w:vertAlign w:val="superscript"/>
          <w:lang w:eastAsia="de-DE" w:bidi="de-DE"/>
        </w:rPr>
        <w:t>12</w:t>
      </w:r>
      <w:r w:rsidRPr="00334017">
        <w:rPr>
          <w:rFonts w:eastAsia="Calibri"/>
          <w:szCs w:val="22"/>
          <w:lang w:eastAsia="de-DE" w:bidi="de-DE"/>
        </w:rPr>
        <w:t xml:space="preserve"> des KE/E</w:t>
      </w:r>
      <w:r w:rsidR="009251F9" w:rsidRPr="00334017">
        <w:rPr>
          <w:rFonts w:eastAsia="Calibri"/>
          <w:szCs w:val="22"/>
          <w:lang w:eastAsia="de-DE" w:bidi="de-DE"/>
        </w:rPr>
        <w:t>s</w:t>
      </w:r>
      <w:r w:rsidRPr="00334017">
        <w:rPr>
          <w:rFonts w:eastAsia="Calibri"/>
          <w:szCs w:val="22"/>
          <w:lang w:eastAsia="de-DE" w:bidi="de-DE"/>
        </w:rPr>
        <w:t>tGB 92 erwähnt" bestätigt wird, dass die ausgeführten Arbeiten in den Anwendungsbereich von § 1 Absatz 1 fallen, und in der gegebenenfalls die Aufschlüsselung der Kosten der Arbeiten entsprechend ihrer Art zwischen den in § 1 Absatz 1 erwähnten Arbeiten und anderen Arbeiten angegeben wird.</w:t>
      </w:r>
    </w:p>
    <w:p w14:paraId="3506F0F1" w14:textId="77777777" w:rsidR="005A5BD5" w:rsidRPr="00334017" w:rsidRDefault="005A5BD5" w:rsidP="00FB3E9E">
      <w:pPr>
        <w:tabs>
          <w:tab w:val="left" w:pos="709"/>
        </w:tabs>
        <w:jc w:val="both"/>
        <w:rPr>
          <w:rFonts w:eastAsia="Calibri"/>
          <w:szCs w:val="22"/>
          <w:lang w:eastAsia="de-DE" w:bidi="de-DE"/>
        </w:rPr>
      </w:pPr>
    </w:p>
    <w:p w14:paraId="66562045" w14:textId="77777777" w:rsidR="005A5BD5" w:rsidRPr="00334017" w:rsidRDefault="005A5BD5" w:rsidP="00FB3E9E">
      <w:pPr>
        <w:tabs>
          <w:tab w:val="left" w:pos="709"/>
        </w:tabs>
        <w:jc w:val="both"/>
        <w:rPr>
          <w:rFonts w:eastAsia="Calibri"/>
          <w:szCs w:val="22"/>
          <w:lang w:eastAsia="de-DE" w:bidi="de-DE"/>
        </w:rPr>
      </w:pPr>
      <w:r w:rsidRPr="00334017">
        <w:rPr>
          <w:rFonts w:eastAsia="Calibri"/>
          <w:szCs w:val="22"/>
          <w:lang w:eastAsia="de-DE" w:bidi="de-DE"/>
        </w:rPr>
        <w:tab/>
        <w:t>§ 2 - Steuerpflichtige, die die Geltendmachung von Artikel 145</w:t>
      </w:r>
      <w:r w:rsidRPr="00334017">
        <w:rPr>
          <w:rFonts w:eastAsia="Calibri"/>
          <w:szCs w:val="22"/>
          <w:vertAlign w:val="superscript"/>
          <w:lang w:eastAsia="de-DE" w:bidi="de-DE"/>
        </w:rPr>
        <w:t>25</w:t>
      </w:r>
      <w:r w:rsidRPr="00334017">
        <w:rPr>
          <w:rFonts w:eastAsia="Calibri"/>
          <w:szCs w:val="22"/>
          <w:lang w:eastAsia="de-DE" w:bidi="de-DE"/>
        </w:rPr>
        <w:t xml:space="preserve"> des vorerwähnten Gesetzbuches beantragen, [müssen folgende Unterlagen zur Verfügung des Föderalen Öffentlichen Dienstes Finanzen bereithalten]:</w:t>
      </w:r>
    </w:p>
    <w:p w14:paraId="1120E54A" w14:textId="77777777" w:rsidR="005A5BD5" w:rsidRPr="00334017" w:rsidRDefault="005A5BD5" w:rsidP="00FB3E9E">
      <w:pPr>
        <w:tabs>
          <w:tab w:val="left" w:pos="709"/>
        </w:tabs>
        <w:jc w:val="both"/>
        <w:rPr>
          <w:rFonts w:eastAsia="Calibri"/>
          <w:szCs w:val="22"/>
          <w:lang w:eastAsia="de-DE" w:bidi="de-DE"/>
        </w:rPr>
      </w:pPr>
    </w:p>
    <w:p w14:paraId="360902C7" w14:textId="77777777" w:rsidR="005A5BD5" w:rsidRPr="00334017" w:rsidRDefault="005A5BD5" w:rsidP="00FB3E9E">
      <w:pPr>
        <w:tabs>
          <w:tab w:val="left" w:pos="709"/>
        </w:tabs>
        <w:jc w:val="both"/>
        <w:rPr>
          <w:rFonts w:eastAsia="Calibri"/>
          <w:szCs w:val="22"/>
          <w:lang w:eastAsia="de-DE" w:bidi="de-DE"/>
        </w:rPr>
      </w:pPr>
      <w:r w:rsidRPr="00334017">
        <w:rPr>
          <w:rFonts w:eastAsia="Calibri"/>
          <w:szCs w:val="22"/>
          <w:lang w:eastAsia="de-DE" w:bidi="de-DE"/>
        </w:rPr>
        <w:tab/>
        <w:t>- [Rechnungen] in Bezug auf Leistungen, die den in Artikel 145</w:t>
      </w:r>
      <w:r w:rsidRPr="00334017">
        <w:rPr>
          <w:rFonts w:eastAsia="Calibri"/>
          <w:szCs w:val="22"/>
          <w:vertAlign w:val="superscript"/>
          <w:lang w:eastAsia="de-DE" w:bidi="de-DE"/>
        </w:rPr>
        <w:t>25</w:t>
      </w:r>
      <w:r w:rsidRPr="00334017">
        <w:rPr>
          <w:rFonts w:eastAsia="Calibri"/>
          <w:szCs w:val="22"/>
          <w:lang w:eastAsia="de-DE" w:bidi="de-DE"/>
        </w:rPr>
        <w:t xml:space="preserve"> desselben Gesetzbuches erwähnten Ausgaben zugrunde liegen,</w:t>
      </w:r>
    </w:p>
    <w:p w14:paraId="12BC5D4B" w14:textId="77777777" w:rsidR="005A5BD5" w:rsidRPr="00334017" w:rsidRDefault="005A5BD5" w:rsidP="00FB3E9E">
      <w:pPr>
        <w:tabs>
          <w:tab w:val="left" w:pos="709"/>
        </w:tabs>
        <w:jc w:val="both"/>
        <w:rPr>
          <w:rFonts w:eastAsia="Calibri"/>
          <w:szCs w:val="22"/>
          <w:lang w:eastAsia="de-DE" w:bidi="de-DE"/>
        </w:rPr>
      </w:pPr>
      <w:r w:rsidRPr="00334017">
        <w:rPr>
          <w:rFonts w:eastAsia="Calibri"/>
          <w:szCs w:val="22"/>
          <w:lang w:eastAsia="de-DE" w:bidi="de-DE"/>
        </w:rPr>
        <w:tab/>
      </w:r>
    </w:p>
    <w:p w14:paraId="5F53C748" w14:textId="77777777" w:rsidR="005A5BD5" w:rsidRDefault="005A5BD5" w:rsidP="00FB3E9E">
      <w:pPr>
        <w:tabs>
          <w:tab w:val="left" w:pos="709"/>
        </w:tabs>
        <w:jc w:val="both"/>
        <w:rPr>
          <w:rFonts w:eastAsia="Calibri"/>
          <w:szCs w:val="22"/>
          <w:lang w:eastAsia="de-DE" w:bidi="de-DE"/>
        </w:rPr>
      </w:pPr>
      <w:r w:rsidRPr="00334017">
        <w:rPr>
          <w:rFonts w:eastAsia="Calibri"/>
          <w:szCs w:val="22"/>
          <w:lang w:eastAsia="de-DE" w:bidi="de-DE"/>
        </w:rPr>
        <w:tab/>
        <w:t>- [Nachweis] der Zahlung der auf diesen Rechnungen angegebenen Summen.]</w:t>
      </w:r>
    </w:p>
    <w:p w14:paraId="5FABD132" w14:textId="77777777" w:rsidR="00E54B0C" w:rsidRDefault="00E54B0C" w:rsidP="00FB3E9E">
      <w:pPr>
        <w:tabs>
          <w:tab w:val="left" w:pos="709"/>
        </w:tabs>
        <w:jc w:val="both"/>
        <w:rPr>
          <w:rFonts w:eastAsia="Calibri"/>
          <w:szCs w:val="22"/>
          <w:lang w:eastAsia="de-DE" w:bidi="de-DE"/>
        </w:rPr>
      </w:pPr>
    </w:p>
    <w:p w14:paraId="075E281B" w14:textId="415CA9D6" w:rsidR="00E54B0C" w:rsidRDefault="005A5BD5" w:rsidP="00E54B0C">
      <w:pPr>
        <w:tabs>
          <w:tab w:val="left" w:pos="960"/>
        </w:tabs>
        <w:jc w:val="both"/>
        <w:rPr>
          <w:rFonts w:eastAsia="Calibri"/>
          <w:szCs w:val="22"/>
          <w:lang w:eastAsia="de-DE" w:bidi="de-DE"/>
        </w:rPr>
      </w:pPr>
      <w:r w:rsidRPr="00334017">
        <w:rPr>
          <w:rFonts w:eastAsia="Calibri"/>
          <w:i/>
          <w:szCs w:val="22"/>
          <w:lang w:eastAsia="de-DE" w:bidi="de-DE"/>
        </w:rPr>
        <w:t>[Art. 63</w:t>
      </w:r>
      <w:r w:rsidRPr="00334017">
        <w:rPr>
          <w:rFonts w:eastAsia="Calibri"/>
          <w:i/>
          <w:szCs w:val="22"/>
          <w:vertAlign w:val="superscript"/>
          <w:lang w:eastAsia="de-DE" w:bidi="de-DE"/>
        </w:rPr>
        <w:t>12</w:t>
      </w:r>
      <w:r w:rsidRPr="00334017">
        <w:rPr>
          <w:rFonts w:eastAsia="Calibri"/>
          <w:i/>
          <w:szCs w:val="22"/>
          <w:lang w:eastAsia="de-DE" w:bidi="de-DE"/>
        </w:rPr>
        <w:t xml:space="preserve"> § 1 Abs. 2 einleitende Bestimmung abgeändert durch Art. 3 des K.E. vom 15. Juni 2012 (B.S. vom 2. Juli 2012); § 2 einziger Absatz einleitende Bestimmung abgeändert durch Art. 8 Nr. 1 des K.E. vom 27. Januar 2009 (B.S. vom 3. Februar 2009); § 2 einziger Absatz erster Gedankenstrich abgeändert durch Art. 8 Nr. 2 des K.E. vom 27. Januar 2009 (B.S. vom 3. Februar 2009); § 2 einziger Absatz zweiter Gedankenstrich abgeändert durch Art. 8 Nr. 3 des K.E. vom 27. Januar 2009 (B.S. vom 3. Februar 2009)</w:t>
      </w:r>
      <w:r w:rsidR="00E54B0C">
        <w:rPr>
          <w:rFonts w:eastAsia="Calibri"/>
          <w:i/>
          <w:szCs w:val="22"/>
          <w:lang w:eastAsia="de-DE" w:bidi="de-DE"/>
        </w:rPr>
        <w:t>; § 3 eingefügt durch Art. 1 Nr. 6 des K.E. vom 18. April 2017 (B.S. vom 27. April 2017)</w:t>
      </w:r>
      <w:r w:rsidRPr="00334017">
        <w:rPr>
          <w:rFonts w:eastAsia="Calibri"/>
          <w:i/>
          <w:szCs w:val="22"/>
          <w:lang w:eastAsia="de-DE" w:bidi="de-DE"/>
        </w:rPr>
        <w:t>]</w:t>
      </w:r>
    </w:p>
    <w:p w14:paraId="124FBDEF" w14:textId="77777777" w:rsidR="00E54B0C" w:rsidRDefault="00E54B0C" w:rsidP="00E54B0C">
      <w:pPr>
        <w:tabs>
          <w:tab w:val="left" w:pos="960"/>
        </w:tabs>
        <w:jc w:val="both"/>
        <w:rPr>
          <w:rFonts w:eastAsia="Calibri"/>
          <w:szCs w:val="22"/>
          <w:lang w:eastAsia="de-DE" w:bidi="de-DE"/>
        </w:rPr>
      </w:pPr>
    </w:p>
    <w:p w14:paraId="75E7E0CA" w14:textId="77777777" w:rsidR="00FF3D75" w:rsidRDefault="00FF3D75">
      <w:r>
        <w:br w:type="page"/>
      </w:r>
    </w:p>
    <w:p w14:paraId="70AF5744" w14:textId="1AEC4A37" w:rsidR="00E216AB" w:rsidRPr="00E216AB" w:rsidRDefault="00E216AB" w:rsidP="00E216AB">
      <w:pPr>
        <w:jc w:val="center"/>
      </w:pPr>
      <w:r>
        <w:lastRenderedPageBreak/>
        <w:t>[</w:t>
      </w:r>
      <w:r w:rsidRPr="00E216AB">
        <w:rPr>
          <w:i/>
        </w:rPr>
        <w:t>Abschnitt 25octies/1</w:t>
      </w:r>
      <w:r w:rsidRPr="00E216AB">
        <w:t xml:space="preserve"> - Ermäßigung für den Erwerb neuer Aktien oder Anteile von startenden Unternehmen - Rücknahme der Ermäßigung</w:t>
      </w:r>
    </w:p>
    <w:p w14:paraId="11B3C3D1" w14:textId="77777777" w:rsidR="00E216AB" w:rsidRPr="00E216AB" w:rsidRDefault="00E216AB" w:rsidP="00E216AB">
      <w:pPr>
        <w:jc w:val="both"/>
      </w:pPr>
    </w:p>
    <w:p w14:paraId="386BE2FF" w14:textId="77777777" w:rsidR="00E216AB" w:rsidRPr="00E216AB" w:rsidRDefault="00E216AB" w:rsidP="00E216AB">
      <w:pPr>
        <w:jc w:val="both"/>
      </w:pPr>
      <w:r w:rsidRPr="00E216AB">
        <w:tab/>
        <w:t>(Einkommensteuergesetzbuch 1992, Artikel 145</w:t>
      </w:r>
      <w:r w:rsidRPr="00E216AB">
        <w:rPr>
          <w:vertAlign w:val="superscript"/>
        </w:rPr>
        <w:t>26</w:t>
      </w:r>
      <w:r w:rsidRPr="00E216AB">
        <w:t xml:space="preserve"> § 6 Absatz 1)</w:t>
      </w:r>
    </w:p>
    <w:p w14:paraId="1DF021B6" w14:textId="77777777" w:rsidR="00E216AB" w:rsidRDefault="00E216AB" w:rsidP="00E216AB">
      <w:pPr>
        <w:jc w:val="both"/>
      </w:pPr>
    </w:p>
    <w:p w14:paraId="204A0B20" w14:textId="73E631C5" w:rsidR="00E216AB" w:rsidRDefault="00E216AB" w:rsidP="00E216AB">
      <w:pPr>
        <w:jc w:val="both"/>
        <w:rPr>
          <w:i/>
        </w:rPr>
      </w:pPr>
      <w:r w:rsidRPr="00E216AB">
        <w:rPr>
          <w:i/>
        </w:rPr>
        <w:t>[</w:t>
      </w:r>
      <w:r>
        <w:rPr>
          <w:i/>
        </w:rPr>
        <w:t xml:space="preserve">Abschnitt 25octies/1 </w:t>
      </w:r>
      <w:r w:rsidR="00FF3D75">
        <w:rPr>
          <w:i/>
        </w:rPr>
        <w:t>mit Art. 63</w:t>
      </w:r>
      <w:r w:rsidR="00FF3D75" w:rsidRPr="00FF3D75">
        <w:rPr>
          <w:i/>
          <w:vertAlign w:val="superscript"/>
        </w:rPr>
        <w:t>12/1</w:t>
      </w:r>
      <w:r w:rsidR="00FF3D75">
        <w:rPr>
          <w:i/>
        </w:rPr>
        <w:t xml:space="preserve"> </w:t>
      </w:r>
      <w:r>
        <w:rPr>
          <w:i/>
        </w:rPr>
        <w:t>eingefügt durch Art. 1 des K.E. vom 1. April 2016 (B.S. vom 12. April 2016)</w:t>
      </w:r>
      <w:r w:rsidRPr="00E216AB">
        <w:rPr>
          <w:i/>
        </w:rPr>
        <w:t>]</w:t>
      </w:r>
    </w:p>
    <w:p w14:paraId="53999374" w14:textId="77777777" w:rsidR="00E216AB" w:rsidRPr="00E216AB" w:rsidRDefault="00E216AB" w:rsidP="00E216AB">
      <w:pPr>
        <w:jc w:val="both"/>
        <w:rPr>
          <w:i/>
        </w:rPr>
      </w:pPr>
    </w:p>
    <w:p w14:paraId="45BAB842" w14:textId="77777777" w:rsidR="00E216AB" w:rsidRPr="00E216AB" w:rsidRDefault="00E216AB" w:rsidP="00E216AB">
      <w:pPr>
        <w:jc w:val="both"/>
      </w:pPr>
    </w:p>
    <w:p w14:paraId="273BA421" w14:textId="77777777" w:rsidR="00E216AB" w:rsidRPr="00E216AB" w:rsidRDefault="00E216AB" w:rsidP="00E216AB">
      <w:pPr>
        <w:jc w:val="both"/>
      </w:pPr>
      <w:r w:rsidRPr="00E216AB">
        <w:tab/>
      </w:r>
      <w:r w:rsidRPr="00E216AB">
        <w:rPr>
          <w:b/>
        </w:rPr>
        <w:t>Art. 63</w:t>
      </w:r>
      <w:r w:rsidRPr="00E216AB">
        <w:rPr>
          <w:b/>
          <w:vertAlign w:val="superscript"/>
        </w:rPr>
        <w:t>12/1</w:t>
      </w:r>
      <w:r w:rsidRPr="00E216AB">
        <w:t xml:space="preserve"> - § 1 - In Artikel 145</w:t>
      </w:r>
      <w:r w:rsidRPr="00E216AB">
        <w:rPr>
          <w:vertAlign w:val="superscript"/>
        </w:rPr>
        <w:t>26</w:t>
      </w:r>
      <w:r w:rsidRPr="00E216AB">
        <w:t xml:space="preserve"> § 3 Absatz 1 des Einkommensteuergesetz</w:t>
      </w:r>
      <w:r w:rsidRPr="00E216AB">
        <w:softHyphen/>
        <w:t xml:space="preserve">buches 1992 erwähnte Gesellschaften </w:t>
      </w:r>
      <w:r w:rsidR="0016348C">
        <w:t>[</w:t>
      </w:r>
      <w:r w:rsidR="0016348C" w:rsidRPr="00C95486">
        <w:t>oder in Artikel 145</w:t>
      </w:r>
      <w:r w:rsidR="0016348C" w:rsidRPr="00C95486">
        <w:rPr>
          <w:vertAlign w:val="superscript"/>
        </w:rPr>
        <w:t>26</w:t>
      </w:r>
      <w:r w:rsidR="0016348C" w:rsidRPr="00C95486">
        <w:t xml:space="preserve"> § 1 Absatz 1 Buchstabe </w:t>
      </w:r>
      <w:r w:rsidR="0016348C" w:rsidRPr="00C95486">
        <w:rPr>
          <w:i/>
        </w:rPr>
        <w:t>b)</w:t>
      </w:r>
      <w:r w:rsidR="0016348C" w:rsidRPr="00C95486">
        <w:t xml:space="preserve"> desselben Gesetzbuches erwähnte Finanzierungsvehikel</w:t>
      </w:r>
      <w:r w:rsidR="0016348C">
        <w:t xml:space="preserve">] </w:t>
      </w:r>
      <w:r w:rsidRPr="00E216AB">
        <w:t xml:space="preserve">müssen jährlich vor dem 31. März des Jahres nach dem Jahr, in dem die vollständig eingezahlten </w:t>
      </w:r>
      <w:r w:rsidR="0016348C">
        <w:t>[</w:t>
      </w:r>
      <w:r w:rsidR="0016348C" w:rsidRPr="00C95486">
        <w:t>Aktien oder Anteile oder die in Artikel 145</w:t>
      </w:r>
      <w:r w:rsidR="0016348C" w:rsidRPr="00C95486">
        <w:rPr>
          <w:vertAlign w:val="superscript"/>
        </w:rPr>
        <w:t>26</w:t>
      </w:r>
      <w:r w:rsidR="0016348C" w:rsidRPr="00C95486">
        <w:t xml:space="preserve"> § 1 Absatz 1 Buchstabe </w:t>
      </w:r>
      <w:r w:rsidR="0016348C" w:rsidRPr="00C95486">
        <w:rPr>
          <w:i/>
        </w:rPr>
        <w:t>b)</w:t>
      </w:r>
      <w:r w:rsidR="0016348C" w:rsidRPr="00C95486">
        <w:t xml:space="preserve"> desselben Gesetzbuches erwähnten neuen Anlageinstrumente erworben wurden, und der vier darauf folgenden Jahre einen Beleg</w:t>
      </w:r>
      <w:r w:rsidR="0016348C">
        <w:t>]</w:t>
      </w:r>
      <w:r w:rsidRPr="00E216AB">
        <w:t xml:space="preserve"> erstellen, in dem:</w:t>
      </w:r>
    </w:p>
    <w:p w14:paraId="36144BE6" w14:textId="77777777" w:rsidR="00E216AB" w:rsidRPr="00E216AB" w:rsidRDefault="00E216AB" w:rsidP="00E216AB">
      <w:pPr>
        <w:jc w:val="both"/>
      </w:pPr>
    </w:p>
    <w:p w14:paraId="43B07C17" w14:textId="77777777" w:rsidR="00E216AB" w:rsidRPr="00E216AB" w:rsidRDefault="00E216AB" w:rsidP="00E216AB">
      <w:pPr>
        <w:jc w:val="both"/>
      </w:pPr>
      <w:r w:rsidRPr="00E216AB">
        <w:tab/>
        <w:t>1. für das Erwerbsjahr:</w:t>
      </w:r>
    </w:p>
    <w:p w14:paraId="64954769" w14:textId="77777777" w:rsidR="00E216AB" w:rsidRPr="00E216AB" w:rsidRDefault="00E216AB" w:rsidP="00E216AB">
      <w:pPr>
        <w:jc w:val="both"/>
      </w:pPr>
    </w:p>
    <w:p w14:paraId="4DE164CE" w14:textId="77777777" w:rsidR="00E216AB" w:rsidRPr="00E216AB" w:rsidRDefault="00E216AB" w:rsidP="00E216AB">
      <w:pPr>
        <w:jc w:val="both"/>
      </w:pPr>
      <w:r w:rsidRPr="00E216AB">
        <w:tab/>
      </w:r>
      <w:r w:rsidRPr="00E216AB">
        <w:rPr>
          <w:i/>
        </w:rPr>
        <w:t>a)</w:t>
      </w:r>
      <w:r w:rsidRPr="00E216AB">
        <w:t xml:space="preserve"> die Beträge angegeben sind, die zur Ermäßigung berechtigen,</w:t>
      </w:r>
    </w:p>
    <w:p w14:paraId="5AE50E9F" w14:textId="77777777" w:rsidR="00E216AB" w:rsidRDefault="00E216AB" w:rsidP="00E216AB">
      <w:pPr>
        <w:jc w:val="both"/>
      </w:pPr>
    </w:p>
    <w:p w14:paraId="206ED729" w14:textId="77777777" w:rsidR="00E216AB" w:rsidRPr="00E216AB" w:rsidRDefault="00E216AB" w:rsidP="00E216AB">
      <w:pPr>
        <w:jc w:val="both"/>
      </w:pPr>
      <w:r w:rsidRPr="00E216AB">
        <w:tab/>
      </w:r>
      <w:r w:rsidRPr="00E216AB">
        <w:rPr>
          <w:i/>
        </w:rPr>
        <w:t>b)</w:t>
      </w:r>
      <w:r w:rsidRPr="00E216AB">
        <w:t xml:space="preserve"> bescheinigt wird, </w:t>
      </w:r>
      <w:r w:rsidR="0016348C">
        <w:t>[</w:t>
      </w:r>
      <w:r w:rsidR="0016348C" w:rsidRPr="00C95486">
        <w:t>dass die Gesellschaft, in die entweder direkt oder über eine Crowdfunding-Plattform oder über ein Finanzierungsvehikel investiert wird, die in Artikel 145</w:t>
      </w:r>
      <w:r w:rsidR="0016348C" w:rsidRPr="00C95486">
        <w:rPr>
          <w:vertAlign w:val="superscript"/>
        </w:rPr>
        <w:t>26</w:t>
      </w:r>
      <w:r w:rsidR="0016348C" w:rsidRPr="00C95486">
        <w:t xml:space="preserve"> § 3 Absatz 1 desselben Gesetzbuches vorgesehenen Bedingungen erfüllt</w:t>
      </w:r>
      <w:r w:rsidR="0016348C">
        <w:t>]</w:t>
      </w:r>
      <w:r w:rsidRPr="00E216AB">
        <w:t>,</w:t>
      </w:r>
    </w:p>
    <w:p w14:paraId="5740FADD" w14:textId="77777777" w:rsidR="00E216AB" w:rsidRPr="00E216AB" w:rsidRDefault="00E216AB" w:rsidP="00E216AB">
      <w:pPr>
        <w:jc w:val="both"/>
      </w:pPr>
    </w:p>
    <w:p w14:paraId="72E4C840" w14:textId="77777777" w:rsidR="00E216AB" w:rsidRPr="00E216AB" w:rsidRDefault="00E216AB" w:rsidP="00E216AB">
      <w:pPr>
        <w:jc w:val="both"/>
      </w:pPr>
      <w:r w:rsidRPr="00E216AB">
        <w:tab/>
      </w:r>
      <w:r w:rsidRPr="00E216AB">
        <w:rPr>
          <w:i/>
        </w:rPr>
        <w:t>c)</w:t>
      </w:r>
      <w:r w:rsidRPr="00E216AB">
        <w:t xml:space="preserve"> der gemäß Artikel 145</w:t>
      </w:r>
      <w:r w:rsidRPr="00E216AB">
        <w:rPr>
          <w:vertAlign w:val="superscript"/>
        </w:rPr>
        <w:t>26</w:t>
      </w:r>
      <w:r w:rsidRPr="00E216AB">
        <w:t xml:space="preserve"> § 3 Absatz 5 oder 6 dieses Gesetzbuches anwendbare Ermäßigungssatz angegeben ist,</w:t>
      </w:r>
    </w:p>
    <w:p w14:paraId="4DE32288" w14:textId="77777777" w:rsidR="00E216AB" w:rsidRPr="00E216AB" w:rsidRDefault="00E216AB" w:rsidP="00E216AB">
      <w:pPr>
        <w:jc w:val="both"/>
      </w:pPr>
    </w:p>
    <w:p w14:paraId="1DB088CF" w14:textId="77777777" w:rsidR="00E216AB" w:rsidRPr="00E216AB" w:rsidRDefault="00E216AB" w:rsidP="00E216AB">
      <w:pPr>
        <w:jc w:val="both"/>
      </w:pPr>
      <w:r w:rsidRPr="00E216AB">
        <w:tab/>
        <w:t xml:space="preserve">2. für jedes der vier darauf folgenden Jahre gegebenenfalls bescheinigt wird, dass diese Aktien oder Anteile </w:t>
      </w:r>
      <w:r w:rsidR="002724DA">
        <w:t>[</w:t>
      </w:r>
      <w:r w:rsidR="002724DA" w:rsidRPr="00C95486">
        <w:t>oder diese Anlageinstrumente</w:t>
      </w:r>
      <w:r w:rsidR="002724DA">
        <w:t xml:space="preserve">] </w:t>
      </w:r>
      <w:r w:rsidRPr="00E216AB">
        <w:t>am 31. Dezember des Besteuerungszeitraums noch immer im Besitz des Zeichners sind und dass die in Artikel 145</w:t>
      </w:r>
      <w:r w:rsidRPr="00E216AB">
        <w:rPr>
          <w:vertAlign w:val="superscript"/>
        </w:rPr>
        <w:t>26</w:t>
      </w:r>
      <w:r w:rsidRPr="00E216AB">
        <w:t xml:space="preserve"> § 3 Absatz 2 desselben Gesetzbuches vorgesehene Bedingung erfüllt ist,</w:t>
      </w:r>
    </w:p>
    <w:p w14:paraId="187D3908" w14:textId="77777777" w:rsidR="00E216AB" w:rsidRPr="00E216AB" w:rsidRDefault="00E216AB" w:rsidP="00E216AB">
      <w:pPr>
        <w:jc w:val="both"/>
      </w:pPr>
    </w:p>
    <w:p w14:paraId="1701947E" w14:textId="77777777" w:rsidR="00E216AB" w:rsidRPr="00E216AB" w:rsidRDefault="00E216AB" w:rsidP="00E216AB">
      <w:pPr>
        <w:jc w:val="both"/>
      </w:pPr>
      <w:r w:rsidRPr="00E216AB">
        <w:tab/>
        <w:t xml:space="preserve">3. für das Jahr der Übertragung der Aktien oder Anteile </w:t>
      </w:r>
      <w:r w:rsidR="002724DA">
        <w:t>[</w:t>
      </w:r>
      <w:r w:rsidR="002724DA" w:rsidRPr="00C95486">
        <w:t>oder der Anlageinstrumente</w:t>
      </w:r>
      <w:r w:rsidR="002724DA">
        <w:t xml:space="preserve">] </w:t>
      </w:r>
      <w:r w:rsidRPr="00E216AB">
        <w:t>die Anzahl der noch nicht abgelaufenen Monate angegeben ist, die für die Berechnung der Rücknahme der Ermäßigung zu berücksichtigen ist.</w:t>
      </w:r>
    </w:p>
    <w:p w14:paraId="32AA5C2C" w14:textId="77777777" w:rsidR="00E216AB" w:rsidRDefault="00E216AB" w:rsidP="00E216AB">
      <w:pPr>
        <w:jc w:val="both"/>
      </w:pPr>
    </w:p>
    <w:p w14:paraId="4C9ED8E1" w14:textId="77777777" w:rsidR="002724DA" w:rsidRPr="00C95486" w:rsidRDefault="002724DA" w:rsidP="002724DA">
      <w:pPr>
        <w:jc w:val="both"/>
      </w:pPr>
      <w:r>
        <w:tab/>
        <w:t>[</w:t>
      </w:r>
      <w:r w:rsidRPr="00C95486">
        <w:t>In Artikel 145</w:t>
      </w:r>
      <w:r w:rsidRPr="00C95486">
        <w:rPr>
          <w:vertAlign w:val="superscript"/>
        </w:rPr>
        <w:t>26</w:t>
      </w:r>
      <w:r w:rsidRPr="00C95486">
        <w:t xml:space="preserve"> § 1 Absatz 1 Buchstabe </w:t>
      </w:r>
      <w:r w:rsidRPr="00C95486">
        <w:rPr>
          <w:i/>
        </w:rPr>
        <w:t>c)</w:t>
      </w:r>
      <w:r w:rsidRPr="00C95486">
        <w:t xml:space="preserve"> desselben Gesetzbuches erwähnte öffentliche Starterfonds oder private Kapitalanlagestarterfonds mit fixem Kapital müssen jährlich vor dem 31. März des Jahres nach dem Besteuerungszeitraum, in den das Datum des 31. Dezembers fällt, an dem die in Artikel 145</w:t>
      </w:r>
      <w:r w:rsidRPr="00C95486">
        <w:rPr>
          <w:vertAlign w:val="superscript"/>
        </w:rPr>
        <w:t>26</w:t>
      </w:r>
      <w:r w:rsidRPr="00C95486">
        <w:t xml:space="preserve"> § 2 Absatz 3 desselben Gesetzbuches erwähnte Investitionsbedingung erfüllt ist, und der vier darauf folgenden Jahre einen Beleg erstellen, in dem:</w:t>
      </w:r>
    </w:p>
    <w:p w14:paraId="04F301DD" w14:textId="77777777" w:rsidR="002724DA" w:rsidRPr="00C95486" w:rsidRDefault="002724DA" w:rsidP="002724DA">
      <w:pPr>
        <w:jc w:val="both"/>
      </w:pPr>
    </w:p>
    <w:p w14:paraId="799B31C1" w14:textId="77777777" w:rsidR="002724DA" w:rsidRPr="00C95486" w:rsidRDefault="002724DA" w:rsidP="002724DA">
      <w:pPr>
        <w:jc w:val="both"/>
      </w:pPr>
      <w:r w:rsidRPr="00C95486">
        <w:tab/>
        <w:t>1. für den Besteuerungszeitraum, in den das Datum des 31. Dezembers fällt, an dem die in Artikel 145</w:t>
      </w:r>
      <w:r w:rsidRPr="00C95486">
        <w:rPr>
          <w:vertAlign w:val="superscript"/>
        </w:rPr>
        <w:t>26</w:t>
      </w:r>
      <w:r w:rsidRPr="00C95486">
        <w:t xml:space="preserve"> § 2 Absatz 3 desselben Gesetzbuches erwähnte Investitionsbedingung erfüllt ist:</w:t>
      </w:r>
    </w:p>
    <w:p w14:paraId="51D0BB57" w14:textId="77777777" w:rsidR="002724DA" w:rsidRPr="00C95486" w:rsidRDefault="002724DA" w:rsidP="002724DA">
      <w:pPr>
        <w:jc w:val="both"/>
      </w:pPr>
    </w:p>
    <w:p w14:paraId="4FAFC6C1" w14:textId="77777777" w:rsidR="002724DA" w:rsidRPr="00C95486" w:rsidRDefault="002724DA" w:rsidP="002724DA">
      <w:pPr>
        <w:jc w:val="both"/>
      </w:pPr>
      <w:r w:rsidRPr="00C95486">
        <w:tab/>
      </w:r>
      <w:r w:rsidRPr="00C95486">
        <w:rPr>
          <w:i/>
        </w:rPr>
        <w:t>a)</w:t>
      </w:r>
      <w:r w:rsidRPr="00C95486">
        <w:t> der Betrag angegeben ist, der zur Ermäßigung berechtigt,</w:t>
      </w:r>
    </w:p>
    <w:p w14:paraId="2568C543" w14:textId="77777777" w:rsidR="002724DA" w:rsidRPr="00C95486" w:rsidRDefault="002724DA" w:rsidP="002724DA">
      <w:pPr>
        <w:jc w:val="both"/>
      </w:pPr>
    </w:p>
    <w:p w14:paraId="3F646B70" w14:textId="77777777" w:rsidR="002724DA" w:rsidRPr="00C95486" w:rsidRDefault="002724DA" w:rsidP="002724DA">
      <w:pPr>
        <w:jc w:val="both"/>
      </w:pPr>
      <w:r w:rsidRPr="00C95486">
        <w:lastRenderedPageBreak/>
        <w:tab/>
      </w:r>
      <w:r w:rsidRPr="00C95486">
        <w:rPr>
          <w:i/>
        </w:rPr>
        <w:t>b)</w:t>
      </w:r>
      <w:r w:rsidRPr="00C95486">
        <w:t> bescheinigt wird, dass der öffentliche Starterfonds oder der private Kapitalanlagestarterfonds mit fixem Kapital die in Artikel 145</w:t>
      </w:r>
      <w:r w:rsidRPr="00C95486">
        <w:rPr>
          <w:vertAlign w:val="superscript"/>
        </w:rPr>
        <w:t>26</w:t>
      </w:r>
      <w:r w:rsidRPr="00C95486">
        <w:t xml:space="preserve"> § 2 Absatz 3 desselben Gesetzbuches vorgesehenen Bedingungen erfüllt,</w:t>
      </w:r>
    </w:p>
    <w:p w14:paraId="0A7A8833" w14:textId="77777777" w:rsidR="002724DA" w:rsidRPr="00C95486" w:rsidRDefault="002724DA" w:rsidP="002724DA">
      <w:pPr>
        <w:jc w:val="both"/>
      </w:pPr>
    </w:p>
    <w:p w14:paraId="19C7BE35" w14:textId="77777777" w:rsidR="002724DA" w:rsidRPr="00C95486" w:rsidRDefault="002724DA" w:rsidP="002724DA">
      <w:pPr>
        <w:jc w:val="both"/>
      </w:pPr>
      <w:r w:rsidRPr="00C95486">
        <w:tab/>
      </w:r>
      <w:r w:rsidRPr="00C95486">
        <w:rPr>
          <w:i/>
        </w:rPr>
        <w:t>c)</w:t>
      </w:r>
      <w:r w:rsidRPr="00C95486">
        <w:t> der gemäß Artikel 145</w:t>
      </w:r>
      <w:r w:rsidRPr="00C95486">
        <w:rPr>
          <w:vertAlign w:val="superscript"/>
        </w:rPr>
        <w:t>26</w:t>
      </w:r>
      <w:r w:rsidRPr="00C95486">
        <w:t xml:space="preserve"> § 3 Absatz 5 oder 6 dieses Gesetzbuches anwendbare Ermäßigungssatz angegeben ist,</w:t>
      </w:r>
    </w:p>
    <w:p w14:paraId="1ED8BB24" w14:textId="77777777" w:rsidR="002724DA" w:rsidRPr="00C95486" w:rsidRDefault="002724DA" w:rsidP="002724DA">
      <w:pPr>
        <w:jc w:val="both"/>
      </w:pPr>
    </w:p>
    <w:p w14:paraId="7B901D48" w14:textId="77777777" w:rsidR="002724DA" w:rsidRPr="00C95486" w:rsidRDefault="002724DA" w:rsidP="002724DA">
      <w:pPr>
        <w:jc w:val="both"/>
      </w:pPr>
      <w:r w:rsidRPr="00C95486">
        <w:tab/>
        <w:t>2. für jedes der vier darauf folgenden Jahre gegebenenfalls bescheinigt wird, dass diese Anteile am 31. Dezember des Besteuerungszeitraums noch immer im Besitz des Zeichners sind und dass die in Artikel 145</w:t>
      </w:r>
      <w:r w:rsidRPr="00C95486">
        <w:rPr>
          <w:vertAlign w:val="superscript"/>
        </w:rPr>
        <w:t>26</w:t>
      </w:r>
      <w:r w:rsidRPr="00C95486">
        <w:t xml:space="preserve"> § 3 Absatz 2 desselben Gesetzbuches vorgesehene Bedingung erfüllt ist,</w:t>
      </w:r>
    </w:p>
    <w:p w14:paraId="62C03EC0" w14:textId="77777777" w:rsidR="002724DA" w:rsidRPr="00C95486" w:rsidRDefault="002724DA" w:rsidP="002724DA">
      <w:pPr>
        <w:jc w:val="both"/>
      </w:pPr>
    </w:p>
    <w:p w14:paraId="043445AA" w14:textId="77777777" w:rsidR="002724DA" w:rsidRDefault="002724DA" w:rsidP="002724DA">
      <w:pPr>
        <w:jc w:val="both"/>
      </w:pPr>
      <w:r w:rsidRPr="00C95486">
        <w:tab/>
        <w:t>3. für das Jahr der Übertragung der Anteile die Anzahl der noch nicht abgelaufenen Monate angegeben ist, die für die Berechnung der Rücknahme der Ermäßigung zu berücksichtigen ist.</w:t>
      </w:r>
      <w:r>
        <w:t xml:space="preserve">] </w:t>
      </w:r>
    </w:p>
    <w:p w14:paraId="64612C2D" w14:textId="77777777" w:rsidR="002724DA" w:rsidRPr="00E216AB" w:rsidRDefault="002724DA" w:rsidP="00E216AB">
      <w:pPr>
        <w:jc w:val="both"/>
      </w:pPr>
    </w:p>
    <w:p w14:paraId="7EE894A2" w14:textId="77777777" w:rsidR="00E216AB" w:rsidRPr="00E216AB" w:rsidRDefault="00E216AB" w:rsidP="00E216AB">
      <w:pPr>
        <w:jc w:val="both"/>
      </w:pPr>
      <w:r w:rsidRPr="00E216AB">
        <w:tab/>
        <w:t>§ 2 - Der in § 1 vorgesehene Beleg muss dem Zeichner innerhalb der in § 1 vorgesehenen Frist ausgehändigt werden.</w:t>
      </w:r>
    </w:p>
    <w:p w14:paraId="3B9B0655" w14:textId="77777777" w:rsidR="00E216AB" w:rsidRPr="00E216AB" w:rsidRDefault="00E216AB" w:rsidP="00E216AB">
      <w:pPr>
        <w:jc w:val="both"/>
      </w:pPr>
    </w:p>
    <w:p w14:paraId="454ED1E8" w14:textId="77777777" w:rsidR="00E216AB" w:rsidRPr="00E216AB" w:rsidRDefault="00E216AB" w:rsidP="002724DA">
      <w:pPr>
        <w:tabs>
          <w:tab w:val="left" w:pos="709"/>
        </w:tabs>
        <w:jc w:val="both"/>
        <w:rPr>
          <w:rFonts w:eastAsia="Calibri"/>
          <w:i/>
          <w:szCs w:val="22"/>
          <w:lang w:eastAsia="de-DE" w:bidi="de-DE"/>
        </w:rPr>
      </w:pPr>
      <w:r w:rsidRPr="00E216AB">
        <w:tab/>
        <w:t>Der Zeichner muss sein Exemplar der betreffenden Belege zur Verfügung der Verwaltung bereithalten.</w:t>
      </w:r>
      <w:r>
        <w:t>]</w:t>
      </w:r>
    </w:p>
    <w:p w14:paraId="7BD781C0" w14:textId="77777777" w:rsidR="005A5BD5" w:rsidRPr="00334017" w:rsidRDefault="005A5BD5" w:rsidP="004C2C7D">
      <w:pPr>
        <w:tabs>
          <w:tab w:val="left" w:pos="960"/>
        </w:tabs>
        <w:jc w:val="both"/>
        <w:rPr>
          <w:rFonts w:eastAsia="Calibri"/>
          <w:szCs w:val="22"/>
          <w:lang w:eastAsia="de-DE" w:bidi="de-DE"/>
        </w:rPr>
      </w:pPr>
    </w:p>
    <w:p w14:paraId="243D269B" w14:textId="77777777" w:rsidR="00FF3D75" w:rsidRPr="00334017" w:rsidRDefault="00FF3D75" w:rsidP="00FF3D75">
      <w:pPr>
        <w:tabs>
          <w:tab w:val="left" w:pos="709"/>
        </w:tabs>
        <w:jc w:val="both"/>
        <w:rPr>
          <w:rFonts w:eastAsia="Calibri"/>
          <w:szCs w:val="22"/>
          <w:lang w:eastAsia="de-DE" w:bidi="de-DE"/>
        </w:rPr>
      </w:pPr>
      <w:r>
        <w:rPr>
          <w:rFonts w:eastAsia="Calibri"/>
          <w:szCs w:val="22"/>
          <w:lang w:eastAsia="de-DE" w:bidi="de-DE"/>
        </w:rPr>
        <w:tab/>
        <w:t>[§ 3 - [</w:t>
      </w:r>
      <w:r w:rsidRPr="00B50BE7">
        <w:t>Eine Kopie des in § 1 vorgesehenen Belegs muss der Verwaltung innerhalb der in § 1 vorgesehenen Frist elektronisch übermittelt werden.</w:t>
      </w:r>
      <w:r>
        <w:rPr>
          <w:rFonts w:eastAsia="Calibri"/>
          <w:szCs w:val="22"/>
          <w:lang w:eastAsia="de-DE" w:bidi="de-DE"/>
        </w:rPr>
        <w:t>]]</w:t>
      </w:r>
    </w:p>
    <w:p w14:paraId="4285F6F5" w14:textId="77777777" w:rsidR="002724DA" w:rsidRDefault="002724DA">
      <w:pPr>
        <w:rPr>
          <w:rFonts w:eastAsia="Calibri"/>
          <w:szCs w:val="22"/>
          <w:lang w:eastAsia="de-DE" w:bidi="de-DE"/>
        </w:rPr>
      </w:pPr>
    </w:p>
    <w:p w14:paraId="285FE1BB" w14:textId="53DCD1D7" w:rsidR="00E176BE" w:rsidRDefault="002724DA" w:rsidP="00E176BE">
      <w:pPr>
        <w:jc w:val="both"/>
        <w:rPr>
          <w:rFonts w:eastAsia="Calibri"/>
          <w:i/>
          <w:szCs w:val="22"/>
          <w:lang w:eastAsia="de-DE" w:bidi="de-DE"/>
        </w:rPr>
      </w:pPr>
      <w:r>
        <w:rPr>
          <w:rFonts w:eastAsia="Calibri"/>
          <w:i/>
          <w:szCs w:val="22"/>
          <w:lang w:eastAsia="de-DE" w:bidi="de-DE"/>
        </w:rPr>
        <w:t>[Art. 63</w:t>
      </w:r>
      <w:r w:rsidRPr="00E176BE">
        <w:rPr>
          <w:rFonts w:eastAsia="Calibri"/>
          <w:i/>
          <w:szCs w:val="22"/>
          <w:vertAlign w:val="superscript"/>
          <w:lang w:eastAsia="de-DE" w:bidi="de-DE"/>
        </w:rPr>
        <w:t>12/1</w:t>
      </w:r>
      <w:r>
        <w:rPr>
          <w:rFonts w:eastAsia="Calibri"/>
          <w:i/>
          <w:szCs w:val="22"/>
          <w:lang w:eastAsia="de-DE" w:bidi="de-DE"/>
        </w:rPr>
        <w:t xml:space="preserve"> § 1 Abs. 1 einleitende Bestimmung abgeändert durch Art. 1 Nr. 1 des K.E. vom 18. April 2017 (B.S. vom 27. April 2017); </w:t>
      </w:r>
      <w:r w:rsidR="00E176BE">
        <w:rPr>
          <w:rFonts w:eastAsia="Calibri"/>
          <w:i/>
          <w:szCs w:val="22"/>
          <w:lang w:eastAsia="de-DE" w:bidi="de-DE"/>
        </w:rPr>
        <w:t>§ 1 Abs. 1 Nr. 1 einziger Absatz Buchstabe b) abgeändert durch Art. 1 Nr. 2 des K.E. vom 18. April 2017 (B.S. vom 27. April 2017); § 1 Abs. 1 Nr. 2 abgeändert durch Art. 1 Nr. 3 des K.E. vom 18. April 2017 (B.S. vom 27. April 2017); § 1 Abs. 1 Nr. 3 abgeändert durch Art. 1 Nr. 4 des K.E. vom 18. April 2017 (B.S. vom 27. April 2017); § 1 Abs. 2 eingefügt durch Art. 1 Nr. 5 des K.E. vom 18. April 2017 (B.S. vom 27. April 2017); § 3 eingefügt durch Art. 1 Nr. 6 des K.E. vom 18. April 2017 (B.S. vom 27. April 2017)</w:t>
      </w:r>
      <w:r w:rsidR="00FF3D75" w:rsidRPr="00FF3D75">
        <w:rPr>
          <w:rFonts w:eastAsia="Calibri"/>
          <w:i/>
          <w:szCs w:val="22"/>
          <w:lang w:eastAsia="de-DE" w:bidi="de-DE"/>
        </w:rPr>
        <w:t xml:space="preserve"> </w:t>
      </w:r>
      <w:r w:rsidR="00FF3D75">
        <w:rPr>
          <w:rFonts w:eastAsia="Calibri"/>
          <w:i/>
          <w:szCs w:val="22"/>
          <w:lang w:eastAsia="de-DE" w:bidi="de-DE"/>
        </w:rPr>
        <w:t>und ersetzt durch Art. 3 des K.E. vom 28. Juni 2019 (II) (B.S. vom 8. Juli </w:t>
      </w:r>
      <w:r w:rsidR="00FF3D75" w:rsidRPr="00E54B0C">
        <w:rPr>
          <w:rFonts w:eastAsia="Calibri"/>
          <w:i/>
          <w:szCs w:val="22"/>
          <w:lang w:eastAsia="de-DE" w:bidi="de-DE"/>
        </w:rPr>
        <w:t>2019)</w:t>
      </w:r>
      <w:r w:rsidR="00E176BE">
        <w:rPr>
          <w:rFonts w:eastAsia="Calibri"/>
          <w:i/>
          <w:szCs w:val="22"/>
          <w:lang w:eastAsia="de-DE" w:bidi="de-DE"/>
        </w:rPr>
        <w:t>]</w:t>
      </w:r>
    </w:p>
    <w:p w14:paraId="01639CC7" w14:textId="77777777" w:rsidR="00E176BE" w:rsidRDefault="00E176BE" w:rsidP="00E176BE">
      <w:pPr>
        <w:jc w:val="both"/>
        <w:rPr>
          <w:rFonts w:eastAsia="Calibri"/>
          <w:szCs w:val="22"/>
          <w:lang w:eastAsia="de-DE" w:bidi="de-DE"/>
        </w:rPr>
      </w:pPr>
    </w:p>
    <w:p w14:paraId="596AFF18" w14:textId="77777777" w:rsidR="00FF3D75" w:rsidRDefault="00FF3D75" w:rsidP="00E176BE">
      <w:pPr>
        <w:jc w:val="both"/>
        <w:rPr>
          <w:rFonts w:eastAsia="Calibri"/>
          <w:szCs w:val="22"/>
          <w:lang w:eastAsia="de-DE" w:bidi="de-DE"/>
        </w:rPr>
      </w:pPr>
    </w:p>
    <w:p w14:paraId="3BC1C74A" w14:textId="77777777" w:rsidR="00D30FE1" w:rsidRDefault="00D30FE1">
      <w:pPr>
        <w:rPr>
          <w:rFonts w:eastAsia="Calibri"/>
          <w:szCs w:val="22"/>
          <w:lang w:eastAsia="de-DE" w:bidi="de-DE"/>
        </w:rPr>
      </w:pPr>
      <w:r>
        <w:rPr>
          <w:rFonts w:eastAsia="Calibri"/>
          <w:szCs w:val="22"/>
          <w:lang w:eastAsia="de-DE" w:bidi="de-DE"/>
        </w:rPr>
        <w:br w:type="page"/>
      </w:r>
    </w:p>
    <w:p w14:paraId="385FD88B" w14:textId="20A02BEC" w:rsidR="00FF3D75" w:rsidRPr="00B50BE7" w:rsidRDefault="00FF3D75" w:rsidP="00FF3D75">
      <w:pPr>
        <w:jc w:val="center"/>
      </w:pPr>
      <w:r>
        <w:rPr>
          <w:rFonts w:eastAsia="Calibri"/>
          <w:szCs w:val="22"/>
          <w:lang w:eastAsia="de-DE" w:bidi="de-DE"/>
        </w:rPr>
        <w:lastRenderedPageBreak/>
        <w:t>[</w:t>
      </w:r>
      <w:r w:rsidRPr="00B50BE7">
        <w:rPr>
          <w:i/>
        </w:rPr>
        <w:t>Abschnitt 25octies/2</w:t>
      </w:r>
      <w:r w:rsidRPr="00B50BE7">
        <w:t> - Ermäßigung für Minderwerte, die bei Gesamtverteilung des Gesellschaftsvermögens eines privaten Kapitalanlagefonds mit fixem Kapital gebucht werden</w:t>
      </w:r>
    </w:p>
    <w:p w14:paraId="50031FF7" w14:textId="77777777" w:rsidR="00FF3D75" w:rsidRPr="00B50BE7" w:rsidRDefault="00FF3D75" w:rsidP="00FF3D75">
      <w:pPr>
        <w:jc w:val="center"/>
      </w:pPr>
    </w:p>
    <w:p w14:paraId="22EE2DE9" w14:textId="68D34D53" w:rsidR="00FF3D75" w:rsidRPr="00B50BE7" w:rsidRDefault="00FF3D75" w:rsidP="00FF3D75">
      <w:pPr>
        <w:jc w:val="center"/>
      </w:pPr>
      <w:r w:rsidRPr="00B50BE7">
        <w:t>(Einkommensteuergesetzbuch 1992, Artikel 145</w:t>
      </w:r>
      <w:r w:rsidRPr="00B50BE7">
        <w:rPr>
          <w:vertAlign w:val="superscript"/>
        </w:rPr>
        <w:t>26/1</w:t>
      </w:r>
      <w:r w:rsidRPr="00B50BE7">
        <w:t xml:space="preserve"> § 3)</w:t>
      </w:r>
    </w:p>
    <w:p w14:paraId="2663FBB1" w14:textId="77777777" w:rsidR="00FF3D75" w:rsidRDefault="00FF3D75" w:rsidP="00FF3D75">
      <w:pPr>
        <w:jc w:val="center"/>
      </w:pPr>
    </w:p>
    <w:p w14:paraId="7BD0B681" w14:textId="7877EA1C" w:rsidR="00FF3D75" w:rsidRDefault="00FF3D75" w:rsidP="00FF3D75">
      <w:pPr>
        <w:jc w:val="both"/>
        <w:rPr>
          <w:i/>
        </w:rPr>
      </w:pPr>
      <w:r w:rsidRPr="00FF3D75">
        <w:rPr>
          <w:i/>
        </w:rPr>
        <w:t>[Abschnitt 25octies/2 mit Art. 63</w:t>
      </w:r>
      <w:r w:rsidRPr="00FF3D75">
        <w:rPr>
          <w:i/>
          <w:vertAlign w:val="superscript"/>
        </w:rPr>
        <w:t>12/2</w:t>
      </w:r>
      <w:r w:rsidRPr="00FF3D75">
        <w:rPr>
          <w:i/>
        </w:rPr>
        <w:t xml:space="preserve"> eingefügt durch Art. </w:t>
      </w:r>
      <w:r>
        <w:rPr>
          <w:i/>
        </w:rPr>
        <w:t>4 des K.E. vom 28. Juni 2019 (II) (B.S. vom 8. Juli 2019)</w:t>
      </w:r>
      <w:r w:rsidRPr="00E216AB">
        <w:rPr>
          <w:i/>
        </w:rPr>
        <w:t>]</w:t>
      </w:r>
    </w:p>
    <w:p w14:paraId="4F72EF7B" w14:textId="77777777" w:rsidR="00FF3D75" w:rsidRDefault="00FF3D75" w:rsidP="00FF3D75">
      <w:pPr>
        <w:jc w:val="both"/>
        <w:rPr>
          <w:i/>
        </w:rPr>
      </w:pPr>
    </w:p>
    <w:p w14:paraId="6BA17DA2" w14:textId="77777777" w:rsidR="00FF3D75" w:rsidRPr="00B50BE7" w:rsidRDefault="00FF3D75" w:rsidP="00FF3D75">
      <w:pPr>
        <w:jc w:val="both"/>
      </w:pPr>
    </w:p>
    <w:p w14:paraId="64BB8A0B" w14:textId="77777777" w:rsidR="00FF3D75" w:rsidRPr="00B50BE7" w:rsidRDefault="00FF3D75" w:rsidP="00FF3D75">
      <w:pPr>
        <w:jc w:val="both"/>
      </w:pPr>
      <w:r w:rsidRPr="00B50BE7">
        <w:tab/>
      </w:r>
      <w:r w:rsidRPr="00FF3D75">
        <w:rPr>
          <w:b/>
        </w:rPr>
        <w:t>Art. 63</w:t>
      </w:r>
      <w:r w:rsidRPr="00FF3D75">
        <w:rPr>
          <w:b/>
          <w:vertAlign w:val="superscript"/>
        </w:rPr>
        <w:t>12/2</w:t>
      </w:r>
      <w:r w:rsidRPr="00B50BE7">
        <w:t> - § 1 ­ In Artikel 298 des Gesetzes vom 19. April 2014 über alternative Organismen für gemeinsame Anlagen und ihre Verwalter erwähnte private Kapitalanlagefonds mit fixem Kapital, die ab dem 1. Januar 2018 errichtet werden, müssen anlässlich der Gesamtverteilung ihres Gesellschaftsvermögens einen Beleg erstellen, in dem:</w:t>
      </w:r>
    </w:p>
    <w:p w14:paraId="09ABB28C" w14:textId="77777777" w:rsidR="00FF3D75" w:rsidRPr="00B50BE7" w:rsidRDefault="00FF3D75" w:rsidP="00FF3D75">
      <w:pPr>
        <w:jc w:val="both"/>
      </w:pPr>
    </w:p>
    <w:p w14:paraId="1AED6394" w14:textId="77777777" w:rsidR="00FF3D75" w:rsidRPr="00B50BE7" w:rsidRDefault="00FF3D75" w:rsidP="00FF3D75">
      <w:pPr>
        <w:jc w:val="both"/>
      </w:pPr>
      <w:r w:rsidRPr="00B50BE7">
        <w:tab/>
        <w:t>1. der Betrag des Kapitals oder der Einlage angegeben ist, das beziehungsweise die vom Steuerpflichtigen auf Aktien oder Anteile des privaten Kapitalanlagefonds mit fixem Kapital eingezahlt worden ist,</w:t>
      </w:r>
    </w:p>
    <w:p w14:paraId="2011D984" w14:textId="77777777" w:rsidR="00FF3D75" w:rsidRPr="00B50BE7" w:rsidRDefault="00FF3D75" w:rsidP="00FF3D75">
      <w:pPr>
        <w:jc w:val="both"/>
      </w:pPr>
    </w:p>
    <w:p w14:paraId="67D271FF" w14:textId="77777777" w:rsidR="00FF3D75" w:rsidRPr="00B50BE7" w:rsidRDefault="00FF3D75" w:rsidP="00FF3D75">
      <w:pPr>
        <w:jc w:val="both"/>
      </w:pPr>
      <w:r w:rsidRPr="00B50BE7">
        <w:tab/>
        <w:t>2. die Beträge angegeben sind, die vom Steuerpflichtigen anlässlich der Gesamt</w:t>
      </w:r>
      <w:r w:rsidRPr="00B50BE7">
        <w:softHyphen/>
        <w:t>verteilung des Gesellschaftsvermögens des privaten Kapitalanlagefonds mit fixem Kapital erhalten worden sind,</w:t>
      </w:r>
    </w:p>
    <w:p w14:paraId="0F6C23B3" w14:textId="77777777" w:rsidR="00FF3D75" w:rsidRPr="00B50BE7" w:rsidRDefault="00FF3D75" w:rsidP="00FF3D75">
      <w:pPr>
        <w:jc w:val="both"/>
      </w:pPr>
      <w:r w:rsidRPr="00B50BE7">
        <w:tab/>
      </w:r>
    </w:p>
    <w:p w14:paraId="42A23842" w14:textId="77777777" w:rsidR="00FF3D75" w:rsidRPr="00B50BE7" w:rsidRDefault="00FF3D75" w:rsidP="00FF3D75">
      <w:pPr>
        <w:jc w:val="both"/>
      </w:pPr>
      <w:r w:rsidRPr="00B50BE7">
        <w:tab/>
        <w:t>3. die Dividenden des privaten Kapitalanlagefonds mit fixem Kapital angegeben sind, die zuvor vom Steuerpflichtigen erhalten worden sind.</w:t>
      </w:r>
    </w:p>
    <w:p w14:paraId="64551896" w14:textId="77777777" w:rsidR="00FF3D75" w:rsidRPr="00B50BE7" w:rsidRDefault="00FF3D75" w:rsidP="00FF3D75">
      <w:pPr>
        <w:jc w:val="both"/>
      </w:pPr>
    </w:p>
    <w:p w14:paraId="2F9D1FD0" w14:textId="77777777" w:rsidR="00FF3D75" w:rsidRPr="00B50BE7" w:rsidRDefault="00FF3D75" w:rsidP="00FF3D75">
      <w:pPr>
        <w:jc w:val="both"/>
      </w:pPr>
      <w:r w:rsidRPr="00B50BE7">
        <w:tab/>
        <w:t>§ 2 ­ Der in § 1 erwähnte Beleg muss dem Zeichner spätestens am 31. März des Jahres nach dem Jahr der Gesamtverteilung des Gesellschaftsvermögens des betreffenden privaten Kapitalanlagefonds mit fixem Kapital ausgehändigt werden.</w:t>
      </w:r>
    </w:p>
    <w:p w14:paraId="39DA48ED" w14:textId="77777777" w:rsidR="00FF3D75" w:rsidRPr="00B50BE7" w:rsidRDefault="00FF3D75" w:rsidP="00FF3D75">
      <w:pPr>
        <w:jc w:val="both"/>
      </w:pPr>
    </w:p>
    <w:p w14:paraId="062C8830" w14:textId="5868B5DD" w:rsidR="00FF3D75" w:rsidRPr="00B50BE7" w:rsidRDefault="00FF3D75" w:rsidP="00FF3D75">
      <w:pPr>
        <w:jc w:val="both"/>
      </w:pPr>
      <w:r w:rsidRPr="00B50BE7">
        <w:tab/>
        <w:t>Eine Kopie des in § 1 erwähnten Belegs muss der Verwaltung innerhalb derselben Frist e</w:t>
      </w:r>
      <w:r>
        <w:t>lektronisch übermittelt werden.]</w:t>
      </w:r>
    </w:p>
    <w:p w14:paraId="757155FA" w14:textId="77777777" w:rsidR="00FF3D75" w:rsidRPr="00B50BE7" w:rsidRDefault="00FF3D75" w:rsidP="00FF3D75">
      <w:pPr>
        <w:jc w:val="both"/>
      </w:pPr>
    </w:p>
    <w:p w14:paraId="17FC4F09" w14:textId="77777777" w:rsidR="00FF3D75" w:rsidRPr="00B50BE7" w:rsidRDefault="00FF3D75" w:rsidP="00FF3D75">
      <w:pPr>
        <w:jc w:val="both"/>
      </w:pPr>
    </w:p>
    <w:p w14:paraId="6EB11ED1" w14:textId="77777777" w:rsidR="00FF3D75" w:rsidRDefault="00FF3D75">
      <w:pPr>
        <w:rPr>
          <w:bCs/>
        </w:rPr>
      </w:pPr>
      <w:r>
        <w:rPr>
          <w:bCs/>
        </w:rPr>
        <w:br w:type="page"/>
      </w:r>
    </w:p>
    <w:p w14:paraId="2A527547" w14:textId="79C0A61A" w:rsidR="00FF3D75" w:rsidRPr="00B50BE7" w:rsidRDefault="00FF3D75" w:rsidP="00FF3D75">
      <w:pPr>
        <w:jc w:val="center"/>
      </w:pPr>
      <w:r w:rsidRPr="00FF3D75">
        <w:rPr>
          <w:bCs/>
        </w:rPr>
        <w:lastRenderedPageBreak/>
        <w:t>[</w:t>
      </w:r>
      <w:r w:rsidRPr="00B50BE7">
        <w:rPr>
          <w:i/>
        </w:rPr>
        <w:t>Abschnitt 25octies/3</w:t>
      </w:r>
      <w:r w:rsidRPr="00B50BE7">
        <w:t> - Ermäßigung für den Erwerb neuer Aktien oder Anteile von expandierenden Unternehmen - Rücknahme der Ermäßigung</w:t>
      </w:r>
    </w:p>
    <w:p w14:paraId="3869F185" w14:textId="77777777" w:rsidR="00FF3D75" w:rsidRPr="00B50BE7" w:rsidRDefault="00FF3D75" w:rsidP="00FF3D75">
      <w:pPr>
        <w:jc w:val="center"/>
      </w:pPr>
    </w:p>
    <w:p w14:paraId="53635528" w14:textId="09709E41" w:rsidR="00FF3D75" w:rsidRPr="00B50BE7" w:rsidRDefault="00FF3D75" w:rsidP="00FF3D75">
      <w:pPr>
        <w:jc w:val="center"/>
      </w:pPr>
      <w:r w:rsidRPr="00B50BE7">
        <w:t>(Einkommensteuergesetzbuch 1992, Artikel 145</w:t>
      </w:r>
      <w:r w:rsidRPr="00B50BE7">
        <w:rPr>
          <w:vertAlign w:val="superscript"/>
        </w:rPr>
        <w:t>27</w:t>
      </w:r>
      <w:r w:rsidRPr="00B50BE7">
        <w:t xml:space="preserve"> § 5)</w:t>
      </w:r>
    </w:p>
    <w:p w14:paraId="24C6B134" w14:textId="77777777" w:rsidR="00FF3D75" w:rsidRDefault="00FF3D75" w:rsidP="00FF3D75">
      <w:pPr>
        <w:jc w:val="both"/>
      </w:pPr>
    </w:p>
    <w:p w14:paraId="6D20C024" w14:textId="57035913" w:rsidR="00FF3D75" w:rsidRDefault="00FF3D75" w:rsidP="00FF3D75">
      <w:pPr>
        <w:jc w:val="both"/>
        <w:rPr>
          <w:i/>
        </w:rPr>
      </w:pPr>
      <w:r w:rsidRPr="00FF3D75">
        <w:rPr>
          <w:i/>
        </w:rPr>
        <w:t>[Abschnitt 25octies/</w:t>
      </w:r>
      <w:r>
        <w:rPr>
          <w:i/>
        </w:rPr>
        <w:t>3</w:t>
      </w:r>
      <w:r w:rsidRPr="00FF3D75">
        <w:rPr>
          <w:i/>
        </w:rPr>
        <w:t xml:space="preserve"> mit Art. 63</w:t>
      </w:r>
      <w:r w:rsidRPr="00FF3D75">
        <w:rPr>
          <w:i/>
          <w:vertAlign w:val="superscript"/>
        </w:rPr>
        <w:t>12/</w:t>
      </w:r>
      <w:r>
        <w:rPr>
          <w:i/>
          <w:vertAlign w:val="superscript"/>
        </w:rPr>
        <w:t>3</w:t>
      </w:r>
      <w:r w:rsidRPr="00FF3D75">
        <w:rPr>
          <w:i/>
        </w:rPr>
        <w:t xml:space="preserve"> eingefügt durch Art. </w:t>
      </w:r>
      <w:r>
        <w:rPr>
          <w:i/>
        </w:rPr>
        <w:t>5 des K.E. vom 28. Juni 2019 (II) (B.S. vom 8. Juli 2019)</w:t>
      </w:r>
      <w:r w:rsidRPr="00E216AB">
        <w:rPr>
          <w:i/>
        </w:rPr>
        <w:t>]</w:t>
      </w:r>
    </w:p>
    <w:p w14:paraId="39CF9F58" w14:textId="77777777" w:rsidR="00FF3D75" w:rsidRDefault="00FF3D75" w:rsidP="00FF3D75">
      <w:pPr>
        <w:jc w:val="both"/>
      </w:pPr>
    </w:p>
    <w:p w14:paraId="367D2351" w14:textId="77777777" w:rsidR="00FF3D75" w:rsidRPr="00B50BE7" w:rsidRDefault="00FF3D75" w:rsidP="00FF3D75">
      <w:pPr>
        <w:jc w:val="both"/>
      </w:pPr>
    </w:p>
    <w:p w14:paraId="7588F147" w14:textId="77777777" w:rsidR="00FF3D75" w:rsidRPr="00B50BE7" w:rsidRDefault="00FF3D75" w:rsidP="00FF3D75">
      <w:pPr>
        <w:jc w:val="both"/>
      </w:pPr>
      <w:r w:rsidRPr="00B50BE7">
        <w:rPr>
          <w:b/>
        </w:rPr>
        <w:tab/>
      </w:r>
      <w:r w:rsidRPr="00FF3D75">
        <w:rPr>
          <w:b/>
        </w:rPr>
        <w:t>Art. 63</w:t>
      </w:r>
      <w:r w:rsidRPr="00FF3D75">
        <w:rPr>
          <w:b/>
          <w:vertAlign w:val="superscript"/>
        </w:rPr>
        <w:t>12/3</w:t>
      </w:r>
      <w:r w:rsidRPr="00B50BE7">
        <w:t> - § 1 ­ In Artikel 145</w:t>
      </w:r>
      <w:r w:rsidRPr="00B50BE7">
        <w:rPr>
          <w:vertAlign w:val="superscript"/>
        </w:rPr>
        <w:t>27</w:t>
      </w:r>
      <w:r w:rsidRPr="00B50BE7">
        <w:t xml:space="preserve"> § 2 Absatz 1 des Einkommensteuergesetz</w:t>
      </w:r>
      <w:r>
        <w:softHyphen/>
      </w:r>
      <w:r w:rsidRPr="00B50BE7">
        <w:t>buches 1992 erwähnte Gesellschaften oder in Artikel 145</w:t>
      </w:r>
      <w:r w:rsidRPr="00B50BE7">
        <w:rPr>
          <w:vertAlign w:val="superscript"/>
        </w:rPr>
        <w:t>27</w:t>
      </w:r>
      <w:r w:rsidRPr="00B50BE7">
        <w:t xml:space="preserve"> § 1 Absatz 1 Buchstabe </w:t>
      </w:r>
      <w:r w:rsidRPr="00B50BE7">
        <w:rPr>
          <w:i/>
          <w:iCs/>
        </w:rPr>
        <w:t>b)</w:t>
      </w:r>
      <w:r w:rsidRPr="00B50BE7">
        <w:t xml:space="preserve"> desselben Gesetzbuches erwähnte Finanzierungsvehikel müssen jährlich vor dem 31. März des Jahres nach dem Jahr, in dem die vollständig eingezahlten Aktien oder Anteile oder die in Artikel 145</w:t>
      </w:r>
      <w:r w:rsidRPr="00B50BE7">
        <w:rPr>
          <w:vertAlign w:val="superscript"/>
        </w:rPr>
        <w:t>27</w:t>
      </w:r>
      <w:r w:rsidRPr="00B50BE7">
        <w:t xml:space="preserve"> § 1 Absatz 1 Buchstabe </w:t>
      </w:r>
      <w:r w:rsidRPr="00B50BE7">
        <w:rPr>
          <w:i/>
          <w:iCs/>
        </w:rPr>
        <w:t>b)</w:t>
      </w:r>
      <w:r w:rsidRPr="00B50BE7">
        <w:t xml:space="preserve"> desselben Gesetzbuches erwähnten neuen Anlageinstrumente erworben wurden, und der vier darauf folgenden Jahre einen Beleg erstellen, in dem:</w:t>
      </w:r>
    </w:p>
    <w:p w14:paraId="219D2562" w14:textId="77777777" w:rsidR="00FF3D75" w:rsidRPr="00B50BE7" w:rsidRDefault="00FF3D75" w:rsidP="00FF3D75">
      <w:pPr>
        <w:jc w:val="both"/>
      </w:pPr>
    </w:p>
    <w:p w14:paraId="24AFEC5B" w14:textId="77777777" w:rsidR="00FF3D75" w:rsidRPr="00B50BE7" w:rsidRDefault="00FF3D75" w:rsidP="00FF3D75">
      <w:pPr>
        <w:jc w:val="both"/>
      </w:pPr>
      <w:r w:rsidRPr="00B50BE7">
        <w:tab/>
        <w:t>1. für das Erwerbsjahr:</w:t>
      </w:r>
    </w:p>
    <w:p w14:paraId="0C0B2B0A" w14:textId="77777777" w:rsidR="00FF3D75" w:rsidRPr="00B50BE7" w:rsidRDefault="00FF3D75" w:rsidP="00FF3D75">
      <w:pPr>
        <w:jc w:val="both"/>
      </w:pPr>
    </w:p>
    <w:p w14:paraId="237ED927" w14:textId="77777777" w:rsidR="00FF3D75" w:rsidRPr="00B50BE7" w:rsidRDefault="00FF3D75" w:rsidP="00FF3D75">
      <w:pPr>
        <w:jc w:val="both"/>
      </w:pPr>
      <w:r w:rsidRPr="00B50BE7">
        <w:tab/>
      </w:r>
      <w:r w:rsidRPr="00B50BE7">
        <w:rPr>
          <w:i/>
          <w:iCs/>
        </w:rPr>
        <w:t>a)</w:t>
      </w:r>
      <w:r w:rsidRPr="00B50BE7">
        <w:t xml:space="preserve"> die Beträge angegeben sind, die zur Ermäßigung berechtigen,</w:t>
      </w:r>
    </w:p>
    <w:p w14:paraId="545D81B0" w14:textId="77777777" w:rsidR="00FF3D75" w:rsidRPr="00B50BE7" w:rsidRDefault="00FF3D75" w:rsidP="00FF3D75">
      <w:pPr>
        <w:jc w:val="both"/>
      </w:pPr>
    </w:p>
    <w:p w14:paraId="22451295" w14:textId="77777777" w:rsidR="00FF3D75" w:rsidRPr="00B50BE7" w:rsidRDefault="00FF3D75" w:rsidP="00FF3D75">
      <w:pPr>
        <w:jc w:val="both"/>
      </w:pPr>
      <w:r w:rsidRPr="00B50BE7">
        <w:tab/>
      </w:r>
      <w:r w:rsidRPr="00B50BE7">
        <w:rPr>
          <w:i/>
        </w:rPr>
        <w:t>b)</w:t>
      </w:r>
      <w:r w:rsidRPr="00B50BE7">
        <w:t xml:space="preserve"> bescheinigt wird, dass die Gesellschaft, in die entweder direkt oder über eine Crowdfunding-Plattform oder über ein Finanzierungsvehikel investiert wird, die in Artikel 145</w:t>
      </w:r>
      <w:r w:rsidRPr="00B50BE7">
        <w:rPr>
          <w:vertAlign w:val="superscript"/>
        </w:rPr>
        <w:t>27</w:t>
      </w:r>
      <w:r w:rsidRPr="00B50BE7">
        <w:t xml:space="preserve"> § 2 Absatz 1 desselben Gesetzbuches vorgesehenen Bedingungen erfüllt,</w:t>
      </w:r>
    </w:p>
    <w:p w14:paraId="4EE6A935" w14:textId="77777777" w:rsidR="00FF3D75" w:rsidRPr="00B50BE7" w:rsidRDefault="00FF3D75" w:rsidP="00FF3D75">
      <w:pPr>
        <w:jc w:val="both"/>
      </w:pPr>
    </w:p>
    <w:p w14:paraId="01F6303F" w14:textId="77777777" w:rsidR="00FF3D75" w:rsidRPr="00B50BE7" w:rsidRDefault="00FF3D75" w:rsidP="00FF3D75">
      <w:pPr>
        <w:jc w:val="both"/>
      </w:pPr>
      <w:r w:rsidRPr="00B50BE7">
        <w:tab/>
      </w:r>
      <w:r w:rsidRPr="00B50BE7">
        <w:rPr>
          <w:i/>
          <w:iCs/>
        </w:rPr>
        <w:t>c)</w:t>
      </w:r>
      <w:r w:rsidRPr="00B50BE7">
        <w:t xml:space="preserve"> der Jahresumsatz der Gesellschaft und die Anzahl der von der Gesellschaft im Rahmen von Arbeitsverträgen beschäftigten Personen in Vollzeitgleichwerten der letzten beiden Steuerjahre vor Einzahlung der Aktien angegeben sind,</w:t>
      </w:r>
    </w:p>
    <w:p w14:paraId="5CA59A21" w14:textId="77777777" w:rsidR="00FF3D75" w:rsidRPr="00B50BE7" w:rsidRDefault="00FF3D75" w:rsidP="00FF3D75">
      <w:pPr>
        <w:jc w:val="both"/>
      </w:pPr>
    </w:p>
    <w:p w14:paraId="5816DB80" w14:textId="77777777" w:rsidR="00FF3D75" w:rsidRPr="00B50BE7" w:rsidRDefault="00FF3D75" w:rsidP="00FF3D75">
      <w:pPr>
        <w:jc w:val="both"/>
      </w:pPr>
      <w:r w:rsidRPr="00B50BE7">
        <w:tab/>
        <w:t>2. für das darauf folgende Jahr bescheinigt wird, dass die Gesellschaft, in die entweder direkt oder über eine Crowdfunding-Plattform oder über ein Finanzierungsvehikel investiert wird, im Rahmen von Arbeitsverträgen mindestens zehn Personen in Vollzeitgleichwerten beschäftigt,</w:t>
      </w:r>
    </w:p>
    <w:p w14:paraId="7FEFA379" w14:textId="77777777" w:rsidR="00FF3D75" w:rsidRPr="00B50BE7" w:rsidRDefault="00FF3D75" w:rsidP="00FF3D75">
      <w:pPr>
        <w:jc w:val="both"/>
      </w:pPr>
    </w:p>
    <w:p w14:paraId="275F6154" w14:textId="77777777" w:rsidR="00FF3D75" w:rsidRPr="00B50BE7" w:rsidRDefault="00FF3D75" w:rsidP="00FF3D75">
      <w:pPr>
        <w:jc w:val="both"/>
      </w:pPr>
      <w:r w:rsidRPr="00B50BE7">
        <w:tab/>
        <w:t>3. für jedes der vier darauf folgenden Jahre gegebenenfalls bescheinigt wird, dass diese Aktien oder Anteile oder diese Anlageinstrumente am 31. Dezember des Besteuerungs</w:t>
      </w:r>
      <w:r w:rsidRPr="00B50BE7">
        <w:softHyphen/>
        <w:t>zeitraums noch immer im Besitz des Zeichners sind und dass die in Artikel 145</w:t>
      </w:r>
      <w:r w:rsidRPr="00B50BE7">
        <w:rPr>
          <w:vertAlign w:val="superscript"/>
        </w:rPr>
        <w:t>27</w:t>
      </w:r>
      <w:r w:rsidRPr="00B50BE7">
        <w:t xml:space="preserve"> § 2 Absatz 4 desselben Gesetzbuches vorgesehene Bedingung erfüllt ist,</w:t>
      </w:r>
    </w:p>
    <w:p w14:paraId="11259D79" w14:textId="77777777" w:rsidR="00FF3D75" w:rsidRPr="00B50BE7" w:rsidRDefault="00FF3D75" w:rsidP="00FF3D75">
      <w:pPr>
        <w:jc w:val="both"/>
      </w:pPr>
    </w:p>
    <w:p w14:paraId="6B16E925" w14:textId="77777777" w:rsidR="00FF3D75" w:rsidRPr="00B50BE7" w:rsidRDefault="00FF3D75" w:rsidP="00FF3D75">
      <w:pPr>
        <w:jc w:val="both"/>
      </w:pPr>
      <w:r w:rsidRPr="00B50BE7">
        <w:tab/>
        <w:t>4. für das Jahr der Übertragung der Aktien oder Anteile oder der Anlageinstrumente die Anzahl der noch nicht abgelaufenen Monate angegeben ist, die für die Berechnung der Rücknahme der Ermäßigung zu berücksichtigen ist.</w:t>
      </w:r>
    </w:p>
    <w:p w14:paraId="68FB2780" w14:textId="77777777" w:rsidR="00FF3D75" w:rsidRPr="00B50BE7" w:rsidRDefault="00FF3D75" w:rsidP="00FF3D75">
      <w:pPr>
        <w:jc w:val="both"/>
      </w:pPr>
    </w:p>
    <w:p w14:paraId="06274B78" w14:textId="77777777" w:rsidR="00FF3D75" w:rsidRPr="00B50BE7" w:rsidRDefault="00FF3D75" w:rsidP="00FF3D75">
      <w:pPr>
        <w:jc w:val="both"/>
      </w:pPr>
      <w:r w:rsidRPr="00B50BE7">
        <w:tab/>
        <w:t>§ 2 ­ Der in § 1 vorgesehene Beleg muss dem Zeichner innerhalb der in § 1 vorgesehenen Frist ausgehändigt werden.</w:t>
      </w:r>
    </w:p>
    <w:p w14:paraId="2C86F8A3" w14:textId="77777777" w:rsidR="00FF3D75" w:rsidRPr="00B50BE7" w:rsidRDefault="00FF3D75" w:rsidP="00FF3D75">
      <w:pPr>
        <w:jc w:val="both"/>
      </w:pPr>
    </w:p>
    <w:p w14:paraId="50FD47FA" w14:textId="77777777" w:rsidR="00FF3D75" w:rsidRPr="00B50BE7" w:rsidRDefault="00FF3D75" w:rsidP="00FF3D75">
      <w:pPr>
        <w:jc w:val="both"/>
      </w:pPr>
      <w:r w:rsidRPr="00B50BE7">
        <w:tab/>
        <w:t>Der Zeichner muss sein Exemplar der betreffenden Belege zur Verfügung der Verwaltung bereithalten.</w:t>
      </w:r>
    </w:p>
    <w:p w14:paraId="1FBF1598" w14:textId="77777777" w:rsidR="00FF3D75" w:rsidRPr="00B50BE7" w:rsidRDefault="00FF3D75" w:rsidP="00FF3D75">
      <w:pPr>
        <w:jc w:val="both"/>
      </w:pPr>
    </w:p>
    <w:p w14:paraId="78C91B53" w14:textId="23391F3D" w:rsidR="00FF3D75" w:rsidRDefault="00FF3D75" w:rsidP="00E176BE">
      <w:pPr>
        <w:jc w:val="both"/>
        <w:rPr>
          <w:rFonts w:eastAsia="Calibri"/>
          <w:szCs w:val="22"/>
          <w:lang w:eastAsia="de-DE" w:bidi="de-DE"/>
        </w:rPr>
      </w:pPr>
      <w:r w:rsidRPr="00B50BE7">
        <w:lastRenderedPageBreak/>
        <w:tab/>
        <w:t>§ 3 ­ Eine Kopie des in § 1 vorgesehenen Belegs muss der Verwaltung innerhalb der in § 1 vorgesehenen Frist e</w:t>
      </w:r>
      <w:r>
        <w:t>lektronisch übermittelt werden.</w:t>
      </w:r>
      <w:r>
        <w:rPr>
          <w:rFonts w:eastAsia="Calibri"/>
          <w:szCs w:val="22"/>
          <w:lang w:eastAsia="de-DE" w:bidi="de-DE"/>
        </w:rPr>
        <w:t>]</w:t>
      </w:r>
    </w:p>
    <w:p w14:paraId="61701CBB" w14:textId="77777777" w:rsidR="00FF3D75" w:rsidRPr="00FF3D75" w:rsidRDefault="00FF3D75" w:rsidP="00E176BE">
      <w:pPr>
        <w:jc w:val="both"/>
      </w:pPr>
    </w:p>
    <w:p w14:paraId="65822999" w14:textId="77777777" w:rsidR="00DF6019" w:rsidRDefault="00DF6019" w:rsidP="004C2C7D">
      <w:pPr>
        <w:tabs>
          <w:tab w:val="left" w:pos="960"/>
        </w:tabs>
        <w:jc w:val="center"/>
        <w:rPr>
          <w:rFonts w:eastAsia="Calibri"/>
          <w:szCs w:val="22"/>
          <w:lang w:eastAsia="de-DE" w:bidi="de-DE"/>
        </w:rPr>
      </w:pPr>
    </w:p>
    <w:p w14:paraId="4D82D256" w14:textId="77777777" w:rsidR="005A5BD5" w:rsidRPr="00334017" w:rsidRDefault="005A5BD5" w:rsidP="004C2C7D">
      <w:pPr>
        <w:tabs>
          <w:tab w:val="left" w:pos="960"/>
        </w:tabs>
        <w:jc w:val="center"/>
        <w:rPr>
          <w:rFonts w:eastAsia="Calibri"/>
          <w:szCs w:val="22"/>
          <w:lang w:eastAsia="de-DE" w:bidi="de-DE"/>
        </w:rPr>
      </w:pPr>
      <w:r w:rsidRPr="00334017">
        <w:rPr>
          <w:rFonts w:eastAsia="Calibri"/>
          <w:szCs w:val="22"/>
          <w:lang w:eastAsia="de-DE" w:bidi="de-DE"/>
        </w:rPr>
        <w:t>[</w:t>
      </w:r>
      <w:r w:rsidRPr="00334017">
        <w:rPr>
          <w:rFonts w:eastAsia="Calibri"/>
          <w:i/>
          <w:szCs w:val="22"/>
          <w:lang w:eastAsia="de-DE" w:bidi="de-DE"/>
        </w:rPr>
        <w:t>Abschnitt 25nonies</w:t>
      </w:r>
      <w:r w:rsidRPr="00334017">
        <w:rPr>
          <w:rFonts w:eastAsia="Calibri"/>
          <w:szCs w:val="22"/>
          <w:lang w:eastAsia="de-DE" w:bidi="de-DE"/>
        </w:rPr>
        <w:t> - Ermäßigung für Ausgaben für den Erwerb eines Elektrofahrzeugs in Neuzustand</w:t>
      </w:r>
    </w:p>
    <w:p w14:paraId="2ECC06EF" w14:textId="77777777" w:rsidR="005A5BD5" w:rsidRPr="00334017" w:rsidRDefault="005A5BD5" w:rsidP="004C2C7D">
      <w:pPr>
        <w:tabs>
          <w:tab w:val="left" w:pos="960"/>
        </w:tabs>
        <w:jc w:val="center"/>
        <w:rPr>
          <w:rFonts w:eastAsia="Calibri"/>
          <w:szCs w:val="22"/>
          <w:lang w:eastAsia="de-DE" w:bidi="de-DE"/>
        </w:rPr>
      </w:pPr>
    </w:p>
    <w:p w14:paraId="6432C28F" w14:textId="77777777" w:rsidR="005A5BD5" w:rsidRPr="00334017" w:rsidRDefault="005A5BD5" w:rsidP="004C2C7D">
      <w:pPr>
        <w:tabs>
          <w:tab w:val="left" w:pos="960"/>
        </w:tabs>
        <w:jc w:val="center"/>
        <w:rPr>
          <w:rFonts w:eastAsia="Calibri"/>
          <w:szCs w:val="22"/>
          <w:lang w:eastAsia="de-DE" w:bidi="de-DE"/>
        </w:rPr>
      </w:pPr>
      <w:r w:rsidRPr="00334017">
        <w:rPr>
          <w:rFonts w:eastAsia="Calibri"/>
          <w:szCs w:val="22"/>
          <w:lang w:eastAsia="de-DE" w:bidi="de-DE"/>
        </w:rPr>
        <w:t>(Einkommensteuergesetzbuch 1992, Artikel 145</w:t>
      </w:r>
      <w:r w:rsidRPr="00334017">
        <w:rPr>
          <w:rFonts w:eastAsia="Calibri"/>
          <w:szCs w:val="22"/>
          <w:vertAlign w:val="superscript"/>
          <w:lang w:eastAsia="de-DE" w:bidi="de-DE"/>
        </w:rPr>
        <w:t>28</w:t>
      </w:r>
      <w:r w:rsidRPr="00334017">
        <w:rPr>
          <w:rFonts w:eastAsia="Calibri"/>
          <w:szCs w:val="22"/>
          <w:lang w:eastAsia="de-DE" w:bidi="de-DE"/>
        </w:rPr>
        <w:t>)</w:t>
      </w:r>
    </w:p>
    <w:p w14:paraId="0A5EC996" w14:textId="77777777" w:rsidR="005A5BD5" w:rsidRPr="00334017" w:rsidRDefault="005A5BD5" w:rsidP="004C2C7D">
      <w:pPr>
        <w:tabs>
          <w:tab w:val="left" w:pos="960"/>
        </w:tabs>
        <w:jc w:val="both"/>
        <w:rPr>
          <w:rFonts w:eastAsia="Calibri"/>
          <w:szCs w:val="22"/>
          <w:lang w:eastAsia="de-DE" w:bidi="de-DE"/>
        </w:rPr>
      </w:pPr>
    </w:p>
    <w:p w14:paraId="7168269A"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[Abschnitt 25nonies mit Art. 63</w:t>
      </w:r>
      <w:r w:rsidRPr="00334017">
        <w:rPr>
          <w:rFonts w:eastAsia="Calibri"/>
          <w:i/>
          <w:szCs w:val="22"/>
          <w:vertAlign w:val="superscript"/>
          <w:lang w:eastAsia="de-DE" w:bidi="de-DE"/>
        </w:rPr>
        <w:t>13</w:t>
      </w:r>
      <w:r w:rsidRPr="00334017">
        <w:rPr>
          <w:rFonts w:eastAsia="Calibri"/>
          <w:i/>
          <w:szCs w:val="22"/>
          <w:lang w:eastAsia="de-DE" w:bidi="de-DE"/>
        </w:rPr>
        <w:t xml:space="preserve"> eingefügt durch Art. 1 des K.E. vom 16. Dezember 2004 (B.S. vom 30. Dezember 2004), aufgehoben durch Art. 9 des K.E. vom 27. Januar 2009 (B.S. vom 3. Februar 2009) und wieder aufgenommen durch Art. 1 des K.E. vom 8. März 2010 (B.S. vom 12. März 2010)]</w:t>
      </w:r>
    </w:p>
    <w:p w14:paraId="439DDB1B" w14:textId="77777777" w:rsidR="005A5BD5" w:rsidRPr="00334017" w:rsidRDefault="005A5BD5" w:rsidP="004C2C7D">
      <w:pPr>
        <w:tabs>
          <w:tab w:val="left" w:pos="960"/>
        </w:tabs>
        <w:jc w:val="both"/>
        <w:rPr>
          <w:rFonts w:eastAsia="Calibri"/>
          <w:i/>
          <w:szCs w:val="22"/>
          <w:lang w:eastAsia="de-DE" w:bidi="de-DE"/>
        </w:rPr>
      </w:pPr>
    </w:p>
    <w:p w14:paraId="19EB69B6" w14:textId="77777777" w:rsidR="005A5BD5" w:rsidRPr="00334017" w:rsidRDefault="005A5BD5" w:rsidP="004C2C7D">
      <w:pPr>
        <w:tabs>
          <w:tab w:val="left" w:pos="960"/>
        </w:tabs>
        <w:jc w:val="both"/>
        <w:rPr>
          <w:rFonts w:eastAsia="Calibri"/>
          <w:i/>
          <w:szCs w:val="22"/>
          <w:lang w:eastAsia="de-DE" w:bidi="de-DE"/>
        </w:rPr>
      </w:pPr>
    </w:p>
    <w:p w14:paraId="774328DB"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13</w:t>
      </w:r>
      <w:r w:rsidRPr="00334017">
        <w:rPr>
          <w:rFonts w:eastAsia="Calibri"/>
          <w:szCs w:val="22"/>
          <w:lang w:eastAsia="de-DE" w:bidi="de-DE"/>
        </w:rPr>
        <w:t> - § 1 - Unter einem in Neuzustand erworbenen Elektrofahrzeug wie in Artikel 145</w:t>
      </w:r>
      <w:r w:rsidRPr="00334017">
        <w:rPr>
          <w:rFonts w:eastAsia="Calibri"/>
          <w:szCs w:val="22"/>
          <w:vertAlign w:val="superscript"/>
          <w:lang w:eastAsia="de-DE" w:bidi="de-DE"/>
        </w:rPr>
        <w:t>28</w:t>
      </w:r>
      <w:r w:rsidRPr="00334017">
        <w:rPr>
          <w:rFonts w:eastAsia="Calibri"/>
          <w:szCs w:val="22"/>
          <w:lang w:eastAsia="de-DE" w:bidi="de-DE"/>
        </w:rPr>
        <w:t xml:space="preserve"> § 1 des Einkommensteuergesetzbuches 1992 erwähnt ist ein Fahrzeug zu verstehen, das an dem auf der Rechnung in Bezug auf den Kauf des Fahrzeugs angegebenen Datum noch nicht in Belgien oder im Ausland zugelassen war.</w:t>
      </w:r>
    </w:p>
    <w:p w14:paraId="66834D2C" w14:textId="77777777" w:rsidR="005A5BD5" w:rsidRPr="00334017" w:rsidRDefault="005A5BD5" w:rsidP="004C2C7D">
      <w:pPr>
        <w:tabs>
          <w:tab w:val="left" w:pos="960"/>
        </w:tabs>
        <w:jc w:val="both"/>
        <w:rPr>
          <w:rFonts w:eastAsia="Calibri"/>
          <w:szCs w:val="22"/>
          <w:lang w:eastAsia="de-DE" w:bidi="de-DE"/>
        </w:rPr>
      </w:pPr>
    </w:p>
    <w:p w14:paraId="56347550"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2 - In Artikel 145</w:t>
      </w:r>
      <w:r w:rsidRPr="00334017">
        <w:rPr>
          <w:rFonts w:eastAsia="Calibri"/>
          <w:szCs w:val="22"/>
          <w:vertAlign w:val="superscript"/>
          <w:lang w:eastAsia="de-DE" w:bidi="de-DE"/>
        </w:rPr>
        <w:t>28</w:t>
      </w:r>
      <w:r w:rsidRPr="00334017">
        <w:rPr>
          <w:rFonts w:eastAsia="Calibri"/>
          <w:szCs w:val="22"/>
          <w:lang w:eastAsia="de-DE" w:bidi="de-DE"/>
        </w:rPr>
        <w:t xml:space="preserve"> desselben Gesetzbuches erwähnte Ausgaben werden für die in diesem Artikel erwähnte Steuerermäßigung nur berücksichtigt, wenn die vom Verkäufer ausgestellte Kaufrechnung folgenden Vermerk beinhaltet:</w:t>
      </w:r>
    </w:p>
    <w:p w14:paraId="35856038" w14:textId="77777777" w:rsidR="005A5BD5" w:rsidRPr="00334017" w:rsidRDefault="005A5BD5" w:rsidP="00FB3E9E">
      <w:pPr>
        <w:jc w:val="both"/>
        <w:rPr>
          <w:rFonts w:eastAsia="Calibri"/>
          <w:szCs w:val="22"/>
          <w:lang w:eastAsia="de-DE" w:bidi="de-DE"/>
        </w:rPr>
      </w:pPr>
    </w:p>
    <w:p w14:paraId="58C91C3C"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"Bescheinigung in Anwendung von Artikel 63</w:t>
      </w:r>
      <w:r w:rsidRPr="00334017">
        <w:rPr>
          <w:rFonts w:eastAsia="Calibri"/>
          <w:szCs w:val="22"/>
          <w:vertAlign w:val="superscript"/>
          <w:lang w:eastAsia="de-DE" w:bidi="de-DE"/>
        </w:rPr>
        <w:t>13</w:t>
      </w:r>
      <w:r w:rsidRPr="00334017">
        <w:rPr>
          <w:rFonts w:eastAsia="Calibri"/>
          <w:szCs w:val="22"/>
          <w:lang w:eastAsia="de-DE" w:bidi="de-DE"/>
        </w:rPr>
        <w:t xml:space="preserve"> des KE/E</w:t>
      </w:r>
      <w:r w:rsidR="009251F9" w:rsidRPr="00334017">
        <w:rPr>
          <w:rFonts w:eastAsia="Calibri"/>
          <w:szCs w:val="22"/>
          <w:lang w:eastAsia="de-DE" w:bidi="de-DE"/>
        </w:rPr>
        <w:t>s</w:t>
      </w:r>
      <w:r w:rsidRPr="00334017">
        <w:rPr>
          <w:rFonts w:eastAsia="Calibri"/>
          <w:szCs w:val="22"/>
          <w:lang w:eastAsia="de-DE" w:bidi="de-DE"/>
        </w:rPr>
        <w:t>tGB 92 über ein Elektrofahrzeug wie in Artikel 145</w:t>
      </w:r>
      <w:r w:rsidRPr="00334017">
        <w:rPr>
          <w:rFonts w:eastAsia="Calibri"/>
          <w:szCs w:val="22"/>
          <w:vertAlign w:val="superscript"/>
          <w:lang w:eastAsia="de-DE" w:bidi="de-DE"/>
        </w:rPr>
        <w:t>28</w:t>
      </w:r>
      <w:r w:rsidRPr="00334017">
        <w:rPr>
          <w:rFonts w:eastAsia="Calibri"/>
          <w:szCs w:val="22"/>
          <w:lang w:eastAsia="de-DE" w:bidi="de-DE"/>
        </w:rPr>
        <w:t xml:space="preserve"> des Einkommensteuergesetzbuches 1992 erwähnt</w:t>
      </w:r>
    </w:p>
    <w:p w14:paraId="364D061C" w14:textId="77777777" w:rsidR="005A5BD5" w:rsidRPr="00334017" w:rsidRDefault="005A5BD5" w:rsidP="00FB3E9E">
      <w:pPr>
        <w:jc w:val="both"/>
        <w:rPr>
          <w:rFonts w:eastAsia="Calibri"/>
          <w:szCs w:val="22"/>
          <w:lang w:eastAsia="de-DE" w:bidi="de-DE"/>
        </w:rPr>
      </w:pPr>
    </w:p>
    <w:p w14:paraId="43F0319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Der/Die Unterzeichnete, ……, bescheinigt, dass das in vorliegender Rechnung beschriebene Fahrzeug noch nicht in Belgien oder im Ausland zugelassen war und den in Artikel 145</w:t>
      </w:r>
      <w:r w:rsidRPr="00334017">
        <w:rPr>
          <w:rFonts w:eastAsia="Calibri"/>
          <w:szCs w:val="22"/>
          <w:vertAlign w:val="superscript"/>
          <w:lang w:eastAsia="de-DE" w:bidi="de-DE"/>
        </w:rPr>
        <w:t>28</w:t>
      </w:r>
      <w:r w:rsidRPr="00334017">
        <w:rPr>
          <w:rFonts w:eastAsia="Calibri"/>
          <w:szCs w:val="22"/>
          <w:lang w:eastAsia="de-DE" w:bidi="de-DE"/>
        </w:rPr>
        <w:t xml:space="preserve"> des vorerwähnten Gesetzbuches erwähnten Bedingungen genügt." </w:t>
      </w:r>
    </w:p>
    <w:p w14:paraId="70AC653E" w14:textId="77777777" w:rsidR="005A5BD5" w:rsidRPr="00334017" w:rsidRDefault="005A5BD5" w:rsidP="00FB3E9E">
      <w:pPr>
        <w:jc w:val="both"/>
        <w:rPr>
          <w:rFonts w:eastAsia="Calibri"/>
          <w:szCs w:val="22"/>
          <w:lang w:eastAsia="de-DE" w:bidi="de-DE"/>
        </w:rPr>
      </w:pPr>
    </w:p>
    <w:p w14:paraId="20B4FC7A"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3 - Steuerpflichtige, die die Geltendmachung der in Artikel 145</w:t>
      </w:r>
      <w:r w:rsidRPr="00334017">
        <w:rPr>
          <w:rFonts w:eastAsia="Calibri"/>
          <w:szCs w:val="22"/>
          <w:vertAlign w:val="superscript"/>
          <w:lang w:eastAsia="de-DE" w:bidi="de-DE"/>
        </w:rPr>
        <w:t>28</w:t>
      </w:r>
      <w:r w:rsidRPr="00334017">
        <w:rPr>
          <w:rFonts w:eastAsia="Calibri"/>
          <w:szCs w:val="22"/>
          <w:lang w:eastAsia="de-DE" w:bidi="de-DE"/>
        </w:rPr>
        <w:t xml:space="preserve"> desselben Gesetzbuches erwähnten Steuerermäßigung beantragen, müssen folgende Unterlagen zur Verfügung des Föderalen Öffentlichen Dienstes Finanzen bereithalten:</w:t>
      </w:r>
    </w:p>
    <w:p w14:paraId="5A469F06" w14:textId="77777777" w:rsidR="005A5BD5" w:rsidRPr="00334017" w:rsidRDefault="005A5BD5" w:rsidP="00FB3E9E">
      <w:pPr>
        <w:jc w:val="both"/>
        <w:rPr>
          <w:rFonts w:eastAsia="Calibri"/>
          <w:szCs w:val="22"/>
          <w:lang w:eastAsia="de-DE" w:bidi="de-DE"/>
        </w:rPr>
      </w:pPr>
    </w:p>
    <w:p w14:paraId="624F86B0"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Rechnung in Bezug auf den Kauf des Fahrzeugs, für das die Steuerermäßigung beantragt wird,</w:t>
      </w:r>
    </w:p>
    <w:p w14:paraId="1FEF0227" w14:textId="77777777" w:rsidR="005A5BD5" w:rsidRPr="00334017" w:rsidRDefault="005A5BD5" w:rsidP="00FB3E9E">
      <w:pPr>
        <w:jc w:val="both"/>
        <w:rPr>
          <w:rFonts w:eastAsia="Calibri"/>
          <w:szCs w:val="22"/>
          <w:lang w:eastAsia="de-DE" w:bidi="de-DE"/>
        </w:rPr>
      </w:pPr>
    </w:p>
    <w:p w14:paraId="2F326172"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Nachweis der Zahlung der auf dieser Rechnung angegebenen Summe.]</w:t>
      </w:r>
    </w:p>
    <w:p w14:paraId="3AD10CA2" w14:textId="77777777" w:rsidR="006E0D53" w:rsidRDefault="006E0D53" w:rsidP="00FB3E9E">
      <w:pPr>
        <w:jc w:val="center"/>
        <w:rPr>
          <w:rFonts w:eastAsia="Calibri"/>
          <w:szCs w:val="22"/>
          <w:lang w:eastAsia="de-DE" w:bidi="de-DE"/>
        </w:rPr>
      </w:pPr>
    </w:p>
    <w:p w14:paraId="00DE81DD" w14:textId="77777777" w:rsidR="006E0D53" w:rsidRDefault="006E0D53" w:rsidP="004C2C7D">
      <w:pPr>
        <w:tabs>
          <w:tab w:val="left" w:pos="960"/>
        </w:tabs>
        <w:jc w:val="center"/>
        <w:rPr>
          <w:rFonts w:eastAsia="Calibri"/>
          <w:szCs w:val="22"/>
          <w:lang w:eastAsia="de-DE" w:bidi="de-DE"/>
        </w:rPr>
      </w:pPr>
    </w:p>
    <w:p w14:paraId="38D462CB" w14:textId="77777777" w:rsidR="00FF3D75" w:rsidRDefault="00FF3D75">
      <w:pPr>
        <w:rPr>
          <w:rFonts w:eastAsia="Calibri"/>
          <w:szCs w:val="22"/>
          <w:lang w:eastAsia="de-DE" w:bidi="de-DE"/>
        </w:rPr>
      </w:pPr>
      <w:r>
        <w:rPr>
          <w:rFonts w:eastAsia="Calibri"/>
          <w:szCs w:val="22"/>
          <w:lang w:eastAsia="de-DE" w:bidi="de-DE"/>
        </w:rPr>
        <w:br w:type="page"/>
      </w:r>
    </w:p>
    <w:p w14:paraId="7328BB0C" w14:textId="250B2D44" w:rsidR="005A5BD5" w:rsidRPr="00334017" w:rsidRDefault="005A5BD5" w:rsidP="004C2C7D">
      <w:pPr>
        <w:tabs>
          <w:tab w:val="left" w:pos="960"/>
        </w:tabs>
        <w:jc w:val="center"/>
        <w:rPr>
          <w:rFonts w:eastAsia="Calibri"/>
          <w:szCs w:val="22"/>
          <w:lang w:eastAsia="de-DE" w:bidi="de-DE"/>
        </w:rPr>
      </w:pPr>
      <w:r w:rsidRPr="00334017">
        <w:rPr>
          <w:rFonts w:eastAsia="Calibri"/>
          <w:szCs w:val="22"/>
          <w:lang w:eastAsia="de-DE" w:bidi="de-DE"/>
        </w:rPr>
        <w:lastRenderedPageBreak/>
        <w:t>[</w:t>
      </w:r>
      <w:r w:rsidRPr="00334017">
        <w:rPr>
          <w:rFonts w:eastAsia="Calibri"/>
          <w:i/>
          <w:szCs w:val="22"/>
          <w:lang w:eastAsia="de-DE" w:bidi="de-DE"/>
        </w:rPr>
        <w:t>Abschnitt 25decies</w:t>
      </w:r>
      <w:r w:rsidRPr="00334017">
        <w:rPr>
          <w:rFonts w:eastAsia="Calibri"/>
          <w:szCs w:val="22"/>
          <w:lang w:eastAsia="de-DE" w:bidi="de-DE"/>
        </w:rPr>
        <w:t> - Ermäßigung für Ausgaben für die Renovierung von Wohnungen, die zu einem günstigen Mietpreis vermietet werden</w:t>
      </w:r>
    </w:p>
    <w:p w14:paraId="7C9CAB4D" w14:textId="77777777" w:rsidR="005A5BD5" w:rsidRPr="00334017" w:rsidRDefault="005A5BD5" w:rsidP="004C2C7D">
      <w:pPr>
        <w:tabs>
          <w:tab w:val="left" w:pos="960"/>
        </w:tabs>
        <w:jc w:val="center"/>
        <w:rPr>
          <w:rFonts w:eastAsia="Calibri"/>
          <w:szCs w:val="22"/>
          <w:lang w:eastAsia="de-DE" w:bidi="de-DE"/>
        </w:rPr>
      </w:pPr>
    </w:p>
    <w:p w14:paraId="21649C97" w14:textId="77777777" w:rsidR="005A5BD5" w:rsidRPr="00334017" w:rsidRDefault="005A5BD5" w:rsidP="004C2C7D">
      <w:pPr>
        <w:tabs>
          <w:tab w:val="left" w:pos="960"/>
        </w:tabs>
        <w:jc w:val="center"/>
        <w:rPr>
          <w:rFonts w:eastAsia="Calibri"/>
          <w:szCs w:val="22"/>
          <w:lang w:eastAsia="de-DE" w:bidi="de-DE"/>
        </w:rPr>
      </w:pPr>
      <w:r w:rsidRPr="00334017">
        <w:rPr>
          <w:rFonts w:eastAsia="Calibri"/>
          <w:szCs w:val="22"/>
          <w:lang w:eastAsia="de-DE" w:bidi="de-DE"/>
        </w:rPr>
        <w:t>(Einkommensteuergesetzbuch 1992, Artikel 145</w:t>
      </w:r>
      <w:r w:rsidRPr="00334017">
        <w:rPr>
          <w:rFonts w:eastAsia="Calibri"/>
          <w:szCs w:val="22"/>
          <w:vertAlign w:val="superscript"/>
          <w:lang w:eastAsia="de-DE" w:bidi="de-DE"/>
        </w:rPr>
        <w:t>30</w:t>
      </w:r>
      <w:r w:rsidRPr="00334017">
        <w:rPr>
          <w:rFonts w:eastAsia="Calibri"/>
          <w:szCs w:val="22"/>
          <w:lang w:eastAsia="de-DE" w:bidi="de-DE"/>
        </w:rPr>
        <w:t>)</w:t>
      </w:r>
    </w:p>
    <w:p w14:paraId="2BD80AD3" w14:textId="77777777" w:rsidR="005A5BD5" w:rsidRPr="00334017" w:rsidRDefault="005A5BD5" w:rsidP="004C2C7D">
      <w:pPr>
        <w:tabs>
          <w:tab w:val="left" w:pos="960"/>
        </w:tabs>
        <w:jc w:val="both"/>
        <w:rPr>
          <w:rFonts w:eastAsia="Calibri"/>
          <w:szCs w:val="22"/>
          <w:lang w:eastAsia="de-DE" w:bidi="de-DE"/>
        </w:rPr>
      </w:pPr>
    </w:p>
    <w:p w14:paraId="1A23FC73"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[Abschnitt 25decies mit Art. 63</w:t>
      </w:r>
      <w:r w:rsidRPr="00334017">
        <w:rPr>
          <w:rFonts w:eastAsia="Calibri"/>
          <w:i/>
          <w:szCs w:val="22"/>
          <w:vertAlign w:val="superscript"/>
          <w:lang w:eastAsia="de-DE" w:bidi="de-DE"/>
        </w:rPr>
        <w:t>14</w:t>
      </w:r>
      <w:r w:rsidRPr="00334017">
        <w:rPr>
          <w:rFonts w:eastAsia="Calibri"/>
          <w:i/>
          <w:szCs w:val="22"/>
          <w:lang w:eastAsia="de-DE" w:bidi="de-DE"/>
        </w:rPr>
        <w:t xml:space="preserve"> eingefügt durch Art. 1 des K.E. vom 25. Februar 2007 (III) (B.S. vom 12. März 2007)]</w:t>
      </w:r>
    </w:p>
    <w:p w14:paraId="7198794D" w14:textId="77777777" w:rsidR="005A5BD5" w:rsidRPr="00334017" w:rsidRDefault="005A5BD5" w:rsidP="004C2C7D">
      <w:pPr>
        <w:tabs>
          <w:tab w:val="left" w:pos="960"/>
        </w:tabs>
        <w:jc w:val="both"/>
        <w:rPr>
          <w:rFonts w:eastAsia="Calibri"/>
          <w:i/>
          <w:szCs w:val="22"/>
          <w:lang w:eastAsia="de-DE" w:bidi="de-DE"/>
        </w:rPr>
      </w:pPr>
    </w:p>
    <w:p w14:paraId="017281A7" w14:textId="77777777" w:rsidR="005A5BD5" w:rsidRPr="00334017" w:rsidRDefault="005A5BD5" w:rsidP="00FB3E9E">
      <w:pPr>
        <w:jc w:val="both"/>
        <w:rPr>
          <w:rFonts w:eastAsia="Calibri"/>
          <w:szCs w:val="22"/>
          <w:lang w:eastAsia="de-DE" w:bidi="de-DE"/>
        </w:rPr>
      </w:pPr>
    </w:p>
    <w:p w14:paraId="20E48EC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14</w:t>
      </w:r>
      <w:r w:rsidRPr="00334017">
        <w:rPr>
          <w:rFonts w:eastAsia="Calibri"/>
          <w:szCs w:val="22"/>
          <w:lang w:eastAsia="de-DE" w:bidi="de-DE"/>
        </w:rPr>
        <w:t> - [§ 1] - Leistungen, die den in Artikel 145</w:t>
      </w:r>
      <w:r w:rsidRPr="00334017">
        <w:rPr>
          <w:rFonts w:eastAsia="Calibri"/>
          <w:szCs w:val="22"/>
          <w:vertAlign w:val="superscript"/>
          <w:lang w:eastAsia="de-DE" w:bidi="de-DE"/>
        </w:rPr>
        <w:t>30</w:t>
      </w:r>
      <w:r w:rsidRPr="00334017">
        <w:rPr>
          <w:rFonts w:eastAsia="Calibri"/>
          <w:szCs w:val="22"/>
          <w:lang w:eastAsia="de-DE" w:bidi="de-DE"/>
        </w:rPr>
        <w:t xml:space="preserve"> des Einkommensteuergesetz</w:t>
      </w:r>
      <w:r w:rsidRPr="00334017">
        <w:rPr>
          <w:rFonts w:eastAsia="Calibri"/>
          <w:szCs w:val="22"/>
          <w:lang w:eastAsia="de-DE" w:bidi="de-DE"/>
        </w:rPr>
        <w:softHyphen/>
        <w:t>buches 1992 erwähnten Ausgaben zugrunde liegen, sind Leistungen, die in Tabelle A Rubrik XXXI der Anlage zum Königlichen Erlass Nr. 20 vom 20. Juli 1970 zur Festlegung der Mehrwertsteuersätze und zur Einteilung der Güter und Dienstleistungen nach diesen Sätzen erwähnt sind.</w:t>
      </w:r>
    </w:p>
    <w:p w14:paraId="7B454698"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p>
    <w:p w14:paraId="2BB241AC"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2 - Der [</w:t>
      </w:r>
      <w:r w:rsidR="009251F9">
        <w:rPr>
          <w:rFonts w:eastAsia="Calibri"/>
          <w:szCs w:val="22"/>
          <w:lang w:eastAsia="de-DE" w:bidi="de-DE"/>
        </w:rPr>
        <w:t>…</w:t>
      </w:r>
      <w:r w:rsidRPr="00334017">
        <w:rPr>
          <w:rFonts w:eastAsia="Calibri"/>
          <w:szCs w:val="22"/>
          <w:lang w:eastAsia="de-DE" w:bidi="de-DE"/>
        </w:rPr>
        <w:t>] Unternehmer, der die Arbeiten ausführt, muss eine Rechnung ausstellen, in der folgende Angaben enthalten sind:</w:t>
      </w:r>
    </w:p>
    <w:p w14:paraId="708E3CDF" w14:textId="77777777" w:rsidR="005A5BD5" w:rsidRPr="00334017" w:rsidRDefault="005A5BD5" w:rsidP="00FB3E9E">
      <w:pPr>
        <w:jc w:val="both"/>
        <w:rPr>
          <w:rFonts w:eastAsia="Calibri"/>
          <w:szCs w:val="22"/>
          <w:lang w:eastAsia="de-DE" w:bidi="de-DE"/>
        </w:rPr>
      </w:pPr>
    </w:p>
    <w:p w14:paraId="1BC22B9A"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Adresse der Wohnung, in der die Arbeiten ausgeführt w</w:t>
      </w:r>
      <w:r>
        <w:rPr>
          <w:rFonts w:eastAsia="Calibri"/>
          <w:szCs w:val="22"/>
          <w:lang w:eastAsia="de-DE" w:bidi="de-DE"/>
        </w:rPr>
        <w:t>u</w:t>
      </w:r>
      <w:r w:rsidRPr="00334017">
        <w:rPr>
          <w:rFonts w:eastAsia="Calibri"/>
          <w:szCs w:val="22"/>
          <w:lang w:eastAsia="de-DE" w:bidi="de-DE"/>
        </w:rPr>
        <w:t>rden,</w:t>
      </w:r>
    </w:p>
    <w:p w14:paraId="030F7EB4" w14:textId="77777777" w:rsidR="005A5BD5" w:rsidRPr="00334017" w:rsidRDefault="005A5BD5" w:rsidP="00FB3E9E">
      <w:pPr>
        <w:jc w:val="both"/>
        <w:rPr>
          <w:rFonts w:eastAsia="Calibri"/>
          <w:szCs w:val="22"/>
          <w:lang w:eastAsia="de-DE" w:bidi="de-DE"/>
        </w:rPr>
      </w:pPr>
    </w:p>
    <w:p w14:paraId="047C6502"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Erklärung, die auf einer Bescheinigung des Kunden basiert, dass die Wohnung zum Zeitpunkt des Beginns der Arbeiten seit mindestens fünfzehn Jahren in Gebrauch genommen ist,</w:t>
      </w:r>
    </w:p>
    <w:p w14:paraId="333BB840" w14:textId="77777777" w:rsidR="005A5BD5" w:rsidRPr="00334017" w:rsidRDefault="005A5BD5" w:rsidP="00FB3E9E">
      <w:pPr>
        <w:jc w:val="both"/>
        <w:rPr>
          <w:rFonts w:eastAsia="Calibri"/>
          <w:szCs w:val="22"/>
          <w:lang w:eastAsia="de-DE" w:bidi="de-DE"/>
        </w:rPr>
      </w:pPr>
    </w:p>
    <w:p w14:paraId="15183467"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c)</w:t>
      </w:r>
      <w:r w:rsidRPr="00334017">
        <w:rPr>
          <w:rFonts w:eastAsia="Calibri"/>
          <w:szCs w:val="22"/>
          <w:lang w:eastAsia="de-DE" w:bidi="de-DE"/>
        </w:rPr>
        <w:t xml:space="preserve"> Bescheinigung, dass die ausgeführten Arbeiten in den Anwendungsbereich von § 1 fallen, durch Angabe des Vermerks "Ausführung von Arbeiten wie in Artikel 63</w:t>
      </w:r>
      <w:r w:rsidRPr="00334017">
        <w:rPr>
          <w:rFonts w:eastAsia="Calibri"/>
          <w:szCs w:val="22"/>
          <w:vertAlign w:val="superscript"/>
          <w:lang w:eastAsia="de-DE" w:bidi="de-DE"/>
        </w:rPr>
        <w:t>14</w:t>
      </w:r>
      <w:r w:rsidRPr="00334017">
        <w:rPr>
          <w:rFonts w:eastAsia="Calibri"/>
          <w:szCs w:val="22"/>
          <w:lang w:eastAsia="de-DE" w:bidi="de-DE"/>
        </w:rPr>
        <w:t xml:space="preserve"> des KE/E</w:t>
      </w:r>
      <w:r w:rsidR="009251F9" w:rsidRPr="00334017">
        <w:rPr>
          <w:rFonts w:eastAsia="Calibri"/>
          <w:szCs w:val="22"/>
          <w:lang w:eastAsia="de-DE" w:bidi="de-DE"/>
        </w:rPr>
        <w:t>s</w:t>
      </w:r>
      <w:r w:rsidRPr="00334017">
        <w:rPr>
          <w:rFonts w:eastAsia="Calibri"/>
          <w:szCs w:val="22"/>
          <w:lang w:eastAsia="de-DE" w:bidi="de-DE"/>
        </w:rPr>
        <w:t>tGB 92 erwähnt" und gegebenenfalls Aufschlüsselung der Kosten der Arbeiten entsprechend ihrer Art zwischen den in § 1 erwähnten Arbeiten und anderen Arbeiten.]</w:t>
      </w:r>
    </w:p>
    <w:p w14:paraId="5C9F10BF" w14:textId="77777777" w:rsidR="005A5BD5" w:rsidRPr="00334017" w:rsidRDefault="005A5BD5" w:rsidP="00FB3E9E">
      <w:pPr>
        <w:jc w:val="both"/>
        <w:rPr>
          <w:rFonts w:eastAsia="Calibri"/>
          <w:szCs w:val="22"/>
          <w:lang w:eastAsia="de-DE" w:bidi="de-DE"/>
        </w:rPr>
      </w:pPr>
    </w:p>
    <w:p w14:paraId="5D524FDB"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3 - Steuerpflichtige, die die Geltendmachung von Artikel 145</w:t>
      </w:r>
      <w:r w:rsidRPr="00334017">
        <w:rPr>
          <w:rFonts w:eastAsia="Calibri"/>
          <w:szCs w:val="22"/>
          <w:vertAlign w:val="superscript"/>
          <w:lang w:eastAsia="de-DE" w:bidi="de-DE"/>
        </w:rPr>
        <w:t>30</w:t>
      </w:r>
      <w:r w:rsidRPr="00334017">
        <w:rPr>
          <w:rFonts w:eastAsia="Calibri"/>
          <w:szCs w:val="22"/>
          <w:lang w:eastAsia="de-DE" w:bidi="de-DE"/>
        </w:rPr>
        <w:t xml:space="preserve"> des vorerwähnten Gesetzbuches beantragen, müssen folgende Unterlagen zur Verfügung des Föderalen Öffentlichen Dienstes Finanzen bereithalten:</w:t>
      </w:r>
    </w:p>
    <w:p w14:paraId="39CE6C43" w14:textId="77777777" w:rsidR="005A5BD5" w:rsidRPr="00334017" w:rsidRDefault="005A5BD5" w:rsidP="00FB3E9E">
      <w:pPr>
        <w:jc w:val="both"/>
        <w:rPr>
          <w:rFonts w:eastAsia="Calibri"/>
          <w:szCs w:val="22"/>
          <w:lang w:eastAsia="de-DE" w:bidi="de-DE"/>
        </w:rPr>
      </w:pPr>
    </w:p>
    <w:p w14:paraId="3F1C08CD"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Rechnungen in Bezug auf Leistungen, die den in Artikel 145</w:t>
      </w:r>
      <w:r w:rsidRPr="00334017">
        <w:rPr>
          <w:rFonts w:eastAsia="Calibri"/>
          <w:szCs w:val="22"/>
          <w:vertAlign w:val="superscript"/>
          <w:lang w:eastAsia="de-DE" w:bidi="de-DE"/>
        </w:rPr>
        <w:t>30</w:t>
      </w:r>
      <w:r w:rsidRPr="00334017">
        <w:rPr>
          <w:rFonts w:eastAsia="Calibri"/>
          <w:szCs w:val="22"/>
          <w:lang w:eastAsia="de-DE" w:bidi="de-DE"/>
        </w:rPr>
        <w:t xml:space="preserve"> desselben Gesetzbuches erwähnten Ausgaben zugrunde liegen,</w:t>
      </w:r>
    </w:p>
    <w:p w14:paraId="318A7EBC" w14:textId="77777777" w:rsidR="005A5BD5" w:rsidRPr="00334017" w:rsidRDefault="005A5BD5" w:rsidP="00FB3E9E">
      <w:pPr>
        <w:jc w:val="both"/>
        <w:rPr>
          <w:rFonts w:eastAsia="Calibri"/>
          <w:szCs w:val="22"/>
          <w:lang w:eastAsia="de-DE" w:bidi="de-DE"/>
        </w:rPr>
      </w:pPr>
    </w:p>
    <w:p w14:paraId="292CB91B"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Nachweis der Zahlung der auf diesen Rechnungen angegebenen Summen,</w:t>
      </w:r>
    </w:p>
    <w:p w14:paraId="33C60D3D" w14:textId="77777777" w:rsidR="005A5BD5" w:rsidRPr="00334017" w:rsidRDefault="005A5BD5" w:rsidP="00FB3E9E">
      <w:pPr>
        <w:jc w:val="both"/>
        <w:rPr>
          <w:rFonts w:eastAsia="Calibri"/>
          <w:szCs w:val="22"/>
          <w:lang w:eastAsia="de-DE" w:bidi="de-DE"/>
        </w:rPr>
      </w:pPr>
    </w:p>
    <w:p w14:paraId="4FF69B20"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[Abschrift des Mietvertrags von neun Jahren oder Abschrift des Verwaltungs</w:t>
      </w:r>
      <w:r w:rsidRPr="00334017">
        <w:rPr>
          <w:rFonts w:eastAsia="Calibri"/>
          <w:szCs w:val="22"/>
          <w:lang w:eastAsia="de-DE" w:bidi="de-DE"/>
        </w:rPr>
        <w:softHyphen/>
        <w:t>mandats von neun Jahren zwischen dem Steuerpflichtigen und der Agentur für Sozial</w:t>
      </w:r>
      <w:r w:rsidRPr="00334017">
        <w:rPr>
          <w:rFonts w:eastAsia="Calibri"/>
          <w:szCs w:val="22"/>
          <w:lang w:eastAsia="de-DE" w:bidi="de-DE"/>
        </w:rPr>
        <w:softHyphen/>
        <w:t>wohnungen.]]]</w:t>
      </w:r>
    </w:p>
    <w:p w14:paraId="42A9FCC8" w14:textId="77777777" w:rsidR="005A5BD5" w:rsidRPr="00334017" w:rsidRDefault="005A5BD5" w:rsidP="00FB3E9E">
      <w:pPr>
        <w:jc w:val="both"/>
        <w:rPr>
          <w:rFonts w:eastAsia="Calibri"/>
          <w:szCs w:val="22"/>
          <w:lang w:eastAsia="de-DE" w:bidi="de-DE"/>
        </w:rPr>
      </w:pPr>
    </w:p>
    <w:p w14:paraId="0E535C8D" w14:textId="77777777" w:rsidR="005A5BD5" w:rsidRPr="00334017" w:rsidRDefault="005A5BD5" w:rsidP="00FB3E9E">
      <w:pPr>
        <w:jc w:val="both"/>
        <w:rPr>
          <w:rFonts w:eastAsia="Calibri"/>
          <w:i/>
          <w:szCs w:val="22"/>
          <w:lang w:eastAsia="de-DE" w:bidi="de-DE"/>
        </w:rPr>
      </w:pPr>
      <w:r w:rsidRPr="00334017">
        <w:rPr>
          <w:rFonts w:eastAsia="Calibri"/>
          <w:i/>
          <w:szCs w:val="22"/>
          <w:lang w:eastAsia="de-DE" w:bidi="de-DE"/>
        </w:rPr>
        <w:t>[Art. 63</w:t>
      </w:r>
      <w:r w:rsidRPr="00334017">
        <w:rPr>
          <w:rFonts w:eastAsia="Calibri"/>
          <w:i/>
          <w:szCs w:val="22"/>
          <w:vertAlign w:val="superscript"/>
          <w:lang w:eastAsia="de-DE" w:bidi="de-DE"/>
        </w:rPr>
        <w:t>14</w:t>
      </w:r>
      <w:r w:rsidRPr="00334017">
        <w:rPr>
          <w:rFonts w:eastAsia="Calibri"/>
          <w:i/>
          <w:szCs w:val="22"/>
          <w:lang w:eastAsia="de-DE" w:bidi="de-DE"/>
        </w:rPr>
        <w:t xml:space="preserve"> § 1 (früherer einziger Absatz) nummeriert durch Art. 1 des K.E. vom 28. Februar 2007 (B.S. vom 12. März 2007); § 2 eingefügt durch Art. 1 des K.E. vom 28. Februar 2007 (B.S. vom 12. März 2007); § 2 einziger Absatz einleitende Bestimmung abgeändert durch Art. 4 des K.E. vom 15. Juni 2012 (B.S. vom 2. Juli 2012); § 3 eingefügt durch Art. 1 des K.E. vom 28. Februar 2007 (B.S. vom 12. März 2007); § 3 einziger Absatz dritter Gedankenstrich ersetzt durch Art. 1 des K.E. vom 12. Juni 2009 (B.S. vom 18. Juni 2009)]</w:t>
      </w:r>
    </w:p>
    <w:p w14:paraId="2F12432C" w14:textId="77777777" w:rsidR="006E0D53" w:rsidRDefault="006E0D53" w:rsidP="00FB3E9E">
      <w:pPr>
        <w:jc w:val="center"/>
        <w:rPr>
          <w:rFonts w:eastAsia="Calibri"/>
          <w:szCs w:val="22"/>
          <w:lang w:eastAsia="de-DE" w:bidi="de-DE"/>
        </w:rPr>
      </w:pPr>
    </w:p>
    <w:p w14:paraId="6AA7C06E" w14:textId="77777777" w:rsidR="006E0D53" w:rsidRDefault="006E0D53" w:rsidP="00FB3E9E">
      <w:pPr>
        <w:jc w:val="center"/>
        <w:rPr>
          <w:rFonts w:eastAsia="Calibri"/>
          <w:szCs w:val="22"/>
          <w:lang w:eastAsia="de-DE" w:bidi="de-DE"/>
        </w:rPr>
      </w:pPr>
    </w:p>
    <w:p w14:paraId="408E26CF" w14:textId="77777777" w:rsidR="005A5BD5" w:rsidRPr="00334017" w:rsidRDefault="005A5BD5" w:rsidP="00FB3E9E">
      <w:pPr>
        <w:jc w:val="center"/>
        <w:rPr>
          <w:rFonts w:eastAsia="Calibri"/>
          <w:szCs w:val="22"/>
          <w:lang w:eastAsia="de-DE" w:bidi="de-DE"/>
        </w:rPr>
      </w:pPr>
      <w:r w:rsidRPr="00334017">
        <w:rPr>
          <w:rFonts w:eastAsia="Calibri"/>
          <w:szCs w:val="22"/>
          <w:lang w:eastAsia="de-DE" w:bidi="de-DE"/>
        </w:rPr>
        <w:lastRenderedPageBreak/>
        <w:t>[</w:t>
      </w:r>
      <w:r w:rsidRPr="00334017">
        <w:rPr>
          <w:rFonts w:eastAsia="Calibri"/>
          <w:i/>
          <w:szCs w:val="22"/>
          <w:lang w:eastAsia="de-DE" w:bidi="de-DE"/>
        </w:rPr>
        <w:t>Abschnitt 25undecies</w:t>
      </w:r>
      <w:r w:rsidRPr="00334017">
        <w:rPr>
          <w:rFonts w:eastAsia="Calibri"/>
          <w:szCs w:val="22"/>
          <w:lang w:eastAsia="de-DE" w:bidi="de-DE"/>
        </w:rPr>
        <w:t> - Ermäßigung für Ausgaben für die Absicherung von Wohnungen gegen Einbruch oder Brand</w:t>
      </w:r>
    </w:p>
    <w:p w14:paraId="2873ADCA" w14:textId="77777777" w:rsidR="005A5BD5" w:rsidRPr="00334017" w:rsidRDefault="005A5BD5" w:rsidP="00FB3E9E">
      <w:pPr>
        <w:jc w:val="center"/>
        <w:rPr>
          <w:rFonts w:eastAsia="Calibri"/>
          <w:szCs w:val="22"/>
          <w:lang w:eastAsia="de-DE" w:bidi="de-DE"/>
        </w:rPr>
      </w:pPr>
    </w:p>
    <w:p w14:paraId="78DEE902" w14:textId="77777777" w:rsidR="005A5BD5" w:rsidRPr="00334017" w:rsidRDefault="005A5BD5" w:rsidP="00FB3E9E">
      <w:pPr>
        <w:jc w:val="center"/>
        <w:rPr>
          <w:rFonts w:eastAsia="Calibri"/>
          <w:szCs w:val="22"/>
          <w:lang w:eastAsia="de-DE" w:bidi="de-DE"/>
        </w:rPr>
      </w:pPr>
      <w:r w:rsidRPr="00334017">
        <w:rPr>
          <w:rFonts w:eastAsia="Calibri"/>
          <w:szCs w:val="22"/>
          <w:lang w:eastAsia="de-DE" w:bidi="de-DE"/>
        </w:rPr>
        <w:t>(Einkommensteuergesetzbuch 1992, Artikel 145</w:t>
      </w:r>
      <w:r w:rsidRPr="00334017">
        <w:rPr>
          <w:rFonts w:eastAsia="Calibri"/>
          <w:szCs w:val="22"/>
          <w:vertAlign w:val="superscript"/>
          <w:lang w:eastAsia="de-DE" w:bidi="de-DE"/>
        </w:rPr>
        <w:t>31</w:t>
      </w:r>
      <w:r w:rsidRPr="00334017">
        <w:rPr>
          <w:rFonts w:eastAsia="Calibri"/>
          <w:szCs w:val="22"/>
          <w:lang w:eastAsia="de-DE" w:bidi="de-DE"/>
        </w:rPr>
        <w:t>)</w:t>
      </w:r>
    </w:p>
    <w:p w14:paraId="1A9DEEA2" w14:textId="77777777" w:rsidR="005A5BD5" w:rsidRPr="00334017" w:rsidRDefault="005A5BD5" w:rsidP="00FB3E9E">
      <w:pPr>
        <w:jc w:val="both"/>
        <w:rPr>
          <w:rFonts w:eastAsia="Calibri"/>
          <w:szCs w:val="22"/>
          <w:lang w:eastAsia="de-DE" w:bidi="de-DE"/>
        </w:rPr>
      </w:pPr>
    </w:p>
    <w:p w14:paraId="37D88EE6" w14:textId="77777777" w:rsidR="005A5BD5" w:rsidRPr="00334017" w:rsidRDefault="005A5BD5" w:rsidP="00FB3E9E">
      <w:pPr>
        <w:jc w:val="both"/>
        <w:rPr>
          <w:rFonts w:eastAsia="Calibri"/>
          <w:i/>
          <w:szCs w:val="22"/>
          <w:lang w:eastAsia="de-DE" w:bidi="de-DE"/>
        </w:rPr>
      </w:pPr>
      <w:r w:rsidRPr="00334017">
        <w:rPr>
          <w:rFonts w:eastAsia="Calibri"/>
          <w:i/>
          <w:szCs w:val="22"/>
          <w:lang w:eastAsia="de-DE" w:bidi="de-DE"/>
        </w:rPr>
        <w:t>[Abschnitt 25undecies mit den Artikeln 63</w:t>
      </w:r>
      <w:r w:rsidRPr="00334017">
        <w:rPr>
          <w:rFonts w:eastAsia="Calibri"/>
          <w:i/>
          <w:szCs w:val="22"/>
          <w:vertAlign w:val="superscript"/>
          <w:lang w:eastAsia="de-DE" w:bidi="de-DE"/>
        </w:rPr>
        <w:t>15</w:t>
      </w:r>
      <w:r w:rsidRPr="00334017">
        <w:rPr>
          <w:rFonts w:eastAsia="Calibri"/>
          <w:i/>
          <w:szCs w:val="22"/>
          <w:lang w:eastAsia="de-DE" w:bidi="de-DE"/>
        </w:rPr>
        <w:t xml:space="preserve"> bis 63</w:t>
      </w:r>
      <w:r w:rsidRPr="00334017">
        <w:rPr>
          <w:rFonts w:eastAsia="Calibri"/>
          <w:i/>
          <w:szCs w:val="22"/>
          <w:vertAlign w:val="superscript"/>
          <w:lang w:eastAsia="de-DE" w:bidi="de-DE"/>
        </w:rPr>
        <w:t>18</w:t>
      </w:r>
      <w:r w:rsidRPr="00334017">
        <w:rPr>
          <w:rFonts w:eastAsia="Calibri"/>
          <w:i/>
          <w:szCs w:val="22"/>
          <w:lang w:eastAsia="de-DE" w:bidi="de-DE"/>
        </w:rPr>
        <w:t xml:space="preserve"> eingefügt durch Art. 1 des K.E. vom 25. Februar 2007 (II) (B.S. vom 2. März 2007)]</w:t>
      </w:r>
    </w:p>
    <w:p w14:paraId="09EEE36D" w14:textId="77777777" w:rsidR="005A5BD5" w:rsidRPr="00334017" w:rsidRDefault="005A5BD5" w:rsidP="00FB3E9E">
      <w:pPr>
        <w:jc w:val="both"/>
        <w:rPr>
          <w:rFonts w:eastAsia="Calibri"/>
          <w:i/>
          <w:szCs w:val="22"/>
          <w:lang w:eastAsia="de-DE" w:bidi="de-DE"/>
        </w:rPr>
      </w:pPr>
    </w:p>
    <w:p w14:paraId="2C978638" w14:textId="77777777" w:rsidR="005A5BD5" w:rsidRPr="00334017" w:rsidRDefault="005A5BD5" w:rsidP="00FB3E9E">
      <w:pPr>
        <w:jc w:val="both"/>
        <w:rPr>
          <w:rFonts w:eastAsia="Calibri"/>
          <w:i/>
          <w:szCs w:val="22"/>
          <w:lang w:eastAsia="de-DE" w:bidi="de-DE"/>
        </w:rPr>
      </w:pPr>
    </w:p>
    <w:p w14:paraId="4C04DFF8"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15</w:t>
      </w:r>
      <w:r w:rsidRPr="00334017">
        <w:rPr>
          <w:rFonts w:eastAsia="Calibri"/>
          <w:szCs w:val="22"/>
          <w:lang w:eastAsia="de-DE" w:bidi="de-DE"/>
        </w:rPr>
        <w:t> - Ausgaben für die Absicherung von Wohnungen gegen Einbruch werden für die Steuerermäßigung nur berücksichtigt, wenn sie in einer der folgenden Kategorien aufgenommen sind:</w:t>
      </w:r>
    </w:p>
    <w:p w14:paraId="72110DD3" w14:textId="77777777" w:rsidR="005A5BD5" w:rsidRPr="00334017" w:rsidRDefault="005A5BD5" w:rsidP="00FB3E9E">
      <w:pPr>
        <w:jc w:val="both"/>
        <w:rPr>
          <w:rFonts w:eastAsia="Calibri"/>
          <w:szCs w:val="22"/>
          <w:lang w:eastAsia="de-DE" w:bidi="de-DE"/>
        </w:rPr>
      </w:pPr>
    </w:p>
    <w:p w14:paraId="134C449A"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Ausgaben für Lieferung und Montage folgender einbruchhemmender Fassaden</w:t>
      </w:r>
      <w:r w:rsidRPr="00334017">
        <w:rPr>
          <w:rFonts w:eastAsia="Calibri"/>
          <w:szCs w:val="22"/>
          <w:lang w:eastAsia="de-DE" w:bidi="de-DE"/>
        </w:rPr>
        <w:softHyphen/>
        <w:t>elemente:</w:t>
      </w:r>
    </w:p>
    <w:p w14:paraId="6FF07F9D" w14:textId="77777777" w:rsidR="005A5BD5" w:rsidRPr="00334017" w:rsidRDefault="005A5BD5" w:rsidP="00FB3E9E">
      <w:pPr>
        <w:jc w:val="both"/>
        <w:rPr>
          <w:rFonts w:eastAsia="Calibri"/>
          <w:szCs w:val="22"/>
          <w:lang w:eastAsia="de-DE" w:bidi="de-DE"/>
        </w:rPr>
      </w:pPr>
    </w:p>
    <w:p w14:paraId="785CA8A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1. spezifische einbruchhemmende Verglasung,</w:t>
      </w:r>
    </w:p>
    <w:p w14:paraId="15BF5AB3" w14:textId="77777777" w:rsidR="005A5BD5" w:rsidRPr="00334017" w:rsidRDefault="005A5BD5" w:rsidP="00FB3E9E">
      <w:pPr>
        <w:jc w:val="both"/>
        <w:rPr>
          <w:rFonts w:eastAsia="Calibri"/>
          <w:szCs w:val="22"/>
          <w:lang w:eastAsia="de-DE" w:bidi="de-DE"/>
        </w:rPr>
      </w:pPr>
    </w:p>
    <w:p w14:paraId="69074FE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2. Absicherungssysteme für Türen, Fenster, Läden, Garagentore, Lichtkuppeln, Dachfenster, Kellerlöcher und Absperrungen wie Sicherheitsschlösser, Schlosssicherungs</w:t>
      </w:r>
      <w:r w:rsidRPr="00334017">
        <w:rPr>
          <w:rFonts w:eastAsia="Calibri"/>
          <w:szCs w:val="22"/>
          <w:lang w:eastAsia="de-DE" w:bidi="de-DE"/>
        </w:rPr>
        <w:softHyphen/>
        <w:t>systeme, Sicherheitsriegel und Türketten,</w:t>
      </w:r>
    </w:p>
    <w:p w14:paraId="5890562F" w14:textId="77777777" w:rsidR="005A5BD5" w:rsidRPr="00334017" w:rsidRDefault="005A5BD5" w:rsidP="00FB3E9E">
      <w:pPr>
        <w:jc w:val="both"/>
        <w:rPr>
          <w:rFonts w:eastAsia="Calibri"/>
          <w:szCs w:val="22"/>
          <w:lang w:eastAsia="de-DE" w:bidi="de-DE"/>
        </w:rPr>
      </w:pPr>
    </w:p>
    <w:p w14:paraId="3447350C"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3. gepanzerte Türen und Tore,</w:t>
      </w:r>
    </w:p>
    <w:p w14:paraId="2ACADD62" w14:textId="77777777" w:rsidR="005A5BD5" w:rsidRPr="00334017" w:rsidRDefault="005A5BD5" w:rsidP="00FB3E9E">
      <w:pPr>
        <w:jc w:val="both"/>
        <w:rPr>
          <w:rFonts w:eastAsia="Calibri"/>
          <w:szCs w:val="22"/>
          <w:lang w:eastAsia="de-DE" w:bidi="de-DE"/>
        </w:rPr>
      </w:pPr>
    </w:p>
    <w:p w14:paraId="439BD224"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Ausgaben für Lieferung und Montage von Alarmsystemen und Komponenten eines Alarmsystems wie in Artikel 1 § 4 des Gesetzes vom 10. April 1990 zur Regelung der privaten und besonderen Sicherheit erwähnt und für Kosten, die mit der Verwaltung von Alarm</w:t>
      </w:r>
      <w:r>
        <w:rPr>
          <w:rFonts w:eastAsia="Calibri"/>
          <w:szCs w:val="22"/>
          <w:lang w:eastAsia="de-DE" w:bidi="de-DE"/>
        </w:rPr>
        <w:t>meldungen</w:t>
      </w:r>
      <w:r w:rsidRPr="00334017">
        <w:rPr>
          <w:rFonts w:eastAsia="Calibri"/>
          <w:szCs w:val="22"/>
          <w:lang w:eastAsia="de-DE" w:bidi="de-DE"/>
        </w:rPr>
        <w:t xml:space="preserve"> durch eine im Rahmen des Gesetzes vom 10. April 1990 zur Regelung der privaten und besonderen Sicherheit genehmigte Alarmzentrale verbunden sind,</w:t>
      </w:r>
    </w:p>
    <w:p w14:paraId="4BD98B3D" w14:textId="77777777" w:rsidR="005A5BD5" w:rsidRPr="00334017" w:rsidRDefault="005A5BD5" w:rsidP="00FB3E9E">
      <w:pPr>
        <w:jc w:val="both"/>
        <w:rPr>
          <w:rFonts w:eastAsia="Calibri"/>
          <w:szCs w:val="22"/>
          <w:lang w:eastAsia="de-DE" w:bidi="de-DE"/>
        </w:rPr>
      </w:pPr>
    </w:p>
    <w:p w14:paraId="73BF8D08"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 xml:space="preserve">c) </w:t>
      </w:r>
      <w:r w:rsidRPr="00334017">
        <w:rPr>
          <w:rFonts w:eastAsia="Calibri"/>
          <w:szCs w:val="22"/>
          <w:lang w:eastAsia="de-DE" w:bidi="de-DE"/>
        </w:rPr>
        <w:t>Ausgaben für Lieferung und Montage von Kamerasystemen, die mit einem Speichersystem ausgerüstet sind.</w:t>
      </w:r>
    </w:p>
    <w:p w14:paraId="16925F00" w14:textId="77777777" w:rsidR="005A5BD5" w:rsidRPr="00334017" w:rsidRDefault="005A5BD5" w:rsidP="00FB3E9E">
      <w:pPr>
        <w:jc w:val="both"/>
        <w:rPr>
          <w:rFonts w:eastAsia="Calibri"/>
          <w:szCs w:val="22"/>
          <w:lang w:eastAsia="de-DE" w:bidi="de-DE"/>
        </w:rPr>
      </w:pPr>
    </w:p>
    <w:p w14:paraId="0853367B"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[Leistungen, die mit den in Absatz 1 angegebenen Ausgaben verbunden sind, müssen für den Steuerpflichtigen erbracht und ihm in Rechnung gestellt werden.]</w:t>
      </w:r>
    </w:p>
    <w:p w14:paraId="7B5DB7FD" w14:textId="77777777" w:rsidR="005A5BD5" w:rsidRPr="00334017" w:rsidRDefault="005A5BD5" w:rsidP="00FB3E9E">
      <w:pPr>
        <w:jc w:val="both"/>
        <w:rPr>
          <w:rFonts w:eastAsia="Calibri"/>
          <w:szCs w:val="22"/>
          <w:lang w:eastAsia="de-DE" w:bidi="de-DE"/>
        </w:rPr>
      </w:pPr>
    </w:p>
    <w:p w14:paraId="556864A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Neben der in Absatz 2 erwähnten Bedingung müssen Leistungen, die mit den in Absatz 1 Buchstabe </w:t>
      </w:r>
      <w:r w:rsidRPr="00334017">
        <w:rPr>
          <w:rFonts w:eastAsia="Calibri"/>
          <w:i/>
          <w:szCs w:val="22"/>
          <w:lang w:eastAsia="de-DE" w:bidi="de-DE"/>
        </w:rPr>
        <w:t>b)</w:t>
      </w:r>
      <w:r w:rsidRPr="00334017">
        <w:rPr>
          <w:rFonts w:eastAsia="Calibri"/>
          <w:szCs w:val="22"/>
          <w:lang w:eastAsia="de-DE" w:bidi="de-DE"/>
        </w:rPr>
        <w:t xml:space="preserve"> angegebenen Ausgaben verbunden sind, in Bezug auf die Montage eines Alarmsystems von einem gemäß dem Gesetz vom 10. April 1990 zur Regelung der privaten und besonderen Sicherheit zugelassenen Sicherheitsunternehmen erbracht und in Bezug auf die Verwaltung von Alarmmeldungen von einer im Rahmen desselben Gesetzes genehmigten Alarmzentrale wahrgenommen werden.</w:t>
      </w:r>
    </w:p>
    <w:p w14:paraId="20EA9C0F" w14:textId="77777777" w:rsidR="005A5BD5" w:rsidRPr="00334017" w:rsidRDefault="005A5BD5" w:rsidP="00FB3E9E">
      <w:pPr>
        <w:jc w:val="both"/>
        <w:rPr>
          <w:rFonts w:eastAsia="Calibri"/>
          <w:szCs w:val="22"/>
          <w:lang w:eastAsia="de-DE" w:bidi="de-DE"/>
        </w:rPr>
      </w:pPr>
    </w:p>
    <w:p w14:paraId="6371BE2B" w14:textId="77777777" w:rsidR="005A5BD5" w:rsidRPr="00334017" w:rsidRDefault="005A5BD5" w:rsidP="00FB3E9E">
      <w:pPr>
        <w:jc w:val="both"/>
        <w:rPr>
          <w:rFonts w:eastAsia="Calibri"/>
          <w:i/>
          <w:szCs w:val="22"/>
          <w:lang w:eastAsia="de-DE" w:bidi="de-DE"/>
        </w:rPr>
      </w:pPr>
      <w:r w:rsidRPr="00334017">
        <w:rPr>
          <w:rFonts w:eastAsia="Calibri"/>
          <w:i/>
          <w:szCs w:val="22"/>
          <w:lang w:eastAsia="de-DE" w:bidi="de-DE"/>
        </w:rPr>
        <w:t>[Art. 63</w:t>
      </w:r>
      <w:r w:rsidRPr="00334017">
        <w:rPr>
          <w:rFonts w:eastAsia="Calibri"/>
          <w:i/>
          <w:szCs w:val="22"/>
          <w:vertAlign w:val="superscript"/>
          <w:lang w:eastAsia="de-DE" w:bidi="de-DE"/>
        </w:rPr>
        <w:t>15</w:t>
      </w:r>
      <w:r w:rsidRPr="00334017">
        <w:rPr>
          <w:rFonts w:eastAsia="Calibri"/>
          <w:i/>
          <w:szCs w:val="22"/>
          <w:lang w:eastAsia="de-DE" w:bidi="de-DE"/>
        </w:rPr>
        <w:t xml:space="preserve"> Abs. 2 ersetzt durch Art. 5 des K.E. vom 15. Juni 2012 (B.S. vom 2. Juli 2012)]</w:t>
      </w:r>
    </w:p>
    <w:p w14:paraId="1D9965D8" w14:textId="77777777" w:rsidR="006E0D53" w:rsidRDefault="006E0D53" w:rsidP="00FB3E9E">
      <w:pPr>
        <w:jc w:val="both"/>
        <w:rPr>
          <w:rFonts w:eastAsia="Calibri"/>
          <w:szCs w:val="22"/>
          <w:lang w:eastAsia="de-DE" w:bidi="de-DE"/>
        </w:rPr>
      </w:pPr>
    </w:p>
    <w:p w14:paraId="20E4CA5D" w14:textId="77777777" w:rsidR="006E0D53" w:rsidRDefault="006E0D53" w:rsidP="00FB3E9E">
      <w:pPr>
        <w:jc w:val="both"/>
        <w:rPr>
          <w:rFonts w:eastAsia="Calibri"/>
          <w:szCs w:val="22"/>
          <w:lang w:eastAsia="de-DE" w:bidi="de-DE"/>
        </w:rPr>
      </w:pPr>
    </w:p>
    <w:p w14:paraId="6F09311A" w14:textId="77777777" w:rsidR="00FF3D75" w:rsidRDefault="00FF3D75">
      <w:pPr>
        <w:rPr>
          <w:rFonts w:eastAsia="Calibri"/>
          <w:szCs w:val="22"/>
          <w:lang w:eastAsia="de-DE" w:bidi="de-DE"/>
        </w:rPr>
      </w:pPr>
      <w:r>
        <w:rPr>
          <w:rFonts w:eastAsia="Calibri"/>
          <w:szCs w:val="22"/>
          <w:lang w:eastAsia="de-DE" w:bidi="de-DE"/>
        </w:rPr>
        <w:br w:type="page"/>
      </w:r>
    </w:p>
    <w:p w14:paraId="043422C9" w14:textId="46DEDE76" w:rsidR="005A5BD5" w:rsidRPr="00334017" w:rsidRDefault="005A5BD5" w:rsidP="00FB3E9E">
      <w:pPr>
        <w:jc w:val="both"/>
        <w:rPr>
          <w:rFonts w:eastAsia="Calibri"/>
          <w:szCs w:val="22"/>
          <w:lang w:eastAsia="de-DE" w:bidi="de-DE"/>
        </w:rPr>
      </w:pPr>
      <w:r w:rsidRPr="00334017">
        <w:rPr>
          <w:rFonts w:eastAsia="Calibri"/>
          <w:szCs w:val="22"/>
          <w:lang w:eastAsia="de-DE" w:bidi="de-DE"/>
        </w:rPr>
        <w:lastRenderedPageBreak/>
        <w:tab/>
      </w:r>
      <w:r w:rsidRPr="00334017">
        <w:rPr>
          <w:rFonts w:eastAsia="Calibri"/>
          <w:b/>
          <w:szCs w:val="22"/>
          <w:lang w:eastAsia="de-DE" w:bidi="de-DE"/>
        </w:rPr>
        <w:t>Art. 63</w:t>
      </w:r>
      <w:r w:rsidRPr="00334017">
        <w:rPr>
          <w:rFonts w:eastAsia="Calibri"/>
          <w:b/>
          <w:szCs w:val="22"/>
          <w:vertAlign w:val="superscript"/>
          <w:lang w:eastAsia="de-DE" w:bidi="de-DE"/>
        </w:rPr>
        <w:t>16</w:t>
      </w:r>
      <w:r w:rsidRPr="00334017">
        <w:rPr>
          <w:rFonts w:eastAsia="Calibri"/>
          <w:szCs w:val="22"/>
          <w:lang w:eastAsia="de-DE" w:bidi="de-DE"/>
        </w:rPr>
        <w:t xml:space="preserve"> - Ausgaben für die Absicherung von Wohnungen gegen Brand werden für die Steuerermäßigung nur berücksichtigt, wenn sie in einer der folgenden Kategorien aufgenommen sind: </w:t>
      </w:r>
    </w:p>
    <w:p w14:paraId="5F273A0E" w14:textId="77777777" w:rsidR="005A5BD5" w:rsidRPr="00334017" w:rsidRDefault="005A5BD5" w:rsidP="00FB3E9E">
      <w:pPr>
        <w:jc w:val="both"/>
        <w:rPr>
          <w:rFonts w:eastAsia="Calibri"/>
          <w:szCs w:val="22"/>
          <w:lang w:eastAsia="de-DE" w:bidi="de-DE"/>
        </w:rPr>
      </w:pPr>
    </w:p>
    <w:p w14:paraId="7EEB1E66"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Ausgaben für Lieferung und Montage von Wasserlöschern mit Zusätzen von 6 kg oder Pulverlöschern (polyvalent) von 6 kg gemäß der Normenreihe NBN EN 3 "Tragbare Feuerlöscher" einschließlich Feuerlöschern, die für das automatische Löschen in Heizungs</w:t>
      </w:r>
      <w:r w:rsidRPr="00334017">
        <w:rPr>
          <w:rFonts w:eastAsia="Calibri"/>
          <w:szCs w:val="22"/>
          <w:lang w:eastAsia="de-DE" w:bidi="de-DE"/>
        </w:rPr>
        <w:softHyphen/>
        <w:t>räumen mit Heizöl angebracht werden,</w:t>
      </w:r>
    </w:p>
    <w:p w14:paraId="1CFA1DCD" w14:textId="77777777" w:rsidR="005A5BD5" w:rsidRPr="00334017" w:rsidRDefault="005A5BD5" w:rsidP="00FB3E9E">
      <w:pPr>
        <w:jc w:val="both"/>
        <w:rPr>
          <w:rFonts w:eastAsia="Calibri"/>
          <w:szCs w:val="22"/>
          <w:lang w:eastAsia="de-DE" w:bidi="de-DE"/>
        </w:rPr>
      </w:pPr>
    </w:p>
    <w:p w14:paraId="425606E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Ausgaben für Lieferung und Montage von Feuerschutztüren "halbe Stunde", die montiert werden:</w:t>
      </w:r>
    </w:p>
    <w:p w14:paraId="7954C0E8" w14:textId="77777777" w:rsidR="005A5BD5" w:rsidRPr="00334017" w:rsidRDefault="005A5BD5" w:rsidP="00FB3E9E">
      <w:pPr>
        <w:jc w:val="both"/>
        <w:rPr>
          <w:rFonts w:eastAsia="Calibri"/>
          <w:szCs w:val="22"/>
          <w:lang w:eastAsia="de-DE" w:bidi="de-DE"/>
        </w:rPr>
      </w:pPr>
    </w:p>
    <w:p w14:paraId="43798C6D"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1. zwischen Garage und Wohnung,</w:t>
      </w:r>
    </w:p>
    <w:p w14:paraId="290D0D16" w14:textId="77777777" w:rsidR="005A5BD5" w:rsidRPr="00334017" w:rsidRDefault="005A5BD5" w:rsidP="00FB3E9E">
      <w:pPr>
        <w:jc w:val="both"/>
        <w:rPr>
          <w:rFonts w:eastAsia="Calibri"/>
          <w:szCs w:val="22"/>
          <w:lang w:eastAsia="de-DE" w:bidi="de-DE"/>
        </w:rPr>
      </w:pPr>
    </w:p>
    <w:p w14:paraId="74BBD683"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2. an der Innenseite der Küche,</w:t>
      </w:r>
    </w:p>
    <w:p w14:paraId="65215167" w14:textId="77777777" w:rsidR="005A5BD5" w:rsidRPr="00334017" w:rsidRDefault="005A5BD5" w:rsidP="00FB3E9E">
      <w:pPr>
        <w:jc w:val="both"/>
        <w:rPr>
          <w:rFonts w:eastAsia="Calibri"/>
          <w:szCs w:val="22"/>
          <w:lang w:eastAsia="de-DE" w:bidi="de-DE"/>
        </w:rPr>
      </w:pPr>
    </w:p>
    <w:p w14:paraId="4A3CD953"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3. zwischen Schlaf- und Wohnräumen der Wohnung,</w:t>
      </w:r>
    </w:p>
    <w:p w14:paraId="1B6A1720" w14:textId="77777777" w:rsidR="005A5BD5" w:rsidRPr="00334017" w:rsidRDefault="005A5BD5" w:rsidP="00FB3E9E">
      <w:pPr>
        <w:jc w:val="both"/>
        <w:rPr>
          <w:rFonts w:eastAsia="Calibri"/>
          <w:szCs w:val="22"/>
          <w:lang w:eastAsia="de-DE" w:bidi="de-DE"/>
        </w:rPr>
      </w:pPr>
    </w:p>
    <w:p w14:paraId="5005F586"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4. an der Innenseite des Heizungsraums.</w:t>
      </w:r>
    </w:p>
    <w:p w14:paraId="0FA8F9CA"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p>
    <w:p w14:paraId="60836145"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[Leistungen, die mit den in Absatz 1 angegebenen Ausgaben verbunden sind, müssen für den Steuerpflichtigen erbracht und ihm in Rechnung gestellt werden.]</w:t>
      </w:r>
    </w:p>
    <w:p w14:paraId="2B377852"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p>
    <w:p w14:paraId="0A0FBCFB"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Neben der in Absatz 2 erwähnten Bedingung müssen Leistungen, die mit den in Absatz 1 Buchstabe </w:t>
      </w:r>
      <w:r w:rsidRPr="00334017">
        <w:rPr>
          <w:rFonts w:eastAsia="Calibri"/>
          <w:i/>
          <w:szCs w:val="22"/>
          <w:lang w:eastAsia="de-DE" w:bidi="de-DE"/>
        </w:rPr>
        <w:t>b)</w:t>
      </w:r>
      <w:r w:rsidRPr="00334017">
        <w:rPr>
          <w:rFonts w:eastAsia="Calibri"/>
          <w:szCs w:val="22"/>
          <w:lang w:eastAsia="de-DE" w:bidi="de-DE"/>
        </w:rPr>
        <w:t xml:space="preserve"> angegebenen Ausgaben verbunden sind, gemäß den geltenden Vorschriften zur Brand- und Explosionsverhütung erbracht werden.</w:t>
      </w:r>
    </w:p>
    <w:p w14:paraId="18D19ED6" w14:textId="77777777" w:rsidR="005A5BD5" w:rsidRPr="00334017" w:rsidRDefault="005A5BD5" w:rsidP="00FB3E9E">
      <w:pPr>
        <w:jc w:val="both"/>
        <w:rPr>
          <w:rFonts w:eastAsia="Calibri"/>
          <w:szCs w:val="22"/>
          <w:lang w:eastAsia="de-DE" w:bidi="de-DE"/>
        </w:rPr>
      </w:pPr>
    </w:p>
    <w:p w14:paraId="3CC72D51" w14:textId="77777777" w:rsidR="005A5BD5" w:rsidRPr="00334017" w:rsidRDefault="005A5BD5" w:rsidP="00FB3E9E">
      <w:pPr>
        <w:jc w:val="both"/>
        <w:rPr>
          <w:rFonts w:eastAsia="Calibri"/>
          <w:i/>
          <w:szCs w:val="22"/>
          <w:lang w:eastAsia="de-DE" w:bidi="de-DE"/>
        </w:rPr>
      </w:pPr>
      <w:r w:rsidRPr="00334017">
        <w:rPr>
          <w:rFonts w:eastAsia="Calibri"/>
          <w:i/>
          <w:szCs w:val="22"/>
          <w:lang w:eastAsia="de-DE" w:bidi="de-DE"/>
        </w:rPr>
        <w:t>[Art. 63</w:t>
      </w:r>
      <w:r w:rsidRPr="00334017">
        <w:rPr>
          <w:rFonts w:eastAsia="Calibri"/>
          <w:i/>
          <w:szCs w:val="22"/>
          <w:vertAlign w:val="superscript"/>
          <w:lang w:eastAsia="de-DE" w:bidi="de-DE"/>
        </w:rPr>
        <w:t>16</w:t>
      </w:r>
      <w:r w:rsidRPr="00334017">
        <w:rPr>
          <w:rFonts w:eastAsia="Calibri"/>
          <w:i/>
          <w:szCs w:val="22"/>
          <w:lang w:eastAsia="de-DE" w:bidi="de-DE"/>
        </w:rPr>
        <w:t xml:space="preserve"> Abs. 2 ersetzt durch Art. 6 des K.E. vom 15. Juni 2012 (B.S. vom 2. Juli 2012)]</w:t>
      </w:r>
    </w:p>
    <w:p w14:paraId="40225165" w14:textId="77777777" w:rsidR="005A5BD5" w:rsidRPr="00334017" w:rsidRDefault="005A5BD5" w:rsidP="00FB3E9E">
      <w:pPr>
        <w:jc w:val="both"/>
        <w:rPr>
          <w:rFonts w:eastAsia="Calibri"/>
          <w:szCs w:val="22"/>
          <w:lang w:eastAsia="de-DE" w:bidi="de-DE"/>
        </w:rPr>
      </w:pPr>
    </w:p>
    <w:p w14:paraId="7F9968C7" w14:textId="77777777" w:rsidR="005A5BD5" w:rsidRPr="00334017" w:rsidRDefault="005A5BD5" w:rsidP="00FB3E9E">
      <w:pPr>
        <w:jc w:val="both"/>
        <w:rPr>
          <w:rFonts w:eastAsia="Calibri"/>
          <w:szCs w:val="22"/>
          <w:lang w:eastAsia="de-DE" w:bidi="de-DE"/>
        </w:rPr>
      </w:pPr>
    </w:p>
    <w:p w14:paraId="3B55995F"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17</w:t>
      </w:r>
      <w:r w:rsidRPr="00334017">
        <w:rPr>
          <w:rFonts w:eastAsia="Calibri"/>
          <w:szCs w:val="22"/>
          <w:lang w:eastAsia="de-DE" w:bidi="de-DE"/>
        </w:rPr>
        <w:t> - In den Artikeln 63</w:t>
      </w:r>
      <w:r w:rsidRPr="00334017">
        <w:rPr>
          <w:rFonts w:eastAsia="Calibri"/>
          <w:szCs w:val="22"/>
          <w:vertAlign w:val="superscript"/>
          <w:lang w:eastAsia="de-DE" w:bidi="de-DE"/>
        </w:rPr>
        <w:t>15</w:t>
      </w:r>
      <w:r w:rsidRPr="00334017">
        <w:rPr>
          <w:rFonts w:eastAsia="Calibri"/>
          <w:szCs w:val="22"/>
          <w:lang w:eastAsia="de-DE" w:bidi="de-DE"/>
        </w:rPr>
        <w:t xml:space="preserve"> und 63</w:t>
      </w:r>
      <w:r w:rsidRPr="00334017">
        <w:rPr>
          <w:rFonts w:eastAsia="Calibri"/>
          <w:szCs w:val="22"/>
          <w:vertAlign w:val="superscript"/>
          <w:lang w:eastAsia="de-DE" w:bidi="de-DE"/>
        </w:rPr>
        <w:t>16</w:t>
      </w:r>
      <w:r w:rsidRPr="00334017">
        <w:rPr>
          <w:rFonts w:eastAsia="Calibri"/>
          <w:szCs w:val="22"/>
          <w:lang w:eastAsia="de-DE" w:bidi="de-DE"/>
        </w:rPr>
        <w:t xml:space="preserve"> erwähnte Unternehmer oder Unternehmen garantieren die Konformität der Arbeiten auf der Grundlage der in Anlage 2</w:t>
      </w:r>
      <w:r w:rsidRPr="00334017">
        <w:rPr>
          <w:rFonts w:eastAsia="Calibri"/>
          <w:i/>
          <w:szCs w:val="22"/>
          <w:lang w:eastAsia="de-DE" w:bidi="de-DE"/>
        </w:rPr>
        <w:t>ter</w:t>
      </w:r>
      <w:r w:rsidRPr="00334017">
        <w:rPr>
          <w:rFonts w:eastAsia="Calibri"/>
          <w:szCs w:val="22"/>
          <w:lang w:eastAsia="de-DE" w:bidi="de-DE"/>
        </w:rPr>
        <w:t xml:space="preserve"> enthaltenen Angaben.</w:t>
      </w:r>
    </w:p>
    <w:p w14:paraId="5DE9ADBF" w14:textId="77777777" w:rsidR="005A5BD5" w:rsidRPr="00334017" w:rsidRDefault="005A5BD5" w:rsidP="00FB3E9E">
      <w:pPr>
        <w:jc w:val="both"/>
        <w:rPr>
          <w:rFonts w:eastAsia="Calibri"/>
          <w:szCs w:val="22"/>
          <w:lang w:eastAsia="de-DE" w:bidi="de-DE"/>
        </w:rPr>
      </w:pPr>
    </w:p>
    <w:p w14:paraId="68BB693A"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Zu diesem Zweck muss in der Rechnung, die vom [</w:t>
      </w:r>
      <w:r w:rsidR="009251F9">
        <w:rPr>
          <w:rFonts w:eastAsia="Calibri"/>
          <w:szCs w:val="22"/>
          <w:lang w:eastAsia="de-DE" w:bidi="de-DE"/>
        </w:rPr>
        <w:t>…</w:t>
      </w:r>
      <w:r w:rsidRPr="00334017">
        <w:rPr>
          <w:rFonts w:eastAsia="Calibri"/>
          <w:szCs w:val="22"/>
          <w:lang w:eastAsia="de-DE" w:bidi="de-DE"/>
        </w:rPr>
        <w:t>] Unternehmer oder vom zugelassenen Unternehmen ausgestellt wird, oder ihrer Anlage:</w:t>
      </w:r>
    </w:p>
    <w:p w14:paraId="78C0C509" w14:textId="77777777" w:rsidR="005A5BD5" w:rsidRPr="00334017" w:rsidRDefault="005A5BD5" w:rsidP="00FB3E9E">
      <w:pPr>
        <w:jc w:val="both"/>
        <w:rPr>
          <w:rFonts w:eastAsia="Calibri"/>
          <w:szCs w:val="22"/>
          <w:lang w:eastAsia="de-DE" w:bidi="de-DE"/>
        </w:rPr>
      </w:pPr>
    </w:p>
    <w:p w14:paraId="1653EAD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die Wohnung angegeben sein, in der die Arbeiten ausgeführt w</w:t>
      </w:r>
      <w:r>
        <w:rPr>
          <w:rFonts w:eastAsia="Calibri"/>
          <w:szCs w:val="22"/>
          <w:lang w:eastAsia="de-DE" w:bidi="de-DE"/>
        </w:rPr>
        <w:t>u</w:t>
      </w:r>
      <w:r w:rsidRPr="00334017">
        <w:rPr>
          <w:rFonts w:eastAsia="Calibri"/>
          <w:szCs w:val="22"/>
          <w:lang w:eastAsia="de-DE" w:bidi="de-DE"/>
        </w:rPr>
        <w:t>rden,</w:t>
      </w:r>
    </w:p>
    <w:p w14:paraId="2C6554FC" w14:textId="77777777" w:rsidR="005A5BD5" w:rsidRPr="00334017" w:rsidRDefault="005A5BD5" w:rsidP="00FB3E9E">
      <w:pPr>
        <w:jc w:val="both"/>
        <w:rPr>
          <w:rFonts w:eastAsia="Calibri"/>
          <w:szCs w:val="22"/>
          <w:lang w:eastAsia="de-DE" w:bidi="de-DE"/>
        </w:rPr>
      </w:pPr>
    </w:p>
    <w:p w14:paraId="467A0C55"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 xml:space="preserve">b) </w:t>
      </w:r>
      <w:r w:rsidRPr="00334017">
        <w:rPr>
          <w:rFonts w:eastAsia="Calibri"/>
          <w:szCs w:val="22"/>
          <w:lang w:eastAsia="de-DE" w:bidi="de-DE"/>
        </w:rPr>
        <w:t>folgender Vermerk enthalten sein:</w:t>
      </w:r>
    </w:p>
    <w:p w14:paraId="5337E8FA" w14:textId="77777777" w:rsidR="005A5BD5" w:rsidRPr="00334017" w:rsidRDefault="005A5BD5" w:rsidP="00FB3E9E">
      <w:pPr>
        <w:jc w:val="both"/>
        <w:rPr>
          <w:rFonts w:eastAsia="Calibri"/>
          <w:szCs w:val="22"/>
          <w:lang w:eastAsia="de-DE" w:bidi="de-DE"/>
        </w:rPr>
      </w:pPr>
    </w:p>
    <w:p w14:paraId="22F19F54"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"Bescheinigung in Anwendung von Artikel 63</w:t>
      </w:r>
      <w:r w:rsidRPr="00334017">
        <w:rPr>
          <w:rFonts w:eastAsia="Calibri"/>
          <w:szCs w:val="22"/>
          <w:vertAlign w:val="superscript"/>
          <w:lang w:eastAsia="de-DE" w:bidi="de-DE"/>
        </w:rPr>
        <w:t>15</w:t>
      </w:r>
      <w:r w:rsidRPr="00334017">
        <w:rPr>
          <w:rFonts w:eastAsia="Calibri"/>
          <w:szCs w:val="22"/>
          <w:lang w:eastAsia="de-DE" w:bidi="de-DE"/>
        </w:rPr>
        <w:t xml:space="preserve"> und/oder Artikel 63</w:t>
      </w:r>
      <w:r w:rsidRPr="00334017">
        <w:rPr>
          <w:rFonts w:eastAsia="Calibri"/>
          <w:szCs w:val="22"/>
          <w:vertAlign w:val="superscript"/>
          <w:lang w:eastAsia="de-DE" w:bidi="de-DE"/>
        </w:rPr>
        <w:t>16</w:t>
      </w:r>
      <w:r w:rsidRPr="00334017">
        <w:rPr>
          <w:rFonts w:eastAsia="Calibri"/>
          <w:szCs w:val="22"/>
          <w:lang w:eastAsia="de-DE" w:bidi="de-DE"/>
        </w:rPr>
        <w:t xml:space="preserve"> des KE/E</w:t>
      </w:r>
      <w:r w:rsidR="009251F9" w:rsidRPr="00334017">
        <w:rPr>
          <w:rFonts w:eastAsia="Calibri"/>
          <w:szCs w:val="22"/>
          <w:lang w:eastAsia="de-DE" w:bidi="de-DE"/>
        </w:rPr>
        <w:t>s</w:t>
      </w:r>
      <w:r w:rsidRPr="00334017">
        <w:rPr>
          <w:rFonts w:eastAsia="Calibri"/>
          <w:szCs w:val="22"/>
          <w:lang w:eastAsia="de-DE" w:bidi="de-DE"/>
        </w:rPr>
        <w:t>tGB 92 über ausgeführte Arbeiten wie in Artikel 145</w:t>
      </w:r>
      <w:r w:rsidRPr="00334017">
        <w:rPr>
          <w:rFonts w:eastAsia="Calibri"/>
          <w:szCs w:val="22"/>
          <w:vertAlign w:val="superscript"/>
          <w:lang w:eastAsia="de-DE" w:bidi="de-DE"/>
        </w:rPr>
        <w:t>31</w:t>
      </w:r>
      <w:r w:rsidRPr="00334017">
        <w:rPr>
          <w:rFonts w:eastAsia="Calibri"/>
          <w:szCs w:val="22"/>
          <w:lang w:eastAsia="de-DE" w:bidi="de-DE"/>
        </w:rPr>
        <w:t xml:space="preserve"> des Einkommensteuergesetz</w:t>
      </w:r>
      <w:r w:rsidRPr="00334017">
        <w:rPr>
          <w:rFonts w:eastAsia="Calibri"/>
          <w:szCs w:val="22"/>
          <w:lang w:eastAsia="de-DE" w:bidi="de-DE"/>
        </w:rPr>
        <w:softHyphen/>
        <w:t>buches 1992 erwähnt</w:t>
      </w:r>
    </w:p>
    <w:p w14:paraId="2A7A318F" w14:textId="77777777" w:rsidR="005A5BD5" w:rsidRPr="00334017" w:rsidRDefault="005A5BD5" w:rsidP="00FB3E9E">
      <w:pPr>
        <w:jc w:val="both"/>
        <w:rPr>
          <w:rFonts w:eastAsia="Calibri"/>
          <w:szCs w:val="22"/>
          <w:lang w:eastAsia="de-DE" w:bidi="de-DE"/>
        </w:rPr>
      </w:pPr>
    </w:p>
    <w:p w14:paraId="2CCBFED6"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xml:space="preserve">Der/Die Unterzeichnete, </w:t>
      </w:r>
      <w:r w:rsidR="009251F9">
        <w:rPr>
          <w:rFonts w:eastAsia="Calibri"/>
          <w:szCs w:val="22"/>
          <w:lang w:eastAsia="de-DE" w:bidi="de-DE"/>
        </w:rPr>
        <w:t>…</w:t>
      </w:r>
      <w:r w:rsidRPr="00334017">
        <w:rPr>
          <w:rFonts w:eastAsia="Calibri"/>
          <w:szCs w:val="22"/>
          <w:lang w:eastAsia="de-DE" w:bidi="de-DE"/>
        </w:rPr>
        <w:t>, bescheinigt, dass:</w:t>
      </w:r>
    </w:p>
    <w:p w14:paraId="28FC20F3" w14:textId="77777777" w:rsidR="005A5BD5" w:rsidRPr="00334017" w:rsidRDefault="005A5BD5" w:rsidP="00FB3E9E">
      <w:pPr>
        <w:jc w:val="both"/>
        <w:rPr>
          <w:rFonts w:eastAsia="Calibri"/>
          <w:szCs w:val="22"/>
          <w:lang w:eastAsia="de-DE" w:bidi="de-DE"/>
        </w:rPr>
      </w:pPr>
    </w:p>
    <w:p w14:paraId="6B88CF82"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xml:space="preserve">- </w:t>
      </w:r>
      <w:r w:rsidR="009251F9">
        <w:rPr>
          <w:rFonts w:eastAsia="Calibri"/>
          <w:szCs w:val="22"/>
          <w:lang w:eastAsia="de-DE" w:bidi="de-DE"/>
        </w:rPr>
        <w:t>…</w:t>
      </w:r>
      <w:r w:rsidRPr="00334017">
        <w:rPr>
          <w:rFonts w:eastAsia="Calibri"/>
          <w:szCs w:val="22"/>
          <w:lang w:eastAsia="de-DE" w:bidi="de-DE"/>
        </w:rPr>
        <w:t xml:space="preserve"> (pro Maßnahme die Angaben übernehmen, die aufgrund der Anlage 2</w:t>
      </w:r>
      <w:r w:rsidRPr="00334017">
        <w:rPr>
          <w:rFonts w:eastAsia="Calibri"/>
          <w:i/>
          <w:szCs w:val="22"/>
          <w:lang w:eastAsia="de-DE" w:bidi="de-DE"/>
        </w:rPr>
        <w:t>ter</w:t>
      </w:r>
      <w:r w:rsidRPr="00334017">
        <w:rPr>
          <w:rFonts w:eastAsia="Calibri"/>
          <w:szCs w:val="22"/>
          <w:lang w:eastAsia="de-DE" w:bidi="de-DE"/>
        </w:rPr>
        <w:t xml:space="preserve"> zum KE/E</w:t>
      </w:r>
      <w:r w:rsidR="009251F9" w:rsidRPr="00334017">
        <w:rPr>
          <w:rFonts w:eastAsia="Calibri"/>
          <w:szCs w:val="22"/>
          <w:lang w:eastAsia="de-DE" w:bidi="de-DE"/>
        </w:rPr>
        <w:t>s</w:t>
      </w:r>
      <w:r w:rsidRPr="00334017">
        <w:rPr>
          <w:rFonts w:eastAsia="Calibri"/>
          <w:szCs w:val="22"/>
          <w:lang w:eastAsia="de-DE" w:bidi="de-DE"/>
        </w:rPr>
        <w:t>tGB 92 erforderlich sind)</w:t>
      </w:r>
    </w:p>
    <w:p w14:paraId="7A8DA822" w14:textId="77777777" w:rsidR="006E0D53" w:rsidRDefault="006E0D53" w:rsidP="00FB3E9E">
      <w:pPr>
        <w:jc w:val="both"/>
        <w:rPr>
          <w:rFonts w:eastAsia="Calibri"/>
          <w:szCs w:val="22"/>
          <w:lang w:eastAsia="de-DE" w:bidi="de-DE"/>
        </w:rPr>
      </w:pPr>
    </w:p>
    <w:p w14:paraId="27780E93"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lastRenderedPageBreak/>
        <w:tab/>
        <w:t xml:space="preserve">- </w:t>
      </w:r>
      <w:r w:rsidR="009251F9">
        <w:rPr>
          <w:rFonts w:eastAsia="Calibri"/>
          <w:szCs w:val="22"/>
          <w:lang w:eastAsia="de-DE" w:bidi="de-DE"/>
        </w:rPr>
        <w:t>…</w:t>
      </w:r>
    </w:p>
    <w:p w14:paraId="43D3D85F"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p>
    <w:p w14:paraId="31208C7B"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009251F9">
        <w:rPr>
          <w:rFonts w:eastAsia="Calibri"/>
          <w:szCs w:val="22"/>
          <w:lang w:eastAsia="de-DE" w:bidi="de-DE"/>
        </w:rPr>
        <w:t>…</w:t>
      </w:r>
      <w:r w:rsidRPr="00334017">
        <w:rPr>
          <w:rFonts w:eastAsia="Calibri"/>
          <w:szCs w:val="22"/>
          <w:lang w:eastAsia="de-DE" w:bidi="de-DE"/>
        </w:rPr>
        <w:t xml:space="preserve"> (Datum)</w:t>
      </w:r>
    </w:p>
    <w:p w14:paraId="48BA079A"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p>
    <w:p w14:paraId="23C26C46"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009251F9">
        <w:rPr>
          <w:rFonts w:eastAsia="Calibri"/>
          <w:szCs w:val="22"/>
          <w:lang w:eastAsia="de-DE" w:bidi="de-DE"/>
        </w:rPr>
        <w:t>…</w:t>
      </w:r>
      <w:r w:rsidRPr="00334017">
        <w:rPr>
          <w:rFonts w:eastAsia="Calibri"/>
          <w:szCs w:val="22"/>
          <w:lang w:eastAsia="de-DE" w:bidi="de-DE"/>
        </w:rPr>
        <w:t xml:space="preserve"> (Name)</w:t>
      </w:r>
    </w:p>
    <w:p w14:paraId="74C07E4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p>
    <w:p w14:paraId="17B9B3F4"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009251F9">
        <w:rPr>
          <w:rFonts w:eastAsia="Calibri"/>
          <w:szCs w:val="22"/>
          <w:lang w:eastAsia="de-DE" w:bidi="de-DE"/>
        </w:rPr>
        <w:t>…</w:t>
      </w:r>
      <w:r w:rsidRPr="00334017">
        <w:rPr>
          <w:rFonts w:eastAsia="Calibri"/>
          <w:szCs w:val="22"/>
          <w:lang w:eastAsia="de-DE" w:bidi="de-DE"/>
        </w:rPr>
        <w:t xml:space="preserve"> (Unterschrift)"</w:t>
      </w:r>
    </w:p>
    <w:p w14:paraId="4A394DD0" w14:textId="77777777" w:rsidR="005A5BD5" w:rsidRPr="00334017" w:rsidRDefault="005A5BD5" w:rsidP="00FB3E9E">
      <w:pPr>
        <w:jc w:val="both"/>
        <w:rPr>
          <w:rFonts w:eastAsia="Calibri"/>
          <w:szCs w:val="22"/>
          <w:lang w:eastAsia="de-DE" w:bidi="de-DE"/>
        </w:rPr>
      </w:pPr>
    </w:p>
    <w:p w14:paraId="136B0AEB" w14:textId="77777777" w:rsidR="005A5BD5" w:rsidRPr="00334017" w:rsidRDefault="005A5BD5" w:rsidP="00FB3E9E">
      <w:pPr>
        <w:jc w:val="both"/>
        <w:rPr>
          <w:rFonts w:eastAsia="Calibri"/>
          <w:i/>
          <w:szCs w:val="22"/>
          <w:lang w:eastAsia="de-DE" w:bidi="de-DE"/>
        </w:rPr>
      </w:pPr>
      <w:r w:rsidRPr="00334017">
        <w:rPr>
          <w:rFonts w:eastAsia="Calibri"/>
          <w:i/>
          <w:szCs w:val="22"/>
          <w:lang w:eastAsia="de-DE" w:bidi="de-DE"/>
        </w:rPr>
        <w:t>[Art. 63</w:t>
      </w:r>
      <w:r w:rsidRPr="00334017">
        <w:rPr>
          <w:rFonts w:eastAsia="Calibri"/>
          <w:i/>
          <w:szCs w:val="22"/>
          <w:vertAlign w:val="superscript"/>
          <w:lang w:eastAsia="de-DE" w:bidi="de-DE"/>
        </w:rPr>
        <w:t>17</w:t>
      </w:r>
      <w:r w:rsidRPr="00334017">
        <w:rPr>
          <w:rFonts w:eastAsia="Calibri"/>
          <w:i/>
          <w:szCs w:val="22"/>
          <w:lang w:eastAsia="de-DE" w:bidi="de-DE"/>
        </w:rPr>
        <w:t xml:space="preserve"> Abs. 2 einleitende Bestimmung abgeändert durch Art. 7 des K.E. vom 15. Juni 2012 (B.S. vom 2. Juli 2012)]</w:t>
      </w:r>
    </w:p>
    <w:p w14:paraId="0C8E917F" w14:textId="77777777" w:rsidR="005A5BD5" w:rsidRPr="00334017" w:rsidRDefault="005A5BD5" w:rsidP="00FB3E9E">
      <w:pPr>
        <w:jc w:val="both"/>
        <w:rPr>
          <w:rFonts w:eastAsia="Calibri"/>
          <w:szCs w:val="22"/>
          <w:lang w:eastAsia="de-DE" w:bidi="de-DE"/>
        </w:rPr>
      </w:pPr>
    </w:p>
    <w:p w14:paraId="54706A7C" w14:textId="77777777" w:rsidR="005A5BD5" w:rsidRPr="00334017" w:rsidRDefault="005A5BD5" w:rsidP="00FB3E9E">
      <w:pPr>
        <w:jc w:val="both"/>
        <w:rPr>
          <w:rFonts w:eastAsia="Calibri"/>
          <w:szCs w:val="22"/>
          <w:lang w:eastAsia="de-DE" w:bidi="de-DE"/>
        </w:rPr>
      </w:pPr>
    </w:p>
    <w:p w14:paraId="77B1FD7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w:t>
      </w:r>
      <w:r w:rsidRPr="00334017">
        <w:rPr>
          <w:rFonts w:eastAsia="Calibri"/>
          <w:szCs w:val="22"/>
          <w:lang w:eastAsia="de-DE" w:bidi="de-DE"/>
        </w:rPr>
        <w:t> - § 1 - Steuerpflichtige, die die Geltendmachung von Artikel 145</w:t>
      </w:r>
      <w:r w:rsidRPr="00334017">
        <w:rPr>
          <w:rFonts w:eastAsia="Calibri"/>
          <w:szCs w:val="22"/>
          <w:vertAlign w:val="superscript"/>
          <w:lang w:eastAsia="de-DE" w:bidi="de-DE"/>
        </w:rPr>
        <w:t>31</w:t>
      </w:r>
      <w:r w:rsidRPr="00334017">
        <w:rPr>
          <w:rFonts w:eastAsia="Calibri"/>
          <w:szCs w:val="22"/>
          <w:lang w:eastAsia="de-DE" w:bidi="de-DE"/>
        </w:rPr>
        <w:t xml:space="preserve"> des vorerwähnten Gesetzbuches beantragen, müssen folgende Unterlagen zur Verfügung des Föderalen Öffentlichen Dienstes Finanzen bereithalten:</w:t>
      </w:r>
    </w:p>
    <w:p w14:paraId="0255F06A" w14:textId="77777777" w:rsidR="005A5BD5" w:rsidRPr="00334017" w:rsidRDefault="005A5BD5" w:rsidP="00FB3E9E">
      <w:pPr>
        <w:jc w:val="both"/>
        <w:rPr>
          <w:rFonts w:eastAsia="Calibri"/>
          <w:szCs w:val="22"/>
          <w:lang w:eastAsia="de-DE" w:bidi="de-DE"/>
        </w:rPr>
      </w:pPr>
    </w:p>
    <w:p w14:paraId="35F4C3E3"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Rechnungen in Bezug auf Lieferungen und Leistungen, die den in Artikel 145</w:t>
      </w:r>
      <w:r w:rsidRPr="00334017">
        <w:rPr>
          <w:rFonts w:eastAsia="Calibri"/>
          <w:szCs w:val="22"/>
          <w:vertAlign w:val="superscript"/>
          <w:lang w:eastAsia="de-DE" w:bidi="de-DE"/>
        </w:rPr>
        <w:t>31</w:t>
      </w:r>
      <w:r w:rsidRPr="00334017">
        <w:rPr>
          <w:rFonts w:eastAsia="Calibri"/>
          <w:szCs w:val="22"/>
          <w:lang w:eastAsia="de-DE" w:bidi="de-DE"/>
        </w:rPr>
        <w:t xml:space="preserve"> desselben Gesetzbuches erwähnten Ausgaben zugrunde liegen,</w:t>
      </w:r>
    </w:p>
    <w:p w14:paraId="0A0BA9D9" w14:textId="77777777" w:rsidR="005A5BD5" w:rsidRPr="00334017" w:rsidRDefault="005A5BD5" w:rsidP="00FB3E9E">
      <w:pPr>
        <w:jc w:val="both"/>
        <w:rPr>
          <w:rFonts w:eastAsia="Calibri"/>
          <w:szCs w:val="22"/>
          <w:lang w:eastAsia="de-DE" w:bidi="de-DE"/>
        </w:rPr>
      </w:pPr>
    </w:p>
    <w:p w14:paraId="7C7F8DCB"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Nachweis der Zahlung der auf diesen Rechnungen angegebenen Summen.</w:t>
      </w:r>
    </w:p>
    <w:p w14:paraId="446FAC24" w14:textId="77777777" w:rsidR="005A5BD5" w:rsidRPr="00334017" w:rsidRDefault="005A5BD5" w:rsidP="00FB3E9E">
      <w:pPr>
        <w:jc w:val="both"/>
        <w:rPr>
          <w:rFonts w:eastAsia="Calibri"/>
          <w:szCs w:val="22"/>
          <w:lang w:eastAsia="de-DE" w:bidi="de-DE"/>
        </w:rPr>
      </w:pPr>
    </w:p>
    <w:p w14:paraId="0B2BC39D"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2 - Neben der in § 1 erwähnten Bedingung müssen Steuerpflichtige, die in Bezug auf Lieferung und Montage eines mit einem Speichersystem ausgerüsteten Kamerasystems wie in Artikel 63</w:t>
      </w:r>
      <w:r w:rsidRPr="00334017">
        <w:rPr>
          <w:rFonts w:eastAsia="Calibri"/>
          <w:szCs w:val="22"/>
          <w:vertAlign w:val="superscript"/>
          <w:lang w:eastAsia="de-DE" w:bidi="de-DE"/>
        </w:rPr>
        <w:t>15</w:t>
      </w:r>
      <w:r w:rsidRPr="00334017">
        <w:rPr>
          <w:rFonts w:eastAsia="Calibri"/>
          <w:szCs w:val="22"/>
          <w:lang w:eastAsia="de-DE" w:bidi="de-DE"/>
        </w:rPr>
        <w:t xml:space="preserve"> Absatz 1 Buchstabe </w:t>
      </w:r>
      <w:r w:rsidRPr="00334017">
        <w:rPr>
          <w:rFonts w:eastAsia="Calibri"/>
          <w:i/>
          <w:szCs w:val="22"/>
          <w:lang w:eastAsia="de-DE" w:bidi="de-DE"/>
        </w:rPr>
        <w:t>c)</w:t>
      </w:r>
      <w:r w:rsidRPr="00334017">
        <w:rPr>
          <w:rFonts w:eastAsia="Calibri"/>
          <w:szCs w:val="22"/>
          <w:lang w:eastAsia="de-DE" w:bidi="de-DE"/>
        </w:rPr>
        <w:t xml:space="preserve"> erwähnt die Geltendmachung von Artikel 145</w:t>
      </w:r>
      <w:r w:rsidRPr="00334017">
        <w:rPr>
          <w:rFonts w:eastAsia="Calibri"/>
          <w:szCs w:val="22"/>
          <w:vertAlign w:val="superscript"/>
          <w:lang w:eastAsia="de-DE" w:bidi="de-DE"/>
        </w:rPr>
        <w:t>31</w:t>
      </w:r>
      <w:r w:rsidRPr="00334017">
        <w:rPr>
          <w:rFonts w:eastAsia="Calibri"/>
          <w:szCs w:val="22"/>
          <w:lang w:eastAsia="de-DE" w:bidi="de-DE"/>
        </w:rPr>
        <w:t xml:space="preserve"> des vorerwähnten Gesetzbuches beantragen, das Original oder eine Kopie der Bescheinigung, mit der nachgewiesen wird, dass das System dem im Gesetz vom 8. Dezember 1992 über den Schutz des Privatlebens hinsichtlich der Verarbeitung personenbezogener Daten erwähnten Ausschuss für den Schutz des Privatlebens gemeldet worden ist, zur Verfügung des Föderalen Öffentlichen Dienstes Finanzen bereithalten.]</w:t>
      </w:r>
    </w:p>
    <w:p w14:paraId="28FC0C0B" w14:textId="77777777" w:rsidR="005A5BD5" w:rsidRPr="00334017" w:rsidRDefault="005A5BD5" w:rsidP="00FB3E9E">
      <w:pPr>
        <w:jc w:val="both"/>
        <w:rPr>
          <w:rFonts w:eastAsia="Calibri"/>
          <w:szCs w:val="22"/>
          <w:lang w:eastAsia="de-DE" w:bidi="de-DE"/>
        </w:rPr>
      </w:pPr>
    </w:p>
    <w:p w14:paraId="6866C9B3" w14:textId="77777777" w:rsidR="005A5BD5" w:rsidRPr="00334017" w:rsidRDefault="005A5BD5" w:rsidP="00FB3E9E">
      <w:pPr>
        <w:jc w:val="both"/>
        <w:rPr>
          <w:rFonts w:eastAsia="Calibri"/>
          <w:szCs w:val="22"/>
          <w:lang w:eastAsia="de-DE" w:bidi="de-DE"/>
        </w:rPr>
      </w:pPr>
    </w:p>
    <w:p w14:paraId="4A54D1B6" w14:textId="77777777" w:rsidR="005A5BD5" w:rsidRPr="00334017" w:rsidRDefault="005A5BD5" w:rsidP="00FB3E9E">
      <w:pPr>
        <w:jc w:val="center"/>
        <w:rPr>
          <w:rFonts w:eastAsia="Calibri"/>
          <w:szCs w:val="22"/>
          <w:lang w:eastAsia="de-DE" w:bidi="de-DE"/>
        </w:rPr>
      </w:pPr>
      <w:r w:rsidRPr="00334017">
        <w:rPr>
          <w:rFonts w:eastAsia="Calibri"/>
          <w:szCs w:val="22"/>
          <w:lang w:eastAsia="de-DE" w:bidi="de-DE"/>
        </w:rPr>
        <w:t>[</w:t>
      </w:r>
      <w:r w:rsidRPr="00334017">
        <w:rPr>
          <w:rFonts w:eastAsia="Calibri"/>
          <w:i/>
          <w:szCs w:val="22"/>
          <w:lang w:eastAsia="de-DE" w:bidi="de-DE"/>
        </w:rPr>
        <w:t>Abschnitt 25undecies/1</w:t>
      </w:r>
      <w:r w:rsidRPr="00334017">
        <w:rPr>
          <w:rFonts w:eastAsia="Calibri"/>
          <w:szCs w:val="22"/>
          <w:lang w:eastAsia="de-DE" w:bidi="de-DE"/>
        </w:rPr>
        <w:t> - Steuerermäßigung für unentgeltliche Zuwendungen</w:t>
      </w:r>
    </w:p>
    <w:p w14:paraId="32FE0C5C" w14:textId="77777777" w:rsidR="005A5BD5" w:rsidRPr="00334017" w:rsidRDefault="005A5BD5" w:rsidP="00FB3E9E">
      <w:pPr>
        <w:jc w:val="center"/>
        <w:rPr>
          <w:rFonts w:eastAsia="Calibri"/>
          <w:szCs w:val="22"/>
          <w:lang w:eastAsia="de-DE" w:bidi="de-DE"/>
        </w:rPr>
      </w:pPr>
    </w:p>
    <w:p w14:paraId="572CE5B6" w14:textId="77777777" w:rsidR="005A5BD5" w:rsidRPr="00334017" w:rsidRDefault="005A5BD5" w:rsidP="00FB3E9E">
      <w:pPr>
        <w:jc w:val="center"/>
        <w:rPr>
          <w:rFonts w:eastAsia="Calibri"/>
          <w:szCs w:val="22"/>
          <w:lang w:eastAsia="de-DE" w:bidi="de-DE"/>
        </w:rPr>
      </w:pPr>
      <w:r w:rsidRPr="00334017">
        <w:rPr>
          <w:rFonts w:eastAsia="Calibri"/>
          <w:szCs w:val="22"/>
          <w:lang w:eastAsia="de-DE" w:bidi="de-DE"/>
        </w:rPr>
        <w:t>(Einkommensteuergesetzbuch 1992, Artikel 145</w:t>
      </w:r>
      <w:r w:rsidRPr="00334017">
        <w:rPr>
          <w:rFonts w:eastAsia="Calibri"/>
          <w:szCs w:val="22"/>
          <w:vertAlign w:val="superscript"/>
          <w:lang w:eastAsia="de-DE" w:bidi="de-DE"/>
        </w:rPr>
        <w:t>33</w:t>
      </w:r>
      <w:r w:rsidRPr="00334017">
        <w:rPr>
          <w:rFonts w:eastAsia="Calibri"/>
          <w:szCs w:val="22"/>
          <w:lang w:eastAsia="de-DE" w:bidi="de-DE"/>
        </w:rPr>
        <w:t xml:space="preserve"> § 2 Absatz 1 und § 3 Absatz 1)</w:t>
      </w:r>
    </w:p>
    <w:p w14:paraId="70754B1C" w14:textId="77777777" w:rsidR="005A5BD5" w:rsidRPr="00334017" w:rsidRDefault="005A5BD5" w:rsidP="00FB3E9E">
      <w:pPr>
        <w:jc w:val="center"/>
        <w:rPr>
          <w:rFonts w:eastAsia="Calibri"/>
          <w:szCs w:val="22"/>
          <w:lang w:eastAsia="de-DE" w:bidi="de-DE"/>
        </w:rPr>
      </w:pPr>
    </w:p>
    <w:p w14:paraId="5ECF62C3" w14:textId="77777777" w:rsidR="005A5BD5" w:rsidRPr="00334017" w:rsidRDefault="005A5BD5" w:rsidP="00FB3E9E">
      <w:pPr>
        <w:jc w:val="both"/>
        <w:rPr>
          <w:rFonts w:eastAsia="Calibri"/>
          <w:i/>
          <w:szCs w:val="22"/>
          <w:lang w:eastAsia="de-DE" w:bidi="de-DE"/>
        </w:rPr>
      </w:pPr>
      <w:r w:rsidRPr="00334017">
        <w:rPr>
          <w:rFonts w:eastAsia="Calibri"/>
          <w:i/>
          <w:szCs w:val="22"/>
          <w:lang w:eastAsia="de-DE" w:bidi="de-DE"/>
        </w:rPr>
        <w:t>[Abschnitt 25undecies/1 mit den Artikeln 63</w:t>
      </w:r>
      <w:r w:rsidRPr="00334017">
        <w:rPr>
          <w:rFonts w:eastAsia="Calibri"/>
          <w:i/>
          <w:szCs w:val="22"/>
          <w:vertAlign w:val="superscript"/>
          <w:lang w:eastAsia="de-DE" w:bidi="de-DE"/>
        </w:rPr>
        <w:t>18/1</w:t>
      </w:r>
      <w:r w:rsidRPr="00334017">
        <w:rPr>
          <w:rFonts w:eastAsia="Calibri"/>
          <w:i/>
          <w:szCs w:val="22"/>
          <w:lang w:eastAsia="de-DE" w:bidi="de-DE"/>
        </w:rPr>
        <w:t xml:space="preserve"> bis 63</w:t>
      </w:r>
      <w:r w:rsidRPr="00334017">
        <w:rPr>
          <w:rFonts w:eastAsia="Calibri"/>
          <w:i/>
          <w:szCs w:val="22"/>
          <w:vertAlign w:val="superscript"/>
          <w:lang w:eastAsia="de-DE" w:bidi="de-DE"/>
        </w:rPr>
        <w:t>18/7</w:t>
      </w:r>
      <w:r w:rsidRPr="00334017">
        <w:rPr>
          <w:rFonts w:eastAsia="Calibri"/>
          <w:i/>
          <w:szCs w:val="22"/>
          <w:lang w:eastAsia="de-DE" w:bidi="de-DE"/>
        </w:rPr>
        <w:t xml:space="preserve"> eingefügt durch Art. 3 des K.E. vom 4. August 2014 (B.S. vom 18. August 2014, Err. vom 4. September 2014)]</w:t>
      </w:r>
    </w:p>
    <w:p w14:paraId="550CBAC4" w14:textId="77777777" w:rsidR="005A5BD5" w:rsidRPr="00334017" w:rsidRDefault="005A5BD5" w:rsidP="00FB3E9E">
      <w:pPr>
        <w:jc w:val="both"/>
        <w:rPr>
          <w:rFonts w:eastAsia="Calibri"/>
          <w:szCs w:val="22"/>
          <w:lang w:eastAsia="de-DE" w:bidi="de-DE"/>
        </w:rPr>
      </w:pPr>
    </w:p>
    <w:p w14:paraId="6465C891" w14:textId="77777777" w:rsidR="005A5BD5" w:rsidRPr="00334017" w:rsidRDefault="005A5BD5" w:rsidP="00FB3E9E">
      <w:pPr>
        <w:jc w:val="both"/>
        <w:rPr>
          <w:rFonts w:eastAsia="Calibri"/>
          <w:szCs w:val="22"/>
          <w:lang w:eastAsia="de-DE" w:bidi="de-DE"/>
        </w:rPr>
      </w:pPr>
    </w:p>
    <w:p w14:paraId="2FCC5AF0"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18/1</w:t>
      </w:r>
      <w:r w:rsidRPr="00334017">
        <w:rPr>
          <w:rFonts w:eastAsia="Calibri"/>
          <w:szCs w:val="22"/>
          <w:lang w:eastAsia="de-DE" w:bidi="de-DE"/>
        </w:rPr>
        <w:t> - § 1 - Folgende Einrichtungen können für die Anwendung von Artikel 145</w:t>
      </w:r>
      <w:r w:rsidRPr="00334017">
        <w:rPr>
          <w:rFonts w:eastAsia="Calibri"/>
          <w:szCs w:val="22"/>
          <w:vertAlign w:val="superscript"/>
          <w:lang w:eastAsia="de-DE" w:bidi="de-DE"/>
        </w:rPr>
        <w:t>33</w:t>
      </w:r>
      <w:r w:rsidRPr="00334017">
        <w:rPr>
          <w:rFonts w:eastAsia="Calibri"/>
          <w:szCs w:val="22"/>
          <w:lang w:eastAsia="de-DE" w:bidi="de-DE"/>
        </w:rPr>
        <w:t xml:space="preserve"> § 1 Absatz 1 Nr. 1 Buchstabe </w:t>
      </w:r>
      <w:r w:rsidRPr="00334017">
        <w:rPr>
          <w:rFonts w:eastAsia="Calibri"/>
          <w:i/>
          <w:szCs w:val="22"/>
          <w:lang w:eastAsia="de-DE" w:bidi="de-DE"/>
        </w:rPr>
        <w:t>b)</w:t>
      </w:r>
      <w:r w:rsidRPr="00334017">
        <w:rPr>
          <w:rFonts w:eastAsia="Calibri"/>
          <w:szCs w:val="22"/>
          <w:lang w:eastAsia="de-DE" w:bidi="de-DE"/>
        </w:rPr>
        <w:t xml:space="preserve">, </w:t>
      </w:r>
      <w:r w:rsidRPr="00334017">
        <w:rPr>
          <w:rFonts w:eastAsia="Calibri"/>
          <w:i/>
          <w:szCs w:val="22"/>
          <w:lang w:eastAsia="de-DE" w:bidi="de-DE"/>
        </w:rPr>
        <w:t>d)</w:t>
      </w:r>
      <w:r w:rsidRPr="00334017">
        <w:rPr>
          <w:rFonts w:eastAsia="Calibri"/>
          <w:szCs w:val="22"/>
          <w:lang w:eastAsia="de-DE" w:bidi="de-DE"/>
        </w:rPr>
        <w:t xml:space="preserve">, </w:t>
      </w:r>
      <w:r w:rsidRPr="00334017">
        <w:rPr>
          <w:rFonts w:eastAsia="Calibri"/>
          <w:i/>
          <w:szCs w:val="22"/>
          <w:lang w:eastAsia="de-DE" w:bidi="de-DE"/>
        </w:rPr>
        <w:t>e)</w:t>
      </w:r>
      <w:r w:rsidRPr="00334017">
        <w:rPr>
          <w:rFonts w:eastAsia="Calibri"/>
          <w:szCs w:val="22"/>
          <w:lang w:eastAsia="de-DE" w:bidi="de-DE"/>
        </w:rPr>
        <w:t xml:space="preserve">, </w:t>
      </w:r>
      <w:r w:rsidRPr="00334017">
        <w:rPr>
          <w:rFonts w:eastAsia="Calibri"/>
          <w:i/>
          <w:szCs w:val="22"/>
          <w:lang w:eastAsia="de-DE" w:bidi="de-DE"/>
        </w:rPr>
        <w:t>g)</w:t>
      </w:r>
      <w:r w:rsidRPr="00334017">
        <w:rPr>
          <w:rFonts w:eastAsia="Calibri"/>
          <w:szCs w:val="22"/>
          <w:lang w:eastAsia="de-DE" w:bidi="de-DE"/>
        </w:rPr>
        <w:t xml:space="preserve">, </w:t>
      </w:r>
      <w:r w:rsidRPr="00334017">
        <w:rPr>
          <w:rFonts w:eastAsia="Calibri"/>
          <w:i/>
          <w:szCs w:val="22"/>
          <w:lang w:eastAsia="de-DE" w:bidi="de-DE"/>
        </w:rPr>
        <w:t>i)</w:t>
      </w:r>
      <w:r w:rsidRPr="00334017">
        <w:rPr>
          <w:rFonts w:eastAsia="Calibri"/>
          <w:szCs w:val="22"/>
          <w:lang w:eastAsia="de-DE" w:bidi="de-DE"/>
        </w:rPr>
        <w:t xml:space="preserve">, </w:t>
      </w:r>
      <w:r w:rsidRPr="00334017">
        <w:rPr>
          <w:rFonts w:eastAsia="Calibri"/>
          <w:i/>
          <w:szCs w:val="22"/>
          <w:lang w:eastAsia="de-DE" w:bidi="de-DE"/>
        </w:rPr>
        <w:t>j)</w:t>
      </w:r>
      <w:r w:rsidRPr="00334017">
        <w:rPr>
          <w:rFonts w:eastAsia="Calibri"/>
          <w:szCs w:val="22"/>
          <w:lang w:eastAsia="de-DE" w:bidi="de-DE"/>
        </w:rPr>
        <w:t xml:space="preserve"> und </w:t>
      </w:r>
      <w:r w:rsidRPr="00334017">
        <w:rPr>
          <w:rFonts w:eastAsia="Calibri"/>
          <w:i/>
          <w:szCs w:val="22"/>
          <w:lang w:eastAsia="de-DE" w:bidi="de-DE"/>
        </w:rPr>
        <w:t>l)</w:t>
      </w:r>
      <w:r w:rsidRPr="00334017">
        <w:rPr>
          <w:rFonts w:eastAsia="Calibri"/>
          <w:szCs w:val="22"/>
          <w:lang w:eastAsia="de-DE" w:bidi="de-DE"/>
        </w:rPr>
        <w:t xml:space="preserve">, Nr. 2 und Nr. 3 des Einkommensteuergesetzbuches 1992 zugelassen werden: </w:t>
      </w:r>
    </w:p>
    <w:p w14:paraId="4DC9711E" w14:textId="77777777" w:rsidR="005A5BD5" w:rsidRPr="00334017" w:rsidRDefault="005A5BD5" w:rsidP="00FB3E9E">
      <w:pPr>
        <w:jc w:val="both"/>
        <w:rPr>
          <w:rFonts w:eastAsia="Calibri"/>
          <w:szCs w:val="22"/>
          <w:lang w:eastAsia="de-DE" w:bidi="de-DE"/>
        </w:rPr>
      </w:pPr>
    </w:p>
    <w:p w14:paraId="44057420"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1. Einrichtungen für wissenschaftliche Forschung,</w:t>
      </w:r>
    </w:p>
    <w:p w14:paraId="2044BC81" w14:textId="77777777" w:rsidR="005A5BD5" w:rsidRPr="00334017" w:rsidRDefault="005A5BD5" w:rsidP="00FB3E9E">
      <w:pPr>
        <w:jc w:val="both"/>
        <w:rPr>
          <w:rFonts w:eastAsia="Calibri"/>
          <w:szCs w:val="22"/>
          <w:lang w:eastAsia="de-DE" w:bidi="de-DE"/>
        </w:rPr>
      </w:pPr>
    </w:p>
    <w:p w14:paraId="08006248"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2. Einrichtungen, die Kriegsopfer</w:t>
      </w:r>
      <w:r>
        <w:rPr>
          <w:rFonts w:eastAsia="Calibri"/>
          <w:szCs w:val="22"/>
          <w:lang w:eastAsia="de-DE" w:bidi="de-DE"/>
        </w:rPr>
        <w:t>n beistehen</w:t>
      </w:r>
      <w:r w:rsidRPr="00334017">
        <w:rPr>
          <w:rFonts w:eastAsia="Calibri"/>
          <w:szCs w:val="22"/>
          <w:lang w:eastAsia="de-DE" w:bidi="de-DE"/>
        </w:rPr>
        <w:t>,</w:t>
      </w:r>
    </w:p>
    <w:p w14:paraId="11C7073A" w14:textId="77777777" w:rsidR="005A5BD5" w:rsidRPr="00334017" w:rsidRDefault="005A5BD5" w:rsidP="00FB3E9E">
      <w:pPr>
        <w:jc w:val="both"/>
        <w:rPr>
          <w:rFonts w:eastAsia="Calibri"/>
          <w:szCs w:val="22"/>
          <w:lang w:eastAsia="de-DE" w:bidi="de-DE"/>
        </w:rPr>
      </w:pPr>
    </w:p>
    <w:p w14:paraId="1B6CEFD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3. Einrichtungen, die Behinderte</w:t>
      </w:r>
      <w:r>
        <w:rPr>
          <w:rFonts w:eastAsia="Calibri"/>
          <w:szCs w:val="22"/>
          <w:lang w:eastAsia="de-DE" w:bidi="de-DE"/>
        </w:rPr>
        <w:t>n</w:t>
      </w:r>
      <w:r w:rsidRPr="00334017">
        <w:rPr>
          <w:rFonts w:eastAsia="Calibri"/>
          <w:szCs w:val="22"/>
          <w:lang w:eastAsia="de-DE" w:bidi="de-DE"/>
        </w:rPr>
        <w:t>, Betagte</w:t>
      </w:r>
      <w:r>
        <w:rPr>
          <w:rFonts w:eastAsia="Calibri"/>
          <w:szCs w:val="22"/>
          <w:lang w:eastAsia="de-DE" w:bidi="de-DE"/>
        </w:rPr>
        <w:t>n</w:t>
      </w:r>
      <w:r w:rsidRPr="00334017">
        <w:rPr>
          <w:rFonts w:eastAsia="Calibri"/>
          <w:szCs w:val="22"/>
          <w:lang w:eastAsia="de-DE" w:bidi="de-DE"/>
        </w:rPr>
        <w:t>, geschützte</w:t>
      </w:r>
      <w:r>
        <w:rPr>
          <w:rFonts w:eastAsia="Calibri"/>
          <w:szCs w:val="22"/>
          <w:lang w:eastAsia="de-DE" w:bidi="de-DE"/>
        </w:rPr>
        <w:t>n</w:t>
      </w:r>
      <w:r w:rsidRPr="00334017">
        <w:rPr>
          <w:rFonts w:eastAsia="Calibri"/>
          <w:szCs w:val="22"/>
          <w:lang w:eastAsia="de-DE" w:bidi="de-DE"/>
        </w:rPr>
        <w:t xml:space="preserve"> Minderjährige</w:t>
      </w:r>
      <w:r>
        <w:rPr>
          <w:rFonts w:eastAsia="Calibri"/>
          <w:szCs w:val="22"/>
          <w:lang w:eastAsia="de-DE" w:bidi="de-DE"/>
        </w:rPr>
        <w:t>n</w:t>
      </w:r>
      <w:r w:rsidRPr="00334017">
        <w:rPr>
          <w:rFonts w:eastAsia="Calibri"/>
          <w:szCs w:val="22"/>
          <w:lang w:eastAsia="de-DE" w:bidi="de-DE"/>
        </w:rPr>
        <w:t xml:space="preserve"> oder Bedürftige</w:t>
      </w:r>
      <w:r>
        <w:rPr>
          <w:rFonts w:eastAsia="Calibri"/>
          <w:szCs w:val="22"/>
          <w:lang w:eastAsia="de-DE" w:bidi="de-DE"/>
        </w:rPr>
        <w:t>n</w:t>
      </w:r>
      <w:r w:rsidRPr="00334017">
        <w:rPr>
          <w:rFonts w:eastAsia="Calibri"/>
          <w:szCs w:val="22"/>
          <w:lang w:eastAsia="de-DE" w:bidi="de-DE"/>
        </w:rPr>
        <w:t xml:space="preserve"> </w:t>
      </w:r>
      <w:r>
        <w:rPr>
          <w:rFonts w:eastAsia="Calibri"/>
          <w:szCs w:val="22"/>
          <w:lang w:eastAsia="de-DE" w:bidi="de-DE"/>
        </w:rPr>
        <w:t>beistehen</w:t>
      </w:r>
      <w:r w:rsidRPr="00334017">
        <w:rPr>
          <w:rFonts w:eastAsia="Calibri"/>
          <w:szCs w:val="22"/>
          <w:lang w:eastAsia="de-DE" w:bidi="de-DE"/>
        </w:rPr>
        <w:t>,</w:t>
      </w:r>
    </w:p>
    <w:p w14:paraId="3D3A1F04" w14:textId="77777777" w:rsidR="006E0D53" w:rsidRDefault="006E0D53" w:rsidP="00FB3E9E">
      <w:pPr>
        <w:jc w:val="both"/>
        <w:rPr>
          <w:rFonts w:eastAsia="Calibri"/>
          <w:szCs w:val="22"/>
          <w:lang w:eastAsia="de-DE" w:bidi="de-DE"/>
        </w:rPr>
      </w:pPr>
    </w:p>
    <w:p w14:paraId="79C4A55B"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lastRenderedPageBreak/>
        <w:tab/>
        <w:t>4. Einrichtungen, die Entwicklungsländern Hilfe leisten,</w:t>
      </w:r>
    </w:p>
    <w:p w14:paraId="08088A26" w14:textId="77777777" w:rsidR="005A5BD5" w:rsidRPr="00334017" w:rsidRDefault="005A5BD5" w:rsidP="00FB3E9E">
      <w:pPr>
        <w:jc w:val="both"/>
        <w:rPr>
          <w:rFonts w:eastAsia="Calibri"/>
          <w:szCs w:val="22"/>
          <w:lang w:eastAsia="de-DE" w:bidi="de-DE"/>
        </w:rPr>
      </w:pPr>
    </w:p>
    <w:p w14:paraId="4AA89178"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5. kulturelle Einrichtungen,</w:t>
      </w:r>
    </w:p>
    <w:p w14:paraId="3FE1953D" w14:textId="77777777" w:rsidR="005A5BD5" w:rsidRPr="00334017" w:rsidRDefault="005A5BD5" w:rsidP="00FB3E9E">
      <w:pPr>
        <w:jc w:val="both"/>
        <w:rPr>
          <w:rFonts w:eastAsia="Calibri"/>
          <w:szCs w:val="22"/>
          <w:lang w:eastAsia="de-DE" w:bidi="de-DE"/>
        </w:rPr>
      </w:pPr>
    </w:p>
    <w:p w14:paraId="4C272D8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6. Einrichtungen, die geschaffen werden, um Opfern von Naturkatastrophen, die die Anwendung des Gesetzes vom 12. Juli 1976 über die Wiedergutmachung bestimmter durch Naturkatastrophen an Privatgütern verursachter Schäden rechtfertigen, zu helfen,</w:t>
      </w:r>
    </w:p>
    <w:p w14:paraId="160ABB96" w14:textId="77777777" w:rsidR="005A5BD5" w:rsidRPr="00334017" w:rsidRDefault="005A5BD5" w:rsidP="00FB3E9E">
      <w:pPr>
        <w:jc w:val="both"/>
        <w:rPr>
          <w:rFonts w:eastAsia="Calibri"/>
          <w:szCs w:val="22"/>
          <w:lang w:eastAsia="de-DE" w:bidi="de-DE"/>
        </w:rPr>
      </w:pPr>
    </w:p>
    <w:p w14:paraId="34CB22AA"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7. Einrichtungen, deren Aufgabe die Erhaltung der Natur oder der Umweltschutz ist,</w:t>
      </w:r>
    </w:p>
    <w:p w14:paraId="6FFD9DEF" w14:textId="77777777" w:rsidR="005A5BD5" w:rsidRPr="00334017" w:rsidRDefault="005A5BD5" w:rsidP="00FB3E9E">
      <w:pPr>
        <w:jc w:val="both"/>
        <w:rPr>
          <w:rFonts w:eastAsia="Calibri"/>
          <w:szCs w:val="22"/>
          <w:lang w:eastAsia="de-DE" w:bidi="de-DE"/>
        </w:rPr>
      </w:pPr>
    </w:p>
    <w:p w14:paraId="6FA0D348"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8. Einrichtungen, die Opfern schwerer Industrieunfälle Hilfe leisten,</w:t>
      </w:r>
    </w:p>
    <w:p w14:paraId="07D65BEF" w14:textId="77777777" w:rsidR="005A5BD5" w:rsidRPr="00334017" w:rsidRDefault="005A5BD5" w:rsidP="00FB3E9E">
      <w:pPr>
        <w:jc w:val="both"/>
        <w:rPr>
          <w:rFonts w:eastAsia="Calibri"/>
          <w:szCs w:val="22"/>
          <w:lang w:eastAsia="de-DE" w:bidi="de-DE"/>
        </w:rPr>
      </w:pPr>
    </w:p>
    <w:p w14:paraId="45918D28"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9. Einrichtungen, deren Zweck darin besteht, Denkmäler und Landschaften zu erhalten oder zu schützen,</w:t>
      </w:r>
    </w:p>
    <w:p w14:paraId="7BE10D3F" w14:textId="77777777" w:rsidR="005A5BD5" w:rsidRPr="00334017" w:rsidRDefault="005A5BD5" w:rsidP="00FB3E9E">
      <w:pPr>
        <w:jc w:val="both"/>
        <w:rPr>
          <w:rFonts w:eastAsia="Calibri"/>
          <w:szCs w:val="22"/>
          <w:lang w:eastAsia="de-DE" w:bidi="de-DE"/>
        </w:rPr>
      </w:pPr>
    </w:p>
    <w:p w14:paraId="03C6224D"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10. Einrichtungen, die nachhaltige Entwicklung zum Ziel haben.</w:t>
      </w:r>
    </w:p>
    <w:p w14:paraId="631E938D" w14:textId="77777777" w:rsidR="005A5BD5" w:rsidRPr="00334017" w:rsidRDefault="005A5BD5" w:rsidP="00FB3E9E">
      <w:pPr>
        <w:jc w:val="both"/>
        <w:rPr>
          <w:rFonts w:eastAsia="Calibri"/>
          <w:szCs w:val="22"/>
          <w:lang w:eastAsia="de-DE" w:bidi="de-DE"/>
        </w:rPr>
      </w:pPr>
    </w:p>
    <w:p w14:paraId="270F6F2D"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2 - Die Zulassung wird für einen Zeitraum von höchstens sechs aufeinander folgenden Kalenderjahren erteilt.</w:t>
      </w:r>
    </w:p>
    <w:p w14:paraId="1628DADB" w14:textId="77777777" w:rsidR="005A5BD5" w:rsidRPr="00334017" w:rsidRDefault="005A5BD5" w:rsidP="00FB3E9E">
      <w:pPr>
        <w:jc w:val="both"/>
        <w:rPr>
          <w:rFonts w:eastAsia="Calibri"/>
          <w:szCs w:val="22"/>
          <w:lang w:eastAsia="de-DE" w:bidi="de-DE"/>
        </w:rPr>
      </w:pPr>
    </w:p>
    <w:p w14:paraId="3860BE4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3 - In § 1 erwähnte Einrichtungen müssen neben den in Artikel 63</w:t>
      </w:r>
      <w:r w:rsidRPr="00334017">
        <w:rPr>
          <w:rFonts w:eastAsia="Calibri"/>
          <w:szCs w:val="22"/>
          <w:vertAlign w:val="superscript"/>
          <w:lang w:eastAsia="de-DE" w:bidi="de-DE"/>
        </w:rPr>
        <w:t>18/3</w:t>
      </w:r>
      <w:r w:rsidRPr="00334017">
        <w:rPr>
          <w:rFonts w:eastAsia="Calibri"/>
          <w:szCs w:val="22"/>
          <w:lang w:eastAsia="de-DE" w:bidi="de-DE"/>
        </w:rPr>
        <w:t xml:space="preserve"> erwähnten Sonderbedingungen folgende allgemeine Bedingungen erfüllen:</w:t>
      </w:r>
    </w:p>
    <w:p w14:paraId="72717965" w14:textId="77777777" w:rsidR="005A5BD5" w:rsidRPr="00334017" w:rsidRDefault="005A5BD5" w:rsidP="00FB3E9E">
      <w:pPr>
        <w:jc w:val="both"/>
        <w:rPr>
          <w:rFonts w:eastAsia="Calibri"/>
          <w:szCs w:val="22"/>
          <w:lang w:eastAsia="de-DE" w:bidi="de-DE"/>
        </w:rPr>
      </w:pPr>
    </w:p>
    <w:p w14:paraId="064B0757"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1. Sie müssen Rechtspersönlichkeit besitzen und in Belgien ansässig sein.</w:t>
      </w:r>
    </w:p>
    <w:p w14:paraId="07653A99" w14:textId="77777777" w:rsidR="005A5BD5" w:rsidRPr="00334017" w:rsidRDefault="005A5BD5" w:rsidP="00FB3E9E">
      <w:pPr>
        <w:jc w:val="both"/>
        <w:rPr>
          <w:rFonts w:eastAsia="Calibri"/>
          <w:szCs w:val="22"/>
          <w:lang w:eastAsia="de-DE" w:bidi="de-DE"/>
        </w:rPr>
      </w:pPr>
    </w:p>
    <w:p w14:paraId="5185B694"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2. Sie dürfen keine Gewinnerzielung beabsichtigen, weder für sich selbst noch für ihre Organe noch für ihre Mitglieder als solche.</w:t>
      </w:r>
    </w:p>
    <w:p w14:paraId="11BA320C" w14:textId="77777777" w:rsidR="005A5BD5" w:rsidRPr="00334017" w:rsidRDefault="005A5BD5" w:rsidP="00FB3E9E">
      <w:pPr>
        <w:jc w:val="both"/>
        <w:rPr>
          <w:rFonts w:eastAsia="Calibri"/>
          <w:szCs w:val="22"/>
          <w:lang w:eastAsia="de-DE" w:bidi="de-DE"/>
        </w:rPr>
      </w:pPr>
    </w:p>
    <w:p w14:paraId="2F1EA784"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4 - Um zugelassen zu werden, müssen in § 1 erwähnte Einrichtungen in den nachstehend bestimmten Formen und Fristen einen diesbezüglichen schriftlichen Antrag einreichen.</w:t>
      </w:r>
    </w:p>
    <w:p w14:paraId="460D2C6C" w14:textId="77777777" w:rsidR="005A5BD5" w:rsidRPr="00334017" w:rsidRDefault="005A5BD5" w:rsidP="00FB3E9E">
      <w:pPr>
        <w:jc w:val="both"/>
        <w:rPr>
          <w:rFonts w:eastAsia="Calibri"/>
          <w:szCs w:val="22"/>
          <w:lang w:eastAsia="de-DE" w:bidi="de-DE"/>
        </w:rPr>
      </w:pPr>
    </w:p>
    <w:p w14:paraId="026E114A" w14:textId="078361DB" w:rsidR="005A5BD5" w:rsidRPr="00334017" w:rsidRDefault="005A5BD5" w:rsidP="00FB3E9E">
      <w:pPr>
        <w:jc w:val="both"/>
        <w:rPr>
          <w:rFonts w:eastAsia="Calibri"/>
          <w:szCs w:val="22"/>
          <w:lang w:eastAsia="de-DE" w:bidi="de-DE"/>
        </w:rPr>
      </w:pPr>
      <w:r w:rsidRPr="00334017">
        <w:rPr>
          <w:rFonts w:eastAsia="Calibri"/>
          <w:szCs w:val="22"/>
          <w:lang w:eastAsia="de-DE" w:bidi="de-DE"/>
        </w:rPr>
        <w:tab/>
        <w:t xml:space="preserve">§ 5 - Anträge auf Zulassung oder Erneuerung der Zulassung müssen spätestens am 31. Dezember des Jahres vor dem Zeitraum, für den die Zulassung oder Erneuerung der Zulassung beantragt wird, </w:t>
      </w:r>
      <w:r w:rsidR="00E61F2A">
        <w:rPr>
          <w:rFonts w:eastAsia="Calibri"/>
          <w:szCs w:val="22"/>
          <w:lang w:eastAsia="de-DE" w:bidi="de-DE"/>
        </w:rPr>
        <w:t>[</w:t>
      </w:r>
      <w:r w:rsidR="00E61F2A" w:rsidRPr="00DA477C">
        <w:t>beim Generalverwalter Steuerwesen des FÖD Finanzen</w:t>
      </w:r>
      <w:r w:rsidR="00E61F2A">
        <w:rPr>
          <w:rFonts w:eastAsia="Calibri"/>
          <w:szCs w:val="22"/>
          <w:lang w:eastAsia="de-DE" w:bidi="de-DE"/>
        </w:rPr>
        <w:t>]</w:t>
      </w:r>
      <w:r w:rsidRPr="00334017">
        <w:rPr>
          <w:rFonts w:eastAsia="Calibri"/>
          <w:szCs w:val="22"/>
          <w:lang w:eastAsia="de-DE" w:bidi="de-DE"/>
        </w:rPr>
        <w:t xml:space="preserve"> eingereicht werden; die Frist darf jedoch nicht weniger als drei Monate ab dem Datum, an dem die antragstellende Einrichtung Rechtspersönlichkeit erlangt, betragen.</w:t>
      </w:r>
    </w:p>
    <w:p w14:paraId="539A067E" w14:textId="77777777" w:rsidR="005A5BD5" w:rsidRPr="00334017" w:rsidRDefault="005A5BD5" w:rsidP="00FB3E9E">
      <w:pPr>
        <w:jc w:val="both"/>
        <w:rPr>
          <w:rFonts w:eastAsia="Calibri"/>
          <w:szCs w:val="22"/>
          <w:lang w:eastAsia="de-DE" w:bidi="de-DE"/>
        </w:rPr>
      </w:pPr>
    </w:p>
    <w:p w14:paraId="56F7FBF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In Abweichung von vorhergehendem Absatz kann ein Antrag auf Zulassung für die in § 1 Nr. 6 und 8 erwähnten Einrichtungen ebenfalls innerhalb einer Frist von drei Monaten ab Beginn der Hilfeleistung durch die betreffende Einrichtung gültig eingereicht werden. In Abweichung von § 2 wird die Zulassung in diesem Fall für einen Zeitraum von höchstens drei Kalenderjahren erteilt. Was das erste Kalenderjahr betrifft, gilt die Zulassung frühestens ab Beginn der Hilfeleistung.</w:t>
      </w:r>
    </w:p>
    <w:p w14:paraId="028A5507" w14:textId="77777777" w:rsidR="006E0D53" w:rsidRDefault="006E0D53" w:rsidP="00FB3E9E">
      <w:pPr>
        <w:jc w:val="both"/>
        <w:rPr>
          <w:rFonts w:eastAsia="Calibri"/>
          <w:szCs w:val="22"/>
          <w:lang w:eastAsia="de-DE" w:bidi="de-DE"/>
        </w:rPr>
      </w:pPr>
    </w:p>
    <w:p w14:paraId="0FECB1A8"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6 - Für die in § 1 Nr. 3 erwähnten Einrichtungen kann die Zulassung in Fällen eine</w:t>
      </w:r>
      <w:r>
        <w:rPr>
          <w:rFonts w:eastAsia="Calibri"/>
          <w:szCs w:val="22"/>
          <w:lang w:eastAsia="de-DE" w:bidi="de-DE"/>
        </w:rPr>
        <w:t>s</w:t>
      </w:r>
      <w:r w:rsidRPr="00334017">
        <w:rPr>
          <w:rFonts w:eastAsia="Calibri"/>
          <w:szCs w:val="22"/>
          <w:lang w:eastAsia="de-DE" w:bidi="de-DE"/>
        </w:rPr>
        <w:t xml:space="preserve"> außergewöhnlichen und dringenden </w:t>
      </w:r>
      <w:r>
        <w:rPr>
          <w:rFonts w:eastAsia="Calibri"/>
          <w:szCs w:val="22"/>
          <w:lang w:eastAsia="de-DE" w:bidi="de-DE"/>
        </w:rPr>
        <w:t>Beistands</w:t>
      </w:r>
      <w:r w:rsidRPr="00334017">
        <w:rPr>
          <w:rFonts w:eastAsia="Calibri"/>
          <w:szCs w:val="22"/>
          <w:lang w:eastAsia="de-DE" w:bidi="de-DE"/>
        </w:rPr>
        <w:t xml:space="preserve"> Bedürftiger jedoch ebenfalls erteilt werden:</w:t>
      </w:r>
    </w:p>
    <w:p w14:paraId="066831C9" w14:textId="77777777" w:rsidR="005A5BD5" w:rsidRPr="00334017" w:rsidRDefault="005A5BD5" w:rsidP="00FB3E9E">
      <w:pPr>
        <w:jc w:val="both"/>
        <w:rPr>
          <w:rFonts w:eastAsia="Calibri"/>
          <w:szCs w:val="22"/>
          <w:lang w:eastAsia="de-DE" w:bidi="de-DE"/>
        </w:rPr>
      </w:pPr>
    </w:p>
    <w:p w14:paraId="664A9587"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xml:space="preserve">- wenn die Tätigkeiten der unterstützenden Einrichtung nicht auf nationaler Ebene ausgeübt werden oder </w:t>
      </w:r>
      <w:r>
        <w:rPr>
          <w:rFonts w:eastAsia="Calibri"/>
          <w:szCs w:val="22"/>
          <w:lang w:eastAsia="de-DE" w:bidi="de-DE"/>
        </w:rPr>
        <w:t>nicht den Beistand</w:t>
      </w:r>
      <w:r w:rsidRPr="00334017">
        <w:rPr>
          <w:rFonts w:eastAsia="Calibri"/>
          <w:szCs w:val="22"/>
          <w:lang w:eastAsia="de-DE" w:bidi="de-DE"/>
        </w:rPr>
        <w:t xml:space="preserve"> Bedürftiger zum Zweck haben</w:t>
      </w:r>
    </w:p>
    <w:p w14:paraId="56574E02" w14:textId="77777777" w:rsidR="005A5BD5" w:rsidRPr="00334017" w:rsidRDefault="005A5BD5" w:rsidP="00FB3E9E">
      <w:pPr>
        <w:jc w:val="both"/>
        <w:rPr>
          <w:rFonts w:eastAsia="Calibri"/>
          <w:szCs w:val="22"/>
          <w:lang w:eastAsia="de-DE" w:bidi="de-DE"/>
        </w:rPr>
      </w:pPr>
    </w:p>
    <w:p w14:paraId="6E58872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xml:space="preserve">- oder auch wenn der Zulassungsantrag </w:t>
      </w:r>
      <w:r>
        <w:rPr>
          <w:rFonts w:eastAsia="Calibri"/>
          <w:szCs w:val="22"/>
          <w:lang w:eastAsia="de-DE" w:bidi="de-DE"/>
        </w:rPr>
        <w:t>dem Beistand</w:t>
      </w:r>
      <w:r w:rsidRPr="00334017">
        <w:rPr>
          <w:rFonts w:eastAsia="Calibri"/>
          <w:szCs w:val="22"/>
          <w:lang w:eastAsia="de-DE" w:bidi="de-DE"/>
        </w:rPr>
        <w:t xml:space="preserve"> nicht vorangeht.</w:t>
      </w:r>
    </w:p>
    <w:p w14:paraId="5544E61D" w14:textId="77777777" w:rsidR="005A5BD5" w:rsidRPr="00334017" w:rsidRDefault="005A5BD5" w:rsidP="00FB3E9E">
      <w:pPr>
        <w:jc w:val="both"/>
        <w:rPr>
          <w:rFonts w:eastAsia="Calibri"/>
          <w:szCs w:val="22"/>
          <w:lang w:eastAsia="de-DE" w:bidi="de-DE"/>
        </w:rPr>
      </w:pPr>
    </w:p>
    <w:p w14:paraId="4F3CBA6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In diesen Fällen muss der Zulassungsantrag spätestens sechs Monate nach Beginn de</w:t>
      </w:r>
      <w:r>
        <w:rPr>
          <w:rFonts w:eastAsia="Calibri"/>
          <w:szCs w:val="22"/>
          <w:lang w:eastAsia="de-DE" w:bidi="de-DE"/>
        </w:rPr>
        <w:t>r Beistandsleistungen</w:t>
      </w:r>
      <w:r w:rsidRPr="00334017">
        <w:rPr>
          <w:rFonts w:eastAsia="Calibri"/>
          <w:szCs w:val="22"/>
          <w:lang w:eastAsia="de-DE" w:bidi="de-DE"/>
        </w:rPr>
        <w:t xml:space="preserve"> eingereicht werden und ist die Zulassung auf einen Zeitraum von höchstens drei aufeinander folgenden Kalenderjahren begrenzt.</w:t>
      </w:r>
    </w:p>
    <w:p w14:paraId="67C6FEE4" w14:textId="77777777" w:rsidR="005A5BD5" w:rsidRPr="00334017" w:rsidRDefault="005A5BD5" w:rsidP="00FB3E9E">
      <w:pPr>
        <w:jc w:val="both"/>
        <w:rPr>
          <w:rFonts w:eastAsia="Calibri"/>
          <w:szCs w:val="22"/>
          <w:lang w:eastAsia="de-DE" w:bidi="de-DE"/>
        </w:rPr>
      </w:pPr>
    </w:p>
    <w:p w14:paraId="582D60FF"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7 - Anträge auf Zulassung oder Erneuerung der Zulassung müssen Folgendes enthalten:</w:t>
      </w:r>
    </w:p>
    <w:p w14:paraId="5FEEED41" w14:textId="77777777" w:rsidR="005A5BD5" w:rsidRPr="00334017" w:rsidRDefault="005A5BD5" w:rsidP="00FB3E9E">
      <w:pPr>
        <w:jc w:val="both"/>
        <w:rPr>
          <w:rFonts w:eastAsia="Calibri"/>
          <w:szCs w:val="22"/>
          <w:lang w:eastAsia="de-DE" w:bidi="de-DE"/>
        </w:rPr>
      </w:pPr>
    </w:p>
    <w:p w14:paraId="6C10AF8D"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1. Angaben, die erforderlich sind, damit die zuständigen Beratungsorgane des Staates oder der Gemeinschaften beurteilen können, ob die antragstellende Einrichtung die in § 3 vorgesehenen allgemeinen Bedingungen und die in Artikel 63</w:t>
      </w:r>
      <w:r w:rsidRPr="00334017">
        <w:rPr>
          <w:rFonts w:eastAsia="Calibri"/>
          <w:szCs w:val="22"/>
          <w:vertAlign w:val="superscript"/>
          <w:lang w:eastAsia="de-DE" w:bidi="de-DE"/>
        </w:rPr>
        <w:t>18/3</w:t>
      </w:r>
      <w:r w:rsidRPr="00334017">
        <w:rPr>
          <w:rFonts w:eastAsia="Calibri"/>
          <w:szCs w:val="22"/>
          <w:lang w:eastAsia="de-DE" w:bidi="de-DE"/>
        </w:rPr>
        <w:t xml:space="preserve"> vorgesehenen Sonder</w:t>
      </w:r>
      <w:r w:rsidRPr="00334017">
        <w:rPr>
          <w:rFonts w:eastAsia="Calibri"/>
          <w:szCs w:val="22"/>
          <w:lang w:eastAsia="de-DE" w:bidi="de-DE"/>
        </w:rPr>
        <w:softHyphen/>
        <w:t>bedingungen erfüllt,</w:t>
      </w:r>
    </w:p>
    <w:p w14:paraId="572BA55D" w14:textId="77777777" w:rsidR="005A5BD5" w:rsidRPr="00334017" w:rsidRDefault="005A5BD5" w:rsidP="00FB3E9E">
      <w:pPr>
        <w:jc w:val="both"/>
        <w:rPr>
          <w:rFonts w:eastAsia="Calibri"/>
          <w:szCs w:val="22"/>
          <w:lang w:eastAsia="de-DE" w:bidi="de-DE"/>
        </w:rPr>
      </w:pPr>
    </w:p>
    <w:p w14:paraId="4073C56A"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2. Erklärung, in der die antragstellende Einrichtung sich verpflichtet:</w:t>
      </w:r>
    </w:p>
    <w:p w14:paraId="34694B2D" w14:textId="77777777" w:rsidR="005A5BD5" w:rsidRPr="00334017" w:rsidRDefault="005A5BD5" w:rsidP="00FB3E9E">
      <w:pPr>
        <w:jc w:val="both"/>
        <w:rPr>
          <w:rFonts w:eastAsia="Calibri"/>
          <w:szCs w:val="22"/>
          <w:lang w:eastAsia="de-DE" w:bidi="de-DE"/>
        </w:rPr>
      </w:pPr>
    </w:p>
    <w:p w14:paraId="4675C4C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zur Deckung der Kosten für die allgemeine Verwaltung nicht mehr als 20 Prozent ihrer Mittel jeglicher Art zu verwenden, die zuvor um die Mittel verringert wurden, die von anderen zugelassenen Einrichtungen stammen,</w:t>
      </w:r>
    </w:p>
    <w:p w14:paraId="2F09FDED" w14:textId="77777777" w:rsidR="005A5BD5" w:rsidRPr="00334017" w:rsidRDefault="005A5BD5" w:rsidP="00FB3E9E">
      <w:pPr>
        <w:jc w:val="both"/>
        <w:rPr>
          <w:rFonts w:eastAsia="Calibri"/>
          <w:szCs w:val="22"/>
          <w:lang w:eastAsia="de-DE" w:bidi="de-DE"/>
        </w:rPr>
      </w:pPr>
    </w:p>
    <w:p w14:paraId="2D5F3076" w14:textId="4EB58BCE"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w:t>
      </w:r>
      <w:r w:rsidR="00AA7787">
        <w:rPr>
          <w:rFonts w:eastAsia="Calibri"/>
          <w:szCs w:val="22"/>
          <w:lang w:eastAsia="de-DE" w:bidi="de-DE"/>
        </w:rPr>
        <w:t>[...]</w:t>
      </w:r>
    </w:p>
    <w:p w14:paraId="37D2DDA8" w14:textId="77777777" w:rsidR="005A5BD5" w:rsidRPr="00334017" w:rsidRDefault="005A5BD5" w:rsidP="00FB3E9E">
      <w:pPr>
        <w:jc w:val="both"/>
        <w:rPr>
          <w:rFonts w:eastAsia="Calibri"/>
          <w:szCs w:val="22"/>
          <w:lang w:eastAsia="de-DE" w:bidi="de-DE"/>
        </w:rPr>
      </w:pPr>
    </w:p>
    <w:p w14:paraId="2F8E581D"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c)</w:t>
      </w:r>
      <w:r w:rsidRPr="00334017">
        <w:rPr>
          <w:rFonts w:eastAsia="Calibri"/>
          <w:szCs w:val="22"/>
          <w:lang w:eastAsia="de-DE" w:bidi="de-DE"/>
        </w:rPr>
        <w:t xml:space="preserve"> den Beamten der für die Festlegung der Steuer zuständigen Verwaltung jedes Mal, wenn sie es für notwendig erachten, eine Prüfung ihrer Buchhaltung zu ermöglichen,</w:t>
      </w:r>
    </w:p>
    <w:p w14:paraId="02D72176" w14:textId="77777777" w:rsidR="005A5BD5" w:rsidRPr="00334017" w:rsidRDefault="005A5BD5" w:rsidP="00FB3E9E">
      <w:pPr>
        <w:jc w:val="both"/>
        <w:rPr>
          <w:rFonts w:eastAsia="Calibri"/>
          <w:szCs w:val="22"/>
          <w:lang w:eastAsia="de-DE" w:bidi="de-DE"/>
        </w:rPr>
      </w:pPr>
    </w:p>
    <w:p w14:paraId="122B65F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d)</w:t>
      </w:r>
      <w:r w:rsidRPr="00334017">
        <w:rPr>
          <w:rFonts w:eastAsia="Calibri"/>
          <w:szCs w:val="22"/>
          <w:lang w:eastAsia="de-DE" w:bidi="de-DE"/>
        </w:rPr>
        <w:t xml:space="preserve"> den Diensten, die von den für die Zulassung zuständigen Organen des Staates, der Regionen oder der Gemeinschaften bestimmt werden, binnen einem Monat nach dem ersten Ersuchen dieser Dienste jegliche Auskünfte zu erteilen, die für die Untersuchung des Zulassungsantrags erforderlich sind.</w:t>
      </w:r>
    </w:p>
    <w:p w14:paraId="25F27944" w14:textId="77777777" w:rsidR="005A5BD5" w:rsidRPr="00334017" w:rsidRDefault="005A5BD5" w:rsidP="00FB3E9E">
      <w:pPr>
        <w:jc w:val="both"/>
        <w:rPr>
          <w:rFonts w:eastAsia="Calibri"/>
          <w:szCs w:val="22"/>
          <w:lang w:eastAsia="de-DE" w:bidi="de-DE"/>
        </w:rPr>
      </w:pPr>
    </w:p>
    <w:p w14:paraId="6222DE5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Diesen Anträgen muss außerdem eine beglaubigte Abschrift der Einnahmen- und Ausgabenrechnung des letzten abgeschlossenen Geschäftsjahres und des Haushalts des laufenden Geschäftsjahres beigefügt werden.</w:t>
      </w:r>
    </w:p>
    <w:p w14:paraId="6EB8E275" w14:textId="77777777" w:rsidR="005A5BD5" w:rsidRPr="00334017" w:rsidRDefault="005A5BD5" w:rsidP="00FB3E9E">
      <w:pPr>
        <w:jc w:val="both"/>
        <w:rPr>
          <w:rFonts w:eastAsia="Calibri"/>
          <w:szCs w:val="22"/>
          <w:lang w:eastAsia="de-DE" w:bidi="de-DE"/>
        </w:rPr>
      </w:pPr>
    </w:p>
    <w:p w14:paraId="45D49272" w14:textId="53FD6DEC" w:rsidR="005A5BD5" w:rsidRDefault="005A5BD5" w:rsidP="00FB3E9E">
      <w:pPr>
        <w:jc w:val="both"/>
        <w:rPr>
          <w:rFonts w:eastAsia="Calibri"/>
          <w:szCs w:val="22"/>
          <w:lang w:eastAsia="de-DE" w:bidi="de-DE"/>
        </w:rPr>
      </w:pPr>
      <w:r w:rsidRPr="00334017">
        <w:rPr>
          <w:rFonts w:eastAsia="Calibri"/>
          <w:szCs w:val="22"/>
          <w:lang w:eastAsia="de-DE" w:bidi="de-DE"/>
        </w:rPr>
        <w:tab/>
        <w:t xml:space="preserve">§ 8 - </w:t>
      </w:r>
      <w:r w:rsidR="00AA7787">
        <w:rPr>
          <w:rFonts w:eastAsia="Calibri"/>
          <w:szCs w:val="22"/>
          <w:lang w:eastAsia="de-DE" w:bidi="de-DE"/>
        </w:rPr>
        <w:t>[...]</w:t>
      </w:r>
    </w:p>
    <w:p w14:paraId="070307A5" w14:textId="564DD537" w:rsidR="006E0D53" w:rsidRDefault="006E0D53" w:rsidP="00FB3E9E">
      <w:pPr>
        <w:jc w:val="both"/>
        <w:rPr>
          <w:rFonts w:eastAsia="Calibri"/>
          <w:szCs w:val="22"/>
          <w:lang w:eastAsia="de-DE" w:bidi="de-DE"/>
        </w:rPr>
      </w:pPr>
    </w:p>
    <w:p w14:paraId="02F983D7" w14:textId="6AABF352" w:rsidR="00E61F2A" w:rsidRDefault="00E61F2A" w:rsidP="00FB3E9E">
      <w:pPr>
        <w:jc w:val="both"/>
        <w:rPr>
          <w:rFonts w:eastAsia="Calibri"/>
          <w:i/>
          <w:iCs/>
          <w:szCs w:val="22"/>
          <w:lang w:eastAsia="de-DE" w:bidi="de-DE"/>
        </w:rPr>
      </w:pPr>
      <w:r>
        <w:rPr>
          <w:rFonts w:eastAsia="Calibri"/>
          <w:i/>
          <w:iCs/>
          <w:szCs w:val="22"/>
          <w:lang w:eastAsia="de-DE" w:bidi="de-DE"/>
        </w:rPr>
        <w:t>[Art. 63</w:t>
      </w:r>
      <w:r w:rsidRPr="00E61F2A">
        <w:rPr>
          <w:rFonts w:eastAsia="Calibri"/>
          <w:i/>
          <w:iCs/>
          <w:szCs w:val="22"/>
          <w:vertAlign w:val="superscript"/>
          <w:lang w:eastAsia="de-DE" w:bidi="de-DE"/>
        </w:rPr>
        <w:t>18/1</w:t>
      </w:r>
      <w:r>
        <w:rPr>
          <w:rFonts w:eastAsia="Calibri"/>
          <w:i/>
          <w:iCs/>
          <w:szCs w:val="22"/>
          <w:lang w:eastAsia="de-DE" w:bidi="de-DE"/>
        </w:rPr>
        <w:t xml:space="preserve"> § 5 Abs. 1 abgeändert durch Art. 1 des K.E. vom 7. April 2019 (B.S. vom 29. April 2019)</w:t>
      </w:r>
      <w:r w:rsidR="00AA7787">
        <w:rPr>
          <w:rFonts w:eastAsia="Calibri"/>
          <w:i/>
          <w:iCs/>
          <w:szCs w:val="22"/>
          <w:lang w:eastAsia="de-DE" w:bidi="de-DE"/>
        </w:rPr>
        <w:t>; § 7 Abs. 1 Nr. 2 einziger Absatz Buchstabe b) aufgehoben durch Art. 1 Nr. 1 des K.E. vom 12. Mai 2024 (B.S. vom 29. Mai 2024); § 8 aufgehoben durch Art. 1 Nr. </w:t>
      </w:r>
      <w:r w:rsidR="00ED7D68">
        <w:rPr>
          <w:rFonts w:eastAsia="Calibri"/>
          <w:i/>
          <w:iCs/>
          <w:szCs w:val="22"/>
          <w:lang w:eastAsia="de-DE" w:bidi="de-DE"/>
        </w:rPr>
        <w:t>2</w:t>
      </w:r>
      <w:r w:rsidR="00AA7787">
        <w:rPr>
          <w:rFonts w:eastAsia="Calibri"/>
          <w:i/>
          <w:iCs/>
          <w:szCs w:val="22"/>
          <w:lang w:eastAsia="de-DE" w:bidi="de-DE"/>
        </w:rPr>
        <w:t xml:space="preserve"> des K.E. vom 12. Mai 2024 (B.S. vom 29. Mai 2024)</w:t>
      </w:r>
      <w:r>
        <w:rPr>
          <w:rFonts w:eastAsia="Calibri"/>
          <w:i/>
          <w:iCs/>
          <w:szCs w:val="22"/>
          <w:lang w:eastAsia="de-DE" w:bidi="de-DE"/>
        </w:rPr>
        <w:t>]</w:t>
      </w:r>
    </w:p>
    <w:p w14:paraId="2023C9EB" w14:textId="77777777" w:rsidR="00E61F2A" w:rsidRPr="00E61F2A" w:rsidRDefault="00E61F2A" w:rsidP="00FB3E9E">
      <w:pPr>
        <w:jc w:val="both"/>
        <w:rPr>
          <w:rFonts w:eastAsia="Calibri"/>
          <w:i/>
          <w:iCs/>
          <w:szCs w:val="22"/>
          <w:lang w:eastAsia="de-DE" w:bidi="de-DE"/>
        </w:rPr>
      </w:pPr>
    </w:p>
    <w:p w14:paraId="1A48EB75" w14:textId="77777777" w:rsidR="006E0D53" w:rsidRDefault="006E0D53" w:rsidP="00FB3E9E">
      <w:pPr>
        <w:jc w:val="both"/>
        <w:rPr>
          <w:rFonts w:eastAsia="Calibri"/>
          <w:szCs w:val="22"/>
          <w:lang w:eastAsia="de-DE" w:bidi="de-DE"/>
        </w:rPr>
      </w:pPr>
    </w:p>
    <w:p w14:paraId="7A7DA8EA"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18/2</w:t>
      </w:r>
      <w:r w:rsidRPr="00334017">
        <w:rPr>
          <w:rFonts w:eastAsia="Calibri"/>
          <w:szCs w:val="22"/>
          <w:lang w:eastAsia="de-DE" w:bidi="de-DE"/>
        </w:rPr>
        <w:t> - § 1 -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1 bis 4 erwähnten Einrichtungen befinden der Minister der Finanzen und die zuständigen Organe des Staates oder der Gemeinschaften, denen die zuständigen Beratungsorgane unterstehen, gemeinsam über den Zulassungsantrag, nachdem sie die Stellungnahme der vorerwähnten Beratungsorgane eingeholt haben, außer wenn sie von der in Absatz 3 vorgesehenen Möglichkeit Gebrauch machen.</w:t>
      </w:r>
    </w:p>
    <w:p w14:paraId="41C608CD" w14:textId="77777777" w:rsidR="005A5BD5" w:rsidRPr="00334017" w:rsidRDefault="005A5BD5" w:rsidP="00FB3E9E">
      <w:pPr>
        <w:jc w:val="both"/>
        <w:rPr>
          <w:rFonts w:eastAsia="Calibri"/>
          <w:szCs w:val="22"/>
          <w:lang w:eastAsia="de-DE" w:bidi="de-DE"/>
        </w:rPr>
      </w:pPr>
    </w:p>
    <w:p w14:paraId="654C7A9C"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lastRenderedPageBreak/>
        <w:tab/>
        <w:t>Ihr Beschluss wird der antragstellenden Einrichtung notifiziert.</w:t>
      </w:r>
    </w:p>
    <w:p w14:paraId="4208A038" w14:textId="77777777" w:rsidR="005A5BD5" w:rsidRPr="00334017" w:rsidRDefault="005A5BD5" w:rsidP="00FB3E9E">
      <w:pPr>
        <w:jc w:val="both"/>
        <w:rPr>
          <w:rFonts w:eastAsia="Calibri"/>
          <w:szCs w:val="22"/>
          <w:lang w:eastAsia="de-DE" w:bidi="de-DE"/>
        </w:rPr>
      </w:pPr>
    </w:p>
    <w:p w14:paraId="5FF74D3F"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Der Minister der Finanzen und die zuständigen Organe des Staates oder der Gemeinschaften, denen die zuständigen Beratungsorgane unterstehen, können darauf verzichten, die vorerwähnten Beratungsorgane um eine Stellungnahme zu ersuchen, wenn sie Einrichtungen betrifft, über die anlässlich eines früheren Zulassungsantrags bereits eine Stellungnahme abgegeben worden ist.</w:t>
      </w:r>
    </w:p>
    <w:p w14:paraId="2D5B5FFA" w14:textId="77777777" w:rsidR="005A5BD5" w:rsidRPr="00334017" w:rsidRDefault="005A5BD5" w:rsidP="00FB3E9E">
      <w:pPr>
        <w:jc w:val="both"/>
        <w:rPr>
          <w:rFonts w:eastAsia="Calibri"/>
          <w:szCs w:val="22"/>
          <w:lang w:eastAsia="de-DE" w:bidi="de-DE"/>
        </w:rPr>
      </w:pPr>
    </w:p>
    <w:p w14:paraId="257DB77D"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2 -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5 erwähnten Einrichtungen ersucht der Minister der Finanzen in Bezug auf die Erfüllung der in Artikel 63</w:t>
      </w:r>
      <w:r w:rsidRPr="00334017">
        <w:rPr>
          <w:rFonts w:eastAsia="Calibri"/>
          <w:szCs w:val="22"/>
          <w:vertAlign w:val="superscript"/>
          <w:lang w:eastAsia="de-DE" w:bidi="de-DE"/>
        </w:rPr>
        <w:t>18/3</w:t>
      </w:r>
      <w:r w:rsidRPr="00334017">
        <w:rPr>
          <w:rFonts w:eastAsia="Calibri"/>
          <w:szCs w:val="22"/>
          <w:lang w:eastAsia="de-DE" w:bidi="de-DE"/>
        </w:rPr>
        <w:t xml:space="preserve"> § 2 Nr. 1 festgelegten Bedingung die Regierung der Gemeinschaft, auf die sich der Einflussbereich der antragstellenden Einrichtung erstreckt, um eine mit Gründen versehene Stellungnahme.</w:t>
      </w:r>
    </w:p>
    <w:p w14:paraId="62F4FCB1" w14:textId="77777777" w:rsidR="005A5BD5" w:rsidRPr="00334017" w:rsidRDefault="005A5BD5" w:rsidP="00FB3E9E">
      <w:pPr>
        <w:jc w:val="both"/>
        <w:rPr>
          <w:rFonts w:eastAsia="Calibri"/>
          <w:szCs w:val="22"/>
          <w:lang w:eastAsia="de-DE" w:bidi="de-DE"/>
        </w:rPr>
      </w:pPr>
    </w:p>
    <w:p w14:paraId="6B8EFAAC"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[Der Minister der Finanzen ist ermächtigt, die Zulassung zu erteilen.</w:t>
      </w:r>
    </w:p>
    <w:p w14:paraId="673399A9" w14:textId="77777777" w:rsidR="005A5BD5" w:rsidRPr="00334017" w:rsidRDefault="005A5BD5" w:rsidP="00FB3E9E">
      <w:pPr>
        <w:jc w:val="both"/>
        <w:rPr>
          <w:rFonts w:eastAsia="Calibri"/>
          <w:szCs w:val="22"/>
          <w:lang w:eastAsia="de-DE" w:bidi="de-DE"/>
        </w:rPr>
      </w:pPr>
    </w:p>
    <w:p w14:paraId="419AC7E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Sein Beschluss wird der antragstellenden Einrichtung notifiziert.]</w:t>
      </w:r>
    </w:p>
    <w:p w14:paraId="69F4BFA3" w14:textId="77777777" w:rsidR="005A5BD5" w:rsidRPr="00334017" w:rsidRDefault="005A5BD5" w:rsidP="00FB3E9E">
      <w:pPr>
        <w:jc w:val="both"/>
        <w:rPr>
          <w:rFonts w:eastAsia="Calibri"/>
          <w:szCs w:val="22"/>
          <w:lang w:eastAsia="de-DE" w:bidi="de-DE"/>
        </w:rPr>
      </w:pPr>
    </w:p>
    <w:p w14:paraId="6D68C9AC"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3 -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6 erwähnten Einrichtungen befindet der Minister der Finanzen über den Zulassungsantrag.</w:t>
      </w:r>
    </w:p>
    <w:p w14:paraId="680DB62E" w14:textId="77777777" w:rsidR="005A5BD5" w:rsidRPr="00334017" w:rsidRDefault="005A5BD5" w:rsidP="00FB3E9E">
      <w:pPr>
        <w:jc w:val="both"/>
        <w:rPr>
          <w:rFonts w:eastAsia="Calibri"/>
          <w:szCs w:val="22"/>
          <w:lang w:eastAsia="de-DE" w:bidi="de-DE"/>
        </w:rPr>
      </w:pPr>
    </w:p>
    <w:p w14:paraId="7112F5B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Sein Beschluss wird der antragstellenden Einrichtung notifiziert.</w:t>
      </w:r>
    </w:p>
    <w:p w14:paraId="7F69B370" w14:textId="77777777" w:rsidR="005A5BD5" w:rsidRPr="00334017" w:rsidRDefault="005A5BD5" w:rsidP="00FB3E9E">
      <w:pPr>
        <w:jc w:val="both"/>
        <w:rPr>
          <w:rFonts w:eastAsia="Calibri"/>
          <w:szCs w:val="22"/>
          <w:lang w:eastAsia="de-DE" w:bidi="de-DE"/>
        </w:rPr>
      </w:pPr>
    </w:p>
    <w:p w14:paraId="1515CBFF"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4 -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7 erwähnten Einrichtungen befinden der Minister der Finanzen und der für Umwelt zuständige Minister gemeinsam über den Zulassungsantrag.</w:t>
      </w:r>
    </w:p>
    <w:p w14:paraId="003FB64E" w14:textId="77777777" w:rsidR="005A5BD5" w:rsidRPr="00334017" w:rsidRDefault="005A5BD5" w:rsidP="00FB3E9E">
      <w:pPr>
        <w:jc w:val="both"/>
        <w:rPr>
          <w:rFonts w:eastAsia="Calibri"/>
          <w:szCs w:val="22"/>
          <w:lang w:eastAsia="de-DE" w:bidi="de-DE"/>
        </w:rPr>
      </w:pPr>
    </w:p>
    <w:p w14:paraId="27417873"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Ihr Beschluss wird der antragstellenden Einrichtung notifiziert.</w:t>
      </w:r>
    </w:p>
    <w:p w14:paraId="15B68A68" w14:textId="77777777" w:rsidR="005A5BD5" w:rsidRPr="00334017" w:rsidRDefault="005A5BD5" w:rsidP="00FB3E9E">
      <w:pPr>
        <w:jc w:val="both"/>
        <w:rPr>
          <w:rFonts w:eastAsia="Calibri"/>
          <w:szCs w:val="22"/>
          <w:lang w:eastAsia="de-DE" w:bidi="de-DE"/>
        </w:rPr>
      </w:pPr>
    </w:p>
    <w:p w14:paraId="16E8633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5 -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8 erwähnten Einrichtungen befinden der Minister der Finanzen und der Minister der Auswärtigen Angelegenheiten gemeinsam über den Zulassungsantrag.</w:t>
      </w:r>
    </w:p>
    <w:p w14:paraId="6C34027C" w14:textId="77777777" w:rsidR="005A5BD5" w:rsidRPr="00334017" w:rsidRDefault="005A5BD5" w:rsidP="00FB3E9E">
      <w:pPr>
        <w:jc w:val="both"/>
        <w:rPr>
          <w:rFonts w:eastAsia="Calibri"/>
          <w:szCs w:val="22"/>
          <w:lang w:eastAsia="de-DE" w:bidi="de-DE"/>
        </w:rPr>
      </w:pPr>
    </w:p>
    <w:p w14:paraId="22503B65"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Ihr Beschluss wird der antragstellenden Einrichtung notifiziert.</w:t>
      </w:r>
    </w:p>
    <w:p w14:paraId="7B035E57" w14:textId="77777777" w:rsidR="005A5BD5" w:rsidRPr="00334017" w:rsidRDefault="005A5BD5" w:rsidP="00FB3E9E">
      <w:pPr>
        <w:jc w:val="both"/>
        <w:rPr>
          <w:rFonts w:eastAsia="Calibri"/>
          <w:szCs w:val="22"/>
          <w:lang w:eastAsia="de-DE" w:bidi="de-DE"/>
        </w:rPr>
      </w:pPr>
    </w:p>
    <w:p w14:paraId="4B4728D7"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6 -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9 erwähnten Einrichtungen ersucht der Minister der Finanzen in Bezug auf die Erfüllung der in Artikel 63</w:t>
      </w:r>
      <w:r w:rsidRPr="00334017">
        <w:rPr>
          <w:rFonts w:eastAsia="Calibri"/>
          <w:szCs w:val="22"/>
          <w:vertAlign w:val="superscript"/>
          <w:lang w:eastAsia="de-DE" w:bidi="de-DE"/>
        </w:rPr>
        <w:t>18/3</w:t>
      </w:r>
      <w:r w:rsidRPr="00334017">
        <w:rPr>
          <w:rFonts w:eastAsia="Calibri"/>
          <w:szCs w:val="22"/>
          <w:lang w:eastAsia="de-DE" w:bidi="de-DE"/>
        </w:rPr>
        <w:t xml:space="preserve"> § 6 festgelegten Bedingung folgende Stellen um eine mit Gründen versehene Stellungnahme:</w:t>
      </w:r>
    </w:p>
    <w:p w14:paraId="03F6960D" w14:textId="77777777" w:rsidR="005A5BD5" w:rsidRPr="00334017" w:rsidRDefault="005A5BD5" w:rsidP="00FB3E9E">
      <w:pPr>
        <w:jc w:val="both"/>
        <w:rPr>
          <w:rFonts w:eastAsia="Calibri"/>
          <w:szCs w:val="22"/>
          <w:lang w:eastAsia="de-DE" w:bidi="de-DE"/>
        </w:rPr>
      </w:pPr>
    </w:p>
    <w:p w14:paraId="25E73150"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die Regierung der Region, auf die sich der Einflussbereich der antragstellenden Einrichtung erstreckt,</w:t>
      </w:r>
    </w:p>
    <w:p w14:paraId="315B9392" w14:textId="77777777" w:rsidR="005A5BD5" w:rsidRPr="00334017" w:rsidRDefault="005A5BD5" w:rsidP="00FB3E9E">
      <w:pPr>
        <w:jc w:val="both"/>
        <w:rPr>
          <w:rFonts w:eastAsia="Calibri"/>
          <w:szCs w:val="22"/>
          <w:lang w:eastAsia="de-DE" w:bidi="de-DE"/>
        </w:rPr>
      </w:pPr>
    </w:p>
    <w:p w14:paraId="213902C9" w14:textId="77777777" w:rsidR="005A5BD5"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die Regierung der Deutschsprachigen Gemeinschaft, wenn sich der Einflussbereich der antragstellenden Einrichtung auf das deutsche Sprachgebiet erstreckt.</w:t>
      </w:r>
    </w:p>
    <w:p w14:paraId="232C9C15" w14:textId="77777777" w:rsidR="006E0D53" w:rsidRDefault="006E0D53" w:rsidP="00FB3E9E">
      <w:pPr>
        <w:jc w:val="both"/>
        <w:rPr>
          <w:rFonts w:eastAsia="Calibri"/>
          <w:szCs w:val="22"/>
          <w:lang w:eastAsia="de-DE" w:bidi="de-DE"/>
        </w:rPr>
      </w:pPr>
    </w:p>
    <w:p w14:paraId="016C9AEA"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[Der Minister der Finanzen ist ermächtigt, die Zulassung zu erteilen.</w:t>
      </w:r>
    </w:p>
    <w:p w14:paraId="3E7FA8D9" w14:textId="77777777" w:rsidR="005A5BD5" w:rsidRPr="00334017" w:rsidRDefault="005A5BD5" w:rsidP="00FB3E9E">
      <w:pPr>
        <w:jc w:val="both"/>
        <w:rPr>
          <w:rFonts w:eastAsia="Calibri"/>
          <w:szCs w:val="22"/>
          <w:lang w:eastAsia="de-DE" w:bidi="de-DE"/>
        </w:rPr>
      </w:pPr>
    </w:p>
    <w:p w14:paraId="427D5C42"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Sein Beschluss wird der antragstellenden Einrichtung notifiziert.]</w:t>
      </w:r>
    </w:p>
    <w:p w14:paraId="5E492398" w14:textId="77777777" w:rsidR="005A5BD5" w:rsidRPr="00334017" w:rsidRDefault="005A5BD5" w:rsidP="00FB3E9E">
      <w:pPr>
        <w:jc w:val="both"/>
        <w:rPr>
          <w:rFonts w:eastAsia="Calibri"/>
          <w:szCs w:val="22"/>
          <w:lang w:eastAsia="de-DE" w:bidi="de-DE"/>
        </w:rPr>
      </w:pPr>
    </w:p>
    <w:p w14:paraId="36E77355"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7 -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10 erwähnten Einrichtungen befinden der Minister der Finanzen und der für nachhaltige Entwicklung zuständige Minister gemeinsam über den Zulassungsantrag.</w:t>
      </w:r>
    </w:p>
    <w:p w14:paraId="68405A0B" w14:textId="77777777" w:rsidR="005A5BD5" w:rsidRPr="00334017" w:rsidRDefault="005A5BD5" w:rsidP="00FB3E9E">
      <w:pPr>
        <w:jc w:val="both"/>
        <w:rPr>
          <w:rFonts w:eastAsia="Calibri"/>
          <w:szCs w:val="22"/>
          <w:lang w:eastAsia="de-DE" w:bidi="de-DE"/>
        </w:rPr>
      </w:pPr>
    </w:p>
    <w:p w14:paraId="07CB53DB"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Ihr Beschluss wird der antragstellenden Einrichtung notifiziert.</w:t>
      </w:r>
    </w:p>
    <w:p w14:paraId="1E5CB5B4" w14:textId="77777777" w:rsidR="005A5BD5" w:rsidRPr="00334017" w:rsidRDefault="005A5BD5" w:rsidP="00FB3E9E">
      <w:pPr>
        <w:jc w:val="both"/>
        <w:rPr>
          <w:rFonts w:eastAsia="Calibri"/>
          <w:szCs w:val="22"/>
          <w:lang w:eastAsia="de-DE" w:bidi="de-DE"/>
        </w:rPr>
      </w:pPr>
    </w:p>
    <w:p w14:paraId="65B37642" w14:textId="77777777" w:rsidR="005A5BD5" w:rsidRPr="00334017" w:rsidRDefault="005A5BD5" w:rsidP="00FB3E9E">
      <w:pPr>
        <w:jc w:val="both"/>
        <w:rPr>
          <w:rFonts w:eastAsia="Calibri"/>
          <w:i/>
          <w:szCs w:val="22"/>
          <w:lang w:eastAsia="de-DE" w:bidi="de-DE"/>
        </w:rPr>
      </w:pPr>
      <w:r w:rsidRPr="00334017">
        <w:rPr>
          <w:rFonts w:eastAsia="Calibri"/>
          <w:i/>
          <w:szCs w:val="22"/>
          <w:lang w:eastAsia="de-DE" w:bidi="de-DE"/>
        </w:rPr>
        <w:t>[Art. 63</w:t>
      </w:r>
      <w:r w:rsidRPr="00334017">
        <w:rPr>
          <w:rFonts w:eastAsia="Calibri"/>
          <w:i/>
          <w:szCs w:val="22"/>
          <w:vertAlign w:val="superscript"/>
          <w:lang w:eastAsia="de-DE" w:bidi="de-DE"/>
        </w:rPr>
        <w:t>18/2</w:t>
      </w:r>
      <w:r w:rsidRPr="00334017">
        <w:rPr>
          <w:rFonts w:eastAsia="Calibri"/>
          <w:i/>
          <w:szCs w:val="22"/>
          <w:lang w:eastAsia="de-DE" w:bidi="de-DE"/>
        </w:rPr>
        <w:t xml:space="preserve"> § 2 Abs. 2 und 3 eingefügt durch Art. 4 Nr. 1 des K.E. vom 4. August 2014 (B.S. vom 18. August 2014); § 6 Abs. 2 und 3 eingefügt durch Art. 4 Nr. 2 des K.E. vom 4. August 2014 (B.S. vom 18. August 2014)]</w:t>
      </w:r>
    </w:p>
    <w:p w14:paraId="30CCA0D6" w14:textId="77777777" w:rsidR="005A5BD5" w:rsidRPr="00334017" w:rsidRDefault="005A5BD5" w:rsidP="00FB3E9E">
      <w:pPr>
        <w:jc w:val="both"/>
        <w:rPr>
          <w:rFonts w:eastAsia="Calibri"/>
          <w:szCs w:val="22"/>
          <w:lang w:eastAsia="de-DE" w:bidi="de-DE"/>
        </w:rPr>
      </w:pPr>
    </w:p>
    <w:p w14:paraId="354309EF" w14:textId="77777777" w:rsidR="005A5BD5" w:rsidRPr="00334017" w:rsidRDefault="005A5BD5" w:rsidP="00FB3E9E">
      <w:pPr>
        <w:jc w:val="both"/>
        <w:rPr>
          <w:rFonts w:eastAsia="Calibri"/>
          <w:szCs w:val="22"/>
          <w:lang w:eastAsia="de-DE" w:bidi="de-DE"/>
        </w:rPr>
      </w:pPr>
    </w:p>
    <w:p w14:paraId="67E0E7A5" w14:textId="77777777" w:rsidR="005A5BD5" w:rsidRPr="00334017" w:rsidRDefault="005A5BD5" w:rsidP="00975265">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18/3</w:t>
      </w:r>
      <w:r w:rsidRPr="00334017">
        <w:rPr>
          <w:rFonts w:eastAsia="Calibri"/>
          <w:szCs w:val="22"/>
          <w:lang w:eastAsia="de-DE" w:bidi="de-DE"/>
        </w:rPr>
        <w:t> - § 1 - Die Tätigkeiten der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1 bis 4 erwähnten Einrichtungen müssen:</w:t>
      </w:r>
    </w:p>
    <w:p w14:paraId="3A238C45" w14:textId="77777777" w:rsidR="005A5BD5" w:rsidRPr="00334017" w:rsidRDefault="005A5BD5" w:rsidP="00FB3E9E">
      <w:pPr>
        <w:jc w:val="both"/>
        <w:rPr>
          <w:rFonts w:eastAsia="Calibri"/>
          <w:szCs w:val="22"/>
          <w:lang w:eastAsia="de-DE" w:bidi="de-DE"/>
        </w:rPr>
      </w:pPr>
    </w:p>
    <w:p w14:paraId="00C8F90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im gesamten Hoheitsgebiet eines oder mehrerer Mitgliedstaaten des Europäischen Wirtschaftsraums, in denen diese Einrichtungen tätig sind, ausgeübt werden oder sich auf die Zentralisierung und Koordinierung von lokalen oder regionalen Tätigkeiten oder Tätigkeiten in mehreren Mitgliedstaaten beziehen,</w:t>
      </w:r>
    </w:p>
    <w:p w14:paraId="3907343A" w14:textId="77777777" w:rsidR="005A5BD5" w:rsidRPr="00334017" w:rsidRDefault="005A5BD5" w:rsidP="00FB3E9E">
      <w:pPr>
        <w:jc w:val="both"/>
        <w:rPr>
          <w:rFonts w:eastAsia="Calibri"/>
          <w:szCs w:val="22"/>
          <w:lang w:eastAsia="de-DE" w:bidi="de-DE"/>
        </w:rPr>
      </w:pPr>
    </w:p>
    <w:p w14:paraId="646B5A0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 xml:space="preserve">b) </w:t>
      </w:r>
      <w:r w:rsidRPr="00334017">
        <w:rPr>
          <w:rFonts w:eastAsia="Calibri"/>
          <w:szCs w:val="22"/>
          <w:lang w:eastAsia="de-DE" w:bidi="de-DE"/>
        </w:rPr>
        <w:t xml:space="preserve">auf wissenschaftliche Forschung, </w:t>
      </w:r>
      <w:r>
        <w:rPr>
          <w:rFonts w:eastAsia="Calibri"/>
          <w:szCs w:val="22"/>
          <w:lang w:eastAsia="de-DE" w:bidi="de-DE"/>
        </w:rPr>
        <w:t>Beistand</w:t>
      </w:r>
      <w:r w:rsidRPr="00334017">
        <w:rPr>
          <w:rFonts w:eastAsia="Calibri"/>
          <w:szCs w:val="22"/>
          <w:lang w:eastAsia="de-DE" w:bidi="de-DE"/>
        </w:rPr>
        <w:t xml:space="preserve"> benachteiligter Personen im Sinne von Artikel 63</w:t>
      </w:r>
      <w:r w:rsidRPr="00334017">
        <w:rPr>
          <w:rFonts w:eastAsia="Calibri"/>
          <w:szCs w:val="22"/>
          <w:vertAlign w:val="superscript"/>
          <w:lang w:eastAsia="de-DE" w:bidi="de-DE"/>
        </w:rPr>
        <w:t>18/1</w:t>
      </w:r>
      <w:r w:rsidRPr="00334017">
        <w:rPr>
          <w:rFonts w:eastAsia="Calibri"/>
          <w:szCs w:val="22"/>
          <w:lang w:eastAsia="de-DE" w:bidi="de-DE"/>
        </w:rPr>
        <w:t xml:space="preserve"> § 1 Nr. 2 und 3 oder Hilfeleistung für Entwicklungsländer ausgerichtet sein,</w:t>
      </w:r>
    </w:p>
    <w:p w14:paraId="0568C1DE" w14:textId="77777777" w:rsidR="005A5BD5" w:rsidRPr="00334017" w:rsidRDefault="005A5BD5" w:rsidP="00FB3E9E">
      <w:pPr>
        <w:jc w:val="both"/>
        <w:rPr>
          <w:rFonts w:eastAsia="Calibri"/>
          <w:szCs w:val="22"/>
          <w:lang w:eastAsia="de-DE" w:bidi="de-DE"/>
        </w:rPr>
      </w:pPr>
    </w:p>
    <w:p w14:paraId="1EE20B8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c)</w:t>
      </w:r>
      <w:r w:rsidRPr="00334017">
        <w:rPr>
          <w:rFonts w:eastAsia="Calibri"/>
          <w:szCs w:val="22"/>
          <w:lang w:eastAsia="de-DE" w:bidi="de-DE"/>
        </w:rPr>
        <w:t xml:space="preserve"> Tätigkeiten ergänzen, die belgische öffentliche Behörden oder internationale Organisationen, in denen Belgien Mitglied ist, in den vorerwähnten Bereichen ausüben.</w:t>
      </w:r>
    </w:p>
    <w:p w14:paraId="60E14ED9" w14:textId="77777777" w:rsidR="005A5BD5" w:rsidRPr="00334017" w:rsidRDefault="005A5BD5" w:rsidP="00FB3E9E">
      <w:pPr>
        <w:jc w:val="both"/>
        <w:rPr>
          <w:rFonts w:eastAsia="Calibri"/>
          <w:szCs w:val="22"/>
          <w:lang w:eastAsia="de-DE" w:bidi="de-DE"/>
        </w:rPr>
      </w:pPr>
    </w:p>
    <w:p w14:paraId="30FBBE98" w14:textId="77777777" w:rsidR="005A5BD5" w:rsidRPr="00334017" w:rsidRDefault="00EC7991" w:rsidP="00FB3E9E">
      <w:pPr>
        <w:jc w:val="both"/>
        <w:rPr>
          <w:rFonts w:eastAsia="Calibri"/>
          <w:szCs w:val="22"/>
          <w:lang w:eastAsia="de-DE" w:bidi="de-DE"/>
        </w:rPr>
      </w:pPr>
      <w:r>
        <w:rPr>
          <w:rFonts w:eastAsia="Calibri"/>
          <w:szCs w:val="22"/>
          <w:lang w:eastAsia="de-DE" w:bidi="de-DE"/>
        </w:rPr>
        <w:tab/>
      </w:r>
      <w:r w:rsidR="005A5BD5" w:rsidRPr="00334017">
        <w:rPr>
          <w:rFonts w:eastAsia="Calibri"/>
          <w:szCs w:val="22"/>
          <w:lang w:eastAsia="de-DE" w:bidi="de-DE"/>
        </w:rPr>
        <w:t>§ 2 - In Artikel 63</w:t>
      </w:r>
      <w:r w:rsidR="005A5BD5" w:rsidRPr="00334017">
        <w:rPr>
          <w:rFonts w:eastAsia="Calibri"/>
          <w:szCs w:val="22"/>
          <w:vertAlign w:val="superscript"/>
          <w:lang w:eastAsia="de-DE" w:bidi="de-DE"/>
        </w:rPr>
        <w:t>18/1</w:t>
      </w:r>
      <w:r w:rsidR="005A5BD5" w:rsidRPr="00334017">
        <w:rPr>
          <w:rFonts w:eastAsia="Calibri"/>
          <w:szCs w:val="22"/>
          <w:lang w:eastAsia="de-DE" w:bidi="de-DE"/>
        </w:rPr>
        <w:t xml:space="preserve"> § 1 Nr. 5 erwähnte Einrichtungen müssen:</w:t>
      </w:r>
    </w:p>
    <w:p w14:paraId="44CB8F9B" w14:textId="77777777" w:rsidR="005A5BD5" w:rsidRPr="00334017" w:rsidRDefault="005A5BD5" w:rsidP="00FB3E9E">
      <w:pPr>
        <w:jc w:val="both"/>
        <w:rPr>
          <w:rFonts w:eastAsia="Calibri"/>
          <w:szCs w:val="22"/>
          <w:lang w:eastAsia="de-DE" w:bidi="de-DE"/>
        </w:rPr>
      </w:pPr>
    </w:p>
    <w:p w14:paraId="5051049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1. Tätigkeiten ausüben, die auf die Verbreitung der Kultur ausgerichtet sind, das heißt in Bezug auf:</w:t>
      </w:r>
    </w:p>
    <w:p w14:paraId="4F2A52DF" w14:textId="77777777" w:rsidR="005A5BD5" w:rsidRPr="00334017" w:rsidRDefault="005A5BD5" w:rsidP="00FB3E9E">
      <w:pPr>
        <w:jc w:val="both"/>
        <w:rPr>
          <w:rFonts w:eastAsia="Calibri"/>
          <w:szCs w:val="22"/>
          <w:lang w:eastAsia="de-DE" w:bidi="de-DE"/>
        </w:rPr>
      </w:pPr>
    </w:p>
    <w:p w14:paraId="25BA276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Schutz und Veranschaulichung der Sprache,</w:t>
      </w:r>
    </w:p>
    <w:p w14:paraId="71876872" w14:textId="77777777" w:rsidR="005A5BD5" w:rsidRPr="00334017" w:rsidRDefault="005A5BD5" w:rsidP="00FB3E9E">
      <w:pPr>
        <w:jc w:val="both"/>
        <w:rPr>
          <w:rFonts w:eastAsia="Calibri"/>
          <w:szCs w:val="22"/>
          <w:lang w:eastAsia="de-DE" w:bidi="de-DE"/>
        </w:rPr>
      </w:pPr>
    </w:p>
    <w:p w14:paraId="72BED42C"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 xml:space="preserve">b) </w:t>
      </w:r>
      <w:r w:rsidRPr="00334017">
        <w:rPr>
          <w:rFonts w:eastAsia="Calibri"/>
          <w:szCs w:val="22"/>
          <w:lang w:eastAsia="de-DE" w:bidi="de-DE"/>
        </w:rPr>
        <w:t>Förderung der Ausbildung von Forschern,</w:t>
      </w:r>
    </w:p>
    <w:p w14:paraId="1DDE9871" w14:textId="77777777" w:rsidR="005A5BD5" w:rsidRPr="00334017" w:rsidRDefault="005A5BD5" w:rsidP="00FB3E9E">
      <w:pPr>
        <w:jc w:val="both"/>
        <w:rPr>
          <w:rFonts w:eastAsia="Calibri"/>
          <w:szCs w:val="22"/>
          <w:lang w:eastAsia="de-DE" w:bidi="de-DE"/>
        </w:rPr>
      </w:pPr>
    </w:p>
    <w:p w14:paraId="7F8AF5A6"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c)</w:t>
      </w:r>
      <w:r w:rsidRPr="00334017">
        <w:rPr>
          <w:rFonts w:eastAsia="Calibri"/>
          <w:szCs w:val="22"/>
          <w:lang w:eastAsia="de-DE" w:bidi="de-DE"/>
        </w:rPr>
        <w:t xml:space="preserve"> schöne Künste, Theater und Kino einbegriffen,</w:t>
      </w:r>
    </w:p>
    <w:p w14:paraId="10FECFE7" w14:textId="77777777" w:rsidR="005A5BD5" w:rsidRPr="00334017" w:rsidRDefault="005A5BD5" w:rsidP="00FB3E9E">
      <w:pPr>
        <w:jc w:val="both"/>
        <w:rPr>
          <w:rFonts w:eastAsia="Calibri"/>
          <w:szCs w:val="22"/>
          <w:lang w:eastAsia="de-DE" w:bidi="de-DE"/>
        </w:rPr>
      </w:pPr>
    </w:p>
    <w:p w14:paraId="1A7A884B"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d)</w:t>
      </w:r>
      <w:r w:rsidRPr="00334017">
        <w:rPr>
          <w:rFonts w:eastAsia="Calibri"/>
          <w:szCs w:val="22"/>
          <w:lang w:eastAsia="de-DE" w:bidi="de-DE"/>
        </w:rPr>
        <w:t xml:space="preserve"> Kulturerbe, Museen und sonstige wissenschaftlich-kulturelle Einrichtungen,</w:t>
      </w:r>
    </w:p>
    <w:p w14:paraId="69CB61A3" w14:textId="77777777" w:rsidR="005A5BD5" w:rsidRPr="00334017" w:rsidRDefault="005A5BD5" w:rsidP="00FB3E9E">
      <w:pPr>
        <w:jc w:val="both"/>
        <w:rPr>
          <w:rFonts w:eastAsia="Calibri"/>
          <w:szCs w:val="22"/>
          <w:lang w:eastAsia="de-DE" w:bidi="de-DE"/>
        </w:rPr>
      </w:pPr>
    </w:p>
    <w:p w14:paraId="3A6D937D"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e)</w:t>
      </w:r>
      <w:r w:rsidRPr="00334017">
        <w:rPr>
          <w:rFonts w:eastAsia="Calibri"/>
          <w:szCs w:val="22"/>
          <w:lang w:eastAsia="de-DE" w:bidi="de-DE"/>
        </w:rPr>
        <w:t xml:space="preserve"> Bibliotheken, Diskotheken und ähnliche Dienste,</w:t>
      </w:r>
    </w:p>
    <w:p w14:paraId="18C0041F" w14:textId="77777777" w:rsidR="005A5BD5" w:rsidRPr="00334017" w:rsidRDefault="005A5BD5" w:rsidP="00FB3E9E">
      <w:pPr>
        <w:jc w:val="both"/>
        <w:rPr>
          <w:rFonts w:eastAsia="Calibri"/>
          <w:szCs w:val="22"/>
          <w:lang w:eastAsia="de-DE" w:bidi="de-DE"/>
        </w:rPr>
      </w:pPr>
    </w:p>
    <w:p w14:paraId="196AC758"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f)</w:t>
      </w:r>
      <w:r w:rsidRPr="00334017">
        <w:rPr>
          <w:rFonts w:eastAsia="Calibri"/>
          <w:szCs w:val="22"/>
          <w:lang w:eastAsia="de-DE" w:bidi="de-DE"/>
        </w:rPr>
        <w:t xml:space="preserve"> Rundfunk und Fernsehen,</w:t>
      </w:r>
    </w:p>
    <w:p w14:paraId="306E49A5" w14:textId="77777777" w:rsidR="005A5BD5" w:rsidRPr="00334017" w:rsidRDefault="005A5BD5" w:rsidP="00FB3E9E">
      <w:pPr>
        <w:jc w:val="both"/>
        <w:rPr>
          <w:rFonts w:eastAsia="Calibri"/>
          <w:szCs w:val="22"/>
          <w:lang w:eastAsia="de-DE" w:bidi="de-DE"/>
        </w:rPr>
      </w:pPr>
    </w:p>
    <w:p w14:paraId="120C0E25"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g)</w:t>
      </w:r>
      <w:r w:rsidRPr="00334017">
        <w:rPr>
          <w:rFonts w:eastAsia="Calibri"/>
          <w:szCs w:val="22"/>
          <w:lang w:eastAsia="de-DE" w:bidi="de-DE"/>
        </w:rPr>
        <w:t xml:space="preserve"> Jugendpolitik,</w:t>
      </w:r>
    </w:p>
    <w:p w14:paraId="738754B1" w14:textId="77777777" w:rsidR="005A5BD5" w:rsidRPr="00334017" w:rsidRDefault="005A5BD5" w:rsidP="00FB3E9E">
      <w:pPr>
        <w:jc w:val="both"/>
        <w:rPr>
          <w:rFonts w:eastAsia="Calibri"/>
          <w:szCs w:val="22"/>
          <w:lang w:eastAsia="de-DE" w:bidi="de-DE"/>
        </w:rPr>
      </w:pPr>
    </w:p>
    <w:p w14:paraId="29C8ED6F" w14:textId="77777777" w:rsidR="005A5BD5"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h)</w:t>
      </w:r>
      <w:r w:rsidRPr="00334017">
        <w:rPr>
          <w:rFonts w:eastAsia="Calibri"/>
          <w:szCs w:val="22"/>
          <w:lang w:eastAsia="de-DE" w:bidi="de-DE"/>
        </w:rPr>
        <w:t xml:space="preserve"> ständige Weiterbildung und kulturelle Animation,</w:t>
      </w:r>
    </w:p>
    <w:p w14:paraId="1C497ACA" w14:textId="77777777" w:rsidR="006E0D53" w:rsidRDefault="006E0D53" w:rsidP="00FB3E9E">
      <w:pPr>
        <w:jc w:val="both"/>
        <w:rPr>
          <w:rFonts w:eastAsia="Calibri"/>
          <w:szCs w:val="22"/>
          <w:lang w:eastAsia="de-DE" w:bidi="de-DE"/>
        </w:rPr>
      </w:pPr>
    </w:p>
    <w:p w14:paraId="49F86B74"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i)</w:t>
      </w:r>
      <w:r w:rsidRPr="00334017">
        <w:rPr>
          <w:rFonts w:eastAsia="Calibri"/>
          <w:szCs w:val="22"/>
          <w:lang w:eastAsia="de-DE" w:bidi="de-DE"/>
        </w:rPr>
        <w:t xml:space="preserve"> Leibeserziehung, Sport und Leben im Freien,</w:t>
      </w:r>
    </w:p>
    <w:p w14:paraId="5A3F1356" w14:textId="77777777" w:rsidR="005A5BD5" w:rsidRPr="00334017" w:rsidRDefault="005A5BD5" w:rsidP="00FB3E9E">
      <w:pPr>
        <w:jc w:val="both"/>
        <w:rPr>
          <w:rFonts w:eastAsia="Calibri"/>
          <w:szCs w:val="22"/>
          <w:lang w:eastAsia="de-DE" w:bidi="de-DE"/>
        </w:rPr>
      </w:pPr>
    </w:p>
    <w:p w14:paraId="40D5AE0C"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j)</w:t>
      </w:r>
      <w:r w:rsidRPr="00334017">
        <w:rPr>
          <w:rFonts w:eastAsia="Calibri"/>
          <w:szCs w:val="22"/>
          <w:lang w:eastAsia="de-DE" w:bidi="de-DE"/>
        </w:rPr>
        <w:t xml:space="preserve"> Freizeitgestaltung und Tourismus,</w:t>
      </w:r>
    </w:p>
    <w:p w14:paraId="6082DA19" w14:textId="77777777" w:rsidR="005A5BD5" w:rsidRPr="00334017" w:rsidRDefault="005A5BD5" w:rsidP="00FB3E9E">
      <w:pPr>
        <w:jc w:val="both"/>
        <w:rPr>
          <w:rFonts w:eastAsia="Calibri"/>
          <w:szCs w:val="22"/>
          <w:lang w:eastAsia="de-DE" w:bidi="de-DE"/>
        </w:rPr>
      </w:pPr>
    </w:p>
    <w:p w14:paraId="16F5E5D3"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2. aufgrund ihrer Tätigkeiten vom Staat oder von einer der Gemeinschaften bezuschusst werden,</w:t>
      </w:r>
    </w:p>
    <w:p w14:paraId="727E82FA" w14:textId="77777777" w:rsidR="005A5BD5" w:rsidRPr="00334017" w:rsidRDefault="005A5BD5" w:rsidP="00FB3E9E">
      <w:pPr>
        <w:jc w:val="both"/>
        <w:rPr>
          <w:rFonts w:eastAsia="Calibri"/>
          <w:szCs w:val="22"/>
          <w:lang w:eastAsia="de-DE" w:bidi="de-DE"/>
        </w:rPr>
      </w:pPr>
    </w:p>
    <w:p w14:paraId="7A739AEA"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lastRenderedPageBreak/>
        <w:tab/>
        <w:t>3. einen Einflussbereich haben, der sich auf eine der Gemeinschaften oder das ganze Land erstreckt, so dass insbesondere Einrichtungen ausgeschlossen sind, die nur auf lokaler Ebene tätig sind.</w:t>
      </w:r>
    </w:p>
    <w:p w14:paraId="400B0B01" w14:textId="77777777" w:rsidR="005A5BD5" w:rsidRPr="00334017" w:rsidRDefault="005A5BD5" w:rsidP="00FB3E9E">
      <w:pPr>
        <w:jc w:val="both"/>
        <w:rPr>
          <w:rFonts w:eastAsia="Calibri"/>
          <w:szCs w:val="22"/>
          <w:lang w:eastAsia="de-DE" w:bidi="de-DE"/>
        </w:rPr>
      </w:pPr>
    </w:p>
    <w:p w14:paraId="02B1F2EB"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3 - Die Tätigkeiten der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6 erwähnten Einrichtungen müssen auf die Hilfeleistung für die in diesem Artikel erwähnten Opfer ausgerichtet sein.</w:t>
      </w:r>
    </w:p>
    <w:p w14:paraId="7FC0D4C5" w14:textId="77777777" w:rsidR="005A5BD5" w:rsidRPr="00334017" w:rsidRDefault="005A5BD5" w:rsidP="00FB3E9E">
      <w:pPr>
        <w:jc w:val="both"/>
        <w:rPr>
          <w:rFonts w:eastAsia="Calibri"/>
          <w:szCs w:val="22"/>
          <w:lang w:eastAsia="de-DE" w:bidi="de-DE"/>
        </w:rPr>
      </w:pPr>
    </w:p>
    <w:p w14:paraId="23AF7AA3"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4 -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7 erwähnte Einrichtungen müssen:</w:t>
      </w:r>
    </w:p>
    <w:p w14:paraId="1E008D5E" w14:textId="77777777" w:rsidR="005A5BD5" w:rsidRPr="00334017" w:rsidRDefault="005A5BD5" w:rsidP="00FB3E9E">
      <w:pPr>
        <w:jc w:val="both"/>
        <w:rPr>
          <w:rFonts w:eastAsia="Calibri"/>
          <w:szCs w:val="22"/>
          <w:lang w:eastAsia="de-DE" w:bidi="de-DE"/>
        </w:rPr>
      </w:pPr>
    </w:p>
    <w:p w14:paraId="163C13EF"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in einem Mitgliedstaat des Europäischen Wirtschaftsraums Tätigkeiten ausüben, die auf die Erhaltung der Natur und/oder den Umweltschutz ausgerichtet sind,</w:t>
      </w:r>
    </w:p>
    <w:p w14:paraId="19D587ED" w14:textId="77777777" w:rsidR="005A5BD5" w:rsidRPr="00334017" w:rsidRDefault="005A5BD5" w:rsidP="00FB3E9E">
      <w:pPr>
        <w:jc w:val="both"/>
        <w:rPr>
          <w:rFonts w:eastAsia="Calibri"/>
          <w:szCs w:val="22"/>
          <w:lang w:eastAsia="de-DE" w:bidi="de-DE"/>
        </w:rPr>
      </w:pPr>
    </w:p>
    <w:p w14:paraId="2FCC493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eine bedeutende Rolle in der Bewusstseinsbildung der Bevölkerung und der Umwelterziehung der Jugend spielen,</w:t>
      </w:r>
    </w:p>
    <w:p w14:paraId="4B22A790" w14:textId="77777777" w:rsidR="005A5BD5" w:rsidRPr="00334017" w:rsidRDefault="005A5BD5" w:rsidP="00FB3E9E">
      <w:pPr>
        <w:jc w:val="both"/>
        <w:rPr>
          <w:rFonts w:eastAsia="Calibri"/>
          <w:szCs w:val="22"/>
          <w:lang w:eastAsia="de-DE" w:bidi="de-DE"/>
        </w:rPr>
      </w:pPr>
    </w:p>
    <w:p w14:paraId="0B832990"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c)</w:t>
      </w:r>
      <w:r w:rsidRPr="00334017">
        <w:rPr>
          <w:rFonts w:eastAsia="Calibri"/>
          <w:szCs w:val="22"/>
          <w:lang w:eastAsia="de-DE" w:bidi="de-DE"/>
        </w:rPr>
        <w:t xml:space="preserve"> nachweisen, dass ihre Tätigkeiten fortlaufend und dauerhaft sind, so dass Einrichtungen ausgeschlossen sind, die nur punktuelle oder gelegentliche Tätigkeiten ausüben,</w:t>
      </w:r>
    </w:p>
    <w:p w14:paraId="41DE4285" w14:textId="77777777" w:rsidR="005A5BD5" w:rsidRPr="00334017" w:rsidRDefault="005A5BD5" w:rsidP="00FB3E9E">
      <w:pPr>
        <w:jc w:val="both"/>
        <w:rPr>
          <w:rFonts w:eastAsia="Calibri"/>
          <w:szCs w:val="22"/>
          <w:lang w:eastAsia="de-DE" w:bidi="de-DE"/>
        </w:rPr>
      </w:pPr>
    </w:p>
    <w:p w14:paraId="06AAAD8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d)</w:t>
      </w:r>
      <w:r w:rsidRPr="00334017">
        <w:rPr>
          <w:rFonts w:eastAsia="Calibri"/>
          <w:szCs w:val="22"/>
          <w:lang w:eastAsia="de-DE" w:bidi="de-DE"/>
        </w:rPr>
        <w:t xml:space="preserve"> seit mindestens zwei vollständigen Kalenderjahren vor dem Zeitraum, für den die Zulassung beantragt wird, Rechtspersönlichkeit besitzen und die vorerwähnten Tätigkeiten ausüben,</w:t>
      </w:r>
    </w:p>
    <w:p w14:paraId="5CD0CDC4" w14:textId="77777777" w:rsidR="005A5BD5" w:rsidRPr="00334017" w:rsidRDefault="005A5BD5" w:rsidP="00FB3E9E">
      <w:pPr>
        <w:jc w:val="both"/>
        <w:rPr>
          <w:rFonts w:eastAsia="Calibri"/>
          <w:szCs w:val="22"/>
          <w:lang w:eastAsia="de-DE" w:bidi="de-DE"/>
        </w:rPr>
      </w:pPr>
    </w:p>
    <w:p w14:paraId="5172C65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e)</w:t>
      </w:r>
      <w:r w:rsidRPr="00334017">
        <w:rPr>
          <w:rFonts w:eastAsia="Calibri"/>
          <w:szCs w:val="22"/>
          <w:lang w:eastAsia="de-DE" w:bidi="de-DE"/>
        </w:rPr>
        <w:t xml:space="preserve"> aufgrund ihrer Tätigkeiten von der Föderalbehörde oder von einer der Regionen bezuschusst werden,</w:t>
      </w:r>
    </w:p>
    <w:p w14:paraId="3B301E9F" w14:textId="77777777" w:rsidR="005A5BD5" w:rsidRPr="00334017" w:rsidRDefault="005A5BD5" w:rsidP="00FB3E9E">
      <w:pPr>
        <w:jc w:val="both"/>
        <w:rPr>
          <w:rFonts w:eastAsia="Calibri"/>
          <w:szCs w:val="22"/>
          <w:lang w:eastAsia="de-DE" w:bidi="de-DE"/>
        </w:rPr>
      </w:pPr>
    </w:p>
    <w:p w14:paraId="40138EE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f)</w:t>
      </w:r>
      <w:r w:rsidRPr="00334017">
        <w:rPr>
          <w:rFonts w:eastAsia="Calibri"/>
          <w:szCs w:val="22"/>
          <w:lang w:eastAsia="de-DE" w:bidi="de-DE"/>
        </w:rPr>
        <w:t xml:space="preserve"> einen Einflussbereich haben, der sich auf mehr als eine Gemeinde erstreckt.</w:t>
      </w:r>
    </w:p>
    <w:p w14:paraId="495D34C4" w14:textId="77777777" w:rsidR="005A5BD5" w:rsidRPr="00334017" w:rsidRDefault="005A5BD5" w:rsidP="00FB3E9E">
      <w:pPr>
        <w:jc w:val="both"/>
        <w:rPr>
          <w:rFonts w:eastAsia="Calibri"/>
          <w:szCs w:val="22"/>
          <w:lang w:eastAsia="de-DE" w:bidi="de-DE"/>
        </w:rPr>
      </w:pPr>
    </w:p>
    <w:p w14:paraId="17BE13A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5 - Die Tätigkeiten der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8 erwähnten Einrichtungen müssen:</w:t>
      </w:r>
    </w:p>
    <w:p w14:paraId="7205B0D5" w14:textId="77777777" w:rsidR="005A5BD5" w:rsidRPr="00334017" w:rsidRDefault="005A5BD5" w:rsidP="00FB3E9E">
      <w:pPr>
        <w:jc w:val="both"/>
        <w:rPr>
          <w:rFonts w:eastAsia="Calibri"/>
          <w:szCs w:val="22"/>
          <w:lang w:eastAsia="de-DE" w:bidi="de-DE"/>
        </w:rPr>
      </w:pPr>
    </w:p>
    <w:p w14:paraId="5F5DC52D"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auf die Hilfeleistung entweder in Belgien oder im Ausland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8 erwähnten Opfer ausgerichtet sein,</w:t>
      </w:r>
    </w:p>
    <w:p w14:paraId="2B623B79" w14:textId="77777777" w:rsidR="005A5BD5" w:rsidRPr="00334017" w:rsidRDefault="005A5BD5" w:rsidP="00FB3E9E">
      <w:pPr>
        <w:jc w:val="both"/>
        <w:rPr>
          <w:rFonts w:eastAsia="Calibri"/>
          <w:szCs w:val="22"/>
          <w:lang w:eastAsia="de-DE" w:bidi="de-DE"/>
        </w:rPr>
      </w:pPr>
    </w:p>
    <w:p w14:paraId="7290488D"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die Tätigkeiten ergänzen, die die Föderalbehörde oder internationale Organisationen, in denen Belgien Mitglied ist, in vorerwähntem Bereich ausüben.</w:t>
      </w:r>
    </w:p>
    <w:p w14:paraId="243C40E3" w14:textId="77777777" w:rsidR="005A5BD5" w:rsidRPr="00334017" w:rsidRDefault="005A5BD5" w:rsidP="00FB3E9E">
      <w:pPr>
        <w:jc w:val="both"/>
        <w:rPr>
          <w:rFonts w:eastAsia="Calibri"/>
          <w:szCs w:val="22"/>
          <w:lang w:eastAsia="de-DE" w:bidi="de-DE"/>
        </w:rPr>
      </w:pPr>
    </w:p>
    <w:p w14:paraId="3691FB17"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6 -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9 erwähnte Einrichtungen müssen:</w:t>
      </w:r>
    </w:p>
    <w:p w14:paraId="195A64CB" w14:textId="77777777" w:rsidR="005A5BD5" w:rsidRPr="00334017" w:rsidRDefault="005A5BD5" w:rsidP="00FB3E9E">
      <w:pPr>
        <w:jc w:val="both"/>
        <w:rPr>
          <w:rFonts w:eastAsia="Calibri"/>
          <w:szCs w:val="22"/>
          <w:lang w:eastAsia="de-DE" w:bidi="de-DE"/>
        </w:rPr>
      </w:pPr>
    </w:p>
    <w:p w14:paraId="3BD9858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in Belgien Tätigkeiten ausüben, die darauf ausgerichtet sind, Denkmäler und Landschaften zu erhalten oder zu schützen,</w:t>
      </w:r>
    </w:p>
    <w:p w14:paraId="22E383D3" w14:textId="77777777" w:rsidR="009A607C" w:rsidRDefault="009A607C" w:rsidP="00FB3E9E">
      <w:pPr>
        <w:jc w:val="both"/>
        <w:rPr>
          <w:rFonts w:eastAsia="Calibri"/>
          <w:szCs w:val="22"/>
          <w:lang w:eastAsia="de-DE" w:bidi="de-DE"/>
        </w:rPr>
      </w:pPr>
    </w:p>
    <w:p w14:paraId="0D4506F4"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aufgrund ihrer Tätigkeiten vom Staat, von einer der Regionen oder von der Deutschsprachigen Gemeinschaft bezuschusst werden,</w:t>
      </w:r>
    </w:p>
    <w:p w14:paraId="2C287531" w14:textId="77777777" w:rsidR="005A5BD5" w:rsidRPr="00334017" w:rsidRDefault="005A5BD5" w:rsidP="00FB3E9E">
      <w:pPr>
        <w:jc w:val="both"/>
        <w:rPr>
          <w:rFonts w:eastAsia="Calibri"/>
          <w:szCs w:val="22"/>
          <w:lang w:eastAsia="de-DE" w:bidi="de-DE"/>
        </w:rPr>
      </w:pPr>
    </w:p>
    <w:p w14:paraId="27249545"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c)</w:t>
      </w:r>
      <w:r w:rsidRPr="00334017">
        <w:rPr>
          <w:rFonts w:eastAsia="Calibri"/>
          <w:szCs w:val="22"/>
          <w:lang w:eastAsia="de-DE" w:bidi="de-DE"/>
        </w:rPr>
        <w:t xml:space="preserve"> einen Einflussbereich haben, der sich auf eine der Regionen, die Deutschsprachige Gemeinschaft oder das ganze Land erstreckt, so dass insbesondere Einrichtungen ausgeschlossen sind, die nur auf lokaler Ebene tätig sind.</w:t>
      </w:r>
    </w:p>
    <w:p w14:paraId="417F41F2" w14:textId="77777777" w:rsidR="005A5BD5" w:rsidRPr="00334017" w:rsidRDefault="005A5BD5" w:rsidP="00FB3E9E">
      <w:pPr>
        <w:jc w:val="both"/>
        <w:rPr>
          <w:rFonts w:eastAsia="Calibri"/>
          <w:szCs w:val="22"/>
          <w:lang w:eastAsia="de-DE" w:bidi="de-DE"/>
        </w:rPr>
      </w:pPr>
    </w:p>
    <w:p w14:paraId="4A11BE80"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7 -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10 erwähnte Einrichtungen müssen:</w:t>
      </w:r>
    </w:p>
    <w:p w14:paraId="25C60952" w14:textId="77777777" w:rsidR="005A5BD5" w:rsidRPr="00334017" w:rsidRDefault="005A5BD5" w:rsidP="00FB3E9E">
      <w:pPr>
        <w:jc w:val="both"/>
        <w:rPr>
          <w:rFonts w:eastAsia="Calibri"/>
          <w:szCs w:val="22"/>
          <w:lang w:eastAsia="de-DE" w:bidi="de-DE"/>
        </w:rPr>
      </w:pPr>
    </w:p>
    <w:p w14:paraId="396059F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in Belgien Tätigkeiten ausüben, die auf nachhaltige Entwicklung ausgerichtet sind,</w:t>
      </w:r>
    </w:p>
    <w:p w14:paraId="40675382" w14:textId="77777777" w:rsidR="005A5BD5" w:rsidRPr="00334017" w:rsidRDefault="005A5BD5" w:rsidP="00FB3E9E">
      <w:pPr>
        <w:jc w:val="both"/>
        <w:rPr>
          <w:rFonts w:eastAsia="Calibri"/>
          <w:szCs w:val="22"/>
          <w:lang w:eastAsia="de-DE" w:bidi="de-DE"/>
        </w:rPr>
      </w:pPr>
    </w:p>
    <w:p w14:paraId="56FB7DB7"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aufgrund ihrer Tätigkeiten vom Staat bezuschusst werden,</w:t>
      </w:r>
    </w:p>
    <w:p w14:paraId="0912A702" w14:textId="77777777" w:rsidR="005A5BD5" w:rsidRPr="00334017" w:rsidRDefault="005A5BD5" w:rsidP="00FB3E9E">
      <w:pPr>
        <w:jc w:val="both"/>
        <w:rPr>
          <w:rFonts w:eastAsia="Calibri"/>
          <w:szCs w:val="22"/>
          <w:lang w:eastAsia="de-DE" w:bidi="de-DE"/>
        </w:rPr>
      </w:pPr>
    </w:p>
    <w:p w14:paraId="2B9D9CD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c)</w:t>
      </w:r>
      <w:r w:rsidRPr="00334017">
        <w:rPr>
          <w:rFonts w:eastAsia="Calibri"/>
          <w:szCs w:val="22"/>
          <w:lang w:eastAsia="de-DE" w:bidi="de-DE"/>
        </w:rPr>
        <w:t xml:space="preserve"> einen Einflussbereich haben, der sich auf eine der Regionen, die Deutschsprachige Gemeinschaft oder das ganze Land erstreckt, so dass insbesondere Einrichtungen ausgeschlossen sind, die nur auf lokaler Ebene tätig sind.</w:t>
      </w:r>
    </w:p>
    <w:p w14:paraId="5895D464" w14:textId="77777777" w:rsidR="005A5BD5" w:rsidRPr="00334017" w:rsidRDefault="005A5BD5" w:rsidP="00FB3E9E">
      <w:pPr>
        <w:jc w:val="both"/>
        <w:rPr>
          <w:rFonts w:eastAsia="Calibri"/>
          <w:szCs w:val="22"/>
          <w:lang w:eastAsia="de-DE" w:bidi="de-DE"/>
        </w:rPr>
      </w:pPr>
    </w:p>
    <w:p w14:paraId="0701F1B3" w14:textId="77777777" w:rsidR="005A5BD5" w:rsidRPr="00334017" w:rsidRDefault="005A5BD5" w:rsidP="00FB3E9E">
      <w:pPr>
        <w:jc w:val="both"/>
        <w:rPr>
          <w:rFonts w:eastAsia="Calibri"/>
          <w:szCs w:val="22"/>
          <w:lang w:eastAsia="de-DE" w:bidi="de-DE"/>
        </w:rPr>
      </w:pPr>
    </w:p>
    <w:p w14:paraId="70A20CAF"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18/4</w:t>
      </w:r>
      <w:r w:rsidRPr="00334017">
        <w:rPr>
          <w:rFonts w:eastAsia="Calibri"/>
          <w:szCs w:val="22"/>
          <w:lang w:eastAsia="de-DE" w:bidi="de-DE"/>
        </w:rPr>
        <w:t> - Falls eine in Artikel 63</w:t>
      </w:r>
      <w:r w:rsidRPr="00334017">
        <w:rPr>
          <w:rFonts w:eastAsia="Calibri"/>
          <w:szCs w:val="22"/>
          <w:vertAlign w:val="superscript"/>
          <w:lang w:eastAsia="de-DE" w:bidi="de-DE"/>
        </w:rPr>
        <w:t>18/1</w:t>
      </w:r>
      <w:r w:rsidRPr="00334017">
        <w:rPr>
          <w:rFonts w:eastAsia="Calibri"/>
          <w:szCs w:val="22"/>
          <w:lang w:eastAsia="de-DE" w:bidi="de-DE"/>
        </w:rPr>
        <w:t xml:space="preserve"> § 1 erwähnte Einrichtung eine der Bedingungen für ihre Zulassung nicht erfüllt, kann ihr die Zulassung von Amts wegen entzogen oder verweigert werden:</w:t>
      </w:r>
    </w:p>
    <w:p w14:paraId="13CD794F" w14:textId="77777777" w:rsidR="005A5BD5" w:rsidRPr="00334017" w:rsidRDefault="005A5BD5" w:rsidP="00FB3E9E">
      <w:pPr>
        <w:jc w:val="both"/>
        <w:rPr>
          <w:rFonts w:eastAsia="Calibri"/>
          <w:szCs w:val="22"/>
          <w:lang w:eastAsia="de-DE" w:bidi="de-DE"/>
        </w:rPr>
      </w:pPr>
    </w:p>
    <w:p w14:paraId="4CB3762F"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durch gemeinsamen Beschluss des Ministers der Finanzen und jedes zuständigen Organs des Staates oder der Gemeinschaften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1 bis 4 erwähnten Einrichtungen,</w:t>
      </w:r>
    </w:p>
    <w:p w14:paraId="1BC9C28B" w14:textId="77777777" w:rsidR="005A5BD5" w:rsidRPr="00334017" w:rsidRDefault="005A5BD5" w:rsidP="00FB3E9E">
      <w:pPr>
        <w:jc w:val="both"/>
        <w:rPr>
          <w:rFonts w:eastAsia="Calibri"/>
          <w:szCs w:val="22"/>
          <w:lang w:eastAsia="de-DE" w:bidi="de-DE"/>
        </w:rPr>
      </w:pPr>
    </w:p>
    <w:p w14:paraId="2638FD54"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[durch Beschluss des Ministers der Finanzen]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5 und 9 erwähnten Einrichtungen,</w:t>
      </w:r>
    </w:p>
    <w:p w14:paraId="735B4725" w14:textId="77777777" w:rsidR="005A5BD5" w:rsidRPr="00334017" w:rsidRDefault="005A5BD5" w:rsidP="00FB3E9E">
      <w:pPr>
        <w:jc w:val="both"/>
        <w:rPr>
          <w:rFonts w:eastAsia="Calibri"/>
          <w:szCs w:val="22"/>
          <w:lang w:eastAsia="de-DE" w:bidi="de-DE"/>
        </w:rPr>
      </w:pPr>
    </w:p>
    <w:p w14:paraId="0FC5492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c)</w:t>
      </w:r>
      <w:r w:rsidRPr="00334017">
        <w:rPr>
          <w:rFonts w:eastAsia="Calibri"/>
          <w:szCs w:val="22"/>
          <w:lang w:eastAsia="de-DE" w:bidi="de-DE"/>
        </w:rPr>
        <w:t xml:space="preserve"> durch Beschluss des Ministers der Finanzen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6 erwähnten Einrichtungen,</w:t>
      </w:r>
    </w:p>
    <w:p w14:paraId="1E9460F8" w14:textId="77777777" w:rsidR="005A5BD5" w:rsidRPr="00334017" w:rsidRDefault="005A5BD5" w:rsidP="00FB3E9E">
      <w:pPr>
        <w:jc w:val="both"/>
        <w:rPr>
          <w:rFonts w:eastAsia="Calibri"/>
          <w:szCs w:val="22"/>
          <w:lang w:eastAsia="de-DE" w:bidi="de-DE"/>
        </w:rPr>
      </w:pPr>
    </w:p>
    <w:p w14:paraId="3D58D0FA"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d)</w:t>
      </w:r>
      <w:r w:rsidRPr="00334017">
        <w:rPr>
          <w:rFonts w:eastAsia="Calibri"/>
          <w:szCs w:val="22"/>
          <w:lang w:eastAsia="de-DE" w:bidi="de-DE"/>
        </w:rPr>
        <w:t xml:space="preserve"> durch gemeinsamen Beschluss des Ministers der Finanzen und des für Umwelt zuständigen Ministers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7 erwähnten Einrichtungen,</w:t>
      </w:r>
    </w:p>
    <w:p w14:paraId="1355DA38" w14:textId="77777777" w:rsidR="005A5BD5" w:rsidRPr="00334017" w:rsidRDefault="005A5BD5" w:rsidP="00FB3E9E">
      <w:pPr>
        <w:jc w:val="both"/>
        <w:rPr>
          <w:rFonts w:eastAsia="Calibri"/>
          <w:szCs w:val="22"/>
          <w:lang w:eastAsia="de-DE" w:bidi="de-DE"/>
        </w:rPr>
      </w:pPr>
    </w:p>
    <w:p w14:paraId="5FA15030"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 xml:space="preserve">e) </w:t>
      </w:r>
      <w:r w:rsidRPr="00334017">
        <w:rPr>
          <w:rFonts w:eastAsia="Calibri"/>
          <w:szCs w:val="22"/>
          <w:lang w:eastAsia="de-DE" w:bidi="de-DE"/>
        </w:rPr>
        <w:t>durch gemeinsamen Beschluss des Ministers der Finanzen und des Ministers der Auswärtigen Angelegenheiten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8 erwähnten Einrichtungen,</w:t>
      </w:r>
    </w:p>
    <w:p w14:paraId="4A8E23F8" w14:textId="77777777" w:rsidR="005A5BD5" w:rsidRPr="00334017" w:rsidRDefault="005A5BD5" w:rsidP="00FB3E9E">
      <w:pPr>
        <w:jc w:val="both"/>
        <w:rPr>
          <w:rFonts w:eastAsia="Calibri"/>
          <w:szCs w:val="22"/>
          <w:lang w:eastAsia="de-DE" w:bidi="de-DE"/>
        </w:rPr>
      </w:pPr>
    </w:p>
    <w:p w14:paraId="4A06B576"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f)</w:t>
      </w:r>
      <w:r w:rsidRPr="00334017">
        <w:rPr>
          <w:rFonts w:eastAsia="Calibri"/>
          <w:szCs w:val="22"/>
          <w:lang w:eastAsia="de-DE" w:bidi="de-DE"/>
        </w:rPr>
        <w:t xml:space="preserve"> durch gemeinsamen Beschuss des Ministers der Finanzen und des für nachhaltige Entwicklung zuständigen Ministers für die in Artikel 63</w:t>
      </w:r>
      <w:r w:rsidRPr="00334017">
        <w:rPr>
          <w:rFonts w:eastAsia="Calibri"/>
          <w:szCs w:val="22"/>
          <w:vertAlign w:val="superscript"/>
          <w:lang w:eastAsia="de-DE" w:bidi="de-DE"/>
        </w:rPr>
        <w:t>18/1</w:t>
      </w:r>
      <w:r w:rsidRPr="00334017">
        <w:rPr>
          <w:rFonts w:eastAsia="Calibri"/>
          <w:szCs w:val="22"/>
          <w:lang w:eastAsia="de-DE" w:bidi="de-DE"/>
        </w:rPr>
        <w:t xml:space="preserve"> § 1 Nr. 10 erwähnten Einrichtungen.</w:t>
      </w:r>
    </w:p>
    <w:p w14:paraId="7E6C5DEF" w14:textId="77777777" w:rsidR="005A5BD5" w:rsidRPr="00334017" w:rsidRDefault="005A5BD5" w:rsidP="00FB3E9E">
      <w:pPr>
        <w:jc w:val="both"/>
        <w:rPr>
          <w:rFonts w:eastAsia="Calibri"/>
          <w:szCs w:val="22"/>
          <w:lang w:eastAsia="de-DE" w:bidi="de-DE"/>
        </w:rPr>
      </w:pPr>
    </w:p>
    <w:p w14:paraId="1E5C9383"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[Ein Zulassungsentzug wird wirksam mit 1. Januar nach dem Datum der Notifizierung des Beschlusses.]</w:t>
      </w:r>
    </w:p>
    <w:p w14:paraId="6093BB77"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p>
    <w:p w14:paraId="1E8BAAE2"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w:t>
      </w:r>
      <w:r w:rsidR="009251F9">
        <w:rPr>
          <w:rFonts w:eastAsia="Calibri"/>
          <w:szCs w:val="22"/>
          <w:lang w:eastAsia="de-DE" w:bidi="de-DE"/>
        </w:rPr>
        <w:t>…</w:t>
      </w:r>
      <w:r w:rsidRPr="00334017">
        <w:rPr>
          <w:rFonts w:eastAsia="Calibri"/>
          <w:szCs w:val="22"/>
          <w:lang w:eastAsia="de-DE" w:bidi="de-DE"/>
        </w:rPr>
        <w:t>]</w:t>
      </w:r>
    </w:p>
    <w:p w14:paraId="6F277418" w14:textId="77777777" w:rsidR="005A5BD5" w:rsidRPr="00334017" w:rsidRDefault="005A5BD5" w:rsidP="00FB3E9E">
      <w:pPr>
        <w:jc w:val="both"/>
        <w:rPr>
          <w:rFonts w:eastAsia="Calibri"/>
          <w:szCs w:val="22"/>
          <w:lang w:eastAsia="de-DE" w:bidi="de-DE"/>
        </w:rPr>
      </w:pPr>
    </w:p>
    <w:p w14:paraId="579DAE4F" w14:textId="77777777" w:rsidR="005A5BD5" w:rsidRPr="00334017" w:rsidRDefault="005A5BD5" w:rsidP="00FB3E9E">
      <w:pPr>
        <w:jc w:val="both"/>
        <w:rPr>
          <w:rFonts w:eastAsia="Calibri"/>
          <w:i/>
          <w:szCs w:val="22"/>
          <w:lang w:eastAsia="de-DE" w:bidi="de-DE"/>
        </w:rPr>
      </w:pPr>
      <w:r w:rsidRPr="00334017">
        <w:rPr>
          <w:rFonts w:eastAsia="Calibri"/>
          <w:i/>
          <w:szCs w:val="22"/>
          <w:lang w:eastAsia="de-DE" w:bidi="de-DE"/>
        </w:rPr>
        <w:t>[Art. 63</w:t>
      </w:r>
      <w:r w:rsidRPr="00334017">
        <w:rPr>
          <w:rFonts w:eastAsia="Calibri"/>
          <w:i/>
          <w:szCs w:val="22"/>
          <w:vertAlign w:val="superscript"/>
          <w:lang w:eastAsia="de-DE" w:bidi="de-DE"/>
        </w:rPr>
        <w:t>18/4</w:t>
      </w:r>
      <w:r w:rsidRPr="00334017">
        <w:rPr>
          <w:rFonts w:eastAsia="Calibri"/>
          <w:i/>
          <w:szCs w:val="22"/>
          <w:lang w:eastAsia="de-DE" w:bidi="de-DE"/>
        </w:rPr>
        <w:t xml:space="preserve"> Abs. 1 Buchstabe b) abgeändert durch Art. 5 Nr. 1 des K.E. vom 4. August 2014 (B.S. vom 18. August 2014); Abs. 2 ersetzt durch Art. 5 Nr. 2 des K.E. vom 4. August 2014 (B.S. vom 18. August 2014); Abs. 3 aufgehoben durch Art. 5 Nr. 3 des K.E. vom 4. August 2014 (B.S. vom 18. August 2014)]</w:t>
      </w:r>
    </w:p>
    <w:p w14:paraId="5734F4A0" w14:textId="77777777" w:rsidR="005A5BD5" w:rsidRPr="00334017" w:rsidRDefault="005A5BD5" w:rsidP="00FB3E9E">
      <w:pPr>
        <w:jc w:val="both"/>
        <w:rPr>
          <w:rFonts w:eastAsia="Calibri"/>
          <w:szCs w:val="22"/>
          <w:lang w:eastAsia="de-DE" w:bidi="de-DE"/>
        </w:rPr>
      </w:pPr>
    </w:p>
    <w:p w14:paraId="2599757E" w14:textId="77777777" w:rsidR="005A5BD5" w:rsidRPr="00334017" w:rsidRDefault="005A5BD5" w:rsidP="00FB3E9E">
      <w:pPr>
        <w:jc w:val="both"/>
        <w:rPr>
          <w:rFonts w:eastAsia="Calibri"/>
          <w:szCs w:val="22"/>
          <w:lang w:eastAsia="de-DE" w:bidi="de-DE"/>
        </w:rPr>
      </w:pPr>
    </w:p>
    <w:p w14:paraId="0B3D34AC"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18/5</w:t>
      </w:r>
      <w:r w:rsidRPr="00334017">
        <w:rPr>
          <w:rFonts w:eastAsia="Calibri"/>
          <w:szCs w:val="22"/>
          <w:lang w:eastAsia="de-DE" w:bidi="de-DE"/>
        </w:rPr>
        <w:t> - § 1 - Für die Anwendung von Artikel 145</w:t>
      </w:r>
      <w:r w:rsidRPr="00334017">
        <w:rPr>
          <w:rFonts w:eastAsia="Calibri"/>
          <w:szCs w:val="22"/>
          <w:vertAlign w:val="superscript"/>
          <w:lang w:eastAsia="de-DE" w:bidi="de-DE"/>
        </w:rPr>
        <w:t>33</w:t>
      </w:r>
      <w:r w:rsidRPr="00334017">
        <w:rPr>
          <w:rFonts w:eastAsia="Calibri"/>
          <w:szCs w:val="22"/>
          <w:lang w:eastAsia="de-DE" w:bidi="de-DE"/>
        </w:rPr>
        <w:t xml:space="preserve"> § 1 Nr. 1 Buchstabe </w:t>
      </w:r>
      <w:r w:rsidRPr="00334017">
        <w:rPr>
          <w:rFonts w:eastAsia="Calibri"/>
          <w:i/>
          <w:szCs w:val="22"/>
          <w:lang w:eastAsia="de-DE" w:bidi="de-DE"/>
        </w:rPr>
        <w:t>k)</w:t>
      </w:r>
      <w:r w:rsidRPr="00334017">
        <w:rPr>
          <w:rFonts w:eastAsia="Calibri"/>
          <w:szCs w:val="22"/>
          <w:lang w:eastAsia="de-DE" w:bidi="de-DE"/>
        </w:rPr>
        <w:t xml:space="preserve"> des Einkommensteuergesetzbuches 1992 müssen die Tätigkeiten von Vereinigungen ohne Gewinnerzielungsabsicht auf den Betrieb von Tierheimen ausgerichtet sein wie im Königlichen Erlass vom 27. April 2007 zur Festlegung der Zulassungsbedingungen für Einrichtungen für Tiere und der Bedingungen für die Vermarktung von Tieren bestimmt.</w:t>
      </w:r>
    </w:p>
    <w:p w14:paraId="461A726A" w14:textId="77777777" w:rsidR="005A5BD5" w:rsidRPr="00334017" w:rsidRDefault="005A5BD5" w:rsidP="00FB3E9E">
      <w:pPr>
        <w:jc w:val="both"/>
        <w:rPr>
          <w:rFonts w:eastAsia="Calibri"/>
          <w:szCs w:val="22"/>
          <w:lang w:eastAsia="de-DE" w:bidi="de-DE"/>
        </w:rPr>
      </w:pPr>
    </w:p>
    <w:p w14:paraId="7FA434BB" w14:textId="23EAEE4C" w:rsidR="005A5BD5" w:rsidRPr="00334017" w:rsidRDefault="005A5BD5" w:rsidP="00FB3E9E">
      <w:pPr>
        <w:jc w:val="both"/>
        <w:rPr>
          <w:rFonts w:eastAsia="Calibri"/>
          <w:szCs w:val="22"/>
          <w:lang w:eastAsia="de-DE" w:bidi="de-DE"/>
        </w:rPr>
      </w:pPr>
      <w:r w:rsidRPr="00334017">
        <w:rPr>
          <w:rFonts w:eastAsia="Calibri"/>
          <w:szCs w:val="22"/>
          <w:lang w:eastAsia="de-DE" w:bidi="de-DE"/>
        </w:rPr>
        <w:lastRenderedPageBreak/>
        <w:tab/>
        <w:t xml:space="preserve">§ 2 - In § 1 erwähnte Vereinigungen ohne Gewinnerzielungsabsicht müssen in den nachstehend bestimmten Formen und Fristen einen schriftlichen Antrag einreichen, um ermächtigt zu werden, während eines Zeitraums von höchstens sechs aufeinander folgenden Kalenderjahren </w:t>
      </w:r>
      <w:r w:rsidR="00AA7787">
        <w:rPr>
          <w:rFonts w:eastAsia="Calibri"/>
          <w:szCs w:val="22"/>
          <w:lang w:eastAsia="de-DE" w:bidi="de-DE"/>
        </w:rPr>
        <w:t>[</w:t>
      </w:r>
      <w:r w:rsidR="00AA7787" w:rsidRPr="00DB32B2">
        <w:t>Bescheinigungen</w:t>
      </w:r>
      <w:r w:rsidR="00AA7787">
        <w:rPr>
          <w:rFonts w:eastAsia="Calibri"/>
          <w:szCs w:val="22"/>
          <w:lang w:eastAsia="de-DE" w:bidi="de-DE"/>
        </w:rPr>
        <w:t>]</w:t>
      </w:r>
      <w:r w:rsidRPr="00334017">
        <w:rPr>
          <w:rFonts w:eastAsia="Calibri"/>
          <w:szCs w:val="22"/>
          <w:lang w:eastAsia="de-DE" w:bidi="de-DE"/>
        </w:rPr>
        <w:t xml:space="preserve"> auszustellen, die zum Abzug unentgeltlicher Zuwendungen an diese Vereinigungen ohne Gewinnerzielungsabsicht berechtigen.</w:t>
      </w:r>
    </w:p>
    <w:p w14:paraId="5987DD2C" w14:textId="77777777" w:rsidR="005A5BD5" w:rsidRPr="00334017" w:rsidRDefault="005A5BD5" w:rsidP="00FB3E9E">
      <w:pPr>
        <w:jc w:val="both"/>
        <w:rPr>
          <w:rFonts w:eastAsia="Calibri"/>
          <w:szCs w:val="22"/>
          <w:lang w:eastAsia="de-DE" w:bidi="de-DE"/>
        </w:rPr>
      </w:pPr>
    </w:p>
    <w:p w14:paraId="4C3CC8E9" w14:textId="1EE681FE" w:rsidR="005A5BD5" w:rsidRPr="00334017" w:rsidRDefault="005A5BD5" w:rsidP="00FB3E9E">
      <w:pPr>
        <w:jc w:val="both"/>
        <w:rPr>
          <w:rFonts w:eastAsia="Calibri"/>
          <w:szCs w:val="22"/>
          <w:lang w:eastAsia="de-DE" w:bidi="de-DE"/>
        </w:rPr>
      </w:pPr>
      <w:r w:rsidRPr="00334017">
        <w:rPr>
          <w:rFonts w:eastAsia="Calibri"/>
          <w:szCs w:val="22"/>
          <w:lang w:eastAsia="de-DE" w:bidi="de-DE"/>
        </w:rPr>
        <w:tab/>
        <w:t xml:space="preserve">§ 3 - Ermächtigungsanträge müssen spätestens am 31. Dezember des Jahres vor dem Zeitraum, für den die Ermächtigung beantragt wird, </w:t>
      </w:r>
      <w:r w:rsidR="00E61F2A">
        <w:rPr>
          <w:rFonts w:eastAsia="Calibri"/>
          <w:szCs w:val="22"/>
          <w:lang w:eastAsia="de-DE" w:bidi="de-DE"/>
        </w:rPr>
        <w:t>[</w:t>
      </w:r>
      <w:r w:rsidR="00E61F2A" w:rsidRPr="00DA477C">
        <w:t>beim Generalverwalter Steuerwesen des FÖD Finanzen</w:t>
      </w:r>
      <w:r w:rsidR="00E61F2A">
        <w:rPr>
          <w:rFonts w:eastAsia="Calibri"/>
          <w:szCs w:val="22"/>
          <w:lang w:eastAsia="de-DE" w:bidi="de-DE"/>
        </w:rPr>
        <w:t>]</w:t>
      </w:r>
      <w:r w:rsidRPr="00334017">
        <w:rPr>
          <w:rFonts w:eastAsia="Calibri"/>
          <w:szCs w:val="22"/>
          <w:lang w:eastAsia="de-DE" w:bidi="de-DE"/>
        </w:rPr>
        <w:t xml:space="preserve"> eingereicht werden; die Frist darf jedoch nicht weniger als drei Monate ab dem Datum, an dem die antragstellende Einrichtung Rechtspersönlichkeit erlangt, betragen.</w:t>
      </w:r>
    </w:p>
    <w:p w14:paraId="52F46A03" w14:textId="77777777" w:rsidR="005A5BD5" w:rsidRPr="00334017" w:rsidRDefault="005A5BD5" w:rsidP="00FB3E9E">
      <w:pPr>
        <w:jc w:val="both"/>
        <w:rPr>
          <w:rFonts w:eastAsia="Calibri"/>
          <w:szCs w:val="22"/>
          <w:lang w:eastAsia="de-DE" w:bidi="de-DE"/>
        </w:rPr>
      </w:pPr>
    </w:p>
    <w:p w14:paraId="0593C6F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4 - Ermächtigungsanträge müssen Folgendes enthalten:</w:t>
      </w:r>
    </w:p>
    <w:p w14:paraId="11459FD8" w14:textId="77777777" w:rsidR="005A5BD5" w:rsidRPr="00334017" w:rsidRDefault="005A5BD5" w:rsidP="00FB3E9E">
      <w:pPr>
        <w:jc w:val="both"/>
        <w:rPr>
          <w:rFonts w:eastAsia="Calibri"/>
          <w:szCs w:val="22"/>
          <w:lang w:eastAsia="de-DE" w:bidi="de-DE"/>
        </w:rPr>
      </w:pPr>
    </w:p>
    <w:p w14:paraId="3711E355"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1. beglaubigte Abschrift der datierten und unterzeichneten Zulassungs</w:t>
      </w:r>
      <w:r w:rsidRPr="00334017">
        <w:rPr>
          <w:rFonts w:eastAsia="Calibri"/>
          <w:szCs w:val="22"/>
          <w:lang w:eastAsia="de-DE" w:bidi="de-DE"/>
        </w:rPr>
        <w:softHyphen/>
        <w:t>bescheinigung, die gemäß dem Königlichen Erlass vom 27. April 2007 zur Festlegung der Zulassungsbedingungen für Einrichtungen für Tiere und der Bedingungen für die Vermarktung von Tieren ausgestellt worden ist, für den vollständigen Zeitraum, für den die Zulassung beantragt wird,</w:t>
      </w:r>
    </w:p>
    <w:p w14:paraId="444B00C1" w14:textId="77777777" w:rsidR="005A5BD5" w:rsidRPr="00334017" w:rsidRDefault="005A5BD5" w:rsidP="00FB3E9E">
      <w:pPr>
        <w:jc w:val="both"/>
        <w:rPr>
          <w:rFonts w:eastAsia="Calibri"/>
          <w:szCs w:val="22"/>
          <w:lang w:eastAsia="de-DE" w:bidi="de-DE"/>
        </w:rPr>
      </w:pPr>
    </w:p>
    <w:p w14:paraId="0C68D3E4"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2. Angaben, die erforderlich sind, damit die Dienste, die mit der Bearbeitung des Ermächtigungsantrags beauftragt sind, beurteilen können, ob die antragstellende Vereinigung ohne Gewinnerzielungsabsicht die in § 1 vorgesehenen Bedingungen erfüllt,</w:t>
      </w:r>
    </w:p>
    <w:p w14:paraId="2C959B42" w14:textId="77777777" w:rsidR="005A5BD5" w:rsidRPr="00334017" w:rsidRDefault="005A5BD5" w:rsidP="00FB3E9E">
      <w:pPr>
        <w:jc w:val="both"/>
        <w:rPr>
          <w:rFonts w:eastAsia="Calibri"/>
          <w:szCs w:val="22"/>
          <w:lang w:eastAsia="de-DE" w:bidi="de-DE"/>
        </w:rPr>
      </w:pPr>
    </w:p>
    <w:p w14:paraId="02720D1F"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3. Erklärung, in der die antragstellende Vereinigung ohne Gewinnerzielungsabsicht sich verpflichtet:</w:t>
      </w:r>
    </w:p>
    <w:p w14:paraId="6C6DFF14" w14:textId="77777777" w:rsidR="005A5BD5" w:rsidRPr="00334017" w:rsidRDefault="005A5BD5" w:rsidP="00FB3E9E">
      <w:pPr>
        <w:jc w:val="both"/>
        <w:rPr>
          <w:rFonts w:eastAsia="Calibri"/>
          <w:szCs w:val="22"/>
          <w:lang w:eastAsia="de-DE" w:bidi="de-DE"/>
        </w:rPr>
      </w:pPr>
    </w:p>
    <w:p w14:paraId="52DF918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zur Deckung der Kosten für die allgemeine Verwaltung nicht mehr als 20 Prozent ihrer Mittel jeglicher Art zu verwenden, die zuvor um die Mittel verringert wurden, die von anderen zugelassenen oder ermächtigten Einrichtungen stammen,</w:t>
      </w:r>
    </w:p>
    <w:p w14:paraId="65DF1B7F" w14:textId="77777777" w:rsidR="005A5BD5" w:rsidRPr="00334017" w:rsidRDefault="005A5BD5" w:rsidP="00FB3E9E">
      <w:pPr>
        <w:jc w:val="both"/>
        <w:rPr>
          <w:rFonts w:eastAsia="Calibri"/>
          <w:szCs w:val="22"/>
          <w:lang w:eastAsia="de-DE" w:bidi="de-DE"/>
        </w:rPr>
      </w:pPr>
    </w:p>
    <w:p w14:paraId="3B2EB21A" w14:textId="157BC600"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w:t>
      </w:r>
      <w:r w:rsidR="00AA7787">
        <w:rPr>
          <w:rFonts w:eastAsia="Calibri"/>
          <w:szCs w:val="22"/>
          <w:lang w:eastAsia="de-DE" w:bidi="de-DE"/>
        </w:rPr>
        <w:t>[...]</w:t>
      </w:r>
    </w:p>
    <w:p w14:paraId="0973568E" w14:textId="77777777" w:rsidR="005A5BD5" w:rsidRPr="00334017" w:rsidRDefault="005A5BD5" w:rsidP="00FB3E9E">
      <w:pPr>
        <w:jc w:val="both"/>
        <w:rPr>
          <w:rFonts w:eastAsia="Calibri"/>
          <w:szCs w:val="22"/>
          <w:lang w:eastAsia="de-DE" w:bidi="de-DE"/>
        </w:rPr>
      </w:pPr>
    </w:p>
    <w:p w14:paraId="28CC4786" w14:textId="77777777" w:rsidR="005A5BD5"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c)</w:t>
      </w:r>
      <w:r w:rsidRPr="00334017">
        <w:rPr>
          <w:rFonts w:eastAsia="Calibri"/>
          <w:szCs w:val="22"/>
          <w:lang w:eastAsia="de-DE" w:bidi="de-DE"/>
        </w:rPr>
        <w:t xml:space="preserve"> den Beamten der für die Festlegung der Steuer zuständigen Verwaltung jedes Mal, wenn sie es für notwendig erachten, eine Prüfung ihrer Buchhaltung zu ermöglichen,</w:t>
      </w:r>
    </w:p>
    <w:p w14:paraId="3FE0B386" w14:textId="77777777" w:rsidR="009A607C" w:rsidRDefault="009A607C" w:rsidP="00FB3E9E">
      <w:pPr>
        <w:jc w:val="both"/>
        <w:rPr>
          <w:rFonts w:eastAsia="Calibri"/>
          <w:szCs w:val="22"/>
          <w:lang w:eastAsia="de-DE" w:bidi="de-DE"/>
        </w:rPr>
      </w:pPr>
    </w:p>
    <w:p w14:paraId="2A53FF56"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d)</w:t>
      </w:r>
      <w:r w:rsidRPr="00334017">
        <w:rPr>
          <w:rFonts w:eastAsia="Calibri"/>
          <w:szCs w:val="22"/>
          <w:lang w:eastAsia="de-DE" w:bidi="de-DE"/>
        </w:rPr>
        <w:t xml:space="preserve"> den für die Ermächtigung zuständigen Diensten binnen einem Monat nach dem ersten Ersuchen dieser Dienste jegliche Auskünfte zu erteilen, die für die Untersuchung des Ermächtigungsantrags erforderlich sind.</w:t>
      </w:r>
    </w:p>
    <w:p w14:paraId="7377500B" w14:textId="77777777" w:rsidR="005A5BD5" w:rsidRPr="00334017" w:rsidRDefault="005A5BD5" w:rsidP="00FB3E9E">
      <w:pPr>
        <w:jc w:val="both"/>
        <w:rPr>
          <w:rFonts w:eastAsia="Calibri"/>
          <w:szCs w:val="22"/>
          <w:lang w:eastAsia="de-DE" w:bidi="de-DE"/>
        </w:rPr>
      </w:pPr>
    </w:p>
    <w:p w14:paraId="4346B2FA"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Diesen Anträgen muss außerdem eine beglaubigte Abschrift der Einnahmen- und Ausgabenrechnung des letzten abgeschlossenen Geschäftsjahres und des Haushalts des laufenden Geschäftsjahres beigefügt werden.</w:t>
      </w:r>
    </w:p>
    <w:p w14:paraId="0A4CF9C4" w14:textId="77777777" w:rsidR="005A5BD5" w:rsidRPr="00334017" w:rsidRDefault="005A5BD5" w:rsidP="00FB3E9E">
      <w:pPr>
        <w:jc w:val="both"/>
        <w:rPr>
          <w:rFonts w:eastAsia="Calibri"/>
          <w:szCs w:val="22"/>
          <w:lang w:eastAsia="de-DE" w:bidi="de-DE"/>
        </w:rPr>
      </w:pPr>
    </w:p>
    <w:p w14:paraId="4616789E" w14:textId="184CBECD" w:rsidR="005A5BD5" w:rsidRPr="00334017" w:rsidRDefault="005A5BD5" w:rsidP="00FB3E9E">
      <w:pPr>
        <w:jc w:val="both"/>
        <w:rPr>
          <w:rFonts w:eastAsia="Calibri"/>
          <w:szCs w:val="22"/>
          <w:lang w:eastAsia="de-DE" w:bidi="de-DE"/>
        </w:rPr>
      </w:pPr>
      <w:r w:rsidRPr="00334017">
        <w:rPr>
          <w:rFonts w:eastAsia="Calibri"/>
          <w:szCs w:val="22"/>
          <w:lang w:eastAsia="de-DE" w:bidi="de-DE"/>
        </w:rPr>
        <w:tab/>
        <w:t xml:space="preserve">§ 5 - </w:t>
      </w:r>
      <w:r w:rsidR="00AA7787">
        <w:rPr>
          <w:rFonts w:eastAsia="Calibri"/>
          <w:szCs w:val="22"/>
          <w:lang w:eastAsia="de-DE" w:bidi="de-DE"/>
        </w:rPr>
        <w:t>[...]</w:t>
      </w:r>
    </w:p>
    <w:p w14:paraId="671E29E0" w14:textId="77777777" w:rsidR="005A5BD5" w:rsidRPr="00334017" w:rsidRDefault="005A5BD5" w:rsidP="00FB3E9E">
      <w:pPr>
        <w:jc w:val="both"/>
        <w:rPr>
          <w:rFonts w:eastAsia="Calibri"/>
          <w:szCs w:val="22"/>
          <w:lang w:eastAsia="de-DE" w:bidi="de-DE"/>
        </w:rPr>
      </w:pPr>
    </w:p>
    <w:p w14:paraId="0B39667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6 - Der Beschluss des Ministers der Finanzen wird der antragstellenden Vereinigung ohne Gewinnerzielungsabsicht notifiziert.</w:t>
      </w:r>
    </w:p>
    <w:p w14:paraId="341CD93E" w14:textId="77777777" w:rsidR="005A5BD5" w:rsidRPr="00334017" w:rsidRDefault="005A5BD5" w:rsidP="00FB3E9E">
      <w:pPr>
        <w:jc w:val="both"/>
        <w:rPr>
          <w:rFonts w:eastAsia="Calibri"/>
          <w:szCs w:val="22"/>
          <w:lang w:eastAsia="de-DE" w:bidi="de-DE"/>
        </w:rPr>
      </w:pPr>
    </w:p>
    <w:p w14:paraId="51C6FC95"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lastRenderedPageBreak/>
        <w:tab/>
        <w:t>§ 7 - Falls eine Vereinigung ohne Gewinnerzielungsabsicht eine der Bedingungen für die ihr erteilte Ermächtigung nicht erfüllt, kann ihr die Ermächtigung durch Beschluss des Ministers der Finanzen von Amts wegen entzogen oder verweigert werden.</w:t>
      </w:r>
    </w:p>
    <w:p w14:paraId="59D4D0E5" w14:textId="77777777" w:rsidR="005A5BD5" w:rsidRPr="00334017" w:rsidRDefault="005A5BD5" w:rsidP="00FB3E9E">
      <w:pPr>
        <w:jc w:val="both"/>
        <w:rPr>
          <w:rFonts w:eastAsia="Calibri"/>
          <w:szCs w:val="22"/>
          <w:lang w:eastAsia="de-DE" w:bidi="de-DE"/>
        </w:rPr>
      </w:pPr>
    </w:p>
    <w:p w14:paraId="545EC93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Der Entzug der Ermächtigung wird wirksam mit 1. Januar nach dem Datum der Notifizierung des Beschlusses.</w:t>
      </w:r>
    </w:p>
    <w:p w14:paraId="53593B22" w14:textId="0C15BDD3" w:rsidR="005A5BD5" w:rsidRDefault="005A5BD5" w:rsidP="00FB3E9E">
      <w:pPr>
        <w:jc w:val="both"/>
        <w:rPr>
          <w:rFonts w:eastAsia="Calibri"/>
          <w:szCs w:val="22"/>
          <w:lang w:eastAsia="de-DE" w:bidi="de-DE"/>
        </w:rPr>
      </w:pPr>
    </w:p>
    <w:p w14:paraId="5A1F7702" w14:textId="3681826F" w:rsidR="00E61F2A" w:rsidRDefault="00E61F2A" w:rsidP="00FB3E9E">
      <w:pPr>
        <w:jc w:val="both"/>
        <w:rPr>
          <w:rFonts w:eastAsia="Calibri"/>
          <w:i/>
          <w:iCs/>
          <w:szCs w:val="22"/>
          <w:lang w:eastAsia="de-DE" w:bidi="de-DE"/>
        </w:rPr>
      </w:pPr>
      <w:r>
        <w:rPr>
          <w:rFonts w:eastAsia="Calibri"/>
          <w:i/>
          <w:iCs/>
          <w:szCs w:val="22"/>
          <w:lang w:eastAsia="de-DE" w:bidi="de-DE"/>
        </w:rPr>
        <w:t>[Art. 63</w:t>
      </w:r>
      <w:r>
        <w:rPr>
          <w:rFonts w:eastAsia="Calibri"/>
          <w:i/>
          <w:iCs/>
          <w:szCs w:val="22"/>
          <w:vertAlign w:val="superscript"/>
          <w:lang w:eastAsia="de-DE" w:bidi="de-DE"/>
        </w:rPr>
        <w:t>18/5</w:t>
      </w:r>
      <w:r>
        <w:rPr>
          <w:rFonts w:eastAsia="Calibri"/>
          <w:i/>
          <w:iCs/>
          <w:szCs w:val="22"/>
          <w:lang w:eastAsia="de-DE" w:bidi="de-DE"/>
        </w:rPr>
        <w:t xml:space="preserve"> </w:t>
      </w:r>
      <w:r w:rsidR="00AA7787">
        <w:rPr>
          <w:rFonts w:eastAsia="Calibri"/>
          <w:i/>
          <w:iCs/>
          <w:szCs w:val="22"/>
          <w:lang w:eastAsia="de-DE" w:bidi="de-DE"/>
        </w:rPr>
        <w:t>§ 2 abgeändert durch Art. 2 Nr. 1</w:t>
      </w:r>
      <w:r w:rsidR="00AA7787" w:rsidRPr="00AA7787">
        <w:rPr>
          <w:rFonts w:eastAsia="Calibri"/>
          <w:i/>
          <w:iCs/>
          <w:szCs w:val="22"/>
          <w:lang w:eastAsia="de-DE" w:bidi="de-DE"/>
        </w:rPr>
        <w:t xml:space="preserve"> des K.E. vom 12. Mai 2024 (B.S. vom 29. Mai 2024)</w:t>
      </w:r>
      <w:r w:rsidR="00AA7787">
        <w:rPr>
          <w:rFonts w:eastAsia="Calibri"/>
          <w:i/>
          <w:iCs/>
          <w:szCs w:val="22"/>
          <w:lang w:eastAsia="de-DE" w:bidi="de-DE"/>
        </w:rPr>
        <w:t xml:space="preserve">; </w:t>
      </w:r>
      <w:r>
        <w:rPr>
          <w:rFonts w:eastAsia="Calibri"/>
          <w:i/>
          <w:iCs/>
          <w:szCs w:val="22"/>
          <w:lang w:eastAsia="de-DE" w:bidi="de-DE"/>
        </w:rPr>
        <w:t>§ 3 abgeändert durch Art. 2 des K.E. vom 7. April 2019 (B.S. vom 29. April 2019)</w:t>
      </w:r>
      <w:r w:rsidR="00AA7787">
        <w:rPr>
          <w:rFonts w:eastAsia="Calibri"/>
          <w:i/>
          <w:iCs/>
          <w:szCs w:val="22"/>
          <w:lang w:eastAsia="de-DE" w:bidi="de-DE"/>
        </w:rPr>
        <w:t>;</w:t>
      </w:r>
      <w:r w:rsidR="00AA7787" w:rsidRPr="00AA7787">
        <w:rPr>
          <w:rFonts w:eastAsia="Calibri"/>
          <w:i/>
          <w:iCs/>
          <w:szCs w:val="22"/>
          <w:lang w:eastAsia="de-DE" w:bidi="de-DE"/>
        </w:rPr>
        <w:t xml:space="preserve"> </w:t>
      </w:r>
      <w:r w:rsidR="00AA7787">
        <w:rPr>
          <w:rFonts w:eastAsia="Calibri"/>
          <w:i/>
          <w:iCs/>
          <w:szCs w:val="22"/>
          <w:lang w:eastAsia="de-DE" w:bidi="de-DE"/>
        </w:rPr>
        <w:t>§ 4 Abs. 1 Nr. 3 einziger Absatz Buchstabe b) aufgehoben durch Art. 2 Nr. 2</w:t>
      </w:r>
      <w:r w:rsidR="00AA7787" w:rsidRPr="00AA7787">
        <w:rPr>
          <w:rFonts w:eastAsia="Calibri"/>
          <w:i/>
          <w:iCs/>
          <w:szCs w:val="22"/>
          <w:lang w:eastAsia="de-DE" w:bidi="de-DE"/>
        </w:rPr>
        <w:t xml:space="preserve"> des K.E. vom 12. Mai 2024 (B.S. vom 29. Mai 2024)</w:t>
      </w:r>
      <w:r w:rsidR="00AA7787">
        <w:rPr>
          <w:rFonts w:eastAsia="Calibri"/>
          <w:i/>
          <w:iCs/>
          <w:szCs w:val="22"/>
          <w:lang w:eastAsia="de-DE" w:bidi="de-DE"/>
        </w:rPr>
        <w:t xml:space="preserve">; </w:t>
      </w:r>
      <w:r w:rsidR="00C05723">
        <w:rPr>
          <w:rFonts w:eastAsia="Calibri"/>
          <w:i/>
          <w:iCs/>
          <w:szCs w:val="22"/>
          <w:lang w:eastAsia="de-DE" w:bidi="de-DE"/>
        </w:rPr>
        <w:t>§ 5 aufgehoben durch Art. 2 Nr. 3</w:t>
      </w:r>
      <w:r w:rsidR="00C05723" w:rsidRPr="00C05723">
        <w:rPr>
          <w:rFonts w:eastAsia="Calibri"/>
          <w:i/>
          <w:iCs/>
          <w:szCs w:val="22"/>
          <w:lang w:eastAsia="de-DE" w:bidi="de-DE"/>
        </w:rPr>
        <w:t xml:space="preserve"> des K.E. vom 12. Mai 2024 (B.S. vom 29. Mai 2024)</w:t>
      </w:r>
      <w:r>
        <w:rPr>
          <w:rFonts w:eastAsia="Calibri"/>
          <w:i/>
          <w:iCs/>
          <w:szCs w:val="22"/>
          <w:lang w:eastAsia="de-DE" w:bidi="de-DE"/>
        </w:rPr>
        <w:t>]</w:t>
      </w:r>
    </w:p>
    <w:p w14:paraId="3920053F" w14:textId="77777777" w:rsidR="00E61F2A" w:rsidRPr="00334017" w:rsidRDefault="00E61F2A" w:rsidP="00FB3E9E">
      <w:pPr>
        <w:jc w:val="both"/>
        <w:rPr>
          <w:rFonts w:eastAsia="Calibri"/>
          <w:szCs w:val="22"/>
          <w:lang w:eastAsia="de-DE" w:bidi="de-DE"/>
        </w:rPr>
      </w:pPr>
    </w:p>
    <w:p w14:paraId="213E7B7E" w14:textId="77777777" w:rsidR="005A5BD5" w:rsidRPr="00334017" w:rsidRDefault="005A5BD5" w:rsidP="00FB3E9E">
      <w:pPr>
        <w:jc w:val="both"/>
        <w:rPr>
          <w:rFonts w:eastAsia="Calibri"/>
          <w:szCs w:val="22"/>
          <w:lang w:eastAsia="de-DE" w:bidi="de-DE"/>
        </w:rPr>
      </w:pPr>
    </w:p>
    <w:p w14:paraId="255860BB" w14:textId="3DB7C23C" w:rsidR="005A5BD5" w:rsidRDefault="005A5BD5" w:rsidP="00620FDA">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18/6</w:t>
      </w:r>
      <w:r w:rsidRPr="00334017">
        <w:rPr>
          <w:rFonts w:eastAsia="Calibri"/>
          <w:szCs w:val="22"/>
          <w:lang w:eastAsia="de-DE" w:bidi="de-DE"/>
        </w:rPr>
        <w:t xml:space="preserve"> - </w:t>
      </w:r>
      <w:r w:rsidR="00620FDA">
        <w:rPr>
          <w:rFonts w:eastAsia="Calibri"/>
          <w:szCs w:val="22"/>
          <w:lang w:eastAsia="de-DE" w:bidi="de-DE"/>
        </w:rPr>
        <w:t>[...]</w:t>
      </w:r>
    </w:p>
    <w:p w14:paraId="0A609B4F" w14:textId="77777777" w:rsidR="00620FDA" w:rsidRDefault="00620FDA" w:rsidP="00620FDA">
      <w:pPr>
        <w:jc w:val="both"/>
        <w:rPr>
          <w:rFonts w:eastAsia="Calibri"/>
          <w:szCs w:val="22"/>
          <w:lang w:eastAsia="de-DE" w:bidi="de-DE"/>
        </w:rPr>
      </w:pPr>
    </w:p>
    <w:p w14:paraId="32B45CB0" w14:textId="663E12BE" w:rsidR="00620FDA" w:rsidRPr="00620FDA" w:rsidRDefault="00620FDA" w:rsidP="00620FDA">
      <w:pPr>
        <w:jc w:val="both"/>
        <w:rPr>
          <w:rFonts w:eastAsia="Calibri"/>
          <w:i/>
          <w:iCs/>
          <w:szCs w:val="22"/>
          <w:lang w:eastAsia="de-DE" w:bidi="de-DE"/>
        </w:rPr>
      </w:pPr>
      <w:r>
        <w:rPr>
          <w:rFonts w:eastAsia="Calibri"/>
          <w:i/>
          <w:iCs/>
          <w:szCs w:val="22"/>
          <w:lang w:eastAsia="de-DE" w:bidi="de-DE"/>
        </w:rPr>
        <w:t>[Art. 63</w:t>
      </w:r>
      <w:r w:rsidRPr="00620FDA">
        <w:rPr>
          <w:rFonts w:eastAsia="Calibri"/>
          <w:i/>
          <w:iCs/>
          <w:szCs w:val="22"/>
          <w:vertAlign w:val="superscript"/>
          <w:lang w:eastAsia="de-DE" w:bidi="de-DE"/>
        </w:rPr>
        <w:t xml:space="preserve">18/6 </w:t>
      </w:r>
      <w:r>
        <w:rPr>
          <w:rFonts w:eastAsia="Calibri"/>
          <w:i/>
          <w:iCs/>
          <w:szCs w:val="22"/>
          <w:lang w:eastAsia="de-DE" w:bidi="de-DE"/>
        </w:rPr>
        <w:t>aufgehoben durch Art. 3</w:t>
      </w:r>
      <w:r w:rsidRPr="00620FDA">
        <w:rPr>
          <w:rFonts w:eastAsia="Calibri"/>
          <w:i/>
          <w:iCs/>
          <w:szCs w:val="22"/>
          <w:lang w:eastAsia="de-DE" w:bidi="de-DE"/>
        </w:rPr>
        <w:t xml:space="preserve"> des K.E. vom 12. Mai 2024 (B.S. vom 29. Mai 2024)</w:t>
      </w:r>
      <w:r>
        <w:rPr>
          <w:rFonts w:eastAsia="Calibri"/>
          <w:i/>
          <w:iCs/>
          <w:szCs w:val="22"/>
          <w:lang w:eastAsia="de-DE" w:bidi="de-DE"/>
        </w:rPr>
        <w:t>]</w:t>
      </w:r>
    </w:p>
    <w:p w14:paraId="4A83A938" w14:textId="77777777" w:rsidR="005A5BD5" w:rsidRPr="00334017" w:rsidRDefault="005A5BD5" w:rsidP="00FB3E9E">
      <w:pPr>
        <w:jc w:val="both"/>
        <w:rPr>
          <w:rFonts w:eastAsia="Calibri"/>
          <w:szCs w:val="22"/>
          <w:lang w:eastAsia="de-DE" w:bidi="de-DE"/>
        </w:rPr>
      </w:pPr>
    </w:p>
    <w:p w14:paraId="37FFA788" w14:textId="77777777" w:rsidR="005A5BD5" w:rsidRPr="00334017" w:rsidRDefault="005A5BD5" w:rsidP="00FB3E9E">
      <w:pPr>
        <w:jc w:val="both"/>
        <w:rPr>
          <w:rFonts w:eastAsia="Calibri"/>
          <w:szCs w:val="22"/>
          <w:lang w:eastAsia="de-DE" w:bidi="de-DE"/>
        </w:rPr>
      </w:pPr>
    </w:p>
    <w:p w14:paraId="65CACC3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18/7</w:t>
      </w:r>
      <w:r w:rsidRPr="00334017">
        <w:rPr>
          <w:rFonts w:eastAsia="Calibri"/>
          <w:szCs w:val="22"/>
          <w:lang w:eastAsia="de-DE" w:bidi="de-DE"/>
        </w:rPr>
        <w:t> - In dem in Artikel 145</w:t>
      </w:r>
      <w:r w:rsidRPr="00334017">
        <w:rPr>
          <w:rFonts w:eastAsia="Calibri"/>
          <w:szCs w:val="22"/>
          <w:vertAlign w:val="superscript"/>
          <w:lang w:eastAsia="de-DE" w:bidi="de-DE"/>
        </w:rPr>
        <w:t>33</w:t>
      </w:r>
      <w:r w:rsidRPr="00334017">
        <w:rPr>
          <w:rFonts w:eastAsia="Calibri"/>
          <w:szCs w:val="22"/>
          <w:lang w:eastAsia="de-DE" w:bidi="de-DE"/>
        </w:rPr>
        <w:t xml:space="preserve"> § 3 Absatz 2 des Einkommensteuergesetz</w:t>
      </w:r>
      <w:r w:rsidRPr="00334017">
        <w:rPr>
          <w:rFonts w:eastAsia="Calibri"/>
          <w:szCs w:val="22"/>
          <w:lang w:eastAsia="de-DE" w:bidi="de-DE"/>
        </w:rPr>
        <w:softHyphen/>
        <w:t>buches 1992 erwähnten Fall und in Abweichung von den Artikeln 63</w:t>
      </w:r>
      <w:r w:rsidRPr="00334017">
        <w:rPr>
          <w:rFonts w:eastAsia="Calibri"/>
          <w:szCs w:val="22"/>
          <w:vertAlign w:val="superscript"/>
          <w:lang w:eastAsia="de-DE" w:bidi="de-DE"/>
        </w:rPr>
        <w:t>18/1</w:t>
      </w:r>
      <w:r w:rsidRPr="00334017">
        <w:rPr>
          <w:rFonts w:eastAsia="Calibri"/>
          <w:szCs w:val="22"/>
          <w:lang w:eastAsia="de-DE" w:bidi="de-DE"/>
        </w:rPr>
        <w:t xml:space="preserve"> § 7 Absatz 1 Nr. 2 Buchstabe </w:t>
      </w:r>
      <w:r w:rsidRPr="00334017">
        <w:rPr>
          <w:rFonts w:eastAsia="Calibri"/>
          <w:i/>
          <w:szCs w:val="22"/>
          <w:lang w:eastAsia="de-DE" w:bidi="de-DE"/>
        </w:rPr>
        <w:t>a)</w:t>
      </w:r>
      <w:r w:rsidRPr="00334017">
        <w:rPr>
          <w:rFonts w:eastAsia="Calibri"/>
          <w:szCs w:val="22"/>
          <w:lang w:eastAsia="de-DE" w:bidi="de-DE"/>
        </w:rPr>
        <w:t xml:space="preserve"> und 63</w:t>
      </w:r>
      <w:r w:rsidRPr="00334017">
        <w:rPr>
          <w:rFonts w:eastAsia="Calibri"/>
          <w:szCs w:val="22"/>
          <w:vertAlign w:val="superscript"/>
          <w:lang w:eastAsia="de-DE" w:bidi="de-DE"/>
        </w:rPr>
        <w:t>18/5</w:t>
      </w:r>
      <w:r w:rsidRPr="00334017">
        <w:rPr>
          <w:rFonts w:eastAsia="Calibri"/>
          <w:szCs w:val="22"/>
          <w:lang w:eastAsia="de-DE" w:bidi="de-DE"/>
        </w:rPr>
        <w:t xml:space="preserve"> § 4 Absatz 1 Nr. 3 Buchstabe </w:t>
      </w:r>
      <w:r w:rsidRPr="00334017">
        <w:rPr>
          <w:rFonts w:eastAsia="Calibri"/>
          <w:i/>
          <w:szCs w:val="22"/>
          <w:lang w:eastAsia="de-DE" w:bidi="de-DE"/>
        </w:rPr>
        <w:t>a)</w:t>
      </w:r>
      <w:r w:rsidRPr="00334017">
        <w:rPr>
          <w:rFonts w:eastAsia="Calibri"/>
          <w:szCs w:val="22"/>
          <w:lang w:eastAsia="de-DE" w:bidi="de-DE"/>
        </w:rPr>
        <w:t xml:space="preserve"> wird die Grenze von 20 Prozent, die in Bezug auf die Deckung der Kosten für die allgemeine Verwaltung festgelegt ist, auf der Grundlage der gesamten Mittel jeglicher Art der verschiedenen Tätigkeiten berechnet, die zuvor um die Mittel verringert wurden, die von anderen zugelassenen oder ermächtigten Einrichtungen stammen.]</w:t>
      </w:r>
    </w:p>
    <w:p w14:paraId="300A5D70" w14:textId="77777777" w:rsidR="009A607C" w:rsidRDefault="009A607C" w:rsidP="00FB3E9E">
      <w:pPr>
        <w:jc w:val="center"/>
        <w:rPr>
          <w:rFonts w:eastAsia="Calibri"/>
          <w:szCs w:val="22"/>
          <w:lang w:eastAsia="de-DE" w:bidi="de-DE"/>
        </w:rPr>
      </w:pPr>
    </w:p>
    <w:p w14:paraId="18AF4F48" w14:textId="77777777" w:rsidR="009A607C" w:rsidRDefault="009A607C" w:rsidP="00FB3E9E">
      <w:pPr>
        <w:jc w:val="center"/>
        <w:rPr>
          <w:rFonts w:eastAsia="Calibri"/>
          <w:szCs w:val="22"/>
          <w:lang w:eastAsia="de-DE" w:bidi="de-DE"/>
        </w:rPr>
      </w:pPr>
    </w:p>
    <w:p w14:paraId="18813C79" w14:textId="2E95DBBA" w:rsidR="005A5BD5" w:rsidRPr="00334017" w:rsidRDefault="005A5BD5" w:rsidP="00FB3E9E">
      <w:pPr>
        <w:jc w:val="center"/>
        <w:rPr>
          <w:rFonts w:eastAsia="Calibri"/>
          <w:szCs w:val="22"/>
          <w:lang w:eastAsia="de-DE" w:bidi="de-DE"/>
        </w:rPr>
      </w:pPr>
      <w:r w:rsidRPr="00334017">
        <w:rPr>
          <w:rFonts w:eastAsia="Calibri"/>
          <w:szCs w:val="22"/>
          <w:lang w:eastAsia="de-DE" w:bidi="de-DE"/>
        </w:rPr>
        <w:t>[</w:t>
      </w:r>
      <w:r w:rsidRPr="00334017">
        <w:rPr>
          <w:rFonts w:eastAsia="Calibri"/>
          <w:i/>
          <w:szCs w:val="22"/>
          <w:lang w:eastAsia="de-DE" w:bidi="de-DE"/>
        </w:rPr>
        <w:t>Abschnitt 25undecies/2</w:t>
      </w:r>
      <w:r w:rsidRPr="00334017">
        <w:rPr>
          <w:rFonts w:eastAsia="Calibri"/>
          <w:szCs w:val="22"/>
          <w:lang w:eastAsia="de-DE" w:bidi="de-DE"/>
        </w:rPr>
        <w:t> - Steuerermäßigung für Kinderbetreuung</w:t>
      </w:r>
    </w:p>
    <w:p w14:paraId="30F9B417" w14:textId="77777777" w:rsidR="005A5BD5" w:rsidRPr="00334017" w:rsidRDefault="005A5BD5" w:rsidP="00FB3E9E">
      <w:pPr>
        <w:jc w:val="center"/>
        <w:rPr>
          <w:rFonts w:eastAsia="Calibri"/>
          <w:szCs w:val="22"/>
          <w:lang w:eastAsia="de-DE" w:bidi="de-DE"/>
        </w:rPr>
      </w:pPr>
    </w:p>
    <w:p w14:paraId="767EB0CA" w14:textId="0FE57D9F" w:rsidR="005A5BD5" w:rsidRPr="00334017" w:rsidRDefault="005A5BD5" w:rsidP="00FB3E9E">
      <w:pPr>
        <w:jc w:val="center"/>
        <w:rPr>
          <w:rFonts w:eastAsia="Calibri"/>
          <w:szCs w:val="22"/>
          <w:lang w:eastAsia="de-DE" w:bidi="de-DE"/>
        </w:rPr>
      </w:pPr>
      <w:r w:rsidRPr="00334017">
        <w:rPr>
          <w:rFonts w:eastAsia="Calibri"/>
          <w:szCs w:val="22"/>
          <w:lang w:eastAsia="de-DE" w:bidi="de-DE"/>
        </w:rPr>
        <w:t xml:space="preserve">(Einkommensteuergesetzbuch 1992, </w:t>
      </w:r>
      <w:r w:rsidR="00CF2BB7">
        <w:rPr>
          <w:rFonts w:eastAsia="Calibri"/>
          <w:szCs w:val="22"/>
          <w:lang w:eastAsia="de-DE" w:bidi="de-DE"/>
        </w:rPr>
        <w:t>[</w:t>
      </w:r>
      <w:r w:rsidR="00CF2BB7" w:rsidRPr="00A115C4">
        <w:t>Artikel 145</w:t>
      </w:r>
      <w:r w:rsidR="00CF2BB7" w:rsidRPr="00A115C4">
        <w:rPr>
          <w:vertAlign w:val="superscript"/>
        </w:rPr>
        <w:t>35</w:t>
      </w:r>
      <w:r w:rsidR="00CF2BB7" w:rsidRPr="00A115C4">
        <w:t xml:space="preserve"> Absatz 2 Nr. 4 und 323/2 § 3</w:t>
      </w:r>
      <w:r w:rsidR="00CF2BB7">
        <w:rPr>
          <w:rFonts w:eastAsia="Calibri"/>
          <w:szCs w:val="22"/>
          <w:lang w:eastAsia="de-DE" w:bidi="de-DE"/>
        </w:rPr>
        <w:t>]</w:t>
      </w:r>
      <w:r w:rsidRPr="00334017">
        <w:rPr>
          <w:rFonts w:eastAsia="Calibri"/>
          <w:szCs w:val="22"/>
          <w:lang w:eastAsia="de-DE" w:bidi="de-DE"/>
        </w:rPr>
        <w:t>)</w:t>
      </w:r>
    </w:p>
    <w:p w14:paraId="75513ECC" w14:textId="77777777" w:rsidR="005A5BD5" w:rsidRPr="00334017" w:rsidRDefault="005A5BD5" w:rsidP="00FB3E9E">
      <w:pPr>
        <w:jc w:val="both"/>
        <w:rPr>
          <w:rFonts w:eastAsia="Calibri"/>
          <w:szCs w:val="22"/>
          <w:lang w:eastAsia="de-DE" w:bidi="de-DE"/>
        </w:rPr>
      </w:pPr>
    </w:p>
    <w:p w14:paraId="48E31D68" w14:textId="6AE65D52" w:rsidR="005A5BD5" w:rsidRPr="00334017" w:rsidRDefault="005A5BD5" w:rsidP="00FB3E9E">
      <w:pPr>
        <w:jc w:val="both"/>
        <w:rPr>
          <w:rFonts w:eastAsia="Calibri"/>
          <w:i/>
          <w:szCs w:val="22"/>
          <w:lang w:eastAsia="de-DE" w:bidi="de-DE"/>
        </w:rPr>
      </w:pPr>
      <w:r w:rsidRPr="00334017">
        <w:rPr>
          <w:rFonts w:eastAsia="Calibri"/>
          <w:i/>
          <w:szCs w:val="22"/>
          <w:lang w:eastAsia="de-DE" w:bidi="de-DE"/>
        </w:rPr>
        <w:t>[Abschnitt 25undecies/2 mit Art. 63</w:t>
      </w:r>
      <w:r w:rsidRPr="00334017">
        <w:rPr>
          <w:rFonts w:eastAsia="Calibri"/>
          <w:i/>
          <w:szCs w:val="22"/>
          <w:vertAlign w:val="superscript"/>
          <w:lang w:eastAsia="de-DE" w:bidi="de-DE"/>
        </w:rPr>
        <w:t>18/8</w:t>
      </w:r>
      <w:r w:rsidRPr="00334017">
        <w:rPr>
          <w:rFonts w:eastAsia="Calibri"/>
          <w:i/>
          <w:szCs w:val="22"/>
          <w:lang w:eastAsia="de-DE" w:bidi="de-DE"/>
        </w:rPr>
        <w:t xml:space="preserve"> eingefügt durch Art. 2 des K.E. vom 30. September 2014 (I) (B.S. vom 6. Oktober 2014)</w:t>
      </w:r>
      <w:r w:rsidR="00CF2BB7">
        <w:rPr>
          <w:rFonts w:eastAsia="Calibri"/>
          <w:i/>
          <w:szCs w:val="22"/>
          <w:lang w:eastAsia="de-DE" w:bidi="de-DE"/>
        </w:rPr>
        <w:t>; Überschrift abgeändert durch Art. 3</w:t>
      </w:r>
      <w:r w:rsidR="00CF2BB7" w:rsidRPr="00CF2BB7">
        <w:rPr>
          <w:rFonts w:eastAsia="Calibri"/>
          <w:i/>
          <w:szCs w:val="22"/>
          <w:lang w:eastAsia="de-DE" w:bidi="de-DE"/>
        </w:rPr>
        <w:t xml:space="preserve"> des K.E. vom 17. Juli 2023 (II) (B.S. vom 26. Juli 2023)</w:t>
      </w:r>
      <w:r w:rsidRPr="00334017">
        <w:rPr>
          <w:rFonts w:eastAsia="Calibri"/>
          <w:i/>
          <w:szCs w:val="22"/>
          <w:lang w:eastAsia="de-DE" w:bidi="de-DE"/>
        </w:rPr>
        <w:t>]</w:t>
      </w:r>
    </w:p>
    <w:p w14:paraId="4BEBFE04" w14:textId="77777777" w:rsidR="005A5BD5" w:rsidRPr="00334017" w:rsidRDefault="005A5BD5" w:rsidP="00FB3E9E">
      <w:pPr>
        <w:jc w:val="both"/>
        <w:rPr>
          <w:rFonts w:eastAsia="Calibri"/>
          <w:szCs w:val="22"/>
          <w:lang w:eastAsia="de-DE" w:bidi="de-DE"/>
        </w:rPr>
      </w:pPr>
    </w:p>
    <w:p w14:paraId="377CB41F" w14:textId="77777777" w:rsidR="005A5BD5" w:rsidRPr="00334017" w:rsidRDefault="005A5BD5" w:rsidP="00FB3E9E">
      <w:pPr>
        <w:jc w:val="both"/>
        <w:rPr>
          <w:rFonts w:eastAsia="Calibri"/>
          <w:szCs w:val="22"/>
          <w:lang w:eastAsia="de-DE" w:bidi="de-DE"/>
        </w:rPr>
      </w:pPr>
    </w:p>
    <w:p w14:paraId="4616ECD7" w14:textId="603F43D6"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18/8</w:t>
      </w:r>
      <w:r w:rsidRPr="00334017">
        <w:rPr>
          <w:rFonts w:eastAsia="Calibri"/>
          <w:szCs w:val="22"/>
          <w:lang w:eastAsia="de-DE" w:bidi="de-DE"/>
        </w:rPr>
        <w:t xml:space="preserve"> - </w:t>
      </w:r>
      <w:r w:rsidR="00FC280D">
        <w:rPr>
          <w:rFonts w:eastAsia="Calibri"/>
          <w:szCs w:val="22"/>
          <w:lang w:eastAsia="de-DE" w:bidi="de-DE"/>
        </w:rPr>
        <w:t xml:space="preserve">[§ 1] </w:t>
      </w:r>
      <w:r w:rsidR="00CF2BB7">
        <w:rPr>
          <w:rFonts w:eastAsia="Calibri"/>
          <w:szCs w:val="22"/>
          <w:lang w:eastAsia="de-DE" w:bidi="de-DE"/>
        </w:rPr>
        <w:t>–</w:t>
      </w:r>
      <w:r w:rsidR="00FC280D">
        <w:rPr>
          <w:rFonts w:eastAsia="Calibri"/>
          <w:szCs w:val="22"/>
          <w:lang w:eastAsia="de-DE" w:bidi="de-DE"/>
        </w:rPr>
        <w:t xml:space="preserve"> </w:t>
      </w:r>
      <w:r w:rsidR="00CF2BB7">
        <w:rPr>
          <w:rFonts w:eastAsia="Calibri"/>
          <w:szCs w:val="22"/>
          <w:lang w:eastAsia="de-DE" w:bidi="de-DE"/>
        </w:rPr>
        <w:t>[...]</w:t>
      </w:r>
      <w:r w:rsidRPr="00334017">
        <w:rPr>
          <w:rFonts w:eastAsia="Calibri"/>
          <w:szCs w:val="22"/>
          <w:lang w:eastAsia="de-DE" w:bidi="de-DE"/>
        </w:rPr>
        <w:t>]</w:t>
      </w:r>
    </w:p>
    <w:p w14:paraId="7888DD4D" w14:textId="113788F2" w:rsidR="005A5BD5" w:rsidRDefault="005A5BD5" w:rsidP="00FB3E9E">
      <w:pPr>
        <w:jc w:val="both"/>
        <w:rPr>
          <w:rFonts w:eastAsia="Calibri"/>
          <w:szCs w:val="22"/>
          <w:lang w:eastAsia="de-DE" w:bidi="de-DE"/>
        </w:rPr>
      </w:pPr>
    </w:p>
    <w:p w14:paraId="73E1B4D6" w14:textId="45835FAF" w:rsidR="00FC280D" w:rsidRDefault="00FC280D" w:rsidP="00FC280D">
      <w:pPr>
        <w:jc w:val="both"/>
      </w:pPr>
      <w:r>
        <w:rPr>
          <w:rFonts w:eastAsia="Calibri"/>
          <w:szCs w:val="22"/>
          <w:lang w:eastAsia="de-DE" w:bidi="de-DE"/>
        </w:rPr>
        <w:tab/>
        <w:t>[</w:t>
      </w:r>
      <w:r>
        <w:t>§ 2 </w:t>
      </w:r>
      <w:r>
        <w:softHyphen/>
        <w:t xml:space="preserve"> In Ausführung von Artikel 323/2 § 3 des Einkommensteuergesetzbuches 1992 müssen Stellen, die im Hinblick auf den Erhalt eines Steuervorteils wie in Artikel 145</w:t>
      </w:r>
      <w:r>
        <w:rPr>
          <w:vertAlign w:val="superscript"/>
        </w:rPr>
        <w:t>35</w:t>
      </w:r>
      <w:r>
        <w:t xml:space="preserve"> desselben Gesetzbuches erwähnt eine Bescheinigung ausstellen, von ihnen ausgestellte Bescheinigungen 281.86 über die vom FÖD Finanzen zur Verfügung gestellte gesicherte elektronische Plattform übermitteln.</w:t>
      </w:r>
    </w:p>
    <w:p w14:paraId="34E360AA" w14:textId="77777777" w:rsidR="00FC280D" w:rsidRDefault="00FC280D" w:rsidP="00FC280D">
      <w:pPr>
        <w:jc w:val="both"/>
      </w:pPr>
    </w:p>
    <w:p w14:paraId="12003B64" w14:textId="77777777" w:rsidR="00FC280D" w:rsidRDefault="00FC280D" w:rsidP="00FC280D">
      <w:pPr>
        <w:jc w:val="both"/>
      </w:pPr>
      <w:r>
        <w:tab/>
        <w:t>Die in vorhergehendem Absatz erwähnte elektronische Übermittlung muss vor dem 1. März des Jahres nach dem Kalenderjahr, auf das die Bescheinigungen 281.86 sich beziehen, und zum ersten Mal vor dem 1. März 2022 erfolgen.</w:t>
      </w:r>
    </w:p>
    <w:p w14:paraId="2DF338CE" w14:textId="77777777" w:rsidR="00FC280D" w:rsidRDefault="00FC280D" w:rsidP="00FC280D">
      <w:pPr>
        <w:jc w:val="both"/>
      </w:pPr>
    </w:p>
    <w:p w14:paraId="62995AAD" w14:textId="77777777" w:rsidR="00FC280D" w:rsidRDefault="00FC280D" w:rsidP="00FC280D">
      <w:pPr>
        <w:jc w:val="both"/>
      </w:pPr>
      <w:r>
        <w:lastRenderedPageBreak/>
        <w:tab/>
        <w:t>§ 3 </w:t>
      </w:r>
      <w:r>
        <w:softHyphen/>
        <w:t xml:space="preserve"> Folgende Angaben müssen von den in Artikel 145</w:t>
      </w:r>
      <w:r>
        <w:rPr>
          <w:vertAlign w:val="superscript"/>
        </w:rPr>
        <w:t>35</w:t>
      </w:r>
      <w:r>
        <w:t xml:space="preserve"> Absatz 2 Nr. 3 des Einkommensteuergesetzbuches 1992 erwähnten Stellen mitgeteilt werden:</w:t>
      </w:r>
    </w:p>
    <w:p w14:paraId="30387BFC" w14:textId="77777777" w:rsidR="00FC280D" w:rsidRDefault="00FC280D" w:rsidP="00FC280D">
      <w:pPr>
        <w:jc w:val="both"/>
      </w:pPr>
    </w:p>
    <w:p w14:paraId="01F943EC" w14:textId="77777777" w:rsidR="00FC280D" w:rsidRDefault="00FC280D" w:rsidP="00FC280D">
      <w:pPr>
        <w:jc w:val="both"/>
      </w:pPr>
      <w:r>
        <w:tab/>
        <w:t>- Jahr der Ausgaben,</w:t>
      </w:r>
    </w:p>
    <w:p w14:paraId="52AF7240" w14:textId="77777777" w:rsidR="00FC280D" w:rsidRDefault="00FC280D" w:rsidP="00FC280D">
      <w:pPr>
        <w:jc w:val="both"/>
      </w:pPr>
    </w:p>
    <w:p w14:paraId="2FBEDFF7" w14:textId="77777777" w:rsidR="00FC280D" w:rsidRDefault="00FC280D" w:rsidP="00FC280D">
      <w:pPr>
        <w:jc w:val="both"/>
      </w:pPr>
      <w:r>
        <w:tab/>
        <w:t>- Name der Stelle oder Person, die die Betreuung gewährleistet, und fakultativ ihre ZDU-Nummer,</w:t>
      </w:r>
    </w:p>
    <w:p w14:paraId="48A2C1A0" w14:textId="77777777" w:rsidR="00FC280D" w:rsidRDefault="00FC280D" w:rsidP="00FC280D">
      <w:pPr>
        <w:jc w:val="both"/>
      </w:pPr>
    </w:p>
    <w:p w14:paraId="26EAE820" w14:textId="77777777" w:rsidR="00FC280D" w:rsidRDefault="00FC280D" w:rsidP="00FC280D">
      <w:pPr>
        <w:jc w:val="both"/>
      </w:pPr>
      <w:r>
        <w:tab/>
        <w:t>- vollständige Adresse dieser Stelle oder Person,</w:t>
      </w:r>
    </w:p>
    <w:p w14:paraId="1CD7D4AA" w14:textId="77777777" w:rsidR="00FC280D" w:rsidRDefault="00FC280D" w:rsidP="00FC280D">
      <w:pPr>
        <w:jc w:val="both"/>
      </w:pPr>
    </w:p>
    <w:p w14:paraId="1F064AB6" w14:textId="77777777" w:rsidR="00FC280D" w:rsidRDefault="00FC280D" w:rsidP="00FC280D">
      <w:pPr>
        <w:jc w:val="both"/>
      </w:pPr>
      <w:r>
        <w:tab/>
        <w:t>- Name und vollständige Adresse der "Zertifizierungsstelle", die die Betreuungsstelle zugelassen, anerkannt oder bezuschusst hat, die der Betreuungsstelle ein Qualitätszeichen zuerkannt hat oder die die Betreuungsstelle kontrolliert oder beaufsichtigt oder die im Fall von Schulen oder ihren Schulträgern mit der Betreuungsstelle verbunden ist,</w:t>
      </w:r>
    </w:p>
    <w:p w14:paraId="4F6CF07F" w14:textId="77777777" w:rsidR="00FC280D" w:rsidRDefault="00FC280D" w:rsidP="00FC280D">
      <w:pPr>
        <w:jc w:val="both"/>
      </w:pPr>
    </w:p>
    <w:p w14:paraId="215323D0" w14:textId="77777777" w:rsidR="00FC280D" w:rsidRDefault="00FC280D" w:rsidP="00FC280D">
      <w:pPr>
        <w:jc w:val="both"/>
      </w:pPr>
      <w:r>
        <w:tab/>
        <w:t>- laufende Nummer der Bescheinigung,</w:t>
      </w:r>
    </w:p>
    <w:p w14:paraId="0D9196B7" w14:textId="77777777" w:rsidR="00FC280D" w:rsidRDefault="00FC280D" w:rsidP="00FC280D">
      <w:pPr>
        <w:jc w:val="both"/>
      </w:pPr>
    </w:p>
    <w:p w14:paraId="254FAE25" w14:textId="77777777" w:rsidR="00FC280D" w:rsidRDefault="00FC280D" w:rsidP="00FC280D">
      <w:pPr>
        <w:jc w:val="both"/>
      </w:pPr>
      <w:r>
        <w:tab/>
        <w:t>- Name, Vorname, Erkennungsnummer des Nationalregisters oder gegebenenfalls Erkennungsnummer der ZDSS und Adresse des Schuldners der Betreuungskosten,</w:t>
      </w:r>
    </w:p>
    <w:p w14:paraId="7CD875BD" w14:textId="77777777" w:rsidR="00FC280D" w:rsidRDefault="00FC280D" w:rsidP="00FC280D">
      <w:pPr>
        <w:jc w:val="both"/>
      </w:pPr>
    </w:p>
    <w:p w14:paraId="1729CBA0" w14:textId="77777777" w:rsidR="00FC280D" w:rsidRDefault="00FC280D" w:rsidP="00FC280D">
      <w:pPr>
        <w:jc w:val="both"/>
      </w:pPr>
      <w:r>
        <w:tab/>
        <w:t>- Name, Vorname, Erkennungsnummer des Nationalregisters oder gegebenenfalls Erkennungsnummer der ZDSS, Geburtsdatum und Adresse des Kindes,</w:t>
      </w:r>
    </w:p>
    <w:p w14:paraId="39756542" w14:textId="77777777" w:rsidR="00FC280D" w:rsidRDefault="00FC280D" w:rsidP="00FC280D">
      <w:pPr>
        <w:jc w:val="both"/>
      </w:pPr>
    </w:p>
    <w:p w14:paraId="67BA6E4A" w14:textId="77777777" w:rsidR="00FC280D" w:rsidRDefault="00FC280D" w:rsidP="00FC280D">
      <w:pPr>
        <w:jc w:val="both"/>
      </w:pPr>
      <w:r>
        <w:tab/>
        <w:t>- Datum des Beginns und des Endes der Betreuung, Anzahl Tage, Tagessatz für die Betreuung und erhaltener Betrag,</w:t>
      </w:r>
    </w:p>
    <w:p w14:paraId="7625FA80" w14:textId="77777777" w:rsidR="00FC280D" w:rsidRDefault="00FC280D" w:rsidP="00FC280D">
      <w:pPr>
        <w:jc w:val="both"/>
      </w:pPr>
    </w:p>
    <w:p w14:paraId="2A07F6BD" w14:textId="77777777" w:rsidR="00FC280D" w:rsidRDefault="00FC280D" w:rsidP="00FC280D">
      <w:pPr>
        <w:jc w:val="both"/>
      </w:pPr>
      <w:r>
        <w:tab/>
        <w:t>- Name und Eigenschaft der Person, die ermächtigt ist, die Stelle zu vertreten, oder die die Person vertritt, die die Betreuung gewährleistet.</w:t>
      </w:r>
    </w:p>
    <w:p w14:paraId="0E917C6A" w14:textId="77777777" w:rsidR="00FC280D" w:rsidRDefault="00FC280D" w:rsidP="00FC280D">
      <w:pPr>
        <w:jc w:val="both"/>
      </w:pPr>
    </w:p>
    <w:p w14:paraId="7E5EBA7B" w14:textId="77777777" w:rsidR="00FC280D" w:rsidRDefault="00FC280D" w:rsidP="00FC280D">
      <w:pPr>
        <w:jc w:val="both"/>
      </w:pPr>
      <w:r>
        <w:tab/>
        <w:t>§ 4 </w:t>
      </w:r>
      <w:r>
        <w:softHyphen/>
        <w:t xml:space="preserve"> Unbeschadet der Aufbewahrung, die erforderlich ist für die weitere, in Artikel 89 der Verordnung (EU) 2016/679 des Europäischen Parlaments und des Rates vom 27. April 2016 zum Schutz natürlicher Personen bei der Verarbeitung personenbezogener Daten, zum freien Datenverkehr und zur Aufhebung der Richtlinie 95/46/EG erwähnte Verarbeitung zu im öffentlichen Interesse liegenden Archivzwecken, zu wissenschaftlichen oder historischen Forschungszwecken oder zu statistischen Zwecken, werden die vom FÖD Finanzen in Anwendung von § 3 erhaltenen Angaben nicht länger aufbewahrt, als es für die Zwecke, für die sie gesammelt werden, erforderlich ist, wobei die maximale Aufbewahrungs</w:t>
      </w:r>
      <w:r>
        <w:softHyphen/>
        <w:t>frist zehn Jahre ab Erhalt dieser Angaben - mit Ausnahme der Fälle, in denen bei Ablauf dieser Frist noch eine Beschwerde oder ein Gerichtsverfahren anhängig ist - nicht überschreiten darf.</w:t>
      </w:r>
    </w:p>
    <w:p w14:paraId="132507EF" w14:textId="77777777" w:rsidR="00FC280D" w:rsidRDefault="00FC280D" w:rsidP="00FC280D">
      <w:pPr>
        <w:jc w:val="both"/>
      </w:pPr>
    </w:p>
    <w:p w14:paraId="1A8D7353" w14:textId="38F30076" w:rsidR="00FC280D" w:rsidRDefault="00FC280D" w:rsidP="00FC280D">
      <w:pPr>
        <w:jc w:val="both"/>
      </w:pPr>
      <w:r>
        <w:tab/>
        <w:t>§ 5 </w:t>
      </w:r>
      <w:r>
        <w:softHyphen/>
        <w:t xml:space="preserve"> Der Minister der Finanzen oder sein Beauftragter legt das Muster der in § 2 erwähnten Bescheinigung auf der Grundlage der Angaben fest, die dem FÖD Finanzen in Anwendung von § 3 mitgeteilt werden müssen.]</w:t>
      </w:r>
    </w:p>
    <w:p w14:paraId="5D65931F" w14:textId="1CC9E774" w:rsidR="00FC280D" w:rsidRDefault="00FC280D" w:rsidP="00FC280D">
      <w:pPr>
        <w:jc w:val="both"/>
      </w:pPr>
    </w:p>
    <w:p w14:paraId="08C102CB" w14:textId="3DD60C3E" w:rsidR="00FC280D" w:rsidRDefault="00FC280D" w:rsidP="00FC280D">
      <w:pPr>
        <w:jc w:val="both"/>
        <w:rPr>
          <w:i/>
          <w:iCs/>
        </w:rPr>
      </w:pPr>
      <w:r>
        <w:rPr>
          <w:i/>
          <w:iCs/>
        </w:rPr>
        <w:t>[Art. 63</w:t>
      </w:r>
      <w:r w:rsidRPr="00FC280D">
        <w:rPr>
          <w:i/>
          <w:iCs/>
          <w:vertAlign w:val="superscript"/>
        </w:rPr>
        <w:t>18/8</w:t>
      </w:r>
      <w:r>
        <w:rPr>
          <w:i/>
          <w:iCs/>
        </w:rPr>
        <w:t xml:space="preserve"> § 1 (früherer einziger Absatz) nummeriert durch Art. 1 des K.E. vom 23. Dezember 2021 (II) (B.S. vom 31. Dezember 2021, Err. vom 25. Januar 2022)</w:t>
      </w:r>
      <w:r w:rsidR="00CF2BB7">
        <w:rPr>
          <w:i/>
          <w:iCs/>
        </w:rPr>
        <w:t xml:space="preserve"> und aufgehoben durch Art. 4</w:t>
      </w:r>
      <w:r w:rsidR="00CF2BB7" w:rsidRPr="00CF2BB7">
        <w:rPr>
          <w:i/>
          <w:iCs/>
          <w:lang w:bidi="de-DE"/>
        </w:rPr>
        <w:t xml:space="preserve"> des K.E. vom 17. Juli 2023 (II) (B.S. vom 26. Juli 2023)</w:t>
      </w:r>
      <w:r>
        <w:rPr>
          <w:i/>
          <w:iCs/>
        </w:rPr>
        <w:t>; §§ 2 bis 5 eingefügt durch Art. 1 des K.E. vom 23. Dezember 2021 (II) (B.S. vom 31. Dezember 2021, Err. vom 25. Januar 2022)]</w:t>
      </w:r>
    </w:p>
    <w:p w14:paraId="18F1EE09" w14:textId="77777777" w:rsidR="00FC280D" w:rsidRPr="00FC280D" w:rsidRDefault="00FC280D" w:rsidP="00FC280D">
      <w:pPr>
        <w:jc w:val="both"/>
        <w:rPr>
          <w:rFonts w:eastAsia="Calibri"/>
          <w:i/>
          <w:iCs/>
          <w:szCs w:val="22"/>
          <w:lang w:eastAsia="de-DE" w:bidi="de-DE"/>
        </w:rPr>
      </w:pPr>
    </w:p>
    <w:p w14:paraId="359ED413" w14:textId="77777777" w:rsidR="005A5BD5" w:rsidRPr="00334017" w:rsidRDefault="005A5BD5" w:rsidP="00FB3E9E">
      <w:pPr>
        <w:jc w:val="both"/>
        <w:rPr>
          <w:rFonts w:eastAsia="Calibri"/>
          <w:szCs w:val="22"/>
          <w:lang w:eastAsia="de-DE" w:bidi="de-DE"/>
        </w:rPr>
      </w:pPr>
    </w:p>
    <w:p w14:paraId="293AB58B" w14:textId="77777777" w:rsidR="005A5BD5" w:rsidRPr="00334017" w:rsidRDefault="005A5BD5" w:rsidP="00FB3E9E">
      <w:pPr>
        <w:jc w:val="center"/>
        <w:rPr>
          <w:rFonts w:eastAsia="Calibri"/>
          <w:szCs w:val="22"/>
          <w:lang w:eastAsia="de-DE" w:bidi="de-DE"/>
        </w:rPr>
      </w:pPr>
      <w:r w:rsidRPr="00334017">
        <w:rPr>
          <w:rFonts w:eastAsia="Calibri"/>
          <w:szCs w:val="22"/>
          <w:lang w:eastAsia="de-DE" w:bidi="de-DE"/>
        </w:rPr>
        <w:t>[</w:t>
      </w:r>
      <w:r w:rsidRPr="00334017">
        <w:rPr>
          <w:rFonts w:eastAsia="Calibri"/>
          <w:i/>
          <w:szCs w:val="22"/>
          <w:lang w:eastAsia="de-DE" w:bidi="de-DE"/>
        </w:rPr>
        <w:t>Abschnitt 25undecies/3</w:t>
      </w:r>
      <w:r w:rsidRPr="00334017">
        <w:rPr>
          <w:rFonts w:eastAsia="Calibri"/>
          <w:szCs w:val="22"/>
          <w:lang w:eastAsia="de-DE" w:bidi="de-DE"/>
        </w:rPr>
        <w:t> - Steuerermäßigung für Instandhaltung und Restaurierung von Denkmälern und Landschaften, die unter Denkmalschutz stehen</w:t>
      </w:r>
    </w:p>
    <w:p w14:paraId="4C536AC4" w14:textId="77777777" w:rsidR="005A5BD5" w:rsidRPr="00334017" w:rsidRDefault="005A5BD5" w:rsidP="00FB3E9E">
      <w:pPr>
        <w:jc w:val="center"/>
        <w:rPr>
          <w:rFonts w:eastAsia="Calibri"/>
          <w:szCs w:val="22"/>
          <w:lang w:eastAsia="de-DE" w:bidi="de-DE"/>
        </w:rPr>
      </w:pPr>
    </w:p>
    <w:p w14:paraId="3733AFCE" w14:textId="77777777" w:rsidR="005A5BD5" w:rsidRPr="00334017" w:rsidRDefault="005A5BD5" w:rsidP="00FB3E9E">
      <w:pPr>
        <w:jc w:val="center"/>
        <w:rPr>
          <w:rFonts w:eastAsia="Calibri"/>
          <w:szCs w:val="22"/>
          <w:lang w:eastAsia="de-DE" w:bidi="de-DE"/>
        </w:rPr>
      </w:pPr>
      <w:r w:rsidRPr="00334017">
        <w:rPr>
          <w:rFonts w:eastAsia="Calibri"/>
          <w:szCs w:val="22"/>
          <w:lang w:eastAsia="de-DE" w:bidi="de-DE"/>
        </w:rPr>
        <w:t>(Einkommensteuergesetzbuch 1992, [Artikel 145</w:t>
      </w:r>
      <w:r w:rsidRPr="00334017">
        <w:rPr>
          <w:rFonts w:eastAsia="Calibri"/>
          <w:szCs w:val="22"/>
          <w:vertAlign w:val="superscript"/>
          <w:lang w:eastAsia="de-DE" w:bidi="de-DE"/>
        </w:rPr>
        <w:t>36</w:t>
      </w:r>
      <w:r w:rsidRPr="00334017">
        <w:rPr>
          <w:rFonts w:eastAsia="Calibri"/>
          <w:szCs w:val="22"/>
          <w:lang w:eastAsia="de-DE" w:bidi="de-DE"/>
        </w:rPr>
        <w:t xml:space="preserve"> Absatz 8])</w:t>
      </w:r>
    </w:p>
    <w:p w14:paraId="54EC3A11" w14:textId="77777777" w:rsidR="005A5BD5" w:rsidRPr="00334017" w:rsidRDefault="005A5BD5" w:rsidP="00FB3E9E">
      <w:pPr>
        <w:jc w:val="both"/>
        <w:rPr>
          <w:rFonts w:eastAsia="Calibri"/>
          <w:szCs w:val="22"/>
          <w:lang w:eastAsia="de-DE" w:bidi="de-DE"/>
        </w:rPr>
      </w:pPr>
    </w:p>
    <w:p w14:paraId="057C7BEA" w14:textId="77777777" w:rsidR="005A5BD5" w:rsidRPr="00334017" w:rsidRDefault="005A5BD5" w:rsidP="00FB3E9E">
      <w:pPr>
        <w:jc w:val="both"/>
        <w:rPr>
          <w:rFonts w:eastAsia="Calibri"/>
          <w:i/>
          <w:szCs w:val="22"/>
          <w:lang w:eastAsia="de-DE" w:bidi="de-DE"/>
        </w:rPr>
      </w:pPr>
      <w:r w:rsidRPr="00334017">
        <w:rPr>
          <w:rFonts w:eastAsia="Calibri"/>
          <w:i/>
          <w:szCs w:val="22"/>
          <w:lang w:eastAsia="de-DE" w:bidi="de-DE"/>
        </w:rPr>
        <w:t>[Abschnitt 25undecies/3 mit Art. 63</w:t>
      </w:r>
      <w:r w:rsidRPr="00334017">
        <w:rPr>
          <w:rFonts w:eastAsia="Calibri"/>
          <w:i/>
          <w:szCs w:val="22"/>
          <w:vertAlign w:val="superscript"/>
          <w:lang w:eastAsia="de-DE" w:bidi="de-DE"/>
        </w:rPr>
        <w:t>18/9</w:t>
      </w:r>
      <w:r w:rsidRPr="00334017">
        <w:rPr>
          <w:rFonts w:eastAsia="Calibri"/>
          <w:i/>
          <w:szCs w:val="22"/>
          <w:lang w:eastAsia="de-DE" w:bidi="de-DE"/>
        </w:rPr>
        <w:t xml:space="preserve"> eingefügt durch Art. 2 des K.E. vom 30. Juni 2014 (B.S. vom 10. Juli 2014); Überschrift von Abschnitt 25undecies/3 abgeändert durch Art. 3 des K.E. vom 30. Juni 2014 (B.S. vom 10. Juli 2014)]</w:t>
      </w:r>
    </w:p>
    <w:p w14:paraId="13AA7C67" w14:textId="77777777" w:rsidR="005A5BD5" w:rsidRPr="00334017" w:rsidRDefault="005A5BD5" w:rsidP="00FB3E9E">
      <w:pPr>
        <w:jc w:val="center"/>
        <w:rPr>
          <w:rFonts w:eastAsia="Calibri"/>
          <w:szCs w:val="22"/>
          <w:lang w:eastAsia="de-DE" w:bidi="de-DE"/>
        </w:rPr>
      </w:pPr>
    </w:p>
    <w:p w14:paraId="0E733E55" w14:textId="77777777" w:rsidR="005A5BD5" w:rsidRPr="00334017" w:rsidRDefault="005A5BD5" w:rsidP="00FB3E9E">
      <w:pPr>
        <w:jc w:val="both"/>
        <w:rPr>
          <w:rFonts w:eastAsia="Calibri"/>
          <w:szCs w:val="22"/>
          <w:lang w:eastAsia="de-DE" w:bidi="de-DE"/>
        </w:rPr>
      </w:pPr>
    </w:p>
    <w:p w14:paraId="762AFE38"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18/9</w:t>
      </w:r>
      <w:r w:rsidRPr="00334017">
        <w:rPr>
          <w:rFonts w:eastAsia="Calibri"/>
          <w:szCs w:val="22"/>
          <w:lang w:eastAsia="de-DE" w:bidi="de-DE"/>
        </w:rPr>
        <w:t> - [Steuerpflichtige, die die Anwendung von Artikel 145</w:t>
      </w:r>
      <w:r w:rsidRPr="00334017">
        <w:rPr>
          <w:rFonts w:eastAsia="Calibri"/>
          <w:szCs w:val="22"/>
          <w:vertAlign w:val="superscript"/>
          <w:lang w:eastAsia="de-DE" w:bidi="de-DE"/>
        </w:rPr>
        <w:t>36</w:t>
      </w:r>
      <w:r w:rsidRPr="00334017">
        <w:rPr>
          <w:rFonts w:eastAsia="Calibri"/>
          <w:szCs w:val="22"/>
          <w:lang w:eastAsia="de-DE" w:bidi="de-DE"/>
        </w:rPr>
        <w:t xml:space="preserve"> des Ein</w:t>
      </w:r>
      <w:r w:rsidRPr="00334017">
        <w:rPr>
          <w:rFonts w:eastAsia="Calibri"/>
          <w:szCs w:val="22"/>
          <w:lang w:eastAsia="de-DE" w:bidi="de-DE"/>
        </w:rPr>
        <w:softHyphen/>
        <w:t>kommensteuergesetzbuches 1992 beantragen, müssen folgende Unterlagen zur Verfügung des Föderalen Öffentlichen Dienstes Finanzen bereithalten:</w:t>
      </w:r>
    </w:p>
    <w:p w14:paraId="6A67A526" w14:textId="77777777" w:rsidR="005A5BD5" w:rsidRPr="00334017" w:rsidRDefault="005A5BD5" w:rsidP="00FB3E9E">
      <w:pPr>
        <w:jc w:val="both"/>
        <w:rPr>
          <w:rFonts w:eastAsia="Calibri"/>
          <w:szCs w:val="22"/>
          <w:lang w:eastAsia="de-DE" w:bidi="de-DE"/>
        </w:rPr>
      </w:pPr>
    </w:p>
    <w:p w14:paraId="253797EB"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Rechnungen und Zahlungsnachweise in Bezug auf Instandhaltungs- oder Restaurierungsarbeiten und Bescheinigung der zuständigen Behörde, dass die Arbeiten ihrer Zustimmung wie in Artikel 145</w:t>
      </w:r>
      <w:r w:rsidRPr="00334017">
        <w:rPr>
          <w:rFonts w:eastAsia="Calibri"/>
          <w:szCs w:val="22"/>
          <w:vertAlign w:val="superscript"/>
          <w:lang w:eastAsia="de-DE" w:bidi="de-DE"/>
        </w:rPr>
        <w:t>36</w:t>
      </w:r>
      <w:r w:rsidRPr="00334017">
        <w:rPr>
          <w:rFonts w:eastAsia="Calibri"/>
          <w:szCs w:val="22"/>
          <w:lang w:eastAsia="de-DE" w:bidi="de-DE"/>
        </w:rPr>
        <w:t xml:space="preserve"> Absatz 6 desselben Gesetzbuches erwähnt entsprechen,</w:t>
      </w:r>
    </w:p>
    <w:p w14:paraId="60CBE889" w14:textId="77777777" w:rsidR="005A5BD5" w:rsidRPr="00334017" w:rsidRDefault="005A5BD5" w:rsidP="00FB3E9E">
      <w:pPr>
        <w:jc w:val="both"/>
        <w:rPr>
          <w:rFonts w:eastAsia="Calibri"/>
          <w:szCs w:val="22"/>
          <w:lang w:eastAsia="de-DE" w:bidi="de-DE"/>
        </w:rPr>
      </w:pPr>
    </w:p>
    <w:p w14:paraId="09A4CBA1"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Erlass, durch den das betreffende unbewegliche Gut unter Denkmalschutz gestellt wird, und Beschluss, durch den seine Zugänglichkeit gemäß Artikel 145</w:t>
      </w:r>
      <w:r w:rsidRPr="00334017">
        <w:rPr>
          <w:rFonts w:eastAsia="Calibri"/>
          <w:szCs w:val="22"/>
          <w:vertAlign w:val="superscript"/>
          <w:lang w:eastAsia="de-DE" w:bidi="de-DE"/>
        </w:rPr>
        <w:t>36</w:t>
      </w:r>
      <w:r w:rsidRPr="00334017">
        <w:rPr>
          <w:rFonts w:eastAsia="Calibri"/>
          <w:szCs w:val="22"/>
          <w:lang w:eastAsia="de-DE" w:bidi="de-DE"/>
        </w:rPr>
        <w:t xml:space="preserve"> Absatz 7 desselben Gesetzbuches anerkannt wird,</w:t>
      </w:r>
    </w:p>
    <w:p w14:paraId="12249CA2" w14:textId="77777777" w:rsidR="005A5BD5" w:rsidRPr="00334017" w:rsidRDefault="005A5BD5" w:rsidP="00FB3E9E">
      <w:pPr>
        <w:jc w:val="both"/>
        <w:rPr>
          <w:rFonts w:eastAsia="Calibri"/>
          <w:szCs w:val="22"/>
          <w:lang w:eastAsia="de-DE" w:bidi="de-DE"/>
        </w:rPr>
      </w:pPr>
    </w:p>
    <w:p w14:paraId="2199AEB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c)</w:t>
      </w:r>
      <w:r w:rsidRPr="00334017">
        <w:rPr>
          <w:rFonts w:eastAsia="Calibri"/>
          <w:szCs w:val="22"/>
          <w:lang w:eastAsia="de-DE" w:bidi="de-DE"/>
        </w:rPr>
        <w:t xml:space="preserve"> eidesstattliche Erklärung, in der angegeben wird, ob für die Instandhaltungs- oder Restaurierungsarbeiten Zuschüsse versprochen, gewährt oder gezahlt worden sind, und wenn ja, Betrag dieser Zuschüsse.]]</w:t>
      </w:r>
    </w:p>
    <w:p w14:paraId="1FD0A7B5" w14:textId="77777777" w:rsidR="005A5BD5" w:rsidRPr="00334017" w:rsidRDefault="005A5BD5" w:rsidP="00FB3E9E">
      <w:pPr>
        <w:jc w:val="both"/>
        <w:rPr>
          <w:rFonts w:eastAsia="Calibri"/>
          <w:szCs w:val="22"/>
          <w:lang w:eastAsia="de-DE" w:bidi="de-DE"/>
        </w:rPr>
      </w:pPr>
    </w:p>
    <w:p w14:paraId="1B8F1E9B" w14:textId="4D5EC0E6" w:rsidR="005031CC" w:rsidRDefault="005A5BD5" w:rsidP="00FC280D">
      <w:pPr>
        <w:jc w:val="both"/>
        <w:rPr>
          <w:rFonts w:eastAsia="Calibri"/>
          <w:szCs w:val="22"/>
          <w:lang w:eastAsia="de-DE" w:bidi="de-DE"/>
        </w:rPr>
      </w:pPr>
      <w:r w:rsidRPr="00334017">
        <w:rPr>
          <w:rFonts w:eastAsia="Calibri"/>
          <w:i/>
          <w:szCs w:val="22"/>
          <w:lang w:eastAsia="de-DE" w:bidi="de-DE"/>
        </w:rPr>
        <w:t>[Art. 63</w:t>
      </w:r>
      <w:r w:rsidRPr="00334017">
        <w:rPr>
          <w:rFonts w:eastAsia="Calibri"/>
          <w:i/>
          <w:szCs w:val="22"/>
          <w:vertAlign w:val="superscript"/>
          <w:lang w:eastAsia="de-DE" w:bidi="de-DE"/>
        </w:rPr>
        <w:t>18/9</w:t>
      </w:r>
      <w:r w:rsidRPr="00334017">
        <w:rPr>
          <w:rFonts w:eastAsia="Calibri"/>
          <w:i/>
          <w:szCs w:val="22"/>
          <w:lang w:eastAsia="de-DE" w:bidi="de-DE"/>
        </w:rPr>
        <w:t xml:space="preserve"> ersetzt durch Art. 4 des K.E. vom 30. Juni 2014 (B.S. vom 10. Juli 2014)]</w:t>
      </w:r>
    </w:p>
    <w:p w14:paraId="392EC4D6" w14:textId="7DF8F05B" w:rsidR="00975265" w:rsidRDefault="00975265">
      <w:pPr>
        <w:rPr>
          <w:rFonts w:eastAsia="Calibri"/>
          <w:szCs w:val="22"/>
          <w:lang w:eastAsia="de-DE" w:bidi="de-DE"/>
        </w:rPr>
      </w:pPr>
    </w:p>
    <w:p w14:paraId="27A379A5" w14:textId="77777777" w:rsidR="00C05723" w:rsidRDefault="00C05723">
      <w:pPr>
        <w:rPr>
          <w:rFonts w:eastAsia="Calibri"/>
          <w:szCs w:val="22"/>
          <w:lang w:eastAsia="de-DE" w:bidi="de-DE"/>
        </w:rPr>
      </w:pPr>
    </w:p>
    <w:p w14:paraId="5C95E64B" w14:textId="457E809D" w:rsidR="005A5BD5" w:rsidRPr="00334017" w:rsidRDefault="005A5BD5" w:rsidP="00FB3E9E">
      <w:pPr>
        <w:jc w:val="center"/>
        <w:rPr>
          <w:rFonts w:eastAsia="Calibri"/>
          <w:szCs w:val="22"/>
          <w:lang w:eastAsia="de-DE" w:bidi="de-DE"/>
        </w:rPr>
      </w:pPr>
      <w:r w:rsidRPr="00334017">
        <w:rPr>
          <w:rFonts w:eastAsia="Calibri"/>
          <w:szCs w:val="22"/>
          <w:lang w:eastAsia="de-DE" w:bidi="de-DE"/>
        </w:rPr>
        <w:t>[</w:t>
      </w:r>
      <w:r w:rsidRPr="00334017">
        <w:rPr>
          <w:rFonts w:eastAsia="Calibri"/>
          <w:i/>
          <w:szCs w:val="22"/>
          <w:lang w:eastAsia="de-DE" w:bidi="de-DE"/>
        </w:rPr>
        <w:t>Abschnitt 25undecies/4</w:t>
      </w:r>
      <w:r w:rsidRPr="00334017">
        <w:rPr>
          <w:rFonts w:eastAsia="Calibri"/>
          <w:szCs w:val="22"/>
          <w:lang w:eastAsia="de-DE" w:bidi="de-DE"/>
        </w:rPr>
        <w:t> - Steuerermäßigung für die eigene Wohnung</w:t>
      </w:r>
    </w:p>
    <w:p w14:paraId="7DB0A33F" w14:textId="77777777" w:rsidR="005A5BD5" w:rsidRPr="00334017" w:rsidRDefault="005A5BD5" w:rsidP="00FB3E9E">
      <w:pPr>
        <w:jc w:val="center"/>
        <w:rPr>
          <w:rFonts w:eastAsia="Calibri"/>
          <w:szCs w:val="22"/>
          <w:lang w:eastAsia="de-DE" w:bidi="de-DE"/>
        </w:rPr>
      </w:pPr>
    </w:p>
    <w:p w14:paraId="7C73A1DE" w14:textId="77777777" w:rsidR="005A5BD5" w:rsidRPr="00334017" w:rsidRDefault="005A5BD5" w:rsidP="00FB3E9E">
      <w:pPr>
        <w:jc w:val="center"/>
        <w:rPr>
          <w:rFonts w:eastAsia="Calibri"/>
          <w:szCs w:val="22"/>
          <w:lang w:eastAsia="de-DE" w:bidi="de-DE"/>
        </w:rPr>
      </w:pPr>
      <w:r w:rsidRPr="00334017">
        <w:rPr>
          <w:rFonts w:eastAsia="Calibri"/>
          <w:szCs w:val="22"/>
          <w:lang w:eastAsia="de-DE" w:bidi="de-DE"/>
        </w:rPr>
        <w:t xml:space="preserve">(Einkommensteuergesetzbuch 1992, </w:t>
      </w:r>
      <w:r w:rsidR="002E592D">
        <w:rPr>
          <w:rFonts w:eastAsia="Calibri"/>
          <w:szCs w:val="22"/>
          <w:lang w:eastAsia="de-DE" w:bidi="de-DE"/>
        </w:rPr>
        <w:t>[</w:t>
      </w:r>
      <w:r w:rsidR="004660EF" w:rsidRPr="00F86574">
        <w:t>Artikel 145</w:t>
      </w:r>
      <w:r w:rsidR="004660EF" w:rsidRPr="00F86574">
        <w:rPr>
          <w:vertAlign w:val="superscript"/>
        </w:rPr>
        <w:t>38</w:t>
      </w:r>
      <w:r w:rsidR="004660EF" w:rsidRPr="00F86574">
        <w:t xml:space="preserve"> § 3, 145</w:t>
      </w:r>
      <w:r w:rsidR="004660EF" w:rsidRPr="00F86574">
        <w:rPr>
          <w:vertAlign w:val="superscript"/>
        </w:rPr>
        <w:t>38/2</w:t>
      </w:r>
      <w:r w:rsidR="004660EF" w:rsidRPr="00F86574">
        <w:t xml:space="preserve"> § 4, 145</w:t>
      </w:r>
      <w:r w:rsidR="004660EF" w:rsidRPr="00F86574">
        <w:rPr>
          <w:vertAlign w:val="superscript"/>
        </w:rPr>
        <w:t>40</w:t>
      </w:r>
      <w:r w:rsidR="004660EF" w:rsidRPr="00F86574">
        <w:t xml:space="preserve"> § 5, 145</w:t>
      </w:r>
      <w:r w:rsidR="004660EF" w:rsidRPr="00F86574">
        <w:rPr>
          <w:vertAlign w:val="superscript"/>
        </w:rPr>
        <w:t>45</w:t>
      </w:r>
      <w:r w:rsidR="004660EF" w:rsidRPr="00F86574">
        <w:t xml:space="preserve"> § 2 Nr. 3 Buchstabe </w:t>
      </w:r>
      <w:r w:rsidR="004660EF" w:rsidRPr="00F86574">
        <w:rPr>
          <w:i/>
        </w:rPr>
        <w:t>b)</w:t>
      </w:r>
      <w:r w:rsidR="004660EF" w:rsidRPr="00F86574">
        <w:t>, 145</w:t>
      </w:r>
      <w:r w:rsidR="004660EF" w:rsidRPr="00F86574">
        <w:rPr>
          <w:vertAlign w:val="superscript"/>
        </w:rPr>
        <w:t>46</w:t>
      </w:r>
      <w:r w:rsidR="004660EF" w:rsidRPr="00F86574">
        <w:rPr>
          <w:i/>
          <w:vertAlign w:val="superscript"/>
        </w:rPr>
        <w:t>quater</w:t>
      </w:r>
      <w:r w:rsidR="004660EF" w:rsidRPr="00F86574">
        <w:t xml:space="preserve"> § 3 und 315 Absatz 1</w:t>
      </w:r>
      <w:r w:rsidR="002E592D">
        <w:rPr>
          <w:rFonts w:eastAsia="Calibri"/>
          <w:szCs w:val="22"/>
          <w:lang w:eastAsia="de-DE" w:bidi="de-DE"/>
        </w:rPr>
        <w:t>]</w:t>
      </w:r>
      <w:r w:rsidRPr="00334017">
        <w:rPr>
          <w:rFonts w:eastAsia="Calibri"/>
          <w:szCs w:val="22"/>
          <w:lang w:eastAsia="de-DE" w:bidi="de-DE"/>
        </w:rPr>
        <w:t>)</w:t>
      </w:r>
    </w:p>
    <w:p w14:paraId="7B15B6C2" w14:textId="77777777" w:rsidR="005A5BD5" w:rsidRPr="00334017" w:rsidRDefault="005A5BD5" w:rsidP="00FB3E9E">
      <w:pPr>
        <w:jc w:val="both"/>
        <w:rPr>
          <w:rFonts w:eastAsia="Calibri"/>
          <w:szCs w:val="22"/>
          <w:lang w:eastAsia="de-DE" w:bidi="de-DE"/>
        </w:rPr>
      </w:pPr>
    </w:p>
    <w:p w14:paraId="0B112D16" w14:textId="77777777" w:rsidR="005A5BD5" w:rsidRPr="00334017" w:rsidRDefault="005A5BD5" w:rsidP="00FB3E9E">
      <w:pPr>
        <w:jc w:val="both"/>
        <w:rPr>
          <w:rFonts w:eastAsia="Calibri"/>
          <w:i/>
          <w:szCs w:val="22"/>
          <w:lang w:eastAsia="de-DE" w:bidi="de-DE"/>
        </w:rPr>
      </w:pPr>
      <w:r w:rsidRPr="00334017">
        <w:rPr>
          <w:rFonts w:eastAsia="Calibri"/>
          <w:i/>
          <w:szCs w:val="22"/>
          <w:lang w:eastAsia="de-DE" w:bidi="de-DE"/>
        </w:rPr>
        <w:t>[Abschnitt 25undecies/4 mit den Artikeln 63</w:t>
      </w:r>
      <w:r w:rsidRPr="00334017">
        <w:rPr>
          <w:rFonts w:eastAsia="Calibri"/>
          <w:i/>
          <w:szCs w:val="22"/>
          <w:vertAlign w:val="superscript"/>
          <w:lang w:eastAsia="de-DE" w:bidi="de-DE"/>
        </w:rPr>
        <w:t>18/10</w:t>
      </w:r>
      <w:r w:rsidRPr="00334017">
        <w:rPr>
          <w:rFonts w:eastAsia="Calibri"/>
          <w:i/>
          <w:szCs w:val="22"/>
          <w:lang w:eastAsia="de-DE" w:bidi="de-DE"/>
        </w:rPr>
        <w:t xml:space="preserve"> bis 63</w:t>
      </w:r>
      <w:r w:rsidRPr="00334017">
        <w:rPr>
          <w:rFonts w:eastAsia="Calibri"/>
          <w:i/>
          <w:szCs w:val="22"/>
          <w:vertAlign w:val="superscript"/>
          <w:lang w:eastAsia="de-DE" w:bidi="de-DE"/>
        </w:rPr>
        <w:t>18/14</w:t>
      </w:r>
      <w:r w:rsidRPr="00334017">
        <w:rPr>
          <w:rFonts w:eastAsia="Calibri"/>
          <w:i/>
          <w:szCs w:val="22"/>
          <w:lang w:eastAsia="de-DE" w:bidi="de-DE"/>
        </w:rPr>
        <w:t xml:space="preserve"> eingefügt durch Art. 5 des K.E. vom 30. Juni 2014 (B.S. vom 10. Juli 2014)</w:t>
      </w:r>
      <w:r w:rsidR="004660EF">
        <w:rPr>
          <w:rFonts w:eastAsia="Calibri"/>
          <w:i/>
          <w:szCs w:val="22"/>
          <w:lang w:eastAsia="de-DE" w:bidi="de-DE"/>
        </w:rPr>
        <w:t>; Überschrift von Abschnitt 25undecies/4 abgeändert durch Art. 4 des K.E. vom 6. März 2018 (II) (B.S. vom 20. März 2018)</w:t>
      </w:r>
      <w:r w:rsidRPr="00334017">
        <w:rPr>
          <w:rFonts w:eastAsia="Calibri"/>
          <w:i/>
          <w:szCs w:val="22"/>
          <w:lang w:eastAsia="de-DE" w:bidi="de-DE"/>
        </w:rPr>
        <w:t>]</w:t>
      </w:r>
    </w:p>
    <w:p w14:paraId="2CFB5B2B" w14:textId="77777777" w:rsidR="005A5BD5" w:rsidRPr="00334017" w:rsidRDefault="005A5BD5" w:rsidP="00FB3E9E">
      <w:pPr>
        <w:jc w:val="both"/>
        <w:rPr>
          <w:rFonts w:eastAsia="Calibri"/>
          <w:szCs w:val="22"/>
          <w:lang w:eastAsia="de-DE" w:bidi="de-DE"/>
        </w:rPr>
      </w:pPr>
    </w:p>
    <w:p w14:paraId="41E5409C" w14:textId="77777777" w:rsidR="005A5BD5" w:rsidRPr="00334017" w:rsidRDefault="005A5BD5" w:rsidP="00FB3E9E">
      <w:pPr>
        <w:jc w:val="both"/>
        <w:rPr>
          <w:rFonts w:eastAsia="Calibri"/>
          <w:szCs w:val="22"/>
          <w:lang w:eastAsia="de-DE" w:bidi="de-DE"/>
        </w:rPr>
      </w:pPr>
    </w:p>
    <w:p w14:paraId="12EC7F2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18/10</w:t>
      </w:r>
      <w:r w:rsidRPr="00334017">
        <w:rPr>
          <w:rFonts w:eastAsia="Calibri"/>
          <w:szCs w:val="22"/>
          <w:lang w:eastAsia="de-DE" w:bidi="de-DE"/>
        </w:rPr>
        <w:t> - Beantragt ein Steuerpflichtiger die Anwendung der in Artikel 145</w:t>
      </w:r>
      <w:r w:rsidRPr="00334017">
        <w:rPr>
          <w:rFonts w:eastAsia="Calibri"/>
          <w:szCs w:val="22"/>
          <w:vertAlign w:val="superscript"/>
          <w:lang w:eastAsia="de-DE" w:bidi="de-DE"/>
        </w:rPr>
        <w:t>37</w:t>
      </w:r>
      <w:r w:rsidRPr="00334017">
        <w:rPr>
          <w:rFonts w:eastAsia="Calibri"/>
          <w:szCs w:val="22"/>
          <w:lang w:eastAsia="de-DE" w:bidi="de-DE"/>
        </w:rPr>
        <w:t xml:space="preserve"> des Einkommensteuergesetzbuches 1992 erwähnten Steuerermäßigung für Zinsen und Summen, die für Tilgung oder Wiederherstellung einer Hypothekenanleihe gezahlt werden, und Beiträge zu einer Alters- und Todesfallzusatzversicherung, die der Steuerpflichtige in Ausführung eines Lebensversicherungsvertrags, den er individuell abgeschlossen hat ausschließlich für die Wiederherstellung einer Hypothekenanleihe oder als Sicherheit für eine Hypothekenanleihe, definitiv gezahlt hat für die Bildung einer Rente oder eines Kapitals zu Lebzeiten oder im Todesfall</w:t>
      </w:r>
      <w:r w:rsidR="004660EF">
        <w:rPr>
          <w:rFonts w:eastAsia="Calibri"/>
          <w:szCs w:val="22"/>
          <w:lang w:eastAsia="de-DE" w:bidi="de-DE"/>
        </w:rPr>
        <w:t>[</w:t>
      </w:r>
      <w:r w:rsidR="004660EF" w:rsidRPr="00F86574">
        <w:t xml:space="preserve">, muss er zur Stützung dieses Antrags je nach Fall folgende Bescheinigung oder folgende Bescheinigungen, deren Muster vom Minister der Finanzen oder von seinem Beauftragten festgelegt wird und die vom Institut, das die Anleihe gewährt hat, oder vom </w:t>
      </w:r>
      <w:r w:rsidR="004660EF" w:rsidRPr="00F86574">
        <w:lastRenderedPageBreak/>
        <w:t>Versicherer, bei dem der Lebensversicherungsvertrag abgeschlossen worden ist, ausge</w:t>
      </w:r>
      <w:r w:rsidR="004660EF">
        <w:softHyphen/>
      </w:r>
      <w:r w:rsidR="004660EF" w:rsidRPr="00F86574">
        <w:t>stellt werden, zur Verfügung des Föderalen Öffentlichen Dienstes Finanzen bereithalten:</w:t>
      </w:r>
      <w:r w:rsidR="004660EF">
        <w:rPr>
          <w:rFonts w:eastAsia="Calibri"/>
          <w:szCs w:val="22"/>
          <w:lang w:eastAsia="de-DE" w:bidi="de-DE"/>
        </w:rPr>
        <w:t>]</w:t>
      </w:r>
    </w:p>
    <w:p w14:paraId="15D6FD3F" w14:textId="77777777" w:rsidR="005A5BD5" w:rsidRPr="00334017" w:rsidRDefault="005A5BD5" w:rsidP="00FB3E9E">
      <w:pPr>
        <w:jc w:val="both"/>
        <w:rPr>
          <w:rFonts w:eastAsia="Calibri"/>
          <w:szCs w:val="22"/>
          <w:lang w:eastAsia="de-DE" w:bidi="de-DE"/>
        </w:rPr>
      </w:pPr>
    </w:p>
    <w:p w14:paraId="73BE19F3" w14:textId="77777777" w:rsidR="004660EF" w:rsidRPr="00F86574" w:rsidRDefault="004660EF" w:rsidP="00FB3E9E">
      <w:pPr>
        <w:jc w:val="both"/>
      </w:pPr>
      <w:r>
        <w:rPr>
          <w:rFonts w:eastAsia="Calibri"/>
          <w:szCs w:val="22"/>
          <w:lang w:eastAsia="de-DE" w:bidi="de-DE"/>
        </w:rPr>
        <w:tab/>
      </w:r>
      <w:r w:rsidR="005A5BD5" w:rsidRPr="00334017">
        <w:rPr>
          <w:rFonts w:eastAsia="Calibri"/>
          <w:szCs w:val="22"/>
          <w:lang w:eastAsia="de-DE" w:bidi="de-DE"/>
        </w:rPr>
        <w:t xml:space="preserve">A. </w:t>
      </w:r>
      <w:r>
        <w:rPr>
          <w:rFonts w:eastAsia="Calibri"/>
          <w:szCs w:val="22"/>
          <w:lang w:eastAsia="de-DE" w:bidi="de-DE"/>
        </w:rPr>
        <w:t>[</w:t>
      </w:r>
      <w:r w:rsidRPr="00F86574">
        <w:t>in Bezug auf Zinsen und Summen, die für Tilgung oder Wiederherstellung der Hypothekenanleihe gezahlt werden:</w:t>
      </w:r>
    </w:p>
    <w:p w14:paraId="5EF664BB" w14:textId="77777777" w:rsidR="004660EF" w:rsidRPr="00F86574" w:rsidRDefault="004660EF" w:rsidP="00FB3E9E">
      <w:pPr>
        <w:jc w:val="both"/>
      </w:pPr>
    </w:p>
    <w:p w14:paraId="2D8331AD" w14:textId="77777777" w:rsidR="004660EF" w:rsidRPr="00F86574" w:rsidRDefault="004660EF" w:rsidP="00FB3E9E">
      <w:pPr>
        <w:jc w:val="both"/>
      </w:pPr>
      <w:r>
        <w:tab/>
      </w:r>
      <w:r w:rsidRPr="00F86574">
        <w:t>1. für vor dem 1. Januar 2016 aufgenommene Anleihen:</w:t>
      </w:r>
    </w:p>
    <w:p w14:paraId="1D15883A" w14:textId="77777777" w:rsidR="004660EF" w:rsidRPr="00F86574" w:rsidRDefault="004660EF" w:rsidP="00FB3E9E">
      <w:pPr>
        <w:jc w:val="both"/>
      </w:pPr>
    </w:p>
    <w:p w14:paraId="5E17CC65" w14:textId="77777777" w:rsidR="004660EF" w:rsidRPr="00F86574" w:rsidRDefault="004660EF" w:rsidP="00FB3E9E">
      <w:pPr>
        <w:jc w:val="both"/>
      </w:pPr>
      <w:r>
        <w:rPr>
          <w:i/>
        </w:rPr>
        <w:tab/>
      </w:r>
      <w:r w:rsidRPr="00F86574">
        <w:rPr>
          <w:i/>
        </w:rPr>
        <w:t>a)</w:t>
      </w:r>
      <w:r w:rsidRPr="00F86574">
        <w:t> einmalige Grundbescheinigung, in der das Institut Angaben mitteilt, die belegen, dass der Anleihevertrag für die Anwendung von Artikel 145</w:t>
      </w:r>
      <w:r w:rsidRPr="00F86574">
        <w:rPr>
          <w:vertAlign w:val="superscript"/>
        </w:rPr>
        <w:t>37</w:t>
      </w:r>
      <w:r w:rsidRPr="00F86574">
        <w:t xml:space="preserve"> des vorerwähnten Gesetzbuches berücksichtigt werden kann,</w:t>
      </w:r>
    </w:p>
    <w:p w14:paraId="520928CA" w14:textId="77777777" w:rsidR="004660EF" w:rsidRPr="00F86574" w:rsidRDefault="004660EF" w:rsidP="00FB3E9E">
      <w:pPr>
        <w:jc w:val="both"/>
      </w:pPr>
    </w:p>
    <w:p w14:paraId="446EAF04" w14:textId="77777777" w:rsidR="004660EF" w:rsidRPr="00F86574" w:rsidRDefault="004660EF" w:rsidP="00FB3E9E">
      <w:pPr>
        <w:jc w:val="both"/>
      </w:pPr>
      <w:r>
        <w:rPr>
          <w:i/>
        </w:rPr>
        <w:tab/>
      </w:r>
      <w:r w:rsidRPr="00F86574">
        <w:rPr>
          <w:i/>
        </w:rPr>
        <w:t>b)</w:t>
      </w:r>
      <w:r w:rsidRPr="00F86574">
        <w:t> jährliche Bescheinigung, in der das Institut den Betrag der vom Steuerpflichtigen während des Besteuerungszeitraums getätigten Zahlungen und Angaben mitteilt, die notwendig sind, um zu überprüfen, ob die Bedingungen für die Anwendung von Artikel 145</w:t>
      </w:r>
      <w:r w:rsidRPr="00F86574">
        <w:rPr>
          <w:vertAlign w:val="superscript"/>
        </w:rPr>
        <w:t>37</w:t>
      </w:r>
      <w:r w:rsidRPr="00F86574">
        <w:t xml:space="preserve"> desselben Gesetzbuches weiter erfüllt sind,</w:t>
      </w:r>
    </w:p>
    <w:p w14:paraId="653CF9ED" w14:textId="77777777" w:rsidR="004660EF" w:rsidRPr="00F86574" w:rsidRDefault="004660EF" w:rsidP="00FB3E9E">
      <w:pPr>
        <w:jc w:val="both"/>
      </w:pPr>
    </w:p>
    <w:p w14:paraId="6F4CF241" w14:textId="77777777" w:rsidR="004660EF" w:rsidRPr="00F86574" w:rsidRDefault="004660EF" w:rsidP="00FB3E9E">
      <w:pPr>
        <w:jc w:val="both"/>
      </w:pPr>
      <w:r>
        <w:tab/>
      </w:r>
      <w:r w:rsidRPr="00F86574">
        <w:t>2. für ab dem 1. Januar 2016 aufgenommene Anleihen einschließlich Anleihen, die ab dem 1. Januar 2016 aufgenommen worden sind, um vor diesem Datum aufgenommene Anleihen zu refinanzieren: jährliche Bescheinigung, in der das Institut den Betrag der vom Steuerpflichtigen während des Besteuerungszeitraums getätigten Zahlungen und Angaben mitteilt, die notwendig sind, um zu überprüfen, ob die Bedingungen für die Anwendung von Artikel 145</w:t>
      </w:r>
      <w:r w:rsidRPr="00F86574">
        <w:rPr>
          <w:vertAlign w:val="superscript"/>
        </w:rPr>
        <w:t>37</w:t>
      </w:r>
      <w:r w:rsidRPr="00F86574">
        <w:t xml:space="preserve"> desselben Gesetzbuches erfüllt sind,</w:t>
      </w:r>
    </w:p>
    <w:p w14:paraId="75F69CCC" w14:textId="77777777" w:rsidR="004660EF" w:rsidRPr="00F86574" w:rsidRDefault="004660EF" w:rsidP="00FB3E9E">
      <w:pPr>
        <w:jc w:val="both"/>
      </w:pPr>
    </w:p>
    <w:p w14:paraId="10EA419D" w14:textId="6E2AA651" w:rsidR="004660EF" w:rsidRPr="00F86574" w:rsidRDefault="004660EF" w:rsidP="00FB3E9E">
      <w:pPr>
        <w:jc w:val="both"/>
      </w:pPr>
      <w:r>
        <w:tab/>
      </w:r>
      <w:r w:rsidRPr="00F86574">
        <w:t>B. in Bezug auf Lebensversicherungsprämien:</w:t>
      </w:r>
    </w:p>
    <w:p w14:paraId="05E3CF1F" w14:textId="77777777" w:rsidR="004660EF" w:rsidRPr="00F86574" w:rsidRDefault="004660EF" w:rsidP="00FB3E9E">
      <w:pPr>
        <w:jc w:val="both"/>
      </w:pPr>
    </w:p>
    <w:p w14:paraId="0F8D9CC0" w14:textId="77777777" w:rsidR="004660EF" w:rsidRPr="00F86574" w:rsidRDefault="004660EF" w:rsidP="00FB3E9E">
      <w:pPr>
        <w:jc w:val="both"/>
      </w:pPr>
      <w:r>
        <w:tab/>
      </w:r>
      <w:r w:rsidRPr="00F86574">
        <w:t>1. für vor dem 1. Januar 2016 abgeschlossene Verträge:</w:t>
      </w:r>
    </w:p>
    <w:p w14:paraId="46C325FA" w14:textId="77777777" w:rsidR="004660EF" w:rsidRPr="00F86574" w:rsidRDefault="004660EF" w:rsidP="00FB3E9E">
      <w:pPr>
        <w:jc w:val="both"/>
      </w:pPr>
    </w:p>
    <w:p w14:paraId="4794B273" w14:textId="77777777" w:rsidR="004660EF" w:rsidRPr="00F86574" w:rsidRDefault="004660EF" w:rsidP="00FB3E9E">
      <w:pPr>
        <w:jc w:val="both"/>
      </w:pPr>
      <w:r>
        <w:rPr>
          <w:i/>
        </w:rPr>
        <w:tab/>
      </w:r>
      <w:r w:rsidRPr="00F86574">
        <w:rPr>
          <w:i/>
        </w:rPr>
        <w:t>a)</w:t>
      </w:r>
      <w:r w:rsidRPr="00F86574">
        <w:t> einmalige Grundbescheinigung, in der der Versicherer Angaben mitteilt, die belegen, dass der Lebensversicherungsvertrag für die Anwendung von Artikel 145</w:t>
      </w:r>
      <w:r w:rsidRPr="00F86574">
        <w:rPr>
          <w:vertAlign w:val="superscript"/>
        </w:rPr>
        <w:t>37</w:t>
      </w:r>
      <w:r w:rsidRPr="00F86574">
        <w:t xml:space="preserve"> des vorerwähnten Gesetzbuches berücksichtigt werden kann,</w:t>
      </w:r>
    </w:p>
    <w:p w14:paraId="2E8EBC52" w14:textId="77777777" w:rsidR="004660EF" w:rsidRPr="00F86574" w:rsidRDefault="004660EF" w:rsidP="00FB3E9E">
      <w:pPr>
        <w:jc w:val="both"/>
      </w:pPr>
    </w:p>
    <w:p w14:paraId="34DB67C3" w14:textId="77777777" w:rsidR="004660EF" w:rsidRPr="00F86574" w:rsidRDefault="004660EF" w:rsidP="00FB3E9E">
      <w:pPr>
        <w:jc w:val="both"/>
      </w:pPr>
      <w:r>
        <w:rPr>
          <w:i/>
        </w:rPr>
        <w:tab/>
      </w:r>
      <w:r w:rsidRPr="00F86574">
        <w:rPr>
          <w:i/>
        </w:rPr>
        <w:t>b)</w:t>
      </w:r>
      <w:r w:rsidRPr="00F86574">
        <w:t> jährliche Bescheinigung, in der der Versicherer den Betrag der vom Steuerpflichtigen während des Besteuerungszeitraums gezahlten Prämien und Angaben mitteilt, die notwendig sind, um zu überprüfen, ob die Bedingungen für die Anwendung von Artikel 145</w:t>
      </w:r>
      <w:r w:rsidRPr="00F86574">
        <w:rPr>
          <w:vertAlign w:val="superscript"/>
        </w:rPr>
        <w:t>37</w:t>
      </w:r>
      <w:r w:rsidRPr="00F86574">
        <w:t xml:space="preserve"> desselben Gesetzbuches weiter erfüllt sind,</w:t>
      </w:r>
    </w:p>
    <w:p w14:paraId="602872BD" w14:textId="77777777" w:rsidR="004660EF" w:rsidRPr="00F86574" w:rsidRDefault="004660EF" w:rsidP="00FB3E9E">
      <w:pPr>
        <w:ind w:firstLine="708"/>
        <w:jc w:val="both"/>
      </w:pPr>
    </w:p>
    <w:p w14:paraId="0AC6A0C5" w14:textId="77777777" w:rsidR="005A5BD5" w:rsidRPr="00334017" w:rsidRDefault="004660EF" w:rsidP="00FB3E9E">
      <w:pPr>
        <w:jc w:val="both"/>
        <w:rPr>
          <w:rFonts w:eastAsia="Calibri"/>
          <w:szCs w:val="22"/>
          <w:lang w:eastAsia="de-DE" w:bidi="de-DE"/>
        </w:rPr>
      </w:pPr>
      <w:r>
        <w:tab/>
      </w:r>
      <w:r w:rsidRPr="00F86574">
        <w:t>2. für ab dem 1. Januar 2016 abgeschlossene Verträge: jährliche Bescheinigung, in der der Versicherer den Betrag der vom Steuerpflichtigen während des Besteuerungszeitraums gezahlten Prämien und Angaben mitteilt, die notwendig sind, um zu überprüfen, ob die Bedingungen für die Anwendung von Artikel 145</w:t>
      </w:r>
      <w:r w:rsidRPr="00F86574">
        <w:rPr>
          <w:vertAlign w:val="superscript"/>
        </w:rPr>
        <w:t>37</w:t>
      </w:r>
      <w:r w:rsidRPr="00F86574">
        <w:t xml:space="preserve"> desselben Gesetzbuches erfüllt sind.</w:t>
      </w:r>
      <w:r>
        <w:rPr>
          <w:rFonts w:eastAsia="Calibri"/>
          <w:szCs w:val="22"/>
          <w:lang w:eastAsia="de-DE" w:bidi="de-DE"/>
        </w:rPr>
        <w:t>]</w:t>
      </w:r>
    </w:p>
    <w:p w14:paraId="01124C75" w14:textId="77777777" w:rsidR="009A607C" w:rsidRDefault="009A607C" w:rsidP="00FB3E9E">
      <w:pPr>
        <w:jc w:val="both"/>
        <w:rPr>
          <w:rFonts w:eastAsia="Calibri"/>
          <w:szCs w:val="22"/>
          <w:lang w:eastAsia="de-DE" w:bidi="de-DE"/>
        </w:rPr>
      </w:pPr>
    </w:p>
    <w:p w14:paraId="360BE265" w14:textId="77777777" w:rsidR="004660EF" w:rsidRDefault="004660EF" w:rsidP="00FB3E9E">
      <w:pPr>
        <w:jc w:val="both"/>
        <w:rPr>
          <w:rFonts w:eastAsia="Calibri"/>
          <w:i/>
          <w:szCs w:val="22"/>
          <w:lang w:eastAsia="de-DE" w:bidi="de-DE"/>
        </w:rPr>
      </w:pPr>
      <w:r>
        <w:rPr>
          <w:rFonts w:eastAsia="Calibri"/>
          <w:i/>
          <w:szCs w:val="22"/>
          <w:lang w:eastAsia="de-DE" w:bidi="de-DE"/>
        </w:rPr>
        <w:t>[Art. 68</w:t>
      </w:r>
      <w:r w:rsidRPr="004660EF">
        <w:rPr>
          <w:rFonts w:eastAsia="Calibri"/>
          <w:i/>
          <w:szCs w:val="22"/>
          <w:vertAlign w:val="superscript"/>
          <w:lang w:eastAsia="de-DE" w:bidi="de-DE"/>
        </w:rPr>
        <w:t>10/11</w:t>
      </w:r>
      <w:r>
        <w:rPr>
          <w:rFonts w:eastAsia="Calibri"/>
          <w:i/>
          <w:szCs w:val="22"/>
          <w:lang w:eastAsia="de-DE" w:bidi="de-DE"/>
        </w:rPr>
        <w:t xml:space="preserve"> einziger Absatz einleitende Bestimmung abgeändert durch Art. 5 Nr. 1 des K.E. vom 6. März 2018 (II) (B.S. vom 20. März 2018); einziger Absatz Buchstabe A und B ersetzt durch Art. 5 Nr. 2 des K.E. vom 6. März 2018 (II) (B.S. vom 20. März 2018)]</w:t>
      </w:r>
    </w:p>
    <w:p w14:paraId="00F917E2" w14:textId="77777777" w:rsidR="004660EF" w:rsidRPr="004660EF" w:rsidRDefault="004660EF" w:rsidP="00FB3E9E">
      <w:pPr>
        <w:jc w:val="both"/>
        <w:rPr>
          <w:rFonts w:eastAsia="Calibri"/>
          <w:i/>
          <w:szCs w:val="22"/>
          <w:lang w:eastAsia="de-DE" w:bidi="de-DE"/>
        </w:rPr>
      </w:pPr>
    </w:p>
    <w:p w14:paraId="6F15FA36" w14:textId="77777777" w:rsidR="009A607C" w:rsidRDefault="009A607C" w:rsidP="00FB3E9E">
      <w:pPr>
        <w:jc w:val="both"/>
        <w:rPr>
          <w:rFonts w:eastAsia="Calibri"/>
          <w:szCs w:val="22"/>
          <w:lang w:eastAsia="de-DE" w:bidi="de-DE"/>
        </w:rPr>
      </w:pPr>
    </w:p>
    <w:p w14:paraId="392CE3E7" w14:textId="77777777" w:rsidR="004660EF" w:rsidRPr="004660EF" w:rsidRDefault="004660EF" w:rsidP="00FB3E9E">
      <w:pPr>
        <w:jc w:val="both"/>
        <w:rPr>
          <w:rFonts w:eastAsia="Calibri"/>
          <w:szCs w:val="22"/>
          <w:lang w:eastAsia="de-DE" w:bidi="de-DE"/>
        </w:rPr>
      </w:pPr>
      <w:r>
        <w:rPr>
          <w:rFonts w:eastAsia="Calibri"/>
          <w:szCs w:val="22"/>
          <w:lang w:eastAsia="de-DE" w:bidi="de-DE"/>
        </w:rPr>
        <w:tab/>
        <w:t>[</w:t>
      </w:r>
      <w:r w:rsidRPr="004660EF">
        <w:rPr>
          <w:rFonts w:eastAsia="Calibri"/>
          <w:b/>
          <w:szCs w:val="22"/>
          <w:lang w:eastAsia="de-DE" w:bidi="de-DE"/>
        </w:rPr>
        <w:t>Art. 63</w:t>
      </w:r>
      <w:r w:rsidRPr="004660EF">
        <w:rPr>
          <w:rFonts w:eastAsia="Calibri"/>
          <w:b/>
          <w:szCs w:val="22"/>
          <w:vertAlign w:val="superscript"/>
          <w:lang w:eastAsia="de-DE" w:bidi="de-DE"/>
        </w:rPr>
        <w:t>18/10/1</w:t>
      </w:r>
      <w:r w:rsidRPr="004660EF">
        <w:rPr>
          <w:rFonts w:eastAsia="Calibri"/>
          <w:szCs w:val="22"/>
          <w:lang w:eastAsia="de-DE" w:bidi="de-DE"/>
        </w:rPr>
        <w:t> - Beantragt ein Steuerpflichtiger die Anwendung der in Artikel 145</w:t>
      </w:r>
      <w:r w:rsidRPr="004660EF">
        <w:rPr>
          <w:rFonts w:eastAsia="Calibri"/>
          <w:szCs w:val="22"/>
          <w:vertAlign w:val="superscript"/>
          <w:lang w:eastAsia="de-DE" w:bidi="de-DE"/>
        </w:rPr>
        <w:t>38/2</w:t>
      </w:r>
      <w:r w:rsidRPr="004660EF">
        <w:rPr>
          <w:rFonts w:eastAsia="Calibri"/>
          <w:szCs w:val="22"/>
          <w:lang w:eastAsia="de-DE" w:bidi="de-DE"/>
        </w:rPr>
        <w:t xml:space="preserve"> des Einkommensteuergesetzbuches 1992 erwähnten Steuerermäßigung für Zinsen und Summen, die für Tilgung oder Wiederherstellung einer Hypothekenanleihe gezahlt werden, und Beiträge </w:t>
      </w:r>
      <w:r w:rsidRPr="004660EF">
        <w:rPr>
          <w:rFonts w:eastAsia="Calibri"/>
          <w:szCs w:val="22"/>
          <w:lang w:eastAsia="de-DE" w:bidi="de-DE"/>
        </w:rPr>
        <w:lastRenderedPageBreak/>
        <w:t>zu einer Alters- und Todesfallzusatzversicherung, die der Steuerpflichtige in Ausführung eines Lebensversicherungsvertrags, den er individuell abgeschlossen hat ausschließlich für die Wiederherstellung einer Hypothekenanleihe oder als Sicherheit für eine Hypothekenanleihe, definitiv gezahlt hat für die Bildung einer Rente oder eines Kapitals zu Lebzeiten oder im Todesfall, muss er zur Stützung dieses Antrags folgende Bescheinigung, deren Muster vom Minister der Finanzen oder von seinem Beauftragten festgelegt wird und die vom Institut, das die Anleihe gewährt hat, oder vom Versicherer, bei dem der Lebensversicherungsvertrag abgeschlossen worden ist, ausgestellt wird, zur Verfügung des Föderalen Öffentlichen Dienstes Finanzen bereithalten:</w:t>
      </w:r>
    </w:p>
    <w:p w14:paraId="0A2FE4B8" w14:textId="77777777" w:rsidR="004660EF" w:rsidRPr="004660EF" w:rsidRDefault="004660EF" w:rsidP="00FB3E9E">
      <w:pPr>
        <w:ind w:firstLine="708"/>
        <w:jc w:val="both"/>
        <w:rPr>
          <w:rFonts w:eastAsia="Calibri"/>
          <w:szCs w:val="22"/>
          <w:lang w:eastAsia="de-DE" w:bidi="de-DE"/>
        </w:rPr>
      </w:pPr>
    </w:p>
    <w:p w14:paraId="6A662B7A" w14:textId="77777777" w:rsidR="004660EF" w:rsidRPr="004660EF" w:rsidRDefault="004660EF" w:rsidP="00FB3E9E">
      <w:pPr>
        <w:jc w:val="both"/>
        <w:rPr>
          <w:rFonts w:eastAsia="Calibri"/>
          <w:szCs w:val="22"/>
          <w:lang w:eastAsia="de-DE" w:bidi="de-DE"/>
        </w:rPr>
      </w:pPr>
      <w:r>
        <w:rPr>
          <w:rFonts w:eastAsia="Calibri"/>
          <w:szCs w:val="22"/>
          <w:lang w:eastAsia="de-DE" w:bidi="de-DE"/>
        </w:rPr>
        <w:tab/>
      </w:r>
      <w:r w:rsidRPr="004660EF">
        <w:rPr>
          <w:rFonts w:eastAsia="Calibri"/>
          <w:szCs w:val="22"/>
          <w:lang w:eastAsia="de-DE" w:bidi="de-DE"/>
        </w:rPr>
        <w:t>A. was die Zinsen und Summen betrifft, die für Tilgung oder Wiederherstellung der Hypothekenanleihe gezahlt werden: jährliche Bescheinigung, in der das Institut den Betrag der vom Steuerpflichtigen während des Besteuerungszeitraums gezahlten Summen und Angaben mitteilt, die notwendig sind, um zu überprüfen, ob die Bedingungen für die Anwendung von Artikel 145</w:t>
      </w:r>
      <w:r w:rsidRPr="004660EF">
        <w:rPr>
          <w:rFonts w:eastAsia="Calibri"/>
          <w:szCs w:val="22"/>
          <w:vertAlign w:val="superscript"/>
          <w:lang w:eastAsia="de-DE" w:bidi="de-DE"/>
        </w:rPr>
        <w:t>38/2</w:t>
      </w:r>
      <w:r w:rsidRPr="004660EF">
        <w:rPr>
          <w:rFonts w:eastAsia="Calibri"/>
          <w:szCs w:val="22"/>
          <w:lang w:eastAsia="de-DE" w:bidi="de-DE"/>
        </w:rPr>
        <w:t xml:space="preserve"> desselben Gesetzbuches erfüllt sind,</w:t>
      </w:r>
    </w:p>
    <w:p w14:paraId="6C9ECFD8" w14:textId="77777777" w:rsidR="004660EF" w:rsidRPr="004660EF" w:rsidRDefault="004660EF" w:rsidP="00FB3E9E">
      <w:pPr>
        <w:jc w:val="both"/>
        <w:rPr>
          <w:rFonts w:eastAsia="Calibri"/>
          <w:szCs w:val="22"/>
          <w:lang w:eastAsia="de-DE" w:bidi="de-DE"/>
        </w:rPr>
      </w:pPr>
    </w:p>
    <w:p w14:paraId="2B958DC9" w14:textId="77777777" w:rsidR="004660EF" w:rsidRDefault="004660EF" w:rsidP="00FB3E9E">
      <w:pPr>
        <w:jc w:val="both"/>
        <w:rPr>
          <w:rFonts w:eastAsia="Calibri"/>
          <w:szCs w:val="22"/>
          <w:lang w:eastAsia="de-DE" w:bidi="de-DE"/>
        </w:rPr>
      </w:pPr>
      <w:r>
        <w:rPr>
          <w:rFonts w:eastAsia="Calibri"/>
          <w:szCs w:val="22"/>
          <w:lang w:eastAsia="de-DE" w:bidi="de-DE"/>
        </w:rPr>
        <w:tab/>
      </w:r>
      <w:r w:rsidRPr="004660EF">
        <w:rPr>
          <w:rFonts w:eastAsia="Calibri"/>
          <w:szCs w:val="22"/>
          <w:lang w:eastAsia="de-DE" w:bidi="de-DE"/>
        </w:rPr>
        <w:t>B. was die Lebensversicherungsprämien betrifft: jährliche Bescheinigung, in der der Versicherer den Betrag der vom Steuerpflichtigen während des Besteuerungszeitraums gezahlten Prämien und Angaben mitteilt, die notwendig sind, um zu überprüfen, ob die Bedingungen für die Anwendung von Artikel 145</w:t>
      </w:r>
      <w:r w:rsidRPr="004660EF">
        <w:rPr>
          <w:rFonts w:eastAsia="Calibri"/>
          <w:szCs w:val="22"/>
          <w:vertAlign w:val="superscript"/>
          <w:lang w:eastAsia="de-DE" w:bidi="de-DE"/>
        </w:rPr>
        <w:t>38/2</w:t>
      </w:r>
      <w:r w:rsidRPr="004660EF">
        <w:rPr>
          <w:rFonts w:eastAsia="Calibri"/>
          <w:szCs w:val="22"/>
          <w:lang w:eastAsia="de-DE" w:bidi="de-DE"/>
        </w:rPr>
        <w:t xml:space="preserve"> desselben Gesetzbuches erfüllt sind.</w:t>
      </w:r>
      <w:r>
        <w:rPr>
          <w:rFonts w:eastAsia="Calibri"/>
          <w:szCs w:val="22"/>
          <w:lang w:eastAsia="de-DE" w:bidi="de-DE"/>
        </w:rPr>
        <w:t>]</w:t>
      </w:r>
    </w:p>
    <w:p w14:paraId="236D30E3" w14:textId="77777777" w:rsidR="004660EF" w:rsidRDefault="004660EF" w:rsidP="00FB3E9E">
      <w:pPr>
        <w:jc w:val="both"/>
        <w:rPr>
          <w:rFonts w:eastAsia="Calibri"/>
          <w:szCs w:val="22"/>
          <w:lang w:eastAsia="de-DE" w:bidi="de-DE"/>
        </w:rPr>
      </w:pPr>
    </w:p>
    <w:p w14:paraId="2EF93847" w14:textId="77777777" w:rsidR="004660EF" w:rsidRDefault="004660EF" w:rsidP="00FB3E9E">
      <w:pPr>
        <w:jc w:val="both"/>
        <w:rPr>
          <w:rFonts w:eastAsia="Calibri"/>
          <w:szCs w:val="22"/>
          <w:lang w:eastAsia="de-DE" w:bidi="de-DE"/>
        </w:rPr>
      </w:pPr>
      <w:r>
        <w:rPr>
          <w:rFonts w:eastAsia="Calibri"/>
          <w:i/>
          <w:szCs w:val="22"/>
          <w:lang w:eastAsia="de-DE" w:bidi="de-DE"/>
        </w:rPr>
        <w:t>[Art. 63</w:t>
      </w:r>
      <w:r w:rsidRPr="004660EF">
        <w:rPr>
          <w:rFonts w:eastAsia="Calibri"/>
          <w:i/>
          <w:szCs w:val="22"/>
          <w:vertAlign w:val="superscript"/>
          <w:lang w:eastAsia="de-DE" w:bidi="de-DE"/>
        </w:rPr>
        <w:t>18/10/1</w:t>
      </w:r>
      <w:r>
        <w:rPr>
          <w:rFonts w:eastAsia="Calibri"/>
          <w:i/>
          <w:szCs w:val="22"/>
          <w:lang w:eastAsia="de-DE" w:bidi="de-DE"/>
        </w:rPr>
        <w:t xml:space="preserve"> eingefügt durch Art. 6 des K.E. vom 6. März 2018 (II) (B.S. vom 20. März 2018)]</w:t>
      </w:r>
      <w:r w:rsidRPr="004660EF">
        <w:t xml:space="preserve"> </w:t>
      </w:r>
    </w:p>
    <w:p w14:paraId="29F0BE08" w14:textId="77777777" w:rsidR="004660EF" w:rsidRDefault="004660EF" w:rsidP="00FB3E9E">
      <w:pPr>
        <w:jc w:val="both"/>
        <w:rPr>
          <w:rFonts w:eastAsia="Calibri"/>
          <w:szCs w:val="22"/>
          <w:lang w:eastAsia="de-DE" w:bidi="de-DE"/>
        </w:rPr>
      </w:pPr>
    </w:p>
    <w:p w14:paraId="13B70244" w14:textId="77777777" w:rsidR="004660EF" w:rsidRDefault="004660EF" w:rsidP="00FB3E9E">
      <w:pPr>
        <w:jc w:val="both"/>
        <w:rPr>
          <w:rFonts w:eastAsia="Calibri"/>
          <w:szCs w:val="22"/>
          <w:lang w:eastAsia="de-DE" w:bidi="de-DE"/>
        </w:rPr>
      </w:pPr>
    </w:p>
    <w:p w14:paraId="6EDE9782"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18/11</w:t>
      </w:r>
      <w:r w:rsidRPr="00334017">
        <w:rPr>
          <w:rFonts w:eastAsia="Calibri"/>
          <w:szCs w:val="22"/>
          <w:lang w:eastAsia="de-DE" w:bidi="de-DE"/>
        </w:rPr>
        <w:t> - In Artikel 145</w:t>
      </w:r>
      <w:r w:rsidRPr="00334017">
        <w:rPr>
          <w:rFonts w:eastAsia="Calibri"/>
          <w:szCs w:val="22"/>
          <w:vertAlign w:val="superscript"/>
          <w:lang w:eastAsia="de-DE" w:bidi="de-DE"/>
        </w:rPr>
        <w:t>39</w:t>
      </w:r>
      <w:r w:rsidRPr="00334017">
        <w:rPr>
          <w:rFonts w:eastAsia="Calibri"/>
          <w:szCs w:val="22"/>
          <w:lang w:eastAsia="de-DE" w:bidi="de-DE"/>
        </w:rPr>
        <w:t xml:space="preserve"> Absatz 1 Nr. 1 des Einkommensteuergesetz</w:t>
      </w:r>
      <w:r w:rsidRPr="00334017">
        <w:rPr>
          <w:rFonts w:eastAsia="Calibri"/>
          <w:szCs w:val="22"/>
          <w:lang w:eastAsia="de-DE" w:bidi="de-DE"/>
        </w:rPr>
        <w:softHyphen/>
        <w:t xml:space="preserve">buches 1992 erwähnte Beiträge gelten als in einem Mitgliedstaat des Europäischen Wirtschaftsraums gezahlt, wenn der Lebensversicherungsvertrag, für den diese Beiträge gezahlt werden, bei einem im Europäischen Wirtschaftsraum ansässigen Unternehmen oder bei einer im Europäischen Wirtschaftsraum ansässigen Niederlassung eines außerhalb des Europäischen Wirtschaftsraums ansässigen Unternehmens </w:t>
      </w:r>
      <w:r>
        <w:rPr>
          <w:rFonts w:eastAsia="Calibri"/>
          <w:szCs w:val="22"/>
          <w:lang w:eastAsia="de-DE" w:bidi="de-DE"/>
        </w:rPr>
        <w:t>abgeschlossen</w:t>
      </w:r>
      <w:r w:rsidRPr="00334017">
        <w:rPr>
          <w:rFonts w:eastAsia="Calibri"/>
          <w:szCs w:val="22"/>
          <w:lang w:eastAsia="de-DE" w:bidi="de-DE"/>
        </w:rPr>
        <w:t xml:space="preserve"> worden ist.</w:t>
      </w:r>
    </w:p>
    <w:p w14:paraId="6C6747E4" w14:textId="77777777" w:rsidR="005A5BD5" w:rsidRPr="00334017" w:rsidRDefault="005A5BD5" w:rsidP="00FB3E9E">
      <w:pPr>
        <w:jc w:val="both"/>
        <w:rPr>
          <w:rFonts w:eastAsia="Calibri"/>
          <w:szCs w:val="22"/>
          <w:lang w:eastAsia="de-DE" w:bidi="de-DE"/>
        </w:rPr>
      </w:pPr>
    </w:p>
    <w:p w14:paraId="513DE4CC" w14:textId="77777777" w:rsidR="005A5BD5" w:rsidRPr="005031CC" w:rsidRDefault="005A5BD5" w:rsidP="00FB3E9E">
      <w:pPr>
        <w:jc w:val="both"/>
        <w:rPr>
          <w:rFonts w:eastAsia="Calibri"/>
          <w:spacing w:val="-2"/>
          <w:szCs w:val="22"/>
          <w:lang w:eastAsia="de-DE" w:bidi="de-DE"/>
        </w:rPr>
      </w:pPr>
      <w:r w:rsidRPr="005031CC">
        <w:rPr>
          <w:rFonts w:eastAsia="Calibri"/>
          <w:spacing w:val="-2"/>
          <w:szCs w:val="22"/>
          <w:lang w:eastAsia="de-DE" w:bidi="de-DE"/>
        </w:rPr>
        <w:tab/>
        <w:t>Beantragt ein Steuerpflichtiger die Anwendung der in Artikel 145</w:t>
      </w:r>
      <w:r w:rsidRPr="005031CC">
        <w:rPr>
          <w:rFonts w:eastAsia="Calibri"/>
          <w:spacing w:val="-2"/>
          <w:szCs w:val="22"/>
          <w:vertAlign w:val="superscript"/>
          <w:lang w:eastAsia="de-DE" w:bidi="de-DE"/>
        </w:rPr>
        <w:t>39</w:t>
      </w:r>
      <w:r w:rsidRPr="005031CC">
        <w:rPr>
          <w:rFonts w:eastAsia="Calibri"/>
          <w:spacing w:val="-2"/>
          <w:szCs w:val="22"/>
          <w:lang w:eastAsia="de-DE" w:bidi="de-DE"/>
        </w:rPr>
        <w:t xml:space="preserve"> des vorerwähnten Gesetzbuches erwähnten Steuerermäßigung für Beiträge zu einer Alters- und Todesfall</w:t>
      </w:r>
      <w:r w:rsidR="005031CC" w:rsidRPr="005031CC">
        <w:rPr>
          <w:rFonts w:eastAsia="Calibri"/>
          <w:spacing w:val="-2"/>
          <w:szCs w:val="22"/>
          <w:lang w:eastAsia="de-DE" w:bidi="de-DE"/>
        </w:rPr>
        <w:softHyphen/>
      </w:r>
      <w:r w:rsidRPr="005031CC">
        <w:rPr>
          <w:rFonts w:eastAsia="Calibri"/>
          <w:spacing w:val="-2"/>
          <w:szCs w:val="22"/>
          <w:lang w:eastAsia="de-DE" w:bidi="de-DE"/>
        </w:rPr>
        <w:t>zusatzversicherung, die der Steuerpflichtige in Ausführung eines Lebens</w:t>
      </w:r>
      <w:r w:rsidRPr="005031CC">
        <w:rPr>
          <w:rFonts w:eastAsia="Calibri"/>
          <w:spacing w:val="-2"/>
          <w:szCs w:val="22"/>
          <w:lang w:eastAsia="de-DE" w:bidi="de-DE"/>
        </w:rPr>
        <w:softHyphen/>
        <w:t>versicherungsvertrags, den er individuell abgeschlossen hat, definitiv gezahlt hat für die Bildung einer Rente oder eines Kapitals zu Lebzeiten oder im Todesfall</w:t>
      </w:r>
      <w:r w:rsidR="004660EF">
        <w:rPr>
          <w:rFonts w:eastAsia="Calibri"/>
          <w:spacing w:val="-2"/>
          <w:szCs w:val="22"/>
          <w:lang w:eastAsia="de-DE" w:bidi="de-DE"/>
        </w:rPr>
        <w:t>[</w:t>
      </w:r>
      <w:r w:rsidR="004660EF" w:rsidRPr="00F86574">
        <w:t>, muss er zur Stützung dieses Antrags je nach Fall folgende Bescheinigung oder folgende Bescheinigungen, deren Muster vom Minister der Finanzen oder von seinem Beauftragten festgelegt wird und die von dem in Absatz 1 erwähnten Unternehmen, bei dem der Lebensversicherungsvertrag abgeschlossen worden ist, ausgestellt werden, zur Verfügung des Föderalen Öffentlichen Dienstes Finanzen bereithalten:</w:t>
      </w:r>
      <w:r w:rsidR="004660EF">
        <w:rPr>
          <w:rFonts w:eastAsia="Calibri"/>
          <w:spacing w:val="-2"/>
          <w:szCs w:val="22"/>
          <w:lang w:eastAsia="de-DE" w:bidi="de-DE"/>
        </w:rPr>
        <w:t>]</w:t>
      </w:r>
    </w:p>
    <w:p w14:paraId="4E7F4066" w14:textId="77777777" w:rsidR="005A5BD5" w:rsidRPr="00334017" w:rsidRDefault="005A5BD5" w:rsidP="00FB3E9E">
      <w:pPr>
        <w:jc w:val="both"/>
        <w:rPr>
          <w:rFonts w:eastAsia="Calibri"/>
          <w:szCs w:val="22"/>
          <w:lang w:eastAsia="de-DE" w:bidi="de-DE"/>
        </w:rPr>
      </w:pPr>
    </w:p>
    <w:p w14:paraId="02D65E2D" w14:textId="77777777" w:rsidR="004660EF" w:rsidRPr="004660EF" w:rsidRDefault="005A5BD5" w:rsidP="00FB3E9E">
      <w:pPr>
        <w:jc w:val="both"/>
        <w:rPr>
          <w:rFonts w:eastAsia="Calibri"/>
          <w:szCs w:val="22"/>
          <w:lang w:eastAsia="de-DE" w:bidi="de-DE"/>
        </w:rPr>
      </w:pPr>
      <w:r w:rsidRPr="00334017">
        <w:rPr>
          <w:rFonts w:eastAsia="Calibri"/>
          <w:szCs w:val="22"/>
          <w:lang w:eastAsia="de-DE" w:bidi="de-DE"/>
        </w:rPr>
        <w:tab/>
        <w:t xml:space="preserve">1. </w:t>
      </w:r>
      <w:r w:rsidR="004660EF">
        <w:rPr>
          <w:rFonts w:eastAsia="Calibri"/>
          <w:szCs w:val="22"/>
          <w:lang w:eastAsia="de-DE" w:bidi="de-DE"/>
        </w:rPr>
        <w:t>[</w:t>
      </w:r>
      <w:r w:rsidR="004660EF" w:rsidRPr="004660EF">
        <w:rPr>
          <w:rFonts w:eastAsia="Calibri"/>
          <w:szCs w:val="22"/>
          <w:lang w:eastAsia="de-DE" w:bidi="de-DE"/>
        </w:rPr>
        <w:t>für vor dem 1. Januar 2016 abgeschlossene Verträge:</w:t>
      </w:r>
    </w:p>
    <w:p w14:paraId="74E7A502" w14:textId="77777777" w:rsidR="004660EF" w:rsidRPr="004660EF" w:rsidRDefault="004660EF" w:rsidP="00FB3E9E">
      <w:pPr>
        <w:jc w:val="both"/>
        <w:rPr>
          <w:rFonts w:eastAsia="Calibri"/>
          <w:szCs w:val="22"/>
          <w:lang w:eastAsia="de-DE" w:bidi="de-DE"/>
        </w:rPr>
      </w:pPr>
    </w:p>
    <w:p w14:paraId="75B23490" w14:textId="77777777" w:rsidR="004660EF" w:rsidRPr="004660EF" w:rsidRDefault="004660EF" w:rsidP="00FB3E9E">
      <w:pPr>
        <w:jc w:val="both"/>
        <w:rPr>
          <w:rFonts w:eastAsia="Calibri"/>
          <w:szCs w:val="22"/>
          <w:lang w:eastAsia="de-DE" w:bidi="de-DE"/>
        </w:rPr>
      </w:pPr>
      <w:r>
        <w:rPr>
          <w:rFonts w:eastAsia="Calibri"/>
          <w:i/>
          <w:szCs w:val="22"/>
          <w:lang w:eastAsia="de-DE" w:bidi="de-DE"/>
        </w:rPr>
        <w:tab/>
      </w:r>
      <w:r w:rsidRPr="004660EF">
        <w:rPr>
          <w:rFonts w:eastAsia="Calibri"/>
          <w:i/>
          <w:szCs w:val="22"/>
          <w:lang w:eastAsia="de-DE" w:bidi="de-DE"/>
        </w:rPr>
        <w:t>a)</w:t>
      </w:r>
      <w:r w:rsidRPr="004660EF">
        <w:rPr>
          <w:rFonts w:eastAsia="Calibri"/>
          <w:szCs w:val="22"/>
          <w:lang w:eastAsia="de-DE" w:bidi="de-DE"/>
        </w:rPr>
        <w:t> einmalige Grundbescheinigung, in der der Versicherer Angaben mitteilt, die belegen, dass der Lebensversicherungsvertrag für die Anwendung der in Artikel 145</w:t>
      </w:r>
      <w:r w:rsidRPr="004660EF">
        <w:rPr>
          <w:rFonts w:eastAsia="Calibri"/>
          <w:szCs w:val="22"/>
          <w:vertAlign w:val="superscript"/>
          <w:lang w:eastAsia="de-DE" w:bidi="de-DE"/>
        </w:rPr>
        <w:t>39</w:t>
      </w:r>
      <w:r w:rsidRPr="004660EF">
        <w:rPr>
          <w:rFonts w:eastAsia="Calibri"/>
          <w:szCs w:val="22"/>
          <w:lang w:eastAsia="de-DE" w:bidi="de-DE"/>
        </w:rPr>
        <w:t xml:space="preserve"> des vorerwähnten Gesetzbuches erwähnten Steuerermäßigung berücksichtigt werden kann,</w:t>
      </w:r>
    </w:p>
    <w:p w14:paraId="50976C60" w14:textId="77777777" w:rsidR="004660EF" w:rsidRPr="004660EF" w:rsidRDefault="004660EF" w:rsidP="00FB3E9E">
      <w:pPr>
        <w:jc w:val="both"/>
        <w:rPr>
          <w:rFonts w:eastAsia="Calibri"/>
          <w:szCs w:val="22"/>
          <w:lang w:eastAsia="de-DE" w:bidi="de-DE"/>
        </w:rPr>
      </w:pPr>
    </w:p>
    <w:p w14:paraId="5C2586A6" w14:textId="77777777" w:rsidR="004660EF" w:rsidRPr="004660EF" w:rsidRDefault="004660EF" w:rsidP="00FB3E9E">
      <w:pPr>
        <w:jc w:val="both"/>
        <w:rPr>
          <w:rFonts w:eastAsia="Calibri"/>
          <w:szCs w:val="22"/>
          <w:lang w:eastAsia="de-DE" w:bidi="de-DE"/>
        </w:rPr>
      </w:pPr>
      <w:r>
        <w:rPr>
          <w:rFonts w:eastAsia="Calibri"/>
          <w:i/>
          <w:szCs w:val="22"/>
          <w:lang w:eastAsia="de-DE" w:bidi="de-DE"/>
        </w:rPr>
        <w:tab/>
      </w:r>
      <w:r w:rsidRPr="004660EF">
        <w:rPr>
          <w:rFonts w:eastAsia="Calibri"/>
          <w:i/>
          <w:szCs w:val="22"/>
          <w:lang w:eastAsia="de-DE" w:bidi="de-DE"/>
        </w:rPr>
        <w:t>b)</w:t>
      </w:r>
      <w:r w:rsidRPr="004660EF">
        <w:rPr>
          <w:rFonts w:eastAsia="Calibri"/>
          <w:szCs w:val="22"/>
          <w:lang w:eastAsia="de-DE" w:bidi="de-DE"/>
        </w:rPr>
        <w:t xml:space="preserve"> jährliche Bescheinigung, in der der Versicherer den Betrag der vom Steuerpflichtigen während des Besteuerungszeitraums gezahlten Prämien und Angaben mitteilt, die notwendig </w:t>
      </w:r>
      <w:r w:rsidRPr="004660EF">
        <w:rPr>
          <w:rFonts w:eastAsia="Calibri"/>
          <w:szCs w:val="22"/>
          <w:lang w:eastAsia="de-DE" w:bidi="de-DE"/>
        </w:rPr>
        <w:lastRenderedPageBreak/>
        <w:t>sind, um zu überprüfen, ob die Bedingungen für die Anwendung von Artikel 145</w:t>
      </w:r>
      <w:r w:rsidRPr="004660EF">
        <w:rPr>
          <w:rFonts w:eastAsia="Calibri"/>
          <w:szCs w:val="22"/>
          <w:vertAlign w:val="superscript"/>
          <w:lang w:eastAsia="de-DE" w:bidi="de-DE"/>
        </w:rPr>
        <w:t>39</w:t>
      </w:r>
      <w:r w:rsidRPr="004660EF">
        <w:rPr>
          <w:rFonts w:eastAsia="Calibri"/>
          <w:szCs w:val="22"/>
          <w:lang w:eastAsia="de-DE" w:bidi="de-DE"/>
        </w:rPr>
        <w:t xml:space="preserve"> Absatz 1 Nr. 1 desselben Gesetzbuches weiter erfüllt sind,</w:t>
      </w:r>
    </w:p>
    <w:p w14:paraId="26AB7E19" w14:textId="77777777" w:rsidR="004660EF" w:rsidRPr="004660EF" w:rsidRDefault="004660EF" w:rsidP="00FB3E9E">
      <w:pPr>
        <w:jc w:val="both"/>
        <w:rPr>
          <w:rFonts w:eastAsia="Calibri"/>
          <w:szCs w:val="22"/>
          <w:lang w:eastAsia="de-DE" w:bidi="de-DE"/>
        </w:rPr>
      </w:pPr>
    </w:p>
    <w:p w14:paraId="1C115F39" w14:textId="77777777" w:rsidR="005A5BD5" w:rsidRPr="00334017" w:rsidRDefault="004660EF" w:rsidP="00FB3E9E">
      <w:pPr>
        <w:jc w:val="both"/>
        <w:rPr>
          <w:rFonts w:eastAsia="Calibri"/>
          <w:szCs w:val="22"/>
          <w:lang w:eastAsia="de-DE" w:bidi="de-DE"/>
        </w:rPr>
      </w:pPr>
      <w:r>
        <w:rPr>
          <w:rFonts w:eastAsia="Calibri"/>
          <w:szCs w:val="22"/>
          <w:lang w:eastAsia="de-DE" w:bidi="de-DE"/>
        </w:rPr>
        <w:tab/>
      </w:r>
      <w:r w:rsidRPr="004660EF">
        <w:rPr>
          <w:rFonts w:eastAsia="Calibri"/>
          <w:szCs w:val="22"/>
          <w:lang w:eastAsia="de-DE" w:bidi="de-DE"/>
        </w:rPr>
        <w:t>2. für ab dem 1. Januar 2016 abgeschlossene Verträge: jährliche Bescheinigung, in der der Versicherer den Betrag der vom Steuerpflichtigen während des Besteuerungszeitraums gezahlten Prämien und Angaben mitteilt, die notwendig sind, um zu überprüfen, ob die Bedingungen für die Anwendung von Artikel 145</w:t>
      </w:r>
      <w:r w:rsidRPr="004660EF">
        <w:rPr>
          <w:rFonts w:eastAsia="Calibri"/>
          <w:szCs w:val="22"/>
          <w:vertAlign w:val="superscript"/>
          <w:lang w:eastAsia="de-DE" w:bidi="de-DE"/>
        </w:rPr>
        <w:t>39</w:t>
      </w:r>
      <w:r w:rsidRPr="004660EF">
        <w:rPr>
          <w:rFonts w:eastAsia="Calibri"/>
          <w:szCs w:val="22"/>
          <w:lang w:eastAsia="de-DE" w:bidi="de-DE"/>
        </w:rPr>
        <w:t xml:space="preserve"> Absatz 1 Nr. 1 des vorerwähnten Gesetzbuches erfüllt sind.</w:t>
      </w:r>
      <w:r>
        <w:rPr>
          <w:rFonts w:eastAsia="Calibri"/>
          <w:szCs w:val="22"/>
          <w:lang w:eastAsia="de-DE" w:bidi="de-DE"/>
        </w:rPr>
        <w:t>]</w:t>
      </w:r>
    </w:p>
    <w:p w14:paraId="617ED4E3" w14:textId="77777777" w:rsidR="005A5BD5" w:rsidRDefault="005A5BD5" w:rsidP="00FB3E9E">
      <w:pPr>
        <w:jc w:val="both"/>
        <w:rPr>
          <w:rFonts w:eastAsia="Calibri"/>
          <w:szCs w:val="22"/>
          <w:lang w:eastAsia="de-DE" w:bidi="de-DE"/>
        </w:rPr>
      </w:pPr>
    </w:p>
    <w:p w14:paraId="59B9F7BB" w14:textId="77777777" w:rsidR="004660EF" w:rsidRDefault="004660EF" w:rsidP="00FB3E9E">
      <w:pPr>
        <w:jc w:val="both"/>
        <w:rPr>
          <w:rFonts w:eastAsia="Calibri"/>
          <w:i/>
          <w:szCs w:val="22"/>
          <w:lang w:eastAsia="de-DE" w:bidi="de-DE"/>
        </w:rPr>
      </w:pPr>
      <w:r>
        <w:rPr>
          <w:rFonts w:eastAsia="Calibri"/>
          <w:i/>
          <w:szCs w:val="22"/>
          <w:lang w:eastAsia="de-DE" w:bidi="de-DE"/>
        </w:rPr>
        <w:t>[Art. 63</w:t>
      </w:r>
      <w:r w:rsidRPr="0071555C">
        <w:rPr>
          <w:rFonts w:eastAsia="Calibri"/>
          <w:i/>
          <w:szCs w:val="22"/>
          <w:vertAlign w:val="superscript"/>
          <w:lang w:eastAsia="de-DE" w:bidi="de-DE"/>
        </w:rPr>
        <w:t>18/11</w:t>
      </w:r>
      <w:r>
        <w:rPr>
          <w:rFonts w:eastAsia="Calibri"/>
          <w:i/>
          <w:szCs w:val="22"/>
          <w:lang w:eastAsia="de-DE" w:bidi="de-DE"/>
        </w:rPr>
        <w:t xml:space="preserve"> Abs. 2 einleitende Bestimmung abgeändert durch Art. 7 Buchstabe a) des K.E. vom 6. März 2018 (II) (B.S. vom 20. März 2018); Abs. 2 Nr. 1 und 2 ersetzt durch Art. 7 Buchstabe b) des K.E. vom 6. März 2018 (II) (B.S. vom 20. März 2018)]</w:t>
      </w:r>
    </w:p>
    <w:p w14:paraId="4E61B705" w14:textId="77777777" w:rsidR="004660EF" w:rsidRPr="004660EF" w:rsidRDefault="004660EF" w:rsidP="00FB3E9E">
      <w:pPr>
        <w:jc w:val="both"/>
        <w:rPr>
          <w:rFonts w:eastAsia="Calibri"/>
          <w:i/>
          <w:szCs w:val="22"/>
          <w:lang w:eastAsia="de-DE" w:bidi="de-DE"/>
        </w:rPr>
      </w:pPr>
    </w:p>
    <w:p w14:paraId="15B71ED9" w14:textId="77777777" w:rsidR="005A5BD5" w:rsidRPr="00334017" w:rsidRDefault="005A5BD5" w:rsidP="00FB3E9E">
      <w:pPr>
        <w:jc w:val="both"/>
        <w:rPr>
          <w:rFonts w:eastAsia="Calibri"/>
          <w:szCs w:val="22"/>
          <w:lang w:eastAsia="de-DE" w:bidi="de-DE"/>
        </w:rPr>
      </w:pPr>
    </w:p>
    <w:p w14:paraId="2D27311E" w14:textId="664ED517" w:rsidR="005A5BD5" w:rsidRPr="005031CC" w:rsidRDefault="005A5BD5" w:rsidP="00FB3E9E">
      <w:pPr>
        <w:jc w:val="both"/>
        <w:rPr>
          <w:rFonts w:eastAsia="Calibri"/>
          <w:spacing w:val="-2"/>
          <w:szCs w:val="22"/>
          <w:lang w:eastAsia="de-DE" w:bidi="de-DE"/>
        </w:rPr>
      </w:pPr>
      <w:r w:rsidRPr="005031CC">
        <w:rPr>
          <w:rFonts w:eastAsia="Calibri"/>
          <w:spacing w:val="-2"/>
          <w:szCs w:val="22"/>
          <w:lang w:eastAsia="de-DE" w:bidi="de-DE"/>
        </w:rPr>
        <w:tab/>
      </w:r>
      <w:r w:rsidRPr="005031CC">
        <w:rPr>
          <w:rFonts w:eastAsia="Calibri"/>
          <w:b/>
          <w:spacing w:val="-2"/>
          <w:szCs w:val="22"/>
          <w:lang w:eastAsia="de-DE" w:bidi="de-DE"/>
        </w:rPr>
        <w:t>Art. 63</w:t>
      </w:r>
      <w:r w:rsidRPr="005031CC">
        <w:rPr>
          <w:rFonts w:eastAsia="Calibri"/>
          <w:b/>
          <w:spacing w:val="-2"/>
          <w:szCs w:val="22"/>
          <w:vertAlign w:val="superscript"/>
          <w:lang w:eastAsia="de-DE" w:bidi="de-DE"/>
        </w:rPr>
        <w:t>18/12</w:t>
      </w:r>
      <w:r w:rsidRPr="005031CC">
        <w:rPr>
          <w:rFonts w:eastAsia="Calibri"/>
          <w:spacing w:val="-2"/>
          <w:szCs w:val="22"/>
          <w:lang w:eastAsia="de-DE" w:bidi="de-DE"/>
        </w:rPr>
        <w:t> - Beantragt ein Steuerpflichtiger die Anwendung der in Artikel 145</w:t>
      </w:r>
      <w:r w:rsidRPr="005031CC">
        <w:rPr>
          <w:rFonts w:eastAsia="Calibri"/>
          <w:spacing w:val="-2"/>
          <w:szCs w:val="22"/>
          <w:vertAlign w:val="superscript"/>
          <w:lang w:eastAsia="de-DE" w:bidi="de-DE"/>
        </w:rPr>
        <w:t>39</w:t>
      </w:r>
      <w:r w:rsidRPr="005031CC">
        <w:rPr>
          <w:rFonts w:eastAsia="Calibri"/>
          <w:spacing w:val="-2"/>
          <w:szCs w:val="22"/>
          <w:lang w:eastAsia="de-DE" w:bidi="de-DE"/>
        </w:rPr>
        <w:t xml:space="preserve"> des Einkommensteuergesetzbuches 1992 erwähnten Steuerermäßigung für Summen, die für Tilgung oder Wiederherstellung einer Hypothekenanleihe gezahlt werden</w:t>
      </w:r>
      <w:r w:rsidR="004660EF">
        <w:rPr>
          <w:rFonts w:eastAsia="Calibri"/>
          <w:spacing w:val="-2"/>
          <w:szCs w:val="22"/>
          <w:lang w:eastAsia="de-DE" w:bidi="de-DE"/>
        </w:rPr>
        <w:t>[</w:t>
      </w:r>
      <w:r w:rsidR="004660EF" w:rsidRPr="00F86574">
        <w:t>, muss er zur Stützung dieses Antrags je nach Fall folgende Bescheinigung oder folgende Bescheinigungen, deren Muster vom Minister der Finanzen oder von seinem Beauftragten festgelegt wird und die vom Institut, das die Anleihe gewährt hat, ausgestellt werden, zur Verfügung des Föderalen Öffentlichen Dienstes Finanzen bereithalten:</w:t>
      </w:r>
      <w:r w:rsidR="004660EF">
        <w:rPr>
          <w:rFonts w:eastAsia="Calibri"/>
          <w:spacing w:val="-2"/>
          <w:szCs w:val="22"/>
          <w:lang w:eastAsia="de-DE" w:bidi="de-DE"/>
        </w:rPr>
        <w:t>]</w:t>
      </w:r>
    </w:p>
    <w:p w14:paraId="53940DE9" w14:textId="77777777" w:rsidR="005A5BD5" w:rsidRPr="00334017" w:rsidRDefault="005A5BD5" w:rsidP="00FB3E9E">
      <w:pPr>
        <w:jc w:val="both"/>
        <w:rPr>
          <w:rFonts w:eastAsia="Calibri"/>
          <w:szCs w:val="22"/>
          <w:lang w:eastAsia="de-DE" w:bidi="de-DE"/>
        </w:rPr>
      </w:pPr>
    </w:p>
    <w:p w14:paraId="71E67E74" w14:textId="77777777" w:rsidR="004660EF" w:rsidRPr="004660EF" w:rsidRDefault="005A5BD5" w:rsidP="00FB3E9E">
      <w:pPr>
        <w:jc w:val="both"/>
        <w:rPr>
          <w:rFonts w:eastAsia="Calibri"/>
          <w:szCs w:val="22"/>
          <w:lang w:eastAsia="de-DE" w:bidi="de-DE"/>
        </w:rPr>
      </w:pPr>
      <w:r w:rsidRPr="00334017">
        <w:rPr>
          <w:rFonts w:eastAsia="Calibri"/>
          <w:szCs w:val="22"/>
          <w:lang w:eastAsia="de-DE" w:bidi="de-DE"/>
        </w:rPr>
        <w:tab/>
        <w:t xml:space="preserve">1. </w:t>
      </w:r>
      <w:r w:rsidR="004660EF">
        <w:rPr>
          <w:rFonts w:eastAsia="Calibri"/>
          <w:szCs w:val="22"/>
          <w:lang w:eastAsia="de-DE" w:bidi="de-DE"/>
        </w:rPr>
        <w:t>[</w:t>
      </w:r>
      <w:r w:rsidR="004660EF" w:rsidRPr="004660EF">
        <w:rPr>
          <w:rFonts w:eastAsia="Calibri"/>
          <w:szCs w:val="22"/>
          <w:lang w:eastAsia="de-DE" w:bidi="de-DE"/>
        </w:rPr>
        <w:t>für vor dem 1. Januar 2016 aufgenommene Anleihen:</w:t>
      </w:r>
    </w:p>
    <w:p w14:paraId="328E2E0A" w14:textId="77777777" w:rsidR="004660EF" w:rsidRPr="004660EF" w:rsidRDefault="004660EF" w:rsidP="00FB3E9E">
      <w:pPr>
        <w:jc w:val="both"/>
        <w:rPr>
          <w:rFonts w:eastAsia="Calibri"/>
          <w:szCs w:val="22"/>
          <w:lang w:eastAsia="de-DE" w:bidi="de-DE"/>
        </w:rPr>
      </w:pPr>
    </w:p>
    <w:p w14:paraId="1388FFE4" w14:textId="77777777" w:rsidR="004660EF" w:rsidRPr="004660EF" w:rsidRDefault="004660EF" w:rsidP="00FB3E9E">
      <w:pPr>
        <w:jc w:val="both"/>
        <w:rPr>
          <w:rFonts w:eastAsia="Calibri"/>
          <w:szCs w:val="22"/>
          <w:lang w:eastAsia="de-DE" w:bidi="de-DE"/>
        </w:rPr>
      </w:pPr>
      <w:r>
        <w:rPr>
          <w:rFonts w:eastAsia="Calibri"/>
          <w:i/>
          <w:szCs w:val="22"/>
          <w:lang w:eastAsia="de-DE" w:bidi="de-DE"/>
        </w:rPr>
        <w:tab/>
      </w:r>
      <w:r w:rsidRPr="004660EF">
        <w:rPr>
          <w:rFonts w:eastAsia="Calibri"/>
          <w:i/>
          <w:szCs w:val="22"/>
          <w:lang w:eastAsia="de-DE" w:bidi="de-DE"/>
        </w:rPr>
        <w:t>a)</w:t>
      </w:r>
      <w:r w:rsidRPr="004660EF">
        <w:rPr>
          <w:rFonts w:eastAsia="Calibri"/>
          <w:szCs w:val="22"/>
          <w:lang w:eastAsia="de-DE" w:bidi="de-DE"/>
        </w:rPr>
        <w:t> einmalige Grundbescheinigung, in der das Institut Angaben mitteilt, die belegen, dass der Anleihevertrag für die Anwendung der in Artikel 145</w:t>
      </w:r>
      <w:r w:rsidRPr="004660EF">
        <w:rPr>
          <w:rFonts w:eastAsia="Calibri"/>
          <w:szCs w:val="22"/>
          <w:vertAlign w:val="superscript"/>
          <w:lang w:eastAsia="de-DE" w:bidi="de-DE"/>
        </w:rPr>
        <w:t>39</w:t>
      </w:r>
      <w:r w:rsidRPr="004660EF">
        <w:rPr>
          <w:rFonts w:eastAsia="Calibri"/>
          <w:szCs w:val="22"/>
          <w:lang w:eastAsia="de-DE" w:bidi="de-DE"/>
        </w:rPr>
        <w:t xml:space="preserve"> des vorerwähnten Gesetzbuches erwähnten Steuerermäßigung berücksichtigt werden kann,</w:t>
      </w:r>
    </w:p>
    <w:p w14:paraId="09CD8188" w14:textId="77777777" w:rsidR="004660EF" w:rsidRPr="004660EF" w:rsidRDefault="004660EF" w:rsidP="00FB3E9E">
      <w:pPr>
        <w:jc w:val="both"/>
        <w:rPr>
          <w:rFonts w:eastAsia="Calibri"/>
          <w:szCs w:val="22"/>
          <w:lang w:eastAsia="de-DE" w:bidi="de-DE"/>
        </w:rPr>
      </w:pPr>
    </w:p>
    <w:p w14:paraId="2BEEFE9F" w14:textId="77777777" w:rsidR="004660EF" w:rsidRPr="004660EF" w:rsidRDefault="004660EF" w:rsidP="00FB3E9E">
      <w:pPr>
        <w:jc w:val="both"/>
        <w:rPr>
          <w:rFonts w:eastAsia="Calibri"/>
          <w:szCs w:val="22"/>
          <w:lang w:eastAsia="de-DE" w:bidi="de-DE"/>
        </w:rPr>
      </w:pPr>
      <w:r>
        <w:rPr>
          <w:rFonts w:eastAsia="Calibri"/>
          <w:i/>
          <w:szCs w:val="22"/>
          <w:lang w:eastAsia="de-DE" w:bidi="de-DE"/>
        </w:rPr>
        <w:tab/>
      </w:r>
      <w:r w:rsidRPr="004660EF">
        <w:rPr>
          <w:rFonts w:eastAsia="Calibri"/>
          <w:i/>
          <w:szCs w:val="22"/>
          <w:lang w:eastAsia="de-DE" w:bidi="de-DE"/>
        </w:rPr>
        <w:t>b)</w:t>
      </w:r>
      <w:r w:rsidRPr="004660EF">
        <w:rPr>
          <w:rFonts w:eastAsia="Calibri"/>
          <w:szCs w:val="22"/>
          <w:lang w:eastAsia="de-DE" w:bidi="de-DE"/>
        </w:rPr>
        <w:t> jährliche Bescheinigung, in der das Institut den Betrag der vom Steuerpflichtigen während des Besteuerungszeitraums getätigten Zahlungen und Angaben mitteilt, die notwendig sind, um zu überprüfen, ob die Bedingungen für die Anwendung von Artikel 145</w:t>
      </w:r>
      <w:r w:rsidRPr="004660EF">
        <w:rPr>
          <w:rFonts w:eastAsia="Calibri"/>
          <w:szCs w:val="22"/>
          <w:vertAlign w:val="superscript"/>
          <w:lang w:eastAsia="de-DE" w:bidi="de-DE"/>
        </w:rPr>
        <w:t>39</w:t>
      </w:r>
      <w:r w:rsidRPr="004660EF">
        <w:rPr>
          <w:rFonts w:eastAsia="Calibri"/>
          <w:szCs w:val="22"/>
          <w:lang w:eastAsia="de-DE" w:bidi="de-DE"/>
        </w:rPr>
        <w:t xml:space="preserve"> Absatz 1 Nr. 2 desselben Gesetzbuches weiter erfüllt sind,</w:t>
      </w:r>
    </w:p>
    <w:p w14:paraId="0AAAE6CB" w14:textId="77777777" w:rsidR="004660EF" w:rsidRPr="004660EF" w:rsidRDefault="004660EF" w:rsidP="00FB3E9E">
      <w:pPr>
        <w:jc w:val="both"/>
        <w:rPr>
          <w:rFonts w:eastAsia="Calibri"/>
          <w:szCs w:val="22"/>
          <w:lang w:eastAsia="de-DE" w:bidi="de-DE"/>
        </w:rPr>
      </w:pPr>
    </w:p>
    <w:p w14:paraId="5964A2BB" w14:textId="77777777" w:rsidR="005A5BD5" w:rsidRPr="00334017" w:rsidRDefault="004660EF" w:rsidP="00FB3E9E">
      <w:pPr>
        <w:jc w:val="both"/>
        <w:rPr>
          <w:rFonts w:eastAsia="Calibri"/>
          <w:szCs w:val="22"/>
          <w:lang w:eastAsia="de-DE" w:bidi="de-DE"/>
        </w:rPr>
      </w:pPr>
      <w:r>
        <w:rPr>
          <w:rFonts w:eastAsia="Calibri"/>
          <w:szCs w:val="22"/>
          <w:lang w:eastAsia="de-DE" w:bidi="de-DE"/>
        </w:rPr>
        <w:tab/>
      </w:r>
      <w:r w:rsidRPr="004660EF">
        <w:rPr>
          <w:rFonts w:eastAsia="Calibri"/>
          <w:szCs w:val="22"/>
          <w:lang w:eastAsia="de-DE" w:bidi="de-DE"/>
        </w:rPr>
        <w:t>2. für ab dem 1. Januar 2016 aufgenommene Anleihen einschließlich Anleihen, die ab dem 1. Januar 2016 aufgenommen worden sind, um vor diesem Datum aufgenommene Anleihen zu refinanzieren: jährliche Bescheinigung, in der das Institut den Betrag der vom Steuerpflichtigen während des Besteuerungszeitraums getätigten Zahlungen und Angaben mitteilt, die notwendig sind, um zu überprüfen, ob die Bedingungen für die Anwendung von Artikel 145</w:t>
      </w:r>
      <w:r w:rsidRPr="004660EF">
        <w:rPr>
          <w:rFonts w:eastAsia="Calibri"/>
          <w:szCs w:val="22"/>
          <w:vertAlign w:val="superscript"/>
          <w:lang w:eastAsia="de-DE" w:bidi="de-DE"/>
        </w:rPr>
        <w:t>39</w:t>
      </w:r>
      <w:r w:rsidRPr="004660EF">
        <w:rPr>
          <w:rFonts w:eastAsia="Calibri"/>
          <w:szCs w:val="22"/>
          <w:lang w:eastAsia="de-DE" w:bidi="de-DE"/>
        </w:rPr>
        <w:t xml:space="preserve"> Absatz 1 Nr. 2 desselben Gesetzbuches erfüllt sind.</w:t>
      </w:r>
      <w:r>
        <w:rPr>
          <w:rFonts w:eastAsia="Calibri"/>
          <w:szCs w:val="22"/>
          <w:lang w:eastAsia="de-DE" w:bidi="de-DE"/>
        </w:rPr>
        <w:t>]</w:t>
      </w:r>
    </w:p>
    <w:p w14:paraId="04C3C77D" w14:textId="77777777" w:rsidR="005A5BD5" w:rsidRDefault="005A5BD5" w:rsidP="00FB3E9E">
      <w:pPr>
        <w:jc w:val="both"/>
        <w:rPr>
          <w:rFonts w:eastAsia="Calibri"/>
          <w:szCs w:val="22"/>
          <w:lang w:eastAsia="de-DE" w:bidi="de-DE"/>
        </w:rPr>
      </w:pPr>
    </w:p>
    <w:p w14:paraId="65C8BAEF" w14:textId="77777777" w:rsidR="004660EF" w:rsidRDefault="004660EF" w:rsidP="00FB3E9E">
      <w:pPr>
        <w:jc w:val="both"/>
        <w:rPr>
          <w:rFonts w:eastAsia="Calibri"/>
          <w:i/>
          <w:szCs w:val="22"/>
          <w:lang w:eastAsia="de-DE" w:bidi="de-DE"/>
        </w:rPr>
      </w:pPr>
      <w:r>
        <w:rPr>
          <w:rFonts w:eastAsia="Calibri"/>
          <w:i/>
          <w:szCs w:val="22"/>
          <w:lang w:eastAsia="de-DE" w:bidi="de-DE"/>
        </w:rPr>
        <w:t>[Art. 63</w:t>
      </w:r>
      <w:r w:rsidRPr="0071555C">
        <w:rPr>
          <w:rFonts w:eastAsia="Calibri"/>
          <w:i/>
          <w:szCs w:val="22"/>
          <w:vertAlign w:val="superscript"/>
          <w:lang w:eastAsia="de-DE" w:bidi="de-DE"/>
        </w:rPr>
        <w:t>18/12</w:t>
      </w:r>
      <w:r>
        <w:rPr>
          <w:rFonts w:eastAsia="Calibri"/>
          <w:i/>
          <w:szCs w:val="22"/>
          <w:lang w:eastAsia="de-DE" w:bidi="de-DE"/>
        </w:rPr>
        <w:t xml:space="preserve"> einziger Absatz einleitende Bestimmung abgeändert durch Art. 8 Buchstabe a) des K.E. vom 6. März 2018 (II) (B.S. vom 20. März 2018); einziger Absatz Nr. 1 und 2 ersetzt durch Art. 8 Buchstabe b) des K.E. vom 6. März 2018 (II) (B.S. vom 20. März 2018)</w:t>
      </w:r>
      <w:r w:rsidR="0071555C">
        <w:rPr>
          <w:rFonts w:eastAsia="Calibri"/>
          <w:i/>
          <w:szCs w:val="22"/>
          <w:lang w:eastAsia="de-DE" w:bidi="de-DE"/>
        </w:rPr>
        <w:t>]</w:t>
      </w:r>
    </w:p>
    <w:p w14:paraId="60B84953" w14:textId="77777777" w:rsidR="0071555C" w:rsidRPr="004660EF" w:rsidRDefault="0071555C" w:rsidP="00FB3E9E">
      <w:pPr>
        <w:jc w:val="both"/>
        <w:rPr>
          <w:rFonts w:eastAsia="Calibri"/>
          <w:i/>
          <w:szCs w:val="22"/>
          <w:lang w:eastAsia="de-DE" w:bidi="de-DE"/>
        </w:rPr>
      </w:pPr>
    </w:p>
    <w:p w14:paraId="18E1E194" w14:textId="77777777" w:rsidR="005A5BD5" w:rsidRDefault="005A5BD5" w:rsidP="00FB3E9E">
      <w:pPr>
        <w:jc w:val="both"/>
        <w:rPr>
          <w:rFonts w:eastAsia="Calibri"/>
          <w:szCs w:val="22"/>
          <w:lang w:eastAsia="de-DE" w:bidi="de-DE"/>
        </w:rPr>
      </w:pPr>
    </w:p>
    <w:p w14:paraId="2C9797E0" w14:textId="77777777" w:rsidR="0071555C" w:rsidRPr="0071555C" w:rsidRDefault="0071555C" w:rsidP="00FB3E9E">
      <w:pPr>
        <w:jc w:val="both"/>
        <w:rPr>
          <w:rFonts w:eastAsia="Calibri"/>
          <w:szCs w:val="22"/>
          <w:lang w:eastAsia="de-DE" w:bidi="de-DE"/>
        </w:rPr>
      </w:pPr>
      <w:r>
        <w:rPr>
          <w:rFonts w:eastAsia="Calibri"/>
          <w:szCs w:val="22"/>
          <w:lang w:eastAsia="de-DE" w:bidi="de-DE"/>
        </w:rPr>
        <w:tab/>
        <w:t>[</w:t>
      </w:r>
      <w:r w:rsidRPr="0071555C">
        <w:rPr>
          <w:rFonts w:eastAsia="Calibri"/>
          <w:b/>
          <w:szCs w:val="22"/>
          <w:lang w:eastAsia="de-DE" w:bidi="de-DE"/>
        </w:rPr>
        <w:t>Art. 63</w:t>
      </w:r>
      <w:r w:rsidRPr="0071555C">
        <w:rPr>
          <w:rFonts w:eastAsia="Calibri"/>
          <w:b/>
          <w:szCs w:val="22"/>
          <w:vertAlign w:val="superscript"/>
          <w:lang w:eastAsia="de-DE" w:bidi="de-DE"/>
        </w:rPr>
        <w:t>18/12/1</w:t>
      </w:r>
      <w:r w:rsidRPr="0071555C">
        <w:rPr>
          <w:rFonts w:eastAsia="Calibri"/>
          <w:szCs w:val="22"/>
          <w:lang w:eastAsia="de-DE" w:bidi="de-DE"/>
        </w:rPr>
        <w:t> - Beantragt ein Steuerpflichtiger die Anwendung der in den Artikeln 145</w:t>
      </w:r>
      <w:r w:rsidRPr="0071555C">
        <w:rPr>
          <w:rFonts w:eastAsia="Calibri"/>
          <w:szCs w:val="22"/>
          <w:vertAlign w:val="superscript"/>
          <w:lang w:eastAsia="de-DE" w:bidi="de-DE"/>
        </w:rPr>
        <w:t>46</w:t>
      </w:r>
      <w:r w:rsidRPr="0071555C">
        <w:rPr>
          <w:rFonts w:eastAsia="Calibri"/>
          <w:i/>
          <w:szCs w:val="22"/>
          <w:vertAlign w:val="superscript"/>
          <w:lang w:eastAsia="de-DE" w:bidi="de-DE"/>
        </w:rPr>
        <w:t>ter</w:t>
      </w:r>
      <w:r w:rsidRPr="0071555C">
        <w:rPr>
          <w:rFonts w:eastAsia="Calibri"/>
          <w:szCs w:val="22"/>
          <w:lang w:eastAsia="de-DE" w:bidi="de-DE"/>
        </w:rPr>
        <w:t xml:space="preserve"> bis 145</w:t>
      </w:r>
      <w:r w:rsidRPr="0071555C">
        <w:rPr>
          <w:rFonts w:eastAsia="Calibri"/>
          <w:szCs w:val="22"/>
          <w:vertAlign w:val="superscript"/>
          <w:lang w:eastAsia="de-DE" w:bidi="de-DE"/>
        </w:rPr>
        <w:t>46</w:t>
      </w:r>
      <w:r w:rsidRPr="0071555C">
        <w:rPr>
          <w:rFonts w:eastAsia="Calibri"/>
          <w:i/>
          <w:szCs w:val="22"/>
          <w:vertAlign w:val="superscript"/>
          <w:lang w:eastAsia="de-DE" w:bidi="de-DE"/>
        </w:rPr>
        <w:t>quinquies</w:t>
      </w:r>
      <w:r w:rsidRPr="0071555C">
        <w:rPr>
          <w:rFonts w:eastAsia="Calibri"/>
          <w:szCs w:val="22"/>
          <w:lang w:eastAsia="de-DE" w:bidi="de-DE"/>
        </w:rPr>
        <w:t xml:space="preserve"> des Einkommensteuergesetzbuches 1992 erwähnten Steuerer</w:t>
      </w:r>
      <w:r w:rsidRPr="0071555C">
        <w:rPr>
          <w:rFonts w:eastAsia="Calibri"/>
          <w:szCs w:val="22"/>
          <w:lang w:eastAsia="de-DE" w:bidi="de-DE"/>
        </w:rPr>
        <w:softHyphen/>
        <w:t>mäßigung für Zinsen und Summen, die für Tilgung oder Wiederherstellung einer Hypothekenanleihe gezahlt werden, und Beiträge zu einer Alters- und Todesfall</w:t>
      </w:r>
      <w:r w:rsidRPr="0071555C">
        <w:rPr>
          <w:rFonts w:eastAsia="Calibri"/>
          <w:szCs w:val="22"/>
          <w:lang w:eastAsia="de-DE" w:bidi="de-DE"/>
        </w:rPr>
        <w:softHyphen/>
        <w:t xml:space="preserve">zusatzversicherung, die der Steuerpflichtige in Ausführung eines Lebensversicherungsvertrags, </w:t>
      </w:r>
      <w:r w:rsidRPr="0071555C">
        <w:rPr>
          <w:rFonts w:eastAsia="Calibri"/>
          <w:szCs w:val="22"/>
          <w:lang w:eastAsia="de-DE" w:bidi="de-DE"/>
        </w:rPr>
        <w:lastRenderedPageBreak/>
        <w:t>den er individuell abgeschlossen hat ausschließlich für die Wiederherstellung einer Hypothekenanleihe oder als Sicherheit für eine Hypothekenanleihe, definitiv gezahlt hat für die Bildung einer Rente oder eines Kapitals zu Lebzeiten oder im Todesfall, muss er zur Stützung dieses Antrags folgende Bescheinigung, deren Muster vom Minister der Finanzen oder von seinem Beauftragten festgelegt wird und die vom Institut, das die Anleihe gewährt hat, oder vom Versicherer, bei dem der Lebensversicherungsvertrag abgeschlossen worden ist, ausgestellt wird, zur Verfügung des Föderalen Öffentlichen Dienstes Finanzen bereithalten:</w:t>
      </w:r>
    </w:p>
    <w:p w14:paraId="4EAA2D30" w14:textId="77777777" w:rsidR="0071555C" w:rsidRPr="0071555C" w:rsidRDefault="0071555C" w:rsidP="00FB3E9E">
      <w:pPr>
        <w:jc w:val="both"/>
        <w:rPr>
          <w:rFonts w:eastAsia="Calibri"/>
          <w:szCs w:val="22"/>
          <w:lang w:eastAsia="de-DE" w:bidi="de-DE"/>
        </w:rPr>
      </w:pPr>
    </w:p>
    <w:p w14:paraId="719468D8" w14:textId="77777777" w:rsidR="0071555C" w:rsidRPr="0071555C" w:rsidRDefault="0071555C" w:rsidP="00FB3E9E">
      <w:pPr>
        <w:jc w:val="both"/>
        <w:rPr>
          <w:rFonts w:eastAsia="Calibri"/>
          <w:szCs w:val="22"/>
          <w:lang w:eastAsia="de-DE" w:bidi="de-DE"/>
        </w:rPr>
      </w:pPr>
      <w:r>
        <w:rPr>
          <w:rFonts w:eastAsia="Calibri"/>
          <w:szCs w:val="22"/>
          <w:lang w:eastAsia="de-DE" w:bidi="de-DE"/>
        </w:rPr>
        <w:tab/>
      </w:r>
      <w:r w:rsidRPr="0071555C">
        <w:rPr>
          <w:rFonts w:eastAsia="Calibri"/>
          <w:szCs w:val="22"/>
          <w:lang w:eastAsia="de-DE" w:bidi="de-DE"/>
        </w:rPr>
        <w:t>A. was die Zinsen und Summen betrifft, die für Tilgung oder Wiederherstellung der Hypothekenanleihe gezahlt werden: jährliche Bescheinigung, in der das Institut den Betrag der vom Steuerpflichtigen während des Besteuerungszeitraums gezahlten Summen und Angaben mitteilt, die notwendig sind, um zu überprüfen, ob die Bedingungen für die Anwendung der Artikel 145</w:t>
      </w:r>
      <w:r w:rsidRPr="0071555C">
        <w:rPr>
          <w:rFonts w:eastAsia="Calibri"/>
          <w:szCs w:val="22"/>
          <w:vertAlign w:val="superscript"/>
          <w:lang w:eastAsia="de-DE" w:bidi="de-DE"/>
        </w:rPr>
        <w:t>46</w:t>
      </w:r>
      <w:r w:rsidRPr="0071555C">
        <w:rPr>
          <w:rFonts w:eastAsia="Calibri"/>
          <w:i/>
          <w:szCs w:val="22"/>
          <w:vertAlign w:val="superscript"/>
          <w:lang w:eastAsia="de-DE" w:bidi="de-DE"/>
        </w:rPr>
        <w:t>ter</w:t>
      </w:r>
      <w:r w:rsidRPr="0071555C">
        <w:rPr>
          <w:rFonts w:eastAsia="Calibri"/>
          <w:szCs w:val="22"/>
          <w:lang w:eastAsia="de-DE" w:bidi="de-DE"/>
        </w:rPr>
        <w:t xml:space="preserve"> bis 145</w:t>
      </w:r>
      <w:r w:rsidRPr="0071555C">
        <w:rPr>
          <w:rFonts w:eastAsia="Calibri"/>
          <w:szCs w:val="22"/>
          <w:vertAlign w:val="superscript"/>
          <w:lang w:eastAsia="de-DE" w:bidi="de-DE"/>
        </w:rPr>
        <w:t>46</w:t>
      </w:r>
      <w:r w:rsidRPr="0071555C">
        <w:rPr>
          <w:rFonts w:eastAsia="Calibri"/>
          <w:i/>
          <w:szCs w:val="22"/>
          <w:vertAlign w:val="superscript"/>
          <w:lang w:eastAsia="de-DE" w:bidi="de-DE"/>
        </w:rPr>
        <w:t>quinquies</w:t>
      </w:r>
      <w:r w:rsidRPr="0071555C">
        <w:rPr>
          <w:rFonts w:eastAsia="Calibri"/>
          <w:szCs w:val="22"/>
          <w:lang w:eastAsia="de-DE" w:bidi="de-DE"/>
        </w:rPr>
        <w:t xml:space="preserve"> desselben Gesetzbuches erfüllt sind,</w:t>
      </w:r>
    </w:p>
    <w:p w14:paraId="65872193" w14:textId="77777777" w:rsidR="0071555C" w:rsidRPr="0071555C" w:rsidRDefault="0071555C" w:rsidP="00FB3E9E">
      <w:pPr>
        <w:jc w:val="both"/>
        <w:rPr>
          <w:rFonts w:eastAsia="Calibri"/>
          <w:szCs w:val="22"/>
          <w:lang w:eastAsia="de-DE" w:bidi="de-DE"/>
        </w:rPr>
      </w:pPr>
    </w:p>
    <w:p w14:paraId="0C1FEF07" w14:textId="77777777" w:rsidR="0071555C" w:rsidRDefault="0071555C" w:rsidP="00FB3E9E">
      <w:pPr>
        <w:jc w:val="both"/>
        <w:rPr>
          <w:rFonts w:eastAsia="Calibri"/>
          <w:szCs w:val="22"/>
          <w:lang w:eastAsia="de-DE" w:bidi="de-DE"/>
        </w:rPr>
      </w:pPr>
      <w:r>
        <w:rPr>
          <w:rFonts w:eastAsia="Calibri"/>
          <w:szCs w:val="22"/>
          <w:lang w:eastAsia="de-DE" w:bidi="de-DE"/>
        </w:rPr>
        <w:tab/>
      </w:r>
      <w:r w:rsidRPr="0071555C">
        <w:rPr>
          <w:rFonts w:eastAsia="Calibri"/>
          <w:szCs w:val="22"/>
          <w:lang w:eastAsia="de-DE" w:bidi="de-DE"/>
        </w:rPr>
        <w:t>B. was die Lebensversicherungsprämien betrifft: jährliche Bescheinigung, in der der Versicherer den Betrag der vom Steuerpflichtigen während des Besteuerungszeitraums gezahlten Prämien und Angaben mitteilt, die notwendig sind, um zu überprüfen, ob die Bedingungen für die Anwendung der Artikel 145</w:t>
      </w:r>
      <w:r w:rsidRPr="0071555C">
        <w:rPr>
          <w:rFonts w:eastAsia="Calibri"/>
          <w:szCs w:val="22"/>
          <w:vertAlign w:val="superscript"/>
          <w:lang w:eastAsia="de-DE" w:bidi="de-DE"/>
        </w:rPr>
        <w:t>46</w:t>
      </w:r>
      <w:r w:rsidRPr="0071555C">
        <w:rPr>
          <w:rFonts w:eastAsia="Calibri"/>
          <w:i/>
          <w:szCs w:val="22"/>
          <w:vertAlign w:val="superscript"/>
          <w:lang w:eastAsia="de-DE" w:bidi="de-DE"/>
        </w:rPr>
        <w:t>ter</w:t>
      </w:r>
      <w:r w:rsidRPr="0071555C">
        <w:rPr>
          <w:rFonts w:eastAsia="Calibri"/>
          <w:szCs w:val="22"/>
          <w:lang w:eastAsia="de-DE" w:bidi="de-DE"/>
        </w:rPr>
        <w:t xml:space="preserve"> bis 145</w:t>
      </w:r>
      <w:r w:rsidRPr="0071555C">
        <w:rPr>
          <w:rFonts w:eastAsia="Calibri"/>
          <w:szCs w:val="22"/>
          <w:vertAlign w:val="superscript"/>
          <w:lang w:eastAsia="de-DE" w:bidi="de-DE"/>
        </w:rPr>
        <w:t>46</w:t>
      </w:r>
      <w:r w:rsidRPr="0071555C">
        <w:rPr>
          <w:rFonts w:eastAsia="Calibri"/>
          <w:i/>
          <w:szCs w:val="22"/>
          <w:vertAlign w:val="superscript"/>
          <w:lang w:eastAsia="de-DE" w:bidi="de-DE"/>
        </w:rPr>
        <w:t>quinquies</w:t>
      </w:r>
      <w:r w:rsidRPr="0071555C">
        <w:rPr>
          <w:rFonts w:eastAsia="Calibri"/>
          <w:szCs w:val="22"/>
          <w:lang w:eastAsia="de-DE" w:bidi="de-DE"/>
        </w:rPr>
        <w:t xml:space="preserve"> desselben Gesetzbuches erfüllt sind.</w:t>
      </w:r>
      <w:r>
        <w:rPr>
          <w:rFonts w:eastAsia="Calibri"/>
          <w:szCs w:val="22"/>
          <w:lang w:eastAsia="de-DE" w:bidi="de-DE"/>
        </w:rPr>
        <w:t>]</w:t>
      </w:r>
    </w:p>
    <w:p w14:paraId="4021A53A" w14:textId="77777777" w:rsidR="0071555C" w:rsidRDefault="0071555C" w:rsidP="00FB3E9E">
      <w:pPr>
        <w:jc w:val="both"/>
        <w:rPr>
          <w:rFonts w:eastAsia="Calibri"/>
          <w:szCs w:val="22"/>
          <w:lang w:eastAsia="de-DE" w:bidi="de-DE"/>
        </w:rPr>
      </w:pPr>
    </w:p>
    <w:p w14:paraId="65CC790F" w14:textId="77777777" w:rsidR="0071555C" w:rsidRDefault="0071555C" w:rsidP="00FB3E9E">
      <w:pPr>
        <w:jc w:val="both"/>
        <w:rPr>
          <w:rFonts w:eastAsia="Calibri"/>
          <w:i/>
          <w:szCs w:val="22"/>
          <w:lang w:eastAsia="de-DE" w:bidi="de-DE"/>
        </w:rPr>
      </w:pPr>
      <w:r>
        <w:rPr>
          <w:rFonts w:eastAsia="Calibri"/>
          <w:i/>
          <w:szCs w:val="22"/>
          <w:lang w:eastAsia="de-DE" w:bidi="de-DE"/>
        </w:rPr>
        <w:t>[Art. 63</w:t>
      </w:r>
      <w:r w:rsidRPr="0071555C">
        <w:rPr>
          <w:rFonts w:eastAsia="Calibri"/>
          <w:i/>
          <w:szCs w:val="22"/>
          <w:vertAlign w:val="superscript"/>
          <w:lang w:eastAsia="de-DE" w:bidi="de-DE"/>
        </w:rPr>
        <w:t>18/12/1</w:t>
      </w:r>
      <w:r>
        <w:rPr>
          <w:rFonts w:eastAsia="Calibri"/>
          <w:i/>
          <w:szCs w:val="22"/>
          <w:lang w:eastAsia="de-DE" w:bidi="de-DE"/>
        </w:rPr>
        <w:t xml:space="preserve"> eingefügt durch Art. 9 des K.E. vom 6. März 2018 (II) (B.S. vom 20. März 2018)]</w:t>
      </w:r>
    </w:p>
    <w:p w14:paraId="704D303A" w14:textId="77777777" w:rsidR="0071555C" w:rsidRPr="0071555C" w:rsidRDefault="0071555C" w:rsidP="00FB3E9E">
      <w:pPr>
        <w:jc w:val="both"/>
        <w:rPr>
          <w:rFonts w:eastAsia="Calibri"/>
          <w:i/>
          <w:szCs w:val="22"/>
          <w:lang w:eastAsia="de-DE" w:bidi="de-DE"/>
        </w:rPr>
      </w:pPr>
    </w:p>
    <w:p w14:paraId="5C4023F8" w14:textId="77777777" w:rsidR="0071555C" w:rsidRPr="00334017" w:rsidRDefault="0071555C" w:rsidP="00FB3E9E">
      <w:pPr>
        <w:jc w:val="both"/>
        <w:rPr>
          <w:rFonts w:eastAsia="Calibri"/>
          <w:szCs w:val="22"/>
          <w:lang w:eastAsia="de-DE" w:bidi="de-DE"/>
        </w:rPr>
      </w:pPr>
    </w:p>
    <w:p w14:paraId="23B0C786"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18/13</w:t>
      </w:r>
      <w:r w:rsidRPr="00334017">
        <w:rPr>
          <w:rFonts w:eastAsia="Calibri"/>
          <w:szCs w:val="22"/>
          <w:lang w:eastAsia="de-DE" w:bidi="de-DE"/>
        </w:rPr>
        <w:t> - Prämien in Bezug auf einen Vertrag mit unentgeltlicher oder entgeltlicher erfolgsabhängiger Beitragsrückerstattung werden für die in den Artikeln 145</w:t>
      </w:r>
      <w:r w:rsidRPr="00334017">
        <w:rPr>
          <w:rFonts w:eastAsia="Calibri"/>
          <w:szCs w:val="22"/>
          <w:vertAlign w:val="superscript"/>
          <w:lang w:eastAsia="de-DE" w:bidi="de-DE"/>
        </w:rPr>
        <w:t>37</w:t>
      </w:r>
      <w:r w:rsidRPr="00334017">
        <w:rPr>
          <w:rFonts w:eastAsia="Calibri"/>
          <w:szCs w:val="22"/>
          <w:lang w:eastAsia="de-DE" w:bidi="de-DE"/>
        </w:rPr>
        <w:t xml:space="preserve"> und 145</w:t>
      </w:r>
      <w:r w:rsidRPr="00334017">
        <w:rPr>
          <w:rFonts w:eastAsia="Calibri"/>
          <w:szCs w:val="22"/>
          <w:vertAlign w:val="superscript"/>
          <w:lang w:eastAsia="de-DE" w:bidi="de-DE"/>
        </w:rPr>
        <w:t>39</w:t>
      </w:r>
      <w:r w:rsidRPr="00334017">
        <w:rPr>
          <w:rFonts w:eastAsia="Calibri"/>
          <w:szCs w:val="22"/>
          <w:lang w:eastAsia="de-DE" w:bidi="de-DE"/>
        </w:rPr>
        <w:t xml:space="preserve"> des Einkommensteuergesetzbuches 1992 erwähnten Steuerermäßigungen bis zu ihrem Nennbetrag berücksichtigt.</w:t>
      </w:r>
    </w:p>
    <w:p w14:paraId="4FE31EC5" w14:textId="77777777" w:rsidR="009A607C" w:rsidRDefault="009A607C" w:rsidP="00FB3E9E">
      <w:pPr>
        <w:jc w:val="both"/>
        <w:rPr>
          <w:rFonts w:eastAsia="Calibri"/>
          <w:szCs w:val="22"/>
          <w:lang w:eastAsia="de-DE" w:bidi="de-DE"/>
        </w:rPr>
      </w:pPr>
    </w:p>
    <w:p w14:paraId="57204328" w14:textId="77777777" w:rsidR="009A607C" w:rsidRDefault="009A607C" w:rsidP="00FB3E9E">
      <w:pPr>
        <w:jc w:val="both"/>
        <w:rPr>
          <w:rFonts w:eastAsia="Calibri"/>
          <w:szCs w:val="22"/>
          <w:lang w:eastAsia="de-DE" w:bidi="de-DE"/>
        </w:rPr>
      </w:pPr>
    </w:p>
    <w:p w14:paraId="0BBD3C56"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18/14</w:t>
      </w:r>
      <w:r w:rsidRPr="00334017">
        <w:rPr>
          <w:rFonts w:eastAsia="Calibri"/>
          <w:szCs w:val="22"/>
          <w:lang w:eastAsia="de-DE" w:bidi="de-DE"/>
        </w:rPr>
        <w:t> - In Artikel 145</w:t>
      </w:r>
      <w:r w:rsidRPr="00334017">
        <w:rPr>
          <w:rFonts w:eastAsia="Calibri"/>
          <w:szCs w:val="22"/>
          <w:vertAlign w:val="superscript"/>
          <w:lang w:eastAsia="de-DE" w:bidi="de-DE"/>
        </w:rPr>
        <w:t>45</w:t>
      </w:r>
      <w:r w:rsidRPr="00334017">
        <w:rPr>
          <w:rFonts w:eastAsia="Calibri"/>
          <w:szCs w:val="22"/>
          <w:lang w:eastAsia="de-DE" w:bidi="de-DE"/>
        </w:rPr>
        <w:t xml:space="preserve"> § 2 Nr. 3 Buchstabe </w:t>
      </w:r>
      <w:r w:rsidRPr="00334017">
        <w:rPr>
          <w:rFonts w:eastAsia="Calibri"/>
          <w:i/>
          <w:szCs w:val="22"/>
          <w:lang w:eastAsia="de-DE" w:bidi="de-DE"/>
        </w:rPr>
        <w:t>b)</w:t>
      </w:r>
      <w:r w:rsidRPr="00334017">
        <w:rPr>
          <w:rFonts w:eastAsia="Calibri"/>
          <w:szCs w:val="22"/>
          <w:lang w:eastAsia="de-DE" w:bidi="de-DE"/>
        </w:rPr>
        <w:t xml:space="preserve"> des Einkommensteuergesetz</w:t>
      </w:r>
      <w:r w:rsidRPr="00334017">
        <w:rPr>
          <w:rFonts w:eastAsia="Calibri"/>
          <w:szCs w:val="22"/>
          <w:lang w:eastAsia="de-DE" w:bidi="de-DE"/>
        </w:rPr>
        <w:softHyphen/>
        <w:t>buches 1992 erwähnte Leistungen sind Leistungen, die in Tabelle A Rubrik XXXI der Anlage zum Königlichen Erlass Nr. 20 vom 20. Juli 1970 zur Festlegung der Mehrwertsteuersätze und zur Einteilung der Güter und Dienstleistungen nach diesen Sätzen erwähnt sind.]</w:t>
      </w:r>
    </w:p>
    <w:p w14:paraId="75C06ACF" w14:textId="77777777" w:rsidR="005A5BD5" w:rsidRPr="00334017" w:rsidRDefault="005A5BD5" w:rsidP="00FB3E9E">
      <w:pPr>
        <w:jc w:val="both"/>
        <w:rPr>
          <w:rFonts w:eastAsia="Calibri"/>
          <w:szCs w:val="22"/>
          <w:lang w:eastAsia="de-DE" w:bidi="de-DE"/>
        </w:rPr>
      </w:pPr>
    </w:p>
    <w:p w14:paraId="71CE708C" w14:textId="77777777" w:rsidR="005A5BD5" w:rsidRPr="00334017" w:rsidRDefault="005A5BD5" w:rsidP="00FB3E9E">
      <w:pPr>
        <w:jc w:val="both"/>
        <w:rPr>
          <w:rFonts w:eastAsia="Calibri"/>
          <w:szCs w:val="22"/>
          <w:lang w:eastAsia="de-DE" w:bidi="de-DE"/>
        </w:rPr>
      </w:pPr>
    </w:p>
    <w:p w14:paraId="17C093B0" w14:textId="77777777" w:rsidR="005A5BD5" w:rsidRPr="00334017" w:rsidRDefault="005A5BD5" w:rsidP="00FB3E9E">
      <w:pPr>
        <w:jc w:val="center"/>
        <w:rPr>
          <w:rFonts w:eastAsia="Calibri"/>
          <w:szCs w:val="22"/>
          <w:lang w:eastAsia="de-DE" w:bidi="de-DE"/>
        </w:rPr>
      </w:pPr>
      <w:r w:rsidRPr="00334017">
        <w:rPr>
          <w:rFonts w:eastAsia="Calibri"/>
          <w:szCs w:val="22"/>
          <w:lang w:eastAsia="de-DE" w:bidi="de-DE"/>
        </w:rPr>
        <w:t>[</w:t>
      </w:r>
      <w:r w:rsidRPr="00334017">
        <w:rPr>
          <w:rFonts w:eastAsia="Calibri"/>
          <w:i/>
          <w:szCs w:val="22"/>
          <w:lang w:eastAsia="de-DE" w:bidi="de-DE"/>
        </w:rPr>
        <w:t>Abschnitt 25undecies/5</w:t>
      </w:r>
      <w:r w:rsidRPr="00334017">
        <w:rPr>
          <w:rFonts w:eastAsia="Calibri"/>
          <w:szCs w:val="22"/>
          <w:lang w:eastAsia="de-DE" w:bidi="de-DE"/>
        </w:rPr>
        <w:t> - Steuerermäßigung für Dachisolation</w:t>
      </w:r>
    </w:p>
    <w:p w14:paraId="51EE7EE8" w14:textId="77777777" w:rsidR="005A5BD5" w:rsidRPr="00334017" w:rsidRDefault="005A5BD5" w:rsidP="00FB3E9E">
      <w:pPr>
        <w:jc w:val="center"/>
        <w:rPr>
          <w:rFonts w:eastAsia="Calibri"/>
          <w:szCs w:val="22"/>
          <w:lang w:eastAsia="de-DE" w:bidi="de-DE"/>
        </w:rPr>
      </w:pPr>
    </w:p>
    <w:p w14:paraId="45877E6C" w14:textId="77777777" w:rsidR="005A5BD5" w:rsidRPr="00334017" w:rsidRDefault="005A5BD5" w:rsidP="00FB3E9E">
      <w:pPr>
        <w:jc w:val="center"/>
        <w:rPr>
          <w:rFonts w:eastAsia="Calibri"/>
          <w:szCs w:val="22"/>
          <w:lang w:eastAsia="de-DE" w:bidi="de-DE"/>
        </w:rPr>
      </w:pPr>
      <w:r w:rsidRPr="00334017">
        <w:rPr>
          <w:rFonts w:eastAsia="Calibri"/>
          <w:szCs w:val="22"/>
          <w:lang w:eastAsia="de-DE" w:bidi="de-DE"/>
        </w:rPr>
        <w:t>(Einkommensteuergesetzbuch 1992, Artikel 145</w:t>
      </w:r>
      <w:r w:rsidRPr="00334017">
        <w:rPr>
          <w:rFonts w:eastAsia="Calibri"/>
          <w:szCs w:val="22"/>
          <w:vertAlign w:val="superscript"/>
          <w:lang w:eastAsia="de-DE" w:bidi="de-DE"/>
        </w:rPr>
        <w:t>47</w:t>
      </w:r>
      <w:r w:rsidRPr="00334017">
        <w:rPr>
          <w:rFonts w:eastAsia="Calibri"/>
          <w:szCs w:val="22"/>
          <w:lang w:eastAsia="de-DE" w:bidi="de-DE"/>
        </w:rPr>
        <w:t xml:space="preserve"> Absatz 6)</w:t>
      </w:r>
    </w:p>
    <w:p w14:paraId="7A09BD89" w14:textId="77777777" w:rsidR="005A5BD5" w:rsidRPr="00334017" w:rsidRDefault="005A5BD5" w:rsidP="00FB3E9E">
      <w:pPr>
        <w:jc w:val="both"/>
        <w:rPr>
          <w:rFonts w:eastAsia="Calibri"/>
          <w:szCs w:val="22"/>
          <w:lang w:eastAsia="de-DE" w:bidi="de-DE"/>
        </w:rPr>
      </w:pPr>
    </w:p>
    <w:p w14:paraId="62B93BD6" w14:textId="77777777" w:rsidR="005A5BD5" w:rsidRPr="00334017" w:rsidRDefault="005A5BD5" w:rsidP="00FB3E9E">
      <w:pPr>
        <w:jc w:val="both"/>
        <w:rPr>
          <w:rFonts w:eastAsia="Calibri"/>
          <w:i/>
          <w:szCs w:val="22"/>
          <w:lang w:eastAsia="de-DE" w:bidi="de-DE"/>
        </w:rPr>
      </w:pPr>
      <w:r w:rsidRPr="00334017">
        <w:rPr>
          <w:rFonts w:eastAsia="Calibri"/>
          <w:i/>
          <w:szCs w:val="22"/>
          <w:lang w:eastAsia="de-DE" w:bidi="de-DE"/>
        </w:rPr>
        <w:t>[Abschnitt 25undecies/5 mit Art. 63</w:t>
      </w:r>
      <w:r w:rsidRPr="00334017">
        <w:rPr>
          <w:rFonts w:eastAsia="Calibri"/>
          <w:i/>
          <w:szCs w:val="22"/>
          <w:vertAlign w:val="superscript"/>
          <w:lang w:eastAsia="de-DE" w:bidi="de-DE"/>
        </w:rPr>
        <w:t>18/15</w:t>
      </w:r>
      <w:r w:rsidRPr="00334017">
        <w:rPr>
          <w:rFonts w:eastAsia="Calibri"/>
          <w:i/>
          <w:szCs w:val="22"/>
          <w:lang w:eastAsia="de-DE" w:bidi="de-DE"/>
        </w:rPr>
        <w:t xml:space="preserve"> eingefügt durch Art. 6 des K.E. vom 30. Juni 2014 (B.S. vom 10. Juli 2014)]</w:t>
      </w:r>
    </w:p>
    <w:p w14:paraId="77395F60" w14:textId="77777777" w:rsidR="005A5BD5" w:rsidRPr="00334017" w:rsidRDefault="005A5BD5" w:rsidP="00FB3E9E">
      <w:pPr>
        <w:jc w:val="both"/>
        <w:rPr>
          <w:rFonts w:eastAsia="Calibri"/>
          <w:i/>
          <w:szCs w:val="22"/>
          <w:lang w:eastAsia="de-DE" w:bidi="de-DE"/>
        </w:rPr>
      </w:pPr>
    </w:p>
    <w:p w14:paraId="6F0CCF85" w14:textId="77777777" w:rsidR="005A5BD5" w:rsidRPr="00334017" w:rsidRDefault="005A5BD5" w:rsidP="00FB3E9E">
      <w:pPr>
        <w:jc w:val="both"/>
        <w:rPr>
          <w:rFonts w:eastAsia="Calibri"/>
          <w:szCs w:val="22"/>
          <w:lang w:eastAsia="de-DE" w:bidi="de-DE"/>
        </w:rPr>
      </w:pPr>
    </w:p>
    <w:p w14:paraId="59822603"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18/15</w:t>
      </w:r>
      <w:r w:rsidRPr="00334017">
        <w:rPr>
          <w:rFonts w:eastAsia="Calibri"/>
          <w:szCs w:val="22"/>
          <w:lang w:eastAsia="de-DE" w:bidi="de-DE"/>
        </w:rPr>
        <w:t> - § 1 - In Artikel 145</w:t>
      </w:r>
      <w:r w:rsidRPr="00334017">
        <w:rPr>
          <w:rFonts w:eastAsia="Calibri"/>
          <w:szCs w:val="22"/>
          <w:vertAlign w:val="superscript"/>
          <w:lang w:eastAsia="de-DE" w:bidi="de-DE"/>
        </w:rPr>
        <w:t>47</w:t>
      </w:r>
      <w:r w:rsidRPr="00334017">
        <w:rPr>
          <w:rFonts w:eastAsia="Calibri"/>
          <w:szCs w:val="22"/>
          <w:lang w:eastAsia="de-DE" w:bidi="de-DE"/>
        </w:rPr>
        <w:t xml:space="preserve"> Absatz 1 des Einkommensteuergesetz</w:t>
      </w:r>
      <w:r w:rsidRPr="00334017">
        <w:rPr>
          <w:rFonts w:eastAsia="Calibri"/>
          <w:szCs w:val="22"/>
          <w:lang w:eastAsia="de-DE" w:bidi="de-DE"/>
        </w:rPr>
        <w:softHyphen/>
        <w:t>buches 1992 erwähnte Ausgaben für Dachisolation werden für die in diesem Artikel erwähnte Steuerermäßigung nur berücksichtigt, wenn die damit verbundenen Arbeiten folgende Bedingungen erfüllen:</w:t>
      </w:r>
    </w:p>
    <w:p w14:paraId="70F9354D" w14:textId="77777777" w:rsidR="005A5BD5" w:rsidRPr="00334017" w:rsidRDefault="005A5BD5" w:rsidP="00FB3E9E">
      <w:pPr>
        <w:jc w:val="both"/>
        <w:rPr>
          <w:rFonts w:eastAsia="Calibri"/>
          <w:szCs w:val="22"/>
          <w:lang w:eastAsia="de-DE" w:bidi="de-DE"/>
        </w:rPr>
      </w:pPr>
    </w:p>
    <w:p w14:paraId="237EC09D"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1. Die Leistungen, die den Ausgaben zugrunde liegen, sind für den Steuerpflichtigen erbracht und ihm in Rechnung gestellt worden.</w:t>
      </w:r>
    </w:p>
    <w:p w14:paraId="50B00167" w14:textId="77777777" w:rsidR="005A5BD5" w:rsidRPr="00334017" w:rsidRDefault="005A5BD5" w:rsidP="00FB3E9E">
      <w:pPr>
        <w:jc w:val="both"/>
        <w:rPr>
          <w:rFonts w:eastAsia="Calibri"/>
          <w:szCs w:val="22"/>
          <w:lang w:eastAsia="de-DE" w:bidi="de-DE"/>
        </w:rPr>
      </w:pPr>
    </w:p>
    <w:p w14:paraId="0B32B95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2. Der Unternehmer garantiert, dass der für die Dachisolation verwendete Dämmstoff einen Wärmedurchlasswiderstand R von mindestens 2,5 Quadratmetern Kelvin pro Watt besitzt.</w:t>
      </w:r>
    </w:p>
    <w:p w14:paraId="33FE02AC" w14:textId="77777777" w:rsidR="005A5BD5" w:rsidRPr="00334017" w:rsidRDefault="005A5BD5" w:rsidP="00FB3E9E">
      <w:pPr>
        <w:jc w:val="both"/>
        <w:rPr>
          <w:rFonts w:eastAsia="Calibri"/>
          <w:szCs w:val="22"/>
          <w:lang w:eastAsia="de-DE" w:bidi="de-DE"/>
        </w:rPr>
      </w:pPr>
    </w:p>
    <w:p w14:paraId="32B94AD0"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3. In der vom Unternehmer ausgestellten Rechnung oder ihrer Anlage muss:</w:t>
      </w:r>
    </w:p>
    <w:p w14:paraId="0977EE99" w14:textId="77777777" w:rsidR="005A5BD5" w:rsidRPr="00334017" w:rsidRDefault="005A5BD5" w:rsidP="00FB3E9E">
      <w:pPr>
        <w:jc w:val="both"/>
        <w:rPr>
          <w:rFonts w:eastAsia="Calibri"/>
          <w:szCs w:val="22"/>
          <w:lang w:eastAsia="de-DE" w:bidi="de-DE"/>
        </w:rPr>
      </w:pPr>
    </w:p>
    <w:p w14:paraId="59091FAC"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die Wohnung angegeben sein, in der die Arbeiten ausgeführt w</w:t>
      </w:r>
      <w:r>
        <w:rPr>
          <w:rFonts w:eastAsia="Calibri"/>
          <w:szCs w:val="22"/>
          <w:lang w:eastAsia="de-DE" w:bidi="de-DE"/>
        </w:rPr>
        <w:t>u</w:t>
      </w:r>
      <w:r w:rsidRPr="00334017">
        <w:rPr>
          <w:rFonts w:eastAsia="Calibri"/>
          <w:szCs w:val="22"/>
          <w:lang w:eastAsia="de-DE" w:bidi="de-DE"/>
        </w:rPr>
        <w:t>rden,</w:t>
      </w:r>
    </w:p>
    <w:p w14:paraId="4E10FD40" w14:textId="77777777" w:rsidR="005A5BD5" w:rsidRPr="00334017" w:rsidRDefault="005A5BD5" w:rsidP="00FB3E9E">
      <w:pPr>
        <w:jc w:val="both"/>
        <w:rPr>
          <w:rFonts w:eastAsia="Calibri"/>
          <w:szCs w:val="22"/>
          <w:lang w:eastAsia="de-DE" w:bidi="de-DE"/>
        </w:rPr>
      </w:pPr>
    </w:p>
    <w:p w14:paraId="7CD04C13"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gegebenenfalls die Aufschlüsselung der Kosten der Arbeiten zwischen den Arbeiten für die Dachisolation und anderen Arbeiten angegeben werden,</w:t>
      </w:r>
    </w:p>
    <w:p w14:paraId="5E036E36" w14:textId="77777777" w:rsidR="005A5BD5" w:rsidRPr="00334017" w:rsidRDefault="005A5BD5" w:rsidP="00FB3E9E">
      <w:pPr>
        <w:jc w:val="both"/>
        <w:rPr>
          <w:rFonts w:eastAsia="Calibri"/>
          <w:szCs w:val="22"/>
          <w:lang w:eastAsia="de-DE" w:bidi="de-DE"/>
        </w:rPr>
      </w:pPr>
    </w:p>
    <w:p w14:paraId="44A7EA74" w14:textId="249915FD"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c)</w:t>
      </w:r>
      <w:r w:rsidRPr="00334017">
        <w:rPr>
          <w:rFonts w:eastAsia="Calibri"/>
          <w:szCs w:val="22"/>
          <w:lang w:eastAsia="de-DE" w:bidi="de-DE"/>
        </w:rPr>
        <w:t xml:space="preserve"> folgender Vermerk enthalten sein:</w:t>
      </w:r>
    </w:p>
    <w:p w14:paraId="78DA4000" w14:textId="77777777" w:rsidR="005A5BD5" w:rsidRPr="00334017" w:rsidRDefault="005A5BD5" w:rsidP="00FB3E9E">
      <w:pPr>
        <w:jc w:val="both"/>
        <w:rPr>
          <w:rFonts w:eastAsia="Calibri"/>
          <w:szCs w:val="22"/>
          <w:lang w:eastAsia="de-DE" w:bidi="de-DE"/>
        </w:rPr>
      </w:pPr>
    </w:p>
    <w:p w14:paraId="67D6345D" w14:textId="77777777" w:rsidR="005A5BD5" w:rsidRPr="005031CC" w:rsidRDefault="005A5BD5" w:rsidP="00FB3E9E">
      <w:pPr>
        <w:jc w:val="both"/>
        <w:rPr>
          <w:rFonts w:eastAsia="Calibri"/>
          <w:spacing w:val="-2"/>
          <w:szCs w:val="22"/>
          <w:lang w:eastAsia="de-DE" w:bidi="de-DE"/>
        </w:rPr>
      </w:pPr>
      <w:r w:rsidRPr="005031CC">
        <w:rPr>
          <w:rFonts w:eastAsia="Calibri"/>
          <w:spacing w:val="-2"/>
          <w:szCs w:val="22"/>
          <w:lang w:eastAsia="de-DE" w:bidi="de-DE"/>
        </w:rPr>
        <w:tab/>
        <w:t>"Bescheinigung in Anwendung von Artikel 63</w:t>
      </w:r>
      <w:r w:rsidRPr="005031CC">
        <w:rPr>
          <w:rFonts w:eastAsia="Calibri"/>
          <w:spacing w:val="-2"/>
          <w:szCs w:val="22"/>
          <w:vertAlign w:val="superscript"/>
          <w:lang w:eastAsia="de-DE" w:bidi="de-DE"/>
        </w:rPr>
        <w:t>18/15</w:t>
      </w:r>
      <w:r w:rsidRPr="005031CC">
        <w:rPr>
          <w:rFonts w:eastAsia="Calibri"/>
          <w:spacing w:val="-2"/>
          <w:szCs w:val="22"/>
          <w:lang w:eastAsia="de-DE" w:bidi="de-DE"/>
        </w:rPr>
        <w:t xml:space="preserve"> des KE/E</w:t>
      </w:r>
      <w:r w:rsidR="009251F9" w:rsidRPr="005031CC">
        <w:rPr>
          <w:rFonts w:eastAsia="Calibri"/>
          <w:spacing w:val="-2"/>
          <w:szCs w:val="22"/>
          <w:lang w:eastAsia="de-DE" w:bidi="de-DE"/>
        </w:rPr>
        <w:t>s</w:t>
      </w:r>
      <w:r w:rsidRPr="005031CC">
        <w:rPr>
          <w:rFonts w:eastAsia="Calibri"/>
          <w:spacing w:val="-2"/>
          <w:szCs w:val="22"/>
          <w:lang w:eastAsia="de-DE" w:bidi="de-DE"/>
        </w:rPr>
        <w:t>tGB 92 über ausge</w:t>
      </w:r>
      <w:r w:rsidR="005031CC" w:rsidRPr="005031CC">
        <w:rPr>
          <w:rFonts w:eastAsia="Calibri"/>
          <w:spacing w:val="-2"/>
          <w:szCs w:val="22"/>
          <w:lang w:eastAsia="de-DE" w:bidi="de-DE"/>
        </w:rPr>
        <w:softHyphen/>
      </w:r>
      <w:r w:rsidRPr="005031CC">
        <w:rPr>
          <w:rFonts w:eastAsia="Calibri"/>
          <w:spacing w:val="-2"/>
          <w:szCs w:val="22"/>
          <w:lang w:eastAsia="de-DE" w:bidi="de-DE"/>
        </w:rPr>
        <w:t>führte Arbeiten wie in Artikel 145</w:t>
      </w:r>
      <w:r w:rsidRPr="005031CC">
        <w:rPr>
          <w:rFonts w:eastAsia="Calibri"/>
          <w:spacing w:val="-2"/>
          <w:szCs w:val="22"/>
          <w:vertAlign w:val="superscript"/>
          <w:lang w:eastAsia="de-DE" w:bidi="de-DE"/>
        </w:rPr>
        <w:t>47</w:t>
      </w:r>
      <w:r w:rsidRPr="005031CC">
        <w:rPr>
          <w:rFonts w:eastAsia="Calibri"/>
          <w:spacing w:val="-2"/>
          <w:szCs w:val="22"/>
          <w:lang w:eastAsia="de-DE" w:bidi="de-DE"/>
        </w:rPr>
        <w:t xml:space="preserve"> Absatz 1 des Einkommensteuergesetzbuches 1992 erwähnt</w:t>
      </w:r>
    </w:p>
    <w:p w14:paraId="1FA3B113" w14:textId="77777777" w:rsidR="005A5BD5" w:rsidRPr="00334017" w:rsidRDefault="005A5BD5" w:rsidP="00FB3E9E">
      <w:pPr>
        <w:jc w:val="both"/>
        <w:rPr>
          <w:rFonts w:eastAsia="Calibri"/>
          <w:szCs w:val="22"/>
          <w:lang w:eastAsia="de-DE" w:bidi="de-DE"/>
        </w:rPr>
      </w:pPr>
    </w:p>
    <w:p w14:paraId="65CCDED9"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xml:space="preserve">Der/Die Unterzeichnete, </w:t>
      </w:r>
      <w:r w:rsidR="009251F9">
        <w:rPr>
          <w:rFonts w:eastAsia="Calibri"/>
          <w:szCs w:val="22"/>
          <w:lang w:eastAsia="de-DE" w:bidi="de-DE"/>
        </w:rPr>
        <w:t>…</w:t>
      </w:r>
      <w:r w:rsidRPr="00334017">
        <w:rPr>
          <w:rFonts w:eastAsia="Calibri"/>
          <w:szCs w:val="22"/>
          <w:lang w:eastAsia="de-DE" w:bidi="de-DE"/>
        </w:rPr>
        <w:t xml:space="preserve">, bescheinigt, dass der für die Dachisolation verwendete Dämmstoff einen Wärmedurchlasswiderstand R von mindestens 2,5 Quadratmetern Kelvin pro Watt besitzt und dass die Arbeiten für die Dachisolation in einer Wohnung ausgeführt wurden, die gemäß den von </w:t>
      </w:r>
      <w:r w:rsidR="009251F9">
        <w:rPr>
          <w:rFonts w:eastAsia="Calibri"/>
          <w:szCs w:val="22"/>
          <w:lang w:eastAsia="de-DE" w:bidi="de-DE"/>
        </w:rPr>
        <w:t>…</w:t>
      </w:r>
      <w:r w:rsidRPr="00334017">
        <w:rPr>
          <w:rFonts w:eastAsia="Calibri"/>
          <w:szCs w:val="22"/>
          <w:lang w:eastAsia="de-DE" w:bidi="de-DE"/>
        </w:rPr>
        <w:t xml:space="preserve"> (Name der auf der Rechnung angegebenen Personen) erteilten Informationen am </w:t>
      </w:r>
      <w:r w:rsidR="009251F9">
        <w:rPr>
          <w:rFonts w:eastAsia="Calibri"/>
          <w:szCs w:val="22"/>
          <w:lang w:eastAsia="de-DE" w:bidi="de-DE"/>
        </w:rPr>
        <w:t>…</w:t>
      </w:r>
      <w:r w:rsidRPr="00334017">
        <w:rPr>
          <w:rFonts w:eastAsia="Calibri"/>
          <w:szCs w:val="22"/>
          <w:lang w:eastAsia="de-DE" w:bidi="de-DE"/>
        </w:rPr>
        <w:t xml:space="preserve"> (Datum des Beginns der Arbeiten) seit mindestens fünf Jahren als Wohnung genutzt wird.</w:t>
      </w:r>
    </w:p>
    <w:p w14:paraId="7F8E0677" w14:textId="77777777" w:rsidR="005A5BD5" w:rsidRPr="00334017" w:rsidRDefault="005A5BD5" w:rsidP="00FB3E9E">
      <w:pPr>
        <w:jc w:val="both"/>
        <w:rPr>
          <w:rFonts w:eastAsia="Calibri"/>
          <w:szCs w:val="22"/>
          <w:lang w:eastAsia="de-DE" w:bidi="de-DE"/>
        </w:rPr>
      </w:pPr>
    </w:p>
    <w:p w14:paraId="069B090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(Datum)</w:t>
      </w:r>
    </w:p>
    <w:p w14:paraId="04B72173" w14:textId="77777777" w:rsidR="005A5BD5" w:rsidRPr="00334017" w:rsidRDefault="005A5BD5" w:rsidP="00FB3E9E">
      <w:pPr>
        <w:jc w:val="both"/>
        <w:rPr>
          <w:rFonts w:eastAsia="Calibri"/>
          <w:szCs w:val="22"/>
          <w:lang w:eastAsia="de-DE" w:bidi="de-DE"/>
        </w:rPr>
      </w:pPr>
    </w:p>
    <w:p w14:paraId="008AF792"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(Name)</w:t>
      </w:r>
    </w:p>
    <w:p w14:paraId="6E4857C1" w14:textId="77777777" w:rsidR="009A607C" w:rsidRDefault="009A607C" w:rsidP="00FB3E9E">
      <w:pPr>
        <w:jc w:val="both"/>
        <w:rPr>
          <w:rFonts w:eastAsia="Calibri"/>
          <w:szCs w:val="22"/>
          <w:lang w:eastAsia="de-DE" w:bidi="de-DE"/>
        </w:rPr>
      </w:pPr>
    </w:p>
    <w:p w14:paraId="685B7E66"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(Unterschrift)".</w:t>
      </w:r>
    </w:p>
    <w:p w14:paraId="190CFB07" w14:textId="77777777" w:rsidR="005A5BD5" w:rsidRPr="00334017" w:rsidRDefault="005A5BD5" w:rsidP="00FB3E9E">
      <w:pPr>
        <w:jc w:val="both"/>
        <w:rPr>
          <w:rFonts w:eastAsia="Calibri"/>
          <w:szCs w:val="22"/>
          <w:lang w:eastAsia="de-DE" w:bidi="de-DE"/>
        </w:rPr>
      </w:pPr>
    </w:p>
    <w:p w14:paraId="22070B92"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2 - Steuerpflichtige, die die Geltendmachung von Artikel 145</w:t>
      </w:r>
      <w:r w:rsidRPr="00334017">
        <w:rPr>
          <w:rFonts w:eastAsia="Calibri"/>
          <w:szCs w:val="22"/>
          <w:vertAlign w:val="superscript"/>
          <w:lang w:eastAsia="de-DE" w:bidi="de-DE"/>
        </w:rPr>
        <w:t>47</w:t>
      </w:r>
      <w:r w:rsidRPr="00334017">
        <w:rPr>
          <w:rFonts w:eastAsia="Calibri"/>
          <w:szCs w:val="22"/>
          <w:lang w:eastAsia="de-DE" w:bidi="de-DE"/>
        </w:rPr>
        <w:t xml:space="preserve"> des vorerwähnten Gesetzbuches beantragen, müssen folgende Unterlagen zur Verfügung des Föderalen Öffentlichen Dienstes Finanzen bereithalten:</w:t>
      </w:r>
    </w:p>
    <w:p w14:paraId="03539338" w14:textId="77777777" w:rsidR="005A5BD5" w:rsidRPr="00334017" w:rsidRDefault="005A5BD5" w:rsidP="00FB3E9E">
      <w:pPr>
        <w:jc w:val="both"/>
        <w:rPr>
          <w:rFonts w:eastAsia="Calibri"/>
          <w:szCs w:val="22"/>
          <w:lang w:eastAsia="de-DE" w:bidi="de-DE"/>
        </w:rPr>
      </w:pPr>
    </w:p>
    <w:p w14:paraId="38438125"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Rechnungen in Bezug auf Arbeiten, die den in Artikel 145</w:t>
      </w:r>
      <w:r w:rsidRPr="00334017">
        <w:rPr>
          <w:rFonts w:eastAsia="Calibri"/>
          <w:szCs w:val="22"/>
          <w:vertAlign w:val="superscript"/>
          <w:lang w:eastAsia="de-DE" w:bidi="de-DE"/>
        </w:rPr>
        <w:t>47</w:t>
      </w:r>
      <w:r w:rsidRPr="00334017">
        <w:rPr>
          <w:rFonts w:eastAsia="Calibri"/>
          <w:szCs w:val="22"/>
          <w:lang w:eastAsia="de-DE" w:bidi="de-DE"/>
        </w:rPr>
        <w:t xml:space="preserve"> Absatz 1 desselben Gesetzbuches erwähnten Ausgaben zugrunde liegen,</w:t>
      </w:r>
    </w:p>
    <w:p w14:paraId="10BE2BF5" w14:textId="77777777" w:rsidR="005A5BD5" w:rsidRPr="00334017" w:rsidRDefault="005A5BD5" w:rsidP="00FB3E9E">
      <w:pPr>
        <w:jc w:val="both"/>
        <w:rPr>
          <w:rFonts w:eastAsia="Calibri"/>
          <w:szCs w:val="22"/>
          <w:lang w:eastAsia="de-DE" w:bidi="de-DE"/>
        </w:rPr>
      </w:pPr>
    </w:p>
    <w:p w14:paraId="6AA9135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Nachweis der Zahlung der auf diesen Rechnungen angegebenen Summen,</w:t>
      </w:r>
    </w:p>
    <w:p w14:paraId="7358F448" w14:textId="77777777" w:rsidR="005A5BD5" w:rsidRPr="00334017" w:rsidRDefault="005A5BD5" w:rsidP="00FB3E9E">
      <w:pPr>
        <w:jc w:val="both"/>
        <w:rPr>
          <w:rFonts w:eastAsia="Calibri"/>
          <w:szCs w:val="22"/>
          <w:lang w:eastAsia="de-DE" w:bidi="de-DE"/>
        </w:rPr>
      </w:pPr>
    </w:p>
    <w:p w14:paraId="36A06704"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Unterlagen, die nachweisen, dass die Wohnung zum Zeitpunkt des Beginns der Arbeiten, die mit den Ausgaben verbunden sind, seit mindestens fünf Jahren als Wohnung genutzt wird.]</w:t>
      </w:r>
    </w:p>
    <w:p w14:paraId="429CDDD8" w14:textId="77777777" w:rsidR="005A5BD5" w:rsidRDefault="005A5BD5" w:rsidP="00FB3E9E">
      <w:pPr>
        <w:jc w:val="both"/>
        <w:rPr>
          <w:rFonts w:eastAsia="Calibri"/>
          <w:szCs w:val="22"/>
          <w:lang w:eastAsia="de-DE" w:bidi="de-DE"/>
        </w:rPr>
      </w:pPr>
    </w:p>
    <w:p w14:paraId="742D2534" w14:textId="77777777" w:rsidR="00505E54" w:rsidRDefault="00505E54" w:rsidP="00FB3E9E">
      <w:pPr>
        <w:jc w:val="both"/>
        <w:rPr>
          <w:rFonts w:eastAsia="Calibri"/>
          <w:szCs w:val="22"/>
          <w:lang w:eastAsia="de-DE" w:bidi="de-DE"/>
        </w:rPr>
      </w:pPr>
    </w:p>
    <w:p w14:paraId="6FF855BB" w14:textId="77777777" w:rsidR="00620FDA" w:rsidRDefault="00620FDA">
      <w:pPr>
        <w:rPr>
          <w:rFonts w:eastAsia="Calibri"/>
          <w:szCs w:val="22"/>
          <w:lang w:eastAsia="de-DE" w:bidi="de-DE"/>
        </w:rPr>
      </w:pPr>
      <w:r>
        <w:rPr>
          <w:rFonts w:eastAsia="Calibri"/>
          <w:szCs w:val="22"/>
          <w:lang w:eastAsia="de-DE" w:bidi="de-DE"/>
        </w:rPr>
        <w:br w:type="page"/>
      </w:r>
    </w:p>
    <w:p w14:paraId="5E0FD603" w14:textId="47A715B3" w:rsidR="00505E54" w:rsidRPr="008E7FC0" w:rsidRDefault="00505E54" w:rsidP="00505E54">
      <w:pPr>
        <w:jc w:val="center"/>
      </w:pPr>
      <w:r>
        <w:rPr>
          <w:rFonts w:eastAsia="Calibri"/>
          <w:szCs w:val="22"/>
          <w:lang w:eastAsia="de-DE" w:bidi="de-DE"/>
        </w:rPr>
        <w:lastRenderedPageBreak/>
        <w:t>[</w:t>
      </w:r>
      <w:r w:rsidRPr="00505E54">
        <w:rPr>
          <w:i/>
        </w:rPr>
        <w:t>Abschnitt 25undecies/6</w:t>
      </w:r>
      <w:r w:rsidRPr="008E7FC0">
        <w:t> - Steuerermäßigung für Adoptionskosten</w:t>
      </w:r>
    </w:p>
    <w:p w14:paraId="209208D5" w14:textId="77777777" w:rsidR="00505E54" w:rsidRPr="008E7FC0" w:rsidRDefault="00505E54" w:rsidP="00505E54">
      <w:pPr>
        <w:jc w:val="center"/>
      </w:pPr>
    </w:p>
    <w:p w14:paraId="1D69A1C2" w14:textId="77777777" w:rsidR="00505E54" w:rsidRDefault="00505E54" w:rsidP="00505E54">
      <w:pPr>
        <w:jc w:val="center"/>
      </w:pPr>
      <w:r w:rsidRPr="008E7FC0">
        <w:t>(Einkommensteuergesetzbuch 1992, Artikel 145</w:t>
      </w:r>
      <w:r w:rsidRPr="008E7FC0">
        <w:rPr>
          <w:vertAlign w:val="superscript"/>
        </w:rPr>
        <w:t>48</w:t>
      </w:r>
      <w:r w:rsidRPr="008E7FC0">
        <w:t>)</w:t>
      </w:r>
    </w:p>
    <w:p w14:paraId="225EE72C" w14:textId="77777777" w:rsidR="00505E54" w:rsidRDefault="00505E54" w:rsidP="00505E54">
      <w:pPr>
        <w:jc w:val="center"/>
      </w:pPr>
    </w:p>
    <w:p w14:paraId="2DD7478C" w14:textId="0CA6F14E" w:rsidR="00505E54" w:rsidRDefault="00505E54" w:rsidP="00505E54">
      <w:pPr>
        <w:jc w:val="both"/>
        <w:rPr>
          <w:i/>
        </w:rPr>
      </w:pPr>
      <w:r>
        <w:rPr>
          <w:i/>
        </w:rPr>
        <w:t>[Abschnitt 25undecies/6 mit Art. 63</w:t>
      </w:r>
      <w:r w:rsidRPr="00505E54">
        <w:rPr>
          <w:i/>
          <w:vertAlign w:val="superscript"/>
        </w:rPr>
        <w:t xml:space="preserve">18/16 </w:t>
      </w:r>
      <w:r>
        <w:rPr>
          <w:i/>
        </w:rPr>
        <w:t>eingefügt durch Art. 1 des K.E. vom 2. Mai 2019 (</w:t>
      </w:r>
      <w:r w:rsidR="00701B70">
        <w:rPr>
          <w:i/>
        </w:rPr>
        <w:t>I</w:t>
      </w:r>
      <w:r>
        <w:rPr>
          <w:i/>
        </w:rPr>
        <w:t>I) (B.S. vom 14. Mai 2019</w:t>
      </w:r>
      <w:r w:rsidR="00701B70">
        <w:rPr>
          <w:i/>
        </w:rPr>
        <w:t>)</w:t>
      </w:r>
      <w:r>
        <w:rPr>
          <w:i/>
        </w:rPr>
        <w:t>]</w:t>
      </w:r>
    </w:p>
    <w:p w14:paraId="115BB3D4" w14:textId="77777777" w:rsidR="00505E54" w:rsidRPr="00505E54" w:rsidRDefault="00505E54" w:rsidP="00505E54">
      <w:pPr>
        <w:jc w:val="both"/>
        <w:rPr>
          <w:i/>
        </w:rPr>
      </w:pPr>
    </w:p>
    <w:p w14:paraId="786F42CD" w14:textId="77777777" w:rsidR="00505E54" w:rsidRPr="008E7FC0" w:rsidRDefault="00505E54" w:rsidP="00505E54">
      <w:pPr>
        <w:jc w:val="both"/>
      </w:pPr>
    </w:p>
    <w:p w14:paraId="5F629C92" w14:textId="77777777" w:rsidR="00505E54" w:rsidRPr="008E7FC0" w:rsidRDefault="00505E54" w:rsidP="00505E54">
      <w:pPr>
        <w:jc w:val="both"/>
      </w:pPr>
      <w:r w:rsidRPr="008E7FC0">
        <w:tab/>
      </w:r>
      <w:r w:rsidRPr="00505E54">
        <w:rPr>
          <w:b/>
        </w:rPr>
        <w:t>Art. 63</w:t>
      </w:r>
      <w:r w:rsidRPr="00505E54">
        <w:rPr>
          <w:b/>
          <w:vertAlign w:val="superscript"/>
        </w:rPr>
        <w:t>18/16</w:t>
      </w:r>
      <w:r w:rsidRPr="008E7FC0">
        <w:t> - § 1 - In Artikel 145</w:t>
      </w:r>
      <w:r w:rsidRPr="008E7FC0">
        <w:rPr>
          <w:vertAlign w:val="superscript"/>
        </w:rPr>
        <w:t>48</w:t>
      </w:r>
      <w:r w:rsidRPr="008E7FC0">
        <w:t xml:space="preserve"> Absatz 2 des Einkommensteuergesetzbuches 1992 erwähnte Ausgaben, die im Rahmen eines Adoptionsverfahrens getätigt werden, werden für die in diesem Artikel erwähnte Steuerermäßigung nur berücksichtigt, wenn sie sich auf folgende Kosten beziehen:</w:t>
      </w:r>
    </w:p>
    <w:p w14:paraId="651D6EAB" w14:textId="77777777" w:rsidR="00505E54" w:rsidRPr="008E7FC0" w:rsidRDefault="00505E54" w:rsidP="00505E54">
      <w:pPr>
        <w:jc w:val="both"/>
      </w:pPr>
    </w:p>
    <w:p w14:paraId="352B89F6" w14:textId="77777777" w:rsidR="00505E54" w:rsidRPr="008E7FC0" w:rsidRDefault="00505E54" w:rsidP="00505E54">
      <w:pPr>
        <w:ind w:firstLine="708"/>
        <w:jc w:val="both"/>
      </w:pPr>
      <w:r w:rsidRPr="008E7FC0">
        <w:t>1. in Bezug auf Ausgaben in Zusammenhang mit dem Eignungsverfahren:</w:t>
      </w:r>
    </w:p>
    <w:p w14:paraId="62587529" w14:textId="77777777" w:rsidR="00505E54" w:rsidRPr="008E7FC0" w:rsidRDefault="00505E54" w:rsidP="00505E54">
      <w:pPr>
        <w:jc w:val="both"/>
      </w:pPr>
    </w:p>
    <w:p w14:paraId="76939B14" w14:textId="77777777" w:rsidR="00505E54" w:rsidRPr="008E7FC0" w:rsidRDefault="00505E54" w:rsidP="00505E54">
      <w:pPr>
        <w:ind w:firstLine="708"/>
        <w:jc w:val="both"/>
      </w:pPr>
      <w:r w:rsidRPr="008E7FC0">
        <w:rPr>
          <w:i/>
        </w:rPr>
        <w:t>a)</w:t>
      </w:r>
      <w:r w:rsidRPr="008E7FC0">
        <w:t> Beiträge für Informationssitzungen, die von der zuständigen Zentralbehörde des Landes, in dem die Adoptiveltern ihren gewöhnlichen Wohnort haben, organisiert werden,</w:t>
      </w:r>
    </w:p>
    <w:p w14:paraId="17B151C4" w14:textId="77777777" w:rsidR="00505E54" w:rsidRPr="008E7FC0" w:rsidRDefault="00505E54" w:rsidP="00505E54">
      <w:pPr>
        <w:jc w:val="both"/>
      </w:pPr>
    </w:p>
    <w:p w14:paraId="089A9DA7" w14:textId="77777777" w:rsidR="00505E54" w:rsidRPr="008E7FC0" w:rsidRDefault="00505E54" w:rsidP="00505E54">
      <w:pPr>
        <w:ind w:firstLine="708"/>
        <w:jc w:val="both"/>
      </w:pPr>
      <w:r w:rsidRPr="008E7FC0">
        <w:rPr>
          <w:i/>
        </w:rPr>
        <w:t>b)</w:t>
      </w:r>
      <w:r w:rsidRPr="008E7FC0">
        <w:t> Beiträge für den Vorbereitungszyklus, der von der zuständigen Zentralbehörde des Landes, in dem die Adoptiveltern ihren gewöhnlichen Wohnort haben, organisiert wird,</w:t>
      </w:r>
    </w:p>
    <w:p w14:paraId="2E9ED427" w14:textId="77777777" w:rsidR="00505E54" w:rsidRPr="008E7FC0" w:rsidRDefault="00505E54" w:rsidP="00505E54">
      <w:pPr>
        <w:jc w:val="both"/>
      </w:pPr>
    </w:p>
    <w:p w14:paraId="1E3DB6C2" w14:textId="77777777" w:rsidR="00505E54" w:rsidRPr="008E7FC0" w:rsidRDefault="00505E54" w:rsidP="00505E54">
      <w:pPr>
        <w:ind w:firstLine="708"/>
        <w:jc w:val="both"/>
      </w:pPr>
      <w:r w:rsidRPr="008E7FC0">
        <w:rPr>
          <w:i/>
        </w:rPr>
        <w:t>c)</w:t>
      </w:r>
      <w:r w:rsidRPr="008E7FC0">
        <w:t> Kosten für die Hinterlegung einer Antragschrift zwecks Erwirkung eines Eignungsurteils beim zuständigen Gericht in dem Land, in dem die Adoptiveltern ihren gewöhnlichen Wohnort haben,</w:t>
      </w:r>
    </w:p>
    <w:p w14:paraId="4098FB1B" w14:textId="77777777" w:rsidR="00505E54" w:rsidRPr="008E7FC0" w:rsidRDefault="00505E54" w:rsidP="00505E54">
      <w:pPr>
        <w:jc w:val="both"/>
      </w:pPr>
    </w:p>
    <w:p w14:paraId="47E6115A" w14:textId="77777777" w:rsidR="00505E54" w:rsidRPr="008E7FC0" w:rsidRDefault="00505E54" w:rsidP="00505E54">
      <w:pPr>
        <w:ind w:firstLine="708"/>
        <w:jc w:val="both"/>
      </w:pPr>
      <w:r w:rsidRPr="008E7FC0">
        <w:t>2. in Bezug auf Ausgaben für Kosten, die von einem zugelassenen Adoptionsdienst in Rechnung gestellt werden:</w:t>
      </w:r>
    </w:p>
    <w:p w14:paraId="60347BAA" w14:textId="77777777" w:rsidR="00505E54" w:rsidRPr="008E7FC0" w:rsidRDefault="00505E54" w:rsidP="00505E54">
      <w:pPr>
        <w:jc w:val="both"/>
      </w:pPr>
    </w:p>
    <w:p w14:paraId="58791E05" w14:textId="77777777" w:rsidR="00505E54" w:rsidRPr="008E7FC0" w:rsidRDefault="00505E54" w:rsidP="00505E54">
      <w:pPr>
        <w:ind w:firstLine="708"/>
        <w:jc w:val="both"/>
      </w:pPr>
      <w:r w:rsidRPr="008E7FC0">
        <w:rPr>
          <w:i/>
        </w:rPr>
        <w:t>a)</w:t>
      </w:r>
      <w:r w:rsidRPr="008E7FC0">
        <w:t> Kosten für die Begleitung im Rahmen des Matchings durch den zugelassenen Adoptionsdienst,</w:t>
      </w:r>
    </w:p>
    <w:p w14:paraId="398189EC" w14:textId="77777777" w:rsidR="00505E54" w:rsidRPr="008E7FC0" w:rsidRDefault="00505E54" w:rsidP="00505E54">
      <w:pPr>
        <w:jc w:val="both"/>
      </w:pPr>
    </w:p>
    <w:p w14:paraId="3994EFFC" w14:textId="77777777" w:rsidR="00505E54" w:rsidRPr="008E7FC0" w:rsidRDefault="00505E54" w:rsidP="00505E54">
      <w:pPr>
        <w:ind w:firstLine="708"/>
        <w:jc w:val="both"/>
      </w:pPr>
      <w:r w:rsidRPr="008E7FC0">
        <w:rPr>
          <w:i/>
        </w:rPr>
        <w:t>b)</w:t>
      </w:r>
      <w:r w:rsidRPr="008E7FC0">
        <w:t> Kosten in Bezug auf die postadoptive Betreuung,</w:t>
      </w:r>
    </w:p>
    <w:p w14:paraId="21C77ACE" w14:textId="77777777" w:rsidR="00505E54" w:rsidRPr="008E7FC0" w:rsidRDefault="00505E54" w:rsidP="00505E54">
      <w:pPr>
        <w:jc w:val="both"/>
      </w:pPr>
    </w:p>
    <w:p w14:paraId="7CBEE5A8" w14:textId="77777777" w:rsidR="00505E54" w:rsidRPr="008E7FC0" w:rsidRDefault="00505E54" w:rsidP="00505E54">
      <w:pPr>
        <w:ind w:firstLine="708"/>
        <w:jc w:val="both"/>
      </w:pPr>
      <w:r w:rsidRPr="008E7FC0">
        <w:rPr>
          <w:i/>
        </w:rPr>
        <w:t>c)</w:t>
      </w:r>
      <w:r w:rsidRPr="008E7FC0">
        <w:t> Kosten, für die der zugelassene Adoptionsdienst als Vermittler beteiligt ist,</w:t>
      </w:r>
    </w:p>
    <w:p w14:paraId="427D6068" w14:textId="77777777" w:rsidR="00505E54" w:rsidRPr="008E7FC0" w:rsidRDefault="00505E54" w:rsidP="00505E54">
      <w:pPr>
        <w:jc w:val="both"/>
      </w:pPr>
    </w:p>
    <w:p w14:paraId="5EE851B7" w14:textId="77777777" w:rsidR="00505E54" w:rsidRPr="008E7FC0" w:rsidRDefault="00505E54" w:rsidP="00505E54">
      <w:pPr>
        <w:ind w:firstLine="708"/>
        <w:jc w:val="both"/>
      </w:pPr>
      <w:r w:rsidRPr="008E7FC0">
        <w:t>3. in Bezug auf Ausgaben für Bearbeitungsgebühren im Herkunftsland des Adoptivkindes:</w:t>
      </w:r>
    </w:p>
    <w:p w14:paraId="1193D4D1" w14:textId="77777777" w:rsidR="00505E54" w:rsidRPr="008E7FC0" w:rsidRDefault="00505E54" w:rsidP="00505E54">
      <w:pPr>
        <w:jc w:val="both"/>
      </w:pPr>
    </w:p>
    <w:p w14:paraId="6F5808A6" w14:textId="77777777" w:rsidR="00505E54" w:rsidRPr="008E7FC0" w:rsidRDefault="00505E54" w:rsidP="00505E54">
      <w:pPr>
        <w:ind w:firstLine="708"/>
        <w:jc w:val="both"/>
      </w:pPr>
      <w:r w:rsidRPr="008E7FC0">
        <w:rPr>
          <w:i/>
        </w:rPr>
        <w:t>a)</w:t>
      </w:r>
      <w:r w:rsidRPr="008E7FC0">
        <w:t> Kosten für einen Anwalt, Notar, Vertreter oder anderen Vermittler, sofern diese Ausgaben von der zuständigen Zentralbehörde im Aufnahmeland gebilligt worden sind.</w:t>
      </w:r>
    </w:p>
    <w:p w14:paraId="1F50C763" w14:textId="77777777" w:rsidR="00505E54" w:rsidRPr="008E7FC0" w:rsidRDefault="00505E54" w:rsidP="00505E54">
      <w:pPr>
        <w:jc w:val="both"/>
      </w:pPr>
    </w:p>
    <w:p w14:paraId="78FDD6D6" w14:textId="77777777" w:rsidR="00505E54" w:rsidRPr="008E7FC0" w:rsidRDefault="00505E54" w:rsidP="00505E54">
      <w:pPr>
        <w:ind w:firstLine="708"/>
        <w:jc w:val="both"/>
      </w:pPr>
      <w:r w:rsidRPr="008E7FC0">
        <w:t>Kosten, die in einer Mustervereinbarung aufgenommen sind, die die zuständige Zentralbehörde des Aufnahmelandes pro Herkunftsland erstellt, gelten als von dieser Behörde angenommen,</w:t>
      </w:r>
    </w:p>
    <w:p w14:paraId="3D27C096" w14:textId="77777777" w:rsidR="00505E54" w:rsidRPr="008E7FC0" w:rsidRDefault="00505E54" w:rsidP="00505E54">
      <w:pPr>
        <w:jc w:val="both"/>
      </w:pPr>
    </w:p>
    <w:p w14:paraId="39140340" w14:textId="77777777" w:rsidR="00505E54" w:rsidRPr="008E7FC0" w:rsidRDefault="00505E54" w:rsidP="00505E54">
      <w:pPr>
        <w:ind w:firstLine="708"/>
        <w:jc w:val="both"/>
      </w:pPr>
      <w:r w:rsidRPr="008E7FC0">
        <w:rPr>
          <w:i/>
        </w:rPr>
        <w:t>b)</w:t>
      </w:r>
      <w:r w:rsidRPr="008E7FC0">
        <w:t> Kosten für Erlangung, Übersetzung und Legalisation der Unterlagen, die bei öffentlichen Verwaltungen erhalten werden müssen,</w:t>
      </w:r>
    </w:p>
    <w:p w14:paraId="4FCD7009" w14:textId="77777777" w:rsidR="00505E54" w:rsidRPr="008E7FC0" w:rsidRDefault="00505E54" w:rsidP="00505E54">
      <w:pPr>
        <w:jc w:val="both"/>
      </w:pPr>
    </w:p>
    <w:p w14:paraId="174FF58B" w14:textId="77777777" w:rsidR="00505E54" w:rsidRPr="008E7FC0" w:rsidRDefault="00505E54" w:rsidP="00505E54">
      <w:pPr>
        <w:ind w:firstLine="708"/>
        <w:jc w:val="both"/>
      </w:pPr>
      <w:r w:rsidRPr="008E7FC0">
        <w:rPr>
          <w:i/>
        </w:rPr>
        <w:lastRenderedPageBreak/>
        <w:t>c)</w:t>
      </w:r>
      <w:r w:rsidRPr="008E7FC0">
        <w:t> finanzielle Beiträge, die im Herkunftsland des Kindes verlangt werden, sofern der Betrag dieser Beiträge in den Rechtsvorschriften des Herkunftslandes vorgesehen ist oder die Beiträge unmittelbar an die Zentralbehörde des Herkunftslandes gezahlt werden,</w:t>
      </w:r>
    </w:p>
    <w:p w14:paraId="718B9B07" w14:textId="77777777" w:rsidR="00505E54" w:rsidRPr="008E7FC0" w:rsidRDefault="00505E54" w:rsidP="00505E54">
      <w:pPr>
        <w:jc w:val="both"/>
      </w:pPr>
    </w:p>
    <w:p w14:paraId="13C74AF7" w14:textId="77777777" w:rsidR="00505E54" w:rsidRPr="008E7FC0" w:rsidRDefault="00505E54" w:rsidP="00505E54">
      <w:pPr>
        <w:ind w:firstLine="708"/>
        <w:jc w:val="both"/>
      </w:pPr>
      <w:r w:rsidRPr="008E7FC0">
        <w:t>4. in Bezug auf Ausgaben für eine Hin- und Rückreise der Adoptiveltern in das/aus dem Herkunftsland des Adoptivkindes und Kosten für die Beförderung des Adoptivkindes zum Wohnort der Adoptiveltern:</w:t>
      </w:r>
    </w:p>
    <w:p w14:paraId="5F939D1A" w14:textId="77777777" w:rsidR="00505E54" w:rsidRPr="008E7FC0" w:rsidRDefault="00505E54" w:rsidP="00505E54">
      <w:pPr>
        <w:jc w:val="both"/>
      </w:pPr>
    </w:p>
    <w:p w14:paraId="3CFED134" w14:textId="77777777" w:rsidR="00505E54" w:rsidRPr="008E7FC0" w:rsidRDefault="00505E54" w:rsidP="00505E54">
      <w:pPr>
        <w:ind w:firstLine="708"/>
        <w:jc w:val="both"/>
      </w:pPr>
      <w:r w:rsidRPr="008E7FC0">
        <w:rPr>
          <w:i/>
        </w:rPr>
        <w:t>a)</w:t>
      </w:r>
      <w:r w:rsidRPr="008E7FC0">
        <w:t> Kosten für Fahrkarten einschließlich der Kosten für die Beförderung des Gepäcks, sofern sie nicht unangemessen über die Bedürfnisse der Adoptiveltern oder des Kindes hinausgehen,</w:t>
      </w:r>
    </w:p>
    <w:p w14:paraId="16AC7ACE" w14:textId="77777777" w:rsidR="00505E54" w:rsidRPr="008E7FC0" w:rsidRDefault="00505E54" w:rsidP="00505E54">
      <w:pPr>
        <w:jc w:val="both"/>
      </w:pPr>
    </w:p>
    <w:p w14:paraId="71EFEC2D" w14:textId="77777777" w:rsidR="00505E54" w:rsidRPr="008E7FC0" w:rsidRDefault="00505E54" w:rsidP="00505E54">
      <w:pPr>
        <w:ind w:firstLine="708"/>
        <w:jc w:val="both"/>
      </w:pPr>
      <w:r w:rsidRPr="008E7FC0">
        <w:rPr>
          <w:i/>
        </w:rPr>
        <w:t>b)</w:t>
      </w:r>
      <w:r w:rsidRPr="008E7FC0">
        <w:t> Kosten für Fahrten mit dem Personenkraftwagen, die gemäß der Kilometerentschädigung festgelegt werden, wie sie in Anwendung von Artikel 13 des Königlichen Erlasses vom 18. Januar 1965 zur Einführung einer allgemeinen Regelung über Fahrtkosten am Datum der Fahrt gilt,</w:t>
      </w:r>
    </w:p>
    <w:p w14:paraId="1C447528" w14:textId="77777777" w:rsidR="00505E54" w:rsidRPr="008E7FC0" w:rsidRDefault="00505E54" w:rsidP="00505E54">
      <w:pPr>
        <w:jc w:val="both"/>
      </w:pPr>
    </w:p>
    <w:p w14:paraId="094F4E49" w14:textId="77777777" w:rsidR="00505E54" w:rsidRPr="008E7FC0" w:rsidRDefault="00505E54" w:rsidP="00505E54">
      <w:pPr>
        <w:ind w:firstLine="708"/>
        <w:jc w:val="both"/>
      </w:pPr>
      <w:r w:rsidRPr="008E7FC0">
        <w:rPr>
          <w:i/>
        </w:rPr>
        <w:t>c)</w:t>
      </w:r>
      <w:r w:rsidRPr="008E7FC0">
        <w:t> Visakosten</w:t>
      </w:r>
      <w:r w:rsidRPr="008E7FC0">
        <w:rPr>
          <w:i/>
        </w:rPr>
        <w:t>,</w:t>
      </w:r>
    </w:p>
    <w:p w14:paraId="427AF653" w14:textId="77777777" w:rsidR="00505E54" w:rsidRPr="008E7FC0" w:rsidRDefault="00505E54" w:rsidP="00505E54">
      <w:pPr>
        <w:jc w:val="both"/>
      </w:pPr>
    </w:p>
    <w:p w14:paraId="0248A3A6" w14:textId="77777777" w:rsidR="00505E54" w:rsidRPr="008E7FC0" w:rsidRDefault="00505E54" w:rsidP="00505E54">
      <w:pPr>
        <w:ind w:firstLine="708"/>
        <w:jc w:val="both"/>
      </w:pPr>
      <w:r w:rsidRPr="008E7FC0">
        <w:t>5. in Bezug auf Ausgaben für den Aufenthalt der Adoptiveltern im Herkunftsland des Adoptivkindes: ordnungsgemäß belegte Übernachtungskosten, die auf die Aufenthalts</w:t>
      </w:r>
      <w:r w:rsidRPr="008E7FC0">
        <w:softHyphen/>
        <w:t>entschädigung wie vom Minister der Auswärtigen Angelegenheiten festgelegt begrenzt sind, die den dem Föderalen Öffentlichen Dienst Auswärtige Angelegenheiten, Außenhandel und Entwicklungszusammenarbeit unterstehenden Vertretern und Beamten höchstens gewährt wird, die sich in offiziellem Auftrag ins Ausland begeben oder in internationalen Kommissionen sitzen.</w:t>
      </w:r>
    </w:p>
    <w:p w14:paraId="37BAD472" w14:textId="77777777" w:rsidR="00505E54" w:rsidRPr="008E7FC0" w:rsidRDefault="00505E54" w:rsidP="00505E54">
      <w:pPr>
        <w:jc w:val="both"/>
      </w:pPr>
    </w:p>
    <w:p w14:paraId="1574FBA6" w14:textId="77777777" w:rsidR="00505E54" w:rsidRPr="008E7FC0" w:rsidRDefault="00505E54" w:rsidP="00505E54">
      <w:pPr>
        <w:ind w:firstLine="708"/>
        <w:jc w:val="both"/>
      </w:pPr>
      <w:r w:rsidRPr="008E7FC0">
        <w:t>§ 2 - Wenn das Adoptionsverfahren tatsächlich zu einer Adoption führt, gilt das Verfahren als an dem Datum abgeschlossen, an dem die Adoption in die Personenstandsregister übertragen wird.</w:t>
      </w:r>
    </w:p>
    <w:p w14:paraId="43E6DECE" w14:textId="77777777" w:rsidR="00505E54" w:rsidRPr="008E7FC0" w:rsidRDefault="00505E54" w:rsidP="00505E54">
      <w:pPr>
        <w:jc w:val="both"/>
      </w:pPr>
    </w:p>
    <w:p w14:paraId="0AFE53F7" w14:textId="77777777" w:rsidR="00505E54" w:rsidRPr="008E7FC0" w:rsidRDefault="00505E54" w:rsidP="00505E54">
      <w:pPr>
        <w:ind w:firstLine="708"/>
        <w:jc w:val="both"/>
      </w:pPr>
      <w:r w:rsidRPr="008E7FC0">
        <w:t>Wenn das Adoptionsverfahren nicht zu einer Adoption führt, gilt das Verfahren als an dem Datum abgeschlossen, an dem die Vereinbarung mit dem zugelassenen Adoptionsdienst gebrochen wird.</w:t>
      </w:r>
    </w:p>
    <w:p w14:paraId="59E7D703" w14:textId="77777777" w:rsidR="00505E54" w:rsidRPr="008E7FC0" w:rsidRDefault="00505E54" w:rsidP="00505E54">
      <w:pPr>
        <w:jc w:val="both"/>
      </w:pPr>
    </w:p>
    <w:p w14:paraId="02F927B8" w14:textId="22C8061B" w:rsidR="00505E54" w:rsidRDefault="00505E54" w:rsidP="00505E54">
      <w:pPr>
        <w:ind w:firstLine="708"/>
        <w:jc w:val="both"/>
        <w:rPr>
          <w:rFonts w:eastAsia="Calibri"/>
          <w:szCs w:val="22"/>
          <w:lang w:eastAsia="de-DE" w:bidi="de-DE"/>
        </w:rPr>
      </w:pPr>
      <w:r w:rsidRPr="008E7FC0">
        <w:t>§ 3 - Ein Adoptionsdienst des Staates, in dem der Steuerpflichtige seinen gewöhnlichen Wohnort hat, gilt gemäß Artikel 243/1 Nr. 2</w:t>
      </w:r>
      <w:r w:rsidRPr="008E7FC0">
        <w:rPr>
          <w:i/>
        </w:rPr>
        <w:t>bis</w:t>
      </w:r>
      <w:r w:rsidRPr="008E7FC0">
        <w:t>/1 Buchstabe </w:t>
      </w:r>
      <w:r w:rsidRPr="008E7FC0">
        <w:rPr>
          <w:i/>
        </w:rPr>
        <w:t>b)</w:t>
      </w:r>
      <w:r w:rsidRPr="008E7FC0">
        <w:t xml:space="preserve"> des Einkommen</w:t>
      </w:r>
      <w:r w:rsidR="00AF559A">
        <w:softHyphen/>
      </w:r>
      <w:r w:rsidRPr="008E7FC0">
        <w:t>steuer</w:t>
      </w:r>
      <w:r w:rsidR="00AF559A">
        <w:softHyphen/>
      </w:r>
      <w:r w:rsidRPr="008E7FC0">
        <w:t>gesetzbuches 1992 als zugelassen, wenn dieser Dienst von der Zentralbehörde des Staates, dem er untersteht, zugelassen worden ist.</w:t>
      </w:r>
      <w:r>
        <w:rPr>
          <w:rFonts w:eastAsia="Calibri"/>
          <w:szCs w:val="22"/>
          <w:lang w:eastAsia="de-DE" w:bidi="de-DE"/>
        </w:rPr>
        <w:t>]</w:t>
      </w:r>
    </w:p>
    <w:p w14:paraId="14126FFD" w14:textId="77777777" w:rsidR="00505E54" w:rsidRDefault="00505E54" w:rsidP="00505E54">
      <w:pPr>
        <w:jc w:val="both"/>
        <w:rPr>
          <w:rFonts w:eastAsia="Calibri"/>
          <w:szCs w:val="22"/>
          <w:lang w:eastAsia="de-DE" w:bidi="de-DE"/>
        </w:rPr>
      </w:pPr>
    </w:p>
    <w:p w14:paraId="784F3BD8" w14:textId="77777777" w:rsidR="00AF559A" w:rsidRDefault="00AF559A" w:rsidP="00505E54">
      <w:pPr>
        <w:jc w:val="both"/>
        <w:rPr>
          <w:rFonts w:eastAsia="Calibri"/>
          <w:szCs w:val="22"/>
          <w:lang w:eastAsia="de-DE" w:bidi="de-DE"/>
        </w:rPr>
      </w:pPr>
    </w:p>
    <w:p w14:paraId="3ACA04C6" w14:textId="77777777" w:rsidR="00620FDA" w:rsidRDefault="00620FDA">
      <w:pPr>
        <w:rPr>
          <w:rFonts w:eastAsia="Calibri"/>
          <w:szCs w:val="22"/>
          <w:lang w:eastAsia="de-DE" w:bidi="de-DE"/>
        </w:rPr>
      </w:pPr>
      <w:r>
        <w:rPr>
          <w:rFonts w:eastAsia="Calibri"/>
          <w:szCs w:val="22"/>
          <w:lang w:eastAsia="de-DE" w:bidi="de-DE"/>
        </w:rPr>
        <w:br w:type="page"/>
      </w:r>
    </w:p>
    <w:p w14:paraId="3B35C51E" w14:textId="24FDE1BE" w:rsidR="001E05E7" w:rsidRDefault="001E05E7" w:rsidP="001E05E7">
      <w:pPr>
        <w:jc w:val="center"/>
      </w:pPr>
      <w:r>
        <w:rPr>
          <w:rFonts w:eastAsia="Calibri"/>
          <w:szCs w:val="22"/>
          <w:lang w:eastAsia="de-DE" w:bidi="de-DE"/>
        </w:rPr>
        <w:lastRenderedPageBreak/>
        <w:t>[</w:t>
      </w:r>
      <w:r w:rsidRPr="007E565E">
        <w:rPr>
          <w:i/>
        </w:rPr>
        <w:t>Abschnitt 25undecies</w:t>
      </w:r>
      <w:r w:rsidRPr="0009290A">
        <w:rPr>
          <w:i/>
        </w:rPr>
        <w:t>/7</w:t>
      </w:r>
      <w:r w:rsidRPr="0009290A">
        <w:t> - Steuerermäßigung für Rechtsschutzversicherungsprämien</w:t>
      </w:r>
    </w:p>
    <w:p w14:paraId="2F90596D" w14:textId="77777777" w:rsidR="001E05E7" w:rsidRDefault="001E05E7" w:rsidP="001E05E7">
      <w:pPr>
        <w:jc w:val="center"/>
      </w:pPr>
    </w:p>
    <w:p w14:paraId="7FC93E99" w14:textId="4FC37BD2" w:rsidR="001E05E7" w:rsidRPr="0009290A" w:rsidRDefault="001E05E7" w:rsidP="001E05E7">
      <w:pPr>
        <w:jc w:val="center"/>
      </w:pPr>
      <w:r w:rsidRPr="0009290A">
        <w:t>(Einkommensteuergesetzbuch 1992, Artikel 145</w:t>
      </w:r>
      <w:r w:rsidRPr="0009290A">
        <w:rPr>
          <w:vertAlign w:val="superscript"/>
        </w:rPr>
        <w:t>49</w:t>
      </w:r>
      <w:r w:rsidRPr="0009290A">
        <w:t xml:space="preserve"> § 2 Absatz 2)</w:t>
      </w:r>
    </w:p>
    <w:p w14:paraId="6673695E" w14:textId="77777777" w:rsidR="001E05E7" w:rsidRDefault="001E05E7" w:rsidP="001E05E7">
      <w:pPr>
        <w:jc w:val="both"/>
      </w:pPr>
    </w:p>
    <w:p w14:paraId="1971FD3C" w14:textId="737697DF" w:rsidR="001E05E7" w:rsidRDefault="001E05E7" w:rsidP="001E05E7">
      <w:pPr>
        <w:jc w:val="both"/>
        <w:rPr>
          <w:i/>
        </w:rPr>
      </w:pPr>
      <w:r>
        <w:rPr>
          <w:i/>
        </w:rPr>
        <w:t>[Abschnitt 25undecies/7 mit Art. 63</w:t>
      </w:r>
      <w:r w:rsidRPr="00C93ECE">
        <w:rPr>
          <w:i/>
          <w:vertAlign w:val="superscript"/>
        </w:rPr>
        <w:t>18/17</w:t>
      </w:r>
      <w:r>
        <w:rPr>
          <w:i/>
        </w:rPr>
        <w:t xml:space="preserve"> eingefügt durch Art. 1 des K.E. vom 16. Juli 2019 (B.S. vom 29. Juli 2019)]</w:t>
      </w:r>
    </w:p>
    <w:p w14:paraId="27AD2FE3" w14:textId="77777777" w:rsidR="001E05E7" w:rsidRDefault="001E05E7" w:rsidP="001E05E7">
      <w:pPr>
        <w:jc w:val="both"/>
        <w:rPr>
          <w:i/>
        </w:rPr>
      </w:pPr>
    </w:p>
    <w:p w14:paraId="3A12E444" w14:textId="77777777" w:rsidR="001E05E7" w:rsidRPr="001E05E7" w:rsidRDefault="001E05E7" w:rsidP="001E05E7">
      <w:pPr>
        <w:jc w:val="both"/>
        <w:rPr>
          <w:i/>
        </w:rPr>
      </w:pPr>
    </w:p>
    <w:p w14:paraId="749E29AA" w14:textId="77777777" w:rsidR="001E05E7" w:rsidRPr="0009290A" w:rsidRDefault="001E05E7" w:rsidP="001E05E7">
      <w:pPr>
        <w:jc w:val="both"/>
      </w:pPr>
      <w:r w:rsidRPr="0009290A">
        <w:tab/>
      </w:r>
      <w:r w:rsidRPr="001E05E7">
        <w:rPr>
          <w:b/>
        </w:rPr>
        <w:t>Art. 63</w:t>
      </w:r>
      <w:r w:rsidRPr="001E05E7">
        <w:rPr>
          <w:b/>
          <w:vertAlign w:val="superscript"/>
        </w:rPr>
        <w:t>18/17</w:t>
      </w:r>
      <w:r w:rsidRPr="0009290A">
        <w:t> - Versicherer, die eine Rechtsschutzversicherung im Sinne von Artikel 145</w:t>
      </w:r>
      <w:r w:rsidRPr="0009290A">
        <w:rPr>
          <w:vertAlign w:val="superscript"/>
        </w:rPr>
        <w:t>49</w:t>
      </w:r>
      <w:r w:rsidRPr="0009290A">
        <w:t xml:space="preserve"> § 1 des Einkommensteuergesetzbuches 1992 abschließen, müssen Versicherungs</w:t>
      </w:r>
      <w:r>
        <w:softHyphen/>
      </w:r>
      <w:r>
        <w:softHyphen/>
      </w:r>
      <w:r>
        <w:softHyphen/>
      </w:r>
      <w:r>
        <w:softHyphen/>
      </w:r>
      <w:r w:rsidRPr="0009290A">
        <w:t>nehmern jährlich vor dem 1. März des Jahres nach dem Jahr der Zahlung der Prämien eine Bescheinigung ausstellen, in der:</w:t>
      </w:r>
    </w:p>
    <w:p w14:paraId="72B15BE3" w14:textId="77777777" w:rsidR="001E05E7" w:rsidRPr="0009290A" w:rsidRDefault="001E05E7" w:rsidP="001E05E7">
      <w:pPr>
        <w:jc w:val="both"/>
      </w:pPr>
    </w:p>
    <w:p w14:paraId="191EFA7E" w14:textId="77777777" w:rsidR="001E05E7" w:rsidRPr="0009290A" w:rsidRDefault="001E05E7" w:rsidP="001E05E7">
      <w:pPr>
        <w:jc w:val="both"/>
      </w:pPr>
      <w:r w:rsidRPr="0009290A">
        <w:tab/>
        <w:t>- der Betrag der Prämien angegeben ist, die im Laufe des Jahres, für das die Bescheinigung ausgestellt wird, gezahlt worden sind und für die Steuerermäßigung in Betracht kommen,</w:t>
      </w:r>
    </w:p>
    <w:p w14:paraId="547C8452" w14:textId="77777777" w:rsidR="001E05E7" w:rsidRPr="0009290A" w:rsidRDefault="001E05E7" w:rsidP="001E05E7">
      <w:pPr>
        <w:jc w:val="both"/>
      </w:pPr>
    </w:p>
    <w:p w14:paraId="47ED21BE" w14:textId="77777777" w:rsidR="001E05E7" w:rsidRPr="0009290A" w:rsidRDefault="001E05E7" w:rsidP="001E05E7">
      <w:pPr>
        <w:jc w:val="both"/>
      </w:pPr>
      <w:r w:rsidRPr="0009290A">
        <w:tab/>
        <w:t>- gemäß Artikel 145</w:t>
      </w:r>
      <w:r w:rsidRPr="0009290A">
        <w:rPr>
          <w:vertAlign w:val="superscript"/>
        </w:rPr>
        <w:t>49</w:t>
      </w:r>
      <w:r w:rsidRPr="0009290A">
        <w:t xml:space="preserve"> § 2 Absatz 1 des Einkommensteuergesetzbuches 1992 bestätigt wird, dass der Vertrag alle Bedingungen von Kapitel 2 des Gesetzes vom 22. April 2019 zur Erleichterung des Zugangs zu einer Rechtsschutzversicherung erfüllt.</w:t>
      </w:r>
    </w:p>
    <w:p w14:paraId="6F345BB3" w14:textId="77777777" w:rsidR="001E05E7" w:rsidRPr="0009290A" w:rsidRDefault="001E05E7" w:rsidP="001E05E7">
      <w:pPr>
        <w:jc w:val="both"/>
      </w:pPr>
    </w:p>
    <w:p w14:paraId="12B7D731" w14:textId="46AECE86" w:rsidR="00AF559A" w:rsidRDefault="001E05E7" w:rsidP="001E05E7">
      <w:pPr>
        <w:jc w:val="both"/>
        <w:rPr>
          <w:rFonts w:eastAsia="Calibri"/>
          <w:szCs w:val="22"/>
          <w:lang w:eastAsia="de-DE" w:bidi="de-DE"/>
        </w:rPr>
      </w:pPr>
      <w:r w:rsidRPr="0009290A">
        <w:tab/>
        <w:t>Das Muster der in Absatz 1 erwähnten Bescheinigung wird vom Minister der Finanzen oder von seinem Beauftragten festgelegt.</w:t>
      </w:r>
      <w:r>
        <w:rPr>
          <w:rFonts w:eastAsia="Calibri"/>
          <w:szCs w:val="22"/>
          <w:lang w:eastAsia="de-DE" w:bidi="de-DE"/>
        </w:rPr>
        <w:t>]</w:t>
      </w:r>
    </w:p>
    <w:p w14:paraId="431D3FE0" w14:textId="7325F618" w:rsidR="005A2D5D" w:rsidRDefault="005A2D5D" w:rsidP="005A2D5D">
      <w:pPr>
        <w:rPr>
          <w:rFonts w:eastAsia="Calibri"/>
          <w:szCs w:val="22"/>
          <w:lang w:eastAsia="de-DE" w:bidi="de-DE"/>
        </w:rPr>
      </w:pPr>
    </w:p>
    <w:p w14:paraId="5F8CD4FB" w14:textId="77777777" w:rsidR="00620FDA" w:rsidRDefault="00620FDA" w:rsidP="005A2D5D">
      <w:pPr>
        <w:rPr>
          <w:rFonts w:eastAsia="Calibri"/>
          <w:szCs w:val="22"/>
          <w:lang w:eastAsia="de-DE" w:bidi="de-DE"/>
        </w:rPr>
      </w:pPr>
    </w:p>
    <w:p w14:paraId="4CFE43FC" w14:textId="6BB398BD" w:rsidR="00AF559A" w:rsidRPr="00720B43" w:rsidRDefault="00AF559A" w:rsidP="005A2D5D">
      <w:pPr>
        <w:jc w:val="center"/>
      </w:pPr>
      <w:r>
        <w:rPr>
          <w:rFonts w:eastAsia="Calibri"/>
          <w:szCs w:val="22"/>
          <w:lang w:eastAsia="de-DE" w:bidi="de-DE"/>
        </w:rPr>
        <w:t>[</w:t>
      </w:r>
      <w:r w:rsidRPr="00AF559A">
        <w:rPr>
          <w:i/>
        </w:rPr>
        <w:t>Abschnitt 25undecies/8</w:t>
      </w:r>
      <w:r w:rsidRPr="00720B43">
        <w:t xml:space="preserve"> - </w:t>
      </w:r>
      <w:r w:rsidR="005A2D5D">
        <w:t>[</w:t>
      </w:r>
      <w:r w:rsidR="005A2D5D" w:rsidRPr="007B4381">
        <w:t>Betrag der in Artikel 147 Absatz 1 Nr. 1 und 7 des Einkommensteuergesetzbuches 1992 erwähnten ergänzenden Ermäßigungen</w:t>
      </w:r>
      <w:r w:rsidR="005A2D5D">
        <w:t>]</w:t>
      </w:r>
    </w:p>
    <w:p w14:paraId="5182FC89" w14:textId="77777777" w:rsidR="00AF559A" w:rsidRDefault="00AF559A" w:rsidP="00AF559A">
      <w:pPr>
        <w:jc w:val="both"/>
      </w:pPr>
    </w:p>
    <w:p w14:paraId="215AB92F" w14:textId="347A37B3" w:rsidR="00AF559A" w:rsidRDefault="00AF559A" w:rsidP="00AF559A">
      <w:pPr>
        <w:jc w:val="both"/>
        <w:rPr>
          <w:i/>
        </w:rPr>
      </w:pPr>
      <w:r>
        <w:rPr>
          <w:i/>
        </w:rPr>
        <w:t>[Abschnitt 25undecies/8 mit Art. 63</w:t>
      </w:r>
      <w:r w:rsidRPr="00AF559A">
        <w:rPr>
          <w:i/>
          <w:vertAlign w:val="superscript"/>
        </w:rPr>
        <w:t>18/18</w:t>
      </w:r>
      <w:r>
        <w:rPr>
          <w:i/>
        </w:rPr>
        <w:t xml:space="preserve"> eingefügt durch Art. 1 des K.E. vom 28. Juni 2019 (I) (B.S. vom 12. Juli 2019</w:t>
      </w:r>
      <w:r w:rsidR="005A2D5D">
        <w:rPr>
          <w:i/>
        </w:rPr>
        <w:t>); Überschrift ersetzt durch Art. 1 des K.E. vom 6. Juni 2022 (B.S. vom 23. Juni 2022</w:t>
      </w:r>
      <w:r>
        <w:rPr>
          <w:i/>
        </w:rPr>
        <w:t>)]</w:t>
      </w:r>
    </w:p>
    <w:p w14:paraId="056BE508" w14:textId="77777777" w:rsidR="00AF559A" w:rsidRDefault="00AF559A" w:rsidP="00AF559A">
      <w:pPr>
        <w:jc w:val="both"/>
        <w:rPr>
          <w:i/>
        </w:rPr>
      </w:pPr>
    </w:p>
    <w:p w14:paraId="173E13F0" w14:textId="77777777" w:rsidR="00AF559A" w:rsidRPr="00AF559A" w:rsidRDefault="00AF559A" w:rsidP="00AF559A">
      <w:pPr>
        <w:jc w:val="both"/>
        <w:rPr>
          <w:i/>
        </w:rPr>
      </w:pPr>
    </w:p>
    <w:p w14:paraId="3C41BF21" w14:textId="77777777" w:rsidR="00133171" w:rsidRPr="00133171" w:rsidRDefault="00133171" w:rsidP="00133171">
      <w:pPr>
        <w:jc w:val="both"/>
      </w:pPr>
      <w:r w:rsidRPr="00133171">
        <w:tab/>
      </w:r>
      <w:r w:rsidRPr="00133171">
        <w:rPr>
          <w:b/>
        </w:rPr>
        <w:t>Art. 63</w:t>
      </w:r>
      <w:r w:rsidRPr="00133171">
        <w:rPr>
          <w:b/>
          <w:vertAlign w:val="superscript"/>
        </w:rPr>
        <w:t>18/18</w:t>
      </w:r>
      <w:r w:rsidRPr="00133171">
        <w:t> - [In Ausführung von Artikel 147 Absatz 4 des Einkommensteuergesetz</w:t>
      </w:r>
      <w:r w:rsidRPr="00133171">
        <w:softHyphen/>
        <w:t>buches 1992 [werden der in Artikel 147] Absatz 1 Nr. 1 dieses Gesetzbuches erwähnte Betrag der ergänzenden Ermäßigung für Pensionen und andere Ersatzeinkünfte [und ab dem Steuerjahr 2023 der in Artikel 147 Absatz 1 Nr. 7 desselben Gesetzbuches erwähnte Betrag der ergänzenden Ermäßigung für Arbeitslosengeld] gerundet auf:</w:t>
      </w:r>
    </w:p>
    <w:p w14:paraId="414E3532" w14:textId="77777777" w:rsidR="00133171" w:rsidRPr="00133171" w:rsidRDefault="00133171" w:rsidP="00133171">
      <w:pPr>
        <w:jc w:val="both"/>
      </w:pPr>
    </w:p>
    <w:p w14:paraId="705BA1B1" w14:textId="77777777" w:rsidR="00133171" w:rsidRPr="00133171" w:rsidRDefault="00133171" w:rsidP="00133171">
      <w:pPr>
        <w:jc w:val="both"/>
      </w:pPr>
      <w:r w:rsidRPr="00133171">
        <w:tab/>
        <w:t>- für das Steuerjahr 2020: 236,525 EUR,</w:t>
      </w:r>
    </w:p>
    <w:p w14:paraId="0656FE0A" w14:textId="77777777" w:rsidR="00133171" w:rsidRPr="00133171" w:rsidRDefault="00133171" w:rsidP="00133171">
      <w:pPr>
        <w:jc w:val="both"/>
      </w:pPr>
    </w:p>
    <w:p w14:paraId="525C6720" w14:textId="77777777" w:rsidR="00133171" w:rsidRPr="00133171" w:rsidRDefault="00133171" w:rsidP="00133171">
      <w:pPr>
        <w:jc w:val="both"/>
        <w:rPr>
          <w:lang w:bidi="de-DE"/>
        </w:rPr>
      </w:pPr>
      <w:r w:rsidRPr="00133171">
        <w:tab/>
        <w:t>- für das Steuerjahr 2022: 237,36 EUR,]</w:t>
      </w:r>
      <w:r w:rsidRPr="00133171">
        <w:rPr>
          <w:lang w:bidi="de-DE"/>
        </w:rPr>
        <w:t>]</w:t>
      </w:r>
    </w:p>
    <w:p w14:paraId="3DED17E2" w14:textId="77777777" w:rsidR="00133171" w:rsidRPr="00133171" w:rsidRDefault="00133171" w:rsidP="00133171">
      <w:pPr>
        <w:jc w:val="both"/>
        <w:rPr>
          <w:lang w:bidi="de-DE"/>
        </w:rPr>
      </w:pPr>
    </w:p>
    <w:p w14:paraId="4BBA0A19" w14:textId="77777777" w:rsidR="00133171" w:rsidRPr="00133171" w:rsidRDefault="00133171" w:rsidP="00133171">
      <w:pPr>
        <w:jc w:val="both"/>
        <w:rPr>
          <w:lang w:bidi="de-DE"/>
        </w:rPr>
      </w:pPr>
      <w:r w:rsidRPr="00133171">
        <w:rPr>
          <w:lang w:bidi="de-DE"/>
        </w:rPr>
        <w:tab/>
        <w:t>[</w:t>
      </w:r>
      <w:r w:rsidRPr="00133171">
        <w:t>- für das Steuerjahr 2023: 238,15 EUR,</w:t>
      </w:r>
      <w:r w:rsidRPr="00133171">
        <w:rPr>
          <w:lang w:bidi="de-DE"/>
        </w:rPr>
        <w:t>]</w:t>
      </w:r>
    </w:p>
    <w:p w14:paraId="3B22487C" w14:textId="77777777" w:rsidR="00133171" w:rsidRPr="00133171" w:rsidRDefault="00133171" w:rsidP="00133171">
      <w:pPr>
        <w:jc w:val="both"/>
        <w:rPr>
          <w:lang w:bidi="de-DE"/>
        </w:rPr>
      </w:pPr>
    </w:p>
    <w:p w14:paraId="2D438A00" w14:textId="4D1B6295" w:rsidR="00133171" w:rsidRDefault="00133171" w:rsidP="00EB6B8F">
      <w:pPr>
        <w:jc w:val="both"/>
      </w:pPr>
      <w:r w:rsidRPr="00133171">
        <w:rPr>
          <w:lang w:bidi="de-DE"/>
        </w:rPr>
        <w:tab/>
        <w:t>[</w:t>
      </w:r>
      <w:r w:rsidRPr="00133171">
        <w:t>- für das Steuerjahr 2024: 237,895 EUR</w:t>
      </w:r>
      <w:r w:rsidR="00EB6B8F">
        <w:t>,</w:t>
      </w:r>
      <w:r w:rsidRPr="00133171">
        <w:t>]</w:t>
      </w:r>
    </w:p>
    <w:p w14:paraId="0E001819" w14:textId="77777777" w:rsidR="00EB6B8F" w:rsidRDefault="00EB6B8F" w:rsidP="00EB6B8F">
      <w:pPr>
        <w:jc w:val="both"/>
      </w:pPr>
    </w:p>
    <w:p w14:paraId="2670AC57" w14:textId="77777777" w:rsidR="00620FDA" w:rsidRDefault="00620FDA">
      <w:r>
        <w:br w:type="page"/>
      </w:r>
    </w:p>
    <w:p w14:paraId="5B05E846" w14:textId="38D38A62" w:rsidR="00EB6B8F" w:rsidRPr="00133171" w:rsidRDefault="00EB6B8F" w:rsidP="00EB6B8F">
      <w:pPr>
        <w:jc w:val="both"/>
      </w:pPr>
      <w:r>
        <w:lastRenderedPageBreak/>
        <w:tab/>
        <w:t>[</w:t>
      </w:r>
      <w:r w:rsidRPr="00F56D4B">
        <w:t>- für das Steuerjahr 2025: 237,495 EUR.</w:t>
      </w:r>
      <w:r>
        <w:t>]</w:t>
      </w:r>
    </w:p>
    <w:p w14:paraId="1311EA62" w14:textId="77777777" w:rsidR="00133171" w:rsidRPr="00133171" w:rsidRDefault="00133171" w:rsidP="00133171">
      <w:pPr>
        <w:jc w:val="both"/>
        <w:rPr>
          <w:lang w:bidi="de-DE"/>
        </w:rPr>
      </w:pPr>
    </w:p>
    <w:p w14:paraId="315976E9" w14:textId="5902CD55" w:rsidR="00133171" w:rsidRPr="00133171" w:rsidRDefault="00133171" w:rsidP="00133171">
      <w:pPr>
        <w:jc w:val="both"/>
        <w:rPr>
          <w:i/>
          <w:spacing w:val="-2"/>
          <w:lang w:bidi="de-DE"/>
        </w:rPr>
      </w:pPr>
      <w:r w:rsidRPr="00133171">
        <w:rPr>
          <w:i/>
          <w:spacing w:val="-2"/>
          <w:lang w:bidi="de-DE"/>
        </w:rPr>
        <w:t>[Art. 63</w:t>
      </w:r>
      <w:r w:rsidRPr="00133171">
        <w:rPr>
          <w:i/>
          <w:spacing w:val="-2"/>
          <w:vertAlign w:val="superscript"/>
          <w:lang w:bidi="de-DE"/>
        </w:rPr>
        <w:t>18/18</w:t>
      </w:r>
      <w:r w:rsidRPr="00133171">
        <w:rPr>
          <w:i/>
          <w:spacing w:val="-2"/>
          <w:lang w:bidi="de-DE"/>
        </w:rPr>
        <w:t xml:space="preserve"> ersetzt durch Art. 1 des K.E. vom 2. Mai 2021 (B.S. vom 7. Mai 2021); einziger Absatz einleitende Bestimmung abgeändert durch Art. 2 Nr. 1</w:t>
      </w:r>
      <w:r w:rsidRPr="00133171">
        <w:rPr>
          <w:i/>
          <w:spacing w:val="-2"/>
        </w:rPr>
        <w:t xml:space="preserve"> des K.E. vom 6. Juni 2022 (B.S. vom 23. Juni 2022); einziger Absatz dritter Gedankenstrich eingefügt durch Art. 2 Nr. 2 des K.E. vom 6. Juni 2022 (B.S. vom 23. Juni 2022); einziger Absatz vierter Gedankenstrich eingefügt durch Art. 1 des K.E. vom 25. April 2023 (B.S. vom 11. Mai 2023, Err. vom 16. Mai 202</w:t>
      </w:r>
      <w:r w:rsidR="00302575">
        <w:rPr>
          <w:i/>
          <w:spacing w:val="-2"/>
        </w:rPr>
        <w:t>3</w:t>
      </w:r>
      <w:r w:rsidRPr="00133171">
        <w:rPr>
          <w:i/>
          <w:spacing w:val="-2"/>
        </w:rPr>
        <w:t>)</w:t>
      </w:r>
      <w:r w:rsidR="00EB6B8F">
        <w:rPr>
          <w:i/>
          <w:spacing w:val="-2"/>
        </w:rPr>
        <w:t>; einziger Absatz fünfter Gedankenstrich eingefügt durch Art. 1 des K.E. vom 25. Februar 2024 (I) (B.S. vom 1. März 2024)</w:t>
      </w:r>
      <w:r w:rsidRPr="00133171">
        <w:rPr>
          <w:i/>
          <w:spacing w:val="-2"/>
          <w:lang w:bidi="de-DE"/>
        </w:rPr>
        <w:t>]</w:t>
      </w:r>
    </w:p>
    <w:p w14:paraId="53A6C1E4" w14:textId="77777777" w:rsidR="007D116F" w:rsidRPr="007D116F" w:rsidRDefault="007D116F" w:rsidP="00FB3E9E">
      <w:pPr>
        <w:jc w:val="both"/>
        <w:rPr>
          <w:rFonts w:eastAsia="Calibri"/>
          <w:i/>
          <w:szCs w:val="22"/>
          <w:lang w:eastAsia="de-DE" w:bidi="de-DE"/>
        </w:rPr>
      </w:pPr>
    </w:p>
    <w:p w14:paraId="7933ED8E" w14:textId="127C5ED9" w:rsidR="00975265" w:rsidRDefault="00975265">
      <w:pPr>
        <w:rPr>
          <w:rFonts w:eastAsia="Calibri"/>
          <w:szCs w:val="22"/>
          <w:lang w:eastAsia="de-DE" w:bidi="de-DE"/>
        </w:rPr>
      </w:pPr>
    </w:p>
    <w:p w14:paraId="2E6AF96B" w14:textId="6BE988D9" w:rsidR="005A5BD5" w:rsidRPr="00334017" w:rsidRDefault="005A5BD5" w:rsidP="00FB3E9E">
      <w:pPr>
        <w:jc w:val="center"/>
        <w:rPr>
          <w:rFonts w:eastAsia="Calibri"/>
          <w:szCs w:val="22"/>
          <w:lang w:eastAsia="de-DE" w:bidi="de-DE"/>
        </w:rPr>
      </w:pPr>
      <w:r w:rsidRPr="00334017">
        <w:rPr>
          <w:rFonts w:eastAsia="Calibri"/>
          <w:szCs w:val="22"/>
          <w:lang w:eastAsia="de-DE" w:bidi="de-DE"/>
        </w:rPr>
        <w:t>[</w:t>
      </w:r>
      <w:r w:rsidRPr="00EF7C91">
        <w:rPr>
          <w:rFonts w:eastAsia="Calibri"/>
          <w:i/>
          <w:szCs w:val="22"/>
          <w:lang w:eastAsia="de-DE" w:bidi="de-DE"/>
        </w:rPr>
        <w:t>Abschnitt 25</w:t>
      </w:r>
      <w:r w:rsidRPr="00334017">
        <w:rPr>
          <w:rFonts w:eastAsia="Calibri"/>
          <w:i/>
          <w:szCs w:val="22"/>
          <w:lang w:eastAsia="de-DE" w:bidi="de-DE"/>
        </w:rPr>
        <w:t>duodecies</w:t>
      </w:r>
      <w:r w:rsidRPr="00334017">
        <w:rPr>
          <w:rFonts w:eastAsia="Calibri"/>
          <w:szCs w:val="22"/>
          <w:lang w:eastAsia="de-DE" w:bidi="de-DE"/>
        </w:rPr>
        <w:t> - Ermäßigung für Entlohnungen aufgrund geleisteter Überarbeit, die zu einer Lohnzulage berechtigt</w:t>
      </w:r>
    </w:p>
    <w:p w14:paraId="58EF49D9" w14:textId="77777777" w:rsidR="005A5BD5" w:rsidRPr="00334017" w:rsidRDefault="005A5BD5" w:rsidP="00FB3E9E">
      <w:pPr>
        <w:jc w:val="center"/>
        <w:rPr>
          <w:rFonts w:eastAsia="Calibri"/>
          <w:szCs w:val="22"/>
          <w:lang w:eastAsia="de-DE" w:bidi="de-DE"/>
        </w:rPr>
      </w:pPr>
    </w:p>
    <w:p w14:paraId="6EF0EAB6" w14:textId="77777777" w:rsidR="005A5BD5" w:rsidRPr="00334017" w:rsidRDefault="005A5BD5" w:rsidP="00FB3E9E">
      <w:pPr>
        <w:jc w:val="center"/>
        <w:rPr>
          <w:rFonts w:eastAsia="Calibri"/>
          <w:szCs w:val="22"/>
          <w:lang w:eastAsia="de-DE" w:bidi="de-DE"/>
        </w:rPr>
      </w:pPr>
      <w:r w:rsidRPr="00334017">
        <w:rPr>
          <w:rFonts w:eastAsia="Calibri"/>
          <w:szCs w:val="22"/>
          <w:lang w:eastAsia="de-DE" w:bidi="de-DE"/>
        </w:rPr>
        <w:t>(Einkommensteuergesetzbuch 1992, Artikel 154</w:t>
      </w:r>
      <w:r w:rsidRPr="00334017">
        <w:rPr>
          <w:rFonts w:eastAsia="Calibri"/>
          <w:i/>
          <w:szCs w:val="22"/>
          <w:lang w:eastAsia="de-DE" w:bidi="de-DE"/>
        </w:rPr>
        <w:t>bis</w:t>
      </w:r>
      <w:r w:rsidRPr="00334017">
        <w:rPr>
          <w:rFonts w:eastAsia="Calibri"/>
          <w:szCs w:val="22"/>
          <w:lang w:eastAsia="de-DE" w:bidi="de-DE"/>
        </w:rPr>
        <w:t>)</w:t>
      </w:r>
    </w:p>
    <w:p w14:paraId="2B694300" w14:textId="77777777" w:rsidR="005A5BD5" w:rsidRPr="00334017" w:rsidRDefault="005A5BD5" w:rsidP="00FB3E9E">
      <w:pPr>
        <w:jc w:val="both"/>
        <w:rPr>
          <w:rFonts w:eastAsia="Calibri"/>
          <w:szCs w:val="22"/>
          <w:lang w:eastAsia="de-DE" w:bidi="de-DE"/>
        </w:rPr>
      </w:pPr>
    </w:p>
    <w:p w14:paraId="003C2CA6" w14:textId="77777777" w:rsidR="005A5BD5" w:rsidRPr="00334017" w:rsidRDefault="005A5BD5" w:rsidP="00FB3E9E">
      <w:pPr>
        <w:jc w:val="both"/>
        <w:rPr>
          <w:rFonts w:eastAsia="Calibri"/>
          <w:i/>
          <w:szCs w:val="22"/>
          <w:lang w:eastAsia="de-DE" w:bidi="de-DE"/>
        </w:rPr>
      </w:pPr>
      <w:r w:rsidRPr="00334017">
        <w:rPr>
          <w:rFonts w:eastAsia="Calibri"/>
          <w:i/>
          <w:szCs w:val="22"/>
          <w:lang w:eastAsia="de-DE" w:bidi="de-DE"/>
        </w:rPr>
        <w:t>[Abschnitt 25duodecies mit Art. 63</w:t>
      </w:r>
      <w:r w:rsidRPr="00334017">
        <w:rPr>
          <w:rFonts w:eastAsia="Calibri"/>
          <w:i/>
          <w:szCs w:val="22"/>
          <w:vertAlign w:val="superscript"/>
          <w:lang w:eastAsia="de-DE" w:bidi="de-DE"/>
        </w:rPr>
        <w:t>19</w:t>
      </w:r>
      <w:r w:rsidRPr="00334017">
        <w:rPr>
          <w:rFonts w:eastAsia="Calibri"/>
          <w:i/>
          <w:szCs w:val="22"/>
          <w:lang w:eastAsia="de-DE" w:bidi="de-DE"/>
        </w:rPr>
        <w:t xml:space="preserve"> eingefügt durch Art. 1 des K.E. vom 3. Juni 2007 (II) (B.S. vom 19. Juni 2007)]</w:t>
      </w:r>
    </w:p>
    <w:p w14:paraId="1F898106" w14:textId="77777777" w:rsidR="005A5BD5" w:rsidRPr="00334017" w:rsidRDefault="005A5BD5" w:rsidP="00FB3E9E">
      <w:pPr>
        <w:jc w:val="both"/>
        <w:rPr>
          <w:rFonts w:eastAsia="Calibri"/>
          <w:szCs w:val="22"/>
          <w:lang w:eastAsia="de-DE" w:bidi="de-DE"/>
        </w:rPr>
      </w:pPr>
    </w:p>
    <w:p w14:paraId="792776CE" w14:textId="77777777" w:rsidR="005A5BD5" w:rsidRPr="00334017" w:rsidRDefault="005A5BD5" w:rsidP="00FB3E9E">
      <w:pPr>
        <w:jc w:val="both"/>
        <w:rPr>
          <w:rFonts w:eastAsia="Calibri"/>
          <w:szCs w:val="22"/>
          <w:lang w:eastAsia="de-DE" w:bidi="de-DE"/>
        </w:rPr>
      </w:pPr>
    </w:p>
    <w:p w14:paraId="7A05AAD4"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63</w:t>
      </w:r>
      <w:r w:rsidRPr="00334017">
        <w:rPr>
          <w:rFonts w:eastAsia="Calibri"/>
          <w:b/>
          <w:szCs w:val="22"/>
          <w:vertAlign w:val="superscript"/>
          <w:lang w:eastAsia="de-DE" w:bidi="de-DE"/>
        </w:rPr>
        <w:t>19</w:t>
      </w:r>
      <w:r w:rsidRPr="00334017">
        <w:rPr>
          <w:rFonts w:eastAsia="Calibri"/>
          <w:szCs w:val="22"/>
          <w:lang w:eastAsia="de-DE" w:bidi="de-DE"/>
        </w:rPr>
        <w:t xml:space="preserve"> - In Ausführung </w:t>
      </w:r>
      <w:r w:rsidR="00387A73">
        <w:rPr>
          <w:rFonts w:eastAsia="Calibri"/>
          <w:szCs w:val="22"/>
          <w:lang w:eastAsia="de-DE" w:bidi="de-DE"/>
        </w:rPr>
        <w:t>[</w:t>
      </w:r>
      <w:r w:rsidR="00387A73" w:rsidRPr="00B617CF">
        <w:t>von Artikel 154</w:t>
      </w:r>
      <w:r w:rsidR="00387A73" w:rsidRPr="00B617CF">
        <w:rPr>
          <w:i/>
        </w:rPr>
        <w:t>bis</w:t>
      </w:r>
      <w:r w:rsidR="00387A73" w:rsidRPr="00B617CF">
        <w:t xml:space="preserve"> Absatz 5</w:t>
      </w:r>
      <w:r w:rsidR="00387A73">
        <w:rPr>
          <w:rFonts w:eastAsia="Calibri"/>
          <w:szCs w:val="22"/>
          <w:lang w:eastAsia="de-DE" w:bidi="de-DE"/>
        </w:rPr>
        <w:t>]</w:t>
      </w:r>
      <w:r w:rsidRPr="00334017">
        <w:rPr>
          <w:rFonts w:eastAsia="Calibri"/>
          <w:szCs w:val="22"/>
          <w:lang w:eastAsia="de-DE" w:bidi="de-DE"/>
        </w:rPr>
        <w:t xml:space="preserve"> des Einkommensteuer</w:t>
      </w:r>
      <w:r w:rsidRPr="00334017">
        <w:rPr>
          <w:rFonts w:eastAsia="Calibri"/>
          <w:szCs w:val="22"/>
          <w:lang w:eastAsia="de-DE" w:bidi="de-DE"/>
        </w:rPr>
        <w:softHyphen/>
        <w:t>gesetzbuches 1992 wird der in Absatz 2 desselben Artikels erwähnte Prozentsatz von 24,75 Prozent erhöht auf:</w:t>
      </w:r>
    </w:p>
    <w:p w14:paraId="467779BB" w14:textId="77777777" w:rsidR="005A5BD5" w:rsidRPr="00334017" w:rsidRDefault="005A5BD5" w:rsidP="00FB3E9E">
      <w:pPr>
        <w:jc w:val="both"/>
        <w:rPr>
          <w:rFonts w:eastAsia="Calibri"/>
          <w:szCs w:val="22"/>
          <w:lang w:eastAsia="de-DE" w:bidi="de-DE"/>
        </w:rPr>
      </w:pPr>
    </w:p>
    <w:p w14:paraId="7085D85E"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- 66,81 Prozent für geleistete Stunden, auf die eine gesetzliche Lohnzulage von 20 Prozent anwendbar ist,</w:t>
      </w:r>
    </w:p>
    <w:p w14:paraId="59CA7B65" w14:textId="77777777" w:rsidR="005A5BD5" w:rsidRPr="00334017" w:rsidRDefault="005A5BD5" w:rsidP="00FB3E9E">
      <w:pPr>
        <w:jc w:val="both"/>
        <w:rPr>
          <w:rFonts w:eastAsia="Calibri"/>
          <w:szCs w:val="22"/>
          <w:lang w:eastAsia="de-DE" w:bidi="de-DE"/>
        </w:rPr>
      </w:pPr>
    </w:p>
    <w:p w14:paraId="47ECA53C" w14:textId="77777777" w:rsidR="005A5BD5" w:rsidRPr="00334017" w:rsidRDefault="005A5BD5" w:rsidP="00FB3E9E">
      <w:pPr>
        <w:jc w:val="both"/>
        <w:rPr>
          <w:rFonts w:eastAsia="Calibri"/>
          <w:szCs w:val="22"/>
          <w:lang w:eastAsia="de-DE" w:bidi="de-DE"/>
        </w:rPr>
      </w:pPr>
      <w:r w:rsidRPr="00334017">
        <w:rPr>
          <w:rFonts w:eastAsia="Calibri"/>
          <w:szCs w:val="22"/>
          <w:lang w:eastAsia="de-DE" w:bidi="de-DE"/>
        </w:rPr>
        <w:tab/>
        <w:t>- 57,75 Prozent für geleistete Stunden, auf die eine gesetzliche Lohnzulage von 50 oder 100 Prozent anwendbar ist.]</w:t>
      </w:r>
    </w:p>
    <w:p w14:paraId="5C8BDCF1" w14:textId="77777777" w:rsidR="005A5BD5" w:rsidRDefault="005A5BD5" w:rsidP="00FB3E9E">
      <w:pPr>
        <w:jc w:val="both"/>
        <w:rPr>
          <w:rFonts w:eastAsia="Calibri"/>
          <w:szCs w:val="22"/>
          <w:lang w:eastAsia="de-DE" w:bidi="de-DE"/>
        </w:rPr>
      </w:pPr>
    </w:p>
    <w:p w14:paraId="720EC974" w14:textId="77777777" w:rsidR="00EB6B8F" w:rsidRDefault="00387A73" w:rsidP="00641C4E">
      <w:pPr>
        <w:jc w:val="both"/>
        <w:rPr>
          <w:rFonts w:eastAsia="Calibri"/>
          <w:i/>
          <w:szCs w:val="22"/>
          <w:lang w:eastAsia="de-DE" w:bidi="de-DE"/>
        </w:rPr>
      </w:pPr>
      <w:r>
        <w:rPr>
          <w:rFonts w:eastAsia="Calibri"/>
          <w:i/>
          <w:szCs w:val="22"/>
          <w:lang w:eastAsia="de-DE" w:bidi="de-DE"/>
        </w:rPr>
        <w:t>[Art. 63</w:t>
      </w:r>
      <w:r w:rsidRPr="00387A73">
        <w:rPr>
          <w:rFonts w:eastAsia="Calibri"/>
          <w:i/>
          <w:szCs w:val="22"/>
          <w:vertAlign w:val="superscript"/>
          <w:lang w:eastAsia="de-DE" w:bidi="de-DE"/>
        </w:rPr>
        <w:t>19</w:t>
      </w:r>
      <w:r>
        <w:rPr>
          <w:rFonts w:eastAsia="Calibri"/>
          <w:i/>
          <w:szCs w:val="22"/>
          <w:lang w:eastAsia="de-DE" w:bidi="de-DE"/>
        </w:rPr>
        <w:t xml:space="preserve"> einziger Absatz einleitende Bestimmung abgeändert durch Art. 7 des K.E. vom </w:t>
      </w:r>
      <w:r w:rsidR="005024BD">
        <w:rPr>
          <w:rFonts w:eastAsia="Calibri"/>
          <w:i/>
          <w:szCs w:val="22"/>
          <w:lang w:eastAsia="de-DE" w:bidi="de-DE"/>
        </w:rPr>
        <w:t>22. Ma</w:t>
      </w:r>
      <w:r w:rsidR="00EB6B8F">
        <w:rPr>
          <w:rFonts w:eastAsia="Calibri"/>
          <w:i/>
          <w:szCs w:val="22"/>
          <w:lang w:eastAsia="de-DE" w:bidi="de-DE"/>
        </w:rPr>
        <w:t>i</w:t>
      </w:r>
      <w:r w:rsidR="005024BD">
        <w:rPr>
          <w:rFonts w:eastAsia="Calibri"/>
          <w:i/>
          <w:szCs w:val="22"/>
          <w:lang w:eastAsia="de-DE" w:bidi="de-DE"/>
        </w:rPr>
        <w:t> 2017 (II)</w:t>
      </w:r>
      <w:r>
        <w:rPr>
          <w:rFonts w:eastAsia="Calibri"/>
          <w:i/>
          <w:szCs w:val="22"/>
          <w:lang w:eastAsia="de-DE" w:bidi="de-DE"/>
        </w:rPr>
        <w:t xml:space="preserve"> (B.S. vom 6. Juni 2017)]</w:t>
      </w:r>
    </w:p>
    <w:p w14:paraId="64660719" w14:textId="77777777" w:rsidR="00EB6B8F" w:rsidRDefault="00EB6B8F" w:rsidP="00641C4E">
      <w:pPr>
        <w:jc w:val="both"/>
        <w:rPr>
          <w:rFonts w:eastAsia="Calibri"/>
          <w:i/>
          <w:szCs w:val="22"/>
          <w:lang w:eastAsia="de-DE" w:bidi="de-DE"/>
        </w:rPr>
      </w:pPr>
    </w:p>
    <w:p w14:paraId="290F44D2" w14:textId="392B2725" w:rsidR="001E05E7" w:rsidRDefault="001E05E7" w:rsidP="00641C4E">
      <w:pPr>
        <w:jc w:val="both"/>
        <w:rPr>
          <w:rFonts w:eastAsia="Calibri"/>
          <w:i/>
          <w:szCs w:val="22"/>
          <w:lang w:eastAsia="de-DE" w:bidi="de-DE"/>
        </w:rPr>
      </w:pPr>
    </w:p>
    <w:p w14:paraId="7C798C48" w14:textId="77777777" w:rsidR="00620FDA" w:rsidRDefault="00620FDA">
      <w:pPr>
        <w:rPr>
          <w:rFonts w:eastAsia="Calibri"/>
          <w:i/>
          <w:szCs w:val="22"/>
          <w:lang w:eastAsia="de-DE" w:bidi="de-DE"/>
        </w:rPr>
      </w:pPr>
      <w:r>
        <w:rPr>
          <w:rFonts w:eastAsia="Calibri"/>
          <w:i/>
          <w:szCs w:val="22"/>
          <w:lang w:eastAsia="de-DE" w:bidi="de-DE"/>
        </w:rPr>
        <w:br w:type="page"/>
      </w:r>
    </w:p>
    <w:p w14:paraId="1E50ADC6" w14:textId="4B905E2C" w:rsidR="005A5BD5" w:rsidRPr="00334017" w:rsidRDefault="005A5BD5" w:rsidP="004C2C7D">
      <w:pPr>
        <w:jc w:val="center"/>
        <w:rPr>
          <w:rFonts w:eastAsia="Calibri"/>
          <w:szCs w:val="22"/>
          <w:lang w:eastAsia="de-DE" w:bidi="de-DE"/>
        </w:rPr>
      </w:pPr>
      <w:r w:rsidRPr="00334017">
        <w:rPr>
          <w:rFonts w:eastAsia="Calibri"/>
          <w:i/>
          <w:szCs w:val="22"/>
          <w:lang w:eastAsia="de-DE" w:bidi="de-DE"/>
        </w:rPr>
        <w:lastRenderedPageBreak/>
        <w:t>Abschnitt 26</w:t>
      </w:r>
      <w:r w:rsidRPr="00334017">
        <w:rPr>
          <w:rFonts w:eastAsia="Calibri"/>
          <w:szCs w:val="22"/>
          <w:lang w:eastAsia="de-DE" w:bidi="de-DE"/>
        </w:rPr>
        <w:t> - Vorauszahlungen - Steuererhöhung - Vergütung</w:t>
      </w:r>
    </w:p>
    <w:p w14:paraId="18273B8E" w14:textId="77777777" w:rsidR="005A5BD5" w:rsidRPr="00334017" w:rsidRDefault="005A5BD5" w:rsidP="004C2C7D">
      <w:pPr>
        <w:jc w:val="center"/>
        <w:rPr>
          <w:rFonts w:eastAsia="Calibri"/>
          <w:szCs w:val="22"/>
          <w:lang w:eastAsia="de-DE" w:bidi="de-DE"/>
        </w:rPr>
      </w:pPr>
    </w:p>
    <w:p w14:paraId="34247A06" w14:textId="77777777" w:rsidR="005A5BD5" w:rsidRPr="00334017" w:rsidRDefault="005A5BD5" w:rsidP="004C2C7D">
      <w:pPr>
        <w:jc w:val="center"/>
        <w:rPr>
          <w:rFonts w:eastAsia="Calibri"/>
          <w:szCs w:val="22"/>
          <w:lang w:eastAsia="de-DE" w:bidi="de-DE"/>
        </w:rPr>
      </w:pPr>
      <w:r w:rsidRPr="00334017">
        <w:rPr>
          <w:rFonts w:eastAsia="Calibri"/>
          <w:szCs w:val="22"/>
          <w:lang w:eastAsia="de-DE" w:bidi="de-DE"/>
        </w:rPr>
        <w:t>(Einkommensteuergesetzbuch 1992, Artikel 162 Absatz 1, 167, 175 und 376 § 4)</w:t>
      </w:r>
    </w:p>
    <w:p w14:paraId="7669FDEF" w14:textId="77777777" w:rsidR="005A5BD5" w:rsidRPr="00334017" w:rsidRDefault="005A5BD5" w:rsidP="004C2C7D">
      <w:pPr>
        <w:rPr>
          <w:rFonts w:eastAsia="Calibri"/>
          <w:szCs w:val="22"/>
          <w:lang w:eastAsia="de-DE" w:bidi="de-DE"/>
        </w:rPr>
      </w:pPr>
    </w:p>
    <w:p w14:paraId="5B3FBE25" w14:textId="77777777" w:rsidR="005A5BD5" w:rsidRPr="00334017" w:rsidRDefault="005A5BD5" w:rsidP="004C2C7D">
      <w:pPr>
        <w:rPr>
          <w:rFonts w:eastAsia="Calibri"/>
          <w:szCs w:val="22"/>
          <w:lang w:eastAsia="de-DE" w:bidi="de-DE"/>
        </w:rPr>
      </w:pPr>
    </w:p>
    <w:p w14:paraId="376E8941"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64</w:t>
      </w:r>
      <w:r w:rsidRPr="00334017">
        <w:rPr>
          <w:rFonts w:eastAsia="Calibri"/>
          <w:szCs w:val="22"/>
          <w:lang w:eastAsia="de-DE" w:bidi="de-DE"/>
        </w:rPr>
        <w:t> - Gemäß Artikel 162 Absatz 1 des Einkommensteuergesetzbuches 1992 wird der Steuererhöhungsprozentsatz entsprechend dem in nachstehender Tabelle angegebenen Richtsatz festgelegt:</w:t>
      </w:r>
    </w:p>
    <w:p w14:paraId="2694471A" w14:textId="77777777" w:rsidR="005A5BD5" w:rsidRPr="00334017" w:rsidRDefault="005A5BD5" w:rsidP="004C2C7D">
      <w:pPr>
        <w:rPr>
          <w:rFonts w:eastAsia="Calibri"/>
          <w:szCs w:val="22"/>
          <w:lang w:eastAsia="de-DE" w:bidi="de-DE"/>
        </w:rPr>
      </w:pPr>
    </w:p>
    <w:tbl>
      <w:tblPr>
        <w:tblW w:w="9072" w:type="dxa"/>
        <w:tblInd w:w="120"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252"/>
        <w:gridCol w:w="4820"/>
      </w:tblGrid>
      <w:tr w:rsidR="005A5BD5" w:rsidRPr="00334017" w14:paraId="76F46013" w14:textId="77777777" w:rsidTr="001E05E7">
        <w:trPr>
          <w:tblHeader/>
        </w:trPr>
        <w:tc>
          <w:tcPr>
            <w:tcW w:w="4252" w:type="dxa"/>
          </w:tcPr>
          <w:p w14:paraId="217864AC" w14:textId="77777777" w:rsidR="005A5BD5" w:rsidRPr="00334017" w:rsidRDefault="005A5BD5" w:rsidP="004C2C7D">
            <w:pPr>
              <w:spacing w:before="120" w:after="120"/>
              <w:jc w:val="center"/>
              <w:rPr>
                <w:rFonts w:eastAsia="Calibri"/>
                <w:szCs w:val="22"/>
                <w:lang w:eastAsia="de-DE" w:bidi="de-DE"/>
              </w:rPr>
            </w:pPr>
            <w:r w:rsidRPr="00334017">
              <w:rPr>
                <w:rFonts w:eastAsia="Calibri"/>
                <w:szCs w:val="22"/>
                <w:lang w:eastAsia="de-DE" w:bidi="de-DE"/>
              </w:rPr>
              <w:t>Steuerjahr</w:t>
            </w:r>
          </w:p>
        </w:tc>
        <w:tc>
          <w:tcPr>
            <w:tcW w:w="4820" w:type="dxa"/>
          </w:tcPr>
          <w:p w14:paraId="22BAE51D" w14:textId="77777777" w:rsidR="005A5BD5" w:rsidRPr="00334017" w:rsidRDefault="005A5BD5" w:rsidP="004C2C7D">
            <w:pPr>
              <w:tabs>
                <w:tab w:val="left" w:pos="-720"/>
                <w:tab w:val="left" w:pos="567"/>
                <w:tab w:val="left" w:pos="1134"/>
                <w:tab w:val="left" w:pos="1701"/>
                <w:tab w:val="left" w:pos="2268"/>
                <w:tab w:val="left" w:pos="2835"/>
                <w:tab w:val="left" w:pos="3402"/>
                <w:tab w:val="left" w:pos="3969"/>
                <w:tab w:val="left" w:pos="4536"/>
              </w:tabs>
              <w:suppressAutoHyphens/>
              <w:spacing w:before="120" w:after="120" w:line="218" w:lineRule="auto"/>
              <w:jc w:val="center"/>
              <w:rPr>
                <w:spacing w:val="-2"/>
                <w:sz w:val="22"/>
                <w:szCs w:val="20"/>
                <w:lang w:eastAsia="de-DE" w:bidi="de-DE"/>
              </w:rPr>
            </w:pPr>
            <w:r w:rsidRPr="00334017">
              <w:rPr>
                <w:rFonts w:eastAsia="Calibri"/>
                <w:spacing w:val="-2"/>
                <w:sz w:val="22"/>
                <w:szCs w:val="20"/>
                <w:lang w:eastAsia="de-DE" w:bidi="de-DE"/>
              </w:rPr>
              <w:t>Richtsatz</w:t>
            </w:r>
          </w:p>
        </w:tc>
      </w:tr>
      <w:tr w:rsidR="005A5BD5" w:rsidRPr="00334017" w14:paraId="6D9E234B" w14:textId="77777777" w:rsidTr="001E05E7">
        <w:tc>
          <w:tcPr>
            <w:tcW w:w="4252" w:type="dxa"/>
          </w:tcPr>
          <w:p w14:paraId="1816B13D" w14:textId="77777777" w:rsidR="005A5BD5" w:rsidRPr="00334017" w:rsidRDefault="005A5BD5" w:rsidP="004C2C7D">
            <w:pPr>
              <w:spacing w:before="120" w:after="120"/>
              <w:jc w:val="center"/>
              <w:rPr>
                <w:rFonts w:eastAsia="Calibri"/>
                <w:szCs w:val="22"/>
                <w:lang w:eastAsia="de-DE" w:bidi="de-DE"/>
              </w:rPr>
            </w:pPr>
            <w:r w:rsidRPr="00334017">
              <w:rPr>
                <w:rFonts w:eastAsia="Calibri"/>
                <w:spacing w:val="-2"/>
                <w:szCs w:val="22"/>
                <w:lang w:eastAsia="de-DE" w:bidi="de-DE"/>
              </w:rPr>
              <w:t>1993</w:t>
            </w:r>
          </w:p>
        </w:tc>
        <w:tc>
          <w:tcPr>
            <w:tcW w:w="4820" w:type="dxa"/>
          </w:tcPr>
          <w:p w14:paraId="399A4036" w14:textId="77777777" w:rsidR="005A5BD5" w:rsidRPr="00334017" w:rsidRDefault="005A5BD5" w:rsidP="004C2C7D">
            <w:pPr>
              <w:tabs>
                <w:tab w:val="left" w:pos="-720"/>
                <w:tab w:val="left" w:pos="567"/>
                <w:tab w:val="left" w:pos="1134"/>
                <w:tab w:val="left" w:pos="1701"/>
                <w:tab w:val="left" w:pos="2268"/>
                <w:tab w:val="left" w:pos="2835"/>
                <w:tab w:val="left" w:pos="3402"/>
                <w:tab w:val="left" w:pos="3969"/>
                <w:tab w:val="left" w:pos="4536"/>
              </w:tabs>
              <w:suppressAutoHyphens/>
              <w:spacing w:before="120" w:after="120" w:line="218" w:lineRule="auto"/>
              <w:jc w:val="center"/>
              <w:rPr>
                <w:spacing w:val="-2"/>
                <w:sz w:val="22"/>
                <w:szCs w:val="20"/>
                <w:lang w:eastAsia="de-DE" w:bidi="de-DE"/>
              </w:rPr>
            </w:pPr>
            <w:r w:rsidRPr="00334017">
              <w:rPr>
                <w:rFonts w:eastAsia="Calibri"/>
                <w:spacing w:val="-2"/>
                <w:sz w:val="22"/>
                <w:szCs w:val="20"/>
                <w:lang w:eastAsia="de-DE" w:bidi="de-DE"/>
              </w:rPr>
              <w:t>9</w:t>
            </w:r>
          </w:p>
        </w:tc>
      </w:tr>
      <w:tr w:rsidR="005A5BD5" w:rsidRPr="00334017" w14:paraId="6102446E" w14:textId="77777777" w:rsidTr="001E05E7">
        <w:tc>
          <w:tcPr>
            <w:tcW w:w="4252" w:type="dxa"/>
          </w:tcPr>
          <w:p w14:paraId="66BCDF9E" w14:textId="77777777" w:rsidR="005A5BD5" w:rsidRPr="00334017" w:rsidRDefault="005A5BD5" w:rsidP="004C2C7D">
            <w:pPr>
              <w:spacing w:before="120" w:after="120"/>
              <w:jc w:val="center"/>
              <w:rPr>
                <w:rFonts w:eastAsia="Calibri"/>
                <w:szCs w:val="22"/>
                <w:lang w:eastAsia="de-DE" w:bidi="de-DE"/>
              </w:rPr>
            </w:pPr>
            <w:r w:rsidRPr="00334017">
              <w:rPr>
                <w:rFonts w:eastAsia="Calibri"/>
                <w:spacing w:val="-2"/>
                <w:szCs w:val="22"/>
                <w:lang w:eastAsia="de-DE" w:bidi="de-DE"/>
              </w:rPr>
              <w:t>[1996]</w:t>
            </w:r>
          </w:p>
        </w:tc>
        <w:tc>
          <w:tcPr>
            <w:tcW w:w="4820" w:type="dxa"/>
          </w:tcPr>
          <w:p w14:paraId="76DB9579" w14:textId="77777777" w:rsidR="005A5BD5" w:rsidRPr="00334017" w:rsidRDefault="005A5BD5" w:rsidP="004C2C7D">
            <w:pPr>
              <w:tabs>
                <w:tab w:val="left" w:pos="-720"/>
                <w:tab w:val="left" w:pos="567"/>
                <w:tab w:val="left" w:pos="1134"/>
                <w:tab w:val="left" w:pos="1701"/>
                <w:tab w:val="left" w:pos="2268"/>
                <w:tab w:val="left" w:pos="2835"/>
                <w:tab w:val="left" w:pos="3402"/>
                <w:tab w:val="left" w:pos="3969"/>
                <w:tab w:val="left" w:pos="4536"/>
              </w:tabs>
              <w:suppressAutoHyphens/>
              <w:spacing w:before="120" w:after="120" w:line="218" w:lineRule="auto"/>
              <w:jc w:val="center"/>
              <w:rPr>
                <w:spacing w:val="-2"/>
                <w:sz w:val="22"/>
                <w:szCs w:val="20"/>
                <w:lang w:eastAsia="de-DE" w:bidi="de-DE"/>
              </w:rPr>
            </w:pPr>
            <w:r w:rsidRPr="00334017">
              <w:rPr>
                <w:rFonts w:eastAsia="Calibri"/>
                <w:spacing w:val="-2"/>
                <w:sz w:val="22"/>
                <w:szCs w:val="20"/>
                <w:lang w:eastAsia="de-DE" w:bidi="de-DE"/>
              </w:rPr>
              <w:t>[7]</w:t>
            </w:r>
          </w:p>
        </w:tc>
      </w:tr>
      <w:tr w:rsidR="005A5BD5" w:rsidRPr="00334017" w14:paraId="7E8CE6D8" w14:textId="77777777" w:rsidTr="001E05E7">
        <w:tc>
          <w:tcPr>
            <w:tcW w:w="4252" w:type="dxa"/>
          </w:tcPr>
          <w:p w14:paraId="2F082B5F" w14:textId="77777777" w:rsidR="005A5BD5" w:rsidRPr="00334017" w:rsidRDefault="005A5BD5" w:rsidP="004C2C7D">
            <w:pPr>
              <w:spacing w:before="120" w:after="120"/>
              <w:jc w:val="center"/>
              <w:rPr>
                <w:rFonts w:eastAsia="Calibri"/>
                <w:spacing w:val="-2"/>
                <w:szCs w:val="22"/>
                <w:lang w:eastAsia="de-DE" w:bidi="de-DE"/>
              </w:rPr>
            </w:pPr>
            <w:r w:rsidRPr="00334017">
              <w:rPr>
                <w:rFonts w:eastAsia="Calibri"/>
                <w:spacing w:val="-2"/>
                <w:szCs w:val="22"/>
                <w:lang w:eastAsia="de-DE" w:bidi="de-DE"/>
              </w:rPr>
              <w:t>[2015]</w:t>
            </w:r>
          </w:p>
        </w:tc>
        <w:tc>
          <w:tcPr>
            <w:tcW w:w="4820" w:type="dxa"/>
          </w:tcPr>
          <w:p w14:paraId="67749534" w14:textId="77777777" w:rsidR="005A5BD5" w:rsidRPr="00334017" w:rsidRDefault="005A5BD5" w:rsidP="004C2C7D">
            <w:pPr>
              <w:tabs>
                <w:tab w:val="left" w:pos="-720"/>
                <w:tab w:val="left" w:pos="567"/>
                <w:tab w:val="left" w:pos="1134"/>
                <w:tab w:val="left" w:pos="1701"/>
                <w:tab w:val="left" w:pos="2268"/>
                <w:tab w:val="left" w:pos="2835"/>
                <w:tab w:val="left" w:pos="3402"/>
                <w:tab w:val="left" w:pos="3969"/>
                <w:tab w:val="left" w:pos="4536"/>
              </w:tabs>
              <w:suppressAutoHyphens/>
              <w:spacing w:before="120" w:after="120" w:line="218" w:lineRule="auto"/>
              <w:jc w:val="center"/>
              <w:rPr>
                <w:spacing w:val="-2"/>
                <w:sz w:val="22"/>
                <w:szCs w:val="22"/>
                <w:lang w:eastAsia="de-DE" w:bidi="de-DE"/>
              </w:rPr>
            </w:pPr>
            <w:r w:rsidRPr="00334017">
              <w:rPr>
                <w:rFonts w:eastAsia="Calibri"/>
                <w:spacing w:val="-3"/>
                <w:sz w:val="22"/>
                <w:szCs w:val="22"/>
                <w:lang w:eastAsia="de-DE" w:bidi="de-DE"/>
              </w:rPr>
              <w:t>[0,75]</w:t>
            </w:r>
          </w:p>
        </w:tc>
      </w:tr>
      <w:tr w:rsidR="009251F9" w:rsidRPr="00334017" w14:paraId="384AA9F3" w14:textId="77777777" w:rsidTr="001E05E7">
        <w:tc>
          <w:tcPr>
            <w:tcW w:w="4252" w:type="dxa"/>
          </w:tcPr>
          <w:p w14:paraId="7E80EF71" w14:textId="77777777" w:rsidR="009251F9" w:rsidRPr="00334017" w:rsidRDefault="009251F9" w:rsidP="004C2C7D">
            <w:pPr>
              <w:spacing w:before="120" w:after="120"/>
              <w:jc w:val="center"/>
              <w:rPr>
                <w:rFonts w:eastAsia="Calibri"/>
                <w:spacing w:val="-2"/>
                <w:szCs w:val="22"/>
                <w:lang w:eastAsia="de-DE" w:bidi="de-DE"/>
              </w:rPr>
            </w:pPr>
            <w:r>
              <w:rPr>
                <w:rFonts w:eastAsia="Calibri"/>
                <w:spacing w:val="-2"/>
                <w:szCs w:val="22"/>
                <w:lang w:eastAsia="de-DE" w:bidi="de-DE"/>
              </w:rPr>
              <w:t>[2016]</w:t>
            </w:r>
          </w:p>
        </w:tc>
        <w:tc>
          <w:tcPr>
            <w:tcW w:w="4820" w:type="dxa"/>
          </w:tcPr>
          <w:p w14:paraId="336EAF5F" w14:textId="77777777" w:rsidR="009251F9" w:rsidRPr="00334017" w:rsidRDefault="009251F9" w:rsidP="004C2C7D">
            <w:pPr>
              <w:tabs>
                <w:tab w:val="left" w:pos="-720"/>
                <w:tab w:val="left" w:pos="567"/>
                <w:tab w:val="left" w:pos="1134"/>
                <w:tab w:val="left" w:pos="1701"/>
                <w:tab w:val="left" w:pos="2268"/>
                <w:tab w:val="left" w:pos="2835"/>
                <w:tab w:val="left" w:pos="3402"/>
                <w:tab w:val="left" w:pos="3969"/>
                <w:tab w:val="left" w:pos="4536"/>
              </w:tabs>
              <w:suppressAutoHyphens/>
              <w:spacing w:before="120" w:after="120" w:line="218" w:lineRule="auto"/>
              <w:jc w:val="center"/>
              <w:rPr>
                <w:rFonts w:eastAsia="Calibri"/>
                <w:spacing w:val="-3"/>
                <w:sz w:val="22"/>
                <w:szCs w:val="22"/>
                <w:lang w:eastAsia="de-DE" w:bidi="de-DE"/>
              </w:rPr>
            </w:pPr>
            <w:r>
              <w:rPr>
                <w:rFonts w:eastAsia="Calibri"/>
                <w:spacing w:val="-3"/>
                <w:sz w:val="22"/>
                <w:szCs w:val="22"/>
                <w:lang w:eastAsia="de-DE" w:bidi="de-DE"/>
              </w:rPr>
              <w:t>[0,50]</w:t>
            </w:r>
          </w:p>
        </w:tc>
      </w:tr>
      <w:tr w:rsidR="006273A7" w:rsidRPr="00334017" w14:paraId="2B815BFB" w14:textId="77777777" w:rsidTr="001E05E7">
        <w:tc>
          <w:tcPr>
            <w:tcW w:w="4252" w:type="dxa"/>
          </w:tcPr>
          <w:p w14:paraId="2366B256" w14:textId="77777777" w:rsidR="006273A7" w:rsidRDefault="006273A7" w:rsidP="004C2C7D">
            <w:pPr>
              <w:spacing w:before="120" w:after="120"/>
              <w:jc w:val="center"/>
              <w:rPr>
                <w:rFonts w:eastAsia="Calibri"/>
                <w:spacing w:val="-2"/>
                <w:szCs w:val="22"/>
                <w:lang w:eastAsia="de-DE" w:bidi="de-DE"/>
              </w:rPr>
            </w:pPr>
            <w:r>
              <w:t>[2017]</w:t>
            </w:r>
          </w:p>
        </w:tc>
        <w:tc>
          <w:tcPr>
            <w:tcW w:w="4820" w:type="dxa"/>
          </w:tcPr>
          <w:p w14:paraId="35D445AA" w14:textId="77777777" w:rsidR="006273A7" w:rsidRDefault="006273A7" w:rsidP="004C2C7D">
            <w:pPr>
              <w:tabs>
                <w:tab w:val="left" w:pos="-720"/>
                <w:tab w:val="left" w:pos="567"/>
                <w:tab w:val="left" w:pos="1134"/>
                <w:tab w:val="left" w:pos="1701"/>
                <w:tab w:val="left" w:pos="2268"/>
                <w:tab w:val="left" w:pos="2835"/>
                <w:tab w:val="left" w:pos="3402"/>
                <w:tab w:val="left" w:pos="3969"/>
                <w:tab w:val="left" w:pos="4536"/>
              </w:tabs>
              <w:suppressAutoHyphens/>
              <w:spacing w:before="120" w:after="120" w:line="218" w:lineRule="auto"/>
              <w:jc w:val="center"/>
              <w:rPr>
                <w:rFonts w:eastAsia="Calibri"/>
                <w:spacing w:val="-3"/>
                <w:sz w:val="22"/>
                <w:szCs w:val="22"/>
                <w:lang w:eastAsia="de-DE" w:bidi="de-DE"/>
              </w:rPr>
            </w:pPr>
            <w:r>
              <w:t>[0,50]</w:t>
            </w:r>
          </w:p>
        </w:tc>
      </w:tr>
    </w:tbl>
    <w:p w14:paraId="1CB28221" w14:textId="77777777" w:rsidR="005A5BD5" w:rsidRPr="00334017" w:rsidRDefault="005A5BD5" w:rsidP="004C2C7D">
      <w:pPr>
        <w:rPr>
          <w:rFonts w:eastAsia="Calibri"/>
          <w:szCs w:val="22"/>
          <w:lang w:val="fr-BE" w:eastAsia="de-DE" w:bidi="de-DE"/>
        </w:rPr>
      </w:pPr>
    </w:p>
    <w:p w14:paraId="0736EC95"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[Art. 64 einziger Absatz Tabelle abgeändert durch Art. 1 des K.E. vom 13. März 1995 (B.S. vom 16. März 1995)</w:t>
      </w:r>
      <w:r w:rsidR="009251F9">
        <w:rPr>
          <w:rFonts w:eastAsia="Calibri"/>
          <w:i/>
          <w:szCs w:val="22"/>
          <w:lang w:eastAsia="de-DE" w:bidi="de-DE"/>
        </w:rPr>
        <w:t>,</w:t>
      </w:r>
      <w:r w:rsidRPr="00334017">
        <w:rPr>
          <w:rFonts w:eastAsia="Calibri"/>
          <w:i/>
          <w:szCs w:val="22"/>
          <w:lang w:eastAsia="de-DE" w:bidi="de-DE"/>
        </w:rPr>
        <w:t xml:space="preserve"> Art. 1 des K.E. vom 24. Februar 2014 (B.S. vom 27. Februar 2014)</w:t>
      </w:r>
      <w:r w:rsidR="006273A7">
        <w:rPr>
          <w:rFonts w:eastAsia="Calibri"/>
          <w:i/>
          <w:szCs w:val="22"/>
          <w:lang w:eastAsia="de-DE" w:bidi="de-DE"/>
        </w:rPr>
        <w:t xml:space="preserve">, </w:t>
      </w:r>
      <w:r w:rsidR="009251F9">
        <w:rPr>
          <w:rFonts w:eastAsia="Calibri"/>
          <w:i/>
          <w:szCs w:val="22"/>
          <w:lang w:eastAsia="de-DE" w:bidi="de-DE"/>
        </w:rPr>
        <w:t>Art. 1 des K.E. vom 2. März 2015 (B.S. vom 6. März 2015)</w:t>
      </w:r>
      <w:r w:rsidR="006273A7">
        <w:rPr>
          <w:rFonts w:eastAsia="Calibri"/>
          <w:i/>
          <w:szCs w:val="22"/>
          <w:lang w:eastAsia="de-DE" w:bidi="de-DE"/>
        </w:rPr>
        <w:t xml:space="preserve"> und Art. 1 des K.E. vom 7. März 2016 (B.S. vom 9. März 2016)</w:t>
      </w:r>
      <w:r w:rsidRPr="00334017">
        <w:rPr>
          <w:rFonts w:eastAsia="Calibri"/>
          <w:i/>
          <w:szCs w:val="22"/>
          <w:lang w:eastAsia="de-DE" w:bidi="de-DE"/>
        </w:rPr>
        <w:t>]</w:t>
      </w:r>
    </w:p>
    <w:p w14:paraId="611EB345" w14:textId="77777777" w:rsidR="005A5BD5" w:rsidRPr="00334017" w:rsidRDefault="005A5BD5" w:rsidP="004C2C7D">
      <w:pPr>
        <w:rPr>
          <w:rFonts w:eastAsia="Calibri"/>
          <w:szCs w:val="22"/>
          <w:lang w:eastAsia="de-DE" w:bidi="de-DE"/>
        </w:rPr>
      </w:pPr>
    </w:p>
    <w:p w14:paraId="71D03F2C" w14:textId="77777777" w:rsidR="005A5BD5" w:rsidRPr="00334017" w:rsidRDefault="005A5BD5" w:rsidP="004C2C7D">
      <w:pPr>
        <w:rPr>
          <w:rFonts w:eastAsia="Calibri"/>
          <w:szCs w:val="22"/>
          <w:lang w:eastAsia="de-DE" w:bidi="de-DE"/>
        </w:rPr>
      </w:pPr>
    </w:p>
    <w:p w14:paraId="5D146468"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65</w:t>
      </w:r>
      <w:r w:rsidRPr="00334017">
        <w:rPr>
          <w:rFonts w:eastAsia="Calibri"/>
          <w:szCs w:val="22"/>
          <w:lang w:eastAsia="de-DE" w:bidi="de-DE"/>
        </w:rPr>
        <w:t> - Für Steuerpflichtige, die der Steuer der natürlichen Personen oder gemäß Artikel 227 Nr. 1 des Einkommensteuergesetzbuches 1992 der Steuer der Gebietsfremden unterliegen und die Gewinne, Profite und Entlohnungen [</w:t>
      </w:r>
      <w:r>
        <w:rPr>
          <w:rFonts w:eastAsia="Calibri"/>
          <w:szCs w:val="22"/>
          <w:lang w:eastAsia="de-DE" w:bidi="de-DE"/>
        </w:rPr>
        <w:t>für</w:t>
      </w:r>
      <w:r w:rsidRPr="00334017">
        <w:rPr>
          <w:rFonts w:eastAsia="Calibri"/>
          <w:szCs w:val="22"/>
          <w:lang w:eastAsia="de-DE" w:bidi="de-DE"/>
        </w:rPr>
        <w:t xml:space="preserve"> Unternehmensleiter] </w:t>
      </w:r>
      <w:r w:rsidR="00387A73">
        <w:rPr>
          <w:rFonts w:eastAsia="Calibri"/>
          <w:szCs w:val="22"/>
          <w:lang w:eastAsia="de-DE" w:bidi="de-DE"/>
        </w:rPr>
        <w:t>[</w:t>
      </w:r>
      <w:r w:rsidR="00387A73" w:rsidRPr="00B617CF">
        <w:t>oder mithelfende Ehepartner</w:t>
      </w:r>
      <w:r w:rsidR="00387A73">
        <w:rPr>
          <w:rFonts w:eastAsia="Calibri"/>
          <w:szCs w:val="22"/>
          <w:lang w:eastAsia="de-DE" w:bidi="de-DE"/>
        </w:rPr>
        <w:t xml:space="preserve">] </w:t>
      </w:r>
      <w:r w:rsidRPr="00334017">
        <w:rPr>
          <w:rFonts w:eastAsia="Calibri"/>
          <w:szCs w:val="22"/>
          <w:lang w:eastAsia="de-DE" w:bidi="de-DE"/>
        </w:rPr>
        <w:t>erzielen und in den Artikeln 157 bis 166 und 175 bis 177 desselben Gesetzbuches erwähnte Vorauszahlungen tätigen, gelten die Vorauszahlungen bis zu dem Betrag, der notwendig ist, um die in vorerwähntem Artikel 157 vorgesehene Erhöhung zu vermeiden, vorrangig als Vorauszahlungen, die in den vorerwähnten Artikeln 157 bis 166 erwähnt sind.</w:t>
      </w:r>
    </w:p>
    <w:p w14:paraId="725CD97F" w14:textId="77777777" w:rsidR="005A5BD5" w:rsidRPr="00334017" w:rsidRDefault="005A5BD5" w:rsidP="004C2C7D">
      <w:pPr>
        <w:jc w:val="both"/>
        <w:rPr>
          <w:rFonts w:eastAsia="Calibri"/>
          <w:szCs w:val="22"/>
          <w:lang w:eastAsia="de-DE" w:bidi="de-DE"/>
        </w:rPr>
      </w:pPr>
    </w:p>
    <w:p w14:paraId="6F10D6AB" w14:textId="66B08543" w:rsidR="005A5BD5" w:rsidRPr="00334017" w:rsidRDefault="005A5BD5" w:rsidP="004C2C7D">
      <w:pPr>
        <w:jc w:val="both"/>
        <w:rPr>
          <w:rFonts w:eastAsia="Calibri"/>
          <w:szCs w:val="22"/>
          <w:lang w:eastAsia="de-DE" w:bidi="de-DE"/>
        </w:rPr>
      </w:pPr>
      <w:r w:rsidRPr="00334017">
        <w:rPr>
          <w:rFonts w:eastAsia="Calibri"/>
          <w:szCs w:val="22"/>
          <w:lang w:eastAsia="de-DE" w:bidi="de-DE"/>
        </w:rPr>
        <w:tab/>
        <w:t xml:space="preserve">Bei der Berechnung dieser Erhöhung gilt für die in vorhergehendem Absatz erwähnten Einkünfte, dass sie sich auf ein vollständiges Kalenderjahr beziehen, selbst wenn der Zeitraum der Ausübung der </w:t>
      </w:r>
      <w:r>
        <w:rPr>
          <w:rFonts w:eastAsia="Calibri"/>
          <w:szCs w:val="22"/>
          <w:lang w:eastAsia="de-DE" w:bidi="de-DE"/>
        </w:rPr>
        <w:t>beruflichen T</w:t>
      </w:r>
      <w:r w:rsidRPr="00334017">
        <w:rPr>
          <w:rFonts w:eastAsia="Calibri"/>
          <w:szCs w:val="22"/>
          <w:lang w:eastAsia="de-DE" w:bidi="de-DE"/>
        </w:rPr>
        <w:t>ätigkeit, aus der die Einkünfte stammen, nicht gänzlich mit diesem Kalenderjahr zusammenfällt.</w:t>
      </w:r>
    </w:p>
    <w:p w14:paraId="74084FEF" w14:textId="77777777" w:rsidR="005A5BD5" w:rsidRPr="00334017" w:rsidRDefault="005A5BD5" w:rsidP="004C2C7D">
      <w:pPr>
        <w:jc w:val="both"/>
        <w:rPr>
          <w:rFonts w:eastAsia="Calibri"/>
          <w:szCs w:val="22"/>
          <w:lang w:eastAsia="de-DE" w:bidi="de-DE"/>
        </w:rPr>
      </w:pPr>
    </w:p>
    <w:p w14:paraId="7DEF80BA"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[Art. 65 Abs. 1 abgeändert durch Art. 5 des K.E. vom 20. Mai 1997 (B.S. vom 10. Juni 1997)</w:t>
      </w:r>
      <w:r w:rsidR="00387A73">
        <w:rPr>
          <w:rFonts w:eastAsia="Calibri"/>
          <w:i/>
          <w:szCs w:val="22"/>
          <w:lang w:eastAsia="de-DE" w:bidi="de-DE"/>
        </w:rPr>
        <w:t xml:space="preserve"> und Art. 8 des K.E. vom </w:t>
      </w:r>
      <w:r w:rsidR="005024BD">
        <w:rPr>
          <w:rFonts w:eastAsia="Calibri"/>
          <w:i/>
          <w:szCs w:val="22"/>
          <w:lang w:eastAsia="de-DE" w:bidi="de-DE"/>
        </w:rPr>
        <w:t>22. Mai 2017 (II)</w:t>
      </w:r>
      <w:r w:rsidR="00387A73">
        <w:rPr>
          <w:rFonts w:eastAsia="Calibri"/>
          <w:i/>
          <w:szCs w:val="22"/>
          <w:lang w:eastAsia="de-DE" w:bidi="de-DE"/>
        </w:rPr>
        <w:t xml:space="preserve"> (B.S. vom 6. Juni 2017)</w:t>
      </w:r>
      <w:r w:rsidRPr="00334017">
        <w:rPr>
          <w:rFonts w:eastAsia="Calibri"/>
          <w:i/>
          <w:szCs w:val="22"/>
          <w:lang w:eastAsia="de-DE" w:bidi="de-DE"/>
        </w:rPr>
        <w:t>]</w:t>
      </w:r>
    </w:p>
    <w:p w14:paraId="682A57FA" w14:textId="77777777" w:rsidR="005A5BD5" w:rsidRPr="00334017" w:rsidRDefault="005A5BD5" w:rsidP="004C2C7D">
      <w:pPr>
        <w:jc w:val="both"/>
        <w:rPr>
          <w:rFonts w:eastAsia="Calibri"/>
          <w:szCs w:val="22"/>
          <w:lang w:eastAsia="de-DE" w:bidi="de-DE"/>
        </w:rPr>
      </w:pPr>
    </w:p>
    <w:p w14:paraId="3B7E0E20" w14:textId="77777777" w:rsidR="005A5BD5" w:rsidRPr="00334017" w:rsidRDefault="005A5BD5" w:rsidP="004C2C7D">
      <w:pPr>
        <w:jc w:val="both"/>
        <w:rPr>
          <w:rFonts w:eastAsia="Calibri"/>
          <w:szCs w:val="22"/>
          <w:lang w:eastAsia="de-DE" w:bidi="de-DE"/>
        </w:rPr>
      </w:pPr>
    </w:p>
    <w:p w14:paraId="6DF0C893"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66</w:t>
      </w:r>
      <w:r w:rsidRPr="00334017">
        <w:rPr>
          <w:rFonts w:eastAsia="Calibri"/>
          <w:szCs w:val="22"/>
          <w:lang w:eastAsia="de-DE" w:bidi="de-DE"/>
        </w:rPr>
        <w:t xml:space="preserve"> - § 1 - Für Steuerpflichtige, die der Gesellschaftssteuer oder gemäß Artikel 246 des Einkommensteuergesetzbuches 1992 der Steuer der Gebietsfremden unterliegen und deren Einkünfte, die die Grundlage für die in den Artikeln 157 bis 166 desselben Gesetzbuches erwähnte Erhöhung bilden, sich auf einen Zeitraum beziehen, der nicht gänzlich mit dem </w:t>
      </w:r>
      <w:r w:rsidRPr="00334017">
        <w:rPr>
          <w:rFonts w:eastAsia="Calibri"/>
          <w:szCs w:val="22"/>
          <w:lang w:eastAsia="de-DE" w:bidi="de-DE"/>
        </w:rPr>
        <w:lastRenderedPageBreak/>
        <w:t>Kalenderjahr zusammenfällt, gelten die besonderen Regeln der Paragraphen 2 bis 6 mit der Maßgabe, dass:</w:t>
      </w:r>
    </w:p>
    <w:p w14:paraId="494B9F45" w14:textId="77777777" w:rsidR="005A5BD5" w:rsidRPr="00334017" w:rsidRDefault="005A5BD5" w:rsidP="004C2C7D">
      <w:pPr>
        <w:jc w:val="both"/>
        <w:rPr>
          <w:rFonts w:eastAsia="Calibri"/>
          <w:szCs w:val="22"/>
          <w:lang w:eastAsia="de-DE" w:bidi="de-DE"/>
        </w:rPr>
      </w:pPr>
    </w:p>
    <w:p w14:paraId="7529FB3F"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wenn das Geschäftsjahr oder die Ausübung der Tätigkeit:</w:t>
      </w:r>
    </w:p>
    <w:p w14:paraId="66989047" w14:textId="77777777" w:rsidR="005A5BD5" w:rsidRPr="00334017" w:rsidRDefault="005A5BD5" w:rsidP="004C2C7D">
      <w:pPr>
        <w:jc w:val="both"/>
        <w:rPr>
          <w:rFonts w:eastAsia="Calibri"/>
          <w:szCs w:val="22"/>
          <w:lang w:eastAsia="de-DE" w:bidi="de-DE"/>
        </w:rPr>
      </w:pPr>
    </w:p>
    <w:p w14:paraId="05E3DF52"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nicht am ersten Tag eines Monats beginnt, dieser Monat nicht gezählt wird,</w:t>
      </w:r>
    </w:p>
    <w:p w14:paraId="11FAF301" w14:textId="77777777" w:rsidR="005A5BD5" w:rsidRPr="00334017" w:rsidRDefault="005A5BD5" w:rsidP="004C2C7D">
      <w:pPr>
        <w:jc w:val="both"/>
        <w:rPr>
          <w:rFonts w:eastAsia="Calibri"/>
          <w:szCs w:val="22"/>
          <w:lang w:eastAsia="de-DE" w:bidi="de-DE"/>
        </w:rPr>
      </w:pPr>
    </w:p>
    <w:p w14:paraId="63493944"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nicht am letzten Tag eines Monats endet, dieser Monat als vollständiger Monat gezählt wird,</w:t>
      </w:r>
    </w:p>
    <w:p w14:paraId="0B26BF9F" w14:textId="77777777" w:rsidR="005A5BD5" w:rsidRPr="00334017" w:rsidRDefault="005A5BD5" w:rsidP="004C2C7D">
      <w:pPr>
        <w:jc w:val="both"/>
        <w:rPr>
          <w:rFonts w:eastAsia="Calibri"/>
          <w:szCs w:val="22"/>
          <w:lang w:eastAsia="de-DE" w:bidi="de-DE"/>
        </w:rPr>
      </w:pPr>
    </w:p>
    <w:p w14:paraId="6891E909"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ein begonnenes Quartal als vollständiges Quartal gezählt wird.</w:t>
      </w:r>
    </w:p>
    <w:p w14:paraId="40A5F9E7" w14:textId="77777777" w:rsidR="005A5BD5" w:rsidRPr="00334017" w:rsidRDefault="005A5BD5" w:rsidP="004C2C7D">
      <w:pPr>
        <w:jc w:val="both"/>
        <w:rPr>
          <w:rFonts w:eastAsia="Calibri"/>
          <w:szCs w:val="22"/>
          <w:lang w:eastAsia="de-DE" w:bidi="de-DE"/>
        </w:rPr>
      </w:pPr>
    </w:p>
    <w:p w14:paraId="3A70E185" w14:textId="77777777" w:rsidR="005A5BD5" w:rsidRDefault="005A5BD5" w:rsidP="004C2C7D">
      <w:pPr>
        <w:jc w:val="both"/>
        <w:rPr>
          <w:rFonts w:eastAsia="Calibri"/>
          <w:szCs w:val="22"/>
          <w:lang w:eastAsia="de-DE" w:bidi="de-DE"/>
        </w:rPr>
      </w:pPr>
      <w:r w:rsidRPr="00334017">
        <w:rPr>
          <w:rFonts w:eastAsia="Calibri"/>
          <w:szCs w:val="22"/>
          <w:lang w:eastAsia="de-DE" w:bidi="de-DE"/>
        </w:rPr>
        <w:tab/>
        <w:t>§ 2 - Für Steuerpflichtige, die ihre Buchhaltung anders als pro Kalenderjahr führen und deren Geschäftsjahr zwölf Monate zählt, wird das Geschäftsjahr in Zeiträume von je drei Monaten aufgeteilt und wird keine Erhöhung auf die Steuer angewandt, die spätestens am zehnten Tag des vierten, des siebten und des zehnten Monats und am zwanzigsten Tag des letzten Monats des Geschäftsjahres jeweils per Vorauszahlung eines Viertels ihres Betrags entrichtet worden ist; für die Anwendung von Artikel 159 desselben Gesetzbuches gilt, dass diese Daten mit den in diesem Artikel genannten Daten übereinstimmen.</w:t>
      </w:r>
    </w:p>
    <w:p w14:paraId="1788738D" w14:textId="77777777" w:rsidR="009A607C" w:rsidRDefault="009A607C" w:rsidP="004C2C7D">
      <w:pPr>
        <w:jc w:val="both"/>
        <w:rPr>
          <w:rFonts w:eastAsia="Calibri"/>
          <w:szCs w:val="22"/>
          <w:lang w:eastAsia="de-DE" w:bidi="de-DE"/>
        </w:rPr>
      </w:pPr>
    </w:p>
    <w:p w14:paraId="68C59F98"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3 - In Bezug auf Geschäftsjahre von mehr als zwölf Monaten werden die in Artikel 159 desselben Gesetzbuches vorgesehenen oder in vorliegendem Artikel bestimmten Daten der Vorauszahlung und Erhöhungen festgelegt, als ob die Gewinne in den letzten zwölf Monaten des Geschäftsjahres erzielt worden wären, und gelten die Bestimmungen dieses Artikels 159 oder von § 2 je nachdem, ob die Buchhaltung pro Kalenderjahr geführt wird oder nicht.</w:t>
      </w:r>
    </w:p>
    <w:p w14:paraId="00886CFA" w14:textId="77777777" w:rsidR="005A5BD5" w:rsidRPr="00334017" w:rsidRDefault="005A5BD5" w:rsidP="004C2C7D">
      <w:pPr>
        <w:jc w:val="both"/>
        <w:rPr>
          <w:rFonts w:eastAsia="Calibri"/>
          <w:szCs w:val="22"/>
          <w:lang w:eastAsia="de-DE" w:bidi="de-DE"/>
        </w:rPr>
      </w:pPr>
    </w:p>
    <w:p w14:paraId="0CC975BC"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4 - Für Steuerpflichtige, die keine Buchhaltung oder eine Buchhaltung pro Kalenderjahr führen und die die Ausübung ihrer Tätigkeit vollständig und definitiv einstellen, wird davon ausgegangen, dass ihre Tätigkeit ausgeübt worden ist während:</w:t>
      </w:r>
    </w:p>
    <w:p w14:paraId="27B668A5" w14:textId="77777777" w:rsidR="005A5BD5" w:rsidRPr="00334017" w:rsidRDefault="005A5BD5" w:rsidP="004C2C7D">
      <w:pPr>
        <w:jc w:val="both"/>
        <w:rPr>
          <w:rFonts w:eastAsia="Calibri"/>
          <w:szCs w:val="22"/>
          <w:lang w:eastAsia="de-DE" w:bidi="de-DE"/>
        </w:rPr>
      </w:pPr>
    </w:p>
    <w:p w14:paraId="1BD93B87"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des vierten Quartals, wenn die Einstellung tatsächlich im Laufe des ersten Quartals erfolgt</w:t>
      </w:r>
      <w:r>
        <w:rPr>
          <w:rFonts w:eastAsia="Calibri"/>
          <w:szCs w:val="22"/>
          <w:lang w:eastAsia="de-DE" w:bidi="de-DE"/>
        </w:rPr>
        <w:t>;</w:t>
      </w:r>
      <w:r w:rsidRPr="00334017">
        <w:rPr>
          <w:rFonts w:eastAsia="Calibri"/>
          <w:szCs w:val="22"/>
          <w:lang w:eastAsia="de-DE" w:bidi="de-DE"/>
        </w:rPr>
        <w:t xml:space="preserve"> keine Erhöhung wird auf die Steuer angewandt, die spätestens am 10. April des Jahres der Einstellung per Vorauszahlung entrichtet worden ist,</w:t>
      </w:r>
    </w:p>
    <w:p w14:paraId="77CD6100" w14:textId="77777777" w:rsidR="005A5BD5" w:rsidRPr="00334017" w:rsidRDefault="005A5BD5" w:rsidP="004C2C7D">
      <w:pPr>
        <w:jc w:val="both"/>
        <w:rPr>
          <w:rFonts w:eastAsia="Calibri"/>
          <w:szCs w:val="22"/>
          <w:lang w:eastAsia="de-DE" w:bidi="de-DE"/>
        </w:rPr>
      </w:pPr>
    </w:p>
    <w:p w14:paraId="1D0F32FA"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des dritten und vierten Quartals, wenn die Einstellung tatsächlich im Laufe des zweiten Quartals erfolgt</w:t>
      </w:r>
      <w:r>
        <w:rPr>
          <w:rFonts w:eastAsia="Calibri"/>
          <w:szCs w:val="22"/>
          <w:lang w:eastAsia="de-DE" w:bidi="de-DE"/>
        </w:rPr>
        <w:t>;</w:t>
      </w:r>
      <w:r w:rsidRPr="00334017">
        <w:rPr>
          <w:rFonts w:eastAsia="Calibri"/>
          <w:szCs w:val="22"/>
          <w:lang w:eastAsia="de-DE" w:bidi="de-DE"/>
        </w:rPr>
        <w:t xml:space="preserve"> keine Erhöhung wird auf die Steuer angewandt, die spätestens am 10. April und 10. Juli des Jahres der Einstellung jeweils per Vorauszahlung der Hälfte ihres Betrags entrichtet worden ist,</w:t>
      </w:r>
    </w:p>
    <w:p w14:paraId="6B236753" w14:textId="77777777" w:rsidR="005A5BD5" w:rsidRPr="00334017" w:rsidRDefault="005A5BD5" w:rsidP="004C2C7D">
      <w:pPr>
        <w:jc w:val="both"/>
        <w:rPr>
          <w:rFonts w:eastAsia="Calibri"/>
          <w:szCs w:val="22"/>
          <w:lang w:eastAsia="de-DE" w:bidi="de-DE"/>
        </w:rPr>
      </w:pPr>
    </w:p>
    <w:p w14:paraId="483FD86F"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c)</w:t>
      </w:r>
      <w:r w:rsidRPr="00334017">
        <w:rPr>
          <w:rFonts w:eastAsia="Calibri"/>
          <w:szCs w:val="22"/>
          <w:lang w:eastAsia="de-DE" w:bidi="de-DE"/>
        </w:rPr>
        <w:t xml:space="preserve"> des zweiten, dritten und vierten Quartals, wenn die Einstellung tatsächlich im Laufe des dritten Quartals erfolgt</w:t>
      </w:r>
      <w:r>
        <w:rPr>
          <w:rFonts w:eastAsia="Calibri"/>
          <w:szCs w:val="22"/>
          <w:lang w:eastAsia="de-DE" w:bidi="de-DE"/>
        </w:rPr>
        <w:t>;</w:t>
      </w:r>
      <w:r w:rsidRPr="00334017">
        <w:rPr>
          <w:rFonts w:eastAsia="Calibri"/>
          <w:szCs w:val="22"/>
          <w:lang w:eastAsia="de-DE" w:bidi="de-DE"/>
        </w:rPr>
        <w:t xml:space="preserve"> keine Erhöhung wird auf die Steuer angewandt, die spätestens am 10. April, 10. Juli und 10. Oktober des Jahres der Einstellung jeweils per Vorauszahlung eines Drittels ihres Betrags entrichtet worden ist,</w:t>
      </w:r>
    </w:p>
    <w:p w14:paraId="545EE8C6" w14:textId="77777777" w:rsidR="005A5BD5" w:rsidRPr="00334017" w:rsidRDefault="005A5BD5" w:rsidP="004C2C7D">
      <w:pPr>
        <w:jc w:val="both"/>
        <w:rPr>
          <w:rFonts w:eastAsia="Calibri"/>
          <w:szCs w:val="22"/>
          <w:lang w:eastAsia="de-DE" w:bidi="de-DE"/>
        </w:rPr>
      </w:pPr>
    </w:p>
    <w:p w14:paraId="5814D496"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d)</w:t>
      </w:r>
      <w:r w:rsidRPr="00334017">
        <w:rPr>
          <w:rFonts w:eastAsia="Calibri"/>
          <w:szCs w:val="22"/>
          <w:lang w:eastAsia="de-DE" w:bidi="de-DE"/>
        </w:rPr>
        <w:t xml:space="preserve"> des vollständigen Kalenderjahres, wenn die Einstellung tatsächlich im Laufe des vierten Quartals erfolgt</w:t>
      </w:r>
      <w:r>
        <w:rPr>
          <w:rFonts w:eastAsia="Calibri"/>
          <w:szCs w:val="22"/>
          <w:lang w:eastAsia="de-DE" w:bidi="de-DE"/>
        </w:rPr>
        <w:t>;</w:t>
      </w:r>
      <w:r w:rsidRPr="00334017">
        <w:rPr>
          <w:rFonts w:eastAsia="Calibri"/>
          <w:szCs w:val="22"/>
          <w:lang w:eastAsia="de-DE" w:bidi="de-DE"/>
        </w:rPr>
        <w:t xml:space="preserve"> die Bestimmungen von Artikel 159 desselben Gesetzbuches </w:t>
      </w:r>
      <w:r>
        <w:rPr>
          <w:rFonts w:eastAsia="Calibri"/>
          <w:szCs w:val="22"/>
          <w:lang w:eastAsia="de-DE" w:bidi="de-DE"/>
        </w:rPr>
        <w:t xml:space="preserve">sind </w:t>
      </w:r>
      <w:r w:rsidRPr="00334017">
        <w:rPr>
          <w:rFonts w:eastAsia="Calibri"/>
          <w:szCs w:val="22"/>
          <w:lang w:eastAsia="de-DE" w:bidi="de-DE"/>
        </w:rPr>
        <w:t>anwendbar</w:t>
      </w:r>
      <w:r>
        <w:rPr>
          <w:rFonts w:eastAsia="Calibri"/>
          <w:szCs w:val="22"/>
          <w:lang w:eastAsia="de-DE" w:bidi="de-DE"/>
        </w:rPr>
        <w:t>.</w:t>
      </w:r>
    </w:p>
    <w:p w14:paraId="322C6479" w14:textId="77777777" w:rsidR="005A5BD5" w:rsidRPr="00334017" w:rsidRDefault="005A5BD5" w:rsidP="004C2C7D">
      <w:pPr>
        <w:jc w:val="both"/>
        <w:rPr>
          <w:rFonts w:eastAsia="Calibri"/>
          <w:szCs w:val="22"/>
          <w:lang w:eastAsia="de-DE" w:bidi="de-DE"/>
        </w:rPr>
      </w:pPr>
    </w:p>
    <w:p w14:paraId="6C173199"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lastRenderedPageBreak/>
        <w:tab/>
        <w:t>Dieselben Regeln gelten, wenn das Geschäftsjahr aufgrund einer Änderung des Datums des Geschäftsjahresabschlusses weniger als zwölf Monate zählt.</w:t>
      </w:r>
    </w:p>
    <w:p w14:paraId="50D6AAE6" w14:textId="77777777" w:rsidR="005A5BD5" w:rsidRPr="00334017" w:rsidRDefault="005A5BD5" w:rsidP="004C2C7D">
      <w:pPr>
        <w:jc w:val="both"/>
        <w:rPr>
          <w:rFonts w:eastAsia="Calibri"/>
          <w:szCs w:val="22"/>
          <w:lang w:eastAsia="de-DE" w:bidi="de-DE"/>
        </w:rPr>
      </w:pPr>
    </w:p>
    <w:p w14:paraId="56671E2F"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5 - Für Steuerpflichtige, die keine Buchhaltung oder eine Buchhaltung pro Kalenderjahr führen und die die Ausübung ihrer Tätigkeit beginnen während:</w:t>
      </w:r>
    </w:p>
    <w:p w14:paraId="4CFDC8BD" w14:textId="77777777" w:rsidR="005A5BD5" w:rsidRPr="00334017" w:rsidRDefault="005A5BD5" w:rsidP="004C2C7D">
      <w:pPr>
        <w:jc w:val="both"/>
        <w:rPr>
          <w:rFonts w:eastAsia="Calibri"/>
          <w:szCs w:val="22"/>
          <w:lang w:eastAsia="de-DE" w:bidi="de-DE"/>
        </w:rPr>
      </w:pPr>
    </w:p>
    <w:p w14:paraId="3F0AE86E"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des ersten Quartals, gelten die Bestimmungen von Artikel 159 desselben Gesetzbuches,</w:t>
      </w:r>
    </w:p>
    <w:p w14:paraId="2083A1C6" w14:textId="77777777" w:rsidR="00EC7991" w:rsidRDefault="00EC7991" w:rsidP="004C2C7D">
      <w:pPr>
        <w:jc w:val="both"/>
        <w:rPr>
          <w:rFonts w:eastAsia="Calibri"/>
          <w:szCs w:val="22"/>
          <w:lang w:eastAsia="de-DE" w:bidi="de-DE"/>
        </w:rPr>
      </w:pPr>
    </w:p>
    <w:p w14:paraId="74E1EC4A"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des zweiten Quartals, wird keine Erhöhung auf die Steuer angewandt, die spätestens am 10. Juli, 10. Oktober und 20. Dezember des Jahres des Beginns der Tätigkeit jeweils per Vorauszahlung eines Drittels ihres Betrags entrichtet worden ist,</w:t>
      </w:r>
    </w:p>
    <w:p w14:paraId="1A32B80A" w14:textId="77777777" w:rsidR="005A5BD5" w:rsidRPr="00334017" w:rsidRDefault="005A5BD5" w:rsidP="004C2C7D">
      <w:pPr>
        <w:jc w:val="both"/>
        <w:rPr>
          <w:rFonts w:eastAsia="Calibri"/>
          <w:szCs w:val="22"/>
          <w:lang w:eastAsia="de-DE" w:bidi="de-DE"/>
        </w:rPr>
      </w:pPr>
    </w:p>
    <w:p w14:paraId="26CB1381"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c)</w:t>
      </w:r>
      <w:r w:rsidRPr="00334017">
        <w:rPr>
          <w:rFonts w:eastAsia="Calibri"/>
          <w:szCs w:val="22"/>
          <w:lang w:eastAsia="de-DE" w:bidi="de-DE"/>
        </w:rPr>
        <w:t xml:space="preserve"> des dritten Quartals, wird keine Erhöhung auf die Steuer angewandt, die spätestens am 10. Oktober und 20. Dezember des Jahres des Beginns der Tätigkeit jeweils per Vorauszahlung der Hälfte ihres Betrags entrichtet worden ist,</w:t>
      </w:r>
    </w:p>
    <w:p w14:paraId="57B7F45C" w14:textId="77777777" w:rsidR="005A5BD5" w:rsidRPr="00334017" w:rsidRDefault="005A5BD5" w:rsidP="004C2C7D">
      <w:pPr>
        <w:jc w:val="both"/>
        <w:rPr>
          <w:rFonts w:eastAsia="Calibri"/>
          <w:szCs w:val="22"/>
          <w:lang w:eastAsia="de-DE" w:bidi="de-DE"/>
        </w:rPr>
      </w:pPr>
    </w:p>
    <w:p w14:paraId="4726459D" w14:textId="77777777" w:rsidR="005A5BD5" w:rsidRPr="0071555C" w:rsidRDefault="005A5BD5" w:rsidP="004C2C7D">
      <w:pPr>
        <w:jc w:val="both"/>
        <w:rPr>
          <w:rFonts w:eastAsia="Calibri"/>
          <w:spacing w:val="-2"/>
          <w:szCs w:val="22"/>
          <w:lang w:eastAsia="de-DE" w:bidi="de-DE"/>
        </w:rPr>
      </w:pPr>
      <w:r w:rsidRPr="0071555C">
        <w:rPr>
          <w:rFonts w:eastAsia="Calibri"/>
          <w:spacing w:val="-2"/>
          <w:szCs w:val="22"/>
          <w:lang w:eastAsia="de-DE" w:bidi="de-DE"/>
        </w:rPr>
        <w:tab/>
      </w:r>
      <w:r w:rsidRPr="0071555C">
        <w:rPr>
          <w:rFonts w:eastAsia="Calibri"/>
          <w:i/>
          <w:spacing w:val="-2"/>
          <w:szCs w:val="22"/>
          <w:lang w:eastAsia="de-DE" w:bidi="de-DE"/>
        </w:rPr>
        <w:t>d)</w:t>
      </w:r>
      <w:r w:rsidRPr="0071555C">
        <w:rPr>
          <w:rFonts w:eastAsia="Calibri"/>
          <w:spacing w:val="-2"/>
          <w:szCs w:val="22"/>
          <w:lang w:eastAsia="de-DE" w:bidi="de-DE"/>
        </w:rPr>
        <w:t xml:space="preserve"> des vierten Quartals, wird keine Erhöhung auf die Steuer angewandt, die spätestens am 20. Dezember des Jahres des Beginns der Tätigkeit per Vorauszahlung entrichtet worden ist.</w:t>
      </w:r>
    </w:p>
    <w:p w14:paraId="224969DC" w14:textId="77777777" w:rsidR="009A607C" w:rsidRDefault="009A607C" w:rsidP="004C2C7D">
      <w:pPr>
        <w:jc w:val="both"/>
        <w:rPr>
          <w:rFonts w:eastAsia="Calibri"/>
          <w:szCs w:val="22"/>
          <w:lang w:eastAsia="de-DE" w:bidi="de-DE"/>
        </w:rPr>
      </w:pPr>
    </w:p>
    <w:p w14:paraId="756EDDE2"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6 - Wenn Steuerpflichtige, die sich in einem der in den Paragraphen 4 oder 5 beschriebenen Fälle befinden, ihre Buchhaltung anders als pro Kalenderjahr führen, werden die in diesen Paragraphen 4 oder 5 genannten Daten durch die in § 2 bestimmten Daten ersetzt.</w:t>
      </w:r>
    </w:p>
    <w:p w14:paraId="39431373" w14:textId="77777777" w:rsidR="005A5BD5" w:rsidRPr="00334017" w:rsidRDefault="005A5BD5" w:rsidP="004C2C7D">
      <w:pPr>
        <w:jc w:val="both"/>
        <w:rPr>
          <w:rFonts w:eastAsia="Calibri"/>
          <w:szCs w:val="22"/>
          <w:lang w:eastAsia="de-DE" w:bidi="de-DE"/>
        </w:rPr>
      </w:pPr>
    </w:p>
    <w:p w14:paraId="5D4DEF6D" w14:textId="77777777" w:rsidR="005A5BD5" w:rsidRPr="00334017" w:rsidRDefault="005A5BD5" w:rsidP="004C2C7D">
      <w:pPr>
        <w:jc w:val="both"/>
        <w:rPr>
          <w:rFonts w:eastAsia="Calibri"/>
          <w:szCs w:val="22"/>
          <w:lang w:eastAsia="de-DE" w:bidi="de-DE"/>
        </w:rPr>
      </w:pPr>
    </w:p>
    <w:p w14:paraId="02CA2FCC" w14:textId="6862F2ED" w:rsidR="005A5BD5" w:rsidRPr="00334017" w:rsidRDefault="005A5BD5" w:rsidP="00E902B4">
      <w:pPr>
        <w:jc w:val="both"/>
        <w:rPr>
          <w:rFonts w:eastAsia="Calibri"/>
          <w:szCs w:val="22"/>
          <w:lang w:eastAsia="de-DE" w:bidi="de-DE"/>
        </w:rPr>
      </w:pPr>
      <w:r w:rsidRPr="0071555C">
        <w:rPr>
          <w:rFonts w:eastAsia="Calibri"/>
          <w:spacing w:val="-2"/>
          <w:szCs w:val="22"/>
          <w:lang w:eastAsia="de-DE" w:bidi="de-DE"/>
        </w:rPr>
        <w:tab/>
      </w:r>
      <w:r w:rsidRPr="0071555C">
        <w:rPr>
          <w:rFonts w:eastAsia="Calibri"/>
          <w:b/>
          <w:spacing w:val="-2"/>
          <w:szCs w:val="22"/>
          <w:lang w:eastAsia="de-DE" w:bidi="de-DE"/>
        </w:rPr>
        <w:t>Art. 67</w:t>
      </w:r>
      <w:r w:rsidRPr="0071555C">
        <w:rPr>
          <w:rFonts w:eastAsia="Calibri"/>
          <w:spacing w:val="-2"/>
          <w:szCs w:val="22"/>
          <w:lang w:eastAsia="de-DE" w:bidi="de-DE"/>
        </w:rPr>
        <w:t xml:space="preserve"> - </w:t>
      </w:r>
      <w:r w:rsidR="00354F5B">
        <w:rPr>
          <w:rFonts w:eastAsia="Calibri"/>
          <w:spacing w:val="-2"/>
          <w:szCs w:val="22"/>
          <w:lang w:eastAsia="de-DE" w:bidi="de-DE"/>
        </w:rPr>
        <w:t>[</w:t>
      </w:r>
      <w:r w:rsidR="00E902B4">
        <w:t>..</w:t>
      </w:r>
      <w:r w:rsidR="00354F5B" w:rsidRPr="005667FD">
        <w:t>.</w:t>
      </w:r>
      <w:r w:rsidRPr="00334017">
        <w:rPr>
          <w:rFonts w:eastAsia="Calibri"/>
          <w:szCs w:val="22"/>
          <w:lang w:eastAsia="de-DE" w:bidi="de-DE"/>
        </w:rPr>
        <w:t>]</w:t>
      </w:r>
    </w:p>
    <w:p w14:paraId="21984794" w14:textId="77777777" w:rsidR="005A5BD5" w:rsidRPr="00334017" w:rsidRDefault="005A5BD5" w:rsidP="004C2C7D">
      <w:pPr>
        <w:jc w:val="both"/>
        <w:rPr>
          <w:rFonts w:eastAsia="Calibri"/>
          <w:szCs w:val="22"/>
          <w:lang w:eastAsia="de-DE" w:bidi="de-DE"/>
        </w:rPr>
      </w:pPr>
    </w:p>
    <w:p w14:paraId="69FEC185" w14:textId="19825A3A"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 xml:space="preserve">[Art. 67 </w:t>
      </w:r>
      <w:r w:rsidR="00E902B4">
        <w:rPr>
          <w:rFonts w:eastAsia="Calibri"/>
          <w:i/>
          <w:szCs w:val="22"/>
          <w:lang w:eastAsia="de-DE" w:bidi="de-DE"/>
        </w:rPr>
        <w:t>aufgehoben durch Art. 22</w:t>
      </w:r>
      <w:r w:rsidR="00E902B4" w:rsidRPr="00E902B4">
        <w:rPr>
          <w:rFonts w:eastAsia="Calibri"/>
          <w:i/>
          <w:iCs/>
          <w:szCs w:val="22"/>
          <w:lang w:eastAsia="de-DE" w:bidi="de-DE"/>
        </w:rPr>
        <w:t xml:space="preserve"> des K.E. vom 17. Dezember 2024 (B.S. vom 24. Dezember 2024)</w:t>
      </w:r>
      <w:r w:rsidRPr="00334017">
        <w:rPr>
          <w:rFonts w:eastAsia="Calibri"/>
          <w:i/>
          <w:szCs w:val="22"/>
          <w:lang w:eastAsia="de-DE" w:bidi="de-DE"/>
        </w:rPr>
        <w:t>]</w:t>
      </w:r>
    </w:p>
    <w:p w14:paraId="6D530A78" w14:textId="77777777" w:rsidR="005A5BD5" w:rsidRPr="00334017" w:rsidRDefault="005A5BD5" w:rsidP="004C2C7D">
      <w:pPr>
        <w:jc w:val="both"/>
        <w:rPr>
          <w:rFonts w:eastAsia="Calibri"/>
          <w:szCs w:val="22"/>
          <w:lang w:eastAsia="de-DE" w:bidi="de-DE"/>
        </w:rPr>
      </w:pPr>
    </w:p>
    <w:p w14:paraId="25C580CD" w14:textId="77777777" w:rsidR="005A5BD5" w:rsidRPr="00334017" w:rsidRDefault="005A5BD5" w:rsidP="004C2C7D">
      <w:pPr>
        <w:jc w:val="both"/>
        <w:rPr>
          <w:rFonts w:eastAsia="Calibri"/>
          <w:szCs w:val="22"/>
          <w:lang w:eastAsia="de-DE" w:bidi="de-DE"/>
        </w:rPr>
      </w:pPr>
    </w:p>
    <w:p w14:paraId="24EAFED5" w14:textId="1BF7B0D0"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68</w:t>
      </w:r>
      <w:r w:rsidRPr="00334017">
        <w:rPr>
          <w:rFonts w:eastAsia="Calibri"/>
          <w:szCs w:val="22"/>
          <w:lang w:eastAsia="de-DE" w:bidi="de-DE"/>
        </w:rPr>
        <w:t xml:space="preserve"> - </w:t>
      </w:r>
      <w:r w:rsidR="003122A2">
        <w:rPr>
          <w:rFonts w:eastAsia="Calibri"/>
          <w:szCs w:val="22"/>
          <w:lang w:eastAsia="de-DE" w:bidi="de-DE"/>
        </w:rPr>
        <w:t>[</w:t>
      </w:r>
      <w:r w:rsidR="00E902B4">
        <w:t>...]</w:t>
      </w:r>
    </w:p>
    <w:p w14:paraId="663EFA5B" w14:textId="77777777" w:rsidR="005A5BD5" w:rsidRDefault="005A5BD5" w:rsidP="004C2C7D">
      <w:pPr>
        <w:jc w:val="both"/>
        <w:rPr>
          <w:rFonts w:eastAsia="Calibri"/>
          <w:szCs w:val="22"/>
          <w:lang w:eastAsia="de-DE" w:bidi="de-DE"/>
        </w:rPr>
      </w:pPr>
    </w:p>
    <w:p w14:paraId="1917721E" w14:textId="2F6F5466" w:rsidR="003122A2" w:rsidRPr="003122A2" w:rsidRDefault="003122A2" w:rsidP="004C2C7D">
      <w:pPr>
        <w:jc w:val="both"/>
        <w:rPr>
          <w:rFonts w:eastAsia="Calibri"/>
          <w:i/>
          <w:szCs w:val="22"/>
          <w:lang w:eastAsia="de-DE" w:bidi="de-DE"/>
        </w:rPr>
      </w:pPr>
      <w:r w:rsidRPr="003122A2">
        <w:rPr>
          <w:rFonts w:eastAsia="Calibri"/>
          <w:i/>
          <w:szCs w:val="22"/>
          <w:lang w:eastAsia="de-DE" w:bidi="de-DE"/>
        </w:rPr>
        <w:t>[</w:t>
      </w:r>
      <w:r>
        <w:rPr>
          <w:rFonts w:eastAsia="Calibri"/>
          <w:i/>
          <w:szCs w:val="22"/>
          <w:lang w:eastAsia="de-DE" w:bidi="de-DE"/>
        </w:rPr>
        <w:t xml:space="preserve">Art. 68 </w:t>
      </w:r>
      <w:r w:rsidR="00E902B4">
        <w:rPr>
          <w:rFonts w:eastAsia="Calibri"/>
          <w:i/>
          <w:szCs w:val="22"/>
          <w:lang w:eastAsia="de-DE" w:bidi="de-DE"/>
        </w:rPr>
        <w:t>aufgehoben durch Art. 23</w:t>
      </w:r>
      <w:r w:rsidR="00E902B4" w:rsidRPr="00E902B4">
        <w:rPr>
          <w:rFonts w:eastAsia="Calibri"/>
          <w:i/>
          <w:iCs/>
          <w:szCs w:val="22"/>
          <w:lang w:eastAsia="de-DE" w:bidi="de-DE"/>
        </w:rPr>
        <w:t xml:space="preserve"> des K.E. vom 17. Dezember 2024 (B.S. vom 24. Dezember 2024)</w:t>
      </w:r>
      <w:r w:rsidRPr="003122A2">
        <w:rPr>
          <w:rFonts w:eastAsia="Calibri"/>
          <w:i/>
          <w:szCs w:val="22"/>
          <w:lang w:eastAsia="de-DE" w:bidi="de-DE"/>
        </w:rPr>
        <w:t>]</w:t>
      </w:r>
    </w:p>
    <w:p w14:paraId="3381A272" w14:textId="77777777" w:rsidR="003122A2" w:rsidRPr="00334017" w:rsidRDefault="003122A2" w:rsidP="004C2C7D">
      <w:pPr>
        <w:jc w:val="both"/>
        <w:rPr>
          <w:rFonts w:eastAsia="Calibri"/>
          <w:szCs w:val="22"/>
          <w:lang w:eastAsia="de-DE" w:bidi="de-DE"/>
        </w:rPr>
      </w:pPr>
    </w:p>
    <w:p w14:paraId="0F41B613" w14:textId="77777777" w:rsidR="005A5BD5" w:rsidRPr="00334017" w:rsidRDefault="005A5BD5" w:rsidP="004C2C7D">
      <w:pPr>
        <w:jc w:val="both"/>
        <w:rPr>
          <w:rFonts w:eastAsia="Calibri"/>
          <w:szCs w:val="22"/>
          <w:lang w:eastAsia="de-DE" w:bidi="de-DE"/>
        </w:rPr>
      </w:pPr>
    </w:p>
    <w:p w14:paraId="66F2B564"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69</w:t>
      </w:r>
      <w:r w:rsidRPr="00334017">
        <w:rPr>
          <w:rFonts w:eastAsia="Calibri"/>
          <w:szCs w:val="22"/>
          <w:lang w:eastAsia="de-DE" w:bidi="de-DE"/>
        </w:rPr>
        <w:t> - Für die Staatsbuchführung werden Vorauszahlungen mit dem in den Artikeln 270 bis 275 des Einkommensteuergesetzbuches 1992 erwähnten Berufssteuervor</w:t>
      </w:r>
      <w:r w:rsidRPr="00334017">
        <w:rPr>
          <w:rFonts w:eastAsia="Calibri"/>
          <w:szCs w:val="22"/>
          <w:lang w:eastAsia="de-DE" w:bidi="de-DE"/>
        </w:rPr>
        <w:softHyphen/>
        <w:t>abzug gleichgesetzt.</w:t>
      </w:r>
    </w:p>
    <w:p w14:paraId="0825A9E7" w14:textId="77777777" w:rsidR="009A607C" w:rsidRDefault="009A607C" w:rsidP="004C2C7D">
      <w:pPr>
        <w:jc w:val="both"/>
        <w:rPr>
          <w:rFonts w:eastAsia="Calibri"/>
          <w:szCs w:val="22"/>
          <w:lang w:eastAsia="de-DE" w:bidi="de-DE"/>
        </w:rPr>
      </w:pPr>
    </w:p>
    <w:p w14:paraId="27F3BDF7" w14:textId="77777777" w:rsidR="009A607C" w:rsidRDefault="009A607C" w:rsidP="004C2C7D">
      <w:pPr>
        <w:jc w:val="both"/>
        <w:rPr>
          <w:rFonts w:eastAsia="Calibri"/>
          <w:szCs w:val="22"/>
          <w:lang w:eastAsia="de-DE" w:bidi="de-DE"/>
        </w:rPr>
      </w:pPr>
    </w:p>
    <w:p w14:paraId="034DBD5D" w14:textId="77777777" w:rsidR="00E902B4" w:rsidRDefault="00E902B4">
      <w:pPr>
        <w:rPr>
          <w:rFonts w:eastAsia="Calibri"/>
          <w:szCs w:val="22"/>
          <w:lang w:eastAsia="de-DE" w:bidi="de-DE"/>
        </w:rPr>
      </w:pPr>
      <w:r>
        <w:rPr>
          <w:rFonts w:eastAsia="Calibri"/>
          <w:szCs w:val="22"/>
          <w:lang w:eastAsia="de-DE" w:bidi="de-DE"/>
        </w:rPr>
        <w:br w:type="page"/>
      </w:r>
    </w:p>
    <w:p w14:paraId="4CCB654D" w14:textId="26BC2789" w:rsidR="00354F5B" w:rsidRPr="005667FD" w:rsidRDefault="005A5BD5" w:rsidP="00354F5B">
      <w:pPr>
        <w:jc w:val="both"/>
      </w:pPr>
      <w:r w:rsidRPr="00334017">
        <w:rPr>
          <w:rFonts w:eastAsia="Calibri"/>
          <w:szCs w:val="22"/>
          <w:lang w:eastAsia="de-DE" w:bidi="de-DE"/>
        </w:rPr>
        <w:lastRenderedPageBreak/>
        <w:tab/>
      </w:r>
      <w:r w:rsidRPr="00334017">
        <w:rPr>
          <w:rFonts w:eastAsia="Calibri"/>
          <w:b/>
          <w:szCs w:val="22"/>
          <w:lang w:eastAsia="de-DE" w:bidi="de-DE"/>
        </w:rPr>
        <w:t>Art. 70</w:t>
      </w:r>
      <w:r w:rsidRPr="00334017">
        <w:rPr>
          <w:rFonts w:eastAsia="Calibri"/>
          <w:szCs w:val="22"/>
          <w:lang w:eastAsia="de-DE" w:bidi="de-DE"/>
        </w:rPr>
        <w:t xml:space="preserve"> - </w:t>
      </w:r>
      <w:r w:rsidR="00354F5B">
        <w:rPr>
          <w:rFonts w:eastAsia="Calibri"/>
          <w:szCs w:val="22"/>
          <w:lang w:eastAsia="de-DE" w:bidi="de-DE"/>
        </w:rPr>
        <w:t>[</w:t>
      </w:r>
      <w:r w:rsidR="00354F5B" w:rsidRPr="005667FD">
        <w:t xml:space="preserve">Insofern Vorauszahlungen noch nicht auf die Einkommensteuer angerechnet worden sind, die von dem Steuerpflichtigen geschuldet wird, auf dessen Namen sie </w:t>
      </w:r>
      <w:r w:rsidR="00E902B4">
        <w:t>[...]</w:t>
      </w:r>
      <w:r w:rsidR="00354F5B" w:rsidRPr="005667FD">
        <w:t xml:space="preserve"> gebucht worden sind, oder nicht in Anwendung von Artikel 157 Absatz 2 des Einkommensteuergesetzbuches 1992 auf den mithelfenden Ehe</w:t>
      </w:r>
      <w:r w:rsidR="00354F5B" w:rsidRPr="005667FD">
        <w:softHyphen/>
        <w:t xml:space="preserve">partner übertragen worden sind, kann </w:t>
      </w:r>
      <w:r w:rsidR="00E902B4">
        <w:t>[der Dienst der mit der Einnahme und Beitreibung von Steuerforderungen und nichtsteuerlichen Forderungen beauftragten Verwaltung des Föderalen Öffentlichen Dienstes Finanzen, der mit der Gewährleistung der Einnahme der Vorauszahlungen betraut ist,]</w:t>
      </w:r>
      <w:r w:rsidR="00354F5B" w:rsidRPr="005667FD">
        <w:t xml:space="preserve"> spätestens am letzten Tag des dritten Monats nach dem Besteuerungszeitraum:</w:t>
      </w:r>
    </w:p>
    <w:p w14:paraId="31FA1A22" w14:textId="77777777" w:rsidR="00354F5B" w:rsidRPr="005667FD" w:rsidRDefault="00354F5B" w:rsidP="00354F5B">
      <w:pPr>
        <w:jc w:val="both"/>
      </w:pPr>
    </w:p>
    <w:p w14:paraId="62C9580D" w14:textId="77777777" w:rsidR="00354F5B" w:rsidRPr="005667FD" w:rsidRDefault="00354F5B" w:rsidP="00354F5B">
      <w:pPr>
        <w:jc w:val="both"/>
      </w:pPr>
      <w:r w:rsidRPr="005667FD">
        <w:tab/>
        <w:t>1. materielle Irrtümer, die Dritte begangen haben, gegebenenfalls durch Erstattung berichtigen,</w:t>
      </w:r>
    </w:p>
    <w:p w14:paraId="6143D26C" w14:textId="77777777" w:rsidR="00354F5B" w:rsidRPr="005667FD" w:rsidRDefault="00354F5B" w:rsidP="00354F5B">
      <w:pPr>
        <w:jc w:val="both"/>
      </w:pPr>
    </w:p>
    <w:p w14:paraId="01EC6210" w14:textId="0A665F13" w:rsidR="00354F5B" w:rsidRPr="005667FD" w:rsidRDefault="00354F5B" w:rsidP="00354F5B">
      <w:pPr>
        <w:jc w:val="both"/>
      </w:pPr>
      <w:r w:rsidRPr="005667FD">
        <w:tab/>
        <w:t xml:space="preserve">2. vom Steuerpflichtigen oder von seinem ordnungsgemäß Bevollmächtigten eingezahlte oder überwiesene Beträge </w:t>
      </w:r>
      <w:r w:rsidR="00E902B4">
        <w:t xml:space="preserve">[gemäß den Verordnungsbestimmungen zur Ausführung von Artikel 15/1 des Gesetzbuches über die gütliche Beitreibung und die Zwangsbeitreibung von Steuerforderungen und nichtsteuerlichen Forderungen] </w:t>
      </w:r>
      <w:r w:rsidRPr="005667FD">
        <w:t>erstatten, auf eines der Finanzkonten der mit der Einnahme und Beitreibung von Steuerforderungen und nichtsteuerlichen Forderungen beauftragten Verwaltung des FÖD Finanzen überweisen, um Steuerschulden oder nichtsteuerliche Schulden auszugleichen, oder auf den folgenden Besteuerungszeitraum übertragen.</w:t>
      </w:r>
    </w:p>
    <w:p w14:paraId="647AB7B5" w14:textId="77777777" w:rsidR="00354F5B" w:rsidRPr="005667FD" w:rsidRDefault="00354F5B" w:rsidP="00354F5B">
      <w:pPr>
        <w:jc w:val="both"/>
      </w:pPr>
    </w:p>
    <w:p w14:paraId="52E687ED" w14:textId="3C250EDB" w:rsidR="005A5BD5" w:rsidRPr="00334017" w:rsidRDefault="00354F5B" w:rsidP="00354F5B">
      <w:pPr>
        <w:jc w:val="both"/>
        <w:rPr>
          <w:rFonts w:eastAsia="Calibri"/>
          <w:szCs w:val="22"/>
          <w:lang w:eastAsia="de-DE" w:bidi="de-DE"/>
        </w:rPr>
      </w:pPr>
      <w:r w:rsidRPr="005667FD">
        <w:tab/>
        <w:t xml:space="preserve">Anträge auf Berichtigung, Erstattung, Überweisung oder Übertragung von Vorauszahlungen werden über die elektronische Plattform MyMinfin eingereicht. Hat der Antragsteller, einschließlich des Dritten, der nachweislich einen materiellen Irrtum begangen hat, keinen Zugang zu MyMinfin, reicht er seinen Antrag </w:t>
      </w:r>
      <w:r w:rsidR="00E902B4">
        <w:t>[beim Dienst der mit der Einnahme und Beitreibung von Steuerforderungen und nichtsteuerlichen Forderungen beauftragten Verwaltung des Föderalen Öffentlichen Dienstes Finanzen, der mit der Gewährleistung der Einnahme der Vorauszahlungen betraut ist,]</w:t>
      </w:r>
      <w:r w:rsidRPr="005667FD">
        <w:t xml:space="preserve"> ein.</w:t>
      </w:r>
      <w:r>
        <w:rPr>
          <w:rFonts w:eastAsia="Calibri"/>
          <w:szCs w:val="22"/>
          <w:lang w:eastAsia="de-DE" w:bidi="de-DE"/>
        </w:rPr>
        <w:t>]</w:t>
      </w:r>
    </w:p>
    <w:p w14:paraId="70F97286" w14:textId="77777777" w:rsidR="005A5BD5" w:rsidRPr="00334017" w:rsidRDefault="005A5BD5" w:rsidP="004C2C7D">
      <w:pPr>
        <w:jc w:val="both"/>
        <w:rPr>
          <w:rFonts w:eastAsia="Calibri"/>
          <w:szCs w:val="22"/>
          <w:lang w:eastAsia="de-DE" w:bidi="de-DE"/>
        </w:rPr>
      </w:pPr>
    </w:p>
    <w:p w14:paraId="2CAB804F" w14:textId="05A8238F"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 xml:space="preserve">[Art. 70 </w:t>
      </w:r>
      <w:r w:rsidR="00354F5B">
        <w:rPr>
          <w:rFonts w:eastAsia="Calibri"/>
          <w:i/>
          <w:szCs w:val="22"/>
          <w:lang w:eastAsia="de-DE" w:bidi="de-DE"/>
        </w:rPr>
        <w:t>ersetzt durch Art. 2 des K.E. vom 21. November 2018 (B.S. vom 3. Dezember 2018)</w:t>
      </w:r>
      <w:r w:rsidR="00E902B4">
        <w:rPr>
          <w:rFonts w:eastAsia="Calibri"/>
          <w:i/>
          <w:szCs w:val="22"/>
          <w:lang w:eastAsia="de-DE" w:bidi="de-DE"/>
        </w:rPr>
        <w:t xml:space="preserve">; </w:t>
      </w:r>
      <w:r w:rsidR="00C17845">
        <w:rPr>
          <w:rFonts w:eastAsia="Calibri"/>
          <w:i/>
          <w:szCs w:val="22"/>
          <w:lang w:eastAsia="de-DE" w:bidi="de-DE"/>
        </w:rPr>
        <w:t>Abs. 1 einleitende Bestimmung abgeändert durch Art. 24 Nr. 1</w:t>
      </w:r>
      <w:r w:rsidR="00C17845" w:rsidRPr="00C17845">
        <w:rPr>
          <w:rFonts w:eastAsia="Calibri"/>
          <w:i/>
          <w:iCs/>
          <w:szCs w:val="22"/>
          <w:lang w:eastAsia="de-DE" w:bidi="de-DE"/>
        </w:rPr>
        <w:t xml:space="preserve"> des K.E. vom 17. Dezember 2024 (B.S. vom 24. Dezember 2024)</w:t>
      </w:r>
      <w:r w:rsidR="00C17845">
        <w:rPr>
          <w:rFonts w:eastAsia="Calibri"/>
          <w:i/>
          <w:iCs/>
          <w:szCs w:val="22"/>
          <w:lang w:eastAsia="de-DE" w:bidi="de-DE"/>
        </w:rPr>
        <w:t>; Abs. 1 Nr. 2 abgeändert durch Art. 24 Nr. 2</w:t>
      </w:r>
      <w:r w:rsidR="00C17845" w:rsidRPr="00C17845">
        <w:rPr>
          <w:rFonts w:eastAsia="Calibri"/>
          <w:i/>
          <w:iCs/>
          <w:szCs w:val="22"/>
          <w:lang w:eastAsia="de-DE" w:bidi="de-DE"/>
        </w:rPr>
        <w:t xml:space="preserve"> des K.E. vom 17. Dezember 2024 (B.S. vom 24. Dezember 2024)</w:t>
      </w:r>
      <w:r w:rsidR="00C17845">
        <w:rPr>
          <w:rFonts w:eastAsia="Calibri"/>
          <w:i/>
          <w:iCs/>
          <w:szCs w:val="22"/>
          <w:lang w:eastAsia="de-DE" w:bidi="de-DE"/>
        </w:rPr>
        <w:t>; Abs. 2 abgeändert durch Art. 24 Nr. 3</w:t>
      </w:r>
      <w:r w:rsidR="00C17845" w:rsidRPr="00C17845">
        <w:rPr>
          <w:rFonts w:eastAsia="Calibri"/>
          <w:i/>
          <w:iCs/>
          <w:szCs w:val="22"/>
          <w:lang w:eastAsia="de-DE" w:bidi="de-DE"/>
        </w:rPr>
        <w:t xml:space="preserve"> des K.E. vom 17. Dezember 2024 (B.S. vom 24. Dezember 2024)</w:t>
      </w:r>
      <w:r w:rsidRPr="00334017">
        <w:rPr>
          <w:rFonts w:eastAsia="Calibri"/>
          <w:i/>
          <w:szCs w:val="22"/>
          <w:lang w:eastAsia="de-DE" w:bidi="de-DE"/>
        </w:rPr>
        <w:t>]</w:t>
      </w:r>
    </w:p>
    <w:p w14:paraId="4A661377" w14:textId="77777777" w:rsidR="005A5BD5" w:rsidRPr="00334017" w:rsidRDefault="005A5BD5" w:rsidP="004C2C7D">
      <w:pPr>
        <w:jc w:val="both"/>
        <w:rPr>
          <w:rFonts w:eastAsia="Calibri"/>
          <w:szCs w:val="22"/>
          <w:lang w:eastAsia="de-DE" w:bidi="de-DE"/>
        </w:rPr>
      </w:pPr>
    </w:p>
    <w:p w14:paraId="4905A1FC" w14:textId="77777777" w:rsidR="005A5BD5" w:rsidRPr="00334017" w:rsidRDefault="005A5BD5" w:rsidP="004C2C7D">
      <w:pPr>
        <w:jc w:val="both"/>
        <w:rPr>
          <w:rFonts w:eastAsia="Calibri"/>
          <w:szCs w:val="22"/>
          <w:lang w:eastAsia="de-DE" w:bidi="de-DE"/>
        </w:rPr>
      </w:pPr>
    </w:p>
    <w:p w14:paraId="78240DA5" w14:textId="77777777" w:rsidR="00354F5B" w:rsidRPr="005667FD" w:rsidRDefault="005A5BD5" w:rsidP="00354F5B">
      <w:pPr>
        <w:jc w:val="both"/>
      </w:pPr>
      <w:r w:rsidRPr="00334017">
        <w:rPr>
          <w:rFonts w:eastAsia="Calibri"/>
          <w:szCs w:val="22"/>
          <w:lang w:eastAsia="de-DE" w:bidi="de-DE"/>
        </w:rPr>
        <w:tab/>
      </w:r>
      <w:r w:rsidRPr="00334017">
        <w:rPr>
          <w:rFonts w:eastAsia="Calibri"/>
          <w:b/>
          <w:szCs w:val="22"/>
          <w:lang w:eastAsia="de-DE" w:bidi="de-DE"/>
        </w:rPr>
        <w:t>Art. 71</w:t>
      </w:r>
      <w:r w:rsidRPr="00334017">
        <w:rPr>
          <w:rFonts w:eastAsia="Calibri"/>
          <w:szCs w:val="22"/>
          <w:lang w:eastAsia="de-DE" w:bidi="de-DE"/>
        </w:rPr>
        <w:t xml:space="preserve"> - </w:t>
      </w:r>
      <w:r w:rsidR="00354F5B">
        <w:rPr>
          <w:rFonts w:eastAsia="Calibri"/>
          <w:szCs w:val="22"/>
          <w:lang w:eastAsia="de-DE" w:bidi="de-DE"/>
        </w:rPr>
        <w:t>[</w:t>
      </w:r>
      <w:r w:rsidR="00354F5B" w:rsidRPr="005667FD">
        <w:t>§ 1 - Die Verwaltung stellt über die elektronische Plattform MyMinfin jedem Steuerpflichtigen, für dessen Rechnung Vorauszahlungen gebucht worden sind, eine Übersicht der für den laufenden Besteuerungszeitraum und für die drei letzten Besteuerungszeiträume für seine Rechnung getätigten Vorauszahlungen zur Verfügung. Diese Übersicht ist informativ und eröffnet dem Steuerpflichtigen keinerlei Ansprüche.</w:t>
      </w:r>
    </w:p>
    <w:p w14:paraId="1A2C6FA0" w14:textId="77777777" w:rsidR="00354F5B" w:rsidRPr="005667FD" w:rsidRDefault="00354F5B" w:rsidP="00354F5B">
      <w:pPr>
        <w:jc w:val="both"/>
      </w:pPr>
    </w:p>
    <w:p w14:paraId="35C30A31" w14:textId="77777777" w:rsidR="00354F5B" w:rsidRPr="005667FD" w:rsidRDefault="00354F5B" w:rsidP="00354F5B">
      <w:pPr>
        <w:jc w:val="both"/>
      </w:pPr>
      <w:r w:rsidRPr="005667FD">
        <w:tab/>
        <w:t>Der Föderale Öffentliche Dienst Finanzen, vertreten vom Präsidenten des Direktionsausschusses, ist der für die Verarbeitung Verantwortliche im Sinne der Verordnung (EU) 2016/679 des Europäischen Parlaments und des Rates vom 27. April 2016 zum Schutz natürlicher Personen bei der Verarbeitung personenbezogener Daten, zum freien Datenverkehr und zur Aufhebung der Richtlinie 95/46/EG.</w:t>
      </w:r>
    </w:p>
    <w:p w14:paraId="166AD511" w14:textId="77777777" w:rsidR="00354F5B" w:rsidRPr="005667FD" w:rsidRDefault="00354F5B" w:rsidP="00354F5B">
      <w:pPr>
        <w:jc w:val="both"/>
      </w:pPr>
    </w:p>
    <w:p w14:paraId="1B7CA9CC" w14:textId="77777777" w:rsidR="005A5BD5" w:rsidRPr="00334017" w:rsidRDefault="00354F5B" w:rsidP="00354F5B">
      <w:pPr>
        <w:jc w:val="both"/>
        <w:rPr>
          <w:rFonts w:eastAsia="Calibri"/>
          <w:szCs w:val="22"/>
          <w:lang w:eastAsia="de-DE" w:bidi="de-DE"/>
        </w:rPr>
      </w:pPr>
      <w:r w:rsidRPr="005667FD">
        <w:tab/>
        <w:t xml:space="preserve">§ 2 - Hat das "Einnahmezentrum - Dienst Vorauszahlungen" gemäß Artikel 70 Absatz 1 die ursprüngliche Bestimmung der Vorauszahlungen geändert, sind die ursprünglich getätigten </w:t>
      </w:r>
      <w:r w:rsidRPr="005667FD">
        <w:lastRenderedPageBreak/>
        <w:t>Einzahlungen und Überweisungen in dem Maße, wie ihre Bestimmung geändert worden ist, von Rechts wegen nichtig und werden die mit ihnen verbundenen Vorteile gestrichen.</w:t>
      </w:r>
      <w:r>
        <w:rPr>
          <w:rFonts w:eastAsia="Calibri"/>
          <w:szCs w:val="22"/>
          <w:lang w:eastAsia="de-DE" w:bidi="de-DE"/>
        </w:rPr>
        <w:t>]</w:t>
      </w:r>
    </w:p>
    <w:p w14:paraId="188AA891" w14:textId="77777777" w:rsidR="005A5BD5" w:rsidRPr="00334017" w:rsidRDefault="005A5BD5" w:rsidP="004C2C7D">
      <w:pPr>
        <w:jc w:val="both"/>
        <w:rPr>
          <w:rFonts w:eastAsia="Calibri"/>
          <w:szCs w:val="22"/>
          <w:lang w:eastAsia="de-DE" w:bidi="de-DE"/>
        </w:rPr>
      </w:pPr>
    </w:p>
    <w:p w14:paraId="1A7171A9"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 xml:space="preserve">[Art. 71 </w:t>
      </w:r>
      <w:r w:rsidR="00354F5B">
        <w:rPr>
          <w:rFonts w:eastAsia="Calibri"/>
          <w:i/>
          <w:szCs w:val="22"/>
          <w:lang w:eastAsia="de-DE" w:bidi="de-DE"/>
        </w:rPr>
        <w:t>ersetzt durch Art. 3 des K.E. vom 21. November 2018 (B.S. vom 3. Dezember 2018)</w:t>
      </w:r>
      <w:r w:rsidRPr="00334017">
        <w:rPr>
          <w:rFonts w:eastAsia="Calibri"/>
          <w:i/>
          <w:szCs w:val="22"/>
          <w:lang w:eastAsia="de-DE" w:bidi="de-DE"/>
        </w:rPr>
        <w:t>]</w:t>
      </w:r>
    </w:p>
    <w:p w14:paraId="0D220F9A" w14:textId="77777777" w:rsidR="005A5BD5" w:rsidRPr="00334017" w:rsidRDefault="005A5BD5" w:rsidP="004C2C7D">
      <w:pPr>
        <w:jc w:val="both"/>
        <w:rPr>
          <w:rFonts w:eastAsia="Calibri"/>
          <w:szCs w:val="22"/>
          <w:lang w:eastAsia="de-DE" w:bidi="de-DE"/>
        </w:rPr>
      </w:pPr>
    </w:p>
    <w:p w14:paraId="6EBD4B0D" w14:textId="77777777" w:rsidR="005A5BD5" w:rsidRPr="00334017" w:rsidRDefault="005A5BD5" w:rsidP="004C2C7D">
      <w:pPr>
        <w:jc w:val="both"/>
        <w:rPr>
          <w:rFonts w:eastAsia="Calibri"/>
          <w:szCs w:val="22"/>
          <w:lang w:eastAsia="de-DE" w:bidi="de-DE"/>
        </w:rPr>
      </w:pPr>
    </w:p>
    <w:p w14:paraId="6EF53631" w14:textId="77777777" w:rsidR="005A5BD5" w:rsidRPr="00334017" w:rsidRDefault="00212CA2" w:rsidP="004C2C7D">
      <w:pPr>
        <w:jc w:val="both"/>
        <w:rPr>
          <w:rFonts w:eastAsia="Calibri"/>
          <w:szCs w:val="22"/>
          <w:lang w:eastAsia="de-DE" w:bidi="de-DE"/>
        </w:rPr>
      </w:pPr>
      <w:r>
        <w:rPr>
          <w:rFonts w:eastAsia="Calibri"/>
          <w:b/>
          <w:szCs w:val="22"/>
          <w:lang w:eastAsia="de-DE" w:bidi="de-DE"/>
        </w:rPr>
        <w:tab/>
      </w:r>
      <w:r w:rsidR="005A5BD5" w:rsidRPr="00334017">
        <w:rPr>
          <w:rFonts w:eastAsia="Calibri"/>
          <w:b/>
          <w:szCs w:val="22"/>
          <w:lang w:eastAsia="de-DE" w:bidi="de-DE"/>
        </w:rPr>
        <w:t>Art. 72</w:t>
      </w:r>
      <w:r w:rsidR="005A5BD5" w:rsidRPr="00334017">
        <w:rPr>
          <w:rFonts w:eastAsia="Calibri"/>
          <w:szCs w:val="22"/>
          <w:lang w:eastAsia="de-DE" w:bidi="de-DE"/>
        </w:rPr>
        <w:t> - [...]</w:t>
      </w:r>
    </w:p>
    <w:p w14:paraId="502CFB66" w14:textId="77777777" w:rsidR="005A5BD5" w:rsidRPr="00334017" w:rsidRDefault="005A5BD5" w:rsidP="004C2C7D">
      <w:pPr>
        <w:jc w:val="both"/>
        <w:rPr>
          <w:rFonts w:eastAsia="Calibri"/>
          <w:szCs w:val="22"/>
          <w:lang w:eastAsia="de-DE" w:bidi="de-DE"/>
        </w:rPr>
      </w:pPr>
    </w:p>
    <w:p w14:paraId="68B54CCC"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[Art. 72 aufgehoben durch Art. 6 des K.E. vom 20. Mai 1997 (B.S. vom 10. Juni 1997)]</w:t>
      </w:r>
    </w:p>
    <w:p w14:paraId="0E5018A9" w14:textId="77777777" w:rsidR="009A607C" w:rsidRDefault="009A607C" w:rsidP="004C2C7D">
      <w:pPr>
        <w:jc w:val="center"/>
        <w:rPr>
          <w:rFonts w:eastAsia="Calibri"/>
          <w:i/>
          <w:szCs w:val="22"/>
          <w:lang w:eastAsia="de-DE" w:bidi="de-DE"/>
        </w:rPr>
      </w:pPr>
    </w:p>
    <w:p w14:paraId="31CECA1C" w14:textId="77777777" w:rsidR="009A607C" w:rsidRDefault="009A607C" w:rsidP="004C2C7D">
      <w:pPr>
        <w:jc w:val="center"/>
        <w:rPr>
          <w:rFonts w:eastAsia="Calibri"/>
          <w:i/>
          <w:szCs w:val="22"/>
          <w:lang w:eastAsia="de-DE" w:bidi="de-DE"/>
        </w:rPr>
      </w:pPr>
    </w:p>
    <w:p w14:paraId="652C6F48" w14:textId="77777777" w:rsidR="005A5BD5" w:rsidRPr="00334017" w:rsidRDefault="005A5BD5" w:rsidP="004C2C7D">
      <w:pPr>
        <w:jc w:val="center"/>
        <w:rPr>
          <w:rFonts w:eastAsia="Calibri"/>
          <w:szCs w:val="22"/>
          <w:lang w:eastAsia="de-DE" w:bidi="de-DE"/>
        </w:rPr>
      </w:pPr>
      <w:r w:rsidRPr="00334017">
        <w:rPr>
          <w:rFonts w:eastAsia="Calibri"/>
          <w:i/>
          <w:szCs w:val="22"/>
          <w:lang w:eastAsia="de-DE" w:bidi="de-DE"/>
        </w:rPr>
        <w:t>Abschnitt 27</w:t>
      </w:r>
      <w:r w:rsidRPr="00334017">
        <w:rPr>
          <w:rFonts w:eastAsia="Calibri"/>
          <w:szCs w:val="22"/>
          <w:lang w:eastAsia="de-DE" w:bidi="de-DE"/>
        </w:rPr>
        <w:t> - Umwandlung von Kapitalien und Rückkaufswerten in Renten</w:t>
      </w:r>
    </w:p>
    <w:p w14:paraId="74B6188F" w14:textId="77777777" w:rsidR="005A5BD5" w:rsidRPr="00334017" w:rsidRDefault="005A5BD5" w:rsidP="004C2C7D">
      <w:pPr>
        <w:jc w:val="center"/>
        <w:rPr>
          <w:rFonts w:eastAsia="Calibri"/>
          <w:szCs w:val="22"/>
          <w:lang w:eastAsia="de-DE" w:bidi="de-DE"/>
        </w:rPr>
      </w:pPr>
    </w:p>
    <w:p w14:paraId="08D92C60" w14:textId="77777777" w:rsidR="005A5BD5" w:rsidRPr="00334017" w:rsidRDefault="005A5BD5" w:rsidP="004C2C7D">
      <w:pPr>
        <w:jc w:val="center"/>
        <w:rPr>
          <w:rFonts w:eastAsia="Calibri"/>
          <w:szCs w:val="22"/>
          <w:lang w:eastAsia="de-DE" w:bidi="de-DE"/>
        </w:rPr>
      </w:pPr>
      <w:r w:rsidRPr="00334017">
        <w:rPr>
          <w:rFonts w:eastAsia="Calibri"/>
          <w:szCs w:val="22"/>
          <w:lang w:eastAsia="de-DE" w:bidi="de-DE"/>
        </w:rPr>
        <w:t>(Einkommensteuergesetzbuch 1992, Artikel 169 § 1)</w:t>
      </w:r>
    </w:p>
    <w:p w14:paraId="0E880D42" w14:textId="77777777" w:rsidR="005A5BD5" w:rsidRPr="00334017" w:rsidRDefault="005A5BD5" w:rsidP="004C2C7D">
      <w:pPr>
        <w:jc w:val="both"/>
        <w:rPr>
          <w:rFonts w:eastAsia="Calibri"/>
          <w:szCs w:val="22"/>
          <w:lang w:eastAsia="de-DE" w:bidi="de-DE"/>
        </w:rPr>
      </w:pPr>
    </w:p>
    <w:p w14:paraId="1471612A" w14:textId="77777777" w:rsidR="005A5BD5" w:rsidRPr="00334017" w:rsidRDefault="005A5BD5" w:rsidP="004C2C7D">
      <w:pPr>
        <w:jc w:val="both"/>
        <w:rPr>
          <w:rFonts w:eastAsia="Calibri"/>
          <w:szCs w:val="22"/>
          <w:lang w:eastAsia="de-DE" w:bidi="de-DE"/>
        </w:rPr>
      </w:pPr>
    </w:p>
    <w:p w14:paraId="5CA946F9"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73</w:t>
      </w:r>
      <w:r w:rsidRPr="00334017">
        <w:rPr>
          <w:rFonts w:eastAsia="Calibri"/>
          <w:szCs w:val="22"/>
          <w:lang w:eastAsia="de-DE" w:bidi="de-DE"/>
        </w:rPr>
        <w:t> - In Artikel 169 des Einkommensteuergesetzbuches 1992 erwähnte Kapitalien und Rückkaufswerte werden für die Festlegung der steuerpflichtigen Grundlage nur bis zum Betrag der Leibrente berücksichtigt, die aus ihrer Umwandlung entsprechend dem in nachstehender Tabelle angegebenen Prozentsatz hervorgeht, der gegenüber dem Alter des Empfängers zu dem Zeitpunkt, zu dem ihm das Kapital oder der Rückkaufswert gezahlt oder zuerkannt wird, steht; dieses Alter wird in Form von ganzen Jahren festgelegt, Bruchteile von Jahren werden nicht berücksichtigt.</w:t>
      </w:r>
    </w:p>
    <w:p w14:paraId="65149991" w14:textId="77777777" w:rsidR="005A5BD5" w:rsidRPr="00334017" w:rsidRDefault="005A5BD5" w:rsidP="004C2C7D">
      <w:pPr>
        <w:jc w:val="both"/>
        <w:rPr>
          <w:rFonts w:eastAsia="Calibri"/>
          <w:szCs w:val="22"/>
          <w:lang w:eastAsia="de-DE" w:bidi="de-DE"/>
        </w:rPr>
      </w:pPr>
    </w:p>
    <w:tbl>
      <w:tblPr>
        <w:tblW w:w="8929" w:type="dxa"/>
        <w:tblInd w:w="120"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245"/>
        <w:gridCol w:w="3684"/>
      </w:tblGrid>
      <w:tr w:rsidR="005A5BD5" w:rsidRPr="00334017" w14:paraId="2FB734C6" w14:textId="77777777" w:rsidTr="001E05E7">
        <w:tc>
          <w:tcPr>
            <w:tcW w:w="5245" w:type="dxa"/>
            <w:tcBorders>
              <w:bottom w:val="single" w:sz="4" w:space="0" w:color="auto"/>
            </w:tcBorders>
            <w:tcMar>
              <w:top w:w="113" w:type="dxa"/>
              <w:bottom w:w="113" w:type="dxa"/>
            </w:tcMar>
            <w:vAlign w:val="center"/>
          </w:tcPr>
          <w:p w14:paraId="62544B15" w14:textId="77777777" w:rsidR="005A5BD5" w:rsidRPr="00334017" w:rsidRDefault="005A5BD5" w:rsidP="004C2C7D">
            <w:pPr>
              <w:keepNext/>
              <w:jc w:val="center"/>
              <w:rPr>
                <w:rFonts w:eastAsia="Calibri"/>
                <w:szCs w:val="22"/>
                <w:lang w:eastAsia="de-DE" w:bidi="de-DE"/>
              </w:rPr>
            </w:pPr>
            <w:r w:rsidRPr="00334017">
              <w:rPr>
                <w:rFonts w:eastAsia="Calibri"/>
                <w:szCs w:val="22"/>
                <w:lang w:eastAsia="de-DE" w:bidi="de-DE"/>
              </w:rPr>
              <w:t>Alter des Empfängers zum Zeitpunkt der Zahlung oder Zuerkennung des Kapitals oder des Rückkaufswerts</w:t>
            </w:r>
          </w:p>
          <w:p w14:paraId="56D144B0" w14:textId="77777777" w:rsidR="005A5BD5" w:rsidRPr="00334017" w:rsidRDefault="005A5BD5" w:rsidP="004C2C7D">
            <w:pPr>
              <w:keepNext/>
              <w:jc w:val="center"/>
              <w:rPr>
                <w:rFonts w:eastAsia="Calibri"/>
                <w:szCs w:val="22"/>
                <w:lang w:eastAsia="de-DE" w:bidi="de-DE"/>
              </w:rPr>
            </w:pPr>
            <w:r w:rsidRPr="00334017">
              <w:rPr>
                <w:rFonts w:eastAsia="Calibri"/>
                <w:szCs w:val="22"/>
                <w:lang w:eastAsia="de-DE" w:bidi="de-DE"/>
              </w:rPr>
              <w:t>(1)</w:t>
            </w:r>
          </w:p>
        </w:tc>
        <w:tc>
          <w:tcPr>
            <w:tcW w:w="3684" w:type="dxa"/>
            <w:tcBorders>
              <w:bottom w:val="single" w:sz="4" w:space="0" w:color="auto"/>
            </w:tcBorders>
            <w:tcMar>
              <w:top w:w="113" w:type="dxa"/>
              <w:bottom w:w="113" w:type="dxa"/>
            </w:tcMar>
            <w:vAlign w:val="center"/>
          </w:tcPr>
          <w:p w14:paraId="3544E888" w14:textId="77777777" w:rsidR="005A5BD5" w:rsidRPr="00334017" w:rsidRDefault="005A5BD5" w:rsidP="004C2C7D">
            <w:pPr>
              <w:keepNext/>
              <w:jc w:val="center"/>
              <w:rPr>
                <w:rFonts w:eastAsia="Calibri"/>
                <w:szCs w:val="22"/>
                <w:lang w:eastAsia="de-DE" w:bidi="de-DE"/>
              </w:rPr>
            </w:pPr>
            <w:r w:rsidRPr="00334017">
              <w:rPr>
                <w:rFonts w:eastAsia="Calibri"/>
                <w:szCs w:val="22"/>
                <w:lang w:eastAsia="de-DE" w:bidi="de-DE"/>
              </w:rPr>
              <w:t>Prozentsatz für die Umwandlung von Kapitalien oder Rückkaufswerten in Leibrenten</w:t>
            </w:r>
          </w:p>
          <w:p w14:paraId="2F998605" w14:textId="77777777" w:rsidR="005A5BD5" w:rsidRPr="00334017" w:rsidRDefault="005A5BD5" w:rsidP="004C2C7D">
            <w:pPr>
              <w:keepNext/>
              <w:jc w:val="center"/>
              <w:rPr>
                <w:rFonts w:eastAsia="Calibri"/>
                <w:szCs w:val="22"/>
                <w:lang w:eastAsia="de-DE" w:bidi="de-DE"/>
              </w:rPr>
            </w:pPr>
            <w:r w:rsidRPr="00334017">
              <w:rPr>
                <w:rFonts w:eastAsia="Calibri"/>
                <w:szCs w:val="22"/>
                <w:lang w:eastAsia="de-DE" w:bidi="de-DE"/>
              </w:rPr>
              <w:t>(2)</w:t>
            </w:r>
          </w:p>
        </w:tc>
      </w:tr>
      <w:tr w:rsidR="005A5BD5" w:rsidRPr="00334017" w14:paraId="2515EEC9" w14:textId="77777777" w:rsidTr="001E05E7">
        <w:trPr>
          <w:trHeight w:val="360"/>
        </w:trPr>
        <w:tc>
          <w:tcPr>
            <w:tcW w:w="5245" w:type="dxa"/>
            <w:tcBorders>
              <w:top w:val="single" w:sz="4" w:space="0" w:color="auto"/>
              <w:bottom w:val="nil"/>
            </w:tcBorders>
            <w:vAlign w:val="center"/>
          </w:tcPr>
          <w:p w14:paraId="22706A4C"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40 Jahre und jünger</w:t>
            </w:r>
          </w:p>
        </w:tc>
        <w:tc>
          <w:tcPr>
            <w:tcW w:w="3684" w:type="dxa"/>
            <w:tcBorders>
              <w:top w:val="single" w:sz="4" w:space="0" w:color="auto"/>
              <w:bottom w:val="nil"/>
            </w:tcBorders>
            <w:vAlign w:val="center"/>
          </w:tcPr>
          <w:p w14:paraId="4DAA9B55"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1</w:t>
            </w:r>
          </w:p>
        </w:tc>
      </w:tr>
      <w:tr w:rsidR="005A5BD5" w:rsidRPr="00334017" w14:paraId="30CC60BB" w14:textId="77777777" w:rsidTr="001E05E7">
        <w:trPr>
          <w:trHeight w:val="360"/>
        </w:trPr>
        <w:tc>
          <w:tcPr>
            <w:tcW w:w="5245" w:type="dxa"/>
            <w:tcBorders>
              <w:top w:val="nil"/>
              <w:bottom w:val="nil"/>
            </w:tcBorders>
            <w:vAlign w:val="center"/>
          </w:tcPr>
          <w:p w14:paraId="557665DE"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41 bis 45 Jahre</w:t>
            </w:r>
          </w:p>
        </w:tc>
        <w:tc>
          <w:tcPr>
            <w:tcW w:w="3684" w:type="dxa"/>
            <w:tcBorders>
              <w:top w:val="nil"/>
              <w:bottom w:val="nil"/>
            </w:tcBorders>
            <w:vAlign w:val="center"/>
          </w:tcPr>
          <w:p w14:paraId="3A2ECF1D"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1,5</w:t>
            </w:r>
          </w:p>
        </w:tc>
      </w:tr>
      <w:tr w:rsidR="005A5BD5" w:rsidRPr="00334017" w14:paraId="3B02C9E7" w14:textId="77777777" w:rsidTr="001E05E7">
        <w:trPr>
          <w:trHeight w:val="360"/>
        </w:trPr>
        <w:tc>
          <w:tcPr>
            <w:tcW w:w="5245" w:type="dxa"/>
            <w:tcBorders>
              <w:top w:val="nil"/>
              <w:bottom w:val="nil"/>
            </w:tcBorders>
            <w:vAlign w:val="center"/>
          </w:tcPr>
          <w:p w14:paraId="2BA7AD91"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46 bis 50 Jahre</w:t>
            </w:r>
          </w:p>
        </w:tc>
        <w:tc>
          <w:tcPr>
            <w:tcW w:w="3684" w:type="dxa"/>
            <w:tcBorders>
              <w:top w:val="nil"/>
              <w:bottom w:val="nil"/>
            </w:tcBorders>
            <w:vAlign w:val="center"/>
          </w:tcPr>
          <w:p w14:paraId="5ABA6007"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2</w:t>
            </w:r>
          </w:p>
        </w:tc>
      </w:tr>
      <w:tr w:rsidR="005A5BD5" w:rsidRPr="00334017" w14:paraId="5E00650B" w14:textId="77777777" w:rsidTr="001E05E7">
        <w:trPr>
          <w:trHeight w:val="360"/>
        </w:trPr>
        <w:tc>
          <w:tcPr>
            <w:tcW w:w="5245" w:type="dxa"/>
            <w:tcBorders>
              <w:top w:val="nil"/>
              <w:bottom w:val="nil"/>
            </w:tcBorders>
            <w:vAlign w:val="center"/>
          </w:tcPr>
          <w:p w14:paraId="75088931"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51 bis 55 Jahre</w:t>
            </w:r>
          </w:p>
        </w:tc>
        <w:tc>
          <w:tcPr>
            <w:tcW w:w="3684" w:type="dxa"/>
            <w:tcBorders>
              <w:top w:val="nil"/>
              <w:bottom w:val="nil"/>
            </w:tcBorders>
            <w:vAlign w:val="center"/>
          </w:tcPr>
          <w:p w14:paraId="63841AAE"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2,5</w:t>
            </w:r>
          </w:p>
        </w:tc>
      </w:tr>
      <w:tr w:rsidR="005A5BD5" w:rsidRPr="00334017" w14:paraId="72014F13" w14:textId="77777777" w:rsidTr="001E05E7">
        <w:trPr>
          <w:trHeight w:val="360"/>
        </w:trPr>
        <w:tc>
          <w:tcPr>
            <w:tcW w:w="5245" w:type="dxa"/>
            <w:tcBorders>
              <w:top w:val="nil"/>
              <w:bottom w:val="nil"/>
            </w:tcBorders>
            <w:vAlign w:val="center"/>
          </w:tcPr>
          <w:p w14:paraId="50313D0C"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56 bis 58 Jahre</w:t>
            </w:r>
          </w:p>
        </w:tc>
        <w:tc>
          <w:tcPr>
            <w:tcW w:w="3684" w:type="dxa"/>
            <w:tcBorders>
              <w:top w:val="nil"/>
              <w:bottom w:val="nil"/>
            </w:tcBorders>
            <w:vAlign w:val="center"/>
          </w:tcPr>
          <w:p w14:paraId="0BFFDE56"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3</w:t>
            </w:r>
          </w:p>
        </w:tc>
      </w:tr>
      <w:tr w:rsidR="005A5BD5" w:rsidRPr="00334017" w14:paraId="5B56CCBE" w14:textId="77777777" w:rsidTr="001E05E7">
        <w:trPr>
          <w:trHeight w:val="360"/>
        </w:trPr>
        <w:tc>
          <w:tcPr>
            <w:tcW w:w="5245" w:type="dxa"/>
            <w:tcBorders>
              <w:top w:val="nil"/>
              <w:bottom w:val="nil"/>
            </w:tcBorders>
            <w:vAlign w:val="center"/>
          </w:tcPr>
          <w:p w14:paraId="374370D5"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59 und 60 Jahre</w:t>
            </w:r>
          </w:p>
        </w:tc>
        <w:tc>
          <w:tcPr>
            <w:tcW w:w="3684" w:type="dxa"/>
            <w:tcBorders>
              <w:top w:val="nil"/>
              <w:bottom w:val="nil"/>
            </w:tcBorders>
            <w:vAlign w:val="center"/>
          </w:tcPr>
          <w:p w14:paraId="314C68A2"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3,5</w:t>
            </w:r>
          </w:p>
        </w:tc>
      </w:tr>
      <w:tr w:rsidR="005A5BD5" w:rsidRPr="00334017" w14:paraId="4C5C336D" w14:textId="77777777" w:rsidTr="001E05E7">
        <w:trPr>
          <w:trHeight w:val="360"/>
        </w:trPr>
        <w:tc>
          <w:tcPr>
            <w:tcW w:w="5245" w:type="dxa"/>
            <w:tcBorders>
              <w:top w:val="nil"/>
              <w:bottom w:val="nil"/>
            </w:tcBorders>
            <w:vAlign w:val="center"/>
          </w:tcPr>
          <w:p w14:paraId="2BF97036"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61 und 62 Jahre</w:t>
            </w:r>
          </w:p>
        </w:tc>
        <w:tc>
          <w:tcPr>
            <w:tcW w:w="3684" w:type="dxa"/>
            <w:tcBorders>
              <w:top w:val="nil"/>
              <w:bottom w:val="nil"/>
            </w:tcBorders>
            <w:vAlign w:val="center"/>
          </w:tcPr>
          <w:p w14:paraId="1B52A3A2"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4</w:t>
            </w:r>
          </w:p>
        </w:tc>
      </w:tr>
      <w:tr w:rsidR="005A5BD5" w:rsidRPr="00334017" w14:paraId="4F1897EB" w14:textId="77777777" w:rsidTr="001E05E7">
        <w:trPr>
          <w:trHeight w:val="360"/>
        </w:trPr>
        <w:tc>
          <w:tcPr>
            <w:tcW w:w="5245" w:type="dxa"/>
            <w:tcBorders>
              <w:top w:val="nil"/>
              <w:bottom w:val="nil"/>
            </w:tcBorders>
            <w:vAlign w:val="center"/>
          </w:tcPr>
          <w:p w14:paraId="082DB192"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63 und 64 Jahre</w:t>
            </w:r>
          </w:p>
        </w:tc>
        <w:tc>
          <w:tcPr>
            <w:tcW w:w="3684" w:type="dxa"/>
            <w:tcBorders>
              <w:top w:val="nil"/>
              <w:bottom w:val="nil"/>
            </w:tcBorders>
            <w:vAlign w:val="center"/>
          </w:tcPr>
          <w:p w14:paraId="5C01E0C4"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4,5</w:t>
            </w:r>
          </w:p>
        </w:tc>
      </w:tr>
      <w:tr w:rsidR="005A5BD5" w:rsidRPr="00334017" w14:paraId="0FD11DED" w14:textId="77777777" w:rsidTr="001E05E7">
        <w:trPr>
          <w:trHeight w:val="360"/>
        </w:trPr>
        <w:tc>
          <w:tcPr>
            <w:tcW w:w="5245" w:type="dxa"/>
            <w:tcBorders>
              <w:top w:val="nil"/>
              <w:bottom w:val="double" w:sz="6" w:space="0" w:color="auto"/>
            </w:tcBorders>
            <w:vAlign w:val="center"/>
          </w:tcPr>
          <w:p w14:paraId="7D88EE9B"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65 Jahre und älter</w:t>
            </w:r>
          </w:p>
        </w:tc>
        <w:tc>
          <w:tcPr>
            <w:tcW w:w="3684" w:type="dxa"/>
            <w:tcBorders>
              <w:top w:val="nil"/>
              <w:bottom w:val="double" w:sz="6" w:space="0" w:color="auto"/>
            </w:tcBorders>
            <w:vAlign w:val="center"/>
          </w:tcPr>
          <w:p w14:paraId="0936A127" w14:textId="77777777" w:rsidR="005A5BD5" w:rsidRPr="00334017" w:rsidRDefault="005A5BD5" w:rsidP="004C2C7D">
            <w:pPr>
              <w:spacing w:before="60" w:after="60"/>
              <w:jc w:val="center"/>
              <w:rPr>
                <w:rFonts w:eastAsia="Calibri"/>
                <w:szCs w:val="22"/>
                <w:lang w:eastAsia="de-DE" w:bidi="de-DE"/>
              </w:rPr>
            </w:pPr>
            <w:r w:rsidRPr="00334017">
              <w:rPr>
                <w:rFonts w:eastAsia="Calibri"/>
                <w:szCs w:val="22"/>
                <w:lang w:eastAsia="de-DE" w:bidi="de-DE"/>
              </w:rPr>
              <w:t>5</w:t>
            </w:r>
          </w:p>
        </w:tc>
      </w:tr>
    </w:tbl>
    <w:p w14:paraId="6475CEE2" w14:textId="77777777" w:rsidR="005A5BD5" w:rsidRPr="00334017" w:rsidRDefault="005A5BD5" w:rsidP="004C2C7D">
      <w:pPr>
        <w:jc w:val="both"/>
        <w:rPr>
          <w:rFonts w:eastAsia="Calibri"/>
          <w:szCs w:val="22"/>
          <w:lang w:eastAsia="de-DE" w:bidi="de-DE"/>
        </w:rPr>
      </w:pPr>
    </w:p>
    <w:p w14:paraId="168EA060" w14:textId="77777777" w:rsidR="005A5BD5" w:rsidRPr="00334017" w:rsidRDefault="005A5BD5" w:rsidP="004C2C7D">
      <w:pPr>
        <w:jc w:val="both"/>
        <w:rPr>
          <w:rFonts w:eastAsia="Calibri"/>
          <w:szCs w:val="22"/>
          <w:lang w:eastAsia="de-DE" w:bidi="de-DE"/>
        </w:rPr>
      </w:pPr>
    </w:p>
    <w:p w14:paraId="6629743D" w14:textId="77777777" w:rsidR="00C17845" w:rsidRDefault="00C17845">
      <w:pPr>
        <w:rPr>
          <w:rFonts w:eastAsia="Calibri"/>
          <w:i/>
          <w:szCs w:val="22"/>
          <w:lang w:eastAsia="de-DE" w:bidi="de-DE"/>
        </w:rPr>
      </w:pPr>
      <w:r>
        <w:rPr>
          <w:rFonts w:eastAsia="Calibri"/>
          <w:i/>
          <w:szCs w:val="22"/>
          <w:lang w:eastAsia="de-DE" w:bidi="de-DE"/>
        </w:rPr>
        <w:br w:type="page"/>
      </w:r>
    </w:p>
    <w:p w14:paraId="78AB4868" w14:textId="1B4CA382" w:rsidR="005A5BD5" w:rsidRPr="00334017" w:rsidRDefault="005A5BD5" w:rsidP="004C2C7D">
      <w:pPr>
        <w:jc w:val="center"/>
        <w:rPr>
          <w:rFonts w:eastAsia="Calibri"/>
          <w:szCs w:val="22"/>
          <w:lang w:eastAsia="de-DE" w:bidi="de-DE"/>
        </w:rPr>
      </w:pPr>
      <w:r w:rsidRPr="00334017">
        <w:rPr>
          <w:rFonts w:eastAsia="Calibri"/>
          <w:i/>
          <w:szCs w:val="22"/>
          <w:lang w:eastAsia="de-DE" w:bidi="de-DE"/>
        </w:rPr>
        <w:lastRenderedPageBreak/>
        <w:t>Abschnitt 27bis</w:t>
      </w:r>
      <w:r w:rsidRPr="00334017">
        <w:rPr>
          <w:rFonts w:eastAsia="Calibri"/>
          <w:szCs w:val="22"/>
          <w:lang w:eastAsia="de-DE" w:bidi="de-DE"/>
        </w:rPr>
        <w:t> - Bedingungen und Grenzen der Steuerbefreiung für technische Rückstellungen</w:t>
      </w:r>
    </w:p>
    <w:p w14:paraId="5E05AD33" w14:textId="77777777" w:rsidR="005A5BD5" w:rsidRPr="00334017" w:rsidRDefault="005A5BD5" w:rsidP="004C2C7D">
      <w:pPr>
        <w:jc w:val="center"/>
        <w:rPr>
          <w:rFonts w:eastAsia="Calibri"/>
          <w:szCs w:val="22"/>
          <w:lang w:eastAsia="de-DE" w:bidi="de-DE"/>
        </w:rPr>
      </w:pPr>
    </w:p>
    <w:p w14:paraId="1AD25B44" w14:textId="77777777" w:rsidR="005A5BD5" w:rsidRPr="00334017" w:rsidRDefault="005A5BD5" w:rsidP="004C2C7D">
      <w:pPr>
        <w:jc w:val="center"/>
        <w:rPr>
          <w:rFonts w:eastAsia="Calibri"/>
          <w:szCs w:val="22"/>
          <w:lang w:eastAsia="de-DE" w:bidi="de-DE"/>
        </w:rPr>
      </w:pPr>
      <w:r w:rsidRPr="00334017">
        <w:rPr>
          <w:rFonts w:eastAsia="Calibri"/>
          <w:szCs w:val="22"/>
          <w:lang w:eastAsia="de-DE" w:bidi="de-DE"/>
        </w:rPr>
        <w:t>(Einkommensteuergesetzbuch 1992, Artikel 194</w:t>
      </w:r>
      <w:r w:rsidRPr="00334017">
        <w:rPr>
          <w:rFonts w:eastAsia="Calibri"/>
          <w:i/>
          <w:szCs w:val="22"/>
          <w:lang w:eastAsia="de-DE" w:bidi="de-DE"/>
        </w:rPr>
        <w:t>bis</w:t>
      </w:r>
      <w:r w:rsidRPr="00334017">
        <w:rPr>
          <w:rFonts w:eastAsia="Calibri"/>
          <w:szCs w:val="22"/>
          <w:lang w:eastAsia="de-DE" w:bidi="de-DE"/>
        </w:rPr>
        <w:t>)</w:t>
      </w:r>
    </w:p>
    <w:p w14:paraId="1303FC19" w14:textId="77777777" w:rsidR="005A5BD5" w:rsidRPr="00334017" w:rsidRDefault="005A5BD5" w:rsidP="004C2C7D">
      <w:pPr>
        <w:jc w:val="both"/>
        <w:rPr>
          <w:rFonts w:eastAsia="Calibri"/>
          <w:szCs w:val="22"/>
          <w:lang w:eastAsia="de-DE" w:bidi="de-DE"/>
        </w:rPr>
      </w:pPr>
    </w:p>
    <w:p w14:paraId="1AEB0DFF"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[Abschnitt 27bis mit den Artikeln 73</w:t>
      </w:r>
      <w:r w:rsidRPr="00334017">
        <w:rPr>
          <w:rFonts w:eastAsia="Calibri"/>
          <w:i/>
          <w:szCs w:val="22"/>
          <w:vertAlign w:val="superscript"/>
          <w:lang w:eastAsia="de-DE" w:bidi="de-DE"/>
        </w:rPr>
        <w:t>1</w:t>
      </w:r>
      <w:r w:rsidRPr="00334017">
        <w:rPr>
          <w:rFonts w:eastAsia="Calibri"/>
          <w:i/>
          <w:szCs w:val="22"/>
          <w:lang w:eastAsia="de-DE" w:bidi="de-DE"/>
        </w:rPr>
        <w:t xml:space="preserve"> bis 73</w:t>
      </w:r>
      <w:r w:rsidRPr="00334017">
        <w:rPr>
          <w:rFonts w:eastAsia="Calibri"/>
          <w:i/>
          <w:szCs w:val="22"/>
          <w:vertAlign w:val="superscript"/>
          <w:lang w:eastAsia="de-DE" w:bidi="de-DE"/>
        </w:rPr>
        <w:t>4</w:t>
      </w:r>
      <w:r w:rsidRPr="00334017">
        <w:rPr>
          <w:rFonts w:eastAsia="Calibri"/>
          <w:i/>
          <w:szCs w:val="22"/>
          <w:lang w:eastAsia="de-DE" w:bidi="de-DE"/>
        </w:rPr>
        <w:t xml:space="preserve"> eingefügt durch Art. 1 des K.E. vom 13. Mai 1999 (B.S. vom 8. Juli 1999)]</w:t>
      </w:r>
    </w:p>
    <w:p w14:paraId="4684AAFB" w14:textId="77777777" w:rsidR="005A5BD5" w:rsidRPr="00334017" w:rsidRDefault="005A5BD5" w:rsidP="004C2C7D">
      <w:pPr>
        <w:jc w:val="both"/>
        <w:rPr>
          <w:rFonts w:eastAsia="Calibri"/>
          <w:szCs w:val="22"/>
          <w:lang w:eastAsia="de-DE" w:bidi="de-DE"/>
        </w:rPr>
      </w:pPr>
    </w:p>
    <w:p w14:paraId="6AA033A0" w14:textId="77777777" w:rsidR="005A5BD5" w:rsidRPr="00334017" w:rsidRDefault="005A5BD5" w:rsidP="004C2C7D">
      <w:pPr>
        <w:jc w:val="both"/>
        <w:rPr>
          <w:rFonts w:eastAsia="Calibri"/>
          <w:szCs w:val="22"/>
          <w:lang w:eastAsia="de-DE" w:bidi="de-DE"/>
        </w:rPr>
      </w:pPr>
    </w:p>
    <w:p w14:paraId="1EE9762A"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73</w:t>
      </w:r>
      <w:r w:rsidRPr="00334017">
        <w:rPr>
          <w:rFonts w:eastAsia="Calibri"/>
          <w:b/>
          <w:szCs w:val="22"/>
          <w:vertAlign w:val="superscript"/>
          <w:lang w:eastAsia="de-DE" w:bidi="de-DE"/>
        </w:rPr>
        <w:t>1</w:t>
      </w:r>
      <w:r w:rsidRPr="00334017">
        <w:rPr>
          <w:rFonts w:eastAsia="Calibri"/>
          <w:szCs w:val="22"/>
          <w:lang w:eastAsia="de-DE" w:bidi="de-DE"/>
        </w:rPr>
        <w:t> - Unter den Bedingungen und in den Grenzen wie in den Artikeln 73</w:t>
      </w:r>
      <w:r w:rsidRPr="00334017">
        <w:rPr>
          <w:rFonts w:eastAsia="Calibri"/>
          <w:szCs w:val="22"/>
          <w:vertAlign w:val="superscript"/>
          <w:lang w:eastAsia="de-DE" w:bidi="de-DE"/>
        </w:rPr>
        <w:t>2</w:t>
      </w:r>
      <w:r w:rsidRPr="00334017">
        <w:rPr>
          <w:rFonts w:eastAsia="Calibri"/>
          <w:szCs w:val="22"/>
          <w:lang w:eastAsia="de-DE" w:bidi="de-DE"/>
        </w:rPr>
        <w:t xml:space="preserve"> bis 73</w:t>
      </w:r>
      <w:r w:rsidRPr="00334017">
        <w:rPr>
          <w:rFonts w:eastAsia="Calibri"/>
          <w:szCs w:val="22"/>
          <w:vertAlign w:val="superscript"/>
          <w:lang w:eastAsia="de-DE" w:bidi="de-DE"/>
        </w:rPr>
        <w:t>4</w:t>
      </w:r>
      <w:r w:rsidRPr="00334017">
        <w:rPr>
          <w:rFonts w:eastAsia="Calibri"/>
          <w:szCs w:val="22"/>
          <w:lang w:eastAsia="de-DE" w:bidi="de-DE"/>
        </w:rPr>
        <w:t xml:space="preserve"> erwähnt sind folgende technische Rückstellungen steuerfrei:</w:t>
      </w:r>
    </w:p>
    <w:p w14:paraId="7D66F874" w14:textId="77777777" w:rsidR="005A5BD5" w:rsidRPr="00334017" w:rsidRDefault="005A5BD5" w:rsidP="004C2C7D">
      <w:pPr>
        <w:jc w:val="both"/>
        <w:rPr>
          <w:rFonts w:eastAsia="Calibri"/>
          <w:szCs w:val="22"/>
          <w:lang w:eastAsia="de-DE" w:bidi="de-DE"/>
        </w:rPr>
      </w:pPr>
    </w:p>
    <w:p w14:paraId="72567A1E"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Schwankungs- und Katastrophenrückstellung in Bezug auf die in Artikel 73</w:t>
      </w:r>
      <w:r w:rsidRPr="00334017">
        <w:rPr>
          <w:rFonts w:eastAsia="Calibri"/>
          <w:szCs w:val="22"/>
          <w:vertAlign w:val="superscript"/>
          <w:lang w:eastAsia="de-DE" w:bidi="de-DE"/>
        </w:rPr>
        <w:t>3</w:t>
      </w:r>
      <w:r w:rsidRPr="00334017">
        <w:rPr>
          <w:rFonts w:eastAsia="Calibri"/>
          <w:szCs w:val="22"/>
          <w:lang w:eastAsia="de-DE" w:bidi="de-DE"/>
        </w:rPr>
        <w:t xml:space="preserve"> erwähnten Risiken,</w:t>
      </w:r>
    </w:p>
    <w:p w14:paraId="7A97B406" w14:textId="77777777" w:rsidR="005A5BD5" w:rsidRPr="00334017" w:rsidRDefault="005A5BD5" w:rsidP="004C2C7D">
      <w:pPr>
        <w:jc w:val="both"/>
        <w:rPr>
          <w:rFonts w:eastAsia="Calibri"/>
          <w:szCs w:val="22"/>
          <w:lang w:eastAsia="de-DE" w:bidi="de-DE"/>
        </w:rPr>
      </w:pPr>
    </w:p>
    <w:p w14:paraId="28E2565F"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Beitragsübertrag wie in Artikel 73</w:t>
      </w:r>
      <w:r w:rsidRPr="00334017">
        <w:rPr>
          <w:rFonts w:eastAsia="Calibri"/>
          <w:szCs w:val="22"/>
          <w:vertAlign w:val="superscript"/>
          <w:lang w:eastAsia="de-DE" w:bidi="de-DE"/>
        </w:rPr>
        <w:t>4</w:t>
      </w:r>
      <w:r w:rsidRPr="00334017">
        <w:rPr>
          <w:rFonts w:eastAsia="Calibri"/>
          <w:szCs w:val="22"/>
          <w:lang w:eastAsia="de-DE" w:bidi="de-DE"/>
        </w:rPr>
        <w:t xml:space="preserve"> erwähnt.</w:t>
      </w:r>
    </w:p>
    <w:p w14:paraId="0E184EA9" w14:textId="77777777" w:rsidR="009A607C" w:rsidRDefault="009A607C" w:rsidP="004C2C7D">
      <w:pPr>
        <w:jc w:val="both"/>
        <w:rPr>
          <w:rFonts w:eastAsia="Calibri"/>
          <w:szCs w:val="22"/>
          <w:lang w:eastAsia="de-DE" w:bidi="de-DE"/>
        </w:rPr>
      </w:pPr>
    </w:p>
    <w:p w14:paraId="558E5C32" w14:textId="77777777" w:rsidR="009A607C" w:rsidRDefault="009A607C" w:rsidP="004C2C7D">
      <w:pPr>
        <w:jc w:val="both"/>
        <w:rPr>
          <w:rFonts w:eastAsia="Calibri"/>
          <w:szCs w:val="22"/>
          <w:lang w:eastAsia="de-DE" w:bidi="de-DE"/>
        </w:rPr>
      </w:pPr>
    </w:p>
    <w:p w14:paraId="5173C9D9"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73</w:t>
      </w:r>
      <w:r w:rsidRPr="00334017">
        <w:rPr>
          <w:rFonts w:eastAsia="Calibri"/>
          <w:b/>
          <w:szCs w:val="22"/>
          <w:vertAlign w:val="superscript"/>
          <w:lang w:eastAsia="de-DE" w:bidi="de-DE"/>
        </w:rPr>
        <w:t>2</w:t>
      </w:r>
      <w:r w:rsidRPr="00334017">
        <w:rPr>
          <w:rFonts w:eastAsia="Calibri"/>
          <w:szCs w:val="22"/>
          <w:lang w:eastAsia="de-DE" w:bidi="de-DE"/>
        </w:rPr>
        <w:t> - In Artikel 73</w:t>
      </w:r>
      <w:r w:rsidRPr="00334017">
        <w:rPr>
          <w:rFonts w:eastAsia="Calibri"/>
          <w:szCs w:val="22"/>
          <w:vertAlign w:val="superscript"/>
          <w:lang w:eastAsia="de-DE" w:bidi="de-DE"/>
        </w:rPr>
        <w:t>1</w:t>
      </w:r>
      <w:r w:rsidRPr="00334017">
        <w:rPr>
          <w:rFonts w:eastAsia="Calibri"/>
          <w:szCs w:val="22"/>
          <w:lang w:eastAsia="de-DE" w:bidi="de-DE"/>
        </w:rPr>
        <w:t xml:space="preserve"> erwähnte Rückstellungen, die bei Ablauf des Besteuerungszeitraums gebucht sind, werden vom Gewinn dieses Zeitraums ausgeschlossen, vorausgesetzt, dass:</w:t>
      </w:r>
    </w:p>
    <w:p w14:paraId="621361F2" w14:textId="77777777" w:rsidR="005A5BD5" w:rsidRPr="00334017" w:rsidRDefault="005A5BD5" w:rsidP="004C2C7D">
      <w:pPr>
        <w:jc w:val="both"/>
        <w:rPr>
          <w:rFonts w:eastAsia="Calibri"/>
          <w:szCs w:val="22"/>
          <w:lang w:eastAsia="de-DE" w:bidi="de-DE"/>
        </w:rPr>
      </w:pPr>
    </w:p>
    <w:p w14:paraId="1CA17222"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1. die Rückstellungen Verpflichtungen entsprechen, die für die Ausführung von Versicherungsverträgen, die am letzten Tag des Besteuerungszeitraums bestanden, oder für die Ausführung von fälligen, aber nicht gänzlich abgewickelten Verträgen zu Lasten des Unternehmens gehen,</w:t>
      </w:r>
    </w:p>
    <w:p w14:paraId="78A4476F" w14:textId="77777777" w:rsidR="005A5BD5" w:rsidRPr="00334017" w:rsidRDefault="005A5BD5" w:rsidP="004C2C7D">
      <w:pPr>
        <w:jc w:val="both"/>
        <w:rPr>
          <w:rFonts w:eastAsia="Calibri"/>
          <w:szCs w:val="22"/>
          <w:lang w:eastAsia="de-DE" w:bidi="de-DE"/>
        </w:rPr>
      </w:pPr>
    </w:p>
    <w:p w14:paraId="5155594C"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2. die Rückstellungen unter den entsprechenden Passivposten erscheinen,</w:t>
      </w:r>
    </w:p>
    <w:p w14:paraId="524F88B5" w14:textId="77777777" w:rsidR="005A5BD5" w:rsidRPr="00334017" w:rsidRDefault="005A5BD5" w:rsidP="004C2C7D">
      <w:pPr>
        <w:jc w:val="both"/>
        <w:rPr>
          <w:rFonts w:eastAsia="Calibri"/>
          <w:szCs w:val="22"/>
          <w:lang w:eastAsia="de-DE" w:bidi="de-DE"/>
        </w:rPr>
      </w:pPr>
    </w:p>
    <w:p w14:paraId="503C6843"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3. die Beträge der bei Ablauf des Besteuerungszeitraums bestehenden technischen Rückstellungen, für die die Steuerbefreiung beansprucht wird, anhand von Unterlagen, die für ihre Bestimmung erforderlich sind, nachgewiesen werden. Für jede Kategorie oder Unterkategorie von Rückstellungen kann eine spezifische Aufstellung verlangt werden, deren Muster, Inhalt und Träger vom Minister der Finanzen oder von seinem Beauftragten festgelegt werden.</w:t>
      </w:r>
    </w:p>
    <w:p w14:paraId="3878AA62" w14:textId="77777777" w:rsidR="005A5BD5" w:rsidRPr="00334017" w:rsidRDefault="005A5BD5" w:rsidP="004C2C7D">
      <w:pPr>
        <w:jc w:val="both"/>
        <w:rPr>
          <w:rFonts w:eastAsia="Calibri"/>
          <w:szCs w:val="22"/>
          <w:lang w:eastAsia="de-DE" w:bidi="de-DE"/>
        </w:rPr>
      </w:pPr>
    </w:p>
    <w:p w14:paraId="082D357E"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In Abweichung von Absatz 1 Nr. 1 muss die Schwankungs- und Katastrophen</w:t>
      </w:r>
      <w:r w:rsidRPr="00334017">
        <w:rPr>
          <w:rFonts w:eastAsia="Calibri"/>
          <w:szCs w:val="22"/>
          <w:lang w:eastAsia="de-DE" w:bidi="de-DE"/>
        </w:rPr>
        <w:softHyphen/>
        <w:t>rückstellung der Verpflichtung entsprechen, die für die Deckung der in Artikel 73</w:t>
      </w:r>
      <w:r w:rsidRPr="00334017">
        <w:rPr>
          <w:rFonts w:eastAsia="Calibri"/>
          <w:szCs w:val="22"/>
          <w:vertAlign w:val="superscript"/>
          <w:lang w:eastAsia="de-DE" w:bidi="de-DE"/>
        </w:rPr>
        <w:t>3</w:t>
      </w:r>
      <w:r w:rsidRPr="00334017">
        <w:rPr>
          <w:rFonts w:eastAsia="Calibri"/>
          <w:szCs w:val="22"/>
          <w:lang w:eastAsia="de-DE" w:bidi="de-DE"/>
        </w:rPr>
        <w:t xml:space="preserve"> erwähnten Risiken zu Lasten des Unternehmens geht.</w:t>
      </w:r>
    </w:p>
    <w:p w14:paraId="4969C59D" w14:textId="77777777" w:rsidR="005A5BD5" w:rsidRPr="00334017" w:rsidRDefault="005A5BD5" w:rsidP="004C2C7D">
      <w:pPr>
        <w:jc w:val="both"/>
        <w:rPr>
          <w:rFonts w:eastAsia="Calibri"/>
          <w:szCs w:val="22"/>
          <w:lang w:eastAsia="de-DE" w:bidi="de-DE"/>
        </w:rPr>
      </w:pPr>
    </w:p>
    <w:p w14:paraId="79CF03A1" w14:textId="77777777" w:rsidR="005A5BD5" w:rsidRPr="00334017" w:rsidRDefault="005A5BD5" w:rsidP="004C2C7D">
      <w:pPr>
        <w:jc w:val="both"/>
        <w:rPr>
          <w:rFonts w:eastAsia="Calibri"/>
          <w:szCs w:val="22"/>
          <w:lang w:eastAsia="de-DE" w:bidi="de-DE"/>
        </w:rPr>
      </w:pPr>
    </w:p>
    <w:p w14:paraId="2F32DDEA" w14:textId="7EC002C1"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73</w:t>
      </w:r>
      <w:r w:rsidRPr="00334017">
        <w:rPr>
          <w:rFonts w:eastAsia="Calibri"/>
          <w:b/>
          <w:szCs w:val="22"/>
          <w:vertAlign w:val="superscript"/>
          <w:lang w:eastAsia="de-DE" w:bidi="de-DE"/>
        </w:rPr>
        <w:t>3</w:t>
      </w:r>
      <w:r w:rsidRPr="00334017">
        <w:rPr>
          <w:rFonts w:eastAsia="Calibri"/>
          <w:szCs w:val="22"/>
          <w:lang w:eastAsia="de-DE" w:bidi="de-DE"/>
        </w:rPr>
        <w:t> - Schwankungs- und Katastrophenrückstellungen sind in folgenden Grenzen steuerfrei:</w:t>
      </w:r>
    </w:p>
    <w:p w14:paraId="4D7814E7" w14:textId="77777777" w:rsidR="005A5BD5" w:rsidRPr="00334017" w:rsidRDefault="005A5BD5" w:rsidP="004C2C7D">
      <w:pPr>
        <w:jc w:val="both"/>
        <w:rPr>
          <w:rFonts w:eastAsia="Calibri"/>
          <w:szCs w:val="22"/>
          <w:lang w:eastAsia="de-DE" w:bidi="de-DE"/>
        </w:rPr>
      </w:pPr>
    </w:p>
    <w:p w14:paraId="12C6B2EB"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1. Für Risiken in Bezug auf Elementarschäden, Luft- und Raumfahrt, Anschläge und Arbeitskonflikte:</w:t>
      </w:r>
    </w:p>
    <w:p w14:paraId="6BCAA268" w14:textId="77777777" w:rsidR="005A5BD5" w:rsidRPr="00334017" w:rsidRDefault="005A5BD5" w:rsidP="004C2C7D">
      <w:pPr>
        <w:jc w:val="both"/>
        <w:rPr>
          <w:rFonts w:eastAsia="Calibri"/>
          <w:szCs w:val="22"/>
          <w:lang w:eastAsia="de-DE" w:bidi="de-DE"/>
        </w:rPr>
      </w:pPr>
    </w:p>
    <w:p w14:paraId="57C56318"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darf der Gesamtbetrag der bei Ablauf des Besteuerungszeitraums bestehenden steuerfreien Rückstellungen 350 Prozent der erworbenen Prämien nach Abzug der Rückversicherungs- oder Retrozessionsübertragungen nicht überschreiten,</w:t>
      </w:r>
    </w:p>
    <w:p w14:paraId="4A777E8A" w14:textId="77777777" w:rsidR="005A5BD5" w:rsidRPr="00334017" w:rsidRDefault="005A5BD5" w:rsidP="004C2C7D">
      <w:pPr>
        <w:jc w:val="both"/>
        <w:rPr>
          <w:rFonts w:eastAsia="Calibri"/>
          <w:szCs w:val="22"/>
          <w:lang w:eastAsia="de-DE" w:bidi="de-DE"/>
        </w:rPr>
      </w:pPr>
    </w:p>
    <w:p w14:paraId="653E4068"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darf der für den Besteuerungszeitraum steuerfreie Betrag der Zuführung an die Rückstellung 5 Prozent des in Buchstabe </w:t>
      </w:r>
      <w:r w:rsidRPr="00334017">
        <w:rPr>
          <w:rFonts w:eastAsia="Calibri"/>
          <w:i/>
          <w:szCs w:val="22"/>
          <w:lang w:eastAsia="de-DE" w:bidi="de-DE"/>
        </w:rPr>
        <w:t>a)</w:t>
      </w:r>
      <w:r w:rsidRPr="00334017">
        <w:rPr>
          <w:rFonts w:eastAsia="Calibri"/>
          <w:szCs w:val="22"/>
          <w:lang w:eastAsia="de-DE" w:bidi="de-DE"/>
        </w:rPr>
        <w:t xml:space="preserve"> erwähnten Höchstbetrags nicht überschreiten.</w:t>
      </w:r>
    </w:p>
    <w:p w14:paraId="2039D28A" w14:textId="77777777" w:rsidR="005A5BD5" w:rsidRPr="00334017" w:rsidRDefault="005A5BD5" w:rsidP="004C2C7D">
      <w:pPr>
        <w:jc w:val="both"/>
        <w:rPr>
          <w:rFonts w:eastAsia="Calibri"/>
          <w:szCs w:val="22"/>
          <w:lang w:eastAsia="de-DE" w:bidi="de-DE"/>
        </w:rPr>
      </w:pPr>
    </w:p>
    <w:p w14:paraId="654EBC2A"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2. Für Umwelthaftpflicht und Produkthaftpflicht:</w:t>
      </w:r>
    </w:p>
    <w:p w14:paraId="189594C4" w14:textId="77777777" w:rsidR="005A5BD5" w:rsidRPr="00334017" w:rsidRDefault="005A5BD5" w:rsidP="004C2C7D">
      <w:pPr>
        <w:jc w:val="both"/>
        <w:rPr>
          <w:rFonts w:eastAsia="Calibri"/>
          <w:szCs w:val="22"/>
          <w:lang w:eastAsia="de-DE" w:bidi="de-DE"/>
        </w:rPr>
      </w:pPr>
    </w:p>
    <w:p w14:paraId="3D78E032"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xml:space="preserve"> darf der Gesamtbetrag der bei Ablauf des Besteuerungszeitraums bestehenden steuerfreien Rückstellungen 500 Prozent der erworbenen Prämien nach Abzug der Rückversicherungs- oder Retrozessionsübertragungen nicht überschreiten,</w:t>
      </w:r>
    </w:p>
    <w:p w14:paraId="613DB275" w14:textId="77777777" w:rsidR="005A5BD5" w:rsidRPr="00334017" w:rsidRDefault="005A5BD5" w:rsidP="004C2C7D">
      <w:pPr>
        <w:jc w:val="both"/>
        <w:rPr>
          <w:rFonts w:eastAsia="Calibri"/>
          <w:szCs w:val="22"/>
          <w:lang w:eastAsia="de-DE" w:bidi="de-DE"/>
        </w:rPr>
      </w:pPr>
    </w:p>
    <w:p w14:paraId="16F4199C"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xml:space="preserve"> darf der für den Besteuerungszeitraum steuerfreie Betrag der Zuführung an die Rückstellung 5 Prozent des in Buchstabe </w:t>
      </w:r>
      <w:r w:rsidRPr="00334017">
        <w:rPr>
          <w:rFonts w:eastAsia="Calibri"/>
          <w:i/>
          <w:szCs w:val="22"/>
          <w:lang w:eastAsia="de-DE" w:bidi="de-DE"/>
        </w:rPr>
        <w:t>a)</w:t>
      </w:r>
      <w:r w:rsidRPr="00334017">
        <w:rPr>
          <w:rFonts w:eastAsia="Calibri"/>
          <w:szCs w:val="22"/>
          <w:lang w:eastAsia="de-DE" w:bidi="de-DE"/>
        </w:rPr>
        <w:t xml:space="preserve"> erwähnten Höchstbetrags nicht überschreiten.</w:t>
      </w:r>
    </w:p>
    <w:p w14:paraId="2D8726C0" w14:textId="77777777" w:rsidR="005A5BD5" w:rsidRPr="00334017" w:rsidRDefault="005A5BD5" w:rsidP="004C2C7D">
      <w:pPr>
        <w:jc w:val="both"/>
        <w:rPr>
          <w:rFonts w:eastAsia="Calibri"/>
          <w:szCs w:val="22"/>
          <w:lang w:eastAsia="de-DE" w:bidi="de-DE"/>
        </w:rPr>
      </w:pPr>
    </w:p>
    <w:p w14:paraId="34E66C9E"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Aufwendungen, auf die sich die gemäß Absatz 1 gebildeten Rückstellungen beziehen, müssen zu dem Zeitpunkt, zu dem sie tatsächlich getragen werden, auf diese Rückstellung angerechnet werden.</w:t>
      </w:r>
    </w:p>
    <w:p w14:paraId="06E1AD36" w14:textId="77777777" w:rsidR="009A607C" w:rsidRDefault="009A607C" w:rsidP="004C2C7D">
      <w:pPr>
        <w:jc w:val="both"/>
        <w:rPr>
          <w:rFonts w:eastAsia="Calibri"/>
          <w:szCs w:val="22"/>
          <w:lang w:eastAsia="de-DE" w:bidi="de-DE"/>
        </w:rPr>
      </w:pPr>
    </w:p>
    <w:p w14:paraId="1ABEB2DB" w14:textId="77777777" w:rsidR="009A607C" w:rsidRDefault="009A607C" w:rsidP="004C2C7D">
      <w:pPr>
        <w:jc w:val="both"/>
        <w:rPr>
          <w:rFonts w:eastAsia="Calibri"/>
          <w:szCs w:val="22"/>
          <w:lang w:eastAsia="de-DE" w:bidi="de-DE"/>
        </w:rPr>
      </w:pPr>
    </w:p>
    <w:p w14:paraId="20E044EA"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73</w:t>
      </w:r>
      <w:r w:rsidRPr="00334017">
        <w:rPr>
          <w:rFonts w:eastAsia="Calibri"/>
          <w:b/>
          <w:szCs w:val="22"/>
          <w:vertAlign w:val="superscript"/>
          <w:lang w:eastAsia="de-DE" w:bidi="de-DE"/>
        </w:rPr>
        <w:t>4</w:t>
      </w:r>
      <w:r w:rsidRPr="00334017">
        <w:rPr>
          <w:rFonts w:eastAsia="Calibri"/>
          <w:szCs w:val="22"/>
          <w:lang w:eastAsia="de-DE" w:bidi="de-DE"/>
        </w:rPr>
        <w:t> - Beitragsüberträge sind bis zu dem Teil der Bruttobeiträge der Rückversicherung abzüglich der Abschlussprovisionen steuerfrei, der sich auf den Besteuerungszeitraum nach dem in Artikel 73</w:t>
      </w:r>
      <w:r w:rsidRPr="00334017">
        <w:rPr>
          <w:rFonts w:eastAsia="Calibri"/>
          <w:szCs w:val="22"/>
          <w:vertAlign w:val="superscript"/>
          <w:lang w:eastAsia="de-DE" w:bidi="de-DE"/>
        </w:rPr>
        <w:t>2</w:t>
      </w:r>
      <w:r w:rsidRPr="00334017">
        <w:rPr>
          <w:rFonts w:eastAsia="Calibri"/>
          <w:szCs w:val="22"/>
          <w:lang w:eastAsia="de-DE" w:bidi="de-DE"/>
        </w:rPr>
        <w:t xml:space="preserve"> erwähnten Zeitraum oder auf spätere Besteuerungszeiträume bezieht und dazu dient, Aufwendungen für Versicherungsfälle, Verwaltungsaufwendungen und Aufwendungen für die Verwaltung von Kapitalanlagen zu decken.</w:t>
      </w:r>
    </w:p>
    <w:p w14:paraId="56C0982D" w14:textId="77777777" w:rsidR="005A5BD5" w:rsidRPr="00334017" w:rsidRDefault="005A5BD5" w:rsidP="004C2C7D">
      <w:pPr>
        <w:jc w:val="both"/>
        <w:rPr>
          <w:rFonts w:eastAsia="Calibri"/>
          <w:szCs w:val="22"/>
          <w:lang w:eastAsia="de-DE" w:bidi="de-DE"/>
        </w:rPr>
      </w:pPr>
    </w:p>
    <w:p w14:paraId="12C3A9FD" w14:textId="107E5C28" w:rsidR="005A5BD5" w:rsidRPr="00334017" w:rsidRDefault="005A5BD5" w:rsidP="004C2C7D">
      <w:pPr>
        <w:jc w:val="both"/>
        <w:rPr>
          <w:rFonts w:eastAsia="Calibri"/>
          <w:szCs w:val="22"/>
          <w:lang w:eastAsia="de-DE" w:bidi="de-DE"/>
        </w:rPr>
      </w:pPr>
      <w:r w:rsidRPr="00334017">
        <w:rPr>
          <w:rFonts w:eastAsia="Calibri"/>
          <w:szCs w:val="22"/>
          <w:lang w:eastAsia="de-DE" w:bidi="de-DE"/>
        </w:rPr>
        <w:tab/>
        <w:t>Dieser Teil muss für jeden Versicherungsvertrag im Verhältnis zur Restlaufzeit bis zum Datum des Ablaufs der Deckung getrennt berechnet werden.]</w:t>
      </w:r>
    </w:p>
    <w:p w14:paraId="775CFBCA" w14:textId="77777777" w:rsidR="005A5BD5" w:rsidRPr="00334017" w:rsidRDefault="005A5BD5" w:rsidP="004C2C7D">
      <w:pPr>
        <w:jc w:val="both"/>
        <w:rPr>
          <w:rFonts w:eastAsia="Calibri"/>
          <w:szCs w:val="22"/>
          <w:lang w:eastAsia="de-DE" w:bidi="de-DE"/>
        </w:rPr>
      </w:pPr>
    </w:p>
    <w:p w14:paraId="27EFE135" w14:textId="0370C9DA" w:rsidR="00E61F2A" w:rsidRDefault="00E61F2A">
      <w:pPr>
        <w:rPr>
          <w:rFonts w:eastAsia="Calibri"/>
          <w:szCs w:val="22"/>
          <w:lang w:eastAsia="de-DE" w:bidi="de-DE"/>
        </w:rPr>
      </w:pPr>
    </w:p>
    <w:p w14:paraId="021904F7" w14:textId="77777777" w:rsidR="00C17845" w:rsidRDefault="00C17845">
      <w:pPr>
        <w:rPr>
          <w:rFonts w:eastAsia="Calibri"/>
          <w:szCs w:val="22"/>
          <w:lang w:eastAsia="de-DE" w:bidi="de-DE"/>
        </w:rPr>
      </w:pPr>
      <w:r>
        <w:rPr>
          <w:rFonts w:eastAsia="Calibri"/>
          <w:szCs w:val="22"/>
          <w:lang w:eastAsia="de-DE" w:bidi="de-DE"/>
        </w:rPr>
        <w:br w:type="page"/>
      </w:r>
    </w:p>
    <w:p w14:paraId="45346D04" w14:textId="1B6EBB6D" w:rsidR="005A5BD5" w:rsidRPr="00334017" w:rsidRDefault="005A5BD5" w:rsidP="000168B2">
      <w:pPr>
        <w:jc w:val="both"/>
        <w:rPr>
          <w:rFonts w:eastAsia="Calibri"/>
          <w:szCs w:val="22"/>
          <w:lang w:eastAsia="de-DE" w:bidi="de-DE"/>
        </w:rPr>
      </w:pPr>
      <w:r w:rsidRPr="00334017">
        <w:rPr>
          <w:rFonts w:eastAsia="Calibri"/>
          <w:szCs w:val="22"/>
          <w:lang w:eastAsia="de-DE" w:bidi="de-DE"/>
        </w:rPr>
        <w:lastRenderedPageBreak/>
        <w:t>[</w:t>
      </w:r>
      <w:r w:rsidRPr="00334017">
        <w:rPr>
          <w:rFonts w:eastAsia="Calibri"/>
          <w:i/>
          <w:szCs w:val="22"/>
          <w:lang w:eastAsia="de-DE" w:bidi="de-DE"/>
        </w:rPr>
        <w:t>Abschnitt 27bis/1</w:t>
      </w:r>
      <w:r w:rsidRPr="00334017">
        <w:rPr>
          <w:rFonts w:eastAsia="Calibri"/>
          <w:szCs w:val="22"/>
          <w:lang w:eastAsia="de-DE" w:bidi="de-DE"/>
        </w:rPr>
        <w:t xml:space="preserve"> - </w:t>
      </w:r>
      <w:r w:rsidR="000168B2">
        <w:rPr>
          <w:rFonts w:eastAsia="Calibri"/>
          <w:szCs w:val="22"/>
          <w:lang w:eastAsia="de-DE" w:bidi="de-DE"/>
        </w:rPr>
        <w:t>[</w:t>
      </w:r>
      <w:r w:rsidRPr="00334017">
        <w:rPr>
          <w:rFonts w:eastAsia="Calibri"/>
          <w:szCs w:val="22"/>
          <w:lang w:eastAsia="de-DE" w:bidi="de-DE"/>
        </w:rPr>
        <w:t>Modalitäten und Bedingungen des Verfahrens für die Zulassung in Betracht kommender Produktionsgesellschaften und Vermittler</w:t>
      </w:r>
      <w:r w:rsidR="000168B2">
        <w:rPr>
          <w:rFonts w:eastAsia="Calibri"/>
          <w:szCs w:val="22"/>
          <w:lang w:eastAsia="de-DE" w:bidi="de-DE"/>
        </w:rPr>
        <w:t xml:space="preserve"> </w:t>
      </w:r>
      <w:r w:rsidR="000168B2" w:rsidRPr="00C953A3">
        <w:t>im Rahmen der Tax-Shelter-Regelung für audiovisuelle Werke, Bühnenproduktionen und Videospiele</w:t>
      </w:r>
    </w:p>
    <w:p w14:paraId="07471D61" w14:textId="77777777" w:rsidR="005A5BD5" w:rsidRPr="00334017" w:rsidRDefault="005A5BD5" w:rsidP="004C2C7D">
      <w:pPr>
        <w:jc w:val="both"/>
        <w:rPr>
          <w:rFonts w:eastAsia="Calibri"/>
          <w:szCs w:val="22"/>
          <w:lang w:eastAsia="de-DE" w:bidi="de-DE"/>
        </w:rPr>
      </w:pPr>
    </w:p>
    <w:p w14:paraId="4E3ECD6E" w14:textId="0B67A1AA" w:rsidR="005A5BD5" w:rsidRPr="00334017" w:rsidRDefault="005A5BD5" w:rsidP="004C2C7D">
      <w:pPr>
        <w:jc w:val="center"/>
        <w:rPr>
          <w:rFonts w:eastAsia="Calibri"/>
          <w:szCs w:val="22"/>
          <w:lang w:eastAsia="de-DE" w:bidi="de-DE"/>
        </w:rPr>
      </w:pPr>
      <w:r w:rsidRPr="00334017">
        <w:rPr>
          <w:rFonts w:eastAsia="Calibri"/>
          <w:szCs w:val="22"/>
          <w:lang w:eastAsia="de-DE" w:bidi="de-DE"/>
        </w:rPr>
        <w:t xml:space="preserve">(Einkommensteuergesetzbuch 1992, </w:t>
      </w:r>
      <w:r w:rsidR="00AC73D9" w:rsidRPr="00BF784D">
        <w:t>Artikel 194</w:t>
      </w:r>
      <w:r w:rsidR="00AC73D9" w:rsidRPr="00BF784D">
        <w:rPr>
          <w:i/>
        </w:rPr>
        <w:t>ter</w:t>
      </w:r>
      <w:r w:rsidR="00AC73D9" w:rsidRPr="00BF784D">
        <w:t xml:space="preserve"> bis 194</w:t>
      </w:r>
      <w:r w:rsidR="00AC73D9" w:rsidRPr="00BF784D">
        <w:rPr>
          <w:i/>
        </w:rPr>
        <w:t>ter</w:t>
      </w:r>
      <w:r w:rsidR="00AC73D9" w:rsidRPr="00BF784D">
        <w:t>/</w:t>
      </w:r>
      <w:r w:rsidR="000168B2">
        <w:t>3</w:t>
      </w:r>
      <w:r w:rsidRPr="00334017">
        <w:rPr>
          <w:rFonts w:eastAsia="Calibri"/>
          <w:szCs w:val="22"/>
          <w:lang w:eastAsia="de-DE" w:bidi="de-DE"/>
        </w:rPr>
        <w:t>)</w:t>
      </w:r>
      <w:r w:rsidR="000C6F2A">
        <w:rPr>
          <w:rFonts w:eastAsia="Calibri"/>
          <w:szCs w:val="22"/>
          <w:lang w:eastAsia="de-DE" w:bidi="de-DE"/>
        </w:rPr>
        <w:t>]</w:t>
      </w:r>
    </w:p>
    <w:p w14:paraId="5A5BE1D5" w14:textId="77777777" w:rsidR="005A5BD5" w:rsidRPr="00334017" w:rsidRDefault="005A5BD5" w:rsidP="004C2C7D">
      <w:pPr>
        <w:jc w:val="both"/>
        <w:rPr>
          <w:rFonts w:eastAsia="Calibri"/>
          <w:szCs w:val="22"/>
          <w:lang w:eastAsia="de-DE" w:bidi="de-DE"/>
        </w:rPr>
      </w:pPr>
    </w:p>
    <w:p w14:paraId="11F37F4D" w14:textId="720DCACD"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[Abschnitt 27bis/1 mit den Unterabschnitten 1 bis 5 und den Artikeln 73</w:t>
      </w:r>
      <w:r w:rsidRPr="00334017">
        <w:rPr>
          <w:rFonts w:eastAsia="Calibri"/>
          <w:i/>
          <w:szCs w:val="22"/>
          <w:vertAlign w:val="superscript"/>
          <w:lang w:eastAsia="de-DE" w:bidi="de-DE"/>
        </w:rPr>
        <w:t>4/1</w:t>
      </w:r>
      <w:r w:rsidRPr="00334017">
        <w:rPr>
          <w:rFonts w:eastAsia="Calibri"/>
          <w:i/>
          <w:szCs w:val="22"/>
          <w:lang w:eastAsia="de-DE" w:bidi="de-DE"/>
        </w:rPr>
        <w:t xml:space="preserve"> bis 73</w:t>
      </w:r>
      <w:r w:rsidRPr="00334017">
        <w:rPr>
          <w:rFonts w:eastAsia="Calibri"/>
          <w:i/>
          <w:szCs w:val="22"/>
          <w:vertAlign w:val="superscript"/>
          <w:lang w:eastAsia="de-DE" w:bidi="de-DE"/>
        </w:rPr>
        <w:t>4/6</w:t>
      </w:r>
      <w:r w:rsidRPr="00334017">
        <w:rPr>
          <w:rFonts w:eastAsia="Calibri"/>
          <w:i/>
          <w:szCs w:val="22"/>
          <w:lang w:eastAsia="de-DE" w:bidi="de-DE"/>
        </w:rPr>
        <w:t xml:space="preserve"> eingefügt durch Art. 1 des K.E. vom 19. Dezember 2014 (B.S. vom 31. Dezember 2014)</w:t>
      </w:r>
      <w:r w:rsidR="007E10FD">
        <w:rPr>
          <w:rFonts w:eastAsia="Calibri"/>
          <w:i/>
          <w:szCs w:val="22"/>
          <w:lang w:eastAsia="de-DE" w:bidi="de-DE"/>
        </w:rPr>
        <w:t xml:space="preserve">; Überschrift von Abschnitt 27bis/1 </w:t>
      </w:r>
      <w:r w:rsidR="000168B2">
        <w:rPr>
          <w:rFonts w:eastAsia="Calibri"/>
          <w:i/>
          <w:szCs w:val="22"/>
          <w:lang w:eastAsia="de-DE" w:bidi="de-DE"/>
        </w:rPr>
        <w:t>e</w:t>
      </w:r>
      <w:r w:rsidR="007E10FD">
        <w:rPr>
          <w:rFonts w:eastAsia="Calibri"/>
          <w:i/>
          <w:szCs w:val="22"/>
          <w:lang w:eastAsia="de-DE" w:bidi="de-DE"/>
        </w:rPr>
        <w:t>r</w:t>
      </w:r>
      <w:r w:rsidR="000168B2">
        <w:rPr>
          <w:rFonts w:eastAsia="Calibri"/>
          <w:i/>
          <w:szCs w:val="22"/>
          <w:lang w:eastAsia="de-DE" w:bidi="de-DE"/>
        </w:rPr>
        <w:t>setz</w:t>
      </w:r>
      <w:r w:rsidR="00D06199">
        <w:rPr>
          <w:rFonts w:eastAsia="Calibri"/>
          <w:i/>
          <w:szCs w:val="22"/>
          <w:lang w:eastAsia="de-DE" w:bidi="de-DE"/>
        </w:rPr>
        <w:t xml:space="preserve">t durch Art. 1 des K.E. vom </w:t>
      </w:r>
      <w:r w:rsidR="000168B2">
        <w:rPr>
          <w:rFonts w:eastAsia="Calibri"/>
          <w:i/>
          <w:szCs w:val="22"/>
          <w:lang w:eastAsia="de-DE" w:bidi="de-DE"/>
        </w:rPr>
        <w:t>6. November 2022 (B.S. vom 23. November 2022)]</w:t>
      </w:r>
    </w:p>
    <w:p w14:paraId="4567550F" w14:textId="77777777" w:rsidR="005A5BD5" w:rsidRPr="00334017" w:rsidRDefault="005A5BD5" w:rsidP="004C2C7D">
      <w:pPr>
        <w:jc w:val="both"/>
        <w:rPr>
          <w:rFonts w:eastAsia="Calibri"/>
          <w:szCs w:val="22"/>
          <w:lang w:eastAsia="de-DE" w:bidi="de-DE"/>
        </w:rPr>
      </w:pPr>
    </w:p>
    <w:p w14:paraId="61324EC9" w14:textId="389F7583" w:rsidR="0078059C" w:rsidRDefault="0078059C">
      <w:pPr>
        <w:rPr>
          <w:rFonts w:eastAsia="Calibri"/>
          <w:szCs w:val="22"/>
          <w:lang w:eastAsia="de-DE" w:bidi="de-DE"/>
        </w:rPr>
      </w:pPr>
    </w:p>
    <w:p w14:paraId="62055706" w14:textId="77777777" w:rsidR="005A5BD5" w:rsidRPr="00334017" w:rsidRDefault="005A5BD5" w:rsidP="004C2C7D">
      <w:pPr>
        <w:jc w:val="center"/>
        <w:rPr>
          <w:rFonts w:eastAsia="Calibri"/>
          <w:szCs w:val="22"/>
          <w:lang w:eastAsia="de-DE" w:bidi="de-DE"/>
        </w:rPr>
      </w:pPr>
      <w:r w:rsidRPr="00334017">
        <w:rPr>
          <w:rFonts w:eastAsia="Calibri"/>
          <w:szCs w:val="22"/>
          <w:lang w:eastAsia="de-DE" w:bidi="de-DE"/>
        </w:rPr>
        <w:t>Unterabschnitt 1 - Anwendungsbereich</w:t>
      </w:r>
    </w:p>
    <w:p w14:paraId="01E87180" w14:textId="77777777" w:rsidR="005A5BD5" w:rsidRPr="00334017" w:rsidRDefault="005A5BD5" w:rsidP="004C2C7D">
      <w:pPr>
        <w:jc w:val="both"/>
        <w:rPr>
          <w:rFonts w:eastAsia="Calibri"/>
          <w:szCs w:val="22"/>
          <w:lang w:eastAsia="de-DE" w:bidi="de-DE"/>
        </w:rPr>
      </w:pPr>
    </w:p>
    <w:p w14:paraId="4D56F9B1" w14:textId="77777777" w:rsidR="005A5BD5" w:rsidRPr="00334017" w:rsidRDefault="005A5BD5" w:rsidP="004C2C7D">
      <w:pPr>
        <w:jc w:val="both"/>
        <w:rPr>
          <w:rFonts w:eastAsia="Calibri"/>
          <w:szCs w:val="22"/>
          <w:lang w:eastAsia="de-DE" w:bidi="de-DE"/>
        </w:rPr>
      </w:pPr>
    </w:p>
    <w:p w14:paraId="1CB5CC01" w14:textId="3374C108"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73</w:t>
      </w:r>
      <w:r w:rsidRPr="00334017">
        <w:rPr>
          <w:rFonts w:eastAsia="Calibri"/>
          <w:b/>
          <w:szCs w:val="22"/>
          <w:vertAlign w:val="superscript"/>
          <w:lang w:eastAsia="de-DE" w:bidi="de-DE"/>
        </w:rPr>
        <w:t>4/1</w:t>
      </w:r>
      <w:r w:rsidRPr="00334017">
        <w:rPr>
          <w:rFonts w:eastAsia="Calibri"/>
          <w:szCs w:val="22"/>
          <w:lang w:eastAsia="de-DE" w:bidi="de-DE"/>
        </w:rPr>
        <w:t xml:space="preserve"> - Für die Anwendung </w:t>
      </w:r>
      <w:r w:rsidR="007E10FD" w:rsidRPr="00BF784D">
        <w:t xml:space="preserve">der </w:t>
      </w:r>
      <w:r w:rsidR="00683C1D">
        <w:rPr>
          <w:rFonts w:eastAsia="Calibri"/>
          <w:szCs w:val="22"/>
          <w:lang w:eastAsia="de-DE" w:bidi="de-DE"/>
        </w:rPr>
        <w:t>[</w:t>
      </w:r>
      <w:r w:rsidR="007E10FD" w:rsidRPr="00BF784D">
        <w:t>Artikel 194</w:t>
      </w:r>
      <w:r w:rsidR="007E10FD" w:rsidRPr="00BF784D">
        <w:rPr>
          <w:i/>
        </w:rPr>
        <w:t>ter</w:t>
      </w:r>
      <w:r w:rsidR="007E10FD" w:rsidRPr="00BF784D">
        <w:t xml:space="preserve"> bis 194</w:t>
      </w:r>
      <w:r w:rsidR="007E10FD" w:rsidRPr="00BF784D">
        <w:rPr>
          <w:i/>
        </w:rPr>
        <w:t>ter</w:t>
      </w:r>
      <w:r w:rsidR="007E10FD" w:rsidRPr="00BF784D">
        <w:t>/</w:t>
      </w:r>
      <w:r w:rsidR="000168B2">
        <w:t>3</w:t>
      </w:r>
      <w:r w:rsidR="007E10FD">
        <w:rPr>
          <w:rFonts w:eastAsia="Calibri"/>
          <w:szCs w:val="22"/>
          <w:lang w:eastAsia="de-DE" w:bidi="de-DE"/>
        </w:rPr>
        <w:t>]</w:t>
      </w:r>
      <w:r w:rsidR="00B53590">
        <w:rPr>
          <w:rFonts w:eastAsia="Calibri"/>
          <w:szCs w:val="22"/>
          <w:lang w:eastAsia="de-DE" w:bidi="de-DE"/>
        </w:rPr>
        <w:t xml:space="preserve"> des Einkommensteuergesetz</w:t>
      </w:r>
      <w:r w:rsidRPr="00334017">
        <w:rPr>
          <w:rFonts w:eastAsia="Calibri"/>
          <w:szCs w:val="22"/>
          <w:lang w:eastAsia="de-DE" w:bidi="de-DE"/>
        </w:rPr>
        <w:t>buches 1992 können Produktionsgesellschaften und Vermittler gemäß einem vereinfachten Verfahren, dessen Modalitäten und Bedingungen in vorliegendem Abschnitt bestimmt werden, bei dem für Finanzen zuständigen Minister einen Zulassungsantrag einreichen.</w:t>
      </w:r>
    </w:p>
    <w:p w14:paraId="055FFE89" w14:textId="77777777" w:rsidR="005A5BD5" w:rsidRPr="00334017" w:rsidRDefault="005A5BD5" w:rsidP="004C2C7D">
      <w:pPr>
        <w:jc w:val="both"/>
        <w:rPr>
          <w:rFonts w:eastAsia="Calibri"/>
          <w:szCs w:val="22"/>
          <w:lang w:eastAsia="de-DE" w:bidi="de-DE"/>
        </w:rPr>
      </w:pPr>
    </w:p>
    <w:p w14:paraId="4EB47BC6" w14:textId="417EA815" w:rsidR="00212CA2" w:rsidRDefault="007E10FD" w:rsidP="007E10FD">
      <w:pPr>
        <w:jc w:val="both"/>
        <w:rPr>
          <w:rFonts w:eastAsia="Calibri"/>
          <w:i/>
          <w:szCs w:val="22"/>
          <w:lang w:eastAsia="de-DE" w:bidi="de-DE"/>
        </w:rPr>
      </w:pPr>
      <w:r>
        <w:rPr>
          <w:rFonts w:eastAsia="Calibri"/>
          <w:i/>
          <w:szCs w:val="22"/>
          <w:lang w:eastAsia="de-DE" w:bidi="de-DE"/>
        </w:rPr>
        <w:t>[Art. 73</w:t>
      </w:r>
      <w:r w:rsidRPr="007E10FD">
        <w:rPr>
          <w:rFonts w:eastAsia="Calibri"/>
          <w:i/>
          <w:szCs w:val="22"/>
          <w:vertAlign w:val="superscript"/>
          <w:lang w:eastAsia="de-DE" w:bidi="de-DE"/>
        </w:rPr>
        <w:t xml:space="preserve">4/1 </w:t>
      </w:r>
      <w:r>
        <w:rPr>
          <w:rFonts w:eastAsia="Calibri"/>
          <w:i/>
          <w:szCs w:val="22"/>
          <w:lang w:eastAsia="de-DE" w:bidi="de-DE"/>
        </w:rPr>
        <w:t>abgeänder</w:t>
      </w:r>
      <w:r w:rsidR="00D06199">
        <w:rPr>
          <w:rFonts w:eastAsia="Calibri"/>
          <w:i/>
          <w:szCs w:val="22"/>
          <w:lang w:eastAsia="de-DE" w:bidi="de-DE"/>
        </w:rPr>
        <w:t>t durch Art. 2 des K.E. vom 27. </w:t>
      </w:r>
      <w:r>
        <w:rPr>
          <w:rFonts w:eastAsia="Calibri"/>
          <w:i/>
          <w:szCs w:val="22"/>
          <w:lang w:eastAsia="de-DE" w:bidi="de-DE"/>
        </w:rPr>
        <w:t>Januar 2017 (B.S. vom 31. Januar 2017)</w:t>
      </w:r>
      <w:r w:rsidR="000168B2">
        <w:rPr>
          <w:rFonts w:eastAsia="Calibri"/>
          <w:i/>
          <w:szCs w:val="22"/>
          <w:lang w:eastAsia="de-DE" w:bidi="de-DE"/>
        </w:rPr>
        <w:t xml:space="preserve"> und Art. 2</w:t>
      </w:r>
      <w:r w:rsidR="000168B2" w:rsidRPr="000168B2">
        <w:rPr>
          <w:rFonts w:eastAsia="Calibri"/>
          <w:i/>
          <w:szCs w:val="22"/>
          <w:lang w:eastAsia="de-DE" w:bidi="de-DE"/>
        </w:rPr>
        <w:t xml:space="preserve"> des K.E. vom 6. November 2022 (B.S. vom 23. November 2022)</w:t>
      </w:r>
      <w:r>
        <w:rPr>
          <w:rFonts w:eastAsia="Calibri"/>
          <w:i/>
          <w:szCs w:val="22"/>
          <w:lang w:eastAsia="de-DE" w:bidi="de-DE"/>
        </w:rPr>
        <w:t>]</w:t>
      </w:r>
    </w:p>
    <w:p w14:paraId="5AA21B3C" w14:textId="77777777" w:rsidR="00AF559A" w:rsidRDefault="00AF559A" w:rsidP="007E10FD">
      <w:pPr>
        <w:jc w:val="both"/>
        <w:rPr>
          <w:rFonts w:eastAsia="Calibri"/>
          <w:i/>
          <w:szCs w:val="22"/>
          <w:lang w:eastAsia="de-DE" w:bidi="de-DE"/>
        </w:rPr>
      </w:pPr>
    </w:p>
    <w:p w14:paraId="17FBA930" w14:textId="77777777" w:rsidR="00AF559A" w:rsidRDefault="00AF559A" w:rsidP="007E10FD">
      <w:pPr>
        <w:jc w:val="both"/>
        <w:rPr>
          <w:rFonts w:eastAsia="Calibri"/>
          <w:i/>
          <w:szCs w:val="22"/>
          <w:lang w:eastAsia="de-DE" w:bidi="de-DE"/>
        </w:rPr>
      </w:pPr>
    </w:p>
    <w:p w14:paraId="7CFD48FF" w14:textId="77777777" w:rsidR="005A5BD5" w:rsidRPr="00334017" w:rsidRDefault="005A5BD5" w:rsidP="004C2C7D">
      <w:pPr>
        <w:jc w:val="center"/>
        <w:rPr>
          <w:rFonts w:eastAsia="Calibri"/>
          <w:szCs w:val="22"/>
          <w:lang w:eastAsia="de-DE" w:bidi="de-DE"/>
        </w:rPr>
      </w:pPr>
      <w:r w:rsidRPr="00334017">
        <w:rPr>
          <w:rFonts w:eastAsia="Calibri"/>
          <w:szCs w:val="22"/>
          <w:lang w:eastAsia="de-DE" w:bidi="de-DE"/>
        </w:rPr>
        <w:t>Unterabschnitt 2 - Zulassungsantrag</w:t>
      </w:r>
    </w:p>
    <w:p w14:paraId="1BE65853" w14:textId="77777777" w:rsidR="005A5BD5" w:rsidRPr="00334017" w:rsidRDefault="005A5BD5" w:rsidP="004C2C7D">
      <w:pPr>
        <w:jc w:val="both"/>
        <w:rPr>
          <w:rFonts w:eastAsia="Calibri"/>
          <w:szCs w:val="22"/>
          <w:lang w:eastAsia="de-DE" w:bidi="de-DE"/>
        </w:rPr>
      </w:pPr>
    </w:p>
    <w:p w14:paraId="6ED71B07" w14:textId="77777777" w:rsidR="005A5BD5" w:rsidRPr="00334017" w:rsidRDefault="005A5BD5" w:rsidP="004C2C7D">
      <w:pPr>
        <w:jc w:val="both"/>
        <w:rPr>
          <w:rFonts w:eastAsia="Calibri"/>
          <w:szCs w:val="22"/>
          <w:lang w:eastAsia="de-DE" w:bidi="de-DE"/>
        </w:rPr>
      </w:pPr>
    </w:p>
    <w:p w14:paraId="4D34C232" w14:textId="2B262523"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73</w:t>
      </w:r>
      <w:r w:rsidRPr="00334017">
        <w:rPr>
          <w:rFonts w:eastAsia="Calibri"/>
          <w:b/>
          <w:szCs w:val="22"/>
          <w:vertAlign w:val="superscript"/>
          <w:lang w:eastAsia="de-DE" w:bidi="de-DE"/>
        </w:rPr>
        <w:t>4/2</w:t>
      </w:r>
      <w:r w:rsidRPr="00334017">
        <w:rPr>
          <w:rFonts w:eastAsia="Calibri"/>
          <w:szCs w:val="22"/>
          <w:lang w:eastAsia="de-DE" w:bidi="de-DE"/>
        </w:rPr>
        <w:t xml:space="preserve"> - § 1 - Ein Antrag auf Zulassung als in Betracht kommende Produktionsgesellschaft </w:t>
      </w:r>
      <w:r w:rsidR="00AC73D9">
        <w:rPr>
          <w:rFonts w:eastAsia="Calibri"/>
          <w:szCs w:val="22"/>
          <w:lang w:eastAsia="de-DE" w:bidi="de-DE"/>
        </w:rPr>
        <w:t>[</w:t>
      </w:r>
      <w:r w:rsidR="00AC73D9" w:rsidRPr="00BF784D">
        <w:t>trägt je nach Fall die Überschrift "Antrag auf Zulassung als in Betracht kommende Produktionsgesellschaft im Rahmen der Tax-Shelter-Regelung "audiovisuelle Künste""</w:t>
      </w:r>
      <w:r w:rsidR="000168B2">
        <w:t>[</w:t>
      </w:r>
      <w:r w:rsidR="000168B2" w:rsidRPr="00C953A3">
        <w:t>, "Antrag auf Zulassung als in Betracht kommende Produktionsgesellschaft im Rahmen der Tax-Shelter-Regelung "Bühnenproduktionen"" oder "Antrag auf Zulassung als in Betracht kommende Produktionsgesellschaft im Rahmen der Tax-Shelter-Regelung "Videospiele""</w:t>
      </w:r>
      <w:r w:rsidR="000168B2">
        <w:t>]</w:t>
      </w:r>
      <w:r w:rsidR="00AC73D9">
        <w:rPr>
          <w:rFonts w:eastAsia="Calibri"/>
          <w:szCs w:val="22"/>
          <w:lang w:eastAsia="de-DE" w:bidi="de-DE"/>
        </w:rPr>
        <w:t>]</w:t>
      </w:r>
      <w:r w:rsidRPr="00334017">
        <w:rPr>
          <w:rFonts w:eastAsia="Calibri"/>
          <w:szCs w:val="22"/>
          <w:lang w:eastAsia="de-DE" w:bidi="de-DE"/>
        </w:rPr>
        <w:t xml:space="preserve"> und enthält Name, Unternehmensnummer und </w:t>
      </w:r>
      <w:r w:rsidR="00960344">
        <w:rPr>
          <w:rFonts w:eastAsia="Calibri"/>
          <w:szCs w:val="22"/>
          <w:lang w:eastAsia="de-DE" w:bidi="de-DE"/>
        </w:rPr>
        <w:t>[Gegenstand]</w:t>
      </w:r>
      <w:r w:rsidRPr="00334017">
        <w:rPr>
          <w:rFonts w:eastAsia="Calibri"/>
          <w:szCs w:val="22"/>
          <w:lang w:eastAsia="de-DE" w:bidi="de-DE"/>
        </w:rPr>
        <w:t xml:space="preserve"> der antragstellenden Gesellschaft und eine Akte mit folgenden Unterlagen:</w:t>
      </w:r>
    </w:p>
    <w:p w14:paraId="7C0ACC4E" w14:textId="77777777" w:rsidR="005A5BD5" w:rsidRPr="00334017" w:rsidRDefault="005A5BD5" w:rsidP="004C2C7D">
      <w:pPr>
        <w:jc w:val="both"/>
        <w:rPr>
          <w:rFonts w:eastAsia="Calibri"/>
          <w:szCs w:val="22"/>
          <w:lang w:eastAsia="de-DE" w:bidi="de-DE"/>
        </w:rPr>
      </w:pPr>
    </w:p>
    <w:p w14:paraId="454CCBDD"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Kopie der letzten koordinierten Satzung,</w:t>
      </w:r>
    </w:p>
    <w:p w14:paraId="2E35BD1F" w14:textId="77777777" w:rsidR="005A5BD5" w:rsidRPr="00334017" w:rsidRDefault="005A5BD5" w:rsidP="004C2C7D">
      <w:pPr>
        <w:jc w:val="both"/>
        <w:rPr>
          <w:rFonts w:eastAsia="Calibri"/>
          <w:szCs w:val="22"/>
          <w:lang w:eastAsia="de-DE" w:bidi="de-DE"/>
        </w:rPr>
      </w:pPr>
    </w:p>
    <w:p w14:paraId="5EA50DF3" w14:textId="5575683A" w:rsidR="005A5BD5" w:rsidRPr="00334017" w:rsidRDefault="005A5BD5" w:rsidP="004C2C7D">
      <w:pPr>
        <w:jc w:val="both"/>
        <w:rPr>
          <w:rFonts w:eastAsia="Calibri"/>
          <w:szCs w:val="22"/>
          <w:lang w:eastAsia="de-DE" w:bidi="de-DE"/>
        </w:rPr>
      </w:pPr>
      <w:r w:rsidRPr="00334017">
        <w:rPr>
          <w:rFonts w:eastAsia="Calibri"/>
          <w:szCs w:val="22"/>
          <w:lang w:eastAsia="de-DE" w:bidi="de-DE"/>
        </w:rPr>
        <w:tab/>
        <w:t xml:space="preserve">- Organigramm der Gruppe, zu der die Produktionsgesellschaft gehört, wenn diese Gesellschaft im Sinne der </w:t>
      </w:r>
      <w:r w:rsidR="00960344">
        <w:rPr>
          <w:rFonts w:eastAsia="Calibri"/>
          <w:szCs w:val="22"/>
          <w:lang w:eastAsia="de-DE" w:bidi="de-DE"/>
        </w:rPr>
        <w:t>[</w:t>
      </w:r>
      <w:r w:rsidR="00960344" w:rsidRPr="00402AAD">
        <w:t>Artikel 1:20 und 1:21 des Gesetzbuches der Gesellschaften und Vereinigungen</w:t>
      </w:r>
      <w:r w:rsidR="00960344">
        <w:rPr>
          <w:rFonts w:eastAsia="Calibri"/>
          <w:szCs w:val="22"/>
          <w:lang w:eastAsia="de-DE" w:bidi="de-DE"/>
        </w:rPr>
        <w:t>]</w:t>
      </w:r>
      <w:r w:rsidRPr="00334017">
        <w:rPr>
          <w:rFonts w:eastAsia="Calibri"/>
          <w:szCs w:val="22"/>
          <w:lang w:eastAsia="de-DE" w:bidi="de-DE"/>
        </w:rPr>
        <w:t xml:space="preserve"> oder im Sinne einer in einem anderen Staat geltenden gleichartigen Bestimmung direkt oder indirekt verbunden oder assoziiert ist,</w:t>
      </w:r>
    </w:p>
    <w:p w14:paraId="7D150C40" w14:textId="77777777" w:rsidR="005A5BD5" w:rsidRPr="00334017" w:rsidRDefault="005A5BD5" w:rsidP="004C2C7D">
      <w:pPr>
        <w:jc w:val="both"/>
        <w:rPr>
          <w:rFonts w:eastAsia="Calibri"/>
          <w:szCs w:val="22"/>
          <w:lang w:eastAsia="de-DE" w:bidi="de-DE"/>
        </w:rPr>
      </w:pPr>
    </w:p>
    <w:p w14:paraId="2B83DF73"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Bescheinigung, die von dem Organ unterzeichnet ist, das die antragstellende Gesellschaft verpflichten darf, nachfolgend "zuständiges Organ" genannt, und in der bestätigt wird, dass diese Gesellschaft keine Fernsehanstalt oder kein Unternehmen ist, das mit belgischen oder ausländischen Fernsehanstalten verbunden ist,</w:t>
      </w:r>
    </w:p>
    <w:p w14:paraId="7D1FFD57" w14:textId="77777777" w:rsidR="009A607C" w:rsidRDefault="009A607C" w:rsidP="004C2C7D">
      <w:pPr>
        <w:jc w:val="both"/>
        <w:rPr>
          <w:rFonts w:eastAsia="Calibri"/>
          <w:szCs w:val="22"/>
          <w:lang w:eastAsia="de-DE" w:bidi="de-DE"/>
        </w:rPr>
      </w:pPr>
    </w:p>
    <w:p w14:paraId="4F46E625" w14:textId="632EDD1F" w:rsidR="005A5BD5" w:rsidRPr="00334017" w:rsidRDefault="005A5BD5" w:rsidP="004C2C7D">
      <w:pPr>
        <w:jc w:val="both"/>
        <w:rPr>
          <w:rFonts w:eastAsia="Calibri"/>
          <w:szCs w:val="22"/>
          <w:lang w:eastAsia="de-DE" w:bidi="de-DE"/>
        </w:rPr>
      </w:pPr>
      <w:r w:rsidRPr="00334017">
        <w:rPr>
          <w:rFonts w:eastAsia="Calibri"/>
          <w:szCs w:val="22"/>
          <w:lang w:eastAsia="de-DE" w:bidi="de-DE"/>
        </w:rPr>
        <w:lastRenderedPageBreak/>
        <w:tab/>
        <w:t>- vom zuständigen Organ der antragstellenden Gesellschaft ordnungsgemäß unterzeichnete Verpflichtung, im Rahmen der Anwendung der Tax-Shelter-Regelung die Rechtsvorschriften einzuhalten und insbesondere Artikel 194</w:t>
      </w:r>
      <w:r w:rsidRPr="00334017">
        <w:rPr>
          <w:rFonts w:eastAsia="Calibri"/>
          <w:i/>
          <w:szCs w:val="22"/>
          <w:lang w:eastAsia="de-DE" w:bidi="de-DE"/>
        </w:rPr>
        <w:t>ter</w:t>
      </w:r>
      <w:r w:rsidRPr="00334017">
        <w:rPr>
          <w:rFonts w:eastAsia="Calibri"/>
          <w:szCs w:val="22"/>
          <w:lang w:eastAsia="de-DE" w:bidi="de-DE"/>
        </w:rPr>
        <w:t xml:space="preserve"> § 12 des Einkommensteuer</w:t>
      </w:r>
      <w:r w:rsidRPr="00334017">
        <w:rPr>
          <w:rFonts w:eastAsia="Calibri"/>
          <w:szCs w:val="22"/>
          <w:lang w:eastAsia="de-DE" w:bidi="de-DE"/>
        </w:rPr>
        <w:softHyphen/>
        <w:t xml:space="preserve">gesetzbuches 1992, in dem der in Betracht kommenden Produktionsgesellschaft auferlegt wird, ihr Angebot der Tax-Shelter-Bescheinigung </w:t>
      </w:r>
      <w:r w:rsidR="000168B2">
        <w:rPr>
          <w:rFonts w:eastAsia="Calibri"/>
          <w:szCs w:val="22"/>
          <w:lang w:eastAsia="de-DE" w:bidi="de-DE"/>
        </w:rPr>
        <w:t>[</w:t>
      </w:r>
      <w:r w:rsidR="000168B2" w:rsidRPr="00C953A3">
        <w:t>vorzunehmen gemäß den Bestimmungen des Gesetzes vom 11. Juli 2018 über das öffentliche Angebot von Anlageinstrumenten und deren Zulassung zum Handel an geregelten Märkten und der Verordnung (EU) 2017/1129 des Europäischen Parlaments und des Rates vom 14. Juni 2017 über den Prospekt, der beim öffentlichen Angebot von Wertpapieren oder bei deren Zulassung zum Handel an einem geregelten Markt zu veröffentlichen ist, und zur Aufhebung der Richtlinie 2003/71/EG</w:t>
      </w:r>
      <w:r w:rsidR="000168B2">
        <w:rPr>
          <w:rFonts w:eastAsia="Calibri"/>
          <w:szCs w:val="22"/>
          <w:lang w:eastAsia="de-DE" w:bidi="de-DE"/>
        </w:rPr>
        <w:t>]</w:t>
      </w:r>
      <w:r w:rsidRPr="00334017">
        <w:rPr>
          <w:rFonts w:eastAsia="Calibri"/>
          <w:szCs w:val="22"/>
          <w:lang w:eastAsia="de-DE" w:bidi="de-DE"/>
        </w:rPr>
        <w:t>,</w:t>
      </w:r>
    </w:p>
    <w:p w14:paraId="6DF7F6E0" w14:textId="77777777" w:rsidR="005A5BD5" w:rsidRPr="00334017" w:rsidRDefault="005A5BD5" w:rsidP="004C2C7D">
      <w:pPr>
        <w:jc w:val="both"/>
        <w:rPr>
          <w:rFonts w:eastAsia="Calibri"/>
          <w:szCs w:val="22"/>
          <w:lang w:eastAsia="de-DE" w:bidi="de-DE"/>
        </w:rPr>
      </w:pPr>
    </w:p>
    <w:p w14:paraId="5CC6DC9E"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vom zuständigen Organ der antragstellenden Gesellschaft ordnungsgemäß unterzeichnete Verpflichtung, dass weder die Gesellschaft noch mit ihr verbundene Gesellschaften ein in Betracht kommender Anleger werden dürfen,</w:t>
      </w:r>
    </w:p>
    <w:p w14:paraId="540A934E" w14:textId="77777777" w:rsidR="005A5BD5" w:rsidRPr="00334017" w:rsidRDefault="005A5BD5" w:rsidP="004C2C7D">
      <w:pPr>
        <w:jc w:val="both"/>
        <w:rPr>
          <w:rFonts w:eastAsia="Calibri"/>
          <w:szCs w:val="22"/>
          <w:lang w:eastAsia="de-DE" w:bidi="de-DE"/>
        </w:rPr>
      </w:pPr>
    </w:p>
    <w:p w14:paraId="34C2057B" w14:textId="76E670C2" w:rsidR="005A5BD5" w:rsidRDefault="005A5BD5" w:rsidP="004C2C7D">
      <w:pPr>
        <w:jc w:val="both"/>
        <w:rPr>
          <w:rFonts w:eastAsia="Calibri"/>
          <w:szCs w:val="22"/>
          <w:lang w:eastAsia="de-DE" w:bidi="de-DE"/>
        </w:rPr>
      </w:pPr>
      <w:r w:rsidRPr="00334017">
        <w:rPr>
          <w:rFonts w:eastAsia="Calibri"/>
          <w:szCs w:val="22"/>
          <w:lang w:eastAsia="de-DE" w:bidi="de-DE"/>
        </w:rPr>
        <w:tab/>
        <w:t>- vom zuständigen Organ der antragstellenden Gesellschaft ordnungsgemäß unterzeichnete Verpflichtung, dass die Gesellschaft kein in Betracht kommender Vermittler sein darf. Die Einhaltung dieses Verbots muss im Hinblick auf das Werk, für das die Gesellschaft eine in Betracht kommende Produktionsgesellschaft ist, beurteilt werden</w:t>
      </w:r>
      <w:r w:rsidR="004E3166">
        <w:rPr>
          <w:rFonts w:eastAsia="Calibri"/>
          <w:szCs w:val="22"/>
          <w:lang w:eastAsia="de-DE" w:bidi="de-DE"/>
        </w:rPr>
        <w:t>,</w:t>
      </w:r>
    </w:p>
    <w:p w14:paraId="3F2813D5" w14:textId="77777777" w:rsidR="004E3166" w:rsidRDefault="004E3166" w:rsidP="004C2C7D">
      <w:pPr>
        <w:jc w:val="both"/>
        <w:rPr>
          <w:rFonts w:eastAsia="Calibri"/>
          <w:szCs w:val="22"/>
          <w:lang w:eastAsia="de-DE" w:bidi="de-DE"/>
        </w:rPr>
      </w:pPr>
    </w:p>
    <w:p w14:paraId="778AE3BB" w14:textId="1DBED069" w:rsidR="004E3166" w:rsidRPr="00334017" w:rsidRDefault="004E3166" w:rsidP="004C2C7D">
      <w:pPr>
        <w:jc w:val="both"/>
        <w:rPr>
          <w:rFonts w:eastAsia="Calibri"/>
          <w:szCs w:val="22"/>
          <w:lang w:eastAsia="de-DE" w:bidi="de-DE"/>
        </w:rPr>
      </w:pPr>
      <w:r>
        <w:rPr>
          <w:rFonts w:eastAsia="Calibri"/>
          <w:szCs w:val="22"/>
          <w:lang w:eastAsia="de-DE" w:bidi="de-DE"/>
        </w:rPr>
        <w:tab/>
        <w:t>[</w:t>
      </w:r>
      <w:r w:rsidRPr="00C953A3">
        <w:t>- Kopie der Ergebnisrechnung und der Bilanz der Produktionsgesellschaft pro Tätigkeitsart oder, in deren Ermangelung, Prognose der Ergebnisrechnung und der Bilanz der Produktionsgesellschaft pro Tätigkeitsart.</w:t>
      </w:r>
      <w:r>
        <w:rPr>
          <w:rFonts w:eastAsia="Calibri"/>
          <w:szCs w:val="22"/>
          <w:lang w:eastAsia="de-DE" w:bidi="de-DE"/>
        </w:rPr>
        <w:t>]</w:t>
      </w:r>
    </w:p>
    <w:p w14:paraId="125919FA" w14:textId="77777777" w:rsidR="005A5BD5" w:rsidRPr="00334017" w:rsidRDefault="005A5BD5" w:rsidP="004C2C7D">
      <w:pPr>
        <w:jc w:val="both"/>
        <w:rPr>
          <w:rFonts w:eastAsia="Calibri"/>
          <w:szCs w:val="22"/>
          <w:lang w:eastAsia="de-DE" w:bidi="de-DE"/>
        </w:rPr>
      </w:pPr>
    </w:p>
    <w:p w14:paraId="7F463A92" w14:textId="27E4D31B" w:rsidR="005A5BD5" w:rsidRPr="00334017" w:rsidRDefault="005A5BD5" w:rsidP="0071555C">
      <w:pPr>
        <w:ind w:firstLine="708"/>
        <w:jc w:val="both"/>
        <w:rPr>
          <w:rFonts w:eastAsia="Calibri"/>
          <w:szCs w:val="22"/>
          <w:lang w:eastAsia="de-DE" w:bidi="de-DE"/>
        </w:rPr>
      </w:pPr>
      <w:r w:rsidRPr="00334017">
        <w:rPr>
          <w:rFonts w:eastAsia="Calibri"/>
          <w:szCs w:val="22"/>
          <w:lang w:eastAsia="de-DE" w:bidi="de-DE"/>
        </w:rPr>
        <w:t xml:space="preserve">§ 2 - Ein Antrag auf Zulassung als in Betracht kommender Vermittler </w:t>
      </w:r>
      <w:r w:rsidR="00AC73D9">
        <w:rPr>
          <w:rFonts w:eastAsia="Calibri"/>
          <w:szCs w:val="22"/>
          <w:lang w:eastAsia="de-DE" w:bidi="de-DE"/>
        </w:rPr>
        <w:t>[</w:t>
      </w:r>
      <w:r w:rsidR="00AC73D9" w:rsidRPr="00BF784D">
        <w:t>trägt je nach Fall die Überschrift "Antrag auf Zulassung als in Betracht kommender Vermittler im Rahmen der Tax-Shelter-Regelung "audiovisuelle Künste""</w:t>
      </w:r>
      <w:r w:rsidR="004E3166">
        <w:t>[</w:t>
      </w:r>
      <w:r w:rsidR="004E3166" w:rsidRPr="00C953A3">
        <w:t>, "Antrag auf Zulassung als in Betracht kommender Vermittler im Rahmen der Tax-Shelter-Regelung "Bühnenproduktionen"" oder "Antrag auf Zulassung als in Betracht kommender Vermittler im Rahmen der Tax-Shelter-Regelung "Videospiele""</w:t>
      </w:r>
      <w:r w:rsidR="004E3166">
        <w:t>]</w:t>
      </w:r>
      <w:r w:rsidR="00AC73D9">
        <w:rPr>
          <w:rFonts w:eastAsia="Calibri"/>
          <w:szCs w:val="22"/>
          <w:lang w:eastAsia="de-DE" w:bidi="de-DE"/>
        </w:rPr>
        <w:t>]</w:t>
      </w:r>
      <w:r w:rsidRPr="00334017">
        <w:rPr>
          <w:rFonts w:eastAsia="Calibri"/>
          <w:szCs w:val="22"/>
          <w:lang w:eastAsia="de-DE" w:bidi="de-DE"/>
        </w:rPr>
        <w:t xml:space="preserve"> und enthält Name, Unternehmensnummer und </w:t>
      </w:r>
      <w:r w:rsidR="00960344">
        <w:rPr>
          <w:rFonts w:eastAsia="Calibri"/>
          <w:szCs w:val="22"/>
          <w:lang w:eastAsia="de-DE" w:bidi="de-DE"/>
        </w:rPr>
        <w:t>[Gegenstand]</w:t>
      </w:r>
      <w:r w:rsidRPr="00334017">
        <w:rPr>
          <w:rFonts w:eastAsia="Calibri"/>
          <w:szCs w:val="22"/>
          <w:lang w:eastAsia="de-DE" w:bidi="de-DE"/>
        </w:rPr>
        <w:t xml:space="preserve"> der antragstellenden Gesellschaft, beziehungsweise für eine natürliche Person Identität und nationale Nummer, und eine Akte mit folgenden Unterlagen:</w:t>
      </w:r>
    </w:p>
    <w:p w14:paraId="4442006E" w14:textId="77777777" w:rsidR="005A5BD5" w:rsidRPr="00334017" w:rsidRDefault="005A5BD5" w:rsidP="004C2C7D">
      <w:pPr>
        <w:jc w:val="both"/>
        <w:rPr>
          <w:rFonts w:eastAsia="Calibri"/>
          <w:szCs w:val="22"/>
          <w:lang w:eastAsia="de-DE" w:bidi="de-DE"/>
        </w:rPr>
      </w:pPr>
    </w:p>
    <w:p w14:paraId="33174C83" w14:textId="61F9414F" w:rsidR="005A5BD5" w:rsidRPr="00334017" w:rsidRDefault="005A5BD5" w:rsidP="004C2C7D">
      <w:pPr>
        <w:jc w:val="both"/>
        <w:rPr>
          <w:rFonts w:eastAsia="Calibri"/>
          <w:szCs w:val="22"/>
          <w:lang w:eastAsia="de-DE" w:bidi="de-DE"/>
        </w:rPr>
      </w:pPr>
      <w:r w:rsidRPr="00334017">
        <w:rPr>
          <w:rFonts w:eastAsia="Calibri"/>
          <w:szCs w:val="22"/>
          <w:lang w:eastAsia="de-DE" w:bidi="de-DE"/>
        </w:rPr>
        <w:tab/>
        <w:t xml:space="preserve">- Organigramm der Gruppe, zu der der Vermittler gehört, wenn dieser Vermittler im Sinne der </w:t>
      </w:r>
      <w:r w:rsidR="00960344">
        <w:rPr>
          <w:rFonts w:eastAsia="Calibri"/>
          <w:szCs w:val="22"/>
          <w:lang w:eastAsia="de-DE" w:bidi="de-DE"/>
        </w:rPr>
        <w:t>[</w:t>
      </w:r>
      <w:r w:rsidR="00960344">
        <w:t>Artikel 1:20 und 1:21 des Gesetzbuches der Gesellschaften und Vereinigungen</w:t>
      </w:r>
      <w:r w:rsidR="00960344">
        <w:rPr>
          <w:rFonts w:eastAsia="Calibri"/>
          <w:szCs w:val="22"/>
          <w:lang w:eastAsia="de-DE" w:bidi="de-DE"/>
        </w:rPr>
        <w:t>]</w:t>
      </w:r>
      <w:r w:rsidRPr="00334017">
        <w:rPr>
          <w:rFonts w:eastAsia="Calibri"/>
          <w:szCs w:val="22"/>
          <w:lang w:eastAsia="de-DE" w:bidi="de-DE"/>
        </w:rPr>
        <w:t xml:space="preserve"> verbunden oder assoziiert ist,</w:t>
      </w:r>
    </w:p>
    <w:p w14:paraId="1FDEFB2F" w14:textId="77777777" w:rsidR="005A5BD5" w:rsidRPr="00334017" w:rsidRDefault="005A5BD5" w:rsidP="004C2C7D">
      <w:pPr>
        <w:jc w:val="both"/>
        <w:rPr>
          <w:rFonts w:eastAsia="Calibri"/>
          <w:szCs w:val="22"/>
          <w:lang w:eastAsia="de-DE" w:bidi="de-DE"/>
        </w:rPr>
      </w:pPr>
    </w:p>
    <w:p w14:paraId="4856F963" w14:textId="701962EF" w:rsidR="005A5BD5" w:rsidRPr="00334017" w:rsidRDefault="005A5BD5" w:rsidP="004C2C7D">
      <w:pPr>
        <w:jc w:val="both"/>
        <w:rPr>
          <w:rFonts w:eastAsia="Calibri"/>
          <w:szCs w:val="22"/>
          <w:lang w:eastAsia="de-DE" w:bidi="de-DE"/>
        </w:rPr>
      </w:pPr>
      <w:r w:rsidRPr="00334017">
        <w:rPr>
          <w:rFonts w:eastAsia="Calibri"/>
          <w:szCs w:val="22"/>
          <w:lang w:eastAsia="de-DE" w:bidi="de-DE"/>
        </w:rPr>
        <w:tab/>
        <w:t>- von der antragstellenden natürlichen Person oder - wenn der Antrag von einer juristischen Person gestellt wird - vom zuständigen Organ</w:t>
      </w:r>
      <w:r>
        <w:rPr>
          <w:rFonts w:eastAsia="Calibri"/>
          <w:szCs w:val="22"/>
          <w:lang w:eastAsia="de-DE" w:bidi="de-DE"/>
        </w:rPr>
        <w:t xml:space="preserve"> der antragstellenden Gesellschaft</w:t>
      </w:r>
      <w:r w:rsidRPr="00334017">
        <w:rPr>
          <w:rFonts w:eastAsia="Calibri"/>
          <w:szCs w:val="22"/>
          <w:lang w:eastAsia="de-DE" w:bidi="de-DE"/>
        </w:rPr>
        <w:t xml:space="preserve"> ordnungsgemäß unterzeichnete Verpflichtung, im Rahmen der Anwendung der Tax-Shelter-Regelung die Rechtsvorschriften einzuhalten und insbesondere Artikel 194</w:t>
      </w:r>
      <w:r w:rsidRPr="00334017">
        <w:rPr>
          <w:rFonts w:eastAsia="Calibri"/>
          <w:i/>
          <w:szCs w:val="22"/>
          <w:lang w:eastAsia="de-DE" w:bidi="de-DE"/>
        </w:rPr>
        <w:t>ter</w:t>
      </w:r>
      <w:r w:rsidRPr="00334017">
        <w:rPr>
          <w:rFonts w:eastAsia="Calibri"/>
          <w:szCs w:val="22"/>
          <w:lang w:eastAsia="de-DE" w:bidi="de-DE"/>
        </w:rPr>
        <w:t xml:space="preserve"> § 12 des Einkommensteuergesetzbuches 1992, in dem der in Betracht kommenden Produktions</w:t>
      </w:r>
      <w:r>
        <w:rPr>
          <w:rFonts w:eastAsia="Calibri"/>
          <w:szCs w:val="22"/>
          <w:lang w:eastAsia="de-DE" w:bidi="de-DE"/>
        </w:rPr>
        <w:softHyphen/>
      </w:r>
      <w:r w:rsidRPr="00334017">
        <w:rPr>
          <w:rFonts w:eastAsia="Calibri"/>
          <w:szCs w:val="22"/>
          <w:lang w:eastAsia="de-DE" w:bidi="de-DE"/>
        </w:rPr>
        <w:t xml:space="preserve">gesellschaft auferlegt wird, ihr Angebot der Tax-Shelter-Bescheinigung </w:t>
      </w:r>
      <w:r w:rsidR="004E3166">
        <w:rPr>
          <w:rFonts w:eastAsia="Calibri"/>
          <w:szCs w:val="22"/>
          <w:lang w:eastAsia="de-DE" w:bidi="de-DE"/>
        </w:rPr>
        <w:t>[</w:t>
      </w:r>
      <w:r w:rsidR="004E3166" w:rsidRPr="00C953A3">
        <w:t>vorzunehmen gemäß den Bestimmungen des Gesetzes vom 11. Juli 2018 über das öffentliche Angebot von Anlageinstrumenten und deren Zulassung zum Handel an geregelten Märkten und der Verordnung (EU) 2017/1129 des Europäischen Parlaments und des Rates vom 14. Juni 2017 über den Prospekt, der beim öffentlichen Angebot von Wertpapieren oder bei deren Zulassung zum Handel an einem geregelten Markt zu veröffentlichen ist, und zur Aufhebung der Richtlinie 2003/71/EG</w:t>
      </w:r>
      <w:r w:rsidR="004E3166">
        <w:rPr>
          <w:rFonts w:eastAsia="Calibri"/>
          <w:szCs w:val="22"/>
          <w:lang w:eastAsia="de-DE" w:bidi="de-DE"/>
        </w:rPr>
        <w:t>]</w:t>
      </w:r>
      <w:r w:rsidRPr="00334017">
        <w:rPr>
          <w:rFonts w:eastAsia="Calibri"/>
          <w:szCs w:val="22"/>
          <w:lang w:eastAsia="de-DE" w:bidi="de-DE"/>
        </w:rPr>
        <w:t>,</w:t>
      </w:r>
    </w:p>
    <w:p w14:paraId="4BAA3776" w14:textId="77777777" w:rsidR="005A5BD5" w:rsidRPr="00334017" w:rsidRDefault="005A5BD5" w:rsidP="004C2C7D">
      <w:pPr>
        <w:jc w:val="both"/>
        <w:rPr>
          <w:rFonts w:eastAsia="Calibri"/>
          <w:szCs w:val="22"/>
          <w:lang w:eastAsia="de-DE" w:bidi="de-DE"/>
        </w:rPr>
      </w:pPr>
    </w:p>
    <w:p w14:paraId="5C1E844E"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lastRenderedPageBreak/>
        <w:tab/>
        <w:t>und, wenn der Antragsteller eine juristische Person ist:</w:t>
      </w:r>
    </w:p>
    <w:p w14:paraId="19C68765" w14:textId="77777777" w:rsidR="005A5BD5" w:rsidRPr="00334017" w:rsidRDefault="005A5BD5" w:rsidP="004C2C7D">
      <w:pPr>
        <w:jc w:val="both"/>
        <w:rPr>
          <w:rFonts w:eastAsia="Calibri"/>
          <w:szCs w:val="22"/>
          <w:lang w:eastAsia="de-DE" w:bidi="de-DE"/>
        </w:rPr>
      </w:pPr>
    </w:p>
    <w:p w14:paraId="7044E61C"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Kopie der letzten koordinierten Satzung,</w:t>
      </w:r>
    </w:p>
    <w:p w14:paraId="1E3CB7C3" w14:textId="77777777" w:rsidR="005A5BD5" w:rsidRPr="00334017" w:rsidRDefault="005A5BD5" w:rsidP="004C2C7D">
      <w:pPr>
        <w:jc w:val="both"/>
        <w:rPr>
          <w:rFonts w:eastAsia="Calibri"/>
          <w:szCs w:val="22"/>
          <w:lang w:eastAsia="de-DE" w:bidi="de-DE"/>
        </w:rPr>
      </w:pPr>
    </w:p>
    <w:p w14:paraId="1A62636C"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vom zuständigen Organ der antragstellenden Gesellschaft unterzeichnete Bescheinigung, in der bestätigt wird, dass diese Gesellschaft selbst keine in Betracht kommende Produktionsgesellschaft oder kein in Betracht kommender Anleger ist.</w:t>
      </w:r>
    </w:p>
    <w:p w14:paraId="4B8CE6D2" w14:textId="77777777" w:rsidR="005A5BD5" w:rsidRPr="00334017" w:rsidRDefault="005A5BD5" w:rsidP="004C2C7D">
      <w:pPr>
        <w:jc w:val="both"/>
        <w:rPr>
          <w:rFonts w:eastAsia="Calibri"/>
          <w:szCs w:val="22"/>
          <w:lang w:eastAsia="de-DE" w:bidi="de-DE"/>
        </w:rPr>
      </w:pPr>
    </w:p>
    <w:p w14:paraId="14307FA4" w14:textId="4622B070" w:rsidR="005A5BD5" w:rsidRPr="00334017" w:rsidRDefault="005A5BD5" w:rsidP="004E3166">
      <w:pPr>
        <w:jc w:val="both"/>
        <w:rPr>
          <w:rFonts w:eastAsia="Calibri"/>
          <w:szCs w:val="22"/>
          <w:lang w:eastAsia="de-DE" w:bidi="de-DE"/>
        </w:rPr>
      </w:pPr>
      <w:r w:rsidRPr="00334017">
        <w:rPr>
          <w:rFonts w:eastAsia="Calibri"/>
          <w:szCs w:val="22"/>
          <w:lang w:eastAsia="de-DE" w:bidi="de-DE"/>
        </w:rPr>
        <w:tab/>
        <w:t xml:space="preserve">§ 3 - Anträge auf Zulassung als in Betracht kommende Produktionsgesellschaft oder in Betracht kommender Vermittler müssen zusammen mit der in § 1 oder 2 erwähnten Akte dem spezialisierten Tax-Shelter-Büro auf elektronischem Wege </w:t>
      </w:r>
      <w:r w:rsidR="004E3166">
        <w:rPr>
          <w:rFonts w:eastAsia="Calibri"/>
          <w:szCs w:val="22"/>
          <w:lang w:eastAsia="de-DE" w:bidi="de-DE"/>
        </w:rPr>
        <w:t>[</w:t>
      </w:r>
      <w:r w:rsidR="004E3166" w:rsidRPr="00C953A3">
        <w:t>über das zu diesem Zweck vorgesehene Portal zugesandt werden.</w:t>
      </w:r>
      <w:r w:rsidR="004E3166">
        <w:rPr>
          <w:rFonts w:eastAsia="Calibri"/>
          <w:szCs w:val="22"/>
          <w:lang w:eastAsia="de-DE" w:bidi="de-DE"/>
        </w:rPr>
        <w:t>]</w:t>
      </w:r>
    </w:p>
    <w:p w14:paraId="239D7FDD" w14:textId="77777777" w:rsidR="009A607C" w:rsidRDefault="009A607C" w:rsidP="004C2C7D">
      <w:pPr>
        <w:jc w:val="both"/>
        <w:rPr>
          <w:rFonts w:eastAsia="Calibri"/>
          <w:szCs w:val="22"/>
          <w:lang w:eastAsia="de-DE" w:bidi="de-DE"/>
        </w:rPr>
      </w:pPr>
    </w:p>
    <w:p w14:paraId="11E909F8" w14:textId="39D042B3" w:rsidR="005A5BD5" w:rsidRPr="00334017" w:rsidRDefault="005A5BD5" w:rsidP="004E3166">
      <w:pPr>
        <w:jc w:val="both"/>
        <w:rPr>
          <w:rFonts w:eastAsia="Calibri"/>
          <w:szCs w:val="22"/>
          <w:lang w:eastAsia="de-DE" w:bidi="de-DE"/>
        </w:rPr>
      </w:pPr>
      <w:r w:rsidRPr="00334017">
        <w:rPr>
          <w:rFonts w:eastAsia="Calibri"/>
          <w:szCs w:val="22"/>
          <w:lang w:eastAsia="de-DE" w:bidi="de-DE"/>
        </w:rPr>
        <w:tab/>
      </w:r>
      <w:r w:rsidR="004E3166">
        <w:rPr>
          <w:rFonts w:eastAsia="Calibri"/>
          <w:szCs w:val="22"/>
          <w:lang w:eastAsia="de-DE" w:bidi="de-DE"/>
        </w:rPr>
        <w:t>[...]</w:t>
      </w:r>
    </w:p>
    <w:p w14:paraId="343020B3" w14:textId="77777777" w:rsidR="005A5BD5" w:rsidRPr="00334017" w:rsidRDefault="005A5BD5" w:rsidP="004C2C7D">
      <w:pPr>
        <w:jc w:val="both"/>
        <w:rPr>
          <w:rFonts w:eastAsia="Calibri"/>
          <w:szCs w:val="22"/>
          <w:lang w:eastAsia="de-DE" w:bidi="de-DE"/>
        </w:rPr>
      </w:pPr>
    </w:p>
    <w:p w14:paraId="35632FF2" w14:textId="173B5CA1" w:rsidR="00AC73D9" w:rsidRDefault="00AC73D9" w:rsidP="004C2C7D">
      <w:pPr>
        <w:jc w:val="both"/>
        <w:rPr>
          <w:rFonts w:eastAsia="Calibri"/>
          <w:i/>
          <w:szCs w:val="22"/>
          <w:lang w:eastAsia="de-DE" w:bidi="de-DE"/>
        </w:rPr>
      </w:pPr>
      <w:r>
        <w:rPr>
          <w:rFonts w:eastAsia="Calibri"/>
          <w:i/>
          <w:szCs w:val="22"/>
          <w:lang w:eastAsia="de-DE" w:bidi="de-DE"/>
        </w:rPr>
        <w:t>[Art. 73</w:t>
      </w:r>
      <w:r w:rsidRPr="00AC73D9">
        <w:rPr>
          <w:rFonts w:eastAsia="Calibri"/>
          <w:i/>
          <w:szCs w:val="22"/>
          <w:vertAlign w:val="superscript"/>
          <w:lang w:eastAsia="de-DE" w:bidi="de-DE"/>
        </w:rPr>
        <w:t>4/2</w:t>
      </w:r>
      <w:r>
        <w:rPr>
          <w:rFonts w:eastAsia="Calibri"/>
          <w:i/>
          <w:szCs w:val="22"/>
          <w:lang w:eastAsia="de-DE" w:bidi="de-DE"/>
        </w:rPr>
        <w:t xml:space="preserve"> § 1 einziger Absatz einleitende Bestimmung abgeändert durch Art. 3 Nr. 1 des K.E. vom 27. Januar 2017 (B.S. vom 31. Januar 2017)</w:t>
      </w:r>
      <w:r w:rsidR="004E3166">
        <w:rPr>
          <w:rFonts w:eastAsia="Calibri"/>
          <w:i/>
          <w:szCs w:val="22"/>
          <w:lang w:eastAsia="de-DE" w:bidi="de-DE"/>
        </w:rPr>
        <w:t>,</w:t>
      </w:r>
      <w:r w:rsidR="00960344">
        <w:rPr>
          <w:rFonts w:eastAsia="Calibri"/>
          <w:i/>
          <w:szCs w:val="22"/>
          <w:lang w:eastAsia="de-DE" w:bidi="de-DE"/>
        </w:rPr>
        <w:t xml:space="preserve"> Art. 9 Nr. 1 Buchstabe a)</w:t>
      </w:r>
      <w:r w:rsidR="00960344" w:rsidRPr="00960344">
        <w:rPr>
          <w:rFonts w:eastAsia="Calibri"/>
          <w:i/>
          <w:szCs w:val="22"/>
          <w:lang w:eastAsia="de-DE" w:bidi="de-DE"/>
        </w:rPr>
        <w:t xml:space="preserve"> des K.E. vom 29. August 2019</w:t>
      </w:r>
      <w:r w:rsidR="00865C4C">
        <w:rPr>
          <w:rFonts w:eastAsia="Calibri"/>
          <w:i/>
          <w:szCs w:val="22"/>
          <w:lang w:eastAsia="de-DE" w:bidi="de-DE"/>
        </w:rPr>
        <w:t> (I)</w:t>
      </w:r>
      <w:r w:rsidR="00960344" w:rsidRPr="00960344">
        <w:rPr>
          <w:rFonts w:eastAsia="Calibri"/>
          <w:i/>
          <w:szCs w:val="22"/>
          <w:lang w:eastAsia="de-DE" w:bidi="de-DE"/>
        </w:rPr>
        <w:t xml:space="preserve"> (B.S. vom 13. September 2019)</w:t>
      </w:r>
      <w:r w:rsidR="004E3166">
        <w:rPr>
          <w:rFonts w:eastAsia="Calibri"/>
          <w:i/>
          <w:szCs w:val="22"/>
          <w:lang w:eastAsia="de-DE" w:bidi="de-DE"/>
        </w:rPr>
        <w:t xml:space="preserve"> und Art. 3 Nr. 1</w:t>
      </w:r>
      <w:r w:rsidR="004E3166" w:rsidRPr="004E3166">
        <w:rPr>
          <w:rFonts w:eastAsia="Calibri"/>
          <w:i/>
          <w:szCs w:val="22"/>
          <w:lang w:eastAsia="de-DE" w:bidi="de-DE"/>
        </w:rPr>
        <w:t xml:space="preserve"> des K.E. vom 6. November 2022 (B.S. vom 23. November 2022)</w:t>
      </w:r>
      <w:r w:rsidR="004E3166">
        <w:rPr>
          <w:rFonts w:eastAsia="Calibri"/>
          <w:i/>
          <w:szCs w:val="22"/>
          <w:lang w:eastAsia="de-DE" w:bidi="de-DE"/>
        </w:rPr>
        <w:t>; § 1 einziger Absatz vierter Gedankenstrich abgeändert durch Art. 3 Nr. 2</w:t>
      </w:r>
      <w:r w:rsidR="004E3166" w:rsidRPr="004E3166">
        <w:rPr>
          <w:rFonts w:eastAsia="Calibri"/>
          <w:i/>
          <w:szCs w:val="22"/>
          <w:lang w:eastAsia="de-DE" w:bidi="de-DE"/>
        </w:rPr>
        <w:t xml:space="preserve"> des K.E. vom 6. November 2022 (B.S. vom 23. November 2022)</w:t>
      </w:r>
      <w:r w:rsidR="004E3166">
        <w:rPr>
          <w:rFonts w:eastAsia="Calibri"/>
          <w:i/>
          <w:szCs w:val="22"/>
          <w:lang w:eastAsia="de-DE" w:bidi="de-DE"/>
        </w:rPr>
        <w:t>; § 1 einziger Absatz siebter Gedankenstrich eingefügt durch Art. 3 Nr. 3</w:t>
      </w:r>
      <w:r w:rsidR="004E3166" w:rsidRPr="004E3166">
        <w:rPr>
          <w:rFonts w:eastAsia="Calibri"/>
          <w:i/>
          <w:szCs w:val="22"/>
          <w:lang w:eastAsia="de-DE" w:bidi="de-DE"/>
        </w:rPr>
        <w:t xml:space="preserve"> des K.E. vom 6. November 2022 (B.S. vom 23. November 2022)</w:t>
      </w:r>
      <w:r>
        <w:rPr>
          <w:rFonts w:eastAsia="Calibri"/>
          <w:i/>
          <w:szCs w:val="22"/>
          <w:lang w:eastAsia="de-DE" w:bidi="de-DE"/>
        </w:rPr>
        <w:t>;</w:t>
      </w:r>
      <w:r w:rsidR="00960344">
        <w:rPr>
          <w:rFonts w:eastAsia="Calibri"/>
          <w:i/>
          <w:szCs w:val="22"/>
          <w:lang w:eastAsia="de-DE" w:bidi="de-DE"/>
        </w:rPr>
        <w:t xml:space="preserve"> </w:t>
      </w:r>
      <w:r>
        <w:rPr>
          <w:rFonts w:eastAsia="Calibri"/>
          <w:i/>
          <w:szCs w:val="22"/>
          <w:lang w:eastAsia="de-DE" w:bidi="de-DE"/>
        </w:rPr>
        <w:t>§ 2 einziger Absatz einleitende Bestimmung abgeändert durch Art. 3 Nr. 2 des K.E. vom 27. Januar 2017 (B.S. vom 31. Januar 2017)</w:t>
      </w:r>
      <w:r w:rsidR="004E3166">
        <w:rPr>
          <w:rFonts w:eastAsia="Calibri"/>
          <w:i/>
          <w:szCs w:val="22"/>
          <w:lang w:eastAsia="de-DE" w:bidi="de-DE"/>
        </w:rPr>
        <w:t>,</w:t>
      </w:r>
      <w:r w:rsidR="00960344">
        <w:rPr>
          <w:rFonts w:eastAsia="Calibri"/>
          <w:i/>
          <w:szCs w:val="22"/>
          <w:lang w:eastAsia="de-DE" w:bidi="de-DE"/>
        </w:rPr>
        <w:t xml:space="preserve"> Art. 9 Nr. 2 Buchstabe a) des K.E. vom 29. August 2019</w:t>
      </w:r>
      <w:r w:rsidR="00865C4C">
        <w:rPr>
          <w:rFonts w:eastAsia="Calibri"/>
          <w:i/>
          <w:szCs w:val="22"/>
          <w:lang w:eastAsia="de-DE" w:bidi="de-DE"/>
        </w:rPr>
        <w:t> (I)</w:t>
      </w:r>
      <w:r w:rsidR="00960344">
        <w:rPr>
          <w:rFonts w:eastAsia="Calibri"/>
          <w:i/>
          <w:szCs w:val="22"/>
          <w:lang w:eastAsia="de-DE" w:bidi="de-DE"/>
        </w:rPr>
        <w:t xml:space="preserve"> (B.S. vom 13. September 2019)</w:t>
      </w:r>
      <w:r w:rsidR="004E3166">
        <w:rPr>
          <w:rFonts w:eastAsia="Calibri"/>
          <w:i/>
          <w:szCs w:val="22"/>
          <w:lang w:eastAsia="de-DE" w:bidi="de-DE"/>
        </w:rPr>
        <w:t xml:space="preserve"> und Art. 3 Nr. 4</w:t>
      </w:r>
      <w:r w:rsidR="004E3166" w:rsidRPr="004E3166">
        <w:rPr>
          <w:rFonts w:eastAsia="Calibri"/>
          <w:i/>
          <w:szCs w:val="22"/>
          <w:lang w:eastAsia="de-DE" w:bidi="de-DE"/>
        </w:rPr>
        <w:t xml:space="preserve"> des K.E. vom 6. November 2022 (B.S. vom 23. November 2022)</w:t>
      </w:r>
      <w:r w:rsidR="00960344">
        <w:rPr>
          <w:rFonts w:eastAsia="Calibri"/>
          <w:i/>
          <w:szCs w:val="22"/>
          <w:lang w:eastAsia="de-DE" w:bidi="de-DE"/>
        </w:rPr>
        <w:t>; § 2 einziger Absatz erster Gedankenstrich abgeändert durch Art. 9 Nr. 2 Buchstabe b) des K.E. vom 29. August 2019</w:t>
      </w:r>
      <w:r w:rsidR="00865C4C">
        <w:rPr>
          <w:rFonts w:eastAsia="Calibri"/>
          <w:i/>
          <w:szCs w:val="22"/>
          <w:lang w:eastAsia="de-DE" w:bidi="de-DE"/>
        </w:rPr>
        <w:t> (I)</w:t>
      </w:r>
      <w:r w:rsidR="00960344">
        <w:rPr>
          <w:rFonts w:eastAsia="Calibri"/>
          <w:i/>
          <w:szCs w:val="22"/>
          <w:lang w:eastAsia="de-DE" w:bidi="de-DE"/>
        </w:rPr>
        <w:t xml:space="preserve"> (B.S. vom 13. September 2019)</w:t>
      </w:r>
      <w:r w:rsidR="004E3166">
        <w:rPr>
          <w:rFonts w:eastAsia="Calibri"/>
          <w:i/>
          <w:szCs w:val="22"/>
          <w:lang w:eastAsia="de-DE" w:bidi="de-DE"/>
        </w:rPr>
        <w:t>;</w:t>
      </w:r>
      <w:r w:rsidR="004E3166" w:rsidRPr="004E3166">
        <w:rPr>
          <w:rFonts w:eastAsia="Calibri"/>
          <w:i/>
          <w:szCs w:val="22"/>
          <w:lang w:eastAsia="de-DE" w:bidi="de-DE"/>
        </w:rPr>
        <w:t xml:space="preserve"> </w:t>
      </w:r>
      <w:r w:rsidR="004E3166">
        <w:rPr>
          <w:rFonts w:eastAsia="Calibri"/>
          <w:i/>
          <w:szCs w:val="22"/>
          <w:lang w:eastAsia="de-DE" w:bidi="de-DE"/>
        </w:rPr>
        <w:t>§ 2 einziger Absatz zweiter Gedankenstrich abgeändert durch Art. 9 Nr. 1 Buchstabe b) des K.E. vom 29. August 2019 (I) (B.S. vom 13. September 2019) und Art. 3 Nr. 5</w:t>
      </w:r>
      <w:r w:rsidR="004E3166" w:rsidRPr="004E3166">
        <w:rPr>
          <w:rFonts w:eastAsia="Calibri"/>
          <w:i/>
          <w:szCs w:val="22"/>
          <w:lang w:eastAsia="de-DE" w:bidi="de-DE"/>
        </w:rPr>
        <w:t xml:space="preserve"> des K.E. vom 6. November 2022 (B.S. vom 23. November 2022)</w:t>
      </w:r>
      <w:r w:rsidR="004E3166">
        <w:rPr>
          <w:rFonts w:eastAsia="Calibri"/>
          <w:i/>
          <w:szCs w:val="22"/>
          <w:lang w:eastAsia="de-DE" w:bidi="de-DE"/>
        </w:rPr>
        <w:t>; § 3 abgeändert durch Art. 3 Nr. 6</w:t>
      </w:r>
      <w:r w:rsidR="004E3166" w:rsidRPr="004E3166">
        <w:rPr>
          <w:rFonts w:eastAsia="Calibri"/>
          <w:i/>
          <w:szCs w:val="22"/>
          <w:lang w:eastAsia="de-DE" w:bidi="de-DE"/>
        </w:rPr>
        <w:t xml:space="preserve"> des K.E. vom 6. November 2022 (B.S. vom 23. November 2022)</w:t>
      </w:r>
      <w:r w:rsidR="004E3166">
        <w:rPr>
          <w:rFonts w:eastAsia="Calibri"/>
          <w:i/>
          <w:szCs w:val="22"/>
          <w:lang w:eastAsia="de-DE" w:bidi="de-DE"/>
        </w:rPr>
        <w:t>; § 3 früherer Absatz 2 aufgehoben durch Art. 3 Nr. 7</w:t>
      </w:r>
      <w:r w:rsidR="004E3166" w:rsidRPr="004E3166">
        <w:rPr>
          <w:rFonts w:eastAsia="Calibri"/>
          <w:i/>
          <w:szCs w:val="22"/>
          <w:lang w:eastAsia="de-DE" w:bidi="de-DE"/>
        </w:rPr>
        <w:t xml:space="preserve"> des K.E. vom 6. November 2022 (B.S. vom 23. November 2022)</w:t>
      </w:r>
      <w:r>
        <w:rPr>
          <w:rFonts w:eastAsia="Calibri"/>
          <w:i/>
          <w:szCs w:val="22"/>
          <w:lang w:eastAsia="de-DE" w:bidi="de-DE"/>
        </w:rPr>
        <w:t>]</w:t>
      </w:r>
    </w:p>
    <w:p w14:paraId="3933243E" w14:textId="77777777" w:rsidR="00AC73D9" w:rsidRDefault="00AC73D9" w:rsidP="004C2C7D">
      <w:pPr>
        <w:jc w:val="both"/>
        <w:rPr>
          <w:rFonts w:eastAsia="Calibri"/>
          <w:i/>
          <w:szCs w:val="22"/>
          <w:lang w:eastAsia="de-DE" w:bidi="de-DE"/>
        </w:rPr>
      </w:pPr>
    </w:p>
    <w:p w14:paraId="7A022361" w14:textId="77777777" w:rsidR="005A5BD5" w:rsidRPr="00AC73D9" w:rsidRDefault="005A5BD5" w:rsidP="004C2C7D">
      <w:pPr>
        <w:jc w:val="both"/>
        <w:rPr>
          <w:rFonts w:eastAsia="Calibri"/>
          <w:szCs w:val="22"/>
          <w:lang w:eastAsia="de-DE" w:bidi="de-DE"/>
        </w:rPr>
      </w:pPr>
    </w:p>
    <w:p w14:paraId="3F143DAB"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73</w:t>
      </w:r>
      <w:r w:rsidRPr="00334017">
        <w:rPr>
          <w:rFonts w:eastAsia="Calibri"/>
          <w:b/>
          <w:szCs w:val="22"/>
          <w:vertAlign w:val="superscript"/>
          <w:lang w:eastAsia="de-DE" w:bidi="de-DE"/>
        </w:rPr>
        <w:t>4/3</w:t>
      </w:r>
      <w:r w:rsidRPr="00334017">
        <w:rPr>
          <w:rFonts w:eastAsia="Calibri"/>
          <w:szCs w:val="22"/>
          <w:lang w:eastAsia="de-DE" w:bidi="de-DE"/>
        </w:rPr>
        <w:t> - Der für Finanzen zuständige Minister oder sein Beauftragter bestätigt den Empfang des Zulassungsantrags und die Vollständigkeit der Akte oder fordert den Antragsteller auf, die Akte innerhalb der von ihm festgelegten Frist zu vervollständigen. Anschließend prüft er den Antrag.</w:t>
      </w:r>
    </w:p>
    <w:p w14:paraId="068EA5A9" w14:textId="77777777" w:rsidR="005A5BD5" w:rsidRPr="00334017" w:rsidRDefault="005A5BD5" w:rsidP="004C2C7D">
      <w:pPr>
        <w:jc w:val="both"/>
        <w:rPr>
          <w:rFonts w:eastAsia="Calibri"/>
          <w:szCs w:val="22"/>
          <w:lang w:eastAsia="de-DE" w:bidi="de-DE"/>
        </w:rPr>
      </w:pPr>
    </w:p>
    <w:p w14:paraId="29760463"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Der für Finanzen zuständige Minister oder sein Beauftragter notifiziert den Beschluss zur Erteilung oder Verweigerung der Zulassung binnen dreißig Kalendertagen ab Bestätigung des Empfangs des Antrags und der Vollständigkeit der Akte oder ab dem letzten Tag der in Absatz 1 vorgesehenen zusätzlichen Frist. Diese Notifizierung erfolgt vorzugsweise auf demselben elektronischen Weg wie der Antrag.</w:t>
      </w:r>
    </w:p>
    <w:p w14:paraId="2F930216" w14:textId="77777777" w:rsidR="005A5BD5" w:rsidRPr="00334017" w:rsidRDefault="005A5BD5" w:rsidP="004C2C7D">
      <w:pPr>
        <w:jc w:val="both"/>
        <w:rPr>
          <w:rFonts w:eastAsia="Calibri"/>
          <w:szCs w:val="22"/>
          <w:lang w:eastAsia="de-DE" w:bidi="de-DE"/>
        </w:rPr>
      </w:pPr>
    </w:p>
    <w:p w14:paraId="35C3E1B5" w14:textId="77777777" w:rsidR="005A5BD5" w:rsidRPr="00334017" w:rsidRDefault="005A5BD5" w:rsidP="004C2C7D">
      <w:pPr>
        <w:jc w:val="both"/>
        <w:rPr>
          <w:rFonts w:eastAsia="Calibri"/>
          <w:szCs w:val="22"/>
          <w:lang w:eastAsia="de-DE" w:bidi="de-DE"/>
        </w:rPr>
      </w:pPr>
    </w:p>
    <w:p w14:paraId="36B69CD2" w14:textId="77777777" w:rsidR="005A5BD5" w:rsidRPr="00334017" w:rsidRDefault="005A5BD5" w:rsidP="004C2C7D">
      <w:pPr>
        <w:jc w:val="center"/>
        <w:rPr>
          <w:rFonts w:eastAsia="Calibri"/>
          <w:szCs w:val="22"/>
          <w:lang w:eastAsia="de-DE" w:bidi="de-DE"/>
        </w:rPr>
      </w:pPr>
      <w:r w:rsidRPr="00334017">
        <w:rPr>
          <w:rFonts w:eastAsia="Calibri"/>
          <w:szCs w:val="22"/>
          <w:lang w:eastAsia="de-DE" w:bidi="de-DE"/>
        </w:rPr>
        <w:t>Unterabschnitt 3 - Zulassungsdauer</w:t>
      </w:r>
    </w:p>
    <w:p w14:paraId="16AAE362" w14:textId="77777777" w:rsidR="005A5BD5" w:rsidRPr="00334017" w:rsidRDefault="005A5BD5" w:rsidP="004C2C7D">
      <w:pPr>
        <w:jc w:val="both"/>
        <w:rPr>
          <w:rFonts w:eastAsia="Calibri"/>
          <w:szCs w:val="22"/>
          <w:lang w:eastAsia="de-DE" w:bidi="de-DE"/>
        </w:rPr>
      </w:pPr>
    </w:p>
    <w:p w14:paraId="34E1D7D5" w14:textId="77777777" w:rsidR="005A5BD5" w:rsidRPr="00334017" w:rsidRDefault="005A5BD5" w:rsidP="004C2C7D">
      <w:pPr>
        <w:jc w:val="both"/>
        <w:rPr>
          <w:rFonts w:eastAsia="Calibri"/>
          <w:szCs w:val="22"/>
          <w:lang w:eastAsia="de-DE" w:bidi="de-DE"/>
        </w:rPr>
      </w:pPr>
    </w:p>
    <w:p w14:paraId="5721C6D1"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73</w:t>
      </w:r>
      <w:r w:rsidRPr="00334017">
        <w:rPr>
          <w:rFonts w:eastAsia="Calibri"/>
          <w:b/>
          <w:szCs w:val="22"/>
          <w:vertAlign w:val="superscript"/>
          <w:lang w:eastAsia="de-DE" w:bidi="de-DE"/>
        </w:rPr>
        <w:t>4/4</w:t>
      </w:r>
      <w:r w:rsidRPr="00334017">
        <w:rPr>
          <w:rFonts w:eastAsia="Calibri"/>
          <w:szCs w:val="22"/>
          <w:lang w:eastAsia="de-DE" w:bidi="de-DE"/>
        </w:rPr>
        <w:t> - Die ursprüngliche Zulassung wird für unbestimmte Dauer erteilt.</w:t>
      </w:r>
    </w:p>
    <w:p w14:paraId="45D521DB" w14:textId="77777777" w:rsidR="005A5BD5" w:rsidRPr="00334017" w:rsidRDefault="005A5BD5" w:rsidP="004C2C7D">
      <w:pPr>
        <w:jc w:val="both"/>
        <w:rPr>
          <w:rFonts w:eastAsia="Calibri"/>
          <w:szCs w:val="22"/>
          <w:lang w:eastAsia="de-DE" w:bidi="de-DE"/>
        </w:rPr>
      </w:pPr>
    </w:p>
    <w:p w14:paraId="1C80B7E9"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Ein aktualisiertes Organigramm der Gruppe wie in Artikel 73</w:t>
      </w:r>
      <w:r w:rsidRPr="00334017">
        <w:rPr>
          <w:rFonts w:eastAsia="Calibri"/>
          <w:szCs w:val="22"/>
          <w:vertAlign w:val="superscript"/>
          <w:lang w:eastAsia="de-DE" w:bidi="de-DE"/>
        </w:rPr>
        <w:t>4/2</w:t>
      </w:r>
      <w:r w:rsidRPr="00334017">
        <w:rPr>
          <w:rFonts w:eastAsia="Calibri"/>
          <w:szCs w:val="22"/>
          <w:lang w:eastAsia="de-DE" w:bidi="de-DE"/>
        </w:rPr>
        <w:t xml:space="preserve"> §§ 1 und 2 erwähnt wird dem Tax-Shelter-Büro jährlich gemäß den in Artikel 73</w:t>
      </w:r>
      <w:r w:rsidRPr="00334017">
        <w:rPr>
          <w:rFonts w:eastAsia="Calibri"/>
          <w:szCs w:val="22"/>
          <w:vertAlign w:val="superscript"/>
          <w:lang w:eastAsia="de-DE" w:bidi="de-DE"/>
        </w:rPr>
        <w:t>4/2</w:t>
      </w:r>
      <w:r w:rsidRPr="00334017">
        <w:rPr>
          <w:rFonts w:eastAsia="Calibri"/>
          <w:szCs w:val="22"/>
          <w:lang w:eastAsia="de-DE" w:bidi="de-DE"/>
        </w:rPr>
        <w:t xml:space="preserve"> § 3 erwähnten Modalitäten übermittelt, </w:t>
      </w:r>
      <w:r>
        <w:rPr>
          <w:rFonts w:eastAsia="Calibri"/>
          <w:szCs w:val="22"/>
          <w:lang w:eastAsia="de-DE" w:bidi="de-DE"/>
        </w:rPr>
        <w:t>wenn</w:t>
      </w:r>
      <w:r w:rsidRPr="00334017">
        <w:rPr>
          <w:rFonts w:eastAsia="Calibri"/>
          <w:szCs w:val="22"/>
          <w:lang w:eastAsia="de-DE" w:bidi="de-DE"/>
        </w:rPr>
        <w:t xml:space="preserve"> Änderungen eingetreten sind.</w:t>
      </w:r>
    </w:p>
    <w:p w14:paraId="111C27F6" w14:textId="77777777" w:rsidR="005A5BD5" w:rsidRPr="00334017" w:rsidRDefault="005A5BD5" w:rsidP="004C2C7D">
      <w:pPr>
        <w:jc w:val="both"/>
        <w:rPr>
          <w:rFonts w:eastAsia="Calibri"/>
          <w:szCs w:val="22"/>
          <w:lang w:eastAsia="de-DE" w:bidi="de-DE"/>
        </w:rPr>
      </w:pPr>
    </w:p>
    <w:p w14:paraId="0035B255"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Bei Erteilung einer neuen Zulassung nach Entzug der ursprünglichen Zulassung gilt diese neue Zulassung für einen Zeitraum von drei Jahren, der gemäß denselben Modalitäten auf Antrag erneuerbar ist.</w:t>
      </w:r>
    </w:p>
    <w:p w14:paraId="27070F91" w14:textId="77777777" w:rsidR="005A5BD5" w:rsidRPr="00334017" w:rsidRDefault="005A5BD5" w:rsidP="004C2C7D">
      <w:pPr>
        <w:jc w:val="both"/>
        <w:rPr>
          <w:rFonts w:eastAsia="Calibri"/>
          <w:szCs w:val="22"/>
          <w:lang w:eastAsia="de-DE" w:bidi="de-DE"/>
        </w:rPr>
      </w:pPr>
    </w:p>
    <w:p w14:paraId="54ECF95B" w14:textId="77777777" w:rsidR="005A5BD5" w:rsidRPr="00334017" w:rsidRDefault="005A5BD5" w:rsidP="004C2C7D">
      <w:pPr>
        <w:jc w:val="both"/>
        <w:rPr>
          <w:rFonts w:eastAsia="Calibri"/>
          <w:szCs w:val="22"/>
          <w:lang w:eastAsia="de-DE" w:bidi="de-DE"/>
        </w:rPr>
      </w:pPr>
    </w:p>
    <w:p w14:paraId="2226EB75" w14:textId="002A0C1E" w:rsidR="005A5BD5" w:rsidRPr="00334017" w:rsidRDefault="005A5BD5" w:rsidP="004C2C7D">
      <w:pPr>
        <w:jc w:val="center"/>
        <w:rPr>
          <w:rFonts w:eastAsia="Calibri"/>
          <w:szCs w:val="22"/>
          <w:lang w:eastAsia="de-DE" w:bidi="de-DE"/>
        </w:rPr>
      </w:pPr>
      <w:r w:rsidRPr="00334017">
        <w:rPr>
          <w:rFonts w:eastAsia="Calibri"/>
          <w:szCs w:val="22"/>
          <w:lang w:eastAsia="de-DE" w:bidi="de-DE"/>
        </w:rPr>
        <w:t>Unterabschnitt 4 - Zulassungsentzug</w:t>
      </w:r>
    </w:p>
    <w:p w14:paraId="4A23A159" w14:textId="77777777" w:rsidR="005A5BD5" w:rsidRPr="00334017" w:rsidRDefault="005A5BD5" w:rsidP="004C2C7D">
      <w:pPr>
        <w:jc w:val="both"/>
        <w:rPr>
          <w:rFonts w:eastAsia="Calibri"/>
          <w:szCs w:val="22"/>
          <w:lang w:eastAsia="de-DE" w:bidi="de-DE"/>
        </w:rPr>
      </w:pPr>
    </w:p>
    <w:p w14:paraId="53F1B5DD" w14:textId="77777777" w:rsidR="005A5BD5" w:rsidRPr="00334017" w:rsidRDefault="005A5BD5" w:rsidP="004C2C7D">
      <w:pPr>
        <w:jc w:val="both"/>
        <w:rPr>
          <w:rFonts w:eastAsia="Calibri"/>
          <w:szCs w:val="22"/>
          <w:lang w:eastAsia="de-DE" w:bidi="de-DE"/>
        </w:rPr>
      </w:pPr>
    </w:p>
    <w:p w14:paraId="4CA3210E" w14:textId="77777777" w:rsidR="002C0DFA" w:rsidRPr="00C953A3" w:rsidRDefault="005A5BD5" w:rsidP="002C0DFA">
      <w:pPr>
        <w:jc w:val="both"/>
      </w:pPr>
      <w:r w:rsidRPr="00334017">
        <w:rPr>
          <w:rFonts w:eastAsia="Calibri"/>
          <w:szCs w:val="22"/>
          <w:lang w:eastAsia="de-DE" w:bidi="de-DE"/>
        </w:rPr>
        <w:tab/>
      </w:r>
      <w:r w:rsidRPr="00334017">
        <w:rPr>
          <w:rFonts w:eastAsia="Calibri"/>
          <w:b/>
          <w:szCs w:val="22"/>
          <w:lang w:eastAsia="de-DE" w:bidi="de-DE"/>
        </w:rPr>
        <w:t>Art. 73</w:t>
      </w:r>
      <w:r w:rsidRPr="00334017">
        <w:rPr>
          <w:rFonts w:eastAsia="Calibri"/>
          <w:b/>
          <w:szCs w:val="22"/>
          <w:vertAlign w:val="superscript"/>
          <w:lang w:eastAsia="de-DE" w:bidi="de-DE"/>
        </w:rPr>
        <w:t>4/5</w:t>
      </w:r>
      <w:r w:rsidRPr="00334017">
        <w:rPr>
          <w:rFonts w:eastAsia="Calibri"/>
          <w:szCs w:val="22"/>
          <w:lang w:eastAsia="de-DE" w:bidi="de-DE"/>
        </w:rPr>
        <w:t xml:space="preserve"> - § 1 - </w:t>
      </w:r>
      <w:r w:rsidR="00610E00">
        <w:rPr>
          <w:rFonts w:eastAsia="Calibri"/>
          <w:szCs w:val="22"/>
          <w:lang w:eastAsia="de-DE" w:bidi="de-DE"/>
        </w:rPr>
        <w:t>[</w:t>
      </w:r>
      <w:r w:rsidR="002C0DFA" w:rsidRPr="00C953A3">
        <w:t>Stellt der für Finanzen zuständige Minister oder sein Beauftragter fest, dass der hauptsächliche Zweck und die Haupttätigkeit einer zugelassenen Produktionsgesellschaft nicht mehr in der Entwicklung und Produktion in Betracht kommender Werke bestehen, kann er die Zulassung der Produktionsgesellschaft aussetzen.</w:t>
      </w:r>
    </w:p>
    <w:p w14:paraId="2937F4D6" w14:textId="77777777" w:rsidR="002C0DFA" w:rsidRPr="00C953A3" w:rsidRDefault="002C0DFA" w:rsidP="002C0DFA">
      <w:pPr>
        <w:jc w:val="both"/>
      </w:pPr>
    </w:p>
    <w:p w14:paraId="62B87056" w14:textId="77777777" w:rsidR="002C0DFA" w:rsidRPr="00C953A3" w:rsidRDefault="002C0DFA" w:rsidP="002C0DFA">
      <w:pPr>
        <w:jc w:val="both"/>
      </w:pPr>
      <w:r w:rsidRPr="00C953A3">
        <w:tab/>
        <w:t>Der für Finanzen zuständige Minister oder sein Beauftragter kann die Zulassung der Produktionsgesellschaft auch aussetzen, wenn er wiederholte Verstöße gegen Artikel 194</w:t>
      </w:r>
      <w:r w:rsidRPr="00C953A3">
        <w:rPr>
          <w:i/>
        </w:rPr>
        <w:t>ter</w:t>
      </w:r>
      <w:r w:rsidRPr="00C953A3">
        <w:t xml:space="preserve"> §§ 6, 11 oder 12 des Einkommensteuergesetzbuches 1992 feststellt.</w:t>
      </w:r>
    </w:p>
    <w:p w14:paraId="58BA6EBA" w14:textId="77777777" w:rsidR="002C0DFA" w:rsidRPr="00C953A3" w:rsidRDefault="002C0DFA" w:rsidP="002C0DFA">
      <w:pPr>
        <w:jc w:val="both"/>
      </w:pPr>
    </w:p>
    <w:p w14:paraId="0336CD76" w14:textId="77777777" w:rsidR="002C0DFA" w:rsidRPr="00C953A3" w:rsidRDefault="002C0DFA" w:rsidP="002C0DFA">
      <w:pPr>
        <w:jc w:val="both"/>
      </w:pPr>
      <w:r w:rsidRPr="00C953A3">
        <w:tab/>
        <w:t>Die Produktionsgesellschaft wird schriftlich von der in den Absätzen 1 und 2 erwähnten Aussetzung in Kenntnis gesetzt.</w:t>
      </w:r>
    </w:p>
    <w:p w14:paraId="6874CCF4" w14:textId="77777777" w:rsidR="002C0DFA" w:rsidRPr="00C953A3" w:rsidRDefault="002C0DFA" w:rsidP="002C0DFA">
      <w:pPr>
        <w:jc w:val="both"/>
      </w:pPr>
    </w:p>
    <w:p w14:paraId="63E7A979" w14:textId="77777777" w:rsidR="002C0DFA" w:rsidRPr="00C953A3" w:rsidRDefault="002C0DFA" w:rsidP="002C0DFA">
      <w:pPr>
        <w:jc w:val="both"/>
      </w:pPr>
      <w:r w:rsidRPr="00C953A3">
        <w:tab/>
        <w:t>Die in Absatz 3 erwähnte Inkenntnissetzung enthält folgende Angaben:</w:t>
      </w:r>
    </w:p>
    <w:p w14:paraId="495D68F7" w14:textId="77777777" w:rsidR="002C0DFA" w:rsidRPr="00C953A3" w:rsidRDefault="002C0DFA" w:rsidP="002C0DFA">
      <w:pPr>
        <w:jc w:val="both"/>
      </w:pPr>
    </w:p>
    <w:p w14:paraId="1F9095B0" w14:textId="77777777" w:rsidR="002C0DFA" w:rsidRPr="00C953A3" w:rsidRDefault="002C0DFA" w:rsidP="002C0DFA">
      <w:pPr>
        <w:jc w:val="both"/>
      </w:pPr>
      <w:r w:rsidRPr="00C953A3">
        <w:tab/>
        <w:t>- Grund für die Aussetzung mit Angabe der Feststellungen, die zur Aussetzung geführt haben,</w:t>
      </w:r>
    </w:p>
    <w:p w14:paraId="08CB3F22" w14:textId="77777777" w:rsidR="002C0DFA" w:rsidRPr="00C953A3" w:rsidRDefault="002C0DFA" w:rsidP="002C0DFA">
      <w:pPr>
        <w:jc w:val="both"/>
      </w:pPr>
    </w:p>
    <w:p w14:paraId="7841A5AF" w14:textId="77777777" w:rsidR="002C0DFA" w:rsidRPr="00C953A3" w:rsidRDefault="002C0DFA" w:rsidP="002C0DFA">
      <w:pPr>
        <w:jc w:val="both"/>
      </w:pPr>
      <w:r w:rsidRPr="00C953A3">
        <w:tab/>
        <w:t>- Frist, die mindestens einen Monat beträgt und binnen der der Lage, die zur Aussetzung geführt hat, abgeholfen werden muss.</w:t>
      </w:r>
    </w:p>
    <w:p w14:paraId="097E1C78" w14:textId="77777777" w:rsidR="002C0DFA" w:rsidRPr="00C953A3" w:rsidRDefault="002C0DFA" w:rsidP="002C0DFA">
      <w:pPr>
        <w:jc w:val="both"/>
      </w:pPr>
    </w:p>
    <w:p w14:paraId="4616DEAA" w14:textId="77777777" w:rsidR="002C0DFA" w:rsidRPr="00C953A3" w:rsidRDefault="002C0DFA" w:rsidP="002C0DFA">
      <w:pPr>
        <w:jc w:val="both"/>
      </w:pPr>
      <w:r w:rsidRPr="00C953A3">
        <w:tab/>
        <w:t>Die in vorhergehendem Absatz erwähnte Frist kann verlängert werden, wenn die Produktionsgesellschaft besondere Gründe vorbringt, die eine Verlängerung rechtfertigen.</w:t>
      </w:r>
    </w:p>
    <w:p w14:paraId="76690D00" w14:textId="77777777" w:rsidR="002C0DFA" w:rsidRPr="00C953A3" w:rsidRDefault="002C0DFA" w:rsidP="002C0DFA">
      <w:pPr>
        <w:jc w:val="both"/>
      </w:pPr>
    </w:p>
    <w:p w14:paraId="3724B2C2" w14:textId="335C980F" w:rsidR="002C0DFA" w:rsidRPr="00C953A3" w:rsidRDefault="002C0DFA" w:rsidP="002C0DFA">
      <w:pPr>
        <w:jc w:val="both"/>
      </w:pPr>
      <w:r w:rsidRPr="00C953A3">
        <w:tab/>
        <w:t>Hat die Produktionsgesellschaft binnen der in den Absätzen 4 und 5 erwähnten Frist der Lage nicht abgeholfen, wird die Zulassung endgültig entzogen.</w:t>
      </w:r>
      <w:r w:rsidR="003571F7">
        <w:t>]</w:t>
      </w:r>
    </w:p>
    <w:p w14:paraId="15EA9CC3" w14:textId="77777777" w:rsidR="002C0DFA" w:rsidRDefault="002C0DFA" w:rsidP="002C0DFA">
      <w:pPr>
        <w:jc w:val="both"/>
      </w:pPr>
    </w:p>
    <w:p w14:paraId="3772C29D" w14:textId="5FAB4BBA" w:rsidR="00CF2BB7" w:rsidRPr="00A115C4" w:rsidRDefault="00CF2BB7" w:rsidP="00CF2BB7">
      <w:pPr>
        <w:jc w:val="both"/>
      </w:pPr>
      <w:r>
        <w:tab/>
        <w:t>[</w:t>
      </w:r>
      <w:r w:rsidRPr="00A115C4">
        <w:t>§ 2 ­ Stellt der für Finanzen zuständige Minister oder sein Beauftragter fest, dass ein in Betracht kommender Vermittler die Rechtsvorschriften in Bezug auf die Tax-Shelter-Regelung nicht einhält, ermittelt er die Verstöße, setzt den Zuwiderhandelnden davon in Kenntnis und legt die Frist fest, in der der Lage abgeholfen werden muss. Diese Frist kann verlängert werden.</w:t>
      </w:r>
    </w:p>
    <w:p w14:paraId="48A0DBD9" w14:textId="77777777" w:rsidR="00CF2BB7" w:rsidRPr="00A115C4" w:rsidRDefault="00CF2BB7" w:rsidP="00CF2BB7">
      <w:pPr>
        <w:jc w:val="both"/>
      </w:pPr>
    </w:p>
    <w:p w14:paraId="5E1EF35D" w14:textId="77777777" w:rsidR="00CF2BB7" w:rsidRPr="00A115C4" w:rsidRDefault="00CF2BB7" w:rsidP="00CF2BB7">
      <w:pPr>
        <w:jc w:val="both"/>
      </w:pPr>
      <w:r w:rsidRPr="00A115C4">
        <w:tab/>
        <w:t>Der für Finanzen zuständige Minister oder sein Beauftragter kann die Zulassung aussetzen.</w:t>
      </w:r>
    </w:p>
    <w:p w14:paraId="646B2753" w14:textId="77777777" w:rsidR="00CF2BB7" w:rsidRPr="00A115C4" w:rsidRDefault="00CF2BB7" w:rsidP="00CF2BB7">
      <w:pPr>
        <w:jc w:val="both"/>
      </w:pPr>
    </w:p>
    <w:p w14:paraId="71E39DAD" w14:textId="7DD0949C" w:rsidR="00CF2BB7" w:rsidRDefault="00CF2BB7" w:rsidP="00CF2BB7">
      <w:pPr>
        <w:jc w:val="both"/>
      </w:pPr>
      <w:r w:rsidRPr="00A115C4">
        <w:tab/>
        <w:t xml:space="preserve">Stellt der für Finanzen zuständige Minister oder sein Beauftragter nach Ablauf der in Anwendung von Absatz 1 festgelegten Frist fest, dass den Verstößen nicht abgeholfen worden </w:t>
      </w:r>
      <w:r w:rsidRPr="00A115C4">
        <w:lastRenderedPageBreak/>
        <w:t>ist, entzieht er die Zulassung und setzt er den in Betracht kommenden Vermittler davon in Kenntnis.</w:t>
      </w:r>
      <w:r>
        <w:t>]</w:t>
      </w:r>
    </w:p>
    <w:p w14:paraId="6B3EB4CF" w14:textId="77777777" w:rsidR="00CF2BB7" w:rsidRPr="00C953A3" w:rsidRDefault="00CF2BB7" w:rsidP="00CF2BB7">
      <w:pPr>
        <w:jc w:val="both"/>
      </w:pPr>
    </w:p>
    <w:p w14:paraId="7CEF2876" w14:textId="7D8CF6DD" w:rsidR="005A5BD5" w:rsidRPr="00334017" w:rsidRDefault="002C0DFA" w:rsidP="002C0DFA">
      <w:pPr>
        <w:jc w:val="both"/>
        <w:rPr>
          <w:rFonts w:eastAsia="Calibri"/>
          <w:szCs w:val="22"/>
          <w:lang w:eastAsia="de-DE" w:bidi="de-DE"/>
        </w:rPr>
      </w:pPr>
      <w:r w:rsidRPr="00C953A3">
        <w:tab/>
      </w:r>
      <w:r w:rsidR="00CF2BB7">
        <w:t>[</w:t>
      </w:r>
      <w:r w:rsidRPr="00C953A3">
        <w:t>§ </w:t>
      </w:r>
      <w:r w:rsidR="00CF2BB7">
        <w:t>3]</w:t>
      </w:r>
      <w:r w:rsidRPr="00C953A3">
        <w:t> - Die betroffenen Gemeinschaften und die Behörde, die auf die Einhaltung der Bestimmungen des Gesetzes vom 11. Juli 2018 über das öffentliche Angebot von Anlageinstrumenten und deren Zulassung zum Handel an geregelten Märkten und der Verordnung (EU) 2017/1129 des Europäischen Parlaments und des Rates vom 14. Juni 2017 über den Prospekt, der beim öffentlichen Angebot von Wertpapieren oder bei deren Zulassung zum Handel an einem geregelten Markt zu veröffentlichen ist, und zur Aufhebung der Richtlinie 2003/71/EG achtet, werden über Aussetzungen und Entzüge wie in § 1 erwähnt informiert.</w:t>
      </w:r>
      <w:r w:rsidR="00610E00">
        <w:rPr>
          <w:rFonts w:eastAsia="Calibri"/>
          <w:szCs w:val="22"/>
          <w:lang w:eastAsia="de-DE" w:bidi="de-DE"/>
        </w:rPr>
        <w:t>]</w:t>
      </w:r>
    </w:p>
    <w:p w14:paraId="7DF0308C" w14:textId="77777777" w:rsidR="005A5BD5" w:rsidRPr="00334017" w:rsidRDefault="005A5BD5" w:rsidP="004C2C7D">
      <w:pPr>
        <w:jc w:val="both"/>
        <w:rPr>
          <w:rFonts w:eastAsia="Calibri"/>
          <w:szCs w:val="22"/>
          <w:lang w:eastAsia="de-DE" w:bidi="de-DE"/>
        </w:rPr>
      </w:pPr>
    </w:p>
    <w:p w14:paraId="02836A77"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2 - Bei Konkurs der in Betracht kommenden Produktionsgesellschaft oder des in Betracht kommenden Vermittlers wird die Zulassung von Rechts wegen eingezogen.</w:t>
      </w:r>
    </w:p>
    <w:p w14:paraId="06981799" w14:textId="77777777" w:rsidR="005A5BD5" w:rsidRPr="00334017" w:rsidRDefault="005A5BD5" w:rsidP="004C2C7D">
      <w:pPr>
        <w:jc w:val="both"/>
        <w:rPr>
          <w:rFonts w:eastAsia="Calibri"/>
          <w:szCs w:val="22"/>
          <w:lang w:eastAsia="de-DE" w:bidi="de-DE"/>
        </w:rPr>
      </w:pPr>
    </w:p>
    <w:p w14:paraId="13CDFD30"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3 - Bei Entzug der Zulassung kann ein neuer Zulassungsantrag eingereicht werden. Dieser neue Antrag wird gründlich geprüft und die Zulassung kann insbesondere dann verweigert werden, wenn der für Finanzen zuständige Minister oder sein Beauftragter der Ansicht ist, dass die Verstöße, die den Entzug der ursprünglichen Zulassung gerechtfertigt haben, nicht ausgeräumt sind oder sich wiederholen könnten.</w:t>
      </w:r>
    </w:p>
    <w:p w14:paraId="6076D22C" w14:textId="77777777" w:rsidR="005A5BD5" w:rsidRPr="00334017" w:rsidRDefault="005A5BD5" w:rsidP="004C2C7D">
      <w:pPr>
        <w:jc w:val="both"/>
        <w:rPr>
          <w:rFonts w:eastAsia="Calibri"/>
          <w:szCs w:val="22"/>
          <w:lang w:eastAsia="de-DE" w:bidi="de-DE"/>
        </w:rPr>
      </w:pPr>
    </w:p>
    <w:p w14:paraId="4969D855"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Artikel 73</w:t>
      </w:r>
      <w:r w:rsidRPr="00334017">
        <w:rPr>
          <w:rFonts w:eastAsia="Calibri"/>
          <w:szCs w:val="22"/>
          <w:vertAlign w:val="superscript"/>
          <w:lang w:eastAsia="de-DE" w:bidi="de-DE"/>
        </w:rPr>
        <w:t>4/3</w:t>
      </w:r>
      <w:r w:rsidRPr="00334017">
        <w:rPr>
          <w:rFonts w:eastAsia="Calibri"/>
          <w:szCs w:val="22"/>
          <w:lang w:eastAsia="de-DE" w:bidi="de-DE"/>
        </w:rPr>
        <w:t xml:space="preserve"> ist entsprechend auf den neuen Antrag anwendbar.</w:t>
      </w:r>
    </w:p>
    <w:p w14:paraId="7C9D1E13" w14:textId="77777777" w:rsidR="005A5BD5" w:rsidRDefault="005A5BD5" w:rsidP="004C2C7D">
      <w:pPr>
        <w:jc w:val="both"/>
        <w:rPr>
          <w:rFonts w:eastAsia="Calibri"/>
          <w:szCs w:val="22"/>
          <w:lang w:eastAsia="de-DE" w:bidi="de-DE"/>
        </w:rPr>
      </w:pPr>
    </w:p>
    <w:p w14:paraId="40DA4B5F" w14:textId="05818FE9" w:rsidR="002C0DFA" w:rsidRDefault="002C0DFA" w:rsidP="004C2C7D">
      <w:pPr>
        <w:jc w:val="both"/>
        <w:rPr>
          <w:rFonts w:eastAsia="Calibri"/>
          <w:i/>
          <w:iCs/>
          <w:szCs w:val="22"/>
          <w:lang w:eastAsia="de-DE" w:bidi="de-DE"/>
        </w:rPr>
      </w:pPr>
      <w:r>
        <w:rPr>
          <w:rFonts w:eastAsia="Calibri"/>
          <w:i/>
          <w:iCs/>
          <w:szCs w:val="22"/>
          <w:lang w:eastAsia="de-DE" w:bidi="de-DE"/>
        </w:rPr>
        <w:t>[Art. 73</w:t>
      </w:r>
      <w:r w:rsidRPr="002C0DFA">
        <w:rPr>
          <w:rFonts w:eastAsia="Calibri"/>
          <w:i/>
          <w:iCs/>
          <w:szCs w:val="22"/>
          <w:vertAlign w:val="superscript"/>
          <w:lang w:eastAsia="de-DE" w:bidi="de-DE"/>
        </w:rPr>
        <w:t>4/5</w:t>
      </w:r>
      <w:r>
        <w:rPr>
          <w:rFonts w:eastAsia="Calibri"/>
          <w:i/>
          <w:iCs/>
          <w:szCs w:val="22"/>
          <w:lang w:eastAsia="de-DE" w:bidi="de-DE"/>
        </w:rPr>
        <w:t xml:space="preserve"> § 1 ersetzt durch Art. 4</w:t>
      </w:r>
      <w:r w:rsidRPr="002C0DFA">
        <w:rPr>
          <w:rFonts w:eastAsia="Calibri"/>
          <w:i/>
          <w:iCs/>
          <w:szCs w:val="22"/>
          <w:lang w:eastAsia="de-DE" w:bidi="de-DE"/>
        </w:rPr>
        <w:t xml:space="preserve"> des K.E. vom 6. November 2022 (B.S. vom 23. November 2022)</w:t>
      </w:r>
      <w:r w:rsidR="003571F7">
        <w:rPr>
          <w:rFonts w:eastAsia="Calibri"/>
          <w:i/>
          <w:iCs/>
          <w:szCs w:val="22"/>
          <w:lang w:eastAsia="de-DE" w:bidi="de-DE"/>
        </w:rPr>
        <w:t>; neuer Paragraph 2 eingefügt durch Art. 5</w:t>
      </w:r>
      <w:r w:rsidR="003571F7" w:rsidRPr="003571F7">
        <w:rPr>
          <w:rFonts w:eastAsia="Calibri"/>
          <w:i/>
          <w:iCs/>
          <w:szCs w:val="22"/>
          <w:lang w:eastAsia="de-DE" w:bidi="de-DE"/>
        </w:rPr>
        <w:t xml:space="preserve"> des K.E. vom 17. Juli 2023 (II) (B.S. vom 26. Juli 2023)</w:t>
      </w:r>
      <w:r w:rsidR="003571F7">
        <w:rPr>
          <w:rFonts w:eastAsia="Calibri"/>
          <w:i/>
          <w:iCs/>
          <w:szCs w:val="22"/>
          <w:lang w:eastAsia="de-DE" w:bidi="de-DE"/>
        </w:rPr>
        <w:t>; früherer Paragraph 2 eingefügt durch Art. 4</w:t>
      </w:r>
      <w:r w:rsidR="003571F7" w:rsidRPr="002C0DFA">
        <w:rPr>
          <w:rFonts w:eastAsia="Calibri"/>
          <w:i/>
          <w:iCs/>
          <w:szCs w:val="22"/>
          <w:lang w:eastAsia="de-DE" w:bidi="de-DE"/>
        </w:rPr>
        <w:t xml:space="preserve"> des K.E. vom 6. November 2022 (B.S. vom 23. November 2022)</w:t>
      </w:r>
      <w:r w:rsidR="003571F7">
        <w:rPr>
          <w:rFonts w:eastAsia="Calibri"/>
          <w:i/>
          <w:iCs/>
          <w:szCs w:val="22"/>
          <w:lang w:eastAsia="de-DE" w:bidi="de-DE"/>
        </w:rPr>
        <w:t xml:space="preserve"> und umnummeriert zu § 3 durch Art. 5</w:t>
      </w:r>
      <w:r w:rsidR="003571F7" w:rsidRPr="003571F7">
        <w:rPr>
          <w:rFonts w:eastAsia="Calibri"/>
          <w:i/>
          <w:iCs/>
          <w:szCs w:val="22"/>
          <w:lang w:eastAsia="de-DE" w:bidi="de-DE"/>
        </w:rPr>
        <w:t xml:space="preserve"> des K.E. vom 17. Juli 2023 (II) (B.S. vom 26. Juli 2023)</w:t>
      </w:r>
      <w:r>
        <w:rPr>
          <w:rFonts w:eastAsia="Calibri"/>
          <w:i/>
          <w:iCs/>
          <w:szCs w:val="22"/>
          <w:lang w:eastAsia="de-DE" w:bidi="de-DE"/>
        </w:rPr>
        <w:t>]</w:t>
      </w:r>
    </w:p>
    <w:p w14:paraId="633A17A9" w14:textId="77777777" w:rsidR="002C0DFA" w:rsidRPr="002C0DFA" w:rsidRDefault="002C0DFA" w:rsidP="004C2C7D">
      <w:pPr>
        <w:jc w:val="both"/>
        <w:rPr>
          <w:rFonts w:eastAsia="Calibri"/>
          <w:i/>
          <w:iCs/>
          <w:szCs w:val="22"/>
          <w:lang w:eastAsia="de-DE" w:bidi="de-DE"/>
        </w:rPr>
      </w:pPr>
    </w:p>
    <w:p w14:paraId="3297C001" w14:textId="77777777" w:rsidR="005A5BD5" w:rsidRPr="00334017" w:rsidRDefault="005A5BD5" w:rsidP="004C2C7D">
      <w:pPr>
        <w:jc w:val="both"/>
        <w:rPr>
          <w:rFonts w:eastAsia="Calibri"/>
          <w:szCs w:val="22"/>
          <w:lang w:eastAsia="de-DE" w:bidi="de-DE"/>
        </w:rPr>
      </w:pPr>
    </w:p>
    <w:p w14:paraId="02ADBF02" w14:textId="77777777" w:rsidR="005A5BD5" w:rsidRPr="00334017" w:rsidRDefault="005A5BD5" w:rsidP="004C2C7D">
      <w:pPr>
        <w:jc w:val="center"/>
        <w:rPr>
          <w:rFonts w:eastAsia="Calibri"/>
          <w:szCs w:val="22"/>
          <w:lang w:eastAsia="de-DE" w:bidi="de-DE"/>
        </w:rPr>
      </w:pPr>
      <w:r w:rsidRPr="00334017">
        <w:rPr>
          <w:rFonts w:eastAsia="Calibri"/>
          <w:szCs w:val="22"/>
          <w:lang w:eastAsia="de-DE" w:bidi="de-DE"/>
        </w:rPr>
        <w:t>Unterabschnitt 5 - Verzeichnisse der in Betracht kommenden Produktionsgesellschaften und Vermittler</w:t>
      </w:r>
    </w:p>
    <w:p w14:paraId="5E855EA1" w14:textId="77777777" w:rsidR="005A5BD5" w:rsidRPr="00334017" w:rsidRDefault="005A5BD5" w:rsidP="004C2C7D">
      <w:pPr>
        <w:jc w:val="both"/>
        <w:rPr>
          <w:rFonts w:eastAsia="Calibri"/>
          <w:szCs w:val="22"/>
          <w:lang w:eastAsia="de-DE" w:bidi="de-DE"/>
        </w:rPr>
      </w:pPr>
    </w:p>
    <w:p w14:paraId="3D8C3B74" w14:textId="77777777" w:rsidR="005A5BD5" w:rsidRPr="00334017" w:rsidRDefault="005A5BD5" w:rsidP="004C2C7D">
      <w:pPr>
        <w:jc w:val="both"/>
        <w:rPr>
          <w:rFonts w:eastAsia="Calibri"/>
          <w:szCs w:val="22"/>
          <w:lang w:eastAsia="de-DE" w:bidi="de-DE"/>
        </w:rPr>
      </w:pPr>
    </w:p>
    <w:p w14:paraId="47D1B060" w14:textId="77777777" w:rsidR="005A5BD5"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73</w:t>
      </w:r>
      <w:r w:rsidRPr="00334017">
        <w:rPr>
          <w:rFonts w:eastAsia="Calibri"/>
          <w:b/>
          <w:szCs w:val="22"/>
          <w:vertAlign w:val="superscript"/>
          <w:lang w:eastAsia="de-DE" w:bidi="de-DE"/>
        </w:rPr>
        <w:t>4/6</w:t>
      </w:r>
      <w:r w:rsidRPr="00334017">
        <w:rPr>
          <w:rFonts w:eastAsia="Calibri"/>
          <w:szCs w:val="22"/>
          <w:lang w:eastAsia="de-DE" w:bidi="de-DE"/>
        </w:rPr>
        <w:t> - Verzeichnisse der in Betracht kommenden Produktionsgesellschaften und Vermittler, die als solche gemäß den Bestimmungen des vorliegenden Erlasses zugelassen worden sind, werden auf der Website des Föderalen Öffentlichen Dienstes FINANZEN (www.finanzen.belgium.be) veröffentlicht und vom spezialisierten Tax-Shelter-Büro fortgeschrieben.]</w:t>
      </w:r>
    </w:p>
    <w:p w14:paraId="5268278B" w14:textId="77777777" w:rsidR="00AC73D9" w:rsidRDefault="00AC73D9" w:rsidP="004C2C7D">
      <w:pPr>
        <w:jc w:val="both"/>
        <w:rPr>
          <w:rFonts w:eastAsia="Calibri"/>
          <w:szCs w:val="22"/>
          <w:lang w:eastAsia="de-DE" w:bidi="de-DE"/>
        </w:rPr>
      </w:pPr>
    </w:p>
    <w:p w14:paraId="00C1E314" w14:textId="77777777" w:rsidR="00AC73D9" w:rsidRDefault="00AC73D9" w:rsidP="004C2C7D">
      <w:pPr>
        <w:jc w:val="both"/>
        <w:rPr>
          <w:rFonts w:eastAsia="Calibri"/>
          <w:szCs w:val="22"/>
          <w:lang w:eastAsia="de-DE" w:bidi="de-DE"/>
        </w:rPr>
      </w:pPr>
    </w:p>
    <w:p w14:paraId="2931391A" w14:textId="1E8040B9" w:rsidR="00AC73D9" w:rsidRDefault="00AC73D9" w:rsidP="00AC73D9">
      <w:pPr>
        <w:jc w:val="center"/>
        <w:rPr>
          <w:rFonts w:eastAsia="Calibri"/>
          <w:szCs w:val="22"/>
          <w:lang w:eastAsia="de-DE" w:bidi="de-DE"/>
        </w:rPr>
      </w:pPr>
      <w:r>
        <w:rPr>
          <w:rFonts w:eastAsia="Calibri"/>
          <w:szCs w:val="22"/>
          <w:lang w:eastAsia="de-DE" w:bidi="de-DE"/>
        </w:rPr>
        <w:t>[</w:t>
      </w:r>
      <w:r w:rsidRPr="00334017">
        <w:rPr>
          <w:rFonts w:eastAsia="Calibri"/>
          <w:szCs w:val="22"/>
          <w:lang w:eastAsia="de-DE" w:bidi="de-DE"/>
        </w:rPr>
        <w:t>Unterabschnitt </w:t>
      </w:r>
      <w:r>
        <w:rPr>
          <w:rFonts w:eastAsia="Calibri"/>
          <w:szCs w:val="22"/>
          <w:lang w:eastAsia="de-DE" w:bidi="de-DE"/>
        </w:rPr>
        <w:t>6</w:t>
      </w:r>
      <w:r w:rsidRPr="00334017">
        <w:rPr>
          <w:rFonts w:eastAsia="Calibri"/>
          <w:szCs w:val="22"/>
          <w:lang w:eastAsia="de-DE" w:bidi="de-DE"/>
        </w:rPr>
        <w:t> -</w:t>
      </w:r>
      <w:r>
        <w:rPr>
          <w:rFonts w:eastAsia="Calibri"/>
          <w:szCs w:val="22"/>
          <w:lang w:eastAsia="de-DE" w:bidi="de-DE"/>
        </w:rPr>
        <w:t xml:space="preserve"> </w:t>
      </w:r>
      <w:r w:rsidRPr="00BF784D">
        <w:t>Zuständige Behörde des Föderalstaates</w:t>
      </w:r>
      <w:r>
        <w:rPr>
          <w:rFonts w:eastAsia="Calibri"/>
          <w:szCs w:val="22"/>
          <w:lang w:eastAsia="de-DE" w:bidi="de-DE"/>
        </w:rPr>
        <w:t>]</w:t>
      </w:r>
    </w:p>
    <w:p w14:paraId="6068752F" w14:textId="77777777" w:rsidR="00AC73D9" w:rsidRDefault="00AC73D9" w:rsidP="004C2C7D">
      <w:pPr>
        <w:jc w:val="both"/>
        <w:rPr>
          <w:rFonts w:eastAsia="Calibri"/>
          <w:szCs w:val="22"/>
          <w:lang w:eastAsia="de-DE" w:bidi="de-DE"/>
        </w:rPr>
      </w:pPr>
    </w:p>
    <w:p w14:paraId="22647025" w14:textId="77777777" w:rsidR="00AC73D9" w:rsidRDefault="00AC73D9" w:rsidP="004C2C7D">
      <w:pPr>
        <w:jc w:val="both"/>
        <w:rPr>
          <w:rFonts w:eastAsia="Calibri"/>
          <w:szCs w:val="22"/>
          <w:lang w:eastAsia="de-DE" w:bidi="de-DE"/>
        </w:rPr>
      </w:pPr>
      <w:r>
        <w:rPr>
          <w:rFonts w:eastAsia="Calibri"/>
          <w:i/>
          <w:szCs w:val="22"/>
          <w:lang w:eastAsia="de-DE" w:bidi="de-DE"/>
        </w:rPr>
        <w:t>[</w:t>
      </w:r>
      <w:r w:rsidR="00D06199">
        <w:rPr>
          <w:rFonts w:eastAsia="Calibri"/>
          <w:i/>
          <w:szCs w:val="22"/>
          <w:lang w:eastAsia="de-DE" w:bidi="de-DE"/>
        </w:rPr>
        <w:t xml:space="preserve">Unterteilung </w:t>
      </w:r>
      <w:r>
        <w:rPr>
          <w:rFonts w:eastAsia="Calibri"/>
          <w:i/>
          <w:szCs w:val="22"/>
          <w:lang w:eastAsia="de-DE" w:bidi="de-DE"/>
        </w:rPr>
        <w:t>Unterabschnitt 6 eingefügt durch Art. 5 des K.E. vom 27. Januar 2017 (B.S. vom 31. Januar 2017)]</w:t>
      </w:r>
    </w:p>
    <w:p w14:paraId="022EF1FE" w14:textId="77777777" w:rsidR="00AC73D9" w:rsidRDefault="00AC73D9" w:rsidP="004C2C7D">
      <w:pPr>
        <w:jc w:val="both"/>
        <w:rPr>
          <w:rFonts w:eastAsia="Calibri"/>
          <w:szCs w:val="22"/>
          <w:lang w:eastAsia="de-DE" w:bidi="de-DE"/>
        </w:rPr>
      </w:pPr>
    </w:p>
    <w:p w14:paraId="5E0659BD" w14:textId="77777777" w:rsidR="00AC73D9" w:rsidRDefault="00AC73D9" w:rsidP="004C2C7D">
      <w:pPr>
        <w:jc w:val="both"/>
        <w:rPr>
          <w:rFonts w:eastAsia="Calibri"/>
          <w:szCs w:val="22"/>
          <w:lang w:eastAsia="de-DE" w:bidi="de-DE"/>
        </w:rPr>
      </w:pPr>
    </w:p>
    <w:p w14:paraId="34AD97E8" w14:textId="77777777" w:rsidR="00AC73D9" w:rsidRPr="00BF784D" w:rsidRDefault="00AC73D9" w:rsidP="00AC73D9">
      <w:pPr>
        <w:jc w:val="both"/>
      </w:pPr>
      <w:r>
        <w:rPr>
          <w:rFonts w:eastAsia="Calibri"/>
          <w:szCs w:val="22"/>
          <w:lang w:eastAsia="de-DE" w:bidi="de-DE"/>
        </w:rPr>
        <w:tab/>
        <w:t>[</w:t>
      </w:r>
      <w:r w:rsidRPr="00AC73D9">
        <w:rPr>
          <w:b/>
        </w:rPr>
        <w:t>Art. 73</w:t>
      </w:r>
      <w:r w:rsidRPr="00AC73D9">
        <w:rPr>
          <w:b/>
          <w:vertAlign w:val="superscript"/>
        </w:rPr>
        <w:t>4/7</w:t>
      </w:r>
      <w:r w:rsidRPr="00BF784D">
        <w:t> - § 1 - In Anwendung von Artikel 194</w:t>
      </w:r>
      <w:r w:rsidRPr="00BF784D">
        <w:rPr>
          <w:i/>
        </w:rPr>
        <w:t>ter</w:t>
      </w:r>
      <w:r w:rsidRPr="00BF784D">
        <w:t>/2 Absatz 2 des Einkommen</w:t>
      </w:r>
      <w:r w:rsidRPr="00BF784D">
        <w:softHyphen/>
        <w:t>steuergesetzbuches 1992 bestimmt der König den Föderalen Öffentlichen Programmierungs</w:t>
      </w:r>
      <w:r w:rsidRPr="00BF784D">
        <w:softHyphen/>
        <w:t>dienst Wissenschaftspolitik als zuständige Behörde des Föderalstaates.</w:t>
      </w:r>
    </w:p>
    <w:p w14:paraId="40418AD5" w14:textId="5BF5BA0E" w:rsidR="00E61F2A" w:rsidRDefault="00E61F2A"/>
    <w:p w14:paraId="38DADFFB" w14:textId="319CFA13" w:rsidR="00AC73D9" w:rsidRPr="00BF784D" w:rsidRDefault="00AC73D9" w:rsidP="00AC73D9">
      <w:pPr>
        <w:jc w:val="both"/>
      </w:pPr>
      <w:r w:rsidRPr="00BF784D">
        <w:tab/>
        <w:t>§ 2 - Wenn ein in Artikel 194</w:t>
      </w:r>
      <w:r w:rsidRPr="00BF784D">
        <w:rPr>
          <w:i/>
        </w:rPr>
        <w:t>ter</w:t>
      </w:r>
      <w:r w:rsidRPr="00BF784D">
        <w:t xml:space="preserve"> § 1 Absatz 1 Nr. 4</w:t>
      </w:r>
      <w:r w:rsidR="002C0DFA">
        <w:t>[</w:t>
      </w:r>
      <w:r w:rsidR="002C0DFA" w:rsidRPr="00C953A3">
        <w:t>, in Artikel 194</w:t>
      </w:r>
      <w:r w:rsidR="002C0DFA" w:rsidRPr="00C953A3">
        <w:rPr>
          <w:i/>
          <w:iCs/>
        </w:rPr>
        <w:t>ter</w:t>
      </w:r>
      <w:r w:rsidR="002C0DFA" w:rsidRPr="00C953A3">
        <w:t>/1 § 2 Nr. 1 oder in Artikel 194</w:t>
      </w:r>
      <w:r w:rsidR="002C0DFA" w:rsidRPr="00C953A3">
        <w:rPr>
          <w:i/>
          <w:iCs/>
        </w:rPr>
        <w:t>ter</w:t>
      </w:r>
      <w:r w:rsidR="002C0DFA" w:rsidRPr="00C953A3">
        <w:t>/3 § 2 Nr. 1</w:t>
      </w:r>
      <w:r w:rsidR="002C0DFA">
        <w:t xml:space="preserve">] </w:t>
      </w:r>
      <w:r w:rsidRPr="00BF784D">
        <w:t>desselben Gesetzbuches erwähntes in Betracht kommendes Werk von einer juristischen Person produziert wird, die auf dem zweisprachigen Gebiet Brüssel-Hauptstadt ansässig ist und in die Zuständigkeit der Föderalbehörde fällt:</w:t>
      </w:r>
    </w:p>
    <w:p w14:paraId="3FCF6C2A" w14:textId="77777777" w:rsidR="00AC73D9" w:rsidRPr="00BF784D" w:rsidRDefault="00AC73D9" w:rsidP="00AC73D9">
      <w:pPr>
        <w:jc w:val="both"/>
      </w:pPr>
    </w:p>
    <w:p w14:paraId="137558C8" w14:textId="7A4B7751" w:rsidR="00AC73D9" w:rsidRPr="00BF784D" w:rsidRDefault="00AC73D9" w:rsidP="00AC73D9">
      <w:pPr>
        <w:jc w:val="both"/>
      </w:pPr>
      <w:r w:rsidRPr="00BF784D">
        <w:tab/>
        <w:t>1. muss das audiovisuelle Werk</w:t>
      </w:r>
      <w:r w:rsidR="002C0DFA">
        <w:t xml:space="preserve">[, </w:t>
      </w:r>
      <w:r w:rsidR="002C0DFA" w:rsidRPr="00C953A3">
        <w:t>die Bühnenproduktion oder das Videospiel</w:t>
      </w:r>
      <w:r w:rsidR="002C0DFA">
        <w:t>]</w:t>
      </w:r>
      <w:r w:rsidRPr="00BF784D">
        <w:t xml:space="preserve"> gemäß den Artikeln 194</w:t>
      </w:r>
      <w:r w:rsidRPr="00BF784D">
        <w:rPr>
          <w:i/>
        </w:rPr>
        <w:t>ter</w:t>
      </w:r>
      <w:r w:rsidRPr="00BF784D">
        <w:t xml:space="preserve"> § 1 Absatz 1 Nr. 4</w:t>
      </w:r>
      <w:r w:rsidR="002C0DFA">
        <w:t xml:space="preserve">[, </w:t>
      </w:r>
      <w:r w:rsidR="002C0DFA" w:rsidRPr="00C953A3">
        <w:t>194</w:t>
      </w:r>
      <w:r w:rsidR="002C0DFA" w:rsidRPr="00C953A3">
        <w:rPr>
          <w:i/>
          <w:iCs/>
        </w:rPr>
        <w:t>ter</w:t>
      </w:r>
      <w:r w:rsidR="002C0DFA" w:rsidRPr="00C953A3">
        <w:t>/1 § 2 Nr. 1 und 194</w:t>
      </w:r>
      <w:r w:rsidR="002C0DFA" w:rsidRPr="00C953A3">
        <w:rPr>
          <w:i/>
          <w:iCs/>
        </w:rPr>
        <w:t>ter</w:t>
      </w:r>
      <w:r w:rsidR="002C0DFA" w:rsidRPr="00C953A3">
        <w:t>/3 § 2 Nr. 1</w:t>
      </w:r>
      <w:r w:rsidR="002C0DFA">
        <w:t xml:space="preserve">] </w:t>
      </w:r>
      <w:r w:rsidRPr="00BF784D">
        <w:t>desselben Gesetzbuches von der zuständigen Behörde des Föderalstaates als europäisches Werk wie entweder in der Richtlinie über audiovisuelle Mediendienste vom 10. März 2010 oder in Artikel 194</w:t>
      </w:r>
      <w:r w:rsidRPr="00BF784D">
        <w:rPr>
          <w:i/>
        </w:rPr>
        <w:t>ter/</w:t>
      </w:r>
      <w:r w:rsidRPr="00BF784D">
        <w:t xml:space="preserve">1 § 2 Nr. 1 </w:t>
      </w:r>
      <w:r w:rsidR="002C0DFA">
        <w:t>[</w:t>
      </w:r>
      <w:r w:rsidR="002C0DFA" w:rsidRPr="00C953A3">
        <w:t>oder in Artikel 194</w:t>
      </w:r>
      <w:r w:rsidR="002C0DFA" w:rsidRPr="00C953A3">
        <w:rPr>
          <w:i/>
          <w:iCs/>
        </w:rPr>
        <w:t>ter</w:t>
      </w:r>
      <w:r w:rsidR="002C0DFA" w:rsidRPr="00C953A3">
        <w:t>/3 § 2 Nr. 1</w:t>
      </w:r>
      <w:r w:rsidR="002C0DFA">
        <w:t xml:space="preserve">] </w:t>
      </w:r>
      <w:r w:rsidRPr="00BF784D">
        <w:t>bestimmt zugelassen worden sein, um für die Tax-Shelter-Regelung in Betracht kommen zu können,</w:t>
      </w:r>
    </w:p>
    <w:p w14:paraId="17DBBC1D" w14:textId="77777777" w:rsidR="007E5973" w:rsidRDefault="007E5973"/>
    <w:p w14:paraId="30D7E295" w14:textId="3AA454E8" w:rsidR="00AC73D9" w:rsidRPr="00BF784D" w:rsidRDefault="00AC73D9" w:rsidP="00AC73D9">
      <w:pPr>
        <w:jc w:val="both"/>
      </w:pPr>
      <w:r w:rsidRPr="00BF784D">
        <w:tab/>
        <w:t>2. muss die zuständige Behörde des Föderalstaates gemäß den Artikeln 194</w:t>
      </w:r>
      <w:r w:rsidRPr="00BF784D">
        <w:rPr>
          <w:i/>
        </w:rPr>
        <w:t>ter</w:t>
      </w:r>
      <w:r w:rsidRPr="00BF784D">
        <w:t xml:space="preserve"> § 7 Nr. 3</w:t>
      </w:r>
      <w:r w:rsidR="002C0DFA">
        <w:t xml:space="preserve">[, </w:t>
      </w:r>
      <w:r w:rsidRPr="00BF784D">
        <w:t>194</w:t>
      </w:r>
      <w:r w:rsidRPr="00BF784D">
        <w:rPr>
          <w:i/>
        </w:rPr>
        <w:t>ter</w:t>
      </w:r>
      <w:r w:rsidRPr="00BF784D">
        <w:t xml:space="preserve">/1 § 1 </w:t>
      </w:r>
      <w:r w:rsidR="002C0DFA" w:rsidRPr="00C953A3">
        <w:t>und 194</w:t>
      </w:r>
      <w:r w:rsidR="002C0DFA" w:rsidRPr="00C953A3">
        <w:rPr>
          <w:i/>
          <w:iCs/>
        </w:rPr>
        <w:t>ter</w:t>
      </w:r>
      <w:r w:rsidR="002C0DFA" w:rsidRPr="00C953A3">
        <w:t>/3 § 1</w:t>
      </w:r>
      <w:r w:rsidR="002C0DFA">
        <w:t xml:space="preserve">] </w:t>
      </w:r>
      <w:r w:rsidRPr="00BF784D">
        <w:t>desselben Gesetzbuches zwei unterschiedliche Bescheinigungen ausstellen, in denen bestätigt wird, dass:</w:t>
      </w:r>
    </w:p>
    <w:p w14:paraId="651C4126" w14:textId="77777777" w:rsidR="00AC73D9" w:rsidRPr="00BF784D" w:rsidRDefault="00AC73D9" w:rsidP="00AC73D9">
      <w:pPr>
        <w:jc w:val="both"/>
      </w:pPr>
    </w:p>
    <w:p w14:paraId="07FC328A" w14:textId="0910046E" w:rsidR="00AC73D9" w:rsidRPr="00BF784D" w:rsidRDefault="00AC73D9" w:rsidP="00AC73D9">
      <w:pPr>
        <w:jc w:val="both"/>
      </w:pPr>
      <w:r w:rsidRPr="00BF784D">
        <w:tab/>
        <w:t>- das audiovisuelle Werk</w:t>
      </w:r>
      <w:r w:rsidR="002C0DFA">
        <w:t xml:space="preserve">[, </w:t>
      </w:r>
      <w:r w:rsidR="002C0DFA" w:rsidRPr="002C0DFA">
        <w:t>die Bühnenproduktion oder das Videospiel</w:t>
      </w:r>
      <w:r w:rsidR="002C0DFA">
        <w:t xml:space="preserve">] </w:t>
      </w:r>
      <w:r w:rsidRPr="00BF784D">
        <w:t>der Begriffsbestimmung eines in Artikel 194</w:t>
      </w:r>
      <w:r w:rsidRPr="00BF784D">
        <w:rPr>
          <w:i/>
        </w:rPr>
        <w:t>ter</w:t>
      </w:r>
      <w:r w:rsidRPr="00BF784D">
        <w:t xml:space="preserve"> § 1 Absatz 1 Nr. 4</w:t>
      </w:r>
      <w:r w:rsidR="002C0DFA">
        <w:t>[</w:t>
      </w:r>
      <w:r w:rsidR="002C0DFA" w:rsidRPr="002C0DFA">
        <w:t>, in Artikel 194</w:t>
      </w:r>
      <w:r w:rsidR="002C0DFA" w:rsidRPr="002C0DFA">
        <w:rPr>
          <w:i/>
          <w:iCs/>
        </w:rPr>
        <w:t>ter</w:t>
      </w:r>
      <w:r w:rsidR="002C0DFA" w:rsidRPr="002C0DFA">
        <w:t>/1 § 2 Nr. 1 oder in Artikel 194</w:t>
      </w:r>
      <w:r w:rsidR="002C0DFA" w:rsidRPr="002C0DFA">
        <w:rPr>
          <w:i/>
          <w:iCs/>
        </w:rPr>
        <w:t>ter</w:t>
      </w:r>
      <w:r w:rsidR="002C0DFA" w:rsidRPr="002C0DFA">
        <w:t>/3 § 2 Nr. 1</w:t>
      </w:r>
      <w:r w:rsidR="002C0DFA">
        <w:t xml:space="preserve">] </w:t>
      </w:r>
      <w:r w:rsidRPr="00BF784D">
        <w:t>desselben Gesetzbuches erwähnten in Betracht kommenden Werks entspricht,</w:t>
      </w:r>
    </w:p>
    <w:p w14:paraId="712B828A" w14:textId="77777777" w:rsidR="00AC73D9" w:rsidRPr="00BF784D" w:rsidRDefault="00AC73D9" w:rsidP="00AC73D9">
      <w:pPr>
        <w:jc w:val="both"/>
      </w:pPr>
    </w:p>
    <w:p w14:paraId="2D3BE0FE" w14:textId="4BCD4F33" w:rsidR="00AC73D9" w:rsidRPr="00BF784D" w:rsidRDefault="00AC73D9" w:rsidP="00AC73D9">
      <w:pPr>
        <w:jc w:val="both"/>
      </w:pPr>
      <w:r w:rsidRPr="00BF784D">
        <w:tab/>
        <w:t xml:space="preserve">- die Realisierung des Werks abgeschlossen ist und dass bei der in Anwendung der </w:t>
      </w:r>
      <w:r w:rsidR="002C0DFA">
        <w:t>[</w:t>
      </w:r>
      <w:r w:rsidR="002C0DFA" w:rsidRPr="00C953A3">
        <w:t>Artikel 194</w:t>
      </w:r>
      <w:r w:rsidR="002C0DFA" w:rsidRPr="00C953A3">
        <w:rPr>
          <w:i/>
          <w:iCs/>
        </w:rPr>
        <w:t>ter</w:t>
      </w:r>
      <w:r w:rsidR="002C0DFA" w:rsidRPr="00C953A3">
        <w:t>, 194</w:t>
      </w:r>
      <w:r w:rsidR="002C0DFA" w:rsidRPr="00C953A3">
        <w:rPr>
          <w:i/>
          <w:iCs/>
        </w:rPr>
        <w:t>ter</w:t>
      </w:r>
      <w:r w:rsidR="002C0DFA" w:rsidRPr="00C953A3">
        <w:t>/1 und 194</w:t>
      </w:r>
      <w:r w:rsidR="002C0DFA" w:rsidRPr="00C953A3">
        <w:rPr>
          <w:i/>
          <w:iCs/>
        </w:rPr>
        <w:t>ter</w:t>
      </w:r>
      <w:r w:rsidR="002C0DFA" w:rsidRPr="00C953A3">
        <w:t>/3</w:t>
      </w:r>
      <w:r w:rsidR="002C0DFA">
        <w:t>]</w:t>
      </w:r>
      <w:r w:rsidRPr="00BF784D">
        <w:t xml:space="preserve"> desselben Gesetzbuches getätigten globalen Finanzierung des Werks die Bedingungen und die Höchstgrenze erwähnt </w:t>
      </w:r>
      <w:r w:rsidR="002C0DFA">
        <w:t>[</w:t>
      </w:r>
      <w:r w:rsidR="002C0DFA" w:rsidRPr="00C953A3">
        <w:t>in Artikel 194</w:t>
      </w:r>
      <w:r w:rsidR="002C0DFA" w:rsidRPr="00C953A3">
        <w:rPr>
          <w:i/>
          <w:iCs/>
        </w:rPr>
        <w:t>ter</w:t>
      </w:r>
      <w:r w:rsidR="002C0DFA" w:rsidRPr="00C953A3">
        <w:t xml:space="preserve"> § 4 Nr. 3</w:t>
      </w:r>
      <w:r w:rsidR="002C0DFA">
        <w:t>]</w:t>
      </w:r>
      <w:r w:rsidRPr="00BF784D">
        <w:t xml:space="preserve"> desselben Gesetzbuches eingehalten wurden, das heißt, dass der Gesamtbetrag der Summen, die von sämtlichen in Betracht kommenden Anlegern in Ausführung des Rahmenübereinkommens unter Befreiung der Gewinne von der Steuer gemäß Artikel 194</w:t>
      </w:r>
      <w:r w:rsidRPr="00BF784D">
        <w:rPr>
          <w:i/>
        </w:rPr>
        <w:t>ter</w:t>
      </w:r>
      <w:r w:rsidRPr="00BF784D">
        <w:t xml:space="preserve"> § 2 desselben Gesetzbuches tatsächlich gezahlt wurden, 50 Prozent des Budgets der Gesamtausgaben für das in Betracht kommende Werk nicht übersteigt und dieser Betrag tatsächlich zur Durchführung dieses Budgets verwendet wurde.</w:t>
      </w:r>
    </w:p>
    <w:p w14:paraId="6D3349A9" w14:textId="77777777" w:rsidR="00AC73D9" w:rsidRPr="00BF784D" w:rsidRDefault="00AC73D9" w:rsidP="00AC73D9">
      <w:pPr>
        <w:jc w:val="both"/>
      </w:pPr>
    </w:p>
    <w:p w14:paraId="639DCCFB" w14:textId="77777777" w:rsidR="00AC73D9" w:rsidRPr="00BF784D" w:rsidRDefault="00AC73D9" w:rsidP="00AC73D9">
      <w:pPr>
        <w:jc w:val="both"/>
      </w:pPr>
      <w:r w:rsidRPr="00BF784D">
        <w:tab/>
        <w:t>§ 3 - Die in Artikel 194</w:t>
      </w:r>
      <w:r w:rsidRPr="00BF784D">
        <w:rPr>
          <w:i/>
        </w:rPr>
        <w:t>ter</w:t>
      </w:r>
      <w:r w:rsidRPr="00BF784D">
        <w:t>/2 desselben Gesetzbuches erwähnte zuständige Behörde des Föderalstaates arbeitet eng zusammen und hält regelmäßig Absprache mit der Föderalbehörde (insbesondere mit dem Tax-Shelter-Büro), der Flämischen Gemeinschaft, der Französischen Gemeinschaft und der Deutschsprachigen Gemeinschaft, um:</w:t>
      </w:r>
    </w:p>
    <w:p w14:paraId="37CDAB4D" w14:textId="77777777" w:rsidR="00AC73D9" w:rsidRPr="00BF784D" w:rsidRDefault="00AC73D9" w:rsidP="00AC73D9">
      <w:pPr>
        <w:jc w:val="both"/>
      </w:pPr>
    </w:p>
    <w:p w14:paraId="683174F3" w14:textId="77777777" w:rsidR="00AC73D9" w:rsidRPr="00BF784D" w:rsidRDefault="00AC73D9" w:rsidP="00AC73D9">
      <w:pPr>
        <w:jc w:val="both"/>
      </w:pPr>
      <w:r w:rsidRPr="00BF784D">
        <w:tab/>
        <w:t>1. den Informationsaustausch zwischen diesen verschiedenen Stellen beziehungsweise Körperschaften in Bezug auf die analysierten Akten zu ermöglichen,</w:t>
      </w:r>
    </w:p>
    <w:p w14:paraId="4C606F29" w14:textId="77777777" w:rsidR="00AC73D9" w:rsidRPr="00BF784D" w:rsidRDefault="00AC73D9" w:rsidP="00AC73D9">
      <w:pPr>
        <w:jc w:val="both"/>
      </w:pPr>
    </w:p>
    <w:p w14:paraId="2A954C6A" w14:textId="77777777" w:rsidR="00AC73D9" w:rsidRPr="00BF784D" w:rsidRDefault="00AC73D9" w:rsidP="00AC73D9">
      <w:pPr>
        <w:jc w:val="both"/>
      </w:pPr>
      <w:r w:rsidRPr="00BF784D">
        <w:tab/>
        <w:t>2. die Interpretation der Texte zu harmonisieren,</w:t>
      </w:r>
    </w:p>
    <w:p w14:paraId="3CA15427" w14:textId="77777777" w:rsidR="00AC73D9" w:rsidRPr="00BF784D" w:rsidRDefault="00AC73D9" w:rsidP="00AC73D9">
      <w:pPr>
        <w:jc w:val="both"/>
      </w:pPr>
    </w:p>
    <w:p w14:paraId="14262740" w14:textId="77777777" w:rsidR="00AC73D9" w:rsidRPr="00BF784D" w:rsidRDefault="00AC73D9" w:rsidP="00AC73D9">
      <w:pPr>
        <w:jc w:val="both"/>
      </w:pPr>
      <w:r w:rsidRPr="00BF784D">
        <w:tab/>
        <w:t>3. die Nutzung guter Praktiken zu fördern.</w:t>
      </w:r>
    </w:p>
    <w:p w14:paraId="16BC75E1" w14:textId="77777777" w:rsidR="00AC73D9" w:rsidRPr="00BF784D" w:rsidRDefault="00AC73D9" w:rsidP="00AC73D9">
      <w:pPr>
        <w:jc w:val="both"/>
      </w:pPr>
    </w:p>
    <w:p w14:paraId="5702F1FB" w14:textId="77777777" w:rsidR="00AC73D9" w:rsidRPr="00BF784D" w:rsidRDefault="00AC73D9" w:rsidP="00AC73D9">
      <w:pPr>
        <w:jc w:val="both"/>
      </w:pPr>
      <w:r w:rsidRPr="00BF784D">
        <w:tab/>
        <w:t>§ 4 - Konkret hält die in Artikel 194</w:t>
      </w:r>
      <w:r w:rsidRPr="00BF784D">
        <w:rPr>
          <w:i/>
        </w:rPr>
        <w:t>ter</w:t>
      </w:r>
      <w:r w:rsidRPr="00BF784D">
        <w:t>/2 desselben Gesetzbuches erwähnte zuständige Behörde des Föderalstaates die Föderalbehörde und die Gemeinschaften über die getroffenen Beschlüsse auf dem Laufenden, indem sie ihnen Folgendes übermittelt:</w:t>
      </w:r>
    </w:p>
    <w:p w14:paraId="270A21B2" w14:textId="77777777" w:rsidR="00AC73D9" w:rsidRPr="00BF784D" w:rsidRDefault="00AC73D9" w:rsidP="00AC73D9">
      <w:pPr>
        <w:jc w:val="both"/>
      </w:pPr>
    </w:p>
    <w:p w14:paraId="4ABB78A3" w14:textId="77777777" w:rsidR="00AC73D9" w:rsidRPr="00BF784D" w:rsidRDefault="00AC73D9" w:rsidP="00AC73D9">
      <w:pPr>
        <w:jc w:val="both"/>
      </w:pPr>
      <w:r w:rsidRPr="00BF784D">
        <w:tab/>
        <w:t>1. Verzeichnis der zugelassenen in Betracht kommenden Produktionsgesellschaften und Vermittler,</w:t>
      </w:r>
    </w:p>
    <w:p w14:paraId="150FF04A" w14:textId="77777777" w:rsidR="00AC73D9" w:rsidRPr="00BF784D" w:rsidRDefault="00AC73D9" w:rsidP="00AC73D9">
      <w:pPr>
        <w:jc w:val="both"/>
      </w:pPr>
    </w:p>
    <w:p w14:paraId="1F821004" w14:textId="4E57BCAC" w:rsidR="00AC73D9" w:rsidRPr="00BF784D" w:rsidRDefault="00AC73D9" w:rsidP="00AC73D9">
      <w:pPr>
        <w:jc w:val="both"/>
      </w:pPr>
      <w:r w:rsidRPr="00BF784D">
        <w:tab/>
        <w:t>2. Verzeichnis der audiovisuellen Werke</w:t>
      </w:r>
      <w:r w:rsidR="008627F0">
        <w:t xml:space="preserve">[, </w:t>
      </w:r>
      <w:r w:rsidR="008627F0" w:rsidRPr="00C953A3">
        <w:t>Verzeichnis der Bühnenproduktionen und Verzeichnis der Videospiele</w:t>
      </w:r>
      <w:r w:rsidR="008627F0">
        <w:t>]</w:t>
      </w:r>
      <w:r w:rsidRPr="00BF784D">
        <w:t>, die als in Betracht kommende Werke zugelassen sind,</w:t>
      </w:r>
    </w:p>
    <w:p w14:paraId="5BAD27B8" w14:textId="77777777" w:rsidR="00AC73D9" w:rsidRPr="00BF784D" w:rsidRDefault="00AC73D9" w:rsidP="00AC73D9">
      <w:pPr>
        <w:jc w:val="both"/>
      </w:pPr>
    </w:p>
    <w:p w14:paraId="1CD99583" w14:textId="7D6A922B" w:rsidR="00AC73D9" w:rsidRPr="00BF784D" w:rsidRDefault="00AC73D9" w:rsidP="00AC73D9">
      <w:pPr>
        <w:jc w:val="both"/>
      </w:pPr>
      <w:r w:rsidRPr="00BF784D">
        <w:tab/>
        <w:t xml:space="preserve">3. Verzeichnis der Werke, für die die zuständige Behörde des Föderalstaates bestätigt hat, dass sie abgeschlossen sind und dass die Bedingungen und die Höchstgrenze erwähnt </w:t>
      </w:r>
      <w:r w:rsidR="008627F0">
        <w:t>[</w:t>
      </w:r>
      <w:r w:rsidR="008627F0" w:rsidRPr="00C953A3">
        <w:t>in Artikel 194</w:t>
      </w:r>
      <w:r w:rsidR="008627F0" w:rsidRPr="00C953A3">
        <w:rPr>
          <w:i/>
          <w:iCs/>
        </w:rPr>
        <w:t>ter</w:t>
      </w:r>
      <w:r w:rsidR="008627F0" w:rsidRPr="00C953A3">
        <w:t xml:space="preserve"> § 4 Nr. 3</w:t>
      </w:r>
      <w:r w:rsidR="008627F0">
        <w:t>]</w:t>
      </w:r>
      <w:r w:rsidRPr="00BF784D">
        <w:t xml:space="preserve"> desselben Gesetzbuches eingehalten wurden,</w:t>
      </w:r>
    </w:p>
    <w:p w14:paraId="624989FF" w14:textId="77777777" w:rsidR="00AC73D9" w:rsidRPr="00BF784D" w:rsidRDefault="00AC73D9" w:rsidP="00AC73D9">
      <w:pPr>
        <w:jc w:val="both"/>
      </w:pPr>
    </w:p>
    <w:p w14:paraId="3A3FD973" w14:textId="77777777" w:rsidR="00AC73D9" w:rsidRPr="00BF784D" w:rsidRDefault="00AC73D9" w:rsidP="00AC73D9">
      <w:pPr>
        <w:jc w:val="both"/>
      </w:pPr>
      <w:r w:rsidRPr="00BF784D">
        <w:tab/>
        <w:t>4. Verzeichnis der ausgestellten Tax-Shelter-Bescheinigungen und Steuerwert dieser Bescheinigungen pro Rahmenübereinkommen,</w:t>
      </w:r>
    </w:p>
    <w:p w14:paraId="3E85D423" w14:textId="77777777" w:rsidR="00AC73D9" w:rsidRPr="00BF784D" w:rsidRDefault="00AC73D9" w:rsidP="00AC73D9">
      <w:pPr>
        <w:jc w:val="both"/>
      </w:pPr>
    </w:p>
    <w:p w14:paraId="2F2827DF" w14:textId="77777777" w:rsidR="00AC73D9" w:rsidRPr="00BF784D" w:rsidRDefault="00AC73D9" w:rsidP="00AC73D9">
      <w:pPr>
        <w:jc w:val="both"/>
      </w:pPr>
      <w:r w:rsidRPr="00BF784D">
        <w:tab/>
        <w:t>5. Verzeichnis der Rahmenübereinkommen, die dem Tax-Shelter-Büro notifiziert worden sind,</w:t>
      </w:r>
    </w:p>
    <w:p w14:paraId="328E51BB" w14:textId="77777777" w:rsidR="00AC73D9" w:rsidRPr="00BF784D" w:rsidRDefault="00AC73D9" w:rsidP="00AC73D9">
      <w:pPr>
        <w:jc w:val="both"/>
      </w:pPr>
    </w:p>
    <w:p w14:paraId="18E243DC" w14:textId="77777777" w:rsidR="00AC73D9" w:rsidRPr="00BF784D" w:rsidRDefault="00AC73D9" w:rsidP="00AC73D9">
      <w:pPr>
        <w:jc w:val="both"/>
      </w:pPr>
      <w:r w:rsidRPr="00BF784D">
        <w:tab/>
        <w:t>und umgekehrt.</w:t>
      </w:r>
    </w:p>
    <w:p w14:paraId="3B5208FE" w14:textId="77777777" w:rsidR="00AC73D9" w:rsidRPr="00BF784D" w:rsidRDefault="00AC73D9" w:rsidP="00AC73D9">
      <w:pPr>
        <w:jc w:val="both"/>
      </w:pPr>
    </w:p>
    <w:p w14:paraId="552FC958" w14:textId="77777777" w:rsidR="00AC73D9" w:rsidRDefault="00AC73D9" w:rsidP="00AC73D9">
      <w:pPr>
        <w:jc w:val="both"/>
      </w:pPr>
      <w:r w:rsidRPr="00BF784D">
        <w:tab/>
        <w:t>Diese Verzeichnisse werden binnen zehn Werktagen nach Ende jeden Quartals übermittelt.</w:t>
      </w:r>
    </w:p>
    <w:p w14:paraId="254C2357" w14:textId="77777777" w:rsidR="00AC73D9" w:rsidRPr="00BF784D" w:rsidRDefault="00AC73D9" w:rsidP="00AC73D9">
      <w:pPr>
        <w:jc w:val="both"/>
      </w:pPr>
    </w:p>
    <w:p w14:paraId="74F4896F" w14:textId="77777777" w:rsidR="00AC73D9" w:rsidRPr="00BF784D" w:rsidRDefault="00AC73D9" w:rsidP="00AC73D9">
      <w:pPr>
        <w:jc w:val="both"/>
      </w:pPr>
      <w:r w:rsidRPr="00BF784D">
        <w:tab/>
        <w:t>§ 5 - Die in Artikel 194</w:t>
      </w:r>
      <w:r w:rsidRPr="00BF784D">
        <w:rPr>
          <w:i/>
        </w:rPr>
        <w:t>ter</w:t>
      </w:r>
      <w:r w:rsidRPr="00BF784D">
        <w:t>/2 desselben Gesetzbuches erwähnte zuständige Behörde des Föderalstaates informiert die Föderalbehörde und die Gemeinschaften über:</w:t>
      </w:r>
    </w:p>
    <w:p w14:paraId="64495671" w14:textId="77777777" w:rsidR="00AC73D9" w:rsidRPr="00BF784D" w:rsidRDefault="00AC73D9" w:rsidP="00AC73D9">
      <w:pPr>
        <w:jc w:val="both"/>
      </w:pPr>
    </w:p>
    <w:p w14:paraId="6C861546" w14:textId="77777777" w:rsidR="00AC73D9" w:rsidRPr="00BF784D" w:rsidRDefault="00AC73D9" w:rsidP="00AC73D9">
      <w:pPr>
        <w:jc w:val="both"/>
      </w:pPr>
      <w:r w:rsidRPr="00BF784D">
        <w:tab/>
        <w:t>1. die Verweigerung von Zulassungen als in Betracht kommende audiovisuelle Werke oder Bühnenwerke,</w:t>
      </w:r>
    </w:p>
    <w:p w14:paraId="6EEB11AB" w14:textId="77777777" w:rsidR="00AC73D9" w:rsidRPr="00BF784D" w:rsidRDefault="00AC73D9" w:rsidP="00AC73D9">
      <w:pPr>
        <w:jc w:val="both"/>
      </w:pPr>
    </w:p>
    <w:p w14:paraId="4B11B50C" w14:textId="4B357A45" w:rsidR="00AC73D9" w:rsidRPr="00BF784D" w:rsidRDefault="00AC73D9" w:rsidP="00AC73D9">
      <w:pPr>
        <w:jc w:val="both"/>
      </w:pPr>
      <w:r w:rsidRPr="00BF784D">
        <w:tab/>
        <w:t>2. die Verweigerung der in den Artikeln 194</w:t>
      </w:r>
      <w:r w:rsidRPr="00BF784D">
        <w:rPr>
          <w:i/>
        </w:rPr>
        <w:t>ter</w:t>
      </w:r>
      <w:r w:rsidRPr="00BF784D">
        <w:t xml:space="preserve"> § 7 Nr. 3</w:t>
      </w:r>
      <w:r w:rsidR="008627F0">
        <w:t xml:space="preserve">[, </w:t>
      </w:r>
      <w:r w:rsidR="008627F0" w:rsidRPr="00C953A3">
        <w:t>194</w:t>
      </w:r>
      <w:r w:rsidR="008627F0" w:rsidRPr="00C953A3">
        <w:rPr>
          <w:i/>
          <w:iCs/>
        </w:rPr>
        <w:t>ter</w:t>
      </w:r>
      <w:r w:rsidR="008627F0" w:rsidRPr="00C953A3">
        <w:t>/1 § 6 und 194</w:t>
      </w:r>
      <w:r w:rsidR="008627F0" w:rsidRPr="00C953A3">
        <w:rPr>
          <w:i/>
          <w:iCs/>
        </w:rPr>
        <w:t>ter</w:t>
      </w:r>
      <w:r w:rsidR="008627F0" w:rsidRPr="00C953A3">
        <w:t>/3 § 6</w:t>
      </w:r>
      <w:r w:rsidR="008627F0">
        <w:t xml:space="preserve">] </w:t>
      </w:r>
      <w:r w:rsidRPr="00BF784D">
        <w:t>desselben Gesetzbuches vorgesehenen Bescheinigungen durch die in Artikel 194</w:t>
      </w:r>
      <w:r w:rsidRPr="00BF784D">
        <w:rPr>
          <w:i/>
        </w:rPr>
        <w:t>ter</w:t>
      </w:r>
      <w:r w:rsidRPr="00BF784D">
        <w:t>/2 desselben Gesetzbuches erwähnte zuständige Behörde des Föderalstaates,</w:t>
      </w:r>
    </w:p>
    <w:p w14:paraId="015B64CE" w14:textId="77777777" w:rsidR="00AC73D9" w:rsidRPr="00BF784D" w:rsidRDefault="00AC73D9" w:rsidP="00AC73D9">
      <w:pPr>
        <w:jc w:val="both"/>
      </w:pPr>
    </w:p>
    <w:p w14:paraId="2A36E557" w14:textId="77777777" w:rsidR="00AC73D9" w:rsidRPr="00BF784D" w:rsidRDefault="00AC73D9" w:rsidP="00AC73D9">
      <w:pPr>
        <w:jc w:val="both"/>
      </w:pPr>
      <w:r w:rsidRPr="00BF784D">
        <w:tab/>
        <w:t>3. die Verweigerung von Tax-Shelter-Bescheinigungen,</w:t>
      </w:r>
    </w:p>
    <w:p w14:paraId="1708FE6B" w14:textId="77777777" w:rsidR="00AC73D9" w:rsidRPr="00BF784D" w:rsidRDefault="00AC73D9" w:rsidP="00AC73D9">
      <w:pPr>
        <w:jc w:val="both"/>
      </w:pPr>
    </w:p>
    <w:p w14:paraId="4F151C9C" w14:textId="77777777" w:rsidR="00AC73D9" w:rsidRPr="00BF784D" w:rsidRDefault="00AC73D9" w:rsidP="00AC73D9">
      <w:pPr>
        <w:jc w:val="both"/>
      </w:pPr>
      <w:r w:rsidRPr="00BF784D">
        <w:tab/>
        <w:t>und zwar binnen zehn Werktagen nach Ende jeden Quartals,</w:t>
      </w:r>
    </w:p>
    <w:p w14:paraId="77F764AC" w14:textId="77777777" w:rsidR="00AC73D9" w:rsidRPr="00BF784D" w:rsidRDefault="00AC73D9" w:rsidP="00AC73D9">
      <w:pPr>
        <w:jc w:val="both"/>
      </w:pPr>
    </w:p>
    <w:p w14:paraId="68DE1477" w14:textId="77777777" w:rsidR="00AC73D9" w:rsidRPr="00BF784D" w:rsidRDefault="00AC73D9" w:rsidP="00AC73D9">
      <w:pPr>
        <w:jc w:val="both"/>
      </w:pPr>
      <w:r w:rsidRPr="00BF784D">
        <w:tab/>
        <w:t>und umgekehrt.</w:t>
      </w:r>
    </w:p>
    <w:p w14:paraId="2AC40E58" w14:textId="77777777" w:rsidR="00AC73D9" w:rsidRPr="00BF784D" w:rsidRDefault="00AC73D9" w:rsidP="00AC73D9">
      <w:pPr>
        <w:jc w:val="both"/>
      </w:pPr>
    </w:p>
    <w:p w14:paraId="3E671C23" w14:textId="4127FB0D" w:rsidR="00AC73D9" w:rsidRPr="00BF784D" w:rsidRDefault="00AC73D9" w:rsidP="00AC73D9">
      <w:pPr>
        <w:jc w:val="both"/>
      </w:pPr>
      <w:r w:rsidRPr="00BF784D">
        <w:tab/>
        <w:t>Die zuständige Behörde des Föderalstaates hält die Föderalbehörde und die Gemeinschaften über Verstöße gegen die Artikel 194</w:t>
      </w:r>
      <w:r w:rsidRPr="00BF784D">
        <w:rPr>
          <w:i/>
        </w:rPr>
        <w:t>ter</w:t>
      </w:r>
      <w:r w:rsidR="008627F0">
        <w:t xml:space="preserve">[, </w:t>
      </w:r>
      <w:r w:rsidR="008627F0" w:rsidRPr="00C953A3">
        <w:t>194</w:t>
      </w:r>
      <w:r w:rsidR="008627F0" w:rsidRPr="00C953A3">
        <w:rPr>
          <w:i/>
          <w:iCs/>
        </w:rPr>
        <w:t>ter</w:t>
      </w:r>
      <w:r w:rsidR="008627F0" w:rsidRPr="00C953A3">
        <w:t>/1 und 194</w:t>
      </w:r>
      <w:r w:rsidR="008627F0" w:rsidRPr="00C953A3">
        <w:rPr>
          <w:i/>
          <w:iCs/>
        </w:rPr>
        <w:t>ter</w:t>
      </w:r>
      <w:r w:rsidR="008627F0" w:rsidRPr="00C953A3">
        <w:t>/3</w:t>
      </w:r>
      <w:r w:rsidR="008627F0">
        <w:t xml:space="preserve">] </w:t>
      </w:r>
      <w:r w:rsidRPr="00BF784D">
        <w:t>desselben Gesetzbuches auf dem Laufenden,</w:t>
      </w:r>
    </w:p>
    <w:p w14:paraId="14AF4036" w14:textId="77777777" w:rsidR="00AC73D9" w:rsidRPr="00BF784D" w:rsidRDefault="00AC73D9" w:rsidP="00AC73D9">
      <w:pPr>
        <w:jc w:val="both"/>
      </w:pPr>
    </w:p>
    <w:p w14:paraId="223F14C3" w14:textId="77777777" w:rsidR="00AC73D9" w:rsidRPr="00BF784D" w:rsidRDefault="00AC73D9" w:rsidP="00AC73D9">
      <w:pPr>
        <w:jc w:val="both"/>
      </w:pPr>
      <w:r w:rsidRPr="00BF784D">
        <w:tab/>
        <w:t>und umgekehrt.</w:t>
      </w:r>
    </w:p>
    <w:p w14:paraId="690C38B5" w14:textId="77777777" w:rsidR="00AC73D9" w:rsidRPr="00BF784D" w:rsidRDefault="00AC73D9" w:rsidP="00AC73D9">
      <w:pPr>
        <w:jc w:val="both"/>
      </w:pPr>
    </w:p>
    <w:p w14:paraId="14E8569E" w14:textId="05B016C1" w:rsidR="00AC73D9" w:rsidRPr="00BF784D" w:rsidRDefault="00AC73D9" w:rsidP="00AC73D9">
      <w:pPr>
        <w:jc w:val="both"/>
      </w:pPr>
      <w:r w:rsidRPr="00BF784D">
        <w:tab/>
        <w:t>Die zuständige Behörde des Föderalstaates tauscht mit den Gemeinschaften Informationen aus über die Akten, deren europäischer Charakter oder deren Art ein Problem darstellt, und setzt sie unverzüglich über die Ablehnung von audiovisuellen Werken</w:t>
      </w:r>
      <w:r w:rsidR="008627F0">
        <w:t xml:space="preserve">[, </w:t>
      </w:r>
      <w:r w:rsidR="008627F0" w:rsidRPr="00C953A3">
        <w:t>Bühnenproduktionen und Videospielen</w:t>
      </w:r>
      <w:r w:rsidR="008627F0">
        <w:t xml:space="preserve">] </w:t>
      </w:r>
      <w:r w:rsidRPr="00BF784D">
        <w:t>als in Betracht kommende Werke in Kenntnis,</w:t>
      </w:r>
    </w:p>
    <w:p w14:paraId="304F9D3A" w14:textId="77777777" w:rsidR="00AC73D9" w:rsidRPr="00BF784D" w:rsidRDefault="00AC73D9" w:rsidP="00AC73D9">
      <w:pPr>
        <w:jc w:val="both"/>
      </w:pPr>
    </w:p>
    <w:p w14:paraId="794F8BE4" w14:textId="77777777" w:rsidR="00AC73D9" w:rsidRPr="00BF784D" w:rsidRDefault="00AC73D9" w:rsidP="00AC73D9">
      <w:pPr>
        <w:jc w:val="both"/>
      </w:pPr>
      <w:r w:rsidRPr="00BF784D">
        <w:tab/>
        <w:t>und umgekehrt.</w:t>
      </w:r>
    </w:p>
    <w:p w14:paraId="7BB69127" w14:textId="77777777" w:rsidR="00AC73D9" w:rsidRPr="00BF784D" w:rsidRDefault="00AC73D9" w:rsidP="00AC73D9">
      <w:pPr>
        <w:jc w:val="both"/>
      </w:pPr>
    </w:p>
    <w:p w14:paraId="25EB7197" w14:textId="77777777" w:rsidR="00AC73D9" w:rsidRPr="00BF784D" w:rsidRDefault="00AC73D9" w:rsidP="00AC73D9">
      <w:pPr>
        <w:jc w:val="both"/>
      </w:pPr>
      <w:r w:rsidRPr="00BF784D">
        <w:tab/>
        <w:t xml:space="preserve">Unmittelbar nach einem Beschluss zum Entzug oder zur Aussetzung der Zulassung einer in Betracht kommenden Produktionsgesellschaft oder eines in Betracht kommenden </w:t>
      </w:r>
      <w:r w:rsidRPr="00BF784D">
        <w:lastRenderedPageBreak/>
        <w:t>Vermittlers informiert die Föderalbehörde die in Artikel 194</w:t>
      </w:r>
      <w:r w:rsidRPr="00BF784D">
        <w:rPr>
          <w:i/>
        </w:rPr>
        <w:t>ter</w:t>
      </w:r>
      <w:r w:rsidRPr="00BF784D">
        <w:t>/2 desselben Gesetzbuches erwähnte zuständige Behörde des Föderalstaates über die Gründe für den Entzug oder die Aussetzung.</w:t>
      </w:r>
    </w:p>
    <w:p w14:paraId="54718166" w14:textId="77777777" w:rsidR="00AC73D9" w:rsidRPr="00BF784D" w:rsidRDefault="00AC73D9" w:rsidP="00AC73D9">
      <w:pPr>
        <w:jc w:val="both"/>
      </w:pPr>
    </w:p>
    <w:p w14:paraId="217E1434" w14:textId="77777777" w:rsidR="00AC73D9" w:rsidRPr="00BF784D" w:rsidRDefault="00AC73D9" w:rsidP="00AC73D9">
      <w:pPr>
        <w:jc w:val="both"/>
      </w:pPr>
      <w:r w:rsidRPr="00BF784D">
        <w:tab/>
        <w:t>Die Föderalbehörde teilt der zuständigen Behörde des Föderalstaates eventuelle Probleme in Verbindung mit FSMA-Prospekten mit.</w:t>
      </w:r>
    </w:p>
    <w:p w14:paraId="7CD9C2D0" w14:textId="77777777" w:rsidR="00AC73D9" w:rsidRPr="00BF784D" w:rsidRDefault="00AC73D9" w:rsidP="00AC73D9">
      <w:pPr>
        <w:jc w:val="both"/>
      </w:pPr>
    </w:p>
    <w:p w14:paraId="4913A10B" w14:textId="77777777" w:rsidR="00AC73D9" w:rsidRPr="00BF784D" w:rsidRDefault="00AC73D9" w:rsidP="00AC73D9">
      <w:pPr>
        <w:jc w:val="both"/>
      </w:pPr>
      <w:r w:rsidRPr="00BF784D">
        <w:tab/>
        <w:t>§ 6 - Die zuständige Behörde des Föderalstaates hält die Föderalbehörde und die Gemeinschaften über eventuelle Probleme, mit denen die Produzenten konfrontiert sind, wie beispielsweise Einstellung der Produktion, Konkurs, Rechtsstreitigkeiten mit Koproduzenten und/oder Dienstleistungserbringern, auf dem Laufenden.</w:t>
      </w:r>
    </w:p>
    <w:p w14:paraId="11160A07" w14:textId="77777777" w:rsidR="00AC73D9" w:rsidRPr="00BF784D" w:rsidRDefault="00AC73D9" w:rsidP="00AC73D9">
      <w:pPr>
        <w:jc w:val="both"/>
      </w:pPr>
    </w:p>
    <w:p w14:paraId="158B58A8" w14:textId="77777777" w:rsidR="00AC73D9" w:rsidRPr="00BF784D" w:rsidRDefault="00AC73D9" w:rsidP="00AC73D9">
      <w:pPr>
        <w:jc w:val="both"/>
      </w:pPr>
      <w:r w:rsidRPr="00BF784D">
        <w:tab/>
        <w:t>§ 7 - Die zuständige Behörde des Föderalstaates nimmt mindestens zwei Mal pro Jahr an den von der Föderalbehörde organisierten Versammlungen mit den Gemeinschaften teil, um Absprache zu halten.</w:t>
      </w:r>
    </w:p>
    <w:p w14:paraId="1DD4DBA8" w14:textId="77777777" w:rsidR="00AC73D9" w:rsidRDefault="00AC73D9" w:rsidP="00AC73D9"/>
    <w:p w14:paraId="09FB7F78" w14:textId="223FBAA7" w:rsidR="00AC73D9" w:rsidRPr="00BF784D" w:rsidRDefault="00AC73D9" w:rsidP="00AC73D9">
      <w:pPr>
        <w:jc w:val="both"/>
      </w:pPr>
      <w:r w:rsidRPr="00BF784D">
        <w:tab/>
        <w:t>Die zuständige Behörde des Föderalstaates teilt mit der Föderalbehörde und den Gemeinschaften die mit ihren Befugnissen zusammenhängende Erfahrung und Fachkompetenz und zieht sie bei Unsicherheiten in Bezug auf die korrekte Interpretation und Ausführung der Artikel 194</w:t>
      </w:r>
      <w:r w:rsidRPr="00BF784D">
        <w:rPr>
          <w:i/>
        </w:rPr>
        <w:t>ter</w:t>
      </w:r>
      <w:r w:rsidR="008627F0">
        <w:t xml:space="preserve">[, </w:t>
      </w:r>
      <w:r w:rsidR="008627F0" w:rsidRPr="008627F0">
        <w:t>194</w:t>
      </w:r>
      <w:r w:rsidR="008627F0" w:rsidRPr="008627F0">
        <w:rPr>
          <w:i/>
          <w:iCs/>
        </w:rPr>
        <w:t>ter</w:t>
      </w:r>
      <w:r w:rsidR="008627F0" w:rsidRPr="008627F0">
        <w:t>/1 und 194</w:t>
      </w:r>
      <w:r w:rsidR="008627F0" w:rsidRPr="008627F0">
        <w:rPr>
          <w:i/>
          <w:iCs/>
        </w:rPr>
        <w:t>ter</w:t>
      </w:r>
      <w:r w:rsidR="008627F0" w:rsidRPr="008627F0">
        <w:t>/3</w:t>
      </w:r>
      <w:r w:rsidR="008627F0">
        <w:t xml:space="preserve">] </w:t>
      </w:r>
      <w:r w:rsidRPr="00BF784D">
        <w:t>des Einkommensteuergesetzbuches 1992 zu Rate.</w:t>
      </w:r>
    </w:p>
    <w:p w14:paraId="1055E45B" w14:textId="77777777" w:rsidR="00AC73D9" w:rsidRPr="00BF784D" w:rsidRDefault="00AC73D9" w:rsidP="00AC73D9">
      <w:pPr>
        <w:jc w:val="both"/>
      </w:pPr>
    </w:p>
    <w:p w14:paraId="4A262EA8" w14:textId="78378759" w:rsidR="00AC73D9" w:rsidRPr="00BF784D" w:rsidRDefault="00AC73D9" w:rsidP="00AC73D9">
      <w:pPr>
        <w:jc w:val="both"/>
      </w:pPr>
      <w:r w:rsidRPr="00BF784D">
        <w:tab/>
        <w:t>Die zuständige Behörde des Föderalstaates kann die Föderalbehörde und die Gemeinschaften bei Verstößen gegen die Artikel 194</w:t>
      </w:r>
      <w:r w:rsidRPr="00BF784D">
        <w:rPr>
          <w:i/>
        </w:rPr>
        <w:t>ter</w:t>
      </w:r>
      <w:r w:rsidR="008627F0">
        <w:t xml:space="preserve">[, </w:t>
      </w:r>
      <w:r w:rsidR="008627F0" w:rsidRPr="008627F0">
        <w:t>194</w:t>
      </w:r>
      <w:r w:rsidR="008627F0" w:rsidRPr="008627F0">
        <w:rPr>
          <w:i/>
          <w:iCs/>
        </w:rPr>
        <w:t>ter</w:t>
      </w:r>
      <w:r w:rsidR="008627F0" w:rsidRPr="008627F0">
        <w:t>/1 und 194</w:t>
      </w:r>
      <w:r w:rsidR="008627F0" w:rsidRPr="008627F0">
        <w:rPr>
          <w:i/>
          <w:iCs/>
        </w:rPr>
        <w:t>ter</w:t>
      </w:r>
      <w:r w:rsidR="008627F0" w:rsidRPr="008627F0">
        <w:t>/3</w:t>
      </w:r>
      <w:r w:rsidR="008627F0">
        <w:t xml:space="preserve">] </w:t>
      </w:r>
      <w:r w:rsidRPr="00BF784D">
        <w:t>desselben Gesetzbuches zu Rate ziehen und mit ihnen Absprache halten.</w:t>
      </w:r>
    </w:p>
    <w:p w14:paraId="35D8B454" w14:textId="77777777" w:rsidR="00AC73D9" w:rsidRPr="00BF784D" w:rsidRDefault="00AC73D9" w:rsidP="00AC73D9">
      <w:pPr>
        <w:jc w:val="both"/>
      </w:pPr>
    </w:p>
    <w:p w14:paraId="558AD76D" w14:textId="77777777" w:rsidR="00AC73D9" w:rsidRPr="00BF784D" w:rsidRDefault="00AC73D9" w:rsidP="00AC73D9">
      <w:pPr>
        <w:jc w:val="both"/>
      </w:pPr>
      <w:r w:rsidRPr="00BF784D">
        <w:tab/>
        <w:t>Die zuständige Behörde des Föderalstaates teilt mit den Gemeinschaften die mit ihren Befugnissen zusammenhängende Erfahrung und Fachkompetenz und zieht diese bei Unsicherheiten in Bezug auf die Interpretation des Begriffs "in Betracht kommendes Werk" zu Rate.</w:t>
      </w:r>
    </w:p>
    <w:p w14:paraId="4A77536E" w14:textId="77777777" w:rsidR="00AC73D9" w:rsidRPr="00BF784D" w:rsidRDefault="00AC73D9" w:rsidP="00AC73D9">
      <w:pPr>
        <w:jc w:val="both"/>
      </w:pPr>
    </w:p>
    <w:p w14:paraId="5EC86CD7" w14:textId="77777777" w:rsidR="00AC73D9" w:rsidRDefault="00AC73D9" w:rsidP="00AC73D9">
      <w:pPr>
        <w:jc w:val="both"/>
        <w:rPr>
          <w:rFonts w:eastAsia="Calibri"/>
          <w:szCs w:val="22"/>
          <w:lang w:eastAsia="de-DE" w:bidi="de-DE"/>
        </w:rPr>
      </w:pPr>
      <w:r w:rsidRPr="00BF784D">
        <w:tab/>
        <w:t>§ 8 - Die zuständige Behörde des Föderalstaates tauscht mit der Föderalbehörde und den Gemeinschaften jährlich die für die Überwachung der Regelung notwendigen Daten und Statistiken aus.</w:t>
      </w:r>
      <w:r>
        <w:rPr>
          <w:rFonts w:eastAsia="Calibri"/>
          <w:szCs w:val="22"/>
          <w:lang w:eastAsia="de-DE" w:bidi="de-DE"/>
        </w:rPr>
        <w:t>]</w:t>
      </w:r>
    </w:p>
    <w:p w14:paraId="4A0451B1" w14:textId="77777777" w:rsidR="00D06199" w:rsidRDefault="00D06199" w:rsidP="00AC73D9">
      <w:pPr>
        <w:jc w:val="both"/>
        <w:rPr>
          <w:rFonts w:eastAsia="Calibri"/>
          <w:szCs w:val="22"/>
          <w:lang w:eastAsia="de-DE" w:bidi="de-DE"/>
        </w:rPr>
      </w:pPr>
    </w:p>
    <w:p w14:paraId="22BEC81F" w14:textId="7372449B" w:rsidR="00D06199" w:rsidRDefault="00D06199" w:rsidP="00AC73D9">
      <w:pPr>
        <w:jc w:val="both"/>
        <w:rPr>
          <w:rFonts w:eastAsia="Calibri"/>
          <w:i/>
          <w:szCs w:val="22"/>
          <w:lang w:eastAsia="de-DE" w:bidi="de-DE"/>
        </w:rPr>
      </w:pPr>
      <w:r>
        <w:rPr>
          <w:rFonts w:eastAsia="Calibri"/>
          <w:i/>
          <w:szCs w:val="22"/>
          <w:lang w:eastAsia="de-DE" w:bidi="de-DE"/>
        </w:rPr>
        <w:t>[Art. 73</w:t>
      </w:r>
      <w:r w:rsidRPr="00D06199">
        <w:rPr>
          <w:rFonts w:eastAsia="Calibri"/>
          <w:i/>
          <w:szCs w:val="22"/>
          <w:vertAlign w:val="superscript"/>
          <w:lang w:eastAsia="de-DE" w:bidi="de-DE"/>
        </w:rPr>
        <w:t xml:space="preserve">4/7 </w:t>
      </w:r>
      <w:r>
        <w:rPr>
          <w:rFonts w:eastAsia="Calibri"/>
          <w:i/>
          <w:szCs w:val="22"/>
          <w:lang w:eastAsia="de-DE" w:bidi="de-DE"/>
        </w:rPr>
        <w:t>eingefügt durch Art. 6 des K.E. vom 27. Januar 2017 (B.S. vom 31. Januar 2017)</w:t>
      </w:r>
      <w:r w:rsidR="008627F0">
        <w:rPr>
          <w:rFonts w:eastAsia="Calibri"/>
          <w:i/>
          <w:szCs w:val="22"/>
          <w:lang w:eastAsia="de-DE" w:bidi="de-DE"/>
        </w:rPr>
        <w:t>; § 2 einziger Absatz einleitende Bestimmung abgeändert durch Art. 5 Nr. 1</w:t>
      </w:r>
      <w:r w:rsidR="008627F0" w:rsidRPr="008627F0">
        <w:rPr>
          <w:rFonts w:eastAsia="Calibri"/>
          <w:i/>
          <w:szCs w:val="22"/>
          <w:lang w:eastAsia="de-DE" w:bidi="de-DE"/>
        </w:rPr>
        <w:t xml:space="preserve"> des K.E. vom 6. November 2022 (B.S. vom 23. November 2022)</w:t>
      </w:r>
      <w:r w:rsidR="008627F0">
        <w:rPr>
          <w:rFonts w:eastAsia="Calibri"/>
          <w:i/>
          <w:szCs w:val="22"/>
          <w:lang w:eastAsia="de-DE" w:bidi="de-DE"/>
        </w:rPr>
        <w:t>; § 2 einziger Absatz Nr. 1 abgeändert durch Art. 5 Nr. 2</w:t>
      </w:r>
      <w:r w:rsidR="008627F0" w:rsidRPr="008627F0">
        <w:rPr>
          <w:rFonts w:eastAsia="Calibri"/>
          <w:i/>
          <w:szCs w:val="22"/>
          <w:lang w:eastAsia="de-DE" w:bidi="de-DE"/>
        </w:rPr>
        <w:t xml:space="preserve"> des K.E. vom 6. November 2022 (B.S. vom 23. November 2022)</w:t>
      </w:r>
      <w:r w:rsidR="008627F0">
        <w:rPr>
          <w:rFonts w:eastAsia="Calibri"/>
          <w:i/>
          <w:szCs w:val="22"/>
          <w:lang w:eastAsia="de-DE" w:bidi="de-DE"/>
        </w:rPr>
        <w:t>; § 2 einziger Absatz Nr. 2 einziger Absatz einleitende Bestimmung abgeändert durch Art. 5 Nr. 3</w:t>
      </w:r>
      <w:r w:rsidR="008627F0" w:rsidRPr="008627F0">
        <w:rPr>
          <w:rFonts w:eastAsia="Calibri"/>
          <w:i/>
          <w:szCs w:val="22"/>
          <w:lang w:eastAsia="de-DE" w:bidi="de-DE"/>
        </w:rPr>
        <w:t xml:space="preserve"> des K.E. vom 6. November 2022 (B.S. vom 23. November 2022)</w:t>
      </w:r>
      <w:r w:rsidR="008627F0">
        <w:rPr>
          <w:rFonts w:eastAsia="Calibri"/>
          <w:i/>
          <w:szCs w:val="22"/>
          <w:lang w:eastAsia="de-DE" w:bidi="de-DE"/>
        </w:rPr>
        <w:t>; § 2 einziger Absatz Nr. 2 einziger Absatz erster Gedankenstrich abgeändert durch Art. 5 Nr. 4</w:t>
      </w:r>
      <w:r w:rsidR="008627F0" w:rsidRPr="008627F0">
        <w:rPr>
          <w:rFonts w:eastAsia="Calibri"/>
          <w:i/>
          <w:szCs w:val="22"/>
          <w:lang w:eastAsia="de-DE" w:bidi="de-DE"/>
        </w:rPr>
        <w:t xml:space="preserve"> des K.E. vom 6. November 2022 (B.S. vom 23. November 2022)</w:t>
      </w:r>
      <w:r w:rsidR="008627F0">
        <w:rPr>
          <w:rFonts w:eastAsia="Calibri"/>
          <w:i/>
          <w:szCs w:val="22"/>
          <w:lang w:eastAsia="de-DE" w:bidi="de-DE"/>
        </w:rPr>
        <w:t>; § 2 einziger Absatz Nr. 2 einziger Absatz zweiter Gedankenstrich abgeändert durch Art. 5 Nr. 5</w:t>
      </w:r>
      <w:r w:rsidR="008627F0" w:rsidRPr="008627F0">
        <w:rPr>
          <w:rFonts w:eastAsia="Calibri"/>
          <w:i/>
          <w:szCs w:val="22"/>
          <w:lang w:eastAsia="de-DE" w:bidi="de-DE"/>
        </w:rPr>
        <w:t xml:space="preserve"> des K.E. vom 6. November 2022 (B.S. vom 23. November 2022)</w:t>
      </w:r>
      <w:r w:rsidR="008627F0">
        <w:rPr>
          <w:rFonts w:eastAsia="Calibri"/>
          <w:i/>
          <w:szCs w:val="22"/>
          <w:lang w:eastAsia="de-DE" w:bidi="de-DE"/>
        </w:rPr>
        <w:t>; § 4 Abs. 1 Nr. 2 abgeändert durch Art. 5 Nr. 6</w:t>
      </w:r>
      <w:r w:rsidR="008627F0" w:rsidRPr="008627F0">
        <w:rPr>
          <w:rFonts w:eastAsia="Calibri"/>
          <w:i/>
          <w:szCs w:val="22"/>
          <w:lang w:eastAsia="de-DE" w:bidi="de-DE"/>
        </w:rPr>
        <w:t xml:space="preserve"> des K.E. vom 6. November 2022 (B.S. vom 23. November 2022)</w:t>
      </w:r>
      <w:r w:rsidR="008627F0">
        <w:rPr>
          <w:rFonts w:eastAsia="Calibri"/>
          <w:i/>
          <w:szCs w:val="22"/>
          <w:lang w:eastAsia="de-DE" w:bidi="de-DE"/>
        </w:rPr>
        <w:t>; § 4 Abs. 1 Nr. 3 abgeändert durch Art. 5 Nr. 7</w:t>
      </w:r>
      <w:r w:rsidR="008627F0" w:rsidRPr="008627F0">
        <w:rPr>
          <w:rFonts w:eastAsia="Calibri"/>
          <w:i/>
          <w:szCs w:val="22"/>
          <w:lang w:eastAsia="de-DE" w:bidi="de-DE"/>
        </w:rPr>
        <w:t xml:space="preserve"> des K.E. vom 6. November 2022 (B.S. vom 23. November 2022)</w:t>
      </w:r>
      <w:r w:rsidR="008627F0">
        <w:rPr>
          <w:rFonts w:eastAsia="Calibri"/>
          <w:i/>
          <w:szCs w:val="22"/>
          <w:lang w:eastAsia="de-DE" w:bidi="de-DE"/>
        </w:rPr>
        <w:t>; § 5 Abs. 1 Nr. 2 abgeändert durch Art. 5 Nr. 8</w:t>
      </w:r>
      <w:r w:rsidR="008627F0" w:rsidRPr="008627F0">
        <w:rPr>
          <w:rFonts w:eastAsia="Calibri"/>
          <w:i/>
          <w:szCs w:val="22"/>
          <w:lang w:eastAsia="de-DE" w:bidi="de-DE"/>
        </w:rPr>
        <w:t xml:space="preserve"> des K.E. vom 6. November 2022 (B.S. vom 23. November 2022)</w:t>
      </w:r>
      <w:r w:rsidR="008627F0">
        <w:rPr>
          <w:rFonts w:eastAsia="Calibri"/>
          <w:i/>
          <w:szCs w:val="22"/>
          <w:lang w:eastAsia="de-DE" w:bidi="de-DE"/>
        </w:rPr>
        <w:t>; § 5 Abs. 2 abgeändert durch Art. 5 Nr. 9</w:t>
      </w:r>
      <w:r w:rsidR="008627F0" w:rsidRPr="008627F0">
        <w:rPr>
          <w:rFonts w:eastAsia="Calibri"/>
          <w:i/>
          <w:szCs w:val="22"/>
          <w:lang w:eastAsia="de-DE" w:bidi="de-DE"/>
        </w:rPr>
        <w:t xml:space="preserve"> des K.E. vom 6. November 2022 (B.S. vom 23. November 2022)</w:t>
      </w:r>
      <w:r w:rsidR="008627F0">
        <w:rPr>
          <w:rFonts w:eastAsia="Calibri"/>
          <w:i/>
          <w:szCs w:val="22"/>
          <w:lang w:eastAsia="de-DE" w:bidi="de-DE"/>
        </w:rPr>
        <w:t>; § 5 Abs. 3 abgeändert durch Art. 5 Nr. 10</w:t>
      </w:r>
      <w:r w:rsidR="008627F0" w:rsidRPr="008627F0">
        <w:rPr>
          <w:rFonts w:eastAsia="Calibri"/>
          <w:i/>
          <w:szCs w:val="22"/>
          <w:lang w:eastAsia="de-DE" w:bidi="de-DE"/>
        </w:rPr>
        <w:t xml:space="preserve"> des K.E. vom 6. November 2022 (B.S. vom 23. November 2022)</w:t>
      </w:r>
      <w:r w:rsidR="008627F0">
        <w:rPr>
          <w:rFonts w:eastAsia="Calibri"/>
          <w:i/>
          <w:szCs w:val="22"/>
          <w:lang w:eastAsia="de-DE" w:bidi="de-DE"/>
        </w:rPr>
        <w:t>; § 7 Abs. 2 abgeändert durch Art. 5 Nr. 11</w:t>
      </w:r>
      <w:r w:rsidR="008627F0" w:rsidRPr="008627F0">
        <w:rPr>
          <w:rFonts w:eastAsia="Calibri"/>
          <w:i/>
          <w:szCs w:val="22"/>
          <w:lang w:eastAsia="de-DE" w:bidi="de-DE"/>
        </w:rPr>
        <w:t xml:space="preserve"> </w:t>
      </w:r>
      <w:r w:rsidR="008627F0" w:rsidRPr="008627F0">
        <w:rPr>
          <w:rFonts w:eastAsia="Calibri"/>
          <w:i/>
          <w:szCs w:val="22"/>
          <w:lang w:eastAsia="de-DE" w:bidi="de-DE"/>
        </w:rPr>
        <w:lastRenderedPageBreak/>
        <w:t>des K.E. vom 6. November 2022 (B.S. vom 23. November 2022)</w:t>
      </w:r>
      <w:r w:rsidR="008627F0">
        <w:rPr>
          <w:rFonts w:eastAsia="Calibri"/>
          <w:i/>
          <w:szCs w:val="22"/>
          <w:lang w:eastAsia="de-DE" w:bidi="de-DE"/>
        </w:rPr>
        <w:t>; § 7 Abs. 3 abgeändert durch Art. 5 Nr. 12</w:t>
      </w:r>
      <w:r w:rsidR="008627F0" w:rsidRPr="008627F0">
        <w:rPr>
          <w:rFonts w:eastAsia="Calibri"/>
          <w:i/>
          <w:szCs w:val="22"/>
          <w:lang w:eastAsia="de-DE" w:bidi="de-DE"/>
        </w:rPr>
        <w:t xml:space="preserve"> des K.E. vom 6. November 2022 (B.S. vom 23. November 2022)</w:t>
      </w:r>
      <w:r>
        <w:rPr>
          <w:rFonts w:eastAsia="Calibri"/>
          <w:i/>
          <w:szCs w:val="22"/>
          <w:lang w:eastAsia="de-DE" w:bidi="de-DE"/>
        </w:rPr>
        <w:t>]</w:t>
      </w:r>
    </w:p>
    <w:p w14:paraId="215BF4BE" w14:textId="77777777" w:rsidR="008627F0" w:rsidRDefault="008627F0" w:rsidP="00AC73D9">
      <w:pPr>
        <w:jc w:val="both"/>
        <w:rPr>
          <w:rFonts w:eastAsia="Calibri"/>
          <w:iCs/>
          <w:szCs w:val="22"/>
          <w:lang w:eastAsia="de-DE" w:bidi="de-DE"/>
        </w:rPr>
      </w:pPr>
    </w:p>
    <w:p w14:paraId="369D288B" w14:textId="77777777" w:rsidR="008627F0" w:rsidRDefault="008627F0" w:rsidP="00AC73D9">
      <w:pPr>
        <w:jc w:val="both"/>
        <w:rPr>
          <w:rFonts w:eastAsia="Calibri"/>
          <w:iCs/>
          <w:szCs w:val="22"/>
          <w:lang w:eastAsia="de-DE" w:bidi="de-DE"/>
        </w:rPr>
      </w:pPr>
    </w:p>
    <w:p w14:paraId="5484BA6E" w14:textId="5CF17404" w:rsidR="008627F0" w:rsidRPr="00C953A3" w:rsidRDefault="008627F0" w:rsidP="001F54BC">
      <w:pPr>
        <w:jc w:val="center"/>
      </w:pPr>
      <w:r>
        <w:rPr>
          <w:rFonts w:eastAsia="Calibri"/>
          <w:iCs/>
          <w:szCs w:val="22"/>
          <w:lang w:eastAsia="de-DE" w:bidi="de-DE"/>
        </w:rPr>
        <w:t>[</w:t>
      </w:r>
      <w:r w:rsidRPr="001F54BC">
        <w:rPr>
          <w:i/>
          <w:iCs/>
        </w:rPr>
        <w:t>Abschnitt 27bis/1bis</w:t>
      </w:r>
      <w:r w:rsidRPr="00C953A3">
        <w:t> - Modalitäten und Bedingungen für die Erteilung der Tax-Shelter-Bescheinigung</w:t>
      </w:r>
    </w:p>
    <w:p w14:paraId="02F0FC05" w14:textId="77777777" w:rsidR="008627F0" w:rsidRPr="00C953A3" w:rsidRDefault="008627F0" w:rsidP="008627F0">
      <w:pPr>
        <w:jc w:val="both"/>
      </w:pPr>
    </w:p>
    <w:p w14:paraId="72010848" w14:textId="7C5FF20B" w:rsidR="008627F0" w:rsidRPr="00C953A3" w:rsidRDefault="008627F0" w:rsidP="001F54BC">
      <w:pPr>
        <w:jc w:val="center"/>
      </w:pPr>
      <w:r w:rsidRPr="00C953A3">
        <w:t>(Einkommensteuergesetzbuch 1992, Artikel 194</w:t>
      </w:r>
      <w:r w:rsidRPr="00C953A3">
        <w:rPr>
          <w:i/>
          <w:iCs/>
        </w:rPr>
        <w:t>ter</w:t>
      </w:r>
      <w:r w:rsidRPr="00C953A3">
        <w:t xml:space="preserve"> § 7)</w:t>
      </w:r>
    </w:p>
    <w:p w14:paraId="2CA7A267" w14:textId="77777777" w:rsidR="008627F0" w:rsidRDefault="008627F0" w:rsidP="008627F0">
      <w:pPr>
        <w:jc w:val="both"/>
      </w:pPr>
    </w:p>
    <w:p w14:paraId="32D7FF66" w14:textId="109C72EC" w:rsidR="001F54BC" w:rsidRPr="001F54BC" w:rsidRDefault="001F54BC" w:rsidP="008627F0">
      <w:pPr>
        <w:jc w:val="both"/>
        <w:rPr>
          <w:i/>
          <w:iCs/>
        </w:rPr>
      </w:pPr>
      <w:r>
        <w:rPr>
          <w:i/>
          <w:iCs/>
        </w:rPr>
        <w:t>[Abschnitt 27bis/1bis mit Art. 73</w:t>
      </w:r>
      <w:r w:rsidRPr="001F54BC">
        <w:rPr>
          <w:i/>
          <w:iCs/>
          <w:vertAlign w:val="superscript"/>
        </w:rPr>
        <w:t>4/7bis</w:t>
      </w:r>
      <w:r>
        <w:rPr>
          <w:i/>
          <w:iCs/>
        </w:rPr>
        <w:t xml:space="preserve"> eingefügt durch Art. 6</w:t>
      </w:r>
      <w:r w:rsidRPr="001F54BC">
        <w:rPr>
          <w:i/>
          <w:iCs/>
          <w:lang w:bidi="de-DE"/>
        </w:rPr>
        <w:t xml:space="preserve"> des K.E. vom 6. November 2022 (B.S. vom 23. November 2022)</w:t>
      </w:r>
      <w:r>
        <w:rPr>
          <w:i/>
          <w:iCs/>
          <w:lang w:bidi="de-DE"/>
        </w:rPr>
        <w:t>]</w:t>
      </w:r>
    </w:p>
    <w:p w14:paraId="360E17B8" w14:textId="77777777" w:rsidR="008627F0" w:rsidRDefault="008627F0" w:rsidP="008627F0">
      <w:pPr>
        <w:jc w:val="both"/>
      </w:pPr>
    </w:p>
    <w:p w14:paraId="280AC031" w14:textId="77777777" w:rsidR="001F54BC" w:rsidRPr="00C953A3" w:rsidRDefault="001F54BC" w:rsidP="008627F0">
      <w:pPr>
        <w:jc w:val="both"/>
      </w:pPr>
    </w:p>
    <w:p w14:paraId="55B0C090" w14:textId="77777777" w:rsidR="008627F0" w:rsidRPr="00C953A3" w:rsidRDefault="008627F0" w:rsidP="008627F0">
      <w:pPr>
        <w:jc w:val="both"/>
      </w:pPr>
      <w:r w:rsidRPr="00C953A3">
        <w:tab/>
      </w:r>
      <w:r w:rsidRPr="001F54BC">
        <w:rPr>
          <w:b/>
          <w:bCs/>
        </w:rPr>
        <w:t>Art. 73</w:t>
      </w:r>
      <w:r w:rsidRPr="001F54BC">
        <w:rPr>
          <w:b/>
          <w:bCs/>
          <w:vertAlign w:val="superscript"/>
        </w:rPr>
        <w:t>4/7</w:t>
      </w:r>
      <w:r w:rsidRPr="001F54BC">
        <w:rPr>
          <w:b/>
          <w:bCs/>
          <w:i/>
          <w:vertAlign w:val="superscript"/>
        </w:rPr>
        <w:t>bis</w:t>
      </w:r>
      <w:r w:rsidRPr="00C953A3">
        <w:t> - Um die in Artikel 194</w:t>
      </w:r>
      <w:r w:rsidRPr="00C953A3">
        <w:rPr>
          <w:i/>
        </w:rPr>
        <w:t>ter</w:t>
      </w:r>
      <w:r w:rsidRPr="00C953A3">
        <w:t xml:space="preserve"> § 7 des Einkommensteuergesetzbuches 1992 erwähnte Tax-Shelter-Bescheinigung zu erhalten, muss die in Betracht kommende Produktionsgesellschaft einen Antrag anhand des auf der Website des Föderalen Öffentlichen Dienstes Finanzen verfügbaren Formulars einreichen.</w:t>
      </w:r>
    </w:p>
    <w:p w14:paraId="78D84287" w14:textId="77777777" w:rsidR="008627F0" w:rsidRPr="00C953A3" w:rsidRDefault="008627F0" w:rsidP="008627F0">
      <w:pPr>
        <w:jc w:val="both"/>
      </w:pPr>
    </w:p>
    <w:p w14:paraId="1B7D3CAA" w14:textId="77777777" w:rsidR="008627F0" w:rsidRPr="00C953A3" w:rsidRDefault="008627F0" w:rsidP="008627F0">
      <w:pPr>
        <w:jc w:val="both"/>
      </w:pPr>
      <w:r w:rsidRPr="00C953A3">
        <w:tab/>
        <w:t>Das Formular muss folgende Informationen und Angaben enthalten:</w:t>
      </w:r>
    </w:p>
    <w:p w14:paraId="2E8D16E8" w14:textId="77777777" w:rsidR="008627F0" w:rsidRPr="00C953A3" w:rsidRDefault="008627F0" w:rsidP="008627F0">
      <w:pPr>
        <w:jc w:val="both"/>
      </w:pPr>
    </w:p>
    <w:p w14:paraId="75B49141" w14:textId="77777777" w:rsidR="008627F0" w:rsidRPr="00C953A3" w:rsidRDefault="008627F0" w:rsidP="008627F0">
      <w:pPr>
        <w:jc w:val="both"/>
      </w:pPr>
      <w:r w:rsidRPr="00C953A3">
        <w:tab/>
        <w:t>1. Angaben, die die Identifizierung des in Betracht kommenden Werks ermöglichen,</w:t>
      </w:r>
    </w:p>
    <w:p w14:paraId="2B3555B0" w14:textId="77777777" w:rsidR="008627F0" w:rsidRPr="00C953A3" w:rsidRDefault="008627F0" w:rsidP="008627F0"/>
    <w:p w14:paraId="38250A25" w14:textId="77777777" w:rsidR="008627F0" w:rsidRPr="00C953A3" w:rsidRDefault="008627F0" w:rsidP="008627F0">
      <w:pPr>
        <w:jc w:val="both"/>
      </w:pPr>
      <w:r w:rsidRPr="00C953A3">
        <w:tab/>
        <w:t>2. Angaben, die die Identifizierung der in Betracht kommenden Anleger, des Betrags der Investition der in Betracht kommenden Anleger und der Summen, die sie aufgrund von Artikel 194</w:t>
      </w:r>
      <w:r w:rsidRPr="00C953A3">
        <w:rPr>
          <w:i/>
        </w:rPr>
        <w:t xml:space="preserve">ter </w:t>
      </w:r>
      <w:r w:rsidRPr="00C953A3">
        <w:t>§ 6 desselben Gesetzbuches erhalten haben, ermöglichen,</w:t>
      </w:r>
    </w:p>
    <w:p w14:paraId="0002F2AE" w14:textId="77777777" w:rsidR="008627F0" w:rsidRPr="00C953A3" w:rsidRDefault="008627F0" w:rsidP="008627F0">
      <w:pPr>
        <w:jc w:val="both"/>
      </w:pPr>
    </w:p>
    <w:p w14:paraId="0C24AA65" w14:textId="77777777" w:rsidR="008627F0" w:rsidRPr="00C953A3" w:rsidRDefault="008627F0" w:rsidP="008627F0">
      <w:pPr>
        <w:jc w:val="both"/>
      </w:pPr>
      <w:r w:rsidRPr="00C953A3">
        <w:tab/>
        <w:t>3. Übersicht des Gesamtbudgets der Ausgaben, die sich auf das in Betracht kommende Werk beziehen, und Gesamtbetrag der Summen, die von den in Betracht kommenden Anlegern tatsächlich gezahlt werden und tatsächlich für die Ausführung dieses Budgets verwendet werden,</w:t>
      </w:r>
    </w:p>
    <w:p w14:paraId="75A9AC79" w14:textId="77777777" w:rsidR="008627F0" w:rsidRPr="00C953A3" w:rsidRDefault="008627F0" w:rsidP="008627F0">
      <w:pPr>
        <w:jc w:val="both"/>
      </w:pPr>
    </w:p>
    <w:p w14:paraId="094A8615" w14:textId="77777777" w:rsidR="008627F0" w:rsidRPr="00C953A3" w:rsidRDefault="008627F0" w:rsidP="008627F0">
      <w:pPr>
        <w:jc w:val="both"/>
      </w:pPr>
      <w:r w:rsidRPr="00C953A3">
        <w:tab/>
        <w:t>4. Übersicht der Ausgaben, die es ermöglichen, den in Artikel 194</w:t>
      </w:r>
      <w:r w:rsidRPr="00C953A3">
        <w:rPr>
          <w:i/>
        </w:rPr>
        <w:t xml:space="preserve">ter </w:t>
      </w:r>
      <w:r w:rsidRPr="00C953A3">
        <w:t>§ 8 desselben Gesetzbuches erwähnten Steuerwert der Tax-Shelter-Bescheinigung zu bestimmen, insbesondere:</w:t>
      </w:r>
    </w:p>
    <w:p w14:paraId="0B069233" w14:textId="77777777" w:rsidR="008627F0" w:rsidRPr="00C953A3" w:rsidRDefault="008627F0" w:rsidP="008627F0">
      <w:pPr>
        <w:jc w:val="both"/>
      </w:pPr>
    </w:p>
    <w:p w14:paraId="16235558" w14:textId="77777777" w:rsidR="008627F0" w:rsidRPr="00C953A3" w:rsidRDefault="008627F0" w:rsidP="008627F0">
      <w:pPr>
        <w:jc w:val="both"/>
      </w:pPr>
      <w:r w:rsidRPr="00C953A3">
        <w:tab/>
      </w:r>
      <w:r w:rsidRPr="00C953A3">
        <w:rPr>
          <w:i/>
        </w:rPr>
        <w:t>a)</w:t>
      </w:r>
      <w:r w:rsidRPr="00C953A3">
        <w:t> Angaben aus der analytischen Buchhaltung, mit denen die tatsächliche Verwendung der Ausgaben nachgewiesen werden kann,</w:t>
      </w:r>
    </w:p>
    <w:p w14:paraId="648DC7E4" w14:textId="77777777" w:rsidR="008627F0" w:rsidRPr="00C953A3" w:rsidRDefault="008627F0" w:rsidP="008627F0">
      <w:pPr>
        <w:jc w:val="both"/>
      </w:pPr>
    </w:p>
    <w:p w14:paraId="2E3A5523" w14:textId="77777777" w:rsidR="008627F0" w:rsidRPr="00C953A3" w:rsidRDefault="008627F0" w:rsidP="008627F0">
      <w:pPr>
        <w:jc w:val="both"/>
      </w:pPr>
      <w:r w:rsidRPr="00C953A3">
        <w:tab/>
      </w:r>
      <w:r w:rsidRPr="00C953A3">
        <w:rPr>
          <w:i/>
        </w:rPr>
        <w:t>b)</w:t>
      </w:r>
      <w:r w:rsidRPr="00C953A3">
        <w:t> ausführliche Beschreibung der zugrunde liegenden Ausgaben und ihre Kategorisierung für Zwecke des Tax Shelter,</w:t>
      </w:r>
    </w:p>
    <w:p w14:paraId="0EE0FB5B" w14:textId="77777777" w:rsidR="008627F0" w:rsidRPr="00C953A3" w:rsidRDefault="008627F0" w:rsidP="008627F0">
      <w:pPr>
        <w:jc w:val="both"/>
      </w:pPr>
    </w:p>
    <w:p w14:paraId="68178B27" w14:textId="77777777" w:rsidR="008627F0" w:rsidRPr="00C953A3" w:rsidRDefault="008627F0" w:rsidP="008627F0">
      <w:pPr>
        <w:jc w:val="both"/>
      </w:pPr>
      <w:r w:rsidRPr="00C953A3">
        <w:tab/>
      </w:r>
      <w:r w:rsidRPr="00C953A3">
        <w:rPr>
          <w:i/>
        </w:rPr>
        <w:t>c)</w:t>
      </w:r>
      <w:r w:rsidRPr="00C953A3">
        <w:t> Lieferer des zugrunde liegenden Gutes beziehungsweise Erbringer der zugrunde liegenden Dienstleistung, auf das/die sich die Ausgaben beziehen, und von diesem Lieferer beziehungsweise Dienstleistungserbringer verwendete Referenznummer,</w:t>
      </w:r>
    </w:p>
    <w:p w14:paraId="6A4240BD" w14:textId="77777777" w:rsidR="008627F0" w:rsidRPr="00C953A3" w:rsidRDefault="008627F0" w:rsidP="008627F0">
      <w:pPr>
        <w:jc w:val="both"/>
      </w:pPr>
    </w:p>
    <w:p w14:paraId="0ABA903E" w14:textId="77777777" w:rsidR="008627F0" w:rsidRPr="00C953A3" w:rsidRDefault="008627F0" w:rsidP="008627F0">
      <w:pPr>
        <w:jc w:val="both"/>
      </w:pPr>
      <w:r w:rsidRPr="00C953A3">
        <w:tab/>
      </w:r>
      <w:r w:rsidRPr="00C953A3">
        <w:rPr>
          <w:i/>
        </w:rPr>
        <w:t>d)</w:t>
      </w:r>
      <w:r w:rsidRPr="00C953A3">
        <w:t> Datum, an dem die Ausgaben getätigt worden sind,</w:t>
      </w:r>
    </w:p>
    <w:p w14:paraId="323C5E7C" w14:textId="77777777" w:rsidR="008627F0" w:rsidRPr="00C953A3" w:rsidRDefault="008627F0" w:rsidP="008627F0">
      <w:pPr>
        <w:jc w:val="both"/>
      </w:pPr>
    </w:p>
    <w:p w14:paraId="51018B38" w14:textId="77777777" w:rsidR="008627F0" w:rsidRPr="00C953A3" w:rsidRDefault="008627F0" w:rsidP="008627F0">
      <w:pPr>
        <w:jc w:val="both"/>
      </w:pPr>
      <w:r w:rsidRPr="00C953A3">
        <w:tab/>
      </w:r>
      <w:r w:rsidRPr="00C953A3">
        <w:rPr>
          <w:i/>
        </w:rPr>
        <w:t>e) </w:t>
      </w:r>
      <w:r w:rsidRPr="00C953A3">
        <w:t>Qualifizierung der Ausgaben im Hinblick auf die Kontrolle der in Artikel 194</w:t>
      </w:r>
      <w:r w:rsidRPr="00C953A3">
        <w:rPr>
          <w:i/>
        </w:rPr>
        <w:t>ter</w:t>
      </w:r>
      <w:r w:rsidRPr="00C953A3">
        <w:t xml:space="preserve"> § 7 Absatz 1 Nr. 4 und 4</w:t>
      </w:r>
      <w:r w:rsidRPr="00C953A3">
        <w:rPr>
          <w:i/>
        </w:rPr>
        <w:t>bis</w:t>
      </w:r>
      <w:r w:rsidRPr="00C953A3">
        <w:t xml:space="preserve"> desselben Gesetzbuches bestimmten Beträge,</w:t>
      </w:r>
    </w:p>
    <w:p w14:paraId="4346CAD2" w14:textId="77777777" w:rsidR="008627F0" w:rsidRPr="00C953A3" w:rsidRDefault="008627F0" w:rsidP="008627F0">
      <w:pPr>
        <w:jc w:val="both"/>
      </w:pPr>
    </w:p>
    <w:p w14:paraId="0DDFAE36" w14:textId="77777777" w:rsidR="008627F0" w:rsidRPr="00C953A3" w:rsidRDefault="008627F0" w:rsidP="008627F0">
      <w:pPr>
        <w:jc w:val="both"/>
      </w:pPr>
      <w:r w:rsidRPr="00C953A3">
        <w:lastRenderedPageBreak/>
        <w:tab/>
      </w:r>
      <w:r w:rsidRPr="00C953A3">
        <w:rPr>
          <w:i/>
        </w:rPr>
        <w:t>f)</w:t>
      </w:r>
      <w:r w:rsidRPr="00C953A3">
        <w:t> Zuordnung der Ausgaben an einen in Betracht kommenden Anleger.</w:t>
      </w:r>
    </w:p>
    <w:p w14:paraId="592B11E0" w14:textId="77777777" w:rsidR="008627F0" w:rsidRPr="00C953A3" w:rsidRDefault="008627F0" w:rsidP="008627F0">
      <w:pPr>
        <w:jc w:val="both"/>
      </w:pPr>
    </w:p>
    <w:p w14:paraId="6459AA6B" w14:textId="77777777" w:rsidR="008627F0" w:rsidRPr="00C953A3" w:rsidRDefault="008627F0" w:rsidP="008627F0">
      <w:pPr>
        <w:jc w:val="both"/>
      </w:pPr>
      <w:r w:rsidRPr="00C953A3">
        <w:tab/>
        <w:t>Das Tax-Shelter-Büro kann verlangen, dass dem Antrag Unterlagen beigefügt werden, die erforderlich sind, damit die Verwaltung überprüfen kann, ob die Bedingungen für die Anwendung der Tax-Shelter-Regelung erfüllt sind.</w:t>
      </w:r>
    </w:p>
    <w:p w14:paraId="5EEBC839" w14:textId="77777777" w:rsidR="008627F0" w:rsidRPr="00C953A3" w:rsidRDefault="008627F0" w:rsidP="008627F0">
      <w:pPr>
        <w:jc w:val="both"/>
      </w:pPr>
    </w:p>
    <w:p w14:paraId="3413CA10" w14:textId="166D2E7E" w:rsidR="008627F0" w:rsidRDefault="008627F0" w:rsidP="008627F0">
      <w:pPr>
        <w:jc w:val="both"/>
        <w:rPr>
          <w:rFonts w:eastAsia="Calibri"/>
          <w:iCs/>
          <w:szCs w:val="22"/>
          <w:lang w:eastAsia="de-DE" w:bidi="de-DE"/>
        </w:rPr>
      </w:pPr>
      <w:r w:rsidRPr="00C953A3">
        <w:tab/>
        <w:t>Das Muster des Formulars wird von der zuständigen Verwaltung des Föderalen Öffentlichen Dienstes Finanzen festgelegt.</w:t>
      </w:r>
      <w:r>
        <w:rPr>
          <w:rFonts w:eastAsia="Calibri"/>
          <w:iCs/>
          <w:szCs w:val="22"/>
          <w:lang w:eastAsia="de-DE" w:bidi="de-DE"/>
        </w:rPr>
        <w:t>]</w:t>
      </w:r>
    </w:p>
    <w:p w14:paraId="697A8C8F" w14:textId="77777777" w:rsidR="004D1CC8" w:rsidRDefault="004D1CC8" w:rsidP="008627F0">
      <w:pPr>
        <w:jc w:val="both"/>
        <w:rPr>
          <w:rFonts w:eastAsia="Calibri"/>
          <w:iCs/>
          <w:szCs w:val="22"/>
          <w:lang w:eastAsia="de-DE" w:bidi="de-DE"/>
        </w:rPr>
      </w:pPr>
    </w:p>
    <w:p w14:paraId="511DB01B" w14:textId="44BA5158" w:rsidR="004D1CC8" w:rsidRDefault="004D1CC8" w:rsidP="008627F0">
      <w:pPr>
        <w:jc w:val="both"/>
        <w:rPr>
          <w:rFonts w:eastAsia="Calibri"/>
          <w:iCs/>
          <w:szCs w:val="22"/>
          <w:lang w:eastAsia="de-DE" w:bidi="de-DE"/>
        </w:rPr>
      </w:pPr>
      <w:r>
        <w:rPr>
          <w:rFonts w:eastAsia="Calibri"/>
          <w:iCs/>
          <w:szCs w:val="22"/>
          <w:lang w:eastAsia="de-DE" w:bidi="de-DE"/>
        </w:rPr>
        <w:tab/>
        <w:t>[</w:t>
      </w:r>
      <w:r w:rsidRPr="00A115C4">
        <w:t>Die Tax-Shelter-Bescheinigung wird dem Anleger direkt über die elektronische Plattform MyMinfin ausgestellt.</w:t>
      </w:r>
      <w:r>
        <w:rPr>
          <w:rFonts w:eastAsia="Calibri"/>
          <w:iCs/>
          <w:szCs w:val="22"/>
          <w:lang w:eastAsia="de-DE" w:bidi="de-DE"/>
        </w:rPr>
        <w:t>]</w:t>
      </w:r>
    </w:p>
    <w:p w14:paraId="1E886AF1" w14:textId="77777777" w:rsidR="004D1CC8" w:rsidRDefault="004D1CC8" w:rsidP="008627F0">
      <w:pPr>
        <w:jc w:val="both"/>
        <w:rPr>
          <w:rFonts w:eastAsia="Calibri"/>
          <w:iCs/>
          <w:szCs w:val="22"/>
          <w:lang w:eastAsia="de-DE" w:bidi="de-DE"/>
        </w:rPr>
      </w:pPr>
    </w:p>
    <w:p w14:paraId="030FC3FB" w14:textId="26E6E46A" w:rsidR="004D1CC8" w:rsidRPr="004D1CC8" w:rsidRDefault="004D1CC8" w:rsidP="008627F0">
      <w:pPr>
        <w:jc w:val="both"/>
        <w:rPr>
          <w:rFonts w:eastAsia="Calibri"/>
          <w:i/>
          <w:szCs w:val="22"/>
          <w:lang w:eastAsia="de-DE" w:bidi="de-DE"/>
        </w:rPr>
      </w:pPr>
      <w:r>
        <w:rPr>
          <w:rFonts w:eastAsia="Calibri"/>
          <w:i/>
          <w:szCs w:val="22"/>
          <w:lang w:eastAsia="de-DE" w:bidi="de-DE"/>
        </w:rPr>
        <w:t>[Art. 73</w:t>
      </w:r>
      <w:r w:rsidRPr="004D1CC8">
        <w:rPr>
          <w:rFonts w:eastAsia="Calibri"/>
          <w:i/>
          <w:szCs w:val="22"/>
          <w:vertAlign w:val="superscript"/>
          <w:lang w:eastAsia="de-DE" w:bidi="de-DE"/>
        </w:rPr>
        <w:t>4/7bis</w:t>
      </w:r>
      <w:r>
        <w:rPr>
          <w:rFonts w:eastAsia="Calibri"/>
          <w:i/>
          <w:szCs w:val="22"/>
          <w:lang w:eastAsia="de-DE" w:bidi="de-DE"/>
        </w:rPr>
        <w:t xml:space="preserve"> Abs. 5 eingefügt durch Art. 6</w:t>
      </w:r>
      <w:r w:rsidRPr="004D1CC8">
        <w:rPr>
          <w:rFonts w:eastAsia="Calibri"/>
          <w:i/>
          <w:szCs w:val="22"/>
          <w:lang w:eastAsia="de-DE" w:bidi="de-DE"/>
        </w:rPr>
        <w:t xml:space="preserve"> des K.E. vom 17. Juli 2023 (II) (B.S. vom 26. Juli 2023</w:t>
      </w:r>
      <w:r>
        <w:rPr>
          <w:rFonts w:eastAsia="Calibri"/>
          <w:i/>
          <w:szCs w:val="22"/>
          <w:lang w:eastAsia="de-DE" w:bidi="de-DE"/>
        </w:rPr>
        <w:t>)] </w:t>
      </w:r>
    </w:p>
    <w:p w14:paraId="243846A9" w14:textId="77777777" w:rsidR="001F54BC" w:rsidRDefault="001F54BC" w:rsidP="008627F0">
      <w:pPr>
        <w:jc w:val="both"/>
        <w:rPr>
          <w:rFonts w:eastAsia="Calibri"/>
          <w:iCs/>
          <w:szCs w:val="22"/>
          <w:lang w:eastAsia="de-DE" w:bidi="de-DE"/>
        </w:rPr>
      </w:pPr>
    </w:p>
    <w:p w14:paraId="583741B3" w14:textId="0734969B" w:rsidR="001F54BC" w:rsidRPr="001F54BC" w:rsidRDefault="001F54BC" w:rsidP="008627F0">
      <w:pPr>
        <w:jc w:val="both"/>
        <w:rPr>
          <w:rFonts w:eastAsia="Calibri"/>
          <w:i/>
          <w:szCs w:val="22"/>
          <w:lang w:eastAsia="de-DE" w:bidi="de-DE"/>
        </w:rPr>
      </w:pPr>
    </w:p>
    <w:p w14:paraId="4541555C" w14:textId="6A4E2BCA" w:rsidR="001F54BC" w:rsidRPr="00C953A3" w:rsidRDefault="001F54BC" w:rsidP="001F54BC">
      <w:pPr>
        <w:jc w:val="center"/>
      </w:pPr>
      <w:r>
        <w:t>[</w:t>
      </w:r>
      <w:r w:rsidRPr="001F54BC">
        <w:rPr>
          <w:i/>
          <w:iCs/>
        </w:rPr>
        <w:t>Abschnitt 27bis/1ter</w:t>
      </w:r>
      <w:r w:rsidRPr="00C953A3">
        <w:t> - Modalitäten für Erstellung, Inhalt und Form des Rahmen</w:t>
      </w:r>
      <w:r w:rsidRPr="00C953A3">
        <w:softHyphen/>
        <w:t>übereinkommens</w:t>
      </w:r>
    </w:p>
    <w:p w14:paraId="767475F2" w14:textId="77777777" w:rsidR="001F54BC" w:rsidRPr="00C953A3" w:rsidRDefault="001F54BC" w:rsidP="001F54BC">
      <w:pPr>
        <w:jc w:val="both"/>
      </w:pPr>
    </w:p>
    <w:p w14:paraId="6CDDC8B6" w14:textId="53F2CF9B" w:rsidR="001F54BC" w:rsidRPr="00C953A3" w:rsidRDefault="001F54BC" w:rsidP="001F54BC">
      <w:pPr>
        <w:jc w:val="center"/>
      </w:pPr>
      <w:r w:rsidRPr="00C953A3">
        <w:t>(Einkommensteuergesetzbuch 1992, Artikel 194</w:t>
      </w:r>
      <w:r w:rsidRPr="00C953A3">
        <w:rPr>
          <w:i/>
          <w:iCs/>
        </w:rPr>
        <w:t>ter</w:t>
      </w:r>
      <w:r w:rsidRPr="00C953A3">
        <w:t xml:space="preserve"> § 10)</w:t>
      </w:r>
    </w:p>
    <w:p w14:paraId="1369DB71" w14:textId="77777777" w:rsidR="001F54BC" w:rsidRDefault="001F54BC" w:rsidP="001F54BC">
      <w:pPr>
        <w:jc w:val="both"/>
      </w:pPr>
    </w:p>
    <w:p w14:paraId="5DD4E516" w14:textId="5BA43C1F" w:rsidR="001F54BC" w:rsidRPr="001F54BC" w:rsidRDefault="001F54BC" w:rsidP="001F54BC">
      <w:pPr>
        <w:jc w:val="both"/>
        <w:rPr>
          <w:i/>
          <w:iCs/>
        </w:rPr>
      </w:pPr>
      <w:r w:rsidRPr="001F54BC">
        <w:rPr>
          <w:i/>
          <w:iCs/>
        </w:rPr>
        <w:t>[Abschnitt 27bis/1</w:t>
      </w:r>
      <w:r>
        <w:rPr>
          <w:i/>
          <w:iCs/>
        </w:rPr>
        <w:t>ter</w:t>
      </w:r>
      <w:r w:rsidRPr="001F54BC">
        <w:rPr>
          <w:i/>
          <w:iCs/>
        </w:rPr>
        <w:t xml:space="preserve"> mit Art. 73</w:t>
      </w:r>
      <w:r w:rsidRPr="001F54BC">
        <w:rPr>
          <w:i/>
          <w:iCs/>
          <w:vertAlign w:val="superscript"/>
        </w:rPr>
        <w:t>4/7</w:t>
      </w:r>
      <w:r>
        <w:rPr>
          <w:i/>
          <w:iCs/>
          <w:vertAlign w:val="superscript"/>
        </w:rPr>
        <w:t>ter</w:t>
      </w:r>
      <w:r w:rsidRPr="001F54BC">
        <w:rPr>
          <w:i/>
          <w:iCs/>
        </w:rPr>
        <w:t xml:space="preserve"> eingefügt durch Art. </w:t>
      </w:r>
      <w:r>
        <w:rPr>
          <w:i/>
          <w:iCs/>
        </w:rPr>
        <w:t>7</w:t>
      </w:r>
      <w:r w:rsidRPr="001F54BC">
        <w:rPr>
          <w:i/>
          <w:iCs/>
          <w:lang w:bidi="de-DE"/>
        </w:rPr>
        <w:t xml:space="preserve"> des K.E. vom 6. November 2022 (B.S. vom 23. November 2022)]</w:t>
      </w:r>
    </w:p>
    <w:p w14:paraId="6F32F342" w14:textId="77777777" w:rsidR="001F54BC" w:rsidRPr="00C953A3" w:rsidRDefault="001F54BC" w:rsidP="001F54BC">
      <w:pPr>
        <w:jc w:val="both"/>
      </w:pPr>
    </w:p>
    <w:p w14:paraId="5F143220" w14:textId="77777777" w:rsidR="001F54BC" w:rsidRPr="00C953A3" w:rsidRDefault="001F54BC" w:rsidP="001F54BC">
      <w:pPr>
        <w:jc w:val="both"/>
      </w:pPr>
    </w:p>
    <w:p w14:paraId="24D3D8AF" w14:textId="77777777" w:rsidR="001F54BC" w:rsidRPr="00C953A3" w:rsidRDefault="001F54BC" w:rsidP="001F54BC">
      <w:pPr>
        <w:jc w:val="both"/>
      </w:pPr>
      <w:r w:rsidRPr="00C953A3">
        <w:tab/>
      </w:r>
      <w:r w:rsidRPr="001F54BC">
        <w:rPr>
          <w:b/>
          <w:bCs/>
        </w:rPr>
        <w:t>Art. 73</w:t>
      </w:r>
      <w:r w:rsidRPr="001F54BC">
        <w:rPr>
          <w:b/>
          <w:bCs/>
          <w:vertAlign w:val="superscript"/>
        </w:rPr>
        <w:t>4/7</w:t>
      </w:r>
      <w:r w:rsidRPr="001F54BC">
        <w:rPr>
          <w:b/>
          <w:bCs/>
          <w:i/>
          <w:iCs/>
          <w:vertAlign w:val="superscript"/>
        </w:rPr>
        <w:t>ter</w:t>
      </w:r>
      <w:r w:rsidRPr="00C953A3">
        <w:t> - Das in Artikel 194</w:t>
      </w:r>
      <w:r w:rsidRPr="00C953A3">
        <w:rPr>
          <w:i/>
        </w:rPr>
        <w:t>ter</w:t>
      </w:r>
      <w:r w:rsidRPr="00C953A3">
        <w:t xml:space="preserve"> § 10 des Einkommensteuergesetzbuches 1992 erwähnte Rahmenübereinkommen muss über das dafür vorgesehene Portal angezeigt werden, das auf der Website des Föderalen Öffentlichen Dienstes Finanzen eingerichtet wird.</w:t>
      </w:r>
    </w:p>
    <w:p w14:paraId="6E2C69FE" w14:textId="77777777" w:rsidR="001F54BC" w:rsidRPr="00C953A3" w:rsidRDefault="001F54BC" w:rsidP="001F54BC">
      <w:pPr>
        <w:jc w:val="both"/>
      </w:pPr>
    </w:p>
    <w:p w14:paraId="0C10186B" w14:textId="63B322E2" w:rsidR="00AC73D9" w:rsidRPr="00334017" w:rsidRDefault="001F54BC" w:rsidP="001F54BC">
      <w:pPr>
        <w:jc w:val="both"/>
        <w:rPr>
          <w:rFonts w:eastAsia="Calibri"/>
          <w:szCs w:val="22"/>
          <w:lang w:eastAsia="de-DE" w:bidi="de-DE"/>
        </w:rPr>
      </w:pPr>
      <w:r w:rsidRPr="00C953A3">
        <w:tab/>
        <w:t>Bei der Anzeige des Rahmenübereinkommens muss die in Betracht kommende Produktionsgesellschaft eine Bescheinigung beifügen, mit der nachgewiesen wird, dass sie zum Zeitpunkt des Abschlusses des Rahmenübereinkommens beim Landesamt für soziale Sicherheit keine ausstehenden Beträge zu entrichten hat.</w:t>
      </w:r>
      <w:r>
        <w:t>]</w:t>
      </w:r>
    </w:p>
    <w:p w14:paraId="60857B77" w14:textId="46A3689F" w:rsidR="00871DCD" w:rsidRDefault="00871DCD">
      <w:pPr>
        <w:rPr>
          <w:rFonts w:eastAsia="Calibri"/>
          <w:szCs w:val="22"/>
          <w:lang w:eastAsia="de-DE" w:bidi="de-DE"/>
        </w:rPr>
      </w:pPr>
    </w:p>
    <w:p w14:paraId="1D41AF36" w14:textId="77777777" w:rsidR="001F54BC" w:rsidRDefault="001F54BC">
      <w:pPr>
        <w:rPr>
          <w:rFonts w:eastAsia="Calibri"/>
          <w:szCs w:val="22"/>
          <w:lang w:eastAsia="de-DE" w:bidi="de-DE"/>
        </w:rPr>
      </w:pPr>
    </w:p>
    <w:p w14:paraId="510A91D0" w14:textId="77777777" w:rsidR="004D1CC8" w:rsidRDefault="004D1CC8">
      <w:pPr>
        <w:rPr>
          <w:rFonts w:eastAsia="Calibri"/>
          <w:szCs w:val="22"/>
          <w:lang w:eastAsia="de-DE" w:bidi="de-DE"/>
        </w:rPr>
      </w:pPr>
      <w:r>
        <w:rPr>
          <w:rFonts w:eastAsia="Calibri"/>
          <w:szCs w:val="22"/>
          <w:lang w:eastAsia="de-DE" w:bidi="de-DE"/>
        </w:rPr>
        <w:br w:type="page"/>
      </w:r>
    </w:p>
    <w:p w14:paraId="1037080C" w14:textId="02D56EDC" w:rsidR="005A5BD5" w:rsidRDefault="00871DCD" w:rsidP="00871DCD">
      <w:pPr>
        <w:jc w:val="center"/>
        <w:rPr>
          <w:rFonts w:eastAsia="Calibri"/>
          <w:szCs w:val="22"/>
          <w:lang w:eastAsia="de-DE" w:bidi="de-DE"/>
        </w:rPr>
      </w:pPr>
      <w:r>
        <w:rPr>
          <w:rFonts w:eastAsia="Calibri"/>
          <w:szCs w:val="22"/>
          <w:lang w:eastAsia="de-DE" w:bidi="de-DE"/>
        </w:rPr>
        <w:lastRenderedPageBreak/>
        <w:t>[</w:t>
      </w:r>
      <w:r w:rsidRPr="003C35D3">
        <w:rPr>
          <w:i/>
        </w:rPr>
        <w:t>Abschnitt 27bis/2</w:t>
      </w:r>
      <w:r w:rsidRPr="003C35D3">
        <w:t> - Begrenzung des Zinsabzugs</w:t>
      </w:r>
    </w:p>
    <w:p w14:paraId="11C67EA8" w14:textId="06F59DD2" w:rsidR="00871DCD" w:rsidRDefault="00871DCD" w:rsidP="00871DCD">
      <w:pPr>
        <w:jc w:val="center"/>
        <w:rPr>
          <w:rFonts w:eastAsia="Calibri"/>
          <w:szCs w:val="22"/>
          <w:lang w:eastAsia="de-DE" w:bidi="de-DE"/>
        </w:rPr>
      </w:pPr>
    </w:p>
    <w:p w14:paraId="17B429E7" w14:textId="048ED62C" w:rsidR="00871DCD" w:rsidRPr="00871DCD" w:rsidRDefault="00871DCD" w:rsidP="00871DCD">
      <w:pPr>
        <w:jc w:val="both"/>
        <w:rPr>
          <w:rFonts w:eastAsia="Calibri"/>
          <w:i/>
          <w:szCs w:val="22"/>
          <w:lang w:eastAsia="de-DE" w:bidi="de-DE"/>
        </w:rPr>
      </w:pPr>
      <w:r>
        <w:rPr>
          <w:rFonts w:eastAsia="Calibri"/>
          <w:i/>
          <w:szCs w:val="22"/>
          <w:lang w:eastAsia="de-DE" w:bidi="de-DE"/>
        </w:rPr>
        <w:t>[Abschnitt 27bis/2 mit den Unterabschnitten 1 bis 4 und den Artikeln 73</w:t>
      </w:r>
      <w:r w:rsidRPr="00871DCD">
        <w:rPr>
          <w:rFonts w:eastAsia="Calibri"/>
          <w:i/>
          <w:szCs w:val="22"/>
          <w:vertAlign w:val="superscript"/>
          <w:lang w:eastAsia="de-DE" w:bidi="de-DE"/>
        </w:rPr>
        <w:t>4/8</w:t>
      </w:r>
      <w:r>
        <w:rPr>
          <w:rFonts w:eastAsia="Calibri"/>
          <w:i/>
          <w:szCs w:val="22"/>
          <w:lang w:eastAsia="de-DE" w:bidi="de-DE"/>
        </w:rPr>
        <w:t xml:space="preserve"> bis 73</w:t>
      </w:r>
      <w:r w:rsidRPr="00871DCD">
        <w:rPr>
          <w:rFonts w:eastAsia="Calibri"/>
          <w:i/>
          <w:szCs w:val="22"/>
          <w:vertAlign w:val="superscript"/>
          <w:lang w:eastAsia="de-DE" w:bidi="de-DE"/>
        </w:rPr>
        <w:t>4/14</w:t>
      </w:r>
      <w:r>
        <w:rPr>
          <w:rFonts w:eastAsia="Calibri"/>
          <w:i/>
          <w:szCs w:val="22"/>
          <w:lang w:eastAsia="de-DE" w:bidi="de-DE"/>
        </w:rPr>
        <w:t xml:space="preserve"> eingefügt durch Art. 2 des K.E. vom 20. Dezember 2019 (II) (B.S. vom 27. Dezember 2019)]</w:t>
      </w:r>
    </w:p>
    <w:p w14:paraId="1B650767" w14:textId="77777777" w:rsidR="00871DCD" w:rsidRDefault="00871DCD">
      <w:pPr>
        <w:rPr>
          <w:rFonts w:eastAsia="Calibri"/>
          <w:szCs w:val="22"/>
          <w:lang w:eastAsia="de-DE" w:bidi="de-DE"/>
        </w:rPr>
      </w:pPr>
    </w:p>
    <w:p w14:paraId="75695F69" w14:textId="77777777" w:rsidR="00871DCD" w:rsidRDefault="00871DCD">
      <w:pPr>
        <w:rPr>
          <w:rFonts w:eastAsia="Calibri"/>
          <w:szCs w:val="22"/>
          <w:lang w:eastAsia="de-DE" w:bidi="de-DE"/>
        </w:rPr>
      </w:pPr>
    </w:p>
    <w:p w14:paraId="645373BD" w14:textId="77777777" w:rsidR="00871DCD" w:rsidRPr="003C35D3" w:rsidRDefault="00871DCD" w:rsidP="00871DCD">
      <w:pPr>
        <w:jc w:val="both"/>
      </w:pPr>
      <w:r w:rsidRPr="003C35D3">
        <w:t>Unterabschnitt 1 - Festlegung der in Artikel 198/1 § 2 Absatz 1 und 3 des Einkommen</w:t>
      </w:r>
      <w:r w:rsidRPr="003C35D3">
        <w:softHyphen/>
        <w:t>steuergesetzbuches 1992 erwähnten Kosten und Erträge, die wirtschaftlich gleichwertig mit Zinsen sind</w:t>
      </w:r>
    </w:p>
    <w:p w14:paraId="708BF884" w14:textId="36050B0F" w:rsidR="00871DCD" w:rsidRDefault="00871DCD" w:rsidP="00871DCD">
      <w:pPr>
        <w:jc w:val="both"/>
      </w:pPr>
    </w:p>
    <w:p w14:paraId="7A861B82" w14:textId="77777777" w:rsidR="00871DCD" w:rsidRPr="003C35D3" w:rsidRDefault="00871DCD" w:rsidP="00871DCD">
      <w:pPr>
        <w:jc w:val="both"/>
      </w:pPr>
    </w:p>
    <w:p w14:paraId="44C9DE82" w14:textId="77777777" w:rsidR="00871DCD" w:rsidRPr="003C35D3" w:rsidRDefault="00871DCD" w:rsidP="00871DCD">
      <w:pPr>
        <w:jc w:val="both"/>
      </w:pPr>
      <w:r w:rsidRPr="003C35D3">
        <w:tab/>
      </w:r>
      <w:r w:rsidRPr="00871DCD">
        <w:rPr>
          <w:b/>
        </w:rPr>
        <w:t>Art. 73</w:t>
      </w:r>
      <w:r w:rsidRPr="00871DCD">
        <w:rPr>
          <w:b/>
          <w:vertAlign w:val="superscript"/>
        </w:rPr>
        <w:t>4/8</w:t>
      </w:r>
      <w:r w:rsidRPr="003C35D3">
        <w:t> - § 1 - Für die Anwendung von Artikel 198/1 § 2 Absatz 1 des Einkommensteuergesetzbuches 1992 werden folgende Kosten und Erträge als wirtschaftlich gleichwertig mit Zinsen betrachtet:</w:t>
      </w:r>
    </w:p>
    <w:p w14:paraId="0F69F320" w14:textId="77777777" w:rsidR="00871DCD" w:rsidRPr="003C35D3" w:rsidRDefault="00871DCD" w:rsidP="00871DCD">
      <w:pPr>
        <w:jc w:val="both"/>
      </w:pPr>
    </w:p>
    <w:p w14:paraId="6EA0DA8E" w14:textId="77777777" w:rsidR="00871DCD" w:rsidRPr="003C35D3" w:rsidRDefault="00871DCD" w:rsidP="00871DCD">
      <w:pPr>
        <w:jc w:val="both"/>
      </w:pPr>
      <w:r w:rsidRPr="003C35D3">
        <w:tab/>
        <w:t>- die Abschreibung einer immateriellen Anlage oder Sachanlage, sofern Zinsaufwendungen für Fremdkapital in Anwendung von Artikel 3:16 des Königlichen Erlasses vom 29. April 2019 zur Ausführung des Gesetzbuches der Gesellschaften und Vereinigungen in den Anschaffungswert dieser Anlage einbezogen werden,</w:t>
      </w:r>
    </w:p>
    <w:p w14:paraId="2BED61D0" w14:textId="77777777" w:rsidR="00871DCD" w:rsidRPr="003C35D3" w:rsidRDefault="00871DCD" w:rsidP="00871DCD">
      <w:pPr>
        <w:jc w:val="both"/>
      </w:pPr>
    </w:p>
    <w:p w14:paraId="4CCE3583" w14:textId="77777777" w:rsidR="00871DCD" w:rsidRPr="003C35D3" w:rsidRDefault="00871DCD" w:rsidP="00871DCD">
      <w:pPr>
        <w:jc w:val="both"/>
      </w:pPr>
      <w:r w:rsidRPr="003C35D3">
        <w:tab/>
        <w:t>- die als Werbungskosten betrachtete Verringerung von Vorräten, sofern Zinsaufwendungen für Fremdkapital in Anwendung von Artikel 3:16 desselben Königlichen Erlasses in den Herstellungspreis dieser Vorräte und in Ausführung befindlichen Bestellungen einbezogen werden,</w:t>
      </w:r>
    </w:p>
    <w:p w14:paraId="1DE7D156" w14:textId="77777777" w:rsidR="00871DCD" w:rsidRPr="003C35D3" w:rsidRDefault="00871DCD" w:rsidP="00871DCD">
      <w:pPr>
        <w:jc w:val="both"/>
      </w:pPr>
    </w:p>
    <w:p w14:paraId="6156958D" w14:textId="77777777" w:rsidR="00871DCD" w:rsidRPr="003C35D3" w:rsidRDefault="00871DCD" w:rsidP="00871DCD">
      <w:pPr>
        <w:jc w:val="both"/>
      </w:pPr>
      <w:r w:rsidRPr="003C35D3">
        <w:tab/>
        <w:t>- die Vergütung, die der Steuerpflichtige einer ausländischen Gesellschaft schuldet, die Teil derselben Unternehmensgruppe wie der Steuerpflichtige ist, und die aufgrund von Artikel 185 § 2 Buchstabe </w:t>
      </w:r>
      <w:r w:rsidRPr="003C35D3">
        <w:rPr>
          <w:i/>
          <w:iCs/>
        </w:rPr>
        <w:t>a)</w:t>
      </w:r>
      <w:r w:rsidRPr="003C35D3">
        <w:t xml:space="preserve"> des Einkommensteuergesetzbuches 1992 und in Anwendung der Verrechnungspreisregelungen auf eine Prämie für die Bereitstellung von Kapital begrenzt ist,</w:t>
      </w:r>
    </w:p>
    <w:p w14:paraId="51B41CBC" w14:textId="77777777" w:rsidR="00871DCD" w:rsidRPr="003C35D3" w:rsidRDefault="00871DCD" w:rsidP="00871DCD">
      <w:pPr>
        <w:jc w:val="both"/>
      </w:pPr>
    </w:p>
    <w:p w14:paraId="05BF4253" w14:textId="77777777" w:rsidR="00871DCD" w:rsidRPr="003C35D3" w:rsidRDefault="00871DCD" w:rsidP="00871DCD">
      <w:pPr>
        <w:jc w:val="both"/>
      </w:pPr>
      <w:r w:rsidRPr="003C35D3">
        <w:tab/>
        <w:t>- Wechselkursgewinne und -verluste, sofern sie sich aus der Zahlung von Zinsen in Ausführung eines Darlehensvertrags ergeben,</w:t>
      </w:r>
    </w:p>
    <w:p w14:paraId="15601E75" w14:textId="77777777" w:rsidR="00871DCD" w:rsidRPr="003C35D3" w:rsidRDefault="00871DCD" w:rsidP="00871DCD">
      <w:pPr>
        <w:jc w:val="both"/>
      </w:pPr>
    </w:p>
    <w:p w14:paraId="237D19BD" w14:textId="77777777" w:rsidR="00871DCD" w:rsidRPr="003C35D3" w:rsidRDefault="00871DCD" w:rsidP="00871DCD">
      <w:pPr>
        <w:jc w:val="both"/>
      </w:pPr>
      <w:r w:rsidRPr="003C35D3">
        <w:tab/>
        <w:t>- Garantiegebühren und ähnliche Kosten, die infolge des Abschlusses eines Vertrags geschuldet werden, in dem die andere Partei einem Begünstigten bei Erfüllung der Vertragsbedingungen die Zahlung eines im Voraus bestimmten Betrags garantiert hat,</w:t>
      </w:r>
    </w:p>
    <w:p w14:paraId="11513A16" w14:textId="77777777" w:rsidR="00871DCD" w:rsidRPr="003C35D3" w:rsidRDefault="00871DCD" w:rsidP="00871DCD">
      <w:pPr>
        <w:jc w:val="both"/>
      </w:pPr>
    </w:p>
    <w:p w14:paraId="742E09F9" w14:textId="77777777" w:rsidR="00871DCD" w:rsidRPr="003C35D3" w:rsidRDefault="00871DCD" w:rsidP="00871DCD">
      <w:pPr>
        <w:jc w:val="both"/>
      </w:pPr>
      <w:r w:rsidRPr="003C35D3">
        <w:tab/>
        <w:t>- Vermittlungsgebühren und ähnliche Kosten, die keine Zinsen sind, die infolge des Abschlusses eines Darlehensvertrags geschuldet werden,</w:t>
      </w:r>
    </w:p>
    <w:p w14:paraId="25418733" w14:textId="77777777" w:rsidR="00871DCD" w:rsidRPr="003C35D3" w:rsidRDefault="00871DCD" w:rsidP="00871DCD">
      <w:pPr>
        <w:jc w:val="both"/>
      </w:pPr>
    </w:p>
    <w:p w14:paraId="5DEC7F2D" w14:textId="77777777" w:rsidR="00871DCD" w:rsidRPr="003C35D3" w:rsidRDefault="00871DCD" w:rsidP="00871DCD">
      <w:pPr>
        <w:jc w:val="both"/>
      </w:pPr>
      <w:r w:rsidRPr="003C35D3">
        <w:tab/>
        <w:t>- der Teil des in Artikel 3:45 des Königlichen Erlasses vom 29. April 2019 zur Ausführung des Gesetzbuches der Gesellschaften und Vereinigungen erwähnten Diskonts auf unverzinsliche oder außergewöhnlich niedrig verzinsliche Forderungen, der in Anwendung von Artikel 363 des Einkommensteuergesetzbuches 1992 in die Gewinne des Besteuerungs</w:t>
      </w:r>
      <w:r w:rsidRPr="003C35D3">
        <w:softHyphen/>
        <w:t>zeitraums einbezogen wird, und der Teil des in den Artikeln 3:45 und 3:55 desselben Königlichen Erlasses erwähnten Diskonts auf unverzinsliche oder außergewöhnlich niedrig verzinsliche Verbindlichkeiten, der als Werbungskosten betrachtet wird.</w:t>
      </w:r>
    </w:p>
    <w:p w14:paraId="54D7BE68" w14:textId="77777777" w:rsidR="00871DCD" w:rsidRPr="003C35D3" w:rsidRDefault="00871DCD" w:rsidP="00871DCD">
      <w:pPr>
        <w:jc w:val="both"/>
      </w:pPr>
    </w:p>
    <w:p w14:paraId="73B08C8C" w14:textId="77777777" w:rsidR="00871DCD" w:rsidRPr="003C35D3" w:rsidRDefault="00871DCD" w:rsidP="00871DCD">
      <w:pPr>
        <w:jc w:val="both"/>
      </w:pPr>
      <w:r w:rsidRPr="003C35D3">
        <w:tab/>
        <w:t>§ 2 - Für die Anwendung von Artikel 198/1 § 2 Absatz 1 des Einkommen</w:t>
      </w:r>
      <w:r w:rsidRPr="003C35D3">
        <w:softHyphen/>
        <w:t xml:space="preserve">steuergesetzbuches 1992 werden Kosten und Erträge ebenfalls als wirtschaftlich gleichwertig </w:t>
      </w:r>
      <w:r w:rsidRPr="003C35D3">
        <w:lastRenderedPageBreak/>
        <w:t>mit Zinsen betrachtet, wenn diese Kosten oder Erträge eine Gegenleistung für die Bereitstellung von Kapital darstellen und der Begünstigte dieser Kosten oder der Schuldner dieser Erträge ihre Bezeichnung als Kosten beziehungsweise Erträge, die wirtschaftlich gleichwertig mit Zinsen sind, angenommen hat.</w:t>
      </w:r>
    </w:p>
    <w:p w14:paraId="570CBEDC" w14:textId="77777777" w:rsidR="00871DCD" w:rsidRPr="003C35D3" w:rsidRDefault="00871DCD" w:rsidP="00871DCD">
      <w:pPr>
        <w:jc w:val="both"/>
      </w:pPr>
    </w:p>
    <w:p w14:paraId="1F02DC42" w14:textId="77777777" w:rsidR="00871DCD" w:rsidRPr="003C35D3" w:rsidRDefault="00871DCD" w:rsidP="00871DCD">
      <w:pPr>
        <w:jc w:val="both"/>
      </w:pPr>
      <w:r w:rsidRPr="003C35D3">
        <w:tab/>
        <w:t>Absatz 1 wird nur durch Vorabentscheidung angewandt. In diesem Fall ist Absatz 1 nicht nur auf die Person, die diese Vorabentscheidung beantragt, sondern auch auf den Begünstigten der in Absatz 1 erwähnten Kosten beziehungsweise auf den Schuldner der in Absatz 1 erwähnten Erträge wirksam.</w:t>
      </w:r>
    </w:p>
    <w:p w14:paraId="4BC89DC0" w14:textId="77777777" w:rsidR="00871DCD" w:rsidRPr="003C35D3" w:rsidRDefault="00871DCD" w:rsidP="00871DCD">
      <w:pPr>
        <w:jc w:val="both"/>
      </w:pPr>
    </w:p>
    <w:p w14:paraId="6A58BD6B" w14:textId="77777777" w:rsidR="00871DCD" w:rsidRPr="003C35D3" w:rsidRDefault="00871DCD" w:rsidP="00871DCD">
      <w:pPr>
        <w:jc w:val="both"/>
      </w:pPr>
      <w:r w:rsidRPr="003C35D3">
        <w:tab/>
        <w:t>Darüber hinaus ist Absatz 1 nur anwendbar, wenn im Vertrag vorgesehen ist, dass diese in Absatz 1 erwähnten Kosten oder Erträge für die Anwendung von Artikel 198/1 § 2 desselben Gesetzbuches als wirtschaftlich gleichwertig mit Zinsen betrachtet werden.</w:t>
      </w:r>
    </w:p>
    <w:p w14:paraId="69679693" w14:textId="77777777" w:rsidR="00871DCD" w:rsidRPr="003C35D3" w:rsidRDefault="00871DCD" w:rsidP="00871DCD">
      <w:pPr>
        <w:jc w:val="both"/>
      </w:pPr>
    </w:p>
    <w:p w14:paraId="46086409" w14:textId="77777777" w:rsidR="00871DCD" w:rsidRPr="003C35D3" w:rsidRDefault="00871DCD" w:rsidP="00871DCD">
      <w:pPr>
        <w:jc w:val="both"/>
      </w:pPr>
      <w:r w:rsidRPr="003C35D3">
        <w:tab/>
        <w:t>Die in Absatz 2 erwähnte Vorabentscheidung kann nur getroffen werden, wenn sie die Bedingung enthält, dass die Person, die diese Vorabentscheidung beantragt, jeden Schuldner der in Absatz 1 erwähnten Erträge oder jeden Begünstigten der in Absatz 1 erwähnten Kosten identifiziert und in einer der Erklärung als Anlage beigefügten Aufstellung nicht nur die Identität dieses Schuldners oder Begünstigten, sondern auch den Betrag dieser Kosten oder Erträge aufnimmt.</w:t>
      </w:r>
    </w:p>
    <w:p w14:paraId="4AF296EB" w14:textId="2DAD262D" w:rsidR="00871DCD" w:rsidRDefault="00871DCD" w:rsidP="00871DCD">
      <w:pPr>
        <w:jc w:val="both"/>
      </w:pPr>
    </w:p>
    <w:p w14:paraId="669E583F" w14:textId="77777777" w:rsidR="00871DCD" w:rsidRPr="003C35D3" w:rsidRDefault="00871DCD" w:rsidP="00871DCD">
      <w:pPr>
        <w:jc w:val="both"/>
      </w:pPr>
    </w:p>
    <w:p w14:paraId="5794938E" w14:textId="3B983134" w:rsidR="00871DCD" w:rsidRPr="003C35D3" w:rsidRDefault="00871DCD" w:rsidP="00871DCD">
      <w:pPr>
        <w:jc w:val="both"/>
      </w:pPr>
      <w:r w:rsidRPr="003C35D3">
        <w:t xml:space="preserve">Unterabschnitt 2 - Besondere Regeln für den Ausschluss der vor dem 17. Juni 2016 aufgenommenen Anleihen und den Ausschluss der in Ausführung </w:t>
      </w:r>
      <w:r w:rsidR="00A367E2">
        <w:t>[</w:t>
      </w:r>
      <w:r w:rsidR="00A367E2" w:rsidRPr="008414D9">
        <w:t>eines langfristigen öffentlichen Infrastrukturprojekts</w:t>
      </w:r>
      <w:r w:rsidR="00A367E2">
        <w:t>]</w:t>
      </w:r>
    </w:p>
    <w:p w14:paraId="79ED94C9" w14:textId="58A45D0C" w:rsidR="00871DCD" w:rsidRDefault="00871DCD" w:rsidP="00871DCD">
      <w:pPr>
        <w:jc w:val="both"/>
      </w:pPr>
    </w:p>
    <w:p w14:paraId="3492884D" w14:textId="3304CF92" w:rsidR="00A367E2" w:rsidRDefault="00A367E2" w:rsidP="00871DCD">
      <w:pPr>
        <w:jc w:val="both"/>
        <w:rPr>
          <w:i/>
        </w:rPr>
      </w:pPr>
      <w:r>
        <w:rPr>
          <w:i/>
        </w:rPr>
        <w:t>[</w:t>
      </w:r>
      <w:r w:rsidR="00CA6563">
        <w:rPr>
          <w:i/>
        </w:rPr>
        <w:t xml:space="preserve">Überschrift von </w:t>
      </w:r>
      <w:r>
        <w:rPr>
          <w:i/>
        </w:rPr>
        <w:t>Unterabschnitt 2 abgeändert durch Art. 2 des K.E. vom 7. Juni 2021 (B.S. vom 17. Juni 2021)]</w:t>
      </w:r>
    </w:p>
    <w:p w14:paraId="119E17EB" w14:textId="77777777" w:rsidR="00A367E2" w:rsidRPr="00A367E2" w:rsidRDefault="00A367E2" w:rsidP="00871DCD">
      <w:pPr>
        <w:jc w:val="both"/>
        <w:rPr>
          <w:i/>
        </w:rPr>
      </w:pPr>
    </w:p>
    <w:p w14:paraId="20160A5A" w14:textId="77777777" w:rsidR="00871DCD" w:rsidRPr="003C35D3" w:rsidRDefault="00871DCD" w:rsidP="00871DCD">
      <w:pPr>
        <w:jc w:val="both"/>
      </w:pPr>
    </w:p>
    <w:p w14:paraId="2A71D9EF" w14:textId="5CB49AD6" w:rsidR="00871DCD" w:rsidRPr="003C35D3" w:rsidRDefault="00871DCD" w:rsidP="00871DCD">
      <w:pPr>
        <w:jc w:val="both"/>
      </w:pPr>
      <w:r w:rsidRPr="003C35D3">
        <w:tab/>
      </w:r>
      <w:r w:rsidRPr="00871DCD">
        <w:rPr>
          <w:b/>
        </w:rPr>
        <w:t>Art. 73</w:t>
      </w:r>
      <w:r w:rsidRPr="00871DCD">
        <w:rPr>
          <w:b/>
          <w:vertAlign w:val="superscript"/>
        </w:rPr>
        <w:t>4/9</w:t>
      </w:r>
      <w:r w:rsidRPr="003C35D3">
        <w:t xml:space="preserve"> - Falls der Steuerpflichtige über eine oder mehrere vor dem 17. Juni 2016 aufgenommene Anleihen verfügt und diese Anleihen ab diesem Datum keine grundlegenden Änderungen erfahren haben, werden </w:t>
      </w:r>
      <w:r w:rsidR="00A367E2">
        <w:t>[</w:t>
      </w:r>
      <w:r w:rsidR="00A367E2" w:rsidRPr="008414D9">
        <w:t>die Zinsen oder die Kosten oder Erträge, die gemäß Artikel 73</w:t>
      </w:r>
      <w:r w:rsidR="00A367E2" w:rsidRPr="008414D9">
        <w:rPr>
          <w:vertAlign w:val="superscript"/>
        </w:rPr>
        <w:t>4/8</w:t>
      </w:r>
      <w:r w:rsidR="00A367E2" w:rsidRPr="008414D9">
        <w:t xml:space="preserve"> wirtschaftlich gleichwertig mit den Zinsen dieser Anleihen sind,</w:t>
      </w:r>
      <w:r w:rsidR="00A367E2">
        <w:t>]</w:t>
      </w:r>
      <w:r w:rsidRPr="003C35D3">
        <w:t xml:space="preserve"> für die Festlegung der in Artikel 198/1 desselben Gesetzbuches erwähnten überschüssigen Fremdkapitalkosten nicht berücksichtigt, sofern der Erklärung eine Aufstellung dieser Anleihen beigefügt wird und die Modalitäten des vorliegenden Artikels eingehalten werden.</w:t>
      </w:r>
    </w:p>
    <w:p w14:paraId="6CC2637D" w14:textId="77777777" w:rsidR="00871DCD" w:rsidRPr="003C35D3" w:rsidRDefault="00871DCD" w:rsidP="00871DCD">
      <w:pPr>
        <w:jc w:val="both"/>
      </w:pPr>
    </w:p>
    <w:p w14:paraId="786F9F0E" w14:textId="77777777" w:rsidR="00871DCD" w:rsidRPr="003C35D3" w:rsidRDefault="00871DCD" w:rsidP="00871DCD">
      <w:pPr>
        <w:jc w:val="both"/>
      </w:pPr>
      <w:r w:rsidRPr="003C35D3">
        <w:tab/>
        <w:t>Der Steuerpflichtige gibt in dieser Aufstellung Folgendes pro Anleihe an:</w:t>
      </w:r>
    </w:p>
    <w:p w14:paraId="6D35C49C" w14:textId="77777777" w:rsidR="00871DCD" w:rsidRPr="003C35D3" w:rsidRDefault="00871DCD" w:rsidP="00871DCD">
      <w:pPr>
        <w:jc w:val="both"/>
      </w:pPr>
    </w:p>
    <w:p w14:paraId="42C47D7F" w14:textId="77777777" w:rsidR="00871DCD" w:rsidRPr="003C35D3" w:rsidRDefault="00871DCD" w:rsidP="00871DCD">
      <w:pPr>
        <w:jc w:val="both"/>
      </w:pPr>
      <w:r w:rsidRPr="003C35D3">
        <w:tab/>
        <w:t>- Modalitäten des Darlehensvertrags, mit Namen der Parteien, Zinssatz, Laufzeit und aufgenommenem Betrag, und Datum, an dem dieser Vertrag geschlossen worden ist,</w:t>
      </w:r>
    </w:p>
    <w:p w14:paraId="070F4F7A" w14:textId="77777777" w:rsidR="00871DCD" w:rsidRPr="003C35D3" w:rsidRDefault="00871DCD" w:rsidP="00871DCD">
      <w:pPr>
        <w:jc w:val="both"/>
      </w:pPr>
    </w:p>
    <w:p w14:paraId="7168A2BB" w14:textId="77777777" w:rsidR="00871DCD" w:rsidRPr="003C35D3" w:rsidRDefault="00871DCD" w:rsidP="00871DCD">
      <w:pPr>
        <w:jc w:val="both"/>
      </w:pPr>
      <w:r w:rsidRPr="003C35D3">
        <w:tab/>
        <w:t>- Datum und Beschreibung der Änderungen, die diese Anleihe seit dem Abschluss des im ersten Gedankenstrich erwähnten Vertrags erfahren hat,</w:t>
      </w:r>
    </w:p>
    <w:p w14:paraId="5637CE9A" w14:textId="77777777" w:rsidR="00871DCD" w:rsidRPr="003C35D3" w:rsidRDefault="00871DCD" w:rsidP="00871DCD">
      <w:pPr>
        <w:jc w:val="both"/>
      </w:pPr>
    </w:p>
    <w:p w14:paraId="35FDCEBA" w14:textId="77777777" w:rsidR="00871DCD" w:rsidRPr="003C35D3" w:rsidRDefault="00871DCD" w:rsidP="00871DCD">
      <w:pPr>
        <w:jc w:val="both"/>
      </w:pPr>
      <w:r w:rsidRPr="003C35D3">
        <w:tab/>
        <w:t>- Bestätigung, dass keine der im zweiten Gedankenstrich erwähnten Änderungen, die ab dem 17. Juni 2016 vorgenommen worden sind, grundlegend ist,</w:t>
      </w:r>
    </w:p>
    <w:p w14:paraId="64F074CF" w14:textId="77777777" w:rsidR="00871DCD" w:rsidRPr="003C35D3" w:rsidRDefault="00871DCD" w:rsidP="00871DCD">
      <w:pPr>
        <w:jc w:val="both"/>
      </w:pPr>
    </w:p>
    <w:p w14:paraId="77BE0EB9" w14:textId="77777777" w:rsidR="00871DCD" w:rsidRPr="003C35D3" w:rsidRDefault="00871DCD" w:rsidP="00871DCD">
      <w:pPr>
        <w:jc w:val="both"/>
      </w:pPr>
      <w:r w:rsidRPr="003C35D3">
        <w:lastRenderedPageBreak/>
        <w:tab/>
        <w:t>- Betrag wie in Artikel 198/1 § 2 Absatz 1 desselben Gesetzbuches erwähnt, der in Ausführung des im ersten Gedankenstrich erwähnten Vertrags im Besteuerungszeitraum als Werbungskosten berücksichtigt worden ist oder in die Gewinne des Besteuerungszeitraums einbezogen worden ist.</w:t>
      </w:r>
    </w:p>
    <w:p w14:paraId="5147D421" w14:textId="77777777" w:rsidR="00871DCD" w:rsidRPr="003C35D3" w:rsidRDefault="00871DCD" w:rsidP="00871DCD">
      <w:pPr>
        <w:jc w:val="both"/>
      </w:pPr>
    </w:p>
    <w:p w14:paraId="4BA1D8D1" w14:textId="17A4F45D" w:rsidR="00871DCD" w:rsidRDefault="00871DCD" w:rsidP="00871DCD">
      <w:pPr>
        <w:jc w:val="both"/>
      </w:pPr>
      <w:r w:rsidRPr="003C35D3">
        <w:tab/>
        <w:t>Der Steuerpflichtige hält alle Verträge oder andere Belege in Bezug auf diese Anleihen und gegebenenfalls in Bezug auf die Änderungen, die diese Anleihen erfahren haben, zur Verfügung der Verwaltung bereit und erklärt sich bereit, diese auf einfaches Verlangen vorzulegen.</w:t>
      </w:r>
    </w:p>
    <w:p w14:paraId="2E3F477D" w14:textId="4CA646A0" w:rsidR="00A367E2" w:rsidRDefault="00A367E2" w:rsidP="00871DCD">
      <w:pPr>
        <w:jc w:val="both"/>
      </w:pPr>
    </w:p>
    <w:p w14:paraId="21F03527" w14:textId="1E27F54C" w:rsidR="00A367E2" w:rsidRPr="00A367E2" w:rsidRDefault="00A367E2" w:rsidP="00871DCD">
      <w:pPr>
        <w:jc w:val="both"/>
        <w:rPr>
          <w:i/>
        </w:rPr>
      </w:pPr>
      <w:r>
        <w:rPr>
          <w:i/>
        </w:rPr>
        <w:t>[Art. 73</w:t>
      </w:r>
      <w:r w:rsidRPr="00A367E2">
        <w:rPr>
          <w:i/>
          <w:vertAlign w:val="superscript"/>
        </w:rPr>
        <w:t xml:space="preserve">4/9 </w:t>
      </w:r>
      <w:r>
        <w:rPr>
          <w:i/>
        </w:rPr>
        <w:t>Abs. 1 abgeändert durch Art. 3 des K.E. vom 7. Juni 2021 (B.S. vom 17. Juni 2021)]</w:t>
      </w:r>
    </w:p>
    <w:p w14:paraId="1B07BA2C" w14:textId="0897DDA4" w:rsidR="00871DCD" w:rsidRDefault="00871DCD" w:rsidP="00871DCD">
      <w:pPr>
        <w:jc w:val="both"/>
      </w:pPr>
    </w:p>
    <w:p w14:paraId="451E7FDF" w14:textId="77777777" w:rsidR="00871DCD" w:rsidRPr="003C35D3" w:rsidRDefault="00871DCD" w:rsidP="00871DCD">
      <w:pPr>
        <w:jc w:val="both"/>
      </w:pPr>
    </w:p>
    <w:p w14:paraId="5BE95667" w14:textId="7EDF7122" w:rsidR="00A367E2" w:rsidRPr="008414D9" w:rsidRDefault="00871DCD" w:rsidP="00A367E2">
      <w:pPr>
        <w:jc w:val="both"/>
      </w:pPr>
      <w:r w:rsidRPr="003C35D3">
        <w:tab/>
      </w:r>
      <w:r w:rsidRPr="00871DCD">
        <w:rPr>
          <w:b/>
        </w:rPr>
        <w:t>Art. 73</w:t>
      </w:r>
      <w:r w:rsidRPr="00871DCD">
        <w:rPr>
          <w:b/>
          <w:vertAlign w:val="superscript"/>
        </w:rPr>
        <w:t>4/10</w:t>
      </w:r>
      <w:r w:rsidRPr="003C35D3">
        <w:t xml:space="preserve"> - </w:t>
      </w:r>
      <w:r w:rsidR="00A367E2">
        <w:t>[</w:t>
      </w:r>
      <w:r w:rsidR="00A367E2" w:rsidRPr="008414D9">
        <w:t>Wenn der Steuerpflichtige beantragt, dass die Zinsen, Kosten oder Erträge von Anleihen wie in Artikel 198/1 § 2 Absatz 2 zweiter Gedankenstrich desselben Gesetzbuches erwähnt, die gemäß Artikel 73</w:t>
      </w:r>
      <w:r w:rsidR="00A367E2" w:rsidRPr="008414D9">
        <w:rPr>
          <w:vertAlign w:val="superscript"/>
        </w:rPr>
        <w:t>4/8</w:t>
      </w:r>
      <w:r w:rsidR="00A367E2" w:rsidRPr="008414D9">
        <w:t xml:space="preserve"> wirtschaftlich gleichwertig mit Zinsen sind, bei der Festlegung der überschüssigen Fremdkapitalkosten nicht berücksichtigt werden, oder wenn er die Anwendung von Artikel 198/1 § 6 Nr. 13 desselben Gesetzbuches beantragt, fügt er der Erklärung eine Aufstellung bei, die sich auf diese Anleihen bezieht und in der pro Anleihevertrag folgende Angaben gemacht werden:</w:t>
      </w:r>
    </w:p>
    <w:p w14:paraId="21A48F34" w14:textId="77777777" w:rsidR="00A367E2" w:rsidRPr="008414D9" w:rsidRDefault="00A367E2" w:rsidP="00A367E2">
      <w:pPr>
        <w:jc w:val="both"/>
      </w:pPr>
    </w:p>
    <w:p w14:paraId="411672F1" w14:textId="77777777" w:rsidR="00A367E2" w:rsidRPr="008414D9" w:rsidRDefault="00A367E2" w:rsidP="00A367E2">
      <w:pPr>
        <w:jc w:val="both"/>
      </w:pPr>
      <w:r w:rsidRPr="008414D9">
        <w:tab/>
        <w:t>- Identifizierung und Beschreibung des umfangreichen Vermögenswerts, der durch das in Artikel 198/1 § 2 Absatz 2 zweiter Gedankenstrich desselben Gesetzbuches erwähnte öffentliche Infrastrukturprojekt bereitgestellt, ausgebaut, betrieben oder erhalten wird,</w:t>
      </w:r>
    </w:p>
    <w:p w14:paraId="1544521B" w14:textId="77777777" w:rsidR="00A367E2" w:rsidRPr="008414D9" w:rsidRDefault="00A367E2" w:rsidP="00A367E2">
      <w:pPr>
        <w:jc w:val="both"/>
      </w:pPr>
    </w:p>
    <w:p w14:paraId="790EA561" w14:textId="77777777" w:rsidR="00A367E2" w:rsidRPr="008414D9" w:rsidRDefault="00A367E2" w:rsidP="00A367E2">
      <w:pPr>
        <w:jc w:val="both"/>
      </w:pPr>
      <w:r w:rsidRPr="008414D9">
        <w:tab/>
        <w:t>- Beschreibung des öffentlichen Charakters und/oder ein oder mehrere Verweise auf Protokolle, Beschlüsse oder andere Unterlagen einer öffentlichen Behörde, aus denen das allgemeine Interesse oder der öffentliche Charakter des im ersten Gedankenstrich erwähnten öffentlichen Infrastrukturprojekts hervorgeht,</w:t>
      </w:r>
    </w:p>
    <w:p w14:paraId="41EB76B2" w14:textId="77777777" w:rsidR="00A367E2" w:rsidRPr="008414D9" w:rsidRDefault="00A367E2" w:rsidP="00A367E2">
      <w:pPr>
        <w:jc w:val="both"/>
      </w:pPr>
    </w:p>
    <w:p w14:paraId="01355945" w14:textId="77777777" w:rsidR="00A367E2" w:rsidRPr="008414D9" w:rsidRDefault="00A367E2" w:rsidP="00A367E2">
      <w:pPr>
        <w:jc w:val="both"/>
      </w:pPr>
      <w:r w:rsidRPr="008414D9">
        <w:tab/>
        <w:t>- geschätzte oder tatsächliche Dauer der Arbeiten, die im Rahmen des im ersten Gedankenstrich erwähnten Infrastrukturprojekts tatsächlich durchgeführt werden,</w:t>
      </w:r>
    </w:p>
    <w:p w14:paraId="76AE4DEE" w14:textId="77777777" w:rsidR="00A367E2" w:rsidRPr="008414D9" w:rsidRDefault="00A367E2" w:rsidP="00A367E2">
      <w:pPr>
        <w:jc w:val="both"/>
      </w:pPr>
    </w:p>
    <w:p w14:paraId="17F0A790" w14:textId="77777777" w:rsidR="00A367E2" w:rsidRPr="008414D9" w:rsidRDefault="00A367E2" w:rsidP="00A367E2">
      <w:pPr>
        <w:jc w:val="both"/>
      </w:pPr>
      <w:r w:rsidRPr="008414D9">
        <w:tab/>
        <w:t>- Ort, an dem das im ersten Gedankenstrich erwähnte Projekt und die infolge dieses Projekts verwirklichten Aktiva gelegen sind,</w:t>
      </w:r>
    </w:p>
    <w:p w14:paraId="06590753" w14:textId="77777777" w:rsidR="00A367E2" w:rsidRPr="008414D9" w:rsidRDefault="00A367E2" w:rsidP="00A367E2">
      <w:pPr>
        <w:jc w:val="both"/>
      </w:pPr>
    </w:p>
    <w:p w14:paraId="207A9D9F" w14:textId="77777777" w:rsidR="00A367E2" w:rsidRPr="008414D9" w:rsidRDefault="00A367E2" w:rsidP="00A367E2">
      <w:pPr>
        <w:jc w:val="both"/>
      </w:pPr>
      <w:r w:rsidRPr="008414D9">
        <w:tab/>
        <w:t>- außer wenn der Projektinvestor eine öffentliche Behörde ist: Name und Niederlassungsort der Person(en), die das wirtschaftliche Risiko des Projekts trägt/tragen,</w:t>
      </w:r>
    </w:p>
    <w:p w14:paraId="1AFDA585" w14:textId="77777777" w:rsidR="00A367E2" w:rsidRPr="008414D9" w:rsidRDefault="00A367E2" w:rsidP="00A367E2">
      <w:pPr>
        <w:jc w:val="both"/>
      </w:pPr>
    </w:p>
    <w:p w14:paraId="0FC3A11B" w14:textId="77777777" w:rsidR="00A367E2" w:rsidRPr="008414D9" w:rsidRDefault="00A367E2" w:rsidP="00A367E2">
      <w:pPr>
        <w:jc w:val="both"/>
      </w:pPr>
      <w:r w:rsidRPr="008414D9">
        <w:tab/>
        <w:t>- Name und Niederlassungsort der Person(en), die aufgrund eines mit dem Investor geschlossenen Vertrags für die Ausführung des im ersten Gedankenstrich erwähnten Projekts verantwortlich ist/sind,</w:t>
      </w:r>
    </w:p>
    <w:p w14:paraId="5F084EB7" w14:textId="77777777" w:rsidR="00A367E2" w:rsidRPr="008414D9" w:rsidRDefault="00A367E2" w:rsidP="00A367E2">
      <w:pPr>
        <w:jc w:val="both"/>
      </w:pPr>
    </w:p>
    <w:p w14:paraId="5CC0AE60" w14:textId="77777777" w:rsidR="00A367E2" w:rsidRPr="008414D9" w:rsidRDefault="00A367E2" w:rsidP="00A367E2">
      <w:pPr>
        <w:jc w:val="both"/>
      </w:pPr>
      <w:r w:rsidRPr="008414D9">
        <w:tab/>
        <w:t>- Name und Niederlassungsort der Person(en), die aufgrund der Ausführung des im ersten Gedankenstrich erwähnten Projekts Zinsen oder Erträge bezieht/beziehen, die gemäß Artikel 73</w:t>
      </w:r>
      <w:r w:rsidRPr="008414D9">
        <w:rPr>
          <w:vertAlign w:val="superscript"/>
        </w:rPr>
        <w:t>4/8</w:t>
      </w:r>
      <w:r w:rsidRPr="008414D9">
        <w:t xml:space="preserve"> wirtschaftlich gleichwertig mit Zinsen sind,</w:t>
      </w:r>
    </w:p>
    <w:p w14:paraId="66EE884B" w14:textId="77777777" w:rsidR="00A367E2" w:rsidRPr="008414D9" w:rsidRDefault="00A367E2" w:rsidP="00A367E2">
      <w:pPr>
        <w:jc w:val="both"/>
      </w:pPr>
    </w:p>
    <w:p w14:paraId="67EF82E8" w14:textId="77777777" w:rsidR="00A367E2" w:rsidRPr="008414D9" w:rsidRDefault="00A367E2" w:rsidP="00A367E2">
      <w:pPr>
        <w:jc w:val="both"/>
      </w:pPr>
      <w:r w:rsidRPr="008414D9">
        <w:tab/>
        <w:t>- außer wenn der Steuerpflichtige die Anwendung von Artikel 198/1 § 6 Nr. 13 desselben Gesetzbuches beantragt: Betrag der in Artikel 198/1 § 2 Absatz 1 desselben Gesetzbuches erwähnten Zinsen und Kosten, die gemäß Artikel 73</w:t>
      </w:r>
      <w:r w:rsidRPr="008414D9">
        <w:rPr>
          <w:vertAlign w:val="superscript"/>
        </w:rPr>
        <w:t>4/8</w:t>
      </w:r>
      <w:r w:rsidRPr="008414D9">
        <w:t xml:space="preserve"> wirtschaftlich </w:t>
      </w:r>
      <w:r w:rsidRPr="008414D9">
        <w:lastRenderedPageBreak/>
        <w:t>gleichwertig mit Zinsen sind, die in Ausführung dieses Vertrags im Besteuerungszeitraum vom Steuerpflichtigen bezogen oder gezahlt worden sind.</w:t>
      </w:r>
    </w:p>
    <w:p w14:paraId="6A7DDA11" w14:textId="77777777" w:rsidR="00A367E2" w:rsidRPr="008414D9" w:rsidRDefault="00A367E2" w:rsidP="00A367E2">
      <w:pPr>
        <w:jc w:val="both"/>
      </w:pPr>
    </w:p>
    <w:p w14:paraId="7923AB91" w14:textId="77777777" w:rsidR="00A367E2" w:rsidRPr="008414D9" w:rsidRDefault="00A367E2" w:rsidP="00A367E2">
      <w:pPr>
        <w:jc w:val="both"/>
      </w:pPr>
      <w:r w:rsidRPr="008414D9">
        <w:tab/>
        <w:t>Die Anwendung von Artikel 198/1 § 6 Nr. 13 desselben Gesetzbuches kann nur beantragt werden, wenn der Erklärung eine ehrenwörtliche Erklärung beigefügt wird, in der bestätigt wird, dass der Steuerpflichtige keine Tätigkeit ausübt, die nicht mit dem in Absatz 1 erster Gedankenstrich erwähnten Infrastrukturprojekt verbunden ist.</w:t>
      </w:r>
    </w:p>
    <w:p w14:paraId="6879E15E" w14:textId="77777777" w:rsidR="00A367E2" w:rsidRPr="008414D9" w:rsidRDefault="00A367E2" w:rsidP="00A367E2">
      <w:pPr>
        <w:jc w:val="both"/>
      </w:pPr>
    </w:p>
    <w:p w14:paraId="26C7D18E" w14:textId="77777777" w:rsidR="00A367E2" w:rsidRPr="008414D9" w:rsidRDefault="00A367E2" w:rsidP="00A367E2">
      <w:pPr>
        <w:jc w:val="both"/>
      </w:pPr>
      <w:r w:rsidRPr="008414D9">
        <w:tab/>
        <w:t>Der Steuerpflichtige hält alle Verträge oder andere Belege in Bezug auf diese Anleihen und gegebenenfalls in Bezug auf die Änderungen, die diese Anleihen erfahren haben, zur Verfügung der Verwaltung bereit und legt diese auf einfaches Verlangen vor.</w:t>
      </w:r>
    </w:p>
    <w:p w14:paraId="5ABEF878" w14:textId="77777777" w:rsidR="00A367E2" w:rsidRPr="008414D9" w:rsidRDefault="00A367E2" w:rsidP="00A367E2">
      <w:pPr>
        <w:jc w:val="both"/>
      </w:pPr>
    </w:p>
    <w:p w14:paraId="6B4F0329" w14:textId="77777777" w:rsidR="00A367E2" w:rsidRPr="008414D9" w:rsidRDefault="00A367E2" w:rsidP="00A367E2">
      <w:pPr>
        <w:jc w:val="both"/>
      </w:pPr>
      <w:r w:rsidRPr="008414D9">
        <w:tab/>
        <w:t>Der Steuerpflichtige sammelt ebenfalls folgende Belege, hält sie zur Verfügung der Verwaltung bereit und legt sie auf einfaches Verlangen vor:</w:t>
      </w:r>
    </w:p>
    <w:p w14:paraId="5139277E" w14:textId="77777777" w:rsidR="00A367E2" w:rsidRPr="008414D9" w:rsidRDefault="00A367E2" w:rsidP="00A367E2">
      <w:pPr>
        <w:jc w:val="both"/>
      </w:pPr>
    </w:p>
    <w:p w14:paraId="18ACE052" w14:textId="77777777" w:rsidR="00A367E2" w:rsidRPr="008414D9" w:rsidRDefault="00A367E2" w:rsidP="00A367E2">
      <w:pPr>
        <w:jc w:val="both"/>
      </w:pPr>
      <w:r w:rsidRPr="008414D9">
        <w:tab/>
        <w:t>- gegebenenfalls eine Abschrift der in Absatz 1 zweiter Gedankenstrich erwähnten Protokolle, Beschlüsse oder anderen Unterlagen einer öffentlichen Behörde, aus denen der öffentliche Charakter oder das allgemeine Interesse des in Absatz 1 erster Gedankenstrich erwähnten Infrastrukturprojekts hervorgeht,</w:t>
      </w:r>
    </w:p>
    <w:p w14:paraId="3B267192" w14:textId="77777777" w:rsidR="00A367E2" w:rsidRPr="008414D9" w:rsidRDefault="00A367E2" w:rsidP="00A367E2">
      <w:pPr>
        <w:jc w:val="both"/>
      </w:pPr>
    </w:p>
    <w:p w14:paraId="4CDFC854" w14:textId="77777777" w:rsidR="00A367E2" w:rsidRPr="008414D9" w:rsidRDefault="00A367E2" w:rsidP="00A367E2">
      <w:pPr>
        <w:jc w:val="both"/>
      </w:pPr>
      <w:r w:rsidRPr="008414D9">
        <w:tab/>
        <w:t>- Unterlagen, mit denen die Lokalisierung des in Absatz 1 erster Gedankenstrich erwähnten Projekts und der infolge dieses Projekts verwirklichten Aktiva bestätigt werden kann,</w:t>
      </w:r>
    </w:p>
    <w:p w14:paraId="401513A2" w14:textId="77777777" w:rsidR="00A367E2" w:rsidRPr="008414D9" w:rsidRDefault="00A367E2" w:rsidP="00A367E2">
      <w:pPr>
        <w:jc w:val="both"/>
      </w:pPr>
    </w:p>
    <w:p w14:paraId="0F796672" w14:textId="08F0CC37" w:rsidR="00871DCD" w:rsidRDefault="00A367E2" w:rsidP="00A367E2">
      <w:pPr>
        <w:jc w:val="both"/>
      </w:pPr>
      <w:r w:rsidRPr="008414D9">
        <w:tab/>
        <w:t>- Unterlagen, mit denen der wirtschaftliche und rechtliche Rahmen des öffentlichen Infrastrukturprojekts dargelegt wird und in denen alle an der Verwirklichung dieses Projekts beteiligten Parteien identifiziert werden.</w:t>
      </w:r>
      <w:r>
        <w:t>]</w:t>
      </w:r>
    </w:p>
    <w:p w14:paraId="18D7109B" w14:textId="0DA4CDBF" w:rsidR="00A367E2" w:rsidRDefault="00A367E2" w:rsidP="00A367E2">
      <w:pPr>
        <w:jc w:val="both"/>
      </w:pPr>
    </w:p>
    <w:p w14:paraId="0675DE26" w14:textId="7F6297A0" w:rsidR="00A367E2" w:rsidRPr="00A367E2" w:rsidRDefault="00A367E2" w:rsidP="00A367E2">
      <w:pPr>
        <w:jc w:val="both"/>
        <w:rPr>
          <w:i/>
        </w:rPr>
      </w:pPr>
      <w:r>
        <w:rPr>
          <w:i/>
        </w:rPr>
        <w:t>[Art. 73</w:t>
      </w:r>
      <w:r w:rsidRPr="00A367E2">
        <w:rPr>
          <w:i/>
          <w:vertAlign w:val="superscript"/>
        </w:rPr>
        <w:t xml:space="preserve">4/10 </w:t>
      </w:r>
      <w:r>
        <w:rPr>
          <w:i/>
        </w:rPr>
        <w:t>ersetzt durch Art. 4 des K.E. vom 7. Juni 2021 (B.S. vom 17. Juni 2021)]</w:t>
      </w:r>
    </w:p>
    <w:p w14:paraId="3F5BEEB8" w14:textId="77777777" w:rsidR="00871DCD" w:rsidRPr="003C35D3" w:rsidRDefault="00871DCD" w:rsidP="00871DCD">
      <w:pPr>
        <w:jc w:val="both"/>
      </w:pPr>
    </w:p>
    <w:p w14:paraId="37EA11DF" w14:textId="77777777" w:rsidR="003F5F28" w:rsidRDefault="003F5F28" w:rsidP="003F5F28"/>
    <w:p w14:paraId="44E1D160" w14:textId="1A833DE4" w:rsidR="00871DCD" w:rsidRPr="003C35D3" w:rsidRDefault="00871DCD" w:rsidP="003F5F28">
      <w:pPr>
        <w:jc w:val="center"/>
      </w:pPr>
      <w:r w:rsidRPr="003C35D3">
        <w:t>Unterabschnitt 3 - Besondere Regeln, die anwendbar sind, falls der Steuerpflichtige Teil einer Unternehmensgruppe ist</w:t>
      </w:r>
    </w:p>
    <w:p w14:paraId="262A231F" w14:textId="2B775014" w:rsidR="00871DCD" w:rsidRDefault="00871DCD" w:rsidP="00871DCD">
      <w:pPr>
        <w:jc w:val="both"/>
      </w:pPr>
    </w:p>
    <w:p w14:paraId="1B47D46D" w14:textId="77777777" w:rsidR="00871DCD" w:rsidRPr="003C35D3" w:rsidRDefault="00871DCD" w:rsidP="00871DCD">
      <w:pPr>
        <w:jc w:val="both"/>
      </w:pPr>
    </w:p>
    <w:p w14:paraId="268881E2" w14:textId="7EDC5193" w:rsidR="00AA04BB" w:rsidRPr="00D30FE1" w:rsidRDefault="00871DCD" w:rsidP="00AA04BB">
      <w:pPr>
        <w:jc w:val="both"/>
        <w:rPr>
          <w:szCs w:val="32"/>
        </w:rPr>
      </w:pPr>
      <w:r w:rsidRPr="003C35D3">
        <w:tab/>
      </w:r>
      <w:r w:rsidRPr="00871DCD">
        <w:rPr>
          <w:b/>
        </w:rPr>
        <w:t>Art. 73</w:t>
      </w:r>
      <w:r w:rsidRPr="00871DCD">
        <w:rPr>
          <w:b/>
          <w:vertAlign w:val="superscript"/>
        </w:rPr>
        <w:t>4/11</w:t>
      </w:r>
      <w:r w:rsidRPr="003C35D3">
        <w:t xml:space="preserve"> - </w:t>
      </w:r>
      <w:r w:rsidR="00AA04BB" w:rsidRPr="00D30FE1">
        <w:rPr>
          <w:szCs w:val="32"/>
        </w:rPr>
        <w:t>§ 1 - Falls der Steuerpflichtige Teil einer Unternehmensgruppe ist, der mindestens eine in Artikel 198/1 § 3 Absatz 3 zweiter Gedankenstrich desselben Gesetzbuches erwähnte Gesellschaft oder Niederlassung angehört, wird der in Artikel 198/1 § 3 Absatz 2 desselben Gesetzbuches erwähnte EBITDA-Betrag des Steuerpflichtigen gemäß den Bestimmungen des vorliegenden Artikels angepasst.</w:t>
      </w:r>
    </w:p>
    <w:p w14:paraId="5DEB734C" w14:textId="77777777" w:rsidR="00AA04BB" w:rsidRPr="00D30FE1" w:rsidRDefault="00AA04BB" w:rsidP="00AA04BB">
      <w:pPr>
        <w:jc w:val="both"/>
        <w:rPr>
          <w:szCs w:val="32"/>
        </w:rPr>
      </w:pPr>
    </w:p>
    <w:p w14:paraId="2CB30D4B" w14:textId="6C30B1C7" w:rsidR="00AA04BB" w:rsidRPr="00D30FE1" w:rsidRDefault="00AA04BB" w:rsidP="00D30FE1">
      <w:pPr>
        <w:ind w:firstLine="708"/>
        <w:jc w:val="both"/>
        <w:rPr>
          <w:szCs w:val="32"/>
        </w:rPr>
      </w:pPr>
      <w:r w:rsidRPr="00D30FE1">
        <w:rPr>
          <w:szCs w:val="32"/>
        </w:rPr>
        <w:t>Das EBITDA wird um die Werbungskosten erhöht, die den in Absatz 1 erwähnten Gesellschaften oder Niederlassungen geschuldet werden[, sofern der Steuerpflichtige nachgewiesen hat, dass diese Kosten beim Begünstigten als Einkünfte betrachtet werden, die in Anwendung von Absatz 3 aus dem EBITDA neutralisiert werden].</w:t>
      </w:r>
    </w:p>
    <w:p w14:paraId="6C11B230" w14:textId="77777777" w:rsidR="00AA04BB" w:rsidRPr="00D30FE1" w:rsidRDefault="00AA04BB" w:rsidP="00AA04BB">
      <w:pPr>
        <w:jc w:val="both"/>
        <w:rPr>
          <w:szCs w:val="32"/>
        </w:rPr>
      </w:pPr>
    </w:p>
    <w:p w14:paraId="7DEDC143" w14:textId="347B626A" w:rsidR="00AA04BB" w:rsidRPr="00D30FE1" w:rsidRDefault="00AA04BB" w:rsidP="00D30FE1">
      <w:pPr>
        <w:ind w:firstLine="708"/>
        <w:jc w:val="both"/>
        <w:rPr>
          <w:szCs w:val="32"/>
        </w:rPr>
      </w:pPr>
      <w:r w:rsidRPr="00D30FE1">
        <w:rPr>
          <w:szCs w:val="32"/>
        </w:rPr>
        <w:t>Das EBITDA wird um die Einkünfte verringert, die von den in Absatz 1 erwähnten Gesellschaften oder Niederlassungen bezogen worden sind, sofern diese Einkünfte im Ergebnis des Besteuerungszeitraums einbegriffen sind [...].</w:t>
      </w:r>
    </w:p>
    <w:p w14:paraId="251C21D9" w14:textId="77777777" w:rsidR="00AA04BB" w:rsidRPr="00D30FE1" w:rsidRDefault="00AA04BB" w:rsidP="00AA04BB">
      <w:pPr>
        <w:jc w:val="both"/>
        <w:rPr>
          <w:szCs w:val="32"/>
        </w:rPr>
      </w:pPr>
    </w:p>
    <w:p w14:paraId="434B5B12" w14:textId="6442185D" w:rsidR="00AA04BB" w:rsidRPr="00D30FE1" w:rsidRDefault="00AA04BB" w:rsidP="00D30FE1">
      <w:pPr>
        <w:ind w:firstLine="708"/>
        <w:jc w:val="both"/>
        <w:rPr>
          <w:szCs w:val="32"/>
        </w:rPr>
      </w:pPr>
      <w:r w:rsidRPr="00D30FE1">
        <w:rPr>
          <w:szCs w:val="32"/>
        </w:rPr>
        <w:lastRenderedPageBreak/>
        <w:t>Absatz 3 ist nicht anwendbar:</w:t>
      </w:r>
    </w:p>
    <w:p w14:paraId="3CF1A831" w14:textId="77777777" w:rsidR="00AA04BB" w:rsidRPr="00D30FE1" w:rsidRDefault="00AA04BB" w:rsidP="00AA04BB">
      <w:pPr>
        <w:jc w:val="both"/>
        <w:rPr>
          <w:szCs w:val="32"/>
        </w:rPr>
      </w:pPr>
    </w:p>
    <w:p w14:paraId="1DCE33CC" w14:textId="56ADA271" w:rsidR="00AA04BB" w:rsidRPr="00D30FE1" w:rsidRDefault="00AA04BB" w:rsidP="00D30FE1">
      <w:pPr>
        <w:ind w:firstLine="708"/>
        <w:jc w:val="both"/>
        <w:rPr>
          <w:szCs w:val="32"/>
        </w:rPr>
      </w:pPr>
      <w:r w:rsidRPr="00D30FE1">
        <w:rPr>
          <w:szCs w:val="32"/>
        </w:rPr>
        <w:t>- wenn es sich um die in Artikel 202 desselben Gesetzbuches erwähnten Einkünfte handelt, die gemäß den Artikeln 203 bis 205 desselben Gesetzbuches von den Gewinnen des laufenden Besteuerungszeitraums oder eines folgenden Besteuerungszeitraums abgezogen werden können,</w:t>
      </w:r>
    </w:p>
    <w:p w14:paraId="0AA5E457" w14:textId="77777777" w:rsidR="00AA04BB" w:rsidRPr="00D30FE1" w:rsidRDefault="00AA04BB" w:rsidP="00AA04BB">
      <w:pPr>
        <w:jc w:val="both"/>
        <w:rPr>
          <w:szCs w:val="32"/>
        </w:rPr>
      </w:pPr>
    </w:p>
    <w:p w14:paraId="19359F2C" w14:textId="5E3DB027" w:rsidR="00AA04BB" w:rsidRPr="00D30FE1" w:rsidRDefault="00AA04BB" w:rsidP="00D30FE1">
      <w:pPr>
        <w:ind w:firstLine="708"/>
        <w:jc w:val="both"/>
        <w:rPr>
          <w:szCs w:val="32"/>
        </w:rPr>
      </w:pPr>
      <w:r w:rsidRPr="00D30FE1">
        <w:rPr>
          <w:szCs w:val="32"/>
        </w:rPr>
        <w:t>- wenn es sich um die Gewinne handelt, [die in Ausführung eines langfristigen öffentlichen Infrastrukturprojekts erzielt werden,] wenn Projektbetreiber, Fremdkapitalkosten, Aktiva und Einkünfte alle in der Europäischen Union gelegen sind,</w:t>
      </w:r>
    </w:p>
    <w:p w14:paraId="39280BFD" w14:textId="77777777" w:rsidR="00AA04BB" w:rsidRPr="00D30FE1" w:rsidRDefault="00AA04BB" w:rsidP="00AA04BB">
      <w:pPr>
        <w:jc w:val="both"/>
        <w:rPr>
          <w:szCs w:val="32"/>
        </w:rPr>
      </w:pPr>
    </w:p>
    <w:p w14:paraId="5060BACE" w14:textId="7F9B9F9B" w:rsidR="00AA04BB" w:rsidRPr="00D30FE1" w:rsidRDefault="00AA04BB" w:rsidP="00D30FE1">
      <w:pPr>
        <w:ind w:firstLine="708"/>
        <w:jc w:val="both"/>
        <w:rPr>
          <w:szCs w:val="32"/>
        </w:rPr>
      </w:pPr>
      <w:r w:rsidRPr="00D30FE1">
        <w:rPr>
          <w:szCs w:val="32"/>
        </w:rPr>
        <w:t>- auf 85 Prozent der in den Artikeln 205/2 und 205/3 desselben Gesetzbuches erwähnten Einkünfte des Besteuerungszeitraums, die gemäß Artikel 205/1 desselben Gesetzbuches von den Gewinnen des laufenden Besteuerungszeitraums oder eines folgenden Besteuerungs</w:t>
      </w:r>
      <w:r w:rsidRPr="00D30FE1">
        <w:rPr>
          <w:szCs w:val="32"/>
        </w:rPr>
        <w:softHyphen/>
        <w:t>zeitraums abgezogen werden können,</w:t>
      </w:r>
    </w:p>
    <w:p w14:paraId="29EB5F22" w14:textId="77777777" w:rsidR="00AA04BB" w:rsidRPr="00D30FE1" w:rsidRDefault="00AA04BB" w:rsidP="00AA04BB">
      <w:pPr>
        <w:jc w:val="both"/>
        <w:rPr>
          <w:szCs w:val="32"/>
        </w:rPr>
      </w:pPr>
    </w:p>
    <w:p w14:paraId="45AD5D37" w14:textId="1046FC8A" w:rsidR="00AA04BB" w:rsidRPr="00D30FE1" w:rsidRDefault="00AA04BB" w:rsidP="00D30FE1">
      <w:pPr>
        <w:ind w:firstLine="708"/>
        <w:jc w:val="both"/>
        <w:rPr>
          <w:szCs w:val="32"/>
        </w:rPr>
      </w:pPr>
      <w:r w:rsidRPr="00D30FE1">
        <w:rPr>
          <w:szCs w:val="32"/>
        </w:rPr>
        <w:t>- auf 80 Prozent der gemäß Artikel 543 desselben Gesetzbuches bestimmten Einkünfte aus Patenten, die für den Abzug von den Gewinnen des Besteuerungszeitraums berücksichtigt werden.</w:t>
      </w:r>
    </w:p>
    <w:p w14:paraId="26DDD3DC" w14:textId="77777777" w:rsidR="00AA04BB" w:rsidRPr="00D30FE1" w:rsidRDefault="00AA04BB" w:rsidP="00AA04BB">
      <w:pPr>
        <w:jc w:val="both"/>
        <w:rPr>
          <w:szCs w:val="32"/>
        </w:rPr>
      </w:pPr>
    </w:p>
    <w:p w14:paraId="27156056" w14:textId="0E52FE19" w:rsidR="00AA04BB" w:rsidRPr="00D30FE1" w:rsidRDefault="00AA04BB" w:rsidP="00D30FE1">
      <w:pPr>
        <w:ind w:firstLine="708"/>
        <w:jc w:val="both"/>
        <w:rPr>
          <w:szCs w:val="32"/>
        </w:rPr>
      </w:pPr>
      <w:r w:rsidRPr="00D30FE1">
        <w:rPr>
          <w:szCs w:val="32"/>
        </w:rPr>
        <w:t>§ 2 - Wenn der EBITDA-Betrag einer der in § 1 Absatz 1 erwähnten Gesellschaften oder Niederlassungen negativ ist, wird dieser negative Betrag auf den Steuerpflichtigen und die anderen in § 1 Absatz 1 erwähnten Gesellschaften und Niederlassungen im Verhältnis zu der Höhe der positiven EBITDA-Beträge des Steuerpflichtigen und jeder dieser Gesellschaften und Niederlassungen verteilt.</w:t>
      </w:r>
    </w:p>
    <w:p w14:paraId="7A1D8CAB" w14:textId="77777777" w:rsidR="00AA04BB" w:rsidRPr="00D30FE1" w:rsidRDefault="00AA04BB" w:rsidP="00AA04BB">
      <w:pPr>
        <w:jc w:val="both"/>
        <w:rPr>
          <w:szCs w:val="32"/>
        </w:rPr>
      </w:pPr>
    </w:p>
    <w:p w14:paraId="5AAA7C9F" w14:textId="20EAAEE5" w:rsidR="00AA04BB" w:rsidRPr="00D30FE1" w:rsidRDefault="00AA04BB" w:rsidP="00D30FE1">
      <w:pPr>
        <w:ind w:firstLine="708"/>
        <w:jc w:val="both"/>
        <w:rPr>
          <w:szCs w:val="32"/>
        </w:rPr>
      </w:pPr>
      <w:r w:rsidRPr="00D30FE1">
        <w:rPr>
          <w:szCs w:val="32"/>
        </w:rPr>
        <w:t>In dem in Absatz 1 erwähnten Fall wird das EBITDA des Steuerpflichtigen um den in Absatz 1 erwähnten Betrag, der dem Steuerpflichtigen zuerkannt worden ist, verringert, bis zu einem Betrag, der nicht unter null liegen kann.</w:t>
      </w:r>
    </w:p>
    <w:p w14:paraId="597BCD61" w14:textId="77777777" w:rsidR="00AA04BB" w:rsidRPr="00D30FE1" w:rsidRDefault="00AA04BB" w:rsidP="00AA04BB">
      <w:pPr>
        <w:jc w:val="both"/>
        <w:rPr>
          <w:szCs w:val="32"/>
        </w:rPr>
      </w:pPr>
    </w:p>
    <w:p w14:paraId="7D82F879" w14:textId="6644484D" w:rsidR="00AA04BB" w:rsidRPr="00D30FE1" w:rsidRDefault="00AA04BB" w:rsidP="00D30FE1">
      <w:pPr>
        <w:ind w:firstLine="708"/>
        <w:jc w:val="both"/>
        <w:rPr>
          <w:szCs w:val="32"/>
        </w:rPr>
      </w:pPr>
      <w:r w:rsidRPr="00D30FE1">
        <w:rPr>
          <w:szCs w:val="32"/>
        </w:rPr>
        <w:t>§ 3 - In § 1 Absatz 1 erwähnte Gesellschaften und Niederlassungen können mit dem Steuerpflichtigen durch Abschluss eines Vertrags, der die Bedingungen des vorliegenden Paragraphen erfüllt, vereinbaren, kollektiv auf die Berechnung des EBITDA zu verzichten. In diesem Fall wird davon ausgegangen, dass das EBITDA des Steuerpflichtigen und dieser Gesellschaften und Niederlassungen null beträgt.</w:t>
      </w:r>
    </w:p>
    <w:p w14:paraId="24832BED" w14:textId="77777777" w:rsidR="00AA04BB" w:rsidRPr="00D30FE1" w:rsidRDefault="00AA04BB" w:rsidP="00AA04BB">
      <w:pPr>
        <w:jc w:val="both"/>
        <w:rPr>
          <w:szCs w:val="32"/>
        </w:rPr>
      </w:pPr>
    </w:p>
    <w:p w14:paraId="5738E136" w14:textId="2F619D5B" w:rsidR="00AA04BB" w:rsidRPr="00D30FE1" w:rsidRDefault="00AA04BB" w:rsidP="00D30FE1">
      <w:pPr>
        <w:ind w:firstLine="708"/>
        <w:jc w:val="both"/>
        <w:rPr>
          <w:szCs w:val="32"/>
        </w:rPr>
      </w:pPr>
      <w:r w:rsidRPr="00D30FE1">
        <w:rPr>
          <w:szCs w:val="32"/>
        </w:rPr>
        <w:t>Dieser Vertrag kann nur geschlossen werden, wenn:</w:t>
      </w:r>
    </w:p>
    <w:p w14:paraId="3C24C4B6" w14:textId="77777777" w:rsidR="00AA04BB" w:rsidRPr="00D30FE1" w:rsidRDefault="00AA04BB" w:rsidP="00AA04BB">
      <w:pPr>
        <w:jc w:val="both"/>
        <w:rPr>
          <w:szCs w:val="32"/>
        </w:rPr>
      </w:pPr>
    </w:p>
    <w:p w14:paraId="699B49C4" w14:textId="035B243E" w:rsidR="00AA04BB" w:rsidRPr="00D30FE1" w:rsidRDefault="00AA04BB" w:rsidP="00D30FE1">
      <w:pPr>
        <w:ind w:firstLine="708"/>
        <w:jc w:val="both"/>
        <w:rPr>
          <w:szCs w:val="32"/>
        </w:rPr>
      </w:pPr>
      <w:r w:rsidRPr="00D30FE1">
        <w:rPr>
          <w:szCs w:val="32"/>
        </w:rPr>
        <w:t>- der Steuerpflichtige und alle in Absatz 1 erwähnten Gesellschaften und Niederlassungen am Vertrag teilnehmen und als Vertragsparteien dieses Vertrags identifiziert werden,</w:t>
      </w:r>
    </w:p>
    <w:p w14:paraId="0569C145" w14:textId="77777777" w:rsidR="00AA04BB" w:rsidRPr="00D30FE1" w:rsidRDefault="00AA04BB" w:rsidP="00AA04BB">
      <w:pPr>
        <w:jc w:val="both"/>
        <w:rPr>
          <w:szCs w:val="32"/>
        </w:rPr>
      </w:pPr>
    </w:p>
    <w:p w14:paraId="4528181B" w14:textId="5A89FDD8" w:rsidR="00AA04BB" w:rsidRPr="00D30FE1" w:rsidRDefault="00AA04BB" w:rsidP="00D30FE1">
      <w:pPr>
        <w:ind w:firstLine="708"/>
        <w:jc w:val="both"/>
        <w:rPr>
          <w:szCs w:val="32"/>
        </w:rPr>
      </w:pPr>
      <w:r w:rsidRPr="00D30FE1">
        <w:rPr>
          <w:szCs w:val="32"/>
        </w:rPr>
        <w:t>- sein Anwendungszeitraum durch Vermerk des Steuerjahres oder der Steuerjahre festgelegt wird, das beziehungsweise die an die Besteuerungszeiträume gebunden ist/sind, auf die dieser Vertrag Anwendung findet,</w:t>
      </w:r>
    </w:p>
    <w:p w14:paraId="2E31ABCF" w14:textId="77777777" w:rsidR="00AA04BB" w:rsidRPr="00D30FE1" w:rsidRDefault="00AA04BB" w:rsidP="00AA04BB">
      <w:pPr>
        <w:jc w:val="both"/>
        <w:rPr>
          <w:szCs w:val="32"/>
        </w:rPr>
      </w:pPr>
    </w:p>
    <w:p w14:paraId="42990289" w14:textId="7ADC1E75" w:rsidR="00AA04BB" w:rsidRPr="00D30FE1" w:rsidRDefault="00AA04BB" w:rsidP="00D30FE1">
      <w:pPr>
        <w:ind w:firstLine="708"/>
        <w:jc w:val="both"/>
        <w:rPr>
          <w:szCs w:val="32"/>
        </w:rPr>
      </w:pPr>
      <w:r w:rsidRPr="00D30FE1">
        <w:rPr>
          <w:szCs w:val="32"/>
        </w:rPr>
        <w:t>- mindestens eine der Vertragsparteien diesen Vertrag der Erklärung in Bezug auf das Steuerjahr, auf das dieser Vertrag Anwendung findet, beifügt.</w:t>
      </w:r>
    </w:p>
    <w:p w14:paraId="03030F8D" w14:textId="77777777" w:rsidR="00AA04BB" w:rsidRPr="00D30FE1" w:rsidRDefault="00AA04BB" w:rsidP="00AA04BB">
      <w:pPr>
        <w:jc w:val="both"/>
        <w:rPr>
          <w:szCs w:val="32"/>
        </w:rPr>
      </w:pPr>
    </w:p>
    <w:p w14:paraId="2778362B" w14:textId="69896A49" w:rsidR="00AA04BB" w:rsidRPr="00D30FE1" w:rsidRDefault="00AA04BB" w:rsidP="00D30FE1">
      <w:pPr>
        <w:ind w:firstLine="708"/>
        <w:jc w:val="both"/>
        <w:rPr>
          <w:szCs w:val="32"/>
        </w:rPr>
      </w:pPr>
      <w:r w:rsidRPr="00D30FE1">
        <w:rPr>
          <w:szCs w:val="32"/>
        </w:rPr>
        <w:lastRenderedPageBreak/>
        <w:t>Der für Finanzen zuständige Minister oder sein Beauftragter legt das Muster des in vorliegendem Paragraphen erwähnten Vertrags fest.</w:t>
      </w:r>
    </w:p>
    <w:p w14:paraId="49C2CDF7" w14:textId="77777777" w:rsidR="00AA04BB" w:rsidRPr="00D30FE1" w:rsidRDefault="00AA04BB" w:rsidP="00AA04BB">
      <w:pPr>
        <w:jc w:val="both"/>
        <w:rPr>
          <w:sz w:val="28"/>
          <w:szCs w:val="36"/>
        </w:rPr>
      </w:pPr>
    </w:p>
    <w:p w14:paraId="51644C01" w14:textId="0E0E52D1" w:rsidR="00AA04BB" w:rsidRPr="00D30FE1" w:rsidRDefault="00AA04BB" w:rsidP="00AA04BB">
      <w:pPr>
        <w:jc w:val="both"/>
        <w:rPr>
          <w:szCs w:val="32"/>
        </w:rPr>
      </w:pPr>
      <w:r w:rsidRPr="00D30FE1">
        <w:rPr>
          <w:i/>
          <w:szCs w:val="32"/>
        </w:rPr>
        <w:t>[Art. 73</w:t>
      </w:r>
      <w:r w:rsidRPr="00D30FE1">
        <w:rPr>
          <w:i/>
          <w:szCs w:val="32"/>
          <w:vertAlign w:val="superscript"/>
        </w:rPr>
        <w:t>4/11</w:t>
      </w:r>
      <w:r w:rsidRPr="00D30FE1">
        <w:rPr>
          <w:i/>
          <w:szCs w:val="32"/>
        </w:rPr>
        <w:t xml:space="preserve"> § 1 Abs. 2 abgeändert durch Art. 5 Buchstabe a</w:t>
      </w:r>
      <w:r w:rsidR="00CA6563" w:rsidRPr="00D30FE1">
        <w:rPr>
          <w:i/>
          <w:szCs w:val="32"/>
        </w:rPr>
        <w:t>)</w:t>
      </w:r>
      <w:r w:rsidRPr="00D30FE1">
        <w:rPr>
          <w:i/>
          <w:szCs w:val="32"/>
        </w:rPr>
        <w:t xml:space="preserve"> des K.E. vom 7. Juni 2021 (B.S. vom 17. Juni 2021); § 1 Abs. 3 abgeändert durch Art. 5 Buchstabe b) des K.E. vom 7. Juni 2021 (B.S. vom 17. Juni 2021); § 1 Abs. 4 zweiter Gedankenstrich abgeändert durch Art. 5 Buchstabe c) des K.E. vom 7. Juni 2021 (B.S. vom 17. Juni 2021)]</w:t>
      </w:r>
    </w:p>
    <w:p w14:paraId="6EA16230" w14:textId="63AC6929" w:rsidR="00871DCD" w:rsidRPr="00D30FE1" w:rsidRDefault="00871DCD" w:rsidP="00871DCD">
      <w:pPr>
        <w:jc w:val="both"/>
      </w:pPr>
    </w:p>
    <w:p w14:paraId="684B48E5" w14:textId="77777777" w:rsidR="00871DCD" w:rsidRPr="003C35D3" w:rsidRDefault="00871DCD" w:rsidP="00871DCD">
      <w:pPr>
        <w:jc w:val="both"/>
      </w:pPr>
    </w:p>
    <w:p w14:paraId="4040CFD6" w14:textId="77777777" w:rsidR="00871DCD" w:rsidRPr="003C35D3" w:rsidRDefault="00871DCD" w:rsidP="00871DCD">
      <w:pPr>
        <w:jc w:val="both"/>
      </w:pPr>
      <w:r w:rsidRPr="003C35D3">
        <w:tab/>
      </w:r>
      <w:r w:rsidRPr="00871DCD">
        <w:rPr>
          <w:b/>
        </w:rPr>
        <w:t>Art. 73</w:t>
      </w:r>
      <w:r w:rsidRPr="00871DCD">
        <w:rPr>
          <w:b/>
          <w:vertAlign w:val="superscript"/>
        </w:rPr>
        <w:t>4/12</w:t>
      </w:r>
      <w:r w:rsidRPr="003C35D3">
        <w:t> - § 1 - Falls der Steuerpflichtige Teil einer Unternehmensgruppe ist, der mindestens eine in Artikel 198/1 § 3 Absatz 3 zweiter Gedankenstrich desselben Gesetzbuches erwähnte Gesellschaft oder Niederlassung angehört, wird der in Artikel 198/1 § 3 Absatz 1 Buchstabe </w:t>
      </w:r>
      <w:r w:rsidRPr="003C35D3">
        <w:rPr>
          <w:i/>
          <w:iCs/>
        </w:rPr>
        <w:t>a)</w:t>
      </w:r>
      <w:r w:rsidRPr="003C35D3">
        <w:t xml:space="preserve"> desselben Gesetzbuches erwähnte Betrag für den Steuerpflichtigen wie folgt festgelegt:</w:t>
      </w:r>
    </w:p>
    <w:p w14:paraId="11721D16" w14:textId="77777777" w:rsidR="00871DCD" w:rsidRPr="003C35D3" w:rsidRDefault="00871DCD" w:rsidP="00871DCD">
      <w:pPr>
        <w:jc w:val="both"/>
      </w:pPr>
    </w:p>
    <w:p w14:paraId="61D28E63" w14:textId="77777777" w:rsidR="00871DCD" w:rsidRPr="003C35D3" w:rsidRDefault="00871DCD" w:rsidP="00871DCD">
      <w:pPr>
        <w:jc w:val="both"/>
      </w:pPr>
      <w:r w:rsidRPr="003C35D3">
        <w:tab/>
        <w:t>1. Der in Artikel 198/1 § 3 Absatz 1 Buchstabe </w:t>
      </w:r>
      <w:r w:rsidRPr="003C35D3">
        <w:rPr>
          <w:i/>
          <w:iCs/>
        </w:rPr>
        <w:t>a)</w:t>
      </w:r>
      <w:r w:rsidRPr="003C35D3">
        <w:t xml:space="preserve"> desselben Gesetzbuches erwähnte Betrag wird gegebenenfalls um 30 Prozent der Summe der gemäß Artikel 73</w:t>
      </w:r>
      <w:r w:rsidRPr="003C35D3">
        <w:rPr>
          <w:vertAlign w:val="superscript"/>
        </w:rPr>
        <w:t>4/11</w:t>
      </w:r>
      <w:r w:rsidRPr="003C35D3">
        <w:t xml:space="preserve"> festgelegten EBITDA des Steuerpflichtigen und jeder der vorerwähnten anderen Gesellschaften oder Niederlassungen verringert.</w:t>
      </w:r>
    </w:p>
    <w:p w14:paraId="65AD4B0C" w14:textId="77777777" w:rsidR="00871DCD" w:rsidRPr="003C35D3" w:rsidRDefault="00871DCD" w:rsidP="00871DCD">
      <w:pPr>
        <w:jc w:val="both"/>
      </w:pPr>
    </w:p>
    <w:p w14:paraId="4424F874" w14:textId="77777777" w:rsidR="00871DCD" w:rsidRPr="003C35D3" w:rsidRDefault="00871DCD" w:rsidP="00871DCD">
      <w:pPr>
        <w:jc w:val="both"/>
      </w:pPr>
      <w:r w:rsidRPr="003C35D3">
        <w:tab/>
        <w:t>2. Anschließend wird für den Steuerpflichtigen und jede vorerwähnte Gesellschaft und Niederlassung die Plusdifferenz zwischen den überschüssigen Fremdkapitalkosten einerseits und 30 Prozent des gemäß Artikel 73</w:t>
      </w:r>
      <w:r w:rsidRPr="003C35D3">
        <w:rPr>
          <w:vertAlign w:val="superscript"/>
        </w:rPr>
        <w:t>4/11</w:t>
      </w:r>
      <w:r w:rsidRPr="003C35D3">
        <w:t xml:space="preserve"> festgelegten EBITDA andererseits festgelegt.</w:t>
      </w:r>
    </w:p>
    <w:p w14:paraId="595C65F6" w14:textId="77777777" w:rsidR="00871DCD" w:rsidRPr="003C35D3" w:rsidRDefault="00871DCD" w:rsidP="00871DCD">
      <w:pPr>
        <w:jc w:val="both"/>
      </w:pPr>
    </w:p>
    <w:p w14:paraId="48C076D1" w14:textId="77777777" w:rsidR="00871DCD" w:rsidRPr="003C35D3" w:rsidRDefault="00871DCD" w:rsidP="00871DCD">
      <w:pPr>
        <w:jc w:val="both"/>
      </w:pPr>
      <w:r w:rsidRPr="003C35D3">
        <w:tab/>
        <w:t>3. Der gemäß Nr. 1 festgelegte Betrag wird danach proportional auf den Steuerpflichtigen und jede vorerwähnte Gesellschaft und Niederlassung je nach der Höhe des gemäß Nr. 2 festgelegten Betrags verteilt.</w:t>
      </w:r>
    </w:p>
    <w:p w14:paraId="1A9B11B6" w14:textId="77777777" w:rsidR="00871DCD" w:rsidRPr="003C35D3" w:rsidRDefault="00871DCD" w:rsidP="00871DCD">
      <w:pPr>
        <w:jc w:val="both"/>
      </w:pPr>
    </w:p>
    <w:p w14:paraId="4A03282B" w14:textId="77777777" w:rsidR="00871DCD" w:rsidRPr="003C35D3" w:rsidRDefault="00871DCD" w:rsidP="00871DCD">
      <w:pPr>
        <w:jc w:val="both"/>
      </w:pPr>
      <w:r w:rsidRPr="003C35D3">
        <w:tab/>
        <w:t>4. Der Grenzbetrag des Steuerpflichtigen wird durch Addition von 30 Prozent des gemäß Artikel 73</w:t>
      </w:r>
      <w:r w:rsidRPr="003C35D3">
        <w:rPr>
          <w:vertAlign w:val="superscript"/>
        </w:rPr>
        <w:t>4/11</w:t>
      </w:r>
      <w:r w:rsidRPr="003C35D3">
        <w:t xml:space="preserve"> festgelegten EBITDA mit dem gemäß Nr. 3 festgelegten Betrag festgelegt.</w:t>
      </w:r>
    </w:p>
    <w:p w14:paraId="7628C42C" w14:textId="77777777" w:rsidR="00871DCD" w:rsidRPr="003C35D3" w:rsidRDefault="00871DCD" w:rsidP="00871DCD">
      <w:pPr>
        <w:jc w:val="both"/>
      </w:pPr>
    </w:p>
    <w:p w14:paraId="14FAC1ED" w14:textId="77777777" w:rsidR="00871DCD" w:rsidRPr="003C35D3" w:rsidRDefault="00871DCD" w:rsidP="00871DCD">
      <w:pPr>
        <w:jc w:val="both"/>
      </w:pPr>
      <w:r w:rsidRPr="003C35D3">
        <w:tab/>
        <w:t>Für die Anwendung von Absatz 1 wird davon ausgegangen, dass das gemäß Artikel 73</w:t>
      </w:r>
      <w:r w:rsidRPr="003C35D3">
        <w:rPr>
          <w:vertAlign w:val="superscript"/>
        </w:rPr>
        <w:t>4/11</w:t>
      </w:r>
      <w:r w:rsidRPr="003C35D3">
        <w:t xml:space="preserve"> festgelegte EBITDA des Steuerpflichtigen und jeder vorerwähnten anderen Gesellschaft oder Niederlassung null beträgt, wenn dieser Betrag ein negativer Betrag ist.</w:t>
      </w:r>
    </w:p>
    <w:p w14:paraId="72EE50F9" w14:textId="77777777" w:rsidR="00871DCD" w:rsidRPr="003C35D3" w:rsidRDefault="00871DCD" w:rsidP="00871DCD">
      <w:pPr>
        <w:jc w:val="both"/>
      </w:pPr>
    </w:p>
    <w:p w14:paraId="3BA56348" w14:textId="77777777" w:rsidR="00871DCD" w:rsidRPr="003C35D3" w:rsidRDefault="00871DCD" w:rsidP="00871DCD">
      <w:pPr>
        <w:jc w:val="both"/>
      </w:pPr>
      <w:r w:rsidRPr="003C35D3">
        <w:tab/>
        <w:t>§ 2 - Der Steuerpflichtige, der einen in Artikel 73</w:t>
      </w:r>
      <w:r w:rsidRPr="003C35D3">
        <w:rPr>
          <w:vertAlign w:val="superscript"/>
        </w:rPr>
        <w:t>4/11</w:t>
      </w:r>
      <w:r w:rsidRPr="003C35D3">
        <w:t xml:space="preserve"> § 3 erwähnten Vertrag geschlossen hat, kann von § 1 abweichen, indem er in diesem Vertrag eine gleichmäßige Verteilung des in Artikel 198/1 § 3 Absatz 1 Buchstabe </w:t>
      </w:r>
      <w:r w:rsidRPr="003C35D3">
        <w:rPr>
          <w:i/>
          <w:iCs/>
        </w:rPr>
        <w:t>a)</w:t>
      </w:r>
      <w:r w:rsidRPr="003C35D3">
        <w:t xml:space="preserve"> desselben Gesetzbuches erwähnten Betrags auf die Vertragsparteien vorsieht.</w:t>
      </w:r>
    </w:p>
    <w:p w14:paraId="52DEA0B0" w14:textId="77777777" w:rsidR="00871DCD" w:rsidRPr="003C35D3" w:rsidRDefault="00871DCD" w:rsidP="00871DCD">
      <w:pPr>
        <w:jc w:val="both"/>
      </w:pPr>
    </w:p>
    <w:p w14:paraId="41C7707B" w14:textId="77777777" w:rsidR="00871DCD" w:rsidRPr="003C35D3" w:rsidRDefault="00871DCD" w:rsidP="00871DCD">
      <w:pPr>
        <w:jc w:val="both"/>
      </w:pPr>
      <w:r w:rsidRPr="003C35D3">
        <w:tab/>
        <w:t>Bei Anwendung von Absatz 1 wird der in Artikel 198/1 § 3 Absatz 1 Buchstabe </w:t>
      </w:r>
      <w:r w:rsidRPr="003C35D3">
        <w:rPr>
          <w:i/>
        </w:rPr>
        <w:t>a)</w:t>
      </w:r>
      <w:r w:rsidRPr="003C35D3">
        <w:t xml:space="preserve"> desselben Gesetzbuches erwähnte Betrag für den Steuerpflichtigen mit einem Bruch multipliziert, dessen Zähler eins beträgt und dessen Nenner der Anzahl Vertragsparteien entspricht.</w:t>
      </w:r>
    </w:p>
    <w:p w14:paraId="1B32F1C8" w14:textId="2B3874D3" w:rsidR="00871DCD" w:rsidRDefault="00871DCD" w:rsidP="00871DCD">
      <w:pPr>
        <w:jc w:val="both"/>
      </w:pPr>
    </w:p>
    <w:p w14:paraId="2FE69141" w14:textId="77777777" w:rsidR="00871DCD" w:rsidRPr="003C35D3" w:rsidRDefault="00871DCD" w:rsidP="00871DCD">
      <w:pPr>
        <w:jc w:val="both"/>
      </w:pPr>
    </w:p>
    <w:p w14:paraId="0C7249FF" w14:textId="77777777" w:rsidR="00871DCD" w:rsidRPr="003C35D3" w:rsidRDefault="00871DCD" w:rsidP="00871DCD">
      <w:pPr>
        <w:jc w:val="both"/>
      </w:pPr>
      <w:r w:rsidRPr="003C35D3">
        <w:t>Unterabschnitt 4 - Festlegung des Musters der Aufstellung für die Steuerbefreiung der überschüssigen Fremdkapitalkosten, die in einem vorhergehenden Besteuerungszeitraum nicht als Werbungskosten in Betracht gekommen sind, und des Zinsabzugsvertrags</w:t>
      </w:r>
    </w:p>
    <w:p w14:paraId="178D61EE" w14:textId="3B5F32D8" w:rsidR="00871DCD" w:rsidRDefault="00871DCD" w:rsidP="00871DCD">
      <w:pPr>
        <w:jc w:val="both"/>
      </w:pPr>
    </w:p>
    <w:p w14:paraId="4E2E6634" w14:textId="77777777" w:rsidR="00871DCD" w:rsidRPr="003C35D3" w:rsidRDefault="00871DCD" w:rsidP="00871DCD">
      <w:pPr>
        <w:jc w:val="both"/>
      </w:pPr>
    </w:p>
    <w:p w14:paraId="25F293F8" w14:textId="77777777" w:rsidR="00871DCD" w:rsidRPr="003C35D3" w:rsidRDefault="00871DCD" w:rsidP="00871DCD">
      <w:pPr>
        <w:jc w:val="both"/>
      </w:pPr>
      <w:r w:rsidRPr="003C35D3">
        <w:tab/>
      </w:r>
      <w:r w:rsidRPr="00871DCD">
        <w:rPr>
          <w:b/>
        </w:rPr>
        <w:t>Art. 73</w:t>
      </w:r>
      <w:r w:rsidRPr="00871DCD">
        <w:rPr>
          <w:b/>
          <w:vertAlign w:val="superscript"/>
        </w:rPr>
        <w:t>4/13</w:t>
      </w:r>
      <w:r w:rsidRPr="003C35D3">
        <w:t> - Das Muster der in Artikel 194</w:t>
      </w:r>
      <w:r w:rsidRPr="003C35D3">
        <w:rPr>
          <w:i/>
        </w:rPr>
        <w:t>sexies</w:t>
      </w:r>
      <w:r w:rsidRPr="003C35D3">
        <w:t xml:space="preserve"> Absatz 3 des Einkommen</w:t>
      </w:r>
      <w:r w:rsidRPr="003C35D3">
        <w:softHyphen/>
        <w:t>steuergesetzbuches 1992 erwähnten Aufstellung wird von dem für Finanzen zuständigen Minister oder seinem Beauftragten festgelegt.</w:t>
      </w:r>
    </w:p>
    <w:p w14:paraId="662366E2" w14:textId="77777777" w:rsidR="00871DCD" w:rsidRPr="003C35D3" w:rsidRDefault="00871DCD" w:rsidP="00871DCD">
      <w:pPr>
        <w:jc w:val="both"/>
      </w:pPr>
    </w:p>
    <w:p w14:paraId="772EEB7A" w14:textId="77777777" w:rsidR="00871DCD" w:rsidRPr="003C35D3" w:rsidRDefault="00871DCD" w:rsidP="00871DCD">
      <w:pPr>
        <w:jc w:val="both"/>
      </w:pPr>
      <w:r w:rsidRPr="003C35D3">
        <w:tab/>
        <w:t>In dieser Aufstellung werden folgende Beträge angegeben:</w:t>
      </w:r>
    </w:p>
    <w:p w14:paraId="5E0C9F6E" w14:textId="77777777" w:rsidR="00871DCD" w:rsidRPr="003C35D3" w:rsidRDefault="00871DCD" w:rsidP="00871DCD">
      <w:pPr>
        <w:jc w:val="both"/>
      </w:pPr>
    </w:p>
    <w:p w14:paraId="254D1F65" w14:textId="77777777" w:rsidR="00871DCD" w:rsidRPr="003C35D3" w:rsidRDefault="00871DCD" w:rsidP="00871DCD">
      <w:pPr>
        <w:jc w:val="both"/>
      </w:pPr>
      <w:r w:rsidRPr="003C35D3">
        <w:tab/>
        <w:t>1. nicht als Werbungskosten in Betracht kommende überschüssige Fremdkapitalkosten, die aus dem vorhergehenden Besteuerungszeitraum vorgetragen wurden,</w:t>
      </w:r>
    </w:p>
    <w:p w14:paraId="1ABA36C4" w14:textId="77777777" w:rsidR="00871DCD" w:rsidRPr="003C35D3" w:rsidRDefault="00871DCD" w:rsidP="00871DCD">
      <w:pPr>
        <w:jc w:val="both"/>
      </w:pPr>
    </w:p>
    <w:p w14:paraId="74D3C535" w14:textId="77777777" w:rsidR="00871DCD" w:rsidRPr="003C35D3" w:rsidRDefault="00871DCD" w:rsidP="00871DCD">
      <w:pPr>
        <w:jc w:val="both"/>
      </w:pPr>
      <w:r w:rsidRPr="003C35D3">
        <w:tab/>
        <w:t>2. in Artikel 198/1 § 2 desselben Gesetzbuches erwähnte überschüssige Fremdkapitalkosten,</w:t>
      </w:r>
    </w:p>
    <w:p w14:paraId="7B417172" w14:textId="77777777" w:rsidR="00871DCD" w:rsidRPr="003C35D3" w:rsidRDefault="00871DCD" w:rsidP="00871DCD">
      <w:pPr>
        <w:jc w:val="both"/>
      </w:pPr>
    </w:p>
    <w:p w14:paraId="18AA1189" w14:textId="77777777" w:rsidR="00871DCD" w:rsidRPr="003C35D3" w:rsidRDefault="00871DCD" w:rsidP="00871DCD">
      <w:pPr>
        <w:jc w:val="both"/>
      </w:pPr>
      <w:r w:rsidRPr="003C35D3">
        <w:tab/>
        <w:t>3. der in Artikel 198/1 § 3 desselben Gesetzbuches erwähnte Grenzbetrag,</w:t>
      </w:r>
    </w:p>
    <w:p w14:paraId="4F6F76A2" w14:textId="77777777" w:rsidR="00871DCD" w:rsidRPr="003C35D3" w:rsidRDefault="00871DCD" w:rsidP="00871DCD">
      <w:pPr>
        <w:jc w:val="both"/>
      </w:pPr>
    </w:p>
    <w:p w14:paraId="0226F1BB" w14:textId="77777777" w:rsidR="00871DCD" w:rsidRPr="003C35D3" w:rsidRDefault="00871DCD" w:rsidP="00871DCD">
      <w:pPr>
        <w:jc w:val="both"/>
      </w:pPr>
      <w:r w:rsidRPr="003C35D3">
        <w:tab/>
        <w:t>4. gegebenenfalls in Anwendung von Artikel 194</w:t>
      </w:r>
      <w:r w:rsidRPr="003C35D3">
        <w:rPr>
          <w:i/>
        </w:rPr>
        <w:t>sexies</w:t>
      </w:r>
      <w:r w:rsidRPr="003C35D3">
        <w:t xml:space="preserve"> desselben Gesetzbuches steuerfreie Gewinne, die einerseits den in Nr. 1 erwähnten Betrag nicht übersteigen können und andererseits die Plusdifferenz zwischen dem in Nr. 3 erwähnten Betrag und dem in Nr. 2 erwähnten Betrag nicht übersteigen können,</w:t>
      </w:r>
    </w:p>
    <w:p w14:paraId="2B145459" w14:textId="77777777" w:rsidR="00871DCD" w:rsidRPr="003C35D3" w:rsidRDefault="00871DCD" w:rsidP="00871DCD">
      <w:pPr>
        <w:jc w:val="both"/>
      </w:pPr>
    </w:p>
    <w:p w14:paraId="45F4A3C4" w14:textId="77777777" w:rsidR="00871DCD" w:rsidRPr="003C35D3" w:rsidRDefault="00871DCD" w:rsidP="00871DCD">
      <w:pPr>
        <w:jc w:val="both"/>
      </w:pPr>
      <w:r w:rsidRPr="003C35D3">
        <w:tab/>
        <w:t>5. auf einen folgenden Besteuerungszeitraum vorzutragende nicht als Werbungskosten in Betracht kommende überschüssige Fremdkapitalkosten, die entweder durch Erhöhung des in Nr. 1 erwähnten Betrags um die Plusdifferenz zwischen den in Nr. 2 erwähnten überschüssigen Fremdkapitalkosten und dem in Nr. 3 erwähnten Grenzbetrag oder durch Verringerung des in Nr. 1 erwähnten Betrags um die in Nr. 4 erwähnten steuerfreien Gewinne festgelegt werden.</w:t>
      </w:r>
    </w:p>
    <w:p w14:paraId="553B60FB" w14:textId="6513BBA5" w:rsidR="00871DCD" w:rsidRDefault="00871DCD" w:rsidP="00871DCD">
      <w:pPr>
        <w:jc w:val="both"/>
      </w:pPr>
    </w:p>
    <w:p w14:paraId="41129237" w14:textId="77777777" w:rsidR="00871DCD" w:rsidRPr="003C35D3" w:rsidRDefault="00871DCD" w:rsidP="00871DCD">
      <w:pPr>
        <w:jc w:val="both"/>
      </w:pPr>
    </w:p>
    <w:p w14:paraId="0BF947B4" w14:textId="480C8F40" w:rsidR="00BB442C" w:rsidRDefault="00871DCD" w:rsidP="00871DCD">
      <w:r w:rsidRPr="003C35D3">
        <w:tab/>
      </w:r>
      <w:r w:rsidRPr="00871DCD">
        <w:rPr>
          <w:b/>
        </w:rPr>
        <w:t>Art. 73</w:t>
      </w:r>
      <w:r w:rsidRPr="00871DCD">
        <w:rPr>
          <w:b/>
          <w:vertAlign w:val="superscript"/>
        </w:rPr>
        <w:t>4/14</w:t>
      </w:r>
      <w:r w:rsidRPr="003C35D3">
        <w:t> - Das Muster des in Artikel 198/1 § 5 desselben Gesetzbuches erwähnten Zinsabzugsvertrags wird von dem für Finanzen zuständigen Minister oder seinem Beauftragten festgelegt.</w:t>
      </w:r>
      <w:r>
        <w:t>]</w:t>
      </w:r>
    </w:p>
    <w:p w14:paraId="24E05568" w14:textId="4D393160" w:rsidR="00AA04BB" w:rsidRDefault="00AA04BB" w:rsidP="00871DCD"/>
    <w:p w14:paraId="26280B5D" w14:textId="77777777" w:rsidR="00AA04BB" w:rsidRDefault="00AA04BB" w:rsidP="00871DCD">
      <w:pPr>
        <w:rPr>
          <w:rFonts w:eastAsia="Calibri"/>
          <w:szCs w:val="22"/>
          <w:lang w:eastAsia="de-DE" w:bidi="de-DE"/>
        </w:rPr>
      </w:pPr>
    </w:p>
    <w:p w14:paraId="7BDE5FB7" w14:textId="383B0724" w:rsidR="005A5BD5" w:rsidRPr="00334017" w:rsidRDefault="005A5BD5" w:rsidP="004C2C7D">
      <w:pPr>
        <w:jc w:val="both"/>
        <w:rPr>
          <w:rFonts w:eastAsia="Calibri"/>
          <w:szCs w:val="22"/>
          <w:lang w:eastAsia="de-DE" w:bidi="de-DE"/>
        </w:rPr>
      </w:pPr>
      <w:r w:rsidRPr="00334017">
        <w:rPr>
          <w:rFonts w:eastAsia="Calibri"/>
          <w:szCs w:val="22"/>
          <w:lang w:eastAsia="de-DE" w:bidi="de-DE"/>
        </w:rPr>
        <w:t>[</w:t>
      </w:r>
      <w:r w:rsidRPr="00334017">
        <w:rPr>
          <w:rFonts w:eastAsia="Calibri"/>
          <w:i/>
          <w:szCs w:val="22"/>
          <w:lang w:eastAsia="de-DE" w:bidi="de-DE"/>
        </w:rPr>
        <w:t>Abschnitt 27ter</w:t>
      </w:r>
      <w:r w:rsidRPr="00334017">
        <w:rPr>
          <w:rFonts w:eastAsia="Calibri"/>
          <w:szCs w:val="22"/>
          <w:lang w:eastAsia="de-DE" w:bidi="de-DE"/>
        </w:rPr>
        <w:t> - Investitionsmodalitäten im Rahmen der Investitionsrücklage im Falle einer Einbringung eines Teilbetriebs beziehungsweise eines Teils einer Tätigkeit oder eines Gesamtvermögens und im Falle einer Fusion oder Aufspaltung</w:t>
      </w:r>
    </w:p>
    <w:p w14:paraId="1D0AE75E" w14:textId="77777777" w:rsidR="005A5BD5" w:rsidRPr="00334017" w:rsidRDefault="005A5BD5" w:rsidP="004C2C7D">
      <w:pPr>
        <w:jc w:val="both"/>
        <w:rPr>
          <w:rFonts w:eastAsia="Calibri"/>
          <w:szCs w:val="22"/>
          <w:lang w:eastAsia="de-DE" w:bidi="de-DE"/>
        </w:rPr>
      </w:pPr>
    </w:p>
    <w:p w14:paraId="465ACC9A" w14:textId="77777777" w:rsidR="005A5BD5" w:rsidRPr="00334017" w:rsidRDefault="005A5BD5" w:rsidP="004C2C7D">
      <w:pPr>
        <w:jc w:val="center"/>
        <w:rPr>
          <w:rFonts w:eastAsia="Calibri"/>
          <w:szCs w:val="22"/>
          <w:lang w:eastAsia="de-DE" w:bidi="de-DE"/>
        </w:rPr>
      </w:pPr>
      <w:r w:rsidRPr="00334017">
        <w:rPr>
          <w:rFonts w:eastAsia="Calibri"/>
          <w:szCs w:val="22"/>
          <w:lang w:eastAsia="de-DE" w:bidi="de-DE"/>
        </w:rPr>
        <w:t>(Einkommensteuergesetzbuch 1992, Artikel 194</w:t>
      </w:r>
      <w:r w:rsidRPr="00334017">
        <w:rPr>
          <w:rFonts w:eastAsia="Calibri"/>
          <w:i/>
          <w:szCs w:val="22"/>
          <w:lang w:eastAsia="de-DE" w:bidi="de-DE"/>
        </w:rPr>
        <w:t>quater</w:t>
      </w:r>
      <w:r w:rsidRPr="00334017">
        <w:rPr>
          <w:rFonts w:eastAsia="Calibri"/>
          <w:szCs w:val="22"/>
          <w:lang w:eastAsia="de-DE" w:bidi="de-DE"/>
        </w:rPr>
        <w:t xml:space="preserve"> § 6 Absatz 1)</w:t>
      </w:r>
    </w:p>
    <w:p w14:paraId="2468066A" w14:textId="77777777" w:rsidR="005A5BD5" w:rsidRPr="00334017" w:rsidRDefault="005A5BD5" w:rsidP="004C2C7D">
      <w:pPr>
        <w:jc w:val="both"/>
        <w:rPr>
          <w:rFonts w:eastAsia="Calibri"/>
          <w:szCs w:val="22"/>
          <w:lang w:eastAsia="de-DE" w:bidi="de-DE"/>
        </w:rPr>
      </w:pPr>
    </w:p>
    <w:p w14:paraId="45CADB83"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[Neuer Abschnitt 27ter mit Art. 73</w:t>
      </w:r>
      <w:r w:rsidRPr="00334017">
        <w:rPr>
          <w:rFonts w:eastAsia="Calibri"/>
          <w:i/>
          <w:szCs w:val="22"/>
          <w:vertAlign w:val="superscript"/>
          <w:lang w:eastAsia="de-DE" w:bidi="de-DE"/>
        </w:rPr>
        <w:t>4bis</w:t>
      </w:r>
      <w:r w:rsidRPr="00334017">
        <w:rPr>
          <w:rFonts w:eastAsia="Calibri"/>
          <w:i/>
          <w:szCs w:val="22"/>
          <w:lang w:eastAsia="de-DE" w:bidi="de-DE"/>
        </w:rPr>
        <w:t xml:space="preserve"> eingefügt durch Art. 1 des K.E. vom 6. Februar 2003 (B.S. vom 14. Februar 2003)]</w:t>
      </w:r>
    </w:p>
    <w:p w14:paraId="1254039D" w14:textId="77777777" w:rsidR="005A5BD5" w:rsidRPr="00334017" w:rsidRDefault="005A5BD5" w:rsidP="004C2C7D">
      <w:pPr>
        <w:jc w:val="both"/>
        <w:rPr>
          <w:rFonts w:eastAsia="Calibri"/>
          <w:szCs w:val="22"/>
          <w:lang w:eastAsia="de-DE" w:bidi="de-DE"/>
        </w:rPr>
      </w:pPr>
    </w:p>
    <w:p w14:paraId="3C1B5B67" w14:textId="77777777" w:rsidR="005A5BD5" w:rsidRPr="00334017" w:rsidRDefault="005A5BD5" w:rsidP="004C2C7D">
      <w:pPr>
        <w:jc w:val="both"/>
        <w:rPr>
          <w:rFonts w:eastAsia="Calibri"/>
          <w:szCs w:val="22"/>
          <w:lang w:eastAsia="de-DE" w:bidi="de-DE"/>
        </w:rPr>
      </w:pPr>
    </w:p>
    <w:p w14:paraId="008E4F32"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73</w:t>
      </w:r>
      <w:r w:rsidRPr="00334017">
        <w:rPr>
          <w:rFonts w:eastAsia="Calibri"/>
          <w:b/>
          <w:szCs w:val="22"/>
          <w:vertAlign w:val="superscript"/>
          <w:lang w:eastAsia="de-DE" w:bidi="de-DE"/>
        </w:rPr>
        <w:t>4</w:t>
      </w:r>
      <w:r w:rsidRPr="00334017">
        <w:rPr>
          <w:rFonts w:eastAsia="Calibri"/>
          <w:b/>
          <w:i/>
          <w:szCs w:val="22"/>
          <w:vertAlign w:val="superscript"/>
          <w:lang w:eastAsia="de-DE" w:bidi="de-DE"/>
        </w:rPr>
        <w:t>bis</w:t>
      </w:r>
      <w:r w:rsidRPr="00334017">
        <w:rPr>
          <w:rFonts w:eastAsia="Calibri"/>
          <w:szCs w:val="22"/>
          <w:lang w:eastAsia="de-DE" w:bidi="de-DE"/>
        </w:rPr>
        <w:t> - Im Falle einer in Artikel 46 § 1 Absatz 1 Nr. 2 desselben Gesetzbuches erwähnten Einbringung eines Teilbetriebs beziehungsweise eines Teils einer Tätigkeit oder eines Gesamtvermögens und im Falle eines in Artikel 211 § 1 desselben Gesetzbuches erwähnten Vorgangs darf der Vorgang keine Verlängerung der in Artikel 194</w:t>
      </w:r>
      <w:r w:rsidRPr="00334017">
        <w:rPr>
          <w:rFonts w:eastAsia="Calibri"/>
          <w:i/>
          <w:szCs w:val="22"/>
          <w:lang w:eastAsia="de-DE" w:bidi="de-DE"/>
        </w:rPr>
        <w:t>quater</w:t>
      </w:r>
      <w:r w:rsidRPr="00334017">
        <w:rPr>
          <w:rFonts w:eastAsia="Calibri"/>
          <w:szCs w:val="22"/>
          <w:lang w:eastAsia="de-DE" w:bidi="de-DE"/>
        </w:rPr>
        <w:t xml:space="preserve"> § 3 desselben Gesetzbuches erwähnten ursprünglich vorgesehenen Investitionsfrist zur Folge haben.</w:t>
      </w:r>
    </w:p>
    <w:p w14:paraId="6E80DD4B" w14:textId="77777777" w:rsidR="009A607C" w:rsidRDefault="009A607C" w:rsidP="004C2C7D">
      <w:pPr>
        <w:jc w:val="both"/>
        <w:rPr>
          <w:rFonts w:eastAsia="Calibri"/>
          <w:szCs w:val="22"/>
          <w:lang w:eastAsia="de-DE" w:bidi="de-DE"/>
        </w:rPr>
      </w:pPr>
    </w:p>
    <w:p w14:paraId="60B685EC"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lastRenderedPageBreak/>
        <w:tab/>
        <w:t>Wenn im Falle einer in Absatz 1 erwähnten Einbringung die Bedingungen der Artikel 190 oder 194</w:t>
      </w:r>
      <w:r w:rsidRPr="00334017">
        <w:rPr>
          <w:rFonts w:eastAsia="Calibri"/>
          <w:i/>
          <w:szCs w:val="22"/>
          <w:lang w:eastAsia="de-DE" w:bidi="de-DE"/>
        </w:rPr>
        <w:t>quater</w:t>
      </w:r>
      <w:r w:rsidRPr="00334017">
        <w:rPr>
          <w:rFonts w:eastAsia="Calibri"/>
          <w:szCs w:val="22"/>
          <w:lang w:eastAsia="de-DE" w:bidi="de-DE"/>
        </w:rPr>
        <w:t xml:space="preserve"> desselben Gesetzbuches nicht mehr erfüllt sind, wird der steuerpflichtig gewordene Teil der Investitionsrücklage zu Lasten der einbringenden Gesellschaft besteuert.]</w:t>
      </w:r>
    </w:p>
    <w:p w14:paraId="46D63597" w14:textId="663DC26D" w:rsidR="0078059C" w:rsidRDefault="0078059C">
      <w:pPr>
        <w:rPr>
          <w:rFonts w:eastAsia="Calibri"/>
          <w:szCs w:val="22"/>
          <w:lang w:eastAsia="de-DE" w:bidi="de-DE"/>
        </w:rPr>
      </w:pPr>
    </w:p>
    <w:p w14:paraId="6A58AC6E" w14:textId="77777777" w:rsidR="00E61F2A" w:rsidRDefault="00E61F2A">
      <w:pPr>
        <w:rPr>
          <w:rFonts w:eastAsia="Calibri"/>
          <w:szCs w:val="22"/>
          <w:lang w:eastAsia="de-DE" w:bidi="de-DE"/>
        </w:rPr>
      </w:pPr>
    </w:p>
    <w:p w14:paraId="22D2B33B" w14:textId="017B6D0D" w:rsidR="005A5BD5" w:rsidRPr="00334017" w:rsidRDefault="005A5BD5" w:rsidP="004C2C7D">
      <w:pPr>
        <w:jc w:val="center"/>
        <w:rPr>
          <w:rFonts w:eastAsia="Calibri"/>
          <w:szCs w:val="22"/>
          <w:lang w:eastAsia="de-DE" w:bidi="de-DE"/>
        </w:rPr>
      </w:pPr>
      <w:r w:rsidRPr="00334017">
        <w:rPr>
          <w:rFonts w:eastAsia="Calibri"/>
          <w:szCs w:val="22"/>
          <w:lang w:eastAsia="de-DE" w:bidi="de-DE"/>
        </w:rPr>
        <w:t>[[</w:t>
      </w:r>
      <w:r w:rsidRPr="00334017">
        <w:rPr>
          <w:rFonts w:eastAsia="Calibri"/>
          <w:i/>
          <w:szCs w:val="22"/>
          <w:lang w:eastAsia="de-DE" w:bidi="de-DE"/>
        </w:rPr>
        <w:t>Abschnitt 27quater</w:t>
      </w:r>
      <w:r w:rsidRPr="00334017">
        <w:rPr>
          <w:rFonts w:eastAsia="Calibri"/>
          <w:szCs w:val="22"/>
          <w:lang w:eastAsia="de-DE" w:bidi="de-DE"/>
        </w:rPr>
        <w:t>] - [Definitiv besteuerte Einkünfte</w:t>
      </w:r>
    </w:p>
    <w:p w14:paraId="08329BF4" w14:textId="77777777" w:rsidR="005A5BD5" w:rsidRPr="00334017" w:rsidRDefault="005A5BD5" w:rsidP="004C2C7D">
      <w:pPr>
        <w:jc w:val="center"/>
        <w:rPr>
          <w:rFonts w:eastAsia="Calibri"/>
          <w:szCs w:val="22"/>
          <w:lang w:eastAsia="de-DE" w:bidi="de-DE"/>
        </w:rPr>
      </w:pPr>
    </w:p>
    <w:p w14:paraId="189597FD" w14:textId="77777777" w:rsidR="005A5BD5" w:rsidRPr="00334017" w:rsidRDefault="005A5BD5" w:rsidP="004C2C7D">
      <w:pPr>
        <w:jc w:val="center"/>
        <w:rPr>
          <w:rFonts w:eastAsia="Calibri"/>
          <w:szCs w:val="22"/>
          <w:lang w:eastAsia="de-DE" w:bidi="de-DE"/>
        </w:rPr>
      </w:pPr>
      <w:r w:rsidRPr="00334017">
        <w:rPr>
          <w:rFonts w:eastAsia="Calibri"/>
          <w:szCs w:val="22"/>
          <w:lang w:eastAsia="de-DE" w:bidi="de-DE"/>
        </w:rPr>
        <w:t xml:space="preserve">(Einkommensteuergesetzbuch 1992, </w:t>
      </w:r>
      <w:r w:rsidR="00387A73">
        <w:rPr>
          <w:rFonts w:eastAsia="Calibri"/>
          <w:szCs w:val="22"/>
          <w:lang w:eastAsia="de-DE" w:bidi="de-DE"/>
        </w:rPr>
        <w:t>[</w:t>
      </w:r>
      <w:r w:rsidR="00387A73" w:rsidRPr="00B617CF">
        <w:t>Artikel 203 § 1 Absatz 2</w:t>
      </w:r>
      <w:r w:rsidR="00387A73">
        <w:t>]</w:t>
      </w:r>
      <w:r w:rsidRPr="00334017">
        <w:rPr>
          <w:rFonts w:eastAsia="Calibri"/>
          <w:szCs w:val="22"/>
          <w:lang w:eastAsia="de-DE" w:bidi="de-DE"/>
        </w:rPr>
        <w:t>)]]</w:t>
      </w:r>
    </w:p>
    <w:p w14:paraId="3DF48F2A" w14:textId="77777777" w:rsidR="005A5BD5" w:rsidRPr="00334017" w:rsidRDefault="00387A73" w:rsidP="00387A73">
      <w:pPr>
        <w:tabs>
          <w:tab w:val="left" w:pos="5265"/>
        </w:tabs>
        <w:jc w:val="both"/>
        <w:rPr>
          <w:rFonts w:eastAsia="Calibri"/>
          <w:szCs w:val="22"/>
          <w:lang w:eastAsia="de-DE" w:bidi="de-DE"/>
        </w:rPr>
      </w:pPr>
      <w:r>
        <w:rPr>
          <w:rFonts w:eastAsia="Calibri"/>
          <w:szCs w:val="22"/>
          <w:lang w:eastAsia="de-DE" w:bidi="de-DE"/>
        </w:rPr>
        <w:tab/>
      </w:r>
    </w:p>
    <w:p w14:paraId="6A251852"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[Frühere Unterteilung Abschnitt 27ter eingefügt durch Art. 1 des K.E. vom 29. November 2000 (B.S. vom 23. Dezember 2000) und umnummeriert zu Abschnitt 27quater durch Art. 1 des K.E. vom 6. Februar 2003 (B.S. vom 14. Februar 2003); Überschrift von Abschnitt 27quater ersetzt durch Art. 1 Nr. 1 des K.E. vom 13. Februar 2003 (B.S. vom 21. Februar 2003) und abgeändert durch Art. 1 des K.E. vom 20. Januar 2005 (B.S. vom 1. Februar 2005)</w:t>
      </w:r>
      <w:r w:rsidR="00BF0D65">
        <w:rPr>
          <w:rFonts w:eastAsia="Calibri"/>
          <w:i/>
          <w:szCs w:val="22"/>
          <w:lang w:eastAsia="de-DE" w:bidi="de-DE"/>
        </w:rPr>
        <w:t xml:space="preserve"> und Art. 9 des K.E. vom </w:t>
      </w:r>
      <w:r w:rsidR="005024BD">
        <w:rPr>
          <w:rFonts w:eastAsia="Calibri"/>
          <w:i/>
          <w:szCs w:val="22"/>
          <w:lang w:eastAsia="de-DE" w:bidi="de-DE"/>
        </w:rPr>
        <w:t>22. Mai 2017 (II)</w:t>
      </w:r>
      <w:r w:rsidR="00BF0D65">
        <w:rPr>
          <w:rFonts w:eastAsia="Calibri"/>
          <w:i/>
          <w:szCs w:val="22"/>
          <w:lang w:eastAsia="de-DE" w:bidi="de-DE"/>
        </w:rPr>
        <w:t xml:space="preserve"> (B.S. vom 6. Juni 2017)</w:t>
      </w:r>
      <w:r w:rsidRPr="00334017">
        <w:rPr>
          <w:rFonts w:eastAsia="Calibri"/>
          <w:i/>
          <w:szCs w:val="22"/>
          <w:lang w:eastAsia="de-DE" w:bidi="de-DE"/>
        </w:rPr>
        <w:t>]</w:t>
      </w:r>
    </w:p>
    <w:p w14:paraId="2C22E85E" w14:textId="77777777" w:rsidR="005A5BD5" w:rsidRPr="00334017" w:rsidRDefault="005A5BD5" w:rsidP="004C2C7D">
      <w:pPr>
        <w:jc w:val="both"/>
        <w:rPr>
          <w:rFonts w:eastAsia="Calibri"/>
          <w:szCs w:val="22"/>
          <w:lang w:eastAsia="de-DE" w:bidi="de-DE"/>
        </w:rPr>
      </w:pPr>
    </w:p>
    <w:p w14:paraId="52392B2D" w14:textId="77777777" w:rsidR="005A5BD5" w:rsidRPr="00334017" w:rsidRDefault="005A5BD5" w:rsidP="004C2C7D">
      <w:pPr>
        <w:jc w:val="both"/>
        <w:rPr>
          <w:rFonts w:eastAsia="Calibri"/>
          <w:szCs w:val="22"/>
          <w:lang w:eastAsia="de-DE" w:bidi="de-DE"/>
        </w:rPr>
      </w:pPr>
    </w:p>
    <w:p w14:paraId="763A2CB2"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w:t>
      </w:r>
      <w:r w:rsidRPr="00334017">
        <w:rPr>
          <w:rFonts w:eastAsia="Calibri"/>
          <w:b/>
          <w:szCs w:val="22"/>
          <w:lang w:eastAsia="de-DE" w:bidi="de-DE"/>
        </w:rPr>
        <w:t>Art. 73</w:t>
      </w:r>
      <w:r w:rsidRPr="00334017">
        <w:rPr>
          <w:rFonts w:eastAsia="Calibri"/>
          <w:b/>
          <w:szCs w:val="22"/>
          <w:vertAlign w:val="superscript"/>
          <w:lang w:eastAsia="de-DE" w:bidi="de-DE"/>
        </w:rPr>
        <w:t>4</w:t>
      </w:r>
      <w:r w:rsidRPr="00334017">
        <w:rPr>
          <w:rFonts w:eastAsia="Calibri"/>
          <w:b/>
          <w:i/>
          <w:szCs w:val="22"/>
          <w:vertAlign w:val="superscript"/>
          <w:lang w:eastAsia="de-DE" w:bidi="de-DE"/>
        </w:rPr>
        <w:t>ter</w:t>
      </w:r>
      <w:r w:rsidRPr="00334017">
        <w:rPr>
          <w:rFonts w:eastAsia="Calibri"/>
          <w:szCs w:val="22"/>
          <w:lang w:eastAsia="de-DE" w:bidi="de-DE"/>
        </w:rPr>
        <w:t xml:space="preserve"> - </w:t>
      </w:r>
      <w:r w:rsidR="00BF0D65">
        <w:rPr>
          <w:rFonts w:eastAsia="Calibri"/>
          <w:szCs w:val="22"/>
          <w:lang w:eastAsia="de-DE" w:bidi="de-DE"/>
        </w:rPr>
        <w:t>[…]]</w:t>
      </w:r>
    </w:p>
    <w:p w14:paraId="30D19037" w14:textId="77777777" w:rsidR="005A5BD5" w:rsidRPr="00334017" w:rsidRDefault="005A5BD5" w:rsidP="004C2C7D">
      <w:pPr>
        <w:jc w:val="both"/>
        <w:rPr>
          <w:rFonts w:eastAsia="Calibri"/>
          <w:szCs w:val="22"/>
          <w:lang w:eastAsia="de-DE" w:bidi="de-DE"/>
        </w:rPr>
      </w:pPr>
    </w:p>
    <w:p w14:paraId="72966904"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[Art. 73</w:t>
      </w:r>
      <w:r w:rsidRPr="00334017">
        <w:rPr>
          <w:rFonts w:eastAsia="Calibri"/>
          <w:i/>
          <w:szCs w:val="22"/>
          <w:vertAlign w:val="superscript"/>
          <w:lang w:eastAsia="de-DE" w:bidi="de-DE"/>
        </w:rPr>
        <w:t>4ter</w:t>
      </w:r>
      <w:r w:rsidRPr="00334017">
        <w:rPr>
          <w:rFonts w:eastAsia="Calibri"/>
          <w:i/>
          <w:szCs w:val="22"/>
          <w:lang w:eastAsia="de-DE" w:bidi="de-DE"/>
        </w:rPr>
        <w:t xml:space="preserve"> eingefügt durch Art. 1 des K.E. vom 27. März 2003 (B.S. vom 16. April 2003)</w:t>
      </w:r>
      <w:r w:rsidR="00BF0D65">
        <w:rPr>
          <w:rFonts w:eastAsia="Calibri"/>
          <w:i/>
          <w:szCs w:val="22"/>
          <w:lang w:eastAsia="de-DE" w:bidi="de-DE"/>
        </w:rPr>
        <w:t xml:space="preserve"> und aufgehoben durch Art. 10 des K.E. vom </w:t>
      </w:r>
      <w:r w:rsidR="005024BD">
        <w:rPr>
          <w:rFonts w:eastAsia="Calibri"/>
          <w:i/>
          <w:szCs w:val="22"/>
          <w:lang w:eastAsia="de-DE" w:bidi="de-DE"/>
        </w:rPr>
        <w:t>22. Mai 2017 (II)</w:t>
      </w:r>
      <w:r w:rsidR="00BF0D65">
        <w:rPr>
          <w:rFonts w:eastAsia="Calibri"/>
          <w:i/>
          <w:szCs w:val="22"/>
          <w:lang w:eastAsia="de-DE" w:bidi="de-DE"/>
        </w:rPr>
        <w:t xml:space="preserve"> (B.S. vom 6. Juni 2017)</w:t>
      </w:r>
      <w:r w:rsidRPr="00334017">
        <w:rPr>
          <w:rFonts w:eastAsia="Calibri"/>
          <w:i/>
          <w:szCs w:val="22"/>
          <w:lang w:eastAsia="de-DE" w:bidi="de-DE"/>
        </w:rPr>
        <w:t>]</w:t>
      </w:r>
    </w:p>
    <w:p w14:paraId="0F47B2E5" w14:textId="77777777" w:rsidR="005A5BD5" w:rsidRPr="00334017" w:rsidRDefault="005A5BD5" w:rsidP="004C2C7D">
      <w:pPr>
        <w:jc w:val="both"/>
        <w:rPr>
          <w:rFonts w:eastAsia="Calibri"/>
          <w:szCs w:val="22"/>
          <w:lang w:eastAsia="de-DE" w:bidi="de-DE"/>
        </w:rPr>
      </w:pPr>
    </w:p>
    <w:p w14:paraId="4CA6B928" w14:textId="77777777" w:rsidR="005A5BD5" w:rsidRPr="00334017" w:rsidRDefault="005A5BD5" w:rsidP="004C2C7D">
      <w:pPr>
        <w:jc w:val="both"/>
        <w:rPr>
          <w:rFonts w:eastAsia="Calibri"/>
          <w:szCs w:val="22"/>
          <w:lang w:eastAsia="de-DE" w:bidi="de-DE"/>
        </w:rPr>
      </w:pPr>
    </w:p>
    <w:p w14:paraId="331A15B0"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w:t>
      </w:r>
      <w:r w:rsidRPr="00334017">
        <w:rPr>
          <w:rFonts w:eastAsia="Calibri"/>
          <w:b/>
          <w:szCs w:val="22"/>
          <w:lang w:eastAsia="de-DE" w:bidi="de-DE"/>
        </w:rPr>
        <w:t>Art. 73</w:t>
      </w:r>
      <w:r w:rsidRPr="00334017">
        <w:rPr>
          <w:rFonts w:eastAsia="Calibri"/>
          <w:b/>
          <w:i/>
          <w:szCs w:val="22"/>
          <w:vertAlign w:val="superscript"/>
          <w:lang w:eastAsia="de-DE" w:bidi="de-DE"/>
        </w:rPr>
        <w:t>4quater</w:t>
      </w:r>
      <w:r w:rsidRPr="00334017">
        <w:rPr>
          <w:rFonts w:eastAsia="Calibri"/>
          <w:szCs w:val="22"/>
          <w:lang w:eastAsia="de-DE" w:bidi="de-DE"/>
        </w:rPr>
        <w:t xml:space="preserve"> - Für die Anwendung von </w:t>
      </w:r>
      <w:r w:rsidR="0079785B">
        <w:rPr>
          <w:rFonts w:eastAsia="Calibri"/>
          <w:szCs w:val="22"/>
          <w:lang w:eastAsia="de-DE" w:bidi="de-DE"/>
        </w:rPr>
        <w:t>[</w:t>
      </w:r>
      <w:r w:rsidRPr="00334017">
        <w:rPr>
          <w:rFonts w:eastAsia="Calibri"/>
          <w:szCs w:val="22"/>
          <w:lang w:eastAsia="de-DE" w:bidi="de-DE"/>
        </w:rPr>
        <w:t>Artikel 203 § 1 Absatz </w:t>
      </w:r>
      <w:r w:rsidR="0079785B">
        <w:rPr>
          <w:rFonts w:eastAsia="Calibri"/>
          <w:szCs w:val="22"/>
          <w:lang w:eastAsia="de-DE" w:bidi="de-DE"/>
        </w:rPr>
        <w:t>2]</w:t>
      </w:r>
      <w:r w:rsidRPr="00334017">
        <w:rPr>
          <w:rFonts w:eastAsia="Calibri"/>
          <w:szCs w:val="22"/>
          <w:lang w:eastAsia="de-DE" w:bidi="de-DE"/>
        </w:rPr>
        <w:t xml:space="preserve"> des Einkommensteuergesetzbuches 1992 gelten die in Artikel 203 § 1 Absatz 1 Nr. 1 desselben Gesetzbuches erwähnten Bestimmungen des allgemeinen Rechts in Bezug auf Steuern in den Ländern, die in nachstehender Liste aufgenommen sind, als erheblich vorteilhafter als in Belgien:</w:t>
      </w:r>
    </w:p>
    <w:p w14:paraId="0ABED8D5" w14:textId="77777777" w:rsidR="005A5BD5" w:rsidRPr="00334017" w:rsidRDefault="005A5BD5" w:rsidP="004C2C7D">
      <w:pPr>
        <w:jc w:val="both"/>
        <w:rPr>
          <w:rFonts w:eastAsia="Calibri"/>
          <w:szCs w:val="22"/>
          <w:lang w:eastAsia="de-DE" w:bidi="de-DE"/>
        </w:rPr>
      </w:pPr>
    </w:p>
    <w:p w14:paraId="56911954" w14:textId="77777777" w:rsidR="00B80B6E" w:rsidRPr="00B80B6E" w:rsidRDefault="005A5BD5" w:rsidP="00B80B6E">
      <w:pPr>
        <w:jc w:val="both"/>
        <w:rPr>
          <w:rFonts w:eastAsiaTheme="minorHAnsi"/>
        </w:rPr>
      </w:pPr>
      <w:r w:rsidRPr="00334017">
        <w:rPr>
          <w:rFonts w:eastAsia="Calibri"/>
          <w:szCs w:val="22"/>
          <w:lang w:eastAsia="de-DE" w:bidi="de-DE"/>
        </w:rPr>
        <w:tab/>
        <w:t xml:space="preserve">1. </w:t>
      </w:r>
      <w:r w:rsidR="0079785B">
        <w:rPr>
          <w:rFonts w:eastAsia="Calibri"/>
          <w:szCs w:val="22"/>
          <w:lang w:eastAsia="de-DE" w:bidi="de-DE"/>
        </w:rPr>
        <w:t>[</w:t>
      </w:r>
      <w:r w:rsidR="00B80B6E" w:rsidRPr="00B80B6E">
        <w:t>Abu Dhabi,</w:t>
      </w:r>
    </w:p>
    <w:p w14:paraId="17857CF7" w14:textId="77777777" w:rsidR="00B80B6E" w:rsidRPr="00B80B6E" w:rsidRDefault="00B80B6E" w:rsidP="00B80B6E">
      <w:pPr>
        <w:jc w:val="both"/>
        <w:rPr>
          <w:rFonts w:eastAsiaTheme="minorHAnsi"/>
          <w:lang w:eastAsia="en-US"/>
        </w:rPr>
      </w:pPr>
    </w:p>
    <w:p w14:paraId="7717D436" w14:textId="77777777" w:rsidR="00B80B6E" w:rsidRPr="00B80B6E" w:rsidRDefault="00B80B6E" w:rsidP="00B80B6E">
      <w:pPr>
        <w:jc w:val="both"/>
        <w:rPr>
          <w:rFonts w:eastAsiaTheme="minorHAnsi"/>
        </w:rPr>
      </w:pPr>
      <w:r w:rsidRPr="00B80B6E">
        <w:tab/>
        <w:t>2. Ajman,</w:t>
      </w:r>
    </w:p>
    <w:p w14:paraId="68351C91" w14:textId="77777777" w:rsidR="00B80B6E" w:rsidRPr="00B80B6E" w:rsidRDefault="00B80B6E" w:rsidP="00B80B6E">
      <w:pPr>
        <w:jc w:val="both"/>
        <w:rPr>
          <w:rFonts w:eastAsiaTheme="minorHAnsi"/>
          <w:lang w:eastAsia="en-US"/>
        </w:rPr>
      </w:pPr>
    </w:p>
    <w:p w14:paraId="5895D7BE" w14:textId="77777777" w:rsidR="00B80B6E" w:rsidRPr="00B80B6E" w:rsidRDefault="00B80B6E" w:rsidP="00B80B6E">
      <w:pPr>
        <w:jc w:val="both"/>
        <w:rPr>
          <w:rFonts w:eastAsiaTheme="minorHAnsi"/>
        </w:rPr>
      </w:pPr>
      <w:r w:rsidRPr="00B80B6E">
        <w:tab/>
        <w:t>3. Andorra,</w:t>
      </w:r>
    </w:p>
    <w:p w14:paraId="0782718A" w14:textId="77777777" w:rsidR="00B80B6E" w:rsidRPr="00B80B6E" w:rsidRDefault="00B80B6E" w:rsidP="00B80B6E">
      <w:pPr>
        <w:jc w:val="both"/>
        <w:rPr>
          <w:rFonts w:eastAsiaTheme="minorHAnsi"/>
          <w:lang w:eastAsia="en-US"/>
        </w:rPr>
      </w:pPr>
    </w:p>
    <w:p w14:paraId="324A629F" w14:textId="77777777" w:rsidR="00B80B6E" w:rsidRPr="00B80B6E" w:rsidRDefault="00B80B6E" w:rsidP="00B80B6E">
      <w:pPr>
        <w:jc w:val="both"/>
        <w:rPr>
          <w:rFonts w:eastAsiaTheme="minorHAnsi"/>
        </w:rPr>
      </w:pPr>
      <w:r w:rsidRPr="00B80B6E">
        <w:tab/>
        <w:t>4. Bosnien-Herzegowina,</w:t>
      </w:r>
    </w:p>
    <w:p w14:paraId="6AB63D09" w14:textId="77777777" w:rsidR="00B80B6E" w:rsidRPr="00B80B6E" w:rsidRDefault="00B80B6E" w:rsidP="00B80B6E">
      <w:pPr>
        <w:jc w:val="both"/>
        <w:rPr>
          <w:rFonts w:eastAsiaTheme="minorHAnsi"/>
          <w:lang w:eastAsia="en-US"/>
        </w:rPr>
      </w:pPr>
    </w:p>
    <w:p w14:paraId="6C5062DA" w14:textId="77777777" w:rsidR="00B80B6E" w:rsidRPr="00B80B6E" w:rsidRDefault="00B80B6E" w:rsidP="00B80B6E">
      <w:pPr>
        <w:jc w:val="both"/>
        <w:rPr>
          <w:rFonts w:eastAsiaTheme="minorHAnsi"/>
        </w:rPr>
      </w:pPr>
      <w:r w:rsidRPr="00B80B6E">
        <w:tab/>
        <w:t>5. Dubai,</w:t>
      </w:r>
    </w:p>
    <w:p w14:paraId="62ED2434" w14:textId="77777777" w:rsidR="00B80B6E" w:rsidRPr="00B80B6E" w:rsidRDefault="00B80B6E" w:rsidP="00B80B6E">
      <w:pPr>
        <w:jc w:val="both"/>
        <w:rPr>
          <w:rFonts w:eastAsiaTheme="minorHAnsi"/>
          <w:lang w:eastAsia="en-US"/>
        </w:rPr>
      </w:pPr>
    </w:p>
    <w:p w14:paraId="3E92C505" w14:textId="77777777" w:rsidR="00B80B6E" w:rsidRPr="00B80B6E" w:rsidRDefault="00B80B6E" w:rsidP="00B80B6E">
      <w:pPr>
        <w:jc w:val="both"/>
        <w:rPr>
          <w:rFonts w:eastAsiaTheme="minorHAnsi"/>
        </w:rPr>
      </w:pPr>
      <w:r w:rsidRPr="00B80B6E">
        <w:tab/>
        <w:t>6. Gibraltar,</w:t>
      </w:r>
    </w:p>
    <w:p w14:paraId="1F9D1A66" w14:textId="77777777" w:rsidR="00B80B6E" w:rsidRPr="00B80B6E" w:rsidRDefault="00B80B6E" w:rsidP="00B80B6E">
      <w:pPr>
        <w:jc w:val="both"/>
        <w:rPr>
          <w:rFonts w:eastAsiaTheme="minorHAnsi"/>
          <w:lang w:eastAsia="en-US"/>
        </w:rPr>
      </w:pPr>
    </w:p>
    <w:p w14:paraId="690A7CC4" w14:textId="77777777" w:rsidR="00B80B6E" w:rsidRPr="00B80B6E" w:rsidRDefault="00B80B6E" w:rsidP="00B80B6E">
      <w:pPr>
        <w:jc w:val="both"/>
        <w:rPr>
          <w:rFonts w:eastAsiaTheme="minorHAnsi"/>
        </w:rPr>
      </w:pPr>
      <w:r w:rsidRPr="00B80B6E">
        <w:tab/>
        <w:t>7. Guernsey,</w:t>
      </w:r>
    </w:p>
    <w:p w14:paraId="52615081" w14:textId="77777777" w:rsidR="00B80B6E" w:rsidRPr="00B80B6E" w:rsidRDefault="00B80B6E" w:rsidP="00B80B6E">
      <w:pPr>
        <w:jc w:val="both"/>
        <w:rPr>
          <w:rFonts w:eastAsiaTheme="minorHAnsi"/>
          <w:lang w:eastAsia="en-US"/>
        </w:rPr>
      </w:pPr>
    </w:p>
    <w:p w14:paraId="7A5A54E1" w14:textId="77777777" w:rsidR="00B80B6E" w:rsidRPr="00B80B6E" w:rsidRDefault="00B80B6E" w:rsidP="00B80B6E">
      <w:pPr>
        <w:jc w:val="both"/>
        <w:rPr>
          <w:rFonts w:eastAsiaTheme="minorHAnsi"/>
        </w:rPr>
      </w:pPr>
      <w:r w:rsidRPr="00B80B6E">
        <w:tab/>
        <w:t>8. Jersey,</w:t>
      </w:r>
    </w:p>
    <w:p w14:paraId="76772AC7" w14:textId="77777777" w:rsidR="00B80B6E" w:rsidRPr="00B80B6E" w:rsidRDefault="00B80B6E" w:rsidP="00B80B6E">
      <w:pPr>
        <w:jc w:val="both"/>
        <w:rPr>
          <w:rFonts w:eastAsiaTheme="minorHAnsi"/>
          <w:lang w:eastAsia="en-US"/>
        </w:rPr>
      </w:pPr>
    </w:p>
    <w:p w14:paraId="54B11BFD" w14:textId="77777777" w:rsidR="00B80B6E" w:rsidRPr="00B80B6E" w:rsidRDefault="00B80B6E" w:rsidP="00B80B6E">
      <w:pPr>
        <w:jc w:val="both"/>
        <w:rPr>
          <w:rFonts w:eastAsiaTheme="minorHAnsi"/>
        </w:rPr>
      </w:pPr>
      <w:r w:rsidRPr="00B80B6E">
        <w:tab/>
        <w:t>9. Kirgisistan,</w:t>
      </w:r>
    </w:p>
    <w:p w14:paraId="298B90F4" w14:textId="77777777" w:rsidR="00B80B6E" w:rsidRPr="00B80B6E" w:rsidRDefault="00B80B6E" w:rsidP="00B80B6E">
      <w:pPr>
        <w:jc w:val="both"/>
        <w:rPr>
          <w:rFonts w:eastAsiaTheme="minorHAnsi"/>
          <w:lang w:eastAsia="en-US"/>
        </w:rPr>
      </w:pPr>
    </w:p>
    <w:p w14:paraId="6A44A486" w14:textId="77777777" w:rsidR="00B80B6E" w:rsidRPr="00B80B6E" w:rsidRDefault="00B80B6E" w:rsidP="00B80B6E">
      <w:pPr>
        <w:jc w:val="both"/>
        <w:rPr>
          <w:rFonts w:eastAsiaTheme="minorHAnsi"/>
        </w:rPr>
      </w:pPr>
      <w:r w:rsidRPr="00B80B6E">
        <w:tab/>
        <w:t>10. Kuwait,</w:t>
      </w:r>
    </w:p>
    <w:p w14:paraId="6668983F" w14:textId="77777777" w:rsidR="00B80B6E" w:rsidRPr="00B80B6E" w:rsidRDefault="00B80B6E" w:rsidP="00B80B6E">
      <w:pPr>
        <w:jc w:val="both"/>
        <w:rPr>
          <w:rFonts w:eastAsiaTheme="minorHAnsi"/>
          <w:lang w:eastAsia="en-US"/>
        </w:rPr>
      </w:pPr>
    </w:p>
    <w:p w14:paraId="55A5947C" w14:textId="77777777" w:rsidR="00B80B6E" w:rsidRPr="00B80B6E" w:rsidRDefault="00B80B6E" w:rsidP="00B80B6E">
      <w:pPr>
        <w:jc w:val="both"/>
        <w:rPr>
          <w:rFonts w:eastAsiaTheme="minorHAnsi"/>
        </w:rPr>
      </w:pPr>
      <w:r w:rsidRPr="00B80B6E">
        <w:lastRenderedPageBreak/>
        <w:tab/>
        <w:t>11. Kosovo,</w:t>
      </w:r>
    </w:p>
    <w:p w14:paraId="4C3E2C97" w14:textId="77777777" w:rsidR="00B80B6E" w:rsidRPr="00B80B6E" w:rsidRDefault="00B80B6E" w:rsidP="00B80B6E">
      <w:pPr>
        <w:jc w:val="both"/>
        <w:rPr>
          <w:rFonts w:eastAsiaTheme="minorHAnsi"/>
          <w:lang w:eastAsia="en-US"/>
        </w:rPr>
      </w:pPr>
    </w:p>
    <w:p w14:paraId="08418B01" w14:textId="77777777" w:rsidR="00B80B6E" w:rsidRPr="00B80B6E" w:rsidRDefault="00B80B6E" w:rsidP="00B80B6E">
      <w:pPr>
        <w:jc w:val="both"/>
        <w:rPr>
          <w:rFonts w:eastAsiaTheme="minorHAnsi"/>
        </w:rPr>
      </w:pPr>
      <w:r w:rsidRPr="00B80B6E">
        <w:tab/>
        <w:t>12. Liechtenstein,</w:t>
      </w:r>
    </w:p>
    <w:p w14:paraId="557E594A" w14:textId="77777777" w:rsidR="00B80B6E" w:rsidRPr="00B80B6E" w:rsidRDefault="00B80B6E" w:rsidP="00B80B6E">
      <w:pPr>
        <w:jc w:val="both"/>
        <w:rPr>
          <w:rFonts w:eastAsiaTheme="minorHAnsi"/>
          <w:lang w:eastAsia="en-US"/>
        </w:rPr>
      </w:pPr>
    </w:p>
    <w:p w14:paraId="6B344100" w14:textId="77777777" w:rsidR="00B80B6E" w:rsidRPr="00B80B6E" w:rsidRDefault="00B80B6E" w:rsidP="00B80B6E">
      <w:pPr>
        <w:jc w:val="both"/>
        <w:rPr>
          <w:rFonts w:eastAsiaTheme="minorHAnsi"/>
        </w:rPr>
      </w:pPr>
      <w:r w:rsidRPr="00B80B6E">
        <w:tab/>
        <w:t>13. Macau,</w:t>
      </w:r>
    </w:p>
    <w:p w14:paraId="4EAE8407" w14:textId="77777777" w:rsidR="00B80B6E" w:rsidRPr="00B80B6E" w:rsidRDefault="00B80B6E" w:rsidP="00B80B6E">
      <w:pPr>
        <w:jc w:val="both"/>
        <w:rPr>
          <w:rFonts w:eastAsiaTheme="minorHAnsi"/>
          <w:lang w:eastAsia="en-US"/>
        </w:rPr>
      </w:pPr>
    </w:p>
    <w:p w14:paraId="180BD118" w14:textId="77777777" w:rsidR="00B80B6E" w:rsidRPr="00B80B6E" w:rsidRDefault="00B80B6E" w:rsidP="00B80B6E">
      <w:pPr>
        <w:jc w:val="both"/>
        <w:rPr>
          <w:rFonts w:eastAsiaTheme="minorHAnsi"/>
        </w:rPr>
      </w:pPr>
      <w:r w:rsidRPr="00B80B6E">
        <w:tab/>
        <w:t>14. Mazedonien,</w:t>
      </w:r>
    </w:p>
    <w:p w14:paraId="18614350" w14:textId="77777777" w:rsidR="00B80B6E" w:rsidRPr="00B80B6E" w:rsidRDefault="00B80B6E" w:rsidP="00B80B6E">
      <w:pPr>
        <w:jc w:val="both"/>
        <w:rPr>
          <w:rFonts w:eastAsiaTheme="minorHAnsi"/>
          <w:lang w:eastAsia="en-US"/>
        </w:rPr>
      </w:pPr>
    </w:p>
    <w:p w14:paraId="66601360" w14:textId="77777777" w:rsidR="00B80B6E" w:rsidRPr="00B80B6E" w:rsidRDefault="00B80B6E" w:rsidP="00B80B6E">
      <w:pPr>
        <w:jc w:val="both"/>
        <w:rPr>
          <w:rFonts w:eastAsiaTheme="minorHAnsi"/>
        </w:rPr>
      </w:pPr>
      <w:r w:rsidRPr="00B80B6E">
        <w:tab/>
        <w:t>15. Malediven,</w:t>
      </w:r>
    </w:p>
    <w:p w14:paraId="0ED43660" w14:textId="77777777" w:rsidR="00B80B6E" w:rsidRPr="00B80B6E" w:rsidRDefault="00B80B6E" w:rsidP="00B80B6E">
      <w:pPr>
        <w:jc w:val="both"/>
        <w:rPr>
          <w:rFonts w:eastAsiaTheme="minorHAnsi"/>
          <w:lang w:eastAsia="en-US"/>
        </w:rPr>
      </w:pPr>
    </w:p>
    <w:p w14:paraId="7E36B4F2" w14:textId="77777777" w:rsidR="00B80B6E" w:rsidRPr="00B80B6E" w:rsidRDefault="00B80B6E" w:rsidP="00B80B6E">
      <w:pPr>
        <w:jc w:val="both"/>
        <w:rPr>
          <w:rFonts w:eastAsiaTheme="minorHAnsi"/>
        </w:rPr>
      </w:pPr>
      <w:r w:rsidRPr="00B80B6E">
        <w:tab/>
        <w:t>16. Insel Man,</w:t>
      </w:r>
    </w:p>
    <w:p w14:paraId="13C8B156" w14:textId="77777777" w:rsidR="00B80B6E" w:rsidRPr="00B80B6E" w:rsidRDefault="00B80B6E" w:rsidP="00B80B6E">
      <w:pPr>
        <w:jc w:val="both"/>
        <w:rPr>
          <w:rFonts w:eastAsiaTheme="minorHAnsi"/>
          <w:lang w:eastAsia="en-US"/>
        </w:rPr>
      </w:pPr>
    </w:p>
    <w:p w14:paraId="1547E8D1" w14:textId="77777777" w:rsidR="00B80B6E" w:rsidRPr="00B80B6E" w:rsidRDefault="00B80B6E" w:rsidP="00B80B6E">
      <w:pPr>
        <w:jc w:val="both"/>
        <w:rPr>
          <w:rFonts w:eastAsiaTheme="minorHAnsi"/>
        </w:rPr>
      </w:pPr>
      <w:r w:rsidRPr="00B80B6E">
        <w:tab/>
        <w:t>17. Marshallinseln,</w:t>
      </w:r>
    </w:p>
    <w:p w14:paraId="02BB52BA" w14:textId="77777777" w:rsidR="00B80B6E" w:rsidRPr="00B80B6E" w:rsidRDefault="00B80B6E" w:rsidP="00B80B6E">
      <w:pPr>
        <w:jc w:val="both"/>
        <w:rPr>
          <w:rFonts w:eastAsiaTheme="minorHAnsi"/>
          <w:lang w:eastAsia="en-US"/>
        </w:rPr>
      </w:pPr>
    </w:p>
    <w:p w14:paraId="676150E8" w14:textId="77777777" w:rsidR="00B80B6E" w:rsidRPr="00B80B6E" w:rsidRDefault="00B80B6E" w:rsidP="00B80B6E">
      <w:pPr>
        <w:jc w:val="both"/>
        <w:rPr>
          <w:rFonts w:eastAsiaTheme="minorHAnsi"/>
        </w:rPr>
      </w:pPr>
      <w:r w:rsidRPr="00B80B6E">
        <w:tab/>
        <w:t>18. Mikronesien (Föderierte Staaten von ...),</w:t>
      </w:r>
    </w:p>
    <w:p w14:paraId="1B69BBFD" w14:textId="77777777" w:rsidR="00B80B6E" w:rsidRPr="00B80B6E" w:rsidRDefault="00B80B6E" w:rsidP="00B80B6E">
      <w:pPr>
        <w:jc w:val="both"/>
        <w:rPr>
          <w:rFonts w:eastAsiaTheme="minorHAnsi"/>
          <w:lang w:eastAsia="en-US"/>
        </w:rPr>
      </w:pPr>
    </w:p>
    <w:p w14:paraId="425D8C03" w14:textId="77777777" w:rsidR="00B80B6E" w:rsidRPr="00C949AA" w:rsidRDefault="00B80B6E" w:rsidP="00B80B6E">
      <w:pPr>
        <w:jc w:val="both"/>
        <w:rPr>
          <w:rFonts w:eastAsiaTheme="minorHAnsi"/>
          <w:lang w:val="es-ES"/>
        </w:rPr>
      </w:pPr>
      <w:r w:rsidRPr="00B80B6E">
        <w:tab/>
      </w:r>
      <w:r w:rsidRPr="00C949AA">
        <w:rPr>
          <w:lang w:val="es-ES"/>
        </w:rPr>
        <w:t>19. Moldau,</w:t>
      </w:r>
    </w:p>
    <w:p w14:paraId="19D12449" w14:textId="77777777" w:rsidR="00B80B6E" w:rsidRPr="00C949AA" w:rsidRDefault="00B80B6E" w:rsidP="00B80B6E">
      <w:pPr>
        <w:jc w:val="both"/>
        <w:rPr>
          <w:rFonts w:eastAsiaTheme="minorHAnsi"/>
          <w:lang w:val="es-ES" w:eastAsia="en-US"/>
        </w:rPr>
      </w:pPr>
    </w:p>
    <w:p w14:paraId="0769CC28" w14:textId="77777777" w:rsidR="00B80B6E" w:rsidRPr="00C949AA" w:rsidRDefault="00B80B6E" w:rsidP="00B80B6E">
      <w:pPr>
        <w:jc w:val="both"/>
        <w:rPr>
          <w:rFonts w:eastAsiaTheme="minorHAnsi"/>
          <w:lang w:val="es-ES"/>
        </w:rPr>
      </w:pPr>
      <w:r w:rsidRPr="00C949AA">
        <w:rPr>
          <w:lang w:val="es-ES"/>
        </w:rPr>
        <w:tab/>
        <w:t>20. Monaco,</w:t>
      </w:r>
    </w:p>
    <w:p w14:paraId="00C9C086" w14:textId="77777777" w:rsidR="00B80B6E" w:rsidRPr="00C949AA" w:rsidRDefault="00B80B6E" w:rsidP="00B80B6E">
      <w:pPr>
        <w:jc w:val="both"/>
        <w:rPr>
          <w:rFonts w:eastAsiaTheme="minorHAnsi"/>
          <w:lang w:val="es-ES" w:eastAsia="en-US"/>
        </w:rPr>
      </w:pPr>
    </w:p>
    <w:p w14:paraId="56EB8BAD" w14:textId="77777777" w:rsidR="00B80B6E" w:rsidRPr="00C949AA" w:rsidRDefault="00B80B6E" w:rsidP="00B80B6E">
      <w:pPr>
        <w:jc w:val="both"/>
        <w:rPr>
          <w:rFonts w:eastAsiaTheme="minorHAnsi"/>
          <w:lang w:val="es-ES"/>
        </w:rPr>
      </w:pPr>
      <w:r w:rsidRPr="00C949AA">
        <w:rPr>
          <w:lang w:val="es-ES"/>
        </w:rPr>
        <w:tab/>
        <w:t>21. Montenegro,</w:t>
      </w:r>
    </w:p>
    <w:p w14:paraId="255A5221" w14:textId="77777777" w:rsidR="00B80B6E" w:rsidRPr="00C949AA" w:rsidRDefault="00B80B6E" w:rsidP="00B80B6E">
      <w:pPr>
        <w:jc w:val="both"/>
        <w:rPr>
          <w:rFonts w:eastAsiaTheme="minorHAnsi"/>
          <w:lang w:val="es-ES" w:eastAsia="en-US"/>
        </w:rPr>
      </w:pPr>
    </w:p>
    <w:p w14:paraId="150D789C" w14:textId="77777777" w:rsidR="00B80B6E" w:rsidRPr="00C949AA" w:rsidRDefault="00B80B6E" w:rsidP="00B80B6E">
      <w:pPr>
        <w:jc w:val="both"/>
        <w:rPr>
          <w:rFonts w:eastAsiaTheme="minorHAnsi"/>
          <w:lang w:val="es-ES"/>
        </w:rPr>
      </w:pPr>
      <w:r w:rsidRPr="00C949AA">
        <w:rPr>
          <w:lang w:val="es-ES"/>
        </w:rPr>
        <w:tab/>
        <w:t>22. Oman,</w:t>
      </w:r>
    </w:p>
    <w:p w14:paraId="40D8AA20" w14:textId="77777777" w:rsidR="00B80B6E" w:rsidRPr="00C949AA" w:rsidRDefault="00B80B6E" w:rsidP="00B80B6E">
      <w:pPr>
        <w:jc w:val="both"/>
        <w:rPr>
          <w:rFonts w:eastAsiaTheme="minorHAnsi"/>
          <w:lang w:val="es-ES" w:eastAsia="en-US"/>
        </w:rPr>
      </w:pPr>
    </w:p>
    <w:p w14:paraId="530362F8" w14:textId="77777777" w:rsidR="00B80B6E" w:rsidRPr="00C949AA" w:rsidRDefault="00B80B6E" w:rsidP="00B80B6E">
      <w:pPr>
        <w:jc w:val="both"/>
        <w:rPr>
          <w:rFonts w:eastAsiaTheme="minorHAnsi"/>
          <w:lang w:val="es-ES"/>
        </w:rPr>
      </w:pPr>
      <w:r w:rsidRPr="00C949AA">
        <w:rPr>
          <w:lang w:val="es-ES"/>
        </w:rPr>
        <w:tab/>
        <w:t>23. Usbekistan,</w:t>
      </w:r>
    </w:p>
    <w:p w14:paraId="43F899A9" w14:textId="77777777" w:rsidR="00B80B6E" w:rsidRPr="00C949AA" w:rsidRDefault="00B80B6E" w:rsidP="00B80B6E">
      <w:pPr>
        <w:jc w:val="both"/>
        <w:rPr>
          <w:rFonts w:eastAsiaTheme="minorHAnsi"/>
          <w:lang w:val="es-ES" w:eastAsia="en-US"/>
        </w:rPr>
      </w:pPr>
    </w:p>
    <w:p w14:paraId="332BD2DE" w14:textId="77777777" w:rsidR="00B80B6E" w:rsidRPr="00C949AA" w:rsidRDefault="00B80B6E" w:rsidP="00B80B6E">
      <w:pPr>
        <w:jc w:val="both"/>
        <w:rPr>
          <w:rFonts w:eastAsiaTheme="minorHAnsi"/>
          <w:lang w:val="es-ES"/>
        </w:rPr>
      </w:pPr>
      <w:r w:rsidRPr="00C949AA">
        <w:rPr>
          <w:lang w:val="es-ES"/>
        </w:rPr>
        <w:tab/>
        <w:t>24. Paraguay,</w:t>
      </w:r>
    </w:p>
    <w:p w14:paraId="33456CC2" w14:textId="77777777" w:rsidR="00B80B6E" w:rsidRPr="00C949AA" w:rsidRDefault="00B80B6E" w:rsidP="00B80B6E">
      <w:pPr>
        <w:jc w:val="both"/>
        <w:rPr>
          <w:rFonts w:eastAsiaTheme="minorHAnsi"/>
          <w:lang w:val="es-ES" w:eastAsia="en-US"/>
        </w:rPr>
      </w:pPr>
    </w:p>
    <w:p w14:paraId="096A2DB7" w14:textId="77777777" w:rsidR="00B80B6E" w:rsidRPr="00C949AA" w:rsidRDefault="00B80B6E" w:rsidP="00B80B6E">
      <w:pPr>
        <w:jc w:val="both"/>
        <w:rPr>
          <w:rFonts w:eastAsiaTheme="minorHAnsi"/>
          <w:lang w:val="sv-SE"/>
        </w:rPr>
      </w:pPr>
      <w:r w:rsidRPr="00C949AA">
        <w:rPr>
          <w:lang w:val="es-ES"/>
        </w:rPr>
        <w:tab/>
      </w:r>
      <w:r w:rsidRPr="00C949AA">
        <w:rPr>
          <w:lang w:val="sv-SE"/>
        </w:rPr>
        <w:t>25. Katar,</w:t>
      </w:r>
    </w:p>
    <w:p w14:paraId="496873C9" w14:textId="77777777" w:rsidR="00B80B6E" w:rsidRPr="00C949AA" w:rsidRDefault="00B80B6E" w:rsidP="00B80B6E">
      <w:pPr>
        <w:jc w:val="both"/>
        <w:rPr>
          <w:rFonts w:eastAsiaTheme="minorHAnsi"/>
          <w:lang w:val="sv-SE" w:eastAsia="en-US"/>
        </w:rPr>
      </w:pPr>
    </w:p>
    <w:p w14:paraId="472EC999" w14:textId="77777777" w:rsidR="00B80B6E" w:rsidRPr="00C949AA" w:rsidRDefault="00B80B6E" w:rsidP="00B80B6E">
      <w:pPr>
        <w:jc w:val="both"/>
        <w:rPr>
          <w:rFonts w:eastAsiaTheme="minorHAnsi"/>
          <w:lang w:val="sv-SE"/>
        </w:rPr>
      </w:pPr>
      <w:r w:rsidRPr="00C949AA">
        <w:rPr>
          <w:lang w:val="sv-SE"/>
        </w:rPr>
        <w:tab/>
        <w:t>26. Ras al Khaimah,</w:t>
      </w:r>
    </w:p>
    <w:p w14:paraId="68F8DBC7" w14:textId="77777777" w:rsidR="00B80B6E" w:rsidRPr="00C949AA" w:rsidRDefault="00B80B6E" w:rsidP="00B80B6E">
      <w:pPr>
        <w:jc w:val="both"/>
        <w:rPr>
          <w:rFonts w:eastAsiaTheme="minorHAnsi"/>
          <w:lang w:val="sv-SE" w:eastAsia="en-US"/>
        </w:rPr>
      </w:pPr>
    </w:p>
    <w:p w14:paraId="2E146265" w14:textId="77777777" w:rsidR="00B80B6E" w:rsidRPr="00C949AA" w:rsidRDefault="00B80B6E" w:rsidP="00B80B6E">
      <w:pPr>
        <w:jc w:val="both"/>
        <w:rPr>
          <w:rFonts w:eastAsiaTheme="minorHAnsi"/>
          <w:lang w:val="sv-SE"/>
        </w:rPr>
      </w:pPr>
      <w:r w:rsidRPr="00C949AA">
        <w:rPr>
          <w:lang w:val="sv-SE"/>
        </w:rPr>
        <w:tab/>
        <w:t>27. Serbien,</w:t>
      </w:r>
    </w:p>
    <w:p w14:paraId="5F0F9541" w14:textId="77777777" w:rsidR="00B80B6E" w:rsidRPr="00C949AA" w:rsidRDefault="00B80B6E" w:rsidP="00B80B6E">
      <w:pPr>
        <w:jc w:val="both"/>
        <w:rPr>
          <w:rFonts w:eastAsiaTheme="minorHAnsi"/>
          <w:lang w:val="sv-SE" w:eastAsia="en-US"/>
        </w:rPr>
      </w:pPr>
    </w:p>
    <w:p w14:paraId="73DDD346" w14:textId="77777777" w:rsidR="00B80B6E" w:rsidRPr="00C949AA" w:rsidRDefault="00B80B6E" w:rsidP="00B80B6E">
      <w:pPr>
        <w:jc w:val="both"/>
        <w:rPr>
          <w:rFonts w:eastAsiaTheme="minorHAnsi"/>
          <w:lang w:val="sv-SE"/>
        </w:rPr>
      </w:pPr>
      <w:r w:rsidRPr="00C949AA">
        <w:rPr>
          <w:lang w:val="sv-SE"/>
        </w:rPr>
        <w:tab/>
        <w:t>28. Sharjah,</w:t>
      </w:r>
    </w:p>
    <w:p w14:paraId="1FFF1D84" w14:textId="77777777" w:rsidR="00B80B6E" w:rsidRPr="00C949AA" w:rsidRDefault="00B80B6E" w:rsidP="00B80B6E">
      <w:pPr>
        <w:jc w:val="both"/>
        <w:rPr>
          <w:rFonts w:eastAsiaTheme="minorHAnsi"/>
          <w:lang w:val="sv-SE" w:eastAsia="en-US"/>
        </w:rPr>
      </w:pPr>
    </w:p>
    <w:p w14:paraId="191C18D0" w14:textId="77777777" w:rsidR="00B80B6E" w:rsidRPr="00C949AA" w:rsidRDefault="00B80B6E" w:rsidP="00B80B6E">
      <w:pPr>
        <w:jc w:val="both"/>
        <w:rPr>
          <w:rFonts w:eastAsiaTheme="minorHAnsi"/>
          <w:lang w:val="sv-SE"/>
        </w:rPr>
      </w:pPr>
      <w:r w:rsidRPr="00C949AA">
        <w:rPr>
          <w:lang w:val="sv-SE"/>
        </w:rPr>
        <w:tab/>
        <w:t>29. Osttimor,</w:t>
      </w:r>
    </w:p>
    <w:p w14:paraId="65F09E74" w14:textId="77777777" w:rsidR="00B80B6E" w:rsidRPr="00C949AA" w:rsidRDefault="00B80B6E" w:rsidP="00B80B6E">
      <w:pPr>
        <w:jc w:val="both"/>
        <w:rPr>
          <w:rFonts w:eastAsiaTheme="minorHAnsi"/>
          <w:lang w:val="sv-SE" w:eastAsia="en-US"/>
        </w:rPr>
      </w:pPr>
    </w:p>
    <w:p w14:paraId="5AFBBF80" w14:textId="77777777" w:rsidR="00B80B6E" w:rsidRPr="00C949AA" w:rsidRDefault="00B80B6E" w:rsidP="00B80B6E">
      <w:pPr>
        <w:jc w:val="both"/>
        <w:rPr>
          <w:rFonts w:eastAsiaTheme="minorHAnsi"/>
          <w:lang w:val="sv-SE"/>
        </w:rPr>
      </w:pPr>
      <w:r w:rsidRPr="00C949AA">
        <w:rPr>
          <w:lang w:val="sv-SE"/>
        </w:rPr>
        <w:tab/>
        <w:t>30. Turkmenistan,</w:t>
      </w:r>
    </w:p>
    <w:p w14:paraId="06EE78E8" w14:textId="77777777" w:rsidR="00B80B6E" w:rsidRPr="00C949AA" w:rsidRDefault="00B80B6E" w:rsidP="00B80B6E">
      <w:pPr>
        <w:jc w:val="both"/>
        <w:rPr>
          <w:rFonts w:eastAsiaTheme="minorHAnsi"/>
          <w:lang w:val="sv-SE" w:eastAsia="en-US"/>
        </w:rPr>
      </w:pPr>
    </w:p>
    <w:p w14:paraId="05A102E0" w14:textId="77777777" w:rsidR="005A5BD5" w:rsidRPr="00C949AA" w:rsidRDefault="00B80B6E" w:rsidP="00B80B6E">
      <w:pPr>
        <w:jc w:val="both"/>
        <w:rPr>
          <w:rFonts w:eastAsia="Calibri"/>
          <w:szCs w:val="22"/>
          <w:lang w:val="sv-SE" w:eastAsia="de-DE" w:bidi="de-DE"/>
        </w:rPr>
      </w:pPr>
      <w:r w:rsidRPr="00C949AA">
        <w:rPr>
          <w:lang w:val="sv-SE"/>
        </w:rPr>
        <w:tab/>
        <w:t>31. Umm al Qaiwain.</w:t>
      </w:r>
      <w:r w:rsidR="0079785B" w:rsidRPr="00C949AA">
        <w:rPr>
          <w:rFonts w:eastAsia="Calibri"/>
          <w:szCs w:val="22"/>
          <w:lang w:val="sv-SE" w:eastAsia="de-DE" w:bidi="de-DE"/>
        </w:rPr>
        <w:t>]</w:t>
      </w:r>
      <w:r w:rsidR="005A5BD5" w:rsidRPr="00C949AA">
        <w:rPr>
          <w:rFonts w:eastAsia="Calibri"/>
          <w:szCs w:val="22"/>
          <w:lang w:val="sv-SE" w:eastAsia="de-DE" w:bidi="de-DE"/>
        </w:rPr>
        <w:t>]</w:t>
      </w:r>
    </w:p>
    <w:p w14:paraId="0CF7ED65" w14:textId="77777777" w:rsidR="005A5BD5" w:rsidRPr="00C949AA" w:rsidRDefault="005A5BD5" w:rsidP="004C2C7D">
      <w:pPr>
        <w:jc w:val="both"/>
        <w:rPr>
          <w:rFonts w:eastAsia="Calibri"/>
          <w:szCs w:val="22"/>
          <w:lang w:val="sv-SE" w:eastAsia="de-DE" w:bidi="de-DE"/>
        </w:rPr>
      </w:pPr>
    </w:p>
    <w:p w14:paraId="1E5B0101"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[Art. 73</w:t>
      </w:r>
      <w:r w:rsidRPr="00334017">
        <w:rPr>
          <w:rFonts w:eastAsia="Calibri"/>
          <w:i/>
          <w:szCs w:val="22"/>
          <w:vertAlign w:val="superscript"/>
          <w:lang w:eastAsia="de-DE" w:bidi="de-DE"/>
        </w:rPr>
        <w:t>4quater</w:t>
      </w:r>
      <w:r w:rsidRPr="00334017">
        <w:rPr>
          <w:rFonts w:eastAsia="Calibri"/>
          <w:i/>
          <w:szCs w:val="22"/>
          <w:lang w:eastAsia="de-DE" w:bidi="de-DE"/>
        </w:rPr>
        <w:t xml:space="preserve"> eingefügt durch Art. 1 Nr. 2 des K.E. vom 13. Februar 2003 (B.S. vom 21. Februar 2003, Err. vom 7. März 2003); </w:t>
      </w:r>
      <w:r w:rsidR="00B80B6E">
        <w:rPr>
          <w:rFonts w:eastAsia="Calibri"/>
          <w:i/>
          <w:szCs w:val="22"/>
          <w:lang w:eastAsia="de-DE" w:bidi="de-DE"/>
        </w:rPr>
        <w:t>einziger Absatz einleitende Bestimmung abgeändert durch Art. 1 Buchstabe a) des K.E. vom 1. März 2016</w:t>
      </w:r>
      <w:r w:rsidR="006273A7">
        <w:rPr>
          <w:rFonts w:eastAsia="Calibri"/>
          <w:i/>
          <w:szCs w:val="22"/>
          <w:lang w:eastAsia="de-DE" w:bidi="de-DE"/>
        </w:rPr>
        <w:t xml:space="preserve"> (I)</w:t>
      </w:r>
      <w:r w:rsidR="00B80B6E">
        <w:rPr>
          <w:rFonts w:eastAsia="Calibri"/>
          <w:i/>
          <w:szCs w:val="22"/>
          <w:lang w:eastAsia="de-DE" w:bidi="de-DE"/>
        </w:rPr>
        <w:t xml:space="preserve"> (B.S. vom 10. März 2016); einziger Absatz frühere Nummer</w:t>
      </w:r>
      <w:r w:rsidR="00D870AD">
        <w:rPr>
          <w:rFonts w:eastAsia="Calibri"/>
          <w:i/>
          <w:szCs w:val="22"/>
          <w:lang w:eastAsia="de-DE" w:bidi="de-DE"/>
        </w:rPr>
        <w:t>n</w:t>
      </w:r>
      <w:r w:rsidR="00B80B6E">
        <w:rPr>
          <w:rFonts w:eastAsia="Calibri"/>
          <w:i/>
          <w:szCs w:val="22"/>
          <w:lang w:eastAsia="de-DE" w:bidi="de-DE"/>
        </w:rPr>
        <w:t xml:space="preserve"> 1 bis 53 ersetzt durch N</w:t>
      </w:r>
      <w:r w:rsidR="00D870AD">
        <w:rPr>
          <w:rFonts w:eastAsia="Calibri"/>
          <w:i/>
          <w:szCs w:val="22"/>
          <w:lang w:eastAsia="de-DE" w:bidi="de-DE"/>
        </w:rPr>
        <w:t>r. </w:t>
      </w:r>
      <w:r w:rsidR="00B80B6E">
        <w:rPr>
          <w:rFonts w:eastAsia="Calibri"/>
          <w:i/>
          <w:szCs w:val="22"/>
          <w:lang w:eastAsia="de-DE" w:bidi="de-DE"/>
        </w:rPr>
        <w:t xml:space="preserve">1 bis 31 durch Art. 1 Buchstabe b) des K.E. vom 1. März 2016 </w:t>
      </w:r>
      <w:r w:rsidR="006273A7">
        <w:rPr>
          <w:rFonts w:eastAsia="Calibri"/>
          <w:i/>
          <w:szCs w:val="22"/>
          <w:lang w:eastAsia="de-DE" w:bidi="de-DE"/>
        </w:rPr>
        <w:t xml:space="preserve">(I) </w:t>
      </w:r>
      <w:r w:rsidR="00B80B6E">
        <w:rPr>
          <w:rFonts w:eastAsia="Calibri"/>
          <w:i/>
          <w:szCs w:val="22"/>
          <w:lang w:eastAsia="de-DE" w:bidi="de-DE"/>
        </w:rPr>
        <w:t>(B.S. vom 10. März 2016)</w:t>
      </w:r>
      <w:r w:rsidRPr="00334017">
        <w:rPr>
          <w:rFonts w:eastAsia="Calibri"/>
          <w:i/>
          <w:szCs w:val="22"/>
          <w:lang w:eastAsia="de-DE" w:bidi="de-DE"/>
        </w:rPr>
        <w:t>]</w:t>
      </w:r>
    </w:p>
    <w:p w14:paraId="24423784" w14:textId="77777777" w:rsidR="005A5BD5" w:rsidRPr="00334017" w:rsidRDefault="005A5BD5" w:rsidP="004C2C7D">
      <w:pPr>
        <w:jc w:val="both"/>
        <w:rPr>
          <w:rFonts w:eastAsia="Calibri"/>
          <w:szCs w:val="22"/>
          <w:lang w:eastAsia="de-DE" w:bidi="de-DE"/>
        </w:rPr>
      </w:pPr>
    </w:p>
    <w:p w14:paraId="1B58869E" w14:textId="76A5C8DD" w:rsidR="005A5BD5" w:rsidRDefault="005A5BD5" w:rsidP="004C2C7D">
      <w:pPr>
        <w:jc w:val="both"/>
        <w:rPr>
          <w:rFonts w:eastAsia="Calibri"/>
          <w:szCs w:val="22"/>
          <w:lang w:eastAsia="de-DE" w:bidi="de-DE"/>
        </w:rPr>
      </w:pPr>
    </w:p>
    <w:p w14:paraId="62AE8294" w14:textId="77777777" w:rsidR="001F54BC" w:rsidRDefault="001F54BC">
      <w:pPr>
        <w:rPr>
          <w:rFonts w:eastAsia="Calibri"/>
          <w:szCs w:val="22"/>
          <w:lang w:eastAsia="de-DE" w:bidi="de-DE"/>
        </w:rPr>
      </w:pPr>
      <w:r>
        <w:rPr>
          <w:rFonts w:eastAsia="Calibri"/>
          <w:szCs w:val="22"/>
          <w:lang w:eastAsia="de-DE" w:bidi="de-DE"/>
        </w:rPr>
        <w:br w:type="page"/>
      </w:r>
    </w:p>
    <w:p w14:paraId="5117C1B1" w14:textId="3971ED6F" w:rsidR="00FA57C5" w:rsidRDefault="00FA57C5" w:rsidP="00FA57C5">
      <w:pPr>
        <w:jc w:val="center"/>
      </w:pPr>
      <w:r>
        <w:rPr>
          <w:rFonts w:eastAsia="Calibri"/>
          <w:szCs w:val="22"/>
          <w:lang w:eastAsia="de-DE" w:bidi="de-DE"/>
        </w:rPr>
        <w:lastRenderedPageBreak/>
        <w:t>[</w:t>
      </w:r>
      <w:r>
        <w:rPr>
          <w:rFonts w:eastAsia="Calibri"/>
          <w:i/>
          <w:szCs w:val="22"/>
          <w:lang w:eastAsia="de-DE" w:bidi="de-DE"/>
        </w:rPr>
        <w:t>Abschnitt 27quater1</w:t>
      </w:r>
      <w:r>
        <w:rPr>
          <w:rFonts w:eastAsia="Calibri"/>
          <w:szCs w:val="22"/>
          <w:lang w:eastAsia="de-DE" w:bidi="de-DE"/>
        </w:rPr>
        <w:t xml:space="preserve"> - </w:t>
      </w:r>
      <w:r w:rsidRPr="00365BA1">
        <w:t>Abzug für Einkünfte aus Innovationen</w:t>
      </w:r>
    </w:p>
    <w:p w14:paraId="50B8C267" w14:textId="176028BF" w:rsidR="00FA57C5" w:rsidRDefault="00FA57C5" w:rsidP="00FA57C5">
      <w:pPr>
        <w:jc w:val="center"/>
      </w:pPr>
    </w:p>
    <w:p w14:paraId="4A2AD00E" w14:textId="3E6626FE" w:rsidR="00FA57C5" w:rsidRPr="00365BA1" w:rsidRDefault="00FA57C5" w:rsidP="00FA57C5">
      <w:pPr>
        <w:jc w:val="center"/>
      </w:pPr>
      <w:r w:rsidRPr="00365BA1">
        <w:t>(Einkommensteuergesetzbuch 1992, Artikel 205/4 § 2)</w:t>
      </w:r>
    </w:p>
    <w:p w14:paraId="2CFA03D1" w14:textId="0E7134E8" w:rsidR="00FA57C5" w:rsidRDefault="00FA57C5" w:rsidP="00FA57C5">
      <w:pPr>
        <w:jc w:val="center"/>
      </w:pPr>
    </w:p>
    <w:p w14:paraId="647DC88C" w14:textId="77D5AC2A" w:rsidR="00FA57C5" w:rsidRDefault="00FA57C5" w:rsidP="00FA57C5">
      <w:pPr>
        <w:jc w:val="both"/>
        <w:rPr>
          <w:rFonts w:eastAsia="Calibri"/>
          <w:i/>
          <w:szCs w:val="22"/>
          <w:lang w:eastAsia="de-DE" w:bidi="de-DE"/>
        </w:rPr>
      </w:pPr>
      <w:r w:rsidRPr="00334017">
        <w:rPr>
          <w:rFonts w:eastAsia="Calibri"/>
          <w:i/>
          <w:szCs w:val="22"/>
          <w:lang w:eastAsia="de-DE" w:bidi="de-DE"/>
        </w:rPr>
        <w:t>[Abschnitt 27quater</w:t>
      </w:r>
      <w:r w:rsidRPr="00334017">
        <w:rPr>
          <w:rFonts w:eastAsia="Calibri"/>
          <w:i/>
          <w:szCs w:val="22"/>
          <w:vertAlign w:val="superscript"/>
          <w:lang w:eastAsia="de-DE" w:bidi="de-DE"/>
        </w:rPr>
        <w:t>1</w:t>
      </w:r>
      <w:r w:rsidRPr="00334017">
        <w:rPr>
          <w:rFonts w:eastAsia="Calibri"/>
          <w:i/>
          <w:szCs w:val="22"/>
          <w:lang w:eastAsia="de-DE" w:bidi="de-DE"/>
        </w:rPr>
        <w:t xml:space="preserve"> mit den Artikeln 73</w:t>
      </w:r>
      <w:r w:rsidRPr="00334017">
        <w:rPr>
          <w:rFonts w:eastAsia="Calibri"/>
          <w:i/>
          <w:szCs w:val="22"/>
          <w:vertAlign w:val="superscript"/>
          <w:lang w:eastAsia="de-DE" w:bidi="de-DE"/>
        </w:rPr>
        <w:t>4qu</w:t>
      </w:r>
      <w:r>
        <w:rPr>
          <w:rFonts w:eastAsia="Calibri"/>
          <w:i/>
          <w:szCs w:val="22"/>
          <w:vertAlign w:val="superscript"/>
          <w:lang w:eastAsia="de-DE" w:bidi="de-DE"/>
        </w:rPr>
        <w:t>ater/1</w:t>
      </w:r>
      <w:r w:rsidRPr="00334017">
        <w:rPr>
          <w:rFonts w:eastAsia="Calibri"/>
          <w:i/>
          <w:szCs w:val="22"/>
          <w:lang w:eastAsia="de-DE" w:bidi="de-DE"/>
        </w:rPr>
        <w:t xml:space="preserve"> </w:t>
      </w:r>
      <w:r>
        <w:rPr>
          <w:rFonts w:eastAsia="Calibri"/>
          <w:i/>
          <w:szCs w:val="22"/>
          <w:lang w:eastAsia="de-DE" w:bidi="de-DE"/>
        </w:rPr>
        <w:t>und</w:t>
      </w:r>
      <w:r w:rsidRPr="00334017">
        <w:rPr>
          <w:rFonts w:eastAsia="Calibri"/>
          <w:i/>
          <w:szCs w:val="22"/>
          <w:lang w:eastAsia="de-DE" w:bidi="de-DE"/>
        </w:rPr>
        <w:t xml:space="preserve"> 73</w:t>
      </w:r>
      <w:r w:rsidRPr="00334017">
        <w:rPr>
          <w:rFonts w:eastAsia="Calibri"/>
          <w:i/>
          <w:szCs w:val="22"/>
          <w:vertAlign w:val="superscript"/>
          <w:lang w:eastAsia="de-DE" w:bidi="de-DE"/>
        </w:rPr>
        <w:t>4</w:t>
      </w:r>
      <w:r>
        <w:rPr>
          <w:rFonts w:eastAsia="Calibri"/>
          <w:i/>
          <w:szCs w:val="22"/>
          <w:vertAlign w:val="superscript"/>
          <w:lang w:eastAsia="de-DE" w:bidi="de-DE"/>
        </w:rPr>
        <w:t>quater/2</w:t>
      </w:r>
      <w:r w:rsidRPr="00334017">
        <w:rPr>
          <w:rFonts w:eastAsia="Calibri"/>
          <w:i/>
          <w:szCs w:val="22"/>
          <w:lang w:eastAsia="de-DE" w:bidi="de-DE"/>
        </w:rPr>
        <w:t xml:space="preserve"> eingefügt durch Art. </w:t>
      </w:r>
      <w:r>
        <w:rPr>
          <w:rFonts w:eastAsia="Calibri"/>
          <w:i/>
          <w:szCs w:val="22"/>
          <w:lang w:eastAsia="de-DE" w:bidi="de-DE"/>
        </w:rPr>
        <w:t>2 des K.E. vom 2. Oktober 2019 (B.S. vom 17. Oktober 2019)]</w:t>
      </w:r>
    </w:p>
    <w:p w14:paraId="5B3AB2A1" w14:textId="044A7343" w:rsidR="00FA57C5" w:rsidRDefault="00FA57C5" w:rsidP="00FA57C5">
      <w:pPr>
        <w:jc w:val="both"/>
        <w:rPr>
          <w:rFonts w:eastAsia="Calibri"/>
          <w:i/>
          <w:szCs w:val="22"/>
          <w:lang w:eastAsia="de-DE" w:bidi="de-DE"/>
        </w:rPr>
      </w:pPr>
    </w:p>
    <w:p w14:paraId="3734905B" w14:textId="77777777" w:rsidR="00FA57C5" w:rsidRDefault="00FA57C5" w:rsidP="00FA57C5">
      <w:pPr>
        <w:jc w:val="both"/>
        <w:rPr>
          <w:rFonts w:eastAsia="Calibri"/>
          <w:i/>
          <w:szCs w:val="22"/>
          <w:lang w:eastAsia="de-DE" w:bidi="de-DE"/>
        </w:rPr>
      </w:pPr>
    </w:p>
    <w:p w14:paraId="0F2117F1" w14:textId="77777777" w:rsidR="00FA57C5" w:rsidRPr="00365BA1" w:rsidRDefault="00FA57C5" w:rsidP="00FA57C5">
      <w:pPr>
        <w:jc w:val="both"/>
      </w:pPr>
      <w:r w:rsidRPr="00365BA1">
        <w:tab/>
      </w:r>
      <w:r w:rsidRPr="00FA57C5">
        <w:rPr>
          <w:b/>
        </w:rPr>
        <w:t>Art. 73</w:t>
      </w:r>
      <w:r w:rsidRPr="00FA57C5">
        <w:rPr>
          <w:b/>
          <w:vertAlign w:val="superscript"/>
        </w:rPr>
        <w:t>4</w:t>
      </w:r>
      <w:r w:rsidRPr="00FA57C5">
        <w:rPr>
          <w:b/>
          <w:i/>
          <w:vertAlign w:val="superscript"/>
        </w:rPr>
        <w:t>quate</w:t>
      </w:r>
      <w:r w:rsidRPr="00FA57C5">
        <w:rPr>
          <w:b/>
          <w:vertAlign w:val="superscript"/>
        </w:rPr>
        <w:t>r/1</w:t>
      </w:r>
      <w:r w:rsidRPr="00365BA1">
        <w:t> - Damit die in Artikel 205/4 § 1 Absatz 1 des Einkommen</w:t>
      </w:r>
      <w:r w:rsidRPr="00365BA1">
        <w:softHyphen/>
        <w:t>steuergesetzbuches 1992 erwähnten Beträge festgelegt werden können, wird unter anderem verlangt, dass:</w:t>
      </w:r>
    </w:p>
    <w:p w14:paraId="03A04222" w14:textId="77777777" w:rsidR="00FA57C5" w:rsidRPr="00365BA1" w:rsidRDefault="00FA57C5" w:rsidP="00FA57C5">
      <w:pPr>
        <w:jc w:val="both"/>
      </w:pPr>
    </w:p>
    <w:p w14:paraId="3615D411" w14:textId="77777777" w:rsidR="00FA57C5" w:rsidRPr="00365BA1" w:rsidRDefault="00FA57C5" w:rsidP="00FA57C5">
      <w:pPr>
        <w:jc w:val="both"/>
      </w:pPr>
      <w:r w:rsidRPr="00365BA1">
        <w:tab/>
        <w:t>1. die Unterlagen aufbewahrt werden, in denen die Gesamtausgaben in Bezug auf ein in Artikel 205/1 § 2 Nr. 5 desselben Gesetzbuches erwähntes geistiges Eigentumsrecht detailliert werden, die von dem verbundenen Unternehmen getätigt werden, dessen vorerwähntes geistiges Eigentumsrecht erworben wurde und für das die vorerwähnten Ausgaben eine Aufwendung bilden,</w:t>
      </w:r>
    </w:p>
    <w:p w14:paraId="7E754F1D" w14:textId="77777777" w:rsidR="00FA57C5" w:rsidRPr="00365BA1" w:rsidRDefault="00FA57C5" w:rsidP="00FA57C5">
      <w:pPr>
        <w:jc w:val="both"/>
      </w:pPr>
    </w:p>
    <w:p w14:paraId="7568FB8D" w14:textId="77777777" w:rsidR="00FA57C5" w:rsidRPr="00365BA1" w:rsidRDefault="00FA57C5" w:rsidP="00FA57C5">
      <w:pPr>
        <w:jc w:val="both"/>
      </w:pPr>
      <w:r w:rsidRPr="00365BA1">
        <w:tab/>
        <w:t>2. die in Artikel 205/1 § 2 Nr. 2 desselben Gesetzbuches erwähnten zu berück</w:t>
      </w:r>
      <w:r w:rsidRPr="00365BA1">
        <w:softHyphen/>
        <w:t>sichtigenden Einkünfte aus Innovationen gegebenenfalls entsprechend der Art der Vergütung aufgeteilt werden,</w:t>
      </w:r>
    </w:p>
    <w:p w14:paraId="57873F57" w14:textId="77777777" w:rsidR="00FA57C5" w:rsidRPr="00365BA1" w:rsidRDefault="00FA57C5" w:rsidP="00FA57C5">
      <w:pPr>
        <w:jc w:val="both"/>
      </w:pPr>
    </w:p>
    <w:p w14:paraId="7A95D4D4" w14:textId="77777777" w:rsidR="00FA57C5" w:rsidRPr="00365BA1" w:rsidRDefault="00FA57C5" w:rsidP="00FA57C5">
      <w:pPr>
        <w:jc w:val="both"/>
      </w:pPr>
      <w:r w:rsidRPr="00365BA1">
        <w:tab/>
        <w:t>3. für den Besteuerungszeitraum, in den das Datum des 1. Juli 2016 fällt, nachgewiesen wird, dass die in Nr. 2 erwähnten zu berücksichtigenden Einkünfte aus Innovationen frühestens am 1. Juli 2016 bezogen worden sind,</w:t>
      </w:r>
    </w:p>
    <w:p w14:paraId="6112BC41" w14:textId="77777777" w:rsidR="00FA57C5" w:rsidRPr="00365BA1" w:rsidRDefault="00FA57C5" w:rsidP="00FA57C5">
      <w:pPr>
        <w:jc w:val="both"/>
      </w:pPr>
    </w:p>
    <w:p w14:paraId="26CCF18A" w14:textId="77777777" w:rsidR="00FA57C5" w:rsidRPr="00365BA1" w:rsidRDefault="00FA57C5" w:rsidP="00FA57C5">
      <w:pPr>
        <w:jc w:val="both"/>
      </w:pPr>
      <w:r w:rsidRPr="00365BA1">
        <w:tab/>
        <w:t>4. für den Besteuerungszeitraum, in den das Datum des 1. Juli 2021 fällt, gegebenenfalls nachgewiesen wird, dass die in Nr. 2 erwähnten zu berücksichtigenden Einkünfte aus Innovationen in dem Teil des Besteuerungszeitraums bezogen worden sind, für den Artikel 543 desselben Gesetzbuches in Bezug auf das geistige Eigentumsrecht nicht angewandt wird,</w:t>
      </w:r>
    </w:p>
    <w:p w14:paraId="1F5B1280" w14:textId="77777777" w:rsidR="00FA57C5" w:rsidRPr="00365BA1" w:rsidRDefault="00FA57C5" w:rsidP="00FA57C5">
      <w:pPr>
        <w:jc w:val="both"/>
      </w:pPr>
    </w:p>
    <w:p w14:paraId="03E18A67" w14:textId="77777777" w:rsidR="00FA57C5" w:rsidRPr="00365BA1" w:rsidRDefault="00FA57C5" w:rsidP="00FA57C5">
      <w:pPr>
        <w:jc w:val="both"/>
      </w:pPr>
      <w:r w:rsidRPr="00365BA1">
        <w:tab/>
        <w:t>5. erläutert wird, wie der Bruttobetrag der Einkünfte aus Innovationen festgelegt worden ist,</w:t>
      </w:r>
    </w:p>
    <w:p w14:paraId="7E8732FB" w14:textId="77777777" w:rsidR="00FA57C5" w:rsidRPr="00365BA1" w:rsidRDefault="00FA57C5" w:rsidP="00FA57C5">
      <w:pPr>
        <w:jc w:val="both"/>
      </w:pPr>
    </w:p>
    <w:p w14:paraId="23BBD5C6" w14:textId="77777777" w:rsidR="00FA57C5" w:rsidRPr="00365BA1" w:rsidRDefault="00FA57C5" w:rsidP="00FA57C5">
      <w:pPr>
        <w:jc w:val="both"/>
      </w:pPr>
      <w:r w:rsidRPr="00365BA1">
        <w:tab/>
        <w:t>6. erläutert wird, wie der den tatsächlichen Schaden ausgleichende Teil der Entschädigungen bestimmt worden ist, die sich direkt auf ein geistiges Eigentumsrecht beziehen und infolge einer Verletzung des betreffenden geistigen Eigentumsrechts geschuldet werden, sofern dies nicht bereits in der gerichtlichen Entscheidung oder Schiedsentscheidung, in der gütlichen Einigung oder im Versicherungsvertrag bestimmt worden ist,</w:t>
      </w:r>
    </w:p>
    <w:p w14:paraId="7804D9E1" w14:textId="77777777" w:rsidR="00FA57C5" w:rsidRPr="00365BA1" w:rsidRDefault="00FA57C5" w:rsidP="00FA57C5">
      <w:pPr>
        <w:jc w:val="both"/>
      </w:pPr>
    </w:p>
    <w:p w14:paraId="6D277B7B" w14:textId="77777777" w:rsidR="00FA57C5" w:rsidRPr="00365BA1" w:rsidRDefault="00FA57C5" w:rsidP="00FA57C5">
      <w:pPr>
        <w:jc w:val="both"/>
      </w:pPr>
      <w:r w:rsidRPr="00365BA1">
        <w:tab/>
        <w:t>7. erläutert wird, wie die von den Einkünften aus Innovationen abgezogenen Kosten bestimmt worden sind und gegebenenfalls aufgeteilt werden in:</w:t>
      </w:r>
    </w:p>
    <w:p w14:paraId="1EB90982" w14:textId="77777777" w:rsidR="00FA57C5" w:rsidRPr="00365BA1" w:rsidRDefault="00FA57C5" w:rsidP="00FA57C5">
      <w:pPr>
        <w:jc w:val="both"/>
      </w:pPr>
    </w:p>
    <w:p w14:paraId="3BAE8264" w14:textId="77777777" w:rsidR="00FA57C5" w:rsidRPr="00365BA1" w:rsidRDefault="00FA57C5" w:rsidP="00FA57C5">
      <w:pPr>
        <w:jc w:val="both"/>
      </w:pPr>
      <w:r w:rsidRPr="00365BA1">
        <w:tab/>
      </w:r>
      <w:r w:rsidRPr="00365BA1">
        <w:rPr>
          <w:i/>
        </w:rPr>
        <w:t>a)</w:t>
      </w:r>
      <w:r w:rsidRPr="00365BA1">
        <w:t xml:space="preserve"> die in Artikel 205/1 § 2 Nr. 3 desselben Gesetzbuches erwähnten in den Kosten aufgenommenen Ausgaben, die den Bruttobetrag der Einkünfte aus Innovationen nicht übersteigen,</w:t>
      </w:r>
    </w:p>
    <w:p w14:paraId="30CCF8B7" w14:textId="77777777" w:rsidR="00FA57C5" w:rsidRPr="00365BA1" w:rsidRDefault="00FA57C5" w:rsidP="00FA57C5">
      <w:pPr>
        <w:jc w:val="both"/>
      </w:pPr>
    </w:p>
    <w:p w14:paraId="426E5BC6" w14:textId="77777777" w:rsidR="00FA57C5" w:rsidRPr="00365BA1" w:rsidRDefault="00FA57C5" w:rsidP="00FA57C5">
      <w:pPr>
        <w:jc w:val="both"/>
      </w:pPr>
      <w:r w:rsidRPr="00365BA1">
        <w:tab/>
      </w:r>
      <w:r w:rsidRPr="00365BA1">
        <w:rPr>
          <w:i/>
        </w:rPr>
        <w:t>b)</w:t>
      </w:r>
      <w:r w:rsidRPr="00365BA1">
        <w:t xml:space="preserve"> das negative Ergebnis, das gemäß Artikel 205/2 § 1 Absatz 3 desselben Gesetzbuches abgezogen wird,</w:t>
      </w:r>
    </w:p>
    <w:p w14:paraId="1EC385DC" w14:textId="77777777" w:rsidR="00FA57C5" w:rsidRPr="00365BA1" w:rsidRDefault="00FA57C5" w:rsidP="00FA57C5">
      <w:pPr>
        <w:jc w:val="both"/>
      </w:pPr>
    </w:p>
    <w:p w14:paraId="4DF314F9" w14:textId="77777777" w:rsidR="00FA57C5" w:rsidRPr="00365BA1" w:rsidRDefault="00FA57C5" w:rsidP="00FA57C5">
      <w:pPr>
        <w:jc w:val="both"/>
      </w:pPr>
      <w:r w:rsidRPr="00365BA1">
        <w:lastRenderedPageBreak/>
        <w:tab/>
      </w:r>
      <w:r w:rsidRPr="00365BA1">
        <w:rPr>
          <w:i/>
          <w:iCs/>
        </w:rPr>
        <w:t>c)</w:t>
      </w:r>
      <w:r w:rsidRPr="00365BA1">
        <w:t xml:space="preserve"> die in den vorhergehenden Besteuerungszeiträumen in den Kosten aufgenommenen Gesamtausgaben, die gemäß Artikel 205/2 § 2 Absatz 1 bis 3 desselben Gesetzbuches abgezogen werden,</w:t>
      </w:r>
    </w:p>
    <w:p w14:paraId="01787C50" w14:textId="77777777" w:rsidR="00FA57C5" w:rsidRPr="00365BA1" w:rsidRDefault="00FA57C5" w:rsidP="00FA57C5">
      <w:pPr>
        <w:jc w:val="both"/>
      </w:pPr>
    </w:p>
    <w:p w14:paraId="0645B31A" w14:textId="77777777" w:rsidR="00FA57C5" w:rsidRPr="00365BA1" w:rsidRDefault="00FA57C5" w:rsidP="00FA57C5">
      <w:pPr>
        <w:jc w:val="both"/>
      </w:pPr>
      <w:r w:rsidRPr="00365BA1">
        <w:tab/>
        <w:t>8. bei einem geistigen Eigentumsrecht, das aus einem gemeinsamen Entwick</w:t>
      </w:r>
      <w:r w:rsidRPr="00365BA1">
        <w:softHyphen/>
        <w:t>lungsprojekt hervorgeht, nachgewiesen wird, wie der Steuerpflichtige zu den Gesamtausgaben, die gemeinsam zur Umsetzung dieses geistigen Eigentumsrechts getätigt werden, beiträgt,</w:t>
      </w:r>
    </w:p>
    <w:p w14:paraId="3AF49C1A" w14:textId="77777777" w:rsidR="00FA57C5" w:rsidRPr="00365BA1" w:rsidRDefault="00FA57C5" w:rsidP="00FA57C5">
      <w:pPr>
        <w:jc w:val="both"/>
      </w:pPr>
    </w:p>
    <w:p w14:paraId="5515647F" w14:textId="77777777" w:rsidR="00FA57C5" w:rsidRPr="00365BA1" w:rsidRDefault="00FA57C5" w:rsidP="00FA57C5">
      <w:pPr>
        <w:jc w:val="both"/>
      </w:pPr>
      <w:r w:rsidRPr="00365BA1">
        <w:tab/>
        <w:t>9. erläutert wird, wie der in Artikel 205/3 § 1 Absatz 1 oder 2 desselben Gesetzbuches erwähnte Bruch bestimmt worden ist, wobei die Ausgaben aufgeteilt werden in:</w:t>
      </w:r>
    </w:p>
    <w:p w14:paraId="30BD4EEE" w14:textId="77777777" w:rsidR="00FA57C5" w:rsidRPr="00365BA1" w:rsidRDefault="00FA57C5" w:rsidP="00FA57C5">
      <w:pPr>
        <w:jc w:val="both"/>
      </w:pPr>
    </w:p>
    <w:p w14:paraId="6989BE6D" w14:textId="77777777" w:rsidR="00FA57C5" w:rsidRPr="00365BA1" w:rsidRDefault="00FA57C5" w:rsidP="00FA57C5">
      <w:pPr>
        <w:jc w:val="both"/>
      </w:pPr>
      <w:r w:rsidRPr="00365BA1">
        <w:tab/>
      </w:r>
      <w:r w:rsidRPr="00365BA1">
        <w:rPr>
          <w:i/>
          <w:iCs/>
        </w:rPr>
        <w:t>a)</w:t>
      </w:r>
      <w:r w:rsidRPr="00365BA1">
        <w:t xml:space="preserve"> die in Artikel 205/1 § 2 Nr. 4 einleitender Satz desselben Gesetzbuches erwähnten in Betracht kommenden Ausgaben, die von der Gesellschaft für Forschungs- und Entwicklungstätigkeiten, die von der Gesellschaft selbst ausgeführt werden, getätigt werden,</w:t>
      </w:r>
    </w:p>
    <w:p w14:paraId="645B3DC0" w14:textId="77777777" w:rsidR="00FA57C5" w:rsidRPr="00365BA1" w:rsidRDefault="00FA57C5" w:rsidP="00FA57C5">
      <w:pPr>
        <w:jc w:val="both"/>
      </w:pPr>
    </w:p>
    <w:p w14:paraId="1B5CED02" w14:textId="77777777" w:rsidR="00FA57C5" w:rsidRPr="00365BA1" w:rsidRDefault="00FA57C5" w:rsidP="00FA57C5">
      <w:pPr>
        <w:jc w:val="both"/>
      </w:pPr>
      <w:r w:rsidRPr="00365BA1">
        <w:tab/>
      </w:r>
      <w:r w:rsidRPr="00365BA1">
        <w:rPr>
          <w:i/>
          <w:iCs/>
        </w:rPr>
        <w:t>b)</w:t>
      </w:r>
      <w:r w:rsidRPr="00365BA1">
        <w:t xml:space="preserve"> die in Artikel 205/1 § 2 Nr. 4 erster oder zweiter Gedankenstrich desselben Gesetzbuches erwähnten in Betracht kommenden Ausgaben,</w:t>
      </w:r>
    </w:p>
    <w:p w14:paraId="56FD1BAD" w14:textId="77777777" w:rsidR="00FA57C5" w:rsidRPr="00365BA1" w:rsidRDefault="00FA57C5" w:rsidP="00FA57C5">
      <w:pPr>
        <w:jc w:val="both"/>
      </w:pPr>
    </w:p>
    <w:p w14:paraId="471B8D4B" w14:textId="77777777" w:rsidR="00FA57C5" w:rsidRPr="00365BA1" w:rsidRDefault="00FA57C5" w:rsidP="00FA57C5">
      <w:pPr>
        <w:jc w:val="both"/>
      </w:pPr>
      <w:r w:rsidRPr="00365BA1">
        <w:tab/>
      </w:r>
      <w:r w:rsidRPr="00365BA1">
        <w:rPr>
          <w:i/>
          <w:iCs/>
        </w:rPr>
        <w:t>c)</w:t>
      </w:r>
      <w:r w:rsidRPr="00365BA1">
        <w:t xml:space="preserve"> die in Artikel 205/1 § 2 Nr. 5 zweiter Gedankenstrich desselben Gesetzbuches erwähnten Gesamtausgaben,</w:t>
      </w:r>
    </w:p>
    <w:p w14:paraId="07086119" w14:textId="77777777" w:rsidR="00FA57C5" w:rsidRPr="00365BA1" w:rsidRDefault="00FA57C5" w:rsidP="00FA57C5">
      <w:pPr>
        <w:jc w:val="both"/>
      </w:pPr>
    </w:p>
    <w:p w14:paraId="6781B04E" w14:textId="77777777" w:rsidR="00FA57C5" w:rsidRPr="00365BA1" w:rsidRDefault="00FA57C5" w:rsidP="00FA57C5">
      <w:pPr>
        <w:jc w:val="both"/>
      </w:pPr>
      <w:r w:rsidRPr="00365BA1">
        <w:tab/>
      </w:r>
      <w:r w:rsidRPr="00365BA1">
        <w:rPr>
          <w:i/>
          <w:iCs/>
        </w:rPr>
        <w:t>d)</w:t>
      </w:r>
      <w:r w:rsidRPr="00365BA1">
        <w:t xml:space="preserve"> die in Artikel 205/1 § 2 Nr. 5 dritter Gedankenstrich desselben Gesetzbuches erwähnten Gesamtausgaben.</w:t>
      </w:r>
    </w:p>
    <w:p w14:paraId="75559153" w14:textId="77777777" w:rsidR="00FA57C5" w:rsidRPr="00365BA1" w:rsidRDefault="00FA57C5" w:rsidP="00FA57C5">
      <w:pPr>
        <w:jc w:val="both"/>
      </w:pPr>
    </w:p>
    <w:p w14:paraId="6EB51A0E" w14:textId="77777777" w:rsidR="00FA57C5" w:rsidRPr="00365BA1" w:rsidRDefault="00FA57C5" w:rsidP="00FA57C5">
      <w:pPr>
        <w:jc w:val="both"/>
      </w:pPr>
      <w:r w:rsidRPr="00365BA1">
        <w:tab/>
        <w:t>Die in vorhergehendem Absatz verlangten Erläuterungen zu den Kosten und Ausgaben müssen anhand von Daten aus der Kostenrechnung erfolgen, mit denen die tatsächliche Verwendung der Kosten und Ausgaben nachgewiesen werden kann.</w:t>
      </w:r>
    </w:p>
    <w:p w14:paraId="34B5837F" w14:textId="77777777" w:rsidR="00FA57C5" w:rsidRPr="00365BA1" w:rsidRDefault="00FA57C5" w:rsidP="00FA57C5">
      <w:pPr>
        <w:jc w:val="both"/>
      </w:pPr>
    </w:p>
    <w:p w14:paraId="32827515" w14:textId="77777777" w:rsidR="00FA57C5" w:rsidRPr="00365BA1" w:rsidRDefault="00FA57C5" w:rsidP="00FA57C5">
      <w:pPr>
        <w:jc w:val="both"/>
      </w:pPr>
      <w:r w:rsidRPr="00365BA1">
        <w:tab/>
        <w:t>Die Belege müssen bis zum letzten Tag der Untersuchungsfrist des letzten Steuerjahres, in dem die Gesellschaft den Abzug für Einkünfte aus Innovationen in Bezug auf das geistige Eigentumsrecht entweder pro Produkt- oder Dienstleistungsart oder pro Produkt- oder Dienstleistungsgruppe angewandt hat, zur Verfügung der Verwaltung gehalten werden.</w:t>
      </w:r>
    </w:p>
    <w:p w14:paraId="51D26737" w14:textId="27066227" w:rsidR="00FA57C5" w:rsidRDefault="00FA57C5" w:rsidP="00FA57C5"/>
    <w:p w14:paraId="3AF048A3" w14:textId="77777777" w:rsidR="00AA04BB" w:rsidRPr="00365BA1" w:rsidRDefault="00AA04BB" w:rsidP="00FA57C5"/>
    <w:p w14:paraId="0FCE98DA" w14:textId="77777777" w:rsidR="00FA57C5" w:rsidRPr="00365BA1" w:rsidRDefault="00FA57C5" w:rsidP="00FA57C5">
      <w:pPr>
        <w:jc w:val="both"/>
      </w:pPr>
      <w:r w:rsidRPr="00365BA1">
        <w:tab/>
      </w:r>
      <w:r w:rsidRPr="00FA57C5">
        <w:rPr>
          <w:b/>
        </w:rPr>
        <w:t>Art. 73</w:t>
      </w:r>
      <w:r w:rsidRPr="00FA57C5">
        <w:rPr>
          <w:b/>
          <w:vertAlign w:val="superscript"/>
        </w:rPr>
        <w:t>4</w:t>
      </w:r>
      <w:r w:rsidRPr="00FA57C5">
        <w:rPr>
          <w:b/>
          <w:i/>
          <w:vertAlign w:val="superscript"/>
        </w:rPr>
        <w:t>quater</w:t>
      </w:r>
      <w:r w:rsidRPr="00FA57C5">
        <w:rPr>
          <w:b/>
          <w:vertAlign w:val="superscript"/>
        </w:rPr>
        <w:t>/2</w:t>
      </w:r>
      <w:r w:rsidRPr="00365BA1">
        <w:t> - Zur Rechtfertigung der in Artikel 205/4 § 1 Absatz 2 des Einkommensteuergesetzbuches 1992 erwähnten Festlegung der Einkünfte aus Innovationen, entweder pro Produkt- oder Dienstleistungsart oder pro Produkt- oder Dienstleistungsgruppe, wird unter anderem verlangt, dass:</w:t>
      </w:r>
    </w:p>
    <w:p w14:paraId="03CA9DF1" w14:textId="77777777" w:rsidR="00FA57C5" w:rsidRPr="00365BA1" w:rsidRDefault="00FA57C5" w:rsidP="00FA57C5">
      <w:pPr>
        <w:jc w:val="both"/>
      </w:pPr>
    </w:p>
    <w:p w14:paraId="0F19E99D" w14:textId="77777777" w:rsidR="00FA57C5" w:rsidRPr="00365BA1" w:rsidRDefault="00FA57C5" w:rsidP="00FA57C5">
      <w:pPr>
        <w:jc w:val="both"/>
      </w:pPr>
      <w:r w:rsidRPr="00365BA1">
        <w:tab/>
        <w:t>1. eine Übersicht der in Artikel 205/1 § 2 Nr. 1 desselben Gesetzbuches erwähnten zugrunde liegenden geistigen Eigentumsrechte dargelegt wird, aus der entweder die Produkt- oder Dienstleistungsart oder die Produkt- oder Dienstleistungsgruppe hervorgeht,</w:t>
      </w:r>
    </w:p>
    <w:p w14:paraId="7023F550" w14:textId="77777777" w:rsidR="00FA57C5" w:rsidRPr="00365BA1" w:rsidRDefault="00FA57C5" w:rsidP="00FA57C5">
      <w:pPr>
        <w:jc w:val="both"/>
      </w:pPr>
    </w:p>
    <w:p w14:paraId="2E86F0A1" w14:textId="77777777" w:rsidR="00FA57C5" w:rsidRPr="00365BA1" w:rsidRDefault="00FA57C5" w:rsidP="00FA57C5">
      <w:pPr>
        <w:jc w:val="both"/>
      </w:pPr>
      <w:r w:rsidRPr="00365BA1">
        <w:tab/>
        <w:t>2. erläutert wird, warum die in Nr. 1 erwähnte Festlegung der Einkünfte aus Inno</w:t>
      </w:r>
      <w:r w:rsidRPr="00365BA1">
        <w:softHyphen/>
        <w:t>vationen pro geistiges Eigentumsrecht aus praktischer Sicht nicht durchführbar ist,</w:t>
      </w:r>
    </w:p>
    <w:p w14:paraId="09CA1FFE" w14:textId="77777777" w:rsidR="00FA57C5" w:rsidRPr="00365BA1" w:rsidRDefault="00FA57C5" w:rsidP="00FA57C5">
      <w:pPr>
        <w:jc w:val="both"/>
      </w:pPr>
    </w:p>
    <w:p w14:paraId="3AD328CA" w14:textId="0D86B7EB" w:rsidR="00FA57C5" w:rsidRPr="00FA57C5" w:rsidRDefault="00FA57C5" w:rsidP="00FA57C5">
      <w:pPr>
        <w:jc w:val="both"/>
        <w:rPr>
          <w:rFonts w:eastAsia="Calibri"/>
          <w:szCs w:val="22"/>
          <w:lang w:eastAsia="de-DE" w:bidi="de-DE"/>
        </w:rPr>
      </w:pPr>
      <w:r w:rsidRPr="00365BA1">
        <w:tab/>
        <w:t>3. eine detaillierte Beschreibung entweder der Produkt- oder Dienstleistungsart oder der Produkt- oder Dienstleistungsgruppe gegeben wird, für die die Einkünfte aus Innovationen festgelegt werden, und dass erläutert wird, warum diese Art oder Gruppe als Ausgangspunkt der Festlegung gewählt worden ist.</w:t>
      </w:r>
      <w:r>
        <w:t>]</w:t>
      </w:r>
    </w:p>
    <w:p w14:paraId="4BF40FA8" w14:textId="6E34EF7E" w:rsidR="00FA57C5" w:rsidRDefault="00FA57C5" w:rsidP="00FA57C5">
      <w:pPr>
        <w:jc w:val="both"/>
      </w:pPr>
    </w:p>
    <w:p w14:paraId="5503ABEF" w14:textId="77777777" w:rsidR="00DD342D" w:rsidRPr="00DD342D" w:rsidRDefault="00DD342D" w:rsidP="00DD342D">
      <w:pPr>
        <w:jc w:val="both"/>
      </w:pPr>
    </w:p>
    <w:p w14:paraId="08E7E012" w14:textId="77777777" w:rsidR="00DD342D" w:rsidRPr="00DD342D" w:rsidRDefault="00DD342D" w:rsidP="00DD342D">
      <w:pPr>
        <w:jc w:val="center"/>
      </w:pPr>
      <w:r w:rsidRPr="00DD342D">
        <w:t>[</w:t>
      </w:r>
      <w:r w:rsidRPr="00DD342D">
        <w:rPr>
          <w:i/>
        </w:rPr>
        <w:t>Abschnitt 27quater</w:t>
      </w:r>
      <w:r w:rsidRPr="00DD342D">
        <w:rPr>
          <w:i/>
          <w:vertAlign w:val="superscript"/>
        </w:rPr>
        <w:t>1/1</w:t>
      </w:r>
      <w:r w:rsidRPr="00DD342D">
        <w:t> - Abzug des Konzernbeitrags</w:t>
      </w:r>
    </w:p>
    <w:p w14:paraId="428BC9C3" w14:textId="77777777" w:rsidR="00DD342D" w:rsidRPr="00DD342D" w:rsidRDefault="00DD342D" w:rsidP="00DD342D">
      <w:pPr>
        <w:jc w:val="both"/>
      </w:pPr>
    </w:p>
    <w:p w14:paraId="07C812AA" w14:textId="2150A943" w:rsidR="00DD342D" w:rsidRPr="00DD342D" w:rsidRDefault="00DD342D" w:rsidP="00DD342D">
      <w:pPr>
        <w:jc w:val="both"/>
        <w:rPr>
          <w:i/>
        </w:rPr>
      </w:pPr>
      <w:r w:rsidRPr="00DD342D">
        <w:rPr>
          <w:i/>
        </w:rPr>
        <w:t>[Abschnitt 27quater</w:t>
      </w:r>
      <w:r w:rsidRPr="00DD342D">
        <w:rPr>
          <w:i/>
          <w:vertAlign w:val="superscript"/>
        </w:rPr>
        <w:t>1/1</w:t>
      </w:r>
      <w:r w:rsidRPr="00DD342D">
        <w:rPr>
          <w:i/>
        </w:rPr>
        <w:t xml:space="preserve"> mit Art. 73</w:t>
      </w:r>
      <w:r w:rsidRPr="00DD342D">
        <w:rPr>
          <w:i/>
          <w:vertAlign w:val="superscript"/>
        </w:rPr>
        <w:t>4quater/3</w:t>
      </w:r>
      <w:r w:rsidRPr="00DD342D">
        <w:rPr>
          <w:i/>
        </w:rPr>
        <w:t xml:space="preserve"> eingefügt durch Art. 3 des K.E. vom 20. Dezember 2019 (B.S. vom 27. Dezember 2019), selbst widerrufen durch Art. 2 des K.E. vom 20. Januar 2020 (B.S. vom 28. Januar 2020), und </w:t>
      </w:r>
      <w:r w:rsidR="0099653B" w:rsidRPr="0099653B">
        <w:rPr>
          <w:i/>
        </w:rPr>
        <w:t xml:space="preserve">erneut eingefügt </w:t>
      </w:r>
      <w:r w:rsidRPr="00DD342D">
        <w:rPr>
          <w:i/>
        </w:rPr>
        <w:t>durch Art. 1 des K.E. vom 20. Januar 2020 (B.S. vom 28. Januar 2020)]</w:t>
      </w:r>
    </w:p>
    <w:p w14:paraId="1566BC99" w14:textId="567E265C" w:rsidR="00902D1A" w:rsidRDefault="00902D1A" w:rsidP="00902D1A">
      <w:pPr>
        <w:jc w:val="both"/>
        <w:rPr>
          <w:i/>
        </w:rPr>
      </w:pPr>
    </w:p>
    <w:p w14:paraId="40926DE4" w14:textId="77777777" w:rsidR="00DD342D" w:rsidRPr="00902D1A" w:rsidRDefault="00DD342D" w:rsidP="00902D1A">
      <w:pPr>
        <w:jc w:val="both"/>
        <w:rPr>
          <w:i/>
        </w:rPr>
      </w:pPr>
    </w:p>
    <w:p w14:paraId="532FF1DC" w14:textId="7D5F0254" w:rsidR="00902D1A" w:rsidRDefault="00902D1A" w:rsidP="00902D1A">
      <w:pPr>
        <w:jc w:val="both"/>
      </w:pPr>
      <w:r>
        <w:tab/>
      </w:r>
      <w:r w:rsidRPr="00902D1A">
        <w:rPr>
          <w:b/>
        </w:rPr>
        <w:t>Art. 73</w:t>
      </w:r>
      <w:r w:rsidRPr="00902D1A">
        <w:rPr>
          <w:b/>
          <w:vertAlign w:val="superscript"/>
        </w:rPr>
        <w:t>4</w:t>
      </w:r>
      <w:r w:rsidRPr="00902D1A">
        <w:rPr>
          <w:b/>
          <w:i/>
          <w:iCs/>
          <w:vertAlign w:val="superscript"/>
        </w:rPr>
        <w:t>quater</w:t>
      </w:r>
      <w:r w:rsidRPr="00902D1A">
        <w:rPr>
          <w:b/>
          <w:vertAlign w:val="superscript"/>
        </w:rPr>
        <w:t>/3</w:t>
      </w:r>
      <w:r w:rsidRPr="003C35D3">
        <w:t> - Das Muster des in Artikel 205/5 § 5 des Einkommen</w:t>
      </w:r>
      <w:r w:rsidRPr="003C35D3">
        <w:softHyphen/>
        <w:t>steuergesetzbuches 1992 erwähnten Konzernbeitragsvertrags wird von dem für Finanzen zuständigen Minister oder seinem Beauftragten festgelegt.</w:t>
      </w:r>
      <w:r>
        <w:t>]</w:t>
      </w:r>
    </w:p>
    <w:p w14:paraId="3EC6412E" w14:textId="56BF5AA6" w:rsidR="00902D1A" w:rsidRDefault="00902D1A" w:rsidP="00902D1A">
      <w:pPr>
        <w:jc w:val="both"/>
      </w:pPr>
    </w:p>
    <w:p w14:paraId="06058373" w14:textId="77777777" w:rsidR="00902D1A" w:rsidRPr="00FA57C5" w:rsidRDefault="00902D1A" w:rsidP="00902D1A">
      <w:pPr>
        <w:jc w:val="both"/>
      </w:pPr>
    </w:p>
    <w:p w14:paraId="2B3417A0" w14:textId="4751C568" w:rsidR="005A5BD5" w:rsidRPr="00334017" w:rsidRDefault="00852D5F" w:rsidP="003F5F28">
      <w:pPr>
        <w:jc w:val="center"/>
        <w:rPr>
          <w:rFonts w:eastAsia="Calibri"/>
          <w:szCs w:val="22"/>
          <w:lang w:eastAsia="de-DE" w:bidi="de-DE"/>
        </w:rPr>
      </w:pPr>
      <w:r>
        <w:rPr>
          <w:rFonts w:eastAsia="Calibri"/>
          <w:szCs w:val="22"/>
          <w:lang w:eastAsia="de-DE" w:bidi="de-DE"/>
        </w:rPr>
        <w:t>[</w:t>
      </w:r>
      <w:r w:rsidR="00FA57C5">
        <w:rPr>
          <w:rFonts w:eastAsia="Calibri"/>
          <w:szCs w:val="22"/>
          <w:lang w:eastAsia="de-DE" w:bidi="de-DE"/>
        </w:rPr>
        <w:t>[</w:t>
      </w:r>
      <w:r w:rsidR="005A5BD5" w:rsidRPr="00334017">
        <w:rPr>
          <w:rFonts w:eastAsia="Calibri"/>
          <w:i/>
          <w:szCs w:val="22"/>
          <w:lang w:eastAsia="de-DE" w:bidi="de-DE"/>
        </w:rPr>
        <w:t>Abschnitt 27quater</w:t>
      </w:r>
      <w:r w:rsidR="00FA57C5">
        <w:rPr>
          <w:rFonts w:eastAsia="Calibri"/>
          <w:i/>
          <w:szCs w:val="22"/>
          <w:vertAlign w:val="superscript"/>
          <w:lang w:eastAsia="de-DE" w:bidi="de-DE"/>
        </w:rPr>
        <w:t>2</w:t>
      </w:r>
      <w:r w:rsidR="00FA57C5">
        <w:rPr>
          <w:rFonts w:eastAsia="Calibri"/>
          <w:szCs w:val="22"/>
          <w:lang w:eastAsia="de-DE" w:bidi="de-DE"/>
        </w:rPr>
        <w:t>]</w:t>
      </w:r>
      <w:r w:rsidR="005A5BD5" w:rsidRPr="00334017">
        <w:rPr>
          <w:rFonts w:eastAsia="Calibri"/>
          <w:szCs w:val="22"/>
          <w:lang w:eastAsia="de-DE" w:bidi="de-DE"/>
        </w:rPr>
        <w:t xml:space="preserve"> - </w:t>
      </w:r>
      <w:r>
        <w:rPr>
          <w:rFonts w:eastAsia="Calibri"/>
          <w:szCs w:val="22"/>
          <w:lang w:eastAsia="de-DE" w:bidi="de-DE"/>
        </w:rPr>
        <w:t>[...]</w:t>
      </w:r>
    </w:p>
    <w:p w14:paraId="087B278D" w14:textId="77777777" w:rsidR="005A5BD5" w:rsidRPr="00334017" w:rsidRDefault="005A5BD5" w:rsidP="004C2C7D">
      <w:pPr>
        <w:jc w:val="center"/>
        <w:rPr>
          <w:rFonts w:eastAsia="Calibri"/>
          <w:szCs w:val="22"/>
          <w:lang w:eastAsia="de-DE" w:bidi="de-DE"/>
        </w:rPr>
      </w:pPr>
    </w:p>
    <w:p w14:paraId="40581A80" w14:textId="0C622ECF"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w:t>
      </w:r>
      <w:r w:rsidR="00FA57C5">
        <w:rPr>
          <w:rFonts w:eastAsia="Calibri"/>
          <w:i/>
          <w:szCs w:val="22"/>
          <w:lang w:eastAsia="de-DE" w:bidi="de-DE"/>
        </w:rPr>
        <w:t xml:space="preserve">Früherer </w:t>
      </w:r>
      <w:r w:rsidRPr="00334017">
        <w:rPr>
          <w:rFonts w:eastAsia="Calibri"/>
          <w:i/>
          <w:szCs w:val="22"/>
          <w:lang w:eastAsia="de-DE" w:bidi="de-DE"/>
        </w:rPr>
        <w:t>Abschnitt 27quater</w:t>
      </w:r>
      <w:r w:rsidRPr="00334017">
        <w:rPr>
          <w:rFonts w:eastAsia="Calibri"/>
          <w:i/>
          <w:szCs w:val="22"/>
          <w:vertAlign w:val="superscript"/>
          <w:lang w:eastAsia="de-DE" w:bidi="de-DE"/>
        </w:rPr>
        <w:t>1</w:t>
      </w:r>
      <w:r w:rsidRPr="00334017">
        <w:rPr>
          <w:rFonts w:eastAsia="Calibri"/>
          <w:i/>
          <w:szCs w:val="22"/>
          <w:lang w:eastAsia="de-DE" w:bidi="de-DE"/>
        </w:rPr>
        <w:t xml:space="preserve"> mit den Artikeln 73</w:t>
      </w:r>
      <w:r w:rsidRPr="00334017">
        <w:rPr>
          <w:rFonts w:eastAsia="Calibri"/>
          <w:i/>
          <w:szCs w:val="22"/>
          <w:vertAlign w:val="superscript"/>
          <w:lang w:eastAsia="de-DE" w:bidi="de-DE"/>
        </w:rPr>
        <w:t>4quinquies</w:t>
      </w:r>
      <w:r w:rsidRPr="00334017">
        <w:rPr>
          <w:rFonts w:eastAsia="Calibri"/>
          <w:i/>
          <w:szCs w:val="22"/>
          <w:lang w:eastAsia="de-DE" w:bidi="de-DE"/>
        </w:rPr>
        <w:t xml:space="preserve"> bis 73</w:t>
      </w:r>
      <w:r w:rsidRPr="00334017">
        <w:rPr>
          <w:rFonts w:eastAsia="Calibri"/>
          <w:i/>
          <w:szCs w:val="22"/>
          <w:vertAlign w:val="superscript"/>
          <w:lang w:eastAsia="de-DE" w:bidi="de-DE"/>
        </w:rPr>
        <w:t>4septies</w:t>
      </w:r>
      <w:r w:rsidRPr="00334017">
        <w:rPr>
          <w:rFonts w:eastAsia="Calibri"/>
          <w:i/>
          <w:szCs w:val="22"/>
          <w:lang w:eastAsia="de-DE" w:bidi="de-DE"/>
        </w:rPr>
        <w:t xml:space="preserve"> eingefügt durch Art. 1 des K.E. vom 17. September 2005 (II) (B.S. vom 3. Oktober 2005)</w:t>
      </w:r>
      <w:r w:rsidR="00852D5F">
        <w:rPr>
          <w:rFonts w:eastAsia="Calibri"/>
          <w:i/>
          <w:szCs w:val="22"/>
          <w:lang w:eastAsia="de-DE" w:bidi="de-DE"/>
        </w:rPr>
        <w:t>,</w:t>
      </w:r>
      <w:r w:rsidR="00FA57C5">
        <w:rPr>
          <w:rFonts w:eastAsia="Calibri"/>
          <w:i/>
          <w:szCs w:val="22"/>
          <w:lang w:eastAsia="de-DE" w:bidi="de-DE"/>
        </w:rPr>
        <w:t xml:space="preserve"> umnummeriert zu Abschnitt 27quater</w:t>
      </w:r>
      <w:r w:rsidR="00FA57C5" w:rsidRPr="00FA57C5">
        <w:rPr>
          <w:rFonts w:eastAsia="Calibri"/>
          <w:i/>
          <w:szCs w:val="22"/>
          <w:vertAlign w:val="superscript"/>
          <w:lang w:eastAsia="de-DE" w:bidi="de-DE"/>
        </w:rPr>
        <w:t>2</w:t>
      </w:r>
      <w:r w:rsidR="00FA57C5">
        <w:rPr>
          <w:rFonts w:eastAsia="Calibri"/>
          <w:i/>
          <w:szCs w:val="22"/>
          <w:lang w:eastAsia="de-DE" w:bidi="de-DE"/>
        </w:rPr>
        <w:t xml:space="preserve"> durch Art. 1 des K.E. vom 2. Oktober 2019 (B.S. vom 17. Oktober 2019)</w:t>
      </w:r>
      <w:r w:rsidR="00852D5F">
        <w:rPr>
          <w:rFonts w:eastAsia="Calibri"/>
          <w:i/>
          <w:szCs w:val="22"/>
          <w:lang w:eastAsia="de-DE" w:bidi="de-DE"/>
        </w:rPr>
        <w:t xml:space="preserve"> und aufgehoben durch Art. 121</w:t>
      </w:r>
      <w:r w:rsidR="00852D5F" w:rsidRPr="00852D5F">
        <w:rPr>
          <w:rFonts w:eastAsia="Calibri"/>
          <w:i/>
          <w:szCs w:val="22"/>
          <w:lang w:eastAsia="de-DE" w:bidi="de-DE"/>
        </w:rPr>
        <w:t xml:space="preserve"> des G. vom 26. Dezember 2022 (B.S. vom 30. Dezember 2022)</w:t>
      </w:r>
      <w:r w:rsidRPr="00334017">
        <w:rPr>
          <w:rFonts w:eastAsia="Calibri"/>
          <w:i/>
          <w:szCs w:val="22"/>
          <w:lang w:eastAsia="de-DE" w:bidi="de-DE"/>
        </w:rPr>
        <w:t>]</w:t>
      </w:r>
    </w:p>
    <w:p w14:paraId="0EFD7D90" w14:textId="77777777" w:rsidR="005A5BD5" w:rsidRPr="00334017" w:rsidRDefault="005A5BD5" w:rsidP="004C2C7D">
      <w:pPr>
        <w:jc w:val="both"/>
        <w:rPr>
          <w:rFonts w:eastAsia="Calibri"/>
          <w:szCs w:val="22"/>
          <w:lang w:eastAsia="de-DE" w:bidi="de-DE"/>
        </w:rPr>
      </w:pPr>
    </w:p>
    <w:p w14:paraId="2DC6C7B8" w14:textId="77777777" w:rsidR="005A5BD5" w:rsidRPr="00334017" w:rsidRDefault="005A5BD5" w:rsidP="004C2C7D">
      <w:pPr>
        <w:jc w:val="both"/>
        <w:rPr>
          <w:rFonts w:eastAsia="Calibri"/>
          <w:szCs w:val="22"/>
          <w:lang w:eastAsia="de-DE" w:bidi="de-DE"/>
        </w:rPr>
      </w:pPr>
    </w:p>
    <w:p w14:paraId="3DE89F7B" w14:textId="270F09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73</w:t>
      </w:r>
      <w:r w:rsidRPr="00334017">
        <w:rPr>
          <w:rFonts w:eastAsia="Calibri"/>
          <w:b/>
          <w:szCs w:val="22"/>
          <w:vertAlign w:val="superscript"/>
          <w:lang w:eastAsia="de-DE" w:bidi="de-DE"/>
        </w:rPr>
        <w:t>4</w:t>
      </w:r>
      <w:r w:rsidRPr="00334017">
        <w:rPr>
          <w:rFonts w:eastAsia="Calibri"/>
          <w:b/>
          <w:i/>
          <w:szCs w:val="22"/>
          <w:vertAlign w:val="superscript"/>
          <w:lang w:eastAsia="de-DE" w:bidi="de-DE"/>
        </w:rPr>
        <w:t>quinquies</w:t>
      </w:r>
      <w:r w:rsidRPr="00334017">
        <w:rPr>
          <w:rFonts w:eastAsia="Calibri"/>
          <w:szCs w:val="22"/>
          <w:lang w:eastAsia="de-DE" w:bidi="de-DE"/>
        </w:rPr>
        <w:t xml:space="preserve"> - </w:t>
      </w:r>
      <w:r w:rsidR="00852D5F" w:rsidRPr="00334017">
        <w:rPr>
          <w:rFonts w:eastAsia="Calibri"/>
          <w:b/>
          <w:szCs w:val="22"/>
          <w:lang w:eastAsia="de-DE" w:bidi="de-DE"/>
        </w:rPr>
        <w:t>73</w:t>
      </w:r>
      <w:r w:rsidR="00852D5F" w:rsidRPr="00334017">
        <w:rPr>
          <w:rFonts w:eastAsia="Calibri"/>
          <w:b/>
          <w:szCs w:val="22"/>
          <w:vertAlign w:val="superscript"/>
          <w:lang w:eastAsia="de-DE" w:bidi="de-DE"/>
        </w:rPr>
        <w:t>4</w:t>
      </w:r>
      <w:r w:rsidR="00852D5F" w:rsidRPr="00334017">
        <w:rPr>
          <w:rFonts w:eastAsia="Calibri"/>
          <w:b/>
          <w:i/>
          <w:szCs w:val="22"/>
          <w:vertAlign w:val="superscript"/>
          <w:lang w:eastAsia="de-DE" w:bidi="de-DE"/>
        </w:rPr>
        <w:t>septies</w:t>
      </w:r>
      <w:r w:rsidR="00852D5F" w:rsidRPr="00334017">
        <w:rPr>
          <w:rFonts w:eastAsia="Calibri"/>
          <w:szCs w:val="22"/>
          <w:lang w:eastAsia="de-DE" w:bidi="de-DE"/>
        </w:rPr>
        <w:t> </w:t>
      </w:r>
      <w:r w:rsidR="00852D5F">
        <w:rPr>
          <w:rFonts w:eastAsia="Calibri"/>
          <w:szCs w:val="22"/>
          <w:lang w:eastAsia="de-DE" w:bidi="de-DE"/>
        </w:rPr>
        <w:t>-</w:t>
      </w:r>
      <w:r w:rsidR="00852D5F" w:rsidRPr="00334017">
        <w:rPr>
          <w:rFonts w:eastAsia="Calibri"/>
          <w:szCs w:val="22"/>
          <w:lang w:eastAsia="de-DE" w:bidi="de-DE"/>
        </w:rPr>
        <w:t xml:space="preserve"> </w:t>
      </w:r>
      <w:r w:rsidRPr="00334017">
        <w:rPr>
          <w:rFonts w:eastAsia="Calibri"/>
          <w:szCs w:val="22"/>
          <w:lang w:eastAsia="de-DE" w:bidi="de-DE"/>
        </w:rPr>
        <w:t>[</w:t>
      </w:r>
      <w:r w:rsidR="00852D5F">
        <w:rPr>
          <w:rFonts w:eastAsia="Calibri"/>
          <w:szCs w:val="22"/>
          <w:lang w:eastAsia="de-DE" w:bidi="de-DE"/>
        </w:rPr>
        <w:t>..</w:t>
      </w:r>
      <w:r w:rsidRPr="00334017">
        <w:rPr>
          <w:rFonts w:eastAsia="Calibri"/>
          <w:szCs w:val="22"/>
          <w:lang w:eastAsia="de-DE" w:bidi="de-DE"/>
        </w:rPr>
        <w:t>.]</w:t>
      </w:r>
      <w:r w:rsidR="00852D5F">
        <w:rPr>
          <w:rFonts w:eastAsia="Calibri"/>
          <w:szCs w:val="22"/>
          <w:lang w:eastAsia="de-DE" w:bidi="de-DE"/>
        </w:rPr>
        <w:t>]</w:t>
      </w:r>
    </w:p>
    <w:p w14:paraId="203B1005" w14:textId="77777777" w:rsidR="005A5BD5" w:rsidRPr="00334017" w:rsidRDefault="005A5BD5" w:rsidP="004C2C7D">
      <w:pPr>
        <w:jc w:val="both"/>
        <w:rPr>
          <w:rFonts w:eastAsia="Calibri"/>
          <w:szCs w:val="22"/>
          <w:lang w:eastAsia="de-DE" w:bidi="de-DE"/>
        </w:rPr>
      </w:pPr>
    </w:p>
    <w:p w14:paraId="41CEE06D" w14:textId="77777777" w:rsidR="009A607C" w:rsidRDefault="009A607C">
      <w:pPr>
        <w:rPr>
          <w:rFonts w:eastAsia="Calibri"/>
          <w:szCs w:val="22"/>
          <w:lang w:eastAsia="de-DE" w:bidi="de-DE"/>
        </w:rPr>
      </w:pPr>
    </w:p>
    <w:p w14:paraId="38848519" w14:textId="1A949A5D" w:rsidR="005A5BD5" w:rsidRPr="00334017" w:rsidRDefault="005A5BD5" w:rsidP="004C2C7D">
      <w:pPr>
        <w:jc w:val="both"/>
        <w:rPr>
          <w:rFonts w:eastAsia="Calibri"/>
          <w:szCs w:val="22"/>
          <w:lang w:eastAsia="de-DE" w:bidi="de-DE"/>
        </w:rPr>
      </w:pPr>
      <w:r w:rsidRPr="00334017">
        <w:rPr>
          <w:rFonts w:eastAsia="Calibri"/>
          <w:szCs w:val="22"/>
          <w:lang w:eastAsia="de-DE" w:bidi="de-DE"/>
        </w:rPr>
        <w:t>[</w:t>
      </w:r>
      <w:r w:rsidRPr="00334017">
        <w:rPr>
          <w:rFonts w:eastAsia="Calibri"/>
          <w:i/>
          <w:szCs w:val="22"/>
          <w:lang w:eastAsia="de-DE" w:bidi="de-DE"/>
        </w:rPr>
        <w:t>Abschnitt 27quinquies</w:t>
      </w:r>
      <w:r w:rsidRPr="00334017">
        <w:rPr>
          <w:rFonts w:eastAsia="Calibri"/>
          <w:szCs w:val="22"/>
          <w:lang w:eastAsia="de-DE" w:bidi="de-DE"/>
        </w:rPr>
        <w:t> - Zulassungsbedingungen, die ein zentralisiertes System für den Verleih von Finanzinstrumenten erfüllen muss, das in einem Zahlungs- und Wertpapierliefer- und -abrechnungssystem integriert ist, und Zeitraum, für den die Zulassung bewilligt werden kann</w:t>
      </w:r>
    </w:p>
    <w:p w14:paraId="4EF2DF35" w14:textId="77777777" w:rsidR="005A5BD5" w:rsidRPr="00334017" w:rsidRDefault="005A5BD5" w:rsidP="004C2C7D">
      <w:pPr>
        <w:jc w:val="both"/>
        <w:rPr>
          <w:rFonts w:eastAsia="Calibri"/>
          <w:szCs w:val="22"/>
          <w:lang w:eastAsia="de-DE" w:bidi="de-DE"/>
        </w:rPr>
      </w:pPr>
    </w:p>
    <w:p w14:paraId="5669C6E6" w14:textId="77777777" w:rsidR="005A5BD5" w:rsidRPr="00334017" w:rsidRDefault="005A5BD5" w:rsidP="004C2C7D">
      <w:pPr>
        <w:jc w:val="center"/>
        <w:rPr>
          <w:rFonts w:eastAsia="Calibri"/>
          <w:szCs w:val="22"/>
          <w:lang w:eastAsia="de-DE" w:bidi="de-DE"/>
        </w:rPr>
      </w:pPr>
      <w:r w:rsidRPr="00334017">
        <w:rPr>
          <w:rFonts w:eastAsia="Calibri"/>
          <w:szCs w:val="22"/>
          <w:lang w:eastAsia="de-DE" w:bidi="de-DE"/>
        </w:rPr>
        <w:t>(Einkommensteuergesetzbuch 1992, Artikel 261 Absatz 3)]</w:t>
      </w:r>
    </w:p>
    <w:p w14:paraId="33004CCF" w14:textId="77777777" w:rsidR="005A5BD5" w:rsidRPr="00334017" w:rsidRDefault="005A5BD5" w:rsidP="004C2C7D">
      <w:pPr>
        <w:jc w:val="both"/>
        <w:rPr>
          <w:rFonts w:eastAsia="Calibri"/>
          <w:szCs w:val="22"/>
          <w:lang w:eastAsia="de-DE" w:bidi="de-DE"/>
        </w:rPr>
      </w:pPr>
    </w:p>
    <w:p w14:paraId="2D8F6037"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[Unterteilung Abschnitt 27quinquies eingefügt durch Art. 2 des K.E. vom 20. Januar 2005 (B.S. vom 1. Februar 2005)]</w:t>
      </w:r>
    </w:p>
    <w:p w14:paraId="706AEE9A" w14:textId="77777777" w:rsidR="005A5BD5" w:rsidRPr="00334017" w:rsidRDefault="005A5BD5" w:rsidP="004C2C7D">
      <w:pPr>
        <w:jc w:val="both"/>
        <w:rPr>
          <w:rFonts w:eastAsia="Calibri"/>
          <w:szCs w:val="22"/>
          <w:lang w:eastAsia="de-DE" w:bidi="de-DE"/>
        </w:rPr>
      </w:pPr>
    </w:p>
    <w:p w14:paraId="515074DE" w14:textId="77777777" w:rsidR="005A5BD5" w:rsidRPr="00334017" w:rsidRDefault="005A5BD5" w:rsidP="004C2C7D">
      <w:pPr>
        <w:jc w:val="both"/>
        <w:rPr>
          <w:rFonts w:eastAsia="Calibri"/>
          <w:szCs w:val="22"/>
          <w:lang w:eastAsia="de-DE" w:bidi="de-DE"/>
        </w:rPr>
      </w:pPr>
    </w:p>
    <w:p w14:paraId="16A04A48"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w:t>
      </w:r>
      <w:r w:rsidRPr="00334017">
        <w:rPr>
          <w:rFonts w:eastAsia="Calibri"/>
          <w:b/>
          <w:szCs w:val="22"/>
          <w:lang w:eastAsia="de-DE" w:bidi="de-DE"/>
        </w:rPr>
        <w:t>Art. 73</w:t>
      </w:r>
      <w:r w:rsidRPr="00334017">
        <w:rPr>
          <w:rFonts w:eastAsia="Calibri"/>
          <w:b/>
          <w:szCs w:val="22"/>
          <w:vertAlign w:val="superscript"/>
          <w:lang w:eastAsia="de-DE" w:bidi="de-DE"/>
        </w:rPr>
        <w:t>5</w:t>
      </w:r>
      <w:r w:rsidRPr="00334017">
        <w:rPr>
          <w:rFonts w:eastAsia="Calibri"/>
          <w:szCs w:val="22"/>
          <w:lang w:eastAsia="de-DE" w:bidi="de-DE"/>
        </w:rPr>
        <w:t> - Für die Anwendung [des vorliegenden Abschnitts] versteht man unter:</w:t>
      </w:r>
    </w:p>
    <w:p w14:paraId="1E4E79A2" w14:textId="77777777" w:rsidR="005A5BD5" w:rsidRPr="00334017" w:rsidRDefault="005A5BD5" w:rsidP="004C2C7D">
      <w:pPr>
        <w:jc w:val="both"/>
        <w:rPr>
          <w:rFonts w:eastAsia="Calibri"/>
          <w:szCs w:val="22"/>
          <w:lang w:eastAsia="de-DE" w:bidi="de-DE"/>
        </w:rPr>
      </w:pPr>
    </w:p>
    <w:p w14:paraId="439D0EA6"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1. "zentralisiertem System für den Verleih von [Finanzinstrumenten]": ein System für den Verleih von [Finanzinstrumenten], dessen Zweck darin besteht, als letzte Instanz die Abwicklung von Aufträgen zur Übertragung von Wertpapieren zu erleichtern, und das integriert ist in einem Wertpapierliefer- und -abrechnungssystem</w:t>
      </w:r>
      <w:r>
        <w:rPr>
          <w:rFonts w:eastAsia="Calibri"/>
          <w:szCs w:val="22"/>
          <w:lang w:eastAsia="de-DE" w:bidi="de-DE"/>
        </w:rPr>
        <w:t>, das</w:t>
      </w:r>
      <w:r w:rsidRPr="00334017">
        <w:rPr>
          <w:rFonts w:eastAsia="Calibri"/>
          <w:szCs w:val="22"/>
          <w:lang w:eastAsia="de-DE" w:bidi="de-DE"/>
        </w:rPr>
        <w:t xml:space="preserve"> in Artikel 2 § 1 Buchstabe </w:t>
      </w:r>
      <w:r w:rsidRPr="00334017">
        <w:rPr>
          <w:rFonts w:eastAsia="Calibri"/>
          <w:i/>
          <w:szCs w:val="22"/>
          <w:lang w:eastAsia="de-DE" w:bidi="de-DE"/>
        </w:rPr>
        <w:t>b)</w:t>
      </w:r>
      <w:r w:rsidRPr="00334017">
        <w:rPr>
          <w:rFonts w:eastAsia="Calibri"/>
          <w:szCs w:val="22"/>
          <w:lang w:eastAsia="de-DE" w:bidi="de-DE"/>
        </w:rPr>
        <w:t xml:space="preserve"> des Gesetzes vom 28. April 1999 zur Umsetzung der Richtlinie 98/26/EG vom 19. Mai 1998 über die Wirksamkeit von Abrechnungen in Zahlungs- sowie Wertpapierliefer- und -abrechnungssystemen erwähnt</w:t>
      </w:r>
      <w:r>
        <w:rPr>
          <w:rFonts w:eastAsia="Calibri"/>
          <w:szCs w:val="22"/>
          <w:lang w:eastAsia="de-DE" w:bidi="de-DE"/>
        </w:rPr>
        <w:t xml:space="preserve"> ist,</w:t>
      </w:r>
      <w:r w:rsidRPr="00334017">
        <w:rPr>
          <w:rFonts w:eastAsia="Calibri"/>
          <w:szCs w:val="22"/>
          <w:lang w:eastAsia="de-DE" w:bidi="de-DE"/>
        </w:rPr>
        <w:t xml:space="preserve"> oder in einem System eines anderen Staates, dessen Rechtsvorschriften zumindest gleichwertige Bedingungen vorsehen,</w:t>
      </w:r>
    </w:p>
    <w:p w14:paraId="7B47C520" w14:textId="77777777" w:rsidR="009A607C" w:rsidRDefault="009A607C" w:rsidP="004C2C7D">
      <w:pPr>
        <w:jc w:val="both"/>
        <w:rPr>
          <w:rFonts w:eastAsia="Calibri"/>
          <w:szCs w:val="22"/>
          <w:lang w:eastAsia="de-DE" w:bidi="de-DE"/>
        </w:rPr>
      </w:pPr>
    </w:p>
    <w:p w14:paraId="0B626021"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xml:space="preserve">2. "Systemverwalter": Gesellschaft, die das zentralisierte System für den Verleih von [Finanzinstrumenten] verwaltet und der Gesellschaftssteuer, aufgrund von Artikel 227 Nr. 2 </w:t>
      </w:r>
      <w:r w:rsidRPr="00334017">
        <w:rPr>
          <w:rFonts w:eastAsia="Calibri"/>
          <w:szCs w:val="22"/>
          <w:lang w:eastAsia="de-DE" w:bidi="de-DE"/>
        </w:rPr>
        <w:lastRenderedPageBreak/>
        <w:t>des Einkommensteuergesetzbuches 1992 der Steuer der Gebietsfremden oder einer ähnlichen ausländischen Steuer unterliegt.]</w:t>
      </w:r>
    </w:p>
    <w:p w14:paraId="580E7D12" w14:textId="77777777" w:rsidR="005A5BD5" w:rsidRPr="00334017" w:rsidRDefault="005A5BD5" w:rsidP="004C2C7D">
      <w:pPr>
        <w:jc w:val="both"/>
        <w:rPr>
          <w:rFonts w:eastAsia="Calibri"/>
          <w:szCs w:val="22"/>
          <w:lang w:eastAsia="de-DE" w:bidi="de-DE"/>
        </w:rPr>
      </w:pPr>
    </w:p>
    <w:p w14:paraId="3EE10663"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[Art. 73</w:t>
      </w:r>
      <w:r w:rsidRPr="00334017">
        <w:rPr>
          <w:rFonts w:eastAsia="Calibri"/>
          <w:i/>
          <w:szCs w:val="22"/>
          <w:vertAlign w:val="superscript"/>
          <w:lang w:eastAsia="de-DE" w:bidi="de-DE"/>
        </w:rPr>
        <w:t>5</w:t>
      </w:r>
      <w:r w:rsidRPr="00334017">
        <w:rPr>
          <w:rFonts w:eastAsia="Calibri"/>
          <w:i/>
          <w:szCs w:val="22"/>
          <w:lang w:eastAsia="de-DE" w:bidi="de-DE"/>
        </w:rPr>
        <w:t xml:space="preserve"> eingefügt durch Art. 1 des K.E. vom 29. November 2000 (B.S. vom 23. Dezember 2000); einziger Absatz einleitende Bestimmung abgeändert durch Art. 1 des K.E. vom 30. Juli 2010 (B.S. vom 16. August 2010); einziger Absatz Nr. 1 und 2 abgeändert durch Art. 3 des K.E. vom 20. Januar 2005 (B.S. vom 1. Februar 2005)]</w:t>
      </w:r>
    </w:p>
    <w:p w14:paraId="59BEDE8D" w14:textId="77777777" w:rsidR="005A5BD5" w:rsidRPr="00334017" w:rsidRDefault="005A5BD5" w:rsidP="004C2C7D">
      <w:pPr>
        <w:jc w:val="both"/>
        <w:rPr>
          <w:rFonts w:eastAsia="Calibri"/>
          <w:szCs w:val="22"/>
          <w:lang w:eastAsia="de-DE" w:bidi="de-DE"/>
        </w:rPr>
      </w:pPr>
    </w:p>
    <w:p w14:paraId="0A6CB838" w14:textId="77777777" w:rsidR="005A5BD5" w:rsidRPr="00334017" w:rsidRDefault="005A5BD5" w:rsidP="004C2C7D">
      <w:pPr>
        <w:jc w:val="both"/>
        <w:rPr>
          <w:rFonts w:eastAsia="Calibri"/>
          <w:szCs w:val="22"/>
          <w:lang w:eastAsia="de-DE" w:bidi="de-DE"/>
        </w:rPr>
      </w:pPr>
    </w:p>
    <w:p w14:paraId="07E3EC87"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w:t>
      </w:r>
      <w:r w:rsidRPr="00334017">
        <w:rPr>
          <w:rFonts w:eastAsia="Calibri"/>
          <w:b/>
          <w:szCs w:val="22"/>
          <w:lang w:eastAsia="de-DE" w:bidi="de-DE"/>
        </w:rPr>
        <w:t>Art. 73</w:t>
      </w:r>
      <w:r w:rsidRPr="00334017">
        <w:rPr>
          <w:rFonts w:eastAsia="Calibri"/>
          <w:b/>
          <w:szCs w:val="22"/>
          <w:vertAlign w:val="superscript"/>
          <w:lang w:eastAsia="de-DE" w:bidi="de-DE"/>
        </w:rPr>
        <w:t>6</w:t>
      </w:r>
      <w:r w:rsidRPr="00334017">
        <w:rPr>
          <w:rFonts w:eastAsia="Calibri"/>
          <w:szCs w:val="22"/>
          <w:lang w:eastAsia="de-DE" w:bidi="de-DE"/>
        </w:rPr>
        <w:t> - Für die Anwendung von Artikel [261 Absatz 3] des Einkommensteuer</w:t>
      </w:r>
      <w:r w:rsidRPr="00334017">
        <w:rPr>
          <w:rFonts w:eastAsia="Calibri"/>
          <w:szCs w:val="22"/>
          <w:lang w:eastAsia="de-DE" w:bidi="de-DE"/>
        </w:rPr>
        <w:softHyphen/>
        <w:t>gesetzbuches 1992 können zentralisierte Systeme für den Verleih von [Finanzinstrumenten] zugelassen werden, die folgende Bedingungen erfüllen:</w:t>
      </w:r>
    </w:p>
    <w:p w14:paraId="4DF5A2A7" w14:textId="77777777" w:rsidR="005A5BD5" w:rsidRPr="00334017" w:rsidRDefault="005A5BD5" w:rsidP="004C2C7D">
      <w:pPr>
        <w:jc w:val="both"/>
        <w:rPr>
          <w:rFonts w:eastAsia="Calibri"/>
          <w:szCs w:val="22"/>
          <w:lang w:eastAsia="de-DE" w:bidi="de-DE"/>
        </w:rPr>
      </w:pPr>
    </w:p>
    <w:p w14:paraId="636DAF91"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1. ihre Zwischenstellung zwischen Entleiher und Verleiher selbst auf eine Weise gewährleisten, die sicherstellt, dass Verleiher und Entleiher in keiner Weise in die Wahl ihrer Vertragspartei eingreifen können,</w:t>
      </w:r>
    </w:p>
    <w:p w14:paraId="01F531C9" w14:textId="77777777" w:rsidR="005A5BD5" w:rsidRPr="00334017" w:rsidRDefault="005A5BD5" w:rsidP="004C2C7D">
      <w:pPr>
        <w:jc w:val="both"/>
        <w:rPr>
          <w:rFonts w:eastAsia="Calibri"/>
          <w:szCs w:val="22"/>
          <w:lang w:eastAsia="de-DE" w:bidi="de-DE"/>
        </w:rPr>
      </w:pPr>
    </w:p>
    <w:p w14:paraId="368392E9"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2. Anonymität zwischen Entleiher und Verleiher gewährleisten, so dass die Identität der Entleiher den Verleihern nicht bekannt gegeben werden kann und umgekehrt,</w:t>
      </w:r>
    </w:p>
    <w:p w14:paraId="70A7B289" w14:textId="77777777" w:rsidR="005A5BD5" w:rsidRPr="00334017" w:rsidRDefault="005A5BD5" w:rsidP="004C2C7D">
      <w:pPr>
        <w:jc w:val="both"/>
        <w:rPr>
          <w:rFonts w:eastAsia="Calibri"/>
          <w:szCs w:val="22"/>
          <w:lang w:eastAsia="de-DE" w:bidi="de-DE"/>
        </w:rPr>
      </w:pPr>
    </w:p>
    <w:p w14:paraId="6C7923F5"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3. gewährleisten, dass Anleihen aufgenommen werden, die es dem Entleiher ermöglichen, einer Pflicht zur Lieferung von Aktien oder Anteilen nachzukommen.</w:t>
      </w:r>
    </w:p>
    <w:p w14:paraId="7E65674F" w14:textId="77777777" w:rsidR="005A5BD5" w:rsidRPr="00334017" w:rsidRDefault="005A5BD5" w:rsidP="004C2C7D">
      <w:pPr>
        <w:jc w:val="both"/>
        <w:rPr>
          <w:rFonts w:eastAsia="Calibri"/>
          <w:szCs w:val="22"/>
          <w:lang w:eastAsia="de-DE" w:bidi="de-DE"/>
        </w:rPr>
      </w:pPr>
    </w:p>
    <w:p w14:paraId="133944E7"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4. [...]</w:t>
      </w:r>
    </w:p>
    <w:p w14:paraId="1CCD41BF" w14:textId="42805840" w:rsidR="0078059C" w:rsidRDefault="0078059C">
      <w:pPr>
        <w:rPr>
          <w:rFonts w:eastAsia="Calibri"/>
          <w:szCs w:val="22"/>
          <w:lang w:eastAsia="de-DE" w:bidi="de-DE"/>
        </w:rPr>
      </w:pPr>
    </w:p>
    <w:p w14:paraId="095FEF1E"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xml:space="preserve">Die Einhaltung dieser Bedingungen in ihrer Gesamtheit soll ermöglichen, dass der systematische Rückgriff auf die Zahlung [von Einkünften wie in </w:t>
      </w:r>
      <w:r w:rsidR="00BF0D65">
        <w:rPr>
          <w:rFonts w:eastAsia="Calibri"/>
          <w:szCs w:val="22"/>
          <w:lang w:eastAsia="de-DE" w:bidi="de-DE"/>
        </w:rPr>
        <w:t>[</w:t>
      </w:r>
      <w:r w:rsidR="00BF0D65" w:rsidRPr="00B617CF">
        <w:t>Artikel 90 Absatz 1 Nr. 11</w:t>
      </w:r>
      <w:r w:rsidR="00BF0D65">
        <w:rPr>
          <w:rFonts w:eastAsia="Calibri"/>
          <w:szCs w:val="22"/>
          <w:lang w:eastAsia="de-DE" w:bidi="de-DE"/>
        </w:rPr>
        <w:t>]</w:t>
      </w:r>
      <w:r w:rsidRPr="00334017">
        <w:rPr>
          <w:rFonts w:eastAsia="Calibri"/>
          <w:szCs w:val="22"/>
          <w:lang w:eastAsia="de-DE" w:bidi="de-DE"/>
        </w:rPr>
        <w:t xml:space="preserve"> desselben Gesetzbuches erwähnt] vermieden wird.</w:t>
      </w:r>
    </w:p>
    <w:p w14:paraId="40650440" w14:textId="77777777" w:rsidR="005A5BD5" w:rsidRPr="00334017" w:rsidRDefault="005A5BD5" w:rsidP="004C2C7D">
      <w:pPr>
        <w:jc w:val="both"/>
        <w:rPr>
          <w:rFonts w:eastAsia="Calibri"/>
          <w:szCs w:val="22"/>
          <w:lang w:eastAsia="de-DE" w:bidi="de-DE"/>
        </w:rPr>
      </w:pPr>
    </w:p>
    <w:p w14:paraId="7E60E77C"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[Art. 73</w:t>
      </w:r>
      <w:r w:rsidRPr="00334017">
        <w:rPr>
          <w:rFonts w:eastAsia="Calibri"/>
          <w:i/>
          <w:szCs w:val="22"/>
          <w:vertAlign w:val="superscript"/>
          <w:lang w:eastAsia="de-DE" w:bidi="de-DE"/>
        </w:rPr>
        <w:t>6</w:t>
      </w:r>
      <w:r w:rsidRPr="00334017">
        <w:rPr>
          <w:rFonts w:eastAsia="Calibri"/>
          <w:i/>
          <w:szCs w:val="22"/>
          <w:lang w:eastAsia="de-DE" w:bidi="de-DE"/>
        </w:rPr>
        <w:t xml:space="preserve"> eingefügt durch Art. 1 des K.E. vom 29. November 2000 (B.S. vom 23. Dezember 2000); Abs. 1 einleitende Bestimmung abgeändert durch Art. 4 Nr. 1 des K.E. vom 20. Januar 2005 (B.S. vom 1. Februar 2005); Abs. 1 Nr. 4 aufgehoben durch Art. 4 Nr. 2 des K.E. vom 20. Januar 2005 (B.S. vom 1. Februar 2005); Abs. 2 abgeändert durch Art. 4 Nr. 3 des K.E. vom 20. Januar 2005 (B.S. vom 1. Februar 2005)</w:t>
      </w:r>
      <w:r w:rsidR="00BF0D65">
        <w:rPr>
          <w:rFonts w:eastAsia="Calibri"/>
          <w:i/>
          <w:szCs w:val="22"/>
          <w:lang w:eastAsia="de-DE" w:bidi="de-DE"/>
        </w:rPr>
        <w:t xml:space="preserve"> und Art. 11 des K.E. vom </w:t>
      </w:r>
      <w:r w:rsidR="005024BD">
        <w:rPr>
          <w:rFonts w:eastAsia="Calibri"/>
          <w:i/>
          <w:szCs w:val="22"/>
          <w:lang w:eastAsia="de-DE" w:bidi="de-DE"/>
        </w:rPr>
        <w:t>22. Mai 2017 (II)</w:t>
      </w:r>
      <w:r w:rsidR="00BF0D65">
        <w:rPr>
          <w:rFonts w:eastAsia="Calibri"/>
          <w:i/>
          <w:szCs w:val="22"/>
          <w:lang w:eastAsia="de-DE" w:bidi="de-DE"/>
        </w:rPr>
        <w:t xml:space="preserve"> (B.S. vom 6. Juni 2017)</w:t>
      </w:r>
      <w:r w:rsidRPr="00334017">
        <w:rPr>
          <w:rFonts w:eastAsia="Calibri"/>
          <w:i/>
          <w:szCs w:val="22"/>
          <w:lang w:eastAsia="de-DE" w:bidi="de-DE"/>
        </w:rPr>
        <w:t>]</w:t>
      </w:r>
    </w:p>
    <w:p w14:paraId="669D70E3" w14:textId="77777777" w:rsidR="005A5BD5" w:rsidRPr="00334017" w:rsidRDefault="005A5BD5" w:rsidP="004C2C7D">
      <w:pPr>
        <w:jc w:val="both"/>
        <w:rPr>
          <w:rFonts w:eastAsia="Calibri"/>
          <w:szCs w:val="22"/>
          <w:lang w:eastAsia="de-DE" w:bidi="de-DE"/>
        </w:rPr>
      </w:pPr>
    </w:p>
    <w:p w14:paraId="4100A395" w14:textId="77777777" w:rsidR="005A5BD5" w:rsidRPr="00334017" w:rsidRDefault="005A5BD5" w:rsidP="004C2C7D">
      <w:pPr>
        <w:jc w:val="both"/>
        <w:rPr>
          <w:rFonts w:eastAsia="Calibri"/>
          <w:szCs w:val="22"/>
          <w:lang w:eastAsia="de-DE" w:bidi="de-DE"/>
        </w:rPr>
      </w:pPr>
    </w:p>
    <w:p w14:paraId="50907347" w14:textId="09308411" w:rsidR="005A5BD5" w:rsidRPr="00334017" w:rsidRDefault="005A5BD5" w:rsidP="004C2C7D">
      <w:pPr>
        <w:jc w:val="both"/>
        <w:rPr>
          <w:rFonts w:eastAsia="Calibri"/>
          <w:szCs w:val="22"/>
          <w:lang w:eastAsia="de-DE" w:bidi="de-DE"/>
        </w:rPr>
      </w:pPr>
      <w:r w:rsidRPr="00334017">
        <w:rPr>
          <w:rFonts w:eastAsia="Calibri"/>
          <w:szCs w:val="22"/>
          <w:lang w:eastAsia="de-DE" w:bidi="de-DE"/>
        </w:rPr>
        <w:tab/>
        <w:t>[</w:t>
      </w:r>
      <w:r w:rsidRPr="00334017">
        <w:rPr>
          <w:rFonts w:eastAsia="Calibri"/>
          <w:b/>
          <w:szCs w:val="22"/>
          <w:lang w:eastAsia="de-DE" w:bidi="de-DE"/>
        </w:rPr>
        <w:t>Art. 73</w:t>
      </w:r>
      <w:r w:rsidRPr="00334017">
        <w:rPr>
          <w:rFonts w:eastAsia="Calibri"/>
          <w:b/>
          <w:szCs w:val="22"/>
          <w:vertAlign w:val="superscript"/>
          <w:lang w:eastAsia="de-DE" w:bidi="de-DE"/>
        </w:rPr>
        <w:t>7</w:t>
      </w:r>
      <w:r w:rsidRPr="00334017">
        <w:rPr>
          <w:rFonts w:eastAsia="Calibri"/>
          <w:szCs w:val="22"/>
          <w:lang w:eastAsia="de-DE" w:bidi="de-DE"/>
        </w:rPr>
        <w:t xml:space="preserve"> - Systemverwalter, [die in einem Mitgliedstaat des Europäischen Wirtschaftsraums] weder </w:t>
      </w:r>
      <w:r w:rsidR="00BB442C">
        <w:rPr>
          <w:rFonts w:eastAsia="Calibri"/>
          <w:szCs w:val="22"/>
          <w:lang w:eastAsia="de-DE" w:bidi="de-DE"/>
        </w:rPr>
        <w:t>[…]</w:t>
      </w:r>
      <w:r w:rsidRPr="00334017">
        <w:rPr>
          <w:rFonts w:eastAsia="Calibri"/>
          <w:szCs w:val="22"/>
          <w:lang w:eastAsia="de-DE" w:bidi="de-DE"/>
        </w:rPr>
        <w:t xml:space="preserve"> über eine Hauptniederlassung noch über einen Geschäftsführungs- oder Verwaltungssitz verfügen und keine belgische Niederlassung im Sinne von Artikel 229 des Einkommensteuergesetzbuches 1992 sind, müssen vor einem Zulassungsantrag einen in Belgien wohnhaften Fiskalvertreter bestimmen, der sich persönlich dazu verpflichtet, den ihm aufgrund [des vorliegenden Abschnitts] auferlegten Verpflichtungen nachzukommen.]</w:t>
      </w:r>
    </w:p>
    <w:p w14:paraId="50A35710" w14:textId="77777777" w:rsidR="005A5BD5" w:rsidRPr="00334017" w:rsidRDefault="005A5BD5" w:rsidP="004C2C7D">
      <w:pPr>
        <w:jc w:val="both"/>
        <w:rPr>
          <w:rFonts w:eastAsia="Calibri"/>
          <w:szCs w:val="22"/>
          <w:lang w:eastAsia="de-DE" w:bidi="de-DE"/>
        </w:rPr>
      </w:pPr>
    </w:p>
    <w:p w14:paraId="254FECB6" w14:textId="15CCF09B" w:rsidR="005A5BD5"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[Art. 73</w:t>
      </w:r>
      <w:r w:rsidRPr="00334017">
        <w:rPr>
          <w:rFonts w:eastAsia="Calibri"/>
          <w:i/>
          <w:szCs w:val="22"/>
          <w:vertAlign w:val="superscript"/>
          <w:lang w:eastAsia="de-DE" w:bidi="de-DE"/>
        </w:rPr>
        <w:t>7</w:t>
      </w:r>
      <w:r w:rsidRPr="00334017">
        <w:rPr>
          <w:rFonts w:eastAsia="Calibri"/>
          <w:i/>
          <w:szCs w:val="22"/>
          <w:lang w:eastAsia="de-DE" w:bidi="de-DE"/>
        </w:rPr>
        <w:t xml:space="preserve"> eingefügt durch Art. 1 des K.E. vom 29. November 2000 (B.S. vom 23. Dezember 2000) und abgeändert durch Art. 2 des K.E. vom 30. Juli 2010 (B.S. vom 16. August 2010)</w:t>
      </w:r>
      <w:r w:rsidR="00BB442C">
        <w:rPr>
          <w:rFonts w:eastAsia="Calibri"/>
          <w:i/>
          <w:szCs w:val="22"/>
          <w:lang w:eastAsia="de-DE" w:bidi="de-DE"/>
        </w:rPr>
        <w:t>,</w:t>
      </w:r>
      <w:r w:rsidRPr="00334017">
        <w:rPr>
          <w:rFonts w:eastAsia="Calibri"/>
          <w:i/>
          <w:szCs w:val="22"/>
          <w:lang w:eastAsia="de-DE" w:bidi="de-DE"/>
        </w:rPr>
        <w:t xml:space="preserve"> Art. 5 des K.E. vom 5. Dezember 2011 (II) (B.S. vom 12. Dezember 2011)</w:t>
      </w:r>
      <w:r w:rsidR="00BB442C">
        <w:rPr>
          <w:rFonts w:eastAsia="Calibri"/>
          <w:i/>
          <w:szCs w:val="22"/>
          <w:lang w:eastAsia="de-DE" w:bidi="de-DE"/>
        </w:rPr>
        <w:t xml:space="preserve"> und Art. 11 des K.E. vom 29. August 2019</w:t>
      </w:r>
      <w:r w:rsidR="00865C4C">
        <w:rPr>
          <w:rFonts w:eastAsia="Calibri"/>
          <w:i/>
          <w:szCs w:val="22"/>
          <w:lang w:eastAsia="de-DE" w:bidi="de-DE"/>
        </w:rPr>
        <w:t> (I)</w:t>
      </w:r>
      <w:r w:rsidR="00BB442C">
        <w:rPr>
          <w:rFonts w:eastAsia="Calibri"/>
          <w:i/>
          <w:szCs w:val="22"/>
          <w:lang w:eastAsia="de-DE" w:bidi="de-DE"/>
        </w:rPr>
        <w:t xml:space="preserve"> (B.S. vom 13. September 2019)</w:t>
      </w:r>
      <w:r w:rsidRPr="00334017">
        <w:rPr>
          <w:rFonts w:eastAsia="Calibri"/>
          <w:i/>
          <w:szCs w:val="22"/>
          <w:lang w:eastAsia="de-DE" w:bidi="de-DE"/>
        </w:rPr>
        <w:t>]</w:t>
      </w:r>
    </w:p>
    <w:p w14:paraId="0638CB2D" w14:textId="77777777" w:rsidR="009A607C" w:rsidRDefault="009A607C" w:rsidP="004C2C7D">
      <w:pPr>
        <w:tabs>
          <w:tab w:val="left" w:pos="960"/>
        </w:tabs>
        <w:jc w:val="both"/>
        <w:rPr>
          <w:rFonts w:eastAsia="Calibri"/>
          <w:szCs w:val="22"/>
          <w:lang w:eastAsia="de-DE" w:bidi="de-DE"/>
        </w:rPr>
      </w:pPr>
    </w:p>
    <w:p w14:paraId="4BD734A5" w14:textId="77777777" w:rsidR="009A607C" w:rsidRDefault="009A607C" w:rsidP="004C2C7D">
      <w:pPr>
        <w:tabs>
          <w:tab w:val="left" w:pos="960"/>
        </w:tabs>
        <w:jc w:val="both"/>
        <w:rPr>
          <w:rFonts w:eastAsia="Calibri"/>
          <w:szCs w:val="22"/>
          <w:lang w:eastAsia="de-DE" w:bidi="de-DE"/>
        </w:rPr>
      </w:pPr>
    </w:p>
    <w:p w14:paraId="1A0B79BB" w14:textId="77777777" w:rsidR="005A5BD5" w:rsidRPr="00334017" w:rsidRDefault="005A5BD5" w:rsidP="004C2C7D">
      <w:pPr>
        <w:tabs>
          <w:tab w:val="left" w:pos="960"/>
        </w:tabs>
        <w:jc w:val="both"/>
        <w:rPr>
          <w:rFonts w:eastAsia="Calibri"/>
          <w:szCs w:val="22"/>
          <w:lang w:eastAsia="de-DE" w:bidi="de-DE"/>
        </w:rPr>
      </w:pPr>
      <w:r w:rsidRPr="00334017">
        <w:rPr>
          <w:rFonts w:eastAsia="Calibri"/>
          <w:szCs w:val="22"/>
          <w:lang w:eastAsia="de-DE" w:bidi="de-DE"/>
        </w:rPr>
        <w:tab/>
        <w:t>[</w:t>
      </w:r>
      <w:r w:rsidRPr="00334017">
        <w:rPr>
          <w:rFonts w:eastAsia="Calibri"/>
          <w:b/>
          <w:szCs w:val="22"/>
          <w:lang w:eastAsia="de-DE" w:bidi="de-DE"/>
        </w:rPr>
        <w:t>Art. 73</w:t>
      </w:r>
      <w:r w:rsidRPr="00334017">
        <w:rPr>
          <w:rFonts w:eastAsia="Calibri"/>
          <w:b/>
          <w:szCs w:val="22"/>
          <w:vertAlign w:val="superscript"/>
          <w:lang w:eastAsia="de-DE" w:bidi="de-DE"/>
        </w:rPr>
        <w:t>8</w:t>
      </w:r>
      <w:r w:rsidRPr="00334017">
        <w:rPr>
          <w:rFonts w:eastAsia="Calibri"/>
          <w:szCs w:val="22"/>
          <w:lang w:eastAsia="de-DE" w:bidi="de-DE"/>
        </w:rPr>
        <w:t> - § 1 - Um zugelassen zu werden, müssen zentralisierte Systeme für den Verleih von [Finanzinstrumenten] in den nachstehend bestimmten Formen und Fristen einen diesbezüglichen schriftlichen Antrag einreichen.</w:t>
      </w:r>
    </w:p>
    <w:p w14:paraId="4549C1F7" w14:textId="77777777" w:rsidR="005A5BD5" w:rsidRPr="00334017" w:rsidRDefault="005A5BD5" w:rsidP="004C2C7D">
      <w:pPr>
        <w:jc w:val="both"/>
        <w:rPr>
          <w:rFonts w:eastAsia="Calibri"/>
          <w:szCs w:val="22"/>
          <w:lang w:eastAsia="de-DE" w:bidi="de-DE"/>
        </w:rPr>
      </w:pPr>
    </w:p>
    <w:p w14:paraId="39A30210"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Zulassungsanträge müssen beim Minister der Finanzen eingereicht werden. Der Empfang des Zulassungsantrags wird dem Systemverwalter oder in den in Artikel 73</w:t>
      </w:r>
      <w:r w:rsidRPr="00334017">
        <w:rPr>
          <w:rFonts w:eastAsia="Calibri"/>
          <w:szCs w:val="22"/>
          <w:vertAlign w:val="superscript"/>
          <w:lang w:eastAsia="de-DE" w:bidi="de-DE"/>
        </w:rPr>
        <w:t>7</w:t>
      </w:r>
      <w:r w:rsidRPr="00334017">
        <w:rPr>
          <w:rFonts w:eastAsia="Calibri"/>
          <w:szCs w:val="22"/>
          <w:lang w:eastAsia="de-DE" w:bidi="de-DE"/>
        </w:rPr>
        <w:t xml:space="preserve"> erwähnten Fällen seinem Fiskalvertreter mit Angabe des Datums des Antragsempfangs bestätigt.</w:t>
      </w:r>
    </w:p>
    <w:p w14:paraId="3D92F7C7" w14:textId="77777777" w:rsidR="005A5BD5" w:rsidRPr="00334017" w:rsidRDefault="005A5BD5" w:rsidP="004C2C7D">
      <w:pPr>
        <w:jc w:val="both"/>
        <w:rPr>
          <w:rFonts w:eastAsia="Calibri"/>
          <w:szCs w:val="22"/>
          <w:lang w:eastAsia="de-DE" w:bidi="de-DE"/>
        </w:rPr>
      </w:pPr>
    </w:p>
    <w:p w14:paraId="4A387093"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Zulassungsanträge müssen folgende Informationen enthalten, damit sie als vollständig betrachtet werden können:</w:t>
      </w:r>
    </w:p>
    <w:p w14:paraId="724384BA" w14:textId="77777777" w:rsidR="005A5BD5" w:rsidRPr="00334017" w:rsidRDefault="005A5BD5" w:rsidP="004C2C7D">
      <w:pPr>
        <w:jc w:val="both"/>
        <w:rPr>
          <w:rFonts w:eastAsia="Calibri"/>
          <w:szCs w:val="22"/>
          <w:lang w:eastAsia="de-DE" w:bidi="de-DE"/>
        </w:rPr>
      </w:pPr>
    </w:p>
    <w:p w14:paraId="2347BECB"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Bezeichnung, Identifizierungsnummer und Adresse des Verwalters und in den in Artikel 73</w:t>
      </w:r>
      <w:r w:rsidRPr="00334017">
        <w:rPr>
          <w:rFonts w:eastAsia="Calibri"/>
          <w:szCs w:val="22"/>
          <w:vertAlign w:val="superscript"/>
          <w:lang w:eastAsia="de-DE" w:bidi="de-DE"/>
        </w:rPr>
        <w:t>7</w:t>
      </w:r>
      <w:r w:rsidRPr="00334017">
        <w:rPr>
          <w:rFonts w:eastAsia="Calibri"/>
          <w:szCs w:val="22"/>
          <w:lang w:eastAsia="de-DE" w:bidi="de-DE"/>
        </w:rPr>
        <w:t xml:space="preserve"> erwähnten Fällen seines Fiskalvertreters,</w:t>
      </w:r>
    </w:p>
    <w:p w14:paraId="126F48E4" w14:textId="77777777" w:rsidR="005A5BD5" w:rsidRPr="00334017" w:rsidRDefault="005A5BD5" w:rsidP="004C2C7D">
      <w:pPr>
        <w:jc w:val="both"/>
        <w:rPr>
          <w:rFonts w:eastAsia="Calibri"/>
          <w:szCs w:val="22"/>
          <w:lang w:eastAsia="de-DE" w:bidi="de-DE"/>
        </w:rPr>
      </w:pPr>
    </w:p>
    <w:p w14:paraId="524C0FD2"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allgemeine Beschreibung des zentralisierten Systems für den Verleih von [Finanzinstrumenten], für das die Zulassung beantragt wird, in der die Rolle der verschiedenen beteiligten Parteien näher bestimmt wird, und</w:t>
      </w:r>
    </w:p>
    <w:p w14:paraId="4B07BF95" w14:textId="77777777" w:rsidR="005A5BD5" w:rsidRPr="00334017" w:rsidRDefault="005A5BD5" w:rsidP="004C2C7D">
      <w:pPr>
        <w:jc w:val="both"/>
        <w:rPr>
          <w:rFonts w:eastAsia="Calibri"/>
          <w:szCs w:val="22"/>
          <w:lang w:eastAsia="de-DE" w:bidi="de-DE"/>
        </w:rPr>
      </w:pPr>
    </w:p>
    <w:p w14:paraId="034D9E3C"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für jede der in Artikel 73</w:t>
      </w:r>
      <w:r w:rsidRPr="00334017">
        <w:rPr>
          <w:rFonts w:eastAsia="Calibri"/>
          <w:szCs w:val="22"/>
          <w:vertAlign w:val="superscript"/>
          <w:lang w:eastAsia="de-DE" w:bidi="de-DE"/>
        </w:rPr>
        <w:t>6</w:t>
      </w:r>
      <w:r w:rsidRPr="00334017">
        <w:rPr>
          <w:rFonts w:eastAsia="Calibri"/>
          <w:szCs w:val="22"/>
          <w:lang w:eastAsia="de-DE" w:bidi="de-DE"/>
        </w:rPr>
        <w:t xml:space="preserve"> festgelegten Bedingungen Funktionsmerkmale des Systems, die die Einhaltung dieser Bedingungen gewährleisten.</w:t>
      </w:r>
    </w:p>
    <w:p w14:paraId="53BC14E0" w14:textId="77777777" w:rsidR="005A5BD5" w:rsidRPr="00334017" w:rsidRDefault="005A5BD5" w:rsidP="004C2C7D">
      <w:pPr>
        <w:jc w:val="both"/>
        <w:rPr>
          <w:rFonts w:eastAsia="Calibri"/>
          <w:szCs w:val="22"/>
          <w:lang w:eastAsia="de-DE" w:bidi="de-DE"/>
        </w:rPr>
      </w:pPr>
    </w:p>
    <w:p w14:paraId="7179AE3D"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Insofern der Antrag vollständig ist, notifiziert der Minister der Finanzen dem Systemverwalter oder in den in Artikel 73</w:t>
      </w:r>
      <w:r w:rsidRPr="00334017">
        <w:rPr>
          <w:rFonts w:eastAsia="Calibri"/>
          <w:szCs w:val="22"/>
          <w:vertAlign w:val="superscript"/>
          <w:lang w:eastAsia="de-DE" w:bidi="de-DE"/>
        </w:rPr>
        <w:t>7</w:t>
      </w:r>
      <w:r w:rsidRPr="00334017">
        <w:rPr>
          <w:rFonts w:eastAsia="Calibri"/>
          <w:szCs w:val="22"/>
          <w:lang w:eastAsia="de-DE" w:bidi="de-DE"/>
        </w:rPr>
        <w:t xml:space="preserve"> erwähnten Fällen dessen Fiskalvertreter innerhalb einer Frist von drei Monaten ab dem Datum des Antragsempfangs seinen Beschluss.</w:t>
      </w:r>
    </w:p>
    <w:p w14:paraId="641E5B56" w14:textId="77777777" w:rsidR="005A5BD5" w:rsidRPr="00334017" w:rsidRDefault="005A5BD5" w:rsidP="004C2C7D">
      <w:pPr>
        <w:jc w:val="both"/>
        <w:rPr>
          <w:rFonts w:eastAsia="Calibri"/>
          <w:szCs w:val="22"/>
          <w:lang w:eastAsia="de-DE" w:bidi="de-DE"/>
        </w:rPr>
      </w:pPr>
    </w:p>
    <w:p w14:paraId="7BA2D1C6"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Geht aus der Prüfung des Antrags hervor, dass zusätzliche Informationen zu den in Absatz 3 erwähnten Informationen erteilt werden müssen, wird die in vorhergehendem Absatz erwähnte Frist durch einen Beschluss, der dem Antragsteller innerhalb der ursprünglichen Frist von drei Monaten notifiziert wird, um drei Monate verlängert.</w:t>
      </w:r>
    </w:p>
    <w:p w14:paraId="30568979" w14:textId="77777777" w:rsidR="005A5BD5" w:rsidRPr="00334017" w:rsidRDefault="005A5BD5" w:rsidP="004C2C7D">
      <w:pPr>
        <w:jc w:val="both"/>
        <w:rPr>
          <w:rFonts w:eastAsia="Calibri"/>
          <w:szCs w:val="22"/>
          <w:lang w:eastAsia="de-DE" w:bidi="de-DE"/>
        </w:rPr>
      </w:pPr>
    </w:p>
    <w:p w14:paraId="02E4BA35"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Hat der Minister der Finanzen innerhalb der in Absatz 4 und 5 erwähnten Fristen nicht über den Zulassungsantrag befunden, gilt der Antrag als angenommen.</w:t>
      </w:r>
    </w:p>
    <w:p w14:paraId="1BC82F2A" w14:textId="77777777" w:rsidR="005A5BD5" w:rsidRPr="00334017" w:rsidRDefault="005A5BD5" w:rsidP="004C2C7D">
      <w:pPr>
        <w:jc w:val="both"/>
        <w:rPr>
          <w:rFonts w:eastAsia="Calibri"/>
          <w:szCs w:val="22"/>
          <w:lang w:eastAsia="de-DE" w:bidi="de-DE"/>
        </w:rPr>
      </w:pPr>
    </w:p>
    <w:p w14:paraId="69C622AB"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Die Zulassung wird ab dem Datum erteilt, an dem der Beschluss des Ministers der Finanzen dem Systemverwalter oder in den in Artikel 73</w:t>
      </w:r>
      <w:r w:rsidRPr="00334017">
        <w:rPr>
          <w:rFonts w:eastAsia="Calibri"/>
          <w:szCs w:val="22"/>
          <w:vertAlign w:val="superscript"/>
          <w:lang w:eastAsia="de-DE" w:bidi="de-DE"/>
        </w:rPr>
        <w:t>7</w:t>
      </w:r>
      <w:r w:rsidRPr="00334017">
        <w:rPr>
          <w:rFonts w:eastAsia="Calibri"/>
          <w:szCs w:val="22"/>
          <w:lang w:eastAsia="de-DE" w:bidi="de-DE"/>
        </w:rPr>
        <w:t xml:space="preserve"> erwähnten Fällen dessen Fiskalvertreter notifiziert wird.</w:t>
      </w:r>
    </w:p>
    <w:p w14:paraId="712CE4BE" w14:textId="77777777" w:rsidR="005A5BD5" w:rsidRPr="00334017" w:rsidRDefault="005A5BD5" w:rsidP="004C2C7D">
      <w:pPr>
        <w:jc w:val="both"/>
        <w:rPr>
          <w:rFonts w:eastAsia="Calibri"/>
          <w:szCs w:val="22"/>
          <w:lang w:eastAsia="de-DE" w:bidi="de-DE"/>
        </w:rPr>
      </w:pPr>
    </w:p>
    <w:p w14:paraId="62503911"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2 - Die erste Zulassung eines zentralisierten Systems für den Verleih von [Finanzinstrumenten] wird bis zum 31. Dezember des Jahres nach dem Jahr erteilt, in dem der Minister der Finanzen das zentralisierte System für den Verleih von [Finanzinstrumenten] zugelassen hat. Die Zulassung kann für einen oder mehrere aufeinander folgende Zeiträume von [fünf] Jahren erneuert werden, die am 1. Januar des Jahres nach dem Jahr beginnen, in dem die vorhergehende Zulassung abgelaufen ist.</w:t>
      </w:r>
    </w:p>
    <w:p w14:paraId="3AAA3EAE" w14:textId="77777777" w:rsidR="005A5BD5" w:rsidRPr="00334017" w:rsidRDefault="005A5BD5" w:rsidP="004C2C7D">
      <w:pPr>
        <w:jc w:val="both"/>
        <w:rPr>
          <w:rFonts w:eastAsia="Calibri"/>
          <w:szCs w:val="22"/>
          <w:lang w:eastAsia="de-DE" w:bidi="de-DE"/>
        </w:rPr>
      </w:pPr>
    </w:p>
    <w:p w14:paraId="30337C91"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Anträge auf Erneuerung der Zulassung müssen dem Minister der Finanzen mindestens drei Monate vor Ende des laufenden Zulassungszeitraums zugesandt werden.</w:t>
      </w:r>
    </w:p>
    <w:p w14:paraId="423E9AF8" w14:textId="77777777" w:rsidR="009A607C" w:rsidRDefault="009A607C" w:rsidP="004C2C7D">
      <w:pPr>
        <w:jc w:val="both"/>
        <w:rPr>
          <w:rFonts w:eastAsia="Calibri"/>
          <w:szCs w:val="22"/>
          <w:lang w:eastAsia="de-DE" w:bidi="de-DE"/>
        </w:rPr>
      </w:pPr>
    </w:p>
    <w:p w14:paraId="76CC0331"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lastRenderedPageBreak/>
        <w:tab/>
        <w:t>Die Zulassung wird spätestens einen Monat vor Ende des laufenden Zulassungszeitraums erneuert, insofern die Bedingungen für die Zulassung drei Monate vor Ende desselben Zulassungszeitraums weiter erfüllt sind.</w:t>
      </w:r>
    </w:p>
    <w:p w14:paraId="0BA36C9C" w14:textId="77777777" w:rsidR="005A5BD5" w:rsidRPr="00334017" w:rsidRDefault="005A5BD5" w:rsidP="004C2C7D">
      <w:pPr>
        <w:jc w:val="both"/>
        <w:rPr>
          <w:rFonts w:eastAsia="Calibri"/>
          <w:szCs w:val="22"/>
          <w:lang w:eastAsia="de-DE" w:bidi="de-DE"/>
        </w:rPr>
      </w:pPr>
    </w:p>
    <w:p w14:paraId="178A4F40"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Bei Verweigerung der Zulassungserneuerung oder bei Zulassungsentzug kann ein neuer Zulassungsantrag frühestens drei Monate nach dem Datum der Notifizierung der Verweigerung der Erneuerung oder dem Datum des Zulassungsentzugs beim Minister der Finanzen eingereicht werden.</w:t>
      </w:r>
    </w:p>
    <w:p w14:paraId="300F1508" w14:textId="77777777" w:rsidR="005A5BD5" w:rsidRPr="00334017" w:rsidRDefault="005A5BD5" w:rsidP="004C2C7D">
      <w:pPr>
        <w:jc w:val="both"/>
        <w:rPr>
          <w:rFonts w:eastAsia="Calibri"/>
          <w:szCs w:val="22"/>
          <w:lang w:eastAsia="de-DE" w:bidi="de-DE"/>
        </w:rPr>
      </w:pPr>
    </w:p>
    <w:p w14:paraId="4DA69205"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3 - Wird eine der Informationen, die aufgrund von § 1 im Zulassungsantrag enthalten sein müssen, im Laufe des Zulassungszeitraums geändert, muss der Systemverwalter oder in den in Artikel 73</w:t>
      </w:r>
      <w:r w:rsidRPr="00334017">
        <w:rPr>
          <w:rFonts w:eastAsia="Calibri"/>
          <w:szCs w:val="22"/>
          <w:vertAlign w:val="superscript"/>
          <w:lang w:eastAsia="de-DE" w:bidi="de-DE"/>
        </w:rPr>
        <w:t>7</w:t>
      </w:r>
      <w:r w:rsidRPr="00334017">
        <w:rPr>
          <w:rFonts w:eastAsia="Calibri"/>
          <w:szCs w:val="22"/>
          <w:lang w:eastAsia="de-DE" w:bidi="de-DE"/>
        </w:rPr>
        <w:t xml:space="preserve"> erwähnten Fällen sein Fiskalvertreter dem Minister der Finanzen diesen Umstand mindestens einen Monat vor Inkrafttreten der Änderung notifizieren.]</w:t>
      </w:r>
    </w:p>
    <w:p w14:paraId="0A3CB9EA" w14:textId="77777777" w:rsidR="005A5BD5" w:rsidRPr="00334017" w:rsidRDefault="005A5BD5" w:rsidP="004C2C7D">
      <w:pPr>
        <w:jc w:val="both"/>
        <w:rPr>
          <w:rFonts w:eastAsia="Calibri"/>
          <w:szCs w:val="22"/>
          <w:lang w:eastAsia="de-DE" w:bidi="de-DE"/>
        </w:rPr>
      </w:pPr>
    </w:p>
    <w:p w14:paraId="56B4EF4B"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[Art. 73</w:t>
      </w:r>
      <w:r w:rsidRPr="00334017">
        <w:rPr>
          <w:rFonts w:eastAsia="Calibri"/>
          <w:i/>
          <w:szCs w:val="22"/>
          <w:vertAlign w:val="superscript"/>
          <w:lang w:eastAsia="de-DE" w:bidi="de-DE"/>
        </w:rPr>
        <w:t>8</w:t>
      </w:r>
      <w:r w:rsidRPr="00334017">
        <w:rPr>
          <w:rFonts w:eastAsia="Calibri"/>
          <w:i/>
          <w:szCs w:val="22"/>
          <w:lang w:eastAsia="de-DE" w:bidi="de-DE"/>
        </w:rPr>
        <w:t xml:space="preserve"> eingefügt durch Art. 1 des K.E. vom 29. November 2000 (B.S. vom 23. Dezember 2000); § 1 Abs. 1 abgeändert durch Art. 5 Nr. 1 des K.E. vom 20. Januar 2005 (B.S. vom 1. Februar 2005); § 1 Abs. 3 zweiter Gedankenstrich abgeändert durch Art. 5 Nr. 1 des K.E. vom 20. Januar 2005 (B.S. vom 1. Februar 2005); § 2 Abs. 1 abgeändert durch Art. 5 Nr. 2 des K.E. vom 20. Januar 2005 (B.S. vom 1. Februar 2005)]</w:t>
      </w:r>
    </w:p>
    <w:p w14:paraId="764CED4E" w14:textId="77777777" w:rsidR="005A5BD5" w:rsidRPr="00334017" w:rsidRDefault="005A5BD5" w:rsidP="004C2C7D">
      <w:pPr>
        <w:jc w:val="both"/>
        <w:rPr>
          <w:rFonts w:eastAsia="Calibri"/>
          <w:szCs w:val="22"/>
          <w:lang w:eastAsia="de-DE" w:bidi="de-DE"/>
        </w:rPr>
      </w:pPr>
    </w:p>
    <w:p w14:paraId="1B485F86" w14:textId="582979DE" w:rsidR="0078059C" w:rsidRDefault="0078059C">
      <w:pPr>
        <w:rPr>
          <w:rFonts w:eastAsia="Calibri"/>
          <w:szCs w:val="22"/>
          <w:lang w:eastAsia="de-DE" w:bidi="de-DE"/>
        </w:rPr>
      </w:pPr>
    </w:p>
    <w:p w14:paraId="4285569F" w14:textId="617C2E83" w:rsidR="005A5BD5" w:rsidRPr="00334017" w:rsidRDefault="007E5973" w:rsidP="004C2C7D">
      <w:pPr>
        <w:jc w:val="both"/>
        <w:rPr>
          <w:rFonts w:eastAsia="Calibri"/>
          <w:szCs w:val="22"/>
          <w:lang w:eastAsia="de-DE" w:bidi="de-DE"/>
        </w:rPr>
      </w:pPr>
      <w:r>
        <w:rPr>
          <w:rFonts w:eastAsia="Calibri"/>
          <w:szCs w:val="22"/>
          <w:lang w:eastAsia="de-DE" w:bidi="de-DE"/>
        </w:rPr>
        <w:tab/>
      </w:r>
      <w:r w:rsidR="005A5BD5" w:rsidRPr="00334017">
        <w:rPr>
          <w:rFonts w:eastAsia="Calibri"/>
          <w:szCs w:val="22"/>
          <w:lang w:eastAsia="de-DE" w:bidi="de-DE"/>
        </w:rPr>
        <w:t>[</w:t>
      </w:r>
      <w:r w:rsidR="005A5BD5" w:rsidRPr="00334017">
        <w:rPr>
          <w:rFonts w:eastAsia="Calibri"/>
          <w:b/>
          <w:szCs w:val="22"/>
          <w:lang w:eastAsia="de-DE" w:bidi="de-DE"/>
        </w:rPr>
        <w:t>Art. 73</w:t>
      </w:r>
      <w:r w:rsidR="005A5BD5" w:rsidRPr="00334017">
        <w:rPr>
          <w:rFonts w:eastAsia="Calibri"/>
          <w:b/>
          <w:szCs w:val="22"/>
          <w:vertAlign w:val="superscript"/>
          <w:lang w:eastAsia="de-DE" w:bidi="de-DE"/>
        </w:rPr>
        <w:t>9</w:t>
      </w:r>
      <w:r w:rsidR="005A5BD5" w:rsidRPr="00334017">
        <w:rPr>
          <w:rFonts w:eastAsia="Calibri"/>
          <w:szCs w:val="22"/>
          <w:lang w:eastAsia="de-DE" w:bidi="de-DE"/>
        </w:rPr>
        <w:t> - [Der Systemverwalter oder in den in Artikel 73</w:t>
      </w:r>
      <w:r w:rsidR="005A5BD5" w:rsidRPr="00334017">
        <w:rPr>
          <w:rFonts w:eastAsia="Calibri"/>
          <w:szCs w:val="22"/>
          <w:vertAlign w:val="superscript"/>
          <w:lang w:eastAsia="de-DE" w:bidi="de-DE"/>
        </w:rPr>
        <w:t>7</w:t>
      </w:r>
      <w:r w:rsidR="005A5BD5" w:rsidRPr="00334017">
        <w:rPr>
          <w:rFonts w:eastAsia="Calibri"/>
          <w:szCs w:val="22"/>
          <w:lang w:eastAsia="de-DE" w:bidi="de-DE"/>
        </w:rPr>
        <w:t xml:space="preserve"> [...] erwähnten Fällen sein Fiskalvertreter teilt dem FÖD Finanzen vor dem 15. Dezember eines jeden Kalenderjahres folgende Informationen mit:</w:t>
      </w:r>
    </w:p>
    <w:p w14:paraId="1058E9CE" w14:textId="77777777" w:rsidR="005A5BD5" w:rsidRPr="00334017" w:rsidRDefault="005A5BD5" w:rsidP="004C2C7D">
      <w:pPr>
        <w:jc w:val="both"/>
        <w:rPr>
          <w:rFonts w:eastAsia="Calibri"/>
          <w:szCs w:val="22"/>
          <w:lang w:eastAsia="de-DE" w:bidi="de-DE"/>
        </w:rPr>
      </w:pPr>
    </w:p>
    <w:p w14:paraId="3E0E47B9" w14:textId="0AF28328" w:rsidR="005A5BD5" w:rsidRPr="00334017" w:rsidRDefault="001C4541" w:rsidP="004C2C7D">
      <w:pPr>
        <w:jc w:val="both"/>
        <w:rPr>
          <w:rFonts w:eastAsia="Calibri"/>
          <w:szCs w:val="22"/>
          <w:lang w:eastAsia="de-DE" w:bidi="de-DE"/>
        </w:rPr>
      </w:pPr>
      <w:r>
        <w:rPr>
          <w:rFonts w:eastAsia="Calibri"/>
          <w:szCs w:val="22"/>
          <w:lang w:eastAsia="de-DE" w:bidi="de-DE"/>
        </w:rPr>
        <w:tab/>
        <w:t>- </w:t>
      </w:r>
      <w:r w:rsidR="005A5BD5" w:rsidRPr="00334017">
        <w:rPr>
          <w:rFonts w:eastAsia="Calibri"/>
          <w:szCs w:val="22"/>
          <w:lang w:eastAsia="de-DE" w:bidi="de-DE"/>
        </w:rPr>
        <w:t xml:space="preserve">Gesamtbetrag der in </w:t>
      </w:r>
      <w:r w:rsidR="00BF0D65">
        <w:rPr>
          <w:rFonts w:eastAsia="Calibri"/>
          <w:szCs w:val="22"/>
          <w:lang w:eastAsia="de-DE" w:bidi="de-DE"/>
        </w:rPr>
        <w:t>[</w:t>
      </w:r>
      <w:r w:rsidR="005A5BD5" w:rsidRPr="00334017">
        <w:rPr>
          <w:rFonts w:eastAsia="Calibri"/>
          <w:szCs w:val="22"/>
          <w:lang w:eastAsia="de-DE" w:bidi="de-DE"/>
        </w:rPr>
        <w:t xml:space="preserve">Artikel 90 </w:t>
      </w:r>
      <w:r w:rsidR="0033517D">
        <w:rPr>
          <w:rFonts w:eastAsia="Calibri"/>
          <w:szCs w:val="22"/>
          <w:lang w:eastAsia="de-DE" w:bidi="de-DE"/>
        </w:rPr>
        <w:t xml:space="preserve">Absatz 1 </w:t>
      </w:r>
      <w:r w:rsidR="005A5BD5" w:rsidRPr="00334017">
        <w:rPr>
          <w:rFonts w:eastAsia="Calibri"/>
          <w:szCs w:val="22"/>
          <w:lang w:eastAsia="de-DE" w:bidi="de-DE"/>
        </w:rPr>
        <w:t>Nr. 11</w:t>
      </w:r>
      <w:r w:rsidR="00BF0D65">
        <w:rPr>
          <w:rFonts w:eastAsia="Calibri"/>
          <w:szCs w:val="22"/>
          <w:lang w:eastAsia="de-DE" w:bidi="de-DE"/>
        </w:rPr>
        <w:t>]</w:t>
      </w:r>
      <w:r w:rsidR="005A5BD5" w:rsidRPr="00334017">
        <w:rPr>
          <w:rFonts w:eastAsia="Calibri"/>
          <w:szCs w:val="22"/>
          <w:lang w:eastAsia="de-DE" w:bidi="de-DE"/>
        </w:rPr>
        <w:t xml:space="preserve"> des Einkommensteuer</w:t>
      </w:r>
      <w:r>
        <w:rPr>
          <w:rFonts w:eastAsia="Calibri"/>
          <w:szCs w:val="22"/>
          <w:lang w:eastAsia="de-DE" w:bidi="de-DE"/>
        </w:rPr>
        <w:softHyphen/>
      </w:r>
      <w:r w:rsidR="005A5BD5" w:rsidRPr="00334017">
        <w:rPr>
          <w:rFonts w:eastAsia="Calibri"/>
          <w:szCs w:val="22"/>
          <w:lang w:eastAsia="de-DE" w:bidi="de-DE"/>
        </w:rPr>
        <w:t>gesetzbuches 1992 erwähnten Einkünfte und der Verleihentschädigungen, die im Rahmen des zentralisierten Systems für den Verleih von Finanzinstrumenten im Laufe des Zeitraums vom 1. September des vorhergehenden Jahres bis zum 31. August des laufenden Jahres oder, wenn die Zulassung im Laufe des betreffenden Zeitraums erteilt worden ist, seit dem Datum der Zulassung bis zum 31. August des laufenden Jahres gezahlt worden sind,</w:t>
      </w:r>
    </w:p>
    <w:p w14:paraId="44E24D69" w14:textId="77777777" w:rsidR="005A5BD5" w:rsidRPr="00334017" w:rsidRDefault="005A5BD5" w:rsidP="004C2C7D">
      <w:pPr>
        <w:jc w:val="both"/>
        <w:rPr>
          <w:rFonts w:eastAsia="Calibri"/>
          <w:szCs w:val="22"/>
          <w:lang w:eastAsia="de-DE" w:bidi="de-DE"/>
        </w:rPr>
      </w:pPr>
    </w:p>
    <w:p w14:paraId="38C0A0BE"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xml:space="preserve">- Identität der Teilnehmer des zentralisierten Systems, die die in </w:t>
      </w:r>
      <w:r w:rsidR="00BF0D65">
        <w:rPr>
          <w:rFonts w:eastAsia="Calibri"/>
          <w:szCs w:val="22"/>
          <w:lang w:eastAsia="de-DE" w:bidi="de-DE"/>
        </w:rPr>
        <w:t>[</w:t>
      </w:r>
      <w:r w:rsidRPr="00334017">
        <w:rPr>
          <w:rFonts w:eastAsia="Calibri"/>
          <w:szCs w:val="22"/>
          <w:lang w:eastAsia="de-DE" w:bidi="de-DE"/>
        </w:rPr>
        <w:t xml:space="preserve">Artikel 90 </w:t>
      </w:r>
      <w:r w:rsidR="0033517D">
        <w:rPr>
          <w:rFonts w:eastAsia="Calibri"/>
          <w:szCs w:val="22"/>
          <w:lang w:eastAsia="de-DE" w:bidi="de-DE"/>
        </w:rPr>
        <w:t xml:space="preserve">Absatz 1 </w:t>
      </w:r>
      <w:r w:rsidRPr="00334017">
        <w:rPr>
          <w:rFonts w:eastAsia="Calibri"/>
          <w:szCs w:val="22"/>
          <w:lang w:eastAsia="de-DE" w:bidi="de-DE"/>
        </w:rPr>
        <w:t>Nr. 11</w:t>
      </w:r>
      <w:r w:rsidR="00BF0D65">
        <w:rPr>
          <w:rFonts w:eastAsia="Calibri"/>
          <w:szCs w:val="22"/>
          <w:lang w:eastAsia="de-DE" w:bidi="de-DE"/>
        </w:rPr>
        <w:t>]</w:t>
      </w:r>
      <w:r w:rsidRPr="00334017">
        <w:rPr>
          <w:rFonts w:eastAsia="Calibri"/>
          <w:szCs w:val="22"/>
          <w:lang w:eastAsia="de-DE" w:bidi="de-DE"/>
        </w:rPr>
        <w:t xml:space="preserve"> des Einkommensteuergesetzbuches 1992 erwähnten Einkünfte und die Verleihentschädigungen im Laufe desselben Zeitraums wie in vorhergehendem Gedankenstrich erwähnt erhalten haben, und Betrag dieser Einkünfte und Entschädigungen, die jedem dieser Teilnehmer während desselben Zeitraums gezahlt worden sind.]]</w:t>
      </w:r>
    </w:p>
    <w:p w14:paraId="50E36C91" w14:textId="77777777" w:rsidR="005A5BD5" w:rsidRPr="00334017" w:rsidRDefault="005A5BD5" w:rsidP="004C2C7D">
      <w:pPr>
        <w:jc w:val="both"/>
        <w:rPr>
          <w:rFonts w:eastAsia="Calibri"/>
          <w:szCs w:val="22"/>
          <w:lang w:eastAsia="de-DE" w:bidi="de-DE"/>
        </w:rPr>
      </w:pPr>
    </w:p>
    <w:p w14:paraId="3FC8E4D2" w14:textId="77777777" w:rsidR="005A5BD5" w:rsidRPr="00E85F51" w:rsidRDefault="005A5BD5" w:rsidP="004C2C7D">
      <w:pPr>
        <w:tabs>
          <w:tab w:val="left" w:pos="960"/>
        </w:tabs>
        <w:jc w:val="both"/>
        <w:rPr>
          <w:rFonts w:eastAsia="Calibri"/>
          <w:spacing w:val="-2"/>
          <w:szCs w:val="22"/>
          <w:lang w:eastAsia="de-DE" w:bidi="de-DE"/>
        </w:rPr>
      </w:pPr>
      <w:r w:rsidRPr="00E85F51">
        <w:rPr>
          <w:rFonts w:eastAsia="Calibri"/>
          <w:i/>
          <w:spacing w:val="-2"/>
          <w:szCs w:val="22"/>
          <w:lang w:eastAsia="de-DE" w:bidi="de-DE"/>
        </w:rPr>
        <w:t>[Art. 73</w:t>
      </w:r>
      <w:r w:rsidRPr="00E85F51">
        <w:rPr>
          <w:rFonts w:eastAsia="Calibri"/>
          <w:i/>
          <w:spacing w:val="-2"/>
          <w:szCs w:val="22"/>
          <w:vertAlign w:val="superscript"/>
          <w:lang w:eastAsia="de-DE" w:bidi="de-DE"/>
        </w:rPr>
        <w:t>9</w:t>
      </w:r>
      <w:r w:rsidRPr="00E85F51">
        <w:rPr>
          <w:rFonts w:eastAsia="Calibri"/>
          <w:i/>
          <w:spacing w:val="-2"/>
          <w:szCs w:val="22"/>
          <w:lang w:eastAsia="de-DE" w:bidi="de-DE"/>
        </w:rPr>
        <w:t xml:space="preserve"> eingefügt durch Art. 1 des K.E. vom 29. November 2000 (B.S. vom 23. Dezember 2000) und ersetzt durch Art. 6 des K.E. vom 20. Januar 2005 (B.S. vom 1. Februar 2005); einziger Absatz einleitende Bestimmung abgeändert durch Art. 3 des K.E. vom 30. Juli 2010 (B.S. vom 16. August 2010)</w:t>
      </w:r>
      <w:r w:rsidR="00BF0D65" w:rsidRPr="00E85F51">
        <w:rPr>
          <w:rFonts w:eastAsia="Calibri"/>
          <w:i/>
          <w:spacing w:val="-2"/>
          <w:szCs w:val="22"/>
          <w:lang w:eastAsia="de-DE" w:bidi="de-DE"/>
        </w:rPr>
        <w:t xml:space="preserve">; einziger Absatz erster und zweiter Gedankenstrich abgeändert durch Art. 12 des K.E. vom </w:t>
      </w:r>
      <w:r w:rsidR="005024BD" w:rsidRPr="00E85F51">
        <w:rPr>
          <w:rFonts w:eastAsia="Calibri"/>
          <w:i/>
          <w:spacing w:val="-2"/>
          <w:szCs w:val="22"/>
          <w:lang w:eastAsia="de-DE" w:bidi="de-DE"/>
        </w:rPr>
        <w:t>22. Mai 2017 (II)</w:t>
      </w:r>
      <w:r w:rsidR="00BF0D65" w:rsidRPr="00E85F51">
        <w:rPr>
          <w:rFonts w:eastAsia="Calibri"/>
          <w:i/>
          <w:spacing w:val="-2"/>
          <w:szCs w:val="22"/>
          <w:lang w:eastAsia="de-DE" w:bidi="de-DE"/>
        </w:rPr>
        <w:t xml:space="preserve"> (B.S. vom 6. Juni 2017)</w:t>
      </w:r>
      <w:r w:rsidRPr="00E85F51">
        <w:rPr>
          <w:rFonts w:eastAsia="Calibri"/>
          <w:i/>
          <w:spacing w:val="-2"/>
          <w:szCs w:val="22"/>
          <w:lang w:eastAsia="de-DE" w:bidi="de-DE"/>
        </w:rPr>
        <w:t>]</w:t>
      </w:r>
    </w:p>
    <w:p w14:paraId="18FF2695" w14:textId="77777777" w:rsidR="005A5BD5" w:rsidRPr="00334017" w:rsidRDefault="005A5BD5" w:rsidP="004C2C7D">
      <w:pPr>
        <w:jc w:val="both"/>
        <w:rPr>
          <w:rFonts w:eastAsia="Calibri"/>
          <w:szCs w:val="22"/>
          <w:lang w:eastAsia="de-DE" w:bidi="de-DE"/>
        </w:rPr>
      </w:pPr>
    </w:p>
    <w:p w14:paraId="0F77D0E3" w14:textId="77777777" w:rsidR="00354F5B" w:rsidRDefault="00354F5B">
      <w:pPr>
        <w:rPr>
          <w:rFonts w:eastAsia="Calibri"/>
          <w:szCs w:val="22"/>
          <w:lang w:eastAsia="de-DE" w:bidi="de-DE"/>
        </w:rPr>
      </w:pPr>
    </w:p>
    <w:p w14:paraId="02955522"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w:t>
      </w:r>
      <w:r w:rsidRPr="00334017">
        <w:rPr>
          <w:rFonts w:eastAsia="Calibri"/>
          <w:b/>
          <w:szCs w:val="22"/>
          <w:lang w:eastAsia="de-DE" w:bidi="de-DE"/>
        </w:rPr>
        <w:t>Art. 73</w:t>
      </w:r>
      <w:r w:rsidRPr="00334017">
        <w:rPr>
          <w:rFonts w:eastAsia="Calibri"/>
          <w:b/>
          <w:szCs w:val="22"/>
          <w:vertAlign w:val="superscript"/>
          <w:lang w:eastAsia="de-DE" w:bidi="de-DE"/>
        </w:rPr>
        <w:t>10</w:t>
      </w:r>
      <w:r w:rsidRPr="00334017">
        <w:rPr>
          <w:rFonts w:eastAsia="Calibri"/>
          <w:szCs w:val="22"/>
          <w:lang w:eastAsia="de-DE" w:bidi="de-DE"/>
        </w:rPr>
        <w:t> - [...]]</w:t>
      </w:r>
    </w:p>
    <w:p w14:paraId="35EFA376" w14:textId="77777777" w:rsidR="005A5BD5" w:rsidRPr="00334017" w:rsidRDefault="005A5BD5" w:rsidP="004C2C7D">
      <w:pPr>
        <w:jc w:val="both"/>
        <w:rPr>
          <w:rFonts w:eastAsia="Calibri"/>
          <w:szCs w:val="22"/>
          <w:lang w:eastAsia="de-DE" w:bidi="de-DE"/>
        </w:rPr>
      </w:pPr>
    </w:p>
    <w:p w14:paraId="455EC2DB" w14:textId="77777777" w:rsidR="005A5BD5"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[Art. 73</w:t>
      </w:r>
      <w:r w:rsidRPr="00334017">
        <w:rPr>
          <w:rFonts w:eastAsia="Calibri"/>
          <w:i/>
          <w:szCs w:val="22"/>
          <w:vertAlign w:val="superscript"/>
          <w:lang w:eastAsia="de-DE" w:bidi="de-DE"/>
        </w:rPr>
        <w:t>10</w:t>
      </w:r>
      <w:r w:rsidRPr="00334017">
        <w:rPr>
          <w:rFonts w:eastAsia="Calibri"/>
          <w:i/>
          <w:szCs w:val="22"/>
          <w:lang w:eastAsia="de-DE" w:bidi="de-DE"/>
        </w:rPr>
        <w:t xml:space="preserve"> eingefügt durch Art. 1 des K.E. vom 29. November 2000 (B.S. vom 23. Dezember 2000) und aufgehoben durch Art. 7 des K.E. vom 20. Januar 2005 (B.S. vom 1. Februar 2005)]</w:t>
      </w:r>
    </w:p>
    <w:p w14:paraId="5F6625FF" w14:textId="77777777" w:rsidR="009A607C" w:rsidRDefault="009A607C" w:rsidP="004C2C7D">
      <w:pPr>
        <w:tabs>
          <w:tab w:val="left" w:pos="960"/>
        </w:tabs>
        <w:jc w:val="both"/>
        <w:rPr>
          <w:rFonts w:eastAsia="Calibri"/>
          <w:szCs w:val="22"/>
          <w:lang w:eastAsia="de-DE" w:bidi="de-DE"/>
        </w:rPr>
      </w:pPr>
    </w:p>
    <w:p w14:paraId="6CCC8AB1" w14:textId="77777777" w:rsidR="009A607C" w:rsidRDefault="009A607C" w:rsidP="004C2C7D">
      <w:pPr>
        <w:tabs>
          <w:tab w:val="left" w:pos="960"/>
        </w:tabs>
        <w:jc w:val="both"/>
        <w:rPr>
          <w:rFonts w:eastAsia="Calibri"/>
          <w:szCs w:val="22"/>
          <w:lang w:eastAsia="de-DE" w:bidi="de-DE"/>
        </w:rPr>
      </w:pPr>
    </w:p>
    <w:p w14:paraId="7DF18715" w14:textId="77777777" w:rsidR="005A5BD5" w:rsidRPr="00334017" w:rsidRDefault="005A5BD5" w:rsidP="00354F5B">
      <w:pPr>
        <w:tabs>
          <w:tab w:val="left" w:pos="709"/>
        </w:tabs>
        <w:jc w:val="both"/>
        <w:rPr>
          <w:rFonts w:eastAsia="Calibri"/>
          <w:szCs w:val="22"/>
          <w:lang w:eastAsia="de-DE" w:bidi="de-DE"/>
        </w:rPr>
      </w:pPr>
      <w:r w:rsidRPr="00334017">
        <w:rPr>
          <w:rFonts w:eastAsia="Calibri"/>
          <w:szCs w:val="22"/>
          <w:lang w:eastAsia="de-DE" w:bidi="de-DE"/>
        </w:rPr>
        <w:tab/>
        <w:t>[</w:t>
      </w:r>
      <w:r w:rsidRPr="00334017">
        <w:rPr>
          <w:rFonts w:eastAsia="Calibri"/>
          <w:b/>
          <w:szCs w:val="22"/>
          <w:lang w:eastAsia="de-DE" w:bidi="de-DE"/>
        </w:rPr>
        <w:t>Art. 73</w:t>
      </w:r>
      <w:r w:rsidRPr="00334017">
        <w:rPr>
          <w:rFonts w:eastAsia="Calibri"/>
          <w:b/>
          <w:szCs w:val="22"/>
          <w:vertAlign w:val="superscript"/>
          <w:lang w:eastAsia="de-DE" w:bidi="de-DE"/>
        </w:rPr>
        <w:t>11</w:t>
      </w:r>
      <w:r w:rsidRPr="00334017">
        <w:rPr>
          <w:rFonts w:eastAsia="Calibri"/>
          <w:szCs w:val="22"/>
          <w:lang w:eastAsia="de-DE" w:bidi="de-DE"/>
        </w:rPr>
        <w:t xml:space="preserve"> - [Das zentralisierte System für den Verleih von Finanzinstrumenten muss es ermöglichen, den Betrag der in </w:t>
      </w:r>
      <w:r w:rsidR="00BF0D65">
        <w:rPr>
          <w:rFonts w:eastAsia="Calibri"/>
          <w:szCs w:val="22"/>
          <w:lang w:eastAsia="de-DE" w:bidi="de-DE"/>
        </w:rPr>
        <w:t>[</w:t>
      </w:r>
      <w:r w:rsidR="00BF0D65" w:rsidRPr="00B617CF">
        <w:t>Artikel 90 Absatz 1 Nr. 11</w:t>
      </w:r>
      <w:r w:rsidR="00BF0D65">
        <w:rPr>
          <w:rFonts w:eastAsia="Calibri"/>
          <w:szCs w:val="22"/>
          <w:lang w:eastAsia="de-DE" w:bidi="de-DE"/>
        </w:rPr>
        <w:t>]</w:t>
      </w:r>
      <w:r w:rsidRPr="00334017">
        <w:rPr>
          <w:rFonts w:eastAsia="Calibri"/>
          <w:szCs w:val="22"/>
          <w:lang w:eastAsia="de-DE" w:bidi="de-DE"/>
        </w:rPr>
        <w:t xml:space="preserve"> des Einkommen</w:t>
      </w:r>
      <w:r w:rsidR="00BF0D65">
        <w:rPr>
          <w:rFonts w:eastAsia="Calibri"/>
          <w:szCs w:val="22"/>
          <w:lang w:eastAsia="de-DE" w:bidi="de-DE"/>
        </w:rPr>
        <w:softHyphen/>
      </w:r>
      <w:r w:rsidRPr="00334017">
        <w:rPr>
          <w:rFonts w:eastAsia="Calibri"/>
          <w:szCs w:val="22"/>
          <w:lang w:eastAsia="de-DE" w:bidi="de-DE"/>
        </w:rPr>
        <w:t>steuergesetzbuches 1992 erwähnten Einkünfte und der Verleihentschädigungen, die von jedem Teilnehmer und an jeden Teilnehmer gezahlt werden, während eines Zeitraums von fünf Jahren nach dem Jahr, in dem diese Einkünfte gezahlt worden sind, pro verliehenem Finanzinstrument zu bestimmen.]</w:t>
      </w:r>
    </w:p>
    <w:p w14:paraId="35D8284A" w14:textId="77777777" w:rsidR="00172F6E" w:rsidRDefault="00172F6E">
      <w:pPr>
        <w:rPr>
          <w:rFonts w:eastAsia="Calibri"/>
          <w:szCs w:val="22"/>
          <w:lang w:eastAsia="de-DE" w:bidi="de-DE"/>
        </w:rPr>
      </w:pPr>
    </w:p>
    <w:p w14:paraId="408E7BDE" w14:textId="77777777" w:rsidR="005A5BD5" w:rsidRPr="00E85F51" w:rsidRDefault="005A5BD5" w:rsidP="004C2C7D">
      <w:pPr>
        <w:jc w:val="both"/>
        <w:rPr>
          <w:rFonts w:eastAsia="Calibri"/>
          <w:spacing w:val="-2"/>
          <w:szCs w:val="22"/>
          <w:lang w:eastAsia="de-DE" w:bidi="de-DE"/>
        </w:rPr>
      </w:pPr>
      <w:r w:rsidRPr="00E85F51">
        <w:rPr>
          <w:rFonts w:eastAsia="Calibri"/>
          <w:spacing w:val="-2"/>
          <w:szCs w:val="22"/>
          <w:lang w:eastAsia="de-DE" w:bidi="de-DE"/>
        </w:rPr>
        <w:tab/>
        <w:t>Um den in vorhergehendem Absatz vorgesehenen Verpflichtungen nachzukommen und es zu ermöglichen, die Einhaltung der Verpflichtungen zu überprüfen, die in den anderen Bestimmungen [des vorliegenden Abschnitts] vorgesehen sind, verpflichtet sich der Verwalter oder in den in Artikel 73</w:t>
      </w:r>
      <w:r w:rsidRPr="00E85F51">
        <w:rPr>
          <w:rFonts w:eastAsia="Calibri"/>
          <w:spacing w:val="-2"/>
          <w:szCs w:val="22"/>
          <w:vertAlign w:val="superscript"/>
          <w:lang w:eastAsia="de-DE" w:bidi="de-DE"/>
        </w:rPr>
        <w:t>7</w:t>
      </w:r>
      <w:r w:rsidRPr="00E85F51">
        <w:rPr>
          <w:rFonts w:eastAsia="Calibri"/>
          <w:spacing w:val="-2"/>
          <w:szCs w:val="22"/>
          <w:lang w:eastAsia="de-DE" w:bidi="de-DE"/>
        </w:rPr>
        <w:t xml:space="preserve"> erwähnten Fällen sein Fiskalvertreter dazu, der Verwaltung des Steuerwesens für Unternehmen und Einkünfte auf erstes Ersuchen alle Unterlagen, Akten in Bezug auf Analyse, Programmierung und Betrieb des oder der benutzten Datenverarbeitungs</w:t>
      </w:r>
      <w:r w:rsidRPr="00E85F51">
        <w:rPr>
          <w:rFonts w:eastAsia="Calibri"/>
          <w:spacing w:val="-2"/>
          <w:szCs w:val="22"/>
          <w:lang w:eastAsia="de-DE" w:bidi="de-DE"/>
        </w:rPr>
        <w:softHyphen/>
        <w:t>systeme sowie Datenträger und alle Daten, die sie enthalten, zur Verfügung zu stellen, die für die Überprüfung der Einhaltung der Bestimmungen [des vorliegenden Abschnitts] zweckdienlich sind. EDV-Daten müssen in lesbarer und verständlicher Form vorgelegt werden.]</w:t>
      </w:r>
    </w:p>
    <w:p w14:paraId="3532DD73" w14:textId="77777777" w:rsidR="005A5BD5" w:rsidRPr="00334017" w:rsidRDefault="005A5BD5" w:rsidP="004C2C7D">
      <w:pPr>
        <w:jc w:val="both"/>
        <w:rPr>
          <w:rFonts w:eastAsia="Calibri"/>
          <w:szCs w:val="22"/>
          <w:lang w:eastAsia="de-DE" w:bidi="de-DE"/>
        </w:rPr>
      </w:pPr>
    </w:p>
    <w:p w14:paraId="7B664A88"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[Art. 73</w:t>
      </w:r>
      <w:r w:rsidRPr="00334017">
        <w:rPr>
          <w:rFonts w:eastAsia="Calibri"/>
          <w:i/>
          <w:szCs w:val="22"/>
          <w:vertAlign w:val="superscript"/>
          <w:lang w:eastAsia="de-DE" w:bidi="de-DE"/>
        </w:rPr>
        <w:t>11</w:t>
      </w:r>
      <w:r w:rsidRPr="00334017">
        <w:rPr>
          <w:rFonts w:eastAsia="Calibri"/>
          <w:i/>
          <w:szCs w:val="22"/>
          <w:lang w:eastAsia="de-DE" w:bidi="de-DE"/>
        </w:rPr>
        <w:t xml:space="preserve"> eingefügt durch Art. 1 des K.E. vom 29. November 2000 (B.S. vom 23. Dezember 2000); Abs. 1 ersetzt durch Art. 8 des K.E. vom 20. Januar 2005 (B.S. vom 1. Februar 2005)</w:t>
      </w:r>
      <w:r w:rsidR="00BF0D65">
        <w:rPr>
          <w:rFonts w:eastAsia="Calibri"/>
          <w:i/>
          <w:szCs w:val="22"/>
          <w:lang w:eastAsia="de-DE" w:bidi="de-DE"/>
        </w:rPr>
        <w:t xml:space="preserve"> und abgeändert durch Art. 13 des K.E. vom </w:t>
      </w:r>
      <w:r w:rsidR="005024BD">
        <w:rPr>
          <w:rFonts w:eastAsia="Calibri"/>
          <w:i/>
          <w:szCs w:val="22"/>
          <w:lang w:eastAsia="de-DE" w:bidi="de-DE"/>
        </w:rPr>
        <w:t>22. Mai 2017 (II)</w:t>
      </w:r>
      <w:r w:rsidR="00BF0D65">
        <w:rPr>
          <w:rFonts w:eastAsia="Calibri"/>
          <w:i/>
          <w:szCs w:val="22"/>
          <w:lang w:eastAsia="de-DE" w:bidi="de-DE"/>
        </w:rPr>
        <w:t xml:space="preserve"> (B.S. vom 6. Juni 2017)</w:t>
      </w:r>
      <w:r w:rsidRPr="00334017">
        <w:rPr>
          <w:rFonts w:eastAsia="Calibri"/>
          <w:i/>
          <w:szCs w:val="22"/>
          <w:lang w:eastAsia="de-DE" w:bidi="de-DE"/>
        </w:rPr>
        <w:t>; Abs. 2 abgeändert durch Art. 1 des K.E. vom 30. Juli 2010 (B.S. vom 16. August 2010)]</w:t>
      </w:r>
    </w:p>
    <w:p w14:paraId="1E4647BB" w14:textId="77777777" w:rsidR="005A5BD5" w:rsidRPr="00334017" w:rsidRDefault="005A5BD5" w:rsidP="004C2C7D">
      <w:pPr>
        <w:jc w:val="both"/>
        <w:rPr>
          <w:rFonts w:eastAsia="Calibri"/>
          <w:szCs w:val="22"/>
          <w:lang w:eastAsia="de-DE" w:bidi="de-DE"/>
        </w:rPr>
      </w:pPr>
    </w:p>
    <w:p w14:paraId="093AA262" w14:textId="77777777" w:rsidR="005A5BD5" w:rsidRPr="00334017" w:rsidRDefault="005A5BD5" w:rsidP="004C2C7D">
      <w:pPr>
        <w:jc w:val="both"/>
        <w:rPr>
          <w:rFonts w:eastAsia="Calibri"/>
          <w:szCs w:val="22"/>
          <w:lang w:eastAsia="de-DE" w:bidi="de-DE"/>
        </w:rPr>
      </w:pPr>
    </w:p>
    <w:p w14:paraId="29744E16"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w:t>
      </w:r>
      <w:r w:rsidRPr="00334017">
        <w:rPr>
          <w:rFonts w:eastAsia="Calibri"/>
          <w:b/>
          <w:szCs w:val="22"/>
          <w:lang w:eastAsia="de-DE" w:bidi="de-DE"/>
        </w:rPr>
        <w:t>Art. 73</w:t>
      </w:r>
      <w:r w:rsidRPr="00334017">
        <w:rPr>
          <w:rFonts w:eastAsia="Calibri"/>
          <w:b/>
          <w:szCs w:val="22"/>
          <w:vertAlign w:val="superscript"/>
          <w:lang w:eastAsia="de-DE" w:bidi="de-DE"/>
        </w:rPr>
        <w:t>12</w:t>
      </w:r>
      <w:r w:rsidRPr="00334017">
        <w:rPr>
          <w:rFonts w:eastAsia="Calibri"/>
          <w:szCs w:val="22"/>
          <w:lang w:eastAsia="de-DE" w:bidi="de-DE"/>
        </w:rPr>
        <w:t> - § 1 - Stellt die Verwaltung des Steuerwesens für Unternehmen und Einkünfte einen Verstoß gegen die Bestimmungen [des vorliegenden Abschnitts] fest, notifiziert sie dies dem Systemverwalter oder in den in Artikel 73</w:t>
      </w:r>
      <w:r w:rsidRPr="00334017">
        <w:rPr>
          <w:rFonts w:eastAsia="Calibri"/>
          <w:szCs w:val="22"/>
          <w:vertAlign w:val="superscript"/>
          <w:lang w:eastAsia="de-DE" w:bidi="de-DE"/>
        </w:rPr>
        <w:t>7</w:t>
      </w:r>
      <w:r w:rsidRPr="00334017">
        <w:rPr>
          <w:rFonts w:eastAsia="Calibri"/>
          <w:szCs w:val="22"/>
          <w:lang w:eastAsia="de-DE" w:bidi="de-DE"/>
        </w:rPr>
        <w:t xml:space="preserve"> erwähnten Fällen seinem Fiskalvertreter.</w:t>
      </w:r>
    </w:p>
    <w:p w14:paraId="6DE47C94" w14:textId="77777777" w:rsidR="005A5BD5" w:rsidRPr="00334017" w:rsidRDefault="005A5BD5" w:rsidP="004C2C7D">
      <w:pPr>
        <w:jc w:val="both"/>
        <w:rPr>
          <w:rFonts w:eastAsia="Calibri"/>
          <w:szCs w:val="22"/>
          <w:lang w:eastAsia="de-DE" w:bidi="de-DE"/>
        </w:rPr>
      </w:pPr>
    </w:p>
    <w:p w14:paraId="718C2AC1"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Der Systemverwalter oder in den in Artikel 73</w:t>
      </w:r>
      <w:r w:rsidRPr="00334017">
        <w:rPr>
          <w:rFonts w:eastAsia="Calibri"/>
          <w:szCs w:val="22"/>
          <w:vertAlign w:val="superscript"/>
          <w:lang w:eastAsia="de-DE" w:bidi="de-DE"/>
        </w:rPr>
        <w:t>7</w:t>
      </w:r>
      <w:r w:rsidRPr="00334017">
        <w:rPr>
          <w:rFonts w:eastAsia="Calibri"/>
          <w:szCs w:val="22"/>
          <w:lang w:eastAsia="de-DE" w:bidi="de-DE"/>
        </w:rPr>
        <w:t xml:space="preserve"> erwähnten Fällen sein Fiskalvertreter verfügt über eine Frist von einem Monat ab der Notifizierung, um darauf zu antworten und das System erneut an die Bedingungen des Artikels 73</w:t>
      </w:r>
      <w:r w:rsidRPr="00334017">
        <w:rPr>
          <w:rFonts w:eastAsia="Calibri"/>
          <w:szCs w:val="22"/>
          <w:vertAlign w:val="superscript"/>
          <w:lang w:eastAsia="de-DE" w:bidi="de-DE"/>
        </w:rPr>
        <w:t>6</w:t>
      </w:r>
      <w:r w:rsidRPr="00334017">
        <w:rPr>
          <w:rFonts w:eastAsia="Calibri"/>
          <w:szCs w:val="22"/>
          <w:lang w:eastAsia="de-DE" w:bidi="de-DE"/>
        </w:rPr>
        <w:t xml:space="preserve"> anzupassen.</w:t>
      </w:r>
    </w:p>
    <w:p w14:paraId="29512B05" w14:textId="77777777" w:rsidR="005A5BD5" w:rsidRPr="00334017" w:rsidRDefault="005A5BD5" w:rsidP="004C2C7D">
      <w:pPr>
        <w:jc w:val="both"/>
        <w:rPr>
          <w:rFonts w:eastAsia="Calibri"/>
          <w:szCs w:val="22"/>
          <w:lang w:eastAsia="de-DE" w:bidi="de-DE"/>
        </w:rPr>
      </w:pPr>
    </w:p>
    <w:p w14:paraId="29EC30DD"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2 - Bestreitet der Systemverwalter oder in den in Artikel 73</w:t>
      </w:r>
      <w:r w:rsidRPr="00334017">
        <w:rPr>
          <w:rFonts w:eastAsia="Calibri"/>
          <w:szCs w:val="22"/>
          <w:vertAlign w:val="superscript"/>
          <w:lang w:eastAsia="de-DE" w:bidi="de-DE"/>
        </w:rPr>
        <w:t>7</w:t>
      </w:r>
      <w:r w:rsidRPr="00334017">
        <w:rPr>
          <w:rFonts w:eastAsia="Calibri"/>
          <w:szCs w:val="22"/>
          <w:lang w:eastAsia="de-DE" w:bidi="de-DE"/>
        </w:rPr>
        <w:t xml:space="preserve"> erwähnten Fällen sein Fiskalvertreter in seiner Antwort auf die in § 1 Absatz 2 vorgesehene Notifizierung die Angaben, die von der Verwaltung des Steuerwesens für Unternehmen und Einkünfte notifiziert worden sind, verfügt diese Verwaltung über eine Frist von einem Monat ab Empfang des Briefes, in dem das Nichteinverständnis mitgeteilt wird, um auf diesen Brief zu antworten. Antwortet die Verwaltung des Steuerwesens für Unternehmen und Einkünfte nicht, so gilt dies als Aufrechterhaltung ihrer Notifizierung.</w:t>
      </w:r>
    </w:p>
    <w:p w14:paraId="651B6427" w14:textId="77777777" w:rsidR="005A5BD5" w:rsidRPr="00334017" w:rsidRDefault="005A5BD5" w:rsidP="004C2C7D">
      <w:pPr>
        <w:jc w:val="both"/>
        <w:rPr>
          <w:rFonts w:eastAsia="Calibri"/>
          <w:szCs w:val="22"/>
          <w:lang w:eastAsia="de-DE" w:bidi="de-DE"/>
        </w:rPr>
      </w:pPr>
    </w:p>
    <w:p w14:paraId="66DE0C26"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Der Systemverwalter oder in den in Artikel 73</w:t>
      </w:r>
      <w:r w:rsidRPr="00334017">
        <w:rPr>
          <w:rFonts w:eastAsia="Calibri"/>
          <w:szCs w:val="22"/>
          <w:vertAlign w:val="superscript"/>
          <w:lang w:eastAsia="de-DE" w:bidi="de-DE"/>
        </w:rPr>
        <w:t>7</w:t>
      </w:r>
      <w:r w:rsidRPr="00334017">
        <w:rPr>
          <w:rFonts w:eastAsia="Calibri"/>
          <w:szCs w:val="22"/>
          <w:lang w:eastAsia="de-DE" w:bidi="de-DE"/>
        </w:rPr>
        <w:t xml:space="preserve"> erwähnten Fällen sein Fiskalvertreter kann Widerspruch einlegen gegen den Beschluss der Verwaltung des Steuerwesens für Unternehmen und Einkünfte, die in § 1 Absatz 1 vorgesehene Notifizierung ganz oder teilweise aufrechtzuerhalten, in der die Anpassung des zentralisierten Systems für den Verleih von [Finanzinstrumenten] an die Bedingungen des Artikels 73</w:t>
      </w:r>
      <w:r w:rsidRPr="00334017">
        <w:rPr>
          <w:rFonts w:eastAsia="Calibri"/>
          <w:szCs w:val="22"/>
          <w:vertAlign w:val="superscript"/>
          <w:lang w:eastAsia="de-DE" w:bidi="de-DE"/>
        </w:rPr>
        <w:t>6</w:t>
      </w:r>
      <w:r w:rsidRPr="00334017">
        <w:rPr>
          <w:rFonts w:eastAsia="Calibri"/>
          <w:szCs w:val="22"/>
          <w:lang w:eastAsia="de-DE" w:bidi="de-DE"/>
        </w:rPr>
        <w:t xml:space="preserve"> gefordert wird.</w:t>
      </w:r>
    </w:p>
    <w:p w14:paraId="6F8501CB" w14:textId="77777777" w:rsidR="00E61552" w:rsidRDefault="00E61552" w:rsidP="004C2C7D">
      <w:pPr>
        <w:jc w:val="both"/>
        <w:rPr>
          <w:rFonts w:eastAsia="Calibri"/>
          <w:szCs w:val="22"/>
          <w:lang w:eastAsia="de-DE" w:bidi="de-DE"/>
        </w:rPr>
      </w:pPr>
    </w:p>
    <w:p w14:paraId="5CA2A97A" w14:textId="77777777" w:rsidR="005A5BD5" w:rsidRDefault="005A5BD5" w:rsidP="004C2C7D">
      <w:pPr>
        <w:jc w:val="both"/>
        <w:rPr>
          <w:rFonts w:eastAsia="Calibri"/>
          <w:szCs w:val="22"/>
          <w:lang w:eastAsia="de-DE" w:bidi="de-DE"/>
        </w:rPr>
      </w:pPr>
      <w:r w:rsidRPr="00334017">
        <w:rPr>
          <w:rFonts w:eastAsia="Calibri"/>
          <w:szCs w:val="22"/>
          <w:lang w:eastAsia="de-DE" w:bidi="de-DE"/>
        </w:rPr>
        <w:lastRenderedPageBreak/>
        <w:tab/>
        <w:t>Der Widerspruch muss binnen fünfzehn Tagen ab Notifizierung des Beschlusses oder Ablauf der in § 2 Absatz 1 festgelegten Frist per Einschreiben oder per Einschreiben mit Rückschein an den Minister der Finanzen gerichtet werden.</w:t>
      </w:r>
    </w:p>
    <w:p w14:paraId="674C9A57" w14:textId="77777777" w:rsidR="005A5BD5" w:rsidRDefault="005A5BD5" w:rsidP="004C2C7D">
      <w:pPr>
        <w:jc w:val="both"/>
        <w:rPr>
          <w:rFonts w:eastAsia="Calibri"/>
          <w:szCs w:val="22"/>
          <w:lang w:eastAsia="de-DE" w:bidi="de-DE"/>
        </w:rPr>
      </w:pPr>
    </w:p>
    <w:p w14:paraId="00C9E077"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Der Minister der Finanzen befindet über den Widerspruch binnen zwei Monaten. Sein Beschluss wird dem Systemverwalter oder in den in Artikel 73</w:t>
      </w:r>
      <w:r w:rsidRPr="00334017">
        <w:rPr>
          <w:rFonts w:eastAsia="Calibri"/>
          <w:szCs w:val="22"/>
          <w:vertAlign w:val="superscript"/>
          <w:lang w:eastAsia="de-DE" w:bidi="de-DE"/>
        </w:rPr>
        <w:t>7</w:t>
      </w:r>
      <w:r w:rsidRPr="00334017">
        <w:rPr>
          <w:rFonts w:eastAsia="Calibri"/>
          <w:szCs w:val="22"/>
          <w:lang w:eastAsia="de-DE" w:bidi="de-DE"/>
        </w:rPr>
        <w:t xml:space="preserve"> erwähnten Fällen dessen Fiskalvertreter binnen acht Tagen per Einschreiben oder per Einschreiben mit Rückschein notifiziert.</w:t>
      </w:r>
    </w:p>
    <w:p w14:paraId="5BB4D513" w14:textId="77777777" w:rsidR="005A5BD5" w:rsidRPr="00334017" w:rsidRDefault="005A5BD5" w:rsidP="004C2C7D">
      <w:pPr>
        <w:jc w:val="both"/>
        <w:rPr>
          <w:rFonts w:eastAsia="Calibri"/>
          <w:szCs w:val="22"/>
          <w:lang w:eastAsia="de-DE" w:bidi="de-DE"/>
        </w:rPr>
      </w:pPr>
    </w:p>
    <w:p w14:paraId="435F1B4F"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Befindet der Minister nicht innerhalb der vorerwähnten Frist, gilt der Widerspruch als abgewiesen.</w:t>
      </w:r>
    </w:p>
    <w:p w14:paraId="32A79019" w14:textId="77777777" w:rsidR="005A5BD5" w:rsidRPr="00334017" w:rsidRDefault="005A5BD5" w:rsidP="004C2C7D">
      <w:pPr>
        <w:jc w:val="both"/>
        <w:rPr>
          <w:rFonts w:eastAsia="Calibri"/>
          <w:szCs w:val="22"/>
          <w:lang w:eastAsia="de-DE" w:bidi="de-DE"/>
        </w:rPr>
      </w:pPr>
    </w:p>
    <w:p w14:paraId="614FE639"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3 - Anpassungen des zentralisierten Systems für den Verleih von [Finanz</w:t>
      </w:r>
      <w:r w:rsidRPr="00334017">
        <w:rPr>
          <w:rFonts w:eastAsia="Calibri"/>
          <w:szCs w:val="22"/>
          <w:lang w:eastAsia="de-DE" w:bidi="de-DE"/>
        </w:rPr>
        <w:softHyphen/>
        <w:t>instrumenten] an die Bedingungen des Artikels 73</w:t>
      </w:r>
      <w:r w:rsidRPr="00334017">
        <w:rPr>
          <w:rFonts w:eastAsia="Calibri"/>
          <w:szCs w:val="22"/>
          <w:vertAlign w:val="superscript"/>
          <w:lang w:eastAsia="de-DE" w:bidi="de-DE"/>
        </w:rPr>
        <w:t>6</w:t>
      </w:r>
      <w:r w:rsidRPr="00334017">
        <w:rPr>
          <w:rFonts w:eastAsia="Calibri"/>
          <w:szCs w:val="22"/>
          <w:lang w:eastAsia="de-DE" w:bidi="de-DE"/>
        </w:rPr>
        <w:t xml:space="preserve"> müssen der Verwaltung des Steuerwesens für Unternehmen und Einkünfte notifiziert werden.</w:t>
      </w:r>
    </w:p>
    <w:p w14:paraId="513FFC10" w14:textId="77777777" w:rsidR="005A5BD5" w:rsidRPr="00334017" w:rsidRDefault="005A5BD5" w:rsidP="004C2C7D">
      <w:pPr>
        <w:jc w:val="both"/>
        <w:rPr>
          <w:rFonts w:eastAsia="Calibri"/>
          <w:szCs w:val="22"/>
          <w:lang w:eastAsia="de-DE" w:bidi="de-DE"/>
        </w:rPr>
      </w:pPr>
    </w:p>
    <w:p w14:paraId="1EB5C61C"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4 - In Ermangelung einer der Verwaltung des Steuerwesens für Unternehmen und Einkünfte notifizierten Anpassung des zentralisierten Systems für den Verleih von [Finanzinstrumenten] verliert das System automatisch seine Zulassung:</w:t>
      </w:r>
    </w:p>
    <w:p w14:paraId="3E7DE0E9" w14:textId="77777777" w:rsidR="005A5BD5" w:rsidRPr="00334017" w:rsidRDefault="005A5BD5" w:rsidP="004C2C7D">
      <w:pPr>
        <w:jc w:val="both"/>
        <w:rPr>
          <w:rFonts w:eastAsia="Calibri"/>
          <w:szCs w:val="22"/>
          <w:lang w:eastAsia="de-DE" w:bidi="de-DE"/>
        </w:rPr>
      </w:pPr>
    </w:p>
    <w:p w14:paraId="7E2A2215"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nach Ablauf der in § 1 Absatz 2 vorgesehenen Beantwortungsfrist, wenn der Systemverwalter oder in den in Artikel 73</w:t>
      </w:r>
      <w:r w:rsidRPr="00334017">
        <w:rPr>
          <w:rFonts w:eastAsia="Calibri"/>
          <w:szCs w:val="22"/>
          <w:vertAlign w:val="superscript"/>
          <w:lang w:eastAsia="de-DE" w:bidi="de-DE"/>
        </w:rPr>
        <w:t>7</w:t>
      </w:r>
      <w:r w:rsidRPr="00334017">
        <w:rPr>
          <w:rFonts w:eastAsia="Calibri"/>
          <w:szCs w:val="22"/>
          <w:lang w:eastAsia="de-DE" w:bidi="de-DE"/>
        </w:rPr>
        <w:t xml:space="preserve"> erwähnten Fällen sein Fiskalvertreter nicht innerhalb der vorerwähnten Frist auf die Notifizierung geantwortet hat oder geantwortet hat, ohne ein Nichteinverständnis mitzuteilen,</w:t>
      </w:r>
    </w:p>
    <w:p w14:paraId="316A7EDC" w14:textId="77777777" w:rsidR="005A5BD5" w:rsidRPr="00334017" w:rsidRDefault="005A5BD5" w:rsidP="004C2C7D">
      <w:pPr>
        <w:jc w:val="both"/>
        <w:rPr>
          <w:rFonts w:eastAsia="Calibri"/>
          <w:szCs w:val="22"/>
          <w:lang w:eastAsia="de-DE" w:bidi="de-DE"/>
        </w:rPr>
      </w:pPr>
    </w:p>
    <w:p w14:paraId="5D9181E1"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nach Ablauf der in § 2 Absatz 3 vorgesehenen Frist zur Einlegung eines Widerspruchs, wenn der Systemverwalter oder in den in Artikel 73</w:t>
      </w:r>
      <w:r w:rsidRPr="00334017">
        <w:rPr>
          <w:rFonts w:eastAsia="Calibri"/>
          <w:szCs w:val="22"/>
          <w:vertAlign w:val="superscript"/>
          <w:lang w:eastAsia="de-DE" w:bidi="de-DE"/>
        </w:rPr>
        <w:t>7</w:t>
      </w:r>
      <w:r w:rsidRPr="00334017">
        <w:rPr>
          <w:rFonts w:eastAsia="Calibri"/>
          <w:szCs w:val="22"/>
          <w:lang w:eastAsia="de-DE" w:bidi="de-DE"/>
        </w:rPr>
        <w:t xml:space="preserve"> erwähnten Fällen sein Fiskalvertreter die Notifizierung innerhalb der in § 1 Absatz 2 vorgesehenen Frist beanstandet hat, aber nicht innerhalb der in § 2 Absatz 3 vorgesehenen Frist Widerspruch eingelegt hat,</w:t>
      </w:r>
    </w:p>
    <w:p w14:paraId="32308B47" w14:textId="77777777" w:rsidR="005A5BD5" w:rsidRPr="00334017" w:rsidRDefault="005A5BD5" w:rsidP="004C2C7D">
      <w:pPr>
        <w:jc w:val="both"/>
        <w:rPr>
          <w:rFonts w:eastAsia="Calibri"/>
          <w:szCs w:val="22"/>
          <w:lang w:eastAsia="de-DE" w:bidi="de-DE"/>
        </w:rPr>
      </w:pPr>
    </w:p>
    <w:p w14:paraId="0B5BE3E9"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nach Ablauf von dreißig Tagen ab dem Beschluss, den Widerspruch abzuweisen, oder ab Ablauf der in § 2 letzter Absatz vorgesehenen Frist für die Notifizierung des Beschlusses über den Widerspruch.]</w:t>
      </w:r>
    </w:p>
    <w:p w14:paraId="5F430F33" w14:textId="77777777" w:rsidR="005A5BD5" w:rsidRPr="00334017" w:rsidRDefault="005A5BD5" w:rsidP="004C2C7D">
      <w:pPr>
        <w:jc w:val="both"/>
        <w:rPr>
          <w:rFonts w:eastAsia="Calibri"/>
          <w:szCs w:val="22"/>
          <w:lang w:eastAsia="de-DE" w:bidi="de-DE"/>
        </w:rPr>
      </w:pPr>
    </w:p>
    <w:p w14:paraId="2AAB0227" w14:textId="77777777" w:rsidR="00CA5E13" w:rsidRDefault="005A5BD5" w:rsidP="00CA5E13">
      <w:pPr>
        <w:tabs>
          <w:tab w:val="left" w:pos="960"/>
        </w:tabs>
        <w:jc w:val="both"/>
        <w:rPr>
          <w:rFonts w:eastAsia="Calibri"/>
          <w:i/>
          <w:szCs w:val="22"/>
          <w:lang w:eastAsia="de-DE" w:bidi="de-DE"/>
        </w:rPr>
      </w:pPr>
      <w:r w:rsidRPr="00334017">
        <w:rPr>
          <w:rFonts w:eastAsia="Calibri"/>
          <w:i/>
          <w:szCs w:val="22"/>
          <w:lang w:eastAsia="de-DE" w:bidi="de-DE"/>
        </w:rPr>
        <w:t>[Art. 73</w:t>
      </w:r>
      <w:r w:rsidRPr="00334017">
        <w:rPr>
          <w:rFonts w:eastAsia="Calibri"/>
          <w:i/>
          <w:szCs w:val="22"/>
          <w:vertAlign w:val="superscript"/>
          <w:lang w:eastAsia="de-DE" w:bidi="de-DE"/>
        </w:rPr>
        <w:t>12</w:t>
      </w:r>
      <w:r w:rsidRPr="00334017">
        <w:rPr>
          <w:rFonts w:eastAsia="Calibri"/>
          <w:i/>
          <w:szCs w:val="22"/>
          <w:lang w:eastAsia="de-DE" w:bidi="de-DE"/>
        </w:rPr>
        <w:t xml:space="preserve"> eingefügt durch Art. 1 des K.E. vom 29. November 2000 (B.S. vom 23. Dezember 2000); § 1 Abs. 1 abgeändert durch Art. 1 des K.E. vom 30. Juli 2010 (B.S. vom 16. August 2010); § 2 Abs. 2 abgeändert durch Art. 9 des K.E. vom 20. Januar 2005 (B.S. vom 1. Februar 2005); § 3 abgeändert durch Art. 9 des K.E. vom 20. Januar 2005 (B.S. vom 1. Februar 2005); § 4 einziger Absatz einleitende Bestimmung abgeändert durch Art. 9 des K.E. vom 20. Januar 2005 (B.S. vom 1. Februar 2005)]</w:t>
      </w:r>
    </w:p>
    <w:p w14:paraId="7D7E57D9" w14:textId="77777777" w:rsidR="00CA5E13" w:rsidRDefault="00CA5E13" w:rsidP="00CA5E13">
      <w:pPr>
        <w:tabs>
          <w:tab w:val="left" w:pos="960"/>
        </w:tabs>
        <w:jc w:val="both"/>
        <w:rPr>
          <w:rFonts w:eastAsia="Calibri"/>
          <w:i/>
          <w:szCs w:val="22"/>
          <w:lang w:eastAsia="de-DE" w:bidi="de-DE"/>
        </w:rPr>
      </w:pPr>
    </w:p>
    <w:p w14:paraId="72FD1D2F" w14:textId="77777777" w:rsidR="00CA5E13" w:rsidRDefault="00CA5E13" w:rsidP="00CA5E13">
      <w:pPr>
        <w:tabs>
          <w:tab w:val="left" w:pos="960"/>
        </w:tabs>
        <w:jc w:val="both"/>
        <w:rPr>
          <w:rFonts w:eastAsia="Calibri"/>
          <w:i/>
          <w:szCs w:val="22"/>
          <w:lang w:eastAsia="de-DE" w:bidi="de-DE"/>
        </w:rPr>
      </w:pPr>
    </w:p>
    <w:p w14:paraId="4CB8E88E" w14:textId="7910FC5B" w:rsidR="00292EC1" w:rsidRPr="00334017" w:rsidRDefault="00292EC1" w:rsidP="00292EC1">
      <w:pPr>
        <w:tabs>
          <w:tab w:val="left" w:pos="960"/>
        </w:tabs>
        <w:jc w:val="center"/>
        <w:rPr>
          <w:rFonts w:eastAsia="Calibri"/>
          <w:szCs w:val="22"/>
          <w:lang w:eastAsia="de-DE" w:bidi="de-DE"/>
        </w:rPr>
      </w:pPr>
      <w:r>
        <w:rPr>
          <w:rFonts w:eastAsia="Calibri"/>
          <w:szCs w:val="22"/>
          <w:lang w:eastAsia="de-DE" w:bidi="de-DE"/>
        </w:rPr>
        <w:t>[</w:t>
      </w:r>
      <w:r w:rsidRPr="00334017">
        <w:rPr>
          <w:rFonts w:eastAsia="Calibri"/>
          <w:i/>
          <w:szCs w:val="22"/>
          <w:lang w:eastAsia="de-DE" w:bidi="de-DE"/>
        </w:rPr>
        <w:t>Abschnitt 28</w:t>
      </w:r>
      <w:r w:rsidRPr="00334017">
        <w:rPr>
          <w:rFonts w:eastAsia="Calibri"/>
          <w:szCs w:val="22"/>
          <w:lang w:eastAsia="de-DE" w:bidi="de-DE"/>
        </w:rPr>
        <w:t xml:space="preserve"> - </w:t>
      </w:r>
      <w:r>
        <w:rPr>
          <w:rFonts w:eastAsia="Calibri"/>
          <w:szCs w:val="22"/>
          <w:lang w:eastAsia="de-DE" w:bidi="de-DE"/>
        </w:rPr>
        <w:t>[...]</w:t>
      </w:r>
    </w:p>
    <w:p w14:paraId="6CBE6BEC" w14:textId="77777777" w:rsidR="00292EC1" w:rsidRDefault="00292EC1" w:rsidP="00292EC1">
      <w:pPr>
        <w:jc w:val="both"/>
        <w:rPr>
          <w:rFonts w:eastAsia="Calibri"/>
          <w:szCs w:val="22"/>
          <w:lang w:eastAsia="de-DE" w:bidi="de-DE"/>
        </w:rPr>
      </w:pPr>
    </w:p>
    <w:p w14:paraId="603F3BF6" w14:textId="5C13BA07" w:rsidR="00292EC1" w:rsidRDefault="00292EC1" w:rsidP="00292EC1">
      <w:pPr>
        <w:jc w:val="both"/>
        <w:rPr>
          <w:rFonts w:eastAsia="Calibri"/>
          <w:i/>
          <w:szCs w:val="22"/>
          <w:lang w:eastAsia="de-DE" w:bidi="de-DE"/>
        </w:rPr>
      </w:pPr>
      <w:r>
        <w:rPr>
          <w:rFonts w:eastAsia="Calibri"/>
          <w:i/>
          <w:szCs w:val="22"/>
          <w:lang w:eastAsia="de-DE" w:bidi="de-DE"/>
        </w:rPr>
        <w:t xml:space="preserve">[Abschnitt 28 mit den Artikeln 74 bis 79 aufgehoben durch Art. 98 des </w:t>
      </w:r>
      <w:r w:rsidR="0018199D">
        <w:rPr>
          <w:rFonts w:eastAsia="Calibri"/>
          <w:i/>
          <w:szCs w:val="22"/>
          <w:lang w:eastAsia="de-DE" w:bidi="de-DE"/>
        </w:rPr>
        <w:t>G</w:t>
      </w:r>
      <w:r>
        <w:rPr>
          <w:rFonts w:eastAsia="Calibri"/>
          <w:i/>
          <w:szCs w:val="22"/>
          <w:lang w:eastAsia="de-DE" w:bidi="de-DE"/>
        </w:rPr>
        <w:t>. vom 27. Juni 2021 (B.S. vom 30. Juni 2021)]</w:t>
      </w:r>
    </w:p>
    <w:p w14:paraId="74EC36B0" w14:textId="77777777" w:rsidR="00292EC1" w:rsidRPr="00492530" w:rsidRDefault="00292EC1" w:rsidP="00292EC1">
      <w:pPr>
        <w:jc w:val="both"/>
        <w:rPr>
          <w:rFonts w:eastAsia="Calibri"/>
          <w:i/>
          <w:szCs w:val="22"/>
          <w:lang w:eastAsia="de-DE" w:bidi="de-DE"/>
        </w:rPr>
      </w:pPr>
    </w:p>
    <w:p w14:paraId="24FAF47A" w14:textId="77777777" w:rsidR="00292EC1" w:rsidRPr="00334017" w:rsidRDefault="00292EC1" w:rsidP="00292EC1">
      <w:pPr>
        <w:jc w:val="both"/>
        <w:rPr>
          <w:rFonts w:eastAsia="Calibri"/>
          <w:szCs w:val="22"/>
          <w:lang w:eastAsia="de-DE" w:bidi="de-DE"/>
        </w:rPr>
      </w:pPr>
    </w:p>
    <w:p w14:paraId="4A81AD95" w14:textId="77777777" w:rsidR="00292EC1" w:rsidRDefault="00292EC1" w:rsidP="00292EC1">
      <w:pPr>
        <w:jc w:val="both"/>
      </w:pPr>
      <w:r w:rsidRPr="00334017">
        <w:rPr>
          <w:rFonts w:eastAsia="Calibri"/>
          <w:szCs w:val="22"/>
          <w:lang w:eastAsia="de-DE" w:bidi="de-DE"/>
        </w:rPr>
        <w:tab/>
      </w:r>
      <w:r w:rsidRPr="00334017">
        <w:rPr>
          <w:rFonts w:eastAsia="Calibri"/>
          <w:b/>
          <w:szCs w:val="22"/>
          <w:lang w:eastAsia="de-DE" w:bidi="de-DE"/>
        </w:rPr>
        <w:t>Art. 74</w:t>
      </w:r>
      <w:r w:rsidRPr="00334017">
        <w:rPr>
          <w:rFonts w:eastAsia="Calibri"/>
          <w:szCs w:val="22"/>
          <w:lang w:eastAsia="de-DE" w:bidi="de-DE"/>
        </w:rPr>
        <w:t xml:space="preserve"> - </w:t>
      </w:r>
      <w:r w:rsidRPr="00334017">
        <w:rPr>
          <w:rFonts w:eastAsia="Calibri"/>
          <w:b/>
          <w:szCs w:val="22"/>
          <w:lang w:eastAsia="de-DE" w:bidi="de-DE"/>
        </w:rPr>
        <w:t>79</w:t>
      </w:r>
      <w:r w:rsidRPr="00334017">
        <w:rPr>
          <w:rFonts w:eastAsia="Calibri"/>
          <w:szCs w:val="22"/>
          <w:lang w:eastAsia="de-DE" w:bidi="de-DE"/>
        </w:rPr>
        <w:t xml:space="preserve"> - </w:t>
      </w:r>
      <w:r>
        <w:rPr>
          <w:rFonts w:eastAsia="Calibri"/>
          <w:szCs w:val="22"/>
          <w:lang w:eastAsia="de-DE" w:bidi="de-DE"/>
        </w:rPr>
        <w:t>[</w:t>
      </w:r>
      <w:r>
        <w:t>..</w:t>
      </w:r>
      <w:r w:rsidRPr="00CD3504">
        <w:t>.</w:t>
      </w:r>
      <w:r>
        <w:t>]]</w:t>
      </w:r>
    </w:p>
    <w:p w14:paraId="6BED0EFC" w14:textId="77777777" w:rsidR="00292EC1" w:rsidRPr="00492530" w:rsidRDefault="00292EC1" w:rsidP="00292EC1">
      <w:pPr>
        <w:jc w:val="both"/>
      </w:pPr>
    </w:p>
    <w:p w14:paraId="022E97A0" w14:textId="77777777" w:rsidR="0065243A" w:rsidRDefault="0065243A" w:rsidP="004C2C7D">
      <w:pPr>
        <w:jc w:val="center"/>
        <w:rPr>
          <w:rFonts w:eastAsia="Calibri"/>
          <w:szCs w:val="22"/>
          <w:lang w:eastAsia="de-DE" w:bidi="de-DE"/>
        </w:rPr>
      </w:pPr>
    </w:p>
    <w:p w14:paraId="46DDDC49" w14:textId="77777777" w:rsidR="00DB48D7" w:rsidRPr="004D3F49" w:rsidRDefault="00DB48D7" w:rsidP="00DB48D7">
      <w:pPr>
        <w:jc w:val="center"/>
        <w:rPr>
          <w:noProof/>
        </w:rPr>
      </w:pPr>
      <w:r>
        <w:rPr>
          <w:rFonts w:eastAsia="Calibri"/>
          <w:szCs w:val="22"/>
          <w:lang w:eastAsia="de-DE" w:bidi="de-DE"/>
        </w:rPr>
        <w:t>[</w:t>
      </w:r>
      <w:r w:rsidRPr="00DB48D7">
        <w:rPr>
          <w:i/>
        </w:rPr>
        <w:t>Abschnitt 28/1</w:t>
      </w:r>
      <w:r w:rsidRPr="004D3F49">
        <w:t> - Optionssystem für Vereinigungen ohne Rechtspersönlichkeit</w:t>
      </w:r>
    </w:p>
    <w:p w14:paraId="4858A87F" w14:textId="77777777" w:rsidR="00DB48D7" w:rsidRDefault="00DB48D7" w:rsidP="00DB48D7">
      <w:pPr>
        <w:jc w:val="both"/>
        <w:rPr>
          <w:noProof/>
          <w:lang w:eastAsia="fr-BE"/>
        </w:rPr>
      </w:pPr>
    </w:p>
    <w:p w14:paraId="05A00388" w14:textId="46813732" w:rsidR="00DB48D7" w:rsidRDefault="00DB48D7" w:rsidP="00DB48D7">
      <w:pPr>
        <w:jc w:val="both"/>
        <w:rPr>
          <w:i/>
          <w:noProof/>
          <w:lang w:eastAsia="fr-BE"/>
        </w:rPr>
      </w:pPr>
      <w:r>
        <w:rPr>
          <w:i/>
          <w:noProof/>
          <w:lang w:eastAsia="fr-BE"/>
        </w:rPr>
        <w:t>[Abschnitt 28/1 mit den Artikeln 79/1 und 79/2 eingefügt durch Art. 1 des K.E. vom 6. Jun</w:t>
      </w:r>
      <w:r w:rsidR="00701B70">
        <w:rPr>
          <w:i/>
          <w:noProof/>
          <w:lang w:eastAsia="fr-BE"/>
        </w:rPr>
        <w:t>i 2019 (B.S. vom 14. Juni 2019)]</w:t>
      </w:r>
    </w:p>
    <w:p w14:paraId="662F460A" w14:textId="77777777" w:rsidR="00701B70" w:rsidRDefault="00701B70" w:rsidP="00DB48D7">
      <w:pPr>
        <w:jc w:val="both"/>
        <w:rPr>
          <w:i/>
          <w:noProof/>
          <w:lang w:eastAsia="fr-BE"/>
        </w:rPr>
      </w:pPr>
    </w:p>
    <w:p w14:paraId="66B41E8B" w14:textId="77777777" w:rsidR="00DB48D7" w:rsidRPr="00DB48D7" w:rsidRDefault="00DB48D7" w:rsidP="00DB48D7">
      <w:pPr>
        <w:jc w:val="both"/>
        <w:rPr>
          <w:i/>
          <w:noProof/>
          <w:lang w:eastAsia="fr-BE"/>
        </w:rPr>
      </w:pPr>
    </w:p>
    <w:p w14:paraId="0C44F106" w14:textId="77777777" w:rsidR="00DB48D7" w:rsidRPr="004D3F49" w:rsidRDefault="00DB48D7" w:rsidP="00DB48D7">
      <w:pPr>
        <w:jc w:val="both"/>
        <w:rPr>
          <w:noProof/>
        </w:rPr>
      </w:pPr>
      <w:r w:rsidRPr="004D3F49">
        <w:tab/>
      </w:r>
      <w:r w:rsidRPr="00DB48D7">
        <w:rPr>
          <w:b/>
        </w:rPr>
        <w:t>Art. 79/1</w:t>
      </w:r>
      <w:r w:rsidRPr="004D3F49">
        <w:t> - Vereinigungen, die nicht in Artikel 220 Nr. 1 bis 3 des Einkommen</w:t>
      </w:r>
      <w:r w:rsidRPr="004D3F49">
        <w:softHyphen/>
        <w:t>steuergesetzbuches 1992 erwähnt sind, der Gesellschaftssteuer nicht unterliegen, keine Gewinne oder Profite erzielen und über einen in der Satzung festgelegten Sitz, dessen Adresse sich in Belgien befindet, verfügen, können während des Besteuerungszeitraums per Brief für die Steuer der juristischen Personen optieren, wenn folgende Angaben zusammen mit dem Brief übermittelt werden:</w:t>
      </w:r>
    </w:p>
    <w:p w14:paraId="4BDF2156" w14:textId="77777777" w:rsidR="00DB48D7" w:rsidRPr="004D3F49" w:rsidRDefault="00DB48D7" w:rsidP="00DB48D7">
      <w:pPr>
        <w:jc w:val="both"/>
        <w:rPr>
          <w:noProof/>
          <w:lang w:eastAsia="fr-BE"/>
        </w:rPr>
      </w:pPr>
    </w:p>
    <w:p w14:paraId="4A0EB5E3" w14:textId="77777777" w:rsidR="00DB48D7" w:rsidRPr="004D3F49" w:rsidRDefault="00DB48D7" w:rsidP="00DB48D7">
      <w:pPr>
        <w:jc w:val="both"/>
        <w:rPr>
          <w:noProof/>
        </w:rPr>
      </w:pPr>
      <w:r w:rsidRPr="004D3F49">
        <w:tab/>
        <w:t>- Adresse des Sitzes der Vereinigung und Name und Adresse des oder der Mitglieder der Vereinigung, die von der Vereinigung mit der Einreichung der Erklärung zur Steuer der juristischen Personen beauftragt sind,</w:t>
      </w:r>
    </w:p>
    <w:p w14:paraId="3164908B" w14:textId="77777777" w:rsidR="00DB48D7" w:rsidRPr="004D3F49" w:rsidRDefault="00DB48D7" w:rsidP="00DB48D7">
      <w:pPr>
        <w:jc w:val="both"/>
        <w:rPr>
          <w:noProof/>
          <w:lang w:eastAsia="fr-BE"/>
        </w:rPr>
      </w:pPr>
    </w:p>
    <w:p w14:paraId="7A09FE7B" w14:textId="77777777" w:rsidR="00DB48D7" w:rsidRPr="004D3F49" w:rsidRDefault="00DB48D7" w:rsidP="00DB48D7">
      <w:pPr>
        <w:jc w:val="both"/>
        <w:rPr>
          <w:noProof/>
        </w:rPr>
      </w:pPr>
      <w:r w:rsidRPr="004D3F49">
        <w:tab/>
        <w:t>- Liste der Mitglieder der Vereinigung, die folgende Angaben enthält: Namen, Vornamen und Wohnsitz der Mitglieder oder, falls es sich um eine juristische Person handelt, Namen, Rechtsform und Adresse des Sitzes dieser juristischen Person,</w:t>
      </w:r>
    </w:p>
    <w:p w14:paraId="6C74BAA7" w14:textId="77777777" w:rsidR="00DB48D7" w:rsidRPr="004D3F49" w:rsidRDefault="00DB48D7" w:rsidP="00DB48D7">
      <w:pPr>
        <w:jc w:val="both"/>
        <w:rPr>
          <w:noProof/>
          <w:lang w:eastAsia="fr-BE"/>
        </w:rPr>
      </w:pPr>
    </w:p>
    <w:p w14:paraId="5529902D" w14:textId="77777777" w:rsidR="00DB48D7" w:rsidRPr="004D3F49" w:rsidRDefault="00DB48D7" w:rsidP="00DB48D7">
      <w:pPr>
        <w:jc w:val="both"/>
        <w:rPr>
          <w:noProof/>
        </w:rPr>
      </w:pPr>
      <w:r w:rsidRPr="004D3F49">
        <w:tab/>
        <w:t>- Abschrift der Satzung der Vereinigung,</w:t>
      </w:r>
    </w:p>
    <w:p w14:paraId="368D03C3" w14:textId="77777777" w:rsidR="00DB48D7" w:rsidRPr="004D3F49" w:rsidRDefault="00DB48D7" w:rsidP="00DB48D7">
      <w:pPr>
        <w:jc w:val="both"/>
        <w:rPr>
          <w:noProof/>
          <w:lang w:eastAsia="fr-BE"/>
        </w:rPr>
      </w:pPr>
    </w:p>
    <w:p w14:paraId="5AD61B84" w14:textId="77777777" w:rsidR="00DB48D7" w:rsidRPr="004D3F49" w:rsidRDefault="00DB48D7" w:rsidP="00DB48D7">
      <w:pPr>
        <w:jc w:val="both"/>
        <w:rPr>
          <w:noProof/>
        </w:rPr>
      </w:pPr>
      <w:r w:rsidRPr="004D3F49">
        <w:tab/>
        <w:t>- Übersicht über alle unbeweglichen Güter, Kapitalvermögen und beweglichen Güter und Konten der Vereinigung, in der in Bezug auf unbewegliche Güter jedes unbewegliche Gut unter Angabe seiner Adresse individuell beschrieben ist, in der in Bezug auf Kapitalvermögen und bewegliche Güter jeder Bestandteil unter Angabe seiner Lokalisierung individuell beschrieben ist und in der in Bezug auf Konten die Adresse des Finanzinstituts, bei dem das Konto geführt wird, und die auf diesem Konto gehaltenen Kapitalvermögen und beweglichen Güter der Vereinigung angegeben sind.</w:t>
      </w:r>
    </w:p>
    <w:p w14:paraId="62EA8253" w14:textId="77777777" w:rsidR="00DB48D7" w:rsidRPr="004D3F49" w:rsidRDefault="00DB48D7" w:rsidP="00DB48D7">
      <w:pPr>
        <w:jc w:val="both"/>
        <w:rPr>
          <w:noProof/>
          <w:lang w:eastAsia="fr-BE"/>
        </w:rPr>
      </w:pPr>
    </w:p>
    <w:p w14:paraId="59968F28" w14:textId="77777777" w:rsidR="00DB48D7" w:rsidRPr="004D3F49" w:rsidRDefault="00DB48D7" w:rsidP="00DB48D7">
      <w:pPr>
        <w:jc w:val="both"/>
        <w:rPr>
          <w:noProof/>
        </w:rPr>
      </w:pPr>
      <w:r w:rsidRPr="004D3F49">
        <w:tab/>
        <w:t>Der in Absatz 1 erwähnte Brief wird der Verwaltung nur rechtsgültig zugestellt, wenn er von den Bevollmächtigten der Vereinigung unterzeichnet ist und dem zuständigen Direktor der direkten Steuern vor dem sechzigsten Tag vor dem letzten Tag des Besteuerungszeitraums per Einschreiben oder E-Mail übermittelt wird.</w:t>
      </w:r>
    </w:p>
    <w:p w14:paraId="7FFEC5AC" w14:textId="77777777" w:rsidR="00DB48D7" w:rsidRPr="004D3F49" w:rsidRDefault="00DB48D7" w:rsidP="00DB48D7">
      <w:pPr>
        <w:jc w:val="both"/>
        <w:rPr>
          <w:noProof/>
          <w:lang w:eastAsia="fr-BE"/>
        </w:rPr>
      </w:pPr>
    </w:p>
    <w:p w14:paraId="6BF25703" w14:textId="77777777" w:rsidR="00DB48D7" w:rsidRPr="004D3F49" w:rsidRDefault="00DB48D7" w:rsidP="00DB48D7">
      <w:pPr>
        <w:jc w:val="both"/>
        <w:rPr>
          <w:noProof/>
        </w:rPr>
      </w:pPr>
      <w:r w:rsidRPr="004D3F49">
        <w:tab/>
        <w:t>Die Verwaltung bestätigt den Empfang dieses Briefes durch Ausstellung einer Empfangsbestätigung, in der gegebenenfalls bestätigt wird, dass die in vorliegendem Artikel bestimmten Formbedingungen eingehalten sind.</w:t>
      </w:r>
    </w:p>
    <w:p w14:paraId="4B00EDEC" w14:textId="77777777" w:rsidR="00DB48D7" w:rsidRPr="004D3F49" w:rsidRDefault="00DB48D7" w:rsidP="00DB48D7">
      <w:pPr>
        <w:jc w:val="both"/>
        <w:rPr>
          <w:noProof/>
          <w:lang w:eastAsia="fr-BE"/>
        </w:rPr>
      </w:pPr>
    </w:p>
    <w:p w14:paraId="7DB45CDC" w14:textId="77777777" w:rsidR="00DB48D7" w:rsidRPr="004D3F49" w:rsidRDefault="00DB48D7" w:rsidP="00DB48D7">
      <w:pPr>
        <w:jc w:val="both"/>
        <w:rPr>
          <w:noProof/>
        </w:rPr>
      </w:pPr>
      <w:r w:rsidRPr="004D3F49">
        <w:tab/>
        <w:t>Die Vereinigung informiert ihre Mitglieder über ihre Wahl, der Steuer der juristischen Personen zu unterliegen.</w:t>
      </w:r>
    </w:p>
    <w:p w14:paraId="0B5B53DE" w14:textId="77777777" w:rsidR="00DB48D7" w:rsidRDefault="00DB48D7" w:rsidP="00DB48D7">
      <w:pPr>
        <w:jc w:val="both"/>
        <w:rPr>
          <w:noProof/>
          <w:lang w:eastAsia="fr-BE"/>
        </w:rPr>
      </w:pPr>
    </w:p>
    <w:p w14:paraId="13B7C778" w14:textId="77777777" w:rsidR="00DB48D7" w:rsidRPr="004D3F49" w:rsidRDefault="00DB48D7" w:rsidP="00DB48D7">
      <w:pPr>
        <w:jc w:val="both"/>
        <w:rPr>
          <w:noProof/>
          <w:lang w:eastAsia="fr-BE"/>
        </w:rPr>
      </w:pPr>
    </w:p>
    <w:p w14:paraId="441D31E6" w14:textId="06EAD62D" w:rsidR="00DB48D7" w:rsidRDefault="00DB48D7" w:rsidP="00852D5F">
      <w:pPr>
        <w:jc w:val="both"/>
        <w:rPr>
          <w:rFonts w:eastAsia="Calibri"/>
          <w:szCs w:val="22"/>
          <w:lang w:eastAsia="de-DE" w:bidi="de-DE"/>
        </w:rPr>
      </w:pPr>
      <w:r w:rsidRPr="004D3F49">
        <w:tab/>
      </w:r>
      <w:r w:rsidRPr="00DB48D7">
        <w:rPr>
          <w:b/>
        </w:rPr>
        <w:t>Art. 79/2</w:t>
      </w:r>
      <w:r w:rsidRPr="004D3F49">
        <w:t> - In Artikel 79/1 erwähnte Vereinigungen, die gemäß diesem Artikel für die Steuer der juristischen Personen optiert haben, unterliegen für die fünf darauf folgenden Besteuerungszeiträume weiterhin der Steuer der juristischen Personen.</w:t>
      </w:r>
      <w:r>
        <w:rPr>
          <w:rFonts w:eastAsia="Calibri"/>
          <w:szCs w:val="22"/>
          <w:lang w:eastAsia="de-DE" w:bidi="de-DE"/>
        </w:rPr>
        <w:t>]</w:t>
      </w:r>
    </w:p>
    <w:p w14:paraId="2F1014E1" w14:textId="77777777" w:rsidR="00DB48D7" w:rsidRDefault="00DB48D7" w:rsidP="004C2C7D">
      <w:pPr>
        <w:jc w:val="center"/>
        <w:rPr>
          <w:rFonts w:eastAsia="Calibri"/>
          <w:szCs w:val="22"/>
          <w:lang w:eastAsia="de-DE" w:bidi="de-DE"/>
        </w:rPr>
      </w:pPr>
    </w:p>
    <w:p w14:paraId="7FC73E80" w14:textId="77777777" w:rsidR="001F54BC" w:rsidRDefault="001F54BC">
      <w:pPr>
        <w:rPr>
          <w:rFonts w:eastAsia="Calibri"/>
          <w:szCs w:val="22"/>
          <w:lang w:eastAsia="de-DE" w:bidi="de-DE"/>
        </w:rPr>
      </w:pPr>
      <w:r>
        <w:rPr>
          <w:rFonts w:eastAsia="Calibri"/>
          <w:szCs w:val="22"/>
          <w:lang w:eastAsia="de-DE" w:bidi="de-DE"/>
        </w:rPr>
        <w:br w:type="page"/>
      </w:r>
    </w:p>
    <w:p w14:paraId="41B01FB2" w14:textId="77777777" w:rsidR="00200662" w:rsidRDefault="00200662" w:rsidP="00200662">
      <w:pPr>
        <w:jc w:val="center"/>
      </w:pPr>
      <w:r>
        <w:rPr>
          <w:rFonts w:eastAsia="Calibri"/>
          <w:szCs w:val="22"/>
          <w:lang w:eastAsia="de-DE" w:bidi="de-DE"/>
        </w:rPr>
        <w:lastRenderedPageBreak/>
        <w:t>[</w:t>
      </w:r>
      <w:r w:rsidRPr="00200662">
        <w:rPr>
          <w:i/>
          <w:iCs/>
        </w:rPr>
        <w:t>Abschnitt 28/2</w:t>
      </w:r>
      <w:r w:rsidRPr="00AF2B9C">
        <w:t xml:space="preserve"> - Einkommenserklärung für den Abzug von Unterhaltsleistungen durch bestimmte Gebietsfremde </w:t>
      </w:r>
    </w:p>
    <w:p w14:paraId="12A4DEDD" w14:textId="77777777" w:rsidR="00200662" w:rsidRDefault="00200662" w:rsidP="00200662">
      <w:pPr>
        <w:jc w:val="center"/>
      </w:pPr>
    </w:p>
    <w:p w14:paraId="53608B92" w14:textId="1CBCD0D9" w:rsidR="00200662" w:rsidRDefault="00200662" w:rsidP="00200662">
      <w:pPr>
        <w:jc w:val="center"/>
      </w:pPr>
      <w:r w:rsidRPr="00AF2B9C">
        <w:t>(Einkommensteuergesetzbuch 1992, Artikel 242 § 1/1 Absatz 3)</w:t>
      </w:r>
    </w:p>
    <w:p w14:paraId="592A37CB" w14:textId="77777777" w:rsidR="00200662" w:rsidRDefault="00200662" w:rsidP="00200662">
      <w:pPr>
        <w:jc w:val="center"/>
      </w:pPr>
    </w:p>
    <w:p w14:paraId="1D213D6C" w14:textId="14578C18" w:rsidR="00200662" w:rsidRDefault="00200662" w:rsidP="00200662">
      <w:pPr>
        <w:jc w:val="both"/>
        <w:rPr>
          <w:i/>
          <w:iCs/>
        </w:rPr>
      </w:pPr>
      <w:r>
        <w:rPr>
          <w:i/>
          <w:iCs/>
        </w:rPr>
        <w:t>[Abschnitt 28/2 mit Art. 79/3 eingefügt durch Art.  1 des K.E. vom 17. Juli 2023</w:t>
      </w:r>
      <w:r w:rsidR="00573383">
        <w:rPr>
          <w:i/>
          <w:iCs/>
        </w:rPr>
        <w:t> (I)</w:t>
      </w:r>
      <w:r>
        <w:rPr>
          <w:i/>
          <w:iCs/>
        </w:rPr>
        <w:t xml:space="preserve"> (B.S. vom 26. Juli 2023)]</w:t>
      </w:r>
    </w:p>
    <w:p w14:paraId="27D8CB1C" w14:textId="77777777" w:rsidR="00200662" w:rsidRPr="00200662" w:rsidRDefault="00200662" w:rsidP="00200662">
      <w:pPr>
        <w:jc w:val="both"/>
        <w:rPr>
          <w:i/>
          <w:iCs/>
        </w:rPr>
      </w:pPr>
    </w:p>
    <w:p w14:paraId="39D73755" w14:textId="77777777" w:rsidR="00200662" w:rsidRPr="00AF2B9C" w:rsidRDefault="00200662" w:rsidP="00200662">
      <w:pPr>
        <w:jc w:val="both"/>
      </w:pPr>
    </w:p>
    <w:p w14:paraId="107282CF" w14:textId="77777777" w:rsidR="00200662" w:rsidRPr="00AF2B9C" w:rsidRDefault="00200662" w:rsidP="00200662">
      <w:pPr>
        <w:jc w:val="both"/>
      </w:pPr>
      <w:r w:rsidRPr="00AF2B9C">
        <w:tab/>
      </w:r>
      <w:r w:rsidRPr="00200662">
        <w:rPr>
          <w:b/>
          <w:bCs/>
        </w:rPr>
        <w:t>Art. 79/3</w:t>
      </w:r>
      <w:r w:rsidRPr="00AF2B9C">
        <w:t> - § 1 - In der in Artikel 242 § 1/1 des Einkommensteuergesetzbuches 1992 erwähnten Einkommenserklärung:</w:t>
      </w:r>
    </w:p>
    <w:p w14:paraId="14110B41" w14:textId="77777777" w:rsidR="00200662" w:rsidRPr="00AF2B9C" w:rsidRDefault="00200662" w:rsidP="00200662">
      <w:pPr>
        <w:jc w:val="both"/>
      </w:pPr>
    </w:p>
    <w:p w14:paraId="6CE97E19" w14:textId="77777777" w:rsidR="00200662" w:rsidRPr="00AF2B9C" w:rsidRDefault="00200662" w:rsidP="00200662">
      <w:pPr>
        <w:jc w:val="both"/>
      </w:pPr>
      <w:r w:rsidRPr="00AF2B9C">
        <w:tab/>
        <w:t>1. ist das Einkommensjahr, auf das sich die Erklärung bezieht, angegeben,</w:t>
      </w:r>
    </w:p>
    <w:p w14:paraId="54977BD8" w14:textId="77777777" w:rsidR="00200662" w:rsidRPr="00AF2B9C" w:rsidRDefault="00200662" w:rsidP="00200662">
      <w:pPr>
        <w:jc w:val="both"/>
      </w:pPr>
    </w:p>
    <w:p w14:paraId="5276E390" w14:textId="77777777" w:rsidR="00200662" w:rsidRPr="00AF2B9C" w:rsidRDefault="00200662" w:rsidP="00200662">
      <w:pPr>
        <w:jc w:val="both"/>
      </w:pPr>
      <w:r w:rsidRPr="00AF2B9C">
        <w:tab/>
        <w:t>2. sind folgende Identifizierungsdaten des Schuldners der Unterhaltsleistungen angegeben:</w:t>
      </w:r>
    </w:p>
    <w:p w14:paraId="3604D9D7" w14:textId="77777777" w:rsidR="00200662" w:rsidRPr="00AF2B9C" w:rsidRDefault="00200662" w:rsidP="00200662">
      <w:pPr>
        <w:jc w:val="both"/>
      </w:pPr>
    </w:p>
    <w:p w14:paraId="7325CE5D" w14:textId="77777777" w:rsidR="00200662" w:rsidRPr="00AF2B9C" w:rsidRDefault="00200662" w:rsidP="00200662">
      <w:pPr>
        <w:jc w:val="both"/>
      </w:pPr>
      <w:r w:rsidRPr="00AF2B9C">
        <w:tab/>
      </w:r>
      <w:r w:rsidRPr="00AF2B9C">
        <w:rPr>
          <w:i/>
          <w:iCs/>
        </w:rPr>
        <w:t>a)</w:t>
      </w:r>
      <w:r w:rsidRPr="00AF2B9C">
        <w:t> Name und Vorname(n),</w:t>
      </w:r>
    </w:p>
    <w:p w14:paraId="0C6ACE02" w14:textId="77777777" w:rsidR="00200662" w:rsidRPr="00AF2B9C" w:rsidRDefault="00200662" w:rsidP="00200662">
      <w:pPr>
        <w:jc w:val="both"/>
      </w:pPr>
    </w:p>
    <w:p w14:paraId="786DDEE4" w14:textId="77777777" w:rsidR="00200662" w:rsidRPr="00AF2B9C" w:rsidRDefault="00200662" w:rsidP="00200662">
      <w:pPr>
        <w:jc w:val="both"/>
      </w:pPr>
      <w:r w:rsidRPr="00AF2B9C">
        <w:tab/>
      </w:r>
      <w:r w:rsidRPr="00AF2B9C">
        <w:rPr>
          <w:i/>
          <w:iCs/>
        </w:rPr>
        <w:t>b)</w:t>
      </w:r>
      <w:r w:rsidRPr="00AF2B9C">
        <w:t> Geburtsdatum,</w:t>
      </w:r>
    </w:p>
    <w:p w14:paraId="2A0CCB90" w14:textId="77777777" w:rsidR="00200662" w:rsidRPr="00AF2B9C" w:rsidRDefault="00200662" w:rsidP="00200662">
      <w:pPr>
        <w:jc w:val="both"/>
      </w:pPr>
    </w:p>
    <w:p w14:paraId="47EA1B2B" w14:textId="77777777" w:rsidR="00200662" w:rsidRPr="00AF2B9C" w:rsidRDefault="00200662" w:rsidP="00200662">
      <w:pPr>
        <w:jc w:val="both"/>
      </w:pPr>
      <w:r w:rsidRPr="00AF2B9C">
        <w:tab/>
      </w:r>
      <w:r w:rsidRPr="00AF2B9C">
        <w:rPr>
          <w:i/>
        </w:rPr>
        <w:t>c)</w:t>
      </w:r>
      <w:r w:rsidRPr="00AF2B9C">
        <w:t> vollständige Adresse im Wohnsitzstaat,</w:t>
      </w:r>
    </w:p>
    <w:p w14:paraId="7B2121E0" w14:textId="77777777" w:rsidR="00200662" w:rsidRPr="00AF2B9C" w:rsidRDefault="00200662" w:rsidP="00200662">
      <w:pPr>
        <w:jc w:val="both"/>
      </w:pPr>
    </w:p>
    <w:p w14:paraId="411D85BC" w14:textId="77777777" w:rsidR="00200662" w:rsidRPr="00AF2B9C" w:rsidRDefault="00200662" w:rsidP="00200662">
      <w:pPr>
        <w:jc w:val="both"/>
      </w:pPr>
      <w:r w:rsidRPr="00AF2B9C">
        <w:tab/>
      </w:r>
      <w:r w:rsidRPr="00AF2B9C">
        <w:rPr>
          <w:i/>
        </w:rPr>
        <w:t>d)</w:t>
      </w:r>
      <w:r w:rsidRPr="00AF2B9C">
        <w:t> Steueridentifikationsnummer im Wohnsitzstaat,</w:t>
      </w:r>
    </w:p>
    <w:p w14:paraId="24A064C6" w14:textId="77777777" w:rsidR="00200662" w:rsidRPr="00AF2B9C" w:rsidRDefault="00200662" w:rsidP="00200662">
      <w:pPr>
        <w:jc w:val="both"/>
      </w:pPr>
    </w:p>
    <w:p w14:paraId="3846D3DA" w14:textId="77777777" w:rsidR="00200662" w:rsidRPr="00AF2B9C" w:rsidRDefault="00200662" w:rsidP="00200662">
      <w:pPr>
        <w:jc w:val="both"/>
      </w:pPr>
      <w:r w:rsidRPr="00AF2B9C">
        <w:tab/>
        <w:t>3. sind Name, Vorname(n) und vollständige Adresse des Empfängers der Unterhaltsleistungen angegeben,</w:t>
      </w:r>
    </w:p>
    <w:p w14:paraId="103A1675" w14:textId="77777777" w:rsidR="00200662" w:rsidRPr="00AF2B9C" w:rsidRDefault="00200662" w:rsidP="00200662">
      <w:pPr>
        <w:jc w:val="both"/>
      </w:pPr>
    </w:p>
    <w:p w14:paraId="1F7C4C31" w14:textId="77777777" w:rsidR="00200662" w:rsidRPr="00AF2B9C" w:rsidRDefault="00200662" w:rsidP="00200662">
      <w:pPr>
        <w:jc w:val="both"/>
      </w:pPr>
      <w:r w:rsidRPr="00AF2B9C">
        <w:tab/>
        <w:t>4. sind Kontaktdaten des Dienstes der Steuerbehörde des Wohnsitzstaates, die die Erklärung ausstellt, Name und Vorname der Person, die die Erklärung im Namen dieses Dienstes unterzeichnet, und Datum, an dem die Erklärung von diesem Dienst ausgestellt wird, angegeben,</w:t>
      </w:r>
    </w:p>
    <w:p w14:paraId="7E83A46D" w14:textId="77777777" w:rsidR="00200662" w:rsidRPr="00AF2B9C" w:rsidRDefault="00200662" w:rsidP="00200662">
      <w:pPr>
        <w:jc w:val="both"/>
      </w:pPr>
    </w:p>
    <w:p w14:paraId="1B47E562" w14:textId="77777777" w:rsidR="00200662" w:rsidRPr="00AF2B9C" w:rsidRDefault="00200662" w:rsidP="00200662">
      <w:pPr>
        <w:jc w:val="both"/>
      </w:pPr>
      <w:r w:rsidRPr="00AF2B9C">
        <w:tab/>
        <w:t>5. ist eine Erklärung der Steuerbehörde des Wohnsitzstaates enthalten:</w:t>
      </w:r>
    </w:p>
    <w:p w14:paraId="303796C7" w14:textId="77777777" w:rsidR="00200662" w:rsidRPr="00AF2B9C" w:rsidRDefault="00200662" w:rsidP="00200662">
      <w:pPr>
        <w:jc w:val="both"/>
      </w:pPr>
    </w:p>
    <w:p w14:paraId="5FA01048" w14:textId="77777777" w:rsidR="00200662" w:rsidRPr="00AF2B9C" w:rsidRDefault="00200662" w:rsidP="00200662">
      <w:pPr>
        <w:jc w:val="both"/>
      </w:pPr>
      <w:r w:rsidRPr="00AF2B9C">
        <w:tab/>
      </w:r>
      <w:r w:rsidRPr="00AF2B9C">
        <w:rPr>
          <w:i/>
        </w:rPr>
        <w:t>a)</w:t>
      </w:r>
      <w:r w:rsidRPr="00AF2B9C">
        <w:t> gemäß der der Schuldner der Unterhaltsleistungen in dem betreffenden Staat steuerlich ansässig ist,</w:t>
      </w:r>
    </w:p>
    <w:p w14:paraId="1A9D78A5" w14:textId="77777777" w:rsidR="00200662" w:rsidRPr="00AF2B9C" w:rsidRDefault="00200662" w:rsidP="00200662">
      <w:pPr>
        <w:jc w:val="both"/>
      </w:pPr>
    </w:p>
    <w:p w14:paraId="262A074B" w14:textId="77777777" w:rsidR="00200662" w:rsidRPr="00AF2B9C" w:rsidRDefault="00200662" w:rsidP="00200662">
      <w:pPr>
        <w:jc w:val="both"/>
      </w:pPr>
      <w:r w:rsidRPr="00AF2B9C">
        <w:tab/>
      </w:r>
      <w:r w:rsidRPr="00AF2B9C">
        <w:rPr>
          <w:i/>
        </w:rPr>
        <w:t>b)</w:t>
      </w:r>
      <w:r w:rsidRPr="00AF2B9C">
        <w:t> gemäß der der Wohnsitzstaat grundsätzlich einen Steuervorteil für Unterhaltsleistungen gewährt,</w:t>
      </w:r>
    </w:p>
    <w:p w14:paraId="35668850" w14:textId="77777777" w:rsidR="00200662" w:rsidRPr="00AF2B9C" w:rsidRDefault="00200662" w:rsidP="00200662">
      <w:pPr>
        <w:jc w:val="both"/>
      </w:pPr>
    </w:p>
    <w:p w14:paraId="39882427" w14:textId="77777777" w:rsidR="00200662" w:rsidRPr="00AF2B9C" w:rsidRDefault="00200662" w:rsidP="00200662">
      <w:pPr>
        <w:jc w:val="both"/>
      </w:pPr>
      <w:r w:rsidRPr="00AF2B9C">
        <w:tab/>
      </w:r>
      <w:r w:rsidRPr="00AF2B9C">
        <w:rPr>
          <w:i/>
        </w:rPr>
        <w:t>c)</w:t>
      </w:r>
      <w:r w:rsidRPr="00AF2B9C">
        <w:t> gemäß der der Schuldner der Unterhaltsleistungen und gegebenenfalls sein Ehepartner den Steuervorteil für Unterhaltsleistungen für das betreffende Einkommensjahr aufgrund des geringen Umfangs seiner/ihrer im Wohnsitzstaat steuerpflichtigen Einkünfte nicht tatsächlich erhalten kann/können,</w:t>
      </w:r>
    </w:p>
    <w:p w14:paraId="36DFC3C3" w14:textId="77777777" w:rsidR="00200662" w:rsidRPr="00AF2B9C" w:rsidRDefault="00200662" w:rsidP="00200662">
      <w:pPr>
        <w:jc w:val="both"/>
      </w:pPr>
    </w:p>
    <w:p w14:paraId="4165D047" w14:textId="77777777" w:rsidR="00200662" w:rsidRPr="00AF2B9C" w:rsidRDefault="00200662" w:rsidP="00200662">
      <w:pPr>
        <w:jc w:val="both"/>
      </w:pPr>
      <w:r w:rsidRPr="00AF2B9C">
        <w:tab/>
      </w:r>
      <w:r w:rsidRPr="00AF2B9C">
        <w:rPr>
          <w:i/>
        </w:rPr>
        <w:t>d)</w:t>
      </w:r>
      <w:r w:rsidRPr="00AF2B9C">
        <w:t> gemäß der der Steuervorteil für Unterhaltsleistungen im Wohnsitzstaat nicht auf ein folgendes Einkommensjahr übertragen werden kann,</w:t>
      </w:r>
    </w:p>
    <w:p w14:paraId="79F415B9" w14:textId="77777777" w:rsidR="00200662" w:rsidRPr="00AF2B9C" w:rsidRDefault="00200662" w:rsidP="00200662">
      <w:pPr>
        <w:jc w:val="both"/>
      </w:pPr>
    </w:p>
    <w:p w14:paraId="23F2438F" w14:textId="77777777" w:rsidR="00200662" w:rsidRPr="00AF2B9C" w:rsidRDefault="00200662" w:rsidP="00200662">
      <w:pPr>
        <w:jc w:val="both"/>
      </w:pPr>
      <w:r w:rsidRPr="00AF2B9C">
        <w:lastRenderedPageBreak/>
        <w:tab/>
      </w:r>
      <w:r w:rsidRPr="00AF2B9C">
        <w:rPr>
          <w:i/>
        </w:rPr>
        <w:t>e)</w:t>
      </w:r>
      <w:r w:rsidRPr="00AF2B9C">
        <w:t> die sich auf den Gesamtbetrag der in dem betreffenden Einkommensjahr tatsächlich gezahlten Unterhaltsleistungen bezieht,</w:t>
      </w:r>
    </w:p>
    <w:p w14:paraId="2016876A" w14:textId="77777777" w:rsidR="00200662" w:rsidRPr="00AF2B9C" w:rsidRDefault="00200662" w:rsidP="00200662">
      <w:pPr>
        <w:jc w:val="both"/>
      </w:pPr>
    </w:p>
    <w:p w14:paraId="1B55A568" w14:textId="77777777" w:rsidR="00200662" w:rsidRPr="00AF2B9C" w:rsidRDefault="00200662" w:rsidP="00200662">
      <w:pPr>
        <w:jc w:val="both"/>
      </w:pPr>
      <w:r w:rsidRPr="00AF2B9C">
        <w:tab/>
      </w:r>
      <w:r w:rsidRPr="00AF2B9C">
        <w:rPr>
          <w:i/>
        </w:rPr>
        <w:t>f)</w:t>
      </w:r>
      <w:r w:rsidRPr="00AF2B9C">
        <w:t> die sich auf den Betrag der im Einkommensjahr tatsächlich gezahlten Unterhaltsleistungen bezieht, für den aufgrund des geringen Umfangs der Einkünfte im Wohnsitzstaat kein Steuervorteil gewährt werden kann.</w:t>
      </w:r>
    </w:p>
    <w:p w14:paraId="3FB74D97" w14:textId="77777777" w:rsidR="00200662" w:rsidRPr="00AF2B9C" w:rsidRDefault="00200662" w:rsidP="00200662">
      <w:pPr>
        <w:jc w:val="both"/>
      </w:pPr>
    </w:p>
    <w:p w14:paraId="76286648" w14:textId="77777777" w:rsidR="00200662" w:rsidRPr="00AF2B9C" w:rsidRDefault="00200662" w:rsidP="00200662">
      <w:pPr>
        <w:jc w:val="both"/>
      </w:pPr>
      <w:r w:rsidRPr="00AF2B9C">
        <w:tab/>
        <w:t>Schulden beide Ehepartner Unterhaltsleistungen, werden in der Einkommenserklärung die in Absatz 1 Nr. 2 erwähnten Daten jedes Ehepartners angegeben.</w:t>
      </w:r>
    </w:p>
    <w:p w14:paraId="06E8BC7D" w14:textId="77777777" w:rsidR="00200662" w:rsidRPr="00AF2B9C" w:rsidRDefault="00200662" w:rsidP="00200662">
      <w:pPr>
        <w:jc w:val="both"/>
      </w:pPr>
    </w:p>
    <w:p w14:paraId="2993C348" w14:textId="77777777" w:rsidR="00200662" w:rsidRPr="00AF2B9C" w:rsidRDefault="00200662" w:rsidP="00200662">
      <w:pPr>
        <w:jc w:val="both"/>
      </w:pPr>
      <w:r w:rsidRPr="00AF2B9C">
        <w:tab/>
        <w:t>§ 2 - Der für Finanzen zuständige Minister oder sein Beauftragter legt die Form der Einkommenserklärung fest.</w:t>
      </w:r>
    </w:p>
    <w:p w14:paraId="24B759A7" w14:textId="77777777" w:rsidR="00200662" w:rsidRPr="00AF2B9C" w:rsidRDefault="00200662" w:rsidP="00200662">
      <w:pPr>
        <w:jc w:val="both"/>
      </w:pPr>
    </w:p>
    <w:p w14:paraId="28F733DC" w14:textId="77777777" w:rsidR="00200662" w:rsidRPr="00AF2B9C" w:rsidRDefault="00200662" w:rsidP="00200662">
      <w:pPr>
        <w:jc w:val="both"/>
      </w:pPr>
      <w:r w:rsidRPr="00AF2B9C">
        <w:tab/>
        <w:t>§ 3 - Steuerpflichtige, die in Anwendung von Artikel 242 § 1/1 des Einkommensteuergesetzbuches 1992 in ihrer Erklärung zur Steuer der Gebietsfremden den Abzug von Unterhaltsleistungen beantragen, halten die Einkommenserklärung zur Verfügung der mit der Festlegung der Einkommensteuern beauftragten Verwaltung bereit.</w:t>
      </w:r>
    </w:p>
    <w:p w14:paraId="2E8D50BF" w14:textId="77777777" w:rsidR="00200662" w:rsidRPr="00AF2B9C" w:rsidRDefault="00200662" w:rsidP="00200662">
      <w:pPr>
        <w:jc w:val="both"/>
      </w:pPr>
    </w:p>
    <w:p w14:paraId="47D3A6FE" w14:textId="77777777" w:rsidR="00200662" w:rsidRDefault="00200662" w:rsidP="00200662">
      <w:pPr>
        <w:jc w:val="both"/>
      </w:pPr>
      <w:r w:rsidRPr="00AF2B9C">
        <w:tab/>
        <w:t>Steuerpflichtige, die den vorerwähnten Abzug von Unterhaltsleistungen im Wege eines Widerspruchs beantragen, fügen die Einkommenserklärung ihrem Widerspruch bei.</w:t>
      </w:r>
      <w:r>
        <w:t>]</w:t>
      </w:r>
    </w:p>
    <w:p w14:paraId="09F0DA44" w14:textId="77777777" w:rsidR="00200662" w:rsidRDefault="00200662" w:rsidP="00200662">
      <w:pPr>
        <w:jc w:val="both"/>
      </w:pPr>
    </w:p>
    <w:p w14:paraId="1D1BB674" w14:textId="77777777" w:rsidR="00200662" w:rsidRDefault="00200662" w:rsidP="00200662">
      <w:pPr>
        <w:jc w:val="both"/>
      </w:pPr>
    </w:p>
    <w:p w14:paraId="507B781E" w14:textId="3A8FF255" w:rsidR="005A5BD5" w:rsidRPr="00334017" w:rsidRDefault="005A5BD5" w:rsidP="00962EB7">
      <w:pPr>
        <w:jc w:val="center"/>
        <w:rPr>
          <w:rFonts w:eastAsia="Calibri"/>
          <w:szCs w:val="22"/>
          <w:lang w:eastAsia="de-DE" w:bidi="de-DE"/>
        </w:rPr>
      </w:pPr>
      <w:r w:rsidRPr="00334017">
        <w:rPr>
          <w:rFonts w:eastAsia="Calibri"/>
          <w:szCs w:val="22"/>
          <w:lang w:eastAsia="de-DE" w:bidi="de-DE"/>
        </w:rPr>
        <w:t>[</w:t>
      </w:r>
      <w:r w:rsidRPr="00334017">
        <w:rPr>
          <w:rFonts w:eastAsia="Calibri"/>
          <w:i/>
          <w:szCs w:val="22"/>
          <w:lang w:eastAsia="de-DE" w:bidi="de-DE"/>
        </w:rPr>
        <w:t>Abschnitt 29</w:t>
      </w:r>
      <w:r w:rsidRPr="00334017">
        <w:rPr>
          <w:rFonts w:eastAsia="Calibri"/>
          <w:szCs w:val="22"/>
          <w:lang w:eastAsia="de-DE" w:bidi="de-DE"/>
        </w:rPr>
        <w:t> - Zuschlaghundertstel auf die Steuer der Gebietsfremden (natürliche Personen)</w:t>
      </w:r>
    </w:p>
    <w:p w14:paraId="2BBBEA13" w14:textId="77777777" w:rsidR="005A5BD5" w:rsidRPr="00334017" w:rsidRDefault="005A5BD5" w:rsidP="004C2C7D">
      <w:pPr>
        <w:jc w:val="center"/>
        <w:rPr>
          <w:rFonts w:eastAsia="Calibri"/>
          <w:szCs w:val="22"/>
          <w:lang w:eastAsia="de-DE" w:bidi="de-DE"/>
        </w:rPr>
      </w:pPr>
    </w:p>
    <w:p w14:paraId="630F96D8" w14:textId="77777777" w:rsidR="005A5BD5" w:rsidRPr="00334017" w:rsidRDefault="005A5BD5" w:rsidP="004C2C7D">
      <w:pPr>
        <w:jc w:val="center"/>
        <w:rPr>
          <w:rFonts w:eastAsia="Calibri"/>
          <w:szCs w:val="22"/>
          <w:lang w:eastAsia="de-DE" w:bidi="de-DE"/>
        </w:rPr>
      </w:pPr>
      <w:r w:rsidRPr="00334017">
        <w:rPr>
          <w:rFonts w:eastAsia="Calibri"/>
          <w:szCs w:val="22"/>
          <w:lang w:eastAsia="de-DE" w:bidi="de-DE"/>
        </w:rPr>
        <w:t>(Einkommensteuergesetzbuch 1992, Artikel 245)</w:t>
      </w:r>
    </w:p>
    <w:p w14:paraId="681AC24B" w14:textId="77777777" w:rsidR="005A5BD5" w:rsidRPr="00334017" w:rsidRDefault="005A5BD5" w:rsidP="004C2C7D">
      <w:pPr>
        <w:jc w:val="both"/>
        <w:rPr>
          <w:rFonts w:eastAsia="Calibri"/>
          <w:szCs w:val="22"/>
          <w:lang w:eastAsia="de-DE" w:bidi="de-DE"/>
        </w:rPr>
      </w:pPr>
    </w:p>
    <w:p w14:paraId="659CB1AD"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[Früherer Abschnitt 29 mit den früheren Artikeln 80 bis 82 aufgehoben durch Art. 6 des K.E. vom 12. August 1994 (II) (B.S. vom 10. September 1994); neuer Abschnitt 29 mit neuem Artikel 80 eingefügt durch Art. 1 des K.E. vom 4. Dezember 2003 (B.S. vom 17. Dezember 2003)]</w:t>
      </w:r>
    </w:p>
    <w:p w14:paraId="47593268" w14:textId="77777777" w:rsidR="005A5BD5" w:rsidRPr="00334017" w:rsidRDefault="005A5BD5" w:rsidP="004C2C7D">
      <w:pPr>
        <w:jc w:val="both"/>
        <w:rPr>
          <w:rFonts w:eastAsia="Calibri"/>
          <w:szCs w:val="22"/>
          <w:lang w:eastAsia="de-DE" w:bidi="de-DE"/>
        </w:rPr>
      </w:pPr>
    </w:p>
    <w:p w14:paraId="43EFA396" w14:textId="77777777" w:rsidR="005A5BD5" w:rsidRPr="00334017" w:rsidRDefault="005A5BD5" w:rsidP="004C2C7D">
      <w:pPr>
        <w:jc w:val="both"/>
        <w:rPr>
          <w:rFonts w:eastAsia="Calibri"/>
          <w:szCs w:val="22"/>
          <w:lang w:eastAsia="de-DE" w:bidi="de-DE"/>
        </w:rPr>
      </w:pPr>
    </w:p>
    <w:p w14:paraId="5B63893B"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b/>
          <w:szCs w:val="22"/>
          <w:lang w:eastAsia="de-DE" w:bidi="de-DE"/>
        </w:rPr>
        <w:t>Art. 80</w:t>
      </w:r>
      <w:r w:rsidRPr="00334017">
        <w:rPr>
          <w:rFonts w:eastAsia="Calibri"/>
          <w:szCs w:val="22"/>
          <w:lang w:eastAsia="de-DE" w:bidi="de-DE"/>
        </w:rPr>
        <w:t> - Der Betrag der in Artikel 245 Absatz 1 des Einkommensteuergesetz</w:t>
      </w:r>
      <w:r w:rsidRPr="00334017">
        <w:rPr>
          <w:rFonts w:eastAsia="Calibri"/>
          <w:szCs w:val="22"/>
          <w:lang w:eastAsia="de-DE" w:bidi="de-DE"/>
        </w:rPr>
        <w:softHyphen/>
        <w:t>buches 1992 erwähnten Zuschlaghundertstel wird auf sieben Zuschlaghundertstel erhöht.]</w:t>
      </w:r>
    </w:p>
    <w:p w14:paraId="1494912D" w14:textId="77777777" w:rsidR="005A5BD5" w:rsidRPr="00334017" w:rsidRDefault="005A5BD5" w:rsidP="004C2C7D">
      <w:pPr>
        <w:jc w:val="both"/>
        <w:rPr>
          <w:rFonts w:eastAsia="Calibri"/>
          <w:szCs w:val="22"/>
          <w:lang w:eastAsia="de-DE" w:bidi="de-DE"/>
        </w:rPr>
      </w:pPr>
    </w:p>
    <w:p w14:paraId="22921EAD" w14:textId="77777777" w:rsidR="005A5BD5" w:rsidRPr="00334017" w:rsidRDefault="005A5BD5" w:rsidP="004C2C7D">
      <w:pPr>
        <w:jc w:val="both"/>
        <w:rPr>
          <w:rFonts w:eastAsia="Calibri"/>
          <w:szCs w:val="22"/>
          <w:lang w:eastAsia="de-DE" w:bidi="de-DE"/>
        </w:rPr>
      </w:pPr>
    </w:p>
    <w:p w14:paraId="5AAF9695" w14:textId="487AF7EE" w:rsidR="005A5BD5" w:rsidRPr="00334017" w:rsidRDefault="005A5BD5" w:rsidP="004C2C7D">
      <w:pPr>
        <w:jc w:val="center"/>
        <w:rPr>
          <w:rFonts w:eastAsia="Calibri"/>
          <w:szCs w:val="22"/>
          <w:lang w:eastAsia="de-DE" w:bidi="de-DE"/>
        </w:rPr>
      </w:pPr>
      <w:r w:rsidRPr="00334017">
        <w:rPr>
          <w:rFonts w:eastAsia="Calibri"/>
          <w:szCs w:val="22"/>
          <w:lang w:eastAsia="de-DE" w:bidi="de-DE"/>
        </w:rPr>
        <w:t>[</w:t>
      </w:r>
      <w:r w:rsidRPr="00334017">
        <w:rPr>
          <w:rFonts w:eastAsia="Calibri"/>
          <w:i/>
          <w:szCs w:val="22"/>
          <w:lang w:eastAsia="de-DE" w:bidi="de-DE"/>
        </w:rPr>
        <w:t>Abschnitt 30</w:t>
      </w:r>
      <w:r w:rsidRPr="00334017">
        <w:rPr>
          <w:rFonts w:eastAsia="Calibri"/>
          <w:szCs w:val="22"/>
          <w:lang w:eastAsia="de-DE" w:bidi="de-DE"/>
        </w:rPr>
        <w:t> - Steuergutschrift für Forschung und Entwicklung</w:t>
      </w:r>
    </w:p>
    <w:p w14:paraId="1D30B3C3" w14:textId="77777777" w:rsidR="005A5BD5" w:rsidRPr="00334017" w:rsidRDefault="005A5BD5" w:rsidP="004C2C7D">
      <w:pPr>
        <w:jc w:val="center"/>
        <w:rPr>
          <w:rFonts w:eastAsia="Calibri"/>
          <w:szCs w:val="22"/>
          <w:lang w:eastAsia="de-DE" w:bidi="de-DE"/>
        </w:rPr>
      </w:pPr>
    </w:p>
    <w:p w14:paraId="706D0D50" w14:textId="77777777" w:rsidR="005A5BD5" w:rsidRPr="00334017" w:rsidRDefault="005A5BD5" w:rsidP="004C2C7D">
      <w:pPr>
        <w:jc w:val="center"/>
        <w:rPr>
          <w:rFonts w:eastAsia="Calibri"/>
          <w:szCs w:val="22"/>
          <w:lang w:eastAsia="de-DE" w:bidi="de-DE"/>
        </w:rPr>
      </w:pPr>
      <w:r w:rsidRPr="00334017">
        <w:rPr>
          <w:rFonts w:eastAsia="Calibri"/>
          <w:szCs w:val="22"/>
          <w:lang w:eastAsia="de-DE" w:bidi="de-DE"/>
        </w:rPr>
        <w:t>(Einkommensteuergesetzbuch 1992, Artikel 289</w:t>
      </w:r>
      <w:r w:rsidRPr="00334017">
        <w:rPr>
          <w:rFonts w:eastAsia="Calibri"/>
          <w:i/>
          <w:szCs w:val="22"/>
          <w:lang w:eastAsia="de-DE" w:bidi="de-DE"/>
        </w:rPr>
        <w:t>novies</w:t>
      </w:r>
      <w:r w:rsidRPr="00334017">
        <w:rPr>
          <w:rFonts w:eastAsia="Calibri"/>
          <w:szCs w:val="22"/>
          <w:lang w:eastAsia="de-DE" w:bidi="de-DE"/>
        </w:rPr>
        <w:t>)]</w:t>
      </w:r>
    </w:p>
    <w:p w14:paraId="22A4AF39" w14:textId="77777777" w:rsidR="005A5BD5" w:rsidRPr="00334017" w:rsidRDefault="005A5BD5" w:rsidP="004C2C7D">
      <w:pPr>
        <w:jc w:val="both"/>
        <w:rPr>
          <w:rFonts w:eastAsia="Calibri"/>
          <w:szCs w:val="22"/>
          <w:lang w:eastAsia="de-DE" w:bidi="de-DE"/>
        </w:rPr>
      </w:pPr>
    </w:p>
    <w:p w14:paraId="22E2EC9C"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[Unterteilung Abschnitt 30 eingefügt durch Art. 14 des K.E. vom 11. Dezember 2006 (B.S. vom 18. Dezember 2006)]</w:t>
      </w:r>
    </w:p>
    <w:p w14:paraId="769BDA69" w14:textId="77777777" w:rsidR="005A5BD5" w:rsidRPr="00334017" w:rsidRDefault="005A5BD5" w:rsidP="004C2C7D">
      <w:pPr>
        <w:jc w:val="both"/>
        <w:rPr>
          <w:rFonts w:eastAsia="Calibri"/>
          <w:szCs w:val="22"/>
          <w:lang w:eastAsia="de-DE" w:bidi="de-DE"/>
        </w:rPr>
      </w:pPr>
    </w:p>
    <w:p w14:paraId="5416E1C2" w14:textId="77777777" w:rsidR="005A5BD5" w:rsidRPr="00334017" w:rsidRDefault="005A5BD5" w:rsidP="004C2C7D">
      <w:pPr>
        <w:jc w:val="both"/>
        <w:rPr>
          <w:rFonts w:eastAsia="Calibri"/>
          <w:szCs w:val="22"/>
          <w:lang w:eastAsia="de-DE" w:bidi="de-DE"/>
        </w:rPr>
      </w:pPr>
    </w:p>
    <w:p w14:paraId="0CDFB3CF"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w:t>
      </w:r>
      <w:r w:rsidRPr="00334017">
        <w:rPr>
          <w:rFonts w:eastAsia="Calibri"/>
          <w:b/>
          <w:szCs w:val="22"/>
          <w:lang w:eastAsia="de-DE" w:bidi="de-DE"/>
        </w:rPr>
        <w:t>Art. 81</w:t>
      </w:r>
      <w:r w:rsidRPr="00334017">
        <w:rPr>
          <w:rFonts w:eastAsia="Calibri"/>
          <w:szCs w:val="22"/>
          <w:lang w:eastAsia="de-DE" w:bidi="de-DE"/>
        </w:rPr>
        <w:t> - Um die in den Artikeln 289</w:t>
      </w:r>
      <w:r w:rsidRPr="00334017">
        <w:rPr>
          <w:rFonts w:eastAsia="Calibri"/>
          <w:i/>
          <w:szCs w:val="22"/>
          <w:lang w:eastAsia="de-DE" w:bidi="de-DE"/>
        </w:rPr>
        <w:t>quater</w:t>
      </w:r>
      <w:r w:rsidRPr="00334017">
        <w:rPr>
          <w:rFonts w:eastAsia="Calibri"/>
          <w:szCs w:val="22"/>
          <w:lang w:eastAsia="de-DE" w:bidi="de-DE"/>
        </w:rPr>
        <w:t xml:space="preserve"> bis 289</w:t>
      </w:r>
      <w:r w:rsidRPr="00334017">
        <w:rPr>
          <w:rFonts w:eastAsia="Calibri"/>
          <w:i/>
          <w:szCs w:val="22"/>
          <w:lang w:eastAsia="de-DE" w:bidi="de-DE"/>
        </w:rPr>
        <w:t>sexies</w:t>
      </w:r>
      <w:r w:rsidRPr="00334017">
        <w:rPr>
          <w:rFonts w:eastAsia="Calibri"/>
          <w:szCs w:val="22"/>
          <w:lang w:eastAsia="de-DE" w:bidi="de-DE"/>
        </w:rPr>
        <w:t xml:space="preserve"> des Einkommensteuer</w:t>
      </w:r>
      <w:r w:rsidRPr="00334017">
        <w:rPr>
          <w:rFonts w:eastAsia="Calibri"/>
          <w:szCs w:val="22"/>
          <w:lang w:eastAsia="de-DE" w:bidi="de-DE"/>
        </w:rPr>
        <w:softHyphen/>
        <w:t>gesetzbuches 1992 erwähnte Steuergutschrift für Forschung und Entwicklung zu erhalten, müssen Steuerpflichtige:</w:t>
      </w:r>
    </w:p>
    <w:p w14:paraId="7D01C7FD" w14:textId="77777777" w:rsidR="005A5BD5" w:rsidRPr="00334017" w:rsidRDefault="005A5BD5" w:rsidP="004C2C7D">
      <w:pPr>
        <w:jc w:val="both"/>
        <w:rPr>
          <w:rFonts w:eastAsia="Calibri"/>
          <w:szCs w:val="22"/>
          <w:lang w:eastAsia="de-DE" w:bidi="de-DE"/>
        </w:rPr>
      </w:pPr>
    </w:p>
    <w:p w14:paraId="4862332A"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xml:space="preserve">1. ihrer Einkommensteuererklärung des Besteuerungszeitraums, in dem die Anlagen erworben oder gebildet werden, ein ausgefülltes, datiertes und unterzeichnetes Formular </w:t>
      </w:r>
      <w:r w:rsidRPr="00334017">
        <w:rPr>
          <w:rFonts w:eastAsia="Calibri"/>
          <w:szCs w:val="22"/>
          <w:lang w:eastAsia="de-DE" w:bidi="de-DE"/>
        </w:rPr>
        <w:lastRenderedPageBreak/>
        <w:t>beifügen, dessen Muster vom Minister der Finanzen oder von seinem Beauftragten festgelegt wird,</w:t>
      </w:r>
    </w:p>
    <w:p w14:paraId="7A51AEA4" w14:textId="77777777" w:rsidR="00E85F51" w:rsidRDefault="00E85F51">
      <w:pPr>
        <w:rPr>
          <w:rFonts w:eastAsia="Calibri"/>
          <w:szCs w:val="22"/>
          <w:lang w:eastAsia="de-DE" w:bidi="de-DE"/>
        </w:rPr>
      </w:pPr>
    </w:p>
    <w:p w14:paraId="350431C9" w14:textId="2F6995C1" w:rsidR="005A5BD5" w:rsidRPr="00334017" w:rsidRDefault="005A5BD5" w:rsidP="004C2C7D">
      <w:pPr>
        <w:jc w:val="both"/>
        <w:rPr>
          <w:rFonts w:eastAsia="Calibri"/>
          <w:szCs w:val="22"/>
          <w:lang w:eastAsia="de-DE" w:bidi="de-DE"/>
        </w:rPr>
      </w:pPr>
      <w:r w:rsidRPr="00334017">
        <w:rPr>
          <w:rFonts w:eastAsia="Calibri"/>
          <w:szCs w:val="22"/>
          <w:lang w:eastAsia="de-DE" w:bidi="de-DE"/>
        </w:rPr>
        <w:tab/>
        <w:t xml:space="preserve">2. pro Kategorie der in den Artikeln 69 § 1 Absatz 1 Nr. 2 Buchstabe </w:t>
      </w:r>
      <w:r w:rsidRPr="00334017">
        <w:rPr>
          <w:rFonts w:eastAsia="Calibri"/>
          <w:i/>
          <w:szCs w:val="22"/>
          <w:lang w:eastAsia="de-DE" w:bidi="de-DE"/>
        </w:rPr>
        <w:t>a)</w:t>
      </w:r>
      <w:r w:rsidRPr="00334017">
        <w:rPr>
          <w:rFonts w:eastAsia="Calibri"/>
          <w:szCs w:val="22"/>
          <w:lang w:eastAsia="de-DE" w:bidi="de-DE"/>
        </w:rPr>
        <w:t xml:space="preserve"> und </w:t>
      </w:r>
      <w:r w:rsidRPr="00334017">
        <w:rPr>
          <w:rFonts w:eastAsia="Calibri"/>
          <w:i/>
          <w:szCs w:val="22"/>
          <w:lang w:eastAsia="de-DE" w:bidi="de-DE"/>
        </w:rPr>
        <w:t>b)</w:t>
      </w:r>
      <w:r w:rsidRPr="00334017">
        <w:rPr>
          <w:rFonts w:eastAsia="Calibri"/>
          <w:szCs w:val="22"/>
          <w:lang w:eastAsia="de-DE" w:bidi="de-DE"/>
        </w:rPr>
        <w:t xml:space="preserve"> und 70 Absatz 2 desselben Gesetzbuches erwähnten Anlagen eine Aufstellung zur Verfügung der Verwaltung bereithalten unter Angabe derselben Informationen wie in Artikel 47 Nr. 2 vorgesehen.]</w:t>
      </w:r>
    </w:p>
    <w:p w14:paraId="7CF6C6FB" w14:textId="77777777" w:rsidR="005A5BD5" w:rsidRPr="00334017" w:rsidRDefault="005A5BD5" w:rsidP="004C2C7D">
      <w:pPr>
        <w:jc w:val="both"/>
        <w:rPr>
          <w:rFonts w:eastAsia="Calibri"/>
          <w:szCs w:val="22"/>
          <w:lang w:eastAsia="de-DE" w:bidi="de-DE"/>
        </w:rPr>
      </w:pPr>
    </w:p>
    <w:p w14:paraId="223C78A8"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[Neuer Artikel 81 eingefügt durch Art. 15 des K.E. vom 11. Dezember 2006 (B.S. vom 18. Dezember 2006)]</w:t>
      </w:r>
    </w:p>
    <w:p w14:paraId="04ED870C" w14:textId="77777777" w:rsidR="005A5BD5" w:rsidRPr="00334017" w:rsidRDefault="005A5BD5" w:rsidP="004C2C7D">
      <w:pPr>
        <w:jc w:val="both"/>
        <w:rPr>
          <w:rFonts w:eastAsia="Calibri"/>
          <w:szCs w:val="22"/>
          <w:lang w:eastAsia="de-DE" w:bidi="de-DE"/>
        </w:rPr>
      </w:pPr>
    </w:p>
    <w:p w14:paraId="27628BD0" w14:textId="77777777" w:rsidR="005A5BD5" w:rsidRPr="00334017" w:rsidRDefault="005A5BD5" w:rsidP="004C2C7D">
      <w:pPr>
        <w:jc w:val="both"/>
        <w:rPr>
          <w:rFonts w:eastAsia="Calibri"/>
          <w:szCs w:val="22"/>
          <w:lang w:eastAsia="de-DE" w:bidi="de-DE"/>
        </w:rPr>
      </w:pPr>
    </w:p>
    <w:p w14:paraId="0A9A63BD"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w:t>
      </w:r>
      <w:r w:rsidRPr="00334017">
        <w:rPr>
          <w:rFonts w:eastAsia="Calibri"/>
          <w:b/>
          <w:szCs w:val="22"/>
          <w:lang w:eastAsia="de-DE" w:bidi="de-DE"/>
        </w:rPr>
        <w:t>Art. 81</w:t>
      </w:r>
      <w:r w:rsidRPr="00334017">
        <w:rPr>
          <w:rFonts w:eastAsia="Calibri"/>
          <w:b/>
          <w:i/>
          <w:szCs w:val="22"/>
          <w:lang w:eastAsia="de-DE" w:bidi="de-DE"/>
        </w:rPr>
        <w:t>bis</w:t>
      </w:r>
      <w:r w:rsidRPr="00334017">
        <w:rPr>
          <w:rFonts w:eastAsia="Calibri"/>
          <w:szCs w:val="22"/>
          <w:lang w:eastAsia="de-DE" w:bidi="de-DE"/>
        </w:rPr>
        <w:t> - Was die in Artikel 69 § 1 Absatz 1 Nr. 2 Buchstabe </w:t>
      </w:r>
      <w:r w:rsidRPr="00334017">
        <w:rPr>
          <w:rFonts w:eastAsia="Calibri"/>
          <w:i/>
          <w:szCs w:val="22"/>
          <w:lang w:eastAsia="de-DE" w:bidi="de-DE"/>
        </w:rPr>
        <w:t>a)</w:t>
      </w:r>
      <w:r w:rsidRPr="00334017">
        <w:rPr>
          <w:rFonts w:eastAsia="Calibri"/>
          <w:szCs w:val="22"/>
          <w:lang w:eastAsia="de-DE" w:bidi="de-DE"/>
        </w:rPr>
        <w:t xml:space="preserve"> des Einkommensteuergesetzbuches 1992 erwähnten Patente betrifft, müssen die betreffenden Steuerpflichtigen der in Artikel 81 Nr. 2 erwähnten Aufstellung dieselben Unterlagen wie in Artikel 47</w:t>
      </w:r>
      <w:r w:rsidRPr="00334017">
        <w:rPr>
          <w:rFonts w:eastAsia="Calibri"/>
          <w:i/>
          <w:szCs w:val="22"/>
          <w:lang w:eastAsia="de-DE" w:bidi="de-DE"/>
        </w:rPr>
        <w:t>bis</w:t>
      </w:r>
      <w:r w:rsidRPr="00334017">
        <w:rPr>
          <w:rFonts w:eastAsia="Calibri"/>
          <w:szCs w:val="22"/>
          <w:lang w:eastAsia="de-DE" w:bidi="de-DE"/>
        </w:rPr>
        <w:t xml:space="preserve"> vorgesehen beilegen.]</w:t>
      </w:r>
    </w:p>
    <w:p w14:paraId="5FF0ED79" w14:textId="77777777" w:rsidR="005A5BD5" w:rsidRPr="00334017" w:rsidRDefault="005A5BD5" w:rsidP="004C2C7D">
      <w:pPr>
        <w:jc w:val="both"/>
        <w:rPr>
          <w:rFonts w:eastAsia="Calibri"/>
          <w:szCs w:val="22"/>
          <w:lang w:eastAsia="de-DE" w:bidi="de-DE"/>
        </w:rPr>
      </w:pPr>
    </w:p>
    <w:p w14:paraId="38D3346B"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[Art. 81bis eingefügt durch Art. 16 des K.E. vom 11. Dezember 2006 (B.S. vom 18. Dezember 2006)]</w:t>
      </w:r>
    </w:p>
    <w:p w14:paraId="198EB135" w14:textId="77777777" w:rsidR="0065243A" w:rsidRDefault="0065243A" w:rsidP="004C2C7D">
      <w:pPr>
        <w:jc w:val="both"/>
        <w:rPr>
          <w:rFonts w:eastAsia="Calibri"/>
          <w:szCs w:val="22"/>
          <w:lang w:eastAsia="de-DE" w:bidi="de-DE"/>
        </w:rPr>
      </w:pPr>
    </w:p>
    <w:p w14:paraId="12310AE9" w14:textId="77777777" w:rsidR="0065243A" w:rsidRDefault="0065243A" w:rsidP="004C2C7D">
      <w:pPr>
        <w:jc w:val="both"/>
        <w:rPr>
          <w:rFonts w:eastAsia="Calibri"/>
          <w:szCs w:val="22"/>
          <w:lang w:eastAsia="de-DE" w:bidi="de-DE"/>
        </w:rPr>
      </w:pPr>
    </w:p>
    <w:p w14:paraId="7E7C3926"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w:t>
      </w:r>
      <w:r w:rsidRPr="00334017">
        <w:rPr>
          <w:rFonts w:eastAsia="Calibri"/>
          <w:b/>
          <w:szCs w:val="22"/>
          <w:lang w:eastAsia="de-DE" w:bidi="de-DE"/>
        </w:rPr>
        <w:t>Art. 82</w:t>
      </w:r>
      <w:r w:rsidRPr="00334017">
        <w:rPr>
          <w:rFonts w:eastAsia="Calibri"/>
          <w:szCs w:val="22"/>
          <w:lang w:eastAsia="de-DE" w:bidi="de-DE"/>
        </w:rPr>
        <w:t> - § 1 - Was die in Artikel 69 § 1 Absatz 1 Nr. 2 Buchstabe </w:t>
      </w:r>
      <w:r w:rsidRPr="00334017">
        <w:rPr>
          <w:rFonts w:eastAsia="Calibri"/>
          <w:i/>
          <w:szCs w:val="22"/>
          <w:lang w:eastAsia="de-DE" w:bidi="de-DE"/>
        </w:rPr>
        <w:t>b)</w:t>
      </w:r>
      <w:r w:rsidRPr="00334017">
        <w:rPr>
          <w:rFonts w:eastAsia="Calibri"/>
          <w:szCs w:val="22"/>
          <w:lang w:eastAsia="de-DE" w:bidi="de-DE"/>
        </w:rPr>
        <w:t xml:space="preserve"> des Ein</w:t>
      </w:r>
      <w:r w:rsidRPr="00334017">
        <w:rPr>
          <w:rFonts w:eastAsia="Calibri"/>
          <w:szCs w:val="22"/>
          <w:lang w:eastAsia="de-DE" w:bidi="de-DE"/>
        </w:rPr>
        <w:softHyphen/>
        <w:t>kommensteuergesetzbuches 1992 erwähnten Anlagen betrifft, werden sie auf dieselbe Weise wie in Artikel 48 § 1 bestimmt.</w:t>
      </w:r>
    </w:p>
    <w:p w14:paraId="7EA962F5" w14:textId="77777777" w:rsidR="005A5BD5" w:rsidRPr="00334017" w:rsidRDefault="005A5BD5" w:rsidP="004C2C7D">
      <w:pPr>
        <w:jc w:val="both"/>
        <w:rPr>
          <w:rFonts w:eastAsia="Calibri"/>
          <w:szCs w:val="22"/>
          <w:lang w:eastAsia="de-DE" w:bidi="de-DE"/>
        </w:rPr>
      </w:pPr>
    </w:p>
    <w:p w14:paraId="43465075"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2 - Sachanlagen und von Dritten erworbene immaterielle Anlagen, die keine Patente sind, die zur Förderung der Forschung und der Entwicklung neuer Produkte und hoch entwickelter Technologien genutzt werden und für die die Steuergutschrift für Forschung und Entwicklung aufgrund dieser Nutzung erhalten wurde, müssen während der gesamten Abschreibungsdauer dieser Anlagen von dem Steuerpflichtigen, der die Steuergutschrift für Forschung und Entwicklung erhalten hat, oder von dem Steuerpflichtigen, der die Anlagen anlässlich eines in den Artikeln 46 und 211 bis 214 des Einkommensteuergesetzbuches 1992 erwähnten Vorgangs erworben hat, für diese Nutzung verwendet werden.</w:t>
      </w:r>
    </w:p>
    <w:p w14:paraId="7B89714A" w14:textId="77777777" w:rsidR="005A5BD5" w:rsidRPr="00334017" w:rsidRDefault="005A5BD5" w:rsidP="004C2C7D">
      <w:pPr>
        <w:jc w:val="both"/>
        <w:rPr>
          <w:rFonts w:eastAsia="Calibri"/>
          <w:szCs w:val="22"/>
          <w:lang w:eastAsia="de-DE" w:bidi="de-DE"/>
        </w:rPr>
      </w:pPr>
    </w:p>
    <w:p w14:paraId="62CC2D73"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3 - Was Anlagen betrifft, für die die durch die Bestimmungen von § 2 auferlegte Verpflichtung nicht eingehalten wird, wird ein Teil der gewährten Steuergutschrift für Forschung und Entwicklung in Form einer Zuschlagsteuer des Besteuerungszeitraums zurückgezahlt, in dem die Nichteinhaltung stattgefunden hat; dieser Teil entspricht einem Prozent des Anschaffungs- oder Investitionswertes der betreffenden Anlage, multipliziert mit dem in Artikel 289</w:t>
      </w:r>
      <w:r w:rsidRPr="00334017">
        <w:rPr>
          <w:rFonts w:eastAsia="Calibri"/>
          <w:i/>
          <w:szCs w:val="22"/>
          <w:lang w:eastAsia="de-DE" w:bidi="de-DE"/>
        </w:rPr>
        <w:t>quater</w:t>
      </w:r>
      <w:r w:rsidRPr="00334017">
        <w:rPr>
          <w:rFonts w:eastAsia="Calibri"/>
          <w:szCs w:val="22"/>
          <w:lang w:eastAsia="de-DE" w:bidi="de-DE"/>
        </w:rPr>
        <w:t xml:space="preserve"> Absatz 2 desselben Gesetzbuches vorgesehenen Satz und mit dem Produkt von zwei Faktoren, die nach den in den Buchstaben </w:t>
      </w:r>
      <w:r w:rsidRPr="00334017">
        <w:rPr>
          <w:rFonts w:eastAsia="Calibri"/>
          <w:i/>
          <w:szCs w:val="22"/>
          <w:lang w:eastAsia="de-DE" w:bidi="de-DE"/>
        </w:rPr>
        <w:t>a)</w:t>
      </w:r>
      <w:r w:rsidRPr="00334017">
        <w:rPr>
          <w:rFonts w:eastAsia="Calibri"/>
          <w:szCs w:val="22"/>
          <w:lang w:eastAsia="de-DE" w:bidi="de-DE"/>
        </w:rPr>
        <w:t xml:space="preserve"> und </w:t>
      </w:r>
      <w:r w:rsidRPr="00334017">
        <w:rPr>
          <w:rFonts w:eastAsia="Calibri"/>
          <w:i/>
          <w:szCs w:val="22"/>
          <w:lang w:eastAsia="de-DE" w:bidi="de-DE"/>
        </w:rPr>
        <w:t>b)</w:t>
      </w:r>
      <w:r w:rsidRPr="00334017">
        <w:rPr>
          <w:rFonts w:eastAsia="Calibri"/>
          <w:szCs w:val="22"/>
          <w:lang w:eastAsia="de-DE" w:bidi="de-DE"/>
        </w:rPr>
        <w:t xml:space="preserve"> erwähnten Regeln bestimmt werden:</w:t>
      </w:r>
    </w:p>
    <w:p w14:paraId="4DF8817F" w14:textId="77777777" w:rsidR="005A5BD5" w:rsidRPr="00334017" w:rsidRDefault="005A5BD5" w:rsidP="004C2C7D">
      <w:pPr>
        <w:jc w:val="both"/>
        <w:rPr>
          <w:rFonts w:eastAsia="Calibri"/>
          <w:szCs w:val="22"/>
          <w:lang w:eastAsia="de-DE" w:bidi="de-DE"/>
        </w:rPr>
      </w:pPr>
    </w:p>
    <w:p w14:paraId="518CD47B"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a)</w:t>
      </w:r>
      <w:r w:rsidRPr="00334017">
        <w:rPr>
          <w:rFonts w:eastAsia="Calibri"/>
          <w:szCs w:val="22"/>
          <w:lang w:eastAsia="de-DE" w:bidi="de-DE"/>
        </w:rPr>
        <w:t> - falls die betreffende Anlage während eines Besteuerungszeitraums erworben oder gebildet wurde, der an das Steuerjahr 1989 oder an ein vorheriges Steuerjahr gebunden ist: 15 oder 7, je nachdem, ob es sich einerseits um Mobiliar und Büromaterial oder andererseits um jegliche anderen Bestandteile handelt,</w:t>
      </w:r>
    </w:p>
    <w:p w14:paraId="22C04961" w14:textId="77777777" w:rsidR="005A5BD5" w:rsidRPr="00334017" w:rsidRDefault="005A5BD5" w:rsidP="004C2C7D">
      <w:pPr>
        <w:jc w:val="both"/>
        <w:rPr>
          <w:rFonts w:eastAsia="Calibri"/>
          <w:szCs w:val="22"/>
          <w:lang w:eastAsia="de-DE" w:bidi="de-DE"/>
        </w:rPr>
      </w:pPr>
    </w:p>
    <w:p w14:paraId="45CBC7C8"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lastRenderedPageBreak/>
        <w:tab/>
        <w:t>- falls die betreffende Anlage während eines Besteuerungszeitraums, der an das Steuerjahr 1990 oder 1991 gebunden ist, aber vor dem 1. Januar 1991 erworben oder gebildet wurde: 10,</w:t>
      </w:r>
    </w:p>
    <w:p w14:paraId="35BC30AE" w14:textId="77777777" w:rsidR="005A5BD5" w:rsidRPr="00334017" w:rsidRDefault="005A5BD5" w:rsidP="004C2C7D">
      <w:pPr>
        <w:jc w:val="both"/>
        <w:rPr>
          <w:rFonts w:eastAsia="Calibri"/>
          <w:szCs w:val="22"/>
          <w:lang w:eastAsia="de-DE" w:bidi="de-DE"/>
        </w:rPr>
      </w:pPr>
    </w:p>
    <w:p w14:paraId="0FA441B4"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falls die betreffende Anlage ab dem 1. Januar 1991 erworben oder gebildet wurde: 10,5,</w:t>
      </w:r>
    </w:p>
    <w:p w14:paraId="2B795C9A" w14:textId="77777777" w:rsidR="005A5BD5" w:rsidRPr="00334017" w:rsidRDefault="005A5BD5" w:rsidP="004C2C7D">
      <w:pPr>
        <w:jc w:val="both"/>
        <w:rPr>
          <w:rFonts w:eastAsia="Calibri"/>
          <w:szCs w:val="22"/>
          <w:lang w:eastAsia="de-DE" w:bidi="de-DE"/>
        </w:rPr>
      </w:pPr>
    </w:p>
    <w:p w14:paraId="69E23AFD"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r>
      <w:r w:rsidRPr="00334017">
        <w:rPr>
          <w:rFonts w:eastAsia="Calibri"/>
          <w:i/>
          <w:szCs w:val="22"/>
          <w:lang w:eastAsia="de-DE" w:bidi="de-DE"/>
        </w:rPr>
        <w:t>b)</w:t>
      </w:r>
      <w:r w:rsidRPr="00334017">
        <w:rPr>
          <w:rFonts w:eastAsia="Calibri"/>
          <w:szCs w:val="22"/>
          <w:lang w:eastAsia="de-DE" w:bidi="de-DE"/>
        </w:rPr>
        <w:t> einem Bruch:</w:t>
      </w:r>
    </w:p>
    <w:p w14:paraId="26FDDAD9" w14:textId="77777777" w:rsidR="005A5BD5" w:rsidRPr="00334017" w:rsidRDefault="005A5BD5" w:rsidP="004C2C7D">
      <w:pPr>
        <w:jc w:val="both"/>
        <w:rPr>
          <w:rFonts w:eastAsia="Calibri"/>
          <w:szCs w:val="22"/>
          <w:lang w:eastAsia="de-DE" w:bidi="de-DE"/>
        </w:rPr>
      </w:pPr>
    </w:p>
    <w:p w14:paraId="73C16FA0"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der als Nenner die Anzahl Besteuerungszeiträume hat, auf die der Abschreibungs</w:t>
      </w:r>
      <w:r w:rsidRPr="00334017">
        <w:rPr>
          <w:rFonts w:eastAsia="Calibri"/>
          <w:szCs w:val="22"/>
          <w:lang w:eastAsia="de-DE" w:bidi="de-DE"/>
        </w:rPr>
        <w:softHyphen/>
        <w:t>zeitraum der betreffenden Anlage sich erstreckt,</w:t>
      </w:r>
    </w:p>
    <w:p w14:paraId="5EE44130" w14:textId="77777777" w:rsidR="005A5BD5" w:rsidRPr="00334017" w:rsidRDefault="005A5BD5" w:rsidP="004C2C7D">
      <w:pPr>
        <w:jc w:val="both"/>
        <w:rPr>
          <w:rFonts w:eastAsia="Calibri"/>
          <w:szCs w:val="22"/>
          <w:lang w:eastAsia="de-DE" w:bidi="de-DE"/>
        </w:rPr>
      </w:pPr>
    </w:p>
    <w:p w14:paraId="75A5B636"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der als Zähler die Anzahl dieser Zeiträume hat, die zum Zeitpunkt, zu dem die Nichteinhaltung stattgefunden hat, noch nicht abgelaufen sind.</w:t>
      </w:r>
    </w:p>
    <w:p w14:paraId="714C2568" w14:textId="77777777" w:rsidR="005A5BD5" w:rsidRPr="00334017" w:rsidRDefault="005A5BD5" w:rsidP="004C2C7D">
      <w:pPr>
        <w:jc w:val="both"/>
        <w:rPr>
          <w:rFonts w:eastAsia="Calibri"/>
          <w:szCs w:val="22"/>
          <w:lang w:eastAsia="de-DE" w:bidi="de-DE"/>
        </w:rPr>
      </w:pPr>
    </w:p>
    <w:p w14:paraId="11440749" w14:textId="77777777" w:rsidR="005A5BD5" w:rsidRPr="00334017" w:rsidRDefault="005A5BD5" w:rsidP="004C2C7D">
      <w:pPr>
        <w:jc w:val="both"/>
        <w:rPr>
          <w:rFonts w:eastAsia="Calibri"/>
          <w:szCs w:val="22"/>
          <w:lang w:eastAsia="de-DE" w:bidi="de-DE"/>
        </w:rPr>
      </w:pPr>
      <w:r w:rsidRPr="00334017">
        <w:rPr>
          <w:rFonts w:eastAsia="Calibri"/>
          <w:szCs w:val="22"/>
          <w:lang w:eastAsia="de-DE" w:bidi="de-DE"/>
        </w:rPr>
        <w:tab/>
        <w:t>§ 4 - Die betreffenden Steuerpflichtigen müssen der in Artikel 81 Nr. 2 erwähnten Aufstellung dieselben Unterlagen wie in Artikel 48 § 4 vorgesehen beilegen.]</w:t>
      </w:r>
    </w:p>
    <w:p w14:paraId="79D842C6" w14:textId="77777777" w:rsidR="005A5BD5" w:rsidRPr="00334017" w:rsidRDefault="005A5BD5" w:rsidP="004C2C7D">
      <w:pPr>
        <w:jc w:val="both"/>
        <w:rPr>
          <w:rFonts w:eastAsia="Calibri"/>
          <w:szCs w:val="22"/>
          <w:lang w:eastAsia="de-DE" w:bidi="de-DE"/>
        </w:rPr>
      </w:pPr>
    </w:p>
    <w:p w14:paraId="78869C2A" w14:textId="77777777" w:rsidR="005A5BD5" w:rsidRPr="00334017" w:rsidRDefault="005A5BD5" w:rsidP="004C2C7D">
      <w:pPr>
        <w:tabs>
          <w:tab w:val="left" w:pos="960"/>
        </w:tabs>
        <w:jc w:val="both"/>
        <w:rPr>
          <w:rFonts w:eastAsia="Calibri"/>
          <w:i/>
          <w:szCs w:val="22"/>
          <w:lang w:eastAsia="de-DE" w:bidi="de-DE"/>
        </w:rPr>
      </w:pPr>
      <w:r w:rsidRPr="00334017">
        <w:rPr>
          <w:rFonts w:eastAsia="Calibri"/>
          <w:i/>
          <w:szCs w:val="22"/>
          <w:lang w:eastAsia="de-DE" w:bidi="de-DE"/>
        </w:rPr>
        <w:t>[Neuer Artikel 82 eingefügt durch Art. 17 des K.E. vom 11. Dezember 2006 (B.S. vom 18. Dezember 2006)]</w:t>
      </w:r>
    </w:p>
    <w:p w14:paraId="5F21E95F" w14:textId="77777777" w:rsidR="007D52CA" w:rsidRDefault="007D52CA">
      <w:pPr>
        <w:rPr>
          <w:lang w:eastAsia="fr-BE" w:bidi="de-DE"/>
        </w:rPr>
      </w:pPr>
    </w:p>
    <w:p w14:paraId="3302D3EE" w14:textId="62E3DA28" w:rsidR="00B53590" w:rsidRDefault="00B53590">
      <w:pPr>
        <w:rPr>
          <w:rFonts w:eastAsia="Calibri"/>
          <w:szCs w:val="22"/>
          <w:lang w:eastAsia="de-DE" w:bidi="de-DE"/>
        </w:rPr>
      </w:pPr>
    </w:p>
    <w:p w14:paraId="6C73039B" w14:textId="77777777" w:rsidR="003F5F28" w:rsidRDefault="003F5F28">
      <w:pPr>
        <w:rPr>
          <w:rFonts w:eastAsia="Calibri"/>
          <w:szCs w:val="22"/>
          <w:lang w:eastAsia="de-DE" w:bidi="de-DE"/>
        </w:rPr>
      </w:pPr>
      <w:r>
        <w:rPr>
          <w:rFonts w:eastAsia="Calibri"/>
          <w:szCs w:val="22"/>
          <w:lang w:eastAsia="de-DE" w:bidi="de-DE"/>
        </w:rPr>
        <w:br w:type="page"/>
      </w:r>
    </w:p>
    <w:p w14:paraId="0E8912F4" w14:textId="59D21B6D" w:rsidR="007D52CA" w:rsidRPr="00F531CC" w:rsidRDefault="007D52CA" w:rsidP="007D52CA">
      <w:pPr>
        <w:jc w:val="center"/>
        <w:rPr>
          <w:rFonts w:eastAsia="Calibri"/>
          <w:szCs w:val="22"/>
          <w:lang w:eastAsia="de-DE" w:bidi="de-DE"/>
        </w:rPr>
      </w:pPr>
      <w:r w:rsidRPr="00F531CC">
        <w:rPr>
          <w:rFonts w:eastAsia="Calibri"/>
          <w:szCs w:val="22"/>
          <w:lang w:eastAsia="de-DE" w:bidi="de-DE"/>
        </w:rPr>
        <w:lastRenderedPageBreak/>
        <w:t xml:space="preserve">KAPITEL 2 - </w:t>
      </w:r>
      <w:r w:rsidRPr="00F531CC">
        <w:rPr>
          <w:rFonts w:eastAsia="Calibri"/>
          <w:i/>
          <w:szCs w:val="22"/>
          <w:lang w:eastAsia="de-DE" w:bidi="de-DE"/>
        </w:rPr>
        <w:t>Vorabzüge und Anrechnung der Vorabzüge</w:t>
      </w:r>
    </w:p>
    <w:p w14:paraId="3BA8C4AD" w14:textId="77777777" w:rsidR="007D52CA" w:rsidRPr="00F531CC" w:rsidRDefault="007D52CA" w:rsidP="007D52CA">
      <w:pPr>
        <w:rPr>
          <w:rFonts w:eastAsia="Calibri"/>
          <w:szCs w:val="22"/>
          <w:lang w:eastAsia="de-DE" w:bidi="de-DE"/>
        </w:rPr>
      </w:pPr>
    </w:p>
    <w:p w14:paraId="548DF6DD" w14:textId="77777777" w:rsidR="007D52CA" w:rsidRPr="00F531CC" w:rsidRDefault="007D52CA" w:rsidP="007D52CA">
      <w:pPr>
        <w:rPr>
          <w:rFonts w:eastAsia="Calibri"/>
          <w:szCs w:val="22"/>
          <w:lang w:eastAsia="de-DE" w:bidi="de-DE"/>
        </w:rPr>
      </w:pPr>
    </w:p>
    <w:p w14:paraId="65446A34" w14:textId="77777777" w:rsidR="007D52CA" w:rsidRPr="00F531CC" w:rsidRDefault="007D52CA" w:rsidP="007D52CA">
      <w:pPr>
        <w:jc w:val="center"/>
        <w:rPr>
          <w:rFonts w:eastAsia="Calibri"/>
          <w:szCs w:val="22"/>
          <w:lang w:eastAsia="de-DE" w:bidi="de-DE"/>
        </w:rPr>
      </w:pPr>
      <w:r w:rsidRPr="00F531CC">
        <w:rPr>
          <w:rFonts w:eastAsia="Calibri"/>
          <w:i/>
          <w:szCs w:val="22"/>
          <w:lang w:eastAsia="de-DE" w:bidi="de-DE"/>
        </w:rPr>
        <w:t>Abschnitt 1</w:t>
      </w:r>
      <w:r w:rsidRPr="00F531CC">
        <w:rPr>
          <w:rFonts w:eastAsia="Calibri"/>
          <w:szCs w:val="22"/>
          <w:lang w:eastAsia="de-DE" w:bidi="de-DE"/>
        </w:rPr>
        <w:t> - Mobiliensteuervorabzug</w:t>
      </w:r>
    </w:p>
    <w:p w14:paraId="0CAB38A4" w14:textId="77777777" w:rsidR="007D52CA" w:rsidRPr="00F531CC" w:rsidRDefault="007D52CA" w:rsidP="007D52CA">
      <w:pPr>
        <w:jc w:val="center"/>
        <w:rPr>
          <w:rFonts w:eastAsia="Calibri"/>
          <w:szCs w:val="22"/>
          <w:lang w:eastAsia="de-DE" w:bidi="de-DE"/>
        </w:rPr>
      </w:pPr>
    </w:p>
    <w:p w14:paraId="1FA8A6B3" w14:textId="77777777" w:rsidR="007D52CA" w:rsidRPr="00F531CC" w:rsidRDefault="007D52CA" w:rsidP="007D52CA">
      <w:pPr>
        <w:jc w:val="center"/>
        <w:rPr>
          <w:rFonts w:eastAsia="Calibri"/>
          <w:szCs w:val="22"/>
          <w:lang w:eastAsia="de-DE" w:bidi="de-DE"/>
        </w:rPr>
      </w:pPr>
      <w:r w:rsidRPr="00F531CC">
        <w:rPr>
          <w:rFonts w:eastAsia="Calibri"/>
          <w:szCs w:val="22"/>
          <w:lang w:eastAsia="de-DE" w:bidi="de-DE"/>
        </w:rPr>
        <w:t>(Einkommensteuergesetzbuch 1992, Artikel 250, 300 § 1 und 312)</w:t>
      </w:r>
    </w:p>
    <w:p w14:paraId="240FE092" w14:textId="77777777" w:rsidR="007D52CA" w:rsidRPr="00F531CC" w:rsidRDefault="007D52CA" w:rsidP="007D52CA">
      <w:pPr>
        <w:jc w:val="both"/>
        <w:rPr>
          <w:rFonts w:eastAsia="Calibri"/>
          <w:szCs w:val="22"/>
          <w:lang w:eastAsia="de-DE" w:bidi="de-DE"/>
        </w:rPr>
      </w:pPr>
    </w:p>
    <w:p w14:paraId="1026F5B8" w14:textId="77777777" w:rsidR="007D52CA" w:rsidRPr="00F531CC" w:rsidRDefault="007D52CA" w:rsidP="007D52CA">
      <w:pPr>
        <w:jc w:val="both"/>
        <w:rPr>
          <w:rFonts w:eastAsia="Calibri"/>
          <w:szCs w:val="22"/>
          <w:lang w:eastAsia="de-DE" w:bidi="de-DE"/>
        </w:rPr>
      </w:pPr>
    </w:p>
    <w:p w14:paraId="41AD3B8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83</w:t>
      </w:r>
      <w:r w:rsidRPr="00F531CC">
        <w:rPr>
          <w:rFonts w:eastAsia="Calibri"/>
          <w:szCs w:val="22"/>
          <w:lang w:eastAsia="de-DE" w:bidi="de-DE"/>
        </w:rPr>
        <w:t> - Für die Berechnung des Mobiliensteuervorabzugs wird der Betrag des steuerpflichtigen Einkommens [in Euro festgelegt und zu einem Cent abgerundet.]</w:t>
      </w:r>
    </w:p>
    <w:p w14:paraId="2DD29AC4" w14:textId="77777777" w:rsidR="007D52CA" w:rsidRPr="00F531CC" w:rsidRDefault="007D52CA" w:rsidP="007D52CA">
      <w:pPr>
        <w:jc w:val="both"/>
        <w:rPr>
          <w:rFonts w:eastAsia="Calibri"/>
          <w:szCs w:val="22"/>
          <w:lang w:eastAsia="de-DE" w:bidi="de-DE"/>
        </w:rPr>
      </w:pPr>
    </w:p>
    <w:p w14:paraId="0388256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Der Mobiliensteuervorabzug wird [in Euro festgelegt und zu einem Cent abgerundet].</w:t>
      </w:r>
    </w:p>
    <w:p w14:paraId="1910805F" w14:textId="77777777" w:rsidR="007D52CA" w:rsidRPr="00F531CC" w:rsidRDefault="007D52CA" w:rsidP="007D52CA">
      <w:pPr>
        <w:jc w:val="both"/>
        <w:rPr>
          <w:rFonts w:eastAsia="Calibri"/>
          <w:szCs w:val="22"/>
          <w:lang w:eastAsia="de-DE" w:bidi="de-DE"/>
        </w:rPr>
      </w:pPr>
    </w:p>
    <w:p w14:paraId="291971B6"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83 Abs. 1 abgeändert durch Art. 5 Nr. 4 des K.E. vom 20. Juli 2000 (B.S. vom 30. August 2000); Abs. 2 abgeändert durch Art. 5 Nr. 5 des K.E. vom 20. Juli 2000 (B.S. vom 30. August 2000)]</w:t>
      </w:r>
    </w:p>
    <w:p w14:paraId="502C2B9B" w14:textId="77777777" w:rsidR="007D52CA" w:rsidRPr="00F531CC" w:rsidRDefault="007D52CA" w:rsidP="007D52CA">
      <w:pPr>
        <w:jc w:val="both"/>
        <w:rPr>
          <w:rFonts w:eastAsia="Calibri"/>
          <w:i/>
          <w:szCs w:val="22"/>
          <w:lang w:eastAsia="de-DE" w:bidi="de-DE"/>
        </w:rPr>
      </w:pPr>
    </w:p>
    <w:p w14:paraId="4991C701" w14:textId="77777777" w:rsidR="007D52CA" w:rsidRPr="00F531CC" w:rsidRDefault="007D52CA" w:rsidP="007D52CA">
      <w:pPr>
        <w:jc w:val="both"/>
        <w:rPr>
          <w:rFonts w:eastAsia="Calibri"/>
          <w:szCs w:val="22"/>
          <w:lang w:eastAsia="de-DE" w:bidi="de-DE"/>
        </w:rPr>
      </w:pPr>
    </w:p>
    <w:p w14:paraId="788C4834" w14:textId="447044AE"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84</w:t>
      </w:r>
      <w:r w:rsidRPr="00F531CC">
        <w:rPr>
          <w:rFonts w:eastAsia="Calibri"/>
          <w:szCs w:val="22"/>
          <w:lang w:eastAsia="de-DE" w:bidi="de-DE"/>
        </w:rPr>
        <w:t xml:space="preserve"> - </w:t>
      </w:r>
      <w:r w:rsidR="00C17845">
        <w:rPr>
          <w:rFonts w:eastAsia="Calibri"/>
          <w:szCs w:val="22"/>
          <w:lang w:eastAsia="de-DE" w:bidi="de-DE"/>
        </w:rPr>
        <w:t>[...]</w:t>
      </w:r>
    </w:p>
    <w:p w14:paraId="38BAE0BC" w14:textId="77777777" w:rsidR="007D52CA" w:rsidRPr="00F531CC" w:rsidRDefault="007D52CA" w:rsidP="007D52CA">
      <w:pPr>
        <w:jc w:val="both"/>
        <w:rPr>
          <w:rFonts w:eastAsia="Calibri"/>
          <w:szCs w:val="22"/>
          <w:lang w:eastAsia="de-DE" w:bidi="de-DE"/>
        </w:rPr>
      </w:pPr>
    </w:p>
    <w:p w14:paraId="744C7139" w14:textId="41297137" w:rsidR="007D52CA" w:rsidRPr="00F531CC" w:rsidRDefault="007D52CA" w:rsidP="007D52CA">
      <w:pPr>
        <w:jc w:val="both"/>
        <w:rPr>
          <w:rFonts w:eastAsia="Calibri"/>
          <w:szCs w:val="22"/>
          <w:lang w:eastAsia="de-DE" w:bidi="de-DE"/>
        </w:rPr>
      </w:pPr>
      <w:r w:rsidRPr="00F531CC">
        <w:rPr>
          <w:rFonts w:eastAsia="Calibri"/>
          <w:i/>
          <w:szCs w:val="22"/>
          <w:lang w:eastAsia="de-DE" w:bidi="de-DE"/>
        </w:rPr>
        <w:t xml:space="preserve">[Art. 84 </w:t>
      </w:r>
      <w:r w:rsidR="00C17845">
        <w:rPr>
          <w:rFonts w:eastAsia="Calibri"/>
          <w:i/>
          <w:szCs w:val="22"/>
          <w:lang w:eastAsia="de-DE" w:bidi="de-DE"/>
        </w:rPr>
        <w:t>aufgehoben durch Art. 25</w:t>
      </w:r>
      <w:r w:rsidR="00C17845" w:rsidRPr="00C17845">
        <w:rPr>
          <w:rFonts w:eastAsia="Calibri"/>
          <w:i/>
          <w:iCs/>
          <w:szCs w:val="22"/>
          <w:lang w:eastAsia="de-DE" w:bidi="de-DE"/>
        </w:rPr>
        <w:t xml:space="preserve"> des K.E. vom 17. Dezember 2024 (B.S. vom 24. Dezember 2024)</w:t>
      </w:r>
      <w:r w:rsidRPr="00F531CC">
        <w:rPr>
          <w:rFonts w:eastAsia="Calibri"/>
          <w:i/>
          <w:szCs w:val="22"/>
          <w:lang w:eastAsia="de-DE" w:bidi="de-DE"/>
        </w:rPr>
        <w:t>]</w:t>
      </w:r>
    </w:p>
    <w:p w14:paraId="33A08B3F" w14:textId="77777777" w:rsidR="007D52CA" w:rsidRPr="00F531CC" w:rsidRDefault="007D52CA" w:rsidP="007D52CA">
      <w:pPr>
        <w:jc w:val="both"/>
        <w:rPr>
          <w:rFonts w:eastAsia="Calibri"/>
          <w:szCs w:val="22"/>
          <w:lang w:eastAsia="de-DE" w:bidi="de-DE"/>
        </w:rPr>
      </w:pPr>
    </w:p>
    <w:p w14:paraId="310ACD53" w14:textId="77777777" w:rsidR="007D52CA" w:rsidRPr="00F531CC" w:rsidRDefault="007D52CA" w:rsidP="007D52CA">
      <w:pPr>
        <w:jc w:val="both"/>
        <w:rPr>
          <w:rFonts w:eastAsia="Calibri"/>
          <w:szCs w:val="22"/>
          <w:lang w:eastAsia="de-DE" w:bidi="de-DE"/>
        </w:rPr>
      </w:pPr>
    </w:p>
    <w:p w14:paraId="0673B00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85</w:t>
      </w:r>
      <w:r w:rsidRPr="00F531CC">
        <w:rPr>
          <w:rFonts w:eastAsia="Calibri"/>
          <w:szCs w:val="22"/>
          <w:lang w:eastAsia="de-DE" w:bidi="de-DE"/>
        </w:rPr>
        <w:t> - Bei jeder Entrichtung des Mobiliensteuervorabzugs oder spätestens 15 Tage nach Zuerkennung oder Ausschüttung der steuerpflichtigen Einkünfte übermittelt der Steuerschuldner [dem vom Minister oder von seinem Beauftragten bestimmten Dienst] eine Einkommenserklärung, deren Muster vom Minister der Finanzen oder von seinem Beauftragten festgelegt wird.</w:t>
      </w:r>
    </w:p>
    <w:p w14:paraId="1F351CAB" w14:textId="77777777" w:rsidR="007D52CA" w:rsidRPr="00F531CC" w:rsidRDefault="007D52CA" w:rsidP="007D52CA">
      <w:pPr>
        <w:jc w:val="both"/>
        <w:rPr>
          <w:rFonts w:eastAsia="Calibri"/>
          <w:szCs w:val="22"/>
          <w:lang w:eastAsia="de-DE" w:bidi="de-DE"/>
        </w:rPr>
      </w:pPr>
    </w:p>
    <w:p w14:paraId="539985F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Zur Untermauerung dieser Erklärung kann die Verwaltung der direkten Steuern die Vorlage eines beweiskräftigen Auszugs aus den Büchern oder Konten des Steuerschuldners fordern, der von ihm selbst oder seinem Vertreter datiert, unterzeichnet und für richtig bescheinigt worden ist.</w:t>
      </w:r>
    </w:p>
    <w:p w14:paraId="43B53743" w14:textId="77777777" w:rsidR="007D52CA" w:rsidRPr="00F531CC" w:rsidRDefault="007D52CA" w:rsidP="007D52CA">
      <w:pPr>
        <w:jc w:val="both"/>
        <w:rPr>
          <w:rFonts w:eastAsia="Calibri"/>
          <w:szCs w:val="22"/>
          <w:lang w:eastAsia="de-DE" w:bidi="de-DE"/>
        </w:rPr>
      </w:pPr>
    </w:p>
    <w:p w14:paraId="1A15D9B6" w14:textId="77777777" w:rsidR="007D52CA" w:rsidRPr="00F531CC" w:rsidRDefault="007D52CA" w:rsidP="007D52CA">
      <w:pPr>
        <w:jc w:val="both"/>
        <w:rPr>
          <w:rFonts w:eastAsia="Calibri"/>
          <w:szCs w:val="22"/>
          <w:lang w:eastAsia="de-DE" w:bidi="de-DE"/>
        </w:rPr>
      </w:pPr>
      <w:r w:rsidRPr="00F531CC">
        <w:rPr>
          <w:rFonts w:eastAsia="Calibri"/>
          <w:i/>
          <w:szCs w:val="22"/>
          <w:lang w:eastAsia="de-DE" w:bidi="de-DE"/>
        </w:rPr>
        <w:t>[Art. 85 Abs. 1 abgeändert durch Art. 1 des K.E. vom 10. Mai 2010 (B.S. vom 14. Mai 2010)]</w:t>
      </w:r>
    </w:p>
    <w:p w14:paraId="534DE2D3" w14:textId="77777777" w:rsidR="007D52CA" w:rsidRDefault="007D52CA" w:rsidP="007D52CA">
      <w:pPr>
        <w:jc w:val="both"/>
        <w:rPr>
          <w:rFonts w:eastAsia="Calibri"/>
          <w:szCs w:val="22"/>
          <w:lang w:eastAsia="de-DE" w:bidi="de-DE"/>
        </w:rPr>
      </w:pPr>
    </w:p>
    <w:p w14:paraId="6E038BF8" w14:textId="77777777" w:rsidR="007D52CA" w:rsidRDefault="007D52CA" w:rsidP="007D52CA">
      <w:pPr>
        <w:jc w:val="both"/>
        <w:rPr>
          <w:rFonts w:eastAsia="Calibri"/>
          <w:szCs w:val="22"/>
          <w:lang w:eastAsia="de-DE" w:bidi="de-DE"/>
        </w:rPr>
      </w:pPr>
    </w:p>
    <w:p w14:paraId="191DA8B3" w14:textId="77777777" w:rsidR="007D52CA" w:rsidRPr="00F531CC" w:rsidRDefault="007D52CA" w:rsidP="007D52CA">
      <w:pPr>
        <w:jc w:val="center"/>
        <w:rPr>
          <w:rFonts w:eastAsia="Calibri"/>
          <w:szCs w:val="22"/>
          <w:lang w:eastAsia="de-DE" w:bidi="de-DE"/>
        </w:rPr>
      </w:pPr>
      <w:r w:rsidRPr="00F531CC">
        <w:rPr>
          <w:rFonts w:eastAsia="Calibri"/>
          <w:i/>
          <w:szCs w:val="22"/>
          <w:lang w:eastAsia="de-DE" w:bidi="de-DE"/>
        </w:rPr>
        <w:t>Abschnitt 2</w:t>
      </w:r>
      <w:r w:rsidRPr="00F531CC">
        <w:rPr>
          <w:rFonts w:eastAsia="Calibri"/>
          <w:szCs w:val="22"/>
          <w:lang w:eastAsia="de-DE" w:bidi="de-DE"/>
        </w:rPr>
        <w:t> - Berufssteuervorabzug</w:t>
      </w:r>
    </w:p>
    <w:p w14:paraId="21DD9B65" w14:textId="77777777" w:rsidR="007D52CA" w:rsidRPr="00F531CC" w:rsidRDefault="007D52CA" w:rsidP="007D52CA">
      <w:pPr>
        <w:jc w:val="center"/>
        <w:rPr>
          <w:rFonts w:eastAsia="Calibri"/>
          <w:szCs w:val="22"/>
          <w:lang w:eastAsia="de-DE" w:bidi="de-DE"/>
        </w:rPr>
      </w:pPr>
    </w:p>
    <w:p w14:paraId="4D9F264A" w14:textId="77777777" w:rsidR="007D52CA" w:rsidRPr="00F531CC" w:rsidRDefault="007D52CA" w:rsidP="007D52CA">
      <w:pPr>
        <w:jc w:val="center"/>
        <w:rPr>
          <w:rFonts w:eastAsia="Calibri"/>
          <w:szCs w:val="22"/>
          <w:lang w:eastAsia="de-DE" w:bidi="de-DE"/>
        </w:rPr>
      </w:pPr>
      <w:r w:rsidRPr="00F531CC">
        <w:rPr>
          <w:rFonts w:eastAsia="Calibri"/>
          <w:szCs w:val="22"/>
          <w:lang w:eastAsia="de-DE" w:bidi="de-DE"/>
        </w:rPr>
        <w:t>(Einkommensteuergesetzbuch 1992, Artikel [57,] 250, 271, 275 §§ 1 und 2, 300 § 1 und 312)</w:t>
      </w:r>
    </w:p>
    <w:p w14:paraId="6D8CD25A" w14:textId="77777777" w:rsidR="007D52CA" w:rsidRPr="00F531CC" w:rsidRDefault="007D52CA" w:rsidP="007D52CA">
      <w:pPr>
        <w:jc w:val="both"/>
        <w:rPr>
          <w:rFonts w:eastAsia="Calibri"/>
          <w:szCs w:val="22"/>
          <w:lang w:eastAsia="de-DE" w:bidi="de-DE"/>
        </w:rPr>
      </w:pPr>
    </w:p>
    <w:p w14:paraId="4E6EAEFF"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[Überschrift von Abschnitt 2 abgeändert durch Art. 7 des K.E. vom 12. August 1994 (II) (B.S. vom 10. September 1994)]</w:t>
      </w:r>
    </w:p>
    <w:p w14:paraId="073C407C" w14:textId="77777777" w:rsidR="007D52CA" w:rsidRPr="00F531CC" w:rsidRDefault="007D52CA" w:rsidP="007D52CA">
      <w:pPr>
        <w:jc w:val="both"/>
        <w:rPr>
          <w:rFonts w:eastAsia="Calibri"/>
          <w:szCs w:val="22"/>
          <w:lang w:eastAsia="de-DE" w:bidi="de-DE"/>
        </w:rPr>
      </w:pPr>
    </w:p>
    <w:p w14:paraId="2D829257" w14:textId="77777777" w:rsidR="007D52CA" w:rsidRPr="00F531CC" w:rsidRDefault="007D52CA" w:rsidP="007D52CA">
      <w:pPr>
        <w:jc w:val="both"/>
        <w:rPr>
          <w:rFonts w:eastAsia="Calibri"/>
          <w:szCs w:val="22"/>
          <w:lang w:eastAsia="de-DE" w:bidi="de-DE"/>
        </w:rPr>
      </w:pPr>
    </w:p>
    <w:p w14:paraId="0534DD6A" w14:textId="77777777" w:rsidR="007D52CA"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86</w:t>
      </w:r>
      <w:r w:rsidRPr="00F531CC">
        <w:rPr>
          <w:rFonts w:eastAsia="Calibri"/>
          <w:szCs w:val="22"/>
          <w:lang w:eastAsia="de-DE" w:bidi="de-DE"/>
        </w:rPr>
        <w:t xml:space="preserve"> - Natürliche und juristische Personen und alle Personen, die in gleich welcher Eigenschaft Gesellschaften, Vereinigungen, Einrichtungen oder Organismen ohne Rechtspersönlichkeit ganz oder teilweise leiten oder verwalten, müssen den an der Quelle </w:t>
      </w:r>
      <w:r w:rsidRPr="00F531CC">
        <w:rPr>
          <w:rFonts w:eastAsia="Calibri"/>
          <w:szCs w:val="22"/>
          <w:lang w:eastAsia="de-DE" w:bidi="de-DE"/>
        </w:rPr>
        <w:lastRenderedPageBreak/>
        <w:t>geschuldeten Berufssteuervorabzug auf die in Artikel 87 erwähnten, von ihnen gezahlten oder zuerkannten Einkünfte der Staatskasse zuführen.</w:t>
      </w:r>
    </w:p>
    <w:p w14:paraId="581EDBC3" w14:textId="77777777" w:rsidR="009C06D0" w:rsidRDefault="009C06D0" w:rsidP="007D52CA">
      <w:pPr>
        <w:jc w:val="both"/>
        <w:rPr>
          <w:rFonts w:eastAsia="Calibri"/>
          <w:szCs w:val="22"/>
          <w:lang w:eastAsia="de-DE" w:bidi="de-DE"/>
        </w:rPr>
      </w:pPr>
    </w:p>
    <w:p w14:paraId="32E1A0C8" w14:textId="2C3F39B0" w:rsidR="009C06D0" w:rsidRDefault="009C06D0" w:rsidP="007D52CA">
      <w:pPr>
        <w:jc w:val="both"/>
        <w:rPr>
          <w:rFonts w:eastAsia="Calibri"/>
          <w:szCs w:val="22"/>
          <w:lang w:eastAsia="de-DE" w:bidi="de-DE"/>
        </w:rPr>
      </w:pPr>
      <w:r>
        <w:rPr>
          <w:rFonts w:eastAsia="Calibri"/>
          <w:szCs w:val="22"/>
          <w:lang w:eastAsia="de-DE" w:bidi="de-DE"/>
        </w:rPr>
        <w:tab/>
        <w:t>[</w:t>
      </w:r>
      <w:r w:rsidR="00DD3207">
        <w:t>..</w:t>
      </w:r>
      <w:r w:rsidRPr="00BF79D2">
        <w:t>.</w:t>
      </w:r>
      <w:r>
        <w:rPr>
          <w:rFonts w:eastAsia="Calibri"/>
          <w:szCs w:val="22"/>
          <w:lang w:eastAsia="de-DE" w:bidi="de-DE"/>
        </w:rPr>
        <w:t>]</w:t>
      </w:r>
    </w:p>
    <w:p w14:paraId="1094DC46" w14:textId="39D319E9" w:rsidR="00285271" w:rsidRDefault="00285271" w:rsidP="007D52CA">
      <w:pPr>
        <w:jc w:val="both"/>
        <w:rPr>
          <w:rFonts w:eastAsia="Calibri"/>
          <w:szCs w:val="22"/>
          <w:lang w:eastAsia="de-DE" w:bidi="de-DE"/>
        </w:rPr>
      </w:pPr>
    </w:p>
    <w:p w14:paraId="7295C720" w14:textId="29A74716" w:rsidR="00285271" w:rsidRDefault="00285271" w:rsidP="007D52CA">
      <w:pPr>
        <w:jc w:val="both"/>
        <w:rPr>
          <w:rFonts w:eastAsia="Calibri"/>
          <w:szCs w:val="22"/>
          <w:lang w:eastAsia="de-DE" w:bidi="de-DE"/>
        </w:rPr>
      </w:pPr>
      <w:r>
        <w:rPr>
          <w:rFonts w:eastAsia="Calibri"/>
          <w:szCs w:val="22"/>
          <w:lang w:eastAsia="de-DE" w:bidi="de-DE"/>
        </w:rPr>
        <w:tab/>
        <w:t>[</w:t>
      </w:r>
      <w:r w:rsidRPr="00A9242B">
        <w:t>Bei einer Gesellschaft oder einer VoG, innerhalb deren eine in Artikel 90 Absatz 1 Nr. 1</w:t>
      </w:r>
      <w:r w:rsidRPr="00A9242B">
        <w:rPr>
          <w:i/>
          <w:iCs/>
        </w:rPr>
        <w:t>bis</w:t>
      </w:r>
      <w:r w:rsidRPr="00A9242B">
        <w:t xml:space="preserve"> Buchstabe </w:t>
      </w:r>
      <w:r w:rsidRPr="00A9242B">
        <w:rPr>
          <w:i/>
          <w:iCs/>
        </w:rPr>
        <w:t>b)</w:t>
      </w:r>
      <w:r w:rsidRPr="00A9242B">
        <w:t xml:space="preserve"> des Einkommensteuergesetzbuches 1992 erwähnte zugelassene Plattform eingerichtet ist, wird davon ausgegangen, dass diese Gesellschaft oder VoG die in Artikel 87 Nr. 2</w:t>
      </w:r>
      <w:r w:rsidRPr="00A9242B">
        <w:rPr>
          <w:i/>
          <w:iCs/>
        </w:rPr>
        <w:t>bis</w:t>
      </w:r>
      <w:r w:rsidRPr="00A9242B">
        <w:t xml:space="preserve"> erwähnten Einkünfte in Bezug auf Vereinbarungen, die über diese Plattform geschlossen werden, zahlt oder zuerkennt.</w:t>
      </w:r>
      <w:r>
        <w:rPr>
          <w:rFonts w:eastAsia="Calibri"/>
          <w:szCs w:val="22"/>
          <w:lang w:eastAsia="de-DE" w:bidi="de-DE"/>
        </w:rPr>
        <w:t>]</w:t>
      </w:r>
    </w:p>
    <w:p w14:paraId="14E1E370" w14:textId="77777777" w:rsidR="009C06D0" w:rsidRDefault="009C06D0" w:rsidP="007D52CA">
      <w:pPr>
        <w:jc w:val="both"/>
        <w:rPr>
          <w:rFonts w:eastAsia="Calibri"/>
          <w:szCs w:val="22"/>
          <w:lang w:eastAsia="de-DE" w:bidi="de-DE"/>
        </w:rPr>
      </w:pPr>
    </w:p>
    <w:p w14:paraId="38DEFDCE" w14:textId="33B2FD9E" w:rsidR="009C06D0" w:rsidRPr="009C06D0" w:rsidRDefault="009C06D0" w:rsidP="007D52CA">
      <w:pPr>
        <w:jc w:val="both"/>
        <w:rPr>
          <w:rFonts w:eastAsia="Calibri"/>
          <w:i/>
          <w:szCs w:val="22"/>
          <w:lang w:eastAsia="de-DE" w:bidi="de-DE"/>
        </w:rPr>
      </w:pPr>
      <w:r>
        <w:rPr>
          <w:rFonts w:eastAsia="Calibri"/>
          <w:i/>
          <w:szCs w:val="22"/>
          <w:lang w:eastAsia="de-DE" w:bidi="de-DE"/>
        </w:rPr>
        <w:t xml:space="preserve">[Art. 86 </w:t>
      </w:r>
      <w:r w:rsidR="00DD3207">
        <w:rPr>
          <w:rFonts w:eastAsia="Calibri"/>
          <w:i/>
          <w:szCs w:val="22"/>
          <w:lang w:eastAsia="de-DE" w:bidi="de-DE"/>
        </w:rPr>
        <w:t xml:space="preserve">früherer </w:t>
      </w:r>
      <w:r>
        <w:rPr>
          <w:rFonts w:eastAsia="Calibri"/>
          <w:i/>
          <w:szCs w:val="22"/>
          <w:lang w:eastAsia="de-DE" w:bidi="de-DE"/>
        </w:rPr>
        <w:t>Abs</w:t>
      </w:r>
      <w:r w:rsidR="00DD3207">
        <w:rPr>
          <w:rFonts w:eastAsia="Calibri"/>
          <w:i/>
          <w:szCs w:val="22"/>
          <w:lang w:eastAsia="de-DE" w:bidi="de-DE"/>
        </w:rPr>
        <w:t>atz</w:t>
      </w:r>
      <w:r>
        <w:rPr>
          <w:rFonts w:eastAsia="Calibri"/>
          <w:i/>
          <w:szCs w:val="22"/>
          <w:lang w:eastAsia="de-DE" w:bidi="de-DE"/>
        </w:rPr>
        <w:t> 2 eingefügt durch Art. 2 des K.E. vom 12. Januar 2017</w:t>
      </w:r>
      <w:r w:rsidR="00B86FD1">
        <w:rPr>
          <w:rFonts w:eastAsia="Calibri"/>
          <w:i/>
          <w:szCs w:val="22"/>
          <w:lang w:eastAsia="de-DE" w:bidi="de-DE"/>
        </w:rPr>
        <w:t> (I)</w:t>
      </w:r>
      <w:r>
        <w:rPr>
          <w:rFonts w:eastAsia="Calibri"/>
          <w:i/>
          <w:szCs w:val="22"/>
          <w:lang w:eastAsia="de-DE" w:bidi="de-DE"/>
        </w:rPr>
        <w:t xml:space="preserve"> (B.S. vom 24. Januar 2017)</w:t>
      </w:r>
      <w:r w:rsidR="00DD3207">
        <w:rPr>
          <w:rFonts w:eastAsia="Calibri"/>
          <w:i/>
          <w:szCs w:val="22"/>
          <w:lang w:eastAsia="de-DE" w:bidi="de-DE"/>
        </w:rPr>
        <w:t xml:space="preserve"> und aufgehoben durch Art. 4 des K.E. vom 3. Juli 2019 (B.S. vom 12. Juli 2019)</w:t>
      </w:r>
      <w:r w:rsidR="00285271">
        <w:rPr>
          <w:rFonts w:eastAsia="Calibri"/>
          <w:i/>
          <w:szCs w:val="22"/>
          <w:lang w:eastAsia="de-DE" w:bidi="de-DE"/>
        </w:rPr>
        <w:t xml:space="preserve">; </w:t>
      </w:r>
      <w:r w:rsidR="00DB13BA">
        <w:rPr>
          <w:rFonts w:eastAsia="Calibri"/>
          <w:i/>
          <w:szCs w:val="22"/>
          <w:lang w:eastAsia="de-DE" w:bidi="de-DE"/>
        </w:rPr>
        <w:t xml:space="preserve">neuer </w:t>
      </w:r>
      <w:r w:rsidR="00285271">
        <w:rPr>
          <w:rFonts w:eastAsia="Calibri"/>
          <w:i/>
          <w:szCs w:val="22"/>
          <w:lang w:eastAsia="de-DE" w:bidi="de-DE"/>
        </w:rPr>
        <w:t>Abs</w:t>
      </w:r>
      <w:r w:rsidR="00DB13BA">
        <w:rPr>
          <w:rFonts w:eastAsia="Calibri"/>
          <w:i/>
          <w:szCs w:val="22"/>
          <w:lang w:eastAsia="de-DE" w:bidi="de-DE"/>
        </w:rPr>
        <w:t>atz</w:t>
      </w:r>
      <w:r w:rsidR="00285271">
        <w:rPr>
          <w:rFonts w:eastAsia="Calibri"/>
          <w:i/>
          <w:szCs w:val="22"/>
          <w:lang w:eastAsia="de-DE" w:bidi="de-DE"/>
        </w:rPr>
        <w:t> 2 eingefügt durch Art. 1 des K.E. vom 26. Januar 2021 (B.S. vom 29. Januar 2021)</w:t>
      </w:r>
      <w:r>
        <w:rPr>
          <w:rFonts w:eastAsia="Calibri"/>
          <w:i/>
          <w:szCs w:val="22"/>
          <w:lang w:eastAsia="de-DE" w:bidi="de-DE"/>
        </w:rPr>
        <w:t>]</w:t>
      </w:r>
    </w:p>
    <w:p w14:paraId="5DBB9190" w14:textId="77777777" w:rsidR="007D52CA" w:rsidRPr="00F531CC" w:rsidRDefault="007D52CA" w:rsidP="007D52CA">
      <w:pPr>
        <w:jc w:val="both"/>
        <w:rPr>
          <w:rFonts w:eastAsia="Calibri"/>
          <w:szCs w:val="22"/>
          <w:lang w:eastAsia="de-DE" w:bidi="de-DE"/>
        </w:rPr>
      </w:pPr>
    </w:p>
    <w:p w14:paraId="7FCC3752" w14:textId="77777777" w:rsidR="007D52CA" w:rsidRPr="00F531CC" w:rsidRDefault="007D52CA" w:rsidP="007D52CA">
      <w:pPr>
        <w:jc w:val="both"/>
        <w:rPr>
          <w:rFonts w:eastAsia="Calibri"/>
          <w:szCs w:val="22"/>
          <w:lang w:eastAsia="de-DE" w:bidi="de-DE"/>
        </w:rPr>
      </w:pPr>
    </w:p>
    <w:p w14:paraId="5873483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87</w:t>
      </w:r>
      <w:r w:rsidRPr="00F531CC">
        <w:rPr>
          <w:rFonts w:eastAsia="Calibri"/>
          <w:szCs w:val="22"/>
          <w:lang w:eastAsia="de-DE" w:bidi="de-DE"/>
        </w:rPr>
        <w:t> - Vorbehaltlich der im Gesetz und in internationalen Abkommen vorgesehenen Befreiungen ist der an der Quelle geschuldete Berufssteuervorabzug auf folgende Einkünfte zu entrichten:</w:t>
      </w:r>
    </w:p>
    <w:p w14:paraId="59A63088" w14:textId="77777777" w:rsidR="007D52CA" w:rsidRPr="00F531CC" w:rsidRDefault="007D52CA" w:rsidP="007D52CA">
      <w:pPr>
        <w:jc w:val="both"/>
        <w:rPr>
          <w:rFonts w:eastAsia="Calibri"/>
          <w:szCs w:val="22"/>
          <w:lang w:eastAsia="de-DE" w:bidi="de-DE"/>
        </w:rPr>
      </w:pPr>
    </w:p>
    <w:p w14:paraId="57A0C75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w:t>
      </w:r>
      <w:r w:rsidRPr="00F531CC">
        <w:rPr>
          <w:rFonts w:eastAsia="Calibri"/>
          <w:i/>
          <w:szCs w:val="22"/>
          <w:lang w:eastAsia="de-DE" w:bidi="de-DE"/>
        </w:rPr>
        <w:t>a)</w:t>
      </w:r>
      <w:r w:rsidRPr="00F531CC">
        <w:rPr>
          <w:rFonts w:eastAsia="Calibri"/>
          <w:szCs w:val="22"/>
          <w:lang w:eastAsia="de-DE" w:bidi="de-DE"/>
        </w:rPr>
        <w:t xml:space="preserve"> in Artikel 23 § 1 Nr. 4 und 5 des Einkommensteuergesetzbuches 1992 erwähnte Berufseinkünfte, die in den Artikeln 3, 179 oder 220 desselben Gesetzbuches erwähnte Personen als Schuldner, Verwahrer, Bevollmächtigte oder Vermittler in Belgien oder im Ausland zahlen oder zuerkennen,</w:t>
      </w:r>
    </w:p>
    <w:p w14:paraId="4E0C5110" w14:textId="77777777" w:rsidR="007D52CA" w:rsidRPr="00F531CC" w:rsidRDefault="007D52CA" w:rsidP="007D52CA">
      <w:pPr>
        <w:jc w:val="both"/>
        <w:rPr>
          <w:rFonts w:eastAsia="Calibri"/>
          <w:szCs w:val="22"/>
          <w:lang w:eastAsia="de-DE" w:bidi="de-DE"/>
        </w:rPr>
      </w:pPr>
    </w:p>
    <w:p w14:paraId="498EA15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xml:space="preserve"> in Artikel 23 § 1 Nr. 4 und 5 des vorerwähnten Gesetzbuches erwähnte Berufseinkünfte, die in Artikel 227 desselben Gesetzbuches erwähnte Gebietsfremde, für die diese Einkünfte Werbungskosten im Sinne von Artikel 237 desselben Gesetzbuches darstellen, in Belgien oder im Ausland zahlen oder zuerkennen,]</w:t>
      </w:r>
    </w:p>
    <w:p w14:paraId="7FD047DD" w14:textId="77777777" w:rsidR="007D52CA" w:rsidRPr="00F531CC" w:rsidRDefault="007D52CA" w:rsidP="007D52CA">
      <w:pPr>
        <w:jc w:val="both"/>
        <w:rPr>
          <w:rFonts w:eastAsia="Calibri"/>
          <w:szCs w:val="22"/>
          <w:lang w:eastAsia="de-DE" w:bidi="de-DE"/>
        </w:rPr>
      </w:pPr>
    </w:p>
    <w:p w14:paraId="7461F180" w14:textId="77777777" w:rsidR="007D52CA" w:rsidRDefault="007D52CA" w:rsidP="007D52CA">
      <w:pPr>
        <w:jc w:val="both"/>
        <w:rPr>
          <w:rFonts w:eastAsia="Calibri"/>
          <w:szCs w:val="22"/>
          <w:lang w:eastAsia="de-DE" w:bidi="de-DE"/>
        </w:rPr>
      </w:pPr>
      <w:r w:rsidRPr="00F531CC">
        <w:rPr>
          <w:rFonts w:eastAsia="Calibri"/>
          <w:szCs w:val="22"/>
          <w:lang w:eastAsia="de-DE" w:bidi="de-DE"/>
        </w:rPr>
        <w:tab/>
        <w:t>2. Entlohnungen, die vollständig oder hauptsächlich aus Trinkgeldern oder Bedienungsprozenten bestehen, die Kunden an Personen zahlen, die von den in Artikel 86 erwähnten Steuerschuldnern durch Arbeitsvertrag in Belgien beschäftigt werden,</w:t>
      </w:r>
    </w:p>
    <w:p w14:paraId="6C7AC464" w14:textId="77777777" w:rsidR="009C06D0" w:rsidRDefault="009C06D0" w:rsidP="007D52CA">
      <w:pPr>
        <w:jc w:val="both"/>
        <w:rPr>
          <w:rFonts w:eastAsia="Calibri"/>
          <w:szCs w:val="22"/>
          <w:lang w:eastAsia="de-DE" w:bidi="de-DE"/>
        </w:rPr>
      </w:pPr>
    </w:p>
    <w:p w14:paraId="3CCD2B23" w14:textId="290B789B" w:rsidR="009C06D0" w:rsidRPr="00F531CC" w:rsidRDefault="009C06D0" w:rsidP="007D52CA">
      <w:pPr>
        <w:jc w:val="both"/>
        <w:rPr>
          <w:rFonts w:eastAsia="Calibri"/>
          <w:szCs w:val="22"/>
          <w:lang w:eastAsia="de-DE" w:bidi="de-DE"/>
        </w:rPr>
      </w:pPr>
      <w:r>
        <w:rPr>
          <w:rFonts w:eastAsia="Calibri"/>
          <w:szCs w:val="22"/>
          <w:lang w:eastAsia="de-DE" w:bidi="de-DE"/>
        </w:rPr>
        <w:tab/>
        <w:t>[</w:t>
      </w:r>
      <w:r w:rsidRPr="00BF79D2">
        <w:t>2</w:t>
      </w:r>
      <w:r w:rsidRPr="00BF79D2">
        <w:rPr>
          <w:i/>
        </w:rPr>
        <w:t>bis</w:t>
      </w:r>
      <w:r w:rsidRPr="00BF79D2">
        <w:t xml:space="preserve">. </w:t>
      </w:r>
      <w:r w:rsidR="00DD3207">
        <w:t>[</w:t>
      </w:r>
      <w:r w:rsidR="00285271" w:rsidRPr="00A9242B">
        <w:t>in Artikel 90 Absatz 1 Nr. 1</w:t>
      </w:r>
      <w:r w:rsidR="00285271" w:rsidRPr="00A9242B">
        <w:rPr>
          <w:i/>
          <w:iCs/>
        </w:rPr>
        <w:t>bis</w:t>
      </w:r>
      <w:r w:rsidR="00285271" w:rsidRPr="00A9242B">
        <w:t xml:space="preserve"> desselben Gesetzbuches erwähnte Gewinne und Profite,</w:t>
      </w:r>
      <w:r w:rsidR="00DD3207">
        <w:t>]</w:t>
      </w:r>
      <w:r>
        <w:rPr>
          <w:rFonts w:eastAsia="Calibri"/>
          <w:szCs w:val="22"/>
          <w:lang w:eastAsia="de-DE" w:bidi="de-DE"/>
        </w:rPr>
        <w:t>]</w:t>
      </w:r>
    </w:p>
    <w:p w14:paraId="25FCAC77" w14:textId="77777777" w:rsidR="007D52CA" w:rsidRPr="00F531CC" w:rsidRDefault="007D52CA" w:rsidP="007D52CA">
      <w:pPr>
        <w:jc w:val="both"/>
        <w:rPr>
          <w:rFonts w:eastAsia="Calibri"/>
          <w:szCs w:val="22"/>
          <w:lang w:eastAsia="de-DE" w:bidi="de-DE"/>
        </w:rPr>
      </w:pPr>
    </w:p>
    <w:p w14:paraId="69712765" w14:textId="77777777" w:rsidR="007D52CA" w:rsidRDefault="007D52CA" w:rsidP="007D52CA">
      <w:pPr>
        <w:jc w:val="both"/>
        <w:rPr>
          <w:rFonts w:eastAsia="Calibri"/>
          <w:szCs w:val="22"/>
          <w:lang w:eastAsia="de-DE" w:bidi="de-DE"/>
        </w:rPr>
      </w:pPr>
      <w:r w:rsidRPr="00F531CC">
        <w:rPr>
          <w:rFonts w:eastAsia="Calibri"/>
          <w:szCs w:val="22"/>
          <w:lang w:eastAsia="de-DE" w:bidi="de-DE"/>
        </w:rPr>
        <w:tab/>
        <w:t xml:space="preserve">3. in </w:t>
      </w:r>
      <w:r w:rsidR="00172F6E">
        <w:rPr>
          <w:rFonts w:eastAsia="Calibri"/>
          <w:szCs w:val="22"/>
          <w:lang w:eastAsia="de-DE" w:bidi="de-DE"/>
        </w:rPr>
        <w:t>[</w:t>
      </w:r>
      <w:r w:rsidR="00172F6E" w:rsidRPr="00B617CF">
        <w:t>Artikel 90 Absatz 1 Nr. 2</w:t>
      </w:r>
      <w:r w:rsidR="00172F6E">
        <w:rPr>
          <w:rFonts w:eastAsia="Calibri"/>
          <w:szCs w:val="22"/>
          <w:lang w:eastAsia="de-DE" w:bidi="de-DE"/>
        </w:rPr>
        <w:t>]</w:t>
      </w:r>
      <w:r w:rsidRPr="00F531CC">
        <w:rPr>
          <w:rFonts w:eastAsia="Calibri"/>
          <w:szCs w:val="22"/>
          <w:lang w:eastAsia="de-DE" w:bidi="de-DE"/>
        </w:rPr>
        <w:t xml:space="preserve"> desselben Gesetzbuches erwähnte Preise, Zuschüsse, Renten oder Pensionen,</w:t>
      </w:r>
    </w:p>
    <w:p w14:paraId="55F48F75" w14:textId="77777777" w:rsidR="0006348C" w:rsidRDefault="0006348C" w:rsidP="007D52CA">
      <w:pPr>
        <w:jc w:val="both"/>
        <w:rPr>
          <w:rFonts w:eastAsia="Calibri"/>
          <w:szCs w:val="22"/>
          <w:lang w:eastAsia="de-DE" w:bidi="de-DE"/>
        </w:rPr>
      </w:pPr>
    </w:p>
    <w:p w14:paraId="32C86855" w14:textId="6F915CD2" w:rsidR="0006348C" w:rsidRPr="00F531CC" w:rsidRDefault="0006348C" w:rsidP="007D52CA">
      <w:pPr>
        <w:jc w:val="both"/>
        <w:rPr>
          <w:rFonts w:eastAsia="Calibri"/>
          <w:szCs w:val="22"/>
          <w:lang w:eastAsia="de-DE" w:bidi="de-DE"/>
        </w:rPr>
      </w:pPr>
      <w:r>
        <w:rPr>
          <w:rFonts w:eastAsia="Calibri"/>
          <w:szCs w:val="22"/>
          <w:lang w:eastAsia="de-DE" w:bidi="de-DE"/>
        </w:rPr>
        <w:tab/>
        <w:t>[</w:t>
      </w:r>
      <w:r w:rsidRPr="00407AED">
        <w:t>3</w:t>
      </w:r>
      <w:r w:rsidRPr="00407AED">
        <w:rPr>
          <w:i/>
          <w:iCs/>
        </w:rPr>
        <w:t>bis</w:t>
      </w:r>
      <w:r w:rsidRPr="00407AED">
        <w:t>. in Artikel 90 Absatz 1 Nr. 2</w:t>
      </w:r>
      <w:r w:rsidRPr="00407AED">
        <w:rPr>
          <w:i/>
          <w:iCs/>
        </w:rPr>
        <w:t>bis</w:t>
      </w:r>
      <w:r w:rsidRPr="00407AED">
        <w:t xml:space="preserve"> desselben Gesetzbuches erwähnte Preisgelder,</w:t>
      </w:r>
      <w:r>
        <w:rPr>
          <w:rFonts w:eastAsia="Calibri"/>
          <w:szCs w:val="22"/>
          <w:lang w:eastAsia="de-DE" w:bidi="de-DE"/>
        </w:rPr>
        <w:t>]</w:t>
      </w:r>
    </w:p>
    <w:p w14:paraId="3501498D" w14:textId="77777777" w:rsidR="007D52CA" w:rsidRPr="00F531CC" w:rsidRDefault="007D52CA" w:rsidP="007D52CA">
      <w:pPr>
        <w:jc w:val="both"/>
        <w:rPr>
          <w:rFonts w:eastAsia="Calibri"/>
          <w:szCs w:val="22"/>
          <w:lang w:eastAsia="de-DE" w:bidi="de-DE"/>
        </w:rPr>
      </w:pPr>
    </w:p>
    <w:p w14:paraId="0D6F635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4. in </w:t>
      </w:r>
      <w:r w:rsidR="00172F6E">
        <w:rPr>
          <w:rFonts w:eastAsia="Calibri"/>
          <w:szCs w:val="22"/>
          <w:lang w:eastAsia="de-DE" w:bidi="de-DE"/>
        </w:rPr>
        <w:t>[</w:t>
      </w:r>
      <w:r w:rsidR="00172F6E" w:rsidRPr="00B617CF">
        <w:t>Artikel 90 Absatz 1 Nr. 3 und 4</w:t>
      </w:r>
      <w:r w:rsidR="00172F6E">
        <w:rPr>
          <w:rFonts w:eastAsia="Calibri"/>
          <w:szCs w:val="22"/>
          <w:lang w:eastAsia="de-DE" w:bidi="de-DE"/>
        </w:rPr>
        <w:t>]</w:t>
      </w:r>
      <w:r w:rsidRPr="00F531CC">
        <w:rPr>
          <w:rFonts w:eastAsia="Calibri"/>
          <w:szCs w:val="22"/>
          <w:lang w:eastAsia="de-DE" w:bidi="de-DE"/>
        </w:rPr>
        <w:t xml:space="preserve"> desselben Gesetzbuches erwähnte Unterhaltsleistungen und Kapitalien, die Einwohner des Königreichs Nicht-Einwohnern des Königreichs zahlen oder zuerkennen,</w:t>
      </w:r>
    </w:p>
    <w:p w14:paraId="0543C905" w14:textId="77777777" w:rsidR="007D52CA" w:rsidRPr="00F531CC" w:rsidRDefault="007D52CA" w:rsidP="007D52CA">
      <w:pPr>
        <w:jc w:val="both"/>
        <w:rPr>
          <w:rFonts w:eastAsia="Calibri"/>
          <w:szCs w:val="22"/>
          <w:lang w:eastAsia="de-DE" w:bidi="de-DE"/>
        </w:rPr>
      </w:pPr>
    </w:p>
    <w:p w14:paraId="14837D5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[4</w:t>
      </w:r>
      <w:r w:rsidRPr="00F531CC">
        <w:rPr>
          <w:rFonts w:eastAsia="Calibri"/>
          <w:i/>
          <w:szCs w:val="22"/>
          <w:lang w:eastAsia="de-DE" w:bidi="de-DE"/>
        </w:rPr>
        <w:t>bis</w:t>
      </w:r>
      <w:r w:rsidRPr="00F531CC">
        <w:rPr>
          <w:rFonts w:eastAsia="Calibri"/>
          <w:szCs w:val="22"/>
          <w:lang w:eastAsia="de-DE" w:bidi="de-DE"/>
        </w:rPr>
        <w:t xml:space="preserve">. </w:t>
      </w:r>
      <w:r w:rsidR="00172F6E">
        <w:rPr>
          <w:rFonts w:eastAsia="Calibri"/>
          <w:szCs w:val="22"/>
          <w:lang w:eastAsia="de-DE" w:bidi="de-DE"/>
        </w:rPr>
        <w:t>[</w:t>
      </w:r>
      <w:r w:rsidR="00172F6E" w:rsidRPr="00B617CF">
        <w:t>in den Artikeln 90 Absatz 1 Nr. 12</w:t>
      </w:r>
      <w:r w:rsidR="00172F6E">
        <w:rPr>
          <w:rFonts w:eastAsia="Calibri"/>
          <w:szCs w:val="22"/>
          <w:lang w:eastAsia="de-DE" w:bidi="de-DE"/>
        </w:rPr>
        <w:t>]</w:t>
      </w:r>
      <w:r w:rsidRPr="00F531CC">
        <w:rPr>
          <w:rFonts w:eastAsia="Calibri"/>
          <w:szCs w:val="22"/>
          <w:lang w:eastAsia="de-DE" w:bidi="de-DE"/>
        </w:rPr>
        <w:t xml:space="preserve"> und 228 § 2 Nr. 9 Buchstabe </w:t>
      </w:r>
      <w:r w:rsidRPr="00F531CC">
        <w:rPr>
          <w:rFonts w:eastAsia="Calibri"/>
          <w:i/>
          <w:szCs w:val="22"/>
          <w:lang w:eastAsia="de-DE" w:bidi="de-DE"/>
        </w:rPr>
        <w:t>k)</w:t>
      </w:r>
      <w:r w:rsidRPr="00F531CC">
        <w:rPr>
          <w:rFonts w:eastAsia="Calibri"/>
          <w:szCs w:val="22"/>
          <w:lang w:eastAsia="de-DE" w:bidi="de-DE"/>
        </w:rPr>
        <w:t xml:space="preserve"> desselben Gesetzbuches erwähnte persönliche Vergütungen aus der Verwertung einer Erfindung, die Forschern gezahlt oder zuerkannt werden,]</w:t>
      </w:r>
    </w:p>
    <w:p w14:paraId="136B3E42" w14:textId="77777777" w:rsidR="007D52CA" w:rsidRPr="00F531CC" w:rsidRDefault="007D52CA" w:rsidP="007D52CA">
      <w:pPr>
        <w:jc w:val="both"/>
        <w:rPr>
          <w:rFonts w:eastAsia="Calibri"/>
          <w:szCs w:val="22"/>
          <w:lang w:eastAsia="de-DE" w:bidi="de-DE"/>
        </w:rPr>
      </w:pPr>
    </w:p>
    <w:p w14:paraId="1440157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5. nachfolgend erwähnte Einkünfte, wenn sie in Artikel 227 desselben Gesetzbuches erwähnten Gebietsfremden gezahlt oder zuerkannt werden:</w:t>
      </w:r>
    </w:p>
    <w:p w14:paraId="79832AA6" w14:textId="77777777" w:rsidR="007D52CA" w:rsidRPr="00F531CC" w:rsidRDefault="007D52CA" w:rsidP="007D52CA">
      <w:pPr>
        <w:jc w:val="both"/>
        <w:rPr>
          <w:rFonts w:eastAsia="Calibri"/>
          <w:szCs w:val="22"/>
          <w:lang w:eastAsia="de-DE" w:bidi="de-DE"/>
        </w:rPr>
      </w:pPr>
    </w:p>
    <w:p w14:paraId="38080EA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xml:space="preserve"> in </w:t>
      </w:r>
      <w:r w:rsidR="00172F6E">
        <w:rPr>
          <w:rFonts w:eastAsia="Calibri"/>
          <w:szCs w:val="22"/>
          <w:lang w:eastAsia="de-DE" w:bidi="de-DE"/>
        </w:rPr>
        <w:t>[</w:t>
      </w:r>
      <w:r w:rsidR="0089121C" w:rsidRPr="00B617CF">
        <w:t>Artikel 90 Absatz 1 Nr. 1</w:t>
      </w:r>
      <w:r w:rsidR="00172F6E">
        <w:rPr>
          <w:rFonts w:eastAsia="Calibri"/>
          <w:szCs w:val="22"/>
          <w:lang w:eastAsia="de-DE" w:bidi="de-DE"/>
        </w:rPr>
        <w:t>]</w:t>
      </w:r>
      <w:r w:rsidRPr="00F531CC">
        <w:rPr>
          <w:rFonts w:eastAsia="Calibri"/>
          <w:szCs w:val="22"/>
          <w:lang w:eastAsia="de-DE" w:bidi="de-DE"/>
        </w:rPr>
        <w:t xml:space="preserve"> desselben Gesetzbuches erwähnte Gewinne und Profite,</w:t>
      </w:r>
    </w:p>
    <w:p w14:paraId="2826E952" w14:textId="77777777" w:rsidR="007D52CA" w:rsidRPr="00F531CC" w:rsidRDefault="007D52CA" w:rsidP="007D52CA">
      <w:pPr>
        <w:jc w:val="both"/>
        <w:rPr>
          <w:rFonts w:eastAsia="Calibri"/>
          <w:szCs w:val="22"/>
          <w:lang w:eastAsia="de-DE" w:bidi="de-DE"/>
        </w:rPr>
      </w:pPr>
    </w:p>
    <w:p w14:paraId="77D1C1A8" w14:textId="55A9CA41"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xml:space="preserve"> Provisionen, Entgelte, Zulagen, Honorare und andere Vergütungen für Leistungen oder Dienstleistungen jeglicher Art, Urheberrechte, Vervielfältigungsrechte und andere ähnliche Rechte, die in Artikel 86 erwähnte Personen, sei es gelegentlich oder nicht, in Belgien im Rahmen ihrer beruflichen Tätigkeit oder </w:t>
      </w:r>
      <w:r w:rsidR="00BB442C">
        <w:rPr>
          <w:rFonts w:eastAsia="Calibri"/>
          <w:szCs w:val="22"/>
          <w:lang w:eastAsia="de-DE" w:bidi="de-DE"/>
        </w:rPr>
        <w:t>[</w:t>
      </w:r>
      <w:r w:rsidR="002850B4">
        <w:rPr>
          <w:rFonts w:eastAsia="Calibri"/>
          <w:szCs w:val="22"/>
          <w:lang w:eastAsia="de-DE" w:bidi="de-DE"/>
        </w:rPr>
        <w:t xml:space="preserve">ihres </w:t>
      </w:r>
      <w:r w:rsidR="00BB442C">
        <w:rPr>
          <w:rFonts w:eastAsia="Calibri"/>
          <w:szCs w:val="22"/>
          <w:lang w:eastAsia="de-DE" w:bidi="de-DE"/>
        </w:rPr>
        <w:t>Gegenstands]</w:t>
      </w:r>
      <w:r w:rsidRPr="00F531CC">
        <w:rPr>
          <w:rFonts w:eastAsia="Calibri"/>
          <w:szCs w:val="22"/>
          <w:lang w:eastAsia="de-DE" w:bidi="de-DE"/>
        </w:rPr>
        <w:t xml:space="preserve"> jeglichen Personen zahlen oder zuerkennen, für die diese Vergütungen in Artikel 23 § 1 Nr. 2 desselben Gesetzbuches erwähnte Profite darstellen,</w:t>
      </w:r>
    </w:p>
    <w:p w14:paraId="44FF4630" w14:textId="77777777" w:rsidR="007D52CA" w:rsidRPr="00F531CC" w:rsidRDefault="007D52CA" w:rsidP="007D52CA">
      <w:pPr>
        <w:jc w:val="both"/>
        <w:rPr>
          <w:rFonts w:eastAsia="Calibri"/>
          <w:szCs w:val="22"/>
          <w:lang w:eastAsia="de-DE" w:bidi="de-DE"/>
        </w:rPr>
      </w:pPr>
    </w:p>
    <w:p w14:paraId="1034788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xml:space="preserve"> in Artikel 228 § 2 Nr. 3 Buchstabe </w:t>
      </w:r>
      <w:r w:rsidRPr="00F531CC">
        <w:rPr>
          <w:rFonts w:eastAsia="Calibri"/>
          <w:i/>
          <w:szCs w:val="22"/>
          <w:lang w:eastAsia="de-DE" w:bidi="de-DE"/>
        </w:rPr>
        <w:t xml:space="preserve">b) </w:t>
      </w:r>
      <w:r w:rsidRPr="00F531CC">
        <w:rPr>
          <w:rFonts w:eastAsia="Calibri"/>
          <w:szCs w:val="22"/>
          <w:lang w:eastAsia="de-DE" w:bidi="de-DE"/>
        </w:rPr>
        <w:t>desselben Gesetzbuches erwähnte Gewinne,</w:t>
      </w:r>
    </w:p>
    <w:p w14:paraId="4800ABC2" w14:textId="77777777" w:rsidR="007D52CA" w:rsidRPr="00F531CC" w:rsidRDefault="007D52CA" w:rsidP="007D52CA">
      <w:pPr>
        <w:jc w:val="both"/>
        <w:rPr>
          <w:rFonts w:eastAsia="Calibri"/>
          <w:szCs w:val="22"/>
          <w:lang w:eastAsia="de-DE" w:bidi="de-DE"/>
        </w:rPr>
      </w:pPr>
    </w:p>
    <w:p w14:paraId="5CCA0DB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d)</w:t>
      </w:r>
      <w:r w:rsidRPr="00F531CC">
        <w:rPr>
          <w:rFonts w:eastAsia="Calibri"/>
          <w:szCs w:val="22"/>
          <w:lang w:eastAsia="de-DE" w:bidi="de-DE"/>
        </w:rPr>
        <w:t xml:space="preserve"> [in Artikel 228 § 2 Nr. 8 desselben Gesetzbuches erwähnte Einkünfte,]</w:t>
      </w:r>
    </w:p>
    <w:p w14:paraId="4E7CEFF5" w14:textId="77777777" w:rsidR="007D52CA" w:rsidRPr="00F531CC" w:rsidRDefault="007D52CA" w:rsidP="007D52CA">
      <w:pPr>
        <w:jc w:val="both"/>
        <w:rPr>
          <w:rFonts w:eastAsia="Calibri"/>
          <w:szCs w:val="22"/>
          <w:lang w:eastAsia="de-DE" w:bidi="de-DE"/>
        </w:rPr>
      </w:pPr>
    </w:p>
    <w:p w14:paraId="2A0E78F9"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e)</w:t>
      </w:r>
      <w:r w:rsidRPr="00F531CC">
        <w:rPr>
          <w:rFonts w:eastAsia="Calibri"/>
          <w:szCs w:val="22"/>
          <w:lang w:eastAsia="de-DE" w:bidi="de-DE"/>
        </w:rPr>
        <w:t xml:space="preserve"> in Artikel 228 § 2 Nr. 3 Buchstabe </w:t>
      </w:r>
      <w:r w:rsidRPr="00F531CC">
        <w:rPr>
          <w:rFonts w:eastAsia="Calibri"/>
          <w:i/>
          <w:szCs w:val="22"/>
          <w:lang w:eastAsia="de-DE" w:bidi="de-DE"/>
        </w:rPr>
        <w:t xml:space="preserve">d) </w:t>
      </w:r>
      <w:r w:rsidRPr="00F531CC">
        <w:rPr>
          <w:rFonts w:eastAsia="Calibri"/>
          <w:szCs w:val="22"/>
          <w:lang w:eastAsia="de-DE" w:bidi="de-DE"/>
        </w:rPr>
        <w:t>desselben Gesetzbuches erwähnte Gewinne,</w:t>
      </w:r>
    </w:p>
    <w:p w14:paraId="0843C2AD" w14:textId="77777777" w:rsidR="007D52CA" w:rsidRPr="00F531CC" w:rsidRDefault="007D52CA" w:rsidP="007D52CA">
      <w:pPr>
        <w:jc w:val="both"/>
        <w:rPr>
          <w:rFonts w:eastAsia="Calibri"/>
          <w:szCs w:val="22"/>
          <w:lang w:eastAsia="de-DE" w:bidi="de-DE"/>
        </w:rPr>
      </w:pPr>
    </w:p>
    <w:p w14:paraId="2A900EA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[f)</w:t>
      </w:r>
      <w:r w:rsidRPr="00F531CC">
        <w:rPr>
          <w:rFonts w:eastAsia="Calibri"/>
          <w:szCs w:val="22"/>
          <w:lang w:eastAsia="de-DE" w:bidi="de-DE"/>
        </w:rPr>
        <w:t xml:space="preserve"> in Artikel 228 § 3 desselben Gesetzbuches erwähnte Einkünfte,]</w:t>
      </w:r>
    </w:p>
    <w:p w14:paraId="738E47FF" w14:textId="77777777" w:rsidR="007D52CA" w:rsidRPr="00F531CC" w:rsidRDefault="007D52CA" w:rsidP="007D52CA">
      <w:pPr>
        <w:jc w:val="both"/>
        <w:rPr>
          <w:rFonts w:eastAsia="Calibri"/>
          <w:szCs w:val="22"/>
          <w:lang w:eastAsia="de-DE" w:bidi="de-DE"/>
        </w:rPr>
      </w:pPr>
    </w:p>
    <w:p w14:paraId="346CF819"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6. Anwesenheitsgelder, die in Artikel 86 erwähnte Personen jeglichen Personen zahlen oder zuerkennen, für die diese Anwesenheitsgelder in Artikel 23 § 1 Nr. 2 desselben Gesetzbuches erwähnte Profite darstellen,</w:t>
      </w:r>
    </w:p>
    <w:p w14:paraId="5376B7AA" w14:textId="77777777" w:rsidR="007D52CA" w:rsidRPr="00F531CC" w:rsidRDefault="007D52CA" w:rsidP="007D52CA">
      <w:pPr>
        <w:jc w:val="both"/>
        <w:rPr>
          <w:rFonts w:eastAsia="Calibri"/>
          <w:szCs w:val="22"/>
          <w:lang w:eastAsia="de-DE" w:bidi="de-DE"/>
        </w:rPr>
      </w:pPr>
    </w:p>
    <w:p w14:paraId="0C70D3C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p>
    <w:p w14:paraId="5F78EC54" w14:textId="77777777" w:rsidR="007D52CA" w:rsidRPr="00F531CC" w:rsidRDefault="007D52CA" w:rsidP="007D52CA">
      <w:pPr>
        <w:jc w:val="both"/>
        <w:rPr>
          <w:rFonts w:eastAsia="Calibri"/>
          <w:szCs w:val="22"/>
          <w:lang w:eastAsia="de-DE" w:bidi="de-DE"/>
        </w:rPr>
      </w:pPr>
    </w:p>
    <w:p w14:paraId="3D0F4276" w14:textId="3E934DDF"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[7. Gesamtheit der Gewinne und Profite, für die gemäß den Bestimmungen der Artikel 29 § 1 und 364 des Einkommensteuergesetzbuches 1992 davon ausgegangen wird, dass sie gebietsfremden Gesellschaftern oder </w:t>
      </w:r>
      <w:r w:rsidR="00BB442C">
        <w:rPr>
          <w:rFonts w:eastAsia="Calibri"/>
          <w:szCs w:val="22"/>
          <w:lang w:eastAsia="de-DE" w:bidi="de-DE"/>
        </w:rPr>
        <w:t>[</w:t>
      </w:r>
      <w:r w:rsidR="00BB442C" w:rsidRPr="00402AAD">
        <w:t>Mitgliedern von Gesellschaften oder Vereinigungen ohne Rechtspersönlichkeit</w:t>
      </w:r>
      <w:r w:rsidR="00BB442C">
        <w:rPr>
          <w:rFonts w:eastAsia="Calibri"/>
          <w:szCs w:val="22"/>
          <w:lang w:eastAsia="de-DE" w:bidi="de-DE"/>
        </w:rPr>
        <w:t>]</w:t>
      </w:r>
      <w:r w:rsidRPr="00F531CC">
        <w:rPr>
          <w:rFonts w:eastAsia="Calibri"/>
          <w:szCs w:val="22"/>
          <w:lang w:eastAsia="de-DE" w:bidi="de-DE"/>
        </w:rPr>
        <w:t>, die in Artikel 229 § 3 desselben Gesetzbuches erwähnt sind, zuerkannt worden sind,]</w:t>
      </w:r>
    </w:p>
    <w:p w14:paraId="0D756A95" w14:textId="77777777" w:rsidR="007D52CA" w:rsidRPr="00F531CC" w:rsidRDefault="007D52CA" w:rsidP="007D52CA">
      <w:pPr>
        <w:jc w:val="both"/>
        <w:rPr>
          <w:rFonts w:eastAsia="Calibri"/>
          <w:szCs w:val="22"/>
          <w:lang w:eastAsia="de-DE" w:bidi="de-DE"/>
        </w:rPr>
      </w:pPr>
    </w:p>
    <w:p w14:paraId="6C86951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[8. Mehrwerte, die in Artikel 227 Nr. 1 oder 2 desselben Gesetzbuches erwähnte Gebietsfremde bei der entgeltlichen Abtretung in Belgien gelegener unbeweglicher Güter oder dinglicher Rechte an diesen Gütern verwirklichen, sofern diese Mehrwerte in den in Artikel 228 § 2 Nr. 3 Buchstabe </w:t>
      </w:r>
      <w:r w:rsidRPr="00F531CC">
        <w:rPr>
          <w:rFonts w:eastAsia="Calibri"/>
          <w:i/>
          <w:szCs w:val="22"/>
          <w:lang w:eastAsia="de-DE" w:bidi="de-DE"/>
        </w:rPr>
        <w:t>a)</w:t>
      </w:r>
      <w:r w:rsidRPr="00F531CC">
        <w:rPr>
          <w:rFonts w:eastAsia="Calibri"/>
          <w:szCs w:val="22"/>
          <w:lang w:eastAsia="de-DE" w:bidi="de-DE"/>
        </w:rPr>
        <w:t xml:space="preserve"> und 4 desselben Gesetzbuches erwähnten Gewinnen beziehungsweise Profiten enthalten sind,]</w:t>
      </w:r>
    </w:p>
    <w:p w14:paraId="02119D33" w14:textId="77777777" w:rsidR="007D52CA" w:rsidRPr="00F531CC" w:rsidRDefault="007D52CA" w:rsidP="007D52CA">
      <w:pPr>
        <w:jc w:val="both"/>
        <w:rPr>
          <w:rFonts w:eastAsia="Calibri"/>
          <w:szCs w:val="22"/>
          <w:lang w:eastAsia="de-DE" w:bidi="de-DE"/>
        </w:rPr>
      </w:pPr>
    </w:p>
    <w:p w14:paraId="78C84FE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[9. vollständige Entschädigungen oder Teilentschädigungen für einen zeitweiligen Gewinn- oder Profitausfall, selbst wenn sie aus einer vorherigen beruflichen Tätigkeit stammen.]</w:t>
      </w:r>
    </w:p>
    <w:p w14:paraId="37AED286" w14:textId="77777777" w:rsidR="007D52CA" w:rsidRPr="00F531CC" w:rsidRDefault="007D52CA" w:rsidP="007D52CA">
      <w:pPr>
        <w:jc w:val="both"/>
        <w:rPr>
          <w:rFonts w:eastAsia="Calibri"/>
          <w:szCs w:val="22"/>
          <w:lang w:eastAsia="de-DE" w:bidi="de-DE"/>
        </w:rPr>
      </w:pPr>
    </w:p>
    <w:p w14:paraId="48CF3BAA" w14:textId="50B4BC4F" w:rsidR="007D52CA" w:rsidRPr="00F531CC" w:rsidRDefault="007D52CA" w:rsidP="007D52CA">
      <w:pPr>
        <w:jc w:val="both"/>
        <w:rPr>
          <w:rFonts w:eastAsia="Calibri"/>
          <w:szCs w:val="22"/>
          <w:lang w:eastAsia="de-DE" w:bidi="de-DE"/>
        </w:rPr>
      </w:pPr>
      <w:r w:rsidRPr="00F531CC">
        <w:rPr>
          <w:rFonts w:eastAsia="Calibri"/>
          <w:i/>
          <w:szCs w:val="22"/>
          <w:lang w:eastAsia="de-DE" w:bidi="de-DE"/>
        </w:rPr>
        <w:t xml:space="preserve">[Art. 87 einziger Absatz Nr. 1 ersetzt durch Art. 1 des K.E. vom 24. Juni 1999 (B.S. vom 14. August 1999); </w:t>
      </w:r>
      <w:r w:rsidR="009C06D0">
        <w:rPr>
          <w:rFonts w:eastAsia="Calibri"/>
          <w:i/>
          <w:szCs w:val="22"/>
          <w:lang w:eastAsia="de-DE" w:bidi="de-DE"/>
        </w:rPr>
        <w:t>einziger Absatz Nr. 2bis eingefügt durch Art. 3 des K.E. vom 12. Januar 2017</w:t>
      </w:r>
      <w:r w:rsidR="00B86FD1">
        <w:rPr>
          <w:rFonts w:eastAsia="Calibri"/>
          <w:i/>
          <w:szCs w:val="22"/>
          <w:lang w:eastAsia="de-DE" w:bidi="de-DE"/>
        </w:rPr>
        <w:t> (I)</w:t>
      </w:r>
      <w:r w:rsidR="009C06D0">
        <w:rPr>
          <w:rFonts w:eastAsia="Calibri"/>
          <w:i/>
          <w:szCs w:val="22"/>
          <w:lang w:eastAsia="de-DE" w:bidi="de-DE"/>
        </w:rPr>
        <w:t xml:space="preserve"> (B.S. vom 24. Januar 2017)</w:t>
      </w:r>
      <w:r w:rsidR="0089121C">
        <w:rPr>
          <w:rFonts w:eastAsia="Calibri"/>
          <w:i/>
          <w:szCs w:val="22"/>
          <w:lang w:eastAsia="de-DE" w:bidi="de-DE"/>
        </w:rPr>
        <w:t xml:space="preserve"> und Art. 14 Nr. 1 des K.E. vom </w:t>
      </w:r>
      <w:r w:rsidR="005024BD">
        <w:rPr>
          <w:rFonts w:eastAsia="Calibri"/>
          <w:i/>
          <w:szCs w:val="22"/>
          <w:lang w:eastAsia="de-DE" w:bidi="de-DE"/>
        </w:rPr>
        <w:t>22. Mai 2017 (II)</w:t>
      </w:r>
      <w:r w:rsidR="0089121C">
        <w:rPr>
          <w:rFonts w:eastAsia="Calibri"/>
          <w:i/>
          <w:szCs w:val="22"/>
          <w:lang w:eastAsia="de-DE" w:bidi="de-DE"/>
        </w:rPr>
        <w:t xml:space="preserve"> (B.S. vom 6. Juni 2017)</w:t>
      </w:r>
      <w:r w:rsidR="00285271">
        <w:rPr>
          <w:rFonts w:eastAsia="Calibri"/>
          <w:i/>
          <w:szCs w:val="22"/>
          <w:lang w:eastAsia="de-DE" w:bidi="de-DE"/>
        </w:rPr>
        <w:t>,</w:t>
      </w:r>
      <w:r w:rsidR="00DD3207">
        <w:rPr>
          <w:rFonts w:eastAsia="Calibri"/>
          <w:i/>
          <w:szCs w:val="22"/>
          <w:lang w:eastAsia="de-DE" w:bidi="de-DE"/>
        </w:rPr>
        <w:t xml:space="preserve"> aufgehoben durch Art. 5 des K.E. vom 3. Juli 2019 (B.S. vom 12. Juli 2019)</w:t>
      </w:r>
      <w:r w:rsidR="00285271">
        <w:rPr>
          <w:rFonts w:eastAsia="Calibri"/>
          <w:i/>
          <w:szCs w:val="22"/>
          <w:lang w:eastAsia="de-DE" w:bidi="de-DE"/>
        </w:rPr>
        <w:t xml:space="preserve"> und wieder aufgenommen durch Art. 2</w:t>
      </w:r>
      <w:r w:rsidR="00285271" w:rsidRPr="00285271">
        <w:rPr>
          <w:rFonts w:eastAsia="Calibri"/>
          <w:i/>
          <w:szCs w:val="22"/>
          <w:lang w:eastAsia="de-DE" w:bidi="de-DE"/>
        </w:rPr>
        <w:t xml:space="preserve"> des K.E. vom 26. Januar 2021 (B.S. vom 29. Januar 2021)</w:t>
      </w:r>
      <w:r w:rsidR="009C06D0">
        <w:rPr>
          <w:rFonts w:eastAsia="Calibri"/>
          <w:i/>
          <w:szCs w:val="22"/>
          <w:lang w:eastAsia="de-DE" w:bidi="de-DE"/>
        </w:rPr>
        <w:t>;</w:t>
      </w:r>
      <w:r w:rsidR="0089121C">
        <w:rPr>
          <w:rFonts w:eastAsia="Calibri"/>
          <w:i/>
          <w:szCs w:val="22"/>
          <w:lang w:eastAsia="de-DE" w:bidi="de-DE"/>
        </w:rPr>
        <w:t xml:space="preserve"> </w:t>
      </w:r>
      <w:r w:rsidR="004F6726">
        <w:rPr>
          <w:rFonts w:eastAsia="Calibri"/>
          <w:i/>
          <w:szCs w:val="22"/>
          <w:lang w:eastAsia="de-DE" w:bidi="de-DE"/>
        </w:rPr>
        <w:t xml:space="preserve">einziger Absatz Nr. 3 abgeändert durch Art. 14 Nr. 1 des K.E. vom </w:t>
      </w:r>
      <w:r w:rsidR="004F6726">
        <w:rPr>
          <w:rFonts w:eastAsia="Calibri"/>
          <w:i/>
          <w:szCs w:val="22"/>
          <w:lang w:eastAsia="de-DE" w:bidi="de-DE"/>
        </w:rPr>
        <w:lastRenderedPageBreak/>
        <w:t xml:space="preserve">22. Mai 2017 (II) (B.S. vom 6. Juni 2017); </w:t>
      </w:r>
      <w:r w:rsidR="0006348C">
        <w:rPr>
          <w:rFonts w:eastAsia="Calibri"/>
          <w:i/>
          <w:szCs w:val="22"/>
          <w:lang w:eastAsia="de-DE" w:bidi="de-DE"/>
        </w:rPr>
        <w:t xml:space="preserve">einziger Absatz Nr. 3bis eingefügt durch Art. 1 des K.E. vom 13. November 2022 (B.S. vom 25. November 2022); </w:t>
      </w:r>
      <w:r w:rsidR="0089121C">
        <w:rPr>
          <w:rFonts w:eastAsia="Calibri"/>
          <w:i/>
          <w:szCs w:val="22"/>
          <w:lang w:eastAsia="de-DE" w:bidi="de-DE"/>
        </w:rPr>
        <w:t xml:space="preserve">einziger Absatz Nr. 4 abgeändert durch Art. 14 Nr. 2 des K.E. vom </w:t>
      </w:r>
      <w:r w:rsidR="005024BD">
        <w:rPr>
          <w:rFonts w:eastAsia="Calibri"/>
          <w:i/>
          <w:szCs w:val="22"/>
          <w:lang w:eastAsia="de-DE" w:bidi="de-DE"/>
        </w:rPr>
        <w:t>22. Mai 2017 (II)</w:t>
      </w:r>
      <w:r w:rsidR="0089121C">
        <w:rPr>
          <w:rFonts w:eastAsia="Calibri"/>
          <w:i/>
          <w:szCs w:val="22"/>
          <w:lang w:eastAsia="de-DE" w:bidi="de-DE"/>
        </w:rPr>
        <w:t xml:space="preserve"> (B.S. vom 6. Juni 2017);</w:t>
      </w:r>
      <w:r w:rsidR="009C06D0">
        <w:rPr>
          <w:rFonts w:eastAsia="Calibri"/>
          <w:i/>
          <w:szCs w:val="22"/>
          <w:lang w:eastAsia="de-DE" w:bidi="de-DE"/>
        </w:rPr>
        <w:t xml:space="preserve"> </w:t>
      </w:r>
      <w:r w:rsidRPr="00F531CC">
        <w:rPr>
          <w:rFonts w:eastAsia="Calibri"/>
          <w:i/>
          <w:szCs w:val="22"/>
          <w:lang w:eastAsia="de-DE" w:bidi="de-DE"/>
        </w:rPr>
        <w:t>einziger Absatz Nr. 4bis eingefügt durch Art. 1 des K.E. vom 14. April 2009 (B.S. vom 20. April 2009)</w:t>
      </w:r>
      <w:r w:rsidR="0089121C">
        <w:rPr>
          <w:rFonts w:eastAsia="Calibri"/>
          <w:i/>
          <w:szCs w:val="22"/>
          <w:lang w:eastAsia="de-DE" w:bidi="de-DE"/>
        </w:rPr>
        <w:t xml:space="preserve"> und abgeändert durch Art. 14 Nr. 3 des K.E. vom </w:t>
      </w:r>
      <w:r w:rsidR="005024BD">
        <w:rPr>
          <w:rFonts w:eastAsia="Calibri"/>
          <w:i/>
          <w:szCs w:val="22"/>
          <w:lang w:eastAsia="de-DE" w:bidi="de-DE"/>
        </w:rPr>
        <w:t>22. Mai 2017 (II)</w:t>
      </w:r>
      <w:r w:rsidR="0089121C">
        <w:rPr>
          <w:rFonts w:eastAsia="Calibri"/>
          <w:i/>
          <w:szCs w:val="22"/>
          <w:lang w:eastAsia="de-DE" w:bidi="de-DE"/>
        </w:rPr>
        <w:t xml:space="preserve"> (B.S. vom 6. Juni 2017)</w:t>
      </w:r>
      <w:r w:rsidRPr="00F531CC">
        <w:rPr>
          <w:rFonts w:eastAsia="Calibri"/>
          <w:i/>
          <w:szCs w:val="22"/>
          <w:lang w:eastAsia="de-DE" w:bidi="de-DE"/>
        </w:rPr>
        <w:t>;</w:t>
      </w:r>
      <w:r w:rsidR="0089121C">
        <w:rPr>
          <w:rFonts w:eastAsia="Calibri"/>
          <w:i/>
          <w:szCs w:val="22"/>
          <w:lang w:eastAsia="de-DE" w:bidi="de-DE"/>
        </w:rPr>
        <w:t xml:space="preserve"> </w:t>
      </w:r>
      <w:r w:rsidR="0089121C" w:rsidRPr="00F531CC">
        <w:rPr>
          <w:rFonts w:eastAsia="Calibri"/>
          <w:i/>
          <w:szCs w:val="22"/>
          <w:lang w:eastAsia="de-DE" w:bidi="de-DE"/>
        </w:rPr>
        <w:t>einziger Absatz Nr. 5 einziger Absatz Buchstabe </w:t>
      </w:r>
      <w:r w:rsidR="0089121C">
        <w:rPr>
          <w:rFonts w:eastAsia="Calibri"/>
          <w:i/>
          <w:szCs w:val="22"/>
          <w:lang w:eastAsia="de-DE" w:bidi="de-DE"/>
        </w:rPr>
        <w:t>a</w:t>
      </w:r>
      <w:r w:rsidR="0089121C" w:rsidRPr="00F531CC">
        <w:rPr>
          <w:rFonts w:eastAsia="Calibri"/>
          <w:i/>
          <w:szCs w:val="22"/>
          <w:lang w:eastAsia="de-DE" w:bidi="de-DE"/>
        </w:rPr>
        <w:t>)</w:t>
      </w:r>
      <w:r w:rsidR="0089121C">
        <w:rPr>
          <w:rFonts w:eastAsia="Calibri"/>
          <w:i/>
          <w:szCs w:val="22"/>
          <w:lang w:eastAsia="de-DE" w:bidi="de-DE"/>
        </w:rPr>
        <w:t xml:space="preserve"> abgeändert durch Art. 14 Nr. 4 des K.E. vom </w:t>
      </w:r>
      <w:r w:rsidR="005024BD">
        <w:rPr>
          <w:rFonts w:eastAsia="Calibri"/>
          <w:i/>
          <w:szCs w:val="22"/>
          <w:lang w:eastAsia="de-DE" w:bidi="de-DE"/>
        </w:rPr>
        <w:t>22. Mai 2017 (II)</w:t>
      </w:r>
      <w:r w:rsidR="0089121C">
        <w:rPr>
          <w:rFonts w:eastAsia="Calibri"/>
          <w:i/>
          <w:szCs w:val="22"/>
          <w:lang w:eastAsia="de-DE" w:bidi="de-DE"/>
        </w:rPr>
        <w:t xml:space="preserve"> (B.S. vom 6. Juni 2017)</w:t>
      </w:r>
      <w:r w:rsidR="0089121C" w:rsidRPr="00F531CC">
        <w:rPr>
          <w:rFonts w:eastAsia="Calibri"/>
          <w:i/>
          <w:szCs w:val="22"/>
          <w:lang w:eastAsia="de-DE" w:bidi="de-DE"/>
        </w:rPr>
        <w:t>;</w:t>
      </w:r>
      <w:r w:rsidRPr="00F531CC">
        <w:rPr>
          <w:rFonts w:eastAsia="Calibri"/>
          <w:i/>
          <w:szCs w:val="22"/>
          <w:lang w:eastAsia="de-DE" w:bidi="de-DE"/>
        </w:rPr>
        <w:t xml:space="preserve"> </w:t>
      </w:r>
      <w:r w:rsidR="00BB442C" w:rsidRPr="00F531CC">
        <w:rPr>
          <w:rFonts w:eastAsia="Calibri"/>
          <w:i/>
          <w:szCs w:val="22"/>
          <w:lang w:eastAsia="de-DE" w:bidi="de-DE"/>
        </w:rPr>
        <w:t>einziger Absatz Nr. 5 einziger Absatz Buchstabe </w:t>
      </w:r>
      <w:r w:rsidR="00BB442C">
        <w:rPr>
          <w:rFonts w:eastAsia="Calibri"/>
          <w:i/>
          <w:szCs w:val="22"/>
          <w:lang w:eastAsia="de-DE" w:bidi="de-DE"/>
        </w:rPr>
        <w:t>b</w:t>
      </w:r>
      <w:r w:rsidR="00BB442C" w:rsidRPr="00F531CC">
        <w:rPr>
          <w:rFonts w:eastAsia="Calibri"/>
          <w:i/>
          <w:szCs w:val="22"/>
          <w:lang w:eastAsia="de-DE" w:bidi="de-DE"/>
        </w:rPr>
        <w:t>)</w:t>
      </w:r>
      <w:r w:rsidR="00BB442C">
        <w:rPr>
          <w:rFonts w:eastAsia="Calibri"/>
          <w:i/>
          <w:szCs w:val="22"/>
          <w:lang w:eastAsia="de-DE" w:bidi="de-DE"/>
        </w:rPr>
        <w:t xml:space="preserve"> abgeändert durch Art. 13 Nr. 1 des K.E. vom 29. August </w:t>
      </w:r>
      <w:r w:rsidR="00BB442C" w:rsidRPr="00BB442C">
        <w:rPr>
          <w:rFonts w:eastAsia="Calibri"/>
          <w:i/>
          <w:szCs w:val="22"/>
          <w:lang w:eastAsia="de-DE" w:bidi="de-DE"/>
        </w:rPr>
        <w:t>2</w:t>
      </w:r>
      <w:r w:rsidR="00BB442C">
        <w:rPr>
          <w:rFonts w:eastAsia="Calibri"/>
          <w:i/>
          <w:szCs w:val="22"/>
          <w:lang w:eastAsia="de-DE" w:bidi="de-DE"/>
        </w:rPr>
        <w:t>019</w:t>
      </w:r>
      <w:r w:rsidR="00865C4C">
        <w:rPr>
          <w:rFonts w:eastAsia="Calibri"/>
          <w:i/>
          <w:szCs w:val="22"/>
          <w:lang w:eastAsia="de-DE" w:bidi="de-DE"/>
        </w:rPr>
        <w:t> (I)</w:t>
      </w:r>
      <w:r w:rsidR="00BB442C">
        <w:rPr>
          <w:rFonts w:eastAsia="Calibri"/>
          <w:i/>
          <w:szCs w:val="22"/>
          <w:lang w:eastAsia="de-DE" w:bidi="de-DE"/>
        </w:rPr>
        <w:t xml:space="preserve"> (B.S. vom 13. September </w:t>
      </w:r>
      <w:r w:rsidR="00BB442C" w:rsidRPr="00BB442C">
        <w:rPr>
          <w:rFonts w:eastAsia="Calibri"/>
          <w:i/>
          <w:szCs w:val="22"/>
          <w:lang w:eastAsia="de-DE" w:bidi="de-DE"/>
        </w:rPr>
        <w:t>2019)</w:t>
      </w:r>
      <w:r w:rsidR="00BB442C">
        <w:rPr>
          <w:rFonts w:eastAsia="Calibri"/>
          <w:i/>
          <w:szCs w:val="22"/>
          <w:lang w:eastAsia="de-DE" w:bidi="de-DE"/>
        </w:rPr>
        <w:t xml:space="preserve">; </w:t>
      </w:r>
      <w:r w:rsidRPr="00F531CC">
        <w:rPr>
          <w:rFonts w:eastAsia="Calibri"/>
          <w:i/>
          <w:szCs w:val="22"/>
          <w:lang w:eastAsia="de-DE" w:bidi="de-DE"/>
        </w:rPr>
        <w:t>einziger Absatz Nr. 5 einziger Absatz Buchstabe d) ersetzt durch Art. 4 Nr. 1 des K.E. vom 27. August 1993 (B.S. vom 13. September 1993); einziger Absatz Nr. 5 einziger Absatz Buchstabe f) eingefügt durch Art. 1 des K.E. vom 4. März 2013 (B.S. vom 8. März 2013); einziger Absatz frühere Nummer 6bis eingefügt durch Art. 1 des K.E. vom 15. Dezember 2003 (B.S. vom 23. Dezember 2003), selbst widerrufen durch Art. 1 des K.E. vom 23. Januar 2004 (B.S. vom 4. Februar 2004); einziger Absatz Nr. 7 eingefügt durch Art. 5 des K.E. vom 22. Oktober 1993 (B.S. vom 29. Oktober 1993)</w:t>
      </w:r>
      <w:r w:rsidR="00BB442C">
        <w:rPr>
          <w:rFonts w:eastAsia="Calibri"/>
          <w:i/>
          <w:szCs w:val="22"/>
          <w:lang w:eastAsia="de-DE" w:bidi="de-DE"/>
        </w:rPr>
        <w:t xml:space="preserve"> und abgeändert durch Art. 13 Nr. 2 des K.E. vom 29. August 2019</w:t>
      </w:r>
      <w:r w:rsidR="00865C4C">
        <w:rPr>
          <w:rFonts w:eastAsia="Calibri"/>
          <w:i/>
          <w:szCs w:val="22"/>
          <w:lang w:eastAsia="de-DE" w:bidi="de-DE"/>
        </w:rPr>
        <w:t> (I)</w:t>
      </w:r>
      <w:r w:rsidR="00BB442C">
        <w:rPr>
          <w:rFonts w:eastAsia="Calibri"/>
          <w:i/>
          <w:szCs w:val="22"/>
          <w:lang w:eastAsia="de-DE" w:bidi="de-DE"/>
        </w:rPr>
        <w:t xml:space="preserve"> (B.S. vom 13. September 2019)</w:t>
      </w:r>
      <w:r w:rsidRPr="00F531CC">
        <w:rPr>
          <w:rFonts w:eastAsia="Calibri"/>
          <w:i/>
          <w:szCs w:val="22"/>
          <w:lang w:eastAsia="de-DE" w:bidi="de-DE"/>
        </w:rPr>
        <w:t>; einziger Absatz Nr. 8 eingefügt durch Art. 1 des K.E. vom 10. Januar 1997 (B.S. vom 11. Februar 1997); einziger Absatz Nr. 9 eingefügt durch Art. 7 des K.E. vom 20. Mai 1997 (B.S. vom 10. Juni 1997)]</w:t>
      </w:r>
    </w:p>
    <w:p w14:paraId="5130D28E" w14:textId="77777777" w:rsidR="007D52CA" w:rsidRDefault="007D52CA" w:rsidP="007D52CA">
      <w:pPr>
        <w:jc w:val="both"/>
        <w:rPr>
          <w:rFonts w:eastAsia="Calibri"/>
          <w:szCs w:val="22"/>
          <w:lang w:eastAsia="de-DE" w:bidi="de-DE"/>
        </w:rPr>
      </w:pPr>
    </w:p>
    <w:p w14:paraId="590A7DB5" w14:textId="77777777" w:rsidR="007D52CA" w:rsidRPr="00F531CC" w:rsidRDefault="007D52CA" w:rsidP="007D52CA">
      <w:pPr>
        <w:jc w:val="both"/>
        <w:rPr>
          <w:rFonts w:eastAsia="Calibri"/>
          <w:szCs w:val="22"/>
          <w:lang w:eastAsia="de-DE" w:bidi="de-DE"/>
        </w:rPr>
      </w:pPr>
    </w:p>
    <w:p w14:paraId="028566B8" w14:textId="76754F57" w:rsidR="007D52CA"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88</w:t>
      </w:r>
      <w:r w:rsidRPr="00F531CC">
        <w:rPr>
          <w:rFonts w:eastAsia="Calibri"/>
          <w:szCs w:val="22"/>
          <w:lang w:eastAsia="de-DE" w:bidi="de-DE"/>
        </w:rPr>
        <w:t xml:space="preserve"> - Der Betrag des an der Quelle geschuldeten Berufssteuervorabzugs wird </w:t>
      </w:r>
      <w:r w:rsidR="00B51E3E">
        <w:rPr>
          <w:rFonts w:eastAsia="Calibri"/>
          <w:szCs w:val="22"/>
          <w:lang w:eastAsia="de-DE" w:bidi="de-DE"/>
        </w:rPr>
        <w:t>[</w:t>
      </w:r>
      <w:r w:rsidR="00B51E3E" w:rsidRPr="00862C9B">
        <w:t>gemäß den entsprechenden Anwendungsregeln und dem entsprechenden Berechnungsmodus</w:t>
      </w:r>
      <w:r w:rsidR="00B51E3E">
        <w:rPr>
          <w:rFonts w:eastAsia="Calibri"/>
          <w:szCs w:val="22"/>
          <w:lang w:eastAsia="de-DE" w:bidi="de-DE"/>
        </w:rPr>
        <w:t>]</w:t>
      </w:r>
      <w:r w:rsidRPr="00F531CC">
        <w:rPr>
          <w:rFonts w:eastAsia="Calibri"/>
          <w:szCs w:val="22"/>
          <w:lang w:eastAsia="de-DE" w:bidi="de-DE"/>
        </w:rPr>
        <w:t xml:space="preserve">, die in </w:t>
      </w:r>
      <w:r w:rsidR="00D92DD9">
        <w:t>Anlage 3</w:t>
      </w:r>
      <w:r w:rsidR="00B86FD1">
        <w:t xml:space="preserve"> </w:t>
      </w:r>
      <w:r w:rsidRPr="00F531CC">
        <w:rPr>
          <w:rFonts w:eastAsia="Calibri"/>
          <w:szCs w:val="22"/>
          <w:lang w:eastAsia="de-DE" w:bidi="de-DE"/>
        </w:rPr>
        <w:t>vermerkt sind, festgelegt.</w:t>
      </w:r>
    </w:p>
    <w:p w14:paraId="5A619D30" w14:textId="77777777" w:rsidR="00B51E3E" w:rsidRDefault="00B51E3E" w:rsidP="007D52CA">
      <w:pPr>
        <w:jc w:val="both"/>
        <w:rPr>
          <w:rFonts w:eastAsia="Calibri"/>
          <w:szCs w:val="22"/>
          <w:lang w:eastAsia="de-DE" w:bidi="de-DE"/>
        </w:rPr>
      </w:pPr>
    </w:p>
    <w:p w14:paraId="1909D160" w14:textId="08E4DF39" w:rsidR="00B51E3E" w:rsidRPr="00B51E3E" w:rsidRDefault="00B51E3E" w:rsidP="007D52CA">
      <w:pPr>
        <w:jc w:val="both"/>
        <w:rPr>
          <w:rFonts w:eastAsia="Calibri"/>
          <w:i/>
          <w:iCs/>
          <w:szCs w:val="22"/>
          <w:lang w:eastAsia="de-DE" w:bidi="de-DE"/>
        </w:rPr>
      </w:pPr>
      <w:r>
        <w:rPr>
          <w:rFonts w:eastAsia="Calibri"/>
          <w:i/>
          <w:iCs/>
          <w:szCs w:val="22"/>
          <w:lang w:eastAsia="de-DE" w:bidi="de-DE"/>
        </w:rPr>
        <w:t>[Art. 88 abgeändert durch Art. 1</w:t>
      </w:r>
      <w:r>
        <w:rPr>
          <w:rFonts w:eastAsia="Calibri"/>
          <w:i/>
          <w:szCs w:val="22"/>
          <w:lang w:eastAsia="de-DE" w:bidi="de-DE"/>
        </w:rPr>
        <w:t xml:space="preserve"> </w:t>
      </w:r>
      <w:r w:rsidRPr="00B51E3E">
        <w:rPr>
          <w:rFonts w:eastAsia="Calibri"/>
          <w:i/>
          <w:iCs/>
          <w:szCs w:val="22"/>
          <w:lang w:eastAsia="de-DE" w:bidi="de-DE"/>
        </w:rPr>
        <w:t>des K.E. vom 19. Dezember 2022 (B.S. vom 22. Dezember 2022)</w:t>
      </w:r>
      <w:r>
        <w:rPr>
          <w:rFonts w:eastAsia="Calibri"/>
          <w:i/>
          <w:iCs/>
          <w:szCs w:val="22"/>
          <w:lang w:eastAsia="de-DE" w:bidi="de-DE"/>
        </w:rPr>
        <w:t>]</w:t>
      </w:r>
    </w:p>
    <w:p w14:paraId="52C24BC7" w14:textId="77777777" w:rsidR="007D52CA" w:rsidRPr="00F531CC" w:rsidRDefault="007D52CA" w:rsidP="007D52CA">
      <w:pPr>
        <w:jc w:val="both"/>
        <w:rPr>
          <w:rFonts w:eastAsia="Calibri"/>
          <w:szCs w:val="22"/>
          <w:lang w:eastAsia="de-DE" w:bidi="de-DE"/>
        </w:rPr>
      </w:pPr>
    </w:p>
    <w:p w14:paraId="02E1EE36" w14:textId="77777777" w:rsidR="007D52CA" w:rsidRPr="00F531CC" w:rsidRDefault="007D52CA" w:rsidP="007D52CA">
      <w:pPr>
        <w:jc w:val="both"/>
        <w:rPr>
          <w:rFonts w:eastAsia="Calibri"/>
          <w:szCs w:val="22"/>
          <w:lang w:eastAsia="de-DE" w:bidi="de-DE"/>
        </w:rPr>
      </w:pPr>
    </w:p>
    <w:p w14:paraId="307C3AB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89</w:t>
      </w:r>
      <w:r w:rsidRPr="00F531CC">
        <w:rPr>
          <w:rFonts w:eastAsia="Calibri"/>
          <w:szCs w:val="22"/>
          <w:lang w:eastAsia="de-DE" w:bidi="de-DE"/>
        </w:rPr>
        <w:t> - Für bestimmte Kategorien von Steuerpflichtigen, die außergewöhnliche Werbungskosten auslegen müssen, kann der Minister der Finanzen oder sein Beauftragter den Teil des Bruttoeinkommens festlegen, der für die Berechnung des Berufssteuervorabzugs zu berücksichtigen ist.</w:t>
      </w:r>
    </w:p>
    <w:p w14:paraId="28E5B263" w14:textId="77777777" w:rsidR="007D52CA" w:rsidRPr="00F531CC" w:rsidRDefault="007D52CA" w:rsidP="007D52CA">
      <w:pPr>
        <w:jc w:val="both"/>
        <w:rPr>
          <w:rFonts w:eastAsia="Calibri"/>
          <w:szCs w:val="22"/>
          <w:lang w:eastAsia="de-DE" w:bidi="de-DE"/>
        </w:rPr>
      </w:pPr>
    </w:p>
    <w:p w14:paraId="0EF94F04" w14:textId="77777777" w:rsidR="007D52CA" w:rsidRPr="00F531CC" w:rsidRDefault="007D52CA" w:rsidP="007D52CA">
      <w:pPr>
        <w:jc w:val="both"/>
        <w:rPr>
          <w:rFonts w:eastAsia="Calibri"/>
          <w:szCs w:val="22"/>
          <w:lang w:eastAsia="de-DE" w:bidi="de-DE"/>
        </w:rPr>
      </w:pPr>
    </w:p>
    <w:p w14:paraId="0D591822" w14:textId="45222432"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90</w:t>
      </w:r>
      <w:r w:rsidRPr="00F531CC">
        <w:rPr>
          <w:rFonts w:eastAsia="Calibri"/>
          <w:szCs w:val="22"/>
          <w:lang w:eastAsia="de-DE" w:bidi="de-DE"/>
        </w:rPr>
        <w:t xml:space="preserve"> - § 1 - [Schuldner des Berufssteuervorabzugs, die in Artikel 87 Nr. 1 bis 7 erwähnte steuerpflichtige Einkünfte gezahlt oder zuerkannt haben, müssen in der in Artikel 412 des Einkommensteuergesetzbuches 1992 erwähnten Frist </w:t>
      </w:r>
      <w:r w:rsidR="00391FFF">
        <w:rPr>
          <w:rFonts w:eastAsia="Calibri"/>
          <w:szCs w:val="22"/>
          <w:lang w:eastAsia="de-DE" w:bidi="de-DE"/>
        </w:rPr>
        <w:t>[</w:t>
      </w:r>
      <w:r w:rsidR="004B435A" w:rsidRPr="00F10B28">
        <w:t>bei dem vom Minister der Finanzen oder von seinem Beauftragten bestimmten Amt eine elektronische Erklärung zum Berufssteuer</w:t>
      </w:r>
      <w:r w:rsidR="004B435A" w:rsidRPr="00F10B28">
        <w:softHyphen/>
        <w:t>vorabzug einreichen und den geschuldeten Berufssteuervorabzug</w:t>
      </w:r>
      <w:r w:rsidR="004B435A">
        <w:rPr>
          <w:rFonts w:eastAsia="Calibri"/>
          <w:szCs w:val="22"/>
          <w:lang w:eastAsia="de-DE" w:bidi="de-DE"/>
        </w:rPr>
        <w:t>]</w:t>
      </w:r>
      <w:r w:rsidRPr="00F531CC">
        <w:rPr>
          <w:rFonts w:eastAsia="Calibri"/>
          <w:szCs w:val="22"/>
          <w:lang w:eastAsia="de-DE" w:bidi="de-DE"/>
        </w:rPr>
        <w:t xml:space="preserve"> gemäß </w:t>
      </w:r>
      <w:r w:rsidR="00C17845">
        <w:rPr>
          <w:rFonts w:eastAsia="Calibri"/>
          <w:szCs w:val="22"/>
          <w:lang w:eastAsia="de-DE" w:bidi="de-DE"/>
        </w:rPr>
        <w:t>[</w:t>
      </w:r>
      <w:r w:rsidR="00C17845">
        <w:t>den Regeln des Gesetzbuches über die gütliche Beitreibung und die Zwangsbeitreibung von Steuerforderungen und nichtsteuerlichen Forderungen und seines Ausführungserlasses</w:t>
      </w:r>
      <w:r w:rsidR="00C17845">
        <w:rPr>
          <w:rFonts w:eastAsia="Calibri"/>
          <w:szCs w:val="22"/>
          <w:lang w:eastAsia="de-DE" w:bidi="de-DE"/>
        </w:rPr>
        <w:t>]</w:t>
      </w:r>
      <w:r w:rsidRPr="00F531CC">
        <w:rPr>
          <w:rFonts w:eastAsia="Calibri"/>
          <w:szCs w:val="22"/>
          <w:lang w:eastAsia="de-DE" w:bidi="de-DE"/>
        </w:rPr>
        <w:t xml:space="preserve"> entrichten.</w:t>
      </w:r>
    </w:p>
    <w:p w14:paraId="2DFF955D" w14:textId="77777777" w:rsidR="007D52CA" w:rsidRPr="00F531CC" w:rsidRDefault="007D52CA" w:rsidP="007D52CA">
      <w:pPr>
        <w:jc w:val="both"/>
        <w:rPr>
          <w:rFonts w:eastAsia="Calibri"/>
          <w:szCs w:val="22"/>
          <w:lang w:eastAsia="de-DE" w:bidi="de-DE"/>
        </w:rPr>
      </w:pPr>
    </w:p>
    <w:p w14:paraId="4111CF6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Schuldner des Berufssteuervorabzugs müssen ebenfalls eine elektronische Erklärung einreichen:</w:t>
      </w:r>
    </w:p>
    <w:p w14:paraId="634F5CBE" w14:textId="77777777" w:rsidR="007D52CA" w:rsidRPr="00F531CC" w:rsidRDefault="007D52CA" w:rsidP="007D52CA">
      <w:pPr>
        <w:jc w:val="both"/>
        <w:rPr>
          <w:rFonts w:eastAsia="Calibri"/>
          <w:szCs w:val="22"/>
          <w:lang w:eastAsia="de-DE" w:bidi="de-DE"/>
        </w:rPr>
      </w:pPr>
    </w:p>
    <w:p w14:paraId="76A5BE2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wenn sie für einen bestimmten Zeitraum keine in Artikel 87 Nr. 1 bis 7 erwähnten steuerpflichtigen Einkünfte gezahlt oder zuerkannt haben,</w:t>
      </w:r>
    </w:p>
    <w:p w14:paraId="4F7E171F" w14:textId="77777777" w:rsidR="007D52CA" w:rsidRPr="00F531CC" w:rsidRDefault="007D52CA" w:rsidP="007D52CA">
      <w:pPr>
        <w:jc w:val="both"/>
        <w:rPr>
          <w:rFonts w:eastAsia="Calibri"/>
          <w:szCs w:val="22"/>
          <w:lang w:eastAsia="de-DE" w:bidi="de-DE"/>
        </w:rPr>
      </w:pPr>
    </w:p>
    <w:p w14:paraId="3349D874" w14:textId="2D59F15F"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 xml:space="preserve">- wenn sie in Artikel 87 Nr. 1 bis 7 erwähnte steuerpflichtige Einkünfte gezahlt oder zuerkannt haben, die </w:t>
      </w:r>
      <w:r w:rsidR="00B51E3E">
        <w:rPr>
          <w:rFonts w:eastAsia="Calibri"/>
          <w:szCs w:val="22"/>
          <w:lang w:eastAsia="de-DE" w:bidi="de-DE"/>
        </w:rPr>
        <w:t>[</w:t>
      </w:r>
      <w:r w:rsidR="00B51E3E" w:rsidRPr="00862C9B">
        <w:t>gemäß den Anwendungsregeln und dem Berechnungsmodus wie in Artikel 88 erwähnt</w:t>
      </w:r>
      <w:r w:rsidR="00B51E3E">
        <w:rPr>
          <w:rFonts w:eastAsia="Calibri"/>
          <w:szCs w:val="22"/>
          <w:lang w:eastAsia="de-DE" w:bidi="de-DE"/>
        </w:rPr>
        <w:t>]</w:t>
      </w:r>
      <w:r w:rsidRPr="00F531CC">
        <w:rPr>
          <w:rFonts w:eastAsia="Calibri"/>
          <w:szCs w:val="22"/>
          <w:lang w:eastAsia="de-DE" w:bidi="de-DE"/>
        </w:rPr>
        <w:t xml:space="preserve"> jedoch keinen Berufssteuervorabzug erfordern.</w:t>
      </w:r>
    </w:p>
    <w:p w14:paraId="3301ABF7" w14:textId="77777777" w:rsidR="007D52CA" w:rsidRPr="00F531CC" w:rsidRDefault="007D52CA" w:rsidP="007D52CA">
      <w:pPr>
        <w:jc w:val="both"/>
        <w:rPr>
          <w:rFonts w:eastAsia="Calibri"/>
          <w:szCs w:val="22"/>
          <w:lang w:eastAsia="de-DE" w:bidi="de-DE"/>
        </w:rPr>
      </w:pPr>
    </w:p>
    <w:p w14:paraId="622EE3B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Schuldner werden von der Pflicht zur elektronischen Einreichung befreit, solange sie selbst oder gegebenenfalls die Person, die sie zur Einreichung der erwähnten Erklärungen bevoll</w:t>
      </w:r>
      <w:r>
        <w:rPr>
          <w:rFonts w:eastAsia="Calibri"/>
          <w:szCs w:val="22"/>
          <w:lang w:eastAsia="de-DE" w:bidi="de-DE"/>
        </w:rPr>
        <w:softHyphen/>
      </w:r>
      <w:r w:rsidRPr="00F531CC">
        <w:rPr>
          <w:rFonts w:eastAsia="Calibri"/>
          <w:szCs w:val="22"/>
          <w:lang w:eastAsia="de-DE" w:bidi="de-DE"/>
        </w:rPr>
        <w:t>mächtigt haben, nicht über die zur Erfüllung dieser Pflicht erforderlichen Informatik</w:t>
      </w:r>
      <w:r>
        <w:rPr>
          <w:rFonts w:eastAsia="Calibri"/>
          <w:szCs w:val="22"/>
          <w:lang w:eastAsia="de-DE" w:bidi="de-DE"/>
        </w:rPr>
        <w:softHyphen/>
      </w:r>
      <w:r w:rsidRPr="00F531CC">
        <w:rPr>
          <w:rFonts w:eastAsia="Calibri"/>
          <w:szCs w:val="22"/>
          <w:lang w:eastAsia="de-DE" w:bidi="de-DE"/>
        </w:rPr>
        <w:t>mittel verfügen. In diesem Fall erfolgt die Einreichung der Erklärungen in Papierform.</w:t>
      </w:r>
    </w:p>
    <w:p w14:paraId="3BE1E9A6" w14:textId="77777777" w:rsidR="007D52CA" w:rsidRPr="00F531CC" w:rsidRDefault="007D52CA" w:rsidP="007D52CA">
      <w:pPr>
        <w:jc w:val="both"/>
        <w:rPr>
          <w:rFonts w:eastAsia="Calibri"/>
          <w:szCs w:val="22"/>
          <w:lang w:eastAsia="de-DE" w:bidi="de-DE"/>
        </w:rPr>
      </w:pPr>
    </w:p>
    <w:p w14:paraId="64CD51C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Der Minister der Finanzen oder sein Beauftragter legt das Muster der Erklärung zum Berufssteuervorabzug fest und bestimmt die Modalitäten in Bezug auf ihre Einreichung.]</w:t>
      </w:r>
    </w:p>
    <w:p w14:paraId="33C83722" w14:textId="77777777" w:rsidR="007D52CA" w:rsidRPr="00F531CC" w:rsidRDefault="007D52CA" w:rsidP="007D52CA">
      <w:pPr>
        <w:jc w:val="both"/>
        <w:rPr>
          <w:rFonts w:eastAsia="Calibri"/>
          <w:szCs w:val="22"/>
          <w:lang w:eastAsia="de-DE" w:bidi="de-DE"/>
        </w:rPr>
      </w:pPr>
    </w:p>
    <w:p w14:paraId="36FAC75E" w14:textId="6C37805D" w:rsidR="007D52CA" w:rsidRPr="00F531CC" w:rsidRDefault="007D52CA" w:rsidP="00C17845">
      <w:pPr>
        <w:jc w:val="both"/>
        <w:rPr>
          <w:rFonts w:eastAsia="Calibri"/>
          <w:szCs w:val="22"/>
          <w:lang w:eastAsia="de-DE" w:bidi="de-DE"/>
        </w:rPr>
      </w:pPr>
      <w:r w:rsidRPr="00F531CC">
        <w:rPr>
          <w:rFonts w:eastAsia="Calibri"/>
          <w:szCs w:val="22"/>
          <w:lang w:eastAsia="de-DE" w:bidi="de-DE"/>
        </w:rPr>
        <w:tab/>
        <w:t>§ 2 - [</w:t>
      </w:r>
      <w:r w:rsidR="00C17845">
        <w:rPr>
          <w:rFonts w:eastAsia="Calibri"/>
          <w:szCs w:val="22"/>
          <w:lang w:eastAsia="de-DE" w:bidi="de-DE"/>
        </w:rPr>
        <w:t>...]</w:t>
      </w:r>
    </w:p>
    <w:p w14:paraId="4DBF2A21" w14:textId="77777777" w:rsidR="007D52CA" w:rsidRPr="00F531CC" w:rsidRDefault="007D52CA" w:rsidP="007D52CA">
      <w:pPr>
        <w:jc w:val="both"/>
        <w:rPr>
          <w:rFonts w:eastAsia="Calibri"/>
          <w:szCs w:val="22"/>
          <w:lang w:eastAsia="de-DE" w:bidi="de-DE"/>
        </w:rPr>
      </w:pPr>
    </w:p>
    <w:p w14:paraId="39C00AAE" w14:textId="4018706E" w:rsidR="00970A9E" w:rsidRPr="00DD454E" w:rsidRDefault="00970A9E" w:rsidP="00970A9E">
      <w:pPr>
        <w:jc w:val="both"/>
      </w:pPr>
      <w:r>
        <w:rPr>
          <w:rFonts w:eastAsia="Calibri"/>
          <w:szCs w:val="22"/>
          <w:lang w:eastAsia="de-DE" w:bidi="de-DE"/>
        </w:rPr>
        <w:tab/>
        <w:t>§ 3 - [</w:t>
      </w:r>
      <w:r w:rsidR="00EA3FFE">
        <w:rPr>
          <w:rFonts w:eastAsia="Calibri"/>
          <w:szCs w:val="22"/>
          <w:lang w:eastAsia="de-DE" w:bidi="de-DE"/>
        </w:rPr>
        <w:t>[</w:t>
      </w:r>
      <w:r w:rsidR="00EA3FFE" w:rsidRPr="007E4FA8">
        <w:t>Ein Arbeitgeber oder eine mit ihm gleichgesetzte Gesellschaft, der beziehungsweise die in Anwendung von</w:t>
      </w:r>
      <w:r w:rsidR="00EA3FFE">
        <w:t>]</w:t>
      </w:r>
      <w:r w:rsidRPr="00DD454E">
        <w:t xml:space="preserve"> Artikel 275</w:t>
      </w:r>
      <w:r w:rsidRPr="00DD454E">
        <w:rPr>
          <w:vertAlign w:val="superscript"/>
        </w:rPr>
        <w:t>8</w:t>
      </w:r>
      <w:r w:rsidRPr="00DD454E">
        <w:t xml:space="preserve"> § 1 Absatz 1 oder 275</w:t>
      </w:r>
      <w:r w:rsidRPr="00DD454E">
        <w:rPr>
          <w:vertAlign w:val="superscript"/>
        </w:rPr>
        <w:t>9</w:t>
      </w:r>
      <w:r w:rsidRPr="00DD454E">
        <w:t xml:space="preserve"> § 1 Absatz 1 desselben Gesetzbuches zeitweilig davon befreit ist, 25 Prozent des Berufssteuer</w:t>
      </w:r>
      <w:r w:rsidRPr="00DD454E">
        <w:softHyphen/>
        <w:t>vorabzugs zu zahlen, und nachzuweisen versäumt, dass ein oder mehrere neue Arbeitsplätze während der vorgeschriebenen Frist erhalten geblieben sind und die in Artikel 275</w:t>
      </w:r>
      <w:r w:rsidRPr="00DD454E">
        <w:rPr>
          <w:vertAlign w:val="superscript"/>
        </w:rPr>
        <w:t>8</w:t>
      </w:r>
      <w:r w:rsidRPr="00DD454E">
        <w:t xml:space="preserve"> § 4 Absatz 2 desselben Gesetzbuches erwähnte Bedingung während dieses Zeitraums erfüllt haben, muss gemäß den in § 1 Absatz 1 festgelegten Modalitäten eine getrennte Erklärung zum Berufssteuervorabzug einreichen.</w:t>
      </w:r>
    </w:p>
    <w:p w14:paraId="1766951F" w14:textId="77777777" w:rsidR="00970A9E" w:rsidRPr="00DD454E" w:rsidRDefault="00970A9E" w:rsidP="00970A9E">
      <w:pPr>
        <w:jc w:val="both"/>
      </w:pPr>
    </w:p>
    <w:p w14:paraId="55738CEB" w14:textId="77777777" w:rsidR="00970A9E" w:rsidRPr="00DD454E" w:rsidRDefault="00970A9E" w:rsidP="00970A9E">
      <w:pPr>
        <w:jc w:val="both"/>
      </w:pPr>
      <w:r w:rsidRPr="00DD454E">
        <w:tab/>
        <w:t>In Abweichung von § 1 läuft die Frist für die Einreichung dieser getrennten Erklärung ab:</w:t>
      </w:r>
    </w:p>
    <w:p w14:paraId="4CF1F839" w14:textId="77777777" w:rsidR="00970A9E" w:rsidRPr="00DD454E" w:rsidRDefault="00970A9E" w:rsidP="00970A9E">
      <w:pPr>
        <w:jc w:val="both"/>
      </w:pPr>
    </w:p>
    <w:p w14:paraId="79CC8F46" w14:textId="77777777" w:rsidR="00970A9E" w:rsidRPr="00DD454E" w:rsidRDefault="00970A9E" w:rsidP="00970A9E">
      <w:pPr>
        <w:jc w:val="both"/>
      </w:pPr>
      <w:r w:rsidRPr="00DD454E">
        <w:tab/>
        <w:t>- am fünfzehnten Tag nach Ablauf des sechsunddreißigsten Monats nach dem Monat, in dem der neue Arbeitsplatz zum ersten Mal besetzt wurde, für den in Absatz 1 erwähnten Arbeitgeber, der in Anwendung von Artikel 275</w:t>
      </w:r>
      <w:r w:rsidRPr="00DD454E">
        <w:rPr>
          <w:vertAlign w:val="superscript"/>
        </w:rPr>
        <w:t>8</w:t>
      </w:r>
      <w:r w:rsidRPr="00DD454E">
        <w:t xml:space="preserve"> § 1 Absatz 1 desselben Gesetzbuches zeitweilig davon befreit ist, 25 Prozent des Berufssteuervorabzugs zu zahlen,</w:t>
      </w:r>
    </w:p>
    <w:p w14:paraId="37A17833" w14:textId="77777777" w:rsidR="00970A9E" w:rsidRPr="00DD454E" w:rsidRDefault="00970A9E" w:rsidP="00970A9E">
      <w:pPr>
        <w:jc w:val="both"/>
      </w:pPr>
    </w:p>
    <w:p w14:paraId="488D1B76" w14:textId="77777777" w:rsidR="00970A9E" w:rsidRPr="00DD454E" w:rsidRDefault="00970A9E" w:rsidP="00970A9E">
      <w:pPr>
        <w:jc w:val="both"/>
      </w:pPr>
      <w:r w:rsidRPr="00DD454E">
        <w:tab/>
        <w:t>- oder am fünfzehnten Tag nach Ablauf des sechzigsten Monats nach dem Monat, in dem der neue Arbeitsplatz zum ersten Mal besetzt wurde, für den in Absatz 1 erwähnten Arbeitgeber, der in Anwendung von Artikel 275</w:t>
      </w:r>
      <w:r w:rsidRPr="00DD454E">
        <w:rPr>
          <w:vertAlign w:val="superscript"/>
        </w:rPr>
        <w:t>9</w:t>
      </w:r>
      <w:r w:rsidRPr="00DD454E">
        <w:t xml:space="preserve"> § 1 Absatz 1 desselben Gesetzbuches zeitweilig davon befreit ist, 25 Prozent des Berufssteuervorabzugs zu zahlen.</w:t>
      </w:r>
    </w:p>
    <w:p w14:paraId="68635D06" w14:textId="77777777" w:rsidR="00970A9E" w:rsidRPr="00DD454E" w:rsidRDefault="00970A9E" w:rsidP="00970A9E">
      <w:pPr>
        <w:jc w:val="both"/>
      </w:pPr>
    </w:p>
    <w:p w14:paraId="46F4A33E" w14:textId="77777777" w:rsidR="00970A9E" w:rsidRPr="00DD454E" w:rsidRDefault="00970A9E" w:rsidP="00970A9E">
      <w:pPr>
        <w:jc w:val="both"/>
      </w:pPr>
      <w:r w:rsidRPr="00DD454E">
        <w:tab/>
        <w:t>Diese Erklärung enthält:</w:t>
      </w:r>
    </w:p>
    <w:p w14:paraId="3227693A" w14:textId="77777777" w:rsidR="00970A9E" w:rsidRPr="00DD454E" w:rsidRDefault="00970A9E" w:rsidP="00970A9E">
      <w:pPr>
        <w:jc w:val="both"/>
      </w:pPr>
    </w:p>
    <w:p w14:paraId="2CFC9888" w14:textId="77777777" w:rsidR="00970A9E" w:rsidRPr="00DD454E" w:rsidRDefault="00970A9E" w:rsidP="00970A9E">
      <w:pPr>
        <w:jc w:val="both"/>
      </w:pPr>
      <w:r w:rsidRPr="00DD454E">
        <w:tab/>
      </w:r>
      <w:r w:rsidRPr="00DD454E">
        <w:rPr>
          <w:i/>
        </w:rPr>
        <w:t>a)</w:t>
      </w:r>
      <w:r w:rsidRPr="00DD454E">
        <w:t> im Rahmen "Art der Einkünfte": den entsprechenden Code aus Anlage 3</w:t>
      </w:r>
      <w:r w:rsidRPr="00DD454E">
        <w:rPr>
          <w:i/>
        </w:rPr>
        <w:t>bis</w:t>
      </w:r>
      <w:r w:rsidRPr="00DD454E">
        <w:t>,</w:t>
      </w:r>
    </w:p>
    <w:p w14:paraId="717477AA" w14:textId="77777777" w:rsidR="00970A9E" w:rsidRPr="00DD454E" w:rsidRDefault="00970A9E" w:rsidP="00970A9E">
      <w:pPr>
        <w:jc w:val="both"/>
      </w:pPr>
    </w:p>
    <w:p w14:paraId="1C1FA1EE" w14:textId="77777777" w:rsidR="00970A9E" w:rsidRPr="00DD454E" w:rsidRDefault="00970A9E" w:rsidP="00970A9E">
      <w:pPr>
        <w:jc w:val="both"/>
      </w:pPr>
      <w:r w:rsidRPr="00DD454E">
        <w:tab/>
      </w:r>
      <w:r w:rsidRPr="00DD454E">
        <w:rPr>
          <w:i/>
        </w:rPr>
        <w:t>b)</w:t>
      </w:r>
      <w:r w:rsidRPr="00DD454E">
        <w:t> im Rahmen "steuerpflichtige Einkünfte": Gesamtsumme der vom Arbeitgeber gezahlten oder zuerkannten steuerpflichtigen Entlohnungen, die mit einem oder mehreren neuen Arbeitsplätzen erwähnt in Absatz 1 verbunden sind und für die in Anwendung von Artikel 275</w:t>
      </w:r>
      <w:r w:rsidRPr="00DD454E">
        <w:rPr>
          <w:vertAlign w:val="superscript"/>
        </w:rPr>
        <w:t>8</w:t>
      </w:r>
      <w:r w:rsidRPr="00DD454E">
        <w:t xml:space="preserve"> § 1 Absatz 1 oder Artikel 275</w:t>
      </w:r>
      <w:r w:rsidRPr="00DD454E">
        <w:rPr>
          <w:vertAlign w:val="superscript"/>
        </w:rPr>
        <w:t>9</w:t>
      </w:r>
      <w:r w:rsidRPr="00DD454E">
        <w:t xml:space="preserve"> § 1 Absatz 1 desselben Gesetzbuches eine in Artikel 95</w:t>
      </w:r>
      <w:r w:rsidRPr="00DD454E">
        <w:rPr>
          <w:vertAlign w:val="superscript"/>
        </w:rPr>
        <w:t>2</w:t>
      </w:r>
      <w:r w:rsidRPr="00DD454E">
        <w:t xml:space="preserve"> § 3 erwähnte Erklärung eingereicht wird,</w:t>
      </w:r>
    </w:p>
    <w:p w14:paraId="0493F3F7" w14:textId="77777777" w:rsidR="00970A9E" w:rsidRPr="00DD454E" w:rsidRDefault="00970A9E" w:rsidP="00970A9E">
      <w:pPr>
        <w:jc w:val="both"/>
      </w:pPr>
    </w:p>
    <w:p w14:paraId="3B030FAA" w14:textId="77777777" w:rsidR="00970A9E" w:rsidRPr="00DD454E" w:rsidRDefault="00970A9E" w:rsidP="00970A9E">
      <w:pPr>
        <w:jc w:val="both"/>
      </w:pPr>
      <w:r w:rsidRPr="00DD454E">
        <w:tab/>
      </w:r>
      <w:r w:rsidRPr="00DD454E">
        <w:rPr>
          <w:i/>
        </w:rPr>
        <w:t>c)</w:t>
      </w:r>
      <w:r w:rsidRPr="00DD454E">
        <w:t> im Rahmen "geschuldeter Berufssteuervorabzug": Gesamtsumme des nicht entrichteten Berufssteuervorabzugs, der mit einem oder mehreren neuen Arbeitsplätzen erwähnt in Absatz 1 verbunden ist,</w:t>
      </w:r>
    </w:p>
    <w:p w14:paraId="7F7CCACA" w14:textId="77777777" w:rsidR="00970A9E" w:rsidRPr="00DD454E" w:rsidRDefault="00970A9E" w:rsidP="00970A9E">
      <w:pPr>
        <w:jc w:val="both"/>
      </w:pPr>
    </w:p>
    <w:p w14:paraId="717CA602" w14:textId="77777777" w:rsidR="00970A9E" w:rsidRPr="00DD454E" w:rsidRDefault="00970A9E" w:rsidP="00970A9E">
      <w:pPr>
        <w:jc w:val="both"/>
      </w:pPr>
      <w:r w:rsidRPr="00DD454E">
        <w:lastRenderedPageBreak/>
        <w:tab/>
      </w:r>
      <w:r w:rsidRPr="00DD454E">
        <w:rPr>
          <w:i/>
        </w:rPr>
        <w:t>d) </w:t>
      </w:r>
      <w:r w:rsidRPr="00DD454E">
        <w:t>im Rahmen "Jahr und Zeitraum der Zahlung der Einkünfte": Monat und Jahr, in denen der früheste der folgenden Zeitpunkte eingetreten ist:</w:t>
      </w:r>
    </w:p>
    <w:p w14:paraId="55F99A07" w14:textId="77777777" w:rsidR="00970A9E" w:rsidRPr="00DD454E" w:rsidRDefault="00970A9E" w:rsidP="00970A9E">
      <w:pPr>
        <w:jc w:val="both"/>
      </w:pPr>
    </w:p>
    <w:p w14:paraId="6396EFC2" w14:textId="77777777" w:rsidR="00970A9E" w:rsidRPr="00DD454E" w:rsidRDefault="00970A9E" w:rsidP="00970A9E">
      <w:pPr>
        <w:jc w:val="both"/>
      </w:pPr>
      <w:r w:rsidRPr="00DD454E">
        <w:tab/>
        <w:t>- Zeitpunkt, zu dem die Erklärung eingereicht wird,</w:t>
      </w:r>
    </w:p>
    <w:p w14:paraId="3078D0ED" w14:textId="77777777" w:rsidR="00970A9E" w:rsidRPr="00DD454E" w:rsidRDefault="00970A9E" w:rsidP="00970A9E">
      <w:pPr>
        <w:jc w:val="both"/>
      </w:pPr>
    </w:p>
    <w:p w14:paraId="25F3D9B5" w14:textId="01E6833F" w:rsidR="00970A9E" w:rsidRPr="00DD454E" w:rsidRDefault="00970A9E" w:rsidP="00970A9E">
      <w:pPr>
        <w:jc w:val="both"/>
      </w:pPr>
      <w:r w:rsidRPr="00DD454E">
        <w:tab/>
        <w:t>- für den in Absatz 1 erwähnten Arbeitgeber, der in Anwendung von Artikel 275</w:t>
      </w:r>
      <w:r w:rsidRPr="00DD454E">
        <w:rPr>
          <w:vertAlign w:val="superscript"/>
        </w:rPr>
        <w:t>8</w:t>
      </w:r>
      <w:r w:rsidRPr="00DD454E">
        <w:t xml:space="preserve"> § 1 Absatz 1 desselben Gesetzbuches zeitweilig davon befreit ist, 25 Prozent des Berufssteuer</w:t>
      </w:r>
      <w:r w:rsidRPr="00DD454E">
        <w:softHyphen/>
        <w:t xml:space="preserve">vorabzugs zu zahlen: Zeitpunkt, zu dem der </w:t>
      </w:r>
      <w:r w:rsidR="00CA3519" w:rsidRPr="00DD454E">
        <w:t>sechsunddreißigste</w:t>
      </w:r>
      <w:r w:rsidRPr="00DD454E">
        <w:t xml:space="preserve"> Monat nach der Erstbesetzung des neuen Arbeitsplatzes abgelaufen ist,</w:t>
      </w:r>
    </w:p>
    <w:p w14:paraId="16F3C4C8" w14:textId="77777777" w:rsidR="00970A9E" w:rsidRPr="00DD454E" w:rsidRDefault="00970A9E" w:rsidP="00970A9E">
      <w:pPr>
        <w:jc w:val="both"/>
      </w:pPr>
    </w:p>
    <w:p w14:paraId="20D0DFD6" w14:textId="77777777" w:rsidR="007D52CA" w:rsidRPr="00F531CC" w:rsidRDefault="00970A9E" w:rsidP="00970A9E">
      <w:pPr>
        <w:jc w:val="both"/>
        <w:rPr>
          <w:rFonts w:eastAsia="Calibri"/>
          <w:szCs w:val="22"/>
          <w:lang w:eastAsia="de-DE" w:bidi="de-DE"/>
        </w:rPr>
      </w:pPr>
      <w:r w:rsidRPr="00DD454E">
        <w:tab/>
        <w:t>- für den in Absatz 1 erwähnten Arbeitgeber, der in Anwendung von Artikel 275</w:t>
      </w:r>
      <w:r w:rsidRPr="00DD454E">
        <w:rPr>
          <w:vertAlign w:val="superscript"/>
        </w:rPr>
        <w:t>9</w:t>
      </w:r>
      <w:r w:rsidRPr="00DD454E">
        <w:t xml:space="preserve"> § 1 Absatz 1 desselben Gesetzbuches zeitweilig davon befreit ist, 25 Prozent des Berufssteuer</w:t>
      </w:r>
      <w:r w:rsidRPr="00DD454E">
        <w:softHyphen/>
        <w:t>vorabzugs zu zahlen: Zeitpunkt, zu dem der sechzigste Monat nach der Erstbesetzung des neuen Arbeitsplatzes abgelaufen ist.</w:t>
      </w:r>
      <w:r w:rsidR="007D52CA" w:rsidRPr="00F531CC">
        <w:rPr>
          <w:rFonts w:eastAsia="Calibri"/>
          <w:szCs w:val="22"/>
          <w:lang w:eastAsia="de-DE" w:bidi="de-DE"/>
        </w:rPr>
        <w:t>]</w:t>
      </w:r>
    </w:p>
    <w:p w14:paraId="0827CA8B" w14:textId="77777777" w:rsidR="007D52CA" w:rsidRPr="00F531CC" w:rsidRDefault="007D52CA" w:rsidP="007D52CA">
      <w:pPr>
        <w:jc w:val="both"/>
        <w:rPr>
          <w:rFonts w:eastAsia="Calibri"/>
          <w:szCs w:val="22"/>
          <w:lang w:eastAsia="de-DE" w:bidi="de-DE"/>
        </w:rPr>
      </w:pPr>
    </w:p>
    <w:p w14:paraId="7991FA01" w14:textId="340A8E29"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4 - [Für die Anwendung von § 1 müssen in </w:t>
      </w:r>
      <w:r w:rsidR="00924788">
        <w:rPr>
          <w:rFonts w:eastAsia="Calibri"/>
          <w:szCs w:val="22"/>
          <w:lang w:eastAsia="de-DE" w:bidi="de-DE"/>
        </w:rPr>
        <w:t>[</w:t>
      </w:r>
      <w:r w:rsidRPr="00F531CC">
        <w:rPr>
          <w:rFonts w:eastAsia="Calibri"/>
          <w:szCs w:val="22"/>
          <w:lang w:eastAsia="de-DE" w:bidi="de-DE"/>
        </w:rPr>
        <w:t xml:space="preserve">Artikel 270 </w:t>
      </w:r>
      <w:r w:rsidR="00924788" w:rsidRPr="00924788">
        <w:rPr>
          <w:rFonts w:eastAsia="Calibri"/>
          <w:szCs w:val="22"/>
          <w:lang w:eastAsia="de-DE" w:bidi="de-DE"/>
        </w:rPr>
        <w:t xml:space="preserve">Absatz 1 </w:t>
      </w:r>
      <w:r w:rsidRPr="00F531CC">
        <w:rPr>
          <w:rFonts w:eastAsia="Calibri"/>
          <w:szCs w:val="22"/>
          <w:lang w:eastAsia="de-DE" w:bidi="de-DE"/>
        </w:rPr>
        <w:t>Nr. 4</w:t>
      </w:r>
      <w:r w:rsidR="00924788">
        <w:rPr>
          <w:rFonts w:eastAsia="Calibri"/>
          <w:szCs w:val="22"/>
          <w:lang w:eastAsia="de-DE" w:bidi="de-DE"/>
        </w:rPr>
        <w:t>]</w:t>
      </w:r>
      <w:r w:rsidRPr="00F531CC">
        <w:rPr>
          <w:rFonts w:eastAsia="Calibri"/>
          <w:szCs w:val="22"/>
          <w:lang w:eastAsia="de-DE" w:bidi="de-DE"/>
        </w:rPr>
        <w:t xml:space="preserve"> des Einkommen</w:t>
      </w:r>
      <w:r>
        <w:rPr>
          <w:rFonts w:eastAsia="Calibri"/>
          <w:szCs w:val="22"/>
          <w:lang w:eastAsia="de-DE" w:bidi="de-DE"/>
        </w:rPr>
        <w:softHyphen/>
      </w:r>
      <w:r w:rsidRPr="00F531CC">
        <w:rPr>
          <w:rFonts w:eastAsia="Calibri"/>
          <w:szCs w:val="22"/>
          <w:lang w:eastAsia="de-DE" w:bidi="de-DE"/>
        </w:rPr>
        <w:t>steuergesetzbuches 1992 erwähnte Schuldner des Berufssteuervorabzugs binnen fünfzehn Tagen nach Ablauf des Monats, in dem die in Artikel 87 Nr. 7 erwähnten Einkünfte als zuerkannt gelten gemäß Artikel 364 desselben Gesetzbuches, eine Erklärung zum Berufs</w:t>
      </w:r>
      <w:r>
        <w:rPr>
          <w:rFonts w:eastAsia="Calibri"/>
          <w:szCs w:val="22"/>
          <w:lang w:eastAsia="de-DE" w:bidi="de-DE"/>
        </w:rPr>
        <w:softHyphen/>
      </w:r>
      <w:r w:rsidRPr="00F531CC">
        <w:rPr>
          <w:rFonts w:eastAsia="Calibri"/>
          <w:szCs w:val="22"/>
          <w:lang w:eastAsia="de-DE" w:bidi="de-DE"/>
        </w:rPr>
        <w:t xml:space="preserve">steuervorabzug </w:t>
      </w:r>
      <w:r w:rsidR="001C30DE">
        <w:rPr>
          <w:rFonts w:eastAsia="Calibri"/>
          <w:szCs w:val="22"/>
          <w:lang w:eastAsia="de-DE" w:bidi="de-DE"/>
        </w:rPr>
        <w:t>[</w:t>
      </w:r>
      <w:r w:rsidR="001C30DE" w:rsidRPr="00F10B28">
        <w:t>beim zuständigen Einnehmer</w:t>
      </w:r>
      <w:r w:rsidR="001C30DE">
        <w:rPr>
          <w:rFonts w:eastAsia="Calibri"/>
          <w:szCs w:val="22"/>
          <w:lang w:eastAsia="de-DE" w:bidi="de-DE"/>
        </w:rPr>
        <w:t>]</w:t>
      </w:r>
      <w:r w:rsidRPr="00F531CC">
        <w:rPr>
          <w:rFonts w:eastAsia="Calibri"/>
          <w:szCs w:val="22"/>
          <w:lang w:eastAsia="de-DE" w:bidi="de-DE"/>
        </w:rPr>
        <w:t xml:space="preserve"> einreichen und den geschuldeten Berufssteuervorabzug gemäß den Regeln </w:t>
      </w:r>
      <w:r w:rsidR="00C17845">
        <w:rPr>
          <w:rFonts w:eastAsia="Calibri"/>
          <w:szCs w:val="22"/>
          <w:lang w:eastAsia="de-DE" w:bidi="de-DE"/>
        </w:rPr>
        <w:t>[</w:t>
      </w:r>
      <w:r w:rsidR="00C17845">
        <w:t>des Gesetzbuches über die gütliche Beitreibung und die Zwangsbeitreibung von Steuerforderungen und nichtsteuerlichen Forderungen und seines Ausführungserlasses</w:t>
      </w:r>
      <w:r w:rsidR="00C17845">
        <w:rPr>
          <w:rFonts w:eastAsia="Calibri"/>
          <w:szCs w:val="22"/>
          <w:lang w:eastAsia="de-DE" w:bidi="de-DE"/>
        </w:rPr>
        <w:t>]</w:t>
      </w:r>
      <w:r w:rsidRPr="00F531CC">
        <w:rPr>
          <w:rFonts w:eastAsia="Calibri"/>
          <w:szCs w:val="22"/>
          <w:lang w:eastAsia="de-DE" w:bidi="de-DE"/>
        </w:rPr>
        <w:t xml:space="preserve"> </w:t>
      </w:r>
      <w:r w:rsidR="00BC6B54">
        <w:rPr>
          <w:rFonts w:eastAsia="Calibri"/>
          <w:szCs w:val="22"/>
          <w:lang w:eastAsia="de-DE" w:bidi="de-DE"/>
        </w:rPr>
        <w:t>[</w:t>
      </w:r>
      <w:r w:rsidR="00BC6B54" w:rsidRPr="00F10B28">
        <w:t>zahlen</w:t>
      </w:r>
      <w:r w:rsidR="00BC6B54">
        <w:rPr>
          <w:rFonts w:eastAsia="Calibri"/>
          <w:szCs w:val="22"/>
          <w:lang w:eastAsia="de-DE" w:bidi="de-DE"/>
        </w:rPr>
        <w:t>]</w:t>
      </w:r>
      <w:r w:rsidRPr="00F531CC">
        <w:rPr>
          <w:rFonts w:eastAsia="Calibri"/>
          <w:szCs w:val="22"/>
          <w:lang w:eastAsia="de-DE" w:bidi="de-DE"/>
        </w:rPr>
        <w:t>]</w:t>
      </w:r>
      <w:r w:rsidR="00C17845">
        <w:rPr>
          <w:rFonts w:eastAsia="Calibri"/>
          <w:szCs w:val="22"/>
          <w:lang w:eastAsia="de-DE" w:bidi="de-DE"/>
        </w:rPr>
        <w:t>.</w:t>
      </w:r>
      <w:r w:rsidRPr="00F531CC">
        <w:rPr>
          <w:rFonts w:eastAsia="Calibri"/>
          <w:szCs w:val="22"/>
          <w:lang w:eastAsia="de-DE" w:bidi="de-DE"/>
        </w:rPr>
        <w:t>]</w:t>
      </w:r>
    </w:p>
    <w:p w14:paraId="7030EB73" w14:textId="77777777" w:rsidR="007D52CA" w:rsidRPr="00F531CC" w:rsidRDefault="007D52CA" w:rsidP="007D52CA">
      <w:pPr>
        <w:jc w:val="both"/>
        <w:rPr>
          <w:rFonts w:eastAsia="Calibri"/>
          <w:szCs w:val="22"/>
          <w:lang w:eastAsia="de-DE" w:bidi="de-DE"/>
        </w:rPr>
      </w:pPr>
    </w:p>
    <w:p w14:paraId="1FC59AFB" w14:textId="57B17740"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90 § 1 ersetzt durch Art. 3 Nr. 1 des K.E. vom 3. Juni 2007 (I) (B.S. vom 14. Juni 2007);</w:t>
      </w:r>
      <w:r w:rsidR="004B435A">
        <w:rPr>
          <w:rFonts w:eastAsia="Calibri"/>
          <w:i/>
          <w:szCs w:val="22"/>
          <w:lang w:eastAsia="de-DE" w:bidi="de-DE"/>
        </w:rPr>
        <w:t xml:space="preserve"> § 1 Abs. 1 abgeändert durch Art. </w:t>
      </w:r>
      <w:r w:rsidR="001C30DE">
        <w:rPr>
          <w:rFonts w:eastAsia="Calibri"/>
          <w:i/>
          <w:szCs w:val="22"/>
          <w:lang w:eastAsia="de-DE" w:bidi="de-DE"/>
        </w:rPr>
        <w:t>40 Nr. 1</w:t>
      </w:r>
      <w:r w:rsidR="004B435A">
        <w:rPr>
          <w:rFonts w:eastAsia="Calibri"/>
          <w:i/>
          <w:szCs w:val="22"/>
          <w:lang w:eastAsia="de-DE" w:bidi="de-DE"/>
        </w:rPr>
        <w:t xml:space="preserve"> des K.E. vom 17. Februar 2019 (B.S. vom 8. März 2019)</w:t>
      </w:r>
      <w:r w:rsidR="00C17845">
        <w:rPr>
          <w:rFonts w:eastAsia="Calibri"/>
          <w:i/>
          <w:szCs w:val="22"/>
          <w:lang w:eastAsia="de-DE" w:bidi="de-DE"/>
        </w:rPr>
        <w:t xml:space="preserve"> und Art. 26 Nr. 1</w:t>
      </w:r>
      <w:r w:rsidR="00C17845" w:rsidRPr="00C17845">
        <w:rPr>
          <w:rFonts w:eastAsia="Calibri"/>
          <w:i/>
          <w:iCs/>
          <w:szCs w:val="22"/>
          <w:lang w:eastAsia="de-DE" w:bidi="de-DE"/>
        </w:rPr>
        <w:t xml:space="preserve"> des K.E. vom 17. Dezember 2024 (B.S. vom 24. Dezember 2024)</w:t>
      </w:r>
      <w:r w:rsidR="00A77305">
        <w:rPr>
          <w:rFonts w:eastAsia="Calibri"/>
          <w:i/>
          <w:szCs w:val="22"/>
          <w:lang w:eastAsia="de-DE" w:bidi="de-DE"/>
        </w:rPr>
        <w:t>;</w:t>
      </w:r>
      <w:r w:rsidRPr="00F531CC">
        <w:rPr>
          <w:rFonts w:eastAsia="Calibri"/>
          <w:i/>
          <w:szCs w:val="22"/>
          <w:lang w:eastAsia="de-DE" w:bidi="de-DE"/>
        </w:rPr>
        <w:t xml:space="preserve"> </w:t>
      </w:r>
      <w:r w:rsidR="00B51E3E">
        <w:rPr>
          <w:rFonts w:eastAsia="Calibri"/>
          <w:i/>
          <w:szCs w:val="22"/>
          <w:lang w:eastAsia="de-DE" w:bidi="de-DE"/>
        </w:rPr>
        <w:t>§ 1 Abs. 2 zweiter Gedankenstrich abgeändert durch Art. 2</w:t>
      </w:r>
      <w:r w:rsidR="00B51E3E" w:rsidRPr="00B51E3E">
        <w:rPr>
          <w:rFonts w:eastAsia="Calibri"/>
          <w:i/>
          <w:szCs w:val="22"/>
          <w:lang w:eastAsia="de-DE" w:bidi="de-DE"/>
        </w:rPr>
        <w:t xml:space="preserve"> </w:t>
      </w:r>
      <w:r w:rsidR="00B51E3E" w:rsidRPr="00B51E3E">
        <w:rPr>
          <w:rFonts w:eastAsia="Calibri"/>
          <w:i/>
          <w:iCs/>
          <w:szCs w:val="22"/>
          <w:lang w:eastAsia="de-DE" w:bidi="de-DE"/>
        </w:rPr>
        <w:t>des K.E. vom 19. Dezember 2022 (B.S. vom 22. Dezember 2022)</w:t>
      </w:r>
      <w:r w:rsidR="00B51E3E">
        <w:rPr>
          <w:rFonts w:eastAsia="Calibri"/>
          <w:i/>
          <w:szCs w:val="22"/>
          <w:lang w:eastAsia="de-DE" w:bidi="de-DE"/>
        </w:rPr>
        <w:t xml:space="preserve">; </w:t>
      </w:r>
      <w:r w:rsidRPr="00F531CC">
        <w:rPr>
          <w:rFonts w:eastAsia="Calibri"/>
          <w:i/>
          <w:szCs w:val="22"/>
          <w:lang w:eastAsia="de-DE" w:bidi="de-DE"/>
        </w:rPr>
        <w:t xml:space="preserve">§ 2 </w:t>
      </w:r>
      <w:r w:rsidR="00C17845">
        <w:rPr>
          <w:rFonts w:eastAsia="Calibri"/>
          <w:i/>
          <w:szCs w:val="22"/>
          <w:lang w:eastAsia="de-DE" w:bidi="de-DE"/>
        </w:rPr>
        <w:t>aufgehoben durch Art. 26 Nr. 2</w:t>
      </w:r>
      <w:r w:rsidR="00C17845" w:rsidRPr="00C17845">
        <w:rPr>
          <w:rFonts w:eastAsia="Calibri"/>
          <w:i/>
          <w:iCs/>
          <w:szCs w:val="22"/>
          <w:lang w:eastAsia="de-DE" w:bidi="de-DE"/>
        </w:rPr>
        <w:t xml:space="preserve"> des K.E. vom 17. Dezember 2024 (B.S. vom 24. Dezember 2024)</w:t>
      </w:r>
      <w:r w:rsidRPr="00F531CC">
        <w:rPr>
          <w:rFonts w:eastAsia="Calibri"/>
          <w:i/>
          <w:szCs w:val="22"/>
          <w:lang w:eastAsia="de-DE" w:bidi="de-DE"/>
        </w:rPr>
        <w:t>; § 3 aufgehoben durch Art. 3 Nr. 2 des K.E. vom 3. Juni 2007 (I) (B.S. vom 14. Juni 2007)</w:t>
      </w:r>
      <w:r w:rsidR="00970A9E">
        <w:rPr>
          <w:rFonts w:eastAsia="Calibri"/>
          <w:i/>
          <w:szCs w:val="22"/>
          <w:lang w:eastAsia="de-DE" w:bidi="de-DE"/>
        </w:rPr>
        <w:t xml:space="preserve"> und wieder aufgenommen durch Art. 1 des K.E. vom 28. April 2015 (B.S. vom 30. April 2015)</w:t>
      </w:r>
      <w:r w:rsidRPr="00F531CC">
        <w:rPr>
          <w:rFonts w:eastAsia="Calibri"/>
          <w:i/>
          <w:szCs w:val="22"/>
          <w:lang w:eastAsia="de-DE" w:bidi="de-DE"/>
        </w:rPr>
        <w:t xml:space="preserve">; </w:t>
      </w:r>
      <w:r w:rsidR="00EA3FFE">
        <w:rPr>
          <w:rFonts w:eastAsia="Calibri"/>
          <w:i/>
          <w:szCs w:val="22"/>
          <w:lang w:eastAsia="de-DE" w:bidi="de-DE"/>
        </w:rPr>
        <w:t xml:space="preserve">§ 3 Abs. 1 abgeändert durch Art. 1 des K.E. vom 13. April 2019 (II) (B.S. vom 9. Mai 2019); </w:t>
      </w:r>
      <w:r w:rsidRPr="00F531CC">
        <w:rPr>
          <w:rFonts w:eastAsia="Calibri"/>
          <w:i/>
          <w:szCs w:val="22"/>
          <w:lang w:eastAsia="de-DE" w:bidi="de-DE"/>
        </w:rPr>
        <w:t>§ 4 eingefügt durch Art. 6 des K.E. vom 22. Oktober 1993 (B.S. vom 29. Oktober 1993)</w:t>
      </w:r>
      <w:r w:rsidR="00BC6B54">
        <w:rPr>
          <w:rFonts w:eastAsia="Calibri"/>
          <w:i/>
          <w:szCs w:val="22"/>
          <w:lang w:eastAsia="de-DE" w:bidi="de-DE"/>
        </w:rPr>
        <w:t>,</w:t>
      </w:r>
      <w:r w:rsidRPr="00F531CC">
        <w:rPr>
          <w:rFonts w:eastAsia="Calibri"/>
          <w:i/>
          <w:szCs w:val="22"/>
          <w:lang w:eastAsia="de-DE" w:bidi="de-DE"/>
        </w:rPr>
        <w:t xml:space="preserve"> ersetzt durch Art. 3 Nr. 3 des K.E. vom 3. Juni 2007 (I) (B.S. vom 14. Juni 2007)</w:t>
      </w:r>
      <w:r w:rsidR="00BC6B54">
        <w:rPr>
          <w:rFonts w:eastAsia="Calibri"/>
          <w:i/>
          <w:szCs w:val="22"/>
          <w:lang w:eastAsia="de-DE" w:bidi="de-DE"/>
        </w:rPr>
        <w:t xml:space="preserve"> und abgeändert durch Art. 40 Nr. 2 des K.E. vom 17. Februar 2019 (B.S. vom 8. März 2019)</w:t>
      </w:r>
      <w:r w:rsidR="00C17845">
        <w:rPr>
          <w:rFonts w:eastAsia="Calibri"/>
          <w:i/>
          <w:szCs w:val="22"/>
          <w:lang w:eastAsia="de-DE" w:bidi="de-DE"/>
        </w:rPr>
        <w:t>,</w:t>
      </w:r>
      <w:r w:rsidR="00924788">
        <w:rPr>
          <w:rFonts w:eastAsia="Calibri"/>
          <w:i/>
          <w:szCs w:val="22"/>
          <w:lang w:eastAsia="de-DE" w:bidi="de-DE"/>
        </w:rPr>
        <w:t xml:space="preserve"> Art. 5 Nr. 2</w:t>
      </w:r>
      <w:r w:rsidR="00924788" w:rsidRPr="00924788">
        <w:rPr>
          <w:rFonts w:eastAsia="Calibri"/>
          <w:i/>
          <w:szCs w:val="22"/>
          <w:lang w:eastAsia="de-DE" w:bidi="de-DE"/>
        </w:rPr>
        <w:t xml:space="preserve"> des K.E. vom 13. März 2023 (B.S. vom 17. März 2023)</w:t>
      </w:r>
      <w:r w:rsidR="00C17845">
        <w:rPr>
          <w:rFonts w:eastAsia="Calibri"/>
          <w:i/>
          <w:szCs w:val="22"/>
          <w:lang w:eastAsia="de-DE" w:bidi="de-DE"/>
        </w:rPr>
        <w:t xml:space="preserve"> und Art. 26 Nr. 3</w:t>
      </w:r>
      <w:r w:rsidR="00C17845" w:rsidRPr="00C17845">
        <w:rPr>
          <w:rFonts w:eastAsia="Calibri"/>
          <w:i/>
          <w:iCs/>
          <w:szCs w:val="22"/>
          <w:lang w:eastAsia="de-DE" w:bidi="de-DE"/>
        </w:rPr>
        <w:t xml:space="preserve"> des K.E. vom 17. Dezember 2024 (B.S. vom 24. Dezember 2024)</w:t>
      </w:r>
      <w:r w:rsidRPr="00F531CC">
        <w:rPr>
          <w:rFonts w:eastAsia="Calibri"/>
          <w:i/>
          <w:szCs w:val="22"/>
          <w:lang w:eastAsia="de-DE" w:bidi="de-DE"/>
        </w:rPr>
        <w:t>]</w:t>
      </w:r>
    </w:p>
    <w:p w14:paraId="7AD760ED" w14:textId="77777777" w:rsidR="007D52CA" w:rsidRPr="00F531CC" w:rsidRDefault="007D52CA" w:rsidP="007D52CA">
      <w:pPr>
        <w:jc w:val="both"/>
        <w:rPr>
          <w:rFonts w:eastAsia="Calibri"/>
          <w:szCs w:val="22"/>
          <w:lang w:eastAsia="de-DE" w:bidi="de-DE"/>
        </w:rPr>
      </w:pPr>
    </w:p>
    <w:p w14:paraId="33AE6AD2" w14:textId="77777777" w:rsidR="007D52CA" w:rsidRPr="00F531CC" w:rsidRDefault="007D52CA" w:rsidP="007D52CA">
      <w:pPr>
        <w:jc w:val="both"/>
        <w:rPr>
          <w:rFonts w:eastAsia="Calibri"/>
          <w:szCs w:val="22"/>
          <w:lang w:eastAsia="de-DE" w:bidi="de-DE"/>
        </w:rPr>
      </w:pPr>
    </w:p>
    <w:p w14:paraId="4544C48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91</w:t>
      </w:r>
      <w:r w:rsidRPr="00F531CC">
        <w:rPr>
          <w:rFonts w:eastAsia="Calibri"/>
          <w:szCs w:val="22"/>
          <w:lang w:eastAsia="de-DE" w:bidi="de-DE"/>
        </w:rPr>
        <w:t> - Wenn Entlohnungen zur Vergütung der Leistung eines Orchesters, einer Gesellschaft oder einer Truppe einem in Artikel 87 Nr. 5 erwähnten Gebietsfremden, der das Orchester, die Gesellschaft oder die Truppe leitet und allein persönlich an den Schuldner der Einkünfte gebunden ist, global gezahlt oder zuerkannt werden, obliegt die Verpflichtung zur Erklärung und zur Entrichtung des Berufssteuervorabzugs dem Schuldner der globalen Entlohnung, sowohl für den Teil, den der Leiter des Orchesters, der Gesellschaft oder der Truppe für sich selbst behält, als auch für den Teil, den er an die Mitglieder seines Ensembles abtritt.</w:t>
      </w:r>
    </w:p>
    <w:p w14:paraId="7A34E28F" w14:textId="77777777" w:rsidR="007D52CA" w:rsidRPr="00F531CC" w:rsidRDefault="007D52CA" w:rsidP="007D52CA">
      <w:pPr>
        <w:jc w:val="both"/>
        <w:rPr>
          <w:rFonts w:eastAsia="Calibri"/>
          <w:szCs w:val="22"/>
          <w:lang w:eastAsia="de-DE" w:bidi="de-DE"/>
        </w:rPr>
      </w:pPr>
    </w:p>
    <w:p w14:paraId="59E46E86" w14:textId="77777777" w:rsidR="007D52CA" w:rsidRPr="00F531CC" w:rsidRDefault="007D52CA" w:rsidP="007D52CA">
      <w:pPr>
        <w:jc w:val="both"/>
        <w:rPr>
          <w:rFonts w:eastAsia="Calibri"/>
          <w:szCs w:val="22"/>
          <w:lang w:eastAsia="de-DE" w:bidi="de-DE"/>
        </w:rPr>
      </w:pPr>
    </w:p>
    <w:p w14:paraId="2B70FE25" w14:textId="13D4F721"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r>
      <w:r w:rsidRPr="00F531CC">
        <w:rPr>
          <w:rFonts w:eastAsia="Calibri"/>
          <w:b/>
          <w:szCs w:val="22"/>
          <w:lang w:eastAsia="de-DE" w:bidi="de-DE"/>
        </w:rPr>
        <w:t>Art. 92</w:t>
      </w:r>
      <w:r w:rsidRPr="00F531CC">
        <w:rPr>
          <w:rFonts w:eastAsia="Calibri"/>
          <w:szCs w:val="22"/>
          <w:lang w:eastAsia="de-DE" w:bidi="de-DE"/>
        </w:rPr>
        <w:t xml:space="preserve"> - [§ 1 - Am Ende jeden Jahres müssen in </w:t>
      </w:r>
      <w:r w:rsidR="00924788">
        <w:rPr>
          <w:rFonts w:eastAsia="Calibri"/>
          <w:szCs w:val="22"/>
          <w:lang w:eastAsia="de-DE" w:bidi="de-DE"/>
        </w:rPr>
        <w:t>[</w:t>
      </w:r>
      <w:r w:rsidRPr="00F531CC">
        <w:rPr>
          <w:rFonts w:eastAsia="Calibri"/>
          <w:szCs w:val="22"/>
          <w:lang w:eastAsia="de-DE" w:bidi="de-DE"/>
        </w:rPr>
        <w:t xml:space="preserve">Artikel 270 </w:t>
      </w:r>
      <w:r w:rsidR="00924788" w:rsidRPr="00924788">
        <w:rPr>
          <w:rFonts w:eastAsia="Calibri"/>
          <w:szCs w:val="22"/>
          <w:lang w:eastAsia="de-DE" w:bidi="de-DE"/>
        </w:rPr>
        <w:t xml:space="preserve">Absatz 1 </w:t>
      </w:r>
      <w:r w:rsidRPr="00F531CC">
        <w:rPr>
          <w:rFonts w:eastAsia="Calibri"/>
          <w:szCs w:val="22"/>
          <w:lang w:eastAsia="de-DE" w:bidi="de-DE"/>
        </w:rPr>
        <w:t>Nr. 1 bis 3 und 6</w:t>
      </w:r>
      <w:r w:rsidR="00924788">
        <w:rPr>
          <w:rFonts w:eastAsia="Calibri"/>
          <w:szCs w:val="22"/>
          <w:lang w:eastAsia="de-DE" w:bidi="de-DE"/>
        </w:rPr>
        <w:t>]</w:t>
      </w:r>
      <w:r w:rsidRPr="00F531CC">
        <w:rPr>
          <w:rFonts w:eastAsia="Calibri"/>
          <w:szCs w:val="22"/>
          <w:lang w:eastAsia="de-DE" w:bidi="de-DE"/>
        </w:rPr>
        <w:t xml:space="preserve"> des Einkommensteuergesetzbuches 1992 erwähnte Schuldner des Berufssteuervorabzugs für jeden Empfänger von Einkünften </w:t>
      </w:r>
      <w:r w:rsidR="00924788">
        <w:rPr>
          <w:rFonts w:eastAsia="Calibri"/>
          <w:szCs w:val="22"/>
          <w:lang w:eastAsia="de-DE" w:bidi="de-DE"/>
        </w:rPr>
        <w:t>[</w:t>
      </w:r>
      <w:r w:rsidR="00924788">
        <w:t>die in Artikel 57 desselben Gesetzbuches erwähnten Karten</w:t>
      </w:r>
      <w:r w:rsidR="00924788">
        <w:rPr>
          <w:rFonts w:eastAsia="Calibri"/>
          <w:szCs w:val="22"/>
          <w:lang w:eastAsia="de-DE" w:bidi="de-DE"/>
        </w:rPr>
        <w:t>]</w:t>
      </w:r>
      <w:r w:rsidRPr="00F531CC">
        <w:rPr>
          <w:rFonts w:eastAsia="Calibri"/>
          <w:szCs w:val="22"/>
          <w:lang w:eastAsia="de-DE" w:bidi="de-DE"/>
        </w:rPr>
        <w:t xml:space="preserve"> gemäß den vom Minister der Finanzen oder von seinem Beauftragten bestimmten Modalitäten elektronisch einreichen.</w:t>
      </w:r>
    </w:p>
    <w:p w14:paraId="28D2A7C3" w14:textId="77777777" w:rsidR="007D52CA" w:rsidRPr="00F531CC" w:rsidRDefault="007D52CA" w:rsidP="007D52CA">
      <w:pPr>
        <w:jc w:val="both"/>
        <w:rPr>
          <w:rFonts w:eastAsia="Calibri"/>
          <w:szCs w:val="22"/>
          <w:lang w:eastAsia="de-DE" w:bidi="de-DE"/>
        </w:rPr>
      </w:pPr>
    </w:p>
    <w:p w14:paraId="347AA0E8" w14:textId="113769B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2 - In § 1 erwähnte Schuldner sind von der Pflicht zur elektronischen Einreichung befreit, solange sie selbst oder gegebenenfalls die Person, die zur Einreichung dieser Karten </w:t>
      </w:r>
      <w:r w:rsidR="00523528" w:rsidRPr="00523528">
        <w:rPr>
          <w:rFonts w:eastAsia="Calibri"/>
          <w:szCs w:val="22"/>
          <w:lang w:eastAsia="de-DE" w:bidi="de-DE"/>
        </w:rPr>
        <w:t xml:space="preserve">[...] </w:t>
      </w:r>
      <w:r w:rsidRPr="00F531CC">
        <w:rPr>
          <w:rFonts w:eastAsia="Calibri"/>
          <w:szCs w:val="22"/>
          <w:lang w:eastAsia="de-DE" w:bidi="de-DE"/>
        </w:rPr>
        <w:t xml:space="preserve">bevollmächtigt ist, nicht über die zur Erfüllung dieser Pflicht erforderlichen Informatikmittel verfügen. In diesem Fall erfolgt die Einreichung dieser Karten </w:t>
      </w:r>
      <w:r w:rsidR="00523528" w:rsidRPr="00523528">
        <w:rPr>
          <w:rFonts w:eastAsia="Calibri"/>
          <w:szCs w:val="22"/>
          <w:lang w:eastAsia="de-DE" w:bidi="de-DE"/>
        </w:rPr>
        <w:t xml:space="preserve">[...] </w:t>
      </w:r>
      <w:r w:rsidRPr="00F531CC">
        <w:rPr>
          <w:rFonts w:eastAsia="Calibri"/>
          <w:szCs w:val="22"/>
          <w:lang w:eastAsia="de-DE" w:bidi="de-DE"/>
        </w:rPr>
        <w:t>entweder in Papierform oder auf Datenträger.</w:t>
      </w:r>
    </w:p>
    <w:p w14:paraId="5F7BBF8B" w14:textId="77777777" w:rsidR="007D52CA" w:rsidRPr="00F531CC" w:rsidRDefault="007D52CA" w:rsidP="007D52CA">
      <w:pPr>
        <w:jc w:val="both"/>
        <w:rPr>
          <w:rFonts w:eastAsia="Calibri"/>
          <w:szCs w:val="22"/>
          <w:lang w:eastAsia="de-DE" w:bidi="de-DE"/>
        </w:rPr>
      </w:pPr>
    </w:p>
    <w:p w14:paraId="29701A7A" w14:textId="6C8ADBBC"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Der Minister der Finanzen oder sein Beauftragter legt das Muster der Karten </w:t>
      </w:r>
      <w:r w:rsidR="00523528" w:rsidRPr="00523528">
        <w:rPr>
          <w:rFonts w:eastAsia="Calibri"/>
          <w:szCs w:val="22"/>
          <w:lang w:eastAsia="de-DE" w:bidi="de-DE"/>
        </w:rPr>
        <w:t xml:space="preserve">[...] </w:t>
      </w:r>
      <w:r w:rsidRPr="00F531CC">
        <w:rPr>
          <w:rFonts w:eastAsia="Calibri"/>
          <w:szCs w:val="22"/>
          <w:lang w:eastAsia="de-DE" w:bidi="de-DE"/>
        </w:rPr>
        <w:t>fest und bestimmt die Modalitäten in Bezug auf ihre Einreichung.</w:t>
      </w:r>
    </w:p>
    <w:p w14:paraId="4CB49223" w14:textId="77777777" w:rsidR="007D52CA" w:rsidRPr="00F531CC" w:rsidRDefault="007D52CA" w:rsidP="007D52CA">
      <w:pPr>
        <w:jc w:val="both"/>
        <w:rPr>
          <w:rFonts w:eastAsia="Calibri"/>
          <w:szCs w:val="22"/>
          <w:lang w:eastAsia="de-DE" w:bidi="de-DE"/>
        </w:rPr>
      </w:pPr>
    </w:p>
    <w:p w14:paraId="46571E0F" w14:textId="58BB722A" w:rsidR="007D52CA" w:rsidRPr="00F531CC" w:rsidRDefault="007D52CA" w:rsidP="007D52CA">
      <w:pPr>
        <w:jc w:val="both"/>
        <w:rPr>
          <w:rFonts w:eastAsia="Calibri"/>
          <w:szCs w:val="22"/>
          <w:lang w:eastAsia="de-DE" w:bidi="de-DE"/>
        </w:rPr>
      </w:pPr>
      <w:r w:rsidRPr="00F531CC">
        <w:rPr>
          <w:rFonts w:eastAsia="Calibri"/>
          <w:szCs w:val="22"/>
          <w:lang w:eastAsia="de-DE" w:bidi="de-DE"/>
        </w:rPr>
        <w:tab/>
        <w:t>§ 3 </w:t>
      </w:r>
      <w:r w:rsidR="00D53C50">
        <w:rPr>
          <w:rFonts w:eastAsia="Calibri"/>
          <w:szCs w:val="22"/>
          <w:lang w:eastAsia="de-DE" w:bidi="de-DE"/>
        </w:rPr>
        <w:t>-</w:t>
      </w:r>
      <w:r w:rsidRPr="00F531CC">
        <w:rPr>
          <w:rFonts w:eastAsia="Calibri"/>
          <w:szCs w:val="22"/>
          <w:lang w:eastAsia="de-DE" w:bidi="de-DE"/>
        </w:rPr>
        <w:t xml:space="preserve"> </w:t>
      </w:r>
      <w:r w:rsidR="00523528">
        <w:rPr>
          <w:rFonts w:eastAsia="Calibri"/>
          <w:szCs w:val="22"/>
          <w:lang w:eastAsia="de-DE" w:bidi="de-DE"/>
        </w:rPr>
        <w:t>[...]</w:t>
      </w:r>
    </w:p>
    <w:p w14:paraId="1728FB05" w14:textId="77777777" w:rsidR="007D52CA" w:rsidRPr="00F531CC" w:rsidRDefault="007D52CA" w:rsidP="007D52CA">
      <w:pPr>
        <w:jc w:val="both"/>
        <w:rPr>
          <w:rFonts w:eastAsia="Calibri"/>
          <w:szCs w:val="22"/>
          <w:lang w:eastAsia="de-DE" w:bidi="de-DE"/>
        </w:rPr>
      </w:pPr>
    </w:p>
    <w:p w14:paraId="1A32B2EE" w14:textId="5A845E36" w:rsidR="007D52CA" w:rsidRDefault="007D52CA" w:rsidP="007D52CA">
      <w:pPr>
        <w:jc w:val="both"/>
        <w:rPr>
          <w:rFonts w:eastAsia="Calibri"/>
          <w:szCs w:val="22"/>
          <w:lang w:eastAsia="de-DE" w:bidi="de-DE"/>
        </w:rPr>
      </w:pPr>
      <w:r w:rsidRPr="00F531CC">
        <w:rPr>
          <w:rFonts w:eastAsia="Calibri"/>
          <w:szCs w:val="22"/>
          <w:lang w:eastAsia="de-DE" w:bidi="de-DE"/>
        </w:rPr>
        <w:tab/>
        <w:t xml:space="preserve">§ 4 - Der Minister der Finanzen oder sein Beauftragter kann auf schriftlichen und mit Gründen versehenen Antrag Behörden, öffentliche Einrichtungen und Stellen in Grenzen und unter Bedingungen, die er festlegt, für Pensionen und Sozialleistungen, deren Betrag den steuerpflichtigen Mindestbetrag nicht erreicht, von der Einreichung der in vorliegendem Artikel erwähnten Karten </w:t>
      </w:r>
      <w:r w:rsidR="00523528" w:rsidRPr="00523528">
        <w:rPr>
          <w:rFonts w:eastAsia="Calibri"/>
          <w:szCs w:val="22"/>
          <w:lang w:eastAsia="de-DE" w:bidi="de-DE"/>
        </w:rPr>
        <w:t xml:space="preserve">[...] </w:t>
      </w:r>
      <w:r w:rsidRPr="00F531CC">
        <w:rPr>
          <w:rFonts w:eastAsia="Calibri"/>
          <w:szCs w:val="22"/>
          <w:lang w:eastAsia="de-DE" w:bidi="de-DE"/>
        </w:rPr>
        <w:t>befreien.</w:t>
      </w:r>
    </w:p>
    <w:p w14:paraId="74FF7ABA" w14:textId="0814221E" w:rsidR="0086766B" w:rsidRDefault="0086766B" w:rsidP="007D52CA">
      <w:pPr>
        <w:jc w:val="both"/>
        <w:rPr>
          <w:rFonts w:eastAsia="Calibri"/>
          <w:szCs w:val="22"/>
          <w:lang w:eastAsia="de-DE" w:bidi="de-DE"/>
        </w:rPr>
      </w:pPr>
    </w:p>
    <w:p w14:paraId="076D85C9" w14:textId="4F2AF24B" w:rsidR="0086766B" w:rsidRPr="00F531CC" w:rsidRDefault="0086766B" w:rsidP="007D52CA">
      <w:pPr>
        <w:jc w:val="both"/>
        <w:rPr>
          <w:rFonts w:eastAsia="Calibri"/>
          <w:szCs w:val="22"/>
          <w:lang w:eastAsia="de-DE" w:bidi="de-DE"/>
        </w:rPr>
      </w:pPr>
      <w:r>
        <w:rPr>
          <w:rFonts w:eastAsia="Calibri"/>
          <w:szCs w:val="22"/>
          <w:lang w:eastAsia="de-DE" w:bidi="de-DE"/>
        </w:rPr>
        <w:tab/>
        <w:t>[</w:t>
      </w:r>
      <w:r w:rsidRPr="001E70FB">
        <w:t>Einrichtungen, die Pensionen zahlen oder zuerkennen, die in Anwendung von Artikel 230 Absatz 1 Nr. 4</w:t>
      </w:r>
      <w:r w:rsidRPr="001E70FB">
        <w:rPr>
          <w:i/>
        </w:rPr>
        <w:t>bis</w:t>
      </w:r>
      <w:r w:rsidRPr="001E70FB">
        <w:t xml:space="preserve"> des Einkommensteuergesetzbuches 1992 von der Einkommen</w:t>
      </w:r>
      <w:r w:rsidRPr="001E70FB">
        <w:softHyphen/>
        <w:t xml:space="preserve">steuer befreit sind, sind von der Einreichung der in vorliegendem Artikel erwähnten Karten </w:t>
      </w:r>
      <w:r w:rsidR="00523528" w:rsidRPr="00523528">
        <w:rPr>
          <w:lang w:bidi="de-DE"/>
        </w:rPr>
        <w:t xml:space="preserve">[...] </w:t>
      </w:r>
      <w:r w:rsidRPr="001E70FB">
        <w:t>für diese Pensionen befreit, wenn bereits eine Karte wie in Artikel 321</w:t>
      </w:r>
      <w:r w:rsidRPr="001E70FB">
        <w:rPr>
          <w:i/>
        </w:rPr>
        <w:t>ter</w:t>
      </w:r>
      <w:r w:rsidRPr="001E70FB">
        <w:t xml:space="preserve"> desselben Gesetzbuches erwähnt eingereicht worden ist.</w:t>
      </w:r>
      <w:r>
        <w:rPr>
          <w:rFonts w:eastAsia="Calibri"/>
          <w:szCs w:val="22"/>
          <w:lang w:eastAsia="de-DE" w:bidi="de-DE"/>
        </w:rPr>
        <w:t>]</w:t>
      </w:r>
    </w:p>
    <w:p w14:paraId="26070C36" w14:textId="77777777" w:rsidR="007D52CA" w:rsidRPr="00F531CC" w:rsidRDefault="007D52CA" w:rsidP="007D52CA">
      <w:pPr>
        <w:jc w:val="both"/>
        <w:rPr>
          <w:rFonts w:eastAsia="Calibri"/>
          <w:szCs w:val="22"/>
          <w:lang w:eastAsia="de-DE" w:bidi="de-DE"/>
        </w:rPr>
      </w:pPr>
    </w:p>
    <w:p w14:paraId="776C2C7C" w14:textId="6FA8AB2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5 - In </w:t>
      </w:r>
      <w:r w:rsidR="00523528">
        <w:rPr>
          <w:rFonts w:eastAsia="Calibri"/>
          <w:szCs w:val="22"/>
          <w:lang w:eastAsia="de-DE" w:bidi="de-DE"/>
        </w:rPr>
        <w:t>[</w:t>
      </w:r>
      <w:r w:rsidRPr="00F531CC">
        <w:rPr>
          <w:rFonts w:eastAsia="Calibri"/>
          <w:szCs w:val="22"/>
          <w:lang w:eastAsia="de-DE" w:bidi="de-DE"/>
        </w:rPr>
        <w:t xml:space="preserve">Artikel 270 </w:t>
      </w:r>
      <w:r w:rsidR="00523528" w:rsidRPr="00523528">
        <w:rPr>
          <w:rFonts w:eastAsia="Calibri"/>
          <w:szCs w:val="22"/>
          <w:lang w:eastAsia="de-DE" w:bidi="de-DE"/>
        </w:rPr>
        <w:t xml:space="preserve">Absatz 1 </w:t>
      </w:r>
      <w:r w:rsidRPr="00F531CC">
        <w:rPr>
          <w:rFonts w:eastAsia="Calibri"/>
          <w:szCs w:val="22"/>
          <w:lang w:eastAsia="de-DE" w:bidi="de-DE"/>
        </w:rPr>
        <w:t>Nr. 4</w:t>
      </w:r>
      <w:r w:rsidR="00523528">
        <w:rPr>
          <w:rFonts w:eastAsia="Calibri"/>
          <w:szCs w:val="22"/>
          <w:lang w:eastAsia="de-DE" w:bidi="de-DE"/>
        </w:rPr>
        <w:t>]</w:t>
      </w:r>
      <w:r w:rsidRPr="00F531CC">
        <w:rPr>
          <w:rFonts w:eastAsia="Calibri"/>
          <w:szCs w:val="22"/>
          <w:lang w:eastAsia="de-DE" w:bidi="de-DE"/>
        </w:rPr>
        <w:t xml:space="preserve"> des Einkommensteuergesetzbuches 1992 erwähnte Schuldner des Berufssteuervorabzugs müssen eine besondere Aufstellung erstellen, deren Muster vom Minister der Finanzen oder von seinem Beauftragten festgelegt wird.</w:t>
      </w:r>
    </w:p>
    <w:p w14:paraId="0BF38C15" w14:textId="77777777" w:rsidR="007D52CA" w:rsidRPr="00F531CC" w:rsidRDefault="007D52CA" w:rsidP="007D52CA">
      <w:pPr>
        <w:jc w:val="both"/>
        <w:rPr>
          <w:rFonts w:eastAsia="Calibri"/>
          <w:szCs w:val="22"/>
          <w:lang w:eastAsia="de-DE" w:bidi="de-DE"/>
        </w:rPr>
      </w:pPr>
    </w:p>
    <w:p w14:paraId="1951BEF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Der Minister der Finanzen oder sein Beauftragter kann dazu verpflichten, diese besondere Aufstellung vorbehaltlich einer eventuell von ihm gewährten Befreiung elektronisch einzureichen, und die Modalitäten in Bezug auf ihre Einreichung festlegen.]</w:t>
      </w:r>
    </w:p>
    <w:p w14:paraId="70190D68" w14:textId="77777777" w:rsidR="007D52CA" w:rsidRPr="00F531CC" w:rsidRDefault="007D52CA" w:rsidP="007D52CA">
      <w:pPr>
        <w:jc w:val="both"/>
        <w:rPr>
          <w:rFonts w:eastAsia="Calibri"/>
          <w:szCs w:val="22"/>
          <w:lang w:eastAsia="de-DE" w:bidi="de-DE"/>
        </w:rPr>
      </w:pPr>
    </w:p>
    <w:p w14:paraId="0C2447A5" w14:textId="1ABBC446" w:rsidR="007D52CA" w:rsidRPr="0086766B" w:rsidRDefault="007D52CA" w:rsidP="007D52CA">
      <w:pPr>
        <w:jc w:val="both"/>
        <w:rPr>
          <w:rFonts w:eastAsia="Calibri"/>
          <w:szCs w:val="22"/>
          <w:lang w:eastAsia="de-DE" w:bidi="de-DE"/>
        </w:rPr>
      </w:pPr>
      <w:r w:rsidRPr="00F531CC">
        <w:rPr>
          <w:rFonts w:eastAsia="Calibri"/>
          <w:i/>
          <w:szCs w:val="22"/>
          <w:lang w:eastAsia="de-DE" w:bidi="de-DE"/>
        </w:rPr>
        <w:t>[Art. 92 ersetzt durch Art. 4 des K.E. vom 3. </w:t>
      </w:r>
      <w:r w:rsidRPr="00285271">
        <w:rPr>
          <w:rFonts w:eastAsia="Calibri"/>
          <w:i/>
          <w:szCs w:val="22"/>
          <w:lang w:eastAsia="de-DE" w:bidi="de-DE"/>
        </w:rPr>
        <w:t>Juni 2007 (I) (B.S. vom 14. </w:t>
      </w:r>
      <w:r w:rsidRPr="0086766B">
        <w:rPr>
          <w:rFonts w:eastAsia="Calibri"/>
          <w:i/>
          <w:szCs w:val="22"/>
          <w:lang w:eastAsia="de-DE" w:bidi="de-DE"/>
        </w:rPr>
        <w:t>Juni 2007)</w:t>
      </w:r>
      <w:r w:rsidR="0086766B" w:rsidRPr="0086766B">
        <w:rPr>
          <w:rFonts w:eastAsia="Calibri"/>
          <w:i/>
          <w:szCs w:val="22"/>
          <w:lang w:eastAsia="de-DE" w:bidi="de-DE"/>
        </w:rPr>
        <w:t xml:space="preserve">; </w:t>
      </w:r>
      <w:r w:rsidR="00523528">
        <w:rPr>
          <w:rFonts w:eastAsia="Calibri"/>
          <w:i/>
          <w:szCs w:val="22"/>
          <w:lang w:eastAsia="de-DE" w:bidi="de-DE"/>
        </w:rPr>
        <w:t>§ 1 abgeändert durch Art. 6 Nr. 1 und 2</w:t>
      </w:r>
      <w:r w:rsidR="00523528" w:rsidRPr="00523528">
        <w:rPr>
          <w:rFonts w:eastAsia="Calibri"/>
          <w:i/>
          <w:szCs w:val="22"/>
          <w:lang w:eastAsia="de-DE" w:bidi="de-DE"/>
        </w:rPr>
        <w:t xml:space="preserve"> des K.E. vom 13. März 2023 (B.S. vom 17. März 2023)</w:t>
      </w:r>
      <w:r w:rsidR="00523528">
        <w:rPr>
          <w:rFonts w:eastAsia="Calibri"/>
          <w:i/>
          <w:szCs w:val="22"/>
          <w:lang w:eastAsia="de-DE" w:bidi="de-DE"/>
        </w:rPr>
        <w:t>; § 2 Abs. 1 abgeändert durch Art. 6 Nr. 3</w:t>
      </w:r>
      <w:r w:rsidR="00523528" w:rsidRPr="00523528">
        <w:rPr>
          <w:rFonts w:eastAsia="Calibri"/>
          <w:i/>
          <w:szCs w:val="22"/>
          <w:lang w:eastAsia="de-DE" w:bidi="de-DE"/>
        </w:rPr>
        <w:t xml:space="preserve"> des K.E. vom 13. März 2023 (B.S. vom 17. März 2023)</w:t>
      </w:r>
      <w:r w:rsidR="00523528">
        <w:rPr>
          <w:rFonts w:eastAsia="Calibri"/>
          <w:i/>
          <w:szCs w:val="22"/>
          <w:lang w:eastAsia="de-DE" w:bidi="de-DE"/>
        </w:rPr>
        <w:t>; § 2 Abs. 2 abgeändert durch Art. 6 Nr. 4</w:t>
      </w:r>
      <w:r w:rsidR="00523528" w:rsidRPr="00523528">
        <w:rPr>
          <w:rFonts w:eastAsia="Calibri"/>
          <w:i/>
          <w:szCs w:val="22"/>
          <w:lang w:eastAsia="de-DE" w:bidi="de-DE"/>
        </w:rPr>
        <w:t xml:space="preserve"> des K.E. vom 13. März 2023 (B.S. vom 17. März 2023)</w:t>
      </w:r>
      <w:r w:rsidR="00523528">
        <w:rPr>
          <w:rFonts w:eastAsia="Calibri"/>
          <w:i/>
          <w:szCs w:val="22"/>
          <w:lang w:eastAsia="de-DE" w:bidi="de-DE"/>
        </w:rPr>
        <w:t>; § 3 aufgehoben durch Art. 6 Nr. 5</w:t>
      </w:r>
      <w:r w:rsidR="00523528" w:rsidRPr="00523528">
        <w:rPr>
          <w:rFonts w:eastAsia="Calibri"/>
          <w:i/>
          <w:szCs w:val="22"/>
          <w:lang w:eastAsia="de-DE" w:bidi="de-DE"/>
        </w:rPr>
        <w:t xml:space="preserve"> des K.E. vom 13. März 2023 (B.S. vom 17. März 2023)</w:t>
      </w:r>
      <w:r w:rsidR="00523528">
        <w:rPr>
          <w:rFonts w:eastAsia="Calibri"/>
          <w:i/>
          <w:szCs w:val="22"/>
          <w:lang w:eastAsia="de-DE" w:bidi="de-DE"/>
        </w:rPr>
        <w:t>; § 4 Abs. 1 abgeändert durch Art. 6 Nr. 6</w:t>
      </w:r>
      <w:r w:rsidR="00523528" w:rsidRPr="00523528">
        <w:rPr>
          <w:rFonts w:eastAsia="Calibri"/>
          <w:i/>
          <w:szCs w:val="22"/>
          <w:lang w:eastAsia="de-DE" w:bidi="de-DE"/>
        </w:rPr>
        <w:t xml:space="preserve"> des K.E. vom 13. März 2023 (B.S. vom 17. März 2023)</w:t>
      </w:r>
      <w:r w:rsidR="00523528">
        <w:rPr>
          <w:rFonts w:eastAsia="Calibri"/>
          <w:i/>
          <w:szCs w:val="22"/>
          <w:lang w:eastAsia="de-DE" w:bidi="de-DE"/>
        </w:rPr>
        <w:t xml:space="preserve">; </w:t>
      </w:r>
      <w:r w:rsidR="0086766B" w:rsidRPr="0086766B">
        <w:rPr>
          <w:rFonts w:eastAsia="Calibri"/>
          <w:i/>
          <w:szCs w:val="22"/>
          <w:lang w:eastAsia="de-DE" w:bidi="de-DE"/>
        </w:rPr>
        <w:t>§ 4 Abs. 2 eingefügt durch Art. </w:t>
      </w:r>
      <w:r w:rsidR="0086766B">
        <w:rPr>
          <w:rFonts w:eastAsia="Calibri"/>
          <w:i/>
          <w:szCs w:val="22"/>
          <w:lang w:eastAsia="de-DE" w:bidi="de-DE"/>
        </w:rPr>
        <w:t>10 des K.E. vom 20. Dezember 2020 (I) (B.S. vom 29. Dezember 2020)</w:t>
      </w:r>
      <w:r w:rsidR="00523528">
        <w:rPr>
          <w:rFonts w:eastAsia="Calibri"/>
          <w:i/>
          <w:szCs w:val="22"/>
          <w:lang w:eastAsia="de-DE" w:bidi="de-DE"/>
        </w:rPr>
        <w:t xml:space="preserve"> und abgeändert durch Art. 6 Nr. 7</w:t>
      </w:r>
      <w:r w:rsidR="00523528" w:rsidRPr="00523528">
        <w:rPr>
          <w:rFonts w:eastAsia="Calibri"/>
          <w:i/>
          <w:szCs w:val="22"/>
          <w:lang w:eastAsia="de-DE" w:bidi="de-DE"/>
        </w:rPr>
        <w:t xml:space="preserve"> des K.E. vom 13. März 2023 (B.S. vom 17. März 2023)</w:t>
      </w:r>
      <w:r w:rsidR="00523528">
        <w:rPr>
          <w:rFonts w:eastAsia="Calibri"/>
          <w:i/>
          <w:szCs w:val="22"/>
          <w:lang w:eastAsia="de-DE" w:bidi="de-DE"/>
        </w:rPr>
        <w:t>; § 5 Abs. 1 abgeändert durch Art. 6 Nr. 8</w:t>
      </w:r>
      <w:r w:rsidR="00523528" w:rsidRPr="00523528">
        <w:rPr>
          <w:rFonts w:eastAsia="Calibri"/>
          <w:i/>
          <w:szCs w:val="22"/>
          <w:lang w:eastAsia="de-DE" w:bidi="de-DE"/>
        </w:rPr>
        <w:t xml:space="preserve"> des K.E. vom 13. März 2023 (B.S. vom 17. März 2023)</w:t>
      </w:r>
      <w:r w:rsidRPr="0086766B">
        <w:rPr>
          <w:rFonts w:eastAsia="Calibri"/>
          <w:i/>
          <w:szCs w:val="22"/>
          <w:lang w:eastAsia="de-DE" w:bidi="de-DE"/>
        </w:rPr>
        <w:t>]</w:t>
      </w:r>
    </w:p>
    <w:p w14:paraId="66DD37F7" w14:textId="77777777" w:rsidR="007D52CA" w:rsidRPr="0086766B" w:rsidRDefault="007D52CA" w:rsidP="007D52CA">
      <w:pPr>
        <w:jc w:val="both"/>
        <w:rPr>
          <w:rFonts w:eastAsia="Calibri"/>
          <w:szCs w:val="22"/>
          <w:lang w:eastAsia="de-DE" w:bidi="de-DE"/>
        </w:rPr>
      </w:pPr>
    </w:p>
    <w:p w14:paraId="4FB8F351" w14:textId="77777777" w:rsidR="007D52CA" w:rsidRPr="0086766B" w:rsidRDefault="007D52CA" w:rsidP="007D52CA">
      <w:pPr>
        <w:jc w:val="both"/>
        <w:rPr>
          <w:rFonts w:eastAsia="Calibri"/>
          <w:szCs w:val="22"/>
          <w:lang w:eastAsia="de-DE" w:bidi="de-DE"/>
        </w:rPr>
      </w:pPr>
    </w:p>
    <w:p w14:paraId="6CEE22EF" w14:textId="77777777" w:rsidR="00C17845" w:rsidRDefault="00C17845">
      <w:pPr>
        <w:rPr>
          <w:rFonts w:eastAsia="Calibri"/>
          <w:szCs w:val="22"/>
          <w:lang w:eastAsia="de-DE" w:bidi="de-DE"/>
        </w:rPr>
      </w:pPr>
      <w:r>
        <w:rPr>
          <w:rFonts w:eastAsia="Calibri"/>
          <w:szCs w:val="22"/>
          <w:lang w:eastAsia="de-DE" w:bidi="de-DE"/>
        </w:rPr>
        <w:br w:type="page"/>
      </w:r>
    </w:p>
    <w:p w14:paraId="41086318" w14:textId="51DED715" w:rsidR="009C06D0" w:rsidRPr="0086766B" w:rsidRDefault="009C06D0" w:rsidP="00DD3207">
      <w:pPr>
        <w:jc w:val="both"/>
        <w:rPr>
          <w:rFonts w:eastAsia="Calibri"/>
          <w:szCs w:val="22"/>
          <w:lang w:eastAsia="de-DE" w:bidi="de-DE"/>
        </w:rPr>
      </w:pPr>
      <w:r w:rsidRPr="0086766B">
        <w:rPr>
          <w:rFonts w:eastAsia="Calibri"/>
          <w:szCs w:val="22"/>
          <w:lang w:eastAsia="de-DE" w:bidi="de-DE"/>
        </w:rPr>
        <w:lastRenderedPageBreak/>
        <w:tab/>
        <w:t>[</w:t>
      </w:r>
      <w:r w:rsidRPr="0086766B">
        <w:rPr>
          <w:b/>
        </w:rPr>
        <w:t>Art. 92/1</w:t>
      </w:r>
      <w:r w:rsidRPr="0086766B">
        <w:t xml:space="preserve"> - </w:t>
      </w:r>
      <w:r w:rsidR="00DD3207" w:rsidRPr="0086766B">
        <w:t>[..</w:t>
      </w:r>
      <w:r w:rsidRPr="0086766B">
        <w:t>.</w:t>
      </w:r>
      <w:r w:rsidR="00DD3207" w:rsidRPr="0086766B">
        <w:t>]</w:t>
      </w:r>
      <w:r w:rsidRPr="0086766B">
        <w:rPr>
          <w:rFonts w:eastAsia="Calibri"/>
          <w:szCs w:val="22"/>
          <w:lang w:eastAsia="de-DE" w:bidi="de-DE"/>
        </w:rPr>
        <w:t>]</w:t>
      </w:r>
    </w:p>
    <w:p w14:paraId="79CE6E80" w14:textId="77777777" w:rsidR="009C06D0" w:rsidRPr="0086766B" w:rsidRDefault="009C06D0" w:rsidP="009C06D0">
      <w:pPr>
        <w:jc w:val="both"/>
        <w:rPr>
          <w:rFonts w:eastAsia="Calibri"/>
          <w:szCs w:val="22"/>
          <w:lang w:eastAsia="de-DE" w:bidi="de-DE"/>
        </w:rPr>
      </w:pPr>
    </w:p>
    <w:p w14:paraId="7F721C15" w14:textId="4BE9A9F0" w:rsidR="009C06D0" w:rsidRDefault="008C3D75" w:rsidP="009C06D0">
      <w:pPr>
        <w:jc w:val="both"/>
        <w:rPr>
          <w:rFonts w:eastAsia="Calibri"/>
          <w:i/>
          <w:szCs w:val="22"/>
          <w:lang w:eastAsia="de-DE" w:bidi="de-DE"/>
        </w:rPr>
      </w:pPr>
      <w:r>
        <w:rPr>
          <w:rFonts w:eastAsia="Calibri"/>
          <w:i/>
          <w:szCs w:val="22"/>
          <w:lang w:eastAsia="de-DE" w:bidi="de-DE"/>
        </w:rPr>
        <w:t>[Art. 92/1</w:t>
      </w:r>
      <w:r w:rsidR="009C06D0">
        <w:rPr>
          <w:rFonts w:eastAsia="Calibri"/>
          <w:i/>
          <w:szCs w:val="22"/>
          <w:lang w:eastAsia="de-DE" w:bidi="de-DE"/>
        </w:rPr>
        <w:t xml:space="preserve"> eingefügt durch Art. 4 des K.E. vom 12. Januar 2017</w:t>
      </w:r>
      <w:r w:rsidR="00B86FD1">
        <w:rPr>
          <w:rFonts w:eastAsia="Calibri"/>
          <w:i/>
          <w:szCs w:val="22"/>
          <w:lang w:eastAsia="de-DE" w:bidi="de-DE"/>
        </w:rPr>
        <w:t> (I)</w:t>
      </w:r>
      <w:r w:rsidR="009C06D0">
        <w:rPr>
          <w:rFonts w:eastAsia="Calibri"/>
          <w:i/>
          <w:szCs w:val="22"/>
          <w:lang w:eastAsia="de-DE" w:bidi="de-DE"/>
        </w:rPr>
        <w:t xml:space="preserve"> (B.S. vom 24. Januar 2017)</w:t>
      </w:r>
      <w:r w:rsidR="00DD3207">
        <w:rPr>
          <w:rFonts w:eastAsia="Calibri"/>
          <w:i/>
          <w:szCs w:val="22"/>
          <w:lang w:eastAsia="de-DE" w:bidi="de-DE"/>
        </w:rPr>
        <w:t xml:space="preserve"> und aufgehoben durch Art. 6 des K.E. vom 3. Juli 2019 (B.S. vom 12. Juli 2019)</w:t>
      </w:r>
      <w:r w:rsidR="009C06D0">
        <w:rPr>
          <w:rFonts w:eastAsia="Calibri"/>
          <w:i/>
          <w:szCs w:val="22"/>
          <w:lang w:eastAsia="de-DE" w:bidi="de-DE"/>
        </w:rPr>
        <w:t>]</w:t>
      </w:r>
    </w:p>
    <w:p w14:paraId="57AC4DEF" w14:textId="77777777" w:rsidR="009C06D0" w:rsidRDefault="009C06D0" w:rsidP="009C06D0">
      <w:pPr>
        <w:jc w:val="both"/>
        <w:rPr>
          <w:rFonts w:eastAsia="Calibri"/>
          <w:i/>
          <w:szCs w:val="22"/>
          <w:lang w:eastAsia="de-DE" w:bidi="de-DE"/>
        </w:rPr>
      </w:pPr>
    </w:p>
    <w:p w14:paraId="0836B0DB" w14:textId="77777777" w:rsidR="009C06D0" w:rsidRPr="009C06D0" w:rsidRDefault="009C06D0" w:rsidP="009C06D0">
      <w:pPr>
        <w:jc w:val="both"/>
        <w:rPr>
          <w:rFonts w:eastAsia="Calibri"/>
          <w:i/>
          <w:szCs w:val="22"/>
          <w:lang w:eastAsia="de-DE" w:bidi="de-DE"/>
        </w:rPr>
      </w:pPr>
    </w:p>
    <w:p w14:paraId="352B6BAB" w14:textId="657BCCFE" w:rsidR="007D52CA" w:rsidRPr="00F531CC" w:rsidRDefault="007D52CA" w:rsidP="007D52CA">
      <w:pPr>
        <w:jc w:val="both"/>
        <w:rPr>
          <w:rFonts w:eastAsia="Calibri"/>
          <w:szCs w:val="22"/>
          <w:lang w:eastAsia="de-DE" w:bidi="de-DE"/>
        </w:rPr>
      </w:pPr>
      <w:r w:rsidRPr="009C06D0">
        <w:rPr>
          <w:rFonts w:eastAsia="Calibri"/>
          <w:szCs w:val="22"/>
          <w:lang w:eastAsia="de-DE" w:bidi="de-DE"/>
        </w:rPr>
        <w:tab/>
      </w:r>
      <w:r w:rsidRPr="00F531CC">
        <w:rPr>
          <w:rFonts w:eastAsia="Calibri"/>
          <w:b/>
          <w:szCs w:val="22"/>
          <w:lang w:eastAsia="de-DE" w:bidi="de-DE"/>
        </w:rPr>
        <w:t>Art. 93</w:t>
      </w:r>
      <w:r w:rsidRPr="00F531CC">
        <w:rPr>
          <w:rFonts w:eastAsia="Calibri"/>
          <w:szCs w:val="22"/>
          <w:lang w:eastAsia="de-DE" w:bidi="de-DE"/>
        </w:rPr>
        <w:t xml:space="preserve"> - [§ 1 - Zur Untermauerung der gemäß den Artikeln 90 und 91 eingereichten Erklärungen müssen in </w:t>
      </w:r>
      <w:r w:rsidR="00523528">
        <w:rPr>
          <w:rFonts w:eastAsia="Calibri"/>
          <w:szCs w:val="22"/>
          <w:lang w:eastAsia="de-DE" w:bidi="de-DE"/>
        </w:rPr>
        <w:t>[</w:t>
      </w:r>
      <w:r w:rsidRPr="00F531CC">
        <w:rPr>
          <w:rFonts w:eastAsia="Calibri"/>
          <w:szCs w:val="22"/>
          <w:lang w:eastAsia="de-DE" w:bidi="de-DE"/>
        </w:rPr>
        <w:t xml:space="preserve">Artikel 270 </w:t>
      </w:r>
      <w:r w:rsidR="00523528" w:rsidRPr="00523528">
        <w:rPr>
          <w:rFonts w:eastAsia="Calibri"/>
          <w:szCs w:val="22"/>
          <w:lang w:eastAsia="de-DE" w:bidi="de-DE"/>
        </w:rPr>
        <w:t xml:space="preserve">Absatz 1 </w:t>
      </w:r>
      <w:r w:rsidRPr="00F531CC">
        <w:rPr>
          <w:rFonts w:eastAsia="Calibri"/>
          <w:szCs w:val="22"/>
          <w:lang w:eastAsia="de-DE" w:bidi="de-DE"/>
        </w:rPr>
        <w:t>Nr. 1 bis 3 und 6</w:t>
      </w:r>
      <w:r w:rsidR="00523528">
        <w:rPr>
          <w:rFonts w:eastAsia="Calibri"/>
          <w:szCs w:val="22"/>
          <w:lang w:eastAsia="de-DE" w:bidi="de-DE"/>
        </w:rPr>
        <w:t>]</w:t>
      </w:r>
      <w:r w:rsidRPr="00F531CC">
        <w:rPr>
          <w:rFonts w:eastAsia="Calibri"/>
          <w:szCs w:val="22"/>
          <w:lang w:eastAsia="de-DE" w:bidi="de-DE"/>
        </w:rPr>
        <w:t xml:space="preserve"> des Einkommensteuergesetzbuches 1992 erwähnte Schuldner des Berufssteuervorabzugs die in Artikel 92 erwähnten Karten </w:t>
      </w:r>
      <w:r w:rsidR="00523528" w:rsidRPr="00523528">
        <w:rPr>
          <w:rFonts w:eastAsia="Calibri"/>
          <w:szCs w:val="22"/>
          <w:lang w:eastAsia="de-DE" w:bidi="de-DE"/>
        </w:rPr>
        <w:t xml:space="preserve">[...] </w:t>
      </w:r>
      <w:r w:rsidRPr="00F531CC">
        <w:rPr>
          <w:rFonts w:eastAsia="Calibri"/>
          <w:szCs w:val="22"/>
          <w:lang w:eastAsia="de-DE" w:bidi="de-DE"/>
        </w:rPr>
        <w:t xml:space="preserve">vor dem 1. März des Jahres nach dem Jahr, auf das sich diese Karten </w:t>
      </w:r>
      <w:r w:rsidR="00523528" w:rsidRPr="00523528">
        <w:rPr>
          <w:rFonts w:eastAsia="Calibri"/>
          <w:szCs w:val="22"/>
          <w:lang w:eastAsia="de-DE" w:bidi="de-DE"/>
        </w:rPr>
        <w:t xml:space="preserve">[...] </w:t>
      </w:r>
      <w:r w:rsidRPr="00F531CC">
        <w:rPr>
          <w:rFonts w:eastAsia="Calibri"/>
          <w:szCs w:val="22"/>
          <w:lang w:eastAsia="de-DE" w:bidi="de-DE"/>
        </w:rPr>
        <w:t>beziehen, beim zuständigen Dienst einreichen.</w:t>
      </w:r>
    </w:p>
    <w:p w14:paraId="5DCE5C1B" w14:textId="77777777" w:rsidR="007D52CA" w:rsidRPr="00F531CC" w:rsidRDefault="007D52CA" w:rsidP="007D52CA">
      <w:pPr>
        <w:jc w:val="both"/>
        <w:rPr>
          <w:rFonts w:eastAsia="Calibri"/>
          <w:szCs w:val="22"/>
          <w:lang w:eastAsia="de-DE" w:bidi="de-DE"/>
        </w:rPr>
      </w:pPr>
    </w:p>
    <w:p w14:paraId="50B0619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In Absatz 1 erwähnte Schuldner des Berufssteuervorabzugs müssen vor dem 1. März jedem Empfänger von Einkünften eine ordnungsgemäß ausgefüllte Abschrift der Karte übermitteln, damit diese Empfänger gegebenenfalls ihre Erklärung zur Steuer der natürlichen Personen oder in Bezug auf die Steuer der Gebietsfremden ausfüllen können.</w:t>
      </w:r>
    </w:p>
    <w:p w14:paraId="199D636F" w14:textId="77777777" w:rsidR="007D52CA" w:rsidRPr="00F531CC" w:rsidRDefault="007D52CA" w:rsidP="007D52CA">
      <w:pPr>
        <w:jc w:val="both"/>
        <w:rPr>
          <w:rFonts w:eastAsia="Calibri"/>
          <w:szCs w:val="22"/>
          <w:lang w:eastAsia="de-DE" w:bidi="de-DE"/>
        </w:rPr>
      </w:pPr>
    </w:p>
    <w:p w14:paraId="45FC50EC" w14:textId="114966D0"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2 - In </w:t>
      </w:r>
      <w:r w:rsidR="00523528">
        <w:rPr>
          <w:rFonts w:eastAsia="Calibri"/>
          <w:szCs w:val="22"/>
          <w:lang w:eastAsia="de-DE" w:bidi="de-DE"/>
        </w:rPr>
        <w:t>[</w:t>
      </w:r>
      <w:r w:rsidRPr="00F531CC">
        <w:rPr>
          <w:rFonts w:eastAsia="Calibri"/>
          <w:szCs w:val="22"/>
          <w:lang w:eastAsia="de-DE" w:bidi="de-DE"/>
        </w:rPr>
        <w:t xml:space="preserve">Artikel 270 </w:t>
      </w:r>
      <w:r w:rsidR="00523528" w:rsidRPr="00523528">
        <w:rPr>
          <w:rFonts w:eastAsia="Calibri"/>
          <w:szCs w:val="22"/>
          <w:lang w:eastAsia="de-DE" w:bidi="de-DE"/>
        </w:rPr>
        <w:t xml:space="preserve">Absatz 1 </w:t>
      </w:r>
      <w:r w:rsidRPr="00F531CC">
        <w:rPr>
          <w:rFonts w:eastAsia="Calibri"/>
          <w:szCs w:val="22"/>
          <w:lang w:eastAsia="de-DE" w:bidi="de-DE"/>
        </w:rPr>
        <w:t>Nr. 4</w:t>
      </w:r>
      <w:r w:rsidR="00523528">
        <w:rPr>
          <w:rFonts w:eastAsia="Calibri"/>
          <w:szCs w:val="22"/>
          <w:lang w:eastAsia="de-DE" w:bidi="de-DE"/>
        </w:rPr>
        <w:t>]</w:t>
      </w:r>
      <w:r w:rsidRPr="00F531CC">
        <w:rPr>
          <w:rFonts w:eastAsia="Calibri"/>
          <w:szCs w:val="22"/>
          <w:lang w:eastAsia="de-DE" w:bidi="de-DE"/>
        </w:rPr>
        <w:t xml:space="preserve"> des Einkommensteuergesetzbuches 1992 erwähnte Schuldner des Berufssteuervorabzugs müssen zur Untermauerung der gemäß Artikel 90 § 4 eingereichten Erklärung die in Artikel 92 § 5 erwähnte besondere Aufstellung spätestens vier Monate nach Ablauf des Zeitraums, auf den sich die betreffende Aufstellung bezieht, bei dem gemäß Artikel 297 desselben Gesetzbuches bestimmten Kontrollzentrum "Ausland" einreichen.]</w:t>
      </w:r>
    </w:p>
    <w:p w14:paraId="7BB93F07" w14:textId="77777777" w:rsidR="007D52CA" w:rsidRPr="00F531CC" w:rsidRDefault="007D52CA" w:rsidP="007D52CA">
      <w:pPr>
        <w:jc w:val="both"/>
        <w:rPr>
          <w:rFonts w:eastAsia="Calibri"/>
          <w:szCs w:val="22"/>
          <w:lang w:eastAsia="de-DE" w:bidi="de-DE"/>
        </w:rPr>
      </w:pPr>
    </w:p>
    <w:p w14:paraId="0CB3F2D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3 - In Artikel 270 des Einkommensteuergesetzbuches 1992 erwähnte Schuldner des Berufssteuervorabzugs, die in Artikel 171 Nr. 1 Buchstabe </w:t>
      </w:r>
      <w:r w:rsidRPr="00F531CC">
        <w:rPr>
          <w:rFonts w:eastAsia="Calibri"/>
          <w:i/>
          <w:szCs w:val="22"/>
          <w:lang w:eastAsia="de-DE" w:bidi="de-DE"/>
        </w:rPr>
        <w:t>i)</w:t>
      </w:r>
      <w:r w:rsidRPr="00F531CC">
        <w:rPr>
          <w:rFonts w:eastAsia="Calibri"/>
          <w:szCs w:val="22"/>
          <w:lang w:eastAsia="de-DE" w:bidi="de-DE"/>
        </w:rPr>
        <w:t xml:space="preserve"> desselben Gesetzbuches erwähnten Steuerpflichtigen Berufseinkünfte zahlen oder zuerkennen, müssen eine Erklärung dieser Steuerpflichtigen, in der diese bescheinigen, die in Artikel 171 Nr. 1 Buchstabe </w:t>
      </w:r>
      <w:r w:rsidRPr="00F531CC">
        <w:rPr>
          <w:rFonts w:eastAsia="Calibri"/>
          <w:i/>
          <w:szCs w:val="22"/>
          <w:lang w:eastAsia="de-DE" w:bidi="de-DE"/>
        </w:rPr>
        <w:t>i)</w:t>
      </w:r>
      <w:r w:rsidRPr="00F531CC">
        <w:rPr>
          <w:rFonts w:eastAsia="Calibri"/>
          <w:szCs w:val="22"/>
          <w:lang w:eastAsia="de-DE" w:bidi="de-DE"/>
        </w:rPr>
        <w:t xml:space="preserve"> EStGB 92 erwähnte Bedingung zu erfüllen beziehungsweise nicht zu erfüllen, zur Verfügung der Verwaltung bereithalten.]</w:t>
      </w:r>
    </w:p>
    <w:p w14:paraId="6E771EC1" w14:textId="77777777" w:rsidR="007D52CA" w:rsidRPr="00F531CC" w:rsidRDefault="007D52CA" w:rsidP="007D52CA">
      <w:pPr>
        <w:jc w:val="both"/>
        <w:rPr>
          <w:rFonts w:eastAsia="Calibri"/>
          <w:szCs w:val="22"/>
          <w:lang w:eastAsia="de-DE" w:bidi="de-DE"/>
        </w:rPr>
      </w:pPr>
    </w:p>
    <w:p w14:paraId="6AE3C25B" w14:textId="02166D87" w:rsidR="007D52CA" w:rsidRPr="00F531CC" w:rsidRDefault="007D52CA" w:rsidP="007D52CA">
      <w:pPr>
        <w:jc w:val="both"/>
        <w:rPr>
          <w:rFonts w:eastAsia="Calibri"/>
          <w:szCs w:val="22"/>
          <w:lang w:eastAsia="de-DE" w:bidi="de-DE"/>
        </w:rPr>
      </w:pPr>
      <w:r w:rsidRPr="00F531CC">
        <w:rPr>
          <w:rFonts w:eastAsia="Calibri"/>
          <w:i/>
          <w:szCs w:val="22"/>
          <w:lang w:eastAsia="de-DE" w:bidi="de-DE"/>
        </w:rPr>
        <w:t xml:space="preserve">[Art. 93 ersetzt durch Art. 5 des K.E. vom 3. Juni 2007 (I) (B.S. vom 14. Juni 2007); </w:t>
      </w:r>
      <w:r w:rsidR="00523528">
        <w:rPr>
          <w:rFonts w:eastAsia="Calibri"/>
          <w:i/>
          <w:szCs w:val="22"/>
          <w:lang w:eastAsia="de-DE" w:bidi="de-DE"/>
        </w:rPr>
        <w:t>§ 1 Abs. 1 abgeändert durch Art. 7 Nr. 1 und 2</w:t>
      </w:r>
      <w:r w:rsidR="00523528" w:rsidRPr="00523528">
        <w:rPr>
          <w:rFonts w:eastAsia="Calibri"/>
          <w:i/>
          <w:szCs w:val="22"/>
          <w:lang w:eastAsia="de-DE" w:bidi="de-DE"/>
        </w:rPr>
        <w:t xml:space="preserve"> des K.E. vom 13. März 2023 (B.S. vom 17. März 2023)</w:t>
      </w:r>
      <w:r w:rsidR="00523528">
        <w:rPr>
          <w:rFonts w:eastAsia="Calibri"/>
          <w:i/>
          <w:szCs w:val="22"/>
          <w:lang w:eastAsia="de-DE" w:bidi="de-DE"/>
        </w:rPr>
        <w:t>; § 2 abgeändert durch Art. 7 Nr. 3</w:t>
      </w:r>
      <w:r w:rsidR="00523528" w:rsidRPr="00523528">
        <w:rPr>
          <w:rFonts w:eastAsia="Calibri"/>
          <w:i/>
          <w:szCs w:val="22"/>
          <w:lang w:eastAsia="de-DE" w:bidi="de-DE"/>
        </w:rPr>
        <w:t xml:space="preserve"> des K.E. vom 13. März 2023 (B.S. vom 17. März 2023)</w:t>
      </w:r>
      <w:r w:rsidR="00523528">
        <w:rPr>
          <w:rFonts w:eastAsia="Calibri"/>
          <w:i/>
          <w:szCs w:val="22"/>
          <w:lang w:eastAsia="de-DE" w:bidi="de-DE"/>
        </w:rPr>
        <w:t xml:space="preserve">; </w:t>
      </w:r>
      <w:r w:rsidRPr="00F531CC">
        <w:rPr>
          <w:rFonts w:eastAsia="Calibri"/>
          <w:i/>
          <w:szCs w:val="22"/>
          <w:lang w:eastAsia="de-DE" w:bidi="de-DE"/>
        </w:rPr>
        <w:t>§ 3 eingefügt durch Art. 6 des K.E. vom 7. Dezember 2007 (II) (B.S. vom 17. Dezember 2007)]</w:t>
      </w:r>
    </w:p>
    <w:p w14:paraId="3EA3FACB" w14:textId="3B36E0F0" w:rsidR="007D52CA" w:rsidRDefault="007D52CA" w:rsidP="007D52CA">
      <w:pPr>
        <w:jc w:val="both"/>
        <w:rPr>
          <w:rFonts w:eastAsia="Calibri"/>
          <w:szCs w:val="22"/>
          <w:lang w:eastAsia="de-DE" w:bidi="de-DE"/>
        </w:rPr>
      </w:pPr>
    </w:p>
    <w:p w14:paraId="2BC397A5" w14:textId="5BB031F0" w:rsidR="00E85F51" w:rsidRDefault="00E85F51">
      <w:pPr>
        <w:rPr>
          <w:rFonts w:eastAsia="Calibri"/>
          <w:szCs w:val="22"/>
          <w:lang w:eastAsia="de-DE" w:bidi="de-DE"/>
        </w:rPr>
      </w:pPr>
    </w:p>
    <w:p w14:paraId="099D728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94</w:t>
      </w:r>
      <w:r w:rsidRPr="00F531CC">
        <w:rPr>
          <w:rFonts w:eastAsia="Calibri"/>
          <w:szCs w:val="22"/>
          <w:lang w:eastAsia="de-DE" w:bidi="de-DE"/>
        </w:rPr>
        <w:t> - [Schuldner des Berufssteuervorabzugs können:</w:t>
      </w:r>
    </w:p>
    <w:p w14:paraId="783F79DC" w14:textId="77777777" w:rsidR="007D52CA" w:rsidRPr="00F531CC" w:rsidRDefault="007D52CA" w:rsidP="007D52CA">
      <w:pPr>
        <w:jc w:val="both"/>
        <w:rPr>
          <w:rFonts w:eastAsia="Calibri"/>
          <w:szCs w:val="22"/>
          <w:lang w:eastAsia="de-DE" w:bidi="de-DE"/>
        </w:rPr>
      </w:pPr>
    </w:p>
    <w:p w14:paraId="3632DE70" w14:textId="69ECA14F"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00B51E3E">
        <w:rPr>
          <w:rFonts w:eastAsia="Calibri"/>
          <w:szCs w:val="22"/>
          <w:lang w:eastAsia="de-DE" w:bidi="de-DE"/>
        </w:rPr>
        <w:t>[...]</w:t>
      </w:r>
    </w:p>
    <w:p w14:paraId="588C4FB8" w14:textId="77777777" w:rsidR="007D52CA" w:rsidRPr="00F531CC" w:rsidRDefault="007D52CA" w:rsidP="007D52CA">
      <w:pPr>
        <w:jc w:val="both"/>
        <w:rPr>
          <w:rFonts w:eastAsia="Calibri"/>
          <w:szCs w:val="22"/>
          <w:lang w:eastAsia="de-DE" w:bidi="de-DE"/>
        </w:rPr>
      </w:pPr>
    </w:p>
    <w:p w14:paraId="19DB284D" w14:textId="6BB491CB"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wenn sie gemäß der in Artikel 90 § 1 Absatz 3 erwähnten Befreiung die Erklärung zum Berufssteuervorabzug in Papierform einreichen, bei der </w:t>
      </w:r>
      <w:r w:rsidR="00523528">
        <w:rPr>
          <w:rFonts w:eastAsia="Calibri"/>
          <w:szCs w:val="22"/>
          <w:lang w:eastAsia="de-DE" w:bidi="de-DE"/>
        </w:rPr>
        <w:t>[</w:t>
      </w:r>
      <w:r w:rsidR="00523528" w:rsidRPr="00523528">
        <w:rPr>
          <w:rFonts w:eastAsia="Calibri"/>
          <w:szCs w:val="22"/>
          <w:lang w:eastAsia="de-DE" w:bidi="de-DE"/>
        </w:rPr>
        <w:t>Generalverwaltung Steuerwesen</w:t>
      </w:r>
      <w:r w:rsidR="00523528">
        <w:rPr>
          <w:rFonts w:eastAsia="Calibri"/>
          <w:szCs w:val="22"/>
          <w:lang w:eastAsia="de-DE" w:bidi="de-DE"/>
        </w:rPr>
        <w:t>]</w:t>
      </w:r>
      <w:r w:rsidRPr="00F531CC">
        <w:rPr>
          <w:rFonts w:eastAsia="Calibri"/>
          <w:szCs w:val="22"/>
          <w:lang w:eastAsia="de-DE" w:bidi="de-DE"/>
        </w:rPr>
        <w:t xml:space="preserve"> die kostenlose Übermittlung der für die Erstellung dieser Erklärungen erforderlichen Ausdrucke beantragen,</w:t>
      </w:r>
    </w:p>
    <w:p w14:paraId="07A5DF61" w14:textId="77777777" w:rsidR="007D52CA" w:rsidRPr="00F531CC" w:rsidRDefault="007D52CA" w:rsidP="007D52CA">
      <w:pPr>
        <w:jc w:val="both"/>
        <w:rPr>
          <w:rFonts w:eastAsia="Calibri"/>
          <w:szCs w:val="22"/>
          <w:lang w:eastAsia="de-DE" w:bidi="de-DE"/>
        </w:rPr>
      </w:pPr>
    </w:p>
    <w:p w14:paraId="017731B5" w14:textId="13A13D1D"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wenn sie gemäß der in Artikel 92 § 2 erwähnten Befreiung die in diesem Artikel erwähnten Karten </w:t>
      </w:r>
      <w:r w:rsidR="00523528" w:rsidRPr="00523528">
        <w:rPr>
          <w:rFonts w:eastAsia="Calibri"/>
          <w:szCs w:val="22"/>
          <w:lang w:eastAsia="de-DE" w:bidi="de-DE"/>
        </w:rPr>
        <w:t xml:space="preserve">[...] </w:t>
      </w:r>
      <w:r w:rsidRPr="00F531CC">
        <w:rPr>
          <w:rFonts w:eastAsia="Calibri"/>
          <w:szCs w:val="22"/>
          <w:lang w:eastAsia="de-DE" w:bidi="de-DE"/>
        </w:rPr>
        <w:t xml:space="preserve">in Papierform einreichen, bei der </w:t>
      </w:r>
      <w:r w:rsidR="00523528" w:rsidRPr="00523528">
        <w:rPr>
          <w:rFonts w:eastAsia="Calibri"/>
          <w:szCs w:val="22"/>
          <w:lang w:eastAsia="de-DE" w:bidi="de-DE"/>
        </w:rPr>
        <w:t xml:space="preserve">[Generalverwaltung Steuerwesen] </w:t>
      </w:r>
      <w:r w:rsidRPr="00F531CC">
        <w:rPr>
          <w:rFonts w:eastAsia="Calibri"/>
          <w:szCs w:val="22"/>
          <w:lang w:eastAsia="de-DE" w:bidi="de-DE"/>
        </w:rPr>
        <w:t xml:space="preserve">die kostenlose Übermittlung der für die Erstellung dieser Karten </w:t>
      </w:r>
      <w:r w:rsidR="00523528" w:rsidRPr="00523528">
        <w:rPr>
          <w:rFonts w:eastAsia="Calibri"/>
          <w:szCs w:val="22"/>
          <w:lang w:eastAsia="de-DE" w:bidi="de-DE"/>
        </w:rPr>
        <w:t xml:space="preserve">[...] </w:t>
      </w:r>
      <w:r w:rsidRPr="00F531CC">
        <w:rPr>
          <w:rFonts w:eastAsia="Calibri"/>
          <w:szCs w:val="22"/>
          <w:lang w:eastAsia="de-DE" w:bidi="de-DE"/>
        </w:rPr>
        <w:t>erforderlichen Ausdrucke beantragen,</w:t>
      </w:r>
    </w:p>
    <w:p w14:paraId="54BA9956" w14:textId="77777777" w:rsidR="007D52CA" w:rsidRPr="00F531CC" w:rsidRDefault="007D52CA" w:rsidP="007D52CA">
      <w:pPr>
        <w:jc w:val="both"/>
        <w:rPr>
          <w:rFonts w:eastAsia="Calibri"/>
          <w:szCs w:val="22"/>
          <w:lang w:eastAsia="de-DE" w:bidi="de-DE"/>
        </w:rPr>
      </w:pPr>
    </w:p>
    <w:p w14:paraId="15995502" w14:textId="32E85950"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bei der </w:t>
      </w:r>
      <w:r w:rsidR="00D53C50" w:rsidRPr="00D53C50">
        <w:rPr>
          <w:rFonts w:eastAsia="Calibri"/>
          <w:szCs w:val="22"/>
          <w:lang w:eastAsia="de-DE" w:bidi="de-DE"/>
        </w:rPr>
        <w:t xml:space="preserve">[Generalverwaltung Steuerwesen] </w:t>
      </w:r>
      <w:r w:rsidRPr="00F531CC">
        <w:rPr>
          <w:rFonts w:eastAsia="Calibri"/>
          <w:szCs w:val="22"/>
          <w:lang w:eastAsia="de-DE" w:bidi="de-DE"/>
        </w:rPr>
        <w:t>die kostenlose Übermittlung der Ausdrucke beantragen, die für die Erstellung der in Artikel 92 § 5 erwähnten besonderen Aufstellung erforderlich sind.</w:t>
      </w:r>
    </w:p>
    <w:p w14:paraId="365EE7B9" w14:textId="77777777" w:rsidR="007D52CA" w:rsidRPr="00F531CC" w:rsidRDefault="007D52CA" w:rsidP="007D52CA">
      <w:pPr>
        <w:jc w:val="both"/>
        <w:rPr>
          <w:rFonts w:eastAsia="Calibri"/>
          <w:szCs w:val="22"/>
          <w:lang w:eastAsia="de-DE" w:bidi="de-DE"/>
        </w:rPr>
      </w:pPr>
    </w:p>
    <w:p w14:paraId="71EC6E4F" w14:textId="0B11F52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Schuldner des Berufssteuervorabzugs, die gemäß der in Artikel 92 § 2 erwähnten Befreiung die dort erwähnten Karten </w:t>
      </w:r>
      <w:r w:rsidR="00523528" w:rsidRPr="00523528">
        <w:rPr>
          <w:rFonts w:eastAsia="Calibri"/>
          <w:szCs w:val="22"/>
          <w:lang w:eastAsia="de-DE" w:bidi="de-DE"/>
        </w:rPr>
        <w:t xml:space="preserve">[...] </w:t>
      </w:r>
      <w:r w:rsidRPr="00F531CC">
        <w:rPr>
          <w:rFonts w:eastAsia="Calibri"/>
          <w:szCs w:val="22"/>
          <w:lang w:eastAsia="de-DE" w:bidi="de-DE"/>
        </w:rPr>
        <w:t>in Papierform einreichen, dürfen darüber hinaus Ausdrucke verwenden, die von den vom Minister der Finanzen oder von seinem Beauftragten erstellten Mustern abweichen, sofern diese Ausdrucke dieselben Angaben enthalten und sie dasselbe Format aufweisen wie diese Muster.]</w:t>
      </w:r>
    </w:p>
    <w:p w14:paraId="1650BF31" w14:textId="77777777" w:rsidR="007D52CA" w:rsidRPr="00F531CC" w:rsidRDefault="007D52CA" w:rsidP="007D52CA">
      <w:pPr>
        <w:jc w:val="both"/>
        <w:rPr>
          <w:rFonts w:eastAsia="Calibri"/>
          <w:szCs w:val="22"/>
          <w:lang w:eastAsia="de-DE" w:bidi="de-DE"/>
        </w:rPr>
      </w:pPr>
    </w:p>
    <w:p w14:paraId="32C38342" w14:textId="0F6E2949" w:rsidR="007D52CA" w:rsidRPr="00C949AA" w:rsidRDefault="007D52CA" w:rsidP="007D52CA">
      <w:pPr>
        <w:jc w:val="both"/>
        <w:rPr>
          <w:rFonts w:eastAsia="Calibri"/>
          <w:szCs w:val="22"/>
          <w:lang w:eastAsia="de-DE" w:bidi="de-DE"/>
        </w:rPr>
      </w:pPr>
      <w:r w:rsidRPr="00F531CC">
        <w:rPr>
          <w:rFonts w:eastAsia="Calibri"/>
          <w:i/>
          <w:szCs w:val="22"/>
          <w:lang w:eastAsia="de-DE" w:bidi="de-DE"/>
        </w:rPr>
        <w:t>[Art. 94 ersetzt durch Art. 6 des K.E. vom 3. </w:t>
      </w:r>
      <w:r w:rsidRPr="00C949AA">
        <w:rPr>
          <w:rFonts w:eastAsia="Calibri"/>
          <w:i/>
          <w:szCs w:val="22"/>
          <w:lang w:eastAsia="de-DE" w:bidi="de-DE"/>
        </w:rPr>
        <w:t>Juni 2007 (I) (B.S. vom 14. Juni 2007)</w:t>
      </w:r>
      <w:r w:rsidR="00B51E3E">
        <w:rPr>
          <w:rFonts w:eastAsia="Calibri"/>
          <w:i/>
          <w:szCs w:val="22"/>
          <w:lang w:eastAsia="de-DE" w:bidi="de-DE"/>
        </w:rPr>
        <w:t>; Abs. 1 früherer erster Gedankenstrich aufgehoben durch Art. 5</w:t>
      </w:r>
      <w:r w:rsidR="00B51E3E" w:rsidRPr="00B51E3E">
        <w:rPr>
          <w:rFonts w:eastAsia="Calibri"/>
          <w:i/>
          <w:szCs w:val="22"/>
          <w:lang w:eastAsia="de-DE" w:bidi="de-DE"/>
        </w:rPr>
        <w:t xml:space="preserve"> </w:t>
      </w:r>
      <w:r w:rsidR="00B51E3E" w:rsidRPr="00B51E3E">
        <w:rPr>
          <w:rFonts w:eastAsia="Calibri"/>
          <w:i/>
          <w:iCs/>
          <w:szCs w:val="22"/>
          <w:lang w:eastAsia="de-DE" w:bidi="de-DE"/>
        </w:rPr>
        <w:t>des K.E. vom 19. Dezember 2022 (B.S. vom 22. Dezember 2022)</w:t>
      </w:r>
      <w:r w:rsidR="00523528">
        <w:rPr>
          <w:rFonts w:eastAsia="Calibri"/>
          <w:i/>
          <w:iCs/>
          <w:szCs w:val="22"/>
          <w:lang w:eastAsia="de-DE" w:bidi="de-DE"/>
        </w:rPr>
        <w:t>; Abs. 1 neuer erster Gedankenstrich abgeändert durch Art. 8 Nr. 2</w:t>
      </w:r>
      <w:r w:rsidR="00523528" w:rsidRPr="00523528">
        <w:rPr>
          <w:rFonts w:eastAsia="Calibri"/>
          <w:i/>
          <w:iCs/>
          <w:szCs w:val="22"/>
          <w:lang w:eastAsia="de-DE" w:bidi="de-DE"/>
        </w:rPr>
        <w:t xml:space="preserve"> des K.E. vom 13. März 2023 (B.S. vom 17. März 2023)</w:t>
      </w:r>
      <w:r w:rsidR="00523528">
        <w:rPr>
          <w:rFonts w:eastAsia="Calibri"/>
          <w:i/>
          <w:iCs/>
          <w:szCs w:val="22"/>
          <w:lang w:eastAsia="de-DE" w:bidi="de-DE"/>
        </w:rPr>
        <w:t>; Abs. 1 zweiter Gedankenstrich abgeändert durch Art. 8 Nr. 1 und 2</w:t>
      </w:r>
      <w:r w:rsidR="00523528" w:rsidRPr="00523528">
        <w:rPr>
          <w:rFonts w:eastAsia="Calibri"/>
          <w:i/>
          <w:iCs/>
          <w:szCs w:val="22"/>
          <w:lang w:eastAsia="de-DE" w:bidi="de-DE"/>
        </w:rPr>
        <w:t xml:space="preserve"> des K.E. vom 13. März 2023 (B.S. vom 17. März 2023)</w:t>
      </w:r>
      <w:r w:rsidR="00523528">
        <w:rPr>
          <w:rFonts w:eastAsia="Calibri"/>
          <w:i/>
          <w:iCs/>
          <w:szCs w:val="22"/>
          <w:lang w:eastAsia="de-DE" w:bidi="de-DE"/>
        </w:rPr>
        <w:t xml:space="preserve">; </w:t>
      </w:r>
      <w:r w:rsidR="00D53C50" w:rsidRPr="00D53C50">
        <w:rPr>
          <w:rFonts w:eastAsia="Calibri"/>
          <w:i/>
          <w:iCs/>
          <w:szCs w:val="22"/>
          <w:lang w:eastAsia="de-DE" w:bidi="de-DE"/>
        </w:rPr>
        <w:t xml:space="preserve">Abs. 1 dritter Gedankenstrich abgeändert durch Art. 8 Nr. 2 des K.E. vom 13. März 2023 (B.S. vom 17. März 2023); </w:t>
      </w:r>
      <w:r w:rsidR="00523528">
        <w:rPr>
          <w:rFonts w:eastAsia="Calibri"/>
          <w:i/>
          <w:iCs/>
          <w:szCs w:val="22"/>
          <w:lang w:eastAsia="de-DE" w:bidi="de-DE"/>
        </w:rPr>
        <w:t>Abs. 2 abgeändert durch Art. 8 Nr. 3</w:t>
      </w:r>
      <w:r w:rsidR="00523528" w:rsidRPr="00523528">
        <w:rPr>
          <w:rFonts w:eastAsia="Calibri"/>
          <w:i/>
          <w:iCs/>
          <w:szCs w:val="22"/>
          <w:lang w:eastAsia="de-DE" w:bidi="de-DE"/>
        </w:rPr>
        <w:t xml:space="preserve"> des K.E. vom 13. März 2023 (B.S. vom 17. März 2023)</w:t>
      </w:r>
      <w:r w:rsidRPr="00C949AA">
        <w:rPr>
          <w:rFonts w:eastAsia="Calibri"/>
          <w:i/>
          <w:szCs w:val="22"/>
          <w:lang w:eastAsia="de-DE" w:bidi="de-DE"/>
        </w:rPr>
        <w:t>]</w:t>
      </w:r>
    </w:p>
    <w:p w14:paraId="118F4742" w14:textId="77777777" w:rsidR="007D52CA" w:rsidRPr="00C949AA" w:rsidRDefault="007D52CA" w:rsidP="007D52CA">
      <w:pPr>
        <w:jc w:val="both"/>
        <w:rPr>
          <w:rFonts w:eastAsia="Calibri"/>
          <w:szCs w:val="22"/>
          <w:lang w:eastAsia="de-DE" w:bidi="de-DE"/>
        </w:rPr>
      </w:pPr>
    </w:p>
    <w:p w14:paraId="40AD5F02" w14:textId="77777777" w:rsidR="007D52CA" w:rsidRPr="00C949AA" w:rsidRDefault="007D52CA" w:rsidP="007D52CA">
      <w:pPr>
        <w:jc w:val="both"/>
        <w:rPr>
          <w:rFonts w:eastAsia="Calibri"/>
          <w:szCs w:val="22"/>
          <w:lang w:eastAsia="de-DE" w:bidi="de-DE"/>
        </w:rPr>
      </w:pPr>
    </w:p>
    <w:p w14:paraId="562293C3" w14:textId="77777777" w:rsidR="007D52CA" w:rsidRPr="00F531CC" w:rsidRDefault="007D52CA" w:rsidP="007D52CA">
      <w:pPr>
        <w:jc w:val="both"/>
        <w:rPr>
          <w:rFonts w:eastAsia="Calibri"/>
          <w:szCs w:val="22"/>
          <w:lang w:eastAsia="de-DE" w:bidi="de-DE"/>
        </w:rPr>
      </w:pPr>
      <w:r w:rsidRPr="00C949AA">
        <w:rPr>
          <w:rFonts w:eastAsia="Calibri"/>
          <w:szCs w:val="22"/>
          <w:lang w:eastAsia="de-DE" w:bidi="de-DE"/>
        </w:rPr>
        <w:tab/>
      </w:r>
      <w:r w:rsidRPr="00F531CC">
        <w:rPr>
          <w:rFonts w:eastAsia="Calibri"/>
          <w:b/>
          <w:szCs w:val="22"/>
          <w:lang w:eastAsia="de-DE" w:bidi="de-DE"/>
        </w:rPr>
        <w:t>Art. 95</w:t>
      </w:r>
      <w:r w:rsidRPr="00F531CC">
        <w:rPr>
          <w:rFonts w:eastAsia="Calibri"/>
          <w:szCs w:val="22"/>
          <w:lang w:eastAsia="de-DE" w:bidi="de-DE"/>
        </w:rPr>
        <w:t> - Für die Berechnung des Berufssteuervorabzugs wird der Betrag des steuerpflichtigen Einkommens [in Euro festgelegt und zu einem Cent abgerundet.]</w:t>
      </w:r>
    </w:p>
    <w:p w14:paraId="078B76FC" w14:textId="77777777" w:rsidR="007D52CA" w:rsidRPr="00F531CC" w:rsidRDefault="007D52CA" w:rsidP="007D52CA">
      <w:pPr>
        <w:jc w:val="both"/>
        <w:rPr>
          <w:rFonts w:eastAsia="Calibri"/>
          <w:szCs w:val="22"/>
          <w:lang w:eastAsia="de-DE" w:bidi="de-DE"/>
        </w:rPr>
      </w:pPr>
    </w:p>
    <w:p w14:paraId="79088DBF" w14:textId="77777777" w:rsidR="0086766B" w:rsidRDefault="007D52CA" w:rsidP="0086766B">
      <w:pPr>
        <w:jc w:val="both"/>
        <w:rPr>
          <w:rFonts w:eastAsia="Calibri"/>
          <w:i/>
          <w:szCs w:val="22"/>
          <w:lang w:eastAsia="de-DE" w:bidi="de-DE"/>
        </w:rPr>
      </w:pPr>
      <w:r w:rsidRPr="00F531CC">
        <w:rPr>
          <w:rFonts w:eastAsia="Calibri"/>
          <w:i/>
          <w:szCs w:val="22"/>
          <w:lang w:eastAsia="de-DE" w:bidi="de-DE"/>
        </w:rPr>
        <w:t>[Art. 95 abgeändert durch Art. 5 Nr. 6 des K.E. vom 20. Juli 2000 (B.S. vom 30. August 2000)]</w:t>
      </w:r>
    </w:p>
    <w:p w14:paraId="2F02A954" w14:textId="77777777" w:rsidR="0086766B" w:rsidRDefault="0086766B" w:rsidP="0086766B">
      <w:pPr>
        <w:jc w:val="both"/>
        <w:rPr>
          <w:rFonts w:eastAsia="Calibri"/>
          <w:i/>
          <w:szCs w:val="22"/>
          <w:lang w:eastAsia="de-DE" w:bidi="de-DE"/>
        </w:rPr>
      </w:pPr>
    </w:p>
    <w:p w14:paraId="2FBD0247" w14:textId="77777777" w:rsidR="0086766B" w:rsidRDefault="0086766B" w:rsidP="0086766B">
      <w:pPr>
        <w:jc w:val="both"/>
        <w:rPr>
          <w:rFonts w:eastAsia="Calibri"/>
          <w:i/>
          <w:szCs w:val="22"/>
          <w:lang w:eastAsia="de-DE" w:bidi="de-DE"/>
        </w:rPr>
      </w:pPr>
    </w:p>
    <w:p w14:paraId="59741E0C" w14:textId="77777777" w:rsidR="0086766B" w:rsidRPr="001E70FB" w:rsidRDefault="007D52CA" w:rsidP="0086766B">
      <w:pPr>
        <w:jc w:val="center"/>
      </w:pPr>
      <w:r w:rsidRPr="00F531CC">
        <w:rPr>
          <w:rFonts w:eastAsia="Calibri"/>
          <w:szCs w:val="22"/>
          <w:lang w:eastAsia="de-DE" w:bidi="de-DE"/>
        </w:rPr>
        <w:t>[</w:t>
      </w:r>
      <w:r w:rsidRPr="00F531CC">
        <w:rPr>
          <w:rFonts w:eastAsia="Calibri"/>
          <w:i/>
          <w:szCs w:val="22"/>
          <w:lang w:eastAsia="de-DE" w:bidi="de-DE"/>
        </w:rPr>
        <w:t>Abschnitt 2bis</w:t>
      </w:r>
      <w:r w:rsidRPr="00F531CC">
        <w:rPr>
          <w:rFonts w:eastAsia="Calibri"/>
          <w:szCs w:val="22"/>
          <w:lang w:eastAsia="de-DE" w:bidi="de-DE"/>
        </w:rPr>
        <w:t xml:space="preserve"> - [</w:t>
      </w:r>
      <w:r w:rsidR="0086766B" w:rsidRPr="001E70FB">
        <w:t>Befreiung von der Zahlung des Berufssteuervorabzugs</w:t>
      </w:r>
    </w:p>
    <w:p w14:paraId="56B192CB" w14:textId="77777777" w:rsidR="0086766B" w:rsidRPr="001E70FB" w:rsidRDefault="0086766B" w:rsidP="0086766B">
      <w:pPr>
        <w:jc w:val="both"/>
      </w:pPr>
    </w:p>
    <w:p w14:paraId="4BCD248C" w14:textId="7CFEAE4B" w:rsidR="007D52CA" w:rsidRPr="00F531CC" w:rsidRDefault="0086766B" w:rsidP="007D52CA">
      <w:pPr>
        <w:jc w:val="center"/>
        <w:rPr>
          <w:rFonts w:eastAsia="Calibri"/>
          <w:szCs w:val="22"/>
          <w:lang w:eastAsia="de-DE" w:bidi="de-DE"/>
        </w:rPr>
      </w:pPr>
      <w:r w:rsidRPr="001E70FB">
        <w:tab/>
        <w:t>(Einkommensteuergesetzbuch 1992, Artikel 275</w:t>
      </w:r>
      <w:r w:rsidRPr="001E70FB">
        <w:rPr>
          <w:vertAlign w:val="superscript"/>
        </w:rPr>
        <w:t>1</w:t>
      </w:r>
      <w:r w:rsidRPr="001E70FB">
        <w:t xml:space="preserve"> bis 275</w:t>
      </w:r>
      <w:r w:rsidRPr="001E70FB">
        <w:rPr>
          <w:vertAlign w:val="superscript"/>
        </w:rPr>
        <w:t>11</w:t>
      </w:r>
      <w:r w:rsidRPr="001E70FB">
        <w:t>)</w:t>
      </w:r>
      <w:r w:rsidR="007D52CA" w:rsidRPr="00F531CC">
        <w:rPr>
          <w:rFonts w:eastAsia="Calibri"/>
          <w:szCs w:val="22"/>
          <w:lang w:eastAsia="de-DE" w:bidi="de-DE"/>
        </w:rPr>
        <w:t>]</w:t>
      </w:r>
    </w:p>
    <w:p w14:paraId="17FFF37E" w14:textId="77777777" w:rsidR="007D52CA" w:rsidRPr="00F531CC" w:rsidRDefault="007D52CA" w:rsidP="007D52CA">
      <w:pPr>
        <w:jc w:val="both"/>
        <w:rPr>
          <w:rFonts w:eastAsia="Calibri"/>
          <w:szCs w:val="22"/>
          <w:lang w:eastAsia="de-DE" w:bidi="de-DE"/>
        </w:rPr>
      </w:pPr>
    </w:p>
    <w:p w14:paraId="512CDA13" w14:textId="3E910718" w:rsidR="007D52CA" w:rsidRPr="00F531CC" w:rsidRDefault="007D52CA" w:rsidP="007D52CA">
      <w:pPr>
        <w:jc w:val="both"/>
        <w:rPr>
          <w:rFonts w:eastAsia="Calibri"/>
          <w:i/>
          <w:szCs w:val="22"/>
          <w:lang w:eastAsia="de-DE" w:bidi="de-DE"/>
        </w:rPr>
      </w:pPr>
      <w:r w:rsidRPr="00F531CC">
        <w:rPr>
          <w:rFonts w:eastAsia="Calibri"/>
          <w:i/>
          <w:szCs w:val="22"/>
          <w:lang w:eastAsia="de-DE" w:bidi="de-DE"/>
        </w:rPr>
        <w:t>[Abschnitt 2bis mit den Artikeln 95</w:t>
      </w:r>
      <w:r w:rsidRPr="00F531CC">
        <w:rPr>
          <w:rFonts w:eastAsia="Calibri"/>
          <w:i/>
          <w:szCs w:val="22"/>
          <w:vertAlign w:val="superscript"/>
          <w:lang w:eastAsia="de-DE" w:bidi="de-DE"/>
        </w:rPr>
        <w:t>1</w:t>
      </w:r>
      <w:r w:rsidRPr="00F531CC">
        <w:rPr>
          <w:rFonts w:eastAsia="Calibri"/>
          <w:i/>
          <w:szCs w:val="22"/>
          <w:lang w:eastAsia="de-DE" w:bidi="de-DE"/>
        </w:rPr>
        <w:t xml:space="preserve"> und 95</w:t>
      </w:r>
      <w:r w:rsidRPr="00F531CC">
        <w:rPr>
          <w:rFonts w:eastAsia="Calibri"/>
          <w:i/>
          <w:szCs w:val="22"/>
          <w:vertAlign w:val="superscript"/>
          <w:lang w:eastAsia="de-DE" w:bidi="de-DE"/>
        </w:rPr>
        <w:t>2</w:t>
      </w:r>
      <w:r w:rsidRPr="00F531CC">
        <w:rPr>
          <w:rFonts w:eastAsia="Calibri"/>
          <w:i/>
          <w:szCs w:val="22"/>
          <w:lang w:eastAsia="de-DE" w:bidi="de-DE"/>
        </w:rPr>
        <w:t xml:space="preserve"> eingefügt durch Art. 2 des K.E. vom 22. August 2006 (B.S. vom 28. August 2006); Überschrift von Abschnitt 2bis ersetzt durch Art. </w:t>
      </w:r>
      <w:r w:rsidR="0086766B">
        <w:rPr>
          <w:rFonts w:eastAsia="Calibri"/>
          <w:i/>
          <w:szCs w:val="22"/>
          <w:lang w:eastAsia="de-DE" w:bidi="de-DE"/>
        </w:rPr>
        <w:t>11 des K.E. vom 20. Dezember 2020 (I) (B.S. vom 29. Dezember 2020)</w:t>
      </w:r>
      <w:r w:rsidRPr="00F531CC">
        <w:rPr>
          <w:rFonts w:eastAsia="Calibri"/>
          <w:i/>
          <w:szCs w:val="22"/>
          <w:lang w:eastAsia="de-DE" w:bidi="de-DE"/>
        </w:rPr>
        <w:t>]</w:t>
      </w:r>
    </w:p>
    <w:p w14:paraId="40B6F8AC" w14:textId="77777777" w:rsidR="007D52CA" w:rsidRPr="00F531CC" w:rsidRDefault="007D52CA" w:rsidP="007D52CA">
      <w:pPr>
        <w:jc w:val="both"/>
        <w:rPr>
          <w:rFonts w:eastAsia="Calibri"/>
          <w:szCs w:val="22"/>
          <w:lang w:eastAsia="de-DE" w:bidi="de-DE"/>
        </w:rPr>
      </w:pPr>
    </w:p>
    <w:p w14:paraId="466EBC4B" w14:textId="77777777" w:rsidR="007D52CA" w:rsidRPr="00F531CC" w:rsidRDefault="007D52CA" w:rsidP="007D52CA">
      <w:pPr>
        <w:jc w:val="both"/>
        <w:rPr>
          <w:rFonts w:eastAsia="Calibri"/>
          <w:szCs w:val="22"/>
          <w:lang w:eastAsia="de-DE" w:bidi="de-DE"/>
        </w:rPr>
      </w:pPr>
    </w:p>
    <w:p w14:paraId="213A72F9"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95</w:t>
      </w:r>
      <w:r w:rsidRPr="00F531CC">
        <w:rPr>
          <w:rFonts w:eastAsia="Calibri"/>
          <w:b/>
          <w:szCs w:val="22"/>
          <w:vertAlign w:val="superscript"/>
          <w:lang w:eastAsia="de-DE" w:bidi="de-DE"/>
        </w:rPr>
        <w:t>1</w:t>
      </w:r>
      <w:r w:rsidRPr="00F531CC">
        <w:rPr>
          <w:rFonts w:eastAsia="Calibri"/>
          <w:szCs w:val="22"/>
          <w:lang w:eastAsia="de-DE" w:bidi="de-DE"/>
        </w:rPr>
        <w:t> - [In Ausführung von Artikel 275</w:t>
      </w:r>
      <w:r w:rsidRPr="00F531CC">
        <w:rPr>
          <w:rFonts w:eastAsia="Calibri"/>
          <w:szCs w:val="22"/>
          <w:vertAlign w:val="superscript"/>
          <w:lang w:eastAsia="de-DE" w:bidi="de-DE"/>
        </w:rPr>
        <w:t>1</w:t>
      </w:r>
      <w:r w:rsidRPr="00F531CC">
        <w:rPr>
          <w:rFonts w:eastAsia="Calibri"/>
          <w:szCs w:val="22"/>
          <w:lang w:eastAsia="de-DE" w:bidi="de-DE"/>
        </w:rPr>
        <w:t xml:space="preserve"> Absatz 4 des Einkommensteuergesetz</w:t>
      </w:r>
      <w:r w:rsidRPr="00F531CC">
        <w:rPr>
          <w:rFonts w:eastAsia="Calibri"/>
          <w:szCs w:val="22"/>
          <w:lang w:eastAsia="de-DE" w:bidi="de-DE"/>
        </w:rPr>
        <w:softHyphen/>
        <w:t>buches 1992 wird der in Absatz 3 desselben Artikels erwähnte Prozentsatz von 24,75 Prozent erhöht auf:</w:t>
      </w:r>
    </w:p>
    <w:p w14:paraId="5A59793F" w14:textId="77777777" w:rsidR="007D52CA" w:rsidRPr="00F531CC" w:rsidRDefault="007D52CA" w:rsidP="007D52CA">
      <w:pPr>
        <w:jc w:val="both"/>
        <w:rPr>
          <w:rFonts w:eastAsia="Calibri"/>
          <w:szCs w:val="22"/>
          <w:lang w:eastAsia="de-DE" w:bidi="de-DE"/>
        </w:rPr>
      </w:pPr>
    </w:p>
    <w:p w14:paraId="358D47F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- 32,19 Prozent für geleistete Stunden, auf die eine gesetzliche Lohnzulage von 20 Prozent anwendbar ist,</w:t>
      </w:r>
    </w:p>
    <w:p w14:paraId="080EC605" w14:textId="77777777" w:rsidR="007D52CA" w:rsidRPr="00F531CC" w:rsidRDefault="007D52CA" w:rsidP="007D52CA">
      <w:pPr>
        <w:jc w:val="both"/>
        <w:rPr>
          <w:rFonts w:eastAsia="Calibri"/>
          <w:szCs w:val="22"/>
          <w:lang w:eastAsia="de-DE" w:bidi="de-DE"/>
        </w:rPr>
      </w:pPr>
    </w:p>
    <w:p w14:paraId="39CF67E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- 41,25 Prozent für geleistete Stunden, auf die eine gesetzliche Lohnzulage von 50 oder 100 Prozent anwendbar ist.]</w:t>
      </w:r>
    </w:p>
    <w:p w14:paraId="64D14089" w14:textId="77777777" w:rsidR="007D52CA" w:rsidRPr="00F531CC" w:rsidRDefault="007D52CA" w:rsidP="007D52CA">
      <w:pPr>
        <w:jc w:val="both"/>
        <w:rPr>
          <w:rFonts w:eastAsia="Calibri"/>
          <w:szCs w:val="22"/>
          <w:lang w:eastAsia="de-DE" w:bidi="de-DE"/>
        </w:rPr>
      </w:pPr>
    </w:p>
    <w:p w14:paraId="4AA5B62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p>
    <w:p w14:paraId="52494BE8" w14:textId="77777777" w:rsidR="007D52CA" w:rsidRPr="00F531CC" w:rsidRDefault="007D52CA" w:rsidP="007D52CA">
      <w:pPr>
        <w:jc w:val="both"/>
        <w:rPr>
          <w:rFonts w:eastAsia="Calibri"/>
          <w:szCs w:val="22"/>
          <w:lang w:eastAsia="de-DE" w:bidi="de-DE"/>
        </w:rPr>
      </w:pPr>
    </w:p>
    <w:p w14:paraId="60F1F26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p>
    <w:p w14:paraId="3CED1B35" w14:textId="77777777" w:rsidR="007D52CA" w:rsidRPr="00F531CC" w:rsidRDefault="007D52CA" w:rsidP="007D52CA">
      <w:pPr>
        <w:jc w:val="both"/>
        <w:rPr>
          <w:rFonts w:eastAsia="Calibri"/>
          <w:szCs w:val="22"/>
          <w:lang w:eastAsia="de-DE" w:bidi="de-DE"/>
        </w:rPr>
      </w:pPr>
    </w:p>
    <w:p w14:paraId="6F398629" w14:textId="4F8D8392"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w:t>
      </w:r>
      <w:r w:rsidR="0083719F">
        <w:rPr>
          <w:rFonts w:eastAsia="Calibri"/>
          <w:szCs w:val="22"/>
          <w:lang w:eastAsia="de-DE" w:bidi="de-DE"/>
        </w:rPr>
        <w:t>..</w:t>
      </w:r>
      <w:r w:rsidRPr="00F531CC">
        <w:rPr>
          <w:rFonts w:eastAsia="Calibri"/>
          <w:szCs w:val="22"/>
          <w:lang w:eastAsia="de-DE" w:bidi="de-DE"/>
        </w:rPr>
        <w:t>.]</w:t>
      </w:r>
    </w:p>
    <w:p w14:paraId="0CDCBECB" w14:textId="77777777" w:rsidR="007D52CA" w:rsidRPr="00F531CC" w:rsidRDefault="007D52CA" w:rsidP="007D52CA">
      <w:pPr>
        <w:jc w:val="both"/>
        <w:rPr>
          <w:rFonts w:eastAsia="Calibri"/>
          <w:szCs w:val="22"/>
          <w:lang w:eastAsia="de-DE" w:bidi="de-DE"/>
        </w:rPr>
      </w:pPr>
    </w:p>
    <w:p w14:paraId="0B903ACE" w14:textId="47AF8D81"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r w:rsidR="00D4642F">
        <w:rPr>
          <w:rFonts w:eastAsia="Calibri"/>
          <w:szCs w:val="22"/>
          <w:lang w:eastAsia="de-DE" w:bidi="de-DE"/>
        </w:rPr>
        <w:t>..</w:t>
      </w:r>
      <w:r w:rsidRPr="00F531CC">
        <w:rPr>
          <w:rFonts w:eastAsia="Calibri"/>
          <w:szCs w:val="22"/>
          <w:lang w:eastAsia="de-DE" w:bidi="de-DE"/>
        </w:rPr>
        <w:t>.]</w:t>
      </w:r>
    </w:p>
    <w:p w14:paraId="372CA822" w14:textId="77777777" w:rsidR="007D52CA" w:rsidRPr="00F531CC" w:rsidRDefault="007D52CA" w:rsidP="007D52CA">
      <w:pPr>
        <w:jc w:val="both"/>
        <w:rPr>
          <w:rFonts w:eastAsia="Calibri"/>
          <w:szCs w:val="22"/>
          <w:lang w:eastAsia="de-DE" w:bidi="de-DE"/>
        </w:rPr>
      </w:pPr>
    </w:p>
    <w:p w14:paraId="473AFC23" w14:textId="76BB2866" w:rsidR="007D52CA" w:rsidRPr="00F531CC" w:rsidRDefault="007D52CA" w:rsidP="007D52CA">
      <w:pPr>
        <w:jc w:val="both"/>
        <w:rPr>
          <w:rFonts w:eastAsia="Calibri"/>
          <w:szCs w:val="22"/>
          <w:lang w:eastAsia="de-DE" w:bidi="de-DE"/>
        </w:rPr>
      </w:pPr>
      <w:r w:rsidRPr="00F531CC">
        <w:rPr>
          <w:rFonts w:eastAsia="Calibri"/>
          <w:i/>
          <w:szCs w:val="22"/>
          <w:lang w:eastAsia="de-DE" w:bidi="de-DE"/>
        </w:rPr>
        <w:t>[Art. 95</w:t>
      </w:r>
      <w:r w:rsidRPr="00F531CC">
        <w:rPr>
          <w:rFonts w:eastAsia="Calibri"/>
          <w:i/>
          <w:szCs w:val="22"/>
          <w:vertAlign w:val="superscript"/>
          <w:lang w:eastAsia="de-DE" w:bidi="de-DE"/>
        </w:rPr>
        <w:t>1</w:t>
      </w:r>
      <w:r w:rsidRPr="00F531CC">
        <w:rPr>
          <w:rFonts w:eastAsia="Calibri"/>
          <w:i/>
          <w:szCs w:val="22"/>
          <w:lang w:eastAsia="de-DE" w:bidi="de-DE"/>
        </w:rPr>
        <w:t xml:space="preserve"> eingefügt durch Art. 2 Nr. 1 des K.E. vom 3. Juni 2007 (II) (B.S. vom 19. Juni 2007); früherer Absatz 2 aufgehoben durch Art. 1 Nr. 1 des K.E. vom 31. Juli 2009 (I) (B.S. vom 7. August 2009); früherer Absatz 3 eingefügt durch Art. 1 des K.E. vom 21. Dezember 2006 (II) (B.S. vom 29. Dezember 2006) und aufgehoben durch Art. 1 Nr. 2 des K.E. vom 31. Juli 2009 (I) (B.S. vom 7. August 2009); früherer Absatz 4 eingefügt durch Art. 1 des K.E. vom 20. Dezember 2007 (B.S. vom 31. Dezember 2007)</w:t>
      </w:r>
      <w:r w:rsidR="0083719F">
        <w:rPr>
          <w:rFonts w:eastAsia="Calibri"/>
          <w:i/>
          <w:szCs w:val="22"/>
          <w:lang w:eastAsia="de-DE" w:bidi="de-DE"/>
        </w:rPr>
        <w:t xml:space="preserve"> und aufgehoben durch Art. 3</w:t>
      </w:r>
      <w:r w:rsidR="0083719F">
        <w:rPr>
          <w:i/>
        </w:rPr>
        <w:t xml:space="preserve"> des G. vom 27. Dezember 2021 (B.S. vom 31. Dezember 2021)</w:t>
      </w:r>
      <w:r w:rsidRPr="00F531CC">
        <w:rPr>
          <w:rFonts w:eastAsia="Calibri"/>
          <w:i/>
          <w:szCs w:val="22"/>
          <w:lang w:eastAsia="de-DE" w:bidi="de-DE"/>
        </w:rPr>
        <w:t xml:space="preserve">; </w:t>
      </w:r>
      <w:r w:rsidR="0083719F">
        <w:rPr>
          <w:rFonts w:eastAsia="Calibri"/>
          <w:i/>
          <w:szCs w:val="22"/>
          <w:lang w:eastAsia="de-DE" w:bidi="de-DE"/>
        </w:rPr>
        <w:t>früherer Absatz 3</w:t>
      </w:r>
      <w:r w:rsidRPr="00F531CC">
        <w:rPr>
          <w:rFonts w:eastAsia="Calibri"/>
          <w:i/>
          <w:szCs w:val="22"/>
          <w:lang w:eastAsia="de-DE" w:bidi="de-DE"/>
        </w:rPr>
        <w:t xml:space="preserve"> eingefügt durch Art. 1 des K.E. vom 15. Dezember 2013 (II) (B.S. vom 20. Dezember 2013)</w:t>
      </w:r>
      <w:r w:rsidR="00D4642F">
        <w:rPr>
          <w:rFonts w:eastAsia="Calibri"/>
          <w:i/>
          <w:szCs w:val="22"/>
          <w:lang w:eastAsia="de-DE" w:bidi="de-DE"/>
        </w:rPr>
        <w:t xml:space="preserve"> und aufgehoben durch Art. 48 des G. vom 2. Mai 2019</w:t>
      </w:r>
      <w:r w:rsidR="00DF2D73">
        <w:rPr>
          <w:rFonts w:eastAsia="Calibri"/>
          <w:i/>
          <w:szCs w:val="22"/>
          <w:lang w:eastAsia="de-DE" w:bidi="de-DE"/>
        </w:rPr>
        <w:t> (III)</w:t>
      </w:r>
      <w:r w:rsidR="00D4642F">
        <w:rPr>
          <w:rFonts w:eastAsia="Calibri"/>
          <w:i/>
          <w:szCs w:val="22"/>
          <w:lang w:eastAsia="de-DE" w:bidi="de-DE"/>
        </w:rPr>
        <w:t xml:space="preserve"> (B.S. vom 15. Mai 2019)</w:t>
      </w:r>
      <w:r w:rsidRPr="00F531CC">
        <w:rPr>
          <w:rFonts w:eastAsia="Calibri"/>
          <w:i/>
          <w:szCs w:val="22"/>
          <w:lang w:eastAsia="de-DE" w:bidi="de-DE"/>
        </w:rPr>
        <w:t>]</w:t>
      </w:r>
    </w:p>
    <w:p w14:paraId="3CE7B81C" w14:textId="77777777" w:rsidR="007D52CA" w:rsidRPr="00F531CC" w:rsidRDefault="007D52CA" w:rsidP="007D52CA">
      <w:pPr>
        <w:jc w:val="both"/>
        <w:rPr>
          <w:rFonts w:eastAsia="Calibri"/>
          <w:szCs w:val="22"/>
          <w:lang w:eastAsia="de-DE" w:bidi="de-DE"/>
        </w:rPr>
      </w:pPr>
    </w:p>
    <w:p w14:paraId="208EEB82" w14:textId="77777777" w:rsidR="007D52CA" w:rsidRPr="00F531CC" w:rsidRDefault="007D52CA" w:rsidP="007D52CA">
      <w:pPr>
        <w:jc w:val="both"/>
        <w:rPr>
          <w:rFonts w:eastAsia="Calibri"/>
          <w:szCs w:val="22"/>
          <w:lang w:eastAsia="de-DE" w:bidi="de-DE"/>
        </w:rPr>
      </w:pPr>
    </w:p>
    <w:p w14:paraId="6337C619" w14:textId="77777777" w:rsidR="00DE7162" w:rsidRDefault="00DE7162" w:rsidP="00DE7162">
      <w:pPr>
        <w:jc w:val="both"/>
        <w:rPr>
          <w:rFonts w:eastAsia="Calibri"/>
          <w:szCs w:val="22"/>
          <w:lang w:eastAsia="de-DE" w:bidi="de-DE"/>
        </w:rPr>
      </w:pPr>
      <w:r>
        <w:rPr>
          <w:rFonts w:eastAsia="Calibri"/>
          <w:szCs w:val="22"/>
          <w:lang w:eastAsia="de-DE" w:bidi="de-DE"/>
        </w:rPr>
        <w:tab/>
      </w:r>
      <w:r>
        <w:rPr>
          <w:rFonts w:eastAsia="Calibri"/>
          <w:b/>
          <w:szCs w:val="22"/>
          <w:lang w:eastAsia="de-DE" w:bidi="de-DE"/>
        </w:rPr>
        <w:t>Art. 95</w:t>
      </w:r>
      <w:r>
        <w:rPr>
          <w:rFonts w:eastAsia="Calibri"/>
          <w:b/>
          <w:szCs w:val="22"/>
          <w:vertAlign w:val="superscript"/>
          <w:lang w:eastAsia="de-DE" w:bidi="de-DE"/>
        </w:rPr>
        <w:t>2</w:t>
      </w:r>
      <w:r>
        <w:rPr>
          <w:rFonts w:eastAsia="Calibri"/>
          <w:szCs w:val="22"/>
          <w:lang w:eastAsia="de-DE" w:bidi="de-DE"/>
        </w:rPr>
        <w:t> - § 1 - In [Absatz 3] erwähnte Schuldner des Berufssteuervorabzugs müssen für den Zeitraum, in dem sie Entlohnungen zuerkannt haben, für die sie den geschuldeten Berufssteuervorabzug der Staatskasse nicht oder nur teilweise zuführen müssen, zwei getrennte Erklärungen zum Berufssteuervorabzug einreichen unter Berücksichtigung der in den Paragraphen 2 und 3 erwähnten Unterscheidung.</w:t>
      </w:r>
    </w:p>
    <w:p w14:paraId="6DB7880B" w14:textId="77777777" w:rsidR="00DE7162" w:rsidRDefault="00DE7162" w:rsidP="00DE7162">
      <w:pPr>
        <w:jc w:val="both"/>
        <w:rPr>
          <w:rFonts w:eastAsia="Calibri"/>
          <w:szCs w:val="22"/>
          <w:lang w:eastAsia="de-DE" w:bidi="de-DE"/>
        </w:rPr>
      </w:pPr>
    </w:p>
    <w:p w14:paraId="34EAFB78" w14:textId="77777777" w:rsidR="00DE7162" w:rsidRDefault="00DE7162" w:rsidP="00DE7162">
      <w:pPr>
        <w:jc w:val="both"/>
        <w:rPr>
          <w:rFonts w:eastAsia="Calibri"/>
          <w:szCs w:val="22"/>
          <w:lang w:eastAsia="de-DE" w:bidi="de-DE"/>
        </w:rPr>
      </w:pPr>
      <w:r>
        <w:rPr>
          <w:rFonts w:eastAsia="Calibri"/>
          <w:szCs w:val="22"/>
          <w:lang w:eastAsia="de-DE" w:bidi="de-DE"/>
        </w:rPr>
        <w:tab/>
        <w:t>[In Artikel 275</w:t>
      </w:r>
      <w:r>
        <w:rPr>
          <w:rFonts w:eastAsia="Calibri"/>
          <w:szCs w:val="22"/>
          <w:vertAlign w:val="superscript"/>
          <w:lang w:eastAsia="de-DE" w:bidi="de-DE"/>
        </w:rPr>
        <w:t>7</w:t>
      </w:r>
      <w:r>
        <w:rPr>
          <w:rFonts w:eastAsia="Calibri"/>
          <w:szCs w:val="22"/>
          <w:lang w:eastAsia="de-DE" w:bidi="de-DE"/>
        </w:rPr>
        <w:t xml:space="preserve"> des Einkommensteuergesetzbuches 1992 erwähnte Arbeitgeber, die einerseits Arbeitnehmer beschäftigen, die den paritätischen Kommissionen und Unter</w:t>
      </w:r>
      <w:r>
        <w:rPr>
          <w:rFonts w:eastAsia="Calibri"/>
          <w:szCs w:val="22"/>
          <w:lang w:eastAsia="de-DE" w:bidi="de-DE"/>
        </w:rPr>
        <w:softHyphen/>
        <w:t>kommissionen unterstehen, die in Artikel 1 Nr. 1 Buchstabe </w:t>
      </w:r>
      <w:r>
        <w:rPr>
          <w:rFonts w:eastAsia="Calibri"/>
          <w:i/>
          <w:szCs w:val="22"/>
          <w:lang w:eastAsia="de-DE" w:bidi="de-DE"/>
        </w:rPr>
        <w:t>a)</w:t>
      </w:r>
      <w:r>
        <w:rPr>
          <w:rFonts w:eastAsia="Calibri"/>
          <w:szCs w:val="22"/>
          <w:lang w:eastAsia="de-DE" w:bidi="de-DE"/>
        </w:rPr>
        <w:t xml:space="preserve"> bis </w:t>
      </w:r>
      <w:r>
        <w:rPr>
          <w:rFonts w:eastAsia="Calibri"/>
          <w:i/>
          <w:szCs w:val="22"/>
          <w:lang w:eastAsia="de-DE" w:bidi="de-DE"/>
        </w:rPr>
        <w:t>p)</w:t>
      </w:r>
      <w:r>
        <w:rPr>
          <w:rFonts w:eastAsia="Calibri"/>
          <w:szCs w:val="22"/>
          <w:lang w:eastAsia="de-DE" w:bidi="de-DE"/>
        </w:rPr>
        <w:t xml:space="preserve"> des Königlichen Erlasses vom 18. Juli 2002 zur Einführung von Maßnahmen zur Förderung der Beschäftigung im nichtkommerziellen Sektor erwähnt sind, und andererseits einen Teil des nicht zu entrichtenden Berufssteuervorabzugs für die Finanzierung der Fonds "Sozialer Maribel" verwenden müssen, sind jedoch verpflichtet, drei getrennte Erklärungen zum Berufssteuervorabzug einzureichen unter Berücksichtigung der in den Paragraphen 2, 3 und 3</w:t>
      </w:r>
      <w:r>
        <w:rPr>
          <w:rFonts w:eastAsia="Calibri"/>
          <w:i/>
          <w:szCs w:val="22"/>
          <w:lang w:eastAsia="de-DE" w:bidi="de-DE"/>
        </w:rPr>
        <w:t>bis</w:t>
      </w:r>
      <w:r>
        <w:rPr>
          <w:rFonts w:eastAsia="Calibri"/>
          <w:szCs w:val="22"/>
          <w:lang w:eastAsia="de-DE" w:bidi="de-DE"/>
        </w:rPr>
        <w:t xml:space="preserve"> erwähnten Unterscheidung.]</w:t>
      </w:r>
    </w:p>
    <w:p w14:paraId="35BDEC9B" w14:textId="77777777" w:rsidR="00DE7162" w:rsidRDefault="00DE7162" w:rsidP="00DE7162">
      <w:pPr>
        <w:jc w:val="both"/>
        <w:rPr>
          <w:rFonts w:eastAsia="Calibri"/>
          <w:szCs w:val="22"/>
          <w:lang w:eastAsia="de-DE" w:bidi="de-DE"/>
        </w:rPr>
      </w:pPr>
    </w:p>
    <w:p w14:paraId="522AD11F" w14:textId="77777777" w:rsidR="00DE7162" w:rsidRDefault="00DE7162" w:rsidP="00DE7162">
      <w:pPr>
        <w:jc w:val="both"/>
        <w:rPr>
          <w:rFonts w:eastAsia="Calibri"/>
          <w:szCs w:val="22"/>
          <w:lang w:eastAsia="de-DE" w:bidi="de-DE"/>
        </w:rPr>
      </w:pPr>
      <w:r>
        <w:rPr>
          <w:rFonts w:eastAsia="Calibri"/>
          <w:szCs w:val="22"/>
          <w:lang w:eastAsia="de-DE" w:bidi="de-DE"/>
        </w:rPr>
        <w:tab/>
        <w:t>Bei den in Absatz 1 erwähnten Schuldnern handelt es sich um:</w:t>
      </w:r>
    </w:p>
    <w:p w14:paraId="4FA571CB" w14:textId="77777777" w:rsidR="00DE7162" w:rsidRDefault="00DE7162" w:rsidP="00DE7162">
      <w:pPr>
        <w:jc w:val="both"/>
        <w:rPr>
          <w:rFonts w:eastAsia="Calibri"/>
          <w:szCs w:val="22"/>
          <w:lang w:eastAsia="de-DE" w:bidi="de-DE"/>
        </w:rPr>
      </w:pPr>
    </w:p>
    <w:p w14:paraId="190B694B" w14:textId="77777777" w:rsidR="00DE7162" w:rsidRDefault="00DE7162" w:rsidP="00DE7162">
      <w:pPr>
        <w:jc w:val="both"/>
      </w:pPr>
      <w:r>
        <w:rPr>
          <w:rFonts w:eastAsia="Calibri"/>
          <w:szCs w:val="22"/>
          <w:lang w:eastAsia="de-DE" w:bidi="de-DE"/>
        </w:rPr>
        <w:tab/>
        <w:t>1. [</w:t>
      </w:r>
      <w:r>
        <w:t>in Artikel 275</w:t>
      </w:r>
      <w:r>
        <w:rPr>
          <w:vertAlign w:val="superscript"/>
        </w:rPr>
        <w:t>1</w:t>
      </w:r>
      <w:r>
        <w:t xml:space="preserve"> Absatz 2 desselben Gesetzbuches bestimmte Arbeitgeber, die Entlohnungen für die von Arbeitnehmern geleistete Überarbeit zahlen oder zuerkennen,]</w:t>
      </w:r>
    </w:p>
    <w:p w14:paraId="65D30EFA" w14:textId="77777777" w:rsidR="00DE7162" w:rsidRDefault="00DE7162" w:rsidP="00DE7162">
      <w:pPr>
        <w:jc w:val="both"/>
        <w:rPr>
          <w:rFonts w:eastAsia="Calibri"/>
          <w:szCs w:val="22"/>
          <w:lang w:eastAsia="de-DE" w:bidi="de-DE"/>
        </w:rPr>
      </w:pPr>
    </w:p>
    <w:p w14:paraId="6CF27784" w14:textId="77777777" w:rsidR="00DE7162" w:rsidRDefault="00DE7162" w:rsidP="00DE7162">
      <w:pPr>
        <w:jc w:val="both"/>
        <w:rPr>
          <w:rFonts w:eastAsia="Calibri"/>
          <w:szCs w:val="22"/>
          <w:lang w:eastAsia="de-DE" w:bidi="de-DE"/>
        </w:rPr>
      </w:pPr>
      <w:r>
        <w:rPr>
          <w:rFonts w:eastAsia="Calibri"/>
          <w:szCs w:val="22"/>
          <w:lang w:eastAsia="de-DE" w:bidi="de-DE"/>
        </w:rPr>
        <w:tab/>
        <w:t>2. in Artikel 275</w:t>
      </w:r>
      <w:r>
        <w:rPr>
          <w:rFonts w:eastAsia="Calibri"/>
          <w:szCs w:val="22"/>
          <w:vertAlign w:val="superscript"/>
          <w:lang w:eastAsia="de-DE" w:bidi="de-DE"/>
        </w:rPr>
        <w:t>2</w:t>
      </w:r>
      <w:r>
        <w:rPr>
          <w:rFonts w:eastAsia="Calibri"/>
          <w:szCs w:val="22"/>
          <w:lang w:eastAsia="de-DE" w:bidi="de-DE"/>
        </w:rPr>
        <w:t xml:space="preserve"> desselben Gesetzbuches erwähnte Arbeitgeber, die zum Sektor der Handelsmarine, der Baggerarbeiten und der Schleppschifffahrt gehören,</w:t>
      </w:r>
    </w:p>
    <w:p w14:paraId="2CDFF5F8" w14:textId="77777777" w:rsidR="00DE7162" w:rsidRDefault="00DE7162" w:rsidP="00DE7162">
      <w:pPr>
        <w:jc w:val="both"/>
        <w:rPr>
          <w:rFonts w:eastAsia="Calibri"/>
          <w:szCs w:val="22"/>
          <w:lang w:eastAsia="de-DE" w:bidi="de-DE"/>
        </w:rPr>
      </w:pPr>
    </w:p>
    <w:p w14:paraId="26EBFE0B" w14:textId="77777777" w:rsidR="00DE7162" w:rsidRDefault="00DE7162" w:rsidP="00DE7162">
      <w:pPr>
        <w:jc w:val="both"/>
        <w:rPr>
          <w:rFonts w:eastAsia="Calibri"/>
          <w:szCs w:val="22"/>
          <w:lang w:eastAsia="de-DE" w:bidi="de-DE"/>
        </w:rPr>
      </w:pPr>
      <w:r>
        <w:rPr>
          <w:rFonts w:eastAsia="Calibri"/>
          <w:szCs w:val="22"/>
          <w:lang w:eastAsia="de-DE" w:bidi="de-DE"/>
        </w:rPr>
        <w:tab/>
        <w:t xml:space="preserve">3. </w:t>
      </w:r>
      <w:r>
        <w:rPr>
          <w:rFonts w:eastAsia="Calibri"/>
          <w:i/>
          <w:szCs w:val="22"/>
          <w:lang w:eastAsia="de-DE" w:bidi="de-DE"/>
        </w:rPr>
        <w:t>a)</w:t>
      </w:r>
      <w:r>
        <w:rPr>
          <w:rFonts w:eastAsia="Calibri"/>
          <w:szCs w:val="22"/>
          <w:lang w:eastAsia="de-DE" w:bidi="de-DE"/>
        </w:rPr>
        <w:t xml:space="preserve"> in Artikel [275</w:t>
      </w:r>
      <w:r>
        <w:rPr>
          <w:rFonts w:eastAsia="Calibri"/>
          <w:szCs w:val="22"/>
          <w:vertAlign w:val="superscript"/>
          <w:lang w:eastAsia="de-DE" w:bidi="de-DE"/>
        </w:rPr>
        <w:t>3</w:t>
      </w:r>
      <w:r>
        <w:rPr>
          <w:rFonts w:eastAsia="Calibri"/>
          <w:szCs w:val="22"/>
          <w:lang w:eastAsia="de-DE" w:bidi="de-DE"/>
        </w:rPr>
        <w:t xml:space="preserve"> § 1] Absatz 1 desselben Gesetzbuches erwähnte Universitäten und Hochschulen, die Assistenten-Forschern Entlohnungen zahlen oder zuerkennen, und [den "Föderalen Fonds für wissenschaftliche Forschung - Federaal Fonds voor Wetenschappelijk Onderzoek - Fonds fédéral de la Recherche scientifique - FFWF/FFWO/FFRS", den "Fonds voor Wetenschappelijk Onderzoek Vlaanderen - FWO" und den "Fonds de la Recherche scientifique - FNRS - FRS-FNRS"], die Postdoc-Forschern Entlohnungen zahlen oder zuerkennen,</w:t>
      </w:r>
    </w:p>
    <w:p w14:paraId="467DA265" w14:textId="77777777" w:rsidR="00DE7162" w:rsidRDefault="00DE7162" w:rsidP="00DE7162">
      <w:pPr>
        <w:jc w:val="both"/>
        <w:rPr>
          <w:rFonts w:eastAsia="Calibri"/>
          <w:szCs w:val="22"/>
          <w:lang w:eastAsia="de-DE" w:bidi="de-DE"/>
        </w:rPr>
      </w:pPr>
    </w:p>
    <w:p w14:paraId="5CCBD195" w14:textId="77777777" w:rsidR="00DE7162" w:rsidRDefault="00DE7162" w:rsidP="00DE7162">
      <w:pPr>
        <w:jc w:val="both"/>
        <w:rPr>
          <w:rFonts w:eastAsia="Calibri"/>
          <w:szCs w:val="22"/>
          <w:lang w:eastAsia="de-DE" w:bidi="de-DE"/>
        </w:rPr>
      </w:pPr>
      <w:r>
        <w:rPr>
          <w:rFonts w:eastAsia="Calibri"/>
          <w:szCs w:val="22"/>
          <w:lang w:eastAsia="de-DE" w:bidi="de-DE"/>
        </w:rPr>
        <w:tab/>
      </w:r>
      <w:r>
        <w:rPr>
          <w:rFonts w:eastAsia="Calibri"/>
          <w:i/>
          <w:szCs w:val="22"/>
          <w:lang w:eastAsia="de-DE" w:bidi="de-DE"/>
        </w:rPr>
        <w:t>b)</w:t>
      </w:r>
      <w:r>
        <w:rPr>
          <w:rFonts w:eastAsia="Calibri"/>
          <w:szCs w:val="22"/>
          <w:lang w:eastAsia="de-DE" w:bidi="de-DE"/>
        </w:rPr>
        <w:t xml:space="preserve"> in Artikel [275</w:t>
      </w:r>
      <w:r>
        <w:rPr>
          <w:rFonts w:eastAsia="Calibri"/>
          <w:szCs w:val="22"/>
          <w:vertAlign w:val="superscript"/>
          <w:lang w:eastAsia="de-DE" w:bidi="de-DE"/>
        </w:rPr>
        <w:t>3</w:t>
      </w:r>
      <w:r>
        <w:rPr>
          <w:rFonts w:eastAsia="Calibri"/>
          <w:szCs w:val="22"/>
          <w:lang w:eastAsia="de-DE" w:bidi="de-DE"/>
        </w:rPr>
        <w:t xml:space="preserve"> § 1] Absatz 2 desselben Gesetzbuches erwähnte wissenschaftliche Einrichtungen, die zu diesem Zweck durch einen im Ministerrat beratenen Königlichen Erlass zugelassen sind und entweder Assistenten-Forschern oder Postdoc-Forschern Entlohnungen zahlen oder zuerkennen,</w:t>
      </w:r>
    </w:p>
    <w:p w14:paraId="1234399E" w14:textId="77777777" w:rsidR="00DE7162" w:rsidRDefault="00DE7162" w:rsidP="00DE7162">
      <w:pPr>
        <w:jc w:val="both"/>
        <w:rPr>
          <w:rFonts w:eastAsia="Calibri"/>
          <w:szCs w:val="22"/>
          <w:lang w:eastAsia="de-DE" w:bidi="de-DE"/>
        </w:rPr>
      </w:pPr>
    </w:p>
    <w:p w14:paraId="789318DE" w14:textId="77777777" w:rsidR="00DE7162" w:rsidRDefault="00DE7162" w:rsidP="00DE7162">
      <w:pPr>
        <w:jc w:val="both"/>
        <w:rPr>
          <w:rFonts w:eastAsia="Calibri"/>
          <w:szCs w:val="22"/>
          <w:lang w:eastAsia="de-DE" w:bidi="de-DE"/>
        </w:rPr>
      </w:pPr>
      <w:r>
        <w:rPr>
          <w:rFonts w:eastAsia="Calibri"/>
          <w:szCs w:val="22"/>
          <w:lang w:eastAsia="de-DE" w:bidi="de-DE"/>
        </w:rPr>
        <w:tab/>
      </w:r>
      <w:r>
        <w:rPr>
          <w:rFonts w:eastAsia="Calibri"/>
          <w:i/>
          <w:szCs w:val="22"/>
          <w:lang w:eastAsia="de-DE" w:bidi="de-DE"/>
        </w:rPr>
        <w:t>c)</w:t>
      </w:r>
      <w:r>
        <w:rPr>
          <w:rFonts w:eastAsia="Calibri"/>
          <w:szCs w:val="22"/>
          <w:lang w:eastAsia="de-DE" w:bidi="de-DE"/>
        </w:rPr>
        <w:t xml:space="preserve"> in Artikel [275</w:t>
      </w:r>
      <w:r>
        <w:rPr>
          <w:rFonts w:eastAsia="Calibri"/>
          <w:szCs w:val="22"/>
          <w:vertAlign w:val="superscript"/>
          <w:lang w:eastAsia="de-DE" w:bidi="de-DE"/>
        </w:rPr>
        <w:t>3</w:t>
      </w:r>
      <w:r>
        <w:rPr>
          <w:rFonts w:eastAsia="Calibri"/>
          <w:szCs w:val="22"/>
          <w:lang w:eastAsia="de-DE" w:bidi="de-DE"/>
        </w:rPr>
        <w:t xml:space="preserve"> § 1] Absatz 3 Nr. 1 desselben Gesetzbuches erwähnte Unternehmen, die Forschern, die an Forschungsprojekten zur Ausführung von Partnerschaftsabkommen arbeiten, die geschlossen werden mit Universitäten oder Hochschulen, die im Europäischen Wirtschaftsraum ansässig sind, oder mit zugelassenen wissenschaftlichen Einrichtungen, die in den Buchstaben </w:t>
      </w:r>
      <w:r>
        <w:rPr>
          <w:rFonts w:eastAsia="Calibri"/>
          <w:i/>
          <w:szCs w:val="22"/>
          <w:lang w:eastAsia="de-DE" w:bidi="de-DE"/>
        </w:rPr>
        <w:t>a)</w:t>
      </w:r>
      <w:r>
        <w:rPr>
          <w:rFonts w:eastAsia="Calibri"/>
          <w:szCs w:val="22"/>
          <w:lang w:eastAsia="de-DE" w:bidi="de-DE"/>
        </w:rPr>
        <w:t xml:space="preserve"> und </w:t>
      </w:r>
      <w:r>
        <w:rPr>
          <w:rFonts w:eastAsia="Calibri"/>
          <w:i/>
          <w:szCs w:val="22"/>
          <w:lang w:eastAsia="de-DE" w:bidi="de-DE"/>
        </w:rPr>
        <w:t>b)</w:t>
      </w:r>
      <w:r>
        <w:rPr>
          <w:rFonts w:eastAsia="Calibri"/>
          <w:szCs w:val="22"/>
          <w:lang w:eastAsia="de-DE" w:bidi="de-DE"/>
        </w:rPr>
        <w:t xml:space="preserve"> erwähnt sind, Entlohnungen zahlen oder zuerkennen,</w:t>
      </w:r>
    </w:p>
    <w:p w14:paraId="3E2DFEE0" w14:textId="77777777" w:rsidR="00DE7162" w:rsidRDefault="00DE7162" w:rsidP="00DE7162">
      <w:pPr>
        <w:jc w:val="both"/>
        <w:rPr>
          <w:rFonts w:eastAsia="Calibri"/>
          <w:szCs w:val="22"/>
          <w:lang w:eastAsia="de-DE" w:bidi="de-DE"/>
        </w:rPr>
      </w:pPr>
    </w:p>
    <w:p w14:paraId="0597A587" w14:textId="77777777" w:rsidR="00DE7162" w:rsidRDefault="00DE7162" w:rsidP="00DE7162">
      <w:pPr>
        <w:jc w:val="both"/>
        <w:rPr>
          <w:rFonts w:eastAsia="Calibri"/>
          <w:szCs w:val="22"/>
          <w:lang w:eastAsia="de-DE" w:bidi="de-DE"/>
        </w:rPr>
      </w:pPr>
      <w:r>
        <w:rPr>
          <w:rFonts w:eastAsia="Calibri"/>
          <w:szCs w:val="22"/>
          <w:lang w:eastAsia="de-DE" w:bidi="de-DE"/>
        </w:rPr>
        <w:tab/>
      </w:r>
      <w:r>
        <w:rPr>
          <w:rFonts w:eastAsia="Calibri"/>
          <w:i/>
          <w:szCs w:val="22"/>
          <w:lang w:eastAsia="de-DE" w:bidi="de-DE"/>
        </w:rPr>
        <w:t>d)</w:t>
      </w:r>
      <w:r>
        <w:rPr>
          <w:rFonts w:eastAsia="Calibri"/>
          <w:szCs w:val="22"/>
          <w:lang w:eastAsia="de-DE" w:bidi="de-DE"/>
        </w:rPr>
        <w:t xml:space="preserve"> in Artikel [275</w:t>
      </w:r>
      <w:r>
        <w:rPr>
          <w:rFonts w:eastAsia="Calibri"/>
          <w:szCs w:val="22"/>
          <w:vertAlign w:val="superscript"/>
          <w:lang w:eastAsia="de-DE" w:bidi="de-DE"/>
        </w:rPr>
        <w:t>3</w:t>
      </w:r>
      <w:r>
        <w:rPr>
          <w:rFonts w:eastAsia="Calibri"/>
          <w:szCs w:val="22"/>
          <w:lang w:eastAsia="de-DE" w:bidi="de-DE"/>
        </w:rPr>
        <w:t xml:space="preserve"> § 1] Absatz 3 Nr. 2 desselben Gesetzbuches erwähnte Gesellschaften, die der Definition der "Young Innovative Company" entsprechen und wissenschaftlichem Personal, das als Arbeitnehmer von dieser Gesellschaft beschäftigt wird, Entlohnungen zahlen oder zuerkennen,</w:t>
      </w:r>
    </w:p>
    <w:p w14:paraId="25B5F0D4" w14:textId="77777777" w:rsidR="00DE7162" w:rsidRDefault="00DE7162" w:rsidP="00DE7162">
      <w:pPr>
        <w:jc w:val="both"/>
        <w:rPr>
          <w:rFonts w:eastAsia="Calibri"/>
          <w:szCs w:val="22"/>
          <w:lang w:eastAsia="de-DE" w:bidi="de-DE"/>
        </w:rPr>
      </w:pPr>
    </w:p>
    <w:p w14:paraId="4FE4C51D" w14:textId="77777777" w:rsidR="00DE7162" w:rsidRDefault="00DE7162" w:rsidP="00DE7162">
      <w:pPr>
        <w:jc w:val="both"/>
        <w:rPr>
          <w:rFonts w:eastAsia="Calibri"/>
          <w:szCs w:val="22"/>
          <w:lang w:eastAsia="de-DE" w:bidi="de-DE"/>
        </w:rPr>
      </w:pPr>
      <w:r>
        <w:rPr>
          <w:rFonts w:eastAsia="Calibri"/>
          <w:szCs w:val="22"/>
          <w:lang w:eastAsia="de-DE" w:bidi="de-DE"/>
        </w:rPr>
        <w:tab/>
      </w:r>
      <w:r>
        <w:rPr>
          <w:rFonts w:eastAsia="Calibri"/>
          <w:i/>
          <w:szCs w:val="22"/>
          <w:lang w:eastAsia="de-DE" w:bidi="de-DE"/>
        </w:rPr>
        <w:t>e)</w:t>
      </w:r>
      <w:r>
        <w:rPr>
          <w:rFonts w:eastAsia="Calibri"/>
          <w:szCs w:val="22"/>
          <w:lang w:eastAsia="de-DE" w:bidi="de-DE"/>
        </w:rPr>
        <w:t xml:space="preserve"> [in Artikel 275</w:t>
      </w:r>
      <w:r>
        <w:rPr>
          <w:rFonts w:eastAsia="Calibri"/>
          <w:szCs w:val="22"/>
          <w:vertAlign w:val="superscript"/>
          <w:lang w:eastAsia="de-DE" w:bidi="de-DE"/>
        </w:rPr>
        <w:t>3</w:t>
      </w:r>
      <w:r>
        <w:rPr>
          <w:rFonts w:eastAsia="Calibri"/>
          <w:szCs w:val="22"/>
          <w:lang w:eastAsia="de-DE" w:bidi="de-DE"/>
        </w:rPr>
        <w:t xml:space="preserve"> § 1 Absatz 3 Nr. 3 desselben Gesetzbuches erwähnte Unternehmen, die Forschern, die in Forschungs- oder Entwicklungsprogrammen beschäftigt sind und [</w:t>
      </w:r>
      <w:r>
        <w:t>ein in Artikel 275</w:t>
      </w:r>
      <w:r>
        <w:rPr>
          <w:vertAlign w:val="superscript"/>
        </w:rPr>
        <w:t>3</w:t>
      </w:r>
      <w:r>
        <w:t xml:space="preserve"> § 2 Nr. 1 oder 2 erwähntes Diplom</w:t>
      </w:r>
      <w:r>
        <w:rPr>
          <w:rFonts w:eastAsia="Calibri"/>
          <w:szCs w:val="22"/>
          <w:lang w:eastAsia="de-DE" w:bidi="de-DE"/>
        </w:rPr>
        <w:t>] besitzen, Entlohnungen zahlen oder zuerkennen,]</w:t>
      </w:r>
    </w:p>
    <w:p w14:paraId="166ACA0C" w14:textId="77777777" w:rsidR="00DE7162" w:rsidRDefault="00DE7162" w:rsidP="00DE7162">
      <w:pPr>
        <w:jc w:val="both"/>
        <w:rPr>
          <w:rFonts w:eastAsia="Calibri"/>
          <w:szCs w:val="22"/>
          <w:lang w:eastAsia="de-DE" w:bidi="de-DE"/>
        </w:rPr>
      </w:pPr>
    </w:p>
    <w:p w14:paraId="19D5E00A" w14:textId="77777777" w:rsidR="00DE7162" w:rsidRDefault="00DE7162" w:rsidP="00DE7162">
      <w:pPr>
        <w:jc w:val="both"/>
      </w:pPr>
      <w:r>
        <w:rPr>
          <w:rFonts w:eastAsia="Calibri"/>
          <w:szCs w:val="22"/>
          <w:lang w:eastAsia="de-DE" w:bidi="de-DE"/>
        </w:rPr>
        <w:tab/>
        <w:t>[</w:t>
      </w:r>
      <w:r>
        <w:rPr>
          <w:i/>
        </w:rPr>
        <w:t>f)</w:t>
      </w:r>
      <w:r>
        <w:t> in Artikel 275</w:t>
      </w:r>
      <w:r>
        <w:rPr>
          <w:vertAlign w:val="superscript"/>
        </w:rPr>
        <w:t>3</w:t>
      </w:r>
      <w:r>
        <w:t xml:space="preserve"> § 1 Absatz 6 desselben Gesetzbuches erwähnte Unternehmen, die Forschern, die in Forschungs- oder Entwicklungsprogrammen beschäftigt sind und ein in Artikel 275</w:t>
      </w:r>
      <w:r>
        <w:rPr>
          <w:vertAlign w:val="superscript"/>
        </w:rPr>
        <w:t>3</w:t>
      </w:r>
      <w:r>
        <w:t xml:space="preserve"> § 2 Nr. 3 oder 4 erwähntes Diplom besitzen, Entlohnungen zahlen oder zuerkennen,</w:t>
      </w:r>
      <w:r>
        <w:rPr>
          <w:rFonts w:eastAsia="Calibri"/>
          <w:szCs w:val="22"/>
          <w:lang w:eastAsia="de-DE" w:bidi="de-DE"/>
        </w:rPr>
        <w:t>]</w:t>
      </w:r>
      <w:r>
        <w:t xml:space="preserve"> </w:t>
      </w:r>
    </w:p>
    <w:p w14:paraId="3D00A385" w14:textId="77777777" w:rsidR="00DE7162" w:rsidRDefault="00DE7162" w:rsidP="00DE7162">
      <w:pPr>
        <w:jc w:val="both"/>
        <w:rPr>
          <w:rFonts w:eastAsia="Calibri"/>
          <w:szCs w:val="22"/>
          <w:lang w:eastAsia="de-DE" w:bidi="de-DE"/>
        </w:rPr>
      </w:pPr>
    </w:p>
    <w:p w14:paraId="5C8DEE85" w14:textId="77777777" w:rsidR="00DE7162" w:rsidRDefault="00DE7162" w:rsidP="00DE7162">
      <w:pPr>
        <w:jc w:val="both"/>
        <w:rPr>
          <w:rFonts w:eastAsia="Calibri"/>
          <w:szCs w:val="22"/>
          <w:lang w:eastAsia="de-DE" w:bidi="de-DE"/>
        </w:rPr>
      </w:pPr>
      <w:r>
        <w:rPr>
          <w:rFonts w:eastAsia="Calibri"/>
          <w:szCs w:val="22"/>
          <w:lang w:eastAsia="de-DE" w:bidi="de-DE"/>
        </w:rPr>
        <w:tab/>
        <w:t>[</w:t>
      </w:r>
      <w:r>
        <w:rPr>
          <w:i/>
        </w:rPr>
        <w:t>g)</w:t>
      </w:r>
      <w:r>
        <w:t> in Artikel 275</w:t>
      </w:r>
      <w:r>
        <w:rPr>
          <w:vertAlign w:val="superscript"/>
        </w:rPr>
        <w:t>3</w:t>
      </w:r>
      <w:r>
        <w:t xml:space="preserve"> § 1 Absatz 6 desselben Gesetzbuches erwähnte Unternehmen, die Forschern, die in Forschungs- oder Entwicklungsprogrammen beschäftigt sind und ein in Artikel 275</w:t>
      </w:r>
      <w:r>
        <w:rPr>
          <w:vertAlign w:val="superscript"/>
        </w:rPr>
        <w:t>3</w:t>
      </w:r>
      <w:r>
        <w:t xml:space="preserve"> § 2 Nr. 3 oder 4 erwähntes Diplom besitzen, Entlohnungen zahlen oder zuerkennen und die aufgrund von [Artikel 1:24 §§ 1 bis 6 des Gesetzbuches der Gesellschaften und Vereinigungen] für das Steuerjahr, das sich auf den Besteuerungszeitraum bezieht, in dem die Entlohnungen gezahlt werden, als kleine Gesellschaften gelten,</w:t>
      </w:r>
      <w:r>
        <w:rPr>
          <w:rFonts w:eastAsia="Calibri"/>
          <w:szCs w:val="22"/>
          <w:lang w:eastAsia="de-DE" w:bidi="de-DE"/>
        </w:rPr>
        <w:t>]</w:t>
      </w:r>
    </w:p>
    <w:p w14:paraId="4C044FEA" w14:textId="77777777" w:rsidR="00DE7162" w:rsidRDefault="00DE7162" w:rsidP="00DE7162">
      <w:pPr>
        <w:jc w:val="both"/>
        <w:rPr>
          <w:rFonts w:eastAsia="Calibri"/>
          <w:szCs w:val="22"/>
          <w:lang w:eastAsia="de-DE" w:bidi="de-DE"/>
        </w:rPr>
      </w:pPr>
    </w:p>
    <w:p w14:paraId="5C7A978D" w14:textId="77777777" w:rsidR="00DE7162" w:rsidRDefault="00DE7162" w:rsidP="00DE7162">
      <w:pPr>
        <w:jc w:val="both"/>
        <w:rPr>
          <w:rFonts w:eastAsia="Calibri"/>
          <w:szCs w:val="22"/>
          <w:lang w:eastAsia="de-DE" w:bidi="de-DE"/>
        </w:rPr>
      </w:pPr>
      <w:r>
        <w:rPr>
          <w:rFonts w:eastAsia="Calibri"/>
          <w:szCs w:val="22"/>
          <w:lang w:eastAsia="de-DE" w:bidi="de-DE"/>
        </w:rPr>
        <w:tab/>
        <w:t>4. in Artikel 275</w:t>
      </w:r>
      <w:r>
        <w:rPr>
          <w:rFonts w:eastAsia="Calibri"/>
          <w:szCs w:val="22"/>
          <w:vertAlign w:val="superscript"/>
          <w:lang w:eastAsia="de-DE" w:bidi="de-DE"/>
        </w:rPr>
        <w:t>4</w:t>
      </w:r>
      <w:r>
        <w:rPr>
          <w:rFonts w:eastAsia="Calibri"/>
          <w:szCs w:val="22"/>
          <w:lang w:eastAsia="de-DE" w:bidi="de-DE"/>
        </w:rPr>
        <w:t xml:space="preserve"> desselben Gesetzbuches erwähnte Arbeitgeber, die zum Sektor der Seefischerei gehören,</w:t>
      </w:r>
    </w:p>
    <w:p w14:paraId="6614EA5E" w14:textId="77777777" w:rsidR="00DE7162" w:rsidRDefault="00DE7162" w:rsidP="00DE7162">
      <w:pPr>
        <w:jc w:val="both"/>
        <w:rPr>
          <w:rFonts w:eastAsia="Calibri"/>
          <w:szCs w:val="22"/>
          <w:lang w:eastAsia="de-DE" w:bidi="de-DE"/>
        </w:rPr>
      </w:pPr>
    </w:p>
    <w:p w14:paraId="4B6FF270" w14:textId="77777777" w:rsidR="00DE7162" w:rsidRDefault="00DE7162" w:rsidP="00DE7162">
      <w:pPr>
        <w:jc w:val="both"/>
      </w:pPr>
      <w:r>
        <w:rPr>
          <w:rFonts w:eastAsia="Calibri"/>
          <w:szCs w:val="22"/>
          <w:lang w:eastAsia="de-DE" w:bidi="de-DE"/>
        </w:rPr>
        <w:tab/>
        <w:t>5. [</w:t>
      </w:r>
      <w:r>
        <w:rPr>
          <w:i/>
        </w:rPr>
        <w:t>a)</w:t>
      </w:r>
      <w:r>
        <w:t xml:space="preserve"> in Artikel 275</w:t>
      </w:r>
      <w:r>
        <w:rPr>
          <w:vertAlign w:val="superscript"/>
        </w:rPr>
        <w:t>5</w:t>
      </w:r>
      <w:r>
        <w:t xml:space="preserve"> § 1 desselben Gesetzbuches erwähnte Unternehmen, in denen Schichtarbeit geleistet wird,</w:t>
      </w:r>
    </w:p>
    <w:p w14:paraId="20B487CF" w14:textId="77777777" w:rsidR="00DE7162" w:rsidRDefault="00DE7162" w:rsidP="00DE7162">
      <w:pPr>
        <w:jc w:val="both"/>
      </w:pPr>
    </w:p>
    <w:p w14:paraId="48CAD0DD" w14:textId="77777777" w:rsidR="00DE7162" w:rsidRDefault="00DE7162" w:rsidP="00DE7162">
      <w:pPr>
        <w:jc w:val="both"/>
      </w:pPr>
      <w:r>
        <w:tab/>
      </w:r>
      <w:r>
        <w:rPr>
          <w:i/>
        </w:rPr>
        <w:t>b)</w:t>
      </w:r>
      <w:r>
        <w:t xml:space="preserve"> in Artikel 275</w:t>
      </w:r>
      <w:r>
        <w:rPr>
          <w:vertAlign w:val="superscript"/>
        </w:rPr>
        <w:t>5</w:t>
      </w:r>
      <w:r>
        <w:t xml:space="preserve"> § 2 desselben Gesetzbuches erwähnte Unternehmen, in denen Nachtarbeit geleistet wird,</w:t>
      </w:r>
    </w:p>
    <w:p w14:paraId="27BB7EC3" w14:textId="77777777" w:rsidR="00DE7162" w:rsidRDefault="00DE7162" w:rsidP="00DE7162">
      <w:pPr>
        <w:jc w:val="both"/>
      </w:pPr>
    </w:p>
    <w:p w14:paraId="5EFAB576" w14:textId="77777777" w:rsidR="00DE7162" w:rsidRDefault="00DE7162" w:rsidP="00DE7162">
      <w:pPr>
        <w:jc w:val="both"/>
      </w:pPr>
      <w:r>
        <w:tab/>
      </w:r>
      <w:r>
        <w:rPr>
          <w:i/>
        </w:rPr>
        <w:t>c)</w:t>
      </w:r>
      <w:r>
        <w:t xml:space="preserve"> in Artikel 275</w:t>
      </w:r>
      <w:r>
        <w:rPr>
          <w:vertAlign w:val="superscript"/>
        </w:rPr>
        <w:t>5</w:t>
      </w:r>
      <w:r>
        <w:t xml:space="preserve"> § 3 desselben Gesetzbuches erwähnte Unternehmen, in denen Schichtarbeit in einem System der vollkontinuierlichen Schichtarbeit geleistet wird,</w:t>
      </w:r>
    </w:p>
    <w:p w14:paraId="531059AA" w14:textId="77777777" w:rsidR="00DE7162" w:rsidRDefault="00DE7162" w:rsidP="00DE7162">
      <w:pPr>
        <w:jc w:val="both"/>
      </w:pPr>
    </w:p>
    <w:p w14:paraId="354CBAE1" w14:textId="77777777" w:rsidR="00DE7162" w:rsidRDefault="00DE7162" w:rsidP="00DE7162">
      <w:pPr>
        <w:jc w:val="both"/>
      </w:pPr>
      <w:r>
        <w:tab/>
      </w:r>
      <w:r>
        <w:rPr>
          <w:i/>
        </w:rPr>
        <w:t>d)</w:t>
      </w:r>
      <w:r>
        <w:t xml:space="preserve"> in Artikel 275</w:t>
      </w:r>
      <w:r>
        <w:rPr>
          <w:vertAlign w:val="superscript"/>
        </w:rPr>
        <w:t>5</w:t>
      </w:r>
      <w:r>
        <w:t xml:space="preserve"> § 4 desselben Gesetzbuches erwähnte Unternehmen, in denen unter der Systemschifffahrtsregelung gearbeitet wird,</w:t>
      </w:r>
    </w:p>
    <w:p w14:paraId="5BAA27B2" w14:textId="77777777" w:rsidR="00DE7162" w:rsidRDefault="00DE7162" w:rsidP="00DE7162">
      <w:pPr>
        <w:jc w:val="both"/>
      </w:pPr>
    </w:p>
    <w:p w14:paraId="29C1CF54" w14:textId="77777777" w:rsidR="00DE7162" w:rsidRDefault="00DE7162" w:rsidP="00DE7162">
      <w:pPr>
        <w:jc w:val="both"/>
        <w:rPr>
          <w:rFonts w:eastAsia="Calibri"/>
          <w:szCs w:val="22"/>
          <w:lang w:eastAsia="de-DE" w:bidi="de-DE"/>
        </w:rPr>
      </w:pPr>
      <w:r>
        <w:tab/>
      </w:r>
      <w:r>
        <w:rPr>
          <w:i/>
        </w:rPr>
        <w:t>e)</w:t>
      </w:r>
      <w:r>
        <w:t xml:space="preserve"> in Artikel 275</w:t>
      </w:r>
      <w:r>
        <w:rPr>
          <w:vertAlign w:val="superscript"/>
        </w:rPr>
        <w:t>5</w:t>
      </w:r>
      <w:r>
        <w:t xml:space="preserve"> § 5 desselben Gesetzbuches erwähnte Unternehmen, in denen in Schichtarbeit Immobilienarbeiten an Ort und Stelle verrichtet werden,</w:t>
      </w:r>
      <w:r>
        <w:rPr>
          <w:rFonts w:eastAsia="Calibri"/>
          <w:szCs w:val="22"/>
          <w:lang w:eastAsia="de-DE" w:bidi="de-DE"/>
        </w:rPr>
        <w:t>]</w:t>
      </w:r>
    </w:p>
    <w:p w14:paraId="0B3B8011" w14:textId="77777777" w:rsidR="00DE7162" w:rsidRDefault="00DE7162" w:rsidP="00DE7162">
      <w:pPr>
        <w:jc w:val="both"/>
        <w:rPr>
          <w:rFonts w:eastAsia="Calibri"/>
          <w:szCs w:val="22"/>
          <w:lang w:eastAsia="de-DE" w:bidi="de-DE"/>
        </w:rPr>
      </w:pPr>
    </w:p>
    <w:p w14:paraId="04ACC8A6" w14:textId="77777777" w:rsidR="00DE7162" w:rsidRDefault="00DE7162" w:rsidP="00DE7162">
      <w:pPr>
        <w:jc w:val="both"/>
        <w:rPr>
          <w:rFonts w:eastAsia="Calibri"/>
          <w:szCs w:val="22"/>
          <w:lang w:eastAsia="de-DE" w:bidi="de-DE"/>
        </w:rPr>
      </w:pPr>
      <w:r>
        <w:rPr>
          <w:rFonts w:eastAsia="Calibri"/>
          <w:szCs w:val="22"/>
          <w:lang w:eastAsia="de-DE" w:bidi="de-DE"/>
        </w:rPr>
        <w:tab/>
        <w:t>[6. in Artikel 275</w:t>
      </w:r>
      <w:r>
        <w:rPr>
          <w:rFonts w:eastAsia="Calibri"/>
          <w:szCs w:val="22"/>
          <w:vertAlign w:val="superscript"/>
          <w:lang w:eastAsia="de-DE" w:bidi="de-DE"/>
        </w:rPr>
        <w:t>6</w:t>
      </w:r>
      <w:r>
        <w:rPr>
          <w:rFonts w:eastAsia="Calibri"/>
          <w:szCs w:val="22"/>
          <w:lang w:eastAsia="de-DE" w:bidi="de-DE"/>
        </w:rPr>
        <w:t xml:space="preserve"> desselben Gesetzbuches erwähnte Schuldner, die Sportlern [...] Entlohnungen zahlen oder zuerkennen,]</w:t>
      </w:r>
    </w:p>
    <w:p w14:paraId="739A2BD1" w14:textId="77777777" w:rsidR="00DE7162" w:rsidRDefault="00DE7162" w:rsidP="00DE7162">
      <w:pPr>
        <w:jc w:val="both"/>
        <w:rPr>
          <w:rFonts w:eastAsia="Calibri"/>
          <w:szCs w:val="22"/>
          <w:lang w:eastAsia="de-DE" w:bidi="de-DE"/>
        </w:rPr>
      </w:pPr>
    </w:p>
    <w:p w14:paraId="7C8FF4DF" w14:textId="77777777" w:rsidR="00DE7162" w:rsidRDefault="00DE7162" w:rsidP="00DE7162">
      <w:pPr>
        <w:jc w:val="both"/>
        <w:rPr>
          <w:rFonts w:eastAsia="Calibri"/>
          <w:szCs w:val="22"/>
          <w:lang w:eastAsia="de-DE" w:bidi="de-DE"/>
        </w:rPr>
      </w:pPr>
      <w:r>
        <w:rPr>
          <w:rFonts w:eastAsia="Calibri"/>
          <w:szCs w:val="22"/>
          <w:lang w:eastAsia="de-DE" w:bidi="de-DE"/>
        </w:rPr>
        <w:lastRenderedPageBreak/>
        <w:tab/>
        <w:t>[7. [</w:t>
      </w:r>
      <w:r>
        <w:t>in Artikel 275</w:t>
      </w:r>
      <w:r>
        <w:rPr>
          <w:vertAlign w:val="superscript"/>
        </w:rPr>
        <w:t>7</w:t>
      </w:r>
      <w:r>
        <w:t xml:space="preserve"> Absatz 2 desselben Gesetzbuches bestimmte Arbeitgeber, die Entlohnungen zahlen oder zuerkennen,</w:t>
      </w:r>
      <w:r>
        <w:rPr>
          <w:rFonts w:eastAsia="Calibri"/>
          <w:szCs w:val="22"/>
          <w:lang w:eastAsia="de-DE" w:bidi="de-DE"/>
        </w:rPr>
        <w:t>]]</w:t>
      </w:r>
    </w:p>
    <w:p w14:paraId="39B20A45" w14:textId="77777777" w:rsidR="00DE7162" w:rsidRDefault="00DE7162" w:rsidP="00DE7162">
      <w:pPr>
        <w:jc w:val="both"/>
        <w:rPr>
          <w:rFonts w:eastAsia="Calibri"/>
          <w:szCs w:val="22"/>
          <w:lang w:eastAsia="de-DE" w:bidi="de-DE"/>
        </w:rPr>
      </w:pPr>
    </w:p>
    <w:p w14:paraId="7E40CB42" w14:textId="77777777" w:rsidR="00DE7162" w:rsidRDefault="00DE7162" w:rsidP="00DE7162">
      <w:pPr>
        <w:jc w:val="both"/>
        <w:rPr>
          <w:rFonts w:eastAsia="Calibri"/>
          <w:szCs w:val="22"/>
          <w:lang w:eastAsia="de-DE" w:bidi="de-DE"/>
        </w:rPr>
      </w:pPr>
      <w:r>
        <w:rPr>
          <w:rFonts w:eastAsia="Calibri"/>
          <w:szCs w:val="22"/>
          <w:lang w:eastAsia="de-DE" w:bidi="de-DE"/>
        </w:rPr>
        <w:tab/>
        <w:t>[8. [</w:t>
      </w:r>
      <w:r>
        <w:t>in Artikel 275</w:t>
      </w:r>
      <w:r>
        <w:rPr>
          <w:vertAlign w:val="superscript"/>
        </w:rPr>
        <w:t>8</w:t>
      </w:r>
      <w:r>
        <w:t xml:space="preserve"> § 1 Absatz 1 desselben Gesetzbuches erwähnte Arbeitgeber, in Anwendung von Artikel 275</w:t>
      </w:r>
      <w:r>
        <w:rPr>
          <w:vertAlign w:val="superscript"/>
        </w:rPr>
        <w:t>8</w:t>
      </w:r>
      <w:r>
        <w:t xml:space="preserve"> § 1 Absatz 9 desselben Gesetzbuches mit ihnen gleichgesetzte Gesellschaften und in Artikel 275</w:t>
      </w:r>
      <w:r>
        <w:rPr>
          <w:vertAlign w:val="superscript"/>
        </w:rPr>
        <w:t>8</w:t>
      </w:r>
      <w:r>
        <w:t xml:space="preserve"> § 1 Absatz 8 desselben Gesetzbuches erwähnte für Leih</w:t>
      </w:r>
      <w:r>
        <w:softHyphen/>
        <w:t>arbeit zugelassene Unternehmen, die in Artikel 275</w:t>
      </w:r>
      <w:r>
        <w:rPr>
          <w:vertAlign w:val="superscript"/>
        </w:rPr>
        <w:t>8</w:t>
      </w:r>
      <w:r>
        <w:t xml:space="preserve"> § 4 desselben Gesetzbuches erwähnte Entlohnungen zahlen oder zuerkennen,</w:t>
      </w:r>
      <w:r>
        <w:rPr>
          <w:rFonts w:eastAsia="Calibri"/>
          <w:szCs w:val="22"/>
          <w:lang w:eastAsia="de-DE" w:bidi="de-DE"/>
        </w:rPr>
        <w:t>]]</w:t>
      </w:r>
    </w:p>
    <w:p w14:paraId="16C2AD26" w14:textId="77777777" w:rsidR="00DE7162" w:rsidRDefault="00DE7162" w:rsidP="00DE7162">
      <w:pPr>
        <w:jc w:val="both"/>
        <w:rPr>
          <w:rFonts w:eastAsia="Calibri"/>
          <w:szCs w:val="22"/>
          <w:lang w:eastAsia="de-DE" w:bidi="de-DE"/>
        </w:rPr>
      </w:pPr>
    </w:p>
    <w:p w14:paraId="45793C2F" w14:textId="77777777" w:rsidR="00DE7162" w:rsidRDefault="00DE7162" w:rsidP="00DE7162">
      <w:pPr>
        <w:jc w:val="both"/>
      </w:pPr>
      <w:r>
        <w:rPr>
          <w:rFonts w:eastAsia="Calibri"/>
          <w:szCs w:val="22"/>
          <w:lang w:eastAsia="de-DE" w:bidi="de-DE"/>
        </w:rPr>
        <w:tab/>
        <w:t>[</w:t>
      </w:r>
      <w:r>
        <w:t>9. [in Artikel 275</w:t>
      </w:r>
      <w:r>
        <w:rPr>
          <w:vertAlign w:val="superscript"/>
        </w:rPr>
        <w:t>9</w:t>
      </w:r>
      <w:r>
        <w:t xml:space="preserve"> § 1 Absatz 1 desselben Gesetzbuches erwähnte Arbeitgeber, in Anwendung von Artikel 275</w:t>
      </w:r>
      <w:r>
        <w:rPr>
          <w:vertAlign w:val="superscript"/>
        </w:rPr>
        <w:t>9</w:t>
      </w:r>
      <w:r>
        <w:t xml:space="preserve"> § 1 Absatz 10 desselben Gesetzbuches mit ihnen gleichgesetzte Gesellschaften und in Artikel 275</w:t>
      </w:r>
      <w:r>
        <w:rPr>
          <w:vertAlign w:val="superscript"/>
        </w:rPr>
        <w:t>9</w:t>
      </w:r>
      <w:r>
        <w:t xml:space="preserve"> § 1 Absatz 9 desselben Gesetzbuches erwähnte für Leih</w:t>
      </w:r>
      <w:r>
        <w:softHyphen/>
        <w:t>arbeit zugelassene Unternehmen, die in Artikel 275</w:t>
      </w:r>
      <w:r>
        <w:rPr>
          <w:vertAlign w:val="superscript"/>
        </w:rPr>
        <w:t>8</w:t>
      </w:r>
      <w:r>
        <w:t xml:space="preserve"> § 4 desselben Gesetzbuches erwähnte Entlohnungen zahlen oder zuerkennen,]]</w:t>
      </w:r>
    </w:p>
    <w:p w14:paraId="5706A573" w14:textId="77777777" w:rsidR="00DE7162" w:rsidRDefault="00DE7162" w:rsidP="00DE7162">
      <w:pPr>
        <w:jc w:val="both"/>
      </w:pPr>
    </w:p>
    <w:p w14:paraId="35060678" w14:textId="77777777" w:rsidR="00DE7162" w:rsidRDefault="00DE7162" w:rsidP="00DE7162">
      <w:pPr>
        <w:jc w:val="both"/>
      </w:pPr>
      <w:r>
        <w:tab/>
        <w:t>[10. in Artikel 275</w:t>
      </w:r>
      <w:r>
        <w:rPr>
          <w:vertAlign w:val="superscript"/>
        </w:rPr>
        <w:t>10</w:t>
      </w:r>
      <w:r>
        <w:t xml:space="preserve"> Absatz 2 desselben Gesetzbuches erwähnte Arbeitgeber, die Entlohnungen zahlen oder zuerkennen,]</w:t>
      </w:r>
    </w:p>
    <w:p w14:paraId="4332ED54" w14:textId="77777777" w:rsidR="00DE7162" w:rsidRDefault="00DE7162" w:rsidP="00DE7162">
      <w:pPr>
        <w:jc w:val="both"/>
      </w:pPr>
    </w:p>
    <w:p w14:paraId="13C79126" w14:textId="77777777" w:rsidR="00DE7162" w:rsidRDefault="00DE7162" w:rsidP="00DE7162">
      <w:pPr>
        <w:jc w:val="both"/>
      </w:pPr>
      <w:r>
        <w:tab/>
        <w:t>[11. in Artikel 275</w:t>
      </w:r>
      <w:r>
        <w:rPr>
          <w:vertAlign w:val="superscript"/>
        </w:rPr>
        <w:t>11</w:t>
      </w:r>
      <w:r>
        <w:t xml:space="preserve"> desselben Gesetzbuches erwähnte Arbeitgeber, die Ausgleichs</w:t>
      </w:r>
      <w:r>
        <w:softHyphen/>
        <w:t>zuschläge wie in Artikel 33</w:t>
      </w:r>
      <w:r>
        <w:rPr>
          <w:i/>
        </w:rPr>
        <w:t>bis</w:t>
      </w:r>
      <w:r>
        <w:t xml:space="preserve"> § 4 des Gesetzes vom 24. Dezember 1999 zur Förderung der Beschäftigung erwähnt zahlen oder zuerkennen,]</w:t>
      </w:r>
    </w:p>
    <w:p w14:paraId="6A182C47" w14:textId="77777777" w:rsidR="00DE7162" w:rsidRDefault="00DE7162" w:rsidP="00DE7162">
      <w:pPr>
        <w:jc w:val="both"/>
      </w:pPr>
    </w:p>
    <w:p w14:paraId="3C6798F4" w14:textId="18BDE458" w:rsidR="00DE7162" w:rsidRDefault="00DE7162" w:rsidP="00DE7162">
      <w:pPr>
        <w:jc w:val="both"/>
      </w:pPr>
      <w:r>
        <w:tab/>
        <w:t>[12. in Artikel 275</w:t>
      </w:r>
      <w:r>
        <w:rPr>
          <w:vertAlign w:val="superscript"/>
        </w:rPr>
        <w:t>12</w:t>
      </w:r>
      <w:r>
        <w:t xml:space="preserve"> Absatz 2 desselben Gesetzbuches erwähnte Arbeitgeber, die Entlohnungen zahlen oder zuerkennen</w:t>
      </w:r>
      <w:r w:rsidR="00656FAB">
        <w:t>,</w:t>
      </w:r>
      <w:r>
        <w:t>]</w:t>
      </w:r>
    </w:p>
    <w:p w14:paraId="05FC7E15" w14:textId="77777777" w:rsidR="00656FAB" w:rsidRDefault="00656FAB" w:rsidP="00DE7162">
      <w:pPr>
        <w:jc w:val="both"/>
      </w:pPr>
    </w:p>
    <w:p w14:paraId="6656971C" w14:textId="0F371676" w:rsidR="00656FAB" w:rsidRDefault="00656FAB" w:rsidP="00DE7162">
      <w:pPr>
        <w:jc w:val="both"/>
      </w:pPr>
      <w:r>
        <w:tab/>
        <w:t>[</w:t>
      </w:r>
      <w:r w:rsidRPr="00656FAB">
        <w:t>13. in Artikel 275</w:t>
      </w:r>
      <w:r w:rsidRPr="00656FAB">
        <w:rPr>
          <w:vertAlign w:val="superscript"/>
        </w:rPr>
        <w:t>13</w:t>
      </w:r>
      <w:r w:rsidRPr="00656FAB">
        <w:t xml:space="preserve"> desselben Gesetzbuches erwähnte Arbeitgeber, die Gelegenheitsarbeitnehmern Entlohnungen zahlen oder zuerkennen.</w:t>
      </w:r>
      <w:r>
        <w:t>]</w:t>
      </w:r>
    </w:p>
    <w:p w14:paraId="6D639776" w14:textId="77777777" w:rsidR="00DE7162" w:rsidRDefault="00DE7162" w:rsidP="00DE7162">
      <w:pPr>
        <w:rPr>
          <w:rFonts w:eastAsia="Calibri"/>
          <w:szCs w:val="22"/>
          <w:lang w:eastAsia="de-DE" w:bidi="de-DE"/>
        </w:rPr>
      </w:pPr>
    </w:p>
    <w:p w14:paraId="20B68D5E" w14:textId="77777777" w:rsidR="00DE7162" w:rsidRDefault="00DE7162" w:rsidP="00DE7162">
      <w:pPr>
        <w:jc w:val="both"/>
        <w:rPr>
          <w:rFonts w:eastAsia="Calibri"/>
          <w:szCs w:val="22"/>
          <w:lang w:eastAsia="de-DE" w:bidi="de-DE"/>
        </w:rPr>
      </w:pPr>
      <w:r>
        <w:rPr>
          <w:rFonts w:eastAsia="Calibri"/>
          <w:szCs w:val="22"/>
          <w:lang w:eastAsia="de-DE" w:bidi="de-DE"/>
        </w:rPr>
        <w:tab/>
        <w:t>§ 2 - Die erste Erklärung zum Berufssteuervorabzug bezieht sich auf allen Arbeitnehmern gezahlte oder zuerkannte Entlohnungen und enthält folgende spezifische Vermerke:</w:t>
      </w:r>
    </w:p>
    <w:p w14:paraId="165A2099" w14:textId="77777777" w:rsidR="00DE7162" w:rsidRDefault="00DE7162" w:rsidP="00DE7162">
      <w:pPr>
        <w:jc w:val="both"/>
        <w:rPr>
          <w:rFonts w:eastAsia="Calibri"/>
          <w:szCs w:val="22"/>
          <w:lang w:eastAsia="de-DE" w:bidi="de-DE"/>
        </w:rPr>
      </w:pPr>
    </w:p>
    <w:p w14:paraId="1AA15212" w14:textId="77777777" w:rsidR="00DE7162" w:rsidRDefault="00DE7162" w:rsidP="00DE7162">
      <w:pPr>
        <w:jc w:val="both"/>
        <w:rPr>
          <w:rFonts w:eastAsia="Calibri"/>
          <w:szCs w:val="22"/>
          <w:lang w:eastAsia="de-DE" w:bidi="de-DE"/>
        </w:rPr>
      </w:pPr>
      <w:r>
        <w:rPr>
          <w:rFonts w:eastAsia="Calibri"/>
          <w:szCs w:val="22"/>
          <w:lang w:eastAsia="de-DE" w:bidi="de-DE"/>
        </w:rPr>
        <w:tab/>
      </w:r>
      <w:r>
        <w:rPr>
          <w:rFonts w:eastAsia="Calibri"/>
          <w:i/>
          <w:szCs w:val="22"/>
          <w:lang w:eastAsia="de-DE" w:bidi="de-DE"/>
        </w:rPr>
        <w:t>a)</w:t>
      </w:r>
      <w:r>
        <w:rPr>
          <w:rFonts w:eastAsia="Calibri"/>
          <w:szCs w:val="22"/>
          <w:lang w:eastAsia="de-DE" w:bidi="de-DE"/>
        </w:rPr>
        <w:t xml:space="preserve"> im Rahmen "steuerpflichtige Einkünfte": die vom Arbeitgeber für diesen Zeitraum gezahlten oder zuerkannten steuerpflichtigen Entlohnungen,</w:t>
      </w:r>
    </w:p>
    <w:p w14:paraId="39D630C4" w14:textId="77777777" w:rsidR="00DE7162" w:rsidRDefault="00DE7162" w:rsidP="00DE7162">
      <w:pPr>
        <w:jc w:val="both"/>
        <w:rPr>
          <w:rFonts w:eastAsia="Calibri"/>
          <w:szCs w:val="22"/>
          <w:lang w:eastAsia="de-DE" w:bidi="de-DE"/>
        </w:rPr>
      </w:pPr>
    </w:p>
    <w:p w14:paraId="691999D4" w14:textId="77777777" w:rsidR="00DE7162" w:rsidRDefault="00DE7162" w:rsidP="00DE7162">
      <w:pPr>
        <w:jc w:val="both"/>
        <w:rPr>
          <w:rFonts w:eastAsia="Calibri"/>
          <w:szCs w:val="22"/>
          <w:lang w:eastAsia="de-DE" w:bidi="de-DE"/>
        </w:rPr>
      </w:pPr>
      <w:r>
        <w:rPr>
          <w:rFonts w:eastAsia="Calibri"/>
          <w:szCs w:val="22"/>
          <w:lang w:eastAsia="de-DE" w:bidi="de-DE"/>
        </w:rPr>
        <w:tab/>
      </w:r>
      <w:r>
        <w:rPr>
          <w:rFonts w:eastAsia="Calibri"/>
          <w:i/>
          <w:szCs w:val="22"/>
          <w:lang w:eastAsia="de-DE" w:bidi="de-DE"/>
        </w:rPr>
        <w:t>b)</w:t>
      </w:r>
      <w:r>
        <w:rPr>
          <w:rFonts w:eastAsia="Calibri"/>
          <w:szCs w:val="22"/>
          <w:lang w:eastAsia="de-DE" w:bidi="de-DE"/>
        </w:rPr>
        <w:t xml:space="preserve"> im Rahmen "geschuldeter Berufssteuervorabzug": den einbehaltenen Berufssteuervorabzug. </w:t>
      </w:r>
    </w:p>
    <w:p w14:paraId="162F56ED" w14:textId="77777777" w:rsidR="00DE7162" w:rsidRDefault="00DE7162" w:rsidP="00DE7162">
      <w:pPr>
        <w:jc w:val="both"/>
        <w:rPr>
          <w:rFonts w:eastAsia="Calibri"/>
          <w:szCs w:val="22"/>
          <w:lang w:eastAsia="de-DE" w:bidi="de-DE"/>
        </w:rPr>
      </w:pPr>
    </w:p>
    <w:p w14:paraId="31266DB5" w14:textId="77777777" w:rsidR="00DE7162" w:rsidRPr="00D53C50" w:rsidRDefault="00DE7162" w:rsidP="00DE7162">
      <w:pPr>
        <w:jc w:val="both"/>
        <w:rPr>
          <w:rFonts w:eastAsia="Calibri"/>
          <w:spacing w:val="-2"/>
          <w:szCs w:val="22"/>
          <w:lang w:eastAsia="de-DE" w:bidi="de-DE"/>
        </w:rPr>
      </w:pPr>
      <w:r w:rsidRPr="00D53C50">
        <w:rPr>
          <w:rFonts w:eastAsia="Calibri"/>
          <w:spacing w:val="-2"/>
          <w:szCs w:val="22"/>
          <w:lang w:eastAsia="de-DE" w:bidi="de-DE"/>
        </w:rPr>
        <w:tab/>
        <w:t>§ 3 - Die zweite Erklärung zum Berufssteuervorabzug bezieht sich ausschließlich auf Entlohnungen von Arbeitnehmern, für die der geschuldete Berufssteuervorabzug der Staatskasse nicht oder nur teilweise zugeführt werden muss, und enthält folgende spezifische Vermerke:</w:t>
      </w:r>
    </w:p>
    <w:p w14:paraId="2A4B87A8" w14:textId="77777777" w:rsidR="00DE7162" w:rsidRDefault="00DE7162" w:rsidP="00DE7162">
      <w:pPr>
        <w:jc w:val="both"/>
        <w:rPr>
          <w:rFonts w:eastAsia="Calibri"/>
          <w:szCs w:val="22"/>
          <w:lang w:eastAsia="de-DE" w:bidi="de-DE"/>
        </w:rPr>
      </w:pPr>
    </w:p>
    <w:p w14:paraId="2E9FF5C6" w14:textId="77777777" w:rsidR="00DE7162" w:rsidRDefault="00DE7162" w:rsidP="00DE7162">
      <w:pPr>
        <w:jc w:val="both"/>
        <w:rPr>
          <w:rFonts w:eastAsia="Calibri"/>
          <w:szCs w:val="22"/>
          <w:lang w:eastAsia="de-DE" w:bidi="de-DE"/>
        </w:rPr>
      </w:pPr>
      <w:r>
        <w:rPr>
          <w:rFonts w:eastAsia="Calibri"/>
          <w:szCs w:val="22"/>
          <w:lang w:eastAsia="de-DE" w:bidi="de-DE"/>
        </w:rPr>
        <w:tab/>
      </w:r>
      <w:r>
        <w:rPr>
          <w:rFonts w:eastAsia="Calibri"/>
          <w:i/>
          <w:szCs w:val="22"/>
          <w:lang w:eastAsia="de-DE" w:bidi="de-DE"/>
        </w:rPr>
        <w:t>a)</w:t>
      </w:r>
      <w:r>
        <w:rPr>
          <w:rFonts w:eastAsia="Calibri"/>
          <w:szCs w:val="22"/>
          <w:lang w:eastAsia="de-DE" w:bidi="de-DE"/>
        </w:rPr>
        <w:t xml:space="preserve"> im Rahmen "Art der Einkünfte": den entsprechenden Code aus Anlage 3</w:t>
      </w:r>
      <w:r>
        <w:rPr>
          <w:rFonts w:eastAsia="Calibri"/>
          <w:i/>
          <w:szCs w:val="22"/>
          <w:lang w:eastAsia="de-DE" w:bidi="de-DE"/>
        </w:rPr>
        <w:t>bis</w:t>
      </w:r>
      <w:r>
        <w:rPr>
          <w:rFonts w:eastAsia="Calibri"/>
          <w:szCs w:val="22"/>
          <w:lang w:eastAsia="de-DE" w:bidi="de-DE"/>
        </w:rPr>
        <w:t>,</w:t>
      </w:r>
    </w:p>
    <w:p w14:paraId="49A47A2E" w14:textId="77777777" w:rsidR="00DE7162" w:rsidRDefault="00DE7162" w:rsidP="00DE7162">
      <w:pPr>
        <w:jc w:val="both"/>
        <w:rPr>
          <w:rFonts w:eastAsia="Calibri"/>
          <w:szCs w:val="22"/>
          <w:lang w:eastAsia="de-DE" w:bidi="de-DE"/>
        </w:rPr>
      </w:pPr>
    </w:p>
    <w:p w14:paraId="45F01AF7" w14:textId="68AC1051" w:rsidR="00DE7162" w:rsidRDefault="00DE7162" w:rsidP="00DE6852">
      <w:pPr>
        <w:ind w:firstLine="708"/>
        <w:jc w:val="both"/>
        <w:rPr>
          <w:rFonts w:eastAsia="Calibri"/>
          <w:szCs w:val="22"/>
          <w:lang w:eastAsia="de-DE" w:bidi="de-DE"/>
        </w:rPr>
      </w:pPr>
      <w:r>
        <w:rPr>
          <w:rFonts w:eastAsia="Calibri"/>
          <w:i/>
          <w:szCs w:val="22"/>
          <w:lang w:eastAsia="de-DE" w:bidi="de-DE"/>
        </w:rPr>
        <w:t>b)</w:t>
      </w:r>
      <w:r>
        <w:rPr>
          <w:rFonts w:eastAsia="Calibri"/>
          <w:szCs w:val="22"/>
          <w:lang w:eastAsia="de-DE" w:bidi="de-DE"/>
        </w:rPr>
        <w:t xml:space="preserve"> [im Rahmen "steuerpflichtige Einkünfte":</w:t>
      </w:r>
    </w:p>
    <w:p w14:paraId="274750EC" w14:textId="77777777" w:rsidR="00DE7162" w:rsidRDefault="00DE7162" w:rsidP="00DE7162">
      <w:pPr>
        <w:jc w:val="both"/>
        <w:rPr>
          <w:rFonts w:eastAsia="Calibri"/>
          <w:szCs w:val="22"/>
          <w:lang w:eastAsia="de-DE" w:bidi="de-DE"/>
        </w:rPr>
      </w:pPr>
    </w:p>
    <w:p w14:paraId="75F82361" w14:textId="77777777" w:rsidR="00DE7162" w:rsidRDefault="00DE7162" w:rsidP="00DE7162">
      <w:pPr>
        <w:jc w:val="both"/>
        <w:rPr>
          <w:rFonts w:eastAsia="Calibri"/>
          <w:szCs w:val="22"/>
          <w:lang w:eastAsia="de-DE" w:bidi="de-DE"/>
        </w:rPr>
      </w:pPr>
      <w:r>
        <w:rPr>
          <w:rFonts w:eastAsia="Calibri"/>
          <w:szCs w:val="22"/>
          <w:lang w:eastAsia="de-DE" w:bidi="de-DE"/>
        </w:rPr>
        <w:tab/>
        <w:t>1. für die in [§ 1 Absatz 3] Nr. 1 erwähnten Schuldner: die Berechnungsgrundlage, die zur Festlegung der Lohnzulage für die während dieses Zeitraums tatsächlich geleisteten Überstunden gedient hat,</w:t>
      </w:r>
    </w:p>
    <w:p w14:paraId="4B72428A" w14:textId="77777777" w:rsidR="00DE7162" w:rsidRDefault="00DE7162" w:rsidP="00DE7162">
      <w:pPr>
        <w:jc w:val="both"/>
        <w:rPr>
          <w:rFonts w:eastAsia="Calibri"/>
          <w:szCs w:val="22"/>
          <w:lang w:eastAsia="de-DE" w:bidi="de-DE"/>
        </w:rPr>
      </w:pPr>
    </w:p>
    <w:p w14:paraId="796F7D2C" w14:textId="77777777" w:rsidR="00DE7162" w:rsidRDefault="00DE7162" w:rsidP="00DE7162">
      <w:pPr>
        <w:jc w:val="both"/>
        <w:rPr>
          <w:rFonts w:eastAsia="Calibri"/>
          <w:szCs w:val="22"/>
          <w:lang w:eastAsia="de-DE" w:bidi="de-DE"/>
        </w:rPr>
      </w:pPr>
      <w:r>
        <w:rPr>
          <w:rFonts w:eastAsia="Calibri"/>
          <w:szCs w:val="22"/>
          <w:lang w:eastAsia="de-DE" w:bidi="de-DE"/>
        </w:rPr>
        <w:lastRenderedPageBreak/>
        <w:tab/>
        <w:t>2. für die in [§ 1 Absatz 3] Nr. 2 erwähnten Schuldner: steuerpflichtige Entlohnungen, die der Arbeitgeber für diesen Zeitraum seinen Arbeitnehmern gezahlt oder zuerkannt hat, die er als Seeleute aus der Gemeinschaft an Bord eines in einem Mitgliedstaat des Europäischen Wirtschaftsraums registrierten Schiffs beschäftigt hat, für das ein Schiffszertifikat vorgelegt wird,</w:t>
      </w:r>
    </w:p>
    <w:p w14:paraId="45220768" w14:textId="77777777" w:rsidR="00DE7162" w:rsidRDefault="00DE7162" w:rsidP="00DE7162">
      <w:pPr>
        <w:jc w:val="both"/>
        <w:rPr>
          <w:rFonts w:eastAsia="Calibri"/>
          <w:szCs w:val="22"/>
          <w:lang w:eastAsia="de-DE" w:bidi="de-DE"/>
        </w:rPr>
      </w:pPr>
    </w:p>
    <w:p w14:paraId="4582F586" w14:textId="77777777" w:rsidR="00DE7162" w:rsidRDefault="00DE7162" w:rsidP="00DE7162">
      <w:pPr>
        <w:jc w:val="both"/>
        <w:rPr>
          <w:rFonts w:eastAsia="Calibri"/>
          <w:szCs w:val="22"/>
          <w:lang w:eastAsia="de-DE" w:bidi="de-DE"/>
        </w:rPr>
      </w:pPr>
      <w:r>
        <w:rPr>
          <w:rFonts w:eastAsia="Calibri"/>
          <w:szCs w:val="22"/>
          <w:lang w:eastAsia="de-DE" w:bidi="de-DE"/>
        </w:rPr>
        <w:tab/>
        <w:t>3. für die in [§ 1 Absatz 3 Nr. 3 bis 6 [und 10]] erwähnten Schuldner: vom Arbeitgeber für diesen Zeitraum gezahlte oder zuerkannte steuerpflichtige Entlohnungen,]</w:t>
      </w:r>
    </w:p>
    <w:p w14:paraId="4C12003A" w14:textId="77777777" w:rsidR="00DE7162" w:rsidRDefault="00DE7162" w:rsidP="00DE7162">
      <w:pPr>
        <w:rPr>
          <w:rFonts w:eastAsia="Calibri"/>
          <w:szCs w:val="22"/>
          <w:lang w:eastAsia="de-DE" w:bidi="de-DE"/>
        </w:rPr>
      </w:pPr>
    </w:p>
    <w:p w14:paraId="699F9625" w14:textId="77777777" w:rsidR="00DE7162" w:rsidRDefault="00DE7162" w:rsidP="00DE7162">
      <w:pPr>
        <w:jc w:val="both"/>
        <w:rPr>
          <w:rFonts w:eastAsia="Calibri"/>
          <w:szCs w:val="22"/>
          <w:lang w:eastAsia="de-DE" w:bidi="de-DE"/>
        </w:rPr>
      </w:pPr>
      <w:r>
        <w:rPr>
          <w:rFonts w:eastAsia="Calibri"/>
          <w:szCs w:val="22"/>
          <w:lang w:eastAsia="de-DE" w:bidi="de-DE"/>
        </w:rPr>
        <w:tab/>
        <w:t>[4. für die in § 1 Absatz 3 Nr. 7 erwähnten Schuldner:</w:t>
      </w:r>
    </w:p>
    <w:p w14:paraId="2A500AEB" w14:textId="77777777" w:rsidR="00DE7162" w:rsidRDefault="00DE7162" w:rsidP="00DE7162">
      <w:pPr>
        <w:jc w:val="both"/>
        <w:rPr>
          <w:rFonts w:eastAsia="Calibri"/>
          <w:szCs w:val="22"/>
          <w:lang w:eastAsia="de-DE" w:bidi="de-DE"/>
        </w:rPr>
      </w:pPr>
    </w:p>
    <w:p w14:paraId="5BBFAE6A" w14:textId="77777777" w:rsidR="00DE7162" w:rsidRDefault="00DE7162" w:rsidP="00DE7162">
      <w:pPr>
        <w:jc w:val="both"/>
        <w:rPr>
          <w:rFonts w:eastAsia="Calibri"/>
          <w:szCs w:val="22"/>
          <w:lang w:eastAsia="de-DE" w:bidi="de-DE"/>
        </w:rPr>
      </w:pPr>
      <w:r>
        <w:rPr>
          <w:rFonts w:eastAsia="Calibri"/>
          <w:szCs w:val="22"/>
          <w:lang w:eastAsia="de-DE" w:bidi="de-DE"/>
        </w:rPr>
        <w:tab/>
        <w:t>- Gesamtsumme der Bruttoentlohnungen vor Einbehaltung der persönlichen Sozialversicherungsbeiträge, wenn diese Entlohnungen ganz oder teilweise der sozialen Sicherheit unterliegen,</w:t>
      </w:r>
    </w:p>
    <w:p w14:paraId="6392F890" w14:textId="77777777" w:rsidR="00DE7162" w:rsidRDefault="00DE7162" w:rsidP="00DE7162">
      <w:pPr>
        <w:jc w:val="both"/>
        <w:rPr>
          <w:rFonts w:eastAsia="Calibri"/>
          <w:szCs w:val="22"/>
          <w:lang w:eastAsia="de-DE" w:bidi="de-DE"/>
        </w:rPr>
      </w:pPr>
    </w:p>
    <w:p w14:paraId="1856A746" w14:textId="77777777" w:rsidR="00DE7162" w:rsidRDefault="00DE7162" w:rsidP="00DE7162">
      <w:pPr>
        <w:jc w:val="both"/>
        <w:rPr>
          <w:rFonts w:eastAsia="Calibri"/>
          <w:szCs w:val="22"/>
          <w:lang w:eastAsia="de-DE" w:bidi="de-DE"/>
        </w:rPr>
      </w:pPr>
      <w:r>
        <w:rPr>
          <w:rFonts w:eastAsia="Calibri"/>
          <w:szCs w:val="22"/>
          <w:lang w:eastAsia="de-DE" w:bidi="de-DE"/>
        </w:rPr>
        <w:tab/>
        <w:t>- Gesamtsumme der steuerpflichtigen Bruttoentlohnungen, so wie sie für die Berechnung des Berufssteuervorabzugs berücksichtigt werden, wenn diese Entlohnungen nicht der sozialen Sicherheit unterliegen,]</w:t>
      </w:r>
    </w:p>
    <w:p w14:paraId="4F5BDEAD" w14:textId="77777777" w:rsidR="00DE7162" w:rsidRDefault="00DE7162" w:rsidP="00DE7162">
      <w:pPr>
        <w:jc w:val="both"/>
        <w:rPr>
          <w:rFonts w:eastAsia="Calibri"/>
          <w:szCs w:val="22"/>
          <w:lang w:eastAsia="de-DE" w:bidi="de-DE"/>
        </w:rPr>
      </w:pPr>
    </w:p>
    <w:p w14:paraId="127A802C" w14:textId="77777777" w:rsidR="00DE7162" w:rsidRDefault="00DE7162" w:rsidP="00DE7162">
      <w:pPr>
        <w:jc w:val="both"/>
      </w:pPr>
      <w:r>
        <w:rPr>
          <w:rFonts w:eastAsia="Calibri"/>
          <w:szCs w:val="22"/>
          <w:lang w:eastAsia="de-DE" w:bidi="de-DE"/>
        </w:rPr>
        <w:tab/>
        <w:t>[</w:t>
      </w:r>
      <w:r>
        <w:t>4/1. für die in § 1 Absatz 3 Nr. 8 bis 9 erwähnten Schuldner: vom Arbeitgeber für diesen Zeitraum gezahlte oder zuerkannte steuerpflichtige Entlohnungen, die die Bedingungen von Artikel 275</w:t>
      </w:r>
      <w:r>
        <w:rPr>
          <w:vertAlign w:val="superscript"/>
        </w:rPr>
        <w:t>8</w:t>
      </w:r>
      <w:r>
        <w:t xml:space="preserve"> § 4 desselben Gesetzbuches erfüllen,]</w:t>
      </w:r>
    </w:p>
    <w:p w14:paraId="0093CBFD" w14:textId="77777777" w:rsidR="00DE7162" w:rsidRDefault="00DE7162" w:rsidP="00DE7162">
      <w:pPr>
        <w:jc w:val="both"/>
        <w:rPr>
          <w:rFonts w:eastAsia="Calibri"/>
          <w:szCs w:val="22"/>
          <w:lang w:eastAsia="de-DE" w:bidi="de-DE"/>
        </w:rPr>
      </w:pPr>
    </w:p>
    <w:p w14:paraId="41055EA2" w14:textId="77777777" w:rsidR="00DE7162" w:rsidRDefault="00DE7162" w:rsidP="00DE7162">
      <w:pPr>
        <w:jc w:val="both"/>
        <w:rPr>
          <w:rFonts w:eastAsia="Calibri"/>
          <w:szCs w:val="22"/>
          <w:lang w:eastAsia="de-DE" w:bidi="de-DE"/>
        </w:rPr>
      </w:pPr>
      <w:r>
        <w:rPr>
          <w:rFonts w:eastAsia="Calibri"/>
          <w:szCs w:val="22"/>
          <w:lang w:eastAsia="de-DE" w:bidi="de-DE"/>
        </w:rPr>
        <w:tab/>
        <w:t>[</w:t>
      </w:r>
      <w:r>
        <w:t>5. für die in § 1 Absatz 3 Nr. 11 erwähnten Schuldner: Betrag der vom Arbeitgeber in diesem Zeitraum gezahlten oder zuerkannten Ausgleichszuschläge wie in Artikel 33</w:t>
      </w:r>
      <w:r>
        <w:rPr>
          <w:i/>
        </w:rPr>
        <w:t>bis</w:t>
      </w:r>
      <w:r>
        <w:t xml:space="preserve"> § 4 des Gesetzes vom 24. Dezember 1999 zur Förderung der Beschäftigung erwähnt,</w:t>
      </w:r>
      <w:r>
        <w:rPr>
          <w:rFonts w:eastAsia="Calibri"/>
          <w:szCs w:val="22"/>
          <w:lang w:eastAsia="de-DE" w:bidi="de-DE"/>
        </w:rPr>
        <w:t>]</w:t>
      </w:r>
    </w:p>
    <w:p w14:paraId="060C4FC3" w14:textId="77777777" w:rsidR="00DE7162" w:rsidRDefault="00DE7162" w:rsidP="00DE7162">
      <w:pPr>
        <w:jc w:val="both"/>
        <w:rPr>
          <w:rFonts w:eastAsia="Calibri"/>
          <w:szCs w:val="22"/>
          <w:lang w:eastAsia="de-DE" w:bidi="de-DE"/>
        </w:rPr>
      </w:pPr>
    </w:p>
    <w:p w14:paraId="215CA1CA" w14:textId="77777777" w:rsidR="00DE7162" w:rsidRDefault="00DE7162" w:rsidP="00DE7162">
      <w:pPr>
        <w:jc w:val="both"/>
        <w:rPr>
          <w:rFonts w:eastAsia="Calibri"/>
          <w:szCs w:val="22"/>
          <w:lang w:eastAsia="de-DE" w:bidi="de-DE"/>
        </w:rPr>
      </w:pPr>
      <w:r>
        <w:rPr>
          <w:rFonts w:eastAsia="Calibri"/>
          <w:szCs w:val="22"/>
          <w:lang w:eastAsia="de-DE" w:bidi="de-DE"/>
        </w:rPr>
        <w:tab/>
        <w:t>[</w:t>
      </w:r>
      <w:r>
        <w:t>6. für die in § 1 Absatz 3 Nr. 12 erwähnten Schuldner: vom Arbeitgeber für diesen Zeitraum gezahlte oder zuerkannte steuerpflichtige Entlohnungen, die die Bedingungen von Artikel 275</w:t>
      </w:r>
      <w:r>
        <w:rPr>
          <w:vertAlign w:val="superscript"/>
        </w:rPr>
        <w:t>12</w:t>
      </w:r>
      <w:r>
        <w:t xml:space="preserve"> § 4 desselben Gesetzbuches erfüllen,</w:t>
      </w:r>
      <w:r>
        <w:rPr>
          <w:rFonts w:eastAsia="Calibri"/>
          <w:szCs w:val="22"/>
          <w:lang w:eastAsia="de-DE" w:bidi="de-DE"/>
        </w:rPr>
        <w:t>]</w:t>
      </w:r>
    </w:p>
    <w:p w14:paraId="2596522A" w14:textId="77777777" w:rsidR="00656FAB" w:rsidRDefault="00656FAB" w:rsidP="00DE7162">
      <w:pPr>
        <w:jc w:val="both"/>
        <w:rPr>
          <w:rFonts w:eastAsia="Calibri"/>
          <w:szCs w:val="22"/>
          <w:lang w:eastAsia="de-DE" w:bidi="de-DE"/>
        </w:rPr>
      </w:pPr>
    </w:p>
    <w:p w14:paraId="70B7EA6B" w14:textId="6EF5A651" w:rsidR="00656FAB" w:rsidRDefault="00656FAB" w:rsidP="00DE7162">
      <w:pPr>
        <w:jc w:val="both"/>
        <w:rPr>
          <w:rFonts w:eastAsia="Calibri"/>
          <w:szCs w:val="22"/>
          <w:lang w:eastAsia="de-DE" w:bidi="de-DE"/>
        </w:rPr>
      </w:pPr>
      <w:r>
        <w:rPr>
          <w:rFonts w:eastAsia="Calibri"/>
          <w:szCs w:val="22"/>
          <w:lang w:eastAsia="de-DE" w:bidi="de-DE"/>
        </w:rPr>
        <w:tab/>
        <w:t>[</w:t>
      </w:r>
      <w:r w:rsidRPr="00CB1FD8">
        <w:t>7. für die in § 1 Absatz 3 Nr. 13 erwähnten Schuldner: Anzahl Stunden, die ab dem 1. Januar 2024 als Gelegenheitsarbeitnehmer im Obst- oder Gemüsebau geleistet werden, für die Entlohnungen zum ersten Mal im betreffenden Erklärungszeitraum gezahlt oder zuerkannt werden,</w:t>
      </w:r>
      <w:r>
        <w:t>]</w:t>
      </w:r>
    </w:p>
    <w:p w14:paraId="79B793D4" w14:textId="77777777" w:rsidR="00DE7162" w:rsidRDefault="00DE7162" w:rsidP="00DE7162">
      <w:pPr>
        <w:jc w:val="both"/>
        <w:rPr>
          <w:rFonts w:eastAsia="Calibri"/>
          <w:szCs w:val="22"/>
          <w:lang w:eastAsia="de-DE" w:bidi="de-DE"/>
        </w:rPr>
      </w:pPr>
    </w:p>
    <w:p w14:paraId="12AF16DE" w14:textId="77777777" w:rsidR="00DE7162" w:rsidRDefault="00DE7162" w:rsidP="00DE7162">
      <w:pPr>
        <w:jc w:val="both"/>
        <w:rPr>
          <w:rFonts w:eastAsia="Calibri"/>
          <w:szCs w:val="22"/>
          <w:lang w:eastAsia="de-DE" w:bidi="de-DE"/>
        </w:rPr>
      </w:pPr>
      <w:r>
        <w:rPr>
          <w:rFonts w:eastAsia="Calibri"/>
          <w:szCs w:val="22"/>
          <w:lang w:eastAsia="de-DE" w:bidi="de-DE"/>
        </w:rPr>
        <w:tab/>
      </w:r>
      <w:r>
        <w:rPr>
          <w:rFonts w:eastAsia="Calibri"/>
          <w:i/>
          <w:szCs w:val="22"/>
          <w:lang w:eastAsia="de-DE" w:bidi="de-DE"/>
        </w:rPr>
        <w:t>c)</w:t>
      </w:r>
      <w:r>
        <w:rPr>
          <w:rFonts w:eastAsia="Calibri"/>
          <w:szCs w:val="22"/>
          <w:lang w:eastAsia="de-DE" w:bidi="de-DE"/>
        </w:rPr>
        <w:t xml:space="preserve"> im Rahmen "geschuldeter Berufssteuervorabzug":</w:t>
      </w:r>
    </w:p>
    <w:p w14:paraId="620CF706" w14:textId="77777777" w:rsidR="00DE7162" w:rsidRDefault="00DE7162" w:rsidP="00DE7162">
      <w:pPr>
        <w:jc w:val="both"/>
        <w:rPr>
          <w:rFonts w:eastAsia="Calibri"/>
          <w:szCs w:val="22"/>
          <w:lang w:eastAsia="de-DE" w:bidi="de-DE"/>
        </w:rPr>
      </w:pPr>
    </w:p>
    <w:p w14:paraId="266D79BF" w14:textId="77777777" w:rsidR="00DE7162" w:rsidRDefault="00DE7162" w:rsidP="00DE7162">
      <w:pPr>
        <w:jc w:val="both"/>
        <w:rPr>
          <w:rFonts w:eastAsia="Calibri"/>
          <w:szCs w:val="22"/>
          <w:lang w:eastAsia="de-DE" w:bidi="de-DE"/>
        </w:rPr>
      </w:pPr>
      <w:r>
        <w:rPr>
          <w:rFonts w:eastAsia="Calibri"/>
          <w:szCs w:val="22"/>
          <w:lang w:eastAsia="de-DE" w:bidi="de-DE"/>
        </w:rPr>
        <w:tab/>
        <w:t>1. [für die in [§ 1 Absatz 3] Nr. 1 erwähnten Schuldner: einen negativen Betrag von:</w:t>
      </w:r>
    </w:p>
    <w:p w14:paraId="50E462B0" w14:textId="77777777" w:rsidR="00DE7162" w:rsidRDefault="00DE7162" w:rsidP="00DE7162">
      <w:pPr>
        <w:jc w:val="both"/>
        <w:rPr>
          <w:rFonts w:eastAsia="Calibri"/>
          <w:szCs w:val="22"/>
          <w:lang w:eastAsia="de-DE" w:bidi="de-DE"/>
        </w:rPr>
      </w:pPr>
    </w:p>
    <w:p w14:paraId="64AACCA8" w14:textId="77777777" w:rsidR="00DE7162" w:rsidRDefault="00DE7162" w:rsidP="00DE7162">
      <w:pPr>
        <w:jc w:val="both"/>
        <w:rPr>
          <w:rFonts w:eastAsia="Calibri"/>
          <w:szCs w:val="22"/>
          <w:lang w:eastAsia="de-DE" w:bidi="de-DE"/>
        </w:rPr>
      </w:pPr>
      <w:r>
        <w:rPr>
          <w:rFonts w:eastAsia="Calibri"/>
          <w:szCs w:val="22"/>
          <w:lang w:eastAsia="de-DE" w:bidi="de-DE"/>
        </w:rPr>
        <w:tab/>
        <w:t>- 32,19 Prozent des Bruttobetrags der Entlohnungen, der als Berechnungsgrundlage zur Festlegung der Lohnzulage gedient hat, wenn eine gesetzliche Lohnzulage von 20 Prozent angewendet worden ist,</w:t>
      </w:r>
    </w:p>
    <w:p w14:paraId="077A3741" w14:textId="77777777" w:rsidR="00DE7162" w:rsidRDefault="00DE7162" w:rsidP="00DE7162">
      <w:pPr>
        <w:jc w:val="both"/>
        <w:rPr>
          <w:rFonts w:eastAsia="Calibri"/>
          <w:szCs w:val="22"/>
          <w:lang w:eastAsia="de-DE" w:bidi="de-DE"/>
        </w:rPr>
      </w:pPr>
    </w:p>
    <w:p w14:paraId="76A67381" w14:textId="77777777" w:rsidR="00DE7162" w:rsidRDefault="00DE7162" w:rsidP="00DE7162">
      <w:pPr>
        <w:jc w:val="both"/>
        <w:rPr>
          <w:rFonts w:eastAsia="Calibri"/>
          <w:szCs w:val="22"/>
          <w:lang w:eastAsia="de-DE" w:bidi="de-DE"/>
        </w:rPr>
      </w:pPr>
      <w:r>
        <w:rPr>
          <w:rFonts w:eastAsia="Calibri"/>
          <w:szCs w:val="22"/>
          <w:lang w:eastAsia="de-DE" w:bidi="de-DE"/>
        </w:rPr>
        <w:tab/>
        <w:t>- 41,25 Prozent des Bruttobetrags der Entlohnungen, der als Berechnungsgrundlage zur Festlegung der Lohnzulage gedient hat, wenn eine gesetzliche Lohnzulage von 50 oder 100 Prozent angewendet worden ist,]</w:t>
      </w:r>
    </w:p>
    <w:p w14:paraId="6AAA1339" w14:textId="77777777" w:rsidR="00DE7162" w:rsidRDefault="00DE7162" w:rsidP="00DE7162">
      <w:pPr>
        <w:jc w:val="both"/>
        <w:rPr>
          <w:rFonts w:eastAsia="Calibri"/>
          <w:szCs w:val="22"/>
          <w:lang w:eastAsia="de-DE" w:bidi="de-DE"/>
        </w:rPr>
      </w:pPr>
    </w:p>
    <w:p w14:paraId="19B05930" w14:textId="77777777" w:rsidR="00DE7162" w:rsidRDefault="00DE7162" w:rsidP="00DE7162">
      <w:pPr>
        <w:jc w:val="both"/>
        <w:rPr>
          <w:rFonts w:eastAsia="Calibri"/>
          <w:szCs w:val="22"/>
          <w:lang w:eastAsia="de-DE" w:bidi="de-DE"/>
        </w:rPr>
      </w:pPr>
      <w:r>
        <w:rPr>
          <w:rFonts w:eastAsia="Calibri"/>
          <w:szCs w:val="22"/>
          <w:lang w:eastAsia="de-DE" w:bidi="de-DE"/>
        </w:rPr>
        <w:tab/>
        <w:t xml:space="preserve">2. für die in [§ 1 Absatz 3] Nr. 2 erwähnten Schuldner: einen negativen Betrag in der Höhe des Berufssteuervorabzugs, der einbehalten worden ist auf steuerpflichtige Entlohnungen, </w:t>
      </w:r>
      <w:r>
        <w:rPr>
          <w:rFonts w:eastAsia="Calibri"/>
          <w:szCs w:val="22"/>
          <w:lang w:eastAsia="de-DE" w:bidi="de-DE"/>
        </w:rPr>
        <w:lastRenderedPageBreak/>
        <w:t>die ihren Arbeitnehmern gezahlt oder zuerkannt worden sind, die an Bord eines in einem Mitgliedstaat der Europäischen Union registrierten Schiffs beschäftigt worden sind, für die ein Schiffszertifikat vorgelegt wird,</w:t>
      </w:r>
    </w:p>
    <w:p w14:paraId="1D5A33FF" w14:textId="77777777" w:rsidR="00DE7162" w:rsidRDefault="00DE7162" w:rsidP="00DE7162">
      <w:pPr>
        <w:jc w:val="both"/>
        <w:rPr>
          <w:rFonts w:eastAsia="Calibri"/>
          <w:szCs w:val="22"/>
          <w:lang w:eastAsia="de-DE" w:bidi="de-DE"/>
        </w:rPr>
      </w:pPr>
    </w:p>
    <w:p w14:paraId="288981E6" w14:textId="77777777" w:rsidR="00DE7162" w:rsidRDefault="00DE7162" w:rsidP="00DE7162">
      <w:pPr>
        <w:jc w:val="both"/>
        <w:rPr>
          <w:rFonts w:eastAsia="Calibri"/>
          <w:szCs w:val="22"/>
          <w:lang w:eastAsia="de-DE" w:bidi="de-DE"/>
        </w:rPr>
      </w:pPr>
      <w:r>
        <w:rPr>
          <w:rFonts w:eastAsia="Calibri"/>
          <w:szCs w:val="22"/>
          <w:lang w:eastAsia="de-DE" w:bidi="de-DE"/>
        </w:rPr>
        <w:tab/>
        <w:t>3. für die in [§ 1 Absatz 3] [Nr. 3 Buchstabe </w:t>
      </w:r>
      <w:r>
        <w:rPr>
          <w:rFonts w:eastAsia="Calibri"/>
          <w:i/>
          <w:szCs w:val="22"/>
          <w:lang w:eastAsia="de-DE" w:bidi="de-DE"/>
        </w:rPr>
        <w:t>a)</w:t>
      </w:r>
      <w:r>
        <w:rPr>
          <w:rFonts w:eastAsia="Calibri"/>
          <w:szCs w:val="22"/>
          <w:lang w:eastAsia="de-DE" w:bidi="de-DE"/>
        </w:rPr>
        <w:t xml:space="preserve"> bis </w:t>
      </w:r>
      <w:r>
        <w:rPr>
          <w:rFonts w:eastAsia="Calibri"/>
          <w:i/>
          <w:szCs w:val="22"/>
          <w:lang w:eastAsia="de-DE" w:bidi="de-DE"/>
        </w:rPr>
        <w:t>e)</w:t>
      </w:r>
      <w:r>
        <w:rPr>
          <w:rFonts w:eastAsia="Calibri"/>
          <w:szCs w:val="22"/>
          <w:lang w:eastAsia="de-DE" w:bidi="de-DE"/>
        </w:rPr>
        <w:t xml:space="preserve">] erwähnten Schuldner: einen negativen Betrag, der [80 Prozent] des auf die steuerpflichtigen Entlohnungen einbehaltenen Berufssteuervorabzugs entspricht, </w:t>
      </w:r>
    </w:p>
    <w:p w14:paraId="3E491A3D" w14:textId="77777777" w:rsidR="00DE7162" w:rsidRDefault="00DE7162" w:rsidP="00DE7162">
      <w:pPr>
        <w:jc w:val="both"/>
        <w:rPr>
          <w:rFonts w:eastAsia="Calibri"/>
          <w:szCs w:val="22"/>
          <w:lang w:eastAsia="de-DE" w:bidi="de-DE"/>
        </w:rPr>
      </w:pPr>
    </w:p>
    <w:p w14:paraId="15806D28" w14:textId="77777777" w:rsidR="00DE7162" w:rsidRDefault="00DE7162" w:rsidP="00DE7162">
      <w:pPr>
        <w:jc w:val="both"/>
        <w:rPr>
          <w:rFonts w:eastAsia="Calibri"/>
          <w:szCs w:val="22"/>
          <w:lang w:eastAsia="de-DE" w:bidi="de-DE"/>
        </w:rPr>
      </w:pPr>
      <w:r>
        <w:rPr>
          <w:rFonts w:eastAsia="Calibri"/>
          <w:szCs w:val="22"/>
          <w:lang w:eastAsia="de-DE" w:bidi="de-DE"/>
        </w:rPr>
        <w:tab/>
        <w:t>4. [</w:t>
      </w:r>
      <w:r>
        <w:t>für die in § 1 Absatz 3 Nr. 3 Buchstabe </w:t>
      </w:r>
      <w:r>
        <w:rPr>
          <w:i/>
        </w:rPr>
        <w:t>f)</w:t>
      </w:r>
      <w:r>
        <w:t xml:space="preserve"> erwähnten Schuldner: einen negativen Betrag, der 40 Prozent des auf die steuerpflichtigen Entlohnungen einbehaltenen Berufs</w:t>
      </w:r>
      <w:r>
        <w:softHyphen/>
        <w:t>steuervorabzugs entspricht, begrenzt auf 25 Prozent des Gesamtbetrags der Befreiung von der Zahlung des Berufssteuervorabzugs, die Unternehmen bewilligt wird, die Forschern, die in Forschungs- oder Entwicklungsprojekten oder -programmen beschäftigt sind und ein in Artikel 275</w:t>
      </w:r>
      <w:r>
        <w:rPr>
          <w:vertAlign w:val="superscript"/>
        </w:rPr>
        <w:t>3</w:t>
      </w:r>
      <w:r>
        <w:t xml:space="preserve"> § 2 Nr. 1 oder 2 desselben Gesetzbuches erwähntes Diplom besitzen, Entlohnungen zahlen oder zuerkennen,</w:t>
      </w:r>
      <w:r>
        <w:rPr>
          <w:rFonts w:eastAsia="Calibri"/>
          <w:szCs w:val="22"/>
          <w:lang w:eastAsia="de-DE" w:bidi="de-DE"/>
        </w:rPr>
        <w:t>]</w:t>
      </w:r>
    </w:p>
    <w:p w14:paraId="7AE84695" w14:textId="77777777" w:rsidR="00DE7162" w:rsidRDefault="00DE7162" w:rsidP="00DE7162">
      <w:pPr>
        <w:jc w:val="both"/>
        <w:rPr>
          <w:rFonts w:eastAsia="Calibri"/>
          <w:szCs w:val="22"/>
          <w:lang w:eastAsia="de-DE" w:bidi="de-DE"/>
        </w:rPr>
      </w:pPr>
    </w:p>
    <w:p w14:paraId="3BE8C507" w14:textId="77777777" w:rsidR="00DE7162" w:rsidRDefault="00DE7162" w:rsidP="00DE7162">
      <w:pPr>
        <w:jc w:val="both"/>
        <w:rPr>
          <w:rFonts w:eastAsia="Calibri"/>
          <w:szCs w:val="22"/>
          <w:lang w:eastAsia="de-DE" w:bidi="de-DE"/>
        </w:rPr>
      </w:pPr>
      <w:r>
        <w:rPr>
          <w:rFonts w:eastAsia="Calibri"/>
          <w:szCs w:val="22"/>
          <w:lang w:eastAsia="de-DE" w:bidi="de-DE"/>
        </w:rPr>
        <w:tab/>
        <w:t>5. [</w:t>
      </w:r>
      <w:r>
        <w:t>für die in § 1 Absatz 3 Nr. 3 Buchstabe </w:t>
      </w:r>
      <w:r>
        <w:rPr>
          <w:i/>
        </w:rPr>
        <w:t>g)</w:t>
      </w:r>
      <w:r>
        <w:t xml:space="preserve"> erwähnten Schuldner: einen negativen Betrag, der 40 Prozent des auf die steuerpflichtigen Entlohnungen einbehaltenen Berufs</w:t>
      </w:r>
      <w:r>
        <w:softHyphen/>
        <w:t>steuervorabzugs entspricht, begrenzt auf 50 Prozent des Gesamtbetrags der Befreiung von der Zahlung des Berufssteuervorabzugs, die Gesellschaften bewilligt wird, die aufgrund von [Artikel 1:24 §§ 1 bis 6 des Gesetzbuches der Gesellschaften und Vereinigungen] für das Steuerjahr, das sich auf den Besteuerungszeitraum bezieht, in dem die Entlohnungen gezahlt werden, als kleine Gesellschaften gelten,</w:t>
      </w:r>
      <w:r>
        <w:rPr>
          <w:rFonts w:eastAsia="Calibri"/>
          <w:szCs w:val="22"/>
          <w:lang w:eastAsia="de-DE" w:bidi="de-DE"/>
        </w:rPr>
        <w:t>]</w:t>
      </w:r>
    </w:p>
    <w:p w14:paraId="6BDB83F8" w14:textId="77777777" w:rsidR="00DE7162" w:rsidRDefault="00DE7162" w:rsidP="00DE7162">
      <w:pPr>
        <w:jc w:val="both"/>
        <w:rPr>
          <w:rFonts w:eastAsia="Calibri"/>
          <w:szCs w:val="22"/>
          <w:lang w:eastAsia="de-DE" w:bidi="de-DE"/>
        </w:rPr>
      </w:pPr>
    </w:p>
    <w:p w14:paraId="5F62A68C" w14:textId="77777777" w:rsidR="00DE7162" w:rsidRDefault="00DE7162" w:rsidP="00DE7162">
      <w:pPr>
        <w:jc w:val="both"/>
        <w:rPr>
          <w:rFonts w:eastAsia="Calibri"/>
          <w:szCs w:val="22"/>
          <w:lang w:eastAsia="de-DE" w:bidi="de-DE"/>
        </w:rPr>
      </w:pPr>
      <w:r>
        <w:rPr>
          <w:rFonts w:eastAsia="Calibri"/>
          <w:szCs w:val="22"/>
          <w:lang w:eastAsia="de-DE" w:bidi="de-DE"/>
        </w:rPr>
        <w:tab/>
        <w:t>6. für die in [§ 1 Absatz 3] Nr. 4 erwähnten Schuldner: einen negativen Betrag, der dem auf die steuerpflichtigen Entlohnungen einbehaltenen Berufssteuervorabzug entspricht, wobei folgende Unterscheidung gemacht wird:</w:t>
      </w:r>
    </w:p>
    <w:p w14:paraId="669C2099" w14:textId="77777777" w:rsidR="00DE7162" w:rsidRDefault="00DE7162" w:rsidP="00DE7162">
      <w:pPr>
        <w:jc w:val="both"/>
        <w:rPr>
          <w:rFonts w:eastAsia="Calibri"/>
          <w:szCs w:val="22"/>
          <w:lang w:eastAsia="de-DE" w:bidi="de-DE"/>
        </w:rPr>
      </w:pPr>
    </w:p>
    <w:p w14:paraId="0E9B8253" w14:textId="77777777" w:rsidR="00DE7162" w:rsidRDefault="00DE7162" w:rsidP="00DE7162">
      <w:pPr>
        <w:jc w:val="both"/>
        <w:rPr>
          <w:rFonts w:eastAsia="Calibri"/>
          <w:szCs w:val="22"/>
          <w:lang w:eastAsia="de-DE" w:bidi="de-DE"/>
        </w:rPr>
      </w:pPr>
      <w:r>
        <w:rPr>
          <w:rFonts w:eastAsia="Calibri"/>
          <w:szCs w:val="22"/>
          <w:lang w:eastAsia="de-DE" w:bidi="de-DE"/>
        </w:rPr>
        <w:tab/>
        <w:t>- Wenn der Betrag des einbehaltenen Berufssteuervorabzugs unter dem Betrag des in [Artikel 275</w:t>
      </w:r>
      <w:r>
        <w:rPr>
          <w:rFonts w:eastAsia="Calibri"/>
          <w:szCs w:val="22"/>
          <w:vertAlign w:val="superscript"/>
          <w:lang w:eastAsia="de-DE" w:bidi="de-DE"/>
        </w:rPr>
        <w:t>4</w:t>
      </w:r>
      <w:r>
        <w:rPr>
          <w:rFonts w:eastAsia="Calibri"/>
          <w:szCs w:val="22"/>
          <w:lang w:eastAsia="de-DE" w:bidi="de-DE"/>
        </w:rPr>
        <w:t xml:space="preserve"> § 1 Absatz 3] des Einkommensteuergesetzbuches 1992 erwähnten fiktiven Berufssteuervorabzugs liegt, ist nur die Plusdifferenz zwischen dem fiktiven und dem einbehaltenen Berufssteuervorabzug zu vermerken.</w:t>
      </w:r>
    </w:p>
    <w:p w14:paraId="7EE35D7A" w14:textId="77777777" w:rsidR="00DE7162" w:rsidRDefault="00DE7162" w:rsidP="00DE7162">
      <w:pPr>
        <w:jc w:val="both"/>
        <w:rPr>
          <w:rFonts w:eastAsia="Calibri"/>
          <w:szCs w:val="22"/>
          <w:lang w:eastAsia="de-DE" w:bidi="de-DE"/>
        </w:rPr>
      </w:pPr>
    </w:p>
    <w:p w14:paraId="7385FB6A" w14:textId="77777777" w:rsidR="00DE7162" w:rsidRDefault="00DE7162" w:rsidP="00DE7162">
      <w:pPr>
        <w:jc w:val="both"/>
        <w:rPr>
          <w:rFonts w:eastAsia="Calibri"/>
          <w:szCs w:val="22"/>
          <w:lang w:eastAsia="de-DE" w:bidi="de-DE"/>
        </w:rPr>
      </w:pPr>
      <w:r>
        <w:rPr>
          <w:rFonts w:eastAsia="Calibri"/>
          <w:szCs w:val="22"/>
          <w:lang w:eastAsia="de-DE" w:bidi="de-DE"/>
        </w:rPr>
        <w:tab/>
        <w:t>- Wenn der Betrag des einbehaltenen Berufssteuervorabzugs über dem Betrag des in [Artikel 275</w:t>
      </w:r>
      <w:r>
        <w:rPr>
          <w:rFonts w:eastAsia="Calibri"/>
          <w:szCs w:val="22"/>
          <w:vertAlign w:val="superscript"/>
          <w:lang w:eastAsia="de-DE" w:bidi="de-DE"/>
        </w:rPr>
        <w:t>4</w:t>
      </w:r>
      <w:r>
        <w:rPr>
          <w:rFonts w:eastAsia="Calibri"/>
          <w:szCs w:val="22"/>
          <w:lang w:eastAsia="de-DE" w:bidi="de-DE"/>
        </w:rPr>
        <w:t xml:space="preserve"> § 1 Absatz 5] desselben Gesetzbuches erwähnten fiktiven Berufssteuer</w:t>
      </w:r>
      <w:r>
        <w:rPr>
          <w:rFonts w:eastAsia="Calibri"/>
          <w:szCs w:val="22"/>
          <w:lang w:eastAsia="de-DE" w:bidi="de-DE"/>
        </w:rPr>
        <w:softHyphen/>
        <w:t>vorabzugs liegt, ist nur die Minusdifferenz zwischen dem fiktiven und dem einbehaltenen Berufssteuervorabzug zu vermerken,</w:t>
      </w:r>
    </w:p>
    <w:p w14:paraId="760B1980" w14:textId="77777777" w:rsidR="00DE7162" w:rsidRDefault="00DE7162" w:rsidP="00DE7162">
      <w:pPr>
        <w:jc w:val="both"/>
        <w:rPr>
          <w:rFonts w:eastAsia="Calibri"/>
          <w:szCs w:val="22"/>
          <w:lang w:eastAsia="de-DE" w:bidi="de-DE"/>
        </w:rPr>
      </w:pPr>
    </w:p>
    <w:p w14:paraId="22DE376B" w14:textId="77777777" w:rsidR="00DE7162" w:rsidRDefault="00DE7162" w:rsidP="00DE7162">
      <w:pPr>
        <w:jc w:val="both"/>
      </w:pPr>
      <w:r>
        <w:rPr>
          <w:rFonts w:eastAsia="Calibri"/>
          <w:szCs w:val="22"/>
          <w:lang w:eastAsia="de-DE" w:bidi="de-DE"/>
        </w:rPr>
        <w:tab/>
        <w:t>7. [</w:t>
      </w:r>
      <w:r>
        <w:t>für die in § 1 Absatz 3 Nr. 5 Buchstabe </w:t>
      </w:r>
      <w:r>
        <w:rPr>
          <w:i/>
        </w:rPr>
        <w:t>a)</w:t>
      </w:r>
      <w:r>
        <w:t xml:space="preserve"> erwähnten Schuldner: einen negativen Betrag, der dem niedrigsten der beiden folgenden Beträge entspricht:</w:t>
      </w:r>
    </w:p>
    <w:p w14:paraId="4200B759" w14:textId="77777777" w:rsidR="00DE7162" w:rsidRDefault="00DE7162" w:rsidP="00DE7162">
      <w:pPr>
        <w:jc w:val="both"/>
      </w:pPr>
    </w:p>
    <w:p w14:paraId="3086A301" w14:textId="77777777" w:rsidR="00DE7162" w:rsidRDefault="00DE7162" w:rsidP="00DE7162">
      <w:pPr>
        <w:jc w:val="both"/>
      </w:pPr>
      <w:r>
        <w:tab/>
        <w:t>- 22,8 Prozent der steuerpflichtigen Entlohnungen der in Artikel 275</w:t>
      </w:r>
      <w:r>
        <w:rPr>
          <w:vertAlign w:val="superscript"/>
        </w:rPr>
        <w:t>5</w:t>
      </w:r>
      <w:r>
        <w:t xml:space="preserve"> § 1 desselben Gesetzbuches erwähnten Arbeitnehmer, die gemäß Artikel 31 Absatz 2 Nr. 1 und 2 desselben Gesetzbuches festgelegt werden, ohne doppeltes Urlaubsgeld, Jahresendprämie und ausstehende Entlohnungen,</w:t>
      </w:r>
    </w:p>
    <w:p w14:paraId="382836C1" w14:textId="77777777" w:rsidR="00DE7162" w:rsidRDefault="00DE7162" w:rsidP="00DE7162">
      <w:pPr>
        <w:jc w:val="both"/>
      </w:pPr>
    </w:p>
    <w:p w14:paraId="79C95856" w14:textId="77777777" w:rsidR="00DE7162" w:rsidRDefault="00DE7162" w:rsidP="00DE7162">
      <w:pPr>
        <w:jc w:val="both"/>
        <w:rPr>
          <w:rFonts w:eastAsia="Calibri"/>
          <w:szCs w:val="22"/>
          <w:lang w:eastAsia="de-DE" w:bidi="de-DE"/>
        </w:rPr>
      </w:pPr>
      <w:r>
        <w:tab/>
        <w:t>- dem auf die im vorhergehenden Gedankenstrich erwähnten Entlohnungen einbehaltenen Berufssteuervorabzug, sofern dieser ohne Anwendung der in Artikel 275</w:t>
      </w:r>
      <w:r>
        <w:rPr>
          <w:vertAlign w:val="superscript"/>
        </w:rPr>
        <w:t>5</w:t>
      </w:r>
      <w:r>
        <w:t xml:space="preserve"> § 1 desselben Gesetzbuches erwähnten Befreiung tatsächlich der Staatskasse zugeführt würde,</w:t>
      </w:r>
      <w:r>
        <w:rPr>
          <w:rFonts w:eastAsia="Calibri"/>
          <w:szCs w:val="22"/>
          <w:lang w:eastAsia="de-DE" w:bidi="de-DE"/>
        </w:rPr>
        <w:t>]</w:t>
      </w:r>
    </w:p>
    <w:p w14:paraId="3C4ECD5C" w14:textId="77777777" w:rsidR="00DE7162" w:rsidRDefault="00DE7162" w:rsidP="00DE7162">
      <w:pPr>
        <w:jc w:val="both"/>
        <w:rPr>
          <w:rFonts w:eastAsia="Calibri"/>
          <w:szCs w:val="22"/>
          <w:lang w:eastAsia="de-DE" w:bidi="de-DE"/>
        </w:rPr>
      </w:pPr>
    </w:p>
    <w:p w14:paraId="36290E7A" w14:textId="5869EE90" w:rsidR="00DE7162" w:rsidRDefault="00DE7162" w:rsidP="00DE7162">
      <w:pPr>
        <w:jc w:val="both"/>
      </w:pPr>
      <w:r>
        <w:rPr>
          <w:rFonts w:eastAsia="Calibri"/>
          <w:szCs w:val="22"/>
          <w:lang w:eastAsia="de-DE" w:bidi="de-DE"/>
        </w:rPr>
        <w:lastRenderedPageBreak/>
        <w:tab/>
        <w:t>[</w:t>
      </w:r>
      <w:r>
        <w:t>7/1. für die in § 1 Absatz 3 Nr. 5 Buchstabe </w:t>
      </w:r>
      <w:r>
        <w:rPr>
          <w:i/>
        </w:rPr>
        <w:t>b)</w:t>
      </w:r>
      <w:r>
        <w:t xml:space="preserve"> erwähnten Schuldner: einen negativen Betrag, der dem niedrigsten der beiden folgenden Beträge entspricht:</w:t>
      </w:r>
    </w:p>
    <w:p w14:paraId="601D1FCE" w14:textId="77777777" w:rsidR="00DE7162" w:rsidRDefault="00DE7162" w:rsidP="00DE7162">
      <w:pPr>
        <w:jc w:val="both"/>
      </w:pPr>
    </w:p>
    <w:p w14:paraId="585A1899" w14:textId="77777777" w:rsidR="00DE7162" w:rsidRDefault="00DE7162" w:rsidP="00DE7162">
      <w:pPr>
        <w:jc w:val="both"/>
      </w:pPr>
      <w:r>
        <w:tab/>
        <w:t>- 22,8 Prozent der steuerpflichtigen Entlohnungen der in Artikel 275</w:t>
      </w:r>
      <w:r>
        <w:rPr>
          <w:vertAlign w:val="superscript"/>
        </w:rPr>
        <w:t>5</w:t>
      </w:r>
      <w:r>
        <w:t xml:space="preserve"> § 2 desselben Gesetzbuches erwähnten Arbeitnehmer, die gemäß Artikel 31 Absatz 2 Nr. 1 und 2 desselben Gesetzbuches festgelegt werden, ohne doppeltes Urlaubsgeld, Jahresendprämie und ausstehende Entlohnungen,</w:t>
      </w:r>
    </w:p>
    <w:p w14:paraId="136E7B9A" w14:textId="77777777" w:rsidR="00DE7162" w:rsidRDefault="00DE7162" w:rsidP="00DE7162">
      <w:pPr>
        <w:jc w:val="both"/>
      </w:pPr>
    </w:p>
    <w:p w14:paraId="10888A81" w14:textId="77777777" w:rsidR="00DE7162" w:rsidRDefault="00DE7162" w:rsidP="00DE7162">
      <w:pPr>
        <w:jc w:val="both"/>
      </w:pPr>
      <w:r>
        <w:tab/>
        <w:t>- dem auf die im vorhergehenden Gedankenstrich erwähnten Entlohnungen einbehaltenen Berufssteuervorabzug, sofern dieser ohne Anwendung der in Artikel 275</w:t>
      </w:r>
      <w:r>
        <w:rPr>
          <w:vertAlign w:val="superscript"/>
        </w:rPr>
        <w:t>5</w:t>
      </w:r>
      <w:r>
        <w:t xml:space="preserve"> § 2 desselben Gesetzbuches erwähnten Befreiung tatsächlich der Staatskasse zugeführt würde,</w:t>
      </w:r>
    </w:p>
    <w:p w14:paraId="61363C3F" w14:textId="77777777" w:rsidR="00DE7162" w:rsidRDefault="00DE7162" w:rsidP="00DE7162">
      <w:pPr>
        <w:jc w:val="both"/>
      </w:pPr>
    </w:p>
    <w:p w14:paraId="78B21E5E" w14:textId="77777777" w:rsidR="00DE7162" w:rsidRDefault="00DE7162" w:rsidP="00DE7162">
      <w:pPr>
        <w:jc w:val="both"/>
      </w:pPr>
      <w:r>
        <w:tab/>
        <w:t>7/2. für die in § 1 Absatz 3 Nr. 5 Buchstabe </w:t>
      </w:r>
      <w:r>
        <w:rPr>
          <w:i/>
        </w:rPr>
        <w:t>c)</w:t>
      </w:r>
      <w:r>
        <w:t xml:space="preserve"> erwähnten Schuldner: einen negativen Betrag, der dem niedrigsten der beiden folgenden Beträge entspricht:</w:t>
      </w:r>
    </w:p>
    <w:p w14:paraId="6443E20D" w14:textId="77777777" w:rsidR="00DE7162" w:rsidRDefault="00DE7162" w:rsidP="00DE7162">
      <w:pPr>
        <w:jc w:val="both"/>
      </w:pPr>
    </w:p>
    <w:p w14:paraId="1B43E7C3" w14:textId="77777777" w:rsidR="00DE7162" w:rsidRDefault="00DE7162" w:rsidP="00DE7162">
      <w:pPr>
        <w:jc w:val="both"/>
      </w:pPr>
      <w:r>
        <w:tab/>
        <w:t>- 25 Prozent der steuerpflichtigen Entlohnungen der in Artikel 275</w:t>
      </w:r>
      <w:r>
        <w:rPr>
          <w:vertAlign w:val="superscript"/>
        </w:rPr>
        <w:t>5</w:t>
      </w:r>
      <w:r>
        <w:t xml:space="preserve"> § 3 desselben Gesetzbuches erwähnten Arbeitnehmer, die gemäß Artikel 31 Absatz 2 Nr. 1 und 2 desselben Gesetzbuches festgelegt werden, ohne doppeltes Urlaubsgeld, Jahresendprämie und ausstehende Entlohnungen,</w:t>
      </w:r>
    </w:p>
    <w:p w14:paraId="171EF1EB" w14:textId="77777777" w:rsidR="00DE7162" w:rsidRDefault="00DE7162" w:rsidP="00DE7162">
      <w:pPr>
        <w:jc w:val="both"/>
      </w:pPr>
    </w:p>
    <w:p w14:paraId="19338231" w14:textId="77777777" w:rsidR="00DE7162" w:rsidRDefault="00DE7162" w:rsidP="00DE7162">
      <w:pPr>
        <w:jc w:val="both"/>
      </w:pPr>
      <w:r>
        <w:tab/>
        <w:t>- dem auf die im vorhergehenden Gedankenstrich erwähnten Entlohnungen einbehaltenen Berufssteuervorabzug, sofern dieser ohne Anwendung der in Artikel 275</w:t>
      </w:r>
      <w:r>
        <w:rPr>
          <w:vertAlign w:val="superscript"/>
        </w:rPr>
        <w:t>5</w:t>
      </w:r>
      <w:r>
        <w:t xml:space="preserve"> § 3 desselben Gesetzbuches erwähnten Befreiung tatsächlich der Staatskasse zugeführt würde,</w:t>
      </w:r>
    </w:p>
    <w:p w14:paraId="68163FA8" w14:textId="77777777" w:rsidR="00DE7162" w:rsidRDefault="00DE7162" w:rsidP="00DE7162">
      <w:pPr>
        <w:jc w:val="both"/>
      </w:pPr>
    </w:p>
    <w:p w14:paraId="3894F02A" w14:textId="77777777" w:rsidR="00DE7162" w:rsidRDefault="00DE7162" w:rsidP="00DE7162">
      <w:pPr>
        <w:jc w:val="both"/>
      </w:pPr>
      <w:r>
        <w:tab/>
        <w:t>7/3. für die in § 1 Absatz 3 Nr. 5 Buchstabe </w:t>
      </w:r>
      <w:r>
        <w:rPr>
          <w:i/>
        </w:rPr>
        <w:t>d)</w:t>
      </w:r>
      <w:r>
        <w:t xml:space="preserve"> erwähnten Schuldner: einen negativen Betrag, der dem niedrigsten der beiden folgenden Beträge entspricht:</w:t>
      </w:r>
    </w:p>
    <w:p w14:paraId="44CE56D2" w14:textId="77777777" w:rsidR="00DE7162" w:rsidRDefault="00DE7162" w:rsidP="00DE7162">
      <w:pPr>
        <w:jc w:val="both"/>
      </w:pPr>
    </w:p>
    <w:p w14:paraId="3AE58EC8" w14:textId="77777777" w:rsidR="00DE7162" w:rsidRDefault="00DE7162" w:rsidP="00DE7162">
      <w:pPr>
        <w:jc w:val="both"/>
      </w:pPr>
      <w:r>
        <w:tab/>
        <w:t>- 22,8 Prozent der steuerpflichtigen Entlohnungen der in Artikel 275</w:t>
      </w:r>
      <w:r>
        <w:rPr>
          <w:vertAlign w:val="superscript"/>
        </w:rPr>
        <w:t>5</w:t>
      </w:r>
      <w:r>
        <w:t xml:space="preserve"> § 4 desselben Gesetzbuches erwähnten Arbeitnehmer, die gemäß Artikel 31 Absatz 2 Nr. 1 und 2 desselben Gesetzbuches festgelegt werden, ohne doppeltes Urlaubsgeld, Jahresendprämie und ausstehende Entlohnungen,</w:t>
      </w:r>
    </w:p>
    <w:p w14:paraId="13A355FE" w14:textId="77777777" w:rsidR="00DE7162" w:rsidRDefault="00DE7162" w:rsidP="00DE7162">
      <w:pPr>
        <w:jc w:val="both"/>
      </w:pPr>
    </w:p>
    <w:p w14:paraId="7C26A1C0" w14:textId="52F51742" w:rsidR="00DE7162" w:rsidRDefault="00DE7162" w:rsidP="00DE7162">
      <w:pPr>
        <w:jc w:val="both"/>
      </w:pPr>
      <w:r>
        <w:tab/>
        <w:t>- dem auf die im vorhergehenden Gedankenstrich erwähnten Entlohnungen einbehaltenen Berufssteuervorabzug, sofern dieser ohne Anwendung der in Artikel 275</w:t>
      </w:r>
      <w:r>
        <w:rPr>
          <w:vertAlign w:val="superscript"/>
        </w:rPr>
        <w:t>5</w:t>
      </w:r>
      <w:r>
        <w:t xml:space="preserve"> § 4 desselben Gesetzbuches erwähnten Befreiung tatsächlich der Staatskasse zugeführt würde,</w:t>
      </w:r>
      <w:r w:rsidR="00777B2C">
        <w:t>]</w:t>
      </w:r>
    </w:p>
    <w:p w14:paraId="71183098" w14:textId="77777777" w:rsidR="00DE7162" w:rsidRDefault="00DE7162" w:rsidP="00DE7162">
      <w:pPr>
        <w:jc w:val="both"/>
      </w:pPr>
    </w:p>
    <w:p w14:paraId="480D1C26" w14:textId="1F8A23E8" w:rsidR="00DE7162" w:rsidRDefault="00DE7162" w:rsidP="00DE7162">
      <w:pPr>
        <w:jc w:val="both"/>
      </w:pPr>
      <w:r>
        <w:tab/>
      </w:r>
      <w:r w:rsidR="00777B2C">
        <w:t>[</w:t>
      </w:r>
      <w:r>
        <w:t>7/4. für die in § 1 Absatz 3 Nr. 5 Buchstabe </w:t>
      </w:r>
      <w:r>
        <w:rPr>
          <w:i/>
        </w:rPr>
        <w:t>e)</w:t>
      </w:r>
      <w:r>
        <w:t xml:space="preserve"> erwähnten Schuldner: einen negativen Betrag, der dem niedrigsten der beiden folgenden Beträge entspricht:</w:t>
      </w:r>
    </w:p>
    <w:p w14:paraId="39FDAB0E" w14:textId="77777777" w:rsidR="00DE7162" w:rsidRDefault="00DE7162" w:rsidP="00DE7162">
      <w:pPr>
        <w:jc w:val="both"/>
      </w:pPr>
      <w:r>
        <w:tab/>
      </w:r>
    </w:p>
    <w:p w14:paraId="53981C57" w14:textId="68AAB863" w:rsidR="00DE7162" w:rsidRDefault="00DE7162" w:rsidP="00DE7162">
      <w:pPr>
        <w:jc w:val="both"/>
      </w:pPr>
      <w:r>
        <w:tab/>
        <w:t>- 18 Prozent der steuerpflichtigen Entlohnungen der in Artikel 275</w:t>
      </w:r>
      <w:r>
        <w:rPr>
          <w:vertAlign w:val="superscript"/>
        </w:rPr>
        <w:t>5</w:t>
      </w:r>
      <w:r>
        <w:t xml:space="preserve"> § 5 desselben Gesetzbuches erwähnten Arbeitnehmer, die gemäß Artikel 31 Absatz 2 Nr. 1 und 2 desselben Gesetzbuches festgelegt werden, </w:t>
      </w:r>
      <w:r w:rsidR="006904D4">
        <w:t>[</w:t>
      </w:r>
      <w:r w:rsidR="006904D4" w:rsidRPr="00607A3E">
        <w:t>ohne Prämien, doppeltes Urlaubsgeld, Jahresendprämie und ausstehende Entlohnungen</w:t>
      </w:r>
      <w:r w:rsidR="006904D4">
        <w:t>]</w:t>
      </w:r>
      <w:r>
        <w:t>,</w:t>
      </w:r>
    </w:p>
    <w:p w14:paraId="0D8410CC" w14:textId="77777777" w:rsidR="00DE7162" w:rsidRDefault="00DE7162" w:rsidP="00DE7162">
      <w:pPr>
        <w:jc w:val="both"/>
      </w:pPr>
    </w:p>
    <w:p w14:paraId="1E8517C3" w14:textId="77777777" w:rsidR="00DE7162" w:rsidRDefault="00DE7162" w:rsidP="00DE7162">
      <w:pPr>
        <w:jc w:val="both"/>
        <w:rPr>
          <w:rFonts w:eastAsia="Calibri"/>
          <w:szCs w:val="22"/>
          <w:lang w:eastAsia="de-DE" w:bidi="de-DE"/>
        </w:rPr>
      </w:pPr>
      <w:r>
        <w:tab/>
        <w:t>- dem auf die im vorhergehenden Gedankenstrich erwähnten Entlohnungen einbehaltenen Berufssteuervorabzug, sofern dieser ohne Anwendung der in Artikel 275</w:t>
      </w:r>
      <w:r>
        <w:rPr>
          <w:vertAlign w:val="superscript"/>
        </w:rPr>
        <w:t>5</w:t>
      </w:r>
      <w:r>
        <w:t xml:space="preserve"> § 5 desselben Gesetzbuches erwähnten Befreiung tatsächlich der Staatskasse zugeführt würde,</w:t>
      </w:r>
      <w:r>
        <w:rPr>
          <w:rFonts w:eastAsia="Calibri"/>
          <w:szCs w:val="22"/>
          <w:lang w:eastAsia="de-DE" w:bidi="de-DE"/>
        </w:rPr>
        <w:t>]</w:t>
      </w:r>
    </w:p>
    <w:p w14:paraId="72ED4969" w14:textId="77777777" w:rsidR="00DE7162" w:rsidRDefault="00DE7162" w:rsidP="00DE7162">
      <w:pPr>
        <w:jc w:val="both"/>
        <w:rPr>
          <w:rFonts w:eastAsia="Calibri"/>
          <w:szCs w:val="22"/>
          <w:lang w:eastAsia="de-DE" w:bidi="de-DE"/>
        </w:rPr>
      </w:pPr>
    </w:p>
    <w:p w14:paraId="14263C7B" w14:textId="77777777" w:rsidR="00DE7162" w:rsidRDefault="00DE7162" w:rsidP="00DE7162">
      <w:pPr>
        <w:jc w:val="both"/>
        <w:rPr>
          <w:rFonts w:eastAsia="Calibri"/>
          <w:szCs w:val="22"/>
          <w:lang w:eastAsia="de-DE" w:bidi="de-DE"/>
        </w:rPr>
      </w:pPr>
      <w:r>
        <w:rPr>
          <w:rFonts w:eastAsia="Calibri"/>
          <w:szCs w:val="22"/>
          <w:lang w:eastAsia="de-DE" w:bidi="de-DE"/>
        </w:rPr>
        <w:lastRenderedPageBreak/>
        <w:tab/>
        <w:t>[8. für die in [§ 1 Absatz 3] Nr. 6 erwähnten Schuldner: einen negativen Betrag, der [75 Prozent] des auf die steuerpflichtigen Entlohnungen einbehaltenen Berufssteuervorabzugs entspricht,]</w:t>
      </w:r>
    </w:p>
    <w:p w14:paraId="19EAED90" w14:textId="77777777" w:rsidR="00DE7162" w:rsidRDefault="00DE7162" w:rsidP="00DE7162">
      <w:pPr>
        <w:jc w:val="both"/>
        <w:rPr>
          <w:rFonts w:eastAsia="Calibri"/>
          <w:szCs w:val="22"/>
          <w:lang w:eastAsia="de-DE" w:bidi="de-DE"/>
        </w:rPr>
      </w:pPr>
    </w:p>
    <w:p w14:paraId="64A86D99" w14:textId="77777777" w:rsidR="00DE7162" w:rsidRDefault="00DE7162" w:rsidP="00DE7162">
      <w:pPr>
        <w:jc w:val="both"/>
        <w:rPr>
          <w:rFonts w:eastAsia="Calibri"/>
          <w:szCs w:val="22"/>
          <w:lang w:eastAsia="de-DE" w:bidi="de-DE"/>
        </w:rPr>
      </w:pPr>
      <w:r>
        <w:rPr>
          <w:rFonts w:eastAsia="Calibri"/>
          <w:szCs w:val="22"/>
          <w:lang w:eastAsia="de-DE" w:bidi="de-DE"/>
        </w:rPr>
        <w:tab/>
        <w:t>[9. [</w:t>
      </w:r>
      <w:r>
        <w:t>für die in § 1 Absatz 3 Nr. 7 erwähnten Schuldner: einen negativen Betrag, der 0,12 Prozent oder, für die in Artikel 275</w:t>
      </w:r>
      <w:r>
        <w:rPr>
          <w:vertAlign w:val="superscript"/>
        </w:rPr>
        <w:t>7</w:t>
      </w:r>
      <w:r>
        <w:t xml:space="preserve"> Absatz 2 Buchstabe </w:t>
      </w:r>
      <w:r>
        <w:rPr>
          <w:i/>
          <w:iCs/>
        </w:rPr>
        <w:t>b)</w:t>
      </w:r>
      <w:r>
        <w:t xml:space="preserve"> und </w:t>
      </w:r>
      <w:r>
        <w:rPr>
          <w:i/>
          <w:iCs/>
        </w:rPr>
        <w:t>c)</w:t>
      </w:r>
      <w:r>
        <w:t xml:space="preserve"> des vorerwähnten Gesetzbuches erwähnten Arbeitgeber, 1 Prozent oder, für die in Artikel 275</w:t>
      </w:r>
      <w:r>
        <w:rPr>
          <w:vertAlign w:val="superscript"/>
        </w:rPr>
        <w:t>7</w:t>
      </w:r>
      <w:r>
        <w:t xml:space="preserve"> Absatz 3 Buchstabe </w:t>
      </w:r>
      <w:r>
        <w:rPr>
          <w:i/>
          <w:iCs/>
        </w:rPr>
        <w:t>b)</w:t>
      </w:r>
      <w:r>
        <w:t xml:space="preserve"> Nr. 2 desselben Gesetzbuches erwähnten Arbeitgeber, 1,12 Prozent folgender Summen entspricht:</w:t>
      </w:r>
      <w:r>
        <w:rPr>
          <w:rFonts w:eastAsia="Calibri"/>
          <w:szCs w:val="22"/>
          <w:lang w:eastAsia="de-DE" w:bidi="de-DE"/>
        </w:rPr>
        <w:t>]</w:t>
      </w:r>
    </w:p>
    <w:p w14:paraId="2C8180F1" w14:textId="77777777" w:rsidR="00DE7162" w:rsidRDefault="00DE7162" w:rsidP="00DE7162">
      <w:pPr>
        <w:jc w:val="both"/>
        <w:rPr>
          <w:rFonts w:eastAsia="Calibri"/>
          <w:szCs w:val="22"/>
          <w:lang w:eastAsia="de-DE" w:bidi="de-DE"/>
        </w:rPr>
      </w:pPr>
    </w:p>
    <w:p w14:paraId="7F3C68C6" w14:textId="77777777" w:rsidR="00DE7162" w:rsidRDefault="00DE7162" w:rsidP="00DE7162">
      <w:pPr>
        <w:jc w:val="both"/>
        <w:rPr>
          <w:rFonts w:eastAsia="Calibri"/>
          <w:szCs w:val="22"/>
          <w:lang w:eastAsia="de-DE" w:bidi="de-DE"/>
        </w:rPr>
      </w:pPr>
      <w:r>
        <w:rPr>
          <w:rFonts w:eastAsia="Calibri"/>
          <w:szCs w:val="22"/>
          <w:lang w:eastAsia="de-DE" w:bidi="de-DE"/>
        </w:rPr>
        <w:tab/>
        <w:t>- Gesamtsumme der Bruttoentlohnungen vor Einbehaltung der persönlichen Sozialversicherungsbeiträge, wenn diese Entlohnungen ganz oder teilweise der sozialen Sicherheit unterliegen,</w:t>
      </w:r>
    </w:p>
    <w:p w14:paraId="4B8C8238" w14:textId="77777777" w:rsidR="00DE7162" w:rsidRDefault="00DE7162" w:rsidP="00DE7162">
      <w:pPr>
        <w:jc w:val="both"/>
        <w:rPr>
          <w:rFonts w:eastAsia="Calibri"/>
          <w:szCs w:val="22"/>
          <w:lang w:eastAsia="de-DE" w:bidi="de-DE"/>
        </w:rPr>
      </w:pPr>
    </w:p>
    <w:p w14:paraId="686C75C8" w14:textId="77777777" w:rsidR="00DE7162" w:rsidRDefault="00DE7162" w:rsidP="00DE7162">
      <w:pPr>
        <w:jc w:val="both"/>
        <w:rPr>
          <w:rFonts w:eastAsia="Calibri"/>
          <w:szCs w:val="22"/>
          <w:lang w:eastAsia="de-DE" w:bidi="de-DE"/>
        </w:rPr>
      </w:pPr>
      <w:r>
        <w:rPr>
          <w:rFonts w:eastAsia="Calibri"/>
          <w:szCs w:val="22"/>
          <w:lang w:eastAsia="de-DE" w:bidi="de-DE"/>
        </w:rPr>
        <w:tab/>
        <w:t>- Gesamtsumme der steuerpflichtigen Bruttoentlohnungen, so wie sie für die Berechnung des Berufssteuervorabzugs berücksichtigt werden, wenn diese Entlohnungen nicht der sozialen Sicherheit unterliegen,]]</w:t>
      </w:r>
    </w:p>
    <w:p w14:paraId="23EF78E3" w14:textId="77777777" w:rsidR="00DE7162" w:rsidRDefault="00DE7162" w:rsidP="00DE7162">
      <w:pPr>
        <w:jc w:val="both"/>
        <w:rPr>
          <w:rFonts w:eastAsia="Calibri"/>
          <w:szCs w:val="22"/>
          <w:lang w:eastAsia="de-DE" w:bidi="de-DE"/>
        </w:rPr>
      </w:pPr>
    </w:p>
    <w:p w14:paraId="34FD6047" w14:textId="77777777" w:rsidR="00DE7162" w:rsidRDefault="00DE7162" w:rsidP="00DE7162">
      <w:pPr>
        <w:jc w:val="both"/>
        <w:rPr>
          <w:rFonts w:eastAsia="Calibri"/>
          <w:szCs w:val="22"/>
          <w:lang w:eastAsia="de-DE" w:bidi="de-DE"/>
        </w:rPr>
      </w:pPr>
      <w:r>
        <w:rPr>
          <w:rFonts w:eastAsia="Calibri"/>
          <w:szCs w:val="22"/>
          <w:lang w:eastAsia="de-DE" w:bidi="de-DE"/>
        </w:rPr>
        <w:tab/>
        <w:t>[10. [</w:t>
      </w:r>
      <w:r>
        <w:t>für die in § 1 Absatz 3 Nr. 8 und 9 erwähnten Schuldner: einen negativen Betrag, der 25 Prozent des auf die steuerpflichtigen Entlohnungen einbehaltenen Berufssteuer</w:t>
      </w:r>
      <w:r>
        <w:softHyphen/>
        <w:t>vorabzugs entspricht,</w:t>
      </w:r>
      <w:r>
        <w:rPr>
          <w:rFonts w:eastAsia="Calibri"/>
          <w:szCs w:val="22"/>
          <w:lang w:eastAsia="de-DE" w:bidi="de-DE"/>
        </w:rPr>
        <w:t>]]</w:t>
      </w:r>
    </w:p>
    <w:p w14:paraId="77634607" w14:textId="77777777" w:rsidR="00DE7162" w:rsidRDefault="00DE7162" w:rsidP="00DE7162">
      <w:pPr>
        <w:jc w:val="both"/>
        <w:rPr>
          <w:rFonts w:eastAsia="Calibri"/>
          <w:szCs w:val="22"/>
          <w:lang w:eastAsia="de-DE" w:bidi="de-DE"/>
        </w:rPr>
      </w:pPr>
    </w:p>
    <w:p w14:paraId="36826A43" w14:textId="77777777" w:rsidR="00DE7162" w:rsidRDefault="00DE7162" w:rsidP="00DE7162">
      <w:pPr>
        <w:jc w:val="both"/>
      </w:pPr>
      <w:r>
        <w:rPr>
          <w:rFonts w:eastAsia="Calibri"/>
          <w:szCs w:val="22"/>
          <w:lang w:eastAsia="de-DE" w:bidi="de-DE"/>
        </w:rPr>
        <w:tab/>
        <w:t>[</w:t>
      </w:r>
      <w:r>
        <w:t>11. für die in § 1 Absatz 3 Nr. 10 erwähnten Schuldner: einen negativen Betrag, der 10 Prozent oder, für die in Artikel 275</w:t>
      </w:r>
      <w:r>
        <w:rPr>
          <w:vertAlign w:val="superscript"/>
        </w:rPr>
        <w:t>10</w:t>
      </w:r>
      <w:r>
        <w:t xml:space="preserve"> Absatz 4 desselben Gesetzbuches erwähnten Arbeitgeber, 20 Prozent des auf die steuerpflichtigen Entlohnungen einbehaltenen Berufssteuervorabzugs entspricht,]</w:t>
      </w:r>
    </w:p>
    <w:p w14:paraId="44335F96" w14:textId="77777777" w:rsidR="00DE7162" w:rsidRDefault="00DE7162" w:rsidP="00DE7162">
      <w:pPr>
        <w:jc w:val="both"/>
      </w:pPr>
    </w:p>
    <w:p w14:paraId="01E6CFC4" w14:textId="77777777" w:rsidR="00DE7162" w:rsidRDefault="00DE7162" w:rsidP="00DE7162">
      <w:pPr>
        <w:jc w:val="both"/>
      </w:pPr>
      <w:r>
        <w:tab/>
        <w:t>[12. für die in § 1 Absatz 3 Nr. 11 erwähnten Schuldner: einen negativen Betrag, der den in diesem Zeitraum gezahlten oder zuerkannten Ausgleichszuschlägen wie in Artikel 33</w:t>
      </w:r>
      <w:r>
        <w:rPr>
          <w:i/>
        </w:rPr>
        <w:t>bis</w:t>
      </w:r>
      <w:r>
        <w:t xml:space="preserve"> § 4 des Gesetzes vom 24. Dezember 1999 zur Förderung der Beschäftigung erwähnt entspricht, die von dem für diesen Zeitraum geschuldeten Berufssteuervorabzug tatsächlich abgezogen werden, gegebenenfalls erhöht um die Ausgleichszuschläge wie in Artikel 33</w:t>
      </w:r>
      <w:r>
        <w:rPr>
          <w:i/>
        </w:rPr>
        <w:t>bis</w:t>
      </w:r>
      <w:r>
        <w:t xml:space="preserve"> § 4 des Gesetzes vom 24. Dezember 1999 zur Förderung der Beschäftigung erwähnt, die in einem vorhergehenden Zeitraum desselben Kalenderjahres gezahlt oder zuerkannt worden sind und noch nicht von dem für einen vorhergehenden Zeitraum geschuldeten Berufssteuervorabzug abgezogen werden konnten,]</w:t>
      </w:r>
    </w:p>
    <w:p w14:paraId="0EBD569E" w14:textId="77777777" w:rsidR="00DE7162" w:rsidRDefault="00DE7162" w:rsidP="00DE7162">
      <w:pPr>
        <w:jc w:val="both"/>
      </w:pPr>
    </w:p>
    <w:p w14:paraId="10B098A9" w14:textId="6DF84DE2" w:rsidR="00DE7162" w:rsidRDefault="00DE7162" w:rsidP="00DE7162">
      <w:pPr>
        <w:jc w:val="both"/>
      </w:pPr>
      <w:r>
        <w:tab/>
        <w:t>[13. für die in § 1 Absatz 3 Nr. 12 erwähnten Schuldner: einen negativen Betrag, der 11,75 Prozent der Gesamtheit der in Artikel 275</w:t>
      </w:r>
      <w:r>
        <w:rPr>
          <w:vertAlign w:val="superscript"/>
        </w:rPr>
        <w:t>12</w:t>
      </w:r>
      <w:r>
        <w:t xml:space="preserve"> § 4 desselben Gesetzbuches erwähnten Entlohnungen aller in Artikel 275</w:t>
      </w:r>
      <w:r>
        <w:rPr>
          <w:vertAlign w:val="superscript"/>
        </w:rPr>
        <w:t>12</w:t>
      </w:r>
      <w:r>
        <w:t xml:space="preserve"> § 2 desselben Gesetzbuches erwähnten Arbeitnehmer entspricht</w:t>
      </w:r>
      <w:r w:rsidR="00656FAB">
        <w:t>,</w:t>
      </w:r>
      <w:r>
        <w:t>]</w:t>
      </w:r>
    </w:p>
    <w:p w14:paraId="098D97C8" w14:textId="77777777" w:rsidR="00656FAB" w:rsidRDefault="00656FAB" w:rsidP="00DE7162">
      <w:pPr>
        <w:jc w:val="both"/>
      </w:pPr>
    </w:p>
    <w:p w14:paraId="020B8628" w14:textId="01344838" w:rsidR="00656FAB" w:rsidRDefault="00656FAB" w:rsidP="00DE7162">
      <w:pPr>
        <w:jc w:val="both"/>
        <w:rPr>
          <w:rFonts w:eastAsia="Calibri"/>
          <w:szCs w:val="22"/>
          <w:lang w:eastAsia="de-DE" w:bidi="de-DE"/>
        </w:rPr>
      </w:pPr>
      <w:r>
        <w:tab/>
        <w:t>[</w:t>
      </w:r>
      <w:r w:rsidR="002B4633" w:rsidRPr="00CB1FD8">
        <w:t>14. für die in § 1 Absatz 3 Nr. 13 erwähnten Schuldner: einen negativen Betrag, der der Anzahl der im Rahmen "steuerpflichtige Einkünfte" angegebenen Stunden entspricht, multipliziert mit dem gemäß Artikel 275</w:t>
      </w:r>
      <w:r w:rsidR="002B4633" w:rsidRPr="00CB1FD8">
        <w:rPr>
          <w:vertAlign w:val="superscript"/>
        </w:rPr>
        <w:t>13</w:t>
      </w:r>
      <w:r w:rsidR="002B4633" w:rsidRPr="00CB1FD8">
        <w:t xml:space="preserve"> § 5 des Einkommensteuergesetzbuches 1992 indexierten Betrag von 1,23 EUR pro Stunde, gegebenenfalls begrenzt auf den verfügbaren Berufssteuervorabzug.</w:t>
      </w:r>
      <w:r w:rsidR="002B4633">
        <w:t>]</w:t>
      </w:r>
    </w:p>
    <w:p w14:paraId="61DD4AC8" w14:textId="77777777" w:rsidR="00DE7162" w:rsidRDefault="00DE7162" w:rsidP="00DE7162">
      <w:pPr>
        <w:jc w:val="both"/>
        <w:rPr>
          <w:rFonts w:eastAsia="Calibri"/>
          <w:szCs w:val="22"/>
          <w:lang w:eastAsia="de-DE" w:bidi="de-DE"/>
        </w:rPr>
      </w:pPr>
    </w:p>
    <w:p w14:paraId="018ACE20" w14:textId="77777777" w:rsidR="00DE7162" w:rsidRDefault="00DE7162" w:rsidP="00DE7162">
      <w:pPr>
        <w:jc w:val="both"/>
        <w:rPr>
          <w:rFonts w:eastAsia="Calibri"/>
          <w:szCs w:val="22"/>
          <w:lang w:eastAsia="de-DE" w:bidi="de-DE"/>
        </w:rPr>
      </w:pPr>
      <w:r>
        <w:rPr>
          <w:rFonts w:eastAsia="Calibri"/>
          <w:szCs w:val="22"/>
          <w:lang w:eastAsia="de-DE" w:bidi="de-DE"/>
        </w:rPr>
        <w:tab/>
        <w:t>[§ 3</w:t>
      </w:r>
      <w:r>
        <w:rPr>
          <w:rFonts w:eastAsia="Calibri"/>
          <w:i/>
          <w:szCs w:val="22"/>
          <w:lang w:eastAsia="de-DE" w:bidi="de-DE"/>
        </w:rPr>
        <w:t>bis</w:t>
      </w:r>
      <w:r>
        <w:rPr>
          <w:rFonts w:eastAsia="Calibri"/>
          <w:szCs w:val="22"/>
          <w:lang w:eastAsia="de-DE" w:bidi="de-DE"/>
        </w:rPr>
        <w:t xml:space="preserve"> - Die dritte Erklärung zum Berufssteuervorabzug der in § 1 Absatz 2 erwähnten Arbeitgeber bezieht sich ausschließlich auf den Betrag des nicht zu entrichtenden </w:t>
      </w:r>
      <w:r>
        <w:rPr>
          <w:rFonts w:eastAsia="Calibri"/>
          <w:szCs w:val="22"/>
          <w:lang w:eastAsia="de-DE" w:bidi="de-DE"/>
        </w:rPr>
        <w:lastRenderedPageBreak/>
        <w:t>Berufssteuervorabzugs, der für die Finanzierung der Fonds "Sozialer Maribel" verwendet wird, und enthält folgende spezifische Vermerke:</w:t>
      </w:r>
    </w:p>
    <w:p w14:paraId="45125194" w14:textId="77777777" w:rsidR="00DE7162" w:rsidRDefault="00DE7162" w:rsidP="00DE7162">
      <w:pPr>
        <w:jc w:val="both"/>
        <w:rPr>
          <w:rFonts w:eastAsia="Calibri"/>
          <w:szCs w:val="22"/>
          <w:lang w:eastAsia="de-DE" w:bidi="de-DE"/>
        </w:rPr>
      </w:pPr>
    </w:p>
    <w:p w14:paraId="6AD07E32" w14:textId="77777777" w:rsidR="00DE7162" w:rsidRDefault="00DE7162" w:rsidP="00DE7162">
      <w:pPr>
        <w:jc w:val="both"/>
        <w:rPr>
          <w:rFonts w:eastAsia="Calibri"/>
          <w:szCs w:val="22"/>
          <w:lang w:eastAsia="de-DE" w:bidi="de-DE"/>
        </w:rPr>
      </w:pPr>
      <w:r>
        <w:rPr>
          <w:rFonts w:eastAsia="Calibri"/>
          <w:szCs w:val="22"/>
          <w:lang w:eastAsia="de-DE" w:bidi="de-DE"/>
        </w:rPr>
        <w:tab/>
      </w:r>
      <w:r>
        <w:rPr>
          <w:rFonts w:eastAsia="Calibri"/>
          <w:i/>
          <w:szCs w:val="22"/>
          <w:lang w:eastAsia="de-DE" w:bidi="de-DE"/>
        </w:rPr>
        <w:t>a)</w:t>
      </w:r>
      <w:r>
        <w:rPr>
          <w:rFonts w:eastAsia="Calibri"/>
          <w:szCs w:val="22"/>
          <w:lang w:eastAsia="de-DE" w:bidi="de-DE"/>
        </w:rPr>
        <w:t xml:space="preserve"> im Rahmen "Art der Einkünfte": den Code 47,</w:t>
      </w:r>
    </w:p>
    <w:p w14:paraId="5B862AE4" w14:textId="77777777" w:rsidR="00DE7162" w:rsidRDefault="00DE7162" w:rsidP="00DE7162">
      <w:pPr>
        <w:jc w:val="both"/>
        <w:rPr>
          <w:rFonts w:eastAsia="Calibri"/>
          <w:szCs w:val="22"/>
          <w:lang w:eastAsia="de-DE" w:bidi="de-DE"/>
        </w:rPr>
      </w:pPr>
    </w:p>
    <w:p w14:paraId="452847DE" w14:textId="77777777" w:rsidR="00DE7162" w:rsidRDefault="00DE7162" w:rsidP="00DE7162">
      <w:pPr>
        <w:jc w:val="both"/>
        <w:rPr>
          <w:rFonts w:eastAsia="Calibri"/>
          <w:szCs w:val="22"/>
          <w:lang w:eastAsia="de-DE" w:bidi="de-DE"/>
        </w:rPr>
      </w:pPr>
      <w:r>
        <w:rPr>
          <w:rFonts w:eastAsia="Calibri"/>
          <w:szCs w:val="22"/>
          <w:lang w:eastAsia="de-DE" w:bidi="de-DE"/>
        </w:rPr>
        <w:tab/>
      </w:r>
      <w:r>
        <w:rPr>
          <w:rFonts w:eastAsia="Calibri"/>
          <w:i/>
          <w:szCs w:val="22"/>
          <w:lang w:eastAsia="de-DE" w:bidi="de-DE"/>
        </w:rPr>
        <w:t>b)</w:t>
      </w:r>
      <w:r>
        <w:rPr>
          <w:rFonts w:eastAsia="Calibri"/>
          <w:szCs w:val="22"/>
          <w:lang w:eastAsia="de-DE" w:bidi="de-DE"/>
        </w:rPr>
        <w:t xml:space="preserve"> im Rahmen "steuerpflichtige Einkünfte": den Teil des in § 3 Buchstabe </w:t>
      </w:r>
      <w:r>
        <w:rPr>
          <w:rFonts w:eastAsia="Calibri"/>
          <w:i/>
          <w:szCs w:val="22"/>
          <w:lang w:eastAsia="de-DE" w:bidi="de-DE"/>
        </w:rPr>
        <w:t>c)</w:t>
      </w:r>
      <w:r>
        <w:rPr>
          <w:rFonts w:eastAsia="Calibri"/>
          <w:szCs w:val="22"/>
          <w:lang w:eastAsia="de-DE" w:bidi="de-DE"/>
        </w:rPr>
        <w:t xml:space="preserve"> Nr. 9 erwähnten nicht zu entrichtenden Berufssteuervorabzugs, der ausschließlich Arbeitnehmer betrifft, die den paritätischen Kommissionen und Unterkommissionen unterstehen, die in Artikel 1 Nr. 1 Buchstabe </w:t>
      </w:r>
      <w:r>
        <w:rPr>
          <w:rFonts w:eastAsia="Calibri"/>
          <w:i/>
          <w:szCs w:val="22"/>
          <w:lang w:eastAsia="de-DE" w:bidi="de-DE"/>
        </w:rPr>
        <w:t>a)</w:t>
      </w:r>
      <w:r>
        <w:rPr>
          <w:rFonts w:eastAsia="Calibri"/>
          <w:szCs w:val="22"/>
          <w:lang w:eastAsia="de-DE" w:bidi="de-DE"/>
        </w:rPr>
        <w:t xml:space="preserve"> bis </w:t>
      </w:r>
      <w:r>
        <w:rPr>
          <w:rFonts w:eastAsia="Calibri"/>
          <w:i/>
          <w:szCs w:val="22"/>
          <w:lang w:eastAsia="de-DE" w:bidi="de-DE"/>
        </w:rPr>
        <w:t>p)</w:t>
      </w:r>
      <w:r>
        <w:rPr>
          <w:rFonts w:eastAsia="Calibri"/>
          <w:szCs w:val="22"/>
          <w:lang w:eastAsia="de-DE" w:bidi="de-DE"/>
        </w:rPr>
        <w:t xml:space="preserve"> des Königlichen Erlasses vom 18. Juli 2002 zur Einführung von Maßnahmen zur Förderung der Beschäftigung im nichtkommerziellen Sektor erwähnt sind.</w:t>
      </w:r>
    </w:p>
    <w:p w14:paraId="3559DDBA" w14:textId="77777777" w:rsidR="00DE7162" w:rsidRDefault="00DE7162" w:rsidP="00DE7162">
      <w:pPr>
        <w:jc w:val="both"/>
        <w:rPr>
          <w:rFonts w:eastAsia="Calibri"/>
          <w:szCs w:val="22"/>
          <w:lang w:eastAsia="de-DE" w:bidi="de-DE"/>
        </w:rPr>
      </w:pPr>
    </w:p>
    <w:p w14:paraId="539BE663" w14:textId="77777777" w:rsidR="00DE7162" w:rsidRDefault="00DE7162" w:rsidP="00DE7162">
      <w:pPr>
        <w:jc w:val="both"/>
        <w:rPr>
          <w:rFonts w:eastAsia="Calibri"/>
          <w:szCs w:val="22"/>
          <w:lang w:eastAsia="de-DE" w:bidi="de-DE"/>
        </w:rPr>
      </w:pPr>
      <w:r>
        <w:rPr>
          <w:rFonts w:eastAsia="Calibri"/>
          <w:szCs w:val="22"/>
          <w:lang w:eastAsia="de-DE" w:bidi="de-DE"/>
        </w:rPr>
        <w:tab/>
      </w:r>
      <w:r>
        <w:rPr>
          <w:rFonts w:eastAsia="Calibri"/>
          <w:i/>
          <w:szCs w:val="22"/>
          <w:lang w:eastAsia="de-DE" w:bidi="de-DE"/>
        </w:rPr>
        <w:t>c)</w:t>
      </w:r>
      <w:r>
        <w:rPr>
          <w:rFonts w:eastAsia="Calibri"/>
          <w:szCs w:val="22"/>
          <w:lang w:eastAsia="de-DE" w:bidi="de-DE"/>
        </w:rPr>
        <w:t xml:space="preserve"> [im Rahmen "geschuldeter Berufssteuervorabzug": einen positiven Betrag, der drei Vierteln des in Buchstabe </w:t>
      </w:r>
      <w:r>
        <w:rPr>
          <w:rFonts w:eastAsia="Calibri"/>
          <w:i/>
          <w:szCs w:val="22"/>
          <w:lang w:eastAsia="de-DE" w:bidi="de-DE"/>
        </w:rPr>
        <w:t>b)</w:t>
      </w:r>
      <w:r>
        <w:rPr>
          <w:rFonts w:eastAsia="Calibri"/>
          <w:szCs w:val="22"/>
          <w:lang w:eastAsia="de-DE" w:bidi="de-DE"/>
        </w:rPr>
        <w:t xml:space="preserve"> erwähnten nicht zu entrichtenden Berufssteuervorabzugs entspricht.]]</w:t>
      </w:r>
    </w:p>
    <w:p w14:paraId="1EE23830" w14:textId="77777777" w:rsidR="00DE7162" w:rsidRDefault="00DE7162" w:rsidP="00DE7162">
      <w:pPr>
        <w:jc w:val="both"/>
        <w:rPr>
          <w:rFonts w:eastAsia="Calibri"/>
          <w:szCs w:val="22"/>
          <w:lang w:eastAsia="de-DE" w:bidi="de-DE"/>
        </w:rPr>
      </w:pPr>
    </w:p>
    <w:p w14:paraId="67924335" w14:textId="77777777" w:rsidR="00DE7162" w:rsidRDefault="00DE7162" w:rsidP="00DE7162">
      <w:pPr>
        <w:jc w:val="both"/>
        <w:rPr>
          <w:rFonts w:eastAsia="Calibri"/>
          <w:szCs w:val="22"/>
          <w:lang w:eastAsia="de-DE" w:bidi="de-DE"/>
        </w:rPr>
      </w:pPr>
      <w:r>
        <w:rPr>
          <w:rFonts w:eastAsia="Calibri"/>
          <w:szCs w:val="22"/>
          <w:lang w:eastAsia="de-DE" w:bidi="de-DE"/>
        </w:rPr>
        <w:tab/>
        <w:t>§ 4 - Zur Untermauerung ihrer Erklärungen zum Berufssteuervorabzug müssen in § 1 erwähnte Schuldner des Berufssteuervorabzugs die in Anlage 3</w:t>
      </w:r>
      <w:r>
        <w:rPr>
          <w:rFonts w:eastAsia="Calibri"/>
          <w:i/>
          <w:szCs w:val="22"/>
          <w:lang w:eastAsia="de-DE" w:bidi="de-DE"/>
        </w:rPr>
        <w:t>ter</w:t>
      </w:r>
      <w:r>
        <w:rPr>
          <w:rFonts w:eastAsia="Calibri"/>
          <w:szCs w:val="22"/>
          <w:lang w:eastAsia="de-DE" w:bidi="de-DE"/>
        </w:rPr>
        <w:t xml:space="preserve"> erwähnten Modalitäten einhalten.</w:t>
      </w:r>
    </w:p>
    <w:p w14:paraId="712923D0" w14:textId="77777777" w:rsidR="00DE7162" w:rsidRDefault="00DE7162" w:rsidP="00DE7162">
      <w:pPr>
        <w:jc w:val="both"/>
        <w:rPr>
          <w:rFonts w:eastAsia="Calibri"/>
          <w:szCs w:val="22"/>
          <w:lang w:eastAsia="de-DE" w:bidi="de-DE"/>
        </w:rPr>
      </w:pPr>
    </w:p>
    <w:p w14:paraId="524FE16A" w14:textId="77777777" w:rsidR="00DE7162" w:rsidRDefault="00DE7162" w:rsidP="00DE7162">
      <w:pPr>
        <w:jc w:val="both"/>
        <w:rPr>
          <w:rFonts w:eastAsia="Calibri"/>
          <w:szCs w:val="22"/>
          <w:lang w:eastAsia="de-DE" w:bidi="de-DE"/>
        </w:rPr>
      </w:pPr>
      <w:r>
        <w:rPr>
          <w:rFonts w:eastAsia="Calibri"/>
          <w:szCs w:val="22"/>
          <w:lang w:eastAsia="de-DE" w:bidi="de-DE"/>
        </w:rPr>
        <w:tab/>
        <w:t>§ 5 - Die in Ausführung von [Artikel 275</w:t>
      </w:r>
      <w:r>
        <w:rPr>
          <w:rFonts w:eastAsia="Calibri"/>
          <w:szCs w:val="22"/>
          <w:vertAlign w:val="superscript"/>
          <w:lang w:eastAsia="de-DE" w:bidi="de-DE"/>
        </w:rPr>
        <w:t>3</w:t>
      </w:r>
      <w:r>
        <w:rPr>
          <w:rFonts w:eastAsia="Calibri"/>
          <w:szCs w:val="22"/>
          <w:lang w:eastAsia="de-DE" w:bidi="de-DE"/>
        </w:rPr>
        <w:t xml:space="preserve"> § 1] Absatz 2 des Einkommensteuergesetz</w:t>
      </w:r>
      <w:r>
        <w:rPr>
          <w:rFonts w:eastAsia="Calibri"/>
          <w:szCs w:val="22"/>
          <w:lang w:eastAsia="de-DE" w:bidi="de-DE"/>
        </w:rPr>
        <w:softHyphen/>
        <w:t>buches 1992 zugelassenen Einrichtungen sind in Anlage 3</w:t>
      </w:r>
      <w:r>
        <w:rPr>
          <w:rFonts w:eastAsia="Calibri"/>
          <w:i/>
          <w:szCs w:val="22"/>
          <w:lang w:eastAsia="de-DE" w:bidi="de-DE"/>
        </w:rPr>
        <w:t>quater</w:t>
      </w:r>
      <w:r>
        <w:rPr>
          <w:rFonts w:eastAsia="Calibri"/>
          <w:szCs w:val="22"/>
          <w:lang w:eastAsia="de-DE" w:bidi="de-DE"/>
        </w:rPr>
        <w:t xml:space="preserve"> zu vorliegendem Erlass aufgeführt.]</w:t>
      </w:r>
    </w:p>
    <w:p w14:paraId="5D878D47" w14:textId="77777777" w:rsidR="00DE7162" w:rsidRDefault="00DE7162" w:rsidP="00DE7162">
      <w:pPr>
        <w:jc w:val="both"/>
        <w:rPr>
          <w:rFonts w:eastAsia="Calibri"/>
          <w:szCs w:val="22"/>
          <w:lang w:eastAsia="de-DE" w:bidi="de-DE"/>
        </w:rPr>
      </w:pPr>
    </w:p>
    <w:p w14:paraId="3443BA9B" w14:textId="776E0650" w:rsidR="00DE7162" w:rsidRDefault="00DE7162" w:rsidP="00DE7162">
      <w:pPr>
        <w:jc w:val="both"/>
        <w:rPr>
          <w:rFonts w:eastAsia="Calibri"/>
          <w:szCs w:val="22"/>
          <w:lang w:eastAsia="de-DE" w:bidi="de-DE"/>
        </w:rPr>
      </w:pPr>
      <w:r>
        <w:rPr>
          <w:rFonts w:eastAsia="Calibri"/>
          <w:i/>
          <w:szCs w:val="22"/>
          <w:lang w:eastAsia="de-DE" w:bidi="de-DE"/>
        </w:rPr>
        <w:t>[Art. 95</w:t>
      </w:r>
      <w:r>
        <w:rPr>
          <w:rFonts w:eastAsia="Calibri"/>
          <w:i/>
          <w:szCs w:val="22"/>
          <w:vertAlign w:val="superscript"/>
          <w:lang w:eastAsia="de-DE" w:bidi="de-DE"/>
        </w:rPr>
        <w:t>2</w:t>
      </w:r>
      <w:r>
        <w:rPr>
          <w:rFonts w:eastAsia="Calibri"/>
          <w:i/>
          <w:szCs w:val="22"/>
          <w:lang w:eastAsia="de-DE" w:bidi="de-DE"/>
        </w:rPr>
        <w:t xml:space="preserve"> § 1 Abs. 1 abgeändert durch Art. 2 Buchstabe A Nr. 2 des K.E. vom 31. Juli 2009 (I) (B.S. vom 7. August 2009); § 1 neuer Absatz 2 eingefügt durch Art. 2 Buchstabe A Nr. 3 des K.E. vom 31. Juli 2009 (I) (B.S. vom 7. August 2009); § 1 Abs. 3 Nr. 1 ersetzt durch Art. 2 Buchstabe a) des K.E. vom 28. April 2015 (B.S. vom 30. April 2015); § 1 Abs. 3 Nr. 3 Buchstabe a) abgeändert durch Art. 7 Nr. 1 des K.E. vom 12. März 2007 (B.S. vom 20. März 2007) und Art. 13 Buchstabe a) des K.E. vom 27. Januar 2009 (B.S. vom 3. Februar 2009); § 1 Abs. 3 Nr. 3 Buchstabe b) abgeändert durch Art. 7 Nr. 1 des K.E. vom 12. März 2007 (B.S. vom 20. März 2007); § 1 Abs. 3 Nr. 3 Buchstabe c) abgeändert durch Art. 7 Nr. 1 des K.E. vom 12. März 2007 (B.S. vom 20. März 2007); § 1 Abs. 3 Nr. 3 Buchstabe d) abgeändert durch Art. 7 Nr. 1 des K.E. vom 12. März 2007 (B.S. vom 20. März 2007); § 1 Abs. 3 Nr. 3 Buchstabe e) ersetzt durch Art. 7 Nr. 2 des K.E. vom 12. März 2007 (B.S. vom 20. März 2007) und abgeändert durch Art. 1 Nr. 1 des K.E. vom 19. Juli 2018 (B.S. vom 25. Juli 2018); § 1 Abs. 3 Nr. 3 Buchstabe f) eingefügt durch Art. 1 Nr. 2 des K.E. vom 19. Juli 2018 (B.S. vom 25. Juli 2018); § 1 Abs. 3 Nr. 3 Buchstabe g) eingefügt durch Art. 1 Nr. 3 des K.E. vom 19. Juli 2018 (B.S. vom 25. Juli 2018) und abgeändert durch Art. 14 Nr. 1 des K.E. vom 29. August 2019 (I) (B.S. vom 13. September 2019); § 1 Abs. 3 Nr. 5 ersetzt durch Art. 1 Buchstabe a) des K.E. vom 19. Mai 2022 (B.S. vom 30. Mai 2022); § 1 Abs. 3 Nr. 6 eingefügt durch Art. 2 des K.E. vom 8. Juni 2007 (B.S. vom 19. Juni 2007) und abgeändert durch Art. 2 Buchstabe A Nr. 6 des K.E. vom 31. Juli 2009 (I) (B.S. vom 7. August 2009); § 1 Abs. 3 Nr. 7 eingefügt durch Art. 2 des K.E. vom 8. Juni 2007 (B.S. vom 19. Juni 2007) und ersetzt durch Art. 2 Buchstabe b) des K.E. vom 28. April 2015 (B.S. vom 30. April 2015); § 1 Abs. 3 Nr. 8 eingefügt durch Art. 2 des K.E. vom 8. Juni 2007 (B.S. vom 19. Juni 2007), aufgehoben durch Art. 2 Buchstabe A Nr. 8 des K.E. vom 31. Juli 2009 (I) (B.S. vom 7. August 2009), wieder aufgenommen durch Art. 2 Buchstabe c) des K.E. vom 28. April 2015 (B.S. vom 30. April 2015) und ersetzt durch Art. 2 Buchstabe a) des K.E. vom 13. April 2019 (II) (B.S. vom 9. Mai 2019); § 1 Abs. 3 Nr. 9 eingefügt durch Art. 2 Buchstabe d) des K.E. vom 28. April 2015 (B.S. vom 30. April 2015) und </w:t>
      </w:r>
      <w:r>
        <w:rPr>
          <w:rFonts w:eastAsia="Calibri"/>
          <w:i/>
          <w:szCs w:val="22"/>
          <w:lang w:eastAsia="de-DE" w:bidi="de-DE"/>
        </w:rPr>
        <w:lastRenderedPageBreak/>
        <w:t xml:space="preserve">ersetzt durch Art. 2 Buchstabe b) des K.E. vom 13. April 2019 (II) (B.S. vom 9. Mai 2019); § 1 Abs. 3 Nr. 10 eingefügt durch Art. 1 Nr. 1 des K.E. vom 23. August 2015 (B.S. vom 28. August 2015); § 1 Abs. 3 Nr. 11 eingefügt durch Art. 1 Buchstabe a) des K.E. vom 13. April 2019 (I) (B.S. vom 3. Mai 2019); § 1 Abs. 3 Nr. 12 eingefügt durch Art. 1 Nr. 1 des K.E. vom 14. März 2021 (B.S. vom 18. März 2021); </w:t>
      </w:r>
      <w:r w:rsidR="002B4633">
        <w:rPr>
          <w:rFonts w:eastAsia="Calibri"/>
          <w:i/>
          <w:szCs w:val="22"/>
          <w:lang w:eastAsia="de-DE" w:bidi="de-DE"/>
        </w:rPr>
        <w:t>§ 3 Abs</w:t>
      </w:r>
      <w:r w:rsidR="00DE6852">
        <w:rPr>
          <w:rFonts w:eastAsia="Calibri"/>
          <w:i/>
          <w:szCs w:val="22"/>
          <w:lang w:eastAsia="de-DE" w:bidi="de-DE"/>
        </w:rPr>
        <w:t>. 3</w:t>
      </w:r>
      <w:r w:rsidR="002B4633">
        <w:rPr>
          <w:rFonts w:eastAsia="Calibri"/>
          <w:i/>
          <w:szCs w:val="22"/>
          <w:lang w:eastAsia="de-DE" w:bidi="de-DE"/>
        </w:rPr>
        <w:t xml:space="preserve"> Nr. 13 eingefügt durch Art. 1 Buchstabe a)</w:t>
      </w:r>
      <w:r w:rsidR="002B4633" w:rsidRPr="002B4633">
        <w:rPr>
          <w:rFonts w:eastAsia="Calibri"/>
          <w:i/>
          <w:szCs w:val="22"/>
          <w:lang w:eastAsia="de-DE" w:bidi="de-DE"/>
        </w:rPr>
        <w:t xml:space="preserve"> des K.E. vom 9. April 2024 (B.S. vom 1</w:t>
      </w:r>
      <w:r w:rsidR="002B4633">
        <w:rPr>
          <w:rFonts w:eastAsia="Calibri"/>
          <w:i/>
          <w:szCs w:val="22"/>
          <w:lang w:eastAsia="de-DE" w:bidi="de-DE"/>
        </w:rPr>
        <w:t>7</w:t>
      </w:r>
      <w:r w:rsidR="002B4633" w:rsidRPr="002B4633">
        <w:rPr>
          <w:rFonts w:eastAsia="Calibri"/>
          <w:i/>
          <w:szCs w:val="22"/>
          <w:lang w:eastAsia="de-DE" w:bidi="de-DE"/>
        </w:rPr>
        <w:t>. April 2024)</w:t>
      </w:r>
      <w:r w:rsidR="002B4633">
        <w:rPr>
          <w:rFonts w:eastAsia="Calibri"/>
          <w:i/>
          <w:szCs w:val="22"/>
          <w:lang w:eastAsia="de-DE" w:bidi="de-DE"/>
        </w:rPr>
        <w:t xml:space="preserve">. </w:t>
      </w:r>
      <w:r>
        <w:rPr>
          <w:rFonts w:eastAsia="Calibri"/>
          <w:i/>
          <w:szCs w:val="22"/>
          <w:lang w:eastAsia="de-DE" w:bidi="de-DE"/>
        </w:rPr>
        <w:t xml:space="preserve">§ 3 einziger Absatz Buchstabe b) ersetzt durch Art. 18 des K.E. vom 11. Dezember 2006 (B.S. vom 18. Dezember 2006); § 3 einziger Absatz Buchstabe b) einziger Absatz Nr. 1 abgeändert durch Art. 2 Buchstabe B Nr. 1 des K.E. vom 31. Juli 2009 (I) (B.S. vom 7. August 2009); § 3 einziger Absatz Buchstabe b) einziger Absatz Nr. 2 abgeändert durch Art. 2 Buchstabe B Nr. 1 des K.E. vom 31. Juli 2009 (I) (B.S. vom 7. August 2009); § 3 einziger Absatz Buchstabe b) einziger Absatz Nr. 3 abgeändert durch Art. 3 Buchstabe a) des K.E. vom 8. Juni 2007 (B.S. vom 19. Juni 2007), Art. 2 Buchstabe B Nr. 1 und 3 des K.E. vom 31. Juli 2009 (I) (B.S. vom 7. August 2009), Art. 2 Buchstabe e) des K.E. vom 28. April 2015 (B.S. vom 30. April 2015), Art. 1 Nr. 2 des K.E. vom 23. August 2015 (B.S. vom 28. August 2015) und Art. 2 Buchstabe c) des K.E. vom 13. April 2019 (II) (B.S. vom 9. Mai 2019); § 3 einziger Absatz Buchstabe b) einziger Absatz Nr. 4 eingefügt durch Art. 2 Buchstabe B Nr. 4 des K.E. vom 31. Juli 2009 (I) (B.S. vom 7. August 2009); § 3 einziger Absatz Buchstabe b) einziger Absatz Nr. 4/1 eingefügt durch Art. 2 Buchstabe d) des K.E. vom 13. April 2019 (II) (B.S. vom 9. Mai 2019); § 3 einziger </w:t>
      </w:r>
      <w:r w:rsidRPr="005E701D">
        <w:rPr>
          <w:rFonts w:eastAsia="Calibri"/>
          <w:i/>
          <w:szCs w:val="22"/>
          <w:lang w:eastAsia="de-DE" w:bidi="de-DE"/>
        </w:rPr>
        <w:t>Absatz Buchstabe b) einziger Absatz Nr. </w:t>
      </w:r>
      <w:r w:rsidR="005E701D" w:rsidRPr="005E701D">
        <w:rPr>
          <w:rFonts w:eastAsia="Calibri"/>
          <w:i/>
          <w:szCs w:val="22"/>
          <w:lang w:eastAsia="de-DE" w:bidi="de-DE"/>
        </w:rPr>
        <w:t>5</w:t>
      </w:r>
      <w:r w:rsidRPr="005E701D">
        <w:rPr>
          <w:rFonts w:eastAsia="Calibri"/>
          <w:i/>
          <w:szCs w:val="22"/>
          <w:lang w:eastAsia="de-DE" w:bidi="de-DE"/>
        </w:rPr>
        <w:t xml:space="preserve"> eingefügt durch Art. 1 Buchstabe b) des K.E. vom 13. April 2019 (I) (B.S. vom 3. Mai 2019); § 3 einziger Absatz Buchstabe b) einziger Absatz</w:t>
      </w:r>
      <w:r>
        <w:rPr>
          <w:rFonts w:eastAsia="Calibri"/>
          <w:i/>
          <w:szCs w:val="22"/>
          <w:lang w:eastAsia="de-DE" w:bidi="de-DE"/>
        </w:rPr>
        <w:t xml:space="preserve"> Nr. </w:t>
      </w:r>
      <w:r w:rsidR="002B4633">
        <w:rPr>
          <w:rFonts w:eastAsia="Calibri"/>
          <w:i/>
          <w:szCs w:val="22"/>
          <w:lang w:eastAsia="de-DE" w:bidi="de-DE"/>
        </w:rPr>
        <w:t>6</w:t>
      </w:r>
      <w:r>
        <w:rPr>
          <w:rFonts w:eastAsia="Calibri"/>
          <w:i/>
          <w:szCs w:val="22"/>
          <w:lang w:eastAsia="de-DE" w:bidi="de-DE"/>
        </w:rPr>
        <w:t xml:space="preserve"> eingefügt durch Art. 1 Nr. 2 des K.E. vom 14. März 2021 (B.S. vom 18. März 2021); </w:t>
      </w:r>
      <w:r w:rsidR="002B4633">
        <w:rPr>
          <w:rFonts w:eastAsia="Calibri"/>
          <w:i/>
          <w:szCs w:val="22"/>
          <w:lang w:eastAsia="de-DE" w:bidi="de-DE"/>
        </w:rPr>
        <w:t>§ 3 einziger Absatz Buchstabe b) einziger Absatz Nr. 7 eingefügt durch Art. </w:t>
      </w:r>
      <w:r w:rsidR="002B4633" w:rsidRPr="002B4633">
        <w:rPr>
          <w:rFonts w:eastAsia="Calibri"/>
          <w:i/>
          <w:szCs w:val="22"/>
          <w:lang w:eastAsia="de-DE" w:bidi="de-DE"/>
        </w:rPr>
        <w:t>1 Buchstabe </w:t>
      </w:r>
      <w:r w:rsidR="002B4633">
        <w:rPr>
          <w:rFonts w:eastAsia="Calibri"/>
          <w:i/>
          <w:szCs w:val="22"/>
          <w:lang w:eastAsia="de-DE" w:bidi="de-DE"/>
        </w:rPr>
        <w:t>b)</w:t>
      </w:r>
      <w:r w:rsidR="002B4633" w:rsidRPr="002B4633">
        <w:rPr>
          <w:rFonts w:eastAsia="Calibri"/>
          <w:i/>
          <w:szCs w:val="22"/>
          <w:lang w:eastAsia="de-DE" w:bidi="de-DE"/>
        </w:rPr>
        <w:t xml:space="preserve"> des K.E. vom 9. April 2024 (B.S. vom 17. April 2024)</w:t>
      </w:r>
      <w:r w:rsidR="002B4633">
        <w:rPr>
          <w:rFonts w:eastAsia="Calibri"/>
          <w:i/>
          <w:szCs w:val="22"/>
          <w:lang w:eastAsia="de-DE" w:bidi="de-DE"/>
        </w:rPr>
        <w:t xml:space="preserve">; </w:t>
      </w:r>
      <w:r>
        <w:rPr>
          <w:rFonts w:eastAsia="Calibri"/>
          <w:i/>
          <w:szCs w:val="22"/>
          <w:lang w:eastAsia="de-DE" w:bidi="de-DE"/>
        </w:rPr>
        <w:t>§ 3 einziger Absatz Buchstabe c) einziger Absatz Nr. 1 ersetzt durch Art. 3 Buchstabe b) des K.E. vom 8. Juni 2007 (B.S. vom 19. Juni 2007); § 3 einziger Absatz Buchstabe c) einziger Absatz Nr. 1 einziger Absatz einleitende Bestimmung abgeändert durch Art. 2 Buchstabe B Nr. 1 des K.E. vom 31. Juli 2009 (I) (B.S. vom 7. August 2009); § 3 einziger Absatz Buchstabe c) einziger Absatz Nr. 2 abgeändert durch Art. 2 Buchstabe B Nr. 1 des K.E. vom 31. Juli 2009 (I) (B.S. vom 7. August 2009); § 3 einziger Absatz Buchstabe c) einziger Absatz Nr. 3 abgeändert durch Art. 2 Buchstabe B Nr. 1 und 6 a) und b) des K.E. vom 31. Juli 2009 (I) (B.S. vom 7. August 2009) und Art. 2 Buchstabe f) des K.E. vom 28. April 2015 (B.S. vom 30. April 2015); § 3 einziger Absatz Buchstabe c) einziger Absatz Nr. 4 aufgehoben durch Art. 2 Buchstabe B Nr. 7 des K.E. vom 31. Juli 2009 (I) (B.S. vom 7. August 2009) und wieder aufgenommen durch Art. 1 Nr. 4 des K.E. vom 19. Juli 2018 (B.S. vom 25. Juli 2018); § 3 einziger Absatz Buchstabe c) einziger Absatz Nr. 5 aufgehoben durch Art. 2 Buchstabe B Nr. 7 des K.E. vom 31. Juli 2009 (I) (B.S. vom 7. August 2009), wieder aufgenommen durch Art. 1 Nr. 5 des K.E. vom 19. Juli 2018 (B.S. vom 25. Juli 2018) und abgeändert durch Art. 14 Nr. 2 des K.E. vom 29. August 2019 (I) (B.S. vom 13. September 2019); § 3 einziger Absatz Buchstabe c) einziger Absatz Nr. 6 einziger Absatz einleitende Bestimmung abgeändert durch Art. 2 Buchstabe B Nr. 1 des K.E. vom 31. Juli 2009 (I) (B.S. vom 7. August 2009); § 3 einziger Absatz Buchstabe c) einziger Absatz Nr. 6 einziger Absatz erster Gedankenstrich abgeändert durch Art. 6 Nr. 2 des K.E. vom 5. Dezember 2011 (II) (B.S. vom 12. Dezember 2011); § 3 einziger Absatz Buchstabe c) einziger Absatz Nr. 6 einziger Absatz zweiter Gedankenstrich abgeändert durch Art. 6 Nr. 3 des K.E. vom 5. Dezember 2011 (II) (B.S. vom 12. Dezember 2011); § 3 einziger Absatz Buchstabe c) einziger Absatz Nr. 7 ersetzt durch Art. 1 Buchstabe b) des K.E. vom 19. Mai 2022 (B.S. vom 30. Mai 2022); § 3 einziger Absatz Buchstabe c) einziger Absatz Nr. 7/1 bis 7/</w:t>
      </w:r>
      <w:r w:rsidR="006904D4">
        <w:rPr>
          <w:rFonts w:eastAsia="Calibri"/>
          <w:i/>
          <w:szCs w:val="22"/>
          <w:lang w:eastAsia="de-DE" w:bidi="de-DE"/>
        </w:rPr>
        <w:t>3</w:t>
      </w:r>
      <w:r>
        <w:rPr>
          <w:rFonts w:eastAsia="Calibri"/>
          <w:i/>
          <w:szCs w:val="22"/>
          <w:lang w:eastAsia="de-DE" w:bidi="de-DE"/>
        </w:rPr>
        <w:t xml:space="preserve"> eingefügt durch Art. 1 Buchstabe c) des K.E. vom 19. Mai 2022 (B.S. vom 30. Mai 2022); </w:t>
      </w:r>
      <w:r w:rsidR="006904D4">
        <w:rPr>
          <w:rFonts w:eastAsia="Calibri"/>
          <w:i/>
          <w:szCs w:val="22"/>
          <w:lang w:eastAsia="de-DE" w:bidi="de-DE"/>
        </w:rPr>
        <w:t xml:space="preserve">§ 3 einziger Absatz Buchstabe c) einziger Absatz Nr. 7/4 eingefügt durch Art. 1 Buchstabe c) des K.E. vom 19. Mai 2022 (B.S. vom 30. Mai 2022); § 3 einziger Absatz </w:t>
      </w:r>
      <w:r w:rsidR="006904D4">
        <w:rPr>
          <w:rFonts w:eastAsia="Calibri"/>
          <w:i/>
          <w:szCs w:val="22"/>
          <w:lang w:eastAsia="de-DE" w:bidi="de-DE"/>
        </w:rPr>
        <w:lastRenderedPageBreak/>
        <w:t xml:space="preserve">Buchstabe c) einziger Absatz Nr. 7/4 einziger Absatz erster Gedankenstrich abgeändert durch Art. 1 Buchstabe e) des K.E. vom 16. September 2024 (B.S. vom </w:t>
      </w:r>
      <w:r w:rsidR="00777B2C">
        <w:rPr>
          <w:rFonts w:eastAsia="Calibri"/>
          <w:i/>
          <w:szCs w:val="22"/>
          <w:lang w:eastAsia="de-DE" w:bidi="de-DE"/>
        </w:rPr>
        <w:t xml:space="preserve">23. September 2024); </w:t>
      </w:r>
      <w:r>
        <w:rPr>
          <w:rFonts w:eastAsia="Calibri"/>
          <w:i/>
          <w:szCs w:val="22"/>
          <w:lang w:eastAsia="de-DE" w:bidi="de-DE"/>
        </w:rPr>
        <w:t xml:space="preserve">§ 3 einziger Absatz Buchstabe c) einziger Absatz Nr. 8 eingefügt durch Art. 3 Buchstabe c) des K.E. vom 8. Juni 2007 (B.S. vom 19. Juni 2007) und abgeändert durch Art. 2 Buchstabe B Nr. 1 und 9 des K.E. vom 31. Juli 2009 (I) (B.S. vom 7. August 2009) und Art. 1 des K.E. vom 16. Februar 2022 (B.S. vom 11. März 2022); § 3 einziger Absatz Buchstabe c) einziger Absatz Nr. 9 eingefügt durch Art. 3 Buchstabe c) des K.E. vom 8. Juni 2007 (B.S. vom 19. Juni 2007) und ersetzt durch Art. 2 Buchstabe B Nr. 10 a) des K.E. vom 31. Juli 2009 (I) (B.S. vom 7. August 2009); § 3 einziger Absatz Buchstabe c) einziger Absatz Nr. 9 einziger Absatz einleitende Bestimmung ersetzt durch Art. 12 Buchstabe f) des K.E. vom 20. Dezember 2020 (I) (B.S. vom 29. Dezember 2020); § 3 einziger Absatz Buchstabe c) einziger Absatz Nr. 10 eingefügt durch Art. 3 Buchstabe c) des K.E. vom 8. Juni 2007 (B.S. vom 19. Juni 2007), aufgehoben durch Art. 2 Buchstabe B Nr. 11 des K.E. vom 31. Juli 2009 (I) (B.S. vom 7. August 2009) und wieder aufgenommen durch Art. 2 Buchstabe g) des K.E. vom 28. April 2015 (B.S. vom 30. April 2015); § 3 einziger Absatz Buchstabe c) einziger Absatz Nr. 11 eingefügt durch Art. 1 Nr. 3 des K.E. vom 23. August 2015 (B.S. vom 28. August 2015); § 3 einziger Absatz Buchstabe c) einziger Absatz Nr. 12 eingefügt durch Art. 1 Buchstabe c) des K.E. vom 13. April 2019 (I) (B.S. vom 3. Mai 2019); </w:t>
      </w:r>
      <w:r w:rsidR="002B4633">
        <w:rPr>
          <w:rFonts w:eastAsia="Calibri"/>
          <w:i/>
          <w:szCs w:val="22"/>
          <w:lang w:eastAsia="de-DE" w:bidi="de-DE"/>
        </w:rPr>
        <w:t>§ 3 einziger Absatz Buchstabe c) einziger Absatz Nr. 13 eingefügt durch Art. 1 Nr. 3 des K.E. vom 14. März 2021 (B.S. vom 18.</w:t>
      </w:r>
      <w:r w:rsidR="00CF1051">
        <w:rPr>
          <w:rFonts w:eastAsia="Calibri"/>
          <w:i/>
          <w:szCs w:val="22"/>
          <w:lang w:eastAsia="de-DE" w:bidi="de-DE"/>
        </w:rPr>
        <w:t> </w:t>
      </w:r>
      <w:r w:rsidR="002B4633">
        <w:rPr>
          <w:rFonts w:eastAsia="Calibri"/>
          <w:i/>
          <w:szCs w:val="22"/>
          <w:lang w:eastAsia="de-DE" w:bidi="de-DE"/>
        </w:rPr>
        <w:t>März</w:t>
      </w:r>
      <w:r w:rsidR="00CF1051">
        <w:rPr>
          <w:rFonts w:eastAsia="Calibri"/>
          <w:i/>
          <w:szCs w:val="22"/>
          <w:lang w:eastAsia="de-DE" w:bidi="de-DE"/>
        </w:rPr>
        <w:t> </w:t>
      </w:r>
      <w:r w:rsidR="002B4633">
        <w:rPr>
          <w:rFonts w:eastAsia="Calibri"/>
          <w:i/>
          <w:szCs w:val="22"/>
          <w:lang w:eastAsia="de-DE" w:bidi="de-DE"/>
        </w:rPr>
        <w:t xml:space="preserve">2021); </w:t>
      </w:r>
      <w:r w:rsidR="002B4633" w:rsidRPr="002B4633">
        <w:rPr>
          <w:rFonts w:eastAsia="Calibri"/>
          <w:i/>
          <w:szCs w:val="22"/>
          <w:lang w:eastAsia="de-DE" w:bidi="de-DE"/>
        </w:rPr>
        <w:t>§ 3 einziger Absatz Buchstabe c) einziger Absatz Nr.</w:t>
      </w:r>
      <w:r w:rsidR="002B4633">
        <w:rPr>
          <w:rFonts w:eastAsia="Calibri"/>
          <w:i/>
          <w:szCs w:val="22"/>
          <w:lang w:eastAsia="de-DE" w:bidi="de-DE"/>
        </w:rPr>
        <w:t> 14 eingefügt durch Art. </w:t>
      </w:r>
      <w:r w:rsidR="002B4633" w:rsidRPr="002B4633">
        <w:rPr>
          <w:rFonts w:eastAsia="Calibri"/>
          <w:i/>
          <w:szCs w:val="22"/>
          <w:lang w:eastAsia="de-DE" w:bidi="de-DE"/>
        </w:rPr>
        <w:t>1 Buchstabe </w:t>
      </w:r>
      <w:r w:rsidR="002B4633">
        <w:rPr>
          <w:rFonts w:eastAsia="Calibri"/>
          <w:i/>
          <w:szCs w:val="22"/>
          <w:lang w:eastAsia="de-DE" w:bidi="de-DE"/>
        </w:rPr>
        <w:t>c)</w:t>
      </w:r>
      <w:r w:rsidR="002B4633" w:rsidRPr="002B4633">
        <w:rPr>
          <w:rFonts w:eastAsia="Calibri"/>
          <w:i/>
          <w:szCs w:val="22"/>
          <w:lang w:eastAsia="de-DE" w:bidi="de-DE"/>
        </w:rPr>
        <w:t xml:space="preserve"> des K.E. vom 9. April 2024 (B.S. vom 17. April 2024)</w:t>
      </w:r>
      <w:r w:rsidR="002B4633">
        <w:rPr>
          <w:rFonts w:eastAsia="Calibri"/>
          <w:i/>
          <w:szCs w:val="22"/>
          <w:lang w:eastAsia="de-DE" w:bidi="de-DE"/>
        </w:rPr>
        <w:t xml:space="preserve">; </w:t>
      </w:r>
      <w:r>
        <w:rPr>
          <w:rFonts w:eastAsia="Calibri"/>
          <w:i/>
          <w:szCs w:val="22"/>
          <w:lang w:eastAsia="de-DE" w:bidi="de-DE"/>
        </w:rPr>
        <w:t>§ 3bis eingefügt durch Art. 2 Buchstabe C Nr. 1 des K.E. vom 31. Juli 2009 (I) (B.S. vom 7. August 2009); § 3bis einziger Absatz Buchstabe c) ersetzt durch Art. 2 Buchstabe C Nr. 2 des K.E. vom 31. Juli 2009 (I) (B.S. vom 7. August 2009); § 5 abgeändert durch Art. 7 Nr. 3 des K.E. vom 12. März 2007 (B.S. vom 20. März 2007)]</w:t>
      </w:r>
    </w:p>
    <w:p w14:paraId="44D4480D" w14:textId="77777777" w:rsidR="007D52CA" w:rsidRPr="00F531CC" w:rsidRDefault="007D52CA" w:rsidP="007D52CA">
      <w:pPr>
        <w:jc w:val="both"/>
        <w:rPr>
          <w:rFonts w:eastAsia="Calibri"/>
          <w:szCs w:val="22"/>
          <w:lang w:eastAsia="de-DE" w:bidi="de-DE"/>
        </w:rPr>
      </w:pPr>
    </w:p>
    <w:p w14:paraId="1EDCEA26" w14:textId="77777777" w:rsidR="007D52CA" w:rsidRPr="00F531CC" w:rsidRDefault="007D52CA" w:rsidP="007D52CA">
      <w:pPr>
        <w:jc w:val="both"/>
        <w:rPr>
          <w:rFonts w:eastAsia="Calibri"/>
          <w:szCs w:val="22"/>
          <w:lang w:eastAsia="de-DE" w:bidi="de-DE"/>
        </w:rPr>
      </w:pPr>
    </w:p>
    <w:p w14:paraId="1C0F7BF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r w:rsidRPr="00F531CC">
        <w:rPr>
          <w:rFonts w:eastAsia="Calibri"/>
          <w:b/>
          <w:szCs w:val="22"/>
          <w:lang w:eastAsia="de-DE" w:bidi="de-DE"/>
        </w:rPr>
        <w:t>Art. 95</w:t>
      </w:r>
      <w:r w:rsidRPr="00F531CC">
        <w:rPr>
          <w:rFonts w:eastAsia="Calibri"/>
          <w:b/>
          <w:szCs w:val="22"/>
          <w:vertAlign w:val="superscript"/>
          <w:lang w:eastAsia="de-DE" w:bidi="de-DE"/>
        </w:rPr>
        <w:t>3</w:t>
      </w:r>
      <w:r w:rsidRPr="00F531CC">
        <w:rPr>
          <w:rFonts w:eastAsia="Calibri"/>
          <w:b/>
          <w:szCs w:val="22"/>
          <w:lang w:eastAsia="de-DE" w:bidi="de-DE"/>
        </w:rPr>
        <w:t> -</w:t>
      </w:r>
      <w:r w:rsidRPr="00F531CC">
        <w:rPr>
          <w:rFonts w:eastAsia="Calibri"/>
          <w:szCs w:val="22"/>
          <w:lang w:eastAsia="de-DE" w:bidi="de-DE"/>
        </w:rPr>
        <w:t xml:space="preserve"> In Artikel 275</w:t>
      </w:r>
      <w:r w:rsidRPr="00F531CC">
        <w:rPr>
          <w:rFonts w:eastAsia="Calibri"/>
          <w:szCs w:val="22"/>
          <w:vertAlign w:val="superscript"/>
          <w:lang w:eastAsia="de-DE" w:bidi="de-DE"/>
        </w:rPr>
        <w:t>3</w:t>
      </w:r>
      <w:r w:rsidRPr="00F531CC">
        <w:rPr>
          <w:rFonts w:eastAsia="Calibri"/>
          <w:szCs w:val="22"/>
          <w:lang w:eastAsia="de-DE" w:bidi="de-DE"/>
        </w:rPr>
        <w:t xml:space="preserve"> § 3 Absatz 5 des Einkommensteuergesetzbuches 1992 erwähnte Anträge sind per Brief oder auf elektronischem Wege an den Föderalen Öffentlichen Programmierungsdienst Wissenschaftspolitik zu richten.</w:t>
      </w:r>
    </w:p>
    <w:p w14:paraId="19136323" w14:textId="77777777" w:rsidR="007D52CA" w:rsidRPr="00F531CC" w:rsidRDefault="007D52CA" w:rsidP="007D52CA">
      <w:pPr>
        <w:jc w:val="both"/>
        <w:rPr>
          <w:rFonts w:eastAsia="Calibri"/>
          <w:szCs w:val="22"/>
          <w:lang w:eastAsia="de-DE" w:bidi="de-DE"/>
        </w:rPr>
      </w:pPr>
    </w:p>
    <w:p w14:paraId="2DDDCA53" w14:textId="541EA832" w:rsidR="007D52CA" w:rsidRPr="00F531CC" w:rsidRDefault="007D52CA" w:rsidP="007D52CA">
      <w:pPr>
        <w:jc w:val="both"/>
        <w:rPr>
          <w:rFonts w:eastAsia="Calibri"/>
          <w:szCs w:val="22"/>
          <w:lang w:eastAsia="de-DE" w:bidi="de-DE"/>
        </w:rPr>
      </w:pPr>
      <w:r w:rsidRPr="00F531CC">
        <w:rPr>
          <w:rFonts w:eastAsia="Calibri"/>
          <w:szCs w:val="22"/>
          <w:lang w:eastAsia="de-DE" w:bidi="de-DE"/>
        </w:rPr>
        <w:tab/>
        <w:t>Damit der Föderale Öffentliche Programmierungsdienst Wissenschaftspolitik eine Stellungnahme abgeben kann, muss der Antrag mindestens folgende Angaben enthalten:</w:t>
      </w:r>
    </w:p>
    <w:p w14:paraId="30A794EA" w14:textId="77777777" w:rsidR="007D52CA" w:rsidRPr="00F531CC" w:rsidRDefault="007D52CA" w:rsidP="007D52CA">
      <w:pPr>
        <w:jc w:val="both"/>
        <w:rPr>
          <w:rFonts w:eastAsia="Calibri"/>
          <w:szCs w:val="22"/>
          <w:lang w:eastAsia="de-DE" w:bidi="de-DE"/>
        </w:rPr>
      </w:pPr>
    </w:p>
    <w:p w14:paraId="2808A8C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Identität des Antragstellers und gegebenenfalls der betroffenen Parteien,</w:t>
      </w:r>
    </w:p>
    <w:p w14:paraId="6F3FB6FA" w14:textId="77777777" w:rsidR="007D52CA" w:rsidRPr="00F531CC" w:rsidRDefault="007D52CA" w:rsidP="007D52CA">
      <w:pPr>
        <w:jc w:val="both"/>
        <w:rPr>
          <w:rFonts w:eastAsia="Calibri"/>
          <w:szCs w:val="22"/>
          <w:lang w:eastAsia="de-DE" w:bidi="de-DE"/>
        </w:rPr>
      </w:pPr>
    </w:p>
    <w:p w14:paraId="7A5B891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Beschreibung der Forschungs- oder Entwicklungsprojekte beziehungs</w:t>
      </w:r>
      <w:r w:rsidRPr="00F531CC">
        <w:rPr>
          <w:rFonts w:eastAsia="Calibri"/>
          <w:szCs w:val="22"/>
          <w:lang w:eastAsia="de-DE" w:bidi="de-DE"/>
        </w:rPr>
        <w:softHyphen/>
        <w:t xml:space="preserve">weise </w:t>
      </w:r>
      <w:r w:rsidRPr="00F531CC">
        <w:rPr>
          <w:rFonts w:eastAsia="Calibri"/>
          <w:szCs w:val="22"/>
          <w:lang w:eastAsia="de-DE" w:bidi="de-DE"/>
        </w:rPr>
        <w:noBreakHyphen/>
        <w:t xml:space="preserve">programme, für die die Stellungnahme beantragt wird, </w:t>
      </w:r>
    </w:p>
    <w:p w14:paraId="24A7CD6B" w14:textId="77777777" w:rsidR="007D52CA" w:rsidRPr="00F531CC" w:rsidRDefault="007D52CA" w:rsidP="007D52CA">
      <w:pPr>
        <w:jc w:val="both"/>
        <w:rPr>
          <w:rFonts w:eastAsia="Calibri"/>
          <w:szCs w:val="22"/>
          <w:lang w:eastAsia="de-DE" w:bidi="de-DE"/>
        </w:rPr>
      </w:pPr>
    </w:p>
    <w:p w14:paraId="5480380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gegebenenfalls Elemente, aus denen hervorgeht, dass Grundlagenforschung, industrielle Forschung oder experimentelle Entwicklung das verfolgte Ziel des Projekts beziehungsweise Programms ist, </w:t>
      </w:r>
    </w:p>
    <w:p w14:paraId="55F2E459" w14:textId="77777777" w:rsidR="007D52CA" w:rsidRPr="00F531CC" w:rsidRDefault="007D52CA" w:rsidP="007D52CA">
      <w:pPr>
        <w:jc w:val="both"/>
        <w:rPr>
          <w:rFonts w:eastAsia="Calibri"/>
          <w:szCs w:val="22"/>
          <w:lang w:eastAsia="de-DE" w:bidi="de-DE"/>
        </w:rPr>
      </w:pPr>
    </w:p>
    <w:p w14:paraId="622F08D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und/oder</w:t>
      </w:r>
    </w:p>
    <w:p w14:paraId="417215A3" w14:textId="77777777" w:rsidR="007D52CA" w:rsidRPr="00F531CC" w:rsidRDefault="007D52CA" w:rsidP="007D52CA">
      <w:pPr>
        <w:jc w:val="both"/>
        <w:rPr>
          <w:rFonts w:eastAsia="Calibri"/>
          <w:szCs w:val="22"/>
          <w:lang w:eastAsia="de-DE" w:bidi="de-DE"/>
        </w:rPr>
      </w:pPr>
    </w:p>
    <w:p w14:paraId="50B4F4A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vollständige Identität des Arbeitnehmers und gegebenenfalls nationale Nummer,</w:t>
      </w:r>
    </w:p>
    <w:p w14:paraId="491A1D08" w14:textId="77777777" w:rsidR="007D52CA" w:rsidRPr="00F531CC" w:rsidRDefault="007D52CA" w:rsidP="007D52CA">
      <w:pPr>
        <w:jc w:val="both"/>
        <w:rPr>
          <w:rFonts w:eastAsia="Calibri"/>
          <w:szCs w:val="22"/>
          <w:lang w:eastAsia="de-DE" w:bidi="de-DE"/>
        </w:rPr>
      </w:pPr>
    </w:p>
    <w:p w14:paraId="09D8938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Elemente, aus denen hervorgeht, dass der Arbeitnehmer in Forschungs- oder Entwicklungsprojekten beziehungsweise -programmen beschäftigt sein wird,</w:t>
      </w:r>
    </w:p>
    <w:p w14:paraId="549F55F0" w14:textId="77777777" w:rsidR="007D52CA" w:rsidRPr="00F531CC" w:rsidRDefault="007D52CA" w:rsidP="007D52CA">
      <w:pPr>
        <w:jc w:val="both"/>
        <w:rPr>
          <w:rFonts w:eastAsia="Calibri"/>
          <w:szCs w:val="22"/>
          <w:lang w:eastAsia="de-DE" w:bidi="de-DE"/>
        </w:rPr>
      </w:pPr>
    </w:p>
    <w:p w14:paraId="7FB0BA1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 gegebenenfalls Elemente, aus denen hervorgeht, dass der betreffende Arbeitnehmer über ein in Artikel 275</w:t>
      </w:r>
      <w:r w:rsidRPr="00F531CC">
        <w:rPr>
          <w:rFonts w:eastAsia="Calibri"/>
          <w:szCs w:val="22"/>
          <w:vertAlign w:val="superscript"/>
          <w:lang w:eastAsia="de-DE" w:bidi="de-DE"/>
        </w:rPr>
        <w:t>3</w:t>
      </w:r>
      <w:r w:rsidRPr="00F531CC">
        <w:rPr>
          <w:rFonts w:eastAsia="Calibri"/>
          <w:szCs w:val="22"/>
          <w:lang w:eastAsia="de-DE" w:bidi="de-DE"/>
        </w:rPr>
        <w:t xml:space="preserve"> § 2 desselben Gesetzbuches erwähntes Diplom verfügt. </w:t>
      </w:r>
    </w:p>
    <w:p w14:paraId="7CB4B6DE" w14:textId="04B0D06E" w:rsidR="00312718" w:rsidRDefault="00312718">
      <w:pPr>
        <w:rPr>
          <w:rFonts w:eastAsia="Calibri"/>
          <w:szCs w:val="22"/>
          <w:lang w:eastAsia="de-DE" w:bidi="de-DE"/>
        </w:rPr>
      </w:pPr>
    </w:p>
    <w:p w14:paraId="06ED2BB7" w14:textId="372760AE" w:rsidR="007D52CA" w:rsidRPr="00F531CC" w:rsidRDefault="007D52CA" w:rsidP="007D52CA">
      <w:pPr>
        <w:jc w:val="both"/>
        <w:rPr>
          <w:rFonts w:eastAsia="Calibri"/>
          <w:szCs w:val="22"/>
          <w:lang w:eastAsia="de-DE" w:bidi="de-DE"/>
        </w:rPr>
      </w:pPr>
      <w:r w:rsidRPr="00F531CC">
        <w:rPr>
          <w:rFonts w:eastAsia="Calibri"/>
          <w:szCs w:val="22"/>
          <w:lang w:eastAsia="de-DE" w:bidi="de-DE"/>
        </w:rPr>
        <w:tab/>
        <w:t>Der Föderale Öffentliche Programmierungsdienst Wissenschaftspolitik überprüft den Antrag binnen einer Frist von einem Monat ab dem Tag nach seinem Eingang auf Vollständigkeit gemäß den Gesetzesbestimmungen. Gegebenenfalls wird der Antragsteller binnen dieser Frist von einem Monat aufgefordert, die Akte zu vervollständigen oder ergänzende Auskünfte zu erteilen. Anträge gelten als vollständig:</w:t>
      </w:r>
    </w:p>
    <w:p w14:paraId="53B2C360" w14:textId="77777777" w:rsidR="007D52CA" w:rsidRPr="00F531CC" w:rsidRDefault="007D52CA" w:rsidP="007D52CA">
      <w:pPr>
        <w:jc w:val="both"/>
        <w:rPr>
          <w:rFonts w:eastAsia="Calibri"/>
          <w:szCs w:val="22"/>
          <w:lang w:eastAsia="de-DE" w:bidi="de-DE"/>
        </w:rPr>
      </w:pPr>
    </w:p>
    <w:p w14:paraId="0BFE270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nach Erhalt aller angeforderten Ergänzungen oder mündlichen Erläuterungen. Der Öffentliche Dienst bestätigt dies binnen vierzehn Tagen nach Eingang der letzten Ergänzungen oder Erläuterungen, </w:t>
      </w:r>
    </w:p>
    <w:p w14:paraId="302CC3CA" w14:textId="77777777" w:rsidR="007D52CA" w:rsidRPr="00F531CC" w:rsidRDefault="007D52CA" w:rsidP="007D52CA">
      <w:pPr>
        <w:jc w:val="both"/>
        <w:rPr>
          <w:rFonts w:eastAsia="Calibri"/>
          <w:szCs w:val="22"/>
          <w:lang w:eastAsia="de-DE" w:bidi="de-DE"/>
        </w:rPr>
      </w:pPr>
    </w:p>
    <w:p w14:paraId="405FDA59"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nach Ablauf einer Frist von einem Monat, wenn der Öffentliche Dienst dem Antragsteller keine Fragen gestellt hat. </w:t>
      </w:r>
    </w:p>
    <w:p w14:paraId="38486A7D" w14:textId="77777777" w:rsidR="007D52CA" w:rsidRPr="00F531CC" w:rsidRDefault="007D52CA" w:rsidP="007D52CA">
      <w:pPr>
        <w:jc w:val="both"/>
        <w:rPr>
          <w:rFonts w:eastAsia="Calibri"/>
          <w:szCs w:val="22"/>
          <w:lang w:eastAsia="de-DE" w:bidi="de-DE"/>
        </w:rPr>
      </w:pPr>
    </w:p>
    <w:p w14:paraId="4D2A154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Die verbindliche Stellungnahme wird dem Antragsteller binnen drei Monaten ab dem Tag nach demjenigen, an dem der Antrag als vollständig gilt, übermittelt. </w:t>
      </w:r>
    </w:p>
    <w:p w14:paraId="62800748" w14:textId="77777777" w:rsidR="007D52CA" w:rsidRPr="00F531CC" w:rsidRDefault="007D52CA" w:rsidP="007D52CA">
      <w:pPr>
        <w:jc w:val="both"/>
        <w:rPr>
          <w:rFonts w:eastAsia="Calibri"/>
          <w:szCs w:val="22"/>
          <w:lang w:eastAsia="de-DE" w:bidi="de-DE"/>
        </w:rPr>
      </w:pPr>
    </w:p>
    <w:p w14:paraId="64A44CF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Der Föderale Öffentliche Programmierungsdienst Wissenschaftspolitik und der Antragsteller können die Frist in Absprache ändern. </w:t>
      </w:r>
    </w:p>
    <w:p w14:paraId="0E298A95" w14:textId="77777777" w:rsidR="007D52CA" w:rsidRPr="00F531CC" w:rsidRDefault="007D52CA" w:rsidP="007D52CA">
      <w:pPr>
        <w:jc w:val="both"/>
        <w:rPr>
          <w:rFonts w:eastAsia="Calibri"/>
          <w:szCs w:val="22"/>
          <w:lang w:eastAsia="de-DE" w:bidi="de-DE"/>
        </w:rPr>
      </w:pPr>
    </w:p>
    <w:p w14:paraId="6AB62A5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Verbindliche Stellungnahmen sind endgültig.</w:t>
      </w:r>
    </w:p>
    <w:p w14:paraId="6983AFAF" w14:textId="77777777" w:rsidR="007D52CA" w:rsidRPr="00F531CC" w:rsidRDefault="007D52CA" w:rsidP="007D52CA">
      <w:pPr>
        <w:jc w:val="both"/>
        <w:rPr>
          <w:rFonts w:eastAsia="Calibri"/>
          <w:szCs w:val="22"/>
          <w:lang w:eastAsia="de-DE" w:bidi="de-DE"/>
        </w:rPr>
      </w:pPr>
    </w:p>
    <w:p w14:paraId="7BF7C97A" w14:textId="6AEDC365"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Der Föderale Öffentliche Programmierungsdienst Wissenschaftspolitik übermittelt eine Kopie der verbindlichen Stellungnahme dem Föderalen Öffentlichen Dienst Finanzen.] </w:t>
      </w:r>
    </w:p>
    <w:p w14:paraId="6BF945A7" w14:textId="77777777" w:rsidR="007D52CA" w:rsidRPr="00F531CC" w:rsidRDefault="007D52CA" w:rsidP="007D52CA">
      <w:pPr>
        <w:jc w:val="both"/>
        <w:rPr>
          <w:rFonts w:eastAsia="Calibri"/>
          <w:szCs w:val="22"/>
          <w:lang w:eastAsia="de-DE" w:bidi="de-DE"/>
        </w:rPr>
      </w:pPr>
    </w:p>
    <w:p w14:paraId="54F20D14" w14:textId="77777777" w:rsidR="007D52CA" w:rsidRPr="00F531CC" w:rsidRDefault="007D52CA" w:rsidP="007D52CA">
      <w:pPr>
        <w:jc w:val="both"/>
        <w:rPr>
          <w:rFonts w:eastAsia="Calibri"/>
          <w:szCs w:val="22"/>
          <w:lang w:eastAsia="de-DE" w:bidi="de-DE"/>
        </w:rPr>
      </w:pPr>
      <w:r w:rsidRPr="00F531CC">
        <w:rPr>
          <w:rFonts w:eastAsia="Calibri"/>
          <w:i/>
          <w:szCs w:val="22"/>
          <w:lang w:eastAsia="de-DE" w:bidi="de-DE"/>
        </w:rPr>
        <w:t>[Art. 95</w:t>
      </w:r>
      <w:r w:rsidRPr="00F531CC">
        <w:rPr>
          <w:rFonts w:eastAsia="Calibri"/>
          <w:i/>
          <w:szCs w:val="22"/>
          <w:vertAlign w:val="superscript"/>
          <w:lang w:eastAsia="de-DE" w:bidi="de-DE"/>
        </w:rPr>
        <w:t>3</w:t>
      </w:r>
      <w:r w:rsidRPr="00F531CC">
        <w:rPr>
          <w:rFonts w:eastAsia="Calibri"/>
          <w:i/>
          <w:szCs w:val="22"/>
          <w:lang w:eastAsia="de-DE" w:bidi="de-DE"/>
        </w:rPr>
        <w:t xml:space="preserve"> eingefügt durch Art. 1 des K.E. vom 23. März 2014 (B.S. vom 31. März 2014)]</w:t>
      </w:r>
    </w:p>
    <w:p w14:paraId="64ECAA61" w14:textId="77777777" w:rsidR="007D52CA" w:rsidRPr="00F531CC" w:rsidRDefault="007D52CA" w:rsidP="007D52CA">
      <w:pPr>
        <w:jc w:val="both"/>
        <w:rPr>
          <w:rFonts w:eastAsia="Calibri"/>
          <w:szCs w:val="22"/>
          <w:lang w:eastAsia="de-DE" w:bidi="de-DE"/>
        </w:rPr>
      </w:pPr>
    </w:p>
    <w:p w14:paraId="66513D94" w14:textId="77777777" w:rsidR="007D52CA" w:rsidRPr="00F531CC" w:rsidRDefault="007D52CA" w:rsidP="007D52CA">
      <w:pPr>
        <w:jc w:val="both"/>
        <w:rPr>
          <w:rFonts w:eastAsia="Calibri"/>
          <w:szCs w:val="22"/>
          <w:lang w:eastAsia="de-DE" w:bidi="de-DE"/>
        </w:rPr>
      </w:pPr>
    </w:p>
    <w:p w14:paraId="55B437A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r w:rsidRPr="00F531CC">
        <w:rPr>
          <w:rFonts w:eastAsia="Calibri"/>
          <w:b/>
          <w:szCs w:val="22"/>
          <w:lang w:eastAsia="de-DE" w:bidi="de-DE"/>
        </w:rPr>
        <w:t>Art. 95</w:t>
      </w:r>
      <w:r w:rsidRPr="00F531CC">
        <w:rPr>
          <w:rFonts w:eastAsia="Calibri"/>
          <w:b/>
          <w:szCs w:val="22"/>
          <w:vertAlign w:val="superscript"/>
          <w:lang w:eastAsia="de-DE" w:bidi="de-DE"/>
        </w:rPr>
        <w:t>4</w:t>
      </w:r>
      <w:r w:rsidRPr="00F531CC">
        <w:rPr>
          <w:rFonts w:eastAsia="Calibri"/>
          <w:b/>
          <w:szCs w:val="22"/>
          <w:lang w:eastAsia="de-DE" w:bidi="de-DE"/>
        </w:rPr>
        <w:t xml:space="preserve"> - </w:t>
      </w:r>
      <w:r w:rsidRPr="00F531CC">
        <w:rPr>
          <w:rFonts w:eastAsia="Calibri"/>
          <w:szCs w:val="22"/>
          <w:lang w:eastAsia="de-DE" w:bidi="de-DE"/>
        </w:rPr>
        <w:t>In Artikel 275</w:t>
      </w:r>
      <w:r w:rsidRPr="00F531CC">
        <w:rPr>
          <w:rFonts w:eastAsia="Calibri"/>
          <w:szCs w:val="22"/>
          <w:vertAlign w:val="superscript"/>
          <w:lang w:eastAsia="de-DE" w:bidi="de-DE"/>
        </w:rPr>
        <w:t>3</w:t>
      </w:r>
      <w:r w:rsidRPr="00F531CC">
        <w:rPr>
          <w:rFonts w:eastAsia="Calibri"/>
          <w:szCs w:val="22"/>
          <w:lang w:eastAsia="de-DE" w:bidi="de-DE"/>
        </w:rPr>
        <w:t xml:space="preserve"> § 3 Absatz 6 des Einkommensteuergesetzbuches 1992 erwähnte Anträge werden auf elektronischem Wege an den Föderalen Öffentlichen Programmierungsdienst Wissenschaftspolitik gerichtet.</w:t>
      </w:r>
    </w:p>
    <w:p w14:paraId="7DC7AFD2" w14:textId="77777777" w:rsidR="007D52CA" w:rsidRPr="00F531CC" w:rsidRDefault="007D52CA" w:rsidP="007D52CA">
      <w:pPr>
        <w:jc w:val="both"/>
        <w:rPr>
          <w:rFonts w:eastAsia="Calibri"/>
          <w:szCs w:val="22"/>
          <w:lang w:eastAsia="de-DE" w:bidi="de-DE"/>
        </w:rPr>
      </w:pPr>
    </w:p>
    <w:p w14:paraId="70B1074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Der Föderale Öffentliche Programmierungsdienst Wissenschaftspolitik gibt so bald wie möglich innerhalb eines Monats ab dem Tag nach Eingang des Antrags eine für den Föderalen Öffentlichen Dienst Finanzen verbindliche Stellungnahme ab.</w:t>
      </w:r>
    </w:p>
    <w:p w14:paraId="5271B9C3" w14:textId="77777777" w:rsidR="007D52CA" w:rsidRPr="00F531CC" w:rsidRDefault="007D52CA" w:rsidP="007D52CA">
      <w:pPr>
        <w:jc w:val="both"/>
        <w:rPr>
          <w:rFonts w:eastAsia="Calibri"/>
          <w:szCs w:val="22"/>
          <w:lang w:eastAsia="de-DE" w:bidi="de-DE"/>
        </w:rPr>
      </w:pPr>
    </w:p>
    <w:p w14:paraId="6FF04ED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Der Föderale Öffentliche Programmierungsdienst Wissenschaftspolitik übermittelt dem betreffenden Schuldner des Berufssteuervorabzugs eine Abschrift der Stellungnahme.]</w:t>
      </w:r>
    </w:p>
    <w:p w14:paraId="710EA377" w14:textId="77777777" w:rsidR="007D52CA" w:rsidRPr="00F531CC" w:rsidRDefault="007D52CA" w:rsidP="007D52CA">
      <w:pPr>
        <w:jc w:val="both"/>
        <w:rPr>
          <w:rFonts w:eastAsia="Calibri"/>
          <w:szCs w:val="22"/>
          <w:lang w:eastAsia="de-DE" w:bidi="de-DE"/>
        </w:rPr>
      </w:pPr>
    </w:p>
    <w:p w14:paraId="59A20025" w14:textId="77777777" w:rsidR="007D52CA" w:rsidRPr="00F531CC" w:rsidRDefault="007D52CA" w:rsidP="007D52CA">
      <w:pPr>
        <w:jc w:val="both"/>
        <w:rPr>
          <w:rFonts w:eastAsia="Calibri"/>
          <w:szCs w:val="22"/>
          <w:lang w:eastAsia="de-DE" w:bidi="de-DE"/>
        </w:rPr>
      </w:pPr>
      <w:r w:rsidRPr="00F531CC">
        <w:rPr>
          <w:rFonts w:eastAsia="Calibri"/>
          <w:i/>
          <w:szCs w:val="22"/>
          <w:lang w:eastAsia="de-DE" w:bidi="de-DE"/>
        </w:rPr>
        <w:t>[Art. 95</w:t>
      </w:r>
      <w:r w:rsidRPr="00F531CC">
        <w:rPr>
          <w:rFonts w:eastAsia="Calibri"/>
          <w:i/>
          <w:szCs w:val="22"/>
          <w:vertAlign w:val="superscript"/>
          <w:lang w:eastAsia="de-DE" w:bidi="de-DE"/>
        </w:rPr>
        <w:t>4</w:t>
      </w:r>
      <w:r w:rsidRPr="00F531CC">
        <w:rPr>
          <w:rFonts w:eastAsia="Calibri"/>
          <w:i/>
          <w:szCs w:val="22"/>
          <w:lang w:eastAsia="de-DE" w:bidi="de-DE"/>
        </w:rPr>
        <w:t xml:space="preserve"> eingefügt durch Art. 2 des K.E. vom 23. März 2014 (B.S. vom 31. März 2014)]</w:t>
      </w:r>
    </w:p>
    <w:p w14:paraId="36EC6548" w14:textId="77777777" w:rsidR="007D52CA" w:rsidRDefault="007D52CA" w:rsidP="007D52CA">
      <w:pPr>
        <w:rPr>
          <w:rFonts w:eastAsia="Calibri"/>
          <w:szCs w:val="22"/>
          <w:lang w:eastAsia="de-DE" w:bidi="de-DE"/>
        </w:rPr>
      </w:pPr>
    </w:p>
    <w:p w14:paraId="25F64CD4" w14:textId="60076E9E" w:rsidR="007D52CA" w:rsidRDefault="007D52CA" w:rsidP="007D52CA">
      <w:pPr>
        <w:rPr>
          <w:rFonts w:eastAsia="Calibri"/>
          <w:szCs w:val="22"/>
          <w:lang w:eastAsia="de-DE" w:bidi="de-DE"/>
        </w:rPr>
      </w:pPr>
    </w:p>
    <w:p w14:paraId="38B765CA" w14:textId="77777777" w:rsidR="003C2396" w:rsidRPr="004C6C98" w:rsidRDefault="003C2396" w:rsidP="003C2396">
      <w:pPr>
        <w:jc w:val="both"/>
      </w:pPr>
      <w:r>
        <w:rPr>
          <w:rFonts w:eastAsia="Calibri"/>
          <w:szCs w:val="22"/>
          <w:lang w:eastAsia="de-DE" w:bidi="de-DE"/>
        </w:rPr>
        <w:tab/>
        <w:t>[</w:t>
      </w:r>
      <w:r w:rsidRPr="003C2396">
        <w:rPr>
          <w:b/>
          <w:bCs/>
        </w:rPr>
        <w:t>Art. 95</w:t>
      </w:r>
      <w:r w:rsidRPr="003C2396">
        <w:rPr>
          <w:b/>
          <w:bCs/>
          <w:vertAlign w:val="superscript"/>
        </w:rPr>
        <w:t>4/1</w:t>
      </w:r>
      <w:r w:rsidRPr="004C6C98">
        <w:t> - § 1 - Das Muster der in Artikel 275</w:t>
      </w:r>
      <w:r w:rsidRPr="004C6C98">
        <w:rPr>
          <w:vertAlign w:val="superscript"/>
        </w:rPr>
        <w:t>5</w:t>
      </w:r>
      <w:r w:rsidRPr="004C6C98">
        <w:t xml:space="preserve"> § 4 Absatz 7 des Einkommen</w:t>
      </w:r>
      <w:r w:rsidRPr="004C6C98">
        <w:softHyphen/>
        <w:t>steuergesetzbuches 1992 erwähnten Bescheinigung wird vom Minister der Finanzen oder von seinem Beauftragten festgelegt.</w:t>
      </w:r>
    </w:p>
    <w:p w14:paraId="6EC8B7DE" w14:textId="77777777" w:rsidR="003C2396" w:rsidRPr="004C6C98" w:rsidRDefault="003C2396" w:rsidP="003C2396">
      <w:pPr>
        <w:jc w:val="both"/>
      </w:pPr>
    </w:p>
    <w:p w14:paraId="2542B669" w14:textId="77777777" w:rsidR="003C2396" w:rsidRPr="004C6C98" w:rsidRDefault="003C2396" w:rsidP="003C2396">
      <w:pPr>
        <w:jc w:val="both"/>
      </w:pPr>
      <w:r w:rsidRPr="004C6C98">
        <w:tab/>
        <w:t>§ 2 - Der Schuldner des Berufssteuervorabzugs, der die Anwendung der in Artikel 275</w:t>
      </w:r>
      <w:r w:rsidRPr="004C6C98">
        <w:rPr>
          <w:vertAlign w:val="superscript"/>
        </w:rPr>
        <w:t>5</w:t>
      </w:r>
      <w:r w:rsidRPr="004C6C98">
        <w:t xml:space="preserve"> § 4 des Einkommensteuergesetzbuches 1992 erwähnten Befreiung von der Zahlung des </w:t>
      </w:r>
      <w:r w:rsidRPr="004C6C98">
        <w:lastRenderedPageBreak/>
        <w:t>Berufssteuervorabzugs beantragt, sendet spätestens am zweiten Werktag nach dem Tag, an dem die zweite Erklärung wie in Artikel 95</w:t>
      </w:r>
      <w:r w:rsidRPr="004C6C98">
        <w:rPr>
          <w:vertAlign w:val="superscript"/>
        </w:rPr>
        <w:t>2</w:t>
      </w:r>
      <w:r w:rsidRPr="004C6C98">
        <w:t xml:space="preserve"> § 3 erwähnt eingereicht worden ist, eine gescannte Version der in § 1 erwähnten ordnungsgemäß ausgefüllten, datierten und unterzeichneten Bescheinigung per E-Mail an die auf dem in § 1 erwähnten Muster angegebene E-Mail-Adresse. Der Betreff seiner E-Mail lautet "Bescheinigung Systemschifffahrt", gefolgt von seiner Unternehmensnummer.</w:t>
      </w:r>
    </w:p>
    <w:p w14:paraId="0B5CB03E" w14:textId="77777777" w:rsidR="003C2396" w:rsidRPr="004C6C98" w:rsidRDefault="003C2396" w:rsidP="003C2396">
      <w:pPr>
        <w:jc w:val="both"/>
      </w:pPr>
    </w:p>
    <w:p w14:paraId="182B9884" w14:textId="3681E231" w:rsidR="003C2396" w:rsidRDefault="003C2396" w:rsidP="00021DA4">
      <w:pPr>
        <w:jc w:val="both"/>
        <w:rPr>
          <w:rFonts w:eastAsia="Calibri"/>
          <w:szCs w:val="22"/>
          <w:lang w:eastAsia="de-DE" w:bidi="de-DE"/>
        </w:rPr>
      </w:pPr>
      <w:r w:rsidRPr="004C6C98">
        <w:tab/>
        <w:t>Die Verwaltung bestätigt dem Schuldner den Empfang der Bescheinigung mittels Empfangsbestätigung.</w:t>
      </w:r>
      <w:r>
        <w:rPr>
          <w:rFonts w:eastAsia="Calibri"/>
          <w:szCs w:val="22"/>
          <w:lang w:eastAsia="de-DE" w:bidi="de-DE"/>
        </w:rPr>
        <w:t>]</w:t>
      </w:r>
    </w:p>
    <w:p w14:paraId="2FCF3FF4" w14:textId="3CD5386D" w:rsidR="00021DA4" w:rsidRDefault="00021DA4" w:rsidP="00021DA4">
      <w:pPr>
        <w:jc w:val="both"/>
        <w:rPr>
          <w:rFonts w:eastAsia="Calibri"/>
          <w:szCs w:val="22"/>
          <w:lang w:eastAsia="de-DE" w:bidi="de-DE"/>
        </w:rPr>
      </w:pPr>
    </w:p>
    <w:p w14:paraId="405B0997" w14:textId="77777777" w:rsidR="00021DA4" w:rsidRPr="007A1E7B" w:rsidRDefault="00021DA4" w:rsidP="00021DA4">
      <w:pPr>
        <w:jc w:val="both"/>
      </w:pPr>
      <w:r>
        <w:rPr>
          <w:rFonts w:eastAsia="Calibri"/>
          <w:szCs w:val="22"/>
          <w:lang w:eastAsia="de-DE" w:bidi="de-DE"/>
        </w:rPr>
        <w:tab/>
        <w:t>[</w:t>
      </w:r>
      <w:r w:rsidRPr="007A1E7B">
        <w:t>Ist der in Absatz 1 erwähnte Schuldner ein für Leiharbeit zugelassenes Unternehmen und stellt dieses Unternehmen einem Unternehmen, das die in Artikel 275</w:t>
      </w:r>
      <w:r w:rsidRPr="007A1E7B">
        <w:rPr>
          <w:vertAlign w:val="superscript"/>
        </w:rPr>
        <w:t>5</w:t>
      </w:r>
      <w:r w:rsidRPr="007A1E7B">
        <w:t xml:space="preserve"> § 4 Absatz 1 desselben Gesetzbuches erwähnten Bedingungen erfüllt, einen oder mehrere Leiharbeitnehmer zur Verfügung, so wird auf dieser Bescheinigung die in Artikel 275</w:t>
      </w:r>
      <w:r w:rsidRPr="007A1E7B">
        <w:rPr>
          <w:vertAlign w:val="superscript"/>
        </w:rPr>
        <w:t>5</w:t>
      </w:r>
      <w:r w:rsidRPr="007A1E7B">
        <w:t xml:space="preserve"> § 4 Absatz 7 desselben Gesetzbuches erwähnte Beihilfe dieses Unternehmens, dem diese Leiharbeitnehmer zur Verfügung gestellt werden, so angegeben, als ob dieses Unternehmen selbst die in Artikel 275</w:t>
      </w:r>
      <w:r w:rsidRPr="007A1E7B">
        <w:rPr>
          <w:vertAlign w:val="superscript"/>
        </w:rPr>
        <w:t>5</w:t>
      </w:r>
      <w:r w:rsidRPr="007A1E7B">
        <w:t xml:space="preserve"> § 4 desselben Gesetzbuches erwähnte Befreiung von der Zahlung des Berufssteuervorabzugs beantragen würde.</w:t>
      </w:r>
    </w:p>
    <w:p w14:paraId="7F8BC024" w14:textId="77777777" w:rsidR="00021DA4" w:rsidRPr="007A1E7B" w:rsidRDefault="00021DA4" w:rsidP="00021DA4">
      <w:pPr>
        <w:jc w:val="both"/>
      </w:pPr>
    </w:p>
    <w:p w14:paraId="5AE27DB2" w14:textId="2F572090" w:rsidR="00021DA4" w:rsidRDefault="00021DA4" w:rsidP="00021DA4">
      <w:pPr>
        <w:jc w:val="both"/>
        <w:rPr>
          <w:rFonts w:eastAsia="Calibri"/>
          <w:szCs w:val="22"/>
          <w:lang w:eastAsia="de-DE" w:bidi="de-DE"/>
        </w:rPr>
      </w:pPr>
      <w:r w:rsidRPr="007A1E7B">
        <w:tab/>
        <w:t>Die Beihilfe, die auf der in vorliegendem Artikel erwähnten Bescheinigung angegeben ist, umfasst in allen Fällen ebenfalls die Beihilfe, die einem für Leiharbeit zugelassenen Unternehmen infolge der Zurverfügungstellung von Leiharbeitnehmern an das Unternehmen, das die in Artikel 275</w:t>
      </w:r>
      <w:r w:rsidRPr="007A1E7B">
        <w:rPr>
          <w:vertAlign w:val="superscript"/>
        </w:rPr>
        <w:t>5</w:t>
      </w:r>
      <w:r w:rsidRPr="007A1E7B">
        <w:t xml:space="preserve"> § 4 Absatz 1 desselben Gesetzbuches erwähnten Bedingungen erfüllt, gewährt worden ist, so als ob dieses Unternehmen, dem diese Leiharbeitnehmer zur Verfügung gestellt werden, die Beihilfe selbst erhalten hätte.</w:t>
      </w:r>
      <w:r>
        <w:rPr>
          <w:rFonts w:eastAsia="Calibri"/>
          <w:szCs w:val="22"/>
          <w:lang w:eastAsia="de-DE" w:bidi="de-DE"/>
        </w:rPr>
        <w:t>]</w:t>
      </w:r>
    </w:p>
    <w:p w14:paraId="6DB043A6" w14:textId="058672DB" w:rsidR="003C2396" w:rsidRDefault="003C2396" w:rsidP="007D52CA">
      <w:pPr>
        <w:rPr>
          <w:rFonts w:eastAsia="Calibri"/>
          <w:szCs w:val="22"/>
          <w:lang w:eastAsia="de-DE" w:bidi="de-DE"/>
        </w:rPr>
      </w:pPr>
    </w:p>
    <w:p w14:paraId="654DE413" w14:textId="08C6864B" w:rsidR="003C2396" w:rsidRPr="00F531CC" w:rsidRDefault="003C2396" w:rsidP="003C2396">
      <w:pPr>
        <w:jc w:val="both"/>
        <w:rPr>
          <w:rFonts w:eastAsia="Calibri"/>
          <w:szCs w:val="22"/>
          <w:lang w:eastAsia="de-DE" w:bidi="de-DE"/>
        </w:rPr>
      </w:pPr>
      <w:r w:rsidRPr="00F531CC">
        <w:rPr>
          <w:rFonts w:eastAsia="Calibri"/>
          <w:i/>
          <w:szCs w:val="22"/>
          <w:lang w:eastAsia="de-DE" w:bidi="de-DE"/>
        </w:rPr>
        <w:t>[Art. 95</w:t>
      </w:r>
      <w:r w:rsidRPr="00F531CC">
        <w:rPr>
          <w:rFonts w:eastAsia="Calibri"/>
          <w:i/>
          <w:szCs w:val="22"/>
          <w:vertAlign w:val="superscript"/>
          <w:lang w:eastAsia="de-DE" w:bidi="de-DE"/>
        </w:rPr>
        <w:t>4</w:t>
      </w:r>
      <w:r>
        <w:rPr>
          <w:rFonts w:eastAsia="Calibri"/>
          <w:i/>
          <w:szCs w:val="22"/>
          <w:vertAlign w:val="superscript"/>
          <w:lang w:eastAsia="de-DE" w:bidi="de-DE"/>
        </w:rPr>
        <w:t>/1</w:t>
      </w:r>
      <w:r w:rsidRPr="00F531CC">
        <w:rPr>
          <w:rFonts w:eastAsia="Calibri"/>
          <w:i/>
          <w:szCs w:val="22"/>
          <w:lang w:eastAsia="de-DE" w:bidi="de-DE"/>
        </w:rPr>
        <w:t xml:space="preserve"> eingefügt durch Art. </w:t>
      </w:r>
      <w:r>
        <w:rPr>
          <w:rFonts w:eastAsia="Calibri"/>
          <w:i/>
          <w:szCs w:val="22"/>
          <w:lang w:eastAsia="de-DE" w:bidi="de-DE"/>
        </w:rPr>
        <w:t>1</w:t>
      </w:r>
      <w:r w:rsidRPr="00F531CC">
        <w:rPr>
          <w:rFonts w:eastAsia="Calibri"/>
          <w:i/>
          <w:szCs w:val="22"/>
          <w:lang w:eastAsia="de-DE" w:bidi="de-DE"/>
        </w:rPr>
        <w:t xml:space="preserve"> des K.E. vom 3. </w:t>
      </w:r>
      <w:r>
        <w:rPr>
          <w:rFonts w:eastAsia="Calibri"/>
          <w:i/>
          <w:szCs w:val="22"/>
          <w:lang w:eastAsia="de-DE" w:bidi="de-DE"/>
        </w:rPr>
        <w:t>April</w:t>
      </w:r>
      <w:r w:rsidRPr="00F531CC">
        <w:rPr>
          <w:rFonts w:eastAsia="Calibri"/>
          <w:i/>
          <w:szCs w:val="22"/>
          <w:lang w:eastAsia="de-DE" w:bidi="de-DE"/>
        </w:rPr>
        <w:t> 201</w:t>
      </w:r>
      <w:r>
        <w:rPr>
          <w:rFonts w:eastAsia="Calibri"/>
          <w:i/>
          <w:szCs w:val="22"/>
          <w:lang w:eastAsia="de-DE" w:bidi="de-DE"/>
        </w:rPr>
        <w:t>9</w:t>
      </w:r>
      <w:r w:rsidR="00C05FF4">
        <w:rPr>
          <w:rFonts w:eastAsia="Calibri"/>
          <w:i/>
          <w:szCs w:val="22"/>
          <w:lang w:eastAsia="de-DE" w:bidi="de-DE"/>
        </w:rPr>
        <w:t xml:space="preserve"> (I)</w:t>
      </w:r>
      <w:r w:rsidRPr="00F531CC">
        <w:rPr>
          <w:rFonts w:eastAsia="Calibri"/>
          <w:i/>
          <w:szCs w:val="22"/>
          <w:lang w:eastAsia="de-DE" w:bidi="de-DE"/>
        </w:rPr>
        <w:t xml:space="preserve"> (B.S. vom 1</w:t>
      </w:r>
      <w:r>
        <w:rPr>
          <w:rFonts w:eastAsia="Calibri"/>
          <w:i/>
          <w:szCs w:val="22"/>
          <w:lang w:eastAsia="de-DE" w:bidi="de-DE"/>
        </w:rPr>
        <w:t>6</w:t>
      </w:r>
      <w:r w:rsidRPr="00F531CC">
        <w:rPr>
          <w:rFonts w:eastAsia="Calibri"/>
          <w:i/>
          <w:szCs w:val="22"/>
          <w:lang w:eastAsia="de-DE" w:bidi="de-DE"/>
        </w:rPr>
        <w:t>. </w:t>
      </w:r>
      <w:r>
        <w:rPr>
          <w:rFonts w:eastAsia="Calibri"/>
          <w:i/>
          <w:szCs w:val="22"/>
          <w:lang w:eastAsia="de-DE" w:bidi="de-DE"/>
        </w:rPr>
        <w:t>April</w:t>
      </w:r>
      <w:r w:rsidRPr="00F531CC">
        <w:rPr>
          <w:rFonts w:eastAsia="Calibri"/>
          <w:i/>
          <w:szCs w:val="22"/>
          <w:lang w:eastAsia="de-DE" w:bidi="de-DE"/>
        </w:rPr>
        <w:t> 201</w:t>
      </w:r>
      <w:r>
        <w:rPr>
          <w:rFonts w:eastAsia="Calibri"/>
          <w:i/>
          <w:szCs w:val="22"/>
          <w:lang w:eastAsia="de-DE" w:bidi="de-DE"/>
        </w:rPr>
        <w:t>9</w:t>
      </w:r>
      <w:r w:rsidRPr="00F531CC">
        <w:rPr>
          <w:rFonts w:eastAsia="Calibri"/>
          <w:i/>
          <w:szCs w:val="22"/>
          <w:lang w:eastAsia="de-DE" w:bidi="de-DE"/>
        </w:rPr>
        <w:t>)</w:t>
      </w:r>
      <w:r w:rsidR="00021DA4">
        <w:rPr>
          <w:rFonts w:eastAsia="Calibri"/>
          <w:i/>
          <w:szCs w:val="22"/>
          <w:lang w:eastAsia="de-DE" w:bidi="de-DE"/>
        </w:rPr>
        <w:t>; § 2 Abs. 3 und 4 eingefügt durch Art. 1 des K.E. vom 24. April 2020 (B.S. vom 30. April 2020)</w:t>
      </w:r>
      <w:r w:rsidRPr="00F531CC">
        <w:rPr>
          <w:rFonts w:eastAsia="Calibri"/>
          <w:i/>
          <w:szCs w:val="22"/>
          <w:lang w:eastAsia="de-DE" w:bidi="de-DE"/>
        </w:rPr>
        <w:t>]</w:t>
      </w:r>
    </w:p>
    <w:p w14:paraId="11F0FE06" w14:textId="77777777" w:rsidR="003C2396" w:rsidRDefault="003C2396" w:rsidP="007D52CA">
      <w:pPr>
        <w:rPr>
          <w:rFonts w:eastAsia="Calibri"/>
          <w:szCs w:val="22"/>
          <w:lang w:eastAsia="de-DE" w:bidi="de-DE"/>
        </w:rPr>
      </w:pPr>
    </w:p>
    <w:p w14:paraId="67388DCA" w14:textId="77777777" w:rsidR="00777B2C" w:rsidRDefault="00777B2C" w:rsidP="007D52CA">
      <w:pPr>
        <w:rPr>
          <w:rFonts w:eastAsia="Calibri"/>
          <w:szCs w:val="22"/>
          <w:lang w:eastAsia="de-DE" w:bidi="de-DE"/>
        </w:rPr>
      </w:pPr>
    </w:p>
    <w:p w14:paraId="4FD41499" w14:textId="77777777" w:rsidR="00777B2C" w:rsidRPr="00607A3E" w:rsidRDefault="00777B2C" w:rsidP="00777B2C">
      <w:pPr>
        <w:jc w:val="both"/>
      </w:pPr>
      <w:r>
        <w:rPr>
          <w:rFonts w:eastAsia="Calibri"/>
          <w:szCs w:val="22"/>
          <w:lang w:eastAsia="de-DE" w:bidi="de-DE"/>
        </w:rPr>
        <w:tab/>
        <w:t>[</w:t>
      </w:r>
      <w:r w:rsidRPr="00777B2C">
        <w:rPr>
          <w:b/>
          <w:bCs/>
        </w:rPr>
        <w:t>Art. 95</w:t>
      </w:r>
      <w:r w:rsidRPr="00777B2C">
        <w:rPr>
          <w:b/>
          <w:bCs/>
          <w:vertAlign w:val="superscript"/>
        </w:rPr>
        <w:t>4/2</w:t>
      </w:r>
      <w:r w:rsidRPr="00607A3E">
        <w:t> - Ein für Leiharbeit zugelassenes Unternehmen, das einen oder mehrere Leiharbeitnehmer einem in Artikel 275</w:t>
      </w:r>
      <w:r w:rsidRPr="00607A3E">
        <w:rPr>
          <w:vertAlign w:val="superscript"/>
        </w:rPr>
        <w:t>5</w:t>
      </w:r>
      <w:r w:rsidRPr="00607A3E">
        <w:t xml:space="preserve"> § 1 oder Artikel 275</w:t>
      </w:r>
      <w:r w:rsidRPr="00607A3E">
        <w:rPr>
          <w:vertAlign w:val="superscript"/>
        </w:rPr>
        <w:t>5</w:t>
      </w:r>
      <w:r w:rsidRPr="00607A3E">
        <w:t xml:space="preserve"> § 1/1 des Einkommensteuergesetzbuches 1992 erwähnten Unternehmen, das diese Leiharbeitnehmer in einem Schichtarbeitssystem oder in einem System der vollkontinuierlichen Schichtarbeit beschäftigt, einem in Artikel 275</w:t>
      </w:r>
      <w:r w:rsidRPr="00607A3E">
        <w:rPr>
          <w:vertAlign w:val="superscript"/>
        </w:rPr>
        <w:t>5</w:t>
      </w:r>
      <w:r w:rsidRPr="00607A3E">
        <w:t xml:space="preserve"> § 2 desselben Gesetzbuches erwähnten Unternehmen, das diese Leiharbeitnehmer in einem Nachtarbeitssystem beschäftigt, einem in Artikel 275</w:t>
      </w:r>
      <w:r w:rsidRPr="00607A3E">
        <w:rPr>
          <w:vertAlign w:val="superscript"/>
        </w:rPr>
        <w:t>5</w:t>
      </w:r>
      <w:r w:rsidRPr="00607A3E">
        <w:t xml:space="preserve"> § 4 desselben Gesetzbuches erwähnten Unternehmen, das diese Leiharbeitnehmer unter der Systemschifffahrtsregelung beschäftigt, oder einem in Artikel 275</w:t>
      </w:r>
      <w:r w:rsidRPr="00607A3E">
        <w:rPr>
          <w:vertAlign w:val="superscript"/>
        </w:rPr>
        <w:t>5</w:t>
      </w:r>
      <w:r w:rsidRPr="00607A3E">
        <w:t xml:space="preserve"> § 5 desselben Gesetzbuches erwähnten Unternehmen, das diese Leiharbeitnehmer in Schichtarbeit für Immobilienarbeiten an Ort und Stelle beschäftigt, zur Verfügung stellt, weist für die Leistung, die von diesen Leiharbeitnehmern erbracht wird, nach, dass es die Zustimmung dieses Unternehmens, das diese Leiharbeitnehmer beschäftigt, eingeholt hat, um die in Artikel 275</w:t>
      </w:r>
      <w:r w:rsidRPr="00607A3E">
        <w:rPr>
          <w:vertAlign w:val="superscript"/>
        </w:rPr>
        <w:t>5</w:t>
      </w:r>
      <w:r w:rsidRPr="00607A3E">
        <w:t xml:space="preserve"> desselben Gesetzbuches erwähnte Befreiung von der Zahlung des Berufssteuervorabzugs anzuwenden, wenn die in vorliegendem Artikel erwähnten Bedingungen erfüllt sind.</w:t>
      </w:r>
    </w:p>
    <w:p w14:paraId="162720A1" w14:textId="77777777" w:rsidR="00777B2C" w:rsidRPr="00607A3E" w:rsidRDefault="00777B2C" w:rsidP="00777B2C"/>
    <w:p w14:paraId="761B7B4E" w14:textId="77777777" w:rsidR="00777B2C" w:rsidRPr="00607A3E" w:rsidRDefault="00777B2C" w:rsidP="00777B2C">
      <w:pPr>
        <w:jc w:val="both"/>
      </w:pPr>
      <w:r w:rsidRPr="00607A3E">
        <w:tab/>
        <w:t xml:space="preserve">Das in Absatz 1 erwähnte für Leiharbeit zugelassene Unternehmen und das in Absatz 1 erwähnte Unternehmen, das den Leiharbeitnehmer beschäftigt, schließen einen schriftlichen Vertrag oder nehmen in den Handelsvertrag, den die beiden Parteien miteinander schließen, Bestimmungen auf, sodass der Verfahrensrahmen festgelegt wird, der bestimmt, wie die in Absatz 1 erwähnte Befreiung von der Zahlung des Berufssteuervorabzugs angewandt wird und </w:t>
      </w:r>
      <w:r w:rsidRPr="00607A3E">
        <w:lastRenderedPageBreak/>
        <w:t>wie der Nachweis erbracht werden muss, dass alle Bedingungen für die Anwendung dieser Befreiung erfüllt sind. Diese Vereinbarung enthält mindestens folgende Bestimmungen:</w:t>
      </w:r>
    </w:p>
    <w:p w14:paraId="17564FBB" w14:textId="77777777" w:rsidR="00777B2C" w:rsidRPr="00607A3E" w:rsidRDefault="00777B2C" w:rsidP="00777B2C">
      <w:pPr>
        <w:jc w:val="both"/>
      </w:pPr>
    </w:p>
    <w:p w14:paraId="653D7E17" w14:textId="77777777" w:rsidR="00777B2C" w:rsidRPr="00607A3E" w:rsidRDefault="00777B2C" w:rsidP="00777B2C">
      <w:pPr>
        <w:jc w:val="both"/>
      </w:pPr>
      <w:r w:rsidRPr="00607A3E">
        <w:tab/>
        <w:t>- Es wird vereinbart, dass das in Absatz 1 erwähnte für Leiharbeit zugelassene Unternehmen die in Absatz 1 erwähnte Befreiung von der Zahlung des Berufssteuervorabzugs nur dann anwenden darf, wenn es sich um Leistungen handelt, für die das in Absatz 1 erwähnte Unternehmen, das den Leiharbeitnehmer beschäftigt, nach Erbringung der Leistung eine Erklärung abgegeben hat, aus der eindeutig hervorgeht, dass dieses Unternehmen festgestellt hat, dass der Leiharbeitnehmer tatsächlich für diese Leistungen beschäftigt worden ist, jeweils entweder in einem Schichtarbeitssystem, in einem System der vollkontinuierlichen Schichtarbeit, in einem Nachtarbeitssystem, unter der Systemschifffahrtsregelung oder in Schichtarbeit für Immobilienarbeiten an Ort und Stelle wie in Absatz 1 erwähnt, und in dem bestätigt wird, dass dieses Unternehmen in der Lage ist, den Nachweis zu erbringen, dass diese Anwendungsbedingungen erfüllt sind.</w:t>
      </w:r>
    </w:p>
    <w:p w14:paraId="031B2B4D" w14:textId="77777777" w:rsidR="00777B2C" w:rsidRPr="00607A3E" w:rsidRDefault="00777B2C" w:rsidP="00777B2C">
      <w:pPr>
        <w:jc w:val="both"/>
      </w:pPr>
    </w:p>
    <w:p w14:paraId="4458CE83" w14:textId="77777777" w:rsidR="00777B2C" w:rsidRPr="00607A3E" w:rsidRDefault="00777B2C" w:rsidP="00777B2C">
      <w:pPr>
        <w:jc w:val="both"/>
      </w:pPr>
      <w:r w:rsidRPr="00607A3E">
        <w:tab/>
        <w:t>- Es wird vereinbart, dass, wenn der Leiharbeitnehmer in einem in Artikel 275</w:t>
      </w:r>
      <w:r w:rsidRPr="00607A3E">
        <w:rPr>
          <w:vertAlign w:val="superscript"/>
        </w:rPr>
        <w:t>5</w:t>
      </w:r>
      <w:r w:rsidRPr="00607A3E">
        <w:t xml:space="preserve"> § 1/1 desselben Gesetzbuches erwähnten Schichtarbeitssystem oder in einem in Artikel 275</w:t>
      </w:r>
      <w:r w:rsidRPr="00607A3E">
        <w:rPr>
          <w:vertAlign w:val="superscript"/>
        </w:rPr>
        <w:t>5</w:t>
      </w:r>
      <w:r w:rsidRPr="00607A3E">
        <w:t xml:space="preserve"> § 3/1 desselben Gesetzbuches erwähnten System der vollkontinuierlichen Schichtarbeit beschäftigt worden ist, das in Absatz 1 erwähnte für Leiharbeit zugelassene Unternehmen die in Absatz 1 erwähnte Befreiung von der Zahlung des Berufssteuervorabzugs nur anwenden kann, sofern die im ersten Gedankenstrich erwähnte Erklärung auch den Prozentsatz der in Artikel 275</w:t>
      </w:r>
      <w:r w:rsidRPr="00607A3E">
        <w:rPr>
          <w:vertAlign w:val="superscript"/>
        </w:rPr>
        <w:t>5</w:t>
      </w:r>
      <w:r w:rsidRPr="00607A3E">
        <w:t xml:space="preserve"> § 1/1 Absatz 4 Nr. 3 desselben Gesetzbuches erwähnten Abweichung im Arbeitsumfang enthält, der für das Unternehmen, das den Leiharbeitnehmer beschäftigt, in dem Monat gilt, in dem die Leistungen von dem Leiharbeitnehmer erbracht worden sind.</w:t>
      </w:r>
    </w:p>
    <w:p w14:paraId="1DF75182" w14:textId="77777777" w:rsidR="00777B2C" w:rsidRPr="00607A3E" w:rsidRDefault="00777B2C" w:rsidP="00777B2C">
      <w:pPr>
        <w:jc w:val="both"/>
      </w:pPr>
    </w:p>
    <w:p w14:paraId="33FEB182" w14:textId="77777777" w:rsidR="00777B2C" w:rsidRPr="00607A3E" w:rsidRDefault="00777B2C" w:rsidP="00777B2C">
      <w:pPr>
        <w:jc w:val="both"/>
      </w:pPr>
      <w:r w:rsidRPr="00607A3E">
        <w:tab/>
        <w:t>- Die Weise wird festgelegt, in der das in Absatz 1 erwähnte für Leiharbeit zugelassene Unternehmen gegenüber der Steuerverwaltung unzweideutig und schriftlich das Vorhandensein und den Zeitpunkt der im ersten Gedankenstrich erwähnten Erklärung nachweisen kann.</w:t>
      </w:r>
    </w:p>
    <w:p w14:paraId="4CEC946E" w14:textId="77777777" w:rsidR="00777B2C" w:rsidRPr="00607A3E" w:rsidRDefault="00777B2C" w:rsidP="00777B2C">
      <w:pPr>
        <w:jc w:val="both"/>
      </w:pPr>
    </w:p>
    <w:p w14:paraId="2B070F63" w14:textId="77777777" w:rsidR="00777B2C" w:rsidRPr="00607A3E" w:rsidRDefault="00777B2C" w:rsidP="00777B2C">
      <w:pPr>
        <w:jc w:val="both"/>
      </w:pPr>
      <w:r w:rsidRPr="00607A3E">
        <w:tab/>
        <w:t>- Es wird vereinbart, dass die Zusammenarbeit des in Absatz 1 erwähnten Unternehmens, das den Leiharbeitnehmer beschäftigt, mit dem in Absatz 1 erwähnten für Leiharbeit zugelassenen Unternehmen bei der Erbringung des Nachweises garantiert wird, insbesondere für den Fall, dass die Steuerverwaltung von dem in Absatz 1 erwähnten für Leiharbeit zugelassenen Unternehmen die Erbringung des Nachweises verlangt, dass der Leiharbeitnehmer tatsächlich wie im ersten Gedankenstrich erwähnt beschäftigt worden ist.</w:t>
      </w:r>
    </w:p>
    <w:p w14:paraId="48E6111F" w14:textId="77777777" w:rsidR="00777B2C" w:rsidRPr="00607A3E" w:rsidRDefault="00777B2C" w:rsidP="00777B2C">
      <w:pPr>
        <w:jc w:val="both"/>
      </w:pPr>
    </w:p>
    <w:p w14:paraId="3D2BA907" w14:textId="77777777" w:rsidR="00777B2C" w:rsidRPr="00607A3E" w:rsidRDefault="00777B2C" w:rsidP="00777B2C">
      <w:pPr>
        <w:jc w:val="both"/>
      </w:pPr>
      <w:r w:rsidRPr="00607A3E">
        <w:tab/>
        <w:t>- Die Haftung des in Absatz 1 erwähnten Unternehmens, das den Leiharbeitnehmer beschäftigt, gegenüber dem in Absatz 1 erwähnten für Leiharbeit zugelassenen Unternehmen wird festgelegt für den Schaden, den das letzte Unternehmen erleidet, falls das erste Unternehmen erklärt, dass der Leiharbeitnehmer wie im ersten Gedankenstrich erwähnt beschäftigt worden ist, den Nachweis dafür aber nicht erbringt.</w:t>
      </w:r>
    </w:p>
    <w:p w14:paraId="4F00586B" w14:textId="77777777" w:rsidR="00777B2C" w:rsidRPr="00607A3E" w:rsidRDefault="00777B2C" w:rsidP="00777B2C">
      <w:pPr>
        <w:jc w:val="both"/>
      </w:pPr>
    </w:p>
    <w:p w14:paraId="5FAB2AF0" w14:textId="63973279" w:rsidR="00777B2C" w:rsidRDefault="00777B2C" w:rsidP="00777B2C">
      <w:pPr>
        <w:jc w:val="both"/>
      </w:pPr>
      <w:r w:rsidRPr="00607A3E">
        <w:tab/>
        <w:t>Wenn die Verwaltung feststellt, dass die Bestimmungen des in Absatz 2 erwähnten Verfahrensrahmens, die in der in Absatz 2 erwähnten Vereinbarung enthalten sind, nicht tatsächlich angewandt werden, gilt die in Absatz 1 erwähnte Zustimmung als nicht eingeholt.</w:t>
      </w:r>
      <w:r>
        <w:t>]</w:t>
      </w:r>
    </w:p>
    <w:p w14:paraId="310F1519" w14:textId="77777777" w:rsidR="00777B2C" w:rsidRDefault="00777B2C" w:rsidP="00777B2C">
      <w:pPr>
        <w:jc w:val="both"/>
      </w:pPr>
    </w:p>
    <w:p w14:paraId="373A1A43" w14:textId="09AE4002" w:rsidR="00777B2C" w:rsidRDefault="00777B2C" w:rsidP="00777B2C">
      <w:pPr>
        <w:jc w:val="both"/>
        <w:rPr>
          <w:i/>
          <w:iCs/>
        </w:rPr>
      </w:pPr>
      <w:r>
        <w:rPr>
          <w:i/>
          <w:iCs/>
        </w:rPr>
        <w:t>[Art. 95</w:t>
      </w:r>
      <w:r w:rsidRPr="008A3843">
        <w:rPr>
          <w:i/>
          <w:iCs/>
          <w:vertAlign w:val="superscript"/>
        </w:rPr>
        <w:t>4/2</w:t>
      </w:r>
      <w:r>
        <w:rPr>
          <w:i/>
          <w:iCs/>
        </w:rPr>
        <w:t xml:space="preserve"> eingefügt durch Art. 2 des K.E. vom 16. September 2024 (B.S. vom 23. September 2024)</w:t>
      </w:r>
      <w:r>
        <w:rPr>
          <w:i/>
          <w:iCs/>
        </w:rPr>
        <w:softHyphen/>
        <w:t>]</w:t>
      </w:r>
    </w:p>
    <w:p w14:paraId="5C64F67C" w14:textId="77777777" w:rsidR="00777B2C" w:rsidRPr="00777B2C" w:rsidRDefault="00777B2C" w:rsidP="00777B2C">
      <w:pPr>
        <w:jc w:val="both"/>
        <w:rPr>
          <w:rFonts w:eastAsia="Calibri"/>
          <w:i/>
          <w:iCs/>
          <w:szCs w:val="22"/>
          <w:lang w:eastAsia="de-DE" w:bidi="de-DE"/>
        </w:rPr>
      </w:pPr>
    </w:p>
    <w:p w14:paraId="559F40BB" w14:textId="77777777" w:rsidR="003C2396" w:rsidRPr="00F531CC" w:rsidRDefault="003C2396" w:rsidP="007D52CA">
      <w:pPr>
        <w:rPr>
          <w:rFonts w:eastAsia="Calibri"/>
          <w:szCs w:val="22"/>
          <w:lang w:eastAsia="de-DE" w:bidi="de-DE"/>
        </w:rPr>
      </w:pPr>
    </w:p>
    <w:p w14:paraId="28270F09" w14:textId="340FFBD4" w:rsidR="00FA5F5E" w:rsidRPr="007E4FA8" w:rsidRDefault="00E85F51" w:rsidP="00FA5F5E">
      <w:pPr>
        <w:jc w:val="both"/>
      </w:pPr>
      <w:r>
        <w:rPr>
          <w:rFonts w:eastAsia="Calibri"/>
          <w:szCs w:val="22"/>
          <w:lang w:eastAsia="de-DE" w:bidi="de-DE"/>
        </w:rPr>
        <w:lastRenderedPageBreak/>
        <w:tab/>
      </w:r>
      <w:r w:rsidR="007D52CA" w:rsidRPr="00F531CC">
        <w:rPr>
          <w:rFonts w:eastAsia="Calibri"/>
          <w:szCs w:val="22"/>
          <w:lang w:eastAsia="de-DE" w:bidi="de-DE"/>
        </w:rPr>
        <w:t>[[</w:t>
      </w:r>
      <w:r w:rsidR="007D52CA" w:rsidRPr="00F531CC">
        <w:rPr>
          <w:rFonts w:eastAsia="Calibri"/>
          <w:b/>
          <w:szCs w:val="22"/>
          <w:lang w:eastAsia="de-DE" w:bidi="de-DE"/>
        </w:rPr>
        <w:t>Art. 95</w:t>
      </w:r>
      <w:r w:rsidR="007D52CA" w:rsidRPr="00F531CC">
        <w:rPr>
          <w:rFonts w:eastAsia="Calibri"/>
          <w:b/>
          <w:szCs w:val="22"/>
          <w:vertAlign w:val="superscript"/>
          <w:lang w:eastAsia="de-DE" w:bidi="de-DE"/>
        </w:rPr>
        <w:t>5</w:t>
      </w:r>
      <w:r w:rsidR="00F14AB7" w:rsidRPr="00F531CC">
        <w:rPr>
          <w:rFonts w:eastAsia="Calibri"/>
          <w:szCs w:val="22"/>
          <w:lang w:eastAsia="de-DE" w:bidi="de-DE"/>
        </w:rPr>
        <w:t>]</w:t>
      </w:r>
      <w:r w:rsidR="007D52CA" w:rsidRPr="00F531CC">
        <w:rPr>
          <w:rFonts w:eastAsia="Calibri"/>
          <w:szCs w:val="22"/>
          <w:lang w:eastAsia="de-DE" w:bidi="de-DE"/>
        </w:rPr>
        <w:t xml:space="preserve"> - </w:t>
      </w:r>
      <w:r w:rsidR="00FA5F5E">
        <w:rPr>
          <w:rFonts w:eastAsia="Calibri"/>
          <w:szCs w:val="22"/>
          <w:lang w:eastAsia="de-DE" w:bidi="de-DE"/>
        </w:rPr>
        <w:t>[</w:t>
      </w:r>
      <w:r w:rsidR="00FA5F5E" w:rsidRPr="007E4FA8">
        <w:t>Um in Anwendung von Artikel 275</w:t>
      </w:r>
      <w:r w:rsidR="00FA5F5E" w:rsidRPr="007E4FA8">
        <w:rPr>
          <w:vertAlign w:val="superscript"/>
        </w:rPr>
        <w:t>8</w:t>
      </w:r>
      <w:r w:rsidR="00FA5F5E" w:rsidRPr="007E4FA8">
        <w:t xml:space="preserve"> § 1 Absatz 8 oder Artikel 275</w:t>
      </w:r>
      <w:r w:rsidR="00FA5F5E" w:rsidRPr="007E4FA8">
        <w:rPr>
          <w:vertAlign w:val="superscript"/>
        </w:rPr>
        <w:t>9</w:t>
      </w:r>
      <w:r w:rsidR="00FA5F5E" w:rsidRPr="007E4FA8">
        <w:t xml:space="preserve"> § 1 Absatz 9 des Einkommensteuergesetzbuches 1992 die zeitweilige Befreiung von der Zahlung des Berufssteuervorabzugs anstelle des Arbeitgebers zu erhalten, muss vorab ein Formular vorgelegt werden, dessen Muster von dem für Finanzen zuständigen Minister oder seinem Beauftragten festgelegt wird und in dem folgende Angaben und Erklärungen aufgenommen sind:</w:t>
      </w:r>
    </w:p>
    <w:p w14:paraId="7D789A7E" w14:textId="77777777" w:rsidR="00FA5F5E" w:rsidRPr="007E4FA8" w:rsidRDefault="00FA5F5E" w:rsidP="00FA5F5E">
      <w:pPr>
        <w:jc w:val="both"/>
      </w:pPr>
    </w:p>
    <w:p w14:paraId="16CBC5E4" w14:textId="77777777" w:rsidR="00FA5F5E" w:rsidRPr="007E4FA8" w:rsidRDefault="00FA5F5E" w:rsidP="00FA5F5E">
      <w:pPr>
        <w:jc w:val="both"/>
      </w:pPr>
      <w:r w:rsidRPr="007E4FA8">
        <w:tab/>
        <w:t>- Identität des in Artikel 275</w:t>
      </w:r>
      <w:r w:rsidRPr="007E4FA8">
        <w:rPr>
          <w:vertAlign w:val="superscript"/>
        </w:rPr>
        <w:t>8</w:t>
      </w:r>
      <w:r w:rsidRPr="007E4FA8">
        <w:t xml:space="preserve"> § 1 beziehungsweise in Artikel 275</w:t>
      </w:r>
      <w:r w:rsidRPr="007E4FA8">
        <w:rPr>
          <w:vertAlign w:val="superscript"/>
        </w:rPr>
        <w:t>9</w:t>
      </w:r>
      <w:r w:rsidRPr="007E4FA8">
        <w:t xml:space="preserve"> § 1 desselben Gesetzbuches erwähnten Arbeitgebers oder gegebenenfalls der mit ihm gleichgesetzten Gesell</w:t>
      </w:r>
      <w:r w:rsidRPr="007E4FA8">
        <w:softHyphen/>
        <w:t>schaft,</w:t>
      </w:r>
    </w:p>
    <w:p w14:paraId="227387E2" w14:textId="77777777" w:rsidR="00FA5F5E" w:rsidRPr="007E4FA8" w:rsidRDefault="00FA5F5E" w:rsidP="00FA5F5E">
      <w:pPr>
        <w:jc w:val="both"/>
      </w:pPr>
    </w:p>
    <w:p w14:paraId="4530AA97" w14:textId="77777777" w:rsidR="00FA5F5E" w:rsidRPr="007E4FA8" w:rsidRDefault="00FA5F5E" w:rsidP="00FA5F5E">
      <w:pPr>
        <w:jc w:val="both"/>
      </w:pPr>
      <w:r w:rsidRPr="007E4FA8">
        <w:tab/>
        <w:t>- Identität des für Leiharbeit zugelassenen Unternehmens,</w:t>
      </w:r>
    </w:p>
    <w:p w14:paraId="770D3340" w14:textId="77777777" w:rsidR="00FA5F5E" w:rsidRPr="007E4FA8" w:rsidRDefault="00FA5F5E" w:rsidP="00FA5F5E">
      <w:pPr>
        <w:jc w:val="both"/>
      </w:pPr>
    </w:p>
    <w:p w14:paraId="50741AA1" w14:textId="77777777" w:rsidR="00FA5F5E" w:rsidRPr="007E4FA8" w:rsidRDefault="00FA5F5E" w:rsidP="00FA5F5E">
      <w:pPr>
        <w:jc w:val="both"/>
      </w:pPr>
      <w:r w:rsidRPr="007E4FA8">
        <w:tab/>
        <w:t>- gegebenenfalls Identität der Gesellschaft, die Teil einer Unternehmensgruppe ist, der auch der Arbeitgeber angehört, und die in Artikel 275</w:t>
      </w:r>
      <w:r w:rsidRPr="007E4FA8">
        <w:rPr>
          <w:vertAlign w:val="superscript"/>
        </w:rPr>
        <w:t>8</w:t>
      </w:r>
      <w:r w:rsidRPr="007E4FA8">
        <w:t xml:space="preserve"> beziehungsweise in Artikel 275</w:t>
      </w:r>
      <w:r w:rsidRPr="007E4FA8">
        <w:rPr>
          <w:vertAlign w:val="superscript"/>
        </w:rPr>
        <w:t>9</w:t>
      </w:r>
      <w:r w:rsidRPr="007E4FA8">
        <w:t xml:space="preserve"> desselben Gesetzbuches erwähnte Investition getätigt hat,</w:t>
      </w:r>
    </w:p>
    <w:p w14:paraId="112E8069" w14:textId="77777777" w:rsidR="00FA5F5E" w:rsidRPr="007E4FA8" w:rsidRDefault="00FA5F5E" w:rsidP="00FA5F5E">
      <w:pPr>
        <w:jc w:val="both"/>
      </w:pPr>
    </w:p>
    <w:p w14:paraId="40010187" w14:textId="77777777" w:rsidR="00FA5F5E" w:rsidRPr="007E4FA8" w:rsidRDefault="00FA5F5E" w:rsidP="00FA5F5E">
      <w:pPr>
        <w:jc w:val="both"/>
      </w:pPr>
      <w:r w:rsidRPr="007E4FA8">
        <w:tab/>
        <w:t>- Beschreibung des Vorhabens und der Durchführung der Investition,</w:t>
      </w:r>
    </w:p>
    <w:p w14:paraId="01A47987" w14:textId="77777777" w:rsidR="00FA5F5E" w:rsidRPr="007E4FA8" w:rsidRDefault="00FA5F5E" w:rsidP="00FA5F5E">
      <w:pPr>
        <w:jc w:val="both"/>
      </w:pPr>
    </w:p>
    <w:p w14:paraId="1DD6EF96" w14:textId="77777777" w:rsidR="00FA5F5E" w:rsidRPr="007E4FA8" w:rsidRDefault="00FA5F5E" w:rsidP="00FA5F5E">
      <w:pPr>
        <w:jc w:val="both"/>
      </w:pPr>
      <w:r w:rsidRPr="007E4FA8">
        <w:tab/>
        <w:t>- Anzahl und Beschreibung der infolge dieser Investition geschaffenen neuen Arbeitsplätze, die von dem für Leiharbeit zugelassenen Unternehmen besetzt werden,</w:t>
      </w:r>
    </w:p>
    <w:p w14:paraId="59B2022B" w14:textId="77777777" w:rsidR="00FA5F5E" w:rsidRPr="007E4FA8" w:rsidRDefault="00FA5F5E" w:rsidP="00FA5F5E">
      <w:pPr>
        <w:jc w:val="both"/>
      </w:pPr>
    </w:p>
    <w:p w14:paraId="1D0A0533" w14:textId="77777777" w:rsidR="00FA5F5E" w:rsidRPr="007E4FA8" w:rsidRDefault="00FA5F5E" w:rsidP="00FA5F5E">
      <w:pPr>
        <w:jc w:val="both"/>
      </w:pPr>
      <w:r w:rsidRPr="007E4FA8">
        <w:tab/>
        <w:t>- Datum beziehungsweise vorgesehenes Datum der Erstbesetzung jedes dieser Arbeitsplätze, die von dem für Leiharbeit zugelassenen Unternehmen besetzt werden,</w:t>
      </w:r>
    </w:p>
    <w:p w14:paraId="247641F5" w14:textId="77777777" w:rsidR="00FA5F5E" w:rsidRPr="007E4FA8" w:rsidRDefault="00FA5F5E" w:rsidP="00FA5F5E">
      <w:pPr>
        <w:jc w:val="both"/>
      </w:pPr>
    </w:p>
    <w:p w14:paraId="74EE3A67" w14:textId="41373940" w:rsidR="007D52CA" w:rsidRPr="00F531CC" w:rsidRDefault="00FA5F5E" w:rsidP="00FA5F5E">
      <w:pPr>
        <w:jc w:val="both"/>
        <w:rPr>
          <w:rFonts w:eastAsia="Calibri"/>
          <w:szCs w:val="22"/>
          <w:lang w:eastAsia="de-DE" w:bidi="de-DE"/>
        </w:rPr>
      </w:pPr>
      <w:r w:rsidRPr="007E4FA8">
        <w:tab/>
        <w:t>- Erklärung, in der der Arbeitgeber und das für Leiharbeit zugelassene Unternehmen gemeinsam die Verantwortung dafür übernehmen, im Hinblick auf den Erhalt der endgültigen Befreiung den in Artikel 275</w:t>
      </w:r>
      <w:r w:rsidRPr="007E4FA8">
        <w:rPr>
          <w:vertAlign w:val="superscript"/>
        </w:rPr>
        <w:t>8</w:t>
      </w:r>
      <w:r w:rsidRPr="007E4FA8">
        <w:t xml:space="preserve"> § 4 Absatz 5 desselben Gesetzbuches erwähnten Nachweis zu erbringen.</w:t>
      </w:r>
      <w:r>
        <w:t>]</w:t>
      </w:r>
      <w:r w:rsidR="007D52CA" w:rsidRPr="00F531CC">
        <w:rPr>
          <w:rFonts w:eastAsia="Calibri"/>
          <w:szCs w:val="22"/>
          <w:lang w:eastAsia="de-DE" w:bidi="de-DE"/>
        </w:rPr>
        <w:t>]</w:t>
      </w:r>
    </w:p>
    <w:p w14:paraId="72437601" w14:textId="77777777" w:rsidR="007D52CA" w:rsidRPr="00F531CC" w:rsidRDefault="007D52CA" w:rsidP="007D52CA">
      <w:pPr>
        <w:jc w:val="both"/>
        <w:rPr>
          <w:rFonts w:eastAsia="Calibri"/>
          <w:szCs w:val="22"/>
          <w:lang w:eastAsia="de-DE" w:bidi="de-DE"/>
        </w:rPr>
      </w:pPr>
    </w:p>
    <w:p w14:paraId="2112F67B" w14:textId="14F4BFB4" w:rsidR="002C6888" w:rsidRDefault="007D52CA" w:rsidP="000C5BE4">
      <w:pPr>
        <w:jc w:val="both"/>
        <w:rPr>
          <w:rFonts w:eastAsia="Calibri"/>
          <w:i/>
          <w:szCs w:val="22"/>
          <w:lang w:eastAsia="de-DE" w:bidi="de-DE"/>
        </w:rPr>
      </w:pPr>
      <w:r w:rsidRPr="00F531CC">
        <w:rPr>
          <w:rFonts w:eastAsia="Calibri"/>
          <w:i/>
          <w:szCs w:val="22"/>
          <w:lang w:eastAsia="de-DE" w:bidi="de-DE"/>
        </w:rPr>
        <w:t>[Art. 95</w:t>
      </w:r>
      <w:r w:rsidRPr="00F531CC">
        <w:rPr>
          <w:rFonts w:eastAsia="Calibri"/>
          <w:i/>
          <w:szCs w:val="22"/>
          <w:vertAlign w:val="superscript"/>
          <w:lang w:eastAsia="de-DE" w:bidi="de-DE"/>
        </w:rPr>
        <w:t xml:space="preserve">5 </w:t>
      </w:r>
      <w:r w:rsidRPr="00F531CC">
        <w:rPr>
          <w:rFonts w:eastAsia="Calibri"/>
          <w:i/>
          <w:szCs w:val="22"/>
          <w:lang w:eastAsia="de-DE" w:bidi="de-DE"/>
        </w:rPr>
        <w:t>eingefügt durch Art. 4 des K.E. vom 13. Juni 2014 (B.S. vom 26. Juni 2014), selbst abgeändert durch Art. 1 des K.E. vom 17. Juli 2014 (B.S. vom 31. Juli 2014)</w:t>
      </w:r>
      <w:r w:rsidR="00072E75">
        <w:rPr>
          <w:rFonts w:eastAsia="Calibri"/>
          <w:i/>
          <w:szCs w:val="22"/>
          <w:lang w:eastAsia="de-DE" w:bidi="de-DE"/>
        </w:rPr>
        <w:t>, selbs</w:t>
      </w:r>
      <w:r w:rsidR="00FA5F5E">
        <w:rPr>
          <w:rFonts w:eastAsia="Calibri"/>
          <w:i/>
          <w:szCs w:val="22"/>
          <w:lang w:eastAsia="de-DE" w:bidi="de-DE"/>
        </w:rPr>
        <w:t>t</w:t>
      </w:r>
      <w:r w:rsidR="00072E75">
        <w:rPr>
          <w:rFonts w:eastAsia="Calibri"/>
          <w:i/>
          <w:szCs w:val="22"/>
          <w:lang w:eastAsia="de-DE" w:bidi="de-DE"/>
        </w:rPr>
        <w:t xml:space="preserve"> aufgehoben durch Art. 14 des G. vom 24. M</w:t>
      </w:r>
      <w:r w:rsidR="00FA5F5E">
        <w:rPr>
          <w:rFonts w:eastAsia="Calibri"/>
          <w:i/>
          <w:szCs w:val="22"/>
          <w:lang w:eastAsia="de-DE" w:bidi="de-DE"/>
        </w:rPr>
        <w:t>ärz 2015 (B.S. vom 2. April 2015), und wieder aufgenommen durch Art. 3 des K.E. vom 13. April 2019 (II) (B.S. vom 9. Mai 2019)</w:t>
      </w:r>
      <w:r w:rsidRPr="00F531CC">
        <w:rPr>
          <w:rFonts w:eastAsia="Calibri"/>
          <w:i/>
          <w:szCs w:val="22"/>
          <w:lang w:eastAsia="de-DE" w:bidi="de-DE"/>
        </w:rPr>
        <w:t>]</w:t>
      </w:r>
    </w:p>
    <w:p w14:paraId="6F8698BC" w14:textId="77777777" w:rsidR="000C5BE4" w:rsidRDefault="000C5BE4" w:rsidP="000C5BE4">
      <w:pPr>
        <w:jc w:val="both"/>
        <w:rPr>
          <w:rFonts w:eastAsia="Calibri"/>
          <w:i/>
          <w:szCs w:val="22"/>
          <w:lang w:eastAsia="de-DE" w:bidi="de-DE"/>
        </w:rPr>
      </w:pPr>
    </w:p>
    <w:p w14:paraId="3F56EF0C" w14:textId="554F4697" w:rsidR="00B51E3E" w:rsidRDefault="00B51E3E">
      <w:pPr>
        <w:rPr>
          <w:rFonts w:eastAsia="Calibri"/>
          <w:iCs/>
          <w:szCs w:val="22"/>
          <w:lang w:eastAsia="de-DE" w:bidi="de-DE"/>
        </w:rPr>
      </w:pPr>
    </w:p>
    <w:p w14:paraId="16C0B891" w14:textId="1C7493CD" w:rsidR="00FA5F5E" w:rsidRPr="007E4FA8" w:rsidRDefault="00FA5F5E" w:rsidP="00FA5F5E">
      <w:pPr>
        <w:jc w:val="both"/>
      </w:pPr>
      <w:r>
        <w:rPr>
          <w:rFonts w:eastAsia="Calibri"/>
          <w:iCs/>
          <w:szCs w:val="22"/>
          <w:lang w:eastAsia="de-DE" w:bidi="de-DE"/>
        </w:rPr>
        <w:tab/>
        <w:t>[</w:t>
      </w:r>
      <w:r w:rsidRPr="00FA5F5E">
        <w:rPr>
          <w:b/>
          <w:bCs/>
        </w:rPr>
        <w:t>Art. 95</w:t>
      </w:r>
      <w:r w:rsidRPr="00FA5F5E">
        <w:rPr>
          <w:b/>
          <w:bCs/>
          <w:vertAlign w:val="superscript"/>
        </w:rPr>
        <w:t>6</w:t>
      </w:r>
      <w:r w:rsidRPr="007E4FA8">
        <w:t> - Bei Anwendung von Artikel 275</w:t>
      </w:r>
      <w:r w:rsidRPr="007E4FA8">
        <w:rPr>
          <w:vertAlign w:val="superscript"/>
        </w:rPr>
        <w:t>8</w:t>
      </w:r>
      <w:r w:rsidRPr="007E4FA8">
        <w:t xml:space="preserve"> § 1 Absatz 9 oder Artikel 275</w:t>
      </w:r>
      <w:r w:rsidRPr="007E4FA8">
        <w:rPr>
          <w:vertAlign w:val="superscript"/>
        </w:rPr>
        <w:t>9</w:t>
      </w:r>
      <w:r w:rsidRPr="007E4FA8">
        <w:t xml:space="preserve"> § 1 Absatz 10 des Einkommensteuergesetzbuches 1992 wird die in Artikel 275</w:t>
      </w:r>
      <w:r w:rsidRPr="007E4FA8">
        <w:rPr>
          <w:vertAlign w:val="superscript"/>
        </w:rPr>
        <w:t>8</w:t>
      </w:r>
      <w:r w:rsidRPr="007E4FA8">
        <w:t xml:space="preserve"> § 1 Absatz 9 beziehungsweise in Artikel 275</w:t>
      </w:r>
      <w:r w:rsidRPr="007E4FA8">
        <w:rPr>
          <w:vertAlign w:val="superscript"/>
        </w:rPr>
        <w:t>9</w:t>
      </w:r>
      <w:r w:rsidRPr="007E4FA8">
        <w:t xml:space="preserve"> § 1 Absatz 10 desselben Gesetzbuches erwähnte andere Gesellschaft mit dem Arbeitgeber gleichgesetzt ab dem Monat nach dem Monat, in dem ein Formular vorgelegt wird, dessen Muster von dem für Finanzen zuständigen Minister oder seinem Beauftragten festgelegt wird und in dem folgende Angaben und Erklärungen auf</w:t>
      </w:r>
      <w:r w:rsidRPr="007E4FA8">
        <w:softHyphen/>
        <w:t>genommen sind:</w:t>
      </w:r>
    </w:p>
    <w:p w14:paraId="7A754540" w14:textId="77777777" w:rsidR="00FA5F5E" w:rsidRPr="007E4FA8" w:rsidRDefault="00FA5F5E" w:rsidP="00FA5F5E">
      <w:pPr>
        <w:jc w:val="both"/>
      </w:pPr>
    </w:p>
    <w:p w14:paraId="7FEE9963" w14:textId="77777777" w:rsidR="00FA5F5E" w:rsidRPr="007E4FA8" w:rsidRDefault="00FA5F5E" w:rsidP="00FA5F5E">
      <w:pPr>
        <w:jc w:val="both"/>
      </w:pPr>
      <w:r w:rsidRPr="007E4FA8">
        <w:tab/>
        <w:t>- Identität des in Artikel 275</w:t>
      </w:r>
      <w:r w:rsidRPr="007E4FA8">
        <w:rPr>
          <w:vertAlign w:val="superscript"/>
        </w:rPr>
        <w:t>8</w:t>
      </w:r>
      <w:r w:rsidRPr="007E4FA8">
        <w:t xml:space="preserve"> § 1 beziehungsweise in Artikel 275</w:t>
      </w:r>
      <w:r w:rsidRPr="007E4FA8">
        <w:rPr>
          <w:vertAlign w:val="superscript"/>
        </w:rPr>
        <w:t>9</w:t>
      </w:r>
      <w:r w:rsidRPr="007E4FA8">
        <w:t xml:space="preserve"> § 1 desselben Gesetzbuches erwähnten Arbeitgebers,</w:t>
      </w:r>
    </w:p>
    <w:p w14:paraId="7F7F75F4" w14:textId="77777777" w:rsidR="00FA5F5E" w:rsidRPr="007E4FA8" w:rsidRDefault="00FA5F5E" w:rsidP="00FA5F5E">
      <w:pPr>
        <w:jc w:val="both"/>
      </w:pPr>
    </w:p>
    <w:p w14:paraId="57DD0FBE" w14:textId="77777777" w:rsidR="00FA5F5E" w:rsidRPr="007E4FA8" w:rsidRDefault="00FA5F5E" w:rsidP="00FA5F5E">
      <w:pPr>
        <w:jc w:val="both"/>
      </w:pPr>
      <w:r w:rsidRPr="007E4FA8">
        <w:tab/>
        <w:t>- gegebenenfalls Identität der Gesellschaft, die Teil einer Unternehmensgruppe ist, der auch der Arbeitgeber angehört, und die in Artikel 275</w:t>
      </w:r>
      <w:r w:rsidRPr="007E4FA8">
        <w:rPr>
          <w:vertAlign w:val="superscript"/>
        </w:rPr>
        <w:t>8</w:t>
      </w:r>
      <w:r w:rsidRPr="007E4FA8">
        <w:t xml:space="preserve"> beziehungsweise in Artikel 275</w:t>
      </w:r>
      <w:r w:rsidRPr="007E4FA8">
        <w:rPr>
          <w:vertAlign w:val="superscript"/>
        </w:rPr>
        <w:t>9</w:t>
      </w:r>
      <w:r w:rsidRPr="007E4FA8">
        <w:t xml:space="preserve"> desselben Gesetzbuches erwähnte Investition getätigt hat,</w:t>
      </w:r>
    </w:p>
    <w:p w14:paraId="56B1E0D6" w14:textId="77777777" w:rsidR="00FA5F5E" w:rsidRPr="007E4FA8" w:rsidRDefault="00FA5F5E" w:rsidP="00FA5F5E">
      <w:pPr>
        <w:jc w:val="both"/>
      </w:pPr>
    </w:p>
    <w:p w14:paraId="010B5267" w14:textId="77777777" w:rsidR="00FA5F5E" w:rsidRPr="007E4FA8" w:rsidRDefault="00FA5F5E" w:rsidP="00FA5F5E">
      <w:pPr>
        <w:jc w:val="both"/>
      </w:pPr>
      <w:r w:rsidRPr="007E4FA8">
        <w:tab/>
        <w:t>- Identität der in Artikel 275</w:t>
      </w:r>
      <w:r w:rsidRPr="007E4FA8">
        <w:rPr>
          <w:vertAlign w:val="superscript"/>
        </w:rPr>
        <w:t>8</w:t>
      </w:r>
      <w:r w:rsidRPr="007E4FA8">
        <w:t xml:space="preserve"> § 1 beziehungsweise in Artikel 275</w:t>
      </w:r>
      <w:r w:rsidRPr="007E4FA8">
        <w:rPr>
          <w:vertAlign w:val="superscript"/>
        </w:rPr>
        <w:t>9</w:t>
      </w:r>
      <w:r w:rsidRPr="007E4FA8">
        <w:t xml:space="preserve"> § 1 desselben Gesetzbuches erwähnten Gesellschaft, die die Nutzung der in Absatz 1 erwähnten Investition übernommen hat,</w:t>
      </w:r>
    </w:p>
    <w:p w14:paraId="2A64F909" w14:textId="77777777" w:rsidR="00FA5F5E" w:rsidRPr="007E4FA8" w:rsidRDefault="00FA5F5E" w:rsidP="00FA5F5E">
      <w:pPr>
        <w:jc w:val="both"/>
      </w:pPr>
    </w:p>
    <w:p w14:paraId="7EB289E9" w14:textId="77777777" w:rsidR="00FA5F5E" w:rsidRPr="007E4FA8" w:rsidRDefault="00FA5F5E" w:rsidP="00FA5F5E">
      <w:pPr>
        <w:jc w:val="both"/>
      </w:pPr>
      <w:r w:rsidRPr="007E4FA8">
        <w:tab/>
        <w:t>- Beschreibung des Vorhabens und der Durchführung der Investition,</w:t>
      </w:r>
    </w:p>
    <w:p w14:paraId="31D0F53E" w14:textId="5925B322" w:rsidR="00CC25F8" w:rsidRDefault="00CC25F8"/>
    <w:p w14:paraId="0CACCBEC" w14:textId="58E705A8" w:rsidR="00FA5F5E" w:rsidRDefault="00FA5F5E" w:rsidP="00FA5F5E">
      <w:pPr>
        <w:jc w:val="both"/>
        <w:rPr>
          <w:rFonts w:eastAsia="Calibri"/>
          <w:iCs/>
          <w:szCs w:val="22"/>
          <w:lang w:eastAsia="de-DE" w:bidi="de-DE"/>
        </w:rPr>
      </w:pPr>
      <w:r w:rsidRPr="007E4FA8">
        <w:tab/>
        <w:t>- Anzahl, Beschreibung und Datum der Erstbesetzung jedes der infolge dieser Investition geschaffenen neuen Arbeitsplätze, die schon vor dem vorerwähnten Vorgang besetzt waren.</w:t>
      </w:r>
      <w:r>
        <w:rPr>
          <w:rFonts w:eastAsia="Calibri"/>
          <w:iCs/>
          <w:szCs w:val="22"/>
          <w:lang w:eastAsia="de-DE" w:bidi="de-DE"/>
        </w:rPr>
        <w:t>]</w:t>
      </w:r>
    </w:p>
    <w:p w14:paraId="5041B8F0" w14:textId="0460B060" w:rsidR="00FA5F5E" w:rsidRDefault="00FA5F5E" w:rsidP="00FA5F5E">
      <w:pPr>
        <w:jc w:val="both"/>
        <w:rPr>
          <w:rFonts w:eastAsia="Calibri"/>
          <w:iCs/>
          <w:szCs w:val="22"/>
          <w:lang w:eastAsia="de-DE" w:bidi="de-DE"/>
        </w:rPr>
      </w:pPr>
    </w:p>
    <w:p w14:paraId="0C5AF68B" w14:textId="34913EA9" w:rsidR="00FA5F5E" w:rsidRDefault="00FA5F5E" w:rsidP="00FA5F5E">
      <w:pPr>
        <w:jc w:val="both"/>
        <w:rPr>
          <w:rFonts w:eastAsia="Calibri"/>
          <w:i/>
          <w:szCs w:val="22"/>
          <w:lang w:eastAsia="de-DE" w:bidi="de-DE"/>
        </w:rPr>
      </w:pPr>
      <w:r>
        <w:rPr>
          <w:rFonts w:eastAsia="Calibri"/>
          <w:i/>
          <w:szCs w:val="22"/>
          <w:lang w:eastAsia="de-DE" w:bidi="de-DE"/>
        </w:rPr>
        <w:t>[Art. 95</w:t>
      </w:r>
      <w:r w:rsidRPr="00FA5F5E">
        <w:rPr>
          <w:rFonts w:eastAsia="Calibri"/>
          <w:i/>
          <w:szCs w:val="22"/>
          <w:vertAlign w:val="superscript"/>
          <w:lang w:eastAsia="de-DE" w:bidi="de-DE"/>
        </w:rPr>
        <w:t>6</w:t>
      </w:r>
      <w:r>
        <w:rPr>
          <w:rFonts w:eastAsia="Calibri"/>
          <w:i/>
          <w:szCs w:val="22"/>
          <w:lang w:eastAsia="de-DE" w:bidi="de-DE"/>
        </w:rPr>
        <w:t xml:space="preserve"> eingefügt durch Art. 4 des K.E. vom 13. April 2019 (II) (B.S. vom 9. Mai 2019)]</w:t>
      </w:r>
    </w:p>
    <w:p w14:paraId="634CFE27" w14:textId="77777777" w:rsidR="00137616" w:rsidRPr="00137616" w:rsidRDefault="00137616" w:rsidP="00137616">
      <w:pPr>
        <w:jc w:val="both"/>
        <w:rPr>
          <w:rFonts w:eastAsia="Calibri"/>
          <w:i/>
          <w:iCs/>
          <w:szCs w:val="22"/>
          <w:lang w:eastAsia="de-DE" w:bidi="de-DE"/>
        </w:rPr>
      </w:pPr>
    </w:p>
    <w:p w14:paraId="1BBF0592" w14:textId="77777777" w:rsidR="00137616" w:rsidRPr="00137616" w:rsidRDefault="00137616" w:rsidP="00137616">
      <w:pPr>
        <w:jc w:val="both"/>
        <w:rPr>
          <w:rFonts w:eastAsia="Calibri"/>
          <w:i/>
          <w:iCs/>
          <w:szCs w:val="22"/>
          <w:lang w:eastAsia="de-DE" w:bidi="de-DE"/>
        </w:rPr>
      </w:pPr>
    </w:p>
    <w:p w14:paraId="0A457EFE" w14:textId="77777777" w:rsidR="00137616" w:rsidRPr="00137616" w:rsidRDefault="00137616" w:rsidP="00137616">
      <w:pPr>
        <w:jc w:val="both"/>
        <w:rPr>
          <w:rFonts w:eastAsia="Calibri"/>
          <w:iCs/>
          <w:szCs w:val="22"/>
          <w:lang w:eastAsia="de-DE" w:bidi="de-DE"/>
        </w:rPr>
      </w:pPr>
      <w:r w:rsidRPr="00137616">
        <w:rPr>
          <w:rFonts w:eastAsia="Calibri"/>
          <w:iCs/>
          <w:szCs w:val="22"/>
          <w:lang w:eastAsia="de-DE" w:bidi="de-DE"/>
        </w:rPr>
        <w:tab/>
        <w:t>[</w:t>
      </w:r>
      <w:r w:rsidRPr="00137616">
        <w:rPr>
          <w:rFonts w:eastAsia="Calibri"/>
          <w:b/>
          <w:bCs/>
          <w:iCs/>
          <w:szCs w:val="22"/>
          <w:lang w:eastAsia="de-DE" w:bidi="de-DE"/>
        </w:rPr>
        <w:t>Art. 95</w:t>
      </w:r>
      <w:r w:rsidRPr="00137616">
        <w:rPr>
          <w:rFonts w:eastAsia="Calibri"/>
          <w:b/>
          <w:bCs/>
          <w:iCs/>
          <w:szCs w:val="22"/>
          <w:vertAlign w:val="superscript"/>
          <w:lang w:eastAsia="de-DE" w:bidi="de-DE"/>
        </w:rPr>
        <w:t>7</w:t>
      </w:r>
      <w:r w:rsidRPr="00137616">
        <w:rPr>
          <w:rFonts w:eastAsia="Calibri"/>
          <w:iCs/>
          <w:szCs w:val="22"/>
          <w:lang w:eastAsia="de-DE" w:bidi="de-DE"/>
        </w:rPr>
        <w:t> - Die Überschwemmungen, die sich vom 14. bis 16. Juli 2021 und am 24. Juli 2021 ereignet haben und die von der Wallonischen Region in den nachstehend erwähnten Erlassen als Naturkatastrophe anerkannt worden sind, werden in den Anwendungsbereich von Artikel 275</w:t>
      </w:r>
      <w:r w:rsidRPr="00137616">
        <w:rPr>
          <w:rFonts w:eastAsia="Calibri"/>
          <w:iCs/>
          <w:szCs w:val="22"/>
          <w:vertAlign w:val="superscript"/>
          <w:lang w:eastAsia="de-DE" w:bidi="de-DE"/>
        </w:rPr>
        <w:t>9/1</w:t>
      </w:r>
      <w:r w:rsidRPr="00137616">
        <w:rPr>
          <w:rFonts w:eastAsia="Calibri"/>
          <w:iCs/>
          <w:szCs w:val="22"/>
          <w:lang w:eastAsia="de-DE" w:bidi="de-DE"/>
        </w:rPr>
        <w:t xml:space="preserve"> des Einkommensteuergesetzbuches 1992 einbezogen. Der Anwendungsbereich dieser Naturkatastrophen wird eingegrenzt durch:</w:t>
      </w:r>
    </w:p>
    <w:p w14:paraId="27259EA8" w14:textId="77777777" w:rsidR="00137616" w:rsidRPr="00137616" w:rsidRDefault="00137616" w:rsidP="00137616">
      <w:pPr>
        <w:jc w:val="both"/>
        <w:rPr>
          <w:rFonts w:eastAsia="Calibri"/>
          <w:iCs/>
          <w:szCs w:val="22"/>
          <w:lang w:eastAsia="de-DE" w:bidi="de-DE"/>
        </w:rPr>
      </w:pPr>
    </w:p>
    <w:p w14:paraId="69445856" w14:textId="77777777" w:rsidR="00137616" w:rsidRPr="00137616" w:rsidRDefault="00137616" w:rsidP="00137616">
      <w:pPr>
        <w:jc w:val="both"/>
        <w:rPr>
          <w:rFonts w:eastAsia="Calibri"/>
          <w:iCs/>
          <w:szCs w:val="22"/>
          <w:lang w:eastAsia="de-DE" w:bidi="de-DE"/>
        </w:rPr>
      </w:pPr>
      <w:r w:rsidRPr="00137616">
        <w:rPr>
          <w:rFonts w:eastAsia="Calibri"/>
          <w:iCs/>
          <w:szCs w:val="22"/>
          <w:lang w:eastAsia="de-DE" w:bidi="de-DE"/>
        </w:rPr>
        <w:tab/>
        <w:t>- den Erlass der Wallonischen Regierung vom 28. Juli 2021 zur Anerkennung der Überschwemmungen vom 14. bis 16. Juli 2021 als allgemeine Naturkatastrophe und zur Abgrenzung ihrer geographischen Ausdehnung,</w:t>
      </w:r>
    </w:p>
    <w:p w14:paraId="7DFDDC1E" w14:textId="77777777" w:rsidR="00137616" w:rsidRPr="00137616" w:rsidRDefault="00137616" w:rsidP="00137616">
      <w:pPr>
        <w:jc w:val="both"/>
        <w:rPr>
          <w:rFonts w:eastAsia="Calibri"/>
          <w:iCs/>
          <w:szCs w:val="22"/>
          <w:lang w:eastAsia="de-DE" w:bidi="de-DE"/>
        </w:rPr>
      </w:pPr>
    </w:p>
    <w:p w14:paraId="0EF254ED" w14:textId="77777777" w:rsidR="00137616" w:rsidRPr="00137616" w:rsidRDefault="00137616" w:rsidP="00137616">
      <w:pPr>
        <w:jc w:val="both"/>
        <w:rPr>
          <w:rFonts w:eastAsia="Calibri"/>
          <w:iCs/>
          <w:szCs w:val="22"/>
          <w:lang w:eastAsia="de-DE" w:bidi="de-DE"/>
        </w:rPr>
      </w:pPr>
      <w:r w:rsidRPr="00137616">
        <w:rPr>
          <w:rFonts w:eastAsia="Calibri"/>
          <w:iCs/>
          <w:szCs w:val="22"/>
          <w:lang w:eastAsia="de-DE" w:bidi="de-DE"/>
        </w:rPr>
        <w:tab/>
        <w:t>- den Erlass der Wallonischen Regierung vom 26. August 2021 zur Ausdehnung des geografischen Gebiets der allgemeinen Naturkatastrophe im Zusammenhang mit den Überschwemmungen vom 14. bis 16. Juli 2021,</w:t>
      </w:r>
    </w:p>
    <w:p w14:paraId="01B0BC7A" w14:textId="77777777" w:rsidR="00137616" w:rsidRPr="00137616" w:rsidRDefault="00137616" w:rsidP="00137616">
      <w:pPr>
        <w:jc w:val="both"/>
        <w:rPr>
          <w:rFonts w:eastAsia="Calibri"/>
          <w:iCs/>
          <w:szCs w:val="22"/>
          <w:lang w:eastAsia="de-DE" w:bidi="de-DE"/>
        </w:rPr>
      </w:pPr>
    </w:p>
    <w:p w14:paraId="743B4685" w14:textId="77777777" w:rsidR="00137616" w:rsidRPr="00137616" w:rsidRDefault="00137616" w:rsidP="00137616">
      <w:pPr>
        <w:jc w:val="both"/>
        <w:rPr>
          <w:rFonts w:eastAsia="Calibri"/>
          <w:iCs/>
          <w:szCs w:val="22"/>
          <w:lang w:eastAsia="de-DE" w:bidi="de-DE"/>
        </w:rPr>
      </w:pPr>
      <w:r w:rsidRPr="00137616">
        <w:rPr>
          <w:rFonts w:eastAsia="Calibri"/>
          <w:iCs/>
          <w:szCs w:val="22"/>
          <w:lang w:eastAsia="de-DE" w:bidi="de-DE"/>
        </w:rPr>
        <w:tab/>
        <w:t>- den Erlass der Wallonischen Regierung vom 23. September 2021 zur Anerkennung der Überschwemmungen vom 24. Juli 2021 als allgemeine Naturkatastrophe und zur Abgrenzung ihrer räumlichen Ausdehnung.</w:t>
      </w:r>
    </w:p>
    <w:p w14:paraId="210D50FC" w14:textId="77777777" w:rsidR="00137616" w:rsidRPr="00137616" w:rsidRDefault="00137616" w:rsidP="00137616">
      <w:pPr>
        <w:jc w:val="both"/>
        <w:rPr>
          <w:rFonts w:eastAsia="Calibri"/>
          <w:iCs/>
          <w:szCs w:val="22"/>
          <w:lang w:eastAsia="de-DE" w:bidi="de-DE"/>
        </w:rPr>
      </w:pPr>
    </w:p>
    <w:p w14:paraId="16E896E9" w14:textId="77777777" w:rsidR="00137616" w:rsidRPr="00137616" w:rsidRDefault="00137616" w:rsidP="00137616">
      <w:pPr>
        <w:jc w:val="both"/>
        <w:rPr>
          <w:rFonts w:eastAsia="Calibri"/>
          <w:iCs/>
          <w:szCs w:val="22"/>
          <w:lang w:eastAsia="de-DE" w:bidi="de-DE"/>
        </w:rPr>
      </w:pPr>
      <w:r w:rsidRPr="00137616">
        <w:rPr>
          <w:rFonts w:eastAsia="Calibri"/>
          <w:iCs/>
          <w:szCs w:val="22"/>
          <w:lang w:eastAsia="de-DE" w:bidi="de-DE"/>
        </w:rPr>
        <w:tab/>
        <w:t>Damit von der vorliegenden Befreiung Gebrauch gemacht werden kann, muss der Arbeitgeber spätestens am 30. November 2024 das in Artikel 95</w:t>
      </w:r>
      <w:r w:rsidRPr="00137616">
        <w:rPr>
          <w:rFonts w:eastAsia="Calibri"/>
          <w:iCs/>
          <w:szCs w:val="22"/>
          <w:vertAlign w:val="superscript"/>
          <w:lang w:eastAsia="de-DE" w:bidi="de-DE"/>
        </w:rPr>
        <w:t>8</w:t>
      </w:r>
      <w:r w:rsidRPr="00137616">
        <w:rPr>
          <w:rFonts w:eastAsia="Calibri"/>
          <w:iCs/>
          <w:szCs w:val="22"/>
          <w:lang w:eastAsia="de-DE" w:bidi="de-DE"/>
        </w:rPr>
        <w:t xml:space="preserve"> erwähnte Formular einreichen und die Wallonische Region spätestens am 1. April 2025 die in Artikel 275</w:t>
      </w:r>
      <w:r w:rsidRPr="00137616">
        <w:rPr>
          <w:rFonts w:eastAsia="Calibri"/>
          <w:iCs/>
          <w:szCs w:val="22"/>
          <w:vertAlign w:val="superscript"/>
          <w:lang w:eastAsia="de-DE" w:bidi="de-DE"/>
        </w:rPr>
        <w:t>9/1</w:t>
      </w:r>
      <w:r w:rsidRPr="00137616">
        <w:rPr>
          <w:rFonts w:eastAsia="Calibri"/>
          <w:iCs/>
          <w:szCs w:val="22"/>
          <w:lang w:eastAsia="de-DE" w:bidi="de-DE"/>
        </w:rPr>
        <w:t xml:space="preserve"> § 4 Absatz 3 desselben Gesetzbuches erwähnte Bescheinigung vorlegen. Der Föderale Öffentliche Dienst Finanzen setzt den Arbeitgeber spätestens am 30. Juni 2025 durch einen Brief über die Möglichkeit der Anwendung der in Artikel 275</w:t>
      </w:r>
      <w:r w:rsidRPr="00137616">
        <w:rPr>
          <w:rFonts w:eastAsia="Calibri"/>
          <w:iCs/>
          <w:szCs w:val="22"/>
          <w:vertAlign w:val="superscript"/>
          <w:lang w:eastAsia="de-DE" w:bidi="de-DE"/>
        </w:rPr>
        <w:t>9/1</w:t>
      </w:r>
      <w:r w:rsidRPr="00137616">
        <w:rPr>
          <w:rFonts w:eastAsia="Calibri"/>
          <w:iCs/>
          <w:szCs w:val="22"/>
          <w:lang w:eastAsia="de-DE" w:bidi="de-DE"/>
        </w:rPr>
        <w:t xml:space="preserve"> desselben Gesetzbuches erwähnten Befreiung von der Zahlung des Berufssteuervorabzugs in Kenntnis.</w:t>
      </w:r>
    </w:p>
    <w:p w14:paraId="73F2276E" w14:textId="77777777" w:rsidR="00137616" w:rsidRPr="00137616" w:rsidRDefault="00137616" w:rsidP="00137616">
      <w:pPr>
        <w:jc w:val="both"/>
        <w:rPr>
          <w:rFonts w:eastAsia="Calibri"/>
          <w:iCs/>
          <w:szCs w:val="22"/>
          <w:lang w:eastAsia="de-DE" w:bidi="de-DE"/>
        </w:rPr>
      </w:pPr>
    </w:p>
    <w:p w14:paraId="2BDFAF68" w14:textId="77777777" w:rsidR="00137616" w:rsidRPr="00137616" w:rsidRDefault="00137616" w:rsidP="00137616">
      <w:pPr>
        <w:jc w:val="both"/>
        <w:rPr>
          <w:rFonts w:eastAsia="Calibri"/>
          <w:iCs/>
          <w:szCs w:val="22"/>
          <w:lang w:eastAsia="de-DE" w:bidi="de-DE"/>
        </w:rPr>
      </w:pPr>
      <w:r w:rsidRPr="00137616">
        <w:rPr>
          <w:rFonts w:eastAsia="Calibri"/>
          <w:iCs/>
          <w:szCs w:val="22"/>
          <w:lang w:eastAsia="de-DE" w:bidi="de-DE"/>
        </w:rPr>
        <w:tab/>
        <w:t>Der Minister der Finanzen oder sein Beauftragter kann die in Absatz 2 erwähnten Fristen bis spätestens zum 30. Juni 2025 verlängern.]</w:t>
      </w:r>
    </w:p>
    <w:p w14:paraId="3F58F9C7" w14:textId="77777777" w:rsidR="00137616" w:rsidRPr="00137616" w:rsidRDefault="00137616" w:rsidP="00137616">
      <w:pPr>
        <w:jc w:val="both"/>
        <w:rPr>
          <w:rFonts w:eastAsia="Calibri"/>
          <w:iCs/>
          <w:szCs w:val="22"/>
          <w:lang w:eastAsia="de-DE" w:bidi="de-DE"/>
        </w:rPr>
      </w:pPr>
    </w:p>
    <w:p w14:paraId="53732EB1" w14:textId="77777777" w:rsidR="00137616" w:rsidRPr="00137616" w:rsidRDefault="00137616" w:rsidP="00137616">
      <w:pPr>
        <w:jc w:val="both"/>
        <w:rPr>
          <w:rFonts w:eastAsia="Calibri"/>
          <w:i/>
          <w:iCs/>
          <w:szCs w:val="22"/>
          <w:lang w:eastAsia="de-DE" w:bidi="de-DE"/>
        </w:rPr>
      </w:pPr>
      <w:r w:rsidRPr="00137616">
        <w:rPr>
          <w:rFonts w:eastAsia="Calibri"/>
          <w:i/>
          <w:iCs/>
          <w:szCs w:val="22"/>
          <w:lang w:eastAsia="de-DE" w:bidi="de-DE"/>
        </w:rPr>
        <w:t>[Art. 95</w:t>
      </w:r>
      <w:r w:rsidRPr="00137616">
        <w:rPr>
          <w:rFonts w:eastAsia="Calibri"/>
          <w:i/>
          <w:iCs/>
          <w:szCs w:val="22"/>
          <w:vertAlign w:val="superscript"/>
          <w:lang w:eastAsia="de-DE" w:bidi="de-DE"/>
        </w:rPr>
        <w:t>7</w:t>
      </w:r>
      <w:r w:rsidRPr="00137616">
        <w:rPr>
          <w:rFonts w:eastAsia="Calibri"/>
          <w:i/>
          <w:iCs/>
          <w:szCs w:val="22"/>
          <w:lang w:eastAsia="de-DE" w:bidi="de-DE"/>
        </w:rPr>
        <w:t xml:space="preserve"> eingefügt durch Art. 1 des K.E. vom 1. Oktober 2024 (B.S. vom 30. Dezember 2024, Err. vom 3. Januar 2025)]</w:t>
      </w:r>
    </w:p>
    <w:p w14:paraId="04D32F9F" w14:textId="77777777" w:rsidR="00137616" w:rsidRPr="00137616" w:rsidRDefault="00137616" w:rsidP="00137616">
      <w:pPr>
        <w:jc w:val="both"/>
        <w:rPr>
          <w:rFonts w:eastAsia="Calibri"/>
          <w:i/>
          <w:iCs/>
          <w:szCs w:val="22"/>
          <w:lang w:eastAsia="de-DE" w:bidi="de-DE"/>
        </w:rPr>
      </w:pPr>
    </w:p>
    <w:p w14:paraId="34D688C8" w14:textId="77777777" w:rsidR="00137616" w:rsidRPr="00137616" w:rsidRDefault="00137616" w:rsidP="00137616">
      <w:pPr>
        <w:jc w:val="both"/>
        <w:rPr>
          <w:rFonts w:eastAsia="Calibri"/>
          <w:iCs/>
          <w:szCs w:val="22"/>
          <w:lang w:eastAsia="de-DE" w:bidi="de-DE"/>
        </w:rPr>
      </w:pPr>
    </w:p>
    <w:p w14:paraId="254A25F8" w14:textId="77777777" w:rsidR="00137616" w:rsidRPr="00137616" w:rsidRDefault="00137616" w:rsidP="00137616">
      <w:pPr>
        <w:jc w:val="both"/>
        <w:rPr>
          <w:rFonts w:eastAsia="Calibri"/>
          <w:iCs/>
          <w:szCs w:val="22"/>
          <w:lang w:eastAsia="de-DE" w:bidi="de-DE"/>
        </w:rPr>
      </w:pPr>
      <w:r w:rsidRPr="00137616">
        <w:rPr>
          <w:rFonts w:eastAsia="Calibri"/>
          <w:iCs/>
          <w:szCs w:val="22"/>
          <w:lang w:eastAsia="de-DE" w:bidi="de-DE"/>
        </w:rPr>
        <w:tab/>
        <w:t>[</w:t>
      </w:r>
      <w:r w:rsidRPr="00137616">
        <w:rPr>
          <w:rFonts w:eastAsia="Calibri"/>
          <w:b/>
          <w:bCs/>
          <w:iCs/>
          <w:szCs w:val="22"/>
          <w:lang w:eastAsia="de-DE" w:bidi="de-DE"/>
        </w:rPr>
        <w:t>Art. 95</w:t>
      </w:r>
      <w:r w:rsidRPr="00137616">
        <w:rPr>
          <w:rFonts w:eastAsia="Calibri"/>
          <w:b/>
          <w:bCs/>
          <w:iCs/>
          <w:szCs w:val="22"/>
          <w:vertAlign w:val="superscript"/>
          <w:lang w:eastAsia="de-DE" w:bidi="de-DE"/>
        </w:rPr>
        <w:t>8</w:t>
      </w:r>
      <w:r w:rsidRPr="00137616">
        <w:rPr>
          <w:rFonts w:eastAsia="Calibri"/>
          <w:iCs/>
          <w:szCs w:val="22"/>
          <w:lang w:eastAsia="de-DE" w:bidi="de-DE"/>
        </w:rPr>
        <w:t> - Der von der in Artikel 95</w:t>
      </w:r>
      <w:r w:rsidRPr="00137616">
        <w:rPr>
          <w:rFonts w:eastAsia="Calibri"/>
          <w:iCs/>
          <w:szCs w:val="22"/>
          <w:vertAlign w:val="superscript"/>
          <w:lang w:eastAsia="de-DE" w:bidi="de-DE"/>
        </w:rPr>
        <w:t>7</w:t>
      </w:r>
      <w:r w:rsidRPr="00137616">
        <w:rPr>
          <w:rFonts w:eastAsia="Calibri"/>
          <w:iCs/>
          <w:szCs w:val="22"/>
          <w:lang w:eastAsia="de-DE" w:bidi="de-DE"/>
        </w:rPr>
        <w:t xml:space="preserve"> erwähnten Naturkatastrophe betroffene Arbeitgeber beantragt die Anwendung der in Artikel 275</w:t>
      </w:r>
      <w:r w:rsidRPr="00137616">
        <w:rPr>
          <w:rFonts w:eastAsia="Calibri"/>
          <w:iCs/>
          <w:szCs w:val="22"/>
          <w:vertAlign w:val="superscript"/>
          <w:lang w:eastAsia="de-DE" w:bidi="de-DE"/>
        </w:rPr>
        <w:t>9/1</w:t>
      </w:r>
      <w:r w:rsidRPr="00137616">
        <w:rPr>
          <w:rFonts w:eastAsia="Calibri"/>
          <w:iCs/>
          <w:szCs w:val="22"/>
          <w:lang w:eastAsia="de-DE" w:bidi="de-DE"/>
        </w:rPr>
        <w:t xml:space="preserve"> des Einkommensteuergesetzbuches 1992 erwähnten Befreiung von der Zahlung des </w:t>
      </w:r>
      <w:r w:rsidRPr="00137616">
        <w:rPr>
          <w:rFonts w:eastAsia="Calibri"/>
          <w:iCs/>
          <w:szCs w:val="22"/>
          <w:lang w:eastAsia="de-DE" w:bidi="de-DE"/>
        </w:rPr>
        <w:lastRenderedPageBreak/>
        <w:t>Berufssteuervorabzugs anhand des in Artikel 275</w:t>
      </w:r>
      <w:r w:rsidRPr="00137616">
        <w:rPr>
          <w:rFonts w:eastAsia="Calibri"/>
          <w:iCs/>
          <w:szCs w:val="22"/>
          <w:vertAlign w:val="superscript"/>
          <w:lang w:eastAsia="de-DE" w:bidi="de-DE"/>
        </w:rPr>
        <w:t>9/1</w:t>
      </w:r>
      <w:r w:rsidRPr="00137616">
        <w:rPr>
          <w:rFonts w:eastAsia="Calibri"/>
          <w:iCs/>
          <w:szCs w:val="22"/>
          <w:lang w:eastAsia="de-DE" w:bidi="de-DE"/>
        </w:rPr>
        <w:t xml:space="preserve"> § 4 Absatz 1 desselben Gesetzbuches erwähnten Formulars, dessen Muster vom Minister der Finanzen oder von seinem Beauftragten festgelegt wird, und übermittelt dieses Formular dem öffentlichen Dienst oder der juristischen Person, der/die auf dem Formular bestimmt ist, auf die auf dem Formular bestimmte Weise.]</w:t>
      </w:r>
    </w:p>
    <w:p w14:paraId="289F4F3F" w14:textId="77777777" w:rsidR="00137616" w:rsidRPr="00137616" w:rsidRDefault="00137616" w:rsidP="00137616">
      <w:pPr>
        <w:jc w:val="both"/>
        <w:rPr>
          <w:rFonts w:eastAsia="Calibri"/>
          <w:iCs/>
          <w:szCs w:val="22"/>
          <w:lang w:eastAsia="de-DE" w:bidi="de-DE"/>
        </w:rPr>
      </w:pPr>
    </w:p>
    <w:p w14:paraId="6B80D95E" w14:textId="1FB44075" w:rsidR="00137616" w:rsidRPr="00137616" w:rsidRDefault="00137616" w:rsidP="00FA5F5E">
      <w:pPr>
        <w:jc w:val="both"/>
        <w:rPr>
          <w:rFonts w:eastAsia="Calibri"/>
          <w:i/>
          <w:iCs/>
          <w:szCs w:val="22"/>
          <w:lang w:eastAsia="de-DE" w:bidi="de-DE"/>
        </w:rPr>
      </w:pPr>
      <w:r w:rsidRPr="00137616">
        <w:rPr>
          <w:rFonts w:eastAsia="Calibri"/>
          <w:i/>
          <w:iCs/>
          <w:szCs w:val="22"/>
          <w:lang w:eastAsia="de-DE" w:bidi="de-DE"/>
        </w:rPr>
        <w:t>[Art. 95</w:t>
      </w:r>
      <w:r w:rsidRPr="00137616">
        <w:rPr>
          <w:rFonts w:eastAsia="Calibri"/>
          <w:i/>
          <w:iCs/>
          <w:szCs w:val="22"/>
          <w:vertAlign w:val="superscript"/>
          <w:lang w:eastAsia="de-DE" w:bidi="de-DE"/>
        </w:rPr>
        <w:t>8</w:t>
      </w:r>
      <w:r w:rsidRPr="00137616">
        <w:rPr>
          <w:rFonts w:eastAsia="Calibri"/>
          <w:i/>
          <w:iCs/>
          <w:szCs w:val="22"/>
          <w:lang w:eastAsia="de-DE" w:bidi="de-DE"/>
        </w:rPr>
        <w:t xml:space="preserve"> eingefügt durch Art. 2 des K.E. vom 1. Oktober 2024 (B.S. vom 30. Dezember 2024, Err. vom 3. Januar 2025)]</w:t>
      </w:r>
    </w:p>
    <w:p w14:paraId="13CB7DD1" w14:textId="77777777" w:rsidR="00FA5F5E" w:rsidRDefault="00FA5F5E" w:rsidP="007D52CA">
      <w:pPr>
        <w:jc w:val="center"/>
        <w:rPr>
          <w:rFonts w:eastAsia="Calibri"/>
          <w:i/>
          <w:szCs w:val="22"/>
          <w:lang w:eastAsia="de-DE" w:bidi="de-DE"/>
        </w:rPr>
      </w:pPr>
    </w:p>
    <w:p w14:paraId="0C0015EE" w14:textId="77777777" w:rsidR="00FA5F5E" w:rsidRDefault="00FA5F5E" w:rsidP="007D52CA">
      <w:pPr>
        <w:jc w:val="center"/>
        <w:rPr>
          <w:rFonts w:eastAsia="Calibri"/>
          <w:i/>
          <w:szCs w:val="22"/>
          <w:lang w:eastAsia="de-DE" w:bidi="de-DE"/>
        </w:rPr>
      </w:pPr>
    </w:p>
    <w:p w14:paraId="68DC1E5A" w14:textId="5F766D8A" w:rsidR="007D52CA" w:rsidRPr="00F531CC" w:rsidRDefault="007D52CA" w:rsidP="007D52CA">
      <w:pPr>
        <w:jc w:val="center"/>
        <w:rPr>
          <w:rFonts w:eastAsia="Calibri"/>
          <w:szCs w:val="22"/>
          <w:lang w:eastAsia="de-DE" w:bidi="de-DE"/>
        </w:rPr>
      </w:pPr>
      <w:r w:rsidRPr="00F531CC">
        <w:rPr>
          <w:rFonts w:eastAsia="Calibri"/>
          <w:i/>
          <w:szCs w:val="22"/>
          <w:lang w:eastAsia="de-DE" w:bidi="de-DE"/>
        </w:rPr>
        <w:t>Abschnitt 3</w:t>
      </w:r>
      <w:r w:rsidRPr="00F531CC">
        <w:rPr>
          <w:rFonts w:eastAsia="Calibri"/>
          <w:szCs w:val="22"/>
          <w:lang w:eastAsia="de-DE" w:bidi="de-DE"/>
        </w:rPr>
        <w:t> - Mobiliensteuervorabzug auf Einkünfte aus Kapitalvermögen und beweglichen Gütern und auf bestimmte verschiedene Einkünfte</w:t>
      </w:r>
    </w:p>
    <w:p w14:paraId="5F8546A6" w14:textId="77777777" w:rsidR="007D52CA" w:rsidRPr="00F531CC" w:rsidRDefault="007D52CA" w:rsidP="007D52CA">
      <w:pPr>
        <w:jc w:val="center"/>
        <w:rPr>
          <w:rFonts w:eastAsia="Calibri"/>
          <w:szCs w:val="22"/>
          <w:lang w:eastAsia="de-DE" w:bidi="de-DE"/>
        </w:rPr>
      </w:pPr>
    </w:p>
    <w:p w14:paraId="16F433FC" w14:textId="77777777" w:rsidR="007D52CA" w:rsidRPr="00F531CC" w:rsidRDefault="007D52CA" w:rsidP="007D52CA">
      <w:pPr>
        <w:jc w:val="center"/>
        <w:rPr>
          <w:rFonts w:eastAsia="Calibri"/>
          <w:szCs w:val="22"/>
          <w:lang w:eastAsia="de-DE" w:bidi="de-DE"/>
        </w:rPr>
      </w:pPr>
    </w:p>
    <w:p w14:paraId="317B10A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 xml:space="preserve">Unterabschnitt 1 - Einkünfte aus ausländischen Wertpapieren, aus Auslandsforderungen oder aus im Ausland hinterlegtem Geld und in </w:t>
      </w:r>
      <w:r w:rsidR="00D23EF4">
        <w:rPr>
          <w:rFonts w:eastAsia="Calibri"/>
          <w:szCs w:val="22"/>
          <w:lang w:eastAsia="de-DE" w:bidi="de-DE"/>
        </w:rPr>
        <w:t>[</w:t>
      </w:r>
      <w:r w:rsidR="00665441" w:rsidRPr="00B617CF">
        <w:t>Artikel 90 Absatz 1 Nr. 11</w:t>
      </w:r>
      <w:r w:rsidR="00D23EF4">
        <w:rPr>
          <w:rFonts w:eastAsia="Calibri"/>
          <w:szCs w:val="22"/>
          <w:lang w:eastAsia="de-DE" w:bidi="de-DE"/>
        </w:rPr>
        <w:t>]</w:t>
      </w:r>
      <w:r w:rsidRPr="00F531CC">
        <w:rPr>
          <w:rFonts w:eastAsia="Calibri"/>
          <w:szCs w:val="22"/>
          <w:lang w:eastAsia="de-DE" w:bidi="de-DE"/>
        </w:rPr>
        <w:t xml:space="preserve"> des Einkommensteuergesetz</w:t>
      </w:r>
      <w:r w:rsidRPr="00F531CC">
        <w:rPr>
          <w:rFonts w:eastAsia="Calibri"/>
          <w:szCs w:val="22"/>
          <w:lang w:eastAsia="de-DE" w:bidi="de-DE"/>
        </w:rPr>
        <w:softHyphen/>
        <w:t>buches 1992 erwähnte Einkünfte zu Lasten eines Schuldners, der Nicht-Einwohner des Königreichs ist] - Kontrollmaßnahmen</w:t>
      </w:r>
    </w:p>
    <w:p w14:paraId="593BBDA6" w14:textId="77777777" w:rsidR="007D52CA" w:rsidRPr="00F531CC" w:rsidRDefault="007D52CA" w:rsidP="007D52CA">
      <w:pPr>
        <w:jc w:val="center"/>
        <w:rPr>
          <w:rFonts w:eastAsia="Calibri"/>
          <w:szCs w:val="22"/>
          <w:lang w:eastAsia="de-DE" w:bidi="de-DE"/>
        </w:rPr>
      </w:pPr>
    </w:p>
    <w:p w14:paraId="63E76C5C" w14:textId="77777777" w:rsidR="007D52CA" w:rsidRPr="00F531CC" w:rsidRDefault="007D52CA" w:rsidP="007D52CA">
      <w:pPr>
        <w:jc w:val="center"/>
        <w:rPr>
          <w:rFonts w:eastAsia="Calibri"/>
          <w:szCs w:val="22"/>
          <w:lang w:eastAsia="de-DE" w:bidi="de-DE"/>
        </w:rPr>
      </w:pPr>
      <w:r w:rsidRPr="00F531CC">
        <w:rPr>
          <w:rFonts w:eastAsia="Calibri"/>
          <w:szCs w:val="22"/>
          <w:lang w:eastAsia="de-DE" w:bidi="de-DE"/>
        </w:rPr>
        <w:t>(Einkommensteuergesetzbuch 1992, Artikel 263 Absatz 1)</w:t>
      </w:r>
    </w:p>
    <w:p w14:paraId="4034E435" w14:textId="77777777" w:rsidR="007D52CA" w:rsidRPr="00F531CC" w:rsidRDefault="007D52CA" w:rsidP="007D52CA">
      <w:pPr>
        <w:jc w:val="both"/>
        <w:rPr>
          <w:rFonts w:eastAsia="Calibri"/>
          <w:szCs w:val="22"/>
          <w:lang w:eastAsia="de-DE" w:bidi="de-DE"/>
        </w:rPr>
      </w:pPr>
    </w:p>
    <w:p w14:paraId="4823967A" w14:textId="77777777" w:rsidR="007D52CA" w:rsidRPr="00665441" w:rsidRDefault="007D52CA" w:rsidP="007D52CA">
      <w:pPr>
        <w:jc w:val="both"/>
        <w:rPr>
          <w:rFonts w:eastAsia="Calibri"/>
          <w:szCs w:val="22"/>
          <w:lang w:eastAsia="de-DE" w:bidi="de-DE"/>
        </w:rPr>
      </w:pPr>
      <w:r w:rsidRPr="00F531CC">
        <w:rPr>
          <w:rFonts w:eastAsia="Calibri"/>
          <w:i/>
          <w:szCs w:val="22"/>
          <w:lang w:eastAsia="de-DE" w:bidi="de-DE"/>
        </w:rPr>
        <w:t>[Überschrift von Unterteilung Unterabschnitt 1 abgeändert durch Art. 10 des K.E. vom 20. Januar 2005 (B.S. vom 1. Februar 2005)</w:t>
      </w:r>
      <w:r w:rsidR="00665441">
        <w:rPr>
          <w:rFonts w:eastAsia="Calibri"/>
          <w:i/>
          <w:szCs w:val="22"/>
          <w:lang w:eastAsia="de-DE" w:bidi="de-DE"/>
        </w:rPr>
        <w:t xml:space="preserve"> und Art. 15 des K.E. vom </w:t>
      </w:r>
      <w:r w:rsidR="005024BD">
        <w:rPr>
          <w:rFonts w:eastAsia="Calibri"/>
          <w:i/>
          <w:szCs w:val="22"/>
          <w:lang w:eastAsia="de-DE" w:bidi="de-DE"/>
        </w:rPr>
        <w:t>22. Mai 2017 (II)</w:t>
      </w:r>
      <w:r w:rsidR="00665441">
        <w:rPr>
          <w:rFonts w:eastAsia="Calibri"/>
          <w:i/>
          <w:szCs w:val="22"/>
          <w:lang w:eastAsia="de-DE" w:bidi="de-DE"/>
        </w:rPr>
        <w:t xml:space="preserve"> (B.S. vom 6. Juni 2017)</w:t>
      </w:r>
      <w:r w:rsidRPr="00F531CC">
        <w:rPr>
          <w:rFonts w:eastAsia="Calibri"/>
          <w:i/>
          <w:szCs w:val="22"/>
          <w:lang w:eastAsia="de-DE" w:bidi="de-DE"/>
        </w:rPr>
        <w:t>]</w:t>
      </w:r>
    </w:p>
    <w:p w14:paraId="18509C44" w14:textId="77777777" w:rsidR="007D52CA" w:rsidRPr="00F531CC" w:rsidRDefault="007D52CA" w:rsidP="007D52CA">
      <w:pPr>
        <w:jc w:val="both"/>
        <w:rPr>
          <w:rFonts w:eastAsia="Calibri"/>
          <w:szCs w:val="22"/>
          <w:lang w:eastAsia="de-DE" w:bidi="de-DE"/>
        </w:rPr>
      </w:pPr>
    </w:p>
    <w:p w14:paraId="67879D4A" w14:textId="77777777" w:rsidR="007D52CA" w:rsidRPr="00F531CC" w:rsidRDefault="007D52CA" w:rsidP="007D52CA">
      <w:pPr>
        <w:jc w:val="both"/>
        <w:rPr>
          <w:rFonts w:eastAsia="Calibri"/>
          <w:szCs w:val="22"/>
          <w:lang w:eastAsia="de-DE" w:bidi="de-DE"/>
        </w:rPr>
      </w:pPr>
    </w:p>
    <w:p w14:paraId="58AA0FC0" w14:textId="44826AE1"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96 -</w:t>
      </w:r>
      <w:r w:rsidRPr="00F531CC">
        <w:rPr>
          <w:rFonts w:eastAsia="Calibri"/>
          <w:szCs w:val="22"/>
          <w:lang w:eastAsia="de-DE" w:bidi="de-DE"/>
        </w:rPr>
        <w:t xml:space="preserve"> [§ 1 </w:t>
      </w:r>
      <w:r w:rsidR="00AA46C1">
        <w:rPr>
          <w:rFonts w:eastAsia="Calibri"/>
          <w:szCs w:val="22"/>
          <w:lang w:eastAsia="de-DE" w:bidi="de-DE"/>
        </w:rPr>
        <w:t>-</w:t>
      </w:r>
      <w:r w:rsidRPr="00F531CC">
        <w:rPr>
          <w:rFonts w:eastAsia="Calibri"/>
          <w:szCs w:val="22"/>
          <w:lang w:eastAsia="de-DE" w:bidi="de-DE"/>
        </w:rPr>
        <w:t xml:space="preserve"> </w:t>
      </w:r>
      <w:r w:rsidR="004D1CC8">
        <w:rPr>
          <w:rFonts w:eastAsia="Calibri"/>
          <w:szCs w:val="22"/>
          <w:lang w:eastAsia="de-DE" w:bidi="de-DE"/>
        </w:rPr>
        <w:t>[</w:t>
      </w:r>
      <w:r w:rsidR="004D1CC8" w:rsidRPr="00A115C4">
        <w:t>In Artikel 5 des Gesetzes vom 18. September 2017 zur Verhinderung von Geldwäsche und Terrorismusfinanzierung und zur Beschränkung der Nutzung von Bargeld</w:t>
      </w:r>
      <w:r w:rsidR="004D1CC8">
        <w:rPr>
          <w:rFonts w:eastAsia="Calibri"/>
          <w:szCs w:val="22"/>
          <w:lang w:eastAsia="de-DE" w:bidi="de-DE"/>
        </w:rPr>
        <w:t>]</w:t>
      </w:r>
      <w:r w:rsidRPr="00F531CC">
        <w:rPr>
          <w:rFonts w:eastAsia="Calibri"/>
          <w:szCs w:val="22"/>
          <w:lang w:eastAsia="de-DE" w:bidi="de-DE"/>
        </w:rPr>
        <w:t xml:space="preserve"> erwähnte Personen und Einrichtungen, die in Belgien Einkünfte ausländischer Herkunft auszahlen oder in irgendeiner Weise an der Vereinnahmung von solchen Einkünften beteiligt sind, sind zwecks Gewährleistung einer regelmäßigen Einnahme des Mobiliensteuervorabzugs dazu verpflichtet, diese Verrichtungen, so wie sie stattfinden, in ein besonderes Verzeichnis einzutragen.</w:t>
      </w:r>
    </w:p>
    <w:p w14:paraId="0F2B19DC" w14:textId="77777777" w:rsidR="007D52CA" w:rsidRPr="00F531CC" w:rsidRDefault="007D52CA" w:rsidP="007D52CA">
      <w:pPr>
        <w:jc w:val="both"/>
        <w:rPr>
          <w:rFonts w:eastAsia="Calibri"/>
          <w:szCs w:val="22"/>
          <w:lang w:eastAsia="de-DE" w:bidi="de-DE"/>
        </w:rPr>
      </w:pPr>
    </w:p>
    <w:p w14:paraId="038BCFF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Das Verzeichnis, das alle vom Minister der Finanzen vorgeschriebenen Angaben enthalten muss, kann sowohl auf Papier als auch auf einem Datenträger geführt werden.</w:t>
      </w:r>
    </w:p>
    <w:p w14:paraId="25B6BFD4" w14:textId="77777777" w:rsidR="007D52CA" w:rsidRPr="00F531CC" w:rsidRDefault="007D52CA" w:rsidP="007D52CA">
      <w:pPr>
        <w:jc w:val="both"/>
        <w:rPr>
          <w:rFonts w:eastAsia="Calibri"/>
          <w:szCs w:val="22"/>
          <w:lang w:eastAsia="de-DE" w:bidi="de-DE"/>
        </w:rPr>
      </w:pPr>
    </w:p>
    <w:p w14:paraId="6EE9F43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Absatz 1 ist nicht auf Einkünfte anwendbar, die in Artikel 261 Absatz 3 des Einkommensteuergesetzbuches 1992 erwähnt sind.</w:t>
      </w:r>
    </w:p>
    <w:p w14:paraId="204AD7C5" w14:textId="77777777" w:rsidR="007D52CA" w:rsidRPr="00F531CC" w:rsidRDefault="007D52CA" w:rsidP="007D52CA">
      <w:pPr>
        <w:jc w:val="both"/>
        <w:rPr>
          <w:rFonts w:eastAsia="Calibri"/>
          <w:szCs w:val="22"/>
          <w:lang w:eastAsia="de-DE" w:bidi="de-DE"/>
        </w:rPr>
      </w:pPr>
    </w:p>
    <w:p w14:paraId="724468B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2 - Wird das Verzeichnis auf Papier geführt, muss es auf Ersuchen der in Artikel 101 bestimmten Beamten unverzüglich vorgelegt werden.</w:t>
      </w:r>
    </w:p>
    <w:p w14:paraId="457257F9" w14:textId="77777777" w:rsidR="007D52CA" w:rsidRPr="00F531CC" w:rsidRDefault="007D52CA" w:rsidP="007D52CA">
      <w:pPr>
        <w:jc w:val="both"/>
        <w:rPr>
          <w:rFonts w:eastAsia="Calibri"/>
          <w:szCs w:val="22"/>
          <w:lang w:eastAsia="de-DE" w:bidi="de-DE"/>
        </w:rPr>
      </w:pPr>
    </w:p>
    <w:p w14:paraId="4EA5D27C" w14:textId="01A3AD68" w:rsidR="007D52CA" w:rsidRPr="00F531CC" w:rsidRDefault="007D52CA" w:rsidP="007D52CA">
      <w:pPr>
        <w:jc w:val="both"/>
        <w:rPr>
          <w:rFonts w:eastAsia="Calibri"/>
          <w:szCs w:val="22"/>
          <w:lang w:eastAsia="de-DE" w:bidi="de-DE"/>
        </w:rPr>
      </w:pPr>
      <w:r w:rsidRPr="00F531CC">
        <w:rPr>
          <w:rFonts w:eastAsia="Calibri"/>
          <w:szCs w:val="22"/>
          <w:lang w:eastAsia="de-DE" w:bidi="de-DE"/>
        </w:rPr>
        <w:tab/>
        <w:t>Wird das Verzeichnis auf einem Datenträger geführt, muss die in § 1 erwähnte Einrichtung oder Person:</w:t>
      </w:r>
    </w:p>
    <w:p w14:paraId="4A88AF85" w14:textId="77777777" w:rsidR="007D52CA" w:rsidRPr="00F531CC" w:rsidRDefault="007D52CA" w:rsidP="007D52CA">
      <w:pPr>
        <w:jc w:val="both"/>
        <w:rPr>
          <w:rFonts w:eastAsia="Calibri"/>
          <w:szCs w:val="22"/>
          <w:lang w:eastAsia="de-DE" w:bidi="de-DE"/>
        </w:rPr>
      </w:pPr>
    </w:p>
    <w:p w14:paraId="78C25E4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geeignete Maßnahmen treffen, um jegliche Änderung, Ergänzung oder Streichung von gespeicherten Daten auf ihrem Datenträger zu verhindern,</w:t>
      </w:r>
    </w:p>
    <w:p w14:paraId="53A899C5" w14:textId="77777777" w:rsidR="007D52CA" w:rsidRDefault="007D52CA" w:rsidP="007D52CA">
      <w:pPr>
        <w:rPr>
          <w:rFonts w:eastAsia="Calibri"/>
          <w:szCs w:val="22"/>
          <w:lang w:eastAsia="de-DE" w:bidi="de-DE"/>
        </w:rPr>
      </w:pPr>
    </w:p>
    <w:p w14:paraId="062006B1" w14:textId="6860D31A"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und auf Ersuchen der in Artikel 101 bestimmten Beamten unverzüglich das Einsehen dieser Daten ermöglichen und auf ihrer Ausrüstung und in Anwesenheit der Bediensteten der </w:t>
      </w:r>
      <w:r w:rsidRPr="00F531CC">
        <w:rPr>
          <w:rFonts w:eastAsia="Calibri"/>
          <w:szCs w:val="22"/>
          <w:lang w:eastAsia="de-DE" w:bidi="de-DE"/>
        </w:rPr>
        <w:lastRenderedPageBreak/>
        <w:t>Verwaltung in der von den Bediensteten gewünschten Form Kopien der gesamten beziehungsweise eines Teils der vorerwähnten Daten erstellen.]</w:t>
      </w:r>
    </w:p>
    <w:p w14:paraId="15AD6BE7" w14:textId="77777777" w:rsidR="007D52CA" w:rsidRPr="00F531CC" w:rsidRDefault="007D52CA" w:rsidP="007D52CA">
      <w:pPr>
        <w:jc w:val="both"/>
        <w:rPr>
          <w:rFonts w:eastAsia="Calibri"/>
          <w:szCs w:val="22"/>
          <w:lang w:eastAsia="de-DE" w:bidi="de-DE"/>
        </w:rPr>
      </w:pPr>
    </w:p>
    <w:p w14:paraId="391127DA" w14:textId="14F2B854" w:rsidR="000C5BE4" w:rsidRDefault="007D52CA" w:rsidP="000C5BE4">
      <w:pPr>
        <w:jc w:val="both"/>
        <w:rPr>
          <w:rFonts w:eastAsia="Calibri"/>
          <w:i/>
          <w:szCs w:val="22"/>
          <w:lang w:eastAsia="de-DE" w:bidi="de-DE"/>
        </w:rPr>
      </w:pPr>
      <w:r w:rsidRPr="00F531CC">
        <w:rPr>
          <w:rFonts w:eastAsia="Calibri"/>
          <w:i/>
          <w:szCs w:val="22"/>
          <w:lang w:eastAsia="de-DE" w:bidi="de-DE"/>
        </w:rPr>
        <w:t>[Art. 96 ersetzt durch Art. 11 des K.E. vom 20. Januar 2005 (B.S. vom 1. Februar 2005)</w:t>
      </w:r>
      <w:r w:rsidR="004D1CC8">
        <w:rPr>
          <w:rFonts w:eastAsia="Calibri"/>
          <w:i/>
          <w:szCs w:val="22"/>
          <w:lang w:eastAsia="de-DE" w:bidi="de-DE"/>
        </w:rPr>
        <w:t>; § 1 Abs. 1 abgeändert durch Art. 7</w:t>
      </w:r>
      <w:r w:rsidR="004D1CC8" w:rsidRPr="004D1CC8">
        <w:rPr>
          <w:rFonts w:eastAsia="Calibri"/>
          <w:i/>
          <w:szCs w:val="22"/>
          <w:lang w:eastAsia="de-DE" w:bidi="de-DE"/>
        </w:rPr>
        <w:t xml:space="preserve"> des K.E. vom 17. Juli 2023 (II) (B.S. vom 26. Juli 2023)</w:t>
      </w:r>
      <w:r w:rsidRPr="00F531CC">
        <w:rPr>
          <w:rFonts w:eastAsia="Calibri"/>
          <w:i/>
          <w:szCs w:val="22"/>
          <w:lang w:eastAsia="de-DE" w:bidi="de-DE"/>
        </w:rPr>
        <w:t>]</w:t>
      </w:r>
    </w:p>
    <w:p w14:paraId="6232B31B" w14:textId="77777777" w:rsidR="000C5BE4" w:rsidRDefault="000C5BE4" w:rsidP="000C5BE4">
      <w:pPr>
        <w:jc w:val="both"/>
        <w:rPr>
          <w:rFonts w:eastAsia="Calibri"/>
          <w:i/>
          <w:szCs w:val="22"/>
          <w:lang w:eastAsia="de-DE" w:bidi="de-DE"/>
        </w:rPr>
      </w:pPr>
    </w:p>
    <w:p w14:paraId="4E0DF5A3" w14:textId="77777777" w:rsidR="000C5BE4" w:rsidRDefault="000C5BE4" w:rsidP="000C5BE4">
      <w:pPr>
        <w:jc w:val="both"/>
        <w:rPr>
          <w:rFonts w:eastAsia="Calibri"/>
          <w:i/>
          <w:szCs w:val="22"/>
          <w:lang w:eastAsia="de-DE" w:bidi="de-DE"/>
        </w:rPr>
      </w:pPr>
    </w:p>
    <w:p w14:paraId="08955E76" w14:textId="25660790" w:rsidR="007D52CA" w:rsidRPr="00F531CC" w:rsidRDefault="007D52CA" w:rsidP="000C5BE4">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97 -</w:t>
      </w:r>
      <w:r w:rsidRPr="00F531CC">
        <w:rPr>
          <w:rFonts w:eastAsia="Calibri"/>
          <w:szCs w:val="22"/>
          <w:lang w:eastAsia="de-DE" w:bidi="de-DE"/>
        </w:rPr>
        <w:t xml:space="preserve"> [...]</w:t>
      </w:r>
    </w:p>
    <w:p w14:paraId="65558C16" w14:textId="77777777" w:rsidR="007D52CA" w:rsidRPr="00F531CC" w:rsidRDefault="007D52CA" w:rsidP="007D52CA">
      <w:pPr>
        <w:jc w:val="both"/>
        <w:rPr>
          <w:rFonts w:eastAsia="Calibri"/>
          <w:szCs w:val="22"/>
          <w:lang w:eastAsia="de-DE" w:bidi="de-DE"/>
        </w:rPr>
      </w:pPr>
    </w:p>
    <w:p w14:paraId="1DEC232D"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97 aufgehoben durch Art. 91 des K.E. vom 21. Dezember 2006 (I) (B.S. vom 29. Dezember 2006)]</w:t>
      </w:r>
    </w:p>
    <w:p w14:paraId="070E4081" w14:textId="77777777" w:rsidR="007D52CA" w:rsidRPr="00F531CC" w:rsidRDefault="007D52CA" w:rsidP="007D52CA">
      <w:pPr>
        <w:jc w:val="both"/>
        <w:rPr>
          <w:rFonts w:eastAsia="Calibri"/>
          <w:szCs w:val="22"/>
          <w:lang w:eastAsia="de-DE" w:bidi="de-DE"/>
        </w:rPr>
      </w:pPr>
    </w:p>
    <w:p w14:paraId="48CD4F75" w14:textId="77777777" w:rsidR="007D52CA" w:rsidRPr="00F531CC" w:rsidRDefault="007D52CA" w:rsidP="007D52CA">
      <w:pPr>
        <w:jc w:val="both"/>
        <w:rPr>
          <w:rFonts w:eastAsia="Calibri"/>
          <w:szCs w:val="22"/>
          <w:lang w:eastAsia="de-DE" w:bidi="de-DE"/>
        </w:rPr>
      </w:pPr>
    </w:p>
    <w:p w14:paraId="076E16F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98 -</w:t>
      </w:r>
      <w:r w:rsidRPr="00F531CC">
        <w:rPr>
          <w:rFonts w:eastAsia="Calibri"/>
          <w:szCs w:val="22"/>
          <w:lang w:eastAsia="de-DE" w:bidi="de-DE"/>
        </w:rPr>
        <w:t xml:space="preserve"> Jeder Sendung im Inland beziehungsweise ins Ausland von Kupons oder anderen Einnahmeinstrumenten, die sich auf Verrichtungen wie in Artikel 96 erwähnt beziehen, muss ein Auszug aus dem in § 1 des vorerwähnten Artikels vorgeschriebenen Verzeichnis beigefügt werden, in dem die vom Minister der Finanzen vorgeschriebenen Angaben vermerkt sind.</w:t>
      </w:r>
    </w:p>
    <w:p w14:paraId="2574DFCC" w14:textId="77777777" w:rsidR="007D52CA" w:rsidRPr="00F531CC" w:rsidRDefault="007D52CA" w:rsidP="007D52CA">
      <w:pPr>
        <w:jc w:val="both"/>
        <w:rPr>
          <w:rFonts w:eastAsia="Calibri"/>
          <w:szCs w:val="22"/>
          <w:lang w:eastAsia="de-DE" w:bidi="de-DE"/>
        </w:rPr>
      </w:pPr>
    </w:p>
    <w:p w14:paraId="0FBA6091" w14:textId="77777777" w:rsidR="007D52CA" w:rsidRPr="00F531CC" w:rsidRDefault="007D52CA" w:rsidP="007D52CA">
      <w:pPr>
        <w:jc w:val="both"/>
        <w:rPr>
          <w:rFonts w:eastAsia="Calibri"/>
          <w:szCs w:val="22"/>
          <w:lang w:eastAsia="de-DE" w:bidi="de-DE"/>
        </w:rPr>
      </w:pPr>
    </w:p>
    <w:p w14:paraId="7C174AC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99 -</w:t>
      </w:r>
      <w:r w:rsidRPr="00F531CC">
        <w:rPr>
          <w:rFonts w:eastAsia="Calibri"/>
          <w:szCs w:val="22"/>
          <w:lang w:eastAsia="de-DE" w:bidi="de-DE"/>
        </w:rPr>
        <w:t xml:space="preserve"> Es ist verboten, Kupons oder andere Instrumente zur Einnahme von Einkünften ausländischer Herkunft - von den Wertpapieren, auf die sie sich beziehen, abgetrennt oder nicht - ins Ausland zu senden, es sei denn, die in Artikel 98 vorgeschriebenen Formalitäten sind erfüllt.</w:t>
      </w:r>
    </w:p>
    <w:p w14:paraId="249CA5A9" w14:textId="77777777" w:rsidR="007D52CA" w:rsidRPr="00F531CC" w:rsidRDefault="007D52CA" w:rsidP="007D52CA">
      <w:pPr>
        <w:jc w:val="both"/>
        <w:rPr>
          <w:rFonts w:eastAsia="Calibri"/>
          <w:szCs w:val="22"/>
          <w:lang w:eastAsia="de-DE" w:bidi="de-DE"/>
        </w:rPr>
      </w:pPr>
    </w:p>
    <w:p w14:paraId="288C177E" w14:textId="77777777" w:rsidR="007D52CA" w:rsidRPr="00F531CC" w:rsidRDefault="007D52CA" w:rsidP="007D52CA">
      <w:pPr>
        <w:jc w:val="both"/>
        <w:rPr>
          <w:rFonts w:eastAsia="Calibri"/>
          <w:szCs w:val="22"/>
          <w:lang w:eastAsia="de-DE" w:bidi="de-DE"/>
        </w:rPr>
      </w:pPr>
    </w:p>
    <w:p w14:paraId="216E011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100 -</w:t>
      </w:r>
      <w:r w:rsidRPr="00F531CC">
        <w:rPr>
          <w:rFonts w:eastAsia="Calibri"/>
          <w:szCs w:val="22"/>
          <w:lang w:eastAsia="de-DE" w:bidi="de-DE"/>
        </w:rPr>
        <w:t xml:space="preserve"> Der Minister der Finanzen legt das Muster der in den Artikeln 96 bis 99 erwähnten Verzeichnisse, Steuermarken und Unterlagen fest und regelt deren Führung beziehungsweise Verwendung.</w:t>
      </w:r>
    </w:p>
    <w:p w14:paraId="142D5BD4" w14:textId="77777777" w:rsidR="007D52CA" w:rsidRPr="00F531CC" w:rsidRDefault="007D52CA" w:rsidP="007D52CA">
      <w:pPr>
        <w:jc w:val="both"/>
        <w:rPr>
          <w:rFonts w:eastAsia="Calibri"/>
          <w:szCs w:val="22"/>
          <w:lang w:eastAsia="de-DE" w:bidi="de-DE"/>
        </w:rPr>
      </w:pPr>
    </w:p>
    <w:p w14:paraId="2B288086" w14:textId="77777777" w:rsidR="007D52CA" w:rsidRPr="00F531CC" w:rsidRDefault="007D52CA" w:rsidP="007D52CA">
      <w:pPr>
        <w:jc w:val="both"/>
        <w:rPr>
          <w:rFonts w:eastAsia="Calibri"/>
          <w:szCs w:val="22"/>
          <w:lang w:eastAsia="de-DE" w:bidi="de-DE"/>
        </w:rPr>
      </w:pPr>
    </w:p>
    <w:p w14:paraId="4BD76A79"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101 -</w:t>
      </w:r>
      <w:r w:rsidRPr="00F531CC">
        <w:rPr>
          <w:rFonts w:eastAsia="Calibri"/>
          <w:szCs w:val="22"/>
          <w:lang w:eastAsia="de-DE" w:bidi="de-DE"/>
        </w:rPr>
        <w:t xml:space="preserve"> Die Beamten der Verwaltung der direkten Steuern und der Zoll- und Akzisenverwaltung sind befugt, Verstöße gegen die Artikel 96 bis 99 festzustellen.</w:t>
      </w:r>
    </w:p>
    <w:p w14:paraId="4123C005" w14:textId="65B3F37E" w:rsidR="00312718" w:rsidRDefault="00312718">
      <w:pPr>
        <w:rPr>
          <w:rFonts w:eastAsia="Calibri"/>
          <w:szCs w:val="22"/>
          <w:lang w:eastAsia="de-DE" w:bidi="de-DE"/>
        </w:rPr>
      </w:pPr>
    </w:p>
    <w:p w14:paraId="43911678" w14:textId="77777777" w:rsidR="00FA5F5E" w:rsidRDefault="00FA5F5E">
      <w:pPr>
        <w:rPr>
          <w:rFonts w:eastAsia="Calibri"/>
          <w:szCs w:val="22"/>
          <w:lang w:eastAsia="de-DE" w:bidi="de-DE"/>
        </w:rPr>
      </w:pPr>
    </w:p>
    <w:p w14:paraId="5DDF9E5A" w14:textId="288DA47D" w:rsidR="007D52CA" w:rsidRPr="00F531CC" w:rsidRDefault="007D52CA" w:rsidP="007D52CA">
      <w:pPr>
        <w:jc w:val="center"/>
        <w:rPr>
          <w:rFonts w:eastAsia="Calibri"/>
          <w:szCs w:val="22"/>
          <w:lang w:eastAsia="de-DE" w:bidi="de-DE"/>
        </w:rPr>
      </w:pPr>
      <w:r w:rsidRPr="00F531CC">
        <w:rPr>
          <w:rFonts w:eastAsia="Calibri"/>
          <w:szCs w:val="22"/>
          <w:lang w:eastAsia="de-DE" w:bidi="de-DE"/>
        </w:rPr>
        <w:t>Unterabschnitt 2 - [Befreiung vom Mobiliensteuervorabzug</w:t>
      </w:r>
    </w:p>
    <w:p w14:paraId="66CAD52F" w14:textId="77777777" w:rsidR="007D52CA" w:rsidRPr="00F531CC" w:rsidRDefault="007D52CA" w:rsidP="007D52CA">
      <w:pPr>
        <w:jc w:val="center"/>
        <w:rPr>
          <w:rFonts w:eastAsia="Calibri"/>
          <w:szCs w:val="22"/>
          <w:lang w:eastAsia="de-DE" w:bidi="de-DE"/>
        </w:rPr>
      </w:pPr>
    </w:p>
    <w:p w14:paraId="0E615AE6" w14:textId="77777777" w:rsidR="007D52CA" w:rsidRPr="00F531CC" w:rsidRDefault="007D52CA" w:rsidP="007D52CA">
      <w:pPr>
        <w:jc w:val="center"/>
        <w:rPr>
          <w:rFonts w:eastAsia="Calibri"/>
          <w:szCs w:val="22"/>
          <w:lang w:eastAsia="de-DE" w:bidi="de-DE"/>
        </w:rPr>
      </w:pPr>
      <w:r w:rsidRPr="00F531CC">
        <w:rPr>
          <w:rFonts w:eastAsia="Calibri"/>
          <w:szCs w:val="22"/>
          <w:lang w:eastAsia="de-DE" w:bidi="de-DE"/>
        </w:rPr>
        <w:t>(Einkommensteuergesetzbuch 1992, Artikel 264)]</w:t>
      </w:r>
    </w:p>
    <w:p w14:paraId="47E8CF78" w14:textId="77777777" w:rsidR="007D52CA" w:rsidRPr="00F531CC" w:rsidRDefault="007D52CA" w:rsidP="007D52CA">
      <w:pPr>
        <w:jc w:val="both"/>
        <w:rPr>
          <w:rFonts w:eastAsia="Calibri"/>
          <w:szCs w:val="22"/>
          <w:lang w:eastAsia="de-DE" w:bidi="de-DE"/>
        </w:rPr>
      </w:pPr>
    </w:p>
    <w:p w14:paraId="496C04FC"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[Überschrift von Unterteilung Unterabschnitt 2 ersetzt durch Art. 1 Nr. 1 des K.E. vom 4. April 2003 (B.S. vom 18. April 2003)]</w:t>
      </w:r>
    </w:p>
    <w:p w14:paraId="500821F2" w14:textId="77777777" w:rsidR="007D52CA" w:rsidRPr="00F531CC" w:rsidRDefault="007D52CA" w:rsidP="007D52CA">
      <w:pPr>
        <w:jc w:val="both"/>
        <w:rPr>
          <w:rFonts w:eastAsia="Calibri"/>
          <w:szCs w:val="22"/>
          <w:lang w:eastAsia="de-DE" w:bidi="de-DE"/>
        </w:rPr>
      </w:pPr>
    </w:p>
    <w:p w14:paraId="630B180E" w14:textId="77777777" w:rsidR="007D52CA" w:rsidRPr="00F531CC" w:rsidRDefault="007D52CA" w:rsidP="007D52CA">
      <w:pPr>
        <w:jc w:val="both"/>
        <w:rPr>
          <w:rFonts w:eastAsia="Calibri"/>
          <w:szCs w:val="22"/>
          <w:lang w:eastAsia="de-DE" w:bidi="de-DE"/>
        </w:rPr>
      </w:pPr>
    </w:p>
    <w:p w14:paraId="3BA6B471" w14:textId="243FAC95"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r w:rsidRPr="00F531CC">
        <w:rPr>
          <w:rFonts w:eastAsia="Calibri"/>
          <w:b/>
          <w:szCs w:val="22"/>
          <w:lang w:eastAsia="de-DE" w:bidi="de-DE"/>
        </w:rPr>
        <w:t>Art. 101</w:t>
      </w:r>
      <w:r w:rsidRPr="00F531CC">
        <w:rPr>
          <w:rFonts w:eastAsia="Calibri"/>
          <w:b/>
          <w:i/>
          <w:szCs w:val="22"/>
          <w:lang w:eastAsia="de-DE" w:bidi="de-DE"/>
        </w:rPr>
        <w:t>bis</w:t>
      </w:r>
      <w:r w:rsidRPr="00F531CC">
        <w:rPr>
          <w:rFonts w:eastAsia="Calibri"/>
          <w:b/>
          <w:szCs w:val="22"/>
          <w:lang w:eastAsia="de-DE" w:bidi="de-DE"/>
        </w:rPr>
        <w:t> -</w:t>
      </w:r>
      <w:r w:rsidRPr="00F531CC">
        <w:rPr>
          <w:rFonts w:eastAsia="Calibri"/>
          <w:szCs w:val="22"/>
          <w:lang w:eastAsia="de-DE" w:bidi="de-DE"/>
        </w:rPr>
        <w:t xml:space="preserve"> Für die Anwendung von Artikel 264 Absatz 1 Nr. 2</w:t>
      </w:r>
      <w:r w:rsidRPr="00F531CC">
        <w:rPr>
          <w:rFonts w:eastAsia="Calibri"/>
          <w:i/>
          <w:szCs w:val="22"/>
          <w:lang w:eastAsia="de-DE" w:bidi="de-DE"/>
        </w:rPr>
        <w:t>bis</w:t>
      </w:r>
      <w:r w:rsidRPr="00F531CC">
        <w:rPr>
          <w:rFonts w:eastAsia="Calibri"/>
          <w:szCs w:val="22"/>
          <w:lang w:eastAsia="de-DE" w:bidi="de-DE"/>
        </w:rPr>
        <w:t xml:space="preserve"> des Einkommen</w:t>
      </w:r>
      <w:r w:rsidRPr="00F531CC">
        <w:rPr>
          <w:rFonts w:eastAsia="Calibri"/>
          <w:szCs w:val="22"/>
          <w:lang w:eastAsia="de-DE" w:bidi="de-DE"/>
        </w:rPr>
        <w:softHyphen/>
        <w:t>steuergesetzbuches 1992 müssen geregelte Sekundärmärkte für Finanzinstrumente, die der Öffentlichkeit zugänglich sind oder nicht und der Aufsicht einer Aufsichtsbehörde unterliegen, die ordentliches Mitglied der "Internationalen Vereinigung der Wertpapier</w:t>
      </w:r>
      <w:r w:rsidRPr="00F531CC">
        <w:rPr>
          <w:rFonts w:eastAsia="Calibri"/>
          <w:szCs w:val="22"/>
          <w:lang w:eastAsia="de-DE" w:bidi="de-DE"/>
        </w:rPr>
        <w:softHyphen/>
        <w:t xml:space="preserve">aufsichtsbehörden" (IOSCO) ist, mit den in Artikel 2 Nr. 5 und 6 des Gesetzes vom 2. August 2002 über die Aufsicht über den Finanzsektor und die Finanzdienstleistungen erwähnten geregelten Märkten gleichgesetzt werden, wenn der </w:t>
      </w:r>
      <w:r w:rsidR="00CC25F8">
        <w:rPr>
          <w:rFonts w:eastAsia="Calibri"/>
          <w:szCs w:val="22"/>
          <w:lang w:eastAsia="de-DE" w:bidi="de-DE"/>
        </w:rPr>
        <w:t>[</w:t>
      </w:r>
      <w:r w:rsidR="00CC25F8" w:rsidRPr="00402AAD">
        <w:t>satzungsmäßige Sitz</w:t>
      </w:r>
      <w:r w:rsidR="00CC25F8">
        <w:rPr>
          <w:rFonts w:eastAsia="Calibri"/>
          <w:szCs w:val="22"/>
          <w:lang w:eastAsia="de-DE" w:bidi="de-DE"/>
        </w:rPr>
        <w:t>]</w:t>
      </w:r>
      <w:r w:rsidRPr="00F531CC">
        <w:rPr>
          <w:rFonts w:eastAsia="Calibri"/>
          <w:szCs w:val="22"/>
          <w:lang w:eastAsia="de-DE" w:bidi="de-DE"/>
        </w:rPr>
        <w:t xml:space="preserve"> des Marktunternehmens, das den </w:t>
      </w:r>
      <w:r w:rsidRPr="00F531CC">
        <w:rPr>
          <w:rFonts w:eastAsia="Calibri"/>
          <w:szCs w:val="22"/>
          <w:lang w:eastAsia="de-DE" w:bidi="de-DE"/>
        </w:rPr>
        <w:lastRenderedPageBreak/>
        <w:t>geregelten Sekundärmarkt organisiert, sich in einem nicht in Artikel 2 Nr. 6 des vorerwähnten Gesetzes vom 2. August 2002 erwähnten Staat befindet:</w:t>
      </w:r>
    </w:p>
    <w:p w14:paraId="05652759" w14:textId="77777777" w:rsidR="007D52CA" w:rsidRPr="00F531CC" w:rsidRDefault="007D52CA" w:rsidP="007D52CA">
      <w:pPr>
        <w:jc w:val="both"/>
        <w:rPr>
          <w:rFonts w:eastAsia="Calibri"/>
          <w:szCs w:val="22"/>
          <w:lang w:eastAsia="de-DE" w:bidi="de-DE"/>
        </w:rPr>
      </w:pPr>
    </w:p>
    <w:p w14:paraId="14A3421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der mit Belgien ein Abkommen zur Vermeidung der Doppelbesteuerung abgeschlossen hat</w:t>
      </w:r>
    </w:p>
    <w:p w14:paraId="562A83FB" w14:textId="77777777" w:rsidR="007D52CA" w:rsidRPr="00F531CC" w:rsidRDefault="007D52CA" w:rsidP="007D52CA">
      <w:pPr>
        <w:jc w:val="both"/>
        <w:rPr>
          <w:rFonts w:eastAsia="Calibri"/>
          <w:szCs w:val="22"/>
          <w:lang w:eastAsia="de-DE" w:bidi="de-DE"/>
        </w:rPr>
      </w:pPr>
    </w:p>
    <w:p w14:paraId="38160D0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oder dessen Aufsichtsbehörde der geregelten Märkte mit [der Autorität Finanzielle Dienste und Märkte] ein Zusammenarbeitsabkommen über die Aufsicht der Finanzmärkte abgeschlossen hat.]</w:t>
      </w:r>
    </w:p>
    <w:p w14:paraId="40FF6F88" w14:textId="77777777" w:rsidR="007D52CA" w:rsidRPr="00F531CC" w:rsidRDefault="007D52CA" w:rsidP="007D52CA">
      <w:pPr>
        <w:jc w:val="both"/>
        <w:rPr>
          <w:rFonts w:eastAsia="Calibri"/>
          <w:szCs w:val="22"/>
          <w:lang w:eastAsia="de-DE" w:bidi="de-DE"/>
        </w:rPr>
      </w:pPr>
    </w:p>
    <w:p w14:paraId="22669D02" w14:textId="2E469073" w:rsidR="007D52CA" w:rsidRPr="00F531CC" w:rsidRDefault="007D52CA" w:rsidP="007D52CA">
      <w:pPr>
        <w:jc w:val="both"/>
        <w:rPr>
          <w:rFonts w:eastAsia="Calibri"/>
          <w:i/>
          <w:szCs w:val="22"/>
          <w:lang w:eastAsia="de-DE" w:bidi="de-DE"/>
        </w:rPr>
      </w:pPr>
      <w:r w:rsidRPr="00F531CC">
        <w:rPr>
          <w:rFonts w:eastAsia="Calibri"/>
          <w:i/>
          <w:szCs w:val="22"/>
          <w:lang w:eastAsia="de-DE" w:bidi="de-DE"/>
        </w:rPr>
        <w:t xml:space="preserve">[Art. 101bis eingefügt durch Art. 1 Nr. 2 des K.E. vom 4. April 2003 (B.S. vom 18. April 2003); </w:t>
      </w:r>
      <w:r w:rsidR="00D83DA9">
        <w:rPr>
          <w:rFonts w:eastAsia="Calibri"/>
          <w:i/>
          <w:szCs w:val="22"/>
          <w:lang w:eastAsia="de-DE" w:bidi="de-DE"/>
        </w:rPr>
        <w:t>einziger Absatz einleitende Bestimmung abgeändert durch Art. 15 des K.E. vom 29. August 2019</w:t>
      </w:r>
      <w:r w:rsidR="00865C4C">
        <w:rPr>
          <w:rFonts w:eastAsia="Calibri"/>
          <w:i/>
          <w:szCs w:val="22"/>
          <w:lang w:eastAsia="de-DE" w:bidi="de-DE"/>
        </w:rPr>
        <w:t> (I)</w:t>
      </w:r>
      <w:r w:rsidR="00D83DA9">
        <w:rPr>
          <w:rFonts w:eastAsia="Calibri"/>
          <w:i/>
          <w:szCs w:val="22"/>
          <w:lang w:eastAsia="de-DE" w:bidi="de-DE"/>
        </w:rPr>
        <w:t xml:space="preserve"> (B.S. vom 13. September 2019); </w:t>
      </w:r>
      <w:r w:rsidRPr="00F531CC">
        <w:rPr>
          <w:rFonts w:eastAsia="Calibri"/>
          <w:i/>
          <w:szCs w:val="22"/>
          <w:lang w:eastAsia="de-DE" w:bidi="de-DE"/>
        </w:rPr>
        <w:t>einziger Absatz zweiter Gedankenstrich abgeändert durch Art. 1 des K.E. vom 1. September 2006 (II) (B.S. vom 15. September 2006) und Art. 331 Abs. 2 des K.E. vom 3. März 2011 (B.S. vom 9. März 2011)]</w:t>
      </w:r>
    </w:p>
    <w:p w14:paraId="55A21F15" w14:textId="77777777" w:rsidR="007D52CA" w:rsidRPr="00F531CC" w:rsidRDefault="007D52CA" w:rsidP="007D52CA">
      <w:pPr>
        <w:jc w:val="both"/>
        <w:rPr>
          <w:rFonts w:eastAsia="Calibri"/>
          <w:szCs w:val="22"/>
          <w:lang w:eastAsia="de-DE" w:bidi="de-DE"/>
        </w:rPr>
      </w:pPr>
    </w:p>
    <w:p w14:paraId="478F3BCD" w14:textId="77777777" w:rsidR="007D52CA" w:rsidRPr="00F531CC" w:rsidRDefault="007D52CA" w:rsidP="007D52CA">
      <w:pPr>
        <w:jc w:val="both"/>
        <w:rPr>
          <w:rFonts w:eastAsia="Calibri"/>
          <w:szCs w:val="22"/>
          <w:lang w:eastAsia="de-DE" w:bidi="de-DE"/>
        </w:rPr>
      </w:pPr>
    </w:p>
    <w:p w14:paraId="5CF5F2C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r w:rsidRPr="00F531CC">
        <w:rPr>
          <w:rFonts w:eastAsia="Calibri"/>
          <w:b/>
          <w:szCs w:val="22"/>
          <w:lang w:eastAsia="de-DE" w:bidi="de-DE"/>
        </w:rPr>
        <w:t>Art. 101</w:t>
      </w:r>
      <w:r w:rsidRPr="00F531CC">
        <w:rPr>
          <w:rFonts w:eastAsia="Calibri"/>
          <w:b/>
          <w:i/>
          <w:szCs w:val="22"/>
          <w:lang w:eastAsia="de-DE" w:bidi="de-DE"/>
        </w:rPr>
        <w:t>ter</w:t>
      </w:r>
      <w:r w:rsidRPr="00F531CC">
        <w:rPr>
          <w:rFonts w:eastAsia="Calibri"/>
          <w:b/>
          <w:szCs w:val="22"/>
          <w:lang w:eastAsia="de-DE" w:bidi="de-DE"/>
        </w:rPr>
        <w:t> -</w:t>
      </w:r>
      <w:r w:rsidRPr="00F531CC">
        <w:rPr>
          <w:rFonts w:eastAsia="Calibri"/>
          <w:szCs w:val="22"/>
          <w:lang w:eastAsia="de-DE" w:bidi="de-DE"/>
        </w:rPr>
        <w:t xml:space="preserve"> Im Hinblick auf die Anwendung von Artikel 101</w:t>
      </w:r>
      <w:r w:rsidRPr="00F531CC">
        <w:rPr>
          <w:rFonts w:eastAsia="Calibri"/>
          <w:i/>
          <w:szCs w:val="22"/>
          <w:lang w:eastAsia="de-DE" w:bidi="de-DE"/>
        </w:rPr>
        <w:t>bis</w:t>
      </w:r>
      <w:r w:rsidRPr="00F531CC">
        <w:rPr>
          <w:rFonts w:eastAsia="Calibri"/>
          <w:szCs w:val="22"/>
          <w:lang w:eastAsia="de-DE" w:bidi="de-DE"/>
        </w:rPr>
        <w:t xml:space="preserve"> erstellt der Föderale Öffentliche Dienst Finanzen jedes Jahr eine Liste der Länder, mit denen Belgien ein Abkommen zur Vermeidung der Doppelbesteuerung abgeschlossen hat, und auf Vorschlag [der Autorität Finanzielle Dienste und Märkte] eine Liste der Aufsichtsbehörden, die ordentliche Mitglieder der IOSCO sind, und eine Liste der Aufsichtsbehörden, mit denen [die Autorität Finanzielle Dienste und Märkte] ein Abkommen über die Aufsicht über die Finanzmärkte abgeschlossen hat.</w:t>
      </w:r>
    </w:p>
    <w:p w14:paraId="626F84D2" w14:textId="77777777" w:rsidR="007D52CA" w:rsidRPr="00F531CC" w:rsidRDefault="007D52CA" w:rsidP="007D52CA">
      <w:pPr>
        <w:jc w:val="both"/>
        <w:rPr>
          <w:rFonts w:eastAsia="Calibri"/>
          <w:szCs w:val="22"/>
          <w:lang w:eastAsia="de-DE" w:bidi="de-DE"/>
        </w:rPr>
      </w:pPr>
    </w:p>
    <w:p w14:paraId="6B4765E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Diese Listen und Änderungen der Listen im Laufe des Jahres werden im </w:t>
      </w:r>
      <w:r w:rsidRPr="00F531CC">
        <w:rPr>
          <w:rFonts w:eastAsia="Calibri"/>
          <w:i/>
          <w:szCs w:val="22"/>
          <w:lang w:eastAsia="de-DE" w:bidi="de-DE"/>
        </w:rPr>
        <w:t>Belgischen Staatsblatt</w:t>
      </w:r>
      <w:r w:rsidRPr="00F531CC">
        <w:rPr>
          <w:rFonts w:eastAsia="Calibri"/>
          <w:szCs w:val="22"/>
          <w:lang w:eastAsia="de-DE" w:bidi="de-DE"/>
        </w:rPr>
        <w:t xml:space="preserve"> veröffentlicht.]</w:t>
      </w:r>
    </w:p>
    <w:p w14:paraId="2D1CFAD4" w14:textId="77777777" w:rsidR="007D52CA" w:rsidRPr="00F531CC" w:rsidRDefault="007D52CA" w:rsidP="007D52CA">
      <w:pPr>
        <w:jc w:val="both"/>
        <w:rPr>
          <w:rFonts w:eastAsia="Calibri"/>
          <w:szCs w:val="22"/>
          <w:lang w:eastAsia="de-DE" w:bidi="de-DE"/>
        </w:rPr>
      </w:pPr>
    </w:p>
    <w:p w14:paraId="4BCF5B93"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101ter eingefügt durch Art. 1 Nr. 3 des K.E. vom 4. April 2003 (B.S. vom 18. April 2003); Abs. 1 abgeändert durch Art. 1 des K.E. vom 1. September 2006 (II) (B.S. vom 15. September 2006) und Art. 331 Abs. 2 des K.E. vom 3. März 2011 (B.S. vom 9. März 2011)]</w:t>
      </w:r>
    </w:p>
    <w:p w14:paraId="6CF8F7F5" w14:textId="77777777" w:rsidR="007D52CA" w:rsidRPr="00F531CC" w:rsidRDefault="007D52CA" w:rsidP="007D52CA">
      <w:pPr>
        <w:jc w:val="both"/>
        <w:rPr>
          <w:rFonts w:eastAsia="Calibri"/>
          <w:szCs w:val="22"/>
          <w:lang w:eastAsia="de-DE" w:bidi="de-DE"/>
        </w:rPr>
      </w:pPr>
    </w:p>
    <w:p w14:paraId="264D5EE0" w14:textId="77777777" w:rsidR="007D52CA" w:rsidRPr="00F531CC" w:rsidRDefault="007D52CA" w:rsidP="007D52CA">
      <w:pPr>
        <w:jc w:val="both"/>
        <w:rPr>
          <w:rFonts w:eastAsia="Calibri"/>
          <w:szCs w:val="22"/>
          <w:lang w:eastAsia="de-DE" w:bidi="de-DE"/>
        </w:rPr>
      </w:pPr>
    </w:p>
    <w:p w14:paraId="013D8E5F" w14:textId="5F9BCA75"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102 -</w:t>
      </w:r>
      <w:r w:rsidRPr="00F531CC">
        <w:rPr>
          <w:rFonts w:eastAsia="Calibri"/>
          <w:szCs w:val="22"/>
          <w:lang w:eastAsia="de-DE" w:bidi="de-DE"/>
        </w:rPr>
        <w:t xml:space="preserve"> Für die Anwendung von Artikel 264 Absatz 1 Nr. 3 des Einkommensteuer</w:t>
      </w:r>
      <w:r w:rsidRPr="00F531CC">
        <w:rPr>
          <w:rFonts w:eastAsia="Calibri"/>
          <w:szCs w:val="22"/>
          <w:lang w:eastAsia="de-DE" w:bidi="de-DE"/>
        </w:rPr>
        <w:softHyphen/>
        <w:t xml:space="preserve">gesetzbuches 1992 wird die Gesamtheit der gemäß </w:t>
      </w:r>
      <w:r w:rsidR="00084E50">
        <w:rPr>
          <w:rFonts w:eastAsia="Calibri"/>
          <w:szCs w:val="22"/>
          <w:lang w:eastAsia="de-DE" w:bidi="de-DE"/>
        </w:rPr>
        <w:t>[</w:t>
      </w:r>
      <w:r w:rsidRPr="00F531CC">
        <w:rPr>
          <w:rFonts w:eastAsia="Calibri"/>
          <w:szCs w:val="22"/>
          <w:lang w:eastAsia="de-DE" w:bidi="de-DE"/>
        </w:rPr>
        <w:t>Artikel </w:t>
      </w:r>
      <w:r w:rsidR="00084E50" w:rsidRPr="00A115C4">
        <w:t>206/1 desselben Gesetzbuches</w:t>
      </w:r>
      <w:r w:rsidR="00084E50">
        <w:rPr>
          <w:rFonts w:eastAsia="Calibri"/>
          <w:szCs w:val="22"/>
          <w:lang w:eastAsia="de-DE" w:bidi="de-DE"/>
        </w:rPr>
        <w:t>]</w:t>
      </w:r>
      <w:r w:rsidRPr="00F531CC">
        <w:rPr>
          <w:rFonts w:eastAsia="Calibri"/>
          <w:szCs w:val="22"/>
          <w:lang w:eastAsia="de-DE" w:bidi="de-DE"/>
        </w:rPr>
        <w:t xml:space="preserve"> bestimmten Rücklagen und Gewinne, die unter den vor dem Gesetz vom 20. November 1962 zur Reform der Einkommensteuern bestehenden Rechtsvorschriften zurückgelegt worden sind, in folgende Kategorien aufgeschlüsselt:</w:t>
      </w:r>
    </w:p>
    <w:p w14:paraId="318B8191" w14:textId="77777777" w:rsidR="007D52CA" w:rsidRPr="00F531CC" w:rsidRDefault="007D52CA" w:rsidP="007D52CA">
      <w:pPr>
        <w:jc w:val="both"/>
        <w:rPr>
          <w:rFonts w:eastAsia="Calibri"/>
          <w:szCs w:val="22"/>
          <w:lang w:eastAsia="de-DE" w:bidi="de-DE"/>
        </w:rPr>
      </w:pPr>
    </w:p>
    <w:p w14:paraId="4FF6743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Rücklagen, die den vorher zu Lasten der Gesellschafter besteuerten Gewinnen entsprechen,</w:t>
      </w:r>
    </w:p>
    <w:p w14:paraId="3CD52D79" w14:textId="77777777" w:rsidR="007D52CA" w:rsidRPr="00F531CC" w:rsidRDefault="007D52CA" w:rsidP="007D52CA">
      <w:pPr>
        <w:jc w:val="both"/>
        <w:rPr>
          <w:rFonts w:eastAsia="Calibri"/>
          <w:szCs w:val="22"/>
          <w:lang w:eastAsia="de-DE" w:bidi="de-DE"/>
        </w:rPr>
      </w:pPr>
    </w:p>
    <w:p w14:paraId="593E41B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2. Rücklagen, die den Beträgen entsprechen, die gemäß Artikel 202 des Einkommensteuergesetzbuches 1992 oder gemäß Artikel 52 § 1 Absatz 1 der am 15. Januar 1948 koordinierten Gesetze über die Einkommensteuern von den Gewinnrücklagen, die während der Steuerjahre 1973 und vorhergehende steuerpflichtig waren, abgezogen wurden,</w:t>
      </w:r>
    </w:p>
    <w:p w14:paraId="446AE8C2" w14:textId="77777777" w:rsidR="007D52CA" w:rsidRPr="00F531CC" w:rsidRDefault="007D52CA" w:rsidP="007D52CA">
      <w:pPr>
        <w:jc w:val="both"/>
        <w:rPr>
          <w:rFonts w:eastAsia="Calibri"/>
          <w:szCs w:val="22"/>
          <w:lang w:eastAsia="de-DE" w:bidi="de-DE"/>
        </w:rPr>
      </w:pPr>
    </w:p>
    <w:p w14:paraId="7DB0CC8D" w14:textId="77777777" w:rsidR="00137616" w:rsidRDefault="00137616">
      <w:pPr>
        <w:rPr>
          <w:rFonts w:eastAsia="Calibri"/>
          <w:szCs w:val="22"/>
          <w:lang w:eastAsia="de-DE" w:bidi="de-DE"/>
        </w:rPr>
      </w:pPr>
      <w:r>
        <w:rPr>
          <w:rFonts w:eastAsia="Calibri"/>
          <w:szCs w:val="22"/>
          <w:lang w:eastAsia="de-DE" w:bidi="de-DE"/>
        </w:rPr>
        <w:br w:type="page"/>
      </w:r>
    </w:p>
    <w:p w14:paraId="547042ED" w14:textId="7B296266" w:rsidR="007D52CA" w:rsidRDefault="007D52CA" w:rsidP="007D52CA">
      <w:pPr>
        <w:jc w:val="both"/>
        <w:rPr>
          <w:rFonts w:eastAsia="Calibri"/>
          <w:szCs w:val="22"/>
          <w:lang w:eastAsia="de-DE" w:bidi="de-DE"/>
        </w:rPr>
      </w:pPr>
      <w:r w:rsidRPr="00F531CC">
        <w:rPr>
          <w:rFonts w:eastAsia="Calibri"/>
          <w:szCs w:val="22"/>
          <w:lang w:eastAsia="de-DE" w:bidi="de-DE"/>
        </w:rPr>
        <w:lastRenderedPageBreak/>
        <w:tab/>
        <w:t>3. Rücklagen, die anderen Gesellschaftsgewinnen entsprechen.</w:t>
      </w:r>
    </w:p>
    <w:p w14:paraId="06D98445" w14:textId="77777777" w:rsidR="00084E50" w:rsidRDefault="00084E50" w:rsidP="007D52CA">
      <w:pPr>
        <w:jc w:val="both"/>
        <w:rPr>
          <w:rFonts w:eastAsia="Calibri"/>
          <w:szCs w:val="22"/>
          <w:lang w:eastAsia="de-DE" w:bidi="de-DE"/>
        </w:rPr>
      </w:pPr>
    </w:p>
    <w:p w14:paraId="51BD2638" w14:textId="4D83FEB7" w:rsidR="00084E50" w:rsidRPr="00084E50" w:rsidRDefault="00084E50" w:rsidP="007D52CA">
      <w:pPr>
        <w:jc w:val="both"/>
        <w:rPr>
          <w:rFonts w:eastAsia="Calibri"/>
          <w:i/>
          <w:iCs/>
          <w:szCs w:val="22"/>
          <w:lang w:eastAsia="de-DE" w:bidi="de-DE"/>
        </w:rPr>
      </w:pPr>
      <w:r>
        <w:rPr>
          <w:rFonts w:eastAsia="Calibri"/>
          <w:i/>
          <w:iCs/>
          <w:szCs w:val="22"/>
          <w:lang w:eastAsia="de-DE" w:bidi="de-DE"/>
        </w:rPr>
        <w:t>[Art. 102 einziger Absatz einleitende Bestimmung abgeändert durch Art. 8</w:t>
      </w:r>
      <w:r w:rsidRPr="00084E50">
        <w:rPr>
          <w:rFonts w:eastAsia="Calibri"/>
          <w:i/>
          <w:iCs/>
          <w:szCs w:val="22"/>
          <w:lang w:eastAsia="de-DE" w:bidi="de-DE"/>
        </w:rPr>
        <w:t xml:space="preserve"> des K.E. vom 17. Juli 2023 (II) (B.S. vom 26. Juli 2023)</w:t>
      </w:r>
      <w:r>
        <w:rPr>
          <w:rFonts w:eastAsia="Calibri"/>
          <w:i/>
          <w:iCs/>
          <w:szCs w:val="22"/>
          <w:lang w:eastAsia="de-DE" w:bidi="de-DE"/>
        </w:rPr>
        <w:t>]</w:t>
      </w:r>
    </w:p>
    <w:p w14:paraId="71C45FE0" w14:textId="77777777" w:rsidR="007D52CA" w:rsidRDefault="007D52CA" w:rsidP="007D52CA">
      <w:pPr>
        <w:jc w:val="both"/>
        <w:rPr>
          <w:rFonts w:eastAsia="Calibri"/>
          <w:szCs w:val="22"/>
          <w:lang w:eastAsia="de-DE" w:bidi="de-DE"/>
        </w:rPr>
      </w:pPr>
    </w:p>
    <w:p w14:paraId="159F1627" w14:textId="77777777" w:rsidR="007D52CA" w:rsidRPr="00F531CC" w:rsidRDefault="007D52CA" w:rsidP="007D52CA">
      <w:pPr>
        <w:jc w:val="both"/>
        <w:rPr>
          <w:rFonts w:eastAsia="Calibri"/>
          <w:szCs w:val="22"/>
          <w:lang w:eastAsia="de-DE" w:bidi="de-DE"/>
        </w:rPr>
      </w:pPr>
    </w:p>
    <w:p w14:paraId="1321A0B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103 -</w:t>
      </w:r>
      <w:r w:rsidRPr="00F531CC">
        <w:rPr>
          <w:rFonts w:eastAsia="Calibri"/>
          <w:szCs w:val="22"/>
          <w:lang w:eastAsia="de-DE" w:bidi="de-DE"/>
        </w:rPr>
        <w:t xml:space="preserve"> Wird am Ende des Besteuerungszeitraums eine Verringerung der gesamten Rücklagen festgestellt, ist die entsprechende Entnahme nacheinander zuerst auf die in Artikel 102 Nr. 2 erwähnten Rücklagen, dann, falls diese Rücklagen unzureichend sind, auf die in Nr. 3 des vorerwähnten Artikels erwähnten Rücklagen und schließlich auf die in Nr. 1 erwähnten Rücklagen anzurechnen.</w:t>
      </w:r>
    </w:p>
    <w:p w14:paraId="0C1FA8C9" w14:textId="77777777" w:rsidR="007D52CA" w:rsidRPr="00F531CC" w:rsidRDefault="007D52CA" w:rsidP="007D52CA">
      <w:pPr>
        <w:jc w:val="both"/>
        <w:rPr>
          <w:rFonts w:eastAsia="Calibri"/>
          <w:szCs w:val="22"/>
          <w:lang w:eastAsia="de-DE" w:bidi="de-DE"/>
        </w:rPr>
      </w:pPr>
    </w:p>
    <w:p w14:paraId="359AD6C0" w14:textId="77777777" w:rsidR="007D52CA" w:rsidRPr="00F531CC" w:rsidRDefault="007D52CA" w:rsidP="007D52CA">
      <w:pPr>
        <w:jc w:val="both"/>
        <w:rPr>
          <w:rFonts w:eastAsia="Calibri"/>
          <w:szCs w:val="22"/>
          <w:lang w:eastAsia="de-DE" w:bidi="de-DE"/>
        </w:rPr>
      </w:pPr>
    </w:p>
    <w:p w14:paraId="102D524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104 -</w:t>
      </w:r>
      <w:r w:rsidRPr="00F531CC">
        <w:rPr>
          <w:rFonts w:eastAsia="Calibri"/>
          <w:szCs w:val="22"/>
          <w:lang w:eastAsia="de-DE" w:bidi="de-DE"/>
        </w:rPr>
        <w:t xml:space="preserve"> Bei den in Artikel 103 erwähnten Entnahmen gilt, dass sie in der in vorerwähntem Artikel angegebenen Reihenfolge verwendet wurden:</w:t>
      </w:r>
    </w:p>
    <w:p w14:paraId="35BA2F0E" w14:textId="77777777" w:rsidR="007D52CA" w:rsidRPr="00F531CC" w:rsidRDefault="007D52CA" w:rsidP="007D52CA">
      <w:pPr>
        <w:jc w:val="both"/>
        <w:rPr>
          <w:rFonts w:eastAsia="Calibri"/>
          <w:szCs w:val="22"/>
          <w:lang w:eastAsia="de-DE" w:bidi="de-DE"/>
        </w:rPr>
      </w:pPr>
    </w:p>
    <w:p w14:paraId="42AC0DF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für die Ausschüttung von Dividenden,</w:t>
      </w:r>
    </w:p>
    <w:p w14:paraId="5D9FB8EE" w14:textId="77777777" w:rsidR="007D52CA" w:rsidRPr="00F531CC" w:rsidRDefault="007D52CA" w:rsidP="007D52CA">
      <w:pPr>
        <w:jc w:val="both"/>
        <w:rPr>
          <w:rFonts w:eastAsia="Calibri"/>
          <w:szCs w:val="22"/>
          <w:lang w:eastAsia="de-DE" w:bidi="de-DE"/>
        </w:rPr>
      </w:pPr>
    </w:p>
    <w:p w14:paraId="53866F4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2. zu anderen Zwecken.</w:t>
      </w:r>
    </w:p>
    <w:p w14:paraId="7785C129" w14:textId="794F3FF2" w:rsidR="00C735CE" w:rsidRDefault="00C735CE">
      <w:pPr>
        <w:rPr>
          <w:rFonts w:eastAsia="Calibri"/>
          <w:szCs w:val="22"/>
          <w:lang w:eastAsia="de-DE" w:bidi="de-DE"/>
        </w:rPr>
      </w:pPr>
    </w:p>
    <w:p w14:paraId="0AD95D88" w14:textId="77777777" w:rsidR="002B4633" w:rsidRDefault="002B4633">
      <w:pPr>
        <w:rPr>
          <w:rFonts w:eastAsia="Calibri"/>
          <w:szCs w:val="22"/>
          <w:lang w:eastAsia="de-DE" w:bidi="de-DE"/>
        </w:rPr>
      </w:pPr>
    </w:p>
    <w:p w14:paraId="61CB7467" w14:textId="5D53EBB1" w:rsidR="007D52CA" w:rsidRPr="00F531CC" w:rsidRDefault="007D52CA" w:rsidP="007D52CA">
      <w:pPr>
        <w:jc w:val="center"/>
        <w:rPr>
          <w:rFonts w:eastAsia="Calibri"/>
          <w:szCs w:val="22"/>
          <w:lang w:eastAsia="de-DE" w:bidi="de-DE"/>
        </w:rPr>
      </w:pPr>
      <w:r w:rsidRPr="00F531CC">
        <w:rPr>
          <w:rFonts w:eastAsia="Calibri"/>
          <w:szCs w:val="22"/>
          <w:lang w:eastAsia="de-DE" w:bidi="de-DE"/>
        </w:rPr>
        <w:t>Unterabschnitt 3 - Gesamt- oder Teilverzicht auf die Einnahme des Mobiliensteuervorabzugs</w:t>
      </w:r>
    </w:p>
    <w:p w14:paraId="553D7CFE" w14:textId="77777777" w:rsidR="007D52CA" w:rsidRPr="00F531CC" w:rsidRDefault="007D52CA" w:rsidP="007D52CA">
      <w:pPr>
        <w:jc w:val="center"/>
        <w:rPr>
          <w:rFonts w:eastAsia="Calibri"/>
          <w:szCs w:val="22"/>
          <w:lang w:eastAsia="de-DE" w:bidi="de-DE"/>
        </w:rPr>
      </w:pPr>
    </w:p>
    <w:p w14:paraId="32F0F37E" w14:textId="77777777" w:rsidR="007D52CA" w:rsidRPr="00F531CC" w:rsidRDefault="007D52CA" w:rsidP="007D52CA">
      <w:pPr>
        <w:jc w:val="center"/>
        <w:rPr>
          <w:rFonts w:eastAsia="Calibri"/>
          <w:szCs w:val="22"/>
          <w:lang w:eastAsia="de-DE" w:bidi="de-DE"/>
        </w:rPr>
      </w:pPr>
      <w:r w:rsidRPr="00F531CC">
        <w:rPr>
          <w:rFonts w:eastAsia="Calibri"/>
          <w:szCs w:val="22"/>
          <w:lang w:eastAsia="de-DE" w:bidi="de-DE"/>
        </w:rPr>
        <w:t>(Einkommensteuergesetzbuch 1992, Artikel 266)</w:t>
      </w:r>
    </w:p>
    <w:p w14:paraId="60B9ECBB" w14:textId="77777777" w:rsidR="007D52CA" w:rsidRPr="00F531CC" w:rsidRDefault="007D52CA" w:rsidP="007D52CA">
      <w:pPr>
        <w:jc w:val="both"/>
        <w:rPr>
          <w:rFonts w:eastAsia="Calibri"/>
          <w:szCs w:val="22"/>
          <w:lang w:eastAsia="de-DE" w:bidi="de-DE"/>
        </w:rPr>
      </w:pPr>
    </w:p>
    <w:p w14:paraId="57BBB878" w14:textId="77777777" w:rsidR="007D52CA" w:rsidRPr="00F531CC" w:rsidRDefault="007D52CA" w:rsidP="007D52CA">
      <w:pPr>
        <w:jc w:val="both"/>
        <w:rPr>
          <w:rFonts w:eastAsia="Calibri"/>
          <w:szCs w:val="22"/>
          <w:lang w:eastAsia="de-DE" w:bidi="de-DE"/>
        </w:rPr>
      </w:pPr>
    </w:p>
    <w:p w14:paraId="57A0BB1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105 -</w:t>
      </w:r>
      <w:r w:rsidRPr="00F531CC">
        <w:rPr>
          <w:rFonts w:eastAsia="Calibri"/>
          <w:szCs w:val="22"/>
          <w:lang w:eastAsia="de-DE" w:bidi="de-DE"/>
        </w:rPr>
        <w:t xml:space="preserve"> Für die Anwendung der Artikel 106 bis 119 versteht man unter:</w:t>
      </w:r>
    </w:p>
    <w:p w14:paraId="4C357575" w14:textId="77777777" w:rsidR="007D52CA" w:rsidRPr="00F531CC" w:rsidRDefault="007D52CA" w:rsidP="007D52CA">
      <w:pPr>
        <w:jc w:val="both"/>
        <w:rPr>
          <w:rFonts w:eastAsia="Calibri"/>
          <w:szCs w:val="22"/>
          <w:lang w:eastAsia="de-DE" w:bidi="de-DE"/>
        </w:rPr>
      </w:pPr>
    </w:p>
    <w:p w14:paraId="39E7F42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"Finanzinstituten oder damit gleichgesetzten Unternehmen, mit Ausnahme derjenigen, die vor dem 1. Januar 1990 in Liquidation gesetzt worden sind":</w:t>
      </w:r>
    </w:p>
    <w:p w14:paraId="128D5BAD" w14:textId="77777777" w:rsidR="007D52CA" w:rsidRPr="00F531CC" w:rsidRDefault="007D52CA" w:rsidP="007D52CA">
      <w:pPr>
        <w:jc w:val="both"/>
        <w:rPr>
          <w:rFonts w:eastAsia="Calibri"/>
          <w:szCs w:val="22"/>
          <w:lang w:eastAsia="de-DE" w:bidi="de-DE"/>
        </w:rPr>
      </w:pPr>
    </w:p>
    <w:p w14:paraId="5402AC7A" w14:textId="1FA14D05"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xml:space="preserve"> [in Belgien ansässige, </w:t>
      </w:r>
      <w:r w:rsidR="00484A14">
        <w:rPr>
          <w:rFonts w:eastAsia="Calibri"/>
          <w:szCs w:val="22"/>
          <w:lang w:eastAsia="de-DE" w:bidi="de-DE"/>
        </w:rPr>
        <w:t>[</w:t>
      </w:r>
      <w:r w:rsidR="00484A14" w:rsidRPr="00075DB8">
        <w:t>im Gesetz vom 25. April 2014 über den Status und die Kontrolle der Kreditinstitute und der Börsengesellschaften</w:t>
      </w:r>
      <w:r w:rsidR="00484A14">
        <w:rPr>
          <w:rFonts w:eastAsia="Calibri"/>
          <w:szCs w:val="22"/>
          <w:lang w:eastAsia="de-DE" w:bidi="de-DE"/>
        </w:rPr>
        <w:t>]</w:t>
      </w:r>
      <w:r w:rsidRPr="00F531CC">
        <w:rPr>
          <w:rFonts w:eastAsia="Calibri"/>
          <w:szCs w:val="22"/>
          <w:lang w:eastAsia="de-DE" w:bidi="de-DE"/>
        </w:rPr>
        <w:t xml:space="preserve"> erwähnte Kreditinstitute und die Belgische Nationalbank,]</w:t>
      </w:r>
    </w:p>
    <w:p w14:paraId="3F33696B" w14:textId="5783C49B" w:rsidR="006142D2" w:rsidRDefault="006142D2">
      <w:pPr>
        <w:rPr>
          <w:rFonts w:eastAsia="Calibri"/>
          <w:szCs w:val="22"/>
          <w:lang w:eastAsia="de-DE" w:bidi="de-DE"/>
        </w:rPr>
      </w:pPr>
    </w:p>
    <w:p w14:paraId="56D9C432" w14:textId="67C412C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[Unternehmen, unter der Bedingung, dass:</w:t>
      </w:r>
    </w:p>
    <w:p w14:paraId="7B489883" w14:textId="77777777" w:rsidR="007D52CA" w:rsidRPr="00F531CC" w:rsidRDefault="007D52CA" w:rsidP="007D52CA">
      <w:pPr>
        <w:jc w:val="both"/>
        <w:rPr>
          <w:rFonts w:eastAsia="Calibri"/>
          <w:szCs w:val="22"/>
          <w:lang w:eastAsia="de-DE" w:bidi="de-DE"/>
        </w:rPr>
      </w:pPr>
    </w:p>
    <w:p w14:paraId="2B0FDE7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sie eine inländische Gesellschaft oder eine belgische Niederlassung einer ausländischen Gesellschaft sind,</w:t>
      </w:r>
    </w:p>
    <w:p w14:paraId="1AD54A7A" w14:textId="77777777" w:rsidR="007D52CA" w:rsidRPr="00F531CC" w:rsidRDefault="007D52CA" w:rsidP="007D52CA">
      <w:pPr>
        <w:jc w:val="both"/>
        <w:rPr>
          <w:rFonts w:eastAsia="Calibri"/>
          <w:szCs w:val="22"/>
          <w:lang w:eastAsia="de-DE" w:bidi="de-DE"/>
        </w:rPr>
      </w:pPr>
    </w:p>
    <w:p w14:paraId="0396F15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sie für den Besteuerungszeitraum vor der Zuerkennung oder Ausschüttung der Einkünfte Aktien oder Anteile hielten, die die Beschaffenheit von Finanzanlagen haben, deren Investitionswert beim Geschäftsjahresabschluss in Bezug auf diesen Besteuerungszeitraum durchschnittlich mindestens 50 Prozent der Bilanzsumme darstellte,</w:t>
      </w:r>
    </w:p>
    <w:p w14:paraId="50B5EB07" w14:textId="77777777" w:rsidR="007D52CA" w:rsidRPr="00F531CC" w:rsidRDefault="007D52CA" w:rsidP="007D52CA">
      <w:pPr>
        <w:jc w:val="both"/>
        <w:rPr>
          <w:rFonts w:eastAsia="Calibri"/>
          <w:szCs w:val="22"/>
          <w:lang w:eastAsia="de-DE" w:bidi="de-DE"/>
        </w:rPr>
      </w:pPr>
    </w:p>
    <w:p w14:paraId="6E06438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und ihre Aktien an einem in Artikel 264 Absatz 1 Nr. 2</w:t>
      </w:r>
      <w:r w:rsidRPr="00F531CC">
        <w:rPr>
          <w:rFonts w:eastAsia="Calibri"/>
          <w:i/>
          <w:szCs w:val="22"/>
          <w:lang w:eastAsia="de-DE" w:bidi="de-DE"/>
        </w:rPr>
        <w:t>bis</w:t>
      </w:r>
      <w:r w:rsidRPr="00F531CC">
        <w:rPr>
          <w:rFonts w:eastAsia="Calibri"/>
          <w:szCs w:val="22"/>
          <w:lang w:eastAsia="de-DE" w:bidi="de-DE"/>
        </w:rPr>
        <w:t xml:space="preserve"> des Einkommensteuer</w:t>
      </w:r>
      <w:r w:rsidRPr="00F531CC">
        <w:rPr>
          <w:rFonts w:eastAsia="Calibri"/>
          <w:szCs w:val="22"/>
          <w:lang w:eastAsia="de-DE" w:bidi="de-DE"/>
        </w:rPr>
        <w:softHyphen/>
        <w:t xml:space="preserve">gesetzbuches 1992 erwähnten geregelten Markt notiert sind oder in Höhe von mindestens 50 Prozent direkt oder indirekt von einer Gesellschaft gehalten werden, die der Gesellschaftssteuer oder einer ausländischen Steuer gleicher Art unterliegt, zu deren Gunsten </w:t>
      </w:r>
      <w:r w:rsidRPr="00F531CC">
        <w:rPr>
          <w:rFonts w:eastAsia="Calibri"/>
          <w:szCs w:val="22"/>
          <w:lang w:eastAsia="de-DE" w:bidi="de-DE"/>
        </w:rPr>
        <w:lastRenderedPageBreak/>
        <w:t>kein vom allgemeinen Recht abweichendes oder kein erheblich vorteilhafteres Besteuerungs</w:t>
      </w:r>
      <w:r w:rsidRPr="00F531CC">
        <w:rPr>
          <w:rFonts w:eastAsia="Calibri"/>
          <w:szCs w:val="22"/>
          <w:lang w:eastAsia="de-DE" w:bidi="de-DE"/>
        </w:rPr>
        <w:softHyphen/>
        <w:t>system angewandt wird als die belgische Gesellschaftssteuer und deren Aktien an einem im selben Artikel erwähnten geregelten Markt notiert sind.] [Für die Anwendung dieser Bedingung gelten die Bestimmungen des allgemeinen Rechts in Bezug auf Steuern, die auf die in einem Mitgliedstaat des Europäischen Wirtschaftsraums ansässigen Gesellschaften anwendbar sind, nicht als erheblich vorteilhafter als in Belgien,]</w:t>
      </w:r>
    </w:p>
    <w:p w14:paraId="0158B583" w14:textId="77777777" w:rsidR="007D52CA" w:rsidRPr="00F531CC" w:rsidRDefault="007D52CA" w:rsidP="007D52CA">
      <w:pPr>
        <w:rPr>
          <w:rFonts w:eastAsia="Calibri"/>
          <w:szCs w:val="22"/>
          <w:lang w:eastAsia="de-DE" w:bidi="de-DE"/>
        </w:rPr>
      </w:pPr>
    </w:p>
    <w:p w14:paraId="433809A1" w14:textId="4FE5EA05"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[Finanzunternehmen, unter der Bedingung, dass:</w:t>
      </w:r>
    </w:p>
    <w:p w14:paraId="57D63151" w14:textId="77777777" w:rsidR="007D52CA" w:rsidRPr="00F531CC" w:rsidRDefault="007D52CA" w:rsidP="007D52CA">
      <w:pPr>
        <w:jc w:val="both"/>
        <w:rPr>
          <w:rFonts w:eastAsia="Calibri"/>
          <w:szCs w:val="22"/>
          <w:lang w:eastAsia="de-DE" w:bidi="de-DE"/>
        </w:rPr>
      </w:pPr>
    </w:p>
    <w:p w14:paraId="4F2ECED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sie eine inländische Gesellschaft oder eine belgische Niederlassung einer ausländischen Gesellschaft sind,</w:t>
      </w:r>
    </w:p>
    <w:p w14:paraId="51C1BC7C" w14:textId="77777777" w:rsidR="007D52CA" w:rsidRPr="00F531CC" w:rsidRDefault="007D52CA" w:rsidP="007D52CA">
      <w:pPr>
        <w:jc w:val="both"/>
        <w:rPr>
          <w:rFonts w:eastAsia="Calibri"/>
          <w:szCs w:val="22"/>
          <w:lang w:eastAsia="de-DE" w:bidi="de-DE"/>
        </w:rPr>
      </w:pPr>
    </w:p>
    <w:p w14:paraId="1068CB99" w14:textId="08DDB1C5"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sie einer Gruppe verbundener oder assoziierter Gesellschaften im Sinne von </w:t>
      </w:r>
      <w:r w:rsidR="00CC25F8">
        <w:rPr>
          <w:rFonts w:eastAsia="Calibri"/>
          <w:szCs w:val="22"/>
          <w:lang w:eastAsia="de-DE" w:bidi="de-DE"/>
        </w:rPr>
        <w:t>[</w:t>
      </w:r>
      <w:r w:rsidR="00CC25F8" w:rsidRPr="00402AAD">
        <w:t>Artikel 1:20 bezie</w:t>
      </w:r>
      <w:r w:rsidR="00CC25F8" w:rsidRPr="00402AAD">
        <w:softHyphen/>
        <w:t>hungsweise 1:21 des Gesetzbuches der Gesellschaften und Vereinigungen</w:t>
      </w:r>
      <w:r w:rsidR="00CC25F8">
        <w:rPr>
          <w:rFonts w:eastAsia="Calibri"/>
          <w:szCs w:val="22"/>
          <w:lang w:eastAsia="de-DE" w:bidi="de-DE"/>
        </w:rPr>
        <w:t>]</w:t>
      </w:r>
      <w:r w:rsidRPr="00F531CC">
        <w:rPr>
          <w:rFonts w:eastAsia="Calibri"/>
          <w:szCs w:val="22"/>
          <w:lang w:eastAsia="de-DE" w:bidi="de-DE"/>
        </w:rPr>
        <w:t xml:space="preserve"> angehören,</w:t>
      </w:r>
    </w:p>
    <w:p w14:paraId="1F576B4D" w14:textId="77777777" w:rsidR="007D52CA" w:rsidRPr="00F531CC" w:rsidRDefault="007D52CA" w:rsidP="007D52CA">
      <w:pPr>
        <w:jc w:val="both"/>
        <w:rPr>
          <w:rFonts w:eastAsia="Calibri"/>
          <w:szCs w:val="22"/>
          <w:lang w:eastAsia="de-DE" w:bidi="de-DE"/>
        </w:rPr>
      </w:pPr>
    </w:p>
    <w:p w14:paraId="77BC1DB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sie ihre Tätigkeiten ausschließlich zugunsten der Gesellschaften der Gruppe ausüben,</w:t>
      </w:r>
    </w:p>
    <w:p w14:paraId="06CD1741" w14:textId="77777777" w:rsidR="007D52CA" w:rsidRPr="00F531CC" w:rsidRDefault="007D52CA" w:rsidP="007D52CA">
      <w:pPr>
        <w:jc w:val="both"/>
        <w:rPr>
          <w:rFonts w:eastAsia="Calibri"/>
          <w:szCs w:val="22"/>
          <w:lang w:eastAsia="de-DE" w:bidi="de-DE"/>
        </w:rPr>
      </w:pPr>
    </w:p>
    <w:p w14:paraId="0501D26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sie sich ausschließlich oder hauptsächlich mit der Erbringung von Finanzdienstleistungen beschäftigen,</w:t>
      </w:r>
    </w:p>
    <w:p w14:paraId="31F0D52A" w14:textId="77777777" w:rsidR="007D52CA" w:rsidRPr="00F531CC" w:rsidRDefault="007D52CA" w:rsidP="007D52CA">
      <w:pPr>
        <w:jc w:val="both"/>
        <w:rPr>
          <w:rFonts w:eastAsia="Calibri"/>
          <w:szCs w:val="22"/>
          <w:lang w:eastAsia="de-DE" w:bidi="de-DE"/>
        </w:rPr>
      </w:pPr>
    </w:p>
    <w:p w14:paraId="7F2E84B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sie sich ausschließlich bei inländischen Gesellschaften oder juristischen Personen wie in den Artikeln 220 und 227 des Einkommensteuergesetzbuches 1992 erwähnt finanzieren, und zwar mit dem alleinigen Zweck der Finanzierung eigener Geschäfte oder der Geschäfte verbundener oder assoziierter Gesellschaften,</w:t>
      </w:r>
    </w:p>
    <w:p w14:paraId="36A78115" w14:textId="77777777" w:rsidR="007D52CA" w:rsidRPr="00F531CC" w:rsidRDefault="007D52CA" w:rsidP="007D52CA">
      <w:pPr>
        <w:jc w:val="both"/>
        <w:rPr>
          <w:rFonts w:eastAsia="Calibri"/>
          <w:szCs w:val="22"/>
          <w:lang w:eastAsia="de-DE" w:bidi="de-DE"/>
        </w:rPr>
      </w:pPr>
    </w:p>
    <w:p w14:paraId="530FD97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und dass sie keine Aktien oder Anteile für einen Investitionswert von mehr als 10 Prozent des Nettosteuerwertes des Finanzunternehmens halten,]</w:t>
      </w:r>
    </w:p>
    <w:p w14:paraId="2216BE71" w14:textId="77777777" w:rsidR="007D52CA" w:rsidRPr="00F531CC" w:rsidRDefault="007D52CA" w:rsidP="007D52CA">
      <w:pPr>
        <w:jc w:val="both"/>
        <w:rPr>
          <w:rFonts w:eastAsia="Calibri"/>
          <w:szCs w:val="22"/>
          <w:lang w:eastAsia="de-DE" w:bidi="de-DE"/>
        </w:rPr>
      </w:pPr>
    </w:p>
    <w:p w14:paraId="5D94B37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d)</w:t>
      </w:r>
      <w:r w:rsidRPr="00F531CC">
        <w:rPr>
          <w:rFonts w:eastAsia="Calibri"/>
          <w:szCs w:val="22"/>
          <w:lang w:eastAsia="de-DE" w:bidi="de-DE"/>
        </w:rPr>
        <w:t> […]</w:t>
      </w:r>
    </w:p>
    <w:p w14:paraId="2CB5C1D6" w14:textId="77777777" w:rsidR="007D52CA" w:rsidRPr="00F531CC" w:rsidRDefault="007D52CA" w:rsidP="007D52CA">
      <w:pPr>
        <w:jc w:val="both"/>
        <w:rPr>
          <w:rFonts w:eastAsia="Calibri"/>
          <w:szCs w:val="22"/>
          <w:lang w:eastAsia="de-DE" w:bidi="de-DE"/>
        </w:rPr>
      </w:pPr>
    </w:p>
    <w:p w14:paraId="53D9EDE8" w14:textId="24063816"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e)</w:t>
      </w:r>
      <w:r w:rsidRPr="00F531CC">
        <w:rPr>
          <w:rFonts w:eastAsia="Calibri"/>
          <w:szCs w:val="22"/>
          <w:lang w:eastAsia="de-DE" w:bidi="de-DE"/>
        </w:rPr>
        <w:t> </w:t>
      </w:r>
      <w:r w:rsidR="00484A14">
        <w:rPr>
          <w:rFonts w:eastAsia="Calibri"/>
          <w:szCs w:val="22"/>
          <w:lang w:eastAsia="de-DE" w:bidi="de-DE"/>
        </w:rPr>
        <w:t>[...]</w:t>
      </w:r>
    </w:p>
    <w:p w14:paraId="6A88BBD7" w14:textId="77777777" w:rsidR="007D52CA" w:rsidRPr="00F531CC" w:rsidRDefault="007D52CA" w:rsidP="007D52CA">
      <w:pPr>
        <w:jc w:val="both"/>
        <w:rPr>
          <w:rFonts w:eastAsia="Calibri"/>
          <w:szCs w:val="22"/>
          <w:lang w:eastAsia="de-DE" w:bidi="de-DE"/>
        </w:rPr>
      </w:pPr>
    </w:p>
    <w:p w14:paraId="1A9B09CA" w14:textId="4CA09CF2"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f)</w:t>
      </w:r>
      <w:r w:rsidRPr="00F531CC">
        <w:rPr>
          <w:rFonts w:eastAsia="Calibri"/>
          <w:szCs w:val="22"/>
          <w:lang w:eastAsia="de-DE" w:bidi="de-DE"/>
        </w:rPr>
        <w:t> [</w:t>
      </w:r>
      <w:r w:rsidR="00484A14" w:rsidRPr="00075DB8">
        <w:t>in Belgien ansässige Hypothekarkreditgeber und Verbraucherkreditgeber, die in Anwendung von Buch VII Titel 4 Kapitel 4 Abschnitt 2 und 3 des Wirtschaftsgesetzbuches ermächtigt sind, die Tätigkeit eines Hypothekarkreditgebers oder Verbraucherkreditgebers auf belgischem Staatsgebiet auszuüben,</w:t>
      </w:r>
      <w:r w:rsidRPr="00F531CC">
        <w:rPr>
          <w:rFonts w:eastAsia="Calibri"/>
          <w:szCs w:val="22"/>
          <w:lang w:eastAsia="de-DE" w:bidi="de-DE"/>
        </w:rPr>
        <w:t>]</w:t>
      </w:r>
    </w:p>
    <w:p w14:paraId="48D34653" w14:textId="77777777" w:rsidR="007D52CA" w:rsidRPr="00F531CC" w:rsidRDefault="007D52CA" w:rsidP="007D52CA">
      <w:pPr>
        <w:jc w:val="both"/>
        <w:rPr>
          <w:rFonts w:eastAsia="Calibri"/>
          <w:szCs w:val="22"/>
          <w:lang w:eastAsia="de-DE" w:bidi="de-DE"/>
        </w:rPr>
      </w:pPr>
    </w:p>
    <w:p w14:paraId="6C3DC3FA" w14:textId="08949DF1"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g)</w:t>
      </w:r>
      <w:r w:rsidRPr="00F531CC">
        <w:rPr>
          <w:rFonts w:eastAsia="Calibri"/>
          <w:szCs w:val="22"/>
          <w:lang w:eastAsia="de-DE" w:bidi="de-DE"/>
        </w:rPr>
        <w:t> </w:t>
      </w:r>
      <w:r w:rsidR="00484A14">
        <w:rPr>
          <w:rFonts w:eastAsia="Calibri"/>
          <w:szCs w:val="22"/>
          <w:lang w:eastAsia="de-DE" w:bidi="de-DE"/>
        </w:rPr>
        <w:t>[...]</w:t>
      </w:r>
    </w:p>
    <w:p w14:paraId="18944842" w14:textId="77777777" w:rsidR="007D52CA" w:rsidRPr="00F531CC" w:rsidRDefault="007D52CA" w:rsidP="007D52CA">
      <w:pPr>
        <w:jc w:val="both"/>
        <w:rPr>
          <w:rFonts w:eastAsia="Calibri"/>
          <w:szCs w:val="22"/>
          <w:lang w:eastAsia="de-DE" w:bidi="de-DE"/>
        </w:rPr>
      </w:pPr>
    </w:p>
    <w:p w14:paraId="0BA4B7F7" w14:textId="3FECF83A"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h)</w:t>
      </w:r>
      <w:r w:rsidRPr="00F531CC">
        <w:rPr>
          <w:rFonts w:eastAsia="Calibri"/>
          <w:szCs w:val="22"/>
          <w:lang w:eastAsia="de-DE" w:bidi="de-DE"/>
        </w:rPr>
        <w:t> [</w:t>
      </w:r>
      <w:r w:rsidR="00484A14">
        <w:rPr>
          <w:rFonts w:eastAsia="Calibri"/>
          <w:szCs w:val="22"/>
          <w:lang w:eastAsia="de-DE" w:bidi="de-DE"/>
        </w:rPr>
        <w:t>...</w:t>
      </w:r>
      <w:r w:rsidRPr="00F531CC">
        <w:rPr>
          <w:rFonts w:eastAsia="Calibri"/>
          <w:szCs w:val="22"/>
          <w:lang w:eastAsia="de-DE" w:bidi="de-DE"/>
        </w:rPr>
        <w:t>]</w:t>
      </w:r>
    </w:p>
    <w:p w14:paraId="493223BF" w14:textId="77777777" w:rsidR="007D52CA" w:rsidRPr="00F531CC" w:rsidRDefault="007D52CA" w:rsidP="007D52CA">
      <w:pPr>
        <w:jc w:val="both"/>
        <w:rPr>
          <w:rFonts w:eastAsia="Calibri"/>
          <w:szCs w:val="22"/>
          <w:lang w:eastAsia="de-DE" w:bidi="de-DE"/>
        </w:rPr>
      </w:pPr>
    </w:p>
    <w:p w14:paraId="239225E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i)</w:t>
      </w:r>
      <w:r w:rsidRPr="00F531CC">
        <w:rPr>
          <w:rFonts w:eastAsia="Calibri"/>
          <w:szCs w:val="22"/>
          <w:lang w:eastAsia="de-DE" w:bidi="de-DE"/>
        </w:rPr>
        <w:t> belgische Versicherungsunternehmen, die inländische Gesellschaften sind, und belgische Niederlassungen von ausländischen Versicherungsunternehmen,</w:t>
      </w:r>
    </w:p>
    <w:p w14:paraId="38C44497" w14:textId="77777777" w:rsidR="007D52CA" w:rsidRPr="00F531CC" w:rsidRDefault="007D52CA" w:rsidP="007D52CA">
      <w:pPr>
        <w:jc w:val="both"/>
        <w:rPr>
          <w:rFonts w:eastAsia="Calibri"/>
          <w:szCs w:val="22"/>
          <w:lang w:eastAsia="de-DE" w:bidi="de-DE"/>
        </w:rPr>
      </w:pPr>
    </w:p>
    <w:p w14:paraId="5C882780" w14:textId="577DDD7C"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j)</w:t>
      </w:r>
      <w:r w:rsidRPr="00F531CC">
        <w:rPr>
          <w:rFonts w:eastAsia="Calibri"/>
          <w:szCs w:val="22"/>
          <w:lang w:eastAsia="de-DE" w:bidi="de-DE"/>
        </w:rPr>
        <w:t> </w:t>
      </w:r>
      <w:r w:rsidR="00484A14">
        <w:rPr>
          <w:rFonts w:eastAsia="Calibri"/>
          <w:szCs w:val="22"/>
          <w:lang w:eastAsia="de-DE" w:bidi="de-DE"/>
        </w:rPr>
        <w:t>[</w:t>
      </w:r>
      <w:r w:rsidR="00484A14" w:rsidRPr="00075DB8">
        <w:t>die Föderale Beteiligungs- und Investitionsgesellschaft und die regionalen Investitionsgesellschaften, die unter das Gesetz vom 2. April 1962 über die Föderale Beteiligungs- und Investitionsgesellschaft und die regionalen Investitionsgesellschaften fallen, und die Investitionsgesellschaften, die unter das flämische Dekret vom 7. Mai 2004 fallen, das die Investitionsgesellschaften der flämischen Behörde betrifft,</w:t>
      </w:r>
      <w:r w:rsidR="00484A14">
        <w:rPr>
          <w:rFonts w:eastAsia="Calibri"/>
          <w:szCs w:val="22"/>
          <w:lang w:eastAsia="de-DE" w:bidi="de-DE"/>
        </w:rPr>
        <w:t>]</w:t>
      </w:r>
    </w:p>
    <w:p w14:paraId="6E6040C0" w14:textId="77777777" w:rsidR="007D52CA" w:rsidRPr="00F531CC" w:rsidRDefault="007D52CA" w:rsidP="007D52CA">
      <w:pPr>
        <w:jc w:val="both"/>
        <w:rPr>
          <w:rFonts w:eastAsia="Calibri"/>
          <w:szCs w:val="22"/>
          <w:lang w:eastAsia="de-DE" w:bidi="de-DE"/>
        </w:rPr>
      </w:pPr>
    </w:p>
    <w:p w14:paraId="4215A006" w14:textId="1B9E3463" w:rsidR="00484A14" w:rsidRPr="00075DB8" w:rsidRDefault="007D52CA" w:rsidP="00484A14">
      <w:pPr>
        <w:jc w:val="both"/>
      </w:pPr>
      <w:r w:rsidRPr="00F531CC">
        <w:rPr>
          <w:rFonts w:eastAsia="Calibri"/>
          <w:szCs w:val="22"/>
          <w:lang w:eastAsia="de-DE" w:bidi="de-DE"/>
        </w:rPr>
        <w:tab/>
      </w:r>
      <w:r w:rsidRPr="00F531CC">
        <w:rPr>
          <w:rFonts w:eastAsia="Calibri"/>
          <w:i/>
          <w:szCs w:val="22"/>
          <w:lang w:eastAsia="de-DE" w:bidi="de-DE"/>
        </w:rPr>
        <w:t>k)</w:t>
      </w:r>
      <w:r w:rsidRPr="00F531CC">
        <w:rPr>
          <w:rFonts w:eastAsia="Calibri"/>
          <w:szCs w:val="22"/>
          <w:lang w:eastAsia="de-DE" w:bidi="de-DE"/>
        </w:rPr>
        <w:t> [</w:t>
      </w:r>
      <w:r w:rsidR="00484A14" w:rsidRPr="00075DB8">
        <w:t>folgende Wohnungsbaugesellschaften beziehungsweise Gesellschaften für Wohn</w:t>
      </w:r>
      <w:r w:rsidR="00484A14" w:rsidRPr="00075DB8">
        <w:softHyphen/>
        <w:t>kredite:</w:t>
      </w:r>
    </w:p>
    <w:p w14:paraId="52A8EDF4" w14:textId="77777777" w:rsidR="00484A14" w:rsidRPr="00075DB8" w:rsidRDefault="00484A14" w:rsidP="00484A14">
      <w:pPr>
        <w:jc w:val="both"/>
      </w:pPr>
    </w:p>
    <w:p w14:paraId="35BD996F" w14:textId="0EDB65F2" w:rsidR="00484A14" w:rsidRPr="00075DB8" w:rsidRDefault="00484A14" w:rsidP="00484A14">
      <w:pPr>
        <w:jc w:val="both"/>
      </w:pPr>
      <w:r w:rsidRPr="00075DB8">
        <w:tab/>
        <w:t xml:space="preserve">- "Vlaamse Maatschappij voor </w:t>
      </w:r>
      <w:r w:rsidRPr="00DA67AF">
        <w:t>Sociaal Wonen</w:t>
      </w:r>
      <w:r w:rsidRPr="00075DB8">
        <w:t>", Wallonische Wohnungsbau</w:t>
      </w:r>
      <w:r w:rsidRPr="00075DB8">
        <w:softHyphen/>
        <w:t xml:space="preserve">gesellschaft, "Société du Logement de la Région de Bruxelles-Capitale"/"Brusselse Gewestelijke Huisvestingsmaatschappij", "Vlaamse Landmaatschappij" </w:t>
      </w:r>
      <w:r w:rsidR="00084E50">
        <w:t>[</w:t>
      </w:r>
      <w:r w:rsidR="00084E50" w:rsidRPr="00A115C4">
        <w:t>oder andere regionale Wohnungsbaugesellschaften</w:t>
      </w:r>
      <w:r w:rsidR="00084E50">
        <w:t xml:space="preserve">] </w:t>
      </w:r>
      <w:r w:rsidRPr="00075DB8">
        <w:t>und von ihnen oder von der zuständigen Regierung zugelassene lokale Gesellschaften für sozialen Wohnungsbau,</w:t>
      </w:r>
    </w:p>
    <w:p w14:paraId="45B41177" w14:textId="77777777" w:rsidR="00484A14" w:rsidRPr="00075DB8" w:rsidRDefault="00484A14" w:rsidP="00484A14">
      <w:pPr>
        <w:jc w:val="both"/>
      </w:pPr>
    </w:p>
    <w:p w14:paraId="7DA0EB20" w14:textId="280EC96A" w:rsidR="007D52CA" w:rsidRPr="00F531CC" w:rsidRDefault="00484A14" w:rsidP="00484A14">
      <w:pPr>
        <w:jc w:val="both"/>
        <w:rPr>
          <w:rFonts w:eastAsia="Calibri"/>
          <w:szCs w:val="22"/>
          <w:lang w:eastAsia="de-DE" w:bidi="de-DE"/>
        </w:rPr>
      </w:pPr>
      <w:r w:rsidRPr="00075DB8">
        <w:tab/>
        <w:t xml:space="preserve">- "Vlaams Woningfonds", Wallonische Gesellschaft für Sozialkredit, Wohnungsfonds der kinderreichen Familien der Wallonie und "Fonds du Logement de la Région de Bruxelles-Capitale"/"Woningfonds van het </w:t>
      </w:r>
      <w:r w:rsidRPr="00DA67AF">
        <w:t>Brussels Hoofdstedelijk</w:t>
      </w:r>
      <w:r w:rsidRPr="00075DB8">
        <w:t xml:space="preserve"> Gewest" und von der Flämischen Region, der Region Brüssel-Hauptstadt oder der Wallonischen Region zugelassene Gesellschaften und Einrichtungen, deren Zweck darin besteht, Darlehen zu gewähren für den Kauf von Grundstücken, für Kauf, Bau, Umbau, Renovierung oder Einrichten von Familienwohnungen und deren Ausstattung mit geeignetem Mobiliar oder für die Durchführung von Energiesparmaßnahmen,</w:t>
      </w:r>
      <w:r w:rsidR="007D52CA" w:rsidRPr="00F531CC">
        <w:rPr>
          <w:rFonts w:eastAsia="Calibri"/>
          <w:szCs w:val="22"/>
          <w:lang w:eastAsia="de-DE" w:bidi="de-DE"/>
        </w:rPr>
        <w:t>]</w:t>
      </w:r>
    </w:p>
    <w:p w14:paraId="216921B0" w14:textId="77777777" w:rsidR="007D52CA" w:rsidRPr="00F531CC" w:rsidRDefault="007D52CA" w:rsidP="007D52CA">
      <w:pPr>
        <w:jc w:val="both"/>
        <w:rPr>
          <w:rFonts w:eastAsia="Calibri"/>
          <w:szCs w:val="22"/>
          <w:lang w:eastAsia="de-DE" w:bidi="de-DE"/>
        </w:rPr>
      </w:pPr>
    </w:p>
    <w:p w14:paraId="593E288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l)</w:t>
      </w:r>
      <w:r w:rsidRPr="00F531CC">
        <w:rPr>
          <w:rFonts w:eastAsia="Calibri"/>
          <w:szCs w:val="22"/>
          <w:lang w:eastAsia="de-DE" w:bidi="de-DE"/>
        </w:rPr>
        <w:t> belgische Niederlassungen von öffentlichen oder privaten Einrichtungen, die nicht in den Buchstaben </w:t>
      </w:r>
      <w:r w:rsidRPr="00F531CC">
        <w:rPr>
          <w:rFonts w:eastAsia="Calibri"/>
          <w:i/>
          <w:szCs w:val="22"/>
          <w:lang w:eastAsia="de-DE" w:bidi="de-DE"/>
        </w:rPr>
        <w:t>a)</w:t>
      </w:r>
      <w:r w:rsidRPr="00F531CC">
        <w:rPr>
          <w:rFonts w:eastAsia="Calibri"/>
          <w:szCs w:val="22"/>
          <w:lang w:eastAsia="de-DE" w:bidi="de-DE"/>
        </w:rPr>
        <w:t xml:space="preserve"> bis </w:t>
      </w:r>
      <w:r w:rsidRPr="00F531CC">
        <w:rPr>
          <w:rFonts w:eastAsia="Calibri"/>
          <w:i/>
          <w:szCs w:val="22"/>
          <w:lang w:eastAsia="de-DE" w:bidi="de-DE"/>
        </w:rPr>
        <w:t>k)</w:t>
      </w:r>
      <w:r w:rsidRPr="00F531CC">
        <w:rPr>
          <w:rFonts w:eastAsia="Calibri"/>
          <w:szCs w:val="22"/>
          <w:lang w:eastAsia="de-DE" w:bidi="de-DE"/>
        </w:rPr>
        <w:t xml:space="preserve"> erwähnt sind, Rechtspersönlichkeit besitzen und deren Tätigkeit ausschließlich [...] in der Gewährung von Krediten und Darlehen besteht,</w:t>
      </w:r>
    </w:p>
    <w:p w14:paraId="40A61A89" w14:textId="77777777" w:rsidR="007D52CA" w:rsidRPr="00F531CC" w:rsidRDefault="007D52CA" w:rsidP="007D52CA">
      <w:pPr>
        <w:jc w:val="both"/>
        <w:rPr>
          <w:rFonts w:eastAsia="Calibri"/>
          <w:szCs w:val="22"/>
          <w:lang w:eastAsia="de-DE" w:bidi="de-DE"/>
        </w:rPr>
      </w:pPr>
    </w:p>
    <w:p w14:paraId="3F54E2E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m)</w:t>
      </w:r>
      <w:r>
        <w:rPr>
          <w:rFonts w:eastAsia="Calibri"/>
          <w:szCs w:val="22"/>
          <w:lang w:eastAsia="de-DE" w:bidi="de-DE"/>
        </w:rPr>
        <w:t> [...]</w:t>
      </w:r>
    </w:p>
    <w:p w14:paraId="36913EF6" w14:textId="77777777" w:rsidR="007D52CA" w:rsidRPr="00F531CC" w:rsidRDefault="007D52CA" w:rsidP="007D52CA">
      <w:pPr>
        <w:jc w:val="both"/>
        <w:rPr>
          <w:rFonts w:eastAsia="Calibri"/>
          <w:szCs w:val="22"/>
          <w:lang w:eastAsia="de-DE" w:bidi="de-DE"/>
        </w:rPr>
      </w:pPr>
    </w:p>
    <w:p w14:paraId="7D29400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2. "halbstaatlichen Einrichtungen der sozialen Sicherheit oder damit gleichgesetzten Einrichtungen":</w:t>
      </w:r>
    </w:p>
    <w:p w14:paraId="328B2703" w14:textId="77777777" w:rsidR="007D52CA" w:rsidRPr="00F531CC" w:rsidRDefault="007D52CA" w:rsidP="007D52CA">
      <w:pPr>
        <w:jc w:val="both"/>
        <w:rPr>
          <w:rFonts w:eastAsia="Calibri"/>
          <w:szCs w:val="22"/>
          <w:lang w:eastAsia="de-DE" w:bidi="de-DE"/>
        </w:rPr>
      </w:pPr>
    </w:p>
    <w:p w14:paraId="1F64745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Krankenkassen und Krankenkassenlandesverbände, die dem Gesetz vom 6. August 1990 über die Krankenkassen und Krankenkassenlandesverbände unterliegen, und andere Einrichtungen oder Organismen, die in Anwendung der sozialen Rechtsvorschriften mit dem Sammeln, Zentralisieren, Kapitalisieren und Verteilen von Geldern für die Gewährung der durch diese Rechtsvorschriften vorgesehenen Vorteile beauftragt sind und die keine anderen Geschäfte beziehungsweise Verrichtungen mit gewinnbringendem Zweck betreiben als die Anlage von erwähnten Geldern,</w:t>
      </w:r>
    </w:p>
    <w:p w14:paraId="6BCFBD57" w14:textId="77777777" w:rsidR="007D52CA" w:rsidRPr="00F531CC" w:rsidRDefault="007D52CA" w:rsidP="007D52CA">
      <w:pPr>
        <w:jc w:val="both"/>
        <w:rPr>
          <w:rFonts w:eastAsia="Calibri"/>
          <w:szCs w:val="22"/>
          <w:lang w:eastAsia="de-DE" w:bidi="de-DE"/>
        </w:rPr>
      </w:pPr>
    </w:p>
    <w:p w14:paraId="1B9F91FE" w14:textId="70628649"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w:t>
      </w:r>
      <w:r w:rsidR="001A486C">
        <w:rPr>
          <w:rFonts w:eastAsia="Calibri"/>
          <w:szCs w:val="22"/>
          <w:lang w:eastAsia="de-DE" w:bidi="de-DE"/>
        </w:rPr>
        <w:t>[die</w:t>
      </w:r>
      <w:r w:rsidR="00984F9B">
        <w:rPr>
          <w:rFonts w:eastAsia="Calibri"/>
          <w:szCs w:val="22"/>
          <w:lang w:eastAsia="de-DE" w:bidi="de-DE"/>
        </w:rPr>
        <w:t xml:space="preserve"> Föderale Schuldenagen</w:t>
      </w:r>
      <w:r w:rsidR="00CA3519">
        <w:rPr>
          <w:rFonts w:eastAsia="Calibri"/>
          <w:szCs w:val="22"/>
          <w:lang w:eastAsia="de-DE" w:bidi="de-DE"/>
        </w:rPr>
        <w:t>t</w:t>
      </w:r>
      <w:r w:rsidR="00984F9B">
        <w:rPr>
          <w:rFonts w:eastAsia="Calibri"/>
          <w:szCs w:val="22"/>
          <w:lang w:eastAsia="de-DE" w:bidi="de-DE"/>
        </w:rPr>
        <w:t>ur]</w:t>
      </w:r>
      <w:r w:rsidRPr="00F531CC">
        <w:rPr>
          <w:rFonts w:eastAsia="Calibri"/>
          <w:szCs w:val="22"/>
          <w:lang w:eastAsia="de-DE" w:bidi="de-DE"/>
        </w:rPr>
        <w:t xml:space="preserve">, die Landeskasse für Naturkatastrophen, die Hinterlegungs- und Konsignationskasse, </w:t>
      </w:r>
      <w:r w:rsidR="00084E50">
        <w:rPr>
          <w:rFonts w:eastAsia="Calibri"/>
          <w:szCs w:val="22"/>
          <w:lang w:eastAsia="de-DE" w:bidi="de-DE"/>
        </w:rPr>
        <w:t>[...]</w:t>
      </w:r>
      <w:r w:rsidRPr="00F531CC">
        <w:rPr>
          <w:rFonts w:eastAsia="Calibri"/>
          <w:szCs w:val="22"/>
          <w:lang w:eastAsia="de-DE" w:bidi="de-DE"/>
        </w:rPr>
        <w:t xml:space="preserve"> Sparkassen, die von einer anderen öffentlichen Einrichtung als [der Autorität Finanzielle Dienste und Märkte] abhängen, und die Vereinigungen ohne Gewinnerzielungsabsicht </w:t>
      </w:r>
      <w:r w:rsidR="00084E50">
        <w:rPr>
          <w:rFonts w:eastAsia="Calibri"/>
          <w:szCs w:val="22"/>
          <w:lang w:eastAsia="de-DE" w:bidi="de-DE"/>
        </w:rPr>
        <w:t>[</w:t>
      </w:r>
      <w:r w:rsidR="00084E50" w:rsidRPr="00A115C4">
        <w:t>"Gezinsbond"</w:t>
      </w:r>
      <w:r w:rsidR="00084E50">
        <w:t>]</w:t>
      </w:r>
      <w:r w:rsidRPr="00F531CC">
        <w:rPr>
          <w:rFonts w:eastAsia="Calibri"/>
          <w:szCs w:val="22"/>
          <w:lang w:eastAsia="de-DE" w:bidi="de-DE"/>
        </w:rPr>
        <w:t xml:space="preserve"> und Familienverband, soweit sie ihren Mitgliedern zinsgünstige Darlehen gewähren,</w:t>
      </w:r>
    </w:p>
    <w:p w14:paraId="53B07997" w14:textId="77777777" w:rsidR="007D52CA" w:rsidRPr="00F531CC" w:rsidRDefault="007D52CA" w:rsidP="007D52CA">
      <w:pPr>
        <w:jc w:val="both"/>
        <w:rPr>
          <w:rFonts w:eastAsia="Calibri"/>
          <w:szCs w:val="22"/>
          <w:lang w:eastAsia="de-DE" w:bidi="de-DE"/>
        </w:rPr>
      </w:pPr>
    </w:p>
    <w:p w14:paraId="3435782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öffentlich-rechtliche internationale oder supranationale Einrichtungen oder belgische Niederlassungen von solchen Einrichtungen, die aufgrund internationaler Abkommen oder aufgrund besonderer, vor dem Gesetz vom 20. November 1962 zur Reform der Einkommensteuern geltender Gesetzesbestimmungen von der Steuer auf ihre in Belgien bezogenen Einkünfte befreit worden sind,</w:t>
      </w:r>
    </w:p>
    <w:p w14:paraId="024FA2BA" w14:textId="77777777" w:rsidR="007D52CA" w:rsidRPr="00F531CC" w:rsidRDefault="007D52CA" w:rsidP="007D52CA">
      <w:pPr>
        <w:jc w:val="both"/>
        <w:rPr>
          <w:rFonts w:eastAsia="Calibri"/>
          <w:szCs w:val="22"/>
          <w:lang w:eastAsia="de-DE" w:bidi="de-DE"/>
        </w:rPr>
      </w:pPr>
    </w:p>
    <w:p w14:paraId="7C432E52" w14:textId="77777777" w:rsidR="00137616" w:rsidRDefault="00137616">
      <w:pPr>
        <w:rPr>
          <w:rFonts w:eastAsia="Calibri"/>
          <w:szCs w:val="22"/>
          <w:lang w:eastAsia="de-DE" w:bidi="de-DE"/>
        </w:rPr>
      </w:pPr>
      <w:r>
        <w:rPr>
          <w:rFonts w:eastAsia="Calibri"/>
          <w:szCs w:val="22"/>
          <w:lang w:eastAsia="de-DE" w:bidi="de-DE"/>
        </w:rPr>
        <w:br w:type="page"/>
      </w:r>
    </w:p>
    <w:p w14:paraId="44226747" w14:textId="706560E5"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3. "gewerblichen Anlegern":</w:t>
      </w:r>
    </w:p>
    <w:p w14:paraId="76E0E0FD" w14:textId="77777777" w:rsidR="007D52CA" w:rsidRPr="00F531CC" w:rsidRDefault="007D52CA" w:rsidP="007D52CA">
      <w:pPr>
        <w:jc w:val="both"/>
        <w:rPr>
          <w:rFonts w:eastAsia="Calibri"/>
          <w:szCs w:val="22"/>
          <w:lang w:eastAsia="de-DE" w:bidi="de-DE"/>
        </w:rPr>
      </w:pPr>
    </w:p>
    <w:p w14:paraId="2C2444B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Einwohner des Königreichs, die der Steuer der natürlichen Personen unterliegen und bewegliches Kapitalvermögen, das Einkünfte erzeugt, zur Ausübung ihrer beruflichen Tätigkeit genutzt haben,</w:t>
      </w:r>
    </w:p>
    <w:p w14:paraId="066D1599" w14:textId="77777777" w:rsidR="007D52CA" w:rsidRPr="00F531CC" w:rsidRDefault="007D52CA" w:rsidP="007D52CA">
      <w:pPr>
        <w:jc w:val="both"/>
        <w:rPr>
          <w:rFonts w:eastAsia="Calibri"/>
          <w:szCs w:val="22"/>
          <w:lang w:eastAsia="de-DE" w:bidi="de-DE"/>
        </w:rPr>
      </w:pPr>
    </w:p>
    <w:p w14:paraId="21E23E6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inländische Gesellschaften, die nicht in Nr. 1 des vorliegenden Artikels erwähnt sind,</w:t>
      </w:r>
    </w:p>
    <w:p w14:paraId="7F803174" w14:textId="77777777" w:rsidR="007D52CA" w:rsidRPr="00F531CC" w:rsidRDefault="007D52CA" w:rsidP="007D52CA">
      <w:pPr>
        <w:rPr>
          <w:rFonts w:eastAsia="Calibri"/>
          <w:szCs w:val="22"/>
          <w:lang w:eastAsia="de-DE" w:bidi="de-DE"/>
        </w:rPr>
      </w:pPr>
    </w:p>
    <w:p w14:paraId="73F6390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Niederlassungen, die nicht in Nr. 1 des vorliegenden Artikels erwähnt sind und über die Gebietsfremde, die gemäß den Artikeln 232 Nr. 2 Buchstabe </w:t>
      </w:r>
      <w:r w:rsidRPr="00F531CC">
        <w:rPr>
          <w:rFonts w:eastAsia="Calibri"/>
          <w:i/>
          <w:szCs w:val="22"/>
          <w:lang w:eastAsia="de-DE" w:bidi="de-DE"/>
        </w:rPr>
        <w:t>a)</w:t>
      </w:r>
      <w:r w:rsidRPr="00F531CC">
        <w:rPr>
          <w:rFonts w:eastAsia="Calibri"/>
          <w:szCs w:val="22"/>
          <w:lang w:eastAsia="de-DE" w:bidi="de-DE"/>
        </w:rPr>
        <w:t xml:space="preserve"> und 233 des Einkommensteuergesetzbuches 1992 steuerpflichtig sind, in Belgien verfügen,</w:t>
      </w:r>
    </w:p>
    <w:p w14:paraId="47F5E3F5" w14:textId="77777777" w:rsidR="007D52CA" w:rsidRPr="00F531CC" w:rsidRDefault="007D52CA" w:rsidP="007D52CA">
      <w:pPr>
        <w:jc w:val="both"/>
        <w:rPr>
          <w:rFonts w:eastAsia="Calibri"/>
          <w:szCs w:val="22"/>
          <w:lang w:eastAsia="de-DE" w:bidi="de-DE"/>
        </w:rPr>
      </w:pPr>
    </w:p>
    <w:p w14:paraId="3F370CF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4. "Privatsparern": Einwohner des Königreichs, die der Steuer der natürlichen Personen unterliegen und bewegliches Kapitalvermögen, das Einkünfte erzeugt, nicht zur Ausübung ihrer beruflichen Tätigkeit genutzt haben,</w:t>
      </w:r>
    </w:p>
    <w:p w14:paraId="3DF83259" w14:textId="77777777" w:rsidR="007D52CA" w:rsidRPr="00F531CC" w:rsidRDefault="007D52CA" w:rsidP="007D52CA">
      <w:pPr>
        <w:jc w:val="both"/>
        <w:rPr>
          <w:rFonts w:eastAsia="Calibri"/>
          <w:szCs w:val="22"/>
          <w:lang w:eastAsia="de-DE" w:bidi="de-DE"/>
        </w:rPr>
      </w:pPr>
    </w:p>
    <w:p w14:paraId="75B04E0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5. "gebietsfremden Sparern": in Artikel 227 desselben Gesetzbuches erwähnte Steuerpflichtige, die ihr bewegliches Kapitalvermögen, das Einkünfte erzeugt, nicht zur Ausübung einer beruflichen Tätigkeit in Belgien genutzt haben,</w:t>
      </w:r>
    </w:p>
    <w:p w14:paraId="07AE709C" w14:textId="77777777" w:rsidR="007D52CA" w:rsidRPr="00F531CC" w:rsidRDefault="007D52CA" w:rsidP="007D52CA">
      <w:pPr>
        <w:jc w:val="both"/>
        <w:rPr>
          <w:rFonts w:eastAsia="Calibri"/>
          <w:szCs w:val="22"/>
          <w:lang w:eastAsia="de-DE" w:bidi="de-DE"/>
        </w:rPr>
      </w:pPr>
    </w:p>
    <w:p w14:paraId="4A22D322" w14:textId="070C0C88" w:rsidR="007D52CA" w:rsidRPr="00F531CC" w:rsidRDefault="007D52CA" w:rsidP="007D52CA">
      <w:pPr>
        <w:jc w:val="both"/>
        <w:rPr>
          <w:rFonts w:eastAsia="Calibri"/>
          <w:szCs w:val="22"/>
          <w:lang w:eastAsia="de-DE" w:bidi="de-DE"/>
        </w:rPr>
      </w:pPr>
      <w:r w:rsidRPr="00F531CC">
        <w:rPr>
          <w:rFonts w:eastAsia="Calibri"/>
          <w:szCs w:val="22"/>
          <w:lang w:eastAsia="de-DE" w:bidi="de-DE"/>
        </w:rPr>
        <w:tab/>
        <w:t>[6. </w:t>
      </w:r>
      <w:r w:rsidRPr="00F531CC">
        <w:rPr>
          <w:rFonts w:eastAsia="Calibri"/>
          <w:i/>
          <w:szCs w:val="22"/>
          <w:lang w:eastAsia="de-DE" w:bidi="de-DE"/>
        </w:rPr>
        <w:t>a)</w:t>
      </w:r>
      <w:r w:rsidRPr="00F531CC">
        <w:rPr>
          <w:rFonts w:eastAsia="Calibri"/>
          <w:szCs w:val="22"/>
          <w:lang w:eastAsia="de-DE" w:bidi="de-DE"/>
        </w:rPr>
        <w:t> "Gesellschaft eines Mitgliedstaats": Gesellschaften wie bestimmt in der Richtlinie 2003/49/EG des Rates der Europäischen Union vom 3. Juni 2003 über eine gemeinsame Steuerregelung für Zahlungen von Zinsen und Lizenzgebühren zwischen verbundenen Unternehmen verschiedener Mitgliedstaaten</w:t>
      </w:r>
      <w:r w:rsidR="00CC25F8">
        <w:rPr>
          <w:rFonts w:eastAsia="Calibri"/>
          <w:szCs w:val="22"/>
          <w:lang w:eastAsia="de-DE" w:bidi="de-DE"/>
        </w:rPr>
        <w:t>[</w:t>
      </w:r>
      <w:r w:rsidR="00CC25F8" w:rsidRPr="00402AAD">
        <w:t>, wobei in Bezug auf Gesellschaften nach belgischem Recht die Verweise auf "</w:t>
      </w:r>
      <w:r w:rsidR="00CC25F8" w:rsidRPr="00F776D4">
        <w:t>société privée à responsabilité limitée</w:t>
      </w:r>
      <w:r w:rsidR="00CC25F8" w:rsidRPr="00402AAD">
        <w:t>"/"</w:t>
      </w:r>
      <w:r w:rsidR="00CC25F8" w:rsidRPr="00F776D4">
        <w:t>besloten vennootschap met beperkte aansprakelijkheid</w:t>
      </w:r>
      <w:r w:rsidR="00CC25F8" w:rsidRPr="00402AAD">
        <w:t>", das heißt auf die "Privatgesellschaft mit beschränkter Haftung", als Verweis auf "</w:t>
      </w:r>
      <w:r w:rsidR="00CC25F8" w:rsidRPr="00F776D4">
        <w:t>société à responsabilité limitée</w:t>
      </w:r>
      <w:r w:rsidR="00CC25F8" w:rsidRPr="00402AAD">
        <w:t>"/"</w:t>
      </w:r>
      <w:r w:rsidR="00CC25F8" w:rsidRPr="00F776D4">
        <w:t>besloten vennootschap</w:t>
      </w:r>
      <w:r w:rsidR="00CC25F8" w:rsidRPr="00402AAD">
        <w:t>", das heißt auf die "Gesellschaft mit beschränkter Haftung", zu verstehen sind</w:t>
      </w:r>
      <w:r w:rsidR="00CC25F8">
        <w:rPr>
          <w:rFonts w:eastAsia="Calibri"/>
          <w:szCs w:val="22"/>
          <w:lang w:eastAsia="de-DE" w:bidi="de-DE"/>
        </w:rPr>
        <w:t>]</w:t>
      </w:r>
      <w:r w:rsidRPr="00F531CC">
        <w:rPr>
          <w:rFonts w:eastAsia="Calibri"/>
          <w:szCs w:val="22"/>
          <w:lang w:eastAsia="de-DE" w:bidi="de-DE"/>
        </w:rPr>
        <w:t>,</w:t>
      </w:r>
    </w:p>
    <w:p w14:paraId="350A9D9D" w14:textId="77777777" w:rsidR="007D52CA" w:rsidRPr="00F531CC" w:rsidRDefault="007D52CA" w:rsidP="007D52CA">
      <w:pPr>
        <w:jc w:val="both"/>
        <w:rPr>
          <w:rFonts w:eastAsia="Calibri"/>
          <w:szCs w:val="22"/>
          <w:lang w:eastAsia="de-DE" w:bidi="de-DE"/>
        </w:rPr>
      </w:pPr>
    </w:p>
    <w:p w14:paraId="734D56D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"verbundenen Gesellschaften": zwei in der Europäischen Union ansässige Gesellschaften, die folgende Bedingungen erfüllen:</w:t>
      </w:r>
    </w:p>
    <w:p w14:paraId="790968E4" w14:textId="77777777" w:rsidR="007D52CA" w:rsidRPr="00F531CC" w:rsidRDefault="007D52CA" w:rsidP="007D52CA">
      <w:pPr>
        <w:jc w:val="both"/>
        <w:rPr>
          <w:rFonts w:eastAsia="Calibri"/>
          <w:szCs w:val="22"/>
          <w:lang w:eastAsia="de-DE" w:bidi="de-DE"/>
        </w:rPr>
      </w:pPr>
    </w:p>
    <w:p w14:paraId="7909FD8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Entweder hält eine der beiden Gesellschaften eine direkte oder indirekte Beteiligung von mindestens 25 Prozent am Kapital der anderen Gesellschaft[, die während eines ununterbrochenen Zeitraums von mindestens einem Jahr aufrechterhalten wird oder wurde].</w:t>
      </w:r>
    </w:p>
    <w:p w14:paraId="0F4FB98D" w14:textId="77777777" w:rsidR="007D52CA" w:rsidRPr="00F531CC" w:rsidRDefault="007D52CA" w:rsidP="007D52CA">
      <w:pPr>
        <w:jc w:val="both"/>
        <w:rPr>
          <w:rFonts w:eastAsia="Calibri"/>
          <w:szCs w:val="22"/>
          <w:lang w:eastAsia="de-DE" w:bidi="de-DE"/>
        </w:rPr>
      </w:pPr>
    </w:p>
    <w:p w14:paraId="008E0EC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Oder eine in der Europäischen Union ansässige Drittgesellschaft hält eine direkte oder indirekte Beteiligung von mindestens 25 Prozent am Kapital jeder dieser Gesellschaften[, die während eines ununterbrochenen Zeitraums von mindestens einem Jahr aufrechterhalten wird oder wurde].]</w:t>
      </w:r>
    </w:p>
    <w:p w14:paraId="64DA60E7" w14:textId="77777777" w:rsidR="007D52CA" w:rsidRPr="00F531CC" w:rsidRDefault="007D52CA" w:rsidP="007D52CA">
      <w:pPr>
        <w:jc w:val="both"/>
        <w:rPr>
          <w:rFonts w:eastAsia="Calibri"/>
          <w:szCs w:val="22"/>
          <w:lang w:eastAsia="de-DE" w:bidi="de-DE"/>
        </w:rPr>
      </w:pPr>
    </w:p>
    <w:p w14:paraId="28C471F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[Für die Festlegung der in Absatz 1 erwähnten direkten oder indirekten Beteiligung von mindestens 25 Prozent werden Aktien oder Anteile, die zum Zeitpunkt der Zuerkennung oder Ausschüttung der Einkünfte Gegenstand einer Vereinbarung über die Leistung von dinglichen Sicherheiten oder eines Verleihs in Bezug auf diese Aktien oder Anteile sind, nicht berücksichtigt.]</w:t>
      </w:r>
    </w:p>
    <w:p w14:paraId="13559D5A" w14:textId="77777777" w:rsidR="007D52CA" w:rsidRPr="00F531CC" w:rsidRDefault="007D52CA" w:rsidP="007D52CA">
      <w:pPr>
        <w:jc w:val="both"/>
        <w:rPr>
          <w:rFonts w:eastAsia="Calibri"/>
          <w:szCs w:val="22"/>
          <w:lang w:eastAsia="de-DE" w:bidi="de-DE"/>
        </w:rPr>
      </w:pPr>
    </w:p>
    <w:p w14:paraId="56824023" w14:textId="7F495CAE" w:rsidR="007D52CA" w:rsidRPr="00F531CC" w:rsidRDefault="007D52CA" w:rsidP="00984F9B">
      <w:pPr>
        <w:jc w:val="both"/>
        <w:rPr>
          <w:rFonts w:eastAsia="Calibri"/>
          <w:i/>
          <w:szCs w:val="22"/>
          <w:lang w:eastAsia="de-DE" w:bidi="de-DE"/>
        </w:rPr>
      </w:pPr>
      <w:r w:rsidRPr="00F531CC">
        <w:rPr>
          <w:rFonts w:eastAsia="Calibri"/>
          <w:i/>
          <w:szCs w:val="22"/>
          <w:lang w:eastAsia="de-DE" w:bidi="de-DE"/>
        </w:rPr>
        <w:t>[Art. 105 einziger Absatz Nr. 1 einziger Absatz Buchstabe a) ersetzt durch Art. 12 Nr. 1 des K.E. vom 20. Januar 2005 (B.S. vom 1. Februar 2005)</w:t>
      </w:r>
      <w:r w:rsidR="00484A14">
        <w:rPr>
          <w:rFonts w:eastAsia="Calibri"/>
          <w:i/>
          <w:szCs w:val="22"/>
          <w:lang w:eastAsia="de-DE" w:bidi="de-DE"/>
        </w:rPr>
        <w:t xml:space="preserve"> und abgeändert durch Art. 1 Nr. 1 des K.E. vom 27. März 2020 (B.S. vom 30. März 2020)</w:t>
      </w:r>
      <w:r w:rsidRPr="00F531CC">
        <w:rPr>
          <w:rFonts w:eastAsia="Calibri"/>
          <w:i/>
          <w:szCs w:val="22"/>
          <w:lang w:eastAsia="de-DE" w:bidi="de-DE"/>
        </w:rPr>
        <w:t xml:space="preserve">; einziger Absatz Nr. 1 einziger Absatz </w:t>
      </w:r>
      <w:r w:rsidRPr="00F531CC">
        <w:rPr>
          <w:rFonts w:eastAsia="Calibri"/>
          <w:i/>
          <w:szCs w:val="22"/>
          <w:lang w:eastAsia="de-DE" w:bidi="de-DE"/>
        </w:rPr>
        <w:lastRenderedPageBreak/>
        <w:t xml:space="preserve">Buchstabe b) ersetzt durch Art. 1 Nr. 2 des K.E. vom 16. Mai 2003 (B.S. vom 5. Juni 2003); einziger Absatz Nr. 1 einziger Absatz Buchstabe b) einziger Absatz dritter Gedankenstrich ergänzt durch Art. 1 des K.E. vom 22. Februar 2010 (B.S. vom 1. März 2010); einziger Absatz Nr. 1 einziger Absatz Buchstabe c) ersetzt durch Art. 1 Nr. 3 des K.E. vom 16. Mai 2003 (B.S. vom 5. Juni 2003); </w:t>
      </w:r>
      <w:r w:rsidR="00CC25F8" w:rsidRPr="00F531CC">
        <w:rPr>
          <w:rFonts w:eastAsia="Calibri"/>
          <w:i/>
          <w:szCs w:val="22"/>
          <w:lang w:eastAsia="de-DE" w:bidi="de-DE"/>
        </w:rPr>
        <w:t>einziger Absatz Nr. 1 einziger Absatz Buchstabe c)</w:t>
      </w:r>
      <w:r w:rsidR="00CC25F8">
        <w:rPr>
          <w:rFonts w:eastAsia="Calibri"/>
          <w:i/>
          <w:szCs w:val="22"/>
          <w:lang w:eastAsia="de-DE" w:bidi="de-DE"/>
        </w:rPr>
        <w:t xml:space="preserve"> einziger Absatz zweiter Gedankenstrich abgeändert durch Art. 16 Nr. 1</w:t>
      </w:r>
      <w:r w:rsidR="00D83DA9">
        <w:rPr>
          <w:rFonts w:eastAsia="Calibri"/>
          <w:i/>
          <w:szCs w:val="22"/>
          <w:lang w:eastAsia="de-DE" w:bidi="de-DE"/>
        </w:rPr>
        <w:t xml:space="preserve"> des K.E. vom 29. August </w:t>
      </w:r>
      <w:r w:rsidR="00CC25F8" w:rsidRPr="00CC25F8">
        <w:rPr>
          <w:rFonts w:eastAsia="Calibri"/>
          <w:i/>
          <w:szCs w:val="22"/>
          <w:lang w:eastAsia="de-DE" w:bidi="de-DE"/>
        </w:rPr>
        <w:t>2019</w:t>
      </w:r>
      <w:r w:rsidR="00865C4C">
        <w:rPr>
          <w:rFonts w:eastAsia="Calibri"/>
          <w:i/>
          <w:szCs w:val="22"/>
          <w:lang w:eastAsia="de-DE" w:bidi="de-DE"/>
        </w:rPr>
        <w:t> (I)</w:t>
      </w:r>
      <w:r w:rsidR="00CC25F8" w:rsidRPr="00CC25F8">
        <w:rPr>
          <w:rFonts w:eastAsia="Calibri"/>
          <w:i/>
          <w:szCs w:val="22"/>
          <w:lang w:eastAsia="de-DE" w:bidi="de-DE"/>
        </w:rPr>
        <w:t xml:space="preserve"> (B.S. vom 13.</w:t>
      </w:r>
      <w:r w:rsidR="00D83DA9">
        <w:rPr>
          <w:rFonts w:eastAsia="Calibri"/>
          <w:i/>
          <w:szCs w:val="22"/>
          <w:lang w:eastAsia="de-DE" w:bidi="de-DE"/>
        </w:rPr>
        <w:t> September </w:t>
      </w:r>
      <w:r w:rsidR="00CC25F8" w:rsidRPr="00CC25F8">
        <w:rPr>
          <w:rFonts w:eastAsia="Calibri"/>
          <w:i/>
          <w:szCs w:val="22"/>
          <w:lang w:eastAsia="de-DE" w:bidi="de-DE"/>
        </w:rPr>
        <w:t>2019)</w:t>
      </w:r>
      <w:r w:rsidR="00CC25F8">
        <w:rPr>
          <w:rFonts w:eastAsia="Calibri"/>
          <w:i/>
          <w:szCs w:val="22"/>
          <w:lang w:eastAsia="de-DE" w:bidi="de-DE"/>
        </w:rPr>
        <w:t xml:space="preserve">; </w:t>
      </w:r>
      <w:r w:rsidRPr="00F531CC">
        <w:rPr>
          <w:rFonts w:eastAsia="Calibri"/>
          <w:i/>
          <w:szCs w:val="22"/>
          <w:lang w:eastAsia="de-DE" w:bidi="de-DE"/>
        </w:rPr>
        <w:t xml:space="preserve">einziger Absatz Nr. 1 einziger Absatz Buchstabe d) aufgehoben durch Art. 1 Nr. 4 des K.E. vom 16. Mai 2003 (B.S. vom 5. Juni 2003); </w:t>
      </w:r>
      <w:r w:rsidR="00484A14" w:rsidRPr="00F531CC">
        <w:rPr>
          <w:rFonts w:eastAsia="Calibri"/>
          <w:i/>
          <w:szCs w:val="22"/>
          <w:lang w:eastAsia="de-DE" w:bidi="de-DE"/>
        </w:rPr>
        <w:t xml:space="preserve">einziger Absatz </w:t>
      </w:r>
      <w:r w:rsidR="00484A14">
        <w:rPr>
          <w:rFonts w:eastAsia="Calibri"/>
          <w:i/>
          <w:szCs w:val="22"/>
          <w:lang w:eastAsia="de-DE" w:bidi="de-DE"/>
        </w:rPr>
        <w:t xml:space="preserve">Nr. 1 einziger Absatz Buchstabe e) aufgehoben durch Art. 1 Nr. 2 des K.E. vom 27. März 2020 (B.S. vom 30. März 2020); </w:t>
      </w:r>
      <w:r w:rsidRPr="00F531CC">
        <w:rPr>
          <w:rFonts w:eastAsia="Calibri"/>
          <w:i/>
          <w:szCs w:val="22"/>
          <w:lang w:eastAsia="de-DE" w:bidi="de-DE"/>
        </w:rPr>
        <w:t>einziger Absatz Nr. 1 einziger Absatz Buchstabe f) ersetzt durch Art. </w:t>
      </w:r>
      <w:r w:rsidR="00484A14">
        <w:rPr>
          <w:rFonts w:eastAsia="Calibri"/>
          <w:i/>
          <w:szCs w:val="22"/>
          <w:lang w:eastAsia="de-DE" w:bidi="de-DE"/>
        </w:rPr>
        <w:t>1 Nr. 3 des K.E. vom 27. März 2020 (B.S. vom 30. März 2020)</w:t>
      </w:r>
      <w:r w:rsidRPr="00F531CC">
        <w:rPr>
          <w:rFonts w:eastAsia="Calibri"/>
          <w:i/>
          <w:szCs w:val="22"/>
          <w:lang w:eastAsia="de-DE" w:bidi="de-DE"/>
        </w:rPr>
        <w:t xml:space="preserve">; einziger Absatz Nr. 1 einziger Absatz Buchstabe g) </w:t>
      </w:r>
      <w:r w:rsidR="00484A14">
        <w:rPr>
          <w:rFonts w:eastAsia="Calibri"/>
          <w:i/>
          <w:szCs w:val="22"/>
          <w:lang w:eastAsia="de-DE" w:bidi="de-DE"/>
        </w:rPr>
        <w:t>aufgehoben durch Art. 1 Nr. 4 des K.E. vom 27. März 2020 (B.S. vom 30. März 2020)</w:t>
      </w:r>
      <w:r w:rsidRPr="00F531CC">
        <w:rPr>
          <w:rFonts w:eastAsia="Calibri"/>
          <w:i/>
          <w:szCs w:val="22"/>
          <w:lang w:eastAsia="de-DE" w:bidi="de-DE"/>
        </w:rPr>
        <w:t xml:space="preserve">; einziger Absatz Nr. 1 Buchstabe h) </w:t>
      </w:r>
      <w:r w:rsidR="00484A14">
        <w:rPr>
          <w:rFonts w:eastAsia="Calibri"/>
          <w:i/>
          <w:szCs w:val="22"/>
          <w:lang w:eastAsia="de-DE" w:bidi="de-DE"/>
        </w:rPr>
        <w:t>aufgehoben durch Art. 1 Nr. 5 des K.E. vom 27. März 2020 (B.S. vom 30. März 2020)</w:t>
      </w:r>
      <w:r w:rsidRPr="00F531CC">
        <w:rPr>
          <w:rFonts w:eastAsia="Calibri"/>
          <w:i/>
          <w:szCs w:val="22"/>
          <w:lang w:eastAsia="de-DE" w:bidi="de-DE"/>
        </w:rPr>
        <w:t xml:space="preserve">; </w:t>
      </w:r>
      <w:r w:rsidR="00484A14">
        <w:rPr>
          <w:rFonts w:eastAsia="Calibri"/>
          <w:i/>
          <w:szCs w:val="22"/>
          <w:lang w:eastAsia="de-DE" w:bidi="de-DE"/>
        </w:rPr>
        <w:t xml:space="preserve">einziger Absatz Nr. 1 einziger Absatz Buchstabe j) ersetzt durch Art. 1 Nr. 6 des K.E. vom 27. März 2020 (B.S. vom 30. März 2020); </w:t>
      </w:r>
      <w:r w:rsidRPr="00F531CC">
        <w:rPr>
          <w:rFonts w:eastAsia="Calibri"/>
          <w:i/>
          <w:szCs w:val="22"/>
          <w:lang w:eastAsia="de-DE" w:bidi="de-DE"/>
        </w:rPr>
        <w:t>einziger Absatz Nr. 1 einziger Absatz Buchstabe k) ersetzt durch Art. </w:t>
      </w:r>
      <w:r w:rsidR="00484A14">
        <w:rPr>
          <w:rFonts w:eastAsia="Calibri"/>
          <w:i/>
          <w:szCs w:val="22"/>
          <w:lang w:eastAsia="de-DE" w:bidi="de-DE"/>
        </w:rPr>
        <w:t>1 Nr. 7 des K.E. vom 27. März 2020 (B.S. vom 30. März 2020)</w:t>
      </w:r>
      <w:r w:rsidR="00084E50">
        <w:rPr>
          <w:rFonts w:eastAsia="Calibri"/>
          <w:i/>
          <w:szCs w:val="22"/>
          <w:lang w:eastAsia="de-DE" w:bidi="de-DE"/>
        </w:rPr>
        <w:t xml:space="preserve"> und abgeändert durch Art. 9 Nr. 1</w:t>
      </w:r>
      <w:r w:rsidR="00084E50" w:rsidRPr="00084E50">
        <w:rPr>
          <w:rFonts w:eastAsia="Calibri"/>
          <w:i/>
          <w:szCs w:val="22"/>
          <w:lang w:eastAsia="de-DE" w:bidi="de-DE"/>
        </w:rPr>
        <w:t xml:space="preserve"> des K.E. vom 17. Juli 2023 (II) (B.S. vom 26. Juli 2023)</w:t>
      </w:r>
      <w:r w:rsidRPr="00F531CC">
        <w:rPr>
          <w:rFonts w:eastAsia="Calibri"/>
          <w:i/>
          <w:szCs w:val="22"/>
          <w:lang w:eastAsia="de-DE" w:bidi="de-DE"/>
        </w:rPr>
        <w:t>; einziger Absatz Nr. 1 einziger Absatz Buchstabe l) abgeändert durch Art. 1 Nr. 8 des K.E. vom 16. Mai 2003 (B.S. vom 5. Juni 2003); einziger Absatz Nr. 1 einziger Absatz Buchstabe m) aufgehoben durch Art. 1 Nr. 9 des K.E. vom 16. Mai 2003 (B.S. vom 5. Juni 2003); einziger Absatz Nr. 2 einziger Absatz Buchstabe b) abgeändert durch Art. 1 des K.E. vom 1. September 2006 (II) (B.S. vom 15. September 2006)</w:t>
      </w:r>
      <w:r w:rsidR="00984F9B">
        <w:rPr>
          <w:rFonts w:eastAsia="Calibri"/>
          <w:i/>
          <w:szCs w:val="22"/>
          <w:lang w:eastAsia="de-DE" w:bidi="de-DE"/>
        </w:rPr>
        <w:t>,</w:t>
      </w:r>
      <w:r w:rsidRPr="00F531CC">
        <w:rPr>
          <w:rFonts w:eastAsia="Calibri"/>
          <w:i/>
          <w:szCs w:val="22"/>
          <w:lang w:eastAsia="de-DE" w:bidi="de-DE"/>
        </w:rPr>
        <w:t xml:space="preserve"> Art. 331 Abs. 2 des K.E. vom 3. März 2011 (B.S. vom 9. März 2011)</w:t>
      </w:r>
      <w:r w:rsidR="00084E50">
        <w:rPr>
          <w:rFonts w:eastAsia="Calibri"/>
          <w:i/>
          <w:szCs w:val="22"/>
          <w:lang w:eastAsia="de-DE" w:bidi="de-DE"/>
        </w:rPr>
        <w:t>,</w:t>
      </w:r>
      <w:r w:rsidR="00984F9B">
        <w:rPr>
          <w:rFonts w:eastAsia="Calibri"/>
          <w:i/>
          <w:szCs w:val="22"/>
          <w:lang w:eastAsia="de-DE" w:bidi="de-DE"/>
        </w:rPr>
        <w:t xml:space="preserve"> Art. 7 des K.E. vom 22. April 2019 (B.S. vom 7. Mai 2019)</w:t>
      </w:r>
      <w:r w:rsidR="00084E50">
        <w:rPr>
          <w:rFonts w:eastAsia="Calibri"/>
          <w:i/>
          <w:szCs w:val="22"/>
          <w:lang w:eastAsia="de-DE" w:bidi="de-DE"/>
        </w:rPr>
        <w:t xml:space="preserve"> und Art. 9 Nr. 2</w:t>
      </w:r>
      <w:r w:rsidR="00084E50" w:rsidRPr="00084E50">
        <w:rPr>
          <w:rFonts w:eastAsia="Calibri"/>
          <w:i/>
          <w:szCs w:val="22"/>
          <w:lang w:eastAsia="de-DE" w:bidi="de-DE"/>
        </w:rPr>
        <w:t xml:space="preserve"> des K.E. vom 17. Juli 2023 (II) (B.S. vom 26. Juli 2023)</w:t>
      </w:r>
      <w:r w:rsidRPr="00F531CC">
        <w:rPr>
          <w:rFonts w:eastAsia="Calibri"/>
          <w:i/>
          <w:szCs w:val="22"/>
          <w:lang w:eastAsia="de-DE" w:bidi="de-DE"/>
        </w:rPr>
        <w:t xml:space="preserve">; einziger Absatz Nr. 6 eingefügt durch Art. 1 des K.E. vom 22. Dezember 2003 (B.S. vom 31. Dezember 2003); </w:t>
      </w:r>
      <w:r w:rsidR="007A7C37">
        <w:rPr>
          <w:rFonts w:eastAsia="Calibri"/>
          <w:i/>
          <w:szCs w:val="22"/>
          <w:lang w:eastAsia="de-DE" w:bidi="de-DE"/>
        </w:rPr>
        <w:t>einziger Absatz Nr. 6 Buchstabe a) ergänzt durch Art. 16 Nr. 3 des K.E. vom 29. August 2019</w:t>
      </w:r>
      <w:r w:rsidR="00865C4C">
        <w:rPr>
          <w:rFonts w:eastAsia="Calibri"/>
          <w:i/>
          <w:szCs w:val="22"/>
          <w:lang w:eastAsia="de-DE" w:bidi="de-DE"/>
        </w:rPr>
        <w:t> (I)</w:t>
      </w:r>
      <w:r w:rsidR="007A7C37">
        <w:rPr>
          <w:rFonts w:eastAsia="Calibri"/>
          <w:i/>
          <w:szCs w:val="22"/>
          <w:lang w:eastAsia="de-DE" w:bidi="de-DE"/>
        </w:rPr>
        <w:t xml:space="preserve"> (B.S. vom 13. September 2019); </w:t>
      </w:r>
      <w:r w:rsidRPr="00F531CC">
        <w:rPr>
          <w:rFonts w:eastAsia="Calibri"/>
          <w:i/>
          <w:szCs w:val="22"/>
          <w:lang w:eastAsia="de-DE" w:bidi="de-DE"/>
        </w:rPr>
        <w:t>einziger Absatz Nr. 6 Buchstabe b) Abs. 1 (früherer einziger Absatz) erster und zweiter Gedankenstrich abgeändert durch Art. 2 des K.E. vom 13. August 2004 (B.S. vom 7. September 2004); einziger Absatz Nr. 6 Buchstabe b) Abs. 2 eingefügt durch Art. 12 Nr. 2 des K.E. vom 20. Januar 2005 (B.S. vom 1. Februar 2005)]</w:t>
      </w:r>
    </w:p>
    <w:p w14:paraId="5DE372A1" w14:textId="77777777" w:rsidR="007D52CA" w:rsidRPr="00F531CC" w:rsidRDefault="007D52CA" w:rsidP="007D52CA">
      <w:pPr>
        <w:jc w:val="both"/>
        <w:rPr>
          <w:rFonts w:eastAsia="Calibri"/>
          <w:szCs w:val="22"/>
          <w:lang w:eastAsia="de-DE" w:bidi="de-DE"/>
        </w:rPr>
      </w:pPr>
    </w:p>
    <w:p w14:paraId="79B16440" w14:textId="77777777" w:rsidR="007D52CA" w:rsidRPr="00F531CC" w:rsidRDefault="007D52CA" w:rsidP="007D52CA">
      <w:pPr>
        <w:jc w:val="both"/>
        <w:rPr>
          <w:rFonts w:eastAsia="Calibri"/>
          <w:szCs w:val="22"/>
          <w:lang w:eastAsia="de-DE" w:bidi="de-DE"/>
        </w:rPr>
      </w:pPr>
    </w:p>
    <w:p w14:paraId="255FDC5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106 -</w:t>
      </w:r>
      <w:r w:rsidRPr="00F531CC">
        <w:rPr>
          <w:rFonts w:eastAsia="Calibri"/>
          <w:szCs w:val="22"/>
          <w:lang w:eastAsia="de-DE" w:bidi="de-DE"/>
        </w:rPr>
        <w:t xml:space="preserve"> § 1 - Von der Einnahme des Mobiliensteuervorabzugs auf [Dividenden [...]], deren Schuldner eine ausländische Gesellschaft und deren Empfänger als inländische Gesellschaft [oder belgische Niederlassung einer in einem anderen Mitgliedstaat des Europäischen Wirtschaftsraums ansässigen Gesellschaft] identifiziert wird, wird vollständig abgesehen.</w:t>
      </w:r>
    </w:p>
    <w:p w14:paraId="6993ED02" w14:textId="77777777" w:rsidR="007D52CA" w:rsidRPr="00F531CC" w:rsidRDefault="007D52CA" w:rsidP="007D52CA">
      <w:pPr>
        <w:jc w:val="both"/>
        <w:rPr>
          <w:rFonts w:eastAsia="Calibri"/>
          <w:szCs w:val="22"/>
          <w:lang w:eastAsia="de-DE" w:bidi="de-DE"/>
        </w:rPr>
      </w:pPr>
    </w:p>
    <w:p w14:paraId="6AF860E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p>
    <w:p w14:paraId="55AA95CC" w14:textId="77777777" w:rsidR="007D52CA" w:rsidRPr="00F531CC" w:rsidRDefault="007D52CA" w:rsidP="007D52CA">
      <w:pPr>
        <w:jc w:val="both"/>
        <w:rPr>
          <w:rFonts w:eastAsia="Calibri"/>
          <w:szCs w:val="22"/>
          <w:lang w:eastAsia="de-DE" w:bidi="de-DE"/>
        </w:rPr>
      </w:pPr>
    </w:p>
    <w:p w14:paraId="0C41942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Dieser Verzicht bleibt ohne Folgen für Dividenden wie in Absatz 1 erwähnt, die zugunsten eines belgischen Investmentfonds eingenommen werden oder in Einkünften aus Zertifikaten von ausländischen Investmentfonds enthalten sind.</w:t>
      </w:r>
    </w:p>
    <w:p w14:paraId="4ADD0B89" w14:textId="77777777" w:rsidR="007D52CA" w:rsidRPr="00F531CC" w:rsidRDefault="007D52CA" w:rsidP="007D52CA">
      <w:pPr>
        <w:jc w:val="both"/>
        <w:rPr>
          <w:rFonts w:eastAsia="Calibri"/>
          <w:szCs w:val="22"/>
          <w:lang w:eastAsia="de-DE" w:bidi="de-DE"/>
        </w:rPr>
      </w:pPr>
    </w:p>
    <w:p w14:paraId="1D10542C" w14:textId="4BF2C117" w:rsidR="007D52CA" w:rsidRPr="00AC0F23" w:rsidRDefault="007D52CA" w:rsidP="007D52CA">
      <w:pPr>
        <w:jc w:val="both"/>
        <w:rPr>
          <w:rFonts w:eastAsia="Calibri"/>
          <w:spacing w:val="-4"/>
          <w:szCs w:val="22"/>
          <w:lang w:eastAsia="de-DE" w:bidi="de-DE"/>
        </w:rPr>
      </w:pPr>
      <w:r w:rsidRPr="00AC0F23">
        <w:rPr>
          <w:rFonts w:eastAsia="Calibri"/>
          <w:spacing w:val="-4"/>
          <w:szCs w:val="22"/>
          <w:lang w:eastAsia="de-DE" w:bidi="de-DE"/>
        </w:rPr>
        <w:tab/>
        <w:t>§ 2 - Ebenfalls wird vollständig abgesehen von der Einnahme des Mobiliensteuer</w:t>
      </w:r>
      <w:r w:rsidRPr="00AC0F23">
        <w:rPr>
          <w:rFonts w:eastAsia="Calibri"/>
          <w:spacing w:val="-4"/>
          <w:szCs w:val="22"/>
          <w:lang w:eastAsia="de-DE" w:bidi="de-DE"/>
        </w:rPr>
        <w:softHyphen/>
        <w:t xml:space="preserve">vorabzugs auf Dividenden [und in </w:t>
      </w:r>
      <w:r w:rsidR="00665441">
        <w:rPr>
          <w:rFonts w:eastAsia="Calibri"/>
          <w:spacing w:val="-4"/>
          <w:szCs w:val="22"/>
          <w:lang w:eastAsia="de-DE" w:bidi="de-DE"/>
        </w:rPr>
        <w:t>[</w:t>
      </w:r>
      <w:r w:rsidR="00665441" w:rsidRPr="00B617CF">
        <w:t>Artikel 90 Absatz 1 Nr. 11</w:t>
      </w:r>
      <w:r w:rsidR="00665441">
        <w:rPr>
          <w:rFonts w:eastAsia="Calibri"/>
          <w:spacing w:val="-4"/>
          <w:szCs w:val="22"/>
          <w:lang w:eastAsia="de-DE" w:bidi="de-DE"/>
        </w:rPr>
        <w:t>]</w:t>
      </w:r>
      <w:r w:rsidRPr="00AC0F23">
        <w:rPr>
          <w:rFonts w:eastAsia="Calibri"/>
          <w:spacing w:val="-4"/>
          <w:szCs w:val="22"/>
          <w:lang w:eastAsia="de-DE" w:bidi="de-DE"/>
        </w:rPr>
        <w:t xml:space="preserve"> desselben Gesetzbuches erwähnte Einkünfte in Bezug auf belgische Aktien oder Anteile], deren Schuldner entweder eine Gesellschaft, Vereinigung, Niederlassung oder Einrichtung mit </w:t>
      </w:r>
      <w:r w:rsidR="007A7C37">
        <w:rPr>
          <w:rFonts w:eastAsia="Calibri"/>
          <w:spacing w:val="-4"/>
          <w:szCs w:val="22"/>
          <w:lang w:eastAsia="de-DE" w:bidi="de-DE"/>
        </w:rPr>
        <w:t>[…]</w:t>
      </w:r>
      <w:r w:rsidRPr="00AC0F23">
        <w:rPr>
          <w:rFonts w:eastAsia="Calibri"/>
          <w:spacing w:val="-4"/>
          <w:szCs w:val="22"/>
          <w:lang w:eastAsia="de-DE" w:bidi="de-DE"/>
        </w:rPr>
        <w:t xml:space="preserve"> Haupt</w:t>
      </w:r>
      <w:r w:rsidRPr="00AC0F23">
        <w:rPr>
          <w:rFonts w:eastAsia="Calibri"/>
          <w:spacing w:val="-4"/>
          <w:szCs w:val="22"/>
          <w:lang w:eastAsia="de-DE" w:bidi="de-DE"/>
        </w:rPr>
        <w:softHyphen/>
        <w:t xml:space="preserve">niederlassung oder Geschäftsführungs- oder Verwaltungssitz in Belgien oder eine juristische Person des belgischen </w:t>
      </w:r>
      <w:r w:rsidRPr="00AC0F23">
        <w:rPr>
          <w:rFonts w:eastAsia="Calibri"/>
          <w:spacing w:val="-4"/>
          <w:szCs w:val="22"/>
          <w:lang w:eastAsia="de-DE" w:bidi="de-DE"/>
        </w:rPr>
        <w:lastRenderedPageBreak/>
        <w:t xml:space="preserve">öffentlichen Rechts ist und deren Empfänger identifiziert wird als [ein in Artikel 227 Nr. 3 desselben Gesetzbuches erwähnter gebietsfremder Sparer, dessen </w:t>
      </w:r>
      <w:r w:rsidR="007A7C37">
        <w:rPr>
          <w:rFonts w:eastAsia="Calibri"/>
          <w:spacing w:val="-4"/>
          <w:szCs w:val="22"/>
          <w:lang w:eastAsia="de-DE" w:bidi="de-DE"/>
        </w:rPr>
        <w:t>[Gegenstand]</w:t>
      </w:r>
      <w:r w:rsidRPr="00AC0F23">
        <w:rPr>
          <w:rFonts w:eastAsia="Calibri"/>
          <w:spacing w:val="-4"/>
          <w:szCs w:val="22"/>
          <w:lang w:eastAsia="de-DE" w:bidi="de-DE"/>
        </w:rPr>
        <w:t xml:space="preserve"> ausschließlich in der Verwaltung und Anlage der Gelder besteht, die mit dem Ziel gesammelt werden, gesetzliche oder ergänzende Pensionen auszuzahlen, und der ohne Gewinn</w:t>
      </w:r>
      <w:r w:rsidR="00AC0F23" w:rsidRPr="00AC0F23">
        <w:rPr>
          <w:rFonts w:eastAsia="Calibri"/>
          <w:spacing w:val="-4"/>
          <w:szCs w:val="22"/>
          <w:lang w:eastAsia="de-DE" w:bidi="de-DE"/>
        </w:rPr>
        <w:softHyphen/>
      </w:r>
      <w:r w:rsidRPr="00AC0F23">
        <w:rPr>
          <w:rFonts w:eastAsia="Calibri"/>
          <w:spacing w:val="-4"/>
          <w:szCs w:val="22"/>
          <w:lang w:eastAsia="de-DE" w:bidi="de-DE"/>
        </w:rPr>
        <w:t>erzielungsabsicht ausschließlich in Artikel 182 Nr. 2 desselben Gesetzbuches erwähnte Geschäfte betreibt] und in dem Land, in dem er ansässig ist, von der Einkommensteuer befreit ist.</w:t>
      </w:r>
    </w:p>
    <w:p w14:paraId="1679E7D1" w14:textId="77777777" w:rsidR="007D52CA" w:rsidRPr="00F531CC" w:rsidRDefault="007D52CA" w:rsidP="007D52CA">
      <w:pPr>
        <w:jc w:val="both"/>
        <w:rPr>
          <w:rFonts w:eastAsia="Calibri"/>
          <w:szCs w:val="22"/>
          <w:lang w:eastAsia="de-DE" w:bidi="de-DE"/>
        </w:rPr>
      </w:pPr>
    </w:p>
    <w:p w14:paraId="5DBEE98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3 - [...]</w:t>
      </w:r>
    </w:p>
    <w:p w14:paraId="0010FCFE" w14:textId="77777777" w:rsidR="007D52CA" w:rsidRPr="00F531CC" w:rsidRDefault="007D52CA" w:rsidP="007D52CA">
      <w:pPr>
        <w:jc w:val="both"/>
        <w:rPr>
          <w:rFonts w:eastAsia="Calibri"/>
          <w:szCs w:val="22"/>
          <w:lang w:eastAsia="de-DE" w:bidi="de-DE"/>
        </w:rPr>
      </w:pPr>
    </w:p>
    <w:p w14:paraId="26C64AC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4 - [Die Bestimmungen von § 2 sind nicht anwendbar, wenn der gebietsfremde Sparer verpflichtet ist, entweder dem Endempfänger aufgrund einer vertraglichen Verpflichtung den Ertrag der belgischen Aktien oder Anteile, die er in seinem eigenen Namen verwaltet, zu zahlen oder ein in </w:t>
      </w:r>
      <w:r w:rsidR="00665441">
        <w:rPr>
          <w:rFonts w:eastAsia="Calibri"/>
          <w:szCs w:val="22"/>
          <w:lang w:eastAsia="de-DE" w:bidi="de-DE"/>
        </w:rPr>
        <w:t>[</w:t>
      </w:r>
      <w:r w:rsidR="00665441" w:rsidRPr="00B617CF">
        <w:t>Artikel 90 Absatz 1 Nr. 11</w:t>
      </w:r>
      <w:r w:rsidR="00665441">
        <w:rPr>
          <w:rFonts w:eastAsia="Calibri"/>
          <w:szCs w:val="22"/>
          <w:lang w:eastAsia="de-DE" w:bidi="de-DE"/>
        </w:rPr>
        <w:t>]</w:t>
      </w:r>
      <w:r w:rsidRPr="00F531CC">
        <w:rPr>
          <w:rFonts w:eastAsia="Calibri"/>
          <w:szCs w:val="22"/>
          <w:lang w:eastAsia="de-DE" w:bidi="de-DE"/>
        </w:rPr>
        <w:t xml:space="preserve"> desselben Gesetzbuches erwähntes Einkommen in Bezug auf belgische Aktien oder Anteile, die er aufgrund einer Anleihe besitzt, zu zahlen, [außer wenn der Endempfänger ebenfalls ein in § 2 erwähnter gebietsfremder Sparer oder - nur im zweiten Fall - eine in den Paragraphen 5 oder 6 erwähnte Muttergesellschaft der Dividenden ausschüttenden Gesellschaft ist.]</w:t>
      </w:r>
    </w:p>
    <w:p w14:paraId="203092F6" w14:textId="77777777" w:rsidR="007D52CA" w:rsidRPr="00F531CC" w:rsidRDefault="007D52CA" w:rsidP="007D52CA">
      <w:pPr>
        <w:jc w:val="both"/>
        <w:rPr>
          <w:rFonts w:eastAsia="Calibri"/>
          <w:szCs w:val="22"/>
          <w:lang w:eastAsia="de-DE" w:bidi="de-DE"/>
        </w:rPr>
      </w:pPr>
    </w:p>
    <w:p w14:paraId="0282AB7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p>
    <w:p w14:paraId="69F9456E" w14:textId="77777777" w:rsidR="007D52CA" w:rsidRPr="00F531CC" w:rsidRDefault="007D52CA" w:rsidP="007D52CA">
      <w:pPr>
        <w:rPr>
          <w:rFonts w:eastAsia="Calibri"/>
          <w:szCs w:val="22"/>
          <w:lang w:eastAsia="de-DE" w:bidi="de-DE"/>
        </w:rPr>
      </w:pPr>
    </w:p>
    <w:p w14:paraId="1AE96C33" w14:textId="77777777" w:rsidR="007D52CA" w:rsidRPr="00AC0F23" w:rsidRDefault="007D52CA" w:rsidP="007D52CA">
      <w:pPr>
        <w:jc w:val="both"/>
        <w:rPr>
          <w:rFonts w:eastAsia="Calibri"/>
          <w:spacing w:val="-2"/>
          <w:szCs w:val="22"/>
          <w:lang w:eastAsia="de-DE" w:bidi="de-DE"/>
        </w:rPr>
      </w:pPr>
      <w:r w:rsidRPr="00AC0F23">
        <w:rPr>
          <w:rFonts w:eastAsia="Calibri"/>
          <w:spacing w:val="-2"/>
          <w:szCs w:val="22"/>
          <w:lang w:eastAsia="de-DE" w:bidi="de-DE"/>
        </w:rPr>
        <w:tab/>
        <w:t>§ 5 - Von der Einnahme des Mobiliensteuervorabzugs auf Dividenden, deren Schuldner eine belgische Tochtergesellschaft und deren Empfänger [eine Muttergesellschaft ist, die in einem anderen Mitgliedstaat der Europäischen Union als Belgien oder in einem Staat, mit dem Belgien ein Abkommen zur Vermeidung der Doppelbesteuerung abgeschlossen hat, ansässig ist, wird vollständig abgesehen unter der Bedingung, dass dieses Abkommen oder ein anderes Abkommen den Austausch von Auskünften vorsieht, die erforderlich sind, um die Bestimmungen der nationalen Rechtsvorschriften der Vertragsstaaten anzuwenden.]</w:t>
      </w:r>
    </w:p>
    <w:p w14:paraId="07E8A5D7" w14:textId="77777777" w:rsidR="007D52CA" w:rsidRPr="00F531CC" w:rsidRDefault="007D52CA" w:rsidP="007D52CA">
      <w:pPr>
        <w:jc w:val="both"/>
        <w:rPr>
          <w:rFonts w:eastAsia="Calibri"/>
          <w:szCs w:val="22"/>
          <w:lang w:eastAsia="de-DE" w:bidi="de-DE"/>
        </w:rPr>
      </w:pPr>
    </w:p>
    <w:p w14:paraId="032EDD4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[Dieser Verzicht gilt jedoch nicht, wenn die Beteiligung der Muttergesellschaft, die die Dividenden ausschüttet, nicht den in § 6</w:t>
      </w:r>
      <w:r w:rsidRPr="00F531CC">
        <w:rPr>
          <w:rFonts w:eastAsia="Calibri"/>
          <w:i/>
          <w:szCs w:val="22"/>
          <w:lang w:eastAsia="de-DE" w:bidi="de-DE"/>
        </w:rPr>
        <w:t>bis</w:t>
      </w:r>
      <w:r w:rsidRPr="00F531CC">
        <w:rPr>
          <w:rFonts w:eastAsia="Calibri"/>
          <w:szCs w:val="22"/>
          <w:lang w:eastAsia="de-DE" w:bidi="de-DE"/>
        </w:rPr>
        <w:t xml:space="preserve"> erwähnten Mindestprozentsatz des Kapitals der Tochtergesellschaft erreicht und diese Mindestbeteiligung nicht während eines ununter</w:t>
      </w:r>
      <w:r w:rsidRPr="00F531CC">
        <w:rPr>
          <w:rFonts w:eastAsia="Calibri"/>
          <w:szCs w:val="22"/>
          <w:lang w:eastAsia="de-DE" w:bidi="de-DE"/>
        </w:rPr>
        <w:softHyphen/>
        <w:t>brochenen Zeitraums von mindestens einem Jahr aufrechterhalten wird oder wurde.]</w:t>
      </w:r>
    </w:p>
    <w:p w14:paraId="37EAF0A3" w14:textId="77777777" w:rsidR="007D52CA" w:rsidRPr="00F531CC" w:rsidRDefault="007D52CA" w:rsidP="007D52CA">
      <w:pPr>
        <w:jc w:val="both"/>
        <w:rPr>
          <w:rFonts w:eastAsia="Calibri"/>
          <w:szCs w:val="22"/>
          <w:lang w:eastAsia="de-DE" w:bidi="de-DE"/>
        </w:rPr>
      </w:pPr>
    </w:p>
    <w:p w14:paraId="4B1E77E1" w14:textId="57919ABD" w:rsidR="007D52CA" w:rsidRPr="00F531CC" w:rsidRDefault="007D52CA" w:rsidP="007D52CA">
      <w:pPr>
        <w:jc w:val="both"/>
        <w:rPr>
          <w:rFonts w:eastAsia="Calibri"/>
          <w:szCs w:val="22"/>
          <w:lang w:eastAsia="de-DE" w:bidi="de-DE"/>
        </w:rPr>
      </w:pPr>
      <w:r w:rsidRPr="00F531CC">
        <w:rPr>
          <w:rFonts w:eastAsia="Calibri"/>
          <w:szCs w:val="22"/>
          <w:lang w:eastAsia="de-DE" w:bidi="de-DE"/>
        </w:rPr>
        <w:tab/>
        <w:t>[Für die Anwendung der Absätze 1 und 2 versteht man unter Tochter- oder Muttergesellschaft eine Gesellschaft, die:</w:t>
      </w:r>
    </w:p>
    <w:p w14:paraId="6AE9DB56" w14:textId="77777777" w:rsidR="007D52CA" w:rsidRPr="00F531CC" w:rsidRDefault="007D52CA" w:rsidP="007D52CA">
      <w:pPr>
        <w:jc w:val="both"/>
        <w:rPr>
          <w:rFonts w:eastAsia="Calibri"/>
          <w:szCs w:val="22"/>
          <w:lang w:eastAsia="de-DE" w:bidi="de-DE"/>
        </w:rPr>
      </w:pPr>
    </w:p>
    <w:p w14:paraId="289061F6" w14:textId="67E11FC4"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xml:space="preserve"> eine der Rechtsformen hat wie aufgeführt </w:t>
      </w:r>
      <w:r w:rsidR="001A670A">
        <w:rPr>
          <w:rFonts w:eastAsia="Calibri"/>
          <w:szCs w:val="22"/>
          <w:lang w:eastAsia="de-DE" w:bidi="de-DE"/>
        </w:rPr>
        <w:t>[</w:t>
      </w:r>
      <w:r w:rsidR="001A670A" w:rsidRPr="00A115C4">
        <w:t>im Anhang der Richtlinie 2011/96/EU des Rates vom 30. November 2011 über das gemeinsame Steuersystem der Mutter- und Tochtergesellschaften verschiedener Mitgliedstaaten</w:t>
      </w:r>
      <w:r w:rsidR="001A670A">
        <w:rPr>
          <w:rFonts w:eastAsia="Calibri"/>
          <w:szCs w:val="22"/>
          <w:lang w:eastAsia="de-DE" w:bidi="de-DE"/>
        </w:rPr>
        <w:t>]</w:t>
      </w:r>
      <w:r w:rsidRPr="00F531CC">
        <w:rPr>
          <w:rFonts w:eastAsia="Calibri"/>
          <w:szCs w:val="22"/>
          <w:lang w:eastAsia="de-DE" w:bidi="de-DE"/>
        </w:rPr>
        <w:t xml:space="preserve"> oder - in einem Staat, mit dem Belgien ein Abkommen zur Vermeidung der Doppelbesteuerung abgeschlossen hat - eine damit vergleichbare Rechtsform hat</w:t>
      </w:r>
      <w:r w:rsidR="007A7C37">
        <w:rPr>
          <w:rFonts w:eastAsia="Calibri"/>
          <w:szCs w:val="22"/>
          <w:lang w:eastAsia="de-DE" w:bidi="de-DE"/>
        </w:rPr>
        <w:t>[</w:t>
      </w:r>
      <w:r w:rsidR="007A7C37" w:rsidRPr="00402AAD">
        <w:t>, wobei in Bezug auf Gesellschaften nach belgischem Recht die Verweise auf "</w:t>
      </w:r>
      <w:r w:rsidR="007A7C37" w:rsidRPr="00F776D4">
        <w:t>société privée à responsabilité limitée</w:t>
      </w:r>
      <w:r w:rsidR="007A7C37" w:rsidRPr="00402AAD">
        <w:t>"/"</w:t>
      </w:r>
      <w:r w:rsidR="007A7C37" w:rsidRPr="00F776D4">
        <w:t>besloten vennootschap met beperkte aansprakelijkheid</w:t>
      </w:r>
      <w:r w:rsidR="007A7C37" w:rsidRPr="00402AAD">
        <w:t>", auf "</w:t>
      </w:r>
      <w:r w:rsidR="007A7C37" w:rsidRPr="00F776D4">
        <w:t>société coopérative à responsabilité limitée</w:t>
      </w:r>
      <w:r w:rsidR="007A7C37" w:rsidRPr="00402AAD">
        <w:t>"/"</w:t>
      </w:r>
      <w:r w:rsidR="007A7C37" w:rsidRPr="00F776D4">
        <w:t>coöperatieve vennootschap met beperkte aansprakelijkheid</w:t>
      </w:r>
      <w:r w:rsidR="007A7C37" w:rsidRPr="00402AAD">
        <w:t>" und "</w:t>
      </w:r>
      <w:r w:rsidR="007A7C37" w:rsidRPr="00F776D4">
        <w:t>société coopérative à responsabilité illimitée</w:t>
      </w:r>
      <w:r w:rsidR="007A7C37" w:rsidRPr="00402AAD">
        <w:t>"/"</w:t>
      </w:r>
      <w:r w:rsidR="007A7C37" w:rsidRPr="00F776D4">
        <w:t>coöperatieve vennootschap met onbeperkte aansprakelijkheid</w:t>
      </w:r>
      <w:r w:rsidR="007A7C37" w:rsidRPr="00402AAD">
        <w:t>" und auf "</w:t>
      </w:r>
      <w:r w:rsidR="007A7C37" w:rsidRPr="00F776D4">
        <w:t>société en commandite simple</w:t>
      </w:r>
      <w:r w:rsidR="007A7C37" w:rsidRPr="00402AAD">
        <w:t>"/"</w:t>
      </w:r>
      <w:r w:rsidR="007A7C37" w:rsidRPr="00F776D4">
        <w:t>gewone commanditaire vennootschap</w:t>
      </w:r>
      <w:r w:rsidR="007A7C37" w:rsidRPr="00402AAD">
        <w:t>", das heißt auf die "Privatgesellschaft mit beschränkter Haftung", auf die "Genossenschaft mit beschränkter Haftung" und die "Genossenschaft mit unbeschränkter Haftung" und auf die "einfache Kommanditgesellschaft", als Verweis auf "</w:t>
      </w:r>
      <w:r w:rsidR="007A7C37" w:rsidRPr="00F776D4">
        <w:t>société à responsabilité limitée</w:t>
      </w:r>
      <w:r w:rsidR="007A7C37" w:rsidRPr="00402AAD">
        <w:t>"/"</w:t>
      </w:r>
      <w:r w:rsidR="007A7C37" w:rsidRPr="00F776D4">
        <w:t>besloten vennootschap</w:t>
      </w:r>
      <w:r w:rsidR="007A7C37" w:rsidRPr="00402AAD">
        <w:t>", "</w:t>
      </w:r>
      <w:r w:rsidR="007A7C37" w:rsidRPr="00F776D4">
        <w:t>société coopérative</w:t>
      </w:r>
      <w:r w:rsidR="007A7C37" w:rsidRPr="00402AAD">
        <w:t>"/"</w:t>
      </w:r>
      <w:r w:rsidR="007A7C37" w:rsidRPr="00F776D4">
        <w:t>coöperatieve vennootschap</w:t>
      </w:r>
      <w:r w:rsidR="007A7C37" w:rsidRPr="00402AAD">
        <w:t>" und "</w:t>
      </w:r>
      <w:r w:rsidR="007A7C37" w:rsidRPr="00F776D4">
        <w:t xml:space="preserve">société en </w:t>
      </w:r>
      <w:r w:rsidR="007A7C37" w:rsidRPr="00F776D4">
        <w:lastRenderedPageBreak/>
        <w:t>commandite</w:t>
      </w:r>
      <w:r w:rsidR="007A7C37" w:rsidRPr="00402AAD">
        <w:t>"/"</w:t>
      </w:r>
      <w:r w:rsidR="007A7C37" w:rsidRPr="00F776D4">
        <w:t>commanditaire vennootschap</w:t>
      </w:r>
      <w:r w:rsidR="007A7C37" w:rsidRPr="00402AAD">
        <w:t>", das heißt auf die "Gesellschaft mit beschränkter Haftung", die "Genossenschaft" beziehungsweise die "Kommanditgesellschaft", zu verstehen sind</w:t>
      </w:r>
      <w:r w:rsidR="007A7C37">
        <w:rPr>
          <w:rFonts w:eastAsia="Calibri"/>
          <w:szCs w:val="22"/>
          <w:lang w:eastAsia="de-DE" w:bidi="de-DE"/>
        </w:rPr>
        <w:t>]</w:t>
      </w:r>
      <w:r w:rsidRPr="00F531CC">
        <w:rPr>
          <w:rFonts w:eastAsia="Calibri"/>
          <w:szCs w:val="22"/>
          <w:lang w:eastAsia="de-DE" w:bidi="de-DE"/>
        </w:rPr>
        <w:t>,</w:t>
      </w:r>
    </w:p>
    <w:p w14:paraId="460AED9D" w14:textId="77777777" w:rsidR="007D52CA" w:rsidRPr="00F531CC" w:rsidRDefault="007D52CA" w:rsidP="007D52CA">
      <w:pPr>
        <w:jc w:val="both"/>
        <w:rPr>
          <w:rFonts w:eastAsia="Calibri"/>
          <w:szCs w:val="22"/>
          <w:lang w:eastAsia="de-DE" w:bidi="de-DE"/>
        </w:rPr>
      </w:pPr>
    </w:p>
    <w:p w14:paraId="2C4A724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gemäß den steuerrechtlichen Vorschriften des Staates, in dem sie ansässig ist, und gemäß den Abkommen zur Vermeidung der Doppelbesteuerung, die dieser Staat mit Drittstaaten abgeschlossen hat, als mit Steuerwohnsitz in diesem Staat angesehen wird,</w:t>
      </w:r>
    </w:p>
    <w:p w14:paraId="3F10051C" w14:textId="77777777" w:rsidR="007D52CA" w:rsidRPr="00F531CC" w:rsidRDefault="007D52CA" w:rsidP="007D52CA">
      <w:pPr>
        <w:jc w:val="both"/>
        <w:rPr>
          <w:rFonts w:eastAsia="Calibri"/>
          <w:szCs w:val="22"/>
          <w:lang w:eastAsia="de-DE" w:bidi="de-DE"/>
        </w:rPr>
      </w:pPr>
    </w:p>
    <w:p w14:paraId="64A0D6C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dort der Gesellschaftssteuer oder einer ähnlichen Steuer wie der Gesellschaftssteuer unterliegt, ohne dass ein vom allgemeinen Recht abweichendes Besteuerungssystem zu ihren Gunsten angewandt wird.]</w:t>
      </w:r>
    </w:p>
    <w:p w14:paraId="095CF880" w14:textId="77777777" w:rsidR="007D52CA" w:rsidRPr="00F531CC" w:rsidRDefault="007D52CA" w:rsidP="007D52CA">
      <w:pPr>
        <w:jc w:val="both"/>
        <w:rPr>
          <w:rFonts w:eastAsia="Calibri"/>
          <w:szCs w:val="22"/>
          <w:lang w:eastAsia="de-DE" w:bidi="de-DE"/>
        </w:rPr>
      </w:pPr>
    </w:p>
    <w:p w14:paraId="4EB5F64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p>
    <w:p w14:paraId="35B6E3D4" w14:textId="77777777" w:rsidR="007D52CA" w:rsidRPr="00F531CC" w:rsidRDefault="007D52CA" w:rsidP="007D52CA">
      <w:pPr>
        <w:jc w:val="both"/>
        <w:rPr>
          <w:rFonts w:eastAsia="Calibri"/>
          <w:szCs w:val="22"/>
          <w:lang w:eastAsia="de-DE" w:bidi="de-DE"/>
        </w:rPr>
      </w:pPr>
    </w:p>
    <w:p w14:paraId="444F1F8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[Für die Festlegung der Mindestbeteiligung am Kapital der Tochtergesellschaft werden für die Anwendung des vorliegenden Paragraphen beim Zedenten, Pfandschuldner und Verleiher Aktien oder Anteile nicht berücksichtigt, die zum Zeitpunkt der Zuerkennung oder Ausschüttung der Einkünfte Gegenstand einer Vereinbarung über die Leistung von dinglichen Sicherheiten oder eines Verleihs in Bezug auf diese Aktien oder Anteile sind.]</w:t>
      </w:r>
    </w:p>
    <w:p w14:paraId="2A79138D" w14:textId="77777777" w:rsidR="007D52CA" w:rsidRPr="00F531CC" w:rsidRDefault="007D52CA" w:rsidP="007D52CA">
      <w:pPr>
        <w:jc w:val="both"/>
        <w:rPr>
          <w:rFonts w:eastAsia="Calibri"/>
          <w:szCs w:val="22"/>
          <w:lang w:eastAsia="de-DE" w:bidi="de-DE"/>
        </w:rPr>
      </w:pPr>
    </w:p>
    <w:p w14:paraId="01EFC0B9"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6 - Von der Einnahme des Mobiliensteuervorabzugs auf Dividenden, deren Schuldner und Empfänger inländische Gesellschaften sind, wird vollständig abgesehen.</w:t>
      </w:r>
    </w:p>
    <w:p w14:paraId="65C12B08" w14:textId="77777777" w:rsidR="007D52CA" w:rsidRPr="00F531CC" w:rsidRDefault="007D52CA" w:rsidP="007D52CA">
      <w:pPr>
        <w:jc w:val="both"/>
        <w:rPr>
          <w:rFonts w:eastAsia="Calibri"/>
          <w:szCs w:val="22"/>
          <w:lang w:eastAsia="de-DE" w:bidi="de-DE"/>
        </w:rPr>
      </w:pPr>
    </w:p>
    <w:p w14:paraId="3E9CCA1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[Dieser Verzicht gilt jedoch nicht, wenn die Beteiligung der Muttergesellschaft, die die Dividenden ausschüttet, nicht den in § 6</w:t>
      </w:r>
      <w:r w:rsidRPr="00F531CC">
        <w:rPr>
          <w:rFonts w:eastAsia="Calibri"/>
          <w:i/>
          <w:szCs w:val="22"/>
          <w:lang w:eastAsia="de-DE" w:bidi="de-DE"/>
        </w:rPr>
        <w:t>bis</w:t>
      </w:r>
      <w:r w:rsidRPr="00F531CC">
        <w:rPr>
          <w:rFonts w:eastAsia="Calibri"/>
          <w:szCs w:val="22"/>
          <w:lang w:eastAsia="de-DE" w:bidi="de-DE"/>
        </w:rPr>
        <w:t xml:space="preserve"> erwähnten Mindestprozentsatz des Kapitals der Tochtergesellschaft erreicht und diese Mindestbeteiligung nicht während eines ununterbrochenen Zeitraums von mindestens einem Jahr aufrechterhalten wird oder wurde.]</w:t>
      </w:r>
    </w:p>
    <w:p w14:paraId="2001D2B0" w14:textId="77777777" w:rsidR="007D52CA" w:rsidRPr="00F531CC" w:rsidRDefault="007D52CA" w:rsidP="007D52CA">
      <w:pPr>
        <w:jc w:val="both"/>
        <w:rPr>
          <w:rFonts w:eastAsia="Calibri"/>
          <w:szCs w:val="22"/>
          <w:lang w:eastAsia="de-DE" w:bidi="de-DE"/>
        </w:rPr>
      </w:pPr>
    </w:p>
    <w:p w14:paraId="00FC66D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p>
    <w:p w14:paraId="6E02ACE2" w14:textId="77777777" w:rsidR="007D52CA" w:rsidRDefault="007D52CA" w:rsidP="007D52CA">
      <w:pPr>
        <w:jc w:val="both"/>
        <w:rPr>
          <w:rFonts w:eastAsia="Calibri"/>
          <w:szCs w:val="22"/>
          <w:lang w:eastAsia="de-DE" w:bidi="de-DE"/>
        </w:rPr>
      </w:pPr>
    </w:p>
    <w:p w14:paraId="77AF455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[Für die Festlegung der Mindestbeteiligung am Kapital der Tochtergesellschaft werden für die Anwendung des vorliegenden Paragraphen beim Zedenten, Pfandschuldner und Verleiher Aktien oder Anteile nicht berücksichtigt, die zum Zeitpunkt der Zuerkennung oder Ausschüttung der Einkünfte Gegenstand einer Vereinbarung über die Leistung von dinglichen Sicherheiten oder eines Verleihs in Bezug auf diese Aktien oder Anteile sind.]</w:t>
      </w:r>
    </w:p>
    <w:p w14:paraId="1A0363D6" w14:textId="77777777" w:rsidR="007D52CA" w:rsidRPr="00F531CC" w:rsidRDefault="007D52CA" w:rsidP="007D52CA">
      <w:pPr>
        <w:jc w:val="both"/>
        <w:rPr>
          <w:rFonts w:eastAsia="Calibri"/>
          <w:szCs w:val="22"/>
          <w:lang w:eastAsia="de-DE" w:bidi="de-DE"/>
        </w:rPr>
      </w:pPr>
    </w:p>
    <w:p w14:paraId="0F19C4C3" w14:textId="1C63EA59" w:rsidR="007D52CA" w:rsidRPr="00F531CC" w:rsidRDefault="007D52CA" w:rsidP="007D52CA">
      <w:pPr>
        <w:jc w:val="both"/>
        <w:rPr>
          <w:rFonts w:eastAsia="Calibri"/>
          <w:szCs w:val="22"/>
          <w:lang w:eastAsia="de-DE" w:bidi="de-DE"/>
        </w:rPr>
      </w:pPr>
      <w:r w:rsidRPr="00F531CC">
        <w:rPr>
          <w:rFonts w:eastAsia="Calibri"/>
          <w:szCs w:val="22"/>
          <w:lang w:eastAsia="de-DE" w:bidi="de-DE"/>
        </w:rPr>
        <w:tab/>
        <w:t>[§ 6</w:t>
      </w:r>
      <w:r w:rsidRPr="00F531CC">
        <w:rPr>
          <w:rFonts w:eastAsia="Calibri"/>
          <w:i/>
          <w:szCs w:val="22"/>
          <w:lang w:eastAsia="de-DE" w:bidi="de-DE"/>
        </w:rPr>
        <w:t>bis</w:t>
      </w:r>
      <w:r w:rsidRPr="00F531CC">
        <w:rPr>
          <w:rFonts w:eastAsia="Calibri"/>
          <w:szCs w:val="22"/>
          <w:lang w:eastAsia="de-DE" w:bidi="de-DE"/>
        </w:rPr>
        <w:t> - Die in § 5 Absatz 2</w:t>
      </w:r>
      <w:r w:rsidR="0083222B">
        <w:rPr>
          <w:rFonts w:eastAsia="Calibri"/>
          <w:szCs w:val="22"/>
          <w:lang w:eastAsia="de-DE" w:bidi="de-DE"/>
        </w:rPr>
        <w:t>[,</w:t>
      </w:r>
      <w:r w:rsidRPr="00F531CC">
        <w:rPr>
          <w:rFonts w:eastAsia="Calibri"/>
          <w:szCs w:val="22"/>
          <w:lang w:eastAsia="de-DE" w:bidi="de-DE"/>
        </w:rPr>
        <w:t xml:space="preserve"> § 6 Absatz 2</w:t>
      </w:r>
      <w:r w:rsidR="0083222B">
        <w:rPr>
          <w:rFonts w:eastAsia="Calibri"/>
          <w:szCs w:val="22"/>
          <w:lang w:eastAsia="de-DE" w:bidi="de-DE"/>
        </w:rPr>
        <w:t xml:space="preserve"> und § 6</w:t>
      </w:r>
      <w:r w:rsidR="0083222B" w:rsidRPr="0083222B">
        <w:rPr>
          <w:rFonts w:eastAsia="Calibri"/>
          <w:i/>
          <w:iCs/>
          <w:szCs w:val="22"/>
          <w:lang w:eastAsia="de-DE" w:bidi="de-DE"/>
        </w:rPr>
        <w:t>ter</w:t>
      </w:r>
      <w:r w:rsidR="0083222B">
        <w:rPr>
          <w:rFonts w:eastAsia="Calibri"/>
          <w:szCs w:val="22"/>
          <w:lang w:eastAsia="de-DE" w:bidi="de-DE"/>
        </w:rPr>
        <w:t xml:space="preserve"> Absatz 2]</w:t>
      </w:r>
      <w:r w:rsidRPr="00F531CC">
        <w:rPr>
          <w:rFonts w:eastAsia="Calibri"/>
          <w:szCs w:val="22"/>
          <w:lang w:eastAsia="de-DE" w:bidi="de-DE"/>
        </w:rPr>
        <w:t xml:space="preserve"> erwähnte Mindestbeteiligung entspricht:</w:t>
      </w:r>
    </w:p>
    <w:p w14:paraId="6A9E3345" w14:textId="77777777" w:rsidR="007D52CA" w:rsidRPr="00F531CC" w:rsidRDefault="007D52CA" w:rsidP="007D52CA">
      <w:pPr>
        <w:jc w:val="both"/>
        <w:rPr>
          <w:rFonts w:eastAsia="Calibri"/>
          <w:szCs w:val="22"/>
          <w:lang w:eastAsia="de-DE" w:bidi="de-DE"/>
        </w:rPr>
      </w:pPr>
    </w:p>
    <w:p w14:paraId="5221D46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- 25 Prozent für Dividenden, die vor dem 1. Januar 2005 zuerkannt oder ausgeschüttet wurden,</w:t>
      </w:r>
    </w:p>
    <w:p w14:paraId="76DD5FCE" w14:textId="77777777" w:rsidR="007D52CA" w:rsidRPr="00F531CC" w:rsidRDefault="007D52CA" w:rsidP="007D52CA">
      <w:pPr>
        <w:jc w:val="both"/>
        <w:rPr>
          <w:rFonts w:eastAsia="Calibri"/>
          <w:szCs w:val="22"/>
          <w:lang w:eastAsia="de-DE" w:bidi="de-DE"/>
        </w:rPr>
      </w:pPr>
    </w:p>
    <w:p w14:paraId="25B1687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- 20 Prozent für Dividenden, die ab dem 1. Januar 2005 zuerkannt oder ausgeschüttet wurden,</w:t>
      </w:r>
    </w:p>
    <w:p w14:paraId="22022042" w14:textId="77777777" w:rsidR="007D52CA" w:rsidRPr="00F531CC" w:rsidRDefault="007D52CA" w:rsidP="007D52CA">
      <w:pPr>
        <w:jc w:val="both"/>
        <w:rPr>
          <w:rFonts w:eastAsia="Calibri"/>
          <w:szCs w:val="22"/>
          <w:lang w:eastAsia="de-DE" w:bidi="de-DE"/>
        </w:rPr>
      </w:pPr>
    </w:p>
    <w:p w14:paraId="469C5B3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- 15 Prozent für Dividenden, die ab dem 1. Januar 2007 zuerkannt oder ausgeschüttet wurden,</w:t>
      </w:r>
    </w:p>
    <w:p w14:paraId="7763511F" w14:textId="77777777" w:rsidR="007D52CA" w:rsidRPr="00F531CC" w:rsidRDefault="007D52CA" w:rsidP="007D52CA">
      <w:pPr>
        <w:jc w:val="both"/>
        <w:rPr>
          <w:rFonts w:eastAsia="Calibri"/>
          <w:szCs w:val="22"/>
          <w:lang w:eastAsia="de-DE" w:bidi="de-DE"/>
        </w:rPr>
      </w:pPr>
    </w:p>
    <w:p w14:paraId="382C08CD" w14:textId="77777777" w:rsidR="007D52CA" w:rsidRDefault="007D52CA" w:rsidP="007D52CA">
      <w:pPr>
        <w:jc w:val="both"/>
        <w:rPr>
          <w:rFonts w:eastAsia="Calibri"/>
          <w:szCs w:val="22"/>
          <w:lang w:eastAsia="de-DE" w:bidi="de-DE"/>
        </w:rPr>
      </w:pPr>
      <w:r w:rsidRPr="00F531CC">
        <w:rPr>
          <w:rFonts w:eastAsia="Calibri"/>
          <w:szCs w:val="22"/>
          <w:lang w:eastAsia="de-DE" w:bidi="de-DE"/>
        </w:rPr>
        <w:tab/>
        <w:t>- 10 Prozent für Dividenden, die ab dem 1. Januar 2009 zuerkannt oder ausgeschüttet wurden.]</w:t>
      </w:r>
    </w:p>
    <w:p w14:paraId="796A64FC" w14:textId="77777777" w:rsidR="0083222B" w:rsidRDefault="0083222B" w:rsidP="007D52CA">
      <w:pPr>
        <w:jc w:val="both"/>
        <w:rPr>
          <w:rFonts w:eastAsia="Calibri"/>
          <w:szCs w:val="22"/>
          <w:lang w:eastAsia="de-DE" w:bidi="de-DE"/>
        </w:rPr>
      </w:pPr>
    </w:p>
    <w:p w14:paraId="2A40ECC5" w14:textId="77777777" w:rsidR="0083222B" w:rsidRPr="00194E72" w:rsidRDefault="0083222B" w:rsidP="0083222B">
      <w:pPr>
        <w:jc w:val="both"/>
      </w:pPr>
      <w:r>
        <w:rPr>
          <w:rFonts w:eastAsia="Calibri"/>
          <w:szCs w:val="22"/>
          <w:lang w:eastAsia="de-DE" w:bidi="de-DE"/>
        </w:rPr>
        <w:tab/>
        <w:t>[</w:t>
      </w:r>
      <w:r w:rsidRPr="00194E72">
        <w:t>§ 6</w:t>
      </w:r>
      <w:r w:rsidRPr="00194E72">
        <w:rPr>
          <w:i/>
        </w:rPr>
        <w:t>ter</w:t>
      </w:r>
      <w:r w:rsidRPr="00194E72">
        <w:t> - Von der Einnahme des Mobiliensteuervorabzugs auf Dividenden, deren Schuldner eine inländische Gesellschaft und deren Empfänger ein alternativer Organismus für gemeinsame Anlagen ist, der in der Form einer Gesellschaft mit Rechtspersönlichkeit gegründet worden ist und im Ausland als europäischer langfristiger Investmentfonds gemäß der Verordnung (EU) 2015/760 des Europäischen Parlaments und des Rates vom 29. April 2015 über europäische langfristige Investmentfonds zugelassen ist, wird vollständig abgesehen.</w:t>
      </w:r>
    </w:p>
    <w:p w14:paraId="17C81ACF" w14:textId="77777777" w:rsidR="0083222B" w:rsidRPr="00194E72" w:rsidRDefault="0083222B" w:rsidP="0083222B">
      <w:pPr>
        <w:jc w:val="both"/>
      </w:pPr>
    </w:p>
    <w:p w14:paraId="72B9377C" w14:textId="77777777" w:rsidR="0083222B" w:rsidRPr="00194E72" w:rsidRDefault="0083222B" w:rsidP="0083222B">
      <w:pPr>
        <w:jc w:val="both"/>
      </w:pPr>
      <w:r w:rsidRPr="00194E72">
        <w:tab/>
        <w:t>Dieser Verzicht gilt jedoch nicht, wenn die Beteiligung der Gesellschaft, die die Dividenden ausschüttet, nicht den in § 6</w:t>
      </w:r>
      <w:r w:rsidRPr="00194E72">
        <w:rPr>
          <w:i/>
          <w:iCs/>
        </w:rPr>
        <w:t>bis</w:t>
      </w:r>
      <w:r w:rsidRPr="00194E72">
        <w:t xml:space="preserve"> erwähnten Mindestprozentsatz des Kapitals der inländischen Gesellschaft erreicht und diese Mindestbeteiligung nicht während eines ununterbrochenen Zeitraums von mindestens einem Jahr aufrechterhalten wird oder wurde.</w:t>
      </w:r>
    </w:p>
    <w:p w14:paraId="46928A68" w14:textId="77777777" w:rsidR="0083222B" w:rsidRPr="00194E72" w:rsidRDefault="0083222B" w:rsidP="0083222B">
      <w:pPr>
        <w:jc w:val="both"/>
      </w:pPr>
    </w:p>
    <w:p w14:paraId="7E5C9B5C" w14:textId="08A05376" w:rsidR="0083222B" w:rsidRPr="00F531CC" w:rsidRDefault="0083222B" w:rsidP="0083222B">
      <w:pPr>
        <w:jc w:val="both"/>
        <w:rPr>
          <w:rFonts w:eastAsia="Calibri"/>
          <w:szCs w:val="22"/>
          <w:lang w:eastAsia="de-DE" w:bidi="de-DE"/>
        </w:rPr>
      </w:pPr>
      <w:r w:rsidRPr="00194E72">
        <w:tab/>
        <w:t>Für die Festlegung der Mindestbeteiligung am Kapital der Tochtergesellschaft werden für die Anwendung des vorliegenden Paragraphen beim Zedenten, Pfandschuldner und Verleiher Aktien oder Anteile nicht berücksichtigt, die zum Zeitpunkt der Zuerkennung oder Ausschüttung der Einkünfte Gegenstand einer Vereinbarung über die Leistung von dinglichen Sicherheiten oder eines Verleihs in Bezug auf diese Aktien oder Anteile sind.</w:t>
      </w:r>
      <w:r>
        <w:t>]</w:t>
      </w:r>
    </w:p>
    <w:p w14:paraId="0C5A61BD" w14:textId="77777777" w:rsidR="007D52CA" w:rsidRPr="00F531CC" w:rsidRDefault="007D52CA" w:rsidP="007D52CA">
      <w:pPr>
        <w:jc w:val="both"/>
        <w:rPr>
          <w:rFonts w:eastAsia="Calibri"/>
          <w:szCs w:val="22"/>
          <w:lang w:eastAsia="de-DE" w:bidi="de-DE"/>
        </w:rPr>
      </w:pPr>
    </w:p>
    <w:p w14:paraId="02644B28" w14:textId="7183E798" w:rsidR="00AC0F23" w:rsidRPr="003D71B2" w:rsidRDefault="007D52CA" w:rsidP="00AC0F23">
      <w:pPr>
        <w:jc w:val="both"/>
      </w:pPr>
      <w:r w:rsidRPr="00F531CC">
        <w:rPr>
          <w:rFonts w:eastAsia="Calibri"/>
          <w:szCs w:val="22"/>
          <w:lang w:eastAsia="de-DE" w:bidi="de-DE"/>
        </w:rPr>
        <w:tab/>
        <w:t>§ 7 - [</w:t>
      </w:r>
      <w:r w:rsidR="00AC0F23" w:rsidRPr="003D71B2">
        <w:t xml:space="preserve">Von der Einnahme des Mobiliensteuervorabzugs auf Dividenden, deren Schuldner eine Investmentgesellschaft, wie in den Artikeln 15 und 271/10 des Gesetzes vom 3. August 2012 über Organismen für gemeinsame Anlagen, die die Bedingungen der Richtlinie 2009/65/EG erfüllen, und Organismen für Anlagen in Forderungen erwähnt, eine Investmentgesellschaft, wie in den Artikeln 190, 195, 285, 288 und 298 des Gesetzes vom 19. April 2014 über alternative Organismen für gemeinsame Anlagen und ihre Verwalter erwähnt, </w:t>
      </w:r>
      <w:r w:rsidR="0083222B">
        <w:t>[</w:t>
      </w:r>
      <w:r w:rsidR="0083222B" w:rsidRPr="00194E72">
        <w:t>ein europäischer langfristiger Investmentfonds</w:t>
      </w:r>
      <w:r w:rsidR="0083222B">
        <w:t xml:space="preserve">] </w:t>
      </w:r>
      <w:r w:rsidR="00AC0F23" w:rsidRPr="003D71B2">
        <w:t>oder eine beaufsichtigte Immobiliengesellschaft ist und deren Empfänger als gebietsfremder Sparer identifiziert wird, wird vollständig abgesehen.</w:t>
      </w:r>
    </w:p>
    <w:p w14:paraId="5CA3F98C" w14:textId="77777777" w:rsidR="00AC0F23" w:rsidRPr="003D71B2" w:rsidRDefault="00AC0F23" w:rsidP="00AC0F23">
      <w:pPr>
        <w:jc w:val="both"/>
      </w:pPr>
    </w:p>
    <w:p w14:paraId="19A95CA9" w14:textId="0E8E18DA" w:rsidR="007D52CA" w:rsidRPr="009038FD" w:rsidRDefault="00AC0F23" w:rsidP="00AC0F23">
      <w:pPr>
        <w:jc w:val="both"/>
        <w:rPr>
          <w:rFonts w:eastAsia="Calibri"/>
          <w:spacing w:val="-4"/>
          <w:szCs w:val="22"/>
          <w:lang w:eastAsia="de-DE" w:bidi="de-DE"/>
        </w:rPr>
      </w:pPr>
      <w:r w:rsidRPr="009038FD">
        <w:rPr>
          <w:spacing w:val="-4"/>
        </w:rPr>
        <w:tab/>
        <w:t>Dieser Verzicht ist nicht anwendbar auf den Teil des ausgeschütteten Einkommens, der aus Einkünften aus belgischen unbeweglichen Gütern und aus Dividenden stammt, die die Investmentgesellschaft</w:t>
      </w:r>
      <w:r w:rsidR="001A670A">
        <w:rPr>
          <w:spacing w:val="-4"/>
        </w:rPr>
        <w:t>[</w:t>
      </w:r>
      <w:r w:rsidR="001A670A" w:rsidRPr="00A115C4">
        <w:t>, der europäische langfristige Investmentfonds</w:t>
      </w:r>
      <w:r w:rsidR="001A670A">
        <w:rPr>
          <w:spacing w:val="-4"/>
        </w:rPr>
        <w:t>]</w:t>
      </w:r>
      <w:r w:rsidRPr="009038FD">
        <w:rPr>
          <w:spacing w:val="-4"/>
        </w:rPr>
        <w:t xml:space="preserve"> oder die beaufsichtigte Immobiliengesellschaft selbst von einer inlän</w:t>
      </w:r>
      <w:r w:rsidR="009038FD" w:rsidRPr="009038FD">
        <w:rPr>
          <w:spacing w:val="-4"/>
        </w:rPr>
        <w:softHyphen/>
      </w:r>
      <w:r w:rsidRPr="009038FD">
        <w:rPr>
          <w:spacing w:val="-4"/>
        </w:rPr>
        <w:t>dischen Gesellschaft bezogen hat. Vorliegender Absatz ist jedoch nicht anwendbar, wenn diese inländische Gesellschaft den in Absatz 1 erwähnten Gesellschaftskategorien angehört und die Dividenden, die sie zugunsten der Investmentgesellschaft</w:t>
      </w:r>
      <w:r w:rsidR="001A670A">
        <w:rPr>
          <w:spacing w:val="-4"/>
        </w:rPr>
        <w:t>[</w:t>
      </w:r>
      <w:r w:rsidR="001A670A" w:rsidRPr="00A115C4">
        <w:t>, des europäischen langfristigen Investmentfonds</w:t>
      </w:r>
      <w:r w:rsidR="001A670A">
        <w:rPr>
          <w:spacing w:val="-4"/>
        </w:rPr>
        <w:t>]</w:t>
      </w:r>
      <w:r w:rsidRPr="009038FD">
        <w:rPr>
          <w:spacing w:val="-4"/>
        </w:rPr>
        <w:t xml:space="preserve"> oder der beaufsichtigten Immobilien</w:t>
      </w:r>
      <w:r w:rsidR="009038FD" w:rsidRPr="009038FD">
        <w:rPr>
          <w:spacing w:val="-4"/>
        </w:rPr>
        <w:softHyphen/>
      </w:r>
      <w:r w:rsidRPr="009038FD">
        <w:rPr>
          <w:spacing w:val="-4"/>
        </w:rPr>
        <w:t>gesellschaft ausschüttet, selbst nicht aus Dividenden, die diese Gesellschaft von einer inländischen Gesellschaft bezogen hat, oder aus Einkünften aus belgischen unbeweglichen Gütern stammen.</w:t>
      </w:r>
      <w:r w:rsidRPr="009038FD">
        <w:rPr>
          <w:rFonts w:eastAsia="Calibri"/>
          <w:spacing w:val="-4"/>
          <w:szCs w:val="22"/>
          <w:lang w:eastAsia="de-DE" w:bidi="de-DE"/>
        </w:rPr>
        <w:t>]</w:t>
      </w:r>
    </w:p>
    <w:p w14:paraId="11547FFC" w14:textId="77777777" w:rsidR="007D52CA" w:rsidRPr="00F531CC" w:rsidRDefault="007D52CA" w:rsidP="007D52CA">
      <w:pPr>
        <w:jc w:val="both"/>
        <w:rPr>
          <w:rFonts w:eastAsia="Calibri"/>
          <w:szCs w:val="22"/>
          <w:lang w:eastAsia="de-DE" w:bidi="de-DE"/>
        </w:rPr>
      </w:pPr>
    </w:p>
    <w:p w14:paraId="71BEB00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8 - [...]]</w:t>
      </w:r>
    </w:p>
    <w:p w14:paraId="3B74C3D5" w14:textId="77777777" w:rsidR="007D52CA" w:rsidRPr="00F531CC" w:rsidRDefault="007D52CA" w:rsidP="007D52CA">
      <w:pPr>
        <w:jc w:val="both"/>
        <w:rPr>
          <w:rFonts w:eastAsia="Calibri"/>
          <w:szCs w:val="22"/>
          <w:lang w:eastAsia="de-DE" w:bidi="de-DE"/>
        </w:rPr>
      </w:pPr>
    </w:p>
    <w:p w14:paraId="59D48874" w14:textId="77777777" w:rsidR="00137616" w:rsidRDefault="00137616">
      <w:pPr>
        <w:rPr>
          <w:rFonts w:eastAsia="Calibri"/>
          <w:szCs w:val="22"/>
          <w:lang w:eastAsia="de-DE" w:bidi="de-DE"/>
        </w:rPr>
      </w:pPr>
      <w:r>
        <w:rPr>
          <w:rFonts w:eastAsia="Calibri"/>
          <w:szCs w:val="22"/>
          <w:lang w:eastAsia="de-DE" w:bidi="de-DE"/>
        </w:rPr>
        <w:br w:type="page"/>
      </w:r>
    </w:p>
    <w:p w14:paraId="09898572" w14:textId="2F9748E7"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 9 - [Im nachfolgend angegebenen Maße wird von der Einnahme des Mobilien</w:t>
      </w:r>
      <w:r w:rsidRPr="00F531CC">
        <w:rPr>
          <w:rFonts w:eastAsia="Calibri"/>
          <w:szCs w:val="22"/>
          <w:lang w:eastAsia="de-DE" w:bidi="de-DE"/>
        </w:rPr>
        <w:softHyphen/>
        <w:t xml:space="preserve">steuervorabzugs auf Dividenden abgesehen, die von einer belgischen Investmentgesellschaft mit fixem Kapital, </w:t>
      </w:r>
      <w:r w:rsidR="00A400F5">
        <w:rPr>
          <w:rFonts w:eastAsia="Calibri"/>
          <w:szCs w:val="22"/>
          <w:lang w:eastAsia="de-DE" w:bidi="de-DE"/>
        </w:rPr>
        <w:t>[</w:t>
      </w:r>
      <w:r w:rsidR="00A400F5" w:rsidRPr="00F36707">
        <w:t>wie in Artikel 2 Nr. 8 des Königlichen Erlasses vom 10. Juli 2016 über alternative Organismen für gemeinsame Anlagen in nicht notierten Gesellschaften und Wachstumsgesellschaften erwähnt, oder einem privaten Kapitalanlagefonds mit fixem Kapital, wie in Artikel 298 Absatz 1 des Gesetzes vom 19. April 2014 über alternative Organismen für gemeinsame Anlagen und ihre Verwalter erwähnt</w:t>
      </w:r>
      <w:r w:rsidR="00A400F5">
        <w:rPr>
          <w:rFonts w:eastAsia="Calibri"/>
          <w:szCs w:val="22"/>
          <w:lang w:eastAsia="de-DE" w:bidi="de-DE"/>
        </w:rPr>
        <w:t>]</w:t>
      </w:r>
      <w:r w:rsidRPr="00F531CC">
        <w:rPr>
          <w:rFonts w:eastAsia="Calibri"/>
          <w:szCs w:val="22"/>
          <w:lang w:eastAsia="de-DE" w:bidi="de-DE"/>
        </w:rPr>
        <w:t>, ausgeschüttet werden:</w:t>
      </w:r>
    </w:p>
    <w:p w14:paraId="7BD10954" w14:textId="77777777" w:rsidR="007D52CA" w:rsidRPr="00F531CC" w:rsidRDefault="007D52CA" w:rsidP="007D52CA">
      <w:pPr>
        <w:jc w:val="both"/>
        <w:rPr>
          <w:rFonts w:eastAsia="Calibri"/>
          <w:szCs w:val="22"/>
          <w:lang w:eastAsia="de-DE" w:bidi="de-DE"/>
        </w:rPr>
      </w:pPr>
    </w:p>
    <w:p w14:paraId="1D5FCE1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Der Mobiliensteuervorabzug wird nicht auf den Teil der ausgeschütteten Einkünfte geschuldet, der aus Mehrwerten auf Aktien oder Anteile gebildet ist, die die Investmentgesellschaft realisiert hat.</w:t>
      </w:r>
    </w:p>
    <w:p w14:paraId="7F71CB20" w14:textId="77777777" w:rsidR="007D52CA" w:rsidRPr="00F531CC" w:rsidRDefault="007D52CA" w:rsidP="007D52CA">
      <w:pPr>
        <w:jc w:val="both"/>
        <w:rPr>
          <w:rFonts w:eastAsia="Calibri"/>
          <w:szCs w:val="22"/>
          <w:lang w:eastAsia="de-DE" w:bidi="de-DE"/>
        </w:rPr>
      </w:pPr>
    </w:p>
    <w:p w14:paraId="4B8A801D" w14:textId="77777777" w:rsidR="007D52CA"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Wenn der Empfänger eine ausländische Gesellschaft ist, wird der Mobiliensteuervorabzug darüber hinaus nicht auf den Teil der ausgeschütteten Einkünfte geschuldet, der aus Dividenden aus Aktien oder Anteilen gebildet ist, die ausländische Gesellschaften ausgegeben haben</w:t>
      </w:r>
      <w:r w:rsidR="00A400F5">
        <w:rPr>
          <w:rFonts w:eastAsia="Calibri"/>
          <w:szCs w:val="22"/>
          <w:lang w:eastAsia="de-DE" w:bidi="de-DE"/>
        </w:rPr>
        <w:t>,</w:t>
      </w:r>
      <w:r w:rsidRPr="00F531CC">
        <w:rPr>
          <w:rFonts w:eastAsia="Calibri"/>
          <w:szCs w:val="22"/>
          <w:lang w:eastAsia="de-DE" w:bidi="de-DE"/>
        </w:rPr>
        <w:t>]]</w:t>
      </w:r>
    </w:p>
    <w:p w14:paraId="1B61AB2F" w14:textId="77777777" w:rsidR="00A400F5" w:rsidRDefault="00A400F5" w:rsidP="007D52CA">
      <w:pPr>
        <w:jc w:val="both"/>
        <w:rPr>
          <w:rFonts w:eastAsia="Calibri"/>
          <w:szCs w:val="22"/>
          <w:lang w:eastAsia="de-DE" w:bidi="de-DE"/>
        </w:rPr>
      </w:pPr>
    </w:p>
    <w:p w14:paraId="0CF0EAF7" w14:textId="77777777" w:rsidR="00A400F5" w:rsidRPr="00F531CC" w:rsidRDefault="00A400F5" w:rsidP="007D52CA">
      <w:pPr>
        <w:jc w:val="both"/>
        <w:rPr>
          <w:rFonts w:eastAsia="Calibri"/>
          <w:szCs w:val="22"/>
          <w:lang w:eastAsia="de-DE" w:bidi="de-DE"/>
        </w:rPr>
      </w:pPr>
      <w:r>
        <w:rPr>
          <w:rFonts w:eastAsia="Calibri"/>
          <w:szCs w:val="22"/>
          <w:lang w:eastAsia="de-DE" w:bidi="de-DE"/>
        </w:rPr>
        <w:tab/>
        <w:t>[</w:t>
      </w:r>
      <w:r w:rsidRPr="00F36707">
        <w:rPr>
          <w:i/>
        </w:rPr>
        <w:t>c)</w:t>
      </w:r>
      <w:r w:rsidRPr="00F36707">
        <w:t xml:space="preserve"> Der Mobiliensteuervorabzug wird nicht auf den Teil der ausgeschütteten Einkünfte geschuldet, der aus Dividenden gebildet ist, die einem Mobiliensteuervorabzug unterlegen haben, den die Investmentgesellschaft nicht anrechnen konnte.</w:t>
      </w:r>
      <w:r>
        <w:rPr>
          <w:rFonts w:eastAsia="Calibri"/>
          <w:szCs w:val="22"/>
          <w:lang w:eastAsia="de-DE" w:bidi="de-DE"/>
        </w:rPr>
        <w:t>]</w:t>
      </w:r>
    </w:p>
    <w:p w14:paraId="1172C4C0" w14:textId="77777777" w:rsidR="007D52CA" w:rsidRPr="00F531CC" w:rsidRDefault="007D52CA" w:rsidP="007D52CA">
      <w:pPr>
        <w:jc w:val="both"/>
        <w:rPr>
          <w:rFonts w:eastAsia="Calibri"/>
          <w:szCs w:val="22"/>
          <w:lang w:eastAsia="de-DE" w:bidi="de-DE"/>
        </w:rPr>
      </w:pPr>
    </w:p>
    <w:p w14:paraId="7AF2A402" w14:textId="77777777" w:rsidR="007D52CA" w:rsidRDefault="007D52CA" w:rsidP="007D52CA">
      <w:pPr>
        <w:jc w:val="both"/>
        <w:rPr>
          <w:rFonts w:eastAsia="Calibri"/>
          <w:szCs w:val="22"/>
          <w:lang w:eastAsia="de-DE" w:bidi="de-DE"/>
        </w:rPr>
      </w:pPr>
      <w:r w:rsidRPr="00F531CC">
        <w:rPr>
          <w:rFonts w:eastAsia="Calibri"/>
          <w:szCs w:val="22"/>
          <w:lang w:eastAsia="de-DE" w:bidi="de-DE"/>
        </w:rPr>
        <w:tab/>
        <w:t>[§ 10 - [...]]</w:t>
      </w:r>
    </w:p>
    <w:p w14:paraId="498ACBA6" w14:textId="77777777" w:rsidR="007D52CA" w:rsidRDefault="007D52CA" w:rsidP="007D52CA">
      <w:pPr>
        <w:jc w:val="both"/>
        <w:rPr>
          <w:rFonts w:eastAsia="Calibri"/>
          <w:szCs w:val="22"/>
          <w:lang w:eastAsia="de-DE" w:bidi="de-DE"/>
        </w:rPr>
      </w:pPr>
    </w:p>
    <w:p w14:paraId="6CB380E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11 - [...]]</w:t>
      </w:r>
    </w:p>
    <w:p w14:paraId="3D6644AA" w14:textId="77777777" w:rsidR="007D52CA" w:rsidRPr="00F531CC" w:rsidRDefault="007D52CA" w:rsidP="007D52CA">
      <w:pPr>
        <w:jc w:val="both"/>
        <w:rPr>
          <w:rFonts w:eastAsia="Calibri"/>
          <w:szCs w:val="22"/>
          <w:lang w:eastAsia="de-DE" w:bidi="de-DE"/>
        </w:rPr>
      </w:pPr>
    </w:p>
    <w:p w14:paraId="176500B5" w14:textId="46BAD17E"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106 § 1 Abs. 1 abgeändert durch Art. 1 Nr. 1 des K.E. vom 4. Dezember 2000 (B.S. vom 23. Dezember 2000), Art. 13 Nr. 1 des K.E. vom 20. Januar 2005 (B.S. vom 1. Februar 2005) und Art. 1 des K.E. vom 31. Juli 2009 (II) (B.S. vom 21. August 2009); § 1 früherer Absatz 2 eingefügt durch Art. 1 Nr. 2 des K.E. vom 4. Dezember 2000 (B.S. vom 23. Dezember 2000) und aufgehoben durch Art. 13 Nr. 2 des K.E. vom 20. Januar 2005 (B.S. vom 1. Februar 2005); § 2 abgeändert durch Art. 13 Nr. 3 des K.E. vom 20. Januar 2005 (B.S. vom 1. Februar 2005)</w:t>
      </w:r>
      <w:r w:rsidR="00665441">
        <w:rPr>
          <w:rFonts w:eastAsia="Calibri"/>
          <w:i/>
          <w:szCs w:val="22"/>
          <w:lang w:eastAsia="de-DE" w:bidi="de-DE"/>
        </w:rPr>
        <w:t>,</w:t>
      </w:r>
      <w:r w:rsidRPr="00F531CC">
        <w:rPr>
          <w:rFonts w:eastAsia="Calibri"/>
          <w:i/>
          <w:szCs w:val="22"/>
          <w:lang w:eastAsia="de-DE" w:bidi="de-DE"/>
        </w:rPr>
        <w:t xml:space="preserve"> Art. 1 des K.E. vom 20. Dezember 2012 (B.S. vom 28. Dezember 2012)</w:t>
      </w:r>
      <w:r w:rsidR="007A7C37">
        <w:rPr>
          <w:rFonts w:eastAsia="Calibri"/>
          <w:i/>
          <w:szCs w:val="22"/>
          <w:lang w:eastAsia="de-DE" w:bidi="de-DE"/>
        </w:rPr>
        <w:t>,</w:t>
      </w:r>
      <w:r w:rsidR="00665441">
        <w:rPr>
          <w:rFonts w:eastAsia="Calibri"/>
          <w:i/>
          <w:szCs w:val="22"/>
          <w:lang w:eastAsia="de-DE" w:bidi="de-DE"/>
        </w:rPr>
        <w:t xml:space="preserve"> Art. 16 des K.E. vom </w:t>
      </w:r>
      <w:r w:rsidR="005024BD">
        <w:rPr>
          <w:rFonts w:eastAsia="Calibri"/>
          <w:i/>
          <w:szCs w:val="22"/>
          <w:lang w:eastAsia="de-DE" w:bidi="de-DE"/>
        </w:rPr>
        <w:t>22. Mai 2017 (II)</w:t>
      </w:r>
      <w:r w:rsidR="00665441">
        <w:rPr>
          <w:rFonts w:eastAsia="Calibri"/>
          <w:i/>
          <w:szCs w:val="22"/>
          <w:lang w:eastAsia="de-DE" w:bidi="de-DE"/>
        </w:rPr>
        <w:t xml:space="preserve"> (B.S. vom 6. Juni 2017)</w:t>
      </w:r>
      <w:r w:rsidR="007A7C37">
        <w:rPr>
          <w:rFonts w:eastAsia="Calibri"/>
          <w:i/>
          <w:szCs w:val="22"/>
          <w:lang w:eastAsia="de-DE" w:bidi="de-DE"/>
        </w:rPr>
        <w:t xml:space="preserve"> und Art. 17 Nr. 1 des K.E. vom 29. August 2019</w:t>
      </w:r>
      <w:r w:rsidR="00865C4C">
        <w:rPr>
          <w:rFonts w:eastAsia="Calibri"/>
          <w:i/>
          <w:szCs w:val="22"/>
          <w:lang w:eastAsia="de-DE" w:bidi="de-DE"/>
        </w:rPr>
        <w:t> (I)</w:t>
      </w:r>
      <w:r w:rsidR="007A7C37">
        <w:rPr>
          <w:rFonts w:eastAsia="Calibri"/>
          <w:i/>
          <w:szCs w:val="22"/>
          <w:lang w:eastAsia="de-DE" w:bidi="de-DE"/>
        </w:rPr>
        <w:t xml:space="preserve"> (B.S. vom 13. September 2019)</w:t>
      </w:r>
      <w:r w:rsidRPr="00F531CC">
        <w:rPr>
          <w:rFonts w:eastAsia="Calibri"/>
          <w:i/>
          <w:szCs w:val="22"/>
          <w:lang w:eastAsia="de-DE" w:bidi="de-DE"/>
        </w:rPr>
        <w:t>; § 3 aufgehoben durch Art. 2 Buchstabe a) des K.E. vom 22. Fe</w:t>
      </w:r>
      <w:r w:rsidRPr="00F531CC">
        <w:rPr>
          <w:rFonts w:eastAsia="Calibri"/>
          <w:i/>
          <w:szCs w:val="22"/>
          <w:lang w:eastAsia="de-DE" w:bidi="de-DE"/>
        </w:rPr>
        <w:softHyphen/>
        <w:t>bruar 2010 (B.S. vom 1. März 2010); § 4 ersetzt durch Art. 13 Nr. 4 des K.E. vom 20. Januar 2005 (B.S. vom 1. Februar 2005) und abgeändert durch Art. 7 des K.E. vom 5. Dezember 2011 (II) (B.S. vom 12. Dezember 2011)</w:t>
      </w:r>
      <w:r w:rsidR="00665441">
        <w:rPr>
          <w:rFonts w:eastAsia="Calibri"/>
          <w:i/>
          <w:szCs w:val="22"/>
          <w:lang w:eastAsia="de-DE" w:bidi="de-DE"/>
        </w:rPr>
        <w:t>,</w:t>
      </w:r>
      <w:r w:rsidRPr="00F531CC">
        <w:rPr>
          <w:rFonts w:eastAsia="Calibri"/>
          <w:i/>
          <w:szCs w:val="22"/>
          <w:lang w:eastAsia="de-DE" w:bidi="de-DE"/>
        </w:rPr>
        <w:t xml:space="preserve"> Art. 2 des K.E. vom 20. Dezember 2012 (B.S. vom 28. Dezember 2012)</w:t>
      </w:r>
      <w:r w:rsidR="00665441">
        <w:rPr>
          <w:rFonts w:eastAsia="Calibri"/>
          <w:i/>
          <w:szCs w:val="22"/>
          <w:lang w:eastAsia="de-DE" w:bidi="de-DE"/>
        </w:rPr>
        <w:t xml:space="preserve"> und </w:t>
      </w:r>
      <w:r w:rsidR="00DB5A62">
        <w:rPr>
          <w:rFonts w:eastAsia="Calibri"/>
          <w:i/>
          <w:szCs w:val="22"/>
          <w:lang w:eastAsia="de-DE" w:bidi="de-DE"/>
        </w:rPr>
        <w:t xml:space="preserve">Art. 17 des K.E. vom </w:t>
      </w:r>
      <w:r w:rsidR="005024BD">
        <w:rPr>
          <w:rFonts w:eastAsia="Calibri"/>
          <w:i/>
          <w:szCs w:val="22"/>
          <w:lang w:eastAsia="de-DE" w:bidi="de-DE"/>
        </w:rPr>
        <w:t>22. Mai 2017 (II)</w:t>
      </w:r>
      <w:r w:rsidR="00DB5A62">
        <w:rPr>
          <w:rFonts w:eastAsia="Calibri"/>
          <w:i/>
          <w:szCs w:val="22"/>
          <w:lang w:eastAsia="de-DE" w:bidi="de-DE"/>
        </w:rPr>
        <w:t xml:space="preserve"> (B.S. vom 6. Juni 2017)</w:t>
      </w:r>
      <w:r w:rsidRPr="00F531CC">
        <w:rPr>
          <w:rFonts w:eastAsia="Calibri"/>
          <w:i/>
          <w:szCs w:val="22"/>
          <w:lang w:eastAsia="de-DE" w:bidi="de-DE"/>
        </w:rPr>
        <w:t>; § 4 früherer Absatz 2 aufgehoben durch Art. 2 Buchstabe b) des K.E. vom 22. Februar 2010 (B.S. vom 1. März 2010); § 5 Abs. 1 abgeändert durch Art. 2 Nr. 1 des K.E. vom 18. April 2005 (B.S. vom 3. Mai 2005) und Art. 3 Nr. 1 des K.E. vom 21. Dezember 2006 (II) (B.S. vom 29. Dezember 2006); § 5 Abs. 2 ersetzt durch Art. 2 Nr. 2 des K.E. vom 18. April 2005 (B.S. vom 3. Mai 2005); § 5 Abs. 3 ersetzt durch Art. 3 Nr. 2 des K.E. vom 21. Dezember 2006 (II) (B.S. vom 29. Dezember 2006)</w:t>
      </w:r>
      <w:r w:rsidR="007A7C37">
        <w:rPr>
          <w:rFonts w:eastAsia="Calibri"/>
          <w:i/>
          <w:szCs w:val="22"/>
          <w:lang w:eastAsia="de-DE" w:bidi="de-DE"/>
        </w:rPr>
        <w:t>; § 5 Abs. 3 Buchstabe a) abgeändert durch Art. 17 Nr. 2 des K.E. vom 29. August 2019</w:t>
      </w:r>
      <w:r w:rsidR="00865C4C">
        <w:rPr>
          <w:rFonts w:eastAsia="Calibri"/>
          <w:i/>
          <w:szCs w:val="22"/>
          <w:lang w:eastAsia="de-DE" w:bidi="de-DE"/>
        </w:rPr>
        <w:t> (I)</w:t>
      </w:r>
      <w:r w:rsidR="007A7C37">
        <w:rPr>
          <w:rFonts w:eastAsia="Calibri"/>
          <w:i/>
          <w:szCs w:val="22"/>
          <w:lang w:eastAsia="de-DE" w:bidi="de-DE"/>
        </w:rPr>
        <w:t xml:space="preserve"> (B.S. vom 13. September 2019)</w:t>
      </w:r>
      <w:r w:rsidR="001A670A">
        <w:rPr>
          <w:rFonts w:eastAsia="Calibri"/>
          <w:i/>
          <w:szCs w:val="22"/>
          <w:lang w:eastAsia="de-DE" w:bidi="de-DE"/>
        </w:rPr>
        <w:t xml:space="preserve"> und Art. 10 Nr. 1</w:t>
      </w:r>
      <w:r w:rsidR="001A670A" w:rsidRPr="001A670A">
        <w:rPr>
          <w:rFonts w:eastAsia="Calibri"/>
          <w:i/>
          <w:szCs w:val="22"/>
          <w:lang w:eastAsia="de-DE" w:bidi="de-DE"/>
        </w:rPr>
        <w:t xml:space="preserve"> des K.E. vom 17. Juli 2023 (II) (B.S. vom 26. Juli 2023)</w:t>
      </w:r>
      <w:r w:rsidRPr="00F531CC">
        <w:rPr>
          <w:rFonts w:eastAsia="Calibri"/>
          <w:i/>
          <w:szCs w:val="22"/>
          <w:lang w:eastAsia="de-DE" w:bidi="de-DE"/>
        </w:rPr>
        <w:t xml:space="preserve">; § 5 früherer Absatz 4 eingefügt durch Art. 1 Nr. 3 des K.E. vom 4. Dezember 2000 (B.S. vom 23. Dezember 2000) und aufgehoben durch Art. 13 Nr. 5 des K.E. vom 20. Januar 2005 (B.S. vom 1. Februar 2005); § 5 Abs. 4 (früherer Absatz 5) eingefügt durch Art. 1 Nr. 3 des K.E. vom 4. Dezember 2000 (B.S. vom 23. Dezember 2000) und ersetzt durch Art. 13 Nr. 6 des K.E. vom </w:t>
      </w:r>
      <w:r w:rsidRPr="00F531CC">
        <w:rPr>
          <w:rFonts w:eastAsia="Calibri"/>
          <w:i/>
          <w:szCs w:val="22"/>
          <w:lang w:eastAsia="de-DE" w:bidi="de-DE"/>
        </w:rPr>
        <w:lastRenderedPageBreak/>
        <w:t>20. Januar 2005 (B.S. vom 1. Februar 2005); § 6 Abs. 2 ersetzt durch Art. 2 Nr. 4 des K.E. vom 18. April 2005 (B.S. vom 3. Mai 2005); § 6 früherer Absatz 3 eingefügt durch Art. 1 Nr. 4 des K.E. vom 4. Dezember 2000 (B.S. vom 23. Dezember 2000) und aufgehoben durch Art. 13 Nr. 7 des K.E. vom 20. Januar 2005 (B.S. vom 1. Februar 2005); § 6 Abs. 3 (früherer Absatz 4) eingefügt durch Art. 1 Nr. 4 des K.E. vom 4. Dezember 2000 (B.S. vom 23. Dezember 2000) und ersetzt durch Art. 13 Nr. 8 des K.E. vom 20. Januar 2005 (B.S. vom 1. Februar 2005); § 6bis eingefügt durch Art. 2 Nr. 5 des K.E. vom 18. April 2005 (B.S. vom 3. Mai 2005)</w:t>
      </w:r>
      <w:r w:rsidR="00AD5D01">
        <w:rPr>
          <w:rFonts w:eastAsia="Calibri"/>
          <w:i/>
          <w:szCs w:val="22"/>
          <w:lang w:eastAsia="de-DE" w:bidi="de-DE"/>
        </w:rPr>
        <w:t xml:space="preserve">; § 6bis einziger Absatz einleitende Bestimmung </w:t>
      </w:r>
      <w:r w:rsidR="009038FD">
        <w:rPr>
          <w:rFonts w:eastAsia="Calibri"/>
          <w:i/>
          <w:szCs w:val="22"/>
          <w:lang w:eastAsia="de-DE" w:bidi="de-DE"/>
        </w:rPr>
        <w:t>abgeändert durch Art. 1 Nr. 1 des K.E. vom 5. Juli 2022 (B.S. vom 15. Juli 2022)</w:t>
      </w:r>
      <w:r w:rsidRPr="00F531CC">
        <w:rPr>
          <w:rFonts w:eastAsia="Calibri"/>
          <w:i/>
          <w:szCs w:val="22"/>
          <w:lang w:eastAsia="de-DE" w:bidi="de-DE"/>
        </w:rPr>
        <w:t xml:space="preserve">; </w:t>
      </w:r>
      <w:r w:rsidR="009038FD">
        <w:rPr>
          <w:rFonts w:eastAsia="Calibri"/>
          <w:i/>
          <w:szCs w:val="22"/>
          <w:lang w:eastAsia="de-DE" w:bidi="de-DE"/>
        </w:rPr>
        <w:t xml:space="preserve">§ 6ter eingefügt durch Art. 1 Nr. 2 des K.E. vom 5. Juli 2022 (B.S. vom 15. Juli 2022); </w:t>
      </w:r>
      <w:r w:rsidRPr="00F531CC">
        <w:rPr>
          <w:rFonts w:eastAsia="Calibri"/>
          <w:i/>
          <w:szCs w:val="22"/>
          <w:lang w:eastAsia="de-DE" w:bidi="de-DE"/>
        </w:rPr>
        <w:t>§ 7 ersetzt durch Art. </w:t>
      </w:r>
      <w:r w:rsidR="00AC0F23">
        <w:rPr>
          <w:rFonts w:eastAsia="Calibri"/>
          <w:i/>
          <w:szCs w:val="22"/>
          <w:lang w:eastAsia="de-DE" w:bidi="de-DE"/>
        </w:rPr>
        <w:t>29 des K.E. vom 9. November 2016 (B.S. vom 18. November 2016)</w:t>
      </w:r>
      <w:r w:rsidR="009038FD">
        <w:rPr>
          <w:rFonts w:eastAsia="Calibri"/>
          <w:i/>
          <w:szCs w:val="22"/>
          <w:lang w:eastAsia="de-DE" w:bidi="de-DE"/>
        </w:rPr>
        <w:t>;</w:t>
      </w:r>
      <w:r w:rsidRPr="00F531CC">
        <w:rPr>
          <w:rFonts w:eastAsia="Calibri"/>
          <w:i/>
          <w:szCs w:val="22"/>
          <w:lang w:eastAsia="de-DE" w:bidi="de-DE"/>
        </w:rPr>
        <w:t xml:space="preserve"> </w:t>
      </w:r>
      <w:r w:rsidR="009038FD">
        <w:rPr>
          <w:rFonts w:eastAsia="Calibri"/>
          <w:i/>
          <w:szCs w:val="22"/>
          <w:lang w:eastAsia="de-DE" w:bidi="de-DE"/>
        </w:rPr>
        <w:t>§ 7 Abs. 1 abgeändert durch Art. 1 Nr. 3 des K.E. vom 5. Juli 2022 (B.S. vom 15. Juli 2022)</w:t>
      </w:r>
      <w:r w:rsidR="00FE63BF">
        <w:rPr>
          <w:rFonts w:eastAsia="Calibri"/>
          <w:i/>
          <w:szCs w:val="22"/>
          <w:lang w:eastAsia="de-DE" w:bidi="de-DE"/>
        </w:rPr>
        <w:t xml:space="preserve">; </w:t>
      </w:r>
      <w:r w:rsidR="001A670A">
        <w:rPr>
          <w:rFonts w:eastAsia="Calibri"/>
          <w:i/>
          <w:szCs w:val="22"/>
          <w:lang w:eastAsia="de-DE" w:bidi="de-DE"/>
        </w:rPr>
        <w:t>§ 7 Abs. 2 abgeändert durch Art. 10 Nr. 2</w:t>
      </w:r>
      <w:r w:rsidR="001A670A" w:rsidRPr="001A670A">
        <w:rPr>
          <w:rFonts w:eastAsia="Calibri"/>
          <w:i/>
          <w:szCs w:val="22"/>
          <w:lang w:eastAsia="de-DE" w:bidi="de-DE"/>
        </w:rPr>
        <w:t xml:space="preserve"> des K.E. vom 17. Juli 2023 (II) (B.S. vom 26. Juli 2023)</w:t>
      </w:r>
      <w:r w:rsidR="001A670A">
        <w:rPr>
          <w:rFonts w:eastAsia="Calibri"/>
          <w:i/>
          <w:szCs w:val="22"/>
          <w:lang w:eastAsia="de-DE" w:bidi="de-DE"/>
        </w:rPr>
        <w:t xml:space="preserve">; </w:t>
      </w:r>
      <w:r w:rsidRPr="00F531CC">
        <w:rPr>
          <w:rFonts w:eastAsia="Calibri"/>
          <w:i/>
          <w:szCs w:val="22"/>
          <w:lang w:eastAsia="de-DE" w:bidi="de-DE"/>
        </w:rPr>
        <w:t xml:space="preserve">§ 8 eingefügt durch Art. 1 Nr. 2 des K.E. vom 10. April 1995 (B.S. vom 13. Mai 1995) und aufgehoben durch Art. 2 des K.E. vom 27. Dezember 2012 (B.S. vom 31. Dezember 2012); § 9 eingefügt durch Art. 1 des K.E. vom 9. Januar 1998 (B.S. vom 6. Februar 1998) und ersetzt durch Art. 17 des K.E. vom 23. Mai 2007 (B.S. vom 12. Juni 2007); </w:t>
      </w:r>
      <w:r w:rsidR="00A400F5">
        <w:rPr>
          <w:rFonts w:eastAsia="Calibri"/>
          <w:i/>
          <w:szCs w:val="22"/>
          <w:lang w:eastAsia="de-DE" w:bidi="de-DE"/>
        </w:rPr>
        <w:t>§ 9 einziger Absatz einleitende Bestimmung abgeändert durch Art. 14 Nr. 1</w:t>
      </w:r>
      <w:r w:rsidR="00A400F5">
        <w:rPr>
          <w:i/>
        </w:rPr>
        <w:t xml:space="preserve"> des K.E. vom 8. Mai 2018 (B.S. vom 22. Mai 2018); § 9 einziger Absatz Buchstabe c) eingefügt durch Art. 14 Nr. 2 des K.E. vom 8. Mai 2018 (B.S. vom 22. Mai 2018); </w:t>
      </w:r>
      <w:r w:rsidRPr="00F531CC">
        <w:rPr>
          <w:rFonts w:eastAsia="Calibri"/>
          <w:i/>
          <w:szCs w:val="22"/>
          <w:lang w:eastAsia="de-DE" w:bidi="de-DE"/>
        </w:rPr>
        <w:t>§ 10 eingefügt durch Art. 1 Nr. 5 des K.E. vom 4. Dezember 2000 (B.S. vom 23. Dezember 2000) und aufgehoben durch Art. 13 Nr. 9 des K.E. vom 20. Januar 2005 (B.S. vom 1. Februar 2005); § 11 eingefügt durch Art. 1 Nr. 6 des K.E. vom 4. Dezember 2000 (B.S. vom 23. Dezember 2000) und aufgehoben durch Art. 13 Nr. 9 des K.E. vom 20. Januar 2005 (B.S. vom 1. Februar 2005)]</w:t>
      </w:r>
    </w:p>
    <w:p w14:paraId="18D8D628" w14:textId="77777777" w:rsidR="007D52CA" w:rsidRPr="00F531CC" w:rsidRDefault="007D52CA" w:rsidP="007D52CA">
      <w:pPr>
        <w:jc w:val="both"/>
        <w:rPr>
          <w:rFonts w:eastAsia="Calibri"/>
          <w:i/>
          <w:szCs w:val="22"/>
          <w:lang w:eastAsia="de-DE" w:bidi="de-DE"/>
        </w:rPr>
      </w:pPr>
    </w:p>
    <w:p w14:paraId="519C6B10" w14:textId="77777777" w:rsidR="007D52CA" w:rsidRPr="00F531CC" w:rsidRDefault="007D52CA" w:rsidP="007D52CA">
      <w:pPr>
        <w:jc w:val="both"/>
        <w:rPr>
          <w:rFonts w:eastAsia="Calibri"/>
          <w:szCs w:val="22"/>
          <w:lang w:eastAsia="de-DE" w:bidi="de-DE"/>
        </w:rPr>
      </w:pPr>
    </w:p>
    <w:p w14:paraId="78C416EE" w14:textId="77777777" w:rsidR="007D52CA"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107</w:t>
      </w:r>
      <w:r w:rsidRPr="00F531CC">
        <w:rPr>
          <w:rFonts w:eastAsia="Calibri"/>
          <w:szCs w:val="22"/>
          <w:lang w:eastAsia="de-DE" w:bidi="de-DE"/>
        </w:rPr>
        <w:t> - § 1 - In Bezug auf Einkünfte entweder aus Schuldverschreibungen, Kassenbons oder anderen ähnlichen Wertpapieren oder aus Schuldforderungen und Darlehen, mit Ausnahme [der in Artikel 266 Absatz 2 des Einkommensteuergesetzbuches 1992 [...] erwähnten Einkünfte, die] in Ausführung von ab dem 1. Dezember 1962 geschlossenen Abkommen gewährt oder zuerkannt werden, wird gemäß den in den Paragraphen 2 bis 5 vorgesehenen Unterscheidungen vollständig oder teilweise von der Einnahme des Mobiliensteuervorabzugs abgesehen.</w:t>
      </w:r>
    </w:p>
    <w:p w14:paraId="15B0ABAA" w14:textId="77777777" w:rsidR="007D52CA" w:rsidRDefault="007D52CA" w:rsidP="007D52CA">
      <w:pPr>
        <w:jc w:val="both"/>
        <w:rPr>
          <w:rFonts w:eastAsia="Calibri"/>
          <w:szCs w:val="22"/>
          <w:lang w:eastAsia="de-DE" w:bidi="de-DE"/>
        </w:rPr>
      </w:pPr>
    </w:p>
    <w:p w14:paraId="35B64E55" w14:textId="3F07DEFD" w:rsidR="007D52CA" w:rsidRPr="00F531CC" w:rsidRDefault="007D52CA" w:rsidP="007D52CA">
      <w:pPr>
        <w:jc w:val="both"/>
        <w:rPr>
          <w:rFonts w:eastAsia="Calibri"/>
          <w:szCs w:val="22"/>
          <w:lang w:eastAsia="de-DE" w:bidi="de-DE"/>
        </w:rPr>
      </w:pPr>
      <w:r w:rsidRPr="00F531CC">
        <w:rPr>
          <w:rFonts w:eastAsia="Calibri"/>
          <w:szCs w:val="22"/>
          <w:lang w:eastAsia="de-DE" w:bidi="de-DE"/>
        </w:rPr>
        <w:tab/>
        <w:t>§ 2 - Von der Einnahme des Mobiliensteuervorabzugs wird vollständig abgesehen in Bezug auf:</w:t>
      </w:r>
    </w:p>
    <w:p w14:paraId="2DE7E7D9" w14:textId="77777777" w:rsidR="007D52CA" w:rsidRPr="00F531CC" w:rsidRDefault="007D52CA" w:rsidP="007D52CA">
      <w:pPr>
        <w:jc w:val="both"/>
        <w:rPr>
          <w:rFonts w:eastAsia="Calibri"/>
          <w:szCs w:val="22"/>
          <w:lang w:eastAsia="de-DE" w:bidi="de-DE"/>
        </w:rPr>
      </w:pPr>
    </w:p>
    <w:p w14:paraId="34B648E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[Emissionsagien von Schuldverschreibungen, Kassenbons und anderen ähnlichen Wertpapieren, die ungeachtet der Empfänger ausgegeben werden:</w:t>
      </w:r>
    </w:p>
    <w:p w14:paraId="50185E73" w14:textId="77777777" w:rsidR="007D52CA" w:rsidRPr="00F531CC" w:rsidRDefault="007D52CA" w:rsidP="007D52CA">
      <w:pPr>
        <w:jc w:val="both"/>
        <w:rPr>
          <w:rFonts w:eastAsia="Calibri"/>
          <w:szCs w:val="22"/>
          <w:lang w:eastAsia="de-DE" w:bidi="de-DE"/>
        </w:rPr>
      </w:pPr>
    </w:p>
    <w:p w14:paraId="51EC3E0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entweder vom Staat, von den Regionen, den Gemeinschaften, der Französischen Gemeinschaftskommission, der Gemeinsamen Gemeinschaftskommission, den Provinzen, den Agglomerationen, den Gemeinden oder anderen belgischen öffentlichen Organismen oder Einrichtungen oder ähnlichen öffentlichen Körperschaften, die in anderen Mitgliedstaaten des Europäischen Wirtschaftsraums ansässig sind,</w:t>
      </w:r>
    </w:p>
    <w:p w14:paraId="6F13E9EE" w14:textId="77777777" w:rsidR="007D52CA" w:rsidRPr="00F531CC" w:rsidRDefault="007D52CA" w:rsidP="007D52CA">
      <w:pPr>
        <w:jc w:val="both"/>
        <w:rPr>
          <w:rFonts w:eastAsia="Calibri"/>
          <w:szCs w:val="22"/>
          <w:lang w:eastAsia="de-DE" w:bidi="de-DE"/>
        </w:rPr>
      </w:pPr>
    </w:p>
    <w:p w14:paraId="6A023E6D" w14:textId="4EB9D1F2"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oder im Fall einer öffentlichen Zeichnung von </w:t>
      </w:r>
      <w:r w:rsidR="007A7C37">
        <w:rPr>
          <w:rFonts w:eastAsia="Calibri"/>
          <w:szCs w:val="22"/>
          <w:lang w:eastAsia="de-DE" w:bidi="de-DE"/>
        </w:rPr>
        <w:t>[</w:t>
      </w:r>
      <w:r w:rsidR="007A7C37" w:rsidRPr="00402AAD">
        <w:t>inländischen Gesellschaften, privatrechtlichen belgischen Vereinigungen, Organismen oder Einrichtungen</w:t>
      </w:r>
      <w:r w:rsidR="007A7C37">
        <w:rPr>
          <w:rFonts w:eastAsia="Calibri"/>
          <w:szCs w:val="22"/>
          <w:lang w:eastAsia="de-DE" w:bidi="de-DE"/>
        </w:rPr>
        <w:t>]</w:t>
      </w:r>
      <w:r w:rsidRPr="00F531CC">
        <w:rPr>
          <w:rFonts w:eastAsia="Calibri"/>
          <w:szCs w:val="22"/>
          <w:lang w:eastAsia="de-DE" w:bidi="de-DE"/>
        </w:rPr>
        <w:t xml:space="preserve"> oder ähnlichen privatrechtlichen Körperschaften, die in anderen Mitgliedstaaten des Europäischen Wirtschaftsraums ansässig sind,</w:t>
      </w:r>
    </w:p>
    <w:p w14:paraId="7321DC3F" w14:textId="77777777" w:rsidR="007D52CA" w:rsidRPr="00F531CC" w:rsidRDefault="007D52CA" w:rsidP="007D52CA">
      <w:pPr>
        <w:jc w:val="both"/>
        <w:rPr>
          <w:rFonts w:eastAsia="Calibri"/>
          <w:szCs w:val="22"/>
          <w:lang w:eastAsia="de-DE" w:bidi="de-DE"/>
        </w:rPr>
      </w:pPr>
    </w:p>
    <w:p w14:paraId="750B585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sofern diese Agien über die gesamte Laufzeit der Wertpapiere verteilt nicht dazu führen, dass sich eine tatsächliche Jahresrendite der Wertpapiere ergibt, die den nominalen Satz um mehr als 75 Hundertstel übersteigt,]</w:t>
      </w:r>
    </w:p>
    <w:p w14:paraId="4F49F52D" w14:textId="77777777" w:rsidR="007D52CA" w:rsidRPr="00F531CC" w:rsidRDefault="007D52CA" w:rsidP="007D52CA">
      <w:pPr>
        <w:jc w:val="both"/>
        <w:rPr>
          <w:rFonts w:eastAsia="Calibri"/>
          <w:szCs w:val="22"/>
          <w:lang w:eastAsia="de-DE" w:bidi="de-DE"/>
        </w:rPr>
      </w:pPr>
    </w:p>
    <w:p w14:paraId="634F8FE5" w14:textId="08E58852"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2. Einkünfte aus Anleihezertifikaten, die </w:t>
      </w:r>
      <w:r w:rsidR="00984F9B">
        <w:rPr>
          <w:rFonts w:eastAsia="Calibri"/>
          <w:szCs w:val="22"/>
          <w:lang w:eastAsia="de-DE" w:bidi="de-DE"/>
        </w:rPr>
        <w:t>[von der Föderalen Schuldenagentur]</w:t>
      </w:r>
      <w:r w:rsidRPr="00F531CC">
        <w:rPr>
          <w:rFonts w:eastAsia="Calibri"/>
          <w:szCs w:val="22"/>
          <w:lang w:eastAsia="de-DE" w:bidi="de-DE"/>
        </w:rPr>
        <w:t xml:space="preserve"> ausgegeben wurden,</w:t>
      </w:r>
    </w:p>
    <w:p w14:paraId="7E502824" w14:textId="77777777" w:rsidR="007D52CA" w:rsidRPr="00F531CC" w:rsidRDefault="007D52CA" w:rsidP="007D52CA">
      <w:pPr>
        <w:jc w:val="both"/>
        <w:rPr>
          <w:rFonts w:eastAsia="Calibri"/>
          <w:szCs w:val="22"/>
          <w:lang w:eastAsia="de-DE" w:bidi="de-DE"/>
        </w:rPr>
      </w:pPr>
    </w:p>
    <w:p w14:paraId="6420F91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3. Einkünfte aus Wertpapieren der besonderen Wandelanleihe von 1962,</w:t>
      </w:r>
    </w:p>
    <w:p w14:paraId="6001E078" w14:textId="77777777" w:rsidR="007D52CA" w:rsidRPr="00F531CC" w:rsidRDefault="007D52CA" w:rsidP="007D52CA">
      <w:pPr>
        <w:jc w:val="both"/>
        <w:rPr>
          <w:rFonts w:eastAsia="Calibri"/>
          <w:szCs w:val="22"/>
          <w:lang w:eastAsia="de-DE" w:bidi="de-DE"/>
        </w:rPr>
      </w:pPr>
    </w:p>
    <w:p w14:paraId="430D3D0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4. Zinsen aus Tagesdarlehen, auch "Callgeld" genannt,</w:t>
      </w:r>
    </w:p>
    <w:p w14:paraId="6DEA07EF" w14:textId="77777777" w:rsidR="007D52CA" w:rsidRPr="00F531CC" w:rsidRDefault="007D52CA" w:rsidP="007D52CA">
      <w:pPr>
        <w:jc w:val="both"/>
        <w:rPr>
          <w:rFonts w:eastAsia="Calibri"/>
          <w:szCs w:val="22"/>
          <w:lang w:eastAsia="de-DE" w:bidi="de-DE"/>
        </w:rPr>
      </w:pPr>
    </w:p>
    <w:p w14:paraId="463F3AFC" w14:textId="375CC543" w:rsidR="007D52CA" w:rsidRPr="00F531CC" w:rsidRDefault="007D52CA" w:rsidP="007D52CA">
      <w:pPr>
        <w:jc w:val="both"/>
        <w:rPr>
          <w:rFonts w:eastAsia="Calibri"/>
          <w:szCs w:val="22"/>
          <w:lang w:eastAsia="de-DE" w:bidi="de-DE"/>
        </w:rPr>
      </w:pPr>
      <w:r w:rsidRPr="00F531CC">
        <w:rPr>
          <w:rFonts w:eastAsia="Calibri"/>
          <w:szCs w:val="22"/>
          <w:lang w:eastAsia="de-DE" w:bidi="de-DE"/>
        </w:rPr>
        <w:tab/>
        <w:t>5. </w:t>
      </w:r>
      <w:r w:rsidRPr="00F531CC">
        <w:rPr>
          <w:rFonts w:eastAsia="Calibri"/>
          <w:i/>
          <w:szCs w:val="22"/>
          <w:lang w:eastAsia="de-DE" w:bidi="de-DE"/>
        </w:rPr>
        <w:t>a)</w:t>
      </w:r>
      <w:r w:rsidRPr="00F531CC">
        <w:rPr>
          <w:rFonts w:eastAsia="Calibri"/>
          <w:szCs w:val="22"/>
          <w:lang w:eastAsia="de-DE" w:bidi="de-DE"/>
        </w:rPr>
        <w:t> [Einkünfte aus Schuldforderungen und Darlehen, die:</w:t>
      </w:r>
    </w:p>
    <w:p w14:paraId="02C6A367" w14:textId="77777777" w:rsidR="007D52CA" w:rsidRPr="00F531CC" w:rsidRDefault="007D52CA" w:rsidP="007D52CA">
      <w:pPr>
        <w:jc w:val="both"/>
        <w:rPr>
          <w:rFonts w:eastAsia="Calibri"/>
          <w:szCs w:val="22"/>
          <w:lang w:eastAsia="de-DE" w:bidi="de-DE"/>
        </w:rPr>
      </w:pPr>
    </w:p>
    <w:p w14:paraId="19774F5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von Kreditinstituten, die in Artikel 105 Nr. 1 Buchstabe </w:t>
      </w:r>
      <w:r w:rsidRPr="00F531CC">
        <w:rPr>
          <w:rFonts w:eastAsia="Calibri"/>
          <w:i/>
          <w:szCs w:val="22"/>
          <w:lang w:eastAsia="de-DE" w:bidi="de-DE"/>
        </w:rPr>
        <w:t>a)</w:t>
      </w:r>
      <w:r w:rsidRPr="00F531CC">
        <w:rPr>
          <w:rFonts w:eastAsia="Calibri"/>
          <w:szCs w:val="22"/>
          <w:lang w:eastAsia="de-DE" w:bidi="de-DE"/>
        </w:rPr>
        <w:t xml:space="preserve"> erwähnt sind, im Ausland ansässigen Kreditinstituten gewährt oder zuerkannt werden,</w:t>
      </w:r>
    </w:p>
    <w:p w14:paraId="112B2A1B" w14:textId="77777777" w:rsidR="007D52CA" w:rsidRPr="00F531CC" w:rsidRDefault="007D52CA" w:rsidP="007D52CA">
      <w:pPr>
        <w:jc w:val="both"/>
        <w:rPr>
          <w:rFonts w:eastAsia="Calibri"/>
          <w:szCs w:val="22"/>
          <w:lang w:eastAsia="de-DE" w:bidi="de-DE"/>
        </w:rPr>
      </w:pPr>
    </w:p>
    <w:p w14:paraId="3FFAF718" w14:textId="77777777" w:rsidR="007C20CA" w:rsidRDefault="007D52CA" w:rsidP="007D52CA">
      <w:pPr>
        <w:jc w:val="both"/>
        <w:rPr>
          <w:rFonts w:eastAsia="Calibri"/>
          <w:szCs w:val="22"/>
          <w:lang w:eastAsia="de-DE" w:bidi="de-DE"/>
        </w:rPr>
      </w:pPr>
      <w:r w:rsidRPr="00177334">
        <w:rPr>
          <w:rFonts w:eastAsia="Calibri"/>
          <w:spacing w:val="-4"/>
          <w:szCs w:val="22"/>
          <w:lang w:eastAsia="de-DE" w:bidi="de-DE"/>
        </w:rPr>
        <w:tab/>
        <w:t>- von gewerblichen Anlegern Kreditinstituten gewährt oder zuerkannt werden, die im Aus</w:t>
      </w:r>
      <w:r w:rsidR="00177334" w:rsidRPr="00177334">
        <w:rPr>
          <w:rFonts w:eastAsia="Calibri"/>
          <w:spacing w:val="-4"/>
          <w:szCs w:val="22"/>
          <w:lang w:eastAsia="de-DE" w:bidi="de-DE"/>
        </w:rPr>
        <w:softHyphen/>
      </w:r>
      <w:r w:rsidRPr="00177334">
        <w:rPr>
          <w:rFonts w:eastAsia="Calibri"/>
          <w:spacing w:val="-4"/>
          <w:szCs w:val="22"/>
          <w:lang w:eastAsia="de-DE" w:bidi="de-DE"/>
        </w:rPr>
        <w:t>land in einem Land des Europäischen Wirtschaftsraums oder in einem Land, mit dem Belgien ein Abkommen zur Vermeidung der Doppelbesteuerung abgeschlossen hat, ansässig sind,]</w:t>
      </w:r>
      <w:r w:rsidRPr="00F531CC">
        <w:rPr>
          <w:rFonts w:eastAsia="Calibri"/>
          <w:szCs w:val="22"/>
          <w:lang w:eastAsia="de-DE" w:bidi="de-DE"/>
        </w:rPr>
        <w:tab/>
      </w:r>
    </w:p>
    <w:p w14:paraId="19E630C8" w14:textId="77777777" w:rsidR="007C20CA" w:rsidRDefault="007C20CA">
      <w:pPr>
        <w:rPr>
          <w:rFonts w:eastAsia="Calibri"/>
          <w:szCs w:val="22"/>
          <w:lang w:eastAsia="de-DE" w:bidi="de-DE"/>
        </w:rPr>
      </w:pPr>
    </w:p>
    <w:p w14:paraId="2EEA3310" w14:textId="02BF3783" w:rsidR="007D52CA" w:rsidRPr="00F531CC" w:rsidRDefault="007C20CA" w:rsidP="007D52CA">
      <w:pPr>
        <w:jc w:val="both"/>
        <w:rPr>
          <w:rFonts w:eastAsia="Calibri"/>
          <w:szCs w:val="22"/>
          <w:lang w:eastAsia="de-DE" w:bidi="de-DE"/>
        </w:rPr>
      </w:pPr>
      <w:r>
        <w:rPr>
          <w:rFonts w:eastAsia="Calibri"/>
          <w:i/>
          <w:szCs w:val="22"/>
          <w:lang w:eastAsia="de-DE" w:bidi="de-DE"/>
        </w:rPr>
        <w:tab/>
      </w:r>
      <w:r w:rsidR="007D52CA" w:rsidRPr="00F531CC">
        <w:rPr>
          <w:rFonts w:eastAsia="Calibri"/>
          <w:i/>
          <w:szCs w:val="22"/>
          <w:lang w:eastAsia="de-DE" w:bidi="de-DE"/>
        </w:rPr>
        <w:t>b)</w:t>
      </w:r>
      <w:r w:rsidR="007D52CA" w:rsidRPr="00F531CC">
        <w:rPr>
          <w:rFonts w:eastAsia="Calibri"/>
          <w:szCs w:val="22"/>
          <w:lang w:eastAsia="de-DE" w:bidi="de-DE"/>
        </w:rPr>
        <w:t> [Einkünfte aus Schuldverschreibungen, Kassenbons oder anderen ähnlichen Wertpapieren, die Gegenstand einer namentlichen Eintragung beim Ausgeber sind, und Einkünfte aus nicht in Wertpapieren verbrieften Schuldforderungen und Darlehen, die gebietsfremden Sparern gewährt oder zuerkannt werden:</w:t>
      </w:r>
    </w:p>
    <w:p w14:paraId="69B5AE73" w14:textId="77777777" w:rsidR="007D52CA" w:rsidRPr="00F531CC" w:rsidRDefault="007D52CA" w:rsidP="007D52CA">
      <w:pPr>
        <w:jc w:val="both"/>
        <w:rPr>
          <w:rFonts w:eastAsia="Calibri"/>
          <w:szCs w:val="22"/>
          <w:lang w:eastAsia="de-DE" w:bidi="de-DE"/>
        </w:rPr>
      </w:pPr>
    </w:p>
    <w:p w14:paraId="79F2501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vom Staat, von den Regionen, den Gemeinschaften, der Französischen Gemeinschaftskommission, der Gemeinsamen Gemeinschaftskommission, den Provinzen, den Agglomerationen und den Gemeinden,</w:t>
      </w:r>
    </w:p>
    <w:p w14:paraId="5FF8364F" w14:textId="77777777" w:rsidR="007D52CA" w:rsidRPr="00F531CC" w:rsidRDefault="007D52CA" w:rsidP="007D52CA">
      <w:pPr>
        <w:jc w:val="both"/>
        <w:rPr>
          <w:rFonts w:eastAsia="Calibri"/>
          <w:szCs w:val="22"/>
          <w:lang w:eastAsia="de-DE" w:bidi="de-DE"/>
        </w:rPr>
      </w:pPr>
    </w:p>
    <w:p w14:paraId="5048638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von belgischen öffentlichen Organismen oder Einrichtungen, sofern der Staat, die Regionen oder die Gemeinschaften diese Schuldforderungen und Darlehen garantieren,</w:t>
      </w:r>
    </w:p>
    <w:p w14:paraId="041EB199" w14:textId="77777777" w:rsidR="007D52CA" w:rsidRDefault="007D52CA" w:rsidP="007D52CA">
      <w:pPr>
        <w:rPr>
          <w:rFonts w:eastAsia="Calibri"/>
          <w:szCs w:val="22"/>
          <w:lang w:eastAsia="de-DE" w:bidi="de-DE"/>
        </w:rPr>
      </w:pPr>
    </w:p>
    <w:p w14:paraId="288FEA9D" w14:textId="77777777" w:rsidR="007D52CA" w:rsidRPr="00F531CC" w:rsidRDefault="007D52CA" w:rsidP="007D52CA">
      <w:pPr>
        <w:rPr>
          <w:rFonts w:eastAsia="Calibri"/>
          <w:szCs w:val="22"/>
          <w:lang w:eastAsia="de-DE" w:bidi="de-DE"/>
        </w:rPr>
      </w:pPr>
      <w:r w:rsidRPr="00F531CC">
        <w:rPr>
          <w:rFonts w:eastAsia="Calibri"/>
          <w:szCs w:val="22"/>
          <w:lang w:eastAsia="de-DE" w:bidi="de-DE"/>
        </w:rPr>
        <w:tab/>
        <w:t>- von Finanzinstituten, die in Artikel 105 Nr. 1 Buchstabe </w:t>
      </w:r>
      <w:r w:rsidRPr="00F531CC">
        <w:rPr>
          <w:rFonts w:eastAsia="Calibri"/>
          <w:i/>
          <w:szCs w:val="22"/>
          <w:lang w:eastAsia="de-DE" w:bidi="de-DE"/>
        </w:rPr>
        <w:t>a)</w:t>
      </w:r>
      <w:r w:rsidRPr="00F531CC">
        <w:rPr>
          <w:rFonts w:eastAsia="Calibri"/>
          <w:szCs w:val="22"/>
          <w:lang w:eastAsia="de-DE" w:bidi="de-DE"/>
        </w:rPr>
        <w:t xml:space="preserve"> erwähnt sind,</w:t>
      </w:r>
    </w:p>
    <w:p w14:paraId="34284D12" w14:textId="77777777" w:rsidR="007D52CA" w:rsidRPr="00F531CC" w:rsidRDefault="007D52CA" w:rsidP="007D52CA">
      <w:pPr>
        <w:jc w:val="both"/>
        <w:rPr>
          <w:rFonts w:eastAsia="Calibri"/>
          <w:szCs w:val="22"/>
          <w:lang w:eastAsia="de-DE" w:bidi="de-DE"/>
        </w:rPr>
      </w:pPr>
    </w:p>
    <w:p w14:paraId="092182A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von Unternehmen, die in Artikel 105 Nr. 1 Buchstabe </w:t>
      </w:r>
      <w:r w:rsidRPr="00F531CC">
        <w:rPr>
          <w:rFonts w:eastAsia="Calibri"/>
          <w:i/>
          <w:szCs w:val="22"/>
          <w:lang w:eastAsia="de-DE" w:bidi="de-DE"/>
        </w:rPr>
        <w:t>b)</w:t>
      </w:r>
      <w:r w:rsidRPr="00F531CC">
        <w:rPr>
          <w:rFonts w:eastAsia="Calibri"/>
          <w:szCs w:val="22"/>
          <w:lang w:eastAsia="de-DE" w:bidi="de-DE"/>
        </w:rPr>
        <w:t xml:space="preserve"> oder </w:t>
      </w:r>
      <w:r w:rsidRPr="00F531CC">
        <w:rPr>
          <w:rFonts w:eastAsia="Calibri"/>
          <w:i/>
          <w:szCs w:val="22"/>
          <w:lang w:eastAsia="de-DE" w:bidi="de-DE"/>
        </w:rPr>
        <w:t>c)</w:t>
      </w:r>
      <w:r w:rsidRPr="00F531CC">
        <w:rPr>
          <w:rFonts w:eastAsia="Calibri"/>
          <w:szCs w:val="22"/>
          <w:lang w:eastAsia="de-DE" w:bidi="de-DE"/>
        </w:rPr>
        <w:t xml:space="preserve"> erwähnt sind und während der gesamten abgelaufenen Dauer des Abkommens, in dessen Ausführung die Einkünfte gewährt oder zuerkannt werden, die in Artikel 105 Nr. 1 Buchstabe </w:t>
      </w:r>
      <w:r w:rsidRPr="00F531CC">
        <w:rPr>
          <w:rFonts w:eastAsia="Calibri"/>
          <w:i/>
          <w:szCs w:val="22"/>
          <w:lang w:eastAsia="de-DE" w:bidi="de-DE"/>
        </w:rPr>
        <w:t>b)</w:t>
      </w:r>
      <w:r w:rsidRPr="00F531CC">
        <w:rPr>
          <w:rFonts w:eastAsia="Calibri"/>
          <w:szCs w:val="22"/>
          <w:lang w:eastAsia="de-DE" w:bidi="de-DE"/>
        </w:rPr>
        <w:t xml:space="preserve"> beziehungsweise </w:t>
      </w:r>
      <w:r w:rsidRPr="00F531CC">
        <w:rPr>
          <w:rFonts w:eastAsia="Calibri"/>
          <w:i/>
          <w:szCs w:val="22"/>
          <w:lang w:eastAsia="de-DE" w:bidi="de-DE"/>
        </w:rPr>
        <w:t>c)</w:t>
      </w:r>
      <w:r w:rsidRPr="00F531CC">
        <w:rPr>
          <w:rFonts w:eastAsia="Calibri"/>
          <w:szCs w:val="22"/>
          <w:lang w:eastAsia="de-DE" w:bidi="de-DE"/>
        </w:rPr>
        <w:t xml:space="preserve"> erwähnten Bedingungen erfüllt haben,]</w:t>
      </w:r>
    </w:p>
    <w:p w14:paraId="659F3090" w14:textId="77777777" w:rsidR="007D52CA" w:rsidRPr="00F531CC" w:rsidRDefault="007D52CA" w:rsidP="007D52CA">
      <w:pPr>
        <w:jc w:val="both"/>
        <w:rPr>
          <w:rFonts w:eastAsia="Calibri"/>
          <w:szCs w:val="22"/>
          <w:lang w:eastAsia="de-DE" w:bidi="de-DE"/>
        </w:rPr>
      </w:pPr>
    </w:p>
    <w:p w14:paraId="2716FEF9" w14:textId="6E5D4BA3"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Einkünfte aus nicht in Inhaberpapieren [oder entmaterialisierten Wertpapieren] verbrieften Schuldforderungen und Darlehen, die in Ausführung von zwischen dem 1. März 1968 und dem 31. Dezember 1971 einschließlich geschlossenen Abkommen von Industrie-, Handels- oder Landwirtschaftsunternehmen Gebietsfremden gewährt oder zuerkannt werden, die gemäß den Artikeln 232 und 233 des Einkommensteuergesetz</w:t>
      </w:r>
      <w:r w:rsidRPr="00F531CC">
        <w:rPr>
          <w:rFonts w:eastAsia="Calibri"/>
          <w:szCs w:val="22"/>
          <w:lang w:eastAsia="de-DE" w:bidi="de-DE"/>
        </w:rPr>
        <w:softHyphen/>
        <w:t>buches 1992 nicht steuerpflichtig sind, sofern:</w:t>
      </w:r>
    </w:p>
    <w:p w14:paraId="38405732" w14:textId="77777777" w:rsidR="007D52CA" w:rsidRPr="00F531CC" w:rsidRDefault="007D52CA" w:rsidP="007D52CA">
      <w:pPr>
        <w:jc w:val="both"/>
        <w:rPr>
          <w:rFonts w:eastAsia="Calibri"/>
          <w:szCs w:val="22"/>
          <w:lang w:eastAsia="de-DE" w:bidi="de-DE"/>
        </w:rPr>
      </w:pPr>
    </w:p>
    <w:p w14:paraId="175DF09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diese Schuldforderungen und Darlehen vom Minister der Finanzen auf gleich lautende Stellungnahme des Ministers der Wirtschaftsangelegenheiten oder des Ministers des Mittelstands als Schuldforderungen und Darlehen anerkannt werden, die besonders auf die </w:t>
      </w:r>
      <w:r w:rsidRPr="00F531CC">
        <w:rPr>
          <w:rFonts w:eastAsia="Calibri"/>
          <w:szCs w:val="22"/>
          <w:lang w:eastAsia="de-DE" w:bidi="de-DE"/>
        </w:rPr>
        <w:lastRenderedPageBreak/>
        <w:t>Finanzierung von dem allgemeinen wirtschaftlichen Interesse dienenden Verrichtungen abzielen, die direkt zur Schaffung, Ausweitung, Umstellung oder Modernisierung belgischer Niederlassungen der Darlehen nehmenden Unternehmen beitragen,</w:t>
      </w:r>
    </w:p>
    <w:p w14:paraId="09E4432D" w14:textId="77777777" w:rsidR="007D52CA" w:rsidRPr="00F531CC" w:rsidRDefault="007D52CA" w:rsidP="007D52CA">
      <w:pPr>
        <w:jc w:val="both"/>
        <w:rPr>
          <w:rFonts w:eastAsia="Calibri"/>
          <w:szCs w:val="22"/>
          <w:lang w:eastAsia="de-DE" w:bidi="de-DE"/>
        </w:rPr>
      </w:pPr>
    </w:p>
    <w:p w14:paraId="2EB742A7" w14:textId="77777777" w:rsidR="00285271" w:rsidRDefault="007D52CA" w:rsidP="00285271">
      <w:pPr>
        <w:jc w:val="both"/>
        <w:rPr>
          <w:rFonts w:eastAsia="Calibri"/>
          <w:szCs w:val="22"/>
          <w:lang w:eastAsia="de-DE" w:bidi="de-DE"/>
        </w:rPr>
      </w:pPr>
      <w:r w:rsidRPr="00F531CC">
        <w:rPr>
          <w:rFonts w:eastAsia="Calibri"/>
          <w:szCs w:val="22"/>
          <w:lang w:eastAsia="de-DE" w:bidi="de-DE"/>
        </w:rPr>
        <w:tab/>
        <w:t>- diese Unternehmen die Bestimmungen von § 4 einhalten und tatsächlich binnen einer Frist von drei Jahren ab dem Datum des Abkommens über die aufgenommenen Beträge verfügt haben,</w:t>
      </w:r>
    </w:p>
    <w:p w14:paraId="336E77A1" w14:textId="4784D0FE" w:rsidR="006142D2" w:rsidRDefault="006142D2" w:rsidP="00285271">
      <w:pPr>
        <w:jc w:val="both"/>
        <w:rPr>
          <w:rFonts w:eastAsia="Calibri"/>
          <w:szCs w:val="22"/>
          <w:lang w:eastAsia="de-DE" w:bidi="de-DE"/>
        </w:rPr>
      </w:pPr>
    </w:p>
    <w:p w14:paraId="25522DB5" w14:textId="282BCD44" w:rsidR="007D52CA" w:rsidRPr="00B80727" w:rsidRDefault="007D52CA" w:rsidP="007D52CA">
      <w:pPr>
        <w:jc w:val="both"/>
        <w:rPr>
          <w:rFonts w:eastAsia="Calibri"/>
          <w:spacing w:val="-2"/>
          <w:szCs w:val="22"/>
          <w:lang w:eastAsia="de-DE" w:bidi="de-DE"/>
        </w:rPr>
      </w:pPr>
      <w:r w:rsidRPr="00B80727">
        <w:rPr>
          <w:rFonts w:eastAsia="Calibri"/>
          <w:spacing w:val="-2"/>
          <w:szCs w:val="22"/>
          <w:lang w:eastAsia="de-DE" w:bidi="de-DE"/>
        </w:rPr>
        <w:tab/>
      </w:r>
      <w:r w:rsidRPr="00B80727">
        <w:rPr>
          <w:rFonts w:eastAsia="Calibri"/>
          <w:i/>
          <w:spacing w:val="-2"/>
          <w:szCs w:val="22"/>
          <w:lang w:eastAsia="de-DE" w:bidi="de-DE"/>
        </w:rPr>
        <w:t>d)</w:t>
      </w:r>
      <w:r w:rsidRPr="00B80727">
        <w:rPr>
          <w:rFonts w:eastAsia="Calibri"/>
          <w:spacing w:val="-2"/>
          <w:szCs w:val="22"/>
          <w:lang w:eastAsia="de-DE" w:bidi="de-DE"/>
        </w:rPr>
        <w:t> Einkünfte aus nicht in Inhaberpapieren [oder entmaterialisierten Wertpapieren] verbrieften Schuldforderungen und Darlehen, die in Ausführung von zwischen dem 1. März 1977 und dem 31. Dezember 1978 einschließlich geschlossenen Abkommen entweder von juristischen Personen des belgischen öffentlichen Rechts oder von Industrie-, Handels- oder Landwirtschaftsunternehmen Gebietsfremden gewährt oder zuerkannt werden, die gemäß den Artikeln 232 und 233 des Einkommensteuergesetzbuches 1992 nicht steuerpflichtig sind, sofern:</w:t>
      </w:r>
    </w:p>
    <w:p w14:paraId="5CB04BEC" w14:textId="77777777" w:rsidR="007D52CA" w:rsidRPr="00F531CC" w:rsidRDefault="007D52CA" w:rsidP="007D52CA">
      <w:pPr>
        <w:jc w:val="both"/>
        <w:rPr>
          <w:rFonts w:eastAsia="Calibri"/>
          <w:szCs w:val="22"/>
          <w:lang w:eastAsia="de-DE" w:bidi="de-DE"/>
        </w:rPr>
      </w:pPr>
    </w:p>
    <w:p w14:paraId="725D8E6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diese Schuldforderungen und Darlehen zur Finanzierung von Verrichtungen verwendet werden, die vom Minister der Finanzen auf gleich lautende Stellungnahme des Ministers der Wirtschaftsangelegenheiten oder des Ministers des Mittelstands als Verrichtungen anerkannt werden, die auf Verbesserung der Produktivität, Bekämpfung der Arbeitslosigkeit oder Rationalisierung der Wirtschaft abzielen,</w:t>
      </w:r>
    </w:p>
    <w:p w14:paraId="0A2CCDF4" w14:textId="77777777" w:rsidR="007D52CA" w:rsidRPr="00F531CC" w:rsidRDefault="007D52CA" w:rsidP="007D52CA">
      <w:pPr>
        <w:jc w:val="both"/>
        <w:rPr>
          <w:rFonts w:eastAsia="Calibri"/>
          <w:szCs w:val="22"/>
          <w:lang w:eastAsia="de-DE" w:bidi="de-DE"/>
        </w:rPr>
      </w:pPr>
    </w:p>
    <w:p w14:paraId="73E5B685" w14:textId="77777777" w:rsidR="007D52CA" w:rsidRPr="00B80727" w:rsidRDefault="007D52CA" w:rsidP="007D52CA">
      <w:pPr>
        <w:jc w:val="both"/>
        <w:rPr>
          <w:rFonts w:eastAsia="Calibri"/>
          <w:spacing w:val="-4"/>
          <w:szCs w:val="22"/>
          <w:lang w:eastAsia="de-DE" w:bidi="de-DE"/>
        </w:rPr>
      </w:pPr>
      <w:r w:rsidRPr="00B80727">
        <w:rPr>
          <w:rFonts w:eastAsia="Calibri"/>
          <w:spacing w:val="-4"/>
          <w:szCs w:val="22"/>
          <w:lang w:eastAsia="de-DE" w:bidi="de-DE"/>
        </w:rPr>
        <w:tab/>
        <w:t>- diese Unternehmen die Bestimmungen von § 5 einhalten und tatsächlich binnen einer Frist von drei Jahren ab dem Datum des Abkommens über die aufgenommenen Beträge verfügt haben,</w:t>
      </w:r>
    </w:p>
    <w:p w14:paraId="4E9804F3" w14:textId="77777777" w:rsidR="007D52CA" w:rsidRPr="00F531CC" w:rsidRDefault="007D52CA" w:rsidP="007D52CA">
      <w:pPr>
        <w:rPr>
          <w:rFonts w:eastAsia="Calibri"/>
          <w:szCs w:val="22"/>
          <w:lang w:eastAsia="de-DE" w:bidi="de-DE"/>
        </w:rPr>
      </w:pPr>
    </w:p>
    <w:p w14:paraId="3902C933" w14:textId="6994792D"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e)</w:t>
      </w:r>
      <w:r w:rsidRPr="00F531CC">
        <w:rPr>
          <w:rFonts w:eastAsia="Calibri"/>
          <w:szCs w:val="22"/>
          <w:lang w:eastAsia="de-DE" w:bidi="de-DE"/>
        </w:rPr>
        <w:t> Einkünfte aus nicht in Inhaberpapieren [oder entmaterialisierten Wertpapieren] verbrieften Schuldforderungen und Darlehen oder aus in Wertpapieren in Form von Handelspapieren verbrieften Schuldforderungen und Darlehen, die in Ausführung von zwischen dem 1. Januar 1981 und dem 31. Dezember 1983 einschließlich geschlossenen Abkommen entweder von juristischen Person</w:t>
      </w:r>
      <w:r>
        <w:rPr>
          <w:rFonts w:eastAsia="Calibri"/>
          <w:szCs w:val="22"/>
          <w:lang w:eastAsia="de-DE" w:bidi="de-DE"/>
        </w:rPr>
        <w:t>en</w:t>
      </w:r>
      <w:r w:rsidRPr="00F531CC">
        <w:rPr>
          <w:rFonts w:eastAsia="Calibri"/>
          <w:szCs w:val="22"/>
          <w:lang w:eastAsia="de-DE" w:bidi="de-DE"/>
        </w:rPr>
        <w:t xml:space="preserve"> des belgischen öffentlichen Rechts oder von Industrie-, Handels- oder Landwirtschaftsunternehmen gebietsfremden Sparern gewährt oder zuerkannt werden, sofern:</w:t>
      </w:r>
    </w:p>
    <w:p w14:paraId="3AED8B16" w14:textId="77777777" w:rsidR="007D52CA" w:rsidRPr="00F531CC" w:rsidRDefault="007D52CA" w:rsidP="007D52CA">
      <w:pPr>
        <w:jc w:val="both"/>
        <w:rPr>
          <w:rFonts w:eastAsia="Calibri"/>
          <w:szCs w:val="22"/>
          <w:lang w:eastAsia="de-DE" w:bidi="de-DE"/>
        </w:rPr>
      </w:pPr>
    </w:p>
    <w:p w14:paraId="45FD918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diese Schuldforderungen und Darlehen zur Finanzierung von Investitionen verwendet werden, die vom Minister der Finanzen auf gleich lautende Stellungnahme des Ministers der Wirtschaftsangelegenheiten, des Ministers des Mittelstands, des Ministers der Flämischen Gemeinschaft, des Ministers der Wallonischen Region beziehungsweise des Ministers der Brüsseler Region als Investitionen anerkannt werden, die auf Verbesserung der Produktivität, Bekämpfung der Arbeitslosigkeit oder Rationalisierung der Wirtschaft abzielen,</w:t>
      </w:r>
    </w:p>
    <w:p w14:paraId="2BC3B26B" w14:textId="77777777" w:rsidR="007D52CA" w:rsidRPr="00F531CC" w:rsidRDefault="007D52CA" w:rsidP="007D52CA">
      <w:pPr>
        <w:jc w:val="both"/>
        <w:rPr>
          <w:rFonts w:eastAsia="Calibri"/>
          <w:szCs w:val="22"/>
          <w:lang w:eastAsia="de-DE" w:bidi="de-DE"/>
        </w:rPr>
      </w:pPr>
    </w:p>
    <w:p w14:paraId="0DA0815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diese juristischen Personen oder Unternehmen die Bestimmungen von § 5 einhalten und tatsächlich binnen einer Frist von drei Jahren ab dem Datum des Abkommens über die geliehenen Beträge verfügt haben,</w:t>
      </w:r>
    </w:p>
    <w:p w14:paraId="618E0772" w14:textId="77777777" w:rsidR="007D52CA" w:rsidRPr="00F531CC" w:rsidRDefault="007D52CA" w:rsidP="007D52CA">
      <w:pPr>
        <w:jc w:val="both"/>
        <w:rPr>
          <w:rFonts w:eastAsia="Calibri"/>
          <w:szCs w:val="22"/>
          <w:lang w:eastAsia="de-DE" w:bidi="de-DE"/>
        </w:rPr>
      </w:pPr>
    </w:p>
    <w:p w14:paraId="20C0866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r w:rsidRPr="00F531CC">
        <w:rPr>
          <w:rFonts w:eastAsia="Calibri"/>
          <w:i/>
          <w:szCs w:val="22"/>
          <w:lang w:eastAsia="de-DE" w:bidi="de-DE"/>
        </w:rPr>
        <w:t>f)</w:t>
      </w:r>
      <w:r w:rsidRPr="00F531CC">
        <w:rPr>
          <w:rFonts w:eastAsia="Calibri"/>
          <w:szCs w:val="22"/>
          <w:lang w:eastAsia="de-DE" w:bidi="de-DE"/>
        </w:rPr>
        <w:t> Zinsen aus Vereinbarungen über die Leistung von dinglichen Sicherheiten und aus dem Verleih in Bezug auf Finanzinstrumente wie in Artikel 19 § 1 Nr. 1 des Einkommensteuergesetzbuches 1992 erwähnt, die von einer Börsengesellschaft nach belgischem Recht oder einer belgischen Niederlassung einer Investmentgesellschaft nach ausländischem Recht, die die gleichen Kategorien von Dienstleistungen erbringen darf wie die Börsengesellschaften nach belgischem Recht, einem als gebietsfremden Sparer identifizierten Empfänger gewährt oder zuerkannt werden,]</w:t>
      </w:r>
    </w:p>
    <w:p w14:paraId="14F08C56" w14:textId="77777777" w:rsidR="007D52CA" w:rsidRPr="00F531CC" w:rsidRDefault="007D52CA" w:rsidP="007D52CA">
      <w:pPr>
        <w:jc w:val="both"/>
        <w:rPr>
          <w:rFonts w:eastAsia="Calibri"/>
          <w:szCs w:val="22"/>
          <w:lang w:eastAsia="de-DE" w:bidi="de-DE"/>
        </w:rPr>
      </w:pPr>
    </w:p>
    <w:p w14:paraId="6B448932" w14:textId="712056AE"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6. Einkünfte aus in Wertpapieren in Form von Handelspapieren verbrieften Schuldforderungen und Darlehen, die entweder vom Staat, [von den Regionen, den Gemeinschaften, der Französischen Gemeinschaftskommission, der Gemeinsamen Gemeinschaftskommission,] den Provinzen, den Agglomerationen, den Gemeinden oder anderen belgischen öffentlichen Organismen oder Einrichtungen oder - in Ausführung von vor dem 1. Januar 1967 geschlossenen Abkommen - von </w:t>
      </w:r>
      <w:r w:rsidR="007A7C37">
        <w:rPr>
          <w:rFonts w:eastAsia="Calibri"/>
          <w:szCs w:val="22"/>
          <w:lang w:eastAsia="de-DE" w:bidi="de-DE"/>
        </w:rPr>
        <w:t>[</w:t>
      </w:r>
      <w:r w:rsidR="007A7C37" w:rsidRPr="00402AAD">
        <w:t>inländischen Gesellschaften, privatrechtlichen belgischen Vereinigungen, Einrichtungen oder Niederlassungen</w:t>
      </w:r>
      <w:r w:rsidR="007A7C37">
        <w:rPr>
          <w:rFonts w:eastAsia="Calibri"/>
          <w:szCs w:val="22"/>
          <w:lang w:eastAsia="de-DE" w:bidi="de-DE"/>
        </w:rPr>
        <w:t>]</w:t>
      </w:r>
      <w:r w:rsidRPr="00F531CC">
        <w:rPr>
          <w:rFonts w:eastAsia="Calibri"/>
          <w:szCs w:val="22"/>
          <w:lang w:eastAsia="de-DE" w:bidi="de-DE"/>
        </w:rPr>
        <w:t xml:space="preserve"> gebietsfremden Sparern gewährt oder zuerkannt werden,</w:t>
      </w:r>
    </w:p>
    <w:p w14:paraId="3F5027B8" w14:textId="77777777" w:rsidR="007D52CA" w:rsidRPr="00F531CC" w:rsidRDefault="007D52CA" w:rsidP="007D52CA">
      <w:pPr>
        <w:jc w:val="both"/>
        <w:rPr>
          <w:rFonts w:eastAsia="Calibri"/>
          <w:szCs w:val="22"/>
          <w:lang w:eastAsia="de-DE" w:bidi="de-DE"/>
        </w:rPr>
      </w:pPr>
    </w:p>
    <w:p w14:paraId="01108EB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7. einerseits Zinsen aus Hypothekenforderungen auf in Belgien gelegene unbewegliche Güter oder auf Schiffe und Boote, die im Hypothekenamt Antwerpen registriert sind, ausschließlich der Hypothekenschuldverschreibungen, und andererseits in Artikel 19 § 1 Nr. 2 des Einkommensteuergesetzbuches 1992 erwähnte Einkünfte, die in Gebühren enthalten sind, die in Verträgen in Bezug auf die Überlassung von Nutzungsrechten an bebauten unbeweglichen Gütern festgelegt sind, Zinsen oder Einkünfte, die folgenden Empfängern gewährt oder zuerkannt werden:</w:t>
      </w:r>
    </w:p>
    <w:p w14:paraId="733EF5C3" w14:textId="77777777" w:rsidR="007D52CA" w:rsidRPr="00F531CC" w:rsidRDefault="007D52CA" w:rsidP="007D52CA">
      <w:pPr>
        <w:jc w:val="both"/>
        <w:rPr>
          <w:rFonts w:eastAsia="Calibri"/>
          <w:szCs w:val="22"/>
          <w:lang w:eastAsia="de-DE" w:bidi="de-DE"/>
        </w:rPr>
      </w:pPr>
    </w:p>
    <w:p w14:paraId="5167356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Finanzinstituten oder damit gleichgesetzten Unternehmen,</w:t>
      </w:r>
    </w:p>
    <w:p w14:paraId="7F785D4C" w14:textId="77777777" w:rsidR="007D52CA" w:rsidRPr="00F531CC" w:rsidRDefault="007D52CA" w:rsidP="007D52CA">
      <w:pPr>
        <w:jc w:val="both"/>
        <w:rPr>
          <w:rFonts w:eastAsia="Calibri"/>
          <w:szCs w:val="22"/>
          <w:lang w:eastAsia="de-DE" w:bidi="de-DE"/>
        </w:rPr>
      </w:pPr>
    </w:p>
    <w:p w14:paraId="47A0253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halbstaatlichen Einrichtungen der sozialen Sicherheit oder damit gleichgesetzten Einrichtungen,</w:t>
      </w:r>
    </w:p>
    <w:p w14:paraId="65C1A672" w14:textId="77777777" w:rsidR="007D52CA" w:rsidRPr="00F531CC" w:rsidRDefault="007D52CA" w:rsidP="007D52CA">
      <w:pPr>
        <w:rPr>
          <w:rFonts w:eastAsia="Calibri"/>
          <w:szCs w:val="22"/>
          <w:lang w:eastAsia="de-DE" w:bidi="de-DE"/>
        </w:rPr>
      </w:pPr>
    </w:p>
    <w:p w14:paraId="511B44F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gewerblichen Anlegern,</w:t>
      </w:r>
    </w:p>
    <w:p w14:paraId="1E31CAF8" w14:textId="77777777" w:rsidR="007D52CA" w:rsidRPr="00F531CC" w:rsidRDefault="007D52CA" w:rsidP="007D52CA">
      <w:pPr>
        <w:jc w:val="both"/>
        <w:rPr>
          <w:rFonts w:eastAsia="Calibri"/>
          <w:szCs w:val="22"/>
          <w:lang w:eastAsia="de-DE" w:bidi="de-DE"/>
        </w:rPr>
      </w:pPr>
    </w:p>
    <w:p w14:paraId="77443CA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d)</w:t>
      </w:r>
      <w:r w:rsidRPr="00F531CC">
        <w:rPr>
          <w:rFonts w:eastAsia="Calibri"/>
          <w:szCs w:val="22"/>
          <w:lang w:eastAsia="de-DE" w:bidi="de-DE"/>
        </w:rPr>
        <w:t> Privatsparern,</w:t>
      </w:r>
    </w:p>
    <w:p w14:paraId="0FD77AC2" w14:textId="77777777" w:rsidR="007D52CA" w:rsidRPr="00F531CC" w:rsidRDefault="007D52CA" w:rsidP="007D52CA">
      <w:pPr>
        <w:jc w:val="both"/>
        <w:rPr>
          <w:rFonts w:eastAsia="Calibri"/>
          <w:szCs w:val="22"/>
          <w:lang w:eastAsia="de-DE" w:bidi="de-DE"/>
        </w:rPr>
      </w:pPr>
    </w:p>
    <w:p w14:paraId="588D1ED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8. nicht in den Nummern 1 bis 3 oder in § 3 erwähnte Einkünfte aus Schuldverschreibungen, Kassenbons oder anderen ähnlichen Wertpapieren, deren Empfänger identifiziert werden als:</w:t>
      </w:r>
    </w:p>
    <w:p w14:paraId="38E5316A" w14:textId="77777777" w:rsidR="007D52CA" w:rsidRPr="00F531CC" w:rsidRDefault="007D52CA" w:rsidP="007D52CA">
      <w:pPr>
        <w:jc w:val="both"/>
        <w:rPr>
          <w:rFonts w:eastAsia="Calibri"/>
          <w:szCs w:val="22"/>
          <w:lang w:eastAsia="de-DE" w:bidi="de-DE"/>
        </w:rPr>
      </w:pPr>
    </w:p>
    <w:p w14:paraId="4BA58D6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Finanzinstitute oder damit gleichgesetzte Unternehmen,</w:t>
      </w:r>
    </w:p>
    <w:p w14:paraId="292E2606" w14:textId="77777777" w:rsidR="007D52CA" w:rsidRPr="00F531CC" w:rsidRDefault="007D52CA" w:rsidP="007D52CA">
      <w:pPr>
        <w:jc w:val="both"/>
        <w:rPr>
          <w:rFonts w:eastAsia="Calibri"/>
          <w:szCs w:val="22"/>
          <w:lang w:eastAsia="de-DE" w:bidi="de-DE"/>
        </w:rPr>
      </w:pPr>
    </w:p>
    <w:p w14:paraId="6A756ED9"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halbstaatliche Einrichtungen der sozialen Sicherheit oder damit gleichgesetzte Einrichtungen,</w:t>
      </w:r>
    </w:p>
    <w:p w14:paraId="362A5D4A" w14:textId="77777777" w:rsidR="007D52CA" w:rsidRPr="00F531CC" w:rsidRDefault="007D52CA" w:rsidP="007D52CA">
      <w:pPr>
        <w:jc w:val="both"/>
        <w:rPr>
          <w:rFonts w:eastAsia="Calibri"/>
          <w:szCs w:val="22"/>
          <w:lang w:eastAsia="de-DE" w:bidi="de-DE"/>
        </w:rPr>
      </w:pPr>
    </w:p>
    <w:p w14:paraId="1249AD49"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9. nicht in den Nummern 4 bis 7 erwähnte Einkünfte aus Schuldforderungen und Darlehen[, die nicht in Wertpapieren verbrieft sind oder die in Wertpapieren in Form von Handelspapieren verbrieft sind] und deren Empfänger identifiziert werden als:</w:t>
      </w:r>
    </w:p>
    <w:p w14:paraId="2F899559" w14:textId="77777777" w:rsidR="007D52CA" w:rsidRPr="00F531CC" w:rsidRDefault="007D52CA" w:rsidP="007D52CA">
      <w:pPr>
        <w:jc w:val="both"/>
        <w:rPr>
          <w:rFonts w:eastAsia="Calibri"/>
          <w:szCs w:val="22"/>
          <w:lang w:eastAsia="de-DE" w:bidi="de-DE"/>
        </w:rPr>
      </w:pPr>
    </w:p>
    <w:p w14:paraId="4C334A4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Finanzinstitute oder damit gleichgesetzte Unternehmen,</w:t>
      </w:r>
    </w:p>
    <w:p w14:paraId="66B5628D" w14:textId="77777777" w:rsidR="007D52CA" w:rsidRPr="00F531CC" w:rsidRDefault="007D52CA" w:rsidP="007D52CA">
      <w:pPr>
        <w:jc w:val="both"/>
        <w:rPr>
          <w:rFonts w:eastAsia="Calibri"/>
          <w:szCs w:val="22"/>
          <w:lang w:eastAsia="de-DE" w:bidi="de-DE"/>
        </w:rPr>
      </w:pPr>
    </w:p>
    <w:p w14:paraId="5792B67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halbstaatliche Einrichtungen der sozialen Sicherheit oder damit gleichgesetzte Einrichtungen,</w:t>
      </w:r>
    </w:p>
    <w:p w14:paraId="326F5ECE" w14:textId="77777777" w:rsidR="007D52CA" w:rsidRPr="00F531CC" w:rsidRDefault="007D52CA" w:rsidP="007D52CA">
      <w:pPr>
        <w:jc w:val="both"/>
        <w:rPr>
          <w:rFonts w:eastAsia="Calibri"/>
          <w:szCs w:val="22"/>
          <w:lang w:eastAsia="de-DE" w:bidi="de-DE"/>
        </w:rPr>
      </w:pPr>
    </w:p>
    <w:p w14:paraId="7594E1A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gewerbliche Anleger,</w:t>
      </w:r>
    </w:p>
    <w:p w14:paraId="6BA25F58" w14:textId="77777777" w:rsidR="007D52CA" w:rsidRPr="00F531CC" w:rsidRDefault="007D52CA" w:rsidP="007D52CA">
      <w:pPr>
        <w:jc w:val="both"/>
        <w:rPr>
          <w:rFonts w:eastAsia="Calibri"/>
          <w:szCs w:val="22"/>
          <w:lang w:eastAsia="de-DE" w:bidi="de-DE"/>
        </w:rPr>
      </w:pPr>
    </w:p>
    <w:p w14:paraId="4F30A77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[10. [Einkünfte aus belgischen Schuldverschreibungen, die Gegenstand einer namentlichen Eintragung beim Ausgeber sind und von Schuldnern, die nicht in Nr. 5 Buchstabe </w:t>
      </w:r>
      <w:r w:rsidRPr="00F531CC">
        <w:rPr>
          <w:rFonts w:eastAsia="Calibri"/>
          <w:i/>
          <w:szCs w:val="22"/>
          <w:lang w:eastAsia="de-DE" w:bidi="de-DE"/>
        </w:rPr>
        <w:t>b)</w:t>
      </w:r>
      <w:r w:rsidRPr="00F531CC">
        <w:rPr>
          <w:rFonts w:eastAsia="Calibri"/>
          <w:szCs w:val="22"/>
          <w:lang w:eastAsia="de-DE" w:bidi="de-DE"/>
        </w:rPr>
        <w:t xml:space="preserve"> erwähnt sind, gebietsfremden Sparern gewährt oder zuerkannt werden.</w:t>
      </w:r>
    </w:p>
    <w:p w14:paraId="189604E9" w14:textId="77777777" w:rsidR="007D52CA" w:rsidRPr="00F531CC" w:rsidRDefault="007D52CA" w:rsidP="007D52CA">
      <w:pPr>
        <w:jc w:val="both"/>
        <w:rPr>
          <w:rFonts w:eastAsia="Calibri"/>
          <w:szCs w:val="22"/>
          <w:lang w:eastAsia="de-DE" w:bidi="de-DE"/>
        </w:rPr>
      </w:pPr>
    </w:p>
    <w:p w14:paraId="4E470F59"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Die Bestimmungen von Absatz 1 sind jedoch nur anwendbar, wenn der Empfänger:</w:t>
      </w:r>
    </w:p>
    <w:p w14:paraId="1724A5B9" w14:textId="77777777" w:rsidR="007D52CA" w:rsidRPr="00F531CC" w:rsidRDefault="007D52CA" w:rsidP="007D52CA">
      <w:pPr>
        <w:jc w:val="both"/>
        <w:rPr>
          <w:rFonts w:eastAsia="Calibri"/>
          <w:szCs w:val="22"/>
          <w:lang w:eastAsia="de-DE" w:bidi="de-DE"/>
        </w:rPr>
      </w:pPr>
    </w:p>
    <w:p w14:paraId="73F65C4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entweder ein in Artikel 227 Nr. 1 oder 3 des Einkommensteuergesetzbuches 1992 erwähnter Gebietsfremder ist,</w:t>
      </w:r>
    </w:p>
    <w:p w14:paraId="4D3E36B4" w14:textId="77777777" w:rsidR="007D52CA" w:rsidRPr="00F531CC" w:rsidRDefault="007D52CA" w:rsidP="007D52CA">
      <w:pPr>
        <w:jc w:val="both"/>
        <w:rPr>
          <w:rFonts w:eastAsia="Calibri"/>
          <w:szCs w:val="22"/>
          <w:lang w:eastAsia="de-DE" w:bidi="de-DE"/>
        </w:rPr>
      </w:pPr>
    </w:p>
    <w:p w14:paraId="66C5726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oder ein in Artikel 227 Nr. 2 desselben Gesetzbuches erwähnter Gebietsfremder ist, der in einem Land ansässig ist, in dem die Bestimmungen des allgemeinen Rechts in Bezug auf Steuern nicht erheblich vorteilhafter sind als in Belgien, und dort einer Einkommensteuer unterliegt oder dessen Aktien oder Anteile nicht mindestens zur Hälfte im Besitz von Einwohnern des Königreichs sind,</w:t>
      </w:r>
    </w:p>
    <w:p w14:paraId="3FC3B409" w14:textId="77777777" w:rsidR="007D52CA" w:rsidRPr="00F531CC" w:rsidRDefault="007D52CA" w:rsidP="007D52CA">
      <w:pPr>
        <w:jc w:val="both"/>
        <w:rPr>
          <w:rFonts w:eastAsia="Calibri"/>
          <w:szCs w:val="22"/>
          <w:lang w:eastAsia="de-DE" w:bidi="de-DE"/>
        </w:rPr>
      </w:pPr>
    </w:p>
    <w:p w14:paraId="51DEA17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oder eine Investmentgesellschaft ist, die öffentlich zur Zeichnung aufgefordert hat,]]</w:t>
      </w:r>
    </w:p>
    <w:p w14:paraId="64E48CFF" w14:textId="77777777" w:rsidR="007D52CA" w:rsidRPr="00F531CC" w:rsidRDefault="007D52CA" w:rsidP="007D52CA">
      <w:pPr>
        <w:jc w:val="both"/>
        <w:rPr>
          <w:rFonts w:eastAsia="Calibri"/>
          <w:szCs w:val="22"/>
          <w:lang w:eastAsia="de-DE" w:bidi="de-DE"/>
        </w:rPr>
      </w:pPr>
    </w:p>
    <w:p w14:paraId="2F01F2C5" w14:textId="76AC88DA"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[11. [nicht in Nr. 9 erwähnte Einkünfte aus Darlehen an die Staatskasse, die nicht in Wertpapieren verbrieft sind und juristischen Personen gewährt oder zuerkannt werden, die für die Anwendung der </w:t>
      </w:r>
      <w:r w:rsidR="001A670A">
        <w:rPr>
          <w:rFonts w:eastAsia="Calibri"/>
          <w:szCs w:val="22"/>
          <w:lang w:eastAsia="de-DE" w:bidi="de-DE"/>
        </w:rPr>
        <w:t>[</w:t>
      </w:r>
      <w:r w:rsidR="001A670A" w:rsidRPr="00A115C4">
        <w:t>Verordnung (EG) Nr. 479/2009 des Rates vom 25. Mai 2009 über die Anwendung des dem Vertrag zur Gründung der Europäischen Gemeinschaft beigefügten Protokolls über das Verfahren bei einem übermäßigen Defizit</w:t>
      </w:r>
      <w:r w:rsidR="001A670A">
        <w:rPr>
          <w:rFonts w:eastAsia="Calibri"/>
          <w:szCs w:val="22"/>
          <w:lang w:eastAsia="de-DE" w:bidi="de-DE"/>
        </w:rPr>
        <w:t>]</w:t>
      </w:r>
      <w:r w:rsidRPr="00F531CC">
        <w:rPr>
          <w:rFonts w:eastAsia="Calibri"/>
          <w:szCs w:val="22"/>
          <w:lang w:eastAsia="de-DE" w:bidi="de-DE"/>
        </w:rPr>
        <w:t xml:space="preserve"> dem Sektor Staat angehören im Sinne des Europäischen Systems Volkswirtschaftlicher Gesamtrechnungen auf nationaler und regionaler Ebene (ESVG).]]</w:t>
      </w:r>
    </w:p>
    <w:p w14:paraId="78CB4B20" w14:textId="77777777" w:rsidR="007D52CA" w:rsidRPr="00F531CC" w:rsidRDefault="007D52CA" w:rsidP="007D52CA">
      <w:pPr>
        <w:rPr>
          <w:rFonts w:eastAsia="Calibri"/>
          <w:szCs w:val="22"/>
          <w:lang w:eastAsia="de-DE" w:bidi="de-DE"/>
        </w:rPr>
      </w:pPr>
    </w:p>
    <w:p w14:paraId="2A0E097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[12. [...]]</w:t>
      </w:r>
    </w:p>
    <w:p w14:paraId="778E7B16" w14:textId="77777777" w:rsidR="007D52CA" w:rsidRPr="00F531CC" w:rsidRDefault="007D52CA" w:rsidP="007D52CA">
      <w:pPr>
        <w:jc w:val="both"/>
        <w:rPr>
          <w:rFonts w:eastAsia="Calibri"/>
          <w:szCs w:val="22"/>
          <w:lang w:eastAsia="de-DE" w:bidi="de-DE"/>
        </w:rPr>
      </w:pPr>
    </w:p>
    <w:p w14:paraId="3014FF2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3 - Ungeachtet der Empfänger der Einkünfte wird der Mobiliensteuervorabzug zum Satz von 20 Prozent auf Lose belgischer Herkunft in Bezug auf Schuldverschreibungen, Kassenbons oder andere ähnliche Wertpapiere erhoben, die in Ausführung von vor dem 1. März 1990 geschlossenen Abkommen gewährt oder zuerkannt werden.</w:t>
      </w:r>
    </w:p>
    <w:p w14:paraId="308DD7FC" w14:textId="77777777" w:rsidR="007D52CA" w:rsidRPr="00F531CC" w:rsidRDefault="007D52CA" w:rsidP="007D52CA">
      <w:pPr>
        <w:jc w:val="both"/>
        <w:rPr>
          <w:rFonts w:eastAsia="Calibri"/>
          <w:szCs w:val="22"/>
          <w:lang w:eastAsia="de-DE" w:bidi="de-DE"/>
        </w:rPr>
      </w:pPr>
    </w:p>
    <w:p w14:paraId="4CA39D56" w14:textId="77777777" w:rsidR="007D52CA" w:rsidRPr="00177334" w:rsidRDefault="007D52CA" w:rsidP="007D52CA">
      <w:pPr>
        <w:jc w:val="both"/>
        <w:rPr>
          <w:rFonts w:eastAsia="Calibri"/>
          <w:spacing w:val="-4"/>
          <w:szCs w:val="22"/>
          <w:lang w:eastAsia="de-DE" w:bidi="de-DE"/>
        </w:rPr>
      </w:pPr>
      <w:r w:rsidRPr="00177334">
        <w:rPr>
          <w:rFonts w:eastAsia="Calibri"/>
          <w:spacing w:val="-4"/>
          <w:szCs w:val="22"/>
          <w:lang w:eastAsia="de-DE" w:bidi="de-DE"/>
        </w:rPr>
        <w:tab/>
        <w:t>§ 4 - Industrie-, Handels- oder Landwirtschaftsunternehmen, die den in § 2 Nr. 5 Buch</w:t>
      </w:r>
      <w:r w:rsidR="00177334">
        <w:rPr>
          <w:rFonts w:eastAsia="Calibri"/>
          <w:spacing w:val="-4"/>
          <w:szCs w:val="22"/>
          <w:lang w:eastAsia="de-DE" w:bidi="de-DE"/>
        </w:rPr>
        <w:softHyphen/>
      </w:r>
      <w:r w:rsidRPr="00177334">
        <w:rPr>
          <w:rFonts w:eastAsia="Calibri"/>
          <w:spacing w:val="-4"/>
          <w:szCs w:val="22"/>
          <w:lang w:eastAsia="de-DE" w:bidi="de-DE"/>
        </w:rPr>
        <w:t>stabe </w:t>
      </w:r>
      <w:r w:rsidRPr="00177334">
        <w:rPr>
          <w:rFonts w:eastAsia="Calibri"/>
          <w:i/>
          <w:spacing w:val="-4"/>
          <w:szCs w:val="22"/>
          <w:lang w:eastAsia="de-DE" w:bidi="de-DE"/>
        </w:rPr>
        <w:t>c)</w:t>
      </w:r>
      <w:r w:rsidRPr="00177334">
        <w:rPr>
          <w:rFonts w:eastAsia="Calibri"/>
          <w:spacing w:val="-4"/>
          <w:szCs w:val="22"/>
          <w:lang w:eastAsia="de-DE" w:bidi="de-DE"/>
        </w:rPr>
        <w:t xml:space="preserve"> erwähnten Verzicht auf die Einnahme des Mobiliensteuervorabzugs in Anspruch nehmen möchten, müssen dies spätestens am ersten Fälligkeitsdatum der Zinsen der in dieser Bestimmung erwähnten Schuldforderungen und Darlehen beim Minister der Finanzen beantragen.</w:t>
      </w:r>
    </w:p>
    <w:p w14:paraId="3BD7CE53" w14:textId="77777777" w:rsidR="007D52CA" w:rsidRPr="00F531CC" w:rsidRDefault="007D52CA" w:rsidP="007D52CA">
      <w:pPr>
        <w:jc w:val="both"/>
        <w:rPr>
          <w:rFonts w:eastAsia="Calibri"/>
          <w:szCs w:val="22"/>
          <w:lang w:eastAsia="de-DE" w:bidi="de-DE"/>
        </w:rPr>
      </w:pPr>
    </w:p>
    <w:p w14:paraId="61131713" w14:textId="7FCAB5E9" w:rsidR="007D52CA" w:rsidRPr="00F531CC" w:rsidRDefault="007D52CA" w:rsidP="007D52CA">
      <w:pPr>
        <w:jc w:val="both"/>
        <w:rPr>
          <w:rFonts w:eastAsia="Calibri"/>
          <w:szCs w:val="22"/>
          <w:lang w:eastAsia="de-DE" w:bidi="de-DE"/>
        </w:rPr>
      </w:pPr>
      <w:r w:rsidRPr="00F531CC">
        <w:rPr>
          <w:rFonts w:eastAsia="Calibri"/>
          <w:szCs w:val="22"/>
          <w:lang w:eastAsia="de-DE" w:bidi="de-DE"/>
        </w:rPr>
        <w:tab/>
        <w:t>Diese Anträge müssen Folgendes enthalten:</w:t>
      </w:r>
    </w:p>
    <w:p w14:paraId="34691456" w14:textId="77777777" w:rsidR="007D52CA" w:rsidRPr="00F531CC" w:rsidRDefault="007D52CA" w:rsidP="007D52CA">
      <w:pPr>
        <w:jc w:val="both"/>
        <w:rPr>
          <w:rFonts w:eastAsia="Calibri"/>
          <w:szCs w:val="22"/>
          <w:lang w:eastAsia="de-DE" w:bidi="de-DE"/>
        </w:rPr>
      </w:pPr>
    </w:p>
    <w:p w14:paraId="3E3DF85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alle erforderlichen Angaben in Bezug auf Art, Betrag, Zinssatz, Frist und Ausgabemodalitäten der Anleihe und wirtschaftliche und technische Aspekte des Investitionsvorhabens, zu dessen Finanzierung die Anleihe bestimmt ist,</w:t>
      </w:r>
    </w:p>
    <w:p w14:paraId="6A6C036E" w14:textId="77777777" w:rsidR="007D52CA" w:rsidRPr="00F531CC" w:rsidRDefault="007D52CA" w:rsidP="007D52CA">
      <w:pPr>
        <w:jc w:val="both"/>
        <w:rPr>
          <w:rFonts w:eastAsia="Calibri"/>
          <w:szCs w:val="22"/>
          <w:lang w:eastAsia="de-DE" w:bidi="de-DE"/>
        </w:rPr>
      </w:pPr>
    </w:p>
    <w:p w14:paraId="4CCC822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Verpflichtung, den zuständigen Diensten des Ministeriums der Finanzen, des Ministeriums der Wirtschaftsangelegenheiten oder des Ministeriums des Mittelstands jegliche Auskünfte oder Unterlagen zukommen zu lassen, die diese Dienste für erforderlich erachten, um zu prüfen, ob die vorgesehenen Vorgänge den in § 2 Nr. 5 Buchstabe </w:t>
      </w:r>
      <w:r w:rsidRPr="00F531CC">
        <w:rPr>
          <w:rFonts w:eastAsia="Calibri"/>
          <w:i/>
          <w:szCs w:val="22"/>
          <w:lang w:eastAsia="de-DE" w:bidi="de-DE"/>
        </w:rPr>
        <w:t>c)</w:t>
      </w:r>
      <w:r w:rsidRPr="00F531CC">
        <w:rPr>
          <w:rFonts w:eastAsia="Calibri"/>
          <w:szCs w:val="22"/>
          <w:lang w:eastAsia="de-DE" w:bidi="de-DE"/>
        </w:rPr>
        <w:t xml:space="preserve"> erwähnten Vorgängen entsprechen,</w:t>
      </w:r>
    </w:p>
    <w:p w14:paraId="5CAA0149" w14:textId="77777777" w:rsidR="007D52CA" w:rsidRPr="00F531CC" w:rsidRDefault="007D52CA" w:rsidP="007D52CA">
      <w:pPr>
        <w:jc w:val="both"/>
        <w:rPr>
          <w:rFonts w:eastAsia="Calibri"/>
          <w:szCs w:val="22"/>
          <w:lang w:eastAsia="de-DE" w:bidi="de-DE"/>
        </w:rPr>
      </w:pPr>
    </w:p>
    <w:p w14:paraId="010035A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Verpflichtung, ab dem Zeitpunkt, zu dem festgestellt wird, dass die Anleihe nicht zu den im Antrag erwähnten Zwecken verwendet wird, den Mobiliensteuervorabzug zu zahlen.</w:t>
      </w:r>
    </w:p>
    <w:p w14:paraId="0017CD66" w14:textId="77777777" w:rsidR="007D52CA" w:rsidRPr="00F531CC" w:rsidRDefault="007D52CA" w:rsidP="007D52CA">
      <w:pPr>
        <w:jc w:val="both"/>
        <w:rPr>
          <w:rFonts w:eastAsia="Calibri"/>
          <w:szCs w:val="22"/>
          <w:lang w:eastAsia="de-DE" w:bidi="de-DE"/>
        </w:rPr>
      </w:pPr>
    </w:p>
    <w:p w14:paraId="6EBE91BC" w14:textId="77777777" w:rsidR="003C2396" w:rsidRDefault="007D52CA" w:rsidP="003C2396">
      <w:pPr>
        <w:jc w:val="both"/>
        <w:rPr>
          <w:rFonts w:eastAsia="Calibri"/>
          <w:szCs w:val="22"/>
          <w:lang w:eastAsia="de-DE" w:bidi="de-DE"/>
        </w:rPr>
      </w:pPr>
      <w:r w:rsidRPr="00F531CC">
        <w:rPr>
          <w:rFonts w:eastAsia="Calibri"/>
          <w:szCs w:val="22"/>
          <w:lang w:eastAsia="de-DE" w:bidi="de-DE"/>
        </w:rPr>
        <w:lastRenderedPageBreak/>
        <w:tab/>
        <w:t>§ 5 - Juristische Personen des belgischen öffentlichen Rechts und Industrie-, Handels- oder Landwirtschaftsunternehmen, die den in § 2 Nr. 5 Buchstabe </w:t>
      </w:r>
      <w:r w:rsidRPr="00F531CC">
        <w:rPr>
          <w:rFonts w:eastAsia="Calibri"/>
          <w:i/>
          <w:szCs w:val="22"/>
          <w:lang w:eastAsia="de-DE" w:bidi="de-DE"/>
        </w:rPr>
        <w:t>d)</w:t>
      </w:r>
      <w:r w:rsidRPr="00F531CC">
        <w:rPr>
          <w:rFonts w:eastAsia="Calibri"/>
          <w:szCs w:val="22"/>
          <w:lang w:eastAsia="de-DE" w:bidi="de-DE"/>
        </w:rPr>
        <w:t xml:space="preserve"> und </w:t>
      </w:r>
      <w:r w:rsidRPr="00F531CC">
        <w:rPr>
          <w:rFonts w:eastAsia="Calibri"/>
          <w:i/>
          <w:szCs w:val="22"/>
          <w:lang w:eastAsia="de-DE" w:bidi="de-DE"/>
        </w:rPr>
        <w:t>e)</w:t>
      </w:r>
      <w:r w:rsidRPr="00F531CC">
        <w:rPr>
          <w:rFonts w:eastAsia="Calibri"/>
          <w:szCs w:val="22"/>
          <w:lang w:eastAsia="de-DE" w:bidi="de-DE"/>
        </w:rPr>
        <w:t xml:space="preserve"> erwähnten Verzicht auf die Einnahme des Mobiliensteuervorabzugs in Anspruch nehmen möchten, müssen dies spätestens am ersten Fälligkeitsdatum der Zinsen der in dieser Bestimmung erwähnten Schuldforderungen und Darlehen beim Minister der Finanzen beantragen.</w:t>
      </w:r>
    </w:p>
    <w:p w14:paraId="48D13774" w14:textId="14C54664" w:rsidR="00312718" w:rsidRDefault="00312718">
      <w:pPr>
        <w:rPr>
          <w:rFonts w:eastAsia="Calibri"/>
          <w:szCs w:val="22"/>
          <w:lang w:eastAsia="de-DE" w:bidi="de-DE"/>
        </w:rPr>
      </w:pPr>
    </w:p>
    <w:p w14:paraId="2E844B9B" w14:textId="60C25471" w:rsidR="007D52CA" w:rsidRPr="00F531CC" w:rsidRDefault="000C5BE4" w:rsidP="003C2396">
      <w:pPr>
        <w:jc w:val="both"/>
        <w:rPr>
          <w:rFonts w:eastAsia="Calibri"/>
          <w:szCs w:val="22"/>
          <w:lang w:eastAsia="de-DE" w:bidi="de-DE"/>
        </w:rPr>
      </w:pPr>
      <w:r>
        <w:rPr>
          <w:rFonts w:eastAsia="Calibri"/>
          <w:szCs w:val="22"/>
          <w:lang w:eastAsia="de-DE" w:bidi="de-DE"/>
        </w:rPr>
        <w:tab/>
      </w:r>
      <w:r w:rsidR="007D52CA" w:rsidRPr="00F531CC">
        <w:rPr>
          <w:rFonts w:eastAsia="Calibri"/>
          <w:szCs w:val="22"/>
          <w:lang w:eastAsia="de-DE" w:bidi="de-DE"/>
        </w:rPr>
        <w:t>Diese Anträge müssen Folgendes enthalten:</w:t>
      </w:r>
    </w:p>
    <w:p w14:paraId="2455427A" w14:textId="77777777" w:rsidR="007D52CA" w:rsidRPr="00F531CC" w:rsidRDefault="007D52CA" w:rsidP="007D52CA">
      <w:pPr>
        <w:jc w:val="both"/>
        <w:rPr>
          <w:rFonts w:eastAsia="Calibri"/>
          <w:szCs w:val="22"/>
          <w:lang w:eastAsia="de-DE" w:bidi="de-DE"/>
        </w:rPr>
      </w:pPr>
    </w:p>
    <w:p w14:paraId="75E4174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alle erforderlichen Angaben in Bezug auf Art, Betrag, Zinssatz, Frist und Ausgabemodalitäten der Anleihe und wirtschaftliche und technische Aspekte des Investitionsvorhabens, zu dessen Finanzierung die Anleihe bestimmt ist,</w:t>
      </w:r>
    </w:p>
    <w:p w14:paraId="4A5CDB09" w14:textId="77777777" w:rsidR="007D52CA" w:rsidRPr="00F531CC" w:rsidRDefault="007D52CA" w:rsidP="007D52CA">
      <w:pPr>
        <w:jc w:val="both"/>
        <w:rPr>
          <w:rFonts w:eastAsia="Calibri"/>
          <w:szCs w:val="22"/>
          <w:lang w:eastAsia="de-DE" w:bidi="de-DE"/>
        </w:rPr>
      </w:pPr>
    </w:p>
    <w:p w14:paraId="674BD65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Verpflichtung, den zuständigen Diensten des Ministeriums der Finanzen, des Ministeriums der Wirtschaftsangelegenheiten oder des Ministeriums des Mittelstands jegliche Auskünfte oder Unterlagen zukommen zu lassen, die diese Dienste für erforderlich erachten, um zu prüfen, ob die vorgesehenen Vorgänge den in § 2 Nr. 5 Buchstabe </w:t>
      </w:r>
      <w:r w:rsidRPr="00F531CC">
        <w:rPr>
          <w:rFonts w:eastAsia="Calibri"/>
          <w:i/>
          <w:szCs w:val="22"/>
          <w:lang w:eastAsia="de-DE" w:bidi="de-DE"/>
        </w:rPr>
        <w:t>d)</w:t>
      </w:r>
      <w:r w:rsidRPr="00F531CC">
        <w:rPr>
          <w:rFonts w:eastAsia="Calibri"/>
          <w:szCs w:val="22"/>
          <w:lang w:eastAsia="de-DE" w:bidi="de-DE"/>
        </w:rPr>
        <w:t xml:space="preserve"> und </w:t>
      </w:r>
      <w:r w:rsidRPr="00F531CC">
        <w:rPr>
          <w:rFonts w:eastAsia="Calibri"/>
          <w:i/>
          <w:szCs w:val="22"/>
          <w:lang w:eastAsia="de-DE" w:bidi="de-DE"/>
        </w:rPr>
        <w:t>e)</w:t>
      </w:r>
      <w:r w:rsidRPr="00F531CC">
        <w:rPr>
          <w:rFonts w:eastAsia="Calibri"/>
          <w:szCs w:val="22"/>
          <w:lang w:eastAsia="de-DE" w:bidi="de-DE"/>
        </w:rPr>
        <w:t xml:space="preserve"> erwähnten Vorgängen entsprechen,</w:t>
      </w:r>
    </w:p>
    <w:p w14:paraId="636A9AED" w14:textId="77777777" w:rsidR="007D52CA" w:rsidRPr="00F531CC" w:rsidRDefault="007D52CA" w:rsidP="007D52CA">
      <w:pPr>
        <w:jc w:val="both"/>
        <w:rPr>
          <w:rFonts w:eastAsia="Calibri"/>
          <w:szCs w:val="22"/>
          <w:lang w:eastAsia="de-DE" w:bidi="de-DE"/>
        </w:rPr>
      </w:pPr>
    </w:p>
    <w:p w14:paraId="0BC64F5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Verpflichtung, ab dem Zeitpunkt, zu dem festgestellt wird, dass die Anleihe nicht zu den im Antrag erwähnten Zwecken verwendet wird, den Mobiliensteuervorabzug zu zahlen.</w:t>
      </w:r>
    </w:p>
    <w:p w14:paraId="51DE7CE5" w14:textId="77777777" w:rsidR="007D52CA" w:rsidRPr="00F531CC" w:rsidRDefault="007D52CA" w:rsidP="007D52CA">
      <w:pPr>
        <w:rPr>
          <w:rFonts w:eastAsia="Calibri"/>
          <w:szCs w:val="22"/>
          <w:lang w:eastAsia="de-DE" w:bidi="de-DE"/>
        </w:rPr>
      </w:pPr>
    </w:p>
    <w:p w14:paraId="5F6A312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6 - Unbeschadet der aufgrund der Paragraphen 1 bis 5 vorgesehenen Verzichte wird von der Einnahme des Mobiliensteuervorabzugs vollständig abgesehen in Bezug auf Einkünfte entweder aus Schuldverschreibungen, Kassenbons oder anderen ähnlichen Wert</w:t>
      </w:r>
      <w:r w:rsidR="00177334">
        <w:rPr>
          <w:rFonts w:eastAsia="Calibri"/>
          <w:szCs w:val="22"/>
          <w:lang w:eastAsia="de-DE" w:bidi="de-DE"/>
        </w:rPr>
        <w:softHyphen/>
      </w:r>
      <w:r w:rsidRPr="00F531CC">
        <w:rPr>
          <w:rFonts w:eastAsia="Calibri"/>
          <w:szCs w:val="22"/>
          <w:lang w:eastAsia="de-DE" w:bidi="de-DE"/>
        </w:rPr>
        <w:t>papieren oder aus Schuldforderungen und Darlehen [...] [- ausschließlich der Einkünfte aus Immobilienzertifikaten, was Zuerkennungen oder Ausschüttungen von Einkünften betrifft, die sich ganz oder teilweise auf die Realisierung des zugrunde liegenden unbeweglichen Gutes beziehen -], die in Ausführung von ab dem 1. Dezember 1962 geschlossenen Abkommen gewährt oder zuerkannt werden und deren Empfänger identifiziert wird als:</w:t>
      </w:r>
    </w:p>
    <w:p w14:paraId="07EDC9AB" w14:textId="77777777" w:rsidR="007D52CA" w:rsidRPr="00F531CC" w:rsidRDefault="007D52CA" w:rsidP="007D52CA">
      <w:pPr>
        <w:jc w:val="both"/>
        <w:rPr>
          <w:rFonts w:eastAsia="Calibri"/>
          <w:szCs w:val="22"/>
          <w:lang w:eastAsia="de-DE" w:bidi="de-DE"/>
        </w:rPr>
      </w:pPr>
    </w:p>
    <w:p w14:paraId="485E66A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Gesellschaft eines Mitgliedstaats wie in Artikel 105 Nr. 6 Buchstabe </w:t>
      </w:r>
      <w:r w:rsidRPr="00F531CC">
        <w:rPr>
          <w:rFonts w:eastAsia="Calibri"/>
          <w:i/>
          <w:szCs w:val="22"/>
          <w:lang w:eastAsia="de-DE" w:bidi="de-DE"/>
        </w:rPr>
        <w:t>a)</w:t>
      </w:r>
      <w:r w:rsidRPr="00F531CC">
        <w:rPr>
          <w:rFonts w:eastAsia="Calibri"/>
          <w:szCs w:val="22"/>
          <w:lang w:eastAsia="de-DE" w:bidi="de-DE"/>
        </w:rPr>
        <w:t xml:space="preserve"> erwähnt,</w:t>
      </w:r>
    </w:p>
    <w:p w14:paraId="68961EF0" w14:textId="77777777" w:rsidR="007D52CA" w:rsidRPr="00F531CC" w:rsidRDefault="007D52CA" w:rsidP="007D52CA">
      <w:pPr>
        <w:jc w:val="both"/>
        <w:rPr>
          <w:rFonts w:eastAsia="Calibri"/>
          <w:szCs w:val="22"/>
          <w:lang w:eastAsia="de-DE" w:bidi="de-DE"/>
        </w:rPr>
      </w:pPr>
    </w:p>
    <w:p w14:paraId="622DD57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inländische Gesellschaft, die nicht im ersten Gedankenstrich erwähnt ist,</w:t>
      </w:r>
    </w:p>
    <w:p w14:paraId="136264B6" w14:textId="77777777" w:rsidR="007D52CA" w:rsidRPr="00F531CC" w:rsidRDefault="007D52CA" w:rsidP="007D52CA">
      <w:pPr>
        <w:jc w:val="both"/>
        <w:rPr>
          <w:rFonts w:eastAsia="Calibri"/>
          <w:szCs w:val="22"/>
          <w:lang w:eastAsia="de-DE" w:bidi="de-DE"/>
        </w:rPr>
      </w:pPr>
    </w:p>
    <w:p w14:paraId="40BE5BF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[unter der Bedingung, dass Schuldner] und Empfänger verbundene Gesellschaften im Sinne von Artikel 105 Nr. 6 Buchstabe </w:t>
      </w:r>
      <w:r w:rsidRPr="00F531CC">
        <w:rPr>
          <w:rFonts w:eastAsia="Calibri"/>
          <w:i/>
          <w:szCs w:val="22"/>
          <w:lang w:eastAsia="de-DE" w:bidi="de-DE"/>
        </w:rPr>
        <w:t>b)</w:t>
      </w:r>
      <w:r w:rsidRPr="00F531CC">
        <w:rPr>
          <w:rFonts w:eastAsia="Calibri"/>
          <w:szCs w:val="22"/>
          <w:lang w:eastAsia="de-DE" w:bidi="de-DE"/>
        </w:rPr>
        <w:t xml:space="preserve"> sind.</w:t>
      </w:r>
    </w:p>
    <w:p w14:paraId="1E532017" w14:textId="017A3454" w:rsidR="007A7C37" w:rsidRDefault="007A7C37">
      <w:pPr>
        <w:rPr>
          <w:rFonts w:eastAsia="Calibri"/>
          <w:szCs w:val="22"/>
          <w:lang w:eastAsia="de-DE" w:bidi="de-DE"/>
        </w:rPr>
      </w:pPr>
    </w:p>
    <w:p w14:paraId="3BC01C3A" w14:textId="00AA3F82" w:rsidR="007D52CA" w:rsidRPr="00F531CC" w:rsidRDefault="007D52CA" w:rsidP="007D52CA">
      <w:pPr>
        <w:jc w:val="both"/>
        <w:rPr>
          <w:rFonts w:eastAsia="Calibri"/>
          <w:szCs w:val="22"/>
          <w:lang w:eastAsia="de-DE" w:bidi="de-DE"/>
        </w:rPr>
      </w:pPr>
      <w:r w:rsidRPr="00F531CC">
        <w:rPr>
          <w:rFonts w:eastAsia="Calibri"/>
          <w:szCs w:val="22"/>
          <w:lang w:eastAsia="de-DE" w:bidi="de-DE"/>
        </w:rPr>
        <w:tab/>
        <w:t>Für die Anwendung von Absatz 1 dürfen Rechte, Schuldforderungen oder Darlehen, die die Einkünfte erzeugen, zu keinem Zeitpunkt des Zeitraums, in dem diese Einkünfte erzeugt werden, unter den Aktiva einer Niederlassung ausgewiesen sein, über die der Empfänger außerhalb des Gebiets der Europäischen Union verfügt.]</w:t>
      </w:r>
    </w:p>
    <w:p w14:paraId="5407A680" w14:textId="77777777" w:rsidR="007D52CA" w:rsidRPr="00F531CC" w:rsidRDefault="007D52CA" w:rsidP="007D52CA">
      <w:pPr>
        <w:jc w:val="both"/>
        <w:rPr>
          <w:rFonts w:eastAsia="Calibri"/>
          <w:szCs w:val="22"/>
          <w:lang w:eastAsia="de-DE" w:bidi="de-DE"/>
        </w:rPr>
      </w:pPr>
    </w:p>
    <w:p w14:paraId="448B56A4" w14:textId="39EB2283" w:rsidR="007D52CA" w:rsidRPr="00177334" w:rsidRDefault="007D52CA" w:rsidP="007D52CA">
      <w:pPr>
        <w:jc w:val="both"/>
        <w:rPr>
          <w:rFonts w:eastAsia="Calibri"/>
          <w:i/>
          <w:spacing w:val="-2"/>
          <w:szCs w:val="22"/>
          <w:lang w:eastAsia="de-DE" w:bidi="de-DE"/>
        </w:rPr>
      </w:pPr>
      <w:r w:rsidRPr="00177334">
        <w:rPr>
          <w:rFonts w:eastAsia="Calibri"/>
          <w:i/>
          <w:spacing w:val="-2"/>
          <w:szCs w:val="22"/>
          <w:lang w:eastAsia="de-DE" w:bidi="de-DE"/>
        </w:rPr>
        <w:t>[Art. 107 § 1 abgeändert durch Art. 2 Nr. 1 des K.E. vom 16. Mai 2003 (B.S. vom 5. Juni 2003) und Art. 3 Nr. 1 des K.E. vom 13. August 2004 (B.S. vom 7. September 2004); § 2 einziger Absatz Nr. 1 ersetzt durch Art. 2 des K.E. vom 31. Juli 2009 (II) (B.S. vom 21. August 2009);</w:t>
      </w:r>
      <w:r w:rsidR="00984F9B">
        <w:rPr>
          <w:rFonts w:eastAsia="Calibri"/>
          <w:i/>
          <w:spacing w:val="-2"/>
          <w:szCs w:val="22"/>
          <w:lang w:eastAsia="de-DE" w:bidi="de-DE"/>
        </w:rPr>
        <w:t xml:space="preserve"> </w:t>
      </w:r>
      <w:r w:rsidR="007A7C37">
        <w:rPr>
          <w:rFonts w:eastAsia="Calibri"/>
          <w:i/>
          <w:spacing w:val="-2"/>
          <w:szCs w:val="22"/>
          <w:lang w:eastAsia="de-DE" w:bidi="de-DE"/>
        </w:rPr>
        <w:t>§ 2 einziger Absatz Nr. 1 einziger Absatz zweiter Gedankenstrich abgeändert durch Art. 18 Nr. 1</w:t>
      </w:r>
      <w:r w:rsidR="007A7C37" w:rsidRPr="007A7C37">
        <w:rPr>
          <w:rFonts w:eastAsia="Calibri"/>
          <w:i/>
          <w:spacing w:val="-2"/>
          <w:szCs w:val="22"/>
          <w:lang w:eastAsia="de-DE" w:bidi="de-DE"/>
        </w:rPr>
        <w:t xml:space="preserve"> des K.E. vom 29. August 2019</w:t>
      </w:r>
      <w:r w:rsidR="00865C4C">
        <w:rPr>
          <w:rFonts w:eastAsia="Calibri"/>
          <w:i/>
          <w:spacing w:val="-2"/>
          <w:szCs w:val="22"/>
          <w:lang w:eastAsia="de-DE" w:bidi="de-DE"/>
        </w:rPr>
        <w:t> (I)</w:t>
      </w:r>
      <w:r w:rsidR="007A7C37" w:rsidRPr="007A7C37">
        <w:rPr>
          <w:rFonts w:eastAsia="Calibri"/>
          <w:i/>
          <w:spacing w:val="-2"/>
          <w:szCs w:val="22"/>
          <w:lang w:eastAsia="de-DE" w:bidi="de-DE"/>
        </w:rPr>
        <w:t xml:space="preserve"> (B.S. vom 13. September 2019)</w:t>
      </w:r>
      <w:r w:rsidR="007A7C37">
        <w:rPr>
          <w:rFonts w:eastAsia="Calibri"/>
          <w:i/>
          <w:spacing w:val="-2"/>
          <w:szCs w:val="22"/>
          <w:lang w:eastAsia="de-DE" w:bidi="de-DE"/>
        </w:rPr>
        <w:t xml:space="preserve">; </w:t>
      </w:r>
      <w:r w:rsidR="00984F9B">
        <w:rPr>
          <w:rFonts w:eastAsia="Calibri"/>
          <w:i/>
          <w:spacing w:val="-2"/>
          <w:szCs w:val="22"/>
          <w:lang w:eastAsia="de-DE" w:bidi="de-DE"/>
        </w:rPr>
        <w:t>§ 2 einziger Absatz Nr. 2 abgeändert durch Art. 7 des K.E. vom 22. April 2019 (B.S. vom 7. Mai 2019);</w:t>
      </w:r>
      <w:r w:rsidRPr="00177334">
        <w:rPr>
          <w:rFonts w:eastAsia="Calibri"/>
          <w:i/>
          <w:spacing w:val="-2"/>
          <w:szCs w:val="22"/>
          <w:lang w:eastAsia="de-DE" w:bidi="de-DE"/>
        </w:rPr>
        <w:t xml:space="preserve"> § 2 einziger Absatz Nr. 5 Buchstabe a) ersetzt durch Art. 1 des K.E. vom 3. Juli 2005 (B.S. vom 14. Juli 2005); § 2 einziger Absatz Nr. 5 Buchstabe b) ersetzt durch Art. 2 Nr. 3 des K.E. vom 16. Mai 2003 (B.S. vom </w:t>
      </w:r>
      <w:r w:rsidRPr="00177334">
        <w:rPr>
          <w:rFonts w:eastAsia="Calibri"/>
          <w:i/>
          <w:spacing w:val="-2"/>
          <w:szCs w:val="22"/>
          <w:lang w:eastAsia="de-DE" w:bidi="de-DE"/>
        </w:rPr>
        <w:lastRenderedPageBreak/>
        <w:t>5. Juni 2003); § 2 einziger Absatz Nr. 5 Buchstabe c) einziger Absatz einleitende Bestimmung abgeändert durch Art. 4 des K.E. vom 7. Dezember 2007 (I) (B.S. vom 12. Dezember 2007); § 2 einziger Absatz Nr. 5 Buchstabe d) einziger Absatz einleitende Bestimmung abgeändert durch Art. 4 des K.E. vom 7. Dezember 2007 (I) (B.S. vom 12. Dezember 2007); § 2 einziger Absatz Nr. 5 Buchstabe e) einziger Absatz einleitende Bestimmung abgeändert durch Art. 4 des K.E. vom 7. Dezember 2007 (I) (B.S. vom 12. Dezember 2007); § 2 einziger Absatz Nr. 5 Buchstabe f) eingefügt durch Art. 14 Nr. 1 des K.E. vom 20. Januar 2005 (B.S. vom 1. Februar 2005); § 2 einziger Absatz Nr. 6 abgeändert durch Art. 2 Nr. 4 des K.E. vom 16. Mai 2003 (B.S. vom 5. Juni 2003)</w:t>
      </w:r>
      <w:r w:rsidR="007A7C37">
        <w:rPr>
          <w:rFonts w:eastAsia="Calibri"/>
          <w:i/>
          <w:spacing w:val="-2"/>
          <w:szCs w:val="22"/>
          <w:lang w:eastAsia="de-DE" w:bidi="de-DE"/>
        </w:rPr>
        <w:t xml:space="preserve"> und Art. 18 Nr. 2</w:t>
      </w:r>
      <w:r w:rsidR="007A7C37">
        <w:rPr>
          <w:rFonts w:eastAsia="Calibri"/>
          <w:i/>
          <w:szCs w:val="22"/>
          <w:lang w:eastAsia="de-DE" w:bidi="de-DE"/>
        </w:rPr>
        <w:t xml:space="preserve"> des K.E. vom 29. August 2019</w:t>
      </w:r>
      <w:r w:rsidR="00865C4C">
        <w:rPr>
          <w:rFonts w:eastAsia="Calibri"/>
          <w:i/>
          <w:szCs w:val="22"/>
          <w:lang w:eastAsia="de-DE" w:bidi="de-DE"/>
        </w:rPr>
        <w:t> (I)</w:t>
      </w:r>
      <w:r w:rsidR="007A7C37">
        <w:rPr>
          <w:rFonts w:eastAsia="Calibri"/>
          <w:i/>
          <w:szCs w:val="22"/>
          <w:lang w:eastAsia="de-DE" w:bidi="de-DE"/>
        </w:rPr>
        <w:t xml:space="preserve"> (B.S. vom 13. September 2019)</w:t>
      </w:r>
      <w:r w:rsidRPr="00177334">
        <w:rPr>
          <w:rFonts w:eastAsia="Calibri"/>
          <w:i/>
          <w:spacing w:val="-2"/>
          <w:szCs w:val="22"/>
          <w:lang w:eastAsia="de-DE" w:bidi="de-DE"/>
        </w:rPr>
        <w:t>; § 2 einziger Absatz Nr. 9 einziger Absatz einleitende Bestimmung abgeändert durch Art. 2 Nr. 5 des K.E. vom 16. Mai 2003 (B.S. vom 5. Juni 2003); § 2 einziger Absatz Nr. 10 eingefügt durch Art. 1 des K.E. vom 26. Mai 1994 (II) (B.S. vom 9. Juni 1994) und ersetzt durch Art. 14 Nr. 2 des K.E. vom 20. Januar 2005 (B.S. vom 1. Februar 2005); § 2 einziger Absatz Nr. 11 eingefügt durch Art. 1 des K.E. vom 11. Dezember 1996 (B.S. vom 14. Dezember 1996)</w:t>
      </w:r>
      <w:r w:rsidR="001A670A">
        <w:rPr>
          <w:rFonts w:eastAsia="Calibri"/>
          <w:i/>
          <w:spacing w:val="-2"/>
          <w:szCs w:val="22"/>
          <w:lang w:eastAsia="de-DE" w:bidi="de-DE"/>
        </w:rPr>
        <w:t>,</w:t>
      </w:r>
      <w:r w:rsidRPr="00177334">
        <w:rPr>
          <w:rFonts w:eastAsia="Calibri"/>
          <w:i/>
          <w:spacing w:val="-2"/>
          <w:szCs w:val="22"/>
          <w:lang w:eastAsia="de-DE" w:bidi="de-DE"/>
        </w:rPr>
        <w:t xml:space="preserve"> ersetzt durch Art. 1 des K.E. vom 9. Januar 2005 (B.S. vom 19. Januar 2005)</w:t>
      </w:r>
      <w:r w:rsidR="001A670A">
        <w:rPr>
          <w:rFonts w:eastAsia="Calibri"/>
          <w:i/>
          <w:spacing w:val="-2"/>
          <w:szCs w:val="22"/>
          <w:lang w:eastAsia="de-DE" w:bidi="de-DE"/>
        </w:rPr>
        <w:t xml:space="preserve"> und abgeändert durch Art. 11</w:t>
      </w:r>
      <w:r w:rsidR="001A670A" w:rsidRPr="001A670A">
        <w:rPr>
          <w:rFonts w:eastAsia="Calibri"/>
          <w:i/>
          <w:spacing w:val="-2"/>
          <w:szCs w:val="22"/>
          <w:lang w:eastAsia="de-DE" w:bidi="de-DE"/>
        </w:rPr>
        <w:t xml:space="preserve"> des K.E. vom 17. Juli 2023 (II) (B.S. vom 26. Juli 2023)</w:t>
      </w:r>
      <w:r w:rsidRPr="00177334">
        <w:rPr>
          <w:rFonts w:eastAsia="Calibri"/>
          <w:i/>
          <w:spacing w:val="-2"/>
          <w:szCs w:val="22"/>
          <w:lang w:eastAsia="de-DE" w:bidi="de-DE"/>
        </w:rPr>
        <w:t>; § 2 einziger Absatz Nr. 12 eingefügt durch Art. 2 des K.E. vom 4. Dezember 2000 (B.S. vom 23. Dezember 2000) und aufgehoben durch Art. 14 Nr. 3 des K.E. vom 20. Januar 2005 (B.S. vom 1. Februar 2005); § 6 eingefügt durch Art. 2 des K.E. vom 22. Dezember 2003 (B.S. vom 31. Dezember 2003); § 6 Abs. 1 einleitende Bestimmung abgeändert durch Art. 3 Nr. 2 Buchstabe A und B des K.E. vom 13. August 2004 (B.S. vom 7. September 2004); § 6 Abs. 1 in fine abgeändert durch Art. 3 Nr. 2 Buchstabe C des K.E. vom 13. August 2004 (B.S. vom 7. September 2004)]</w:t>
      </w:r>
    </w:p>
    <w:p w14:paraId="308798C3" w14:textId="77777777" w:rsidR="007D52CA" w:rsidRDefault="007D52CA" w:rsidP="007D52CA">
      <w:pPr>
        <w:rPr>
          <w:rFonts w:eastAsia="Calibri"/>
          <w:szCs w:val="22"/>
          <w:lang w:eastAsia="de-DE" w:bidi="de-DE"/>
        </w:rPr>
      </w:pPr>
    </w:p>
    <w:p w14:paraId="5CFC39BE" w14:textId="77777777" w:rsidR="007D52CA" w:rsidRPr="00F531CC" w:rsidRDefault="007D52CA" w:rsidP="007D52CA">
      <w:pPr>
        <w:rPr>
          <w:rFonts w:eastAsia="Calibri"/>
          <w:szCs w:val="22"/>
          <w:lang w:eastAsia="de-DE" w:bidi="de-DE"/>
        </w:rPr>
      </w:pPr>
    </w:p>
    <w:p w14:paraId="5340241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108</w:t>
      </w:r>
      <w:r w:rsidRPr="00F531CC">
        <w:rPr>
          <w:rFonts w:eastAsia="Calibri"/>
          <w:szCs w:val="22"/>
          <w:lang w:eastAsia="de-DE" w:bidi="de-DE"/>
        </w:rPr>
        <w:t> - Von der Einnahme des Mobiliensteuervorabzugs auf Einkünfte aus Schuld</w:t>
      </w:r>
      <w:r w:rsidR="00177334">
        <w:rPr>
          <w:rFonts w:eastAsia="Calibri"/>
          <w:szCs w:val="22"/>
          <w:lang w:eastAsia="de-DE" w:bidi="de-DE"/>
        </w:rPr>
        <w:softHyphen/>
      </w:r>
      <w:r w:rsidRPr="00F531CC">
        <w:rPr>
          <w:rFonts w:eastAsia="Calibri"/>
          <w:szCs w:val="22"/>
          <w:lang w:eastAsia="de-DE" w:bidi="de-DE"/>
        </w:rPr>
        <w:t>verschreibungen, Kassenbons oder anderen ähnlichen Wertpapieren, deren Schuldner ein Gebiets</w:t>
      </w:r>
      <w:r w:rsidR="00177334">
        <w:rPr>
          <w:rFonts w:eastAsia="Calibri"/>
          <w:szCs w:val="22"/>
          <w:lang w:eastAsia="de-DE" w:bidi="de-DE"/>
        </w:rPr>
        <w:softHyphen/>
      </w:r>
      <w:r w:rsidRPr="00F531CC">
        <w:rPr>
          <w:rFonts w:eastAsia="Calibri"/>
          <w:szCs w:val="22"/>
          <w:lang w:eastAsia="de-DE" w:bidi="de-DE"/>
        </w:rPr>
        <w:t>fremder ist, wird vollständig abgesehen, wenn der Empfänger als inländische Gesellschaft oder ein gemäß Artikel 233 des Einkommensteuergesetzbuches 1992 der Steuer der Gebietsfremden unterliegender Steuerpflichtiger identifiziert wird, der das Kapital</w:t>
      </w:r>
      <w:r w:rsidRPr="00F531CC">
        <w:rPr>
          <w:rFonts w:eastAsia="Calibri"/>
          <w:szCs w:val="22"/>
          <w:lang w:eastAsia="de-DE" w:bidi="de-DE"/>
        </w:rPr>
        <w:softHyphen/>
        <w:t>ver</w:t>
      </w:r>
      <w:r w:rsidR="00177334">
        <w:rPr>
          <w:rFonts w:eastAsia="Calibri"/>
          <w:szCs w:val="22"/>
          <w:lang w:eastAsia="de-DE" w:bidi="de-DE"/>
        </w:rPr>
        <w:softHyphen/>
      </w:r>
      <w:r w:rsidRPr="00F531CC">
        <w:rPr>
          <w:rFonts w:eastAsia="Calibri"/>
          <w:szCs w:val="22"/>
          <w:lang w:eastAsia="de-DE" w:bidi="de-DE"/>
        </w:rPr>
        <w:t>mögen, das die Einkünfte erzeugt, zur Ausübung seiner beruflichen Tätigkeit in Belgien nutzt.</w:t>
      </w:r>
    </w:p>
    <w:p w14:paraId="5EB62A33" w14:textId="77777777" w:rsidR="007D52CA" w:rsidRPr="00F531CC" w:rsidRDefault="007D52CA" w:rsidP="007D52CA">
      <w:pPr>
        <w:jc w:val="both"/>
        <w:rPr>
          <w:rFonts w:eastAsia="Calibri"/>
          <w:szCs w:val="22"/>
          <w:lang w:eastAsia="de-DE" w:bidi="de-DE"/>
        </w:rPr>
      </w:pPr>
    </w:p>
    <w:p w14:paraId="0D7DD32D" w14:textId="77777777" w:rsidR="007D52CA" w:rsidRPr="00F531CC" w:rsidRDefault="007D52CA" w:rsidP="007D52CA">
      <w:pPr>
        <w:jc w:val="both"/>
        <w:rPr>
          <w:rFonts w:eastAsia="Calibri"/>
          <w:szCs w:val="22"/>
          <w:lang w:eastAsia="de-DE" w:bidi="de-DE"/>
        </w:rPr>
      </w:pPr>
    </w:p>
    <w:p w14:paraId="2F1B275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109</w:t>
      </w:r>
      <w:r w:rsidRPr="00F531CC">
        <w:rPr>
          <w:rFonts w:eastAsia="Calibri"/>
          <w:szCs w:val="22"/>
          <w:lang w:eastAsia="de-DE" w:bidi="de-DE"/>
        </w:rPr>
        <w:t xml:space="preserve"> - [Von der Einnahme des Mobiliensteuervorabzugs auf Einkünfte aus Zertifikaten von belgischen Investmentfonds wird vollständig abgesehen; dies gilt nicht für Einkünfte, die von den </w:t>
      </w:r>
      <w:r w:rsidR="00DB5A62">
        <w:rPr>
          <w:rFonts w:eastAsia="Calibri"/>
          <w:szCs w:val="22"/>
          <w:lang w:eastAsia="de-DE" w:bidi="de-DE"/>
        </w:rPr>
        <w:t>[</w:t>
      </w:r>
      <w:r w:rsidR="00DB5A62" w:rsidRPr="00B617CF">
        <w:t>in Artikel 271/9 des Gesetzes vom 3. August 2012 über Organismen für gemeinsame Anlagen, die die Bedingungen der Richtlinie 2009/65/EG erfüllen, und Organismen für Anlagen in Forderungen</w:t>
      </w:r>
      <w:r w:rsidR="00DB5A62">
        <w:rPr>
          <w:rFonts w:eastAsia="Calibri"/>
          <w:szCs w:val="22"/>
          <w:lang w:eastAsia="de-DE" w:bidi="de-DE"/>
        </w:rPr>
        <w:t>]</w:t>
      </w:r>
      <w:r w:rsidRPr="00F531CC">
        <w:rPr>
          <w:rFonts w:eastAsia="Calibri"/>
          <w:szCs w:val="22"/>
          <w:lang w:eastAsia="de-DE" w:bidi="de-DE"/>
        </w:rPr>
        <w:t xml:space="preserve"> erwähnten belgischen Investmentfonds für Schuld</w:t>
      </w:r>
      <w:r w:rsidRPr="00F531CC">
        <w:rPr>
          <w:rFonts w:eastAsia="Calibri"/>
          <w:szCs w:val="22"/>
          <w:lang w:eastAsia="de-DE" w:bidi="de-DE"/>
        </w:rPr>
        <w:softHyphen/>
        <w:t>forderungen gewährt oder zuerkannt werden.]</w:t>
      </w:r>
    </w:p>
    <w:p w14:paraId="3FC1CF3C" w14:textId="77777777" w:rsidR="007D52CA" w:rsidRPr="00F531CC" w:rsidRDefault="007D52CA" w:rsidP="007D52CA">
      <w:pPr>
        <w:jc w:val="both"/>
        <w:rPr>
          <w:rFonts w:eastAsia="Calibri"/>
          <w:szCs w:val="22"/>
          <w:lang w:eastAsia="de-DE" w:bidi="de-DE"/>
        </w:rPr>
      </w:pPr>
    </w:p>
    <w:p w14:paraId="0938105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[Von der Einnahme des Mobiliensteuervorabzugs wird vollständig abgesehen in Bezug auf Einkünfte aus in Belgien hinterlegten Wertpapieren ausländischer Herkunft und in Bezug auf Einkünfte aus Transaktionen mit diesen Wertpapieren, die Organismen für gemeinsame Anlagen nach ausländischem Recht zuerkannt oder ausgeschüttet werden, die ein ungeteiltes Vermögen darstellen, das von einer Verwaltungsgesellschaft für Rechnung der Teilnehmer verwaltet wird, wenn ihre Anteile in Belgien nicht öffentlich ausgegeben werden und in Belgien nicht gehandelt werden.]</w:t>
      </w:r>
    </w:p>
    <w:p w14:paraId="46D7570F" w14:textId="77777777" w:rsidR="007D52CA" w:rsidRPr="00F531CC" w:rsidRDefault="007D52CA" w:rsidP="007D52CA">
      <w:pPr>
        <w:jc w:val="both"/>
        <w:rPr>
          <w:rFonts w:eastAsia="Calibri"/>
          <w:szCs w:val="22"/>
          <w:lang w:eastAsia="de-DE" w:bidi="de-DE"/>
        </w:rPr>
      </w:pPr>
    </w:p>
    <w:p w14:paraId="4E33AD8B"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109 Abs. 1 (früherer einziger Absatz) ersetzt durch Art. 1 des K.E. vom 30. Mai 1995 (B.S. vom 21. Juli 1995)</w:t>
      </w:r>
      <w:r w:rsidR="00DB5A62">
        <w:rPr>
          <w:rFonts w:eastAsia="Calibri"/>
          <w:i/>
          <w:szCs w:val="22"/>
          <w:lang w:eastAsia="de-DE" w:bidi="de-DE"/>
        </w:rPr>
        <w:t xml:space="preserve"> und abgeändert durch Art. 18 des K.E. vom </w:t>
      </w:r>
      <w:r w:rsidR="005024BD">
        <w:rPr>
          <w:rFonts w:eastAsia="Calibri"/>
          <w:i/>
          <w:szCs w:val="22"/>
          <w:lang w:eastAsia="de-DE" w:bidi="de-DE"/>
        </w:rPr>
        <w:t>22. Mai 2017 (II)</w:t>
      </w:r>
      <w:r w:rsidR="00DB5A62">
        <w:rPr>
          <w:rFonts w:eastAsia="Calibri"/>
          <w:i/>
          <w:szCs w:val="22"/>
          <w:lang w:eastAsia="de-DE" w:bidi="de-DE"/>
        </w:rPr>
        <w:t xml:space="preserve"> (B.S. vom </w:t>
      </w:r>
      <w:r w:rsidR="00DB5A62">
        <w:rPr>
          <w:rFonts w:eastAsia="Calibri"/>
          <w:i/>
          <w:szCs w:val="22"/>
          <w:lang w:eastAsia="de-DE" w:bidi="de-DE"/>
        </w:rPr>
        <w:lastRenderedPageBreak/>
        <w:t>6. Juni 2017)</w:t>
      </w:r>
      <w:r w:rsidRPr="00F531CC">
        <w:rPr>
          <w:rFonts w:eastAsia="Calibri"/>
          <w:i/>
          <w:szCs w:val="22"/>
          <w:lang w:eastAsia="de-DE" w:bidi="de-DE"/>
        </w:rPr>
        <w:t>; Abs. 2 eingefügt durch Art. 1 des K.E. vom 17. Dezember 1996 (B.S. vom 31. Dezember 1996)]</w:t>
      </w:r>
    </w:p>
    <w:p w14:paraId="2F959832" w14:textId="77777777" w:rsidR="007D52CA" w:rsidRPr="00F531CC" w:rsidRDefault="007D52CA" w:rsidP="007D52CA">
      <w:pPr>
        <w:jc w:val="both"/>
        <w:rPr>
          <w:rFonts w:eastAsia="Calibri"/>
          <w:szCs w:val="22"/>
          <w:lang w:eastAsia="de-DE" w:bidi="de-DE"/>
        </w:rPr>
      </w:pPr>
    </w:p>
    <w:p w14:paraId="2A335ECC" w14:textId="1234D2EC" w:rsidR="005D0DC8" w:rsidRDefault="005D0DC8">
      <w:pPr>
        <w:rPr>
          <w:rFonts w:eastAsia="Calibri"/>
          <w:szCs w:val="22"/>
          <w:lang w:eastAsia="de-DE" w:bidi="de-DE"/>
        </w:rPr>
      </w:pPr>
    </w:p>
    <w:p w14:paraId="0FC88DE8" w14:textId="1D492C7E"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110</w:t>
      </w:r>
      <w:r w:rsidRPr="00F531CC">
        <w:rPr>
          <w:rFonts w:eastAsia="Calibri"/>
          <w:szCs w:val="22"/>
          <w:lang w:eastAsia="de-DE" w:bidi="de-DE"/>
        </w:rPr>
        <w:t> - Was Einkünfte aus Geldeinlagen betrifft, entweder vor oder ab dem 1. Dezember 1962 ohne vertraglich festgelegte Laufzeit oder Abhebungs- beziehungsweise Entnahmevorankündigungsfrist oder ab dem 1. Dezember 1962 mit vertraglich festgelegter Laufzeit oder Abhebungs- beziehungsweise Entnahmevorankündigungsfrist von Verwahrern entgegengenommen, wird von der Einnahme des Mobiliensteuervorabzugs vollständig abgesehen in Bezug auf:</w:t>
      </w:r>
    </w:p>
    <w:p w14:paraId="1BF8AFEF" w14:textId="77777777" w:rsidR="007D52CA" w:rsidRPr="00F531CC" w:rsidRDefault="007D52CA" w:rsidP="007D52CA">
      <w:pPr>
        <w:jc w:val="both"/>
        <w:rPr>
          <w:rFonts w:eastAsia="Calibri"/>
          <w:szCs w:val="22"/>
          <w:lang w:eastAsia="de-DE" w:bidi="de-DE"/>
        </w:rPr>
      </w:pPr>
    </w:p>
    <w:p w14:paraId="2E823593" w14:textId="052920F9"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1. Einkünfte aus [in </w:t>
      </w:r>
      <w:r w:rsidR="00F738D5">
        <w:rPr>
          <w:rFonts w:eastAsia="Calibri"/>
          <w:szCs w:val="22"/>
          <w:lang w:eastAsia="de-DE" w:bidi="de-DE"/>
        </w:rPr>
        <w:t>[</w:t>
      </w:r>
      <w:r w:rsidR="00F738D5" w:rsidRPr="000F0B8A">
        <w:t>Artikel XX.144 des Wirtschafts</w:t>
      </w:r>
      <w:r w:rsidR="00F738D5" w:rsidRPr="000F0B8A">
        <w:softHyphen/>
        <w:t>gesetzbuches</w:t>
      </w:r>
      <w:r w:rsidR="00F738D5">
        <w:t>]</w:t>
      </w:r>
      <w:r w:rsidR="00F738D5">
        <w:rPr>
          <w:rFonts w:eastAsia="Calibri"/>
          <w:szCs w:val="22"/>
          <w:lang w:eastAsia="de-DE" w:bidi="de-DE"/>
        </w:rPr>
        <w:t xml:space="preserve"> </w:t>
      </w:r>
      <w:r w:rsidRPr="00F531CC">
        <w:rPr>
          <w:rFonts w:eastAsia="Calibri"/>
          <w:szCs w:val="22"/>
          <w:lang w:eastAsia="de-DE" w:bidi="de-DE"/>
        </w:rPr>
        <w:t>erwähnten] Einlagen, die ungeachtet der Empfänger von der Hinterlegungs- und Konsignationskasse gewährt und zuerkannt werden, sofern die Einkünfte sich auf einen Zeitraum nach dem 31. Dezember 1988 beziehen,</w:t>
      </w:r>
    </w:p>
    <w:p w14:paraId="544E0265" w14:textId="77777777" w:rsidR="007D52CA" w:rsidRPr="00F531CC" w:rsidRDefault="007D52CA" w:rsidP="007D52CA">
      <w:pPr>
        <w:jc w:val="both"/>
        <w:rPr>
          <w:rFonts w:eastAsia="Calibri"/>
          <w:szCs w:val="22"/>
          <w:lang w:eastAsia="de-DE" w:bidi="de-DE"/>
        </w:rPr>
      </w:pPr>
    </w:p>
    <w:p w14:paraId="4FBECD28" w14:textId="4636F53E"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2. Einkünfte - ungeachtet ihrer Höhe - aus Einlagen wie in </w:t>
      </w:r>
      <w:r w:rsidR="006142D2">
        <w:rPr>
          <w:rFonts w:eastAsia="Calibri"/>
          <w:szCs w:val="22"/>
          <w:lang w:eastAsia="de-DE" w:bidi="de-DE"/>
        </w:rPr>
        <w:t>[</w:t>
      </w:r>
      <w:r w:rsidRPr="00F531CC">
        <w:rPr>
          <w:rFonts w:eastAsia="Calibri"/>
          <w:szCs w:val="22"/>
          <w:lang w:eastAsia="de-DE" w:bidi="de-DE"/>
        </w:rPr>
        <w:t xml:space="preserve">Artikel 21 </w:t>
      </w:r>
      <w:r w:rsidR="006142D2">
        <w:rPr>
          <w:rFonts w:eastAsia="Calibri"/>
          <w:szCs w:val="22"/>
          <w:lang w:eastAsia="de-DE" w:bidi="de-DE"/>
        </w:rPr>
        <w:t xml:space="preserve">Absatz 1 </w:t>
      </w:r>
      <w:r w:rsidRPr="00F531CC">
        <w:rPr>
          <w:rFonts w:eastAsia="Calibri"/>
          <w:szCs w:val="22"/>
          <w:lang w:eastAsia="de-DE" w:bidi="de-DE"/>
        </w:rPr>
        <w:t>Nr. 5</w:t>
      </w:r>
      <w:r w:rsidR="006142D2">
        <w:rPr>
          <w:rFonts w:eastAsia="Calibri"/>
          <w:szCs w:val="22"/>
          <w:lang w:eastAsia="de-DE" w:bidi="de-DE"/>
        </w:rPr>
        <w:t>]</w:t>
      </w:r>
      <w:r w:rsidRPr="00F531CC">
        <w:rPr>
          <w:rFonts w:eastAsia="Calibri"/>
          <w:szCs w:val="22"/>
          <w:lang w:eastAsia="de-DE" w:bidi="de-DE"/>
        </w:rPr>
        <w:t xml:space="preserve"> des Einkommensteuergesetzbuches 1992 erwähnt, deren Empfänger identifiziert werden als:</w:t>
      </w:r>
    </w:p>
    <w:p w14:paraId="65D16A05" w14:textId="77777777" w:rsidR="007D52CA" w:rsidRPr="00F531CC" w:rsidRDefault="007D52CA" w:rsidP="007D52CA">
      <w:pPr>
        <w:jc w:val="both"/>
        <w:rPr>
          <w:rFonts w:eastAsia="Calibri"/>
          <w:szCs w:val="22"/>
          <w:lang w:eastAsia="de-DE" w:bidi="de-DE"/>
        </w:rPr>
      </w:pPr>
    </w:p>
    <w:p w14:paraId="2DDD30A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Finanzinstitute oder damit gleichgesetzte Unternehmen,</w:t>
      </w:r>
    </w:p>
    <w:p w14:paraId="199FA97F" w14:textId="77777777" w:rsidR="007D52CA" w:rsidRPr="00F531CC" w:rsidRDefault="007D52CA" w:rsidP="007D52CA">
      <w:pPr>
        <w:rPr>
          <w:rFonts w:eastAsia="Calibri"/>
          <w:szCs w:val="22"/>
          <w:lang w:eastAsia="de-DE" w:bidi="de-DE"/>
        </w:rPr>
      </w:pPr>
    </w:p>
    <w:p w14:paraId="1D361D2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halbstaatliche Einrichtungen der sozialen Sicherheit oder damit gleichgesetzte Einrichtungen,</w:t>
      </w:r>
    </w:p>
    <w:p w14:paraId="4009BEA8" w14:textId="77777777" w:rsidR="007D52CA" w:rsidRPr="00F531CC" w:rsidRDefault="007D52CA" w:rsidP="007D52CA">
      <w:pPr>
        <w:rPr>
          <w:rFonts w:eastAsia="Calibri"/>
          <w:szCs w:val="22"/>
          <w:lang w:eastAsia="de-DE" w:bidi="de-DE"/>
        </w:rPr>
      </w:pPr>
    </w:p>
    <w:p w14:paraId="50E40A2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3. [Einkünfte aus Einlagen, die eine in Artikel 22 § 1 Nr. 1 oder 2 und § 2 des Gesetzes vom 2. August 2002 über die Aufsicht über den Finanzsektor und die Finanzdienstleistungen erwähnte Einrichtung ihren Mitgliedern als Deckung für Transaktionen, die sie gemäß der Marktregelung registriert hat, gewährt oder zuerkennt,]</w:t>
      </w:r>
    </w:p>
    <w:p w14:paraId="57671D57" w14:textId="77777777" w:rsidR="007D52CA" w:rsidRPr="00F531CC" w:rsidRDefault="007D52CA" w:rsidP="007D52CA">
      <w:pPr>
        <w:jc w:val="both"/>
        <w:rPr>
          <w:rFonts w:eastAsia="Calibri"/>
          <w:szCs w:val="22"/>
          <w:lang w:eastAsia="de-DE" w:bidi="de-DE"/>
        </w:rPr>
      </w:pPr>
    </w:p>
    <w:p w14:paraId="29DD66E7" w14:textId="7066C189" w:rsidR="007D52CA" w:rsidRPr="00F531CC" w:rsidRDefault="007D52CA" w:rsidP="006142D2">
      <w:pPr>
        <w:jc w:val="both"/>
        <w:rPr>
          <w:rFonts w:eastAsia="Calibri"/>
          <w:lang w:eastAsia="de-DE" w:bidi="de-DE"/>
        </w:rPr>
      </w:pPr>
      <w:r w:rsidRPr="00F531CC">
        <w:rPr>
          <w:rFonts w:eastAsia="Calibri"/>
          <w:lang w:eastAsia="de-DE" w:bidi="de-DE"/>
        </w:rPr>
        <w:tab/>
        <w:t>4. [Einkünfte aus Einlagen - selbst wenn sie in</w:t>
      </w:r>
      <w:r w:rsidR="006142D2">
        <w:rPr>
          <w:rFonts w:eastAsia="Calibri"/>
          <w:lang w:eastAsia="de-DE" w:bidi="de-DE"/>
        </w:rPr>
        <w:t xml:space="preserve"> [</w:t>
      </w:r>
      <w:r w:rsidRPr="00F531CC">
        <w:rPr>
          <w:rFonts w:eastAsia="Calibri"/>
          <w:lang w:eastAsia="de-DE" w:bidi="de-DE"/>
        </w:rPr>
        <w:t xml:space="preserve">Artikel 21 </w:t>
      </w:r>
      <w:r w:rsidR="006142D2">
        <w:rPr>
          <w:rFonts w:eastAsia="Calibri"/>
          <w:lang w:eastAsia="de-DE" w:bidi="de-DE"/>
        </w:rPr>
        <w:t xml:space="preserve">Absatz 1 </w:t>
      </w:r>
      <w:r w:rsidRPr="00F531CC">
        <w:rPr>
          <w:rFonts w:eastAsia="Calibri"/>
          <w:lang w:eastAsia="de-DE" w:bidi="de-DE"/>
        </w:rPr>
        <w:t>Nr. 5</w:t>
      </w:r>
      <w:r w:rsidR="006142D2">
        <w:rPr>
          <w:rFonts w:eastAsia="Calibri"/>
          <w:lang w:eastAsia="de-DE" w:bidi="de-DE"/>
        </w:rPr>
        <w:t xml:space="preserve">] desselben </w:t>
      </w:r>
      <w:r w:rsidRPr="00F531CC">
        <w:rPr>
          <w:rFonts w:eastAsia="Calibri"/>
          <w:lang w:eastAsia="de-DE" w:bidi="de-DE"/>
        </w:rPr>
        <w:t>Gesetzbuches erwähnt sind -, die:</w:t>
      </w:r>
    </w:p>
    <w:p w14:paraId="2DC16CA8" w14:textId="77777777" w:rsidR="007D52CA" w:rsidRPr="00F531CC" w:rsidRDefault="007D52CA" w:rsidP="007D52CA">
      <w:pPr>
        <w:jc w:val="both"/>
        <w:rPr>
          <w:rFonts w:eastAsia="Calibri"/>
          <w:szCs w:val="22"/>
          <w:lang w:eastAsia="de-DE" w:bidi="de-DE"/>
        </w:rPr>
      </w:pPr>
    </w:p>
    <w:p w14:paraId="7072407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von Finanzinstituten, die in Artikel 105 Nr. 1 Buchstabe </w:t>
      </w:r>
      <w:r w:rsidRPr="00F531CC">
        <w:rPr>
          <w:rFonts w:eastAsia="Calibri"/>
          <w:i/>
          <w:szCs w:val="22"/>
          <w:lang w:eastAsia="de-DE" w:bidi="de-DE"/>
        </w:rPr>
        <w:t>a)</w:t>
      </w:r>
      <w:r w:rsidRPr="00F531CC">
        <w:rPr>
          <w:rFonts w:eastAsia="Calibri"/>
          <w:szCs w:val="22"/>
          <w:lang w:eastAsia="de-DE" w:bidi="de-DE"/>
        </w:rPr>
        <w:t xml:space="preserve"> erwähnt sind, im Ausland ansässigen Banken gewährt oder zuerkannt werden,</w:t>
      </w:r>
    </w:p>
    <w:p w14:paraId="6A203AD2" w14:textId="77777777" w:rsidR="007D52CA" w:rsidRPr="00F531CC" w:rsidRDefault="007D52CA" w:rsidP="007D52CA">
      <w:pPr>
        <w:jc w:val="both"/>
        <w:rPr>
          <w:rFonts w:eastAsia="Calibri"/>
          <w:szCs w:val="22"/>
          <w:lang w:eastAsia="de-DE" w:bidi="de-DE"/>
        </w:rPr>
      </w:pPr>
    </w:p>
    <w:p w14:paraId="717D749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von Finanzinstituten, die in Artikel 105 Nr. 1 Buchstabe </w:t>
      </w:r>
      <w:r w:rsidRPr="00F531CC">
        <w:rPr>
          <w:rFonts w:eastAsia="Calibri"/>
          <w:i/>
          <w:szCs w:val="22"/>
          <w:lang w:eastAsia="de-DE" w:bidi="de-DE"/>
        </w:rPr>
        <w:t>a)</w:t>
      </w:r>
      <w:r w:rsidRPr="00F531CC">
        <w:rPr>
          <w:rFonts w:eastAsia="Calibri"/>
          <w:szCs w:val="22"/>
          <w:lang w:eastAsia="de-DE" w:bidi="de-DE"/>
        </w:rPr>
        <w:t xml:space="preserve"> erwähnt sind, und von Unternehmen, die in Artikel 105 Nr. 1 Buchstabe </w:t>
      </w:r>
      <w:r w:rsidRPr="00F531CC">
        <w:rPr>
          <w:rFonts w:eastAsia="Calibri"/>
          <w:i/>
          <w:szCs w:val="22"/>
          <w:lang w:eastAsia="de-DE" w:bidi="de-DE"/>
        </w:rPr>
        <w:t>b)</w:t>
      </w:r>
      <w:r w:rsidRPr="00F531CC">
        <w:rPr>
          <w:rFonts w:eastAsia="Calibri"/>
          <w:szCs w:val="22"/>
          <w:lang w:eastAsia="de-DE" w:bidi="de-DE"/>
        </w:rPr>
        <w:t xml:space="preserve"> oder </w:t>
      </w:r>
      <w:r w:rsidRPr="00F531CC">
        <w:rPr>
          <w:rFonts w:eastAsia="Calibri"/>
          <w:i/>
          <w:szCs w:val="22"/>
          <w:lang w:eastAsia="de-DE" w:bidi="de-DE"/>
        </w:rPr>
        <w:t>c)</w:t>
      </w:r>
      <w:r w:rsidRPr="00F531CC">
        <w:rPr>
          <w:rFonts w:eastAsia="Calibri"/>
          <w:szCs w:val="22"/>
          <w:lang w:eastAsia="de-DE" w:bidi="de-DE"/>
        </w:rPr>
        <w:t xml:space="preserve"> erwähnt sind und während der gesamten vergangenen Laufzeit der Abkommen, in deren Ausführung die Einkünfte gewährt oder zuerkannt werden, die in Artikel 105 Nr. 1 Buchstabe </w:t>
      </w:r>
      <w:r w:rsidRPr="00F531CC">
        <w:rPr>
          <w:rFonts w:eastAsia="Calibri"/>
          <w:i/>
          <w:szCs w:val="22"/>
          <w:lang w:eastAsia="de-DE" w:bidi="de-DE"/>
        </w:rPr>
        <w:t>b)</w:t>
      </w:r>
      <w:r w:rsidRPr="00F531CC">
        <w:rPr>
          <w:rFonts w:eastAsia="Calibri"/>
          <w:szCs w:val="22"/>
          <w:lang w:eastAsia="de-DE" w:bidi="de-DE"/>
        </w:rPr>
        <w:t xml:space="preserve"> beziehungsweise </w:t>
      </w:r>
      <w:r w:rsidRPr="00F531CC">
        <w:rPr>
          <w:rFonts w:eastAsia="Calibri"/>
          <w:i/>
          <w:szCs w:val="22"/>
          <w:lang w:eastAsia="de-DE" w:bidi="de-DE"/>
        </w:rPr>
        <w:t>c)</w:t>
      </w:r>
      <w:r w:rsidRPr="00F531CC">
        <w:rPr>
          <w:rFonts w:eastAsia="Calibri"/>
          <w:szCs w:val="22"/>
          <w:lang w:eastAsia="de-DE" w:bidi="de-DE"/>
        </w:rPr>
        <w:t xml:space="preserve"> erwähnten Bedingungen erfüllt haben, gebietsfremden Sparern gewährt oder zuerkannt werden,</w:t>
      </w:r>
    </w:p>
    <w:p w14:paraId="74EF7B35" w14:textId="77777777" w:rsidR="007D52CA" w:rsidRPr="00F531CC" w:rsidRDefault="007D52CA" w:rsidP="007D52CA">
      <w:pPr>
        <w:jc w:val="both"/>
        <w:rPr>
          <w:rFonts w:eastAsia="Calibri"/>
          <w:szCs w:val="22"/>
          <w:lang w:eastAsia="de-DE" w:bidi="de-DE"/>
        </w:rPr>
      </w:pPr>
    </w:p>
    <w:p w14:paraId="225687E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w:t>
      </w:r>
    </w:p>
    <w:p w14:paraId="6CA7A4AB" w14:textId="77777777" w:rsidR="007D52CA" w:rsidRPr="00F531CC" w:rsidRDefault="007D52CA" w:rsidP="007D52CA">
      <w:pPr>
        <w:jc w:val="both"/>
        <w:rPr>
          <w:rFonts w:eastAsia="Calibri"/>
          <w:szCs w:val="22"/>
          <w:lang w:eastAsia="de-DE" w:bidi="de-DE"/>
        </w:rPr>
      </w:pPr>
    </w:p>
    <w:p w14:paraId="76651D7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d)</w:t>
      </w:r>
      <w:r w:rsidRPr="00F531CC">
        <w:rPr>
          <w:rFonts w:eastAsia="Calibri"/>
          <w:szCs w:val="22"/>
          <w:lang w:eastAsia="de-DE" w:bidi="de-DE"/>
        </w:rPr>
        <w:t> von Börsengesellschaften gebietsfremden Sparern gewährt oder zuerkannt werden,]</w:t>
      </w:r>
    </w:p>
    <w:p w14:paraId="20286D6C" w14:textId="77777777" w:rsidR="007D52CA" w:rsidRPr="00F531CC" w:rsidRDefault="007D52CA" w:rsidP="007D52CA">
      <w:pPr>
        <w:jc w:val="both"/>
        <w:rPr>
          <w:rFonts w:eastAsia="Calibri"/>
          <w:szCs w:val="22"/>
          <w:lang w:eastAsia="de-DE" w:bidi="de-DE"/>
        </w:rPr>
      </w:pPr>
    </w:p>
    <w:p w14:paraId="49FA803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5. Einkünfte aus Einlagen, die nicht in den Nummern 1 bis 3 erwähnt sind und deren Empfänger identifiziert werden als:</w:t>
      </w:r>
    </w:p>
    <w:p w14:paraId="2A153F08" w14:textId="77777777" w:rsidR="007D52CA" w:rsidRPr="00F531CC" w:rsidRDefault="007D52CA" w:rsidP="007D52CA">
      <w:pPr>
        <w:jc w:val="both"/>
        <w:rPr>
          <w:rFonts w:eastAsia="Calibri"/>
          <w:szCs w:val="22"/>
          <w:lang w:eastAsia="de-DE" w:bidi="de-DE"/>
        </w:rPr>
      </w:pPr>
    </w:p>
    <w:p w14:paraId="0C1FDE3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Finanzinstitute oder damit gleichgesetzte Unternehmen,</w:t>
      </w:r>
    </w:p>
    <w:p w14:paraId="3D9CA252" w14:textId="77777777" w:rsidR="007D52CA" w:rsidRPr="00F531CC" w:rsidRDefault="007D52CA" w:rsidP="007D52CA">
      <w:pPr>
        <w:jc w:val="both"/>
        <w:rPr>
          <w:rFonts w:eastAsia="Calibri"/>
          <w:szCs w:val="22"/>
          <w:lang w:eastAsia="de-DE" w:bidi="de-DE"/>
        </w:rPr>
      </w:pPr>
    </w:p>
    <w:p w14:paraId="4B06759C" w14:textId="517F5F5E" w:rsidR="00312718" w:rsidRDefault="007D52CA" w:rsidP="00FA5F5E">
      <w:pPr>
        <w:jc w:val="both"/>
        <w:rPr>
          <w:rFonts w:eastAsia="Calibri"/>
          <w:szCs w:val="22"/>
          <w:lang w:eastAsia="de-DE" w:bidi="de-DE"/>
        </w:rPr>
      </w:pPr>
      <w:r w:rsidRPr="00F531CC">
        <w:rPr>
          <w:rFonts w:eastAsia="Calibri"/>
          <w:szCs w:val="22"/>
          <w:lang w:eastAsia="de-DE" w:bidi="de-DE"/>
        </w:rPr>
        <w:lastRenderedPageBreak/>
        <w:tab/>
      </w:r>
      <w:r w:rsidRPr="00F531CC">
        <w:rPr>
          <w:rFonts w:eastAsia="Calibri"/>
          <w:i/>
          <w:szCs w:val="22"/>
          <w:lang w:eastAsia="de-DE" w:bidi="de-DE"/>
        </w:rPr>
        <w:t>b)</w:t>
      </w:r>
      <w:r w:rsidRPr="00F531CC">
        <w:rPr>
          <w:rFonts w:eastAsia="Calibri"/>
          <w:szCs w:val="22"/>
          <w:lang w:eastAsia="de-DE" w:bidi="de-DE"/>
        </w:rPr>
        <w:t> halbstaatliche Einrichtungen der sozialen Sicherheit oder dam</w:t>
      </w:r>
      <w:r>
        <w:rPr>
          <w:rFonts w:eastAsia="Calibri"/>
          <w:szCs w:val="22"/>
          <w:lang w:eastAsia="de-DE" w:bidi="de-DE"/>
        </w:rPr>
        <w:t>it gleichgesetzte Einrichtungen.</w:t>
      </w:r>
    </w:p>
    <w:p w14:paraId="6A368167" w14:textId="77777777" w:rsidR="00FA5F5E" w:rsidRDefault="00FA5F5E" w:rsidP="007D52CA">
      <w:pPr>
        <w:jc w:val="both"/>
        <w:rPr>
          <w:rFonts w:eastAsia="Calibri"/>
          <w:szCs w:val="22"/>
          <w:lang w:eastAsia="de-DE" w:bidi="de-DE"/>
        </w:rPr>
      </w:pPr>
    </w:p>
    <w:p w14:paraId="505604B9" w14:textId="4B5DD80E" w:rsidR="007D52CA" w:rsidRPr="00F531CC" w:rsidRDefault="007D52CA" w:rsidP="007D52CA">
      <w:pPr>
        <w:jc w:val="both"/>
        <w:rPr>
          <w:rFonts w:eastAsia="Calibri"/>
          <w:szCs w:val="22"/>
          <w:lang w:eastAsia="de-DE" w:bidi="de-DE"/>
        </w:rPr>
      </w:pPr>
      <w:r>
        <w:rPr>
          <w:rFonts w:eastAsia="Calibri"/>
          <w:szCs w:val="22"/>
          <w:lang w:eastAsia="de-DE" w:bidi="de-DE"/>
        </w:rPr>
        <w:tab/>
        <w:t>6. [...]</w:t>
      </w:r>
    </w:p>
    <w:p w14:paraId="0EFFFDC2" w14:textId="77777777" w:rsidR="007D52CA" w:rsidRPr="00F531CC" w:rsidRDefault="007D52CA" w:rsidP="007D52CA">
      <w:pPr>
        <w:jc w:val="both"/>
        <w:rPr>
          <w:rFonts w:eastAsia="Calibri"/>
          <w:szCs w:val="22"/>
          <w:lang w:eastAsia="de-DE" w:bidi="de-DE"/>
        </w:rPr>
      </w:pPr>
    </w:p>
    <w:p w14:paraId="0DB6B912" w14:textId="09693D15" w:rsidR="007D52CA" w:rsidRPr="003C2396" w:rsidRDefault="007D52CA" w:rsidP="007D52CA">
      <w:pPr>
        <w:jc w:val="both"/>
        <w:rPr>
          <w:rFonts w:eastAsia="Calibri"/>
          <w:i/>
          <w:spacing w:val="-4"/>
          <w:szCs w:val="22"/>
          <w:lang w:eastAsia="de-DE" w:bidi="de-DE"/>
        </w:rPr>
      </w:pPr>
      <w:r w:rsidRPr="003C2396">
        <w:rPr>
          <w:rFonts w:eastAsia="Calibri"/>
          <w:i/>
          <w:spacing w:val="-4"/>
          <w:szCs w:val="22"/>
          <w:lang w:eastAsia="de-DE" w:bidi="de-DE"/>
        </w:rPr>
        <w:t>[Art. 110 einziger Absatz Nr. 1 abgeändert durch Art. 3 Nr. 1 des K.E. vom 16. Mai 2003 (B.S. vom 5. Juni 2003)</w:t>
      </w:r>
      <w:r w:rsidR="00F738D5">
        <w:rPr>
          <w:rFonts w:eastAsia="Calibri"/>
          <w:i/>
          <w:spacing w:val="-4"/>
          <w:szCs w:val="22"/>
          <w:lang w:eastAsia="de-DE" w:bidi="de-DE"/>
        </w:rPr>
        <w:t xml:space="preserve"> und Art. 11</w:t>
      </w:r>
      <w:r w:rsidR="00F738D5" w:rsidRPr="00F738D5">
        <w:rPr>
          <w:rFonts w:eastAsia="Calibri"/>
          <w:i/>
          <w:szCs w:val="22"/>
          <w:lang w:eastAsia="de-DE" w:bidi="de-DE"/>
        </w:rPr>
        <w:t xml:space="preserve"> </w:t>
      </w:r>
      <w:r w:rsidR="00F738D5">
        <w:rPr>
          <w:rFonts w:eastAsia="Calibri"/>
          <w:i/>
          <w:szCs w:val="22"/>
          <w:lang w:eastAsia="de-DE" w:bidi="de-DE"/>
        </w:rPr>
        <w:t>des K.E. vom 3. Oktober 2019 (B.S. vom 30. Oktober 2019)</w:t>
      </w:r>
      <w:r w:rsidR="008372A4">
        <w:rPr>
          <w:rFonts w:eastAsia="Calibri"/>
          <w:i/>
          <w:szCs w:val="22"/>
          <w:lang w:eastAsia="de-DE" w:bidi="de-DE"/>
        </w:rPr>
        <w:t xml:space="preserve"> </w:t>
      </w:r>
      <w:r w:rsidR="008372A4" w:rsidRPr="00361F45">
        <w:rPr>
          <w:rFonts w:eastAsia="Calibri"/>
          <w:i/>
          <w:szCs w:val="22"/>
          <w:lang w:eastAsia="de-DE" w:bidi="de-DE"/>
        </w:rPr>
        <w:t>und Art. 30</w:t>
      </w:r>
      <w:r w:rsidR="008372A4" w:rsidRPr="00361F45">
        <w:rPr>
          <w:i/>
        </w:rPr>
        <w:t xml:space="preserve"> des K.E. vom 18. April 2022 (B.S. vom 1. Juni 2022)</w:t>
      </w:r>
      <w:r w:rsidRPr="003C2396">
        <w:rPr>
          <w:rFonts w:eastAsia="Calibri"/>
          <w:i/>
          <w:spacing w:val="-4"/>
          <w:szCs w:val="22"/>
          <w:lang w:eastAsia="de-DE" w:bidi="de-DE"/>
        </w:rPr>
        <w:t>;</w:t>
      </w:r>
      <w:r w:rsidR="006142D2">
        <w:rPr>
          <w:rFonts w:eastAsia="Calibri"/>
          <w:i/>
          <w:spacing w:val="-4"/>
          <w:szCs w:val="22"/>
          <w:lang w:eastAsia="de-DE" w:bidi="de-DE"/>
        </w:rPr>
        <w:t xml:space="preserve"> einziger Absatz Nr. 2 einziger Absatz einleitende Bestimmung abgeändert durch Art. 13</w:t>
      </w:r>
      <w:r w:rsidR="006142D2">
        <w:rPr>
          <w:rFonts w:eastAsia="Calibri"/>
          <w:i/>
          <w:szCs w:val="22"/>
          <w:lang w:eastAsia="de-DE" w:bidi="de-DE"/>
        </w:rPr>
        <w:t xml:space="preserve"> des K.E. vom 20. Dezember 2020 (I) (B.S. vom 29. Dezember 2020);</w:t>
      </w:r>
      <w:r w:rsidRPr="003C2396">
        <w:rPr>
          <w:rFonts w:eastAsia="Calibri"/>
          <w:i/>
          <w:spacing w:val="-4"/>
          <w:szCs w:val="22"/>
          <w:lang w:eastAsia="de-DE" w:bidi="de-DE"/>
        </w:rPr>
        <w:t xml:space="preserve"> einziger Absatz Nr. 3 ersetzt durch Art. 3 Nr. 2 des K.E. vom 16. Mai 2003 (B.S. vom 5. Juni 2003); einziger Absatz Nr. 4 ersetzt durch Art. 3 Nr. 3 des K.E. vom 16. Mai 2003 (B.S. vom 5. Juni 2003); </w:t>
      </w:r>
      <w:r w:rsidR="006142D2">
        <w:rPr>
          <w:rFonts w:eastAsia="Calibri"/>
          <w:i/>
          <w:spacing w:val="-4"/>
          <w:szCs w:val="22"/>
          <w:lang w:eastAsia="de-DE" w:bidi="de-DE"/>
        </w:rPr>
        <w:t>einziger Absatz Nr. 4 einziger Absatz einleitende Bestimmung abgeändert durch Art. 13</w:t>
      </w:r>
      <w:r w:rsidR="006142D2">
        <w:rPr>
          <w:rFonts w:eastAsia="Calibri"/>
          <w:i/>
          <w:szCs w:val="22"/>
          <w:lang w:eastAsia="de-DE" w:bidi="de-DE"/>
        </w:rPr>
        <w:t xml:space="preserve"> des K.E. vom 20. Dezember 2020 (I) (B.S. vom 29. Dezember 2020); </w:t>
      </w:r>
      <w:r w:rsidRPr="003C2396">
        <w:rPr>
          <w:rFonts w:eastAsia="Calibri"/>
          <w:i/>
          <w:spacing w:val="-4"/>
          <w:szCs w:val="22"/>
          <w:lang w:eastAsia="de-DE" w:bidi="de-DE"/>
        </w:rPr>
        <w:t>einziger Absatz Nr. 4 einziger Absatz Buchstabe c) aufgehoben durch Art. 3 des K.E. vom 22. Februar 2010 (B.S. vom 1. März 2010); einziger Absatz Nr. 6 aufgehoben durch Art. 8 des K.E. vom 5. Dezember 2011 (II) (B.S. vom 12. Dezember 2011)]</w:t>
      </w:r>
    </w:p>
    <w:p w14:paraId="35E6A6DB" w14:textId="77777777" w:rsidR="002C6888" w:rsidRDefault="002C6888">
      <w:pPr>
        <w:rPr>
          <w:rFonts w:eastAsia="Calibri"/>
          <w:b/>
          <w:szCs w:val="22"/>
          <w:lang w:eastAsia="de-DE" w:bidi="de-DE"/>
        </w:rPr>
      </w:pPr>
    </w:p>
    <w:p w14:paraId="6C9BE5B0" w14:textId="77777777" w:rsidR="000C5BE4" w:rsidRDefault="000C5BE4">
      <w:pPr>
        <w:rPr>
          <w:rFonts w:eastAsia="Calibri"/>
          <w:b/>
          <w:szCs w:val="22"/>
          <w:lang w:eastAsia="de-DE" w:bidi="de-DE"/>
        </w:rPr>
      </w:pPr>
    </w:p>
    <w:p w14:paraId="33C791BE" w14:textId="77777777" w:rsidR="007D52CA" w:rsidRPr="00F531CC" w:rsidRDefault="007C20CA" w:rsidP="007D52CA">
      <w:pPr>
        <w:jc w:val="both"/>
        <w:rPr>
          <w:rFonts w:eastAsia="Calibri"/>
          <w:szCs w:val="22"/>
          <w:lang w:eastAsia="de-DE" w:bidi="de-DE"/>
        </w:rPr>
      </w:pPr>
      <w:r>
        <w:rPr>
          <w:rFonts w:eastAsia="Calibri"/>
          <w:b/>
          <w:szCs w:val="22"/>
          <w:lang w:eastAsia="de-DE" w:bidi="de-DE"/>
        </w:rPr>
        <w:tab/>
      </w:r>
      <w:r w:rsidR="007D52CA" w:rsidRPr="00F531CC">
        <w:rPr>
          <w:rFonts w:eastAsia="Calibri"/>
          <w:b/>
          <w:szCs w:val="22"/>
          <w:lang w:eastAsia="de-DE" w:bidi="de-DE"/>
        </w:rPr>
        <w:t>Art. 111</w:t>
      </w:r>
      <w:r w:rsidR="007D52CA" w:rsidRPr="00F531CC">
        <w:rPr>
          <w:rFonts w:eastAsia="Calibri"/>
          <w:szCs w:val="22"/>
          <w:lang w:eastAsia="de-DE" w:bidi="de-DE"/>
        </w:rPr>
        <w:t> - Von der Einnahme eines Mobiliensteuervorabzugs auf Einkünfte aus Vermietung, Verpachtung, Nutzung und Überlassung von beweglichen Gütern, auf Einkünfte, die außerhalb der Ausübung einer beruflichen Tätigkeit erzielt werden aus der Untervermietung von möblierten oder nicht möblierten unbeweglichen Gütern oder aus der Abtretung eines Mietvertrags über möblierte oder nicht möblierte unbewegliche Güter oder aus der zeitweiligen Überlassung des Rechts, eine ihrem Wesen nach unbewegliche Fläche, die nicht innerhalb der Umfriedung einer Sportanlage liegt, zu nutzen, um dort Plakate oder andere Werbeträger anzubringen, und auf Erträge aus der Verpachtung des Jagd-, Fischerei- und Vogelfangrechts wird vollständig abgesehen, wenn die Empfänger:</w:t>
      </w:r>
    </w:p>
    <w:p w14:paraId="0A2EE2CB" w14:textId="77777777" w:rsidR="007D52CA" w:rsidRPr="00F531CC" w:rsidRDefault="007D52CA" w:rsidP="007D52CA">
      <w:pPr>
        <w:jc w:val="both"/>
        <w:rPr>
          <w:rFonts w:eastAsia="Calibri"/>
          <w:szCs w:val="22"/>
          <w:lang w:eastAsia="de-DE" w:bidi="de-DE"/>
        </w:rPr>
      </w:pPr>
    </w:p>
    <w:p w14:paraId="43BF452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Einwohner des Königreichs sind, die der Steuer der natürlichen Personen unterliegen,</w:t>
      </w:r>
    </w:p>
    <w:p w14:paraId="1BCC1CD2" w14:textId="77777777" w:rsidR="007D52CA" w:rsidRPr="00F531CC" w:rsidRDefault="007D52CA" w:rsidP="007D52CA">
      <w:pPr>
        <w:jc w:val="both"/>
        <w:rPr>
          <w:rFonts w:eastAsia="Calibri"/>
          <w:szCs w:val="22"/>
          <w:lang w:eastAsia="de-DE" w:bidi="de-DE"/>
        </w:rPr>
      </w:pPr>
    </w:p>
    <w:p w14:paraId="007A543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inländische Gesellschaften sind,</w:t>
      </w:r>
    </w:p>
    <w:p w14:paraId="6FFEB1F3" w14:textId="77777777" w:rsidR="007D52CA" w:rsidRPr="00F531CC" w:rsidRDefault="007D52CA" w:rsidP="007D52CA">
      <w:pPr>
        <w:jc w:val="both"/>
        <w:rPr>
          <w:rFonts w:eastAsia="Calibri"/>
          <w:szCs w:val="22"/>
          <w:lang w:eastAsia="de-DE" w:bidi="de-DE"/>
        </w:rPr>
      </w:pPr>
    </w:p>
    <w:p w14:paraId="18FDB8E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in Artikel 105 Nr. 2 Buchstabe </w:t>
      </w:r>
      <w:r w:rsidRPr="00F531CC">
        <w:rPr>
          <w:rFonts w:eastAsia="Calibri"/>
          <w:i/>
          <w:szCs w:val="22"/>
          <w:lang w:eastAsia="de-DE" w:bidi="de-DE"/>
        </w:rPr>
        <w:t>c)</w:t>
      </w:r>
      <w:r w:rsidRPr="00F531CC">
        <w:rPr>
          <w:rFonts w:eastAsia="Calibri"/>
          <w:szCs w:val="22"/>
          <w:lang w:eastAsia="de-DE" w:bidi="de-DE"/>
        </w:rPr>
        <w:t xml:space="preserve"> erwähnte internationale oder supranationale Einrichtungen sind, </w:t>
      </w:r>
    </w:p>
    <w:p w14:paraId="58AB6470" w14:textId="77777777" w:rsidR="007D52CA" w:rsidRPr="00F531CC" w:rsidRDefault="007D52CA" w:rsidP="007D52CA">
      <w:pPr>
        <w:jc w:val="both"/>
        <w:rPr>
          <w:rFonts w:eastAsia="Calibri"/>
          <w:szCs w:val="22"/>
          <w:lang w:eastAsia="de-DE" w:bidi="de-DE"/>
        </w:rPr>
      </w:pPr>
    </w:p>
    <w:p w14:paraId="4238F37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r w:rsidRPr="00F531CC">
        <w:rPr>
          <w:rFonts w:eastAsia="Calibri"/>
          <w:i/>
          <w:szCs w:val="22"/>
          <w:lang w:eastAsia="de-DE" w:bidi="de-DE"/>
        </w:rPr>
        <w:t>d)</w:t>
      </w:r>
      <w:r w:rsidRPr="00F531CC">
        <w:rPr>
          <w:rFonts w:eastAsia="Calibri"/>
          <w:szCs w:val="22"/>
          <w:lang w:eastAsia="de-DE" w:bidi="de-DE"/>
        </w:rPr>
        <w:t> in Artikel 105 Nr. 6 Buchstabe </w:t>
      </w:r>
      <w:r w:rsidRPr="00F531CC">
        <w:rPr>
          <w:rFonts w:eastAsia="Calibri"/>
          <w:i/>
          <w:szCs w:val="22"/>
          <w:lang w:eastAsia="de-DE" w:bidi="de-DE"/>
        </w:rPr>
        <w:t>a)</w:t>
      </w:r>
      <w:r w:rsidRPr="00F531CC">
        <w:rPr>
          <w:rFonts w:eastAsia="Calibri"/>
          <w:szCs w:val="22"/>
          <w:lang w:eastAsia="de-DE" w:bidi="de-DE"/>
        </w:rPr>
        <w:t xml:space="preserve"> erwähnte Gesellschaften eines Mitgliedstaats sind, die keine inländischen Gesellschaften sind, [unter der Bedingung, dass Schuldner] und Empfänger verbundene Gesellschaften im Sinne von Artikel 105 Nr. 6 Buchstabe </w:t>
      </w:r>
      <w:r w:rsidRPr="00F531CC">
        <w:rPr>
          <w:rFonts w:eastAsia="Calibri"/>
          <w:i/>
          <w:szCs w:val="22"/>
          <w:lang w:eastAsia="de-DE" w:bidi="de-DE"/>
        </w:rPr>
        <w:t>b)</w:t>
      </w:r>
      <w:r w:rsidRPr="00F531CC">
        <w:rPr>
          <w:rFonts w:eastAsia="Calibri"/>
          <w:szCs w:val="22"/>
          <w:lang w:eastAsia="de-DE" w:bidi="de-DE"/>
        </w:rPr>
        <w:t xml:space="preserve"> sind.]</w:t>
      </w:r>
    </w:p>
    <w:p w14:paraId="1DE09005" w14:textId="77777777" w:rsidR="007D52CA" w:rsidRPr="00F531CC" w:rsidRDefault="007D52CA" w:rsidP="007D52CA">
      <w:pPr>
        <w:jc w:val="both"/>
        <w:rPr>
          <w:rFonts w:eastAsia="Calibri"/>
          <w:szCs w:val="22"/>
          <w:lang w:eastAsia="de-DE" w:bidi="de-DE"/>
        </w:rPr>
      </w:pPr>
    </w:p>
    <w:p w14:paraId="4B01D25A" w14:textId="18A7887D" w:rsidR="007D52CA" w:rsidRPr="00F531CC" w:rsidRDefault="007D52CA" w:rsidP="007D52CA">
      <w:pPr>
        <w:jc w:val="both"/>
        <w:rPr>
          <w:rFonts w:eastAsia="Calibri"/>
          <w:szCs w:val="22"/>
          <w:lang w:eastAsia="de-DE" w:bidi="de-DE"/>
        </w:rPr>
      </w:pPr>
      <w:r w:rsidRPr="00F531CC">
        <w:rPr>
          <w:rFonts w:eastAsia="Calibri"/>
          <w:szCs w:val="22"/>
          <w:lang w:eastAsia="de-DE" w:bidi="de-DE"/>
        </w:rPr>
        <w:tab/>
        <w:t>[Für die Anwendung von Absatz 1 Buchstabe </w:t>
      </w:r>
      <w:r w:rsidRPr="00F531CC">
        <w:rPr>
          <w:rFonts w:eastAsia="Calibri"/>
          <w:i/>
          <w:szCs w:val="22"/>
          <w:lang w:eastAsia="de-DE" w:bidi="de-DE"/>
        </w:rPr>
        <w:t>d)</w:t>
      </w:r>
      <w:r w:rsidRPr="00F531CC">
        <w:rPr>
          <w:rFonts w:eastAsia="Calibri"/>
          <w:szCs w:val="22"/>
          <w:lang w:eastAsia="de-DE" w:bidi="de-DE"/>
        </w:rPr>
        <w:t xml:space="preserve"> dürfen Rechte oder Güter, die die Einkünfte erzeugen, zu keinem Zeitpunkt des Zeitraums, in dem diese Einkünfte erzeugt werden, unter den Aktiva einer Niederlassung ausgewiesen sein, über die der Empfänger außerhalb des Gebiets der Europäischen Union verfügt.]</w:t>
      </w:r>
    </w:p>
    <w:p w14:paraId="1FEFABED" w14:textId="77777777" w:rsidR="007D52CA" w:rsidRPr="00F531CC" w:rsidRDefault="007D52CA" w:rsidP="007D52CA">
      <w:pPr>
        <w:jc w:val="both"/>
        <w:rPr>
          <w:rFonts w:eastAsia="Calibri"/>
          <w:szCs w:val="22"/>
          <w:lang w:eastAsia="de-DE" w:bidi="de-DE"/>
        </w:rPr>
      </w:pPr>
    </w:p>
    <w:p w14:paraId="48A365C9"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111 Abs. 1 Buchstabe d) eingefügt durch Art. 3 des K.E. vom 22. Dezember 2003 (B.S. vom 31. Dezember 2003) und abgeändert durch Art. 4 des K.E. vom 13. August 2004 (B.S. vom 7. September 2004); Abs. 2 eingefügt durch Art. 3 des K.E. vom 22. Dezember 2003 (B.S. vom 31. Dezember 2003)]</w:t>
      </w:r>
    </w:p>
    <w:p w14:paraId="3F849CD2" w14:textId="77777777" w:rsidR="007D52CA" w:rsidRPr="00F531CC" w:rsidRDefault="007D52CA" w:rsidP="007D52CA">
      <w:pPr>
        <w:jc w:val="both"/>
        <w:rPr>
          <w:rFonts w:eastAsia="Calibri"/>
          <w:szCs w:val="22"/>
          <w:lang w:eastAsia="de-DE" w:bidi="de-DE"/>
        </w:rPr>
      </w:pPr>
    </w:p>
    <w:p w14:paraId="5D810518" w14:textId="77777777" w:rsidR="007D52CA" w:rsidRPr="00F531CC" w:rsidRDefault="007D52CA" w:rsidP="007D52CA">
      <w:pPr>
        <w:jc w:val="both"/>
        <w:rPr>
          <w:rFonts w:eastAsia="Calibri"/>
          <w:szCs w:val="22"/>
          <w:lang w:eastAsia="de-DE" w:bidi="de-DE"/>
        </w:rPr>
      </w:pPr>
    </w:p>
    <w:p w14:paraId="39AD5DA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w:t>
      </w:r>
      <w:r w:rsidRPr="00F531CC">
        <w:rPr>
          <w:rFonts w:eastAsia="Calibri"/>
          <w:b/>
          <w:szCs w:val="22"/>
          <w:lang w:eastAsia="de-DE" w:bidi="de-DE"/>
        </w:rPr>
        <w:t>Art. 111</w:t>
      </w:r>
      <w:r w:rsidRPr="00F531CC">
        <w:rPr>
          <w:rFonts w:eastAsia="Calibri"/>
          <w:b/>
          <w:i/>
          <w:szCs w:val="22"/>
          <w:lang w:eastAsia="de-DE" w:bidi="de-DE"/>
        </w:rPr>
        <w:t>bis</w:t>
      </w:r>
      <w:r w:rsidRPr="00F531CC">
        <w:rPr>
          <w:rFonts w:eastAsia="Calibri"/>
          <w:b/>
          <w:szCs w:val="22"/>
          <w:lang w:eastAsia="de-DE" w:bidi="de-DE"/>
        </w:rPr>
        <w:t> -</w:t>
      </w:r>
      <w:r w:rsidRPr="00F531CC">
        <w:rPr>
          <w:rFonts w:eastAsia="Calibri"/>
          <w:szCs w:val="22"/>
          <w:lang w:eastAsia="de-DE" w:bidi="de-DE"/>
        </w:rPr>
        <w:t xml:space="preserve"> § 1 - Von der Einnahme des Mobiliensteuervorabzugs auf Einkünfte wie in </w:t>
      </w:r>
      <w:r w:rsidR="00DB5A62">
        <w:rPr>
          <w:rFonts w:eastAsia="Calibri"/>
          <w:szCs w:val="22"/>
          <w:lang w:eastAsia="de-DE" w:bidi="de-DE"/>
        </w:rPr>
        <w:t>[</w:t>
      </w:r>
      <w:r w:rsidR="00DB5A62" w:rsidRPr="00B617CF">
        <w:t>Artikel 90 Absatz 1 Nr. 11</w:t>
      </w:r>
      <w:r w:rsidR="00DB5A62">
        <w:rPr>
          <w:rFonts w:eastAsia="Calibri"/>
          <w:szCs w:val="22"/>
          <w:lang w:eastAsia="de-DE" w:bidi="de-DE"/>
        </w:rPr>
        <w:t>]</w:t>
      </w:r>
      <w:r w:rsidRPr="00F531CC">
        <w:rPr>
          <w:rFonts w:eastAsia="Calibri"/>
          <w:szCs w:val="22"/>
          <w:lang w:eastAsia="de-DE" w:bidi="de-DE"/>
        </w:rPr>
        <w:t xml:space="preserve"> des Einkommensteuergesetzbuches 1992 erwähnt, ausschließlich der in Artikel 265 Absatz 2 desselben Gesetzbuches erwähnten Einkünfte, wird vollständig abgesehen, wenn der Empfänger als inländische Gesellschaft oder ein gemäß Artikel 233 desselben Gesetzbuches der Steuer der Gebietsfremden unterliegender Steuerpflichtiger identifiziert wird, der die Finanzinstrumente, die Gegenstand der Vereinbarung über die Leistung von dinglichen Sicherheiten oder des Verleihs sind, in Belgien zur Ausübung seiner beruflichen Tätigkeit nutzt.</w:t>
      </w:r>
    </w:p>
    <w:p w14:paraId="4AEDE99E" w14:textId="77777777" w:rsidR="007D52CA" w:rsidRPr="00F531CC" w:rsidRDefault="007D52CA" w:rsidP="007D52CA">
      <w:pPr>
        <w:jc w:val="both"/>
        <w:rPr>
          <w:rFonts w:eastAsia="Calibri"/>
          <w:szCs w:val="22"/>
          <w:lang w:eastAsia="de-DE" w:bidi="de-DE"/>
        </w:rPr>
      </w:pPr>
    </w:p>
    <w:p w14:paraId="24281D1B" w14:textId="5FF3F38E" w:rsidR="007D52CA" w:rsidRPr="001A670A" w:rsidRDefault="007D52CA" w:rsidP="007D52CA">
      <w:pPr>
        <w:jc w:val="both"/>
        <w:rPr>
          <w:rFonts w:eastAsia="Calibri"/>
          <w:szCs w:val="22"/>
          <w:lang w:eastAsia="de-DE" w:bidi="de-DE"/>
        </w:rPr>
      </w:pPr>
      <w:r w:rsidRPr="001A670A">
        <w:rPr>
          <w:rFonts w:eastAsia="Calibri"/>
          <w:szCs w:val="22"/>
          <w:lang w:eastAsia="de-DE" w:bidi="de-DE"/>
        </w:rPr>
        <w:tab/>
        <w:t xml:space="preserve">Absatz 1 ist nicht anwendbar auf Einkünfte wie in </w:t>
      </w:r>
      <w:r w:rsidR="00DB5A62" w:rsidRPr="001A670A">
        <w:rPr>
          <w:rFonts w:eastAsia="Calibri"/>
          <w:szCs w:val="22"/>
          <w:lang w:eastAsia="de-DE" w:bidi="de-DE"/>
        </w:rPr>
        <w:t>[</w:t>
      </w:r>
      <w:r w:rsidR="00DB5A62" w:rsidRPr="001A670A">
        <w:t>Artikel 90 Absatz 1 Nr. 11</w:t>
      </w:r>
      <w:r w:rsidR="00DB5A62" w:rsidRPr="001A670A">
        <w:rPr>
          <w:rFonts w:eastAsia="Calibri"/>
          <w:szCs w:val="22"/>
          <w:lang w:eastAsia="de-DE" w:bidi="de-DE"/>
        </w:rPr>
        <w:t>]</w:t>
      </w:r>
      <w:r w:rsidRPr="001A670A">
        <w:rPr>
          <w:rFonts w:eastAsia="Calibri"/>
          <w:szCs w:val="22"/>
          <w:lang w:eastAsia="de-DE" w:bidi="de-DE"/>
        </w:rPr>
        <w:t xml:space="preserve"> des</w:t>
      </w:r>
      <w:r w:rsidR="001A670A" w:rsidRPr="001A670A">
        <w:rPr>
          <w:rFonts w:eastAsia="Calibri"/>
          <w:szCs w:val="22"/>
          <w:lang w:eastAsia="de-DE" w:bidi="de-DE"/>
        </w:rPr>
        <w:softHyphen/>
      </w:r>
      <w:r w:rsidRPr="001A670A">
        <w:rPr>
          <w:rFonts w:eastAsia="Calibri"/>
          <w:szCs w:val="22"/>
          <w:lang w:eastAsia="de-DE" w:bidi="de-DE"/>
        </w:rPr>
        <w:t>selben Gesetzbuches erwähnt, die in Ausführung eines Verleihs mit einer Laufzeit von min</w:t>
      </w:r>
      <w:r w:rsidR="001A670A" w:rsidRPr="001A670A">
        <w:rPr>
          <w:rFonts w:eastAsia="Calibri"/>
          <w:szCs w:val="22"/>
          <w:lang w:eastAsia="de-DE" w:bidi="de-DE"/>
        </w:rPr>
        <w:softHyphen/>
      </w:r>
      <w:r w:rsidRPr="001A670A">
        <w:rPr>
          <w:rFonts w:eastAsia="Calibri"/>
          <w:szCs w:val="22"/>
          <w:lang w:eastAsia="de-DE" w:bidi="de-DE"/>
        </w:rPr>
        <w:t>destens einem Jahr in Bezug auf diese Finanzinstrumente gezahlt oder zuerkannt werden.</w:t>
      </w:r>
    </w:p>
    <w:p w14:paraId="31F14BF5" w14:textId="77777777" w:rsidR="007D52CA" w:rsidRPr="00F531CC" w:rsidRDefault="007D52CA" w:rsidP="007D52CA">
      <w:pPr>
        <w:rPr>
          <w:rFonts w:eastAsia="Calibri"/>
          <w:szCs w:val="22"/>
          <w:lang w:eastAsia="de-DE" w:bidi="de-DE"/>
        </w:rPr>
      </w:pPr>
    </w:p>
    <w:p w14:paraId="10FBC3DC" w14:textId="37D24F0F" w:rsidR="007D52CA" w:rsidRPr="001A670A" w:rsidRDefault="007D52CA" w:rsidP="001A670A">
      <w:pPr>
        <w:ind w:firstLine="708"/>
        <w:jc w:val="both"/>
        <w:rPr>
          <w:rFonts w:eastAsia="Calibri"/>
          <w:spacing w:val="-2"/>
          <w:szCs w:val="22"/>
          <w:lang w:eastAsia="de-DE" w:bidi="de-DE"/>
        </w:rPr>
      </w:pPr>
      <w:r w:rsidRPr="001A670A">
        <w:rPr>
          <w:rFonts w:eastAsia="Calibri"/>
          <w:spacing w:val="-2"/>
          <w:szCs w:val="22"/>
          <w:lang w:eastAsia="de-DE" w:bidi="de-DE"/>
        </w:rPr>
        <w:t xml:space="preserve">§ 2 - Von der Einnahme des Mobiliensteuervorabzugs auf Einkünfte wie in </w:t>
      </w:r>
      <w:r w:rsidR="00DB5A62" w:rsidRPr="001A670A">
        <w:rPr>
          <w:rFonts w:eastAsia="Calibri"/>
          <w:spacing w:val="-2"/>
          <w:szCs w:val="22"/>
          <w:lang w:eastAsia="de-DE" w:bidi="de-DE"/>
        </w:rPr>
        <w:t>[</w:t>
      </w:r>
      <w:r w:rsidR="00DB5A62" w:rsidRPr="001A670A">
        <w:rPr>
          <w:spacing w:val="-2"/>
        </w:rPr>
        <w:t>Artikel 90 Absatz 1 Nr. 11</w:t>
      </w:r>
      <w:r w:rsidR="00DB5A62" w:rsidRPr="001A670A">
        <w:rPr>
          <w:rFonts w:eastAsia="Calibri"/>
          <w:spacing w:val="-2"/>
          <w:szCs w:val="22"/>
          <w:lang w:eastAsia="de-DE" w:bidi="de-DE"/>
        </w:rPr>
        <w:t>]</w:t>
      </w:r>
      <w:r w:rsidRPr="001A670A">
        <w:rPr>
          <w:rFonts w:eastAsia="Calibri"/>
          <w:spacing w:val="-2"/>
          <w:szCs w:val="22"/>
          <w:lang w:eastAsia="de-DE" w:bidi="de-DE"/>
        </w:rPr>
        <w:t xml:space="preserve"> des Einkommensteuergesetzbuches 1992 erwähnt, die aus Finanz</w:t>
      </w:r>
      <w:r w:rsidR="007A7C37" w:rsidRPr="001A670A">
        <w:rPr>
          <w:rFonts w:eastAsia="Calibri"/>
          <w:spacing w:val="-2"/>
          <w:szCs w:val="22"/>
          <w:lang w:eastAsia="de-DE" w:bidi="de-DE"/>
        </w:rPr>
        <w:softHyphen/>
      </w:r>
      <w:r w:rsidRPr="001A670A">
        <w:rPr>
          <w:rFonts w:eastAsia="Calibri"/>
          <w:spacing w:val="-2"/>
          <w:szCs w:val="22"/>
          <w:lang w:eastAsia="de-DE" w:bidi="de-DE"/>
        </w:rPr>
        <w:t xml:space="preserve">instrumenten bezogen werden und zu Lasten eines Entleihers, Zessionars oder Pfandgläubigers sind, der Einwohner des Königreichs ist, eine Gesellschaft, Vereinigung, Niederlassung oder Einrichtung mit </w:t>
      </w:r>
      <w:r w:rsidR="007A7C37" w:rsidRPr="001A670A">
        <w:rPr>
          <w:rFonts w:eastAsia="Calibri"/>
          <w:spacing w:val="-2"/>
          <w:szCs w:val="22"/>
          <w:lang w:eastAsia="de-DE" w:bidi="de-DE"/>
        </w:rPr>
        <w:t>[…]</w:t>
      </w:r>
      <w:r w:rsidRPr="001A670A">
        <w:rPr>
          <w:rFonts w:eastAsia="Calibri"/>
          <w:spacing w:val="-2"/>
          <w:szCs w:val="22"/>
          <w:lang w:eastAsia="de-DE" w:bidi="de-DE"/>
        </w:rPr>
        <w:t xml:space="preserve"> Hauptniederlassung oder Geschäftsführungs- oder Verwaltungssitz in Belgien, der Belgische Staat oder eine seiner politischen Untergliederungen oder lokalen Gebietskörperschaften oder eine belgische Niederlassung, über die ein in Artikel 227 erwähnter Gebietsfremder verfügt, wird vollständig abgesehen, wenn der Empfänger als gebietsfremder Sparer identifiziert wird, der Anspruch erheben kann auf die Anwendung eines Abkommens zur Vermeidung der Doppelbesteuerung, das zwischen Belgien und dem Staat, dessen Einwohner er ist, geschlossen wurde.]</w:t>
      </w:r>
    </w:p>
    <w:p w14:paraId="259577D6" w14:textId="77777777" w:rsidR="007D52CA" w:rsidRPr="00F531CC" w:rsidRDefault="007D52CA" w:rsidP="007D52CA">
      <w:pPr>
        <w:jc w:val="both"/>
        <w:rPr>
          <w:rFonts w:eastAsia="Calibri"/>
          <w:szCs w:val="22"/>
          <w:lang w:eastAsia="de-DE" w:bidi="de-DE"/>
        </w:rPr>
      </w:pPr>
    </w:p>
    <w:p w14:paraId="722306F5" w14:textId="14A0D052" w:rsidR="007D52CA" w:rsidRPr="00DB5A62" w:rsidRDefault="007D52CA" w:rsidP="007D52CA">
      <w:pPr>
        <w:jc w:val="both"/>
        <w:rPr>
          <w:rFonts w:eastAsia="Calibri"/>
          <w:szCs w:val="22"/>
          <w:lang w:eastAsia="de-DE" w:bidi="de-DE"/>
        </w:rPr>
      </w:pPr>
      <w:r w:rsidRPr="00F531CC">
        <w:rPr>
          <w:rFonts w:eastAsia="Calibri"/>
          <w:i/>
          <w:szCs w:val="22"/>
          <w:lang w:eastAsia="de-DE" w:bidi="de-DE"/>
        </w:rPr>
        <w:t>[Art. 111bis eingefügt durch Art. 15 des K.E. vom 20. Januar 2005 (B.S. vom 1. Februar 2005)</w:t>
      </w:r>
      <w:r w:rsidR="00DB5A62">
        <w:rPr>
          <w:rFonts w:eastAsia="Calibri"/>
          <w:i/>
          <w:szCs w:val="22"/>
          <w:lang w:eastAsia="de-DE" w:bidi="de-DE"/>
        </w:rPr>
        <w:t xml:space="preserve">; § 1 Abs. 1 und 2 abgeändert durch Art. 19 des K.E. vom </w:t>
      </w:r>
      <w:r w:rsidR="005024BD">
        <w:rPr>
          <w:rFonts w:eastAsia="Calibri"/>
          <w:i/>
          <w:szCs w:val="22"/>
          <w:lang w:eastAsia="de-DE" w:bidi="de-DE"/>
        </w:rPr>
        <w:t>22. Mai 2017 (II)</w:t>
      </w:r>
      <w:r w:rsidR="00DB5A62">
        <w:rPr>
          <w:rFonts w:eastAsia="Calibri"/>
          <w:i/>
          <w:szCs w:val="22"/>
          <w:lang w:eastAsia="de-DE" w:bidi="de-DE"/>
        </w:rPr>
        <w:t xml:space="preserve"> (B.S. vom 6. Juni 2017); § 2 abgeändert durch Art. 19 des K.E. vom </w:t>
      </w:r>
      <w:r w:rsidR="005024BD">
        <w:rPr>
          <w:rFonts w:eastAsia="Calibri"/>
          <w:i/>
          <w:szCs w:val="22"/>
          <w:lang w:eastAsia="de-DE" w:bidi="de-DE"/>
        </w:rPr>
        <w:t>22. Mai 2017 (II)</w:t>
      </w:r>
      <w:r w:rsidR="00DB5A62">
        <w:rPr>
          <w:rFonts w:eastAsia="Calibri"/>
          <w:i/>
          <w:szCs w:val="22"/>
          <w:lang w:eastAsia="de-DE" w:bidi="de-DE"/>
        </w:rPr>
        <w:t xml:space="preserve"> (B.S. vom 6. Juni 2017)</w:t>
      </w:r>
      <w:r w:rsidR="00E26C3E">
        <w:rPr>
          <w:rFonts w:eastAsia="Calibri"/>
          <w:i/>
          <w:szCs w:val="22"/>
          <w:lang w:eastAsia="de-DE" w:bidi="de-DE"/>
        </w:rPr>
        <w:t xml:space="preserve"> und Art. 19 des K.E. vom 29. August 2019</w:t>
      </w:r>
      <w:r w:rsidR="00865C4C">
        <w:rPr>
          <w:rFonts w:eastAsia="Calibri"/>
          <w:i/>
          <w:szCs w:val="22"/>
          <w:lang w:eastAsia="de-DE" w:bidi="de-DE"/>
        </w:rPr>
        <w:t> (I)</w:t>
      </w:r>
      <w:r w:rsidR="00E26C3E">
        <w:rPr>
          <w:rFonts w:eastAsia="Calibri"/>
          <w:i/>
          <w:szCs w:val="22"/>
          <w:lang w:eastAsia="de-DE" w:bidi="de-DE"/>
        </w:rPr>
        <w:t xml:space="preserve"> (B.S. vom 13. September 2019)</w:t>
      </w:r>
      <w:r w:rsidRPr="00F531CC">
        <w:rPr>
          <w:rFonts w:eastAsia="Calibri"/>
          <w:i/>
          <w:szCs w:val="22"/>
          <w:lang w:eastAsia="de-DE" w:bidi="de-DE"/>
        </w:rPr>
        <w:t>]</w:t>
      </w:r>
    </w:p>
    <w:p w14:paraId="44CEEA60" w14:textId="77777777" w:rsidR="007D52CA" w:rsidRPr="00F531CC" w:rsidRDefault="007D52CA" w:rsidP="007D52CA">
      <w:pPr>
        <w:jc w:val="both"/>
        <w:rPr>
          <w:rFonts w:eastAsia="Calibri"/>
          <w:szCs w:val="22"/>
          <w:lang w:eastAsia="de-DE" w:bidi="de-DE"/>
        </w:rPr>
      </w:pPr>
    </w:p>
    <w:p w14:paraId="51024B00" w14:textId="77777777" w:rsidR="007D52CA" w:rsidRPr="00F531CC" w:rsidRDefault="007D52CA" w:rsidP="007D52CA">
      <w:pPr>
        <w:jc w:val="both"/>
        <w:rPr>
          <w:rFonts w:eastAsia="Calibri"/>
          <w:szCs w:val="22"/>
          <w:lang w:eastAsia="de-DE" w:bidi="de-DE"/>
        </w:rPr>
      </w:pPr>
    </w:p>
    <w:p w14:paraId="60042EF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112 -</w:t>
      </w:r>
      <w:r w:rsidRPr="00F531CC">
        <w:rPr>
          <w:rFonts w:eastAsia="Calibri"/>
          <w:szCs w:val="22"/>
          <w:lang w:eastAsia="de-DE" w:bidi="de-DE"/>
        </w:rPr>
        <w:t xml:space="preserve"> Von der Einnahme des Mobiliensteuervorabzugs auf Einkünfte aus Leib- oder Zeitrenten wie in Artikel 17 § 1 Nr. 4 des Einkommensteuergesetzbuches 1992 erwähnt, deren Empfänger Einwohner des Königreichs sind, die der Steuer der natürlichen Personen unterliegen, wird vollständig abgesehen.</w:t>
      </w:r>
    </w:p>
    <w:p w14:paraId="1B89BBA1" w14:textId="77777777" w:rsidR="007D52CA" w:rsidRPr="00F531CC" w:rsidRDefault="007D52CA" w:rsidP="007D52CA">
      <w:pPr>
        <w:jc w:val="both"/>
        <w:rPr>
          <w:rFonts w:eastAsia="Calibri"/>
          <w:szCs w:val="22"/>
          <w:lang w:eastAsia="de-DE" w:bidi="de-DE"/>
        </w:rPr>
      </w:pPr>
    </w:p>
    <w:p w14:paraId="0DEFCE6E" w14:textId="77777777" w:rsidR="007D52CA" w:rsidRPr="00F531CC" w:rsidRDefault="007D52CA" w:rsidP="007D52CA">
      <w:pPr>
        <w:jc w:val="both"/>
        <w:rPr>
          <w:rFonts w:eastAsia="Calibri"/>
          <w:szCs w:val="22"/>
          <w:lang w:eastAsia="de-DE" w:bidi="de-DE"/>
        </w:rPr>
      </w:pPr>
    </w:p>
    <w:p w14:paraId="43CF1B9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113 -</w:t>
      </w:r>
      <w:r w:rsidRPr="00F531CC">
        <w:rPr>
          <w:rFonts w:eastAsia="Calibri"/>
          <w:szCs w:val="22"/>
          <w:lang w:eastAsia="de-DE" w:bidi="de-DE"/>
        </w:rPr>
        <w:t xml:space="preserve"> § 1 - Von der Einnahme des Mobiliensteuervorabzugs wird in Bezug auf Einkünfte entweder aus Schuldverschreibungen, Kassenbons und anderen ähnlichen Wertpapieren oder aus Schuldforderungen und Darlehen, [ausschließlich der in Artikel 266 Absatz 2 des Einkommensteuergesetzbuches 1992 erwähnten Einkünfte][, die] in Ausführung von vor dem 1. Dezember 1962 geschlossenen Abkommen gewährt oder zuerkannt werden, und in Bezug auf Einkünfte aus Wertpapieren des Belgisch-Kongolesischen Abschreibungs- und Geschäftsführungsfonds und aus Wertpapieren der durch Belgien übernommenen, in Devisen besicherten kongolesischen Schuld gemäß den in den Paragraphen 2 bis 6 vorgesehenen Unterscheidungen vollständig oder teilweise abgesehen.</w:t>
      </w:r>
    </w:p>
    <w:p w14:paraId="7B634513" w14:textId="77777777" w:rsidR="007D52CA" w:rsidRPr="00F531CC" w:rsidRDefault="007D52CA" w:rsidP="007D52CA">
      <w:pPr>
        <w:jc w:val="both"/>
        <w:rPr>
          <w:rFonts w:eastAsia="Calibri"/>
          <w:szCs w:val="22"/>
          <w:lang w:eastAsia="de-DE" w:bidi="de-DE"/>
        </w:rPr>
      </w:pPr>
    </w:p>
    <w:p w14:paraId="7F0C2652" w14:textId="77777777" w:rsidR="00137616" w:rsidRDefault="00137616">
      <w:pPr>
        <w:rPr>
          <w:rFonts w:eastAsia="Calibri"/>
          <w:szCs w:val="22"/>
          <w:lang w:eastAsia="de-DE" w:bidi="de-DE"/>
        </w:rPr>
      </w:pPr>
      <w:r>
        <w:rPr>
          <w:rFonts w:eastAsia="Calibri"/>
          <w:szCs w:val="22"/>
          <w:lang w:eastAsia="de-DE" w:bidi="de-DE"/>
        </w:rPr>
        <w:br w:type="page"/>
      </w:r>
    </w:p>
    <w:p w14:paraId="2A5DF173" w14:textId="77547B53"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 2 - Von der Einnahme des Mobiliensteuervorabzugs wird vollständig abgesehen in Bezug auf:</w:t>
      </w:r>
    </w:p>
    <w:p w14:paraId="710492E1" w14:textId="77777777" w:rsidR="007D52CA" w:rsidRPr="00F531CC" w:rsidRDefault="007D52CA" w:rsidP="007D52CA">
      <w:pPr>
        <w:jc w:val="both"/>
        <w:rPr>
          <w:rFonts w:eastAsia="Calibri"/>
          <w:szCs w:val="22"/>
          <w:lang w:eastAsia="de-DE" w:bidi="de-DE"/>
        </w:rPr>
      </w:pPr>
    </w:p>
    <w:p w14:paraId="5783B43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Einkünfte, die halbstaatlichen Einrichtungen der sozialen Sicherheit oder damit gleichgesetzten Einrichtungen gewährt oder zuerkannt werden,</w:t>
      </w:r>
    </w:p>
    <w:p w14:paraId="72A603E3" w14:textId="77777777" w:rsidR="007D52CA" w:rsidRPr="00F531CC" w:rsidRDefault="007D52CA" w:rsidP="007D52CA">
      <w:pPr>
        <w:jc w:val="both"/>
        <w:rPr>
          <w:rFonts w:eastAsia="Calibri"/>
          <w:szCs w:val="22"/>
          <w:lang w:eastAsia="de-DE" w:bidi="de-DE"/>
        </w:rPr>
      </w:pPr>
    </w:p>
    <w:p w14:paraId="65F00E1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2. [</w:t>
      </w:r>
      <w:r w:rsidRPr="00F531CC">
        <w:rPr>
          <w:rFonts w:eastAsia="Calibri"/>
          <w:i/>
          <w:szCs w:val="22"/>
          <w:lang w:eastAsia="de-DE" w:bidi="de-DE"/>
        </w:rPr>
        <w:t>a)</w:t>
      </w:r>
      <w:r w:rsidRPr="00F531CC">
        <w:rPr>
          <w:rFonts w:eastAsia="Calibri"/>
          <w:szCs w:val="22"/>
          <w:lang w:eastAsia="de-DE" w:bidi="de-DE"/>
        </w:rPr>
        <w:t> Einkünfte aus Schuldforderungen und Darlehen, die von Finanzinstituten, die in Artikel 105 Nr. 1 Buchstabe </w:t>
      </w:r>
      <w:r w:rsidRPr="00F531CC">
        <w:rPr>
          <w:rFonts w:eastAsia="Calibri"/>
          <w:i/>
          <w:szCs w:val="22"/>
          <w:lang w:eastAsia="de-DE" w:bidi="de-DE"/>
        </w:rPr>
        <w:t>a)</w:t>
      </w:r>
      <w:r w:rsidRPr="00F531CC">
        <w:rPr>
          <w:rFonts w:eastAsia="Calibri"/>
          <w:szCs w:val="22"/>
          <w:lang w:eastAsia="de-DE" w:bidi="de-DE"/>
        </w:rPr>
        <w:t xml:space="preserve"> erwähnt sind, im Ausland ansässigen Banken gewährt oder zuerkannt werden,</w:t>
      </w:r>
    </w:p>
    <w:p w14:paraId="4559F85A" w14:textId="77777777" w:rsidR="007D52CA" w:rsidRPr="00F531CC" w:rsidRDefault="007D52CA" w:rsidP="007D52CA">
      <w:pPr>
        <w:jc w:val="both"/>
        <w:rPr>
          <w:rFonts w:eastAsia="Calibri"/>
          <w:szCs w:val="22"/>
          <w:lang w:eastAsia="de-DE" w:bidi="de-DE"/>
        </w:rPr>
      </w:pPr>
    </w:p>
    <w:p w14:paraId="279966A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Einkünfte aus nicht in Inhaberpapieren [oder entmaterialisierten Wertpapieren] verbrieften Schuldforderungen und Darlehen, die von Finanzinstituten, die in Artikel 105 Nr. 1 Buchstabe </w:t>
      </w:r>
      <w:r w:rsidRPr="00F531CC">
        <w:rPr>
          <w:rFonts w:eastAsia="Calibri"/>
          <w:i/>
          <w:szCs w:val="22"/>
          <w:lang w:eastAsia="de-DE" w:bidi="de-DE"/>
        </w:rPr>
        <w:t>a)</w:t>
      </w:r>
      <w:r w:rsidRPr="00F531CC">
        <w:rPr>
          <w:rFonts w:eastAsia="Calibri"/>
          <w:szCs w:val="22"/>
          <w:lang w:eastAsia="de-DE" w:bidi="de-DE"/>
        </w:rPr>
        <w:t xml:space="preserve"> erwähnt sind, gebietsfremden Sparern gewährt oder zuerkannt werden,]</w:t>
      </w:r>
    </w:p>
    <w:p w14:paraId="43047D05" w14:textId="77777777" w:rsidR="007D52CA" w:rsidRPr="00F531CC" w:rsidRDefault="007D52CA" w:rsidP="007D52CA">
      <w:pPr>
        <w:rPr>
          <w:rFonts w:eastAsia="Calibri"/>
          <w:szCs w:val="22"/>
          <w:lang w:eastAsia="de-DE" w:bidi="de-DE"/>
        </w:rPr>
      </w:pPr>
    </w:p>
    <w:p w14:paraId="1E3D0CEC" w14:textId="77777777" w:rsidR="007D52CA" w:rsidRPr="00177334" w:rsidRDefault="007D52CA" w:rsidP="007D52CA">
      <w:pPr>
        <w:jc w:val="both"/>
        <w:rPr>
          <w:rFonts w:eastAsia="Calibri"/>
          <w:spacing w:val="2"/>
          <w:szCs w:val="22"/>
          <w:lang w:eastAsia="de-DE" w:bidi="de-DE"/>
        </w:rPr>
      </w:pPr>
      <w:r w:rsidRPr="00177334">
        <w:rPr>
          <w:rFonts w:eastAsia="Calibri"/>
          <w:spacing w:val="2"/>
          <w:szCs w:val="22"/>
          <w:lang w:eastAsia="de-DE" w:bidi="de-DE"/>
        </w:rPr>
        <w:tab/>
        <w:t>3. selbst bei Bestehen eines Abkommens, das die Mobiliensteuer zu Lasten des Schuldners der nachfolgend erwähnten Zinsen oder Einkünfte legt, einerseits Zinsen aus Hypothekenforderungen auf in Belgien gelegene unbewegliche Güter oder auf Schiffe und Boote, die im Hypothekenamt Antwerpen registriert sind, ausschließlich der Hypotheken</w:t>
      </w:r>
      <w:r w:rsidRPr="00177334">
        <w:rPr>
          <w:rFonts w:eastAsia="Calibri"/>
          <w:spacing w:val="2"/>
          <w:szCs w:val="22"/>
          <w:lang w:eastAsia="de-DE" w:bidi="de-DE"/>
        </w:rPr>
        <w:softHyphen/>
        <w:t>schuldverschreibungen, und andererseits in Artikel 19 § 1 Nr. 2 des Einkommensteuergesetz</w:t>
      </w:r>
      <w:r w:rsidRPr="00177334">
        <w:rPr>
          <w:rFonts w:eastAsia="Calibri"/>
          <w:spacing w:val="2"/>
          <w:szCs w:val="22"/>
          <w:lang w:eastAsia="de-DE" w:bidi="de-DE"/>
        </w:rPr>
        <w:softHyphen/>
        <w:t>buches 1992 erwähnte Einkünfte, die in Gebühren enthalten sind, die in Verträgen in Bezug auf die Überlassung von Nutzungsrechten an bebauten unbeweglichen Gütern festgelegt sind, Zinsen oder Einkünfte, die folgenden Empfängern gewährt oder zuerkannt werden:</w:t>
      </w:r>
    </w:p>
    <w:p w14:paraId="272586FD" w14:textId="77777777" w:rsidR="007D52CA" w:rsidRPr="00F531CC" w:rsidRDefault="007D52CA" w:rsidP="007D52CA">
      <w:pPr>
        <w:jc w:val="both"/>
        <w:rPr>
          <w:rFonts w:eastAsia="Calibri"/>
          <w:szCs w:val="22"/>
          <w:lang w:eastAsia="de-DE" w:bidi="de-DE"/>
        </w:rPr>
      </w:pPr>
    </w:p>
    <w:p w14:paraId="65B855C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Finanzinstituten oder damit gleichgesetzten Unternehmen,</w:t>
      </w:r>
    </w:p>
    <w:p w14:paraId="6BC074A8" w14:textId="77777777" w:rsidR="007D52CA" w:rsidRPr="00F531CC" w:rsidRDefault="007D52CA" w:rsidP="007D52CA">
      <w:pPr>
        <w:jc w:val="both"/>
        <w:rPr>
          <w:rFonts w:eastAsia="Calibri"/>
          <w:szCs w:val="22"/>
          <w:lang w:eastAsia="de-DE" w:bidi="de-DE"/>
        </w:rPr>
      </w:pPr>
    </w:p>
    <w:p w14:paraId="5148536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halbstaatlichen Einrichtungen der sozialen Sicherheit oder damit gleichgesetzten Einrichtungen,</w:t>
      </w:r>
    </w:p>
    <w:p w14:paraId="5EB498B7" w14:textId="77777777" w:rsidR="007D52CA" w:rsidRPr="00F531CC" w:rsidRDefault="007D52CA" w:rsidP="007D52CA">
      <w:pPr>
        <w:jc w:val="both"/>
        <w:rPr>
          <w:rFonts w:eastAsia="Calibri"/>
          <w:szCs w:val="22"/>
          <w:lang w:eastAsia="de-DE" w:bidi="de-DE"/>
        </w:rPr>
      </w:pPr>
    </w:p>
    <w:p w14:paraId="51539FD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gewerblichen Anlegern,</w:t>
      </w:r>
    </w:p>
    <w:p w14:paraId="1026C7A8" w14:textId="77777777" w:rsidR="007D52CA" w:rsidRPr="00F531CC" w:rsidRDefault="007D52CA" w:rsidP="007D52CA">
      <w:pPr>
        <w:jc w:val="both"/>
        <w:rPr>
          <w:rFonts w:eastAsia="Calibri"/>
          <w:szCs w:val="22"/>
          <w:lang w:eastAsia="de-DE" w:bidi="de-DE"/>
        </w:rPr>
      </w:pPr>
    </w:p>
    <w:p w14:paraId="3AC62A6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d)</w:t>
      </w:r>
      <w:r w:rsidRPr="00F531CC">
        <w:rPr>
          <w:rFonts w:eastAsia="Calibri"/>
          <w:szCs w:val="22"/>
          <w:lang w:eastAsia="de-DE" w:bidi="de-DE"/>
        </w:rPr>
        <w:t> Privatsparern.</w:t>
      </w:r>
    </w:p>
    <w:p w14:paraId="5F54CDD6" w14:textId="77777777" w:rsidR="007D52CA" w:rsidRPr="00F531CC" w:rsidRDefault="007D52CA" w:rsidP="007D52CA">
      <w:pPr>
        <w:jc w:val="both"/>
        <w:rPr>
          <w:rFonts w:eastAsia="Calibri"/>
          <w:szCs w:val="22"/>
          <w:lang w:eastAsia="de-DE" w:bidi="de-DE"/>
        </w:rPr>
      </w:pPr>
    </w:p>
    <w:p w14:paraId="53697B9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3 - In Bezug entweder auf Einkünfte aus Schuldverschreibungen, Kassenbons oder anderen ähnlichen Wertpapieren, die ausgegeben werden vom Staat, von den Provinzen, den Gemeinden oder anderen belgischen öffentlichen Organismen oder Einrichtungen oder öffentlich-rechtlichen internationalen oder supranationalen Einrichtungen, in denen Belgien Mitglied ist, die aufgrund der koordinierten Gesetze über die Einkommensteuer oder besonderer, vor dem Gesetz vom 20. November 1962 zur Reform der Einkommensteuern geltender Gesetzesbestimmungen von der Mobiliensteuer oder von Realsteuern befreit waren, auf Einkünfte aus Wertpapieren des Belgisch-Kongolesischen Abschreibungs- und Geschäftsführungsfonds oder auf Einkünfte aus Wertpapieren der durch Belgien übernommenen, in Devisen besicherten kongolesischen Schuld wird vollständig abgesehen von der Einnahme des Mobiliensteuervorabzugs auf:</w:t>
      </w:r>
    </w:p>
    <w:p w14:paraId="10B6F21A" w14:textId="77777777" w:rsidR="007D52CA" w:rsidRPr="00F531CC" w:rsidRDefault="007D52CA" w:rsidP="007D52CA">
      <w:pPr>
        <w:jc w:val="both"/>
        <w:rPr>
          <w:rFonts w:eastAsia="Calibri"/>
          <w:szCs w:val="22"/>
          <w:lang w:eastAsia="de-DE" w:bidi="de-DE"/>
        </w:rPr>
      </w:pPr>
    </w:p>
    <w:p w14:paraId="5572834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Lose und Prämien, ungeachtet der Empfänger,</w:t>
      </w:r>
    </w:p>
    <w:p w14:paraId="2523C8C3" w14:textId="77777777" w:rsidR="007D52CA" w:rsidRPr="00F531CC" w:rsidRDefault="007D52CA" w:rsidP="007D52CA">
      <w:pPr>
        <w:jc w:val="both"/>
        <w:rPr>
          <w:rFonts w:eastAsia="Calibri"/>
          <w:szCs w:val="22"/>
          <w:lang w:eastAsia="de-DE" w:bidi="de-DE"/>
        </w:rPr>
      </w:pPr>
    </w:p>
    <w:p w14:paraId="68D9A59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Zinsen der 3,5 Prozent-Anleihe 1965-2005 des Belgisch-Kongolesischen Abschrei</w:t>
      </w:r>
      <w:r w:rsidRPr="00F531CC">
        <w:rPr>
          <w:rFonts w:eastAsia="Calibri"/>
          <w:szCs w:val="22"/>
          <w:lang w:eastAsia="de-DE" w:bidi="de-DE"/>
        </w:rPr>
        <w:softHyphen/>
        <w:t>bungs- und Geschäftsführungsfonds, ungeachtet der Empfänger,</w:t>
      </w:r>
    </w:p>
    <w:p w14:paraId="00B3BB3A" w14:textId="77777777" w:rsidR="007D52CA" w:rsidRPr="00F531CC" w:rsidRDefault="007D52CA" w:rsidP="007D52CA">
      <w:pPr>
        <w:jc w:val="both"/>
        <w:rPr>
          <w:rFonts w:eastAsia="Calibri"/>
          <w:szCs w:val="22"/>
          <w:lang w:eastAsia="de-DE" w:bidi="de-DE"/>
        </w:rPr>
      </w:pPr>
    </w:p>
    <w:p w14:paraId="0A225A3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r>
      <w:r w:rsidRPr="00F531CC">
        <w:rPr>
          <w:rFonts w:eastAsia="Calibri"/>
          <w:i/>
          <w:szCs w:val="22"/>
          <w:lang w:eastAsia="de-DE" w:bidi="de-DE"/>
        </w:rPr>
        <w:t>c)</w:t>
      </w:r>
      <w:r w:rsidRPr="00F531CC">
        <w:rPr>
          <w:rFonts w:eastAsia="Calibri"/>
          <w:szCs w:val="22"/>
          <w:lang w:eastAsia="de-DE" w:bidi="de-DE"/>
        </w:rPr>
        <w:t> Zinsen der 2,5 Prozent-Schuld des Belgischen Staates, deren Empfänger gebiets</w:t>
      </w:r>
      <w:r w:rsidRPr="00F531CC">
        <w:rPr>
          <w:rFonts w:eastAsia="Calibri"/>
          <w:szCs w:val="22"/>
          <w:lang w:eastAsia="de-DE" w:bidi="de-DE"/>
        </w:rPr>
        <w:softHyphen/>
        <w:t>fremde Sparer sind.</w:t>
      </w:r>
    </w:p>
    <w:p w14:paraId="62EBC805" w14:textId="77777777" w:rsidR="007D52CA" w:rsidRPr="00F531CC" w:rsidRDefault="007D52CA" w:rsidP="007D52CA">
      <w:pPr>
        <w:jc w:val="both"/>
        <w:rPr>
          <w:rFonts w:eastAsia="Calibri"/>
          <w:szCs w:val="22"/>
          <w:lang w:eastAsia="de-DE" w:bidi="de-DE"/>
        </w:rPr>
      </w:pPr>
    </w:p>
    <w:p w14:paraId="0A655D9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4 - Handelt es sich um Einkünfte, für die nicht von der Einnahme des Mobiliensteuervorabzugs aufgrund der Paragraphen 2 und 3 abgesehen wird, wird der Mobiliensteuervorabzug zum Satz von 12,5 Prozent erhoben.</w:t>
      </w:r>
    </w:p>
    <w:p w14:paraId="6DC35B7D" w14:textId="77777777" w:rsidR="007D52CA" w:rsidRPr="00F531CC" w:rsidRDefault="007D52CA" w:rsidP="007D52CA">
      <w:pPr>
        <w:jc w:val="both"/>
        <w:rPr>
          <w:rFonts w:eastAsia="Calibri"/>
          <w:szCs w:val="22"/>
          <w:lang w:eastAsia="de-DE" w:bidi="de-DE"/>
        </w:rPr>
      </w:pPr>
    </w:p>
    <w:p w14:paraId="7A99C61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5 - Wenn es sich um Einkünfte aus Schuldverschreibungen, Kassenbons oder anderen ähnlichen Wertpapieren oder aus Schuldforderungen und Darlehen handelt, die nicht von der Mobiliensteuer oder von Realsteuern befreit waren und die in Ausführung von Abkommen gewährt oder zuerkannt werden, die die Mobiliensteuer zu Lasten des Schuldners der steuerpflichtigen Einkünfte legen, hat Letzterer das Recht, den gemäß Artikel 234 bestimmten Teil des Vorabzugs einzubehalten.</w:t>
      </w:r>
    </w:p>
    <w:p w14:paraId="7852428A" w14:textId="77777777" w:rsidR="007D52CA" w:rsidRPr="00F531CC" w:rsidRDefault="007D52CA" w:rsidP="007D52CA">
      <w:pPr>
        <w:rPr>
          <w:rFonts w:eastAsia="Calibri"/>
          <w:szCs w:val="22"/>
          <w:lang w:eastAsia="de-DE" w:bidi="de-DE"/>
        </w:rPr>
      </w:pPr>
    </w:p>
    <w:p w14:paraId="06CF99A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6 - Der in den Paragraphen 2 bis 5 vorgesehene Gesamt- oder Teilverzicht auf die Einnahme des Mobiliensteuervorabzugs ist anwendbar auf Einkünfte, die bis zum Ende der im Abkommen erwähnten Laufzeit oder bis zum Ablauf einer Frist erzielt werden, die am 5. Dezember 1962 einsetzt und der im Abkommen festgelegten Vorankündigungsfrist entspricht; diese Laufzeit oder Frist wird ungeachtet von Klauseln in nach dem 1. Dezember 1962 auslaufenden Abkommen, die eventuell Verlängerung oder stillschwei</w:t>
      </w:r>
      <w:r w:rsidRPr="00F531CC">
        <w:rPr>
          <w:rFonts w:eastAsia="Calibri"/>
          <w:szCs w:val="22"/>
          <w:lang w:eastAsia="de-DE" w:bidi="de-DE"/>
        </w:rPr>
        <w:softHyphen/>
        <w:t>gende Erneuerung vorsehen, beurteilt.</w:t>
      </w:r>
    </w:p>
    <w:p w14:paraId="65465656" w14:textId="77777777" w:rsidR="007D52CA" w:rsidRPr="00F531CC" w:rsidRDefault="007D52CA" w:rsidP="007D52CA">
      <w:pPr>
        <w:jc w:val="both"/>
        <w:rPr>
          <w:rFonts w:eastAsia="Calibri"/>
          <w:szCs w:val="22"/>
          <w:lang w:eastAsia="de-DE" w:bidi="de-DE"/>
        </w:rPr>
      </w:pPr>
    </w:p>
    <w:p w14:paraId="566B03B2" w14:textId="79B02100" w:rsidR="007D52CA" w:rsidRPr="00F531CC" w:rsidRDefault="007D52CA" w:rsidP="007D52CA">
      <w:pPr>
        <w:jc w:val="both"/>
        <w:rPr>
          <w:rFonts w:eastAsia="Calibri"/>
          <w:szCs w:val="22"/>
          <w:lang w:eastAsia="de-DE" w:bidi="de-DE"/>
        </w:rPr>
      </w:pPr>
      <w:r w:rsidRPr="00F531CC">
        <w:rPr>
          <w:rFonts w:eastAsia="Calibri"/>
          <w:szCs w:val="22"/>
          <w:lang w:eastAsia="de-DE" w:bidi="de-DE"/>
        </w:rPr>
        <w:tab/>
        <w:t>[§ 7 - Unbeschadet der aufgrund der Paragraphen 1 bis 6 vorgesehenen Verzichte sind die in Artikel 107 § 6 vorgesehenen Bestimmungen auch auf die in § 1 erwähnten Einkünfte anwendbar, die in Ausführung von Abkommen gewährt oder zuerkannt werden, die vor dem 1. Dezember 1962 geschlossen wurden.]</w:t>
      </w:r>
    </w:p>
    <w:p w14:paraId="6279B76D" w14:textId="77777777" w:rsidR="007D52CA" w:rsidRPr="00F531CC" w:rsidRDefault="007D52CA" w:rsidP="007D52CA">
      <w:pPr>
        <w:jc w:val="both"/>
        <w:rPr>
          <w:rFonts w:eastAsia="Calibri"/>
          <w:szCs w:val="22"/>
          <w:lang w:eastAsia="de-DE" w:bidi="de-DE"/>
        </w:rPr>
      </w:pPr>
    </w:p>
    <w:p w14:paraId="727EC2C9"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113 § 1 abgeändert durch Art. 4 Nr. 1 des K.E. vom 16. Mai 2003 (B.S. vom 5. Juni 2003) und Art. 5 Nr. 1 des K.E. vom 13. August 2004 (B.S. vom 7. September 2004); § 2 einziger Absatz Nr. 2 ersetzt durch Art. 4 Nr. 2 des K.E. vom 16. Mai 2003 (B.S. vom 5. Juni 2003); § 2 einziger Absatz Nr. 2 Buchstabe b) abgeändert durch Art. 5 des K.E. vom 7. Dezember 2007 (I) (B.S. vom 12. Dezember 2007); § 7 eingefügt durch Art. 4 des K.E. vom 22. Dezember 2003 (B.S. vom 31. Dezember 2003)]</w:t>
      </w:r>
    </w:p>
    <w:p w14:paraId="04039255" w14:textId="77777777" w:rsidR="007D52CA" w:rsidRPr="00F531CC" w:rsidRDefault="007D52CA" w:rsidP="007D52CA">
      <w:pPr>
        <w:jc w:val="both"/>
        <w:rPr>
          <w:rFonts w:eastAsia="Calibri"/>
          <w:szCs w:val="22"/>
          <w:lang w:eastAsia="de-DE" w:bidi="de-DE"/>
        </w:rPr>
      </w:pPr>
    </w:p>
    <w:p w14:paraId="18117D5B" w14:textId="77777777" w:rsidR="007D52CA" w:rsidRPr="00F531CC" w:rsidRDefault="007D52CA" w:rsidP="007D52CA">
      <w:pPr>
        <w:jc w:val="both"/>
        <w:rPr>
          <w:rFonts w:eastAsia="Calibri"/>
          <w:szCs w:val="22"/>
          <w:lang w:eastAsia="de-DE" w:bidi="de-DE"/>
        </w:rPr>
      </w:pPr>
    </w:p>
    <w:p w14:paraId="7202C18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114 -</w:t>
      </w:r>
      <w:r w:rsidRPr="00F531CC">
        <w:rPr>
          <w:rFonts w:eastAsia="Calibri"/>
          <w:szCs w:val="22"/>
          <w:lang w:eastAsia="de-DE" w:bidi="de-DE"/>
        </w:rPr>
        <w:t xml:space="preserve"> § 1 - In Bezug auf Einkünfte aus Termineinlagen oder Einlagen mit Abhebungs- beziehungsweise Entnahmevorankündigungsfrist, die Verwahrer vor dem 1. Dezember 1962 erhalten haben, wird gemäß den in den Paragraphen 2 bis 6 vorgesehenen Unterscheidungen von der Einnahme des Mobiliensteuervorabzugs vollständig oder teilweise abgesehen.</w:t>
      </w:r>
    </w:p>
    <w:p w14:paraId="6EC858F2" w14:textId="77777777" w:rsidR="007D52CA" w:rsidRPr="00F531CC" w:rsidRDefault="007D52CA" w:rsidP="007D52CA">
      <w:pPr>
        <w:jc w:val="both"/>
        <w:rPr>
          <w:rFonts w:eastAsia="Calibri"/>
          <w:szCs w:val="22"/>
          <w:lang w:eastAsia="de-DE" w:bidi="de-DE"/>
        </w:rPr>
      </w:pPr>
    </w:p>
    <w:p w14:paraId="17093F9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2 - Von der Einnahme des Mobiliensteuervorabzugs wird vollständig abgesehen in Bezug auf Einkünfte aus Einlagen, die:</w:t>
      </w:r>
    </w:p>
    <w:p w14:paraId="58D856B2" w14:textId="77777777" w:rsidR="007D52CA" w:rsidRPr="00F531CC" w:rsidRDefault="007D52CA" w:rsidP="007D52CA">
      <w:pPr>
        <w:jc w:val="both"/>
        <w:rPr>
          <w:rFonts w:eastAsia="Calibri"/>
          <w:szCs w:val="22"/>
          <w:lang w:eastAsia="de-DE" w:bidi="de-DE"/>
        </w:rPr>
      </w:pPr>
    </w:p>
    <w:p w14:paraId="7E82CD4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halbstaatlichen Einrichtungen der sozialen Sicherheit oder damit gleichgesetzten Einrichtungen gewährt oder zuerkannt werden,</w:t>
      </w:r>
    </w:p>
    <w:p w14:paraId="7B09AB67" w14:textId="77777777" w:rsidR="007D52CA" w:rsidRPr="00F531CC" w:rsidRDefault="007D52CA" w:rsidP="007D52CA">
      <w:pPr>
        <w:jc w:val="both"/>
        <w:rPr>
          <w:rFonts w:eastAsia="Calibri"/>
          <w:szCs w:val="22"/>
          <w:lang w:eastAsia="de-DE" w:bidi="de-DE"/>
        </w:rPr>
      </w:pPr>
    </w:p>
    <w:p w14:paraId="3D01787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[von Finanzinstituten, die in Artikel 105 Nr. 1 Buchstabe </w:t>
      </w:r>
      <w:r w:rsidRPr="00F531CC">
        <w:rPr>
          <w:rFonts w:eastAsia="Calibri"/>
          <w:i/>
          <w:szCs w:val="22"/>
          <w:lang w:eastAsia="de-DE" w:bidi="de-DE"/>
        </w:rPr>
        <w:t>a)</w:t>
      </w:r>
      <w:r w:rsidRPr="00F531CC">
        <w:rPr>
          <w:rFonts w:eastAsia="Calibri"/>
          <w:szCs w:val="22"/>
          <w:lang w:eastAsia="de-DE" w:bidi="de-DE"/>
        </w:rPr>
        <w:t xml:space="preserve"> erwähnt sind, im Ausland ansässigen Banken gewährt oder zuerkannt werden,</w:t>
      </w:r>
    </w:p>
    <w:p w14:paraId="7C7661C9" w14:textId="77777777" w:rsidR="007D52CA" w:rsidRPr="00F531CC" w:rsidRDefault="007D52CA" w:rsidP="007D52CA">
      <w:pPr>
        <w:jc w:val="both"/>
        <w:rPr>
          <w:rFonts w:eastAsia="Calibri"/>
          <w:szCs w:val="22"/>
          <w:lang w:eastAsia="de-DE" w:bidi="de-DE"/>
        </w:rPr>
      </w:pPr>
    </w:p>
    <w:p w14:paraId="64925AF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r>
      <w:r w:rsidRPr="00F531CC">
        <w:rPr>
          <w:rFonts w:eastAsia="Calibri"/>
          <w:i/>
          <w:szCs w:val="22"/>
          <w:lang w:eastAsia="de-DE" w:bidi="de-DE"/>
        </w:rPr>
        <w:t>c)</w:t>
      </w:r>
      <w:r w:rsidRPr="00F531CC">
        <w:rPr>
          <w:rFonts w:eastAsia="Calibri"/>
          <w:szCs w:val="22"/>
          <w:lang w:eastAsia="de-DE" w:bidi="de-DE"/>
        </w:rPr>
        <w:t> von Finanzinstituten, die in Artikel 105 Nr. 1 Buchstabe </w:t>
      </w:r>
      <w:r w:rsidRPr="00F531CC">
        <w:rPr>
          <w:rFonts w:eastAsia="Calibri"/>
          <w:i/>
          <w:szCs w:val="22"/>
          <w:lang w:eastAsia="de-DE" w:bidi="de-DE"/>
        </w:rPr>
        <w:t>a)</w:t>
      </w:r>
      <w:r w:rsidRPr="00F531CC">
        <w:rPr>
          <w:rFonts w:eastAsia="Calibri"/>
          <w:szCs w:val="22"/>
          <w:lang w:eastAsia="de-DE" w:bidi="de-DE"/>
        </w:rPr>
        <w:t xml:space="preserve"> erwähnt sind, gebietsfremden Sparern gewährt oder zuerkannt werden.]</w:t>
      </w:r>
    </w:p>
    <w:p w14:paraId="5DB7EABA" w14:textId="77777777" w:rsidR="007D52CA" w:rsidRPr="00F531CC" w:rsidRDefault="007D52CA" w:rsidP="007D52CA">
      <w:pPr>
        <w:jc w:val="both"/>
        <w:rPr>
          <w:rFonts w:eastAsia="Calibri"/>
          <w:szCs w:val="22"/>
          <w:lang w:eastAsia="de-DE" w:bidi="de-DE"/>
        </w:rPr>
      </w:pPr>
    </w:p>
    <w:p w14:paraId="73B4C23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3 - Handelt es sich um Einkünfte, für die nicht von der Einnahme des Mobiliensteuervorabzugs aufgrund von § 2 abgesehen wird, wird der Mobiliensteuervorabzug zum Satz von 12,5 Prozent erhoben.</w:t>
      </w:r>
    </w:p>
    <w:p w14:paraId="788C110B" w14:textId="77777777" w:rsidR="007D52CA" w:rsidRPr="00F531CC" w:rsidRDefault="007D52CA" w:rsidP="007D52CA">
      <w:pPr>
        <w:jc w:val="both"/>
        <w:rPr>
          <w:rFonts w:eastAsia="Calibri"/>
          <w:szCs w:val="22"/>
          <w:lang w:eastAsia="de-DE" w:bidi="de-DE"/>
        </w:rPr>
      </w:pPr>
    </w:p>
    <w:p w14:paraId="3076DB7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4 - Wenn es sich um Einkünfte handelt, die in Ausführung von Abkommen gewährt oder zuerkannt werden, die die Mobiliensteuer zu Lasten des Schuldners der steuerpflichtigen Einkünfte legen, hat Letzterer das Recht, den gemäß Artikel 234 bestimmten Teil des Vorabzugs einzubehalten.</w:t>
      </w:r>
    </w:p>
    <w:p w14:paraId="5ACD4F0C" w14:textId="77777777" w:rsidR="007D52CA" w:rsidRPr="00F531CC" w:rsidRDefault="007D52CA" w:rsidP="007D52CA">
      <w:pPr>
        <w:rPr>
          <w:rFonts w:eastAsia="Calibri"/>
          <w:szCs w:val="22"/>
          <w:lang w:eastAsia="de-DE" w:bidi="de-DE"/>
        </w:rPr>
      </w:pPr>
    </w:p>
    <w:p w14:paraId="115E66C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5 - Der in den Paragraphen 2 bis 4 vorgesehene Gesamt- oder Teilverzicht auf die Einnahme des Mobiliensteuervorabzugs ist anwendbar auf Einkünfte, die bis zum Ende der im Abkommen erwähnten Laufzeit oder bis zum Ablauf einer Frist erzielt werden, die am 5. Dezember 1962 einsetzt und der im Einlagenvertrag festgelegten Vorankündigungsfrist entspricht; diese Laufzeit oder Frist wird ungeachtet von Klauseln in nach dem 1. Dezember 1962 auslaufenden Abkommen, die eventuell Verlängerung oder stillschwei</w:t>
      </w:r>
      <w:r w:rsidRPr="00F531CC">
        <w:rPr>
          <w:rFonts w:eastAsia="Calibri"/>
          <w:szCs w:val="22"/>
          <w:lang w:eastAsia="de-DE" w:bidi="de-DE"/>
        </w:rPr>
        <w:softHyphen/>
        <w:t>gende Erneuerung vorsehen, beurteilt.</w:t>
      </w:r>
    </w:p>
    <w:p w14:paraId="6D9913CA" w14:textId="77777777" w:rsidR="007D52CA" w:rsidRPr="00F531CC" w:rsidRDefault="007D52CA" w:rsidP="007D52CA">
      <w:pPr>
        <w:jc w:val="both"/>
        <w:rPr>
          <w:rFonts w:eastAsia="Calibri"/>
          <w:szCs w:val="22"/>
          <w:lang w:eastAsia="de-DE" w:bidi="de-DE"/>
        </w:rPr>
      </w:pPr>
    </w:p>
    <w:p w14:paraId="24991B2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6 - Für die Anwendung des vorliegenden Artikels werden gesetzliche oder vertraglich festgelegte Fristen, die eine einfache Schutzmaßnahme darstellen, die der Verwahrer ergreifen kann, nicht als Vorankündigungsfristen betrachtet.</w:t>
      </w:r>
    </w:p>
    <w:p w14:paraId="20B28673" w14:textId="77777777" w:rsidR="007D52CA" w:rsidRPr="00F531CC" w:rsidRDefault="007D52CA" w:rsidP="007D52CA">
      <w:pPr>
        <w:jc w:val="both"/>
        <w:rPr>
          <w:rFonts w:eastAsia="Calibri"/>
          <w:szCs w:val="22"/>
          <w:lang w:eastAsia="de-DE" w:bidi="de-DE"/>
        </w:rPr>
      </w:pPr>
    </w:p>
    <w:p w14:paraId="7BDCABDC"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114 § 2 einziger Absatz Buchstabe b) und c) ersetzt durch Art. 5 des K.E. vom 16. Mai 2003 (B.S. vom 5. Juni 2003)]</w:t>
      </w:r>
    </w:p>
    <w:p w14:paraId="5BBA1F11" w14:textId="77777777" w:rsidR="007D52CA" w:rsidRPr="00F531CC" w:rsidRDefault="007D52CA" w:rsidP="007D52CA">
      <w:pPr>
        <w:jc w:val="both"/>
        <w:rPr>
          <w:rFonts w:eastAsia="Calibri"/>
          <w:szCs w:val="22"/>
          <w:lang w:eastAsia="de-DE" w:bidi="de-DE"/>
        </w:rPr>
      </w:pPr>
    </w:p>
    <w:p w14:paraId="0E46AAAB" w14:textId="77777777" w:rsidR="007D52CA" w:rsidRPr="00F531CC" w:rsidRDefault="007D52CA" w:rsidP="007D52CA">
      <w:pPr>
        <w:jc w:val="both"/>
        <w:rPr>
          <w:rFonts w:eastAsia="Calibri"/>
          <w:szCs w:val="22"/>
          <w:lang w:eastAsia="de-DE" w:bidi="de-DE"/>
        </w:rPr>
      </w:pPr>
    </w:p>
    <w:p w14:paraId="480E0D4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115 -</w:t>
      </w:r>
      <w:r w:rsidRPr="00F531CC">
        <w:rPr>
          <w:rFonts w:eastAsia="Calibri"/>
          <w:szCs w:val="22"/>
          <w:lang w:eastAsia="de-DE" w:bidi="de-DE"/>
        </w:rPr>
        <w:t xml:space="preserve"> § 1 - Von der Einnahme des Mobiliensteuervorabzugs auf Einkünfte, die </w:t>
      </w:r>
      <w:r w:rsidR="00DB5A62">
        <w:rPr>
          <w:rFonts w:eastAsia="Calibri"/>
          <w:szCs w:val="22"/>
          <w:lang w:eastAsia="de-DE" w:bidi="de-DE"/>
        </w:rPr>
        <w:t>[</w:t>
      </w:r>
      <w:r w:rsidR="00DB5A62" w:rsidRPr="00B617CF">
        <w:t>in den Artikeln 17 § 1 und 90 Absatz 1 Nr. 6 und 11</w:t>
      </w:r>
      <w:r w:rsidRPr="00F531CC">
        <w:rPr>
          <w:rFonts w:eastAsia="Calibri"/>
          <w:szCs w:val="22"/>
          <w:lang w:eastAsia="de-DE" w:bidi="de-DE"/>
        </w:rPr>
        <w:t>] des Einkommensteuergesetzbuches 1992 erwähnt sind und [in Ausführung von Artikel 145</w:t>
      </w:r>
      <w:r w:rsidRPr="00F531CC">
        <w:rPr>
          <w:rFonts w:eastAsia="Calibri"/>
          <w:szCs w:val="22"/>
          <w:vertAlign w:val="superscript"/>
          <w:lang w:eastAsia="de-DE" w:bidi="de-DE"/>
        </w:rPr>
        <w:t>16</w:t>
      </w:r>
      <w:r w:rsidRPr="00F531CC">
        <w:rPr>
          <w:rFonts w:eastAsia="Calibri"/>
          <w:szCs w:val="22"/>
          <w:lang w:eastAsia="de-DE" w:bidi="de-DE"/>
        </w:rPr>
        <w:t xml:space="preserve"> Nr. 1 desselben Gesetzbuches zugelassenen Pensionssparfonds] gewährt oder zuerkannt werden, wird vollständig abgesehen.</w:t>
      </w:r>
    </w:p>
    <w:p w14:paraId="5E204E9C" w14:textId="77777777" w:rsidR="007D52CA" w:rsidRPr="00F531CC" w:rsidRDefault="007D52CA" w:rsidP="007D52CA">
      <w:pPr>
        <w:jc w:val="both"/>
        <w:rPr>
          <w:rFonts w:eastAsia="Calibri"/>
          <w:szCs w:val="22"/>
          <w:lang w:eastAsia="de-DE" w:bidi="de-DE"/>
        </w:rPr>
      </w:pPr>
    </w:p>
    <w:p w14:paraId="4A576915" w14:textId="5F5520B6"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2 - Von der Einnahme des Mobiliensteuervorabzugs auf Einkünfte, die </w:t>
      </w:r>
      <w:r w:rsidR="00DB5A62">
        <w:rPr>
          <w:rFonts w:eastAsia="Calibri"/>
          <w:szCs w:val="22"/>
          <w:lang w:eastAsia="de-DE" w:bidi="de-DE"/>
        </w:rPr>
        <w:t>[</w:t>
      </w:r>
      <w:r w:rsidR="00DB5A62" w:rsidRPr="00B617CF">
        <w:t>in den Artikeln 17 § 1 und 90 Absatz 1 Nr. 6 und 11</w:t>
      </w:r>
      <w:r w:rsidR="00DB5A62" w:rsidRPr="00F531CC">
        <w:rPr>
          <w:rFonts w:eastAsia="Calibri"/>
          <w:szCs w:val="22"/>
          <w:lang w:eastAsia="de-DE" w:bidi="de-DE"/>
        </w:rPr>
        <w:t>]</w:t>
      </w:r>
      <w:r w:rsidRPr="00F531CC">
        <w:rPr>
          <w:rFonts w:eastAsia="Calibri"/>
          <w:szCs w:val="22"/>
          <w:lang w:eastAsia="de-DE" w:bidi="de-DE"/>
        </w:rPr>
        <w:t xml:space="preserve"> des Einkommensteuergesetzbuches 1992 erwähnt sind und Inhabern eines in [Artikel 145</w:t>
      </w:r>
      <w:r w:rsidRPr="00F531CC">
        <w:rPr>
          <w:rFonts w:eastAsia="Calibri"/>
          <w:szCs w:val="22"/>
          <w:vertAlign w:val="superscript"/>
          <w:lang w:eastAsia="de-DE" w:bidi="de-DE"/>
        </w:rPr>
        <w:t>16</w:t>
      </w:r>
      <w:r w:rsidRPr="00F531CC">
        <w:rPr>
          <w:rFonts w:eastAsia="Calibri"/>
          <w:szCs w:val="22"/>
          <w:lang w:eastAsia="de-DE" w:bidi="de-DE"/>
        </w:rPr>
        <w:t xml:space="preserve"> Nr. 2] desselben Gesetzbuches erwähnten individuellen Sparkontos gewährt oder zuerkannt werden, wird vollständig abgesehen, was Guthaben auf diesem Konto betrifft.</w:t>
      </w:r>
    </w:p>
    <w:p w14:paraId="16671DA7" w14:textId="77777777" w:rsidR="007D52CA" w:rsidRPr="00F531CC" w:rsidRDefault="007D52CA" w:rsidP="007D52CA">
      <w:pPr>
        <w:jc w:val="both"/>
        <w:rPr>
          <w:rFonts w:eastAsia="Calibri"/>
          <w:szCs w:val="22"/>
          <w:lang w:eastAsia="de-DE" w:bidi="de-DE"/>
        </w:rPr>
      </w:pPr>
    </w:p>
    <w:p w14:paraId="0CE94D0A"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115 § 1 abgeändert durch Art. 16 des K.E. vom 20. Januar 2005 (B.S. vom 1. Februar 2005)</w:t>
      </w:r>
      <w:r w:rsidR="00DB5A62">
        <w:rPr>
          <w:rFonts w:eastAsia="Calibri"/>
          <w:i/>
          <w:szCs w:val="22"/>
          <w:lang w:eastAsia="de-DE" w:bidi="de-DE"/>
        </w:rPr>
        <w:t>,</w:t>
      </w:r>
      <w:r w:rsidRPr="00F531CC">
        <w:rPr>
          <w:rFonts w:eastAsia="Calibri"/>
          <w:i/>
          <w:szCs w:val="22"/>
          <w:lang w:eastAsia="de-DE" w:bidi="de-DE"/>
        </w:rPr>
        <w:t xml:space="preserve"> Art. 14 Nr. 1 des K.E. vom 1. September 1995 (II) (B.S. vom 5. Oktober 1995)</w:t>
      </w:r>
      <w:r w:rsidR="00DB5A62">
        <w:rPr>
          <w:rFonts w:eastAsia="Calibri"/>
          <w:i/>
          <w:szCs w:val="22"/>
          <w:lang w:eastAsia="de-DE" w:bidi="de-DE"/>
        </w:rPr>
        <w:t xml:space="preserve"> und Art. 20 des K.E. vom </w:t>
      </w:r>
      <w:r w:rsidR="005024BD">
        <w:rPr>
          <w:rFonts w:eastAsia="Calibri"/>
          <w:i/>
          <w:szCs w:val="22"/>
          <w:lang w:eastAsia="de-DE" w:bidi="de-DE"/>
        </w:rPr>
        <w:t>22. Mai 2017 (II)</w:t>
      </w:r>
      <w:r w:rsidR="00DB5A62">
        <w:rPr>
          <w:rFonts w:eastAsia="Calibri"/>
          <w:i/>
          <w:szCs w:val="22"/>
          <w:lang w:eastAsia="de-DE" w:bidi="de-DE"/>
        </w:rPr>
        <w:t xml:space="preserve"> (B.S. vom 6. Juni 2017)</w:t>
      </w:r>
      <w:r w:rsidRPr="00F531CC">
        <w:rPr>
          <w:rFonts w:eastAsia="Calibri"/>
          <w:i/>
          <w:szCs w:val="22"/>
          <w:lang w:eastAsia="de-DE" w:bidi="de-DE"/>
        </w:rPr>
        <w:t>; § 2 abgeändert durch Art. 16 des K.E. vom 20. Januar </w:t>
      </w:r>
      <w:r w:rsidR="002661C9">
        <w:rPr>
          <w:rFonts w:eastAsia="Calibri"/>
          <w:i/>
          <w:szCs w:val="22"/>
          <w:lang w:eastAsia="de-DE" w:bidi="de-DE"/>
        </w:rPr>
        <w:t xml:space="preserve">2005 (B.S. vom 1. Februar 2005), </w:t>
      </w:r>
      <w:r w:rsidRPr="00F531CC">
        <w:rPr>
          <w:rFonts w:eastAsia="Calibri"/>
          <w:i/>
          <w:szCs w:val="22"/>
          <w:lang w:eastAsia="de-DE" w:bidi="de-DE"/>
        </w:rPr>
        <w:t>Art. 14 Nr. 2 des K.E. vom 1. September 1995 (II) (B.S. vom 5. Oktober 1995)</w:t>
      </w:r>
      <w:r w:rsidR="002661C9">
        <w:rPr>
          <w:rFonts w:eastAsia="Calibri"/>
          <w:i/>
          <w:szCs w:val="22"/>
          <w:lang w:eastAsia="de-DE" w:bidi="de-DE"/>
        </w:rPr>
        <w:t xml:space="preserve"> und Art. 20 des K.E. vom </w:t>
      </w:r>
      <w:r w:rsidR="005024BD">
        <w:rPr>
          <w:rFonts w:eastAsia="Calibri"/>
          <w:i/>
          <w:szCs w:val="22"/>
          <w:lang w:eastAsia="de-DE" w:bidi="de-DE"/>
        </w:rPr>
        <w:t>22. Mai 2017 (II)</w:t>
      </w:r>
      <w:r w:rsidR="002661C9">
        <w:rPr>
          <w:rFonts w:eastAsia="Calibri"/>
          <w:i/>
          <w:szCs w:val="22"/>
          <w:lang w:eastAsia="de-DE" w:bidi="de-DE"/>
        </w:rPr>
        <w:t xml:space="preserve"> (B.S. vom 6. Juni 2017)</w:t>
      </w:r>
      <w:r w:rsidRPr="00F531CC">
        <w:rPr>
          <w:rFonts w:eastAsia="Calibri"/>
          <w:i/>
          <w:szCs w:val="22"/>
          <w:lang w:eastAsia="de-DE" w:bidi="de-DE"/>
        </w:rPr>
        <w:t>]</w:t>
      </w:r>
    </w:p>
    <w:p w14:paraId="6D3D230A" w14:textId="77777777" w:rsidR="007D52CA" w:rsidRPr="00F531CC" w:rsidRDefault="007D52CA" w:rsidP="007D52CA">
      <w:pPr>
        <w:jc w:val="both"/>
        <w:rPr>
          <w:rFonts w:eastAsia="Calibri"/>
          <w:szCs w:val="22"/>
          <w:lang w:eastAsia="de-DE" w:bidi="de-DE"/>
        </w:rPr>
      </w:pPr>
    </w:p>
    <w:p w14:paraId="5D762F7E" w14:textId="77777777" w:rsidR="007D52CA" w:rsidRPr="00F531CC" w:rsidRDefault="007D52CA" w:rsidP="007D52CA">
      <w:pPr>
        <w:jc w:val="both"/>
        <w:rPr>
          <w:rFonts w:eastAsia="Calibri"/>
          <w:szCs w:val="22"/>
          <w:lang w:eastAsia="de-DE" w:bidi="de-DE"/>
        </w:rPr>
      </w:pPr>
    </w:p>
    <w:p w14:paraId="1A08CE2A" w14:textId="0AFF2E32" w:rsidR="00DE52CE" w:rsidRPr="00074B2F" w:rsidRDefault="007D52CA" w:rsidP="00DE52CE">
      <w:pPr>
        <w:jc w:val="both"/>
      </w:pPr>
      <w:r w:rsidRPr="00F531CC">
        <w:rPr>
          <w:rFonts w:eastAsia="Calibri"/>
          <w:szCs w:val="22"/>
          <w:lang w:eastAsia="de-DE" w:bidi="de-DE"/>
        </w:rPr>
        <w:tab/>
      </w:r>
      <w:r w:rsidRPr="00F531CC">
        <w:rPr>
          <w:rFonts w:eastAsia="Calibri"/>
          <w:b/>
          <w:szCs w:val="22"/>
          <w:lang w:eastAsia="de-DE" w:bidi="de-DE"/>
        </w:rPr>
        <w:t>Art. 116 -</w:t>
      </w:r>
      <w:r w:rsidRPr="00F531CC">
        <w:rPr>
          <w:rFonts w:eastAsia="Calibri"/>
          <w:szCs w:val="22"/>
          <w:lang w:eastAsia="de-DE" w:bidi="de-DE"/>
        </w:rPr>
        <w:t xml:space="preserve"> [</w:t>
      </w:r>
      <w:r w:rsidR="00DE52CE" w:rsidRPr="00074B2F">
        <w:t>Vollständig abgesehen wird von der Einnahme des Mobiliensteuer</w:t>
      </w:r>
      <w:r w:rsidR="00DE52CE" w:rsidRPr="00074B2F">
        <w:softHyphen/>
        <w:t xml:space="preserve">vorabzugs auf Einkünfte - ausschließlich der Dividenden belgischer Herkunft -, die </w:t>
      </w:r>
      <w:r w:rsidR="002661C9">
        <w:t>[</w:t>
      </w:r>
      <w:r w:rsidR="002661C9" w:rsidRPr="00B617CF">
        <w:t>in den Artikeln 17 und 90 Absatz 1 Nr. 6 und 11</w:t>
      </w:r>
      <w:r w:rsidR="002661C9">
        <w:t>]</w:t>
      </w:r>
      <w:r w:rsidR="00DE52CE" w:rsidRPr="00074B2F">
        <w:t xml:space="preserve"> des Einkommensteuergesetzbuches 1992 erwähnt </w:t>
      </w:r>
      <w:r w:rsidR="00DE52CE" w:rsidRPr="00074B2F">
        <w:lastRenderedPageBreak/>
        <w:t xml:space="preserve">sind und </w:t>
      </w:r>
      <w:r w:rsidR="00AC0F23">
        <w:t>[</w:t>
      </w:r>
      <w:r w:rsidR="00AC0F23" w:rsidRPr="003D71B2">
        <w:t>Investmentgesellsch</w:t>
      </w:r>
      <w:r w:rsidR="002661C9">
        <w:t>aften</w:t>
      </w:r>
      <w:r w:rsidR="009038FD">
        <w:t>[</w:t>
      </w:r>
      <w:r w:rsidR="009038FD" w:rsidRPr="00194E72">
        <w:t>, europäischen langfristigen Investmentfonds</w:t>
      </w:r>
      <w:r w:rsidR="009038FD">
        <w:t>]</w:t>
      </w:r>
      <w:r w:rsidR="002661C9">
        <w:t xml:space="preserve"> oder beaufsichtigten Immo</w:t>
      </w:r>
      <w:r w:rsidR="00AC0F23" w:rsidRPr="003D71B2">
        <w:t>biliengesellschaften gewährt oder zuerkannt werden</w:t>
      </w:r>
      <w:r w:rsidR="00AC0F23">
        <w:t>]</w:t>
      </w:r>
      <w:r w:rsidR="00DE52CE" w:rsidRPr="00074B2F">
        <w:t>, die:</w:t>
      </w:r>
    </w:p>
    <w:p w14:paraId="5ED9EF7B" w14:textId="77777777" w:rsidR="00DE52CE" w:rsidRPr="00074B2F" w:rsidRDefault="00DE52CE" w:rsidP="00DE52CE">
      <w:pPr>
        <w:jc w:val="both"/>
      </w:pPr>
    </w:p>
    <w:p w14:paraId="69C533CC" w14:textId="77777777" w:rsidR="00DE52CE" w:rsidRPr="00074B2F" w:rsidRDefault="00DE52CE" w:rsidP="00DE52CE">
      <w:pPr>
        <w:jc w:val="both"/>
      </w:pPr>
      <w:r w:rsidRPr="00074B2F">
        <w:tab/>
        <w:t>1. in den Artikeln 15, 148, 271/10 des Gesetzes vom 3. August 2012 über Organismen für gemeinsame Anlagen, die die Bedingungen der Richtlinie 2009/65/EG erfüllen, und Organismen für Anlagen in Forderungen erwähnt sind,</w:t>
      </w:r>
    </w:p>
    <w:p w14:paraId="4D610B73" w14:textId="77777777" w:rsidR="00DE52CE" w:rsidRPr="00074B2F" w:rsidRDefault="00DE52CE" w:rsidP="00DE52CE">
      <w:pPr>
        <w:jc w:val="both"/>
      </w:pPr>
    </w:p>
    <w:p w14:paraId="1F011BA9" w14:textId="1A655287" w:rsidR="00DE52CE" w:rsidRDefault="00DE52CE" w:rsidP="00DE52CE">
      <w:pPr>
        <w:jc w:val="both"/>
      </w:pPr>
      <w:r w:rsidRPr="00074B2F">
        <w:tab/>
        <w:t xml:space="preserve">2. in den </w:t>
      </w:r>
      <w:r w:rsidR="001A670A">
        <w:t>[</w:t>
      </w:r>
      <w:r w:rsidR="001A670A" w:rsidRPr="00A115C4">
        <w:t>Artikeln 190, 195, 257, 285, 288 und 298</w:t>
      </w:r>
      <w:r w:rsidR="001A670A">
        <w:t>]</w:t>
      </w:r>
      <w:r w:rsidRPr="00074B2F">
        <w:t xml:space="preserve"> des Gesetzes vom 19. April 2014 über alternative Organismen für gemeinsame Anlagen und ihre Verwalter erwähnt sind,</w:t>
      </w:r>
    </w:p>
    <w:p w14:paraId="60684C4B" w14:textId="77777777" w:rsidR="009038FD" w:rsidRDefault="009038FD" w:rsidP="00DE52CE">
      <w:pPr>
        <w:jc w:val="both"/>
      </w:pPr>
    </w:p>
    <w:p w14:paraId="6F8A1E83" w14:textId="24C557A6" w:rsidR="009038FD" w:rsidRPr="00074B2F" w:rsidRDefault="009038FD" w:rsidP="00DE52CE">
      <w:pPr>
        <w:jc w:val="both"/>
      </w:pPr>
      <w:r>
        <w:tab/>
        <w:t>[</w:t>
      </w:r>
      <w:r w:rsidRPr="00194E72">
        <w:t>2</w:t>
      </w:r>
      <w:r w:rsidRPr="00194E72">
        <w:rPr>
          <w:i/>
          <w:iCs/>
        </w:rPr>
        <w:t>bis</w:t>
      </w:r>
      <w:r w:rsidRPr="00194E72">
        <w:t>. in Artikel 2 § 1 Nr. 5 Buchstabe </w:t>
      </w:r>
      <w:r w:rsidRPr="00194E72">
        <w:rPr>
          <w:i/>
          <w:iCs/>
        </w:rPr>
        <w:t>i)</w:t>
      </w:r>
      <w:r w:rsidRPr="00194E72">
        <w:t xml:space="preserve"> des Einkommensteuergesetzbuches 1992 erwähnt sind oder ein alternativer Organismus für gemeinsame Anlagen sind, der in der Form einer Gesellschaft mit Rechtspersönlichkeit gegründet worden ist und im Ausland als europäischer langfristiger Investmentfonds gemäß der Verordnung (EU) 2015/760 des Europäischen Parlaments und des Rates vom 29. April 2015 über europäische langfristige Investmentfonds zugelassen ist,</w:t>
      </w:r>
      <w:r>
        <w:t>]</w:t>
      </w:r>
    </w:p>
    <w:p w14:paraId="088EF6EB" w14:textId="77777777" w:rsidR="00DE52CE" w:rsidRPr="00074B2F" w:rsidRDefault="00DE52CE" w:rsidP="00DE52CE">
      <w:pPr>
        <w:jc w:val="both"/>
      </w:pPr>
    </w:p>
    <w:p w14:paraId="6FA344A6" w14:textId="77777777" w:rsidR="00DE52CE" w:rsidRPr="00074B2F" w:rsidRDefault="00DE52CE" w:rsidP="00DE52CE">
      <w:pPr>
        <w:jc w:val="both"/>
      </w:pPr>
      <w:r w:rsidRPr="00074B2F">
        <w:tab/>
        <w:t>3. in Bestimmungen ausländischen Rechts erwähnt sind, die den Nummern 1 und 2 ähnlich sind, und</w:t>
      </w:r>
    </w:p>
    <w:p w14:paraId="658D85BF" w14:textId="77777777" w:rsidR="00DE52CE" w:rsidRPr="00074B2F" w:rsidRDefault="00DE52CE" w:rsidP="00DE52CE">
      <w:pPr>
        <w:jc w:val="both"/>
      </w:pPr>
    </w:p>
    <w:p w14:paraId="0150CA88" w14:textId="77777777" w:rsidR="00DE52CE" w:rsidRPr="00074B2F" w:rsidRDefault="00DE52CE" w:rsidP="00DE52CE">
      <w:pPr>
        <w:jc w:val="both"/>
      </w:pPr>
      <w:r w:rsidRPr="00074B2F">
        <w:tab/>
        <w:t>- in einem anderen Mitgliedstaat des Europäischen Wirtschaftsraums ansässig sind und</w:t>
      </w:r>
    </w:p>
    <w:p w14:paraId="1376643A" w14:textId="77777777" w:rsidR="00DE52CE" w:rsidRPr="00074B2F" w:rsidRDefault="00DE52CE" w:rsidP="00DE52CE">
      <w:pPr>
        <w:jc w:val="both"/>
      </w:pPr>
    </w:p>
    <w:p w14:paraId="3FEFCDFA" w14:textId="77777777" w:rsidR="007D52CA" w:rsidRDefault="00DE52CE" w:rsidP="007D52CA">
      <w:pPr>
        <w:jc w:val="both"/>
        <w:rPr>
          <w:rFonts w:eastAsia="Calibri"/>
          <w:szCs w:val="22"/>
          <w:lang w:eastAsia="de-DE" w:bidi="de-DE"/>
        </w:rPr>
      </w:pPr>
      <w:r w:rsidRPr="00074B2F">
        <w:tab/>
        <w:t>- ihre Anteile nicht</w:t>
      </w:r>
      <w:r w:rsidR="00AC0F23">
        <w:t xml:space="preserve"> öffentlich in Belgien anbieten,</w:t>
      </w:r>
      <w:r w:rsidR="007D52CA" w:rsidRPr="00F531CC">
        <w:rPr>
          <w:rFonts w:eastAsia="Calibri"/>
          <w:szCs w:val="22"/>
          <w:lang w:eastAsia="de-DE" w:bidi="de-DE"/>
        </w:rPr>
        <w:t>]</w:t>
      </w:r>
    </w:p>
    <w:p w14:paraId="6DBDCB0B" w14:textId="77777777" w:rsidR="00AC0F23" w:rsidRDefault="00AC0F23" w:rsidP="007D52CA">
      <w:pPr>
        <w:jc w:val="both"/>
        <w:rPr>
          <w:rFonts w:eastAsia="Calibri"/>
          <w:szCs w:val="22"/>
          <w:lang w:eastAsia="de-DE" w:bidi="de-DE"/>
        </w:rPr>
      </w:pPr>
    </w:p>
    <w:p w14:paraId="252357A3" w14:textId="1E4493C9" w:rsidR="00AC0F23" w:rsidRPr="00F531CC" w:rsidRDefault="00AC0F23" w:rsidP="007D52CA">
      <w:pPr>
        <w:jc w:val="both"/>
        <w:rPr>
          <w:rFonts w:eastAsia="Calibri"/>
          <w:szCs w:val="22"/>
          <w:lang w:eastAsia="de-DE" w:bidi="de-DE"/>
        </w:rPr>
      </w:pPr>
      <w:r>
        <w:rPr>
          <w:rFonts w:eastAsia="Calibri"/>
          <w:szCs w:val="22"/>
          <w:lang w:eastAsia="de-DE" w:bidi="de-DE"/>
        </w:rPr>
        <w:tab/>
        <w:t>[</w:t>
      </w:r>
      <w:r w:rsidRPr="003D71B2">
        <w:t>4. in Artikel 1 des Königlichen Erlasses vom 9. November 2016 über spezialisierte Immobilieninvestmentfonds erwähnt sind.</w:t>
      </w:r>
      <w:r>
        <w:rPr>
          <w:rFonts w:eastAsia="Calibri"/>
          <w:szCs w:val="22"/>
          <w:lang w:eastAsia="de-DE" w:bidi="de-DE"/>
        </w:rPr>
        <w:t>]</w:t>
      </w:r>
    </w:p>
    <w:p w14:paraId="57E5DEC2" w14:textId="77777777" w:rsidR="007D52CA" w:rsidRPr="00F531CC" w:rsidRDefault="007D52CA" w:rsidP="007D52CA">
      <w:pPr>
        <w:jc w:val="both"/>
        <w:rPr>
          <w:rFonts w:eastAsia="Calibri"/>
          <w:szCs w:val="22"/>
          <w:lang w:eastAsia="de-DE" w:bidi="de-DE"/>
        </w:rPr>
      </w:pPr>
    </w:p>
    <w:p w14:paraId="289F8A73" w14:textId="715DC02F"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116 ersetzt durch Art. </w:t>
      </w:r>
      <w:r w:rsidR="00D07BB7">
        <w:rPr>
          <w:rFonts w:eastAsia="Calibri"/>
          <w:i/>
          <w:szCs w:val="22"/>
          <w:lang w:eastAsia="de-DE" w:bidi="de-DE"/>
        </w:rPr>
        <w:t xml:space="preserve">1 des K.E. vom 27. September 2015 (B.S. vom </w:t>
      </w:r>
      <w:r w:rsidR="002853EE">
        <w:rPr>
          <w:rFonts w:eastAsia="Calibri"/>
          <w:i/>
          <w:szCs w:val="22"/>
          <w:lang w:eastAsia="de-DE" w:bidi="de-DE"/>
        </w:rPr>
        <w:t>6. November 2015</w:t>
      </w:r>
      <w:r w:rsidR="00D07BB7">
        <w:rPr>
          <w:rFonts w:eastAsia="Calibri"/>
          <w:i/>
          <w:szCs w:val="22"/>
          <w:lang w:eastAsia="de-DE" w:bidi="de-DE"/>
        </w:rPr>
        <w:t>)</w:t>
      </w:r>
      <w:r w:rsidR="00AC0F23">
        <w:rPr>
          <w:rFonts w:eastAsia="Calibri"/>
          <w:i/>
          <w:szCs w:val="22"/>
          <w:lang w:eastAsia="de-DE" w:bidi="de-DE"/>
        </w:rPr>
        <w:t>; einziger Absatz einleitende Bestimmung abgeändert durch Art. 30 Nr. 1 des K.E. vom 9. November 2016 (B.S. vom 18. November 2016)</w:t>
      </w:r>
      <w:r w:rsidR="00F563A1">
        <w:rPr>
          <w:rFonts w:eastAsia="Calibri"/>
          <w:i/>
          <w:szCs w:val="22"/>
          <w:lang w:eastAsia="de-DE" w:bidi="de-DE"/>
        </w:rPr>
        <w:t>,</w:t>
      </w:r>
      <w:r w:rsidR="002661C9">
        <w:rPr>
          <w:rFonts w:eastAsia="Calibri"/>
          <w:i/>
          <w:szCs w:val="22"/>
          <w:lang w:eastAsia="de-DE" w:bidi="de-DE"/>
        </w:rPr>
        <w:t xml:space="preserve"> Art. 21 des K.E. vom </w:t>
      </w:r>
      <w:r w:rsidR="005024BD">
        <w:rPr>
          <w:rFonts w:eastAsia="Calibri"/>
          <w:i/>
          <w:szCs w:val="22"/>
          <w:lang w:eastAsia="de-DE" w:bidi="de-DE"/>
        </w:rPr>
        <w:t>22. Mai 2017 (II)</w:t>
      </w:r>
      <w:r w:rsidR="002661C9">
        <w:rPr>
          <w:rFonts w:eastAsia="Calibri"/>
          <w:i/>
          <w:szCs w:val="22"/>
          <w:lang w:eastAsia="de-DE" w:bidi="de-DE"/>
        </w:rPr>
        <w:t xml:space="preserve"> (B.S. vom 6. Juni 2017)</w:t>
      </w:r>
      <w:r w:rsidR="00F563A1">
        <w:rPr>
          <w:rFonts w:eastAsia="Calibri"/>
          <w:i/>
          <w:szCs w:val="22"/>
          <w:lang w:eastAsia="de-DE" w:bidi="de-DE"/>
        </w:rPr>
        <w:t xml:space="preserve"> und Art. 2 Nr. 1 des K.E. vom 5. Juli 2022 (B.S. vom 15. Juli 2022);</w:t>
      </w:r>
      <w:r w:rsidR="001A670A">
        <w:rPr>
          <w:rFonts w:eastAsia="Calibri"/>
          <w:i/>
          <w:szCs w:val="22"/>
          <w:lang w:eastAsia="de-DE" w:bidi="de-DE"/>
        </w:rPr>
        <w:t xml:space="preserve"> einziger Absatz Nr. 2 abgeändert durch Art. 12</w:t>
      </w:r>
      <w:r w:rsidR="001A670A" w:rsidRPr="001A670A">
        <w:rPr>
          <w:rFonts w:eastAsia="Calibri"/>
          <w:i/>
          <w:szCs w:val="22"/>
          <w:lang w:eastAsia="de-DE" w:bidi="de-DE"/>
        </w:rPr>
        <w:t xml:space="preserve"> des K.E. vom 17. Juli 2023 (II) (B.S. vom 26. Juli 2023)</w:t>
      </w:r>
      <w:r w:rsidR="001A670A">
        <w:rPr>
          <w:rFonts w:eastAsia="Calibri"/>
          <w:i/>
          <w:szCs w:val="22"/>
          <w:lang w:eastAsia="de-DE" w:bidi="de-DE"/>
        </w:rPr>
        <w:t>;</w:t>
      </w:r>
      <w:r w:rsidR="00F563A1">
        <w:rPr>
          <w:rFonts w:eastAsia="Calibri"/>
          <w:i/>
          <w:szCs w:val="22"/>
          <w:lang w:eastAsia="de-DE" w:bidi="de-DE"/>
        </w:rPr>
        <w:t xml:space="preserve"> einziger Absatz Nr. 2bis eingefügt durch Art. 2 Nr. 2 des K.E. vom 5. Juli 2022 (B.S. vom 15. Juli 2022)</w:t>
      </w:r>
      <w:r w:rsidR="00AC0F23">
        <w:rPr>
          <w:rFonts w:eastAsia="Calibri"/>
          <w:i/>
          <w:szCs w:val="22"/>
          <w:lang w:eastAsia="de-DE" w:bidi="de-DE"/>
        </w:rPr>
        <w:t>; einziger Absatz Nr. 4 eingefügt durch Art. 30 Nr. 2 des K.E. vom 9. November 2016 (B.S. vom 18. November 2016)</w:t>
      </w:r>
      <w:r w:rsidRPr="00F531CC">
        <w:rPr>
          <w:rFonts w:eastAsia="Calibri"/>
          <w:i/>
          <w:szCs w:val="22"/>
          <w:lang w:eastAsia="de-DE" w:bidi="de-DE"/>
        </w:rPr>
        <w:t>]</w:t>
      </w:r>
    </w:p>
    <w:p w14:paraId="0B8F2CAE" w14:textId="77777777" w:rsidR="007D52CA" w:rsidRDefault="007D52CA" w:rsidP="007D52CA">
      <w:pPr>
        <w:rPr>
          <w:rFonts w:eastAsia="Calibri"/>
          <w:szCs w:val="22"/>
          <w:lang w:eastAsia="de-DE" w:bidi="de-DE"/>
        </w:rPr>
      </w:pPr>
    </w:p>
    <w:p w14:paraId="0EB1CCF5" w14:textId="77777777" w:rsidR="00177334" w:rsidRPr="00F531CC" w:rsidRDefault="00177334" w:rsidP="007D52CA">
      <w:pPr>
        <w:rPr>
          <w:rFonts w:eastAsia="Calibri"/>
          <w:szCs w:val="22"/>
          <w:lang w:eastAsia="de-DE" w:bidi="de-DE"/>
        </w:rPr>
      </w:pPr>
    </w:p>
    <w:p w14:paraId="561079E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r w:rsidRPr="00F531CC">
        <w:rPr>
          <w:rFonts w:eastAsia="Calibri"/>
          <w:b/>
          <w:szCs w:val="22"/>
          <w:lang w:eastAsia="de-DE" w:bidi="de-DE"/>
        </w:rPr>
        <w:t>Art. 116</w:t>
      </w:r>
      <w:r w:rsidRPr="00F531CC">
        <w:rPr>
          <w:rFonts w:eastAsia="Calibri"/>
          <w:b/>
          <w:i/>
          <w:szCs w:val="22"/>
          <w:lang w:eastAsia="de-DE" w:bidi="de-DE"/>
        </w:rPr>
        <w:t>bis</w:t>
      </w:r>
      <w:r w:rsidRPr="00F531CC">
        <w:rPr>
          <w:rFonts w:eastAsia="Calibri"/>
          <w:b/>
          <w:szCs w:val="22"/>
          <w:lang w:eastAsia="de-DE" w:bidi="de-DE"/>
        </w:rPr>
        <w:t> -</w:t>
      </w:r>
      <w:r w:rsidRPr="00F531CC">
        <w:rPr>
          <w:rFonts w:eastAsia="Calibri"/>
          <w:szCs w:val="22"/>
          <w:lang w:eastAsia="de-DE" w:bidi="de-DE"/>
        </w:rPr>
        <w:t xml:space="preserve"> Von der Einnahme des Mobiliensteuervorabzugs wird vollständig abgesehen in Bezug auf Einkünfte, die in Artikel 261 Absatz 3 des Einkommensteuergesetz</w:t>
      </w:r>
      <w:r w:rsidRPr="00F531CC">
        <w:rPr>
          <w:rFonts w:eastAsia="Calibri"/>
          <w:szCs w:val="22"/>
          <w:lang w:eastAsia="de-DE" w:bidi="de-DE"/>
        </w:rPr>
        <w:softHyphen/>
        <w:t>buches 1992 erwähnt sind und deren Empfänger einer der folgenden Kategorien angehören:</w:t>
      </w:r>
    </w:p>
    <w:p w14:paraId="51210415" w14:textId="77777777" w:rsidR="007D52CA" w:rsidRPr="00F531CC" w:rsidRDefault="007D52CA" w:rsidP="007D52CA">
      <w:pPr>
        <w:jc w:val="both"/>
        <w:rPr>
          <w:rFonts w:eastAsia="Calibri"/>
          <w:szCs w:val="22"/>
          <w:lang w:eastAsia="de-DE" w:bidi="de-DE"/>
        </w:rPr>
      </w:pPr>
    </w:p>
    <w:p w14:paraId="7AA674D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inländischen Gesellschaften,</w:t>
      </w:r>
    </w:p>
    <w:p w14:paraId="5EDC51F0" w14:textId="77777777" w:rsidR="007D52CA" w:rsidRPr="00F531CC" w:rsidRDefault="007D52CA" w:rsidP="007D52CA">
      <w:pPr>
        <w:jc w:val="both"/>
        <w:rPr>
          <w:rFonts w:eastAsia="Calibri"/>
          <w:szCs w:val="22"/>
          <w:lang w:eastAsia="de-DE" w:bidi="de-DE"/>
        </w:rPr>
      </w:pPr>
    </w:p>
    <w:p w14:paraId="45404020" w14:textId="7B109D67" w:rsidR="007D52CA" w:rsidRPr="00F531CC" w:rsidRDefault="007D52CA" w:rsidP="007D52CA">
      <w:pPr>
        <w:jc w:val="both"/>
        <w:rPr>
          <w:rFonts w:eastAsia="Calibri"/>
          <w:szCs w:val="22"/>
          <w:lang w:eastAsia="de-DE" w:bidi="de-DE"/>
        </w:rPr>
      </w:pPr>
      <w:r w:rsidRPr="00F531CC">
        <w:rPr>
          <w:rFonts w:eastAsia="Calibri"/>
          <w:szCs w:val="22"/>
          <w:lang w:eastAsia="de-DE" w:bidi="de-DE"/>
        </w:rPr>
        <w:tab/>
        <w:t>2. </w:t>
      </w:r>
      <w:r w:rsidR="00A81426">
        <w:rPr>
          <w:rFonts w:eastAsia="Calibri"/>
          <w:szCs w:val="22"/>
          <w:lang w:eastAsia="de-DE" w:bidi="de-DE"/>
        </w:rPr>
        <w:t>[...]</w:t>
      </w:r>
    </w:p>
    <w:p w14:paraId="4CE8E098" w14:textId="77777777" w:rsidR="007D52CA" w:rsidRPr="00F531CC" w:rsidRDefault="007D52CA" w:rsidP="007D52CA">
      <w:pPr>
        <w:jc w:val="both"/>
        <w:rPr>
          <w:rFonts w:eastAsia="Calibri"/>
          <w:szCs w:val="22"/>
          <w:lang w:eastAsia="de-DE" w:bidi="de-DE"/>
        </w:rPr>
      </w:pPr>
    </w:p>
    <w:p w14:paraId="1CFD005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3. in Artikel 105 Nr. 2 erwähnten halbstaatlichen Einrichtungen der sozialen Sicherheit oder damit gleichgesetzten Einrichtungen,</w:t>
      </w:r>
    </w:p>
    <w:p w14:paraId="3101AF6A" w14:textId="77777777" w:rsidR="007D52CA" w:rsidRPr="00F531CC" w:rsidRDefault="007D52CA" w:rsidP="007D52CA">
      <w:pPr>
        <w:jc w:val="both"/>
        <w:rPr>
          <w:rFonts w:eastAsia="Calibri"/>
          <w:szCs w:val="22"/>
          <w:lang w:eastAsia="de-DE" w:bidi="de-DE"/>
        </w:rPr>
      </w:pPr>
    </w:p>
    <w:p w14:paraId="28B351B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4. in Artikel 105 Nr. 5 erwähnten gebietsfremden Sparern,</w:t>
      </w:r>
    </w:p>
    <w:p w14:paraId="0253D6DF" w14:textId="77777777" w:rsidR="007D52CA" w:rsidRPr="00F531CC" w:rsidRDefault="007D52CA" w:rsidP="007D52CA">
      <w:pPr>
        <w:jc w:val="both"/>
        <w:rPr>
          <w:rFonts w:eastAsia="Calibri"/>
          <w:szCs w:val="22"/>
          <w:lang w:eastAsia="de-DE" w:bidi="de-DE"/>
        </w:rPr>
      </w:pPr>
    </w:p>
    <w:p w14:paraId="6566CB4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5. in Artikel 115 erwähnten Investmentfonds,</w:t>
      </w:r>
    </w:p>
    <w:p w14:paraId="339056D5" w14:textId="77777777" w:rsidR="007D52CA" w:rsidRPr="00F531CC" w:rsidRDefault="007D52CA" w:rsidP="007D52CA">
      <w:pPr>
        <w:jc w:val="both"/>
        <w:rPr>
          <w:rFonts w:eastAsia="Calibri"/>
          <w:szCs w:val="22"/>
          <w:lang w:eastAsia="de-DE" w:bidi="de-DE"/>
        </w:rPr>
      </w:pPr>
    </w:p>
    <w:p w14:paraId="435FE82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6. in Artikel 227 Nr. 2 desselben Gesetzbuches erwähnten Steuerpflichtigen, die gemäß Artikel 233 desselben Gesetzbuches der Steuer der Gebietsfremden unterliegen und Kapitalvermögen, das die Einkünfte erzeugt, zur Ausübung ihrer beruflichen Tätigkeit in Belgien genutzt haben,</w:t>
      </w:r>
    </w:p>
    <w:p w14:paraId="515A9BB4" w14:textId="77777777" w:rsidR="007D52CA" w:rsidRPr="00F531CC" w:rsidRDefault="007D52CA" w:rsidP="007D52CA">
      <w:pPr>
        <w:jc w:val="both"/>
        <w:rPr>
          <w:rFonts w:eastAsia="Calibri"/>
          <w:szCs w:val="22"/>
          <w:lang w:eastAsia="de-DE" w:bidi="de-DE"/>
        </w:rPr>
      </w:pPr>
    </w:p>
    <w:p w14:paraId="1C141951" w14:textId="1E7A88B8" w:rsidR="007D52CA" w:rsidRPr="00F531CC" w:rsidRDefault="007D52CA" w:rsidP="007D52CA">
      <w:pPr>
        <w:jc w:val="both"/>
        <w:rPr>
          <w:rFonts w:eastAsia="Calibri"/>
          <w:szCs w:val="22"/>
          <w:lang w:eastAsia="de-DE" w:bidi="de-DE"/>
        </w:rPr>
      </w:pPr>
      <w:r w:rsidRPr="00F531CC">
        <w:rPr>
          <w:rFonts w:eastAsia="Calibri"/>
          <w:szCs w:val="22"/>
          <w:lang w:eastAsia="de-DE" w:bidi="de-DE"/>
        </w:rPr>
        <w:tab/>
        <w:t>7. Organismen für gemeinsame Anlagen nach ausländischem Recht, die ein ungeteiltes Vermögen darstellen, das von einer Verwaltungsgesellschaft für Rechnung der Teilnehmer verwaltet wird, wenn ihre Anteile in Belgien nicht öffentlich ausgegeben werden und in Belgien nicht gehandelt werden.]</w:t>
      </w:r>
    </w:p>
    <w:p w14:paraId="4A1BF27F" w14:textId="77777777" w:rsidR="007D52CA" w:rsidRPr="00F531CC" w:rsidRDefault="007D52CA" w:rsidP="007D52CA">
      <w:pPr>
        <w:jc w:val="both"/>
        <w:rPr>
          <w:rFonts w:eastAsia="Calibri"/>
          <w:szCs w:val="22"/>
          <w:lang w:eastAsia="de-DE" w:bidi="de-DE"/>
        </w:rPr>
      </w:pPr>
    </w:p>
    <w:p w14:paraId="2D32C336" w14:textId="5103E7F9"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116bis eingefügt durch Art. 18 des K.E. vom 20. Januar 2005 (B.S. vom 1. Februar 2005)</w:t>
      </w:r>
      <w:r w:rsidR="00A81426">
        <w:rPr>
          <w:rFonts w:eastAsia="Calibri"/>
          <w:i/>
          <w:szCs w:val="22"/>
          <w:lang w:eastAsia="de-DE" w:bidi="de-DE"/>
        </w:rPr>
        <w:t>; einziger Absatz Nr. 2 aufgehoben durch Art. 13</w:t>
      </w:r>
      <w:r w:rsidR="00A81426" w:rsidRPr="00A81426">
        <w:rPr>
          <w:rFonts w:eastAsia="Calibri"/>
          <w:i/>
          <w:szCs w:val="22"/>
          <w:lang w:eastAsia="de-DE" w:bidi="de-DE"/>
        </w:rPr>
        <w:t xml:space="preserve"> des K.E. vom 17. Juli 2023 (II) (B.S. vom 26. Juli 2023)</w:t>
      </w:r>
      <w:r w:rsidRPr="00F531CC">
        <w:rPr>
          <w:rFonts w:eastAsia="Calibri"/>
          <w:i/>
          <w:szCs w:val="22"/>
          <w:lang w:eastAsia="de-DE" w:bidi="de-DE"/>
        </w:rPr>
        <w:t>]</w:t>
      </w:r>
    </w:p>
    <w:p w14:paraId="0F77B6A0" w14:textId="77777777" w:rsidR="007D52CA" w:rsidRPr="00F531CC" w:rsidRDefault="007D52CA" w:rsidP="007D52CA"/>
    <w:p w14:paraId="7EA5E0F4" w14:textId="77777777" w:rsidR="007D52CA" w:rsidRPr="00F531CC" w:rsidRDefault="007D52CA" w:rsidP="007D52CA"/>
    <w:p w14:paraId="3CB3DFC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117 -</w:t>
      </w:r>
      <w:r w:rsidRPr="00F531CC">
        <w:rPr>
          <w:rFonts w:eastAsia="Calibri"/>
          <w:szCs w:val="22"/>
          <w:lang w:eastAsia="de-DE" w:bidi="de-DE"/>
        </w:rPr>
        <w:t xml:space="preserve"> § 1 - Der Gesamt- oder Teilverzicht auf die Einnahme des Mobiliensteuer</w:t>
      </w:r>
      <w:r w:rsidRPr="00F531CC">
        <w:rPr>
          <w:rFonts w:eastAsia="Calibri"/>
          <w:szCs w:val="22"/>
          <w:lang w:eastAsia="de-DE" w:bidi="de-DE"/>
        </w:rPr>
        <w:softHyphen/>
        <w:t>vorabzugs unterliegt keiner Bedingung, wenn folgende Einkünfte betroffen sind:</w:t>
      </w:r>
    </w:p>
    <w:p w14:paraId="5B9BFDB3" w14:textId="77777777" w:rsidR="007D52CA" w:rsidRPr="00F531CC" w:rsidRDefault="007D52CA" w:rsidP="007D52CA">
      <w:pPr>
        <w:jc w:val="both"/>
        <w:rPr>
          <w:rFonts w:eastAsia="Calibri"/>
          <w:szCs w:val="22"/>
          <w:lang w:eastAsia="de-DE" w:bidi="de-DE"/>
        </w:rPr>
      </w:pPr>
    </w:p>
    <w:p w14:paraId="0A60AF4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Einkünfte aus Schuldverschreibungen, Kassenbons oder anderen ähnlichen Wertpapieren, aus Schuldforderungen und Darlehen wie erwähnt in:</w:t>
      </w:r>
    </w:p>
    <w:p w14:paraId="3A30AB7B" w14:textId="77777777" w:rsidR="007D52CA" w:rsidRPr="00F531CC" w:rsidRDefault="007D52CA" w:rsidP="007D52CA">
      <w:pPr>
        <w:jc w:val="both"/>
        <w:rPr>
          <w:rFonts w:eastAsia="Calibri"/>
          <w:szCs w:val="22"/>
          <w:lang w:eastAsia="de-DE" w:bidi="de-DE"/>
        </w:rPr>
      </w:pPr>
    </w:p>
    <w:p w14:paraId="782F571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Artikel 107 § 2 Nr. 1 bis 5 Buchstabe </w:t>
      </w:r>
      <w:r w:rsidRPr="00F531CC">
        <w:rPr>
          <w:rFonts w:eastAsia="Calibri"/>
          <w:i/>
          <w:szCs w:val="22"/>
          <w:lang w:eastAsia="de-DE" w:bidi="de-DE"/>
        </w:rPr>
        <w:t>a)</w:t>
      </w:r>
      <w:r w:rsidRPr="00F531CC">
        <w:rPr>
          <w:rFonts w:eastAsia="Calibri"/>
          <w:szCs w:val="22"/>
          <w:lang w:eastAsia="de-DE" w:bidi="de-DE"/>
        </w:rPr>
        <w:t xml:space="preserve"> [und Nr. 11],</w:t>
      </w:r>
    </w:p>
    <w:p w14:paraId="4B2DCDAC" w14:textId="77777777" w:rsidR="007D52CA" w:rsidRPr="00F531CC" w:rsidRDefault="007D52CA" w:rsidP="007D52CA">
      <w:pPr>
        <w:jc w:val="both"/>
        <w:rPr>
          <w:rFonts w:eastAsia="Calibri"/>
          <w:szCs w:val="22"/>
          <w:lang w:eastAsia="de-DE" w:bidi="de-DE"/>
        </w:rPr>
      </w:pPr>
    </w:p>
    <w:p w14:paraId="37382D1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Artikel 107 § 2 Nr. 7 und Artikel 113 § 2 Nr. 2 Buchstabe </w:t>
      </w:r>
      <w:r w:rsidRPr="00F531CC">
        <w:rPr>
          <w:rFonts w:eastAsia="Calibri"/>
          <w:i/>
          <w:szCs w:val="22"/>
          <w:lang w:eastAsia="de-DE" w:bidi="de-DE"/>
        </w:rPr>
        <w:t>a)</w:t>
      </w:r>
      <w:r w:rsidRPr="00F531CC">
        <w:rPr>
          <w:rFonts w:eastAsia="Calibri"/>
          <w:szCs w:val="22"/>
          <w:lang w:eastAsia="de-DE" w:bidi="de-DE"/>
        </w:rPr>
        <w:t xml:space="preserve"> und Nr. 3,</w:t>
      </w:r>
    </w:p>
    <w:p w14:paraId="012734B0" w14:textId="77777777" w:rsidR="007D52CA" w:rsidRPr="00F531CC" w:rsidRDefault="007D52CA" w:rsidP="007D52CA">
      <w:pPr>
        <w:jc w:val="both"/>
        <w:rPr>
          <w:rFonts w:eastAsia="Calibri"/>
          <w:szCs w:val="22"/>
          <w:lang w:eastAsia="de-DE" w:bidi="de-DE"/>
        </w:rPr>
      </w:pPr>
    </w:p>
    <w:p w14:paraId="581CE92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Artikel 107 § 3 und Artikel 113 § 3 Buchstabe </w:t>
      </w:r>
      <w:r w:rsidRPr="00F531CC">
        <w:rPr>
          <w:rFonts w:eastAsia="Calibri"/>
          <w:i/>
          <w:szCs w:val="22"/>
          <w:lang w:eastAsia="de-DE" w:bidi="de-DE"/>
        </w:rPr>
        <w:t>a)</w:t>
      </w:r>
      <w:r w:rsidRPr="00F531CC">
        <w:rPr>
          <w:rFonts w:eastAsia="Calibri"/>
          <w:szCs w:val="22"/>
          <w:lang w:eastAsia="de-DE" w:bidi="de-DE"/>
        </w:rPr>
        <w:t xml:space="preserve"> und </w:t>
      </w:r>
      <w:r w:rsidRPr="00F531CC">
        <w:rPr>
          <w:rFonts w:eastAsia="Calibri"/>
          <w:i/>
          <w:szCs w:val="22"/>
          <w:lang w:eastAsia="de-DE" w:bidi="de-DE"/>
        </w:rPr>
        <w:t>b)</w:t>
      </w:r>
      <w:r w:rsidRPr="00F531CC">
        <w:rPr>
          <w:rFonts w:eastAsia="Calibri"/>
          <w:szCs w:val="22"/>
          <w:lang w:eastAsia="de-DE" w:bidi="de-DE"/>
        </w:rPr>
        <w:t xml:space="preserve"> und § 4,</w:t>
      </w:r>
    </w:p>
    <w:p w14:paraId="682A47C0" w14:textId="77777777" w:rsidR="007D52CA" w:rsidRPr="00F531CC" w:rsidRDefault="007D52CA" w:rsidP="007D52CA">
      <w:pPr>
        <w:jc w:val="both"/>
        <w:rPr>
          <w:rFonts w:eastAsia="Calibri"/>
          <w:szCs w:val="22"/>
          <w:lang w:eastAsia="de-DE" w:bidi="de-DE"/>
        </w:rPr>
      </w:pPr>
    </w:p>
    <w:p w14:paraId="390F855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2. Einkünfte aus Zertifikaten von belgischen Investmentfonds wie [in Artikel 109 Absatz 1] erwähnt,</w:t>
      </w:r>
    </w:p>
    <w:p w14:paraId="237B265C" w14:textId="77777777" w:rsidR="007D52CA" w:rsidRPr="00F531CC" w:rsidRDefault="007D52CA" w:rsidP="007D52CA">
      <w:pPr>
        <w:jc w:val="both"/>
        <w:rPr>
          <w:rFonts w:eastAsia="Calibri"/>
          <w:szCs w:val="22"/>
          <w:lang w:eastAsia="de-DE" w:bidi="de-DE"/>
        </w:rPr>
      </w:pPr>
    </w:p>
    <w:p w14:paraId="467B636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3. Einkünfte aus Einlagen wie in Artikel 110 Nr. 1 und 4 Buchstabe </w:t>
      </w:r>
      <w:r w:rsidRPr="00F531CC">
        <w:rPr>
          <w:rFonts w:eastAsia="Calibri"/>
          <w:i/>
          <w:szCs w:val="22"/>
          <w:lang w:eastAsia="de-DE" w:bidi="de-DE"/>
        </w:rPr>
        <w:t>a)</w:t>
      </w:r>
      <w:r w:rsidRPr="00F531CC">
        <w:rPr>
          <w:rFonts w:eastAsia="Calibri"/>
          <w:szCs w:val="22"/>
          <w:lang w:eastAsia="de-DE" w:bidi="de-DE"/>
        </w:rPr>
        <w:t xml:space="preserve"> und Artikel 114 § 2 Buchstabe </w:t>
      </w:r>
      <w:r w:rsidRPr="00F531CC">
        <w:rPr>
          <w:rFonts w:eastAsia="Calibri"/>
          <w:i/>
          <w:szCs w:val="22"/>
          <w:lang w:eastAsia="de-DE" w:bidi="de-DE"/>
        </w:rPr>
        <w:t>b)</w:t>
      </w:r>
      <w:r w:rsidRPr="00F531CC">
        <w:rPr>
          <w:rFonts w:eastAsia="Calibri"/>
          <w:szCs w:val="22"/>
          <w:lang w:eastAsia="de-DE" w:bidi="de-DE"/>
        </w:rPr>
        <w:t xml:space="preserve"> und § 3 erwähnt,</w:t>
      </w:r>
    </w:p>
    <w:p w14:paraId="06A120F1" w14:textId="77777777" w:rsidR="007D52CA" w:rsidRPr="00F531CC" w:rsidRDefault="007D52CA" w:rsidP="007D52CA">
      <w:pPr>
        <w:rPr>
          <w:rFonts w:eastAsia="Calibri"/>
          <w:szCs w:val="22"/>
          <w:lang w:eastAsia="de-DE" w:bidi="de-DE"/>
        </w:rPr>
      </w:pPr>
    </w:p>
    <w:p w14:paraId="6E796BB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4. Einkünfte wie in [Artikel 111 Buchstabe </w:t>
      </w:r>
      <w:r w:rsidRPr="00F531CC">
        <w:rPr>
          <w:rFonts w:eastAsia="Calibri"/>
          <w:i/>
          <w:szCs w:val="22"/>
          <w:lang w:eastAsia="de-DE" w:bidi="de-DE"/>
        </w:rPr>
        <w:t>a)</w:t>
      </w:r>
      <w:r w:rsidRPr="00F531CC">
        <w:rPr>
          <w:rFonts w:eastAsia="Calibri"/>
          <w:szCs w:val="22"/>
          <w:lang w:eastAsia="de-DE" w:bidi="de-DE"/>
        </w:rPr>
        <w:t xml:space="preserve"> bis </w:t>
      </w:r>
      <w:r w:rsidRPr="00F531CC">
        <w:rPr>
          <w:rFonts w:eastAsia="Calibri"/>
          <w:i/>
          <w:szCs w:val="22"/>
          <w:lang w:eastAsia="de-DE" w:bidi="de-DE"/>
        </w:rPr>
        <w:t>c)</w:t>
      </w:r>
      <w:r w:rsidRPr="00F531CC">
        <w:rPr>
          <w:rFonts w:eastAsia="Calibri"/>
          <w:szCs w:val="22"/>
          <w:lang w:eastAsia="de-DE" w:bidi="de-DE"/>
        </w:rPr>
        <w:t>] erwähnt.</w:t>
      </w:r>
    </w:p>
    <w:p w14:paraId="4A0FF1D5" w14:textId="51DACD7E" w:rsidR="003C2396" w:rsidRDefault="003C2396">
      <w:pPr>
        <w:rPr>
          <w:rFonts w:eastAsia="Calibri"/>
          <w:szCs w:val="22"/>
          <w:lang w:eastAsia="de-DE" w:bidi="de-DE"/>
        </w:rPr>
      </w:pPr>
    </w:p>
    <w:p w14:paraId="1D521836" w14:textId="04ABEAF1" w:rsidR="007D52CA" w:rsidRPr="00F531CC" w:rsidRDefault="007D52CA" w:rsidP="007D52CA">
      <w:pPr>
        <w:jc w:val="both"/>
        <w:rPr>
          <w:rFonts w:eastAsia="Calibri"/>
          <w:szCs w:val="22"/>
          <w:lang w:eastAsia="de-DE" w:bidi="de-DE"/>
        </w:rPr>
      </w:pPr>
      <w:r w:rsidRPr="00F531CC">
        <w:rPr>
          <w:rFonts w:eastAsia="Calibri"/>
          <w:szCs w:val="22"/>
          <w:lang w:eastAsia="de-DE" w:bidi="de-DE"/>
        </w:rPr>
        <w:tab/>
        <w:t>§ 2 - [Der in Artikel 106 § 2 vorgesehene Verzicht auf die Einnahme des Mobiliensteuervorabzugs unterliegt der Bedingung, dass der Schuldner der Einkünfte eine Bescheinigung erhält, in der bestätigt wird, dass die Empfänger:</w:t>
      </w:r>
    </w:p>
    <w:p w14:paraId="71778A35" w14:textId="77777777" w:rsidR="007D52CA" w:rsidRPr="00F531CC" w:rsidRDefault="007D52CA" w:rsidP="007D52CA">
      <w:pPr>
        <w:jc w:val="both"/>
        <w:rPr>
          <w:rFonts w:eastAsia="Calibri"/>
          <w:szCs w:val="22"/>
          <w:lang w:eastAsia="de-DE" w:bidi="de-DE"/>
        </w:rPr>
      </w:pPr>
    </w:p>
    <w:p w14:paraId="11FE151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Eigentümer oder Nießbraucher des beweglichen Kapitalvermögens sind, das die Einkünfte erzeugt,</w:t>
      </w:r>
    </w:p>
    <w:p w14:paraId="5B7C7E67" w14:textId="77777777" w:rsidR="007D52CA" w:rsidRPr="00F531CC" w:rsidRDefault="007D52CA" w:rsidP="007D52CA">
      <w:pPr>
        <w:jc w:val="both"/>
        <w:rPr>
          <w:rFonts w:eastAsia="Calibri"/>
          <w:szCs w:val="22"/>
          <w:lang w:eastAsia="de-DE" w:bidi="de-DE"/>
        </w:rPr>
      </w:pPr>
    </w:p>
    <w:p w14:paraId="520A2E34" w14:textId="17055F4F"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[in Artikel 227 Nr. 3 des Einkommensteuergesetzbuches 1992 erwähnte gebiets</w:t>
      </w:r>
      <w:r w:rsidRPr="00F531CC">
        <w:rPr>
          <w:rFonts w:eastAsia="Calibri"/>
          <w:szCs w:val="22"/>
          <w:lang w:eastAsia="de-DE" w:bidi="de-DE"/>
        </w:rPr>
        <w:softHyphen/>
        <w:t xml:space="preserve">fremde Sparer sind, deren </w:t>
      </w:r>
      <w:r w:rsidR="00E26C3E">
        <w:rPr>
          <w:rFonts w:eastAsia="Calibri"/>
          <w:szCs w:val="22"/>
          <w:lang w:eastAsia="de-DE" w:bidi="de-DE"/>
        </w:rPr>
        <w:t>[Gegenstand]</w:t>
      </w:r>
      <w:r w:rsidRPr="00F531CC">
        <w:rPr>
          <w:rFonts w:eastAsia="Calibri"/>
          <w:szCs w:val="22"/>
          <w:lang w:eastAsia="de-DE" w:bidi="de-DE"/>
        </w:rPr>
        <w:t xml:space="preserve"> ausschließlich in der Verwaltung und Anlage der Gelder besteht, die mit dem Ziel gesammelt werden, gesetzliche oder ergänzende Pensionen auszuzahlen, und die ohne Gewinnerzielungsabsicht ausschließlich in Artikel 182 Nr. 2 desselben Gesetzbuches erwähnte Geschäfte betreiben und in dem Land, in dem sie ansässig sind, von der Einkommensteuer befreit sind,]</w:t>
      </w:r>
    </w:p>
    <w:p w14:paraId="6B9B533C" w14:textId="77777777" w:rsidR="007D52CA" w:rsidRPr="00F531CC" w:rsidRDefault="007D52CA" w:rsidP="007D52CA">
      <w:pPr>
        <w:jc w:val="both"/>
        <w:rPr>
          <w:rFonts w:eastAsia="Calibri"/>
          <w:szCs w:val="22"/>
          <w:lang w:eastAsia="de-DE" w:bidi="de-DE"/>
        </w:rPr>
      </w:pPr>
    </w:p>
    <w:p w14:paraId="40D5168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xml:space="preserve"> nicht verpflichtet sind, dem Endempfänger aufgrund einer vertraglichen Verpflichtung den Ertrag der Aktien, Anteile oder Gewinnanteile zu zahlen oder ein in </w:t>
      </w:r>
      <w:r w:rsidR="002661C9">
        <w:rPr>
          <w:rFonts w:eastAsia="Calibri"/>
          <w:szCs w:val="22"/>
          <w:lang w:eastAsia="de-DE" w:bidi="de-DE"/>
        </w:rPr>
        <w:t>[</w:t>
      </w:r>
      <w:r w:rsidR="002661C9" w:rsidRPr="00B617CF">
        <w:t>Artikel 90 Absatz 1 Nr. 11</w:t>
      </w:r>
      <w:r w:rsidR="002661C9">
        <w:rPr>
          <w:rFonts w:eastAsia="Calibri"/>
          <w:szCs w:val="22"/>
          <w:lang w:eastAsia="de-DE" w:bidi="de-DE"/>
        </w:rPr>
        <w:t>]</w:t>
      </w:r>
      <w:r w:rsidRPr="00F531CC">
        <w:rPr>
          <w:rFonts w:eastAsia="Calibri"/>
          <w:szCs w:val="22"/>
          <w:lang w:eastAsia="de-DE" w:bidi="de-DE"/>
        </w:rPr>
        <w:t xml:space="preserve"> des Einkommensteuergesetzbuches 1992 erwähntes Einkommen in Bezug auf belgische Aktien oder Anteile, die sie aufgrund einer Vereinbarung beziehungsweise eines Verleihs besitzen, zu zahlen, [außer wenn der Endempfänger ebenfalls ein in Artikel 106 § 2 erwähnter Gebietsfremder oder - nur im zweiten Fall - eine in Artikel 106 § 5 oder § 6 erwähnte Muttergesellschaft der Dividenden ausschüttenden Gesellschaft ist].]</w:t>
      </w:r>
    </w:p>
    <w:p w14:paraId="49CE7BC8" w14:textId="77777777" w:rsidR="007D52CA" w:rsidRPr="00F531CC" w:rsidRDefault="007D52CA" w:rsidP="007D52CA">
      <w:pPr>
        <w:jc w:val="both"/>
        <w:rPr>
          <w:rFonts w:eastAsia="Calibri"/>
          <w:szCs w:val="22"/>
          <w:lang w:eastAsia="de-DE" w:bidi="de-DE"/>
        </w:rPr>
      </w:pPr>
    </w:p>
    <w:p w14:paraId="116F84B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3 - [...]</w:t>
      </w:r>
    </w:p>
    <w:p w14:paraId="7790C5E2" w14:textId="60BD5B95" w:rsidR="000C5BE4" w:rsidRDefault="000C5BE4">
      <w:pPr>
        <w:rPr>
          <w:rFonts w:eastAsia="Calibri"/>
          <w:szCs w:val="22"/>
          <w:lang w:eastAsia="de-DE" w:bidi="de-DE"/>
        </w:rPr>
      </w:pPr>
    </w:p>
    <w:p w14:paraId="080473CE" w14:textId="480F30F9" w:rsidR="007D52CA" w:rsidRPr="00F531CC" w:rsidRDefault="007D52CA" w:rsidP="007D52CA">
      <w:pPr>
        <w:jc w:val="both"/>
        <w:rPr>
          <w:rFonts w:eastAsia="Calibri"/>
          <w:szCs w:val="22"/>
          <w:lang w:eastAsia="de-DE" w:bidi="de-DE"/>
        </w:rPr>
      </w:pPr>
      <w:r w:rsidRPr="00F531CC">
        <w:rPr>
          <w:rFonts w:eastAsia="Calibri"/>
          <w:szCs w:val="22"/>
          <w:lang w:eastAsia="de-DE" w:bidi="de-DE"/>
        </w:rPr>
        <w:tab/>
        <w:t>§ 4 - [Der in Artikel 106 § 5 vorgesehene Verzicht auf die Einnahme des Mobiliensteuervorabzugs unterliegt der Bedingung, dass der Schuldner der Einkünfte eine Bescheinigung erhält, in der bestätigt wird, dass der Empfänger:</w:t>
      </w:r>
    </w:p>
    <w:p w14:paraId="2DDB4D53" w14:textId="77777777" w:rsidR="007D52CA" w:rsidRPr="00F531CC" w:rsidRDefault="007D52CA" w:rsidP="007D52CA">
      <w:pPr>
        <w:jc w:val="both"/>
        <w:rPr>
          <w:rFonts w:eastAsia="Calibri"/>
          <w:szCs w:val="22"/>
          <w:lang w:eastAsia="de-DE" w:bidi="de-DE"/>
        </w:rPr>
      </w:pPr>
    </w:p>
    <w:p w14:paraId="5132386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eine Muttergesellschaft im Sinne von Artikel 106 § 5 ist,</w:t>
      </w:r>
    </w:p>
    <w:p w14:paraId="0EAB8E2F" w14:textId="77777777" w:rsidR="007D52CA" w:rsidRPr="00F531CC" w:rsidRDefault="007D52CA" w:rsidP="007D52CA">
      <w:pPr>
        <w:jc w:val="both"/>
        <w:rPr>
          <w:rFonts w:eastAsia="Calibri"/>
          <w:szCs w:val="22"/>
          <w:lang w:eastAsia="de-DE" w:bidi="de-DE"/>
        </w:rPr>
      </w:pPr>
    </w:p>
    <w:p w14:paraId="667A59B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zum Zeitpunkt der Zuerkennung der Einkünfte während eines ununterbrochenen Zeitraums von mindestens einem Jahr eine Mindestbeteiligung wie in § 5</w:t>
      </w:r>
      <w:r w:rsidRPr="00F531CC">
        <w:rPr>
          <w:rFonts w:eastAsia="Calibri"/>
          <w:i/>
          <w:szCs w:val="22"/>
          <w:lang w:eastAsia="de-DE" w:bidi="de-DE"/>
        </w:rPr>
        <w:t>bis</w:t>
      </w:r>
      <w:r w:rsidRPr="00F531CC">
        <w:rPr>
          <w:rFonts w:eastAsia="Calibri"/>
          <w:szCs w:val="22"/>
          <w:lang w:eastAsia="de-DE" w:bidi="de-DE"/>
        </w:rPr>
        <w:t xml:space="preserve"> erwähnt am Kapital der belgischen Tochtergesellschaft gehalten hat.]</w:t>
      </w:r>
    </w:p>
    <w:p w14:paraId="7ED0CDF8" w14:textId="77777777" w:rsidR="007C20CA" w:rsidRDefault="007C20CA">
      <w:pPr>
        <w:rPr>
          <w:rFonts w:eastAsia="Calibri"/>
          <w:szCs w:val="22"/>
          <w:lang w:eastAsia="de-DE" w:bidi="de-DE"/>
        </w:rPr>
      </w:pPr>
    </w:p>
    <w:p w14:paraId="2B7A930A" w14:textId="16885076" w:rsidR="007D52CA" w:rsidRPr="00F531CC" w:rsidRDefault="007D52CA" w:rsidP="007D52CA">
      <w:pPr>
        <w:jc w:val="both"/>
        <w:rPr>
          <w:rFonts w:eastAsia="Calibri"/>
          <w:szCs w:val="22"/>
          <w:lang w:eastAsia="de-DE" w:bidi="de-DE"/>
        </w:rPr>
      </w:pPr>
      <w:r w:rsidRPr="00F531CC">
        <w:rPr>
          <w:rFonts w:eastAsia="Calibri"/>
          <w:szCs w:val="22"/>
          <w:lang w:eastAsia="de-DE" w:bidi="de-DE"/>
        </w:rPr>
        <w:tab/>
        <w:t>[Ist zum Zeitpunkt der Zuerkennung der Dividenden die in Buchstabe </w:t>
      </w:r>
      <w:r w:rsidRPr="00F531CC">
        <w:rPr>
          <w:rFonts w:eastAsia="Calibri"/>
          <w:i/>
          <w:szCs w:val="22"/>
          <w:lang w:eastAsia="de-DE" w:bidi="de-DE"/>
        </w:rPr>
        <w:t>b)</w:t>
      </w:r>
      <w:r w:rsidRPr="00F531CC">
        <w:rPr>
          <w:rFonts w:eastAsia="Calibri"/>
          <w:szCs w:val="22"/>
          <w:lang w:eastAsia="de-DE" w:bidi="de-DE"/>
        </w:rPr>
        <w:t xml:space="preserve"> des vorhergehenden Absatzes erwähnte Besitzdauer von mindestens einem Jahr noch nicht erreicht, muss die Bescheinigung, die der Empfänger dem Schuldner der Einkünfte aushändigt, außerdem Folgendes enthalten:</w:t>
      </w:r>
    </w:p>
    <w:p w14:paraId="1867A87F" w14:textId="77777777" w:rsidR="007D52CA" w:rsidRPr="00F531CC" w:rsidRDefault="007D52CA" w:rsidP="007D52CA">
      <w:pPr>
        <w:jc w:val="both"/>
        <w:rPr>
          <w:rFonts w:eastAsia="Calibri"/>
          <w:szCs w:val="22"/>
          <w:lang w:eastAsia="de-DE" w:bidi="de-DE"/>
        </w:rPr>
      </w:pPr>
    </w:p>
    <w:p w14:paraId="5BB7DD0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Datum, ab dem [eine Mindestbeteiligung wie in § 5</w:t>
      </w:r>
      <w:r w:rsidRPr="00F531CC">
        <w:rPr>
          <w:rFonts w:eastAsia="Calibri"/>
          <w:i/>
          <w:szCs w:val="22"/>
          <w:lang w:eastAsia="de-DE" w:bidi="de-DE"/>
        </w:rPr>
        <w:t>bis</w:t>
      </w:r>
      <w:r w:rsidRPr="00F531CC">
        <w:rPr>
          <w:rFonts w:eastAsia="Calibri"/>
          <w:szCs w:val="22"/>
          <w:lang w:eastAsia="de-DE" w:bidi="de-DE"/>
        </w:rPr>
        <w:t xml:space="preserve"> erwähnt] ununterbrochen gehalten wird,</w:t>
      </w:r>
    </w:p>
    <w:p w14:paraId="37A6A3DE" w14:textId="77777777" w:rsidR="007D52CA" w:rsidRPr="00F531CC" w:rsidRDefault="007D52CA" w:rsidP="007D52CA">
      <w:pPr>
        <w:jc w:val="both"/>
        <w:rPr>
          <w:rFonts w:eastAsia="Calibri"/>
          <w:szCs w:val="22"/>
          <w:lang w:eastAsia="de-DE" w:bidi="de-DE"/>
        </w:rPr>
      </w:pPr>
    </w:p>
    <w:p w14:paraId="0EE9451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Verpflichtung, diese Mindestbeteiligung aufrechtzuerhalten, bis die Besitzdauer von mindestens einem Jahr erreicht ist, und die Tochtergesellschaft sofort von der Erfüllung dieser Verpflichtung in Kenntnis zu setzen,</w:t>
      </w:r>
    </w:p>
    <w:p w14:paraId="260BEA68" w14:textId="77777777" w:rsidR="007D52CA" w:rsidRPr="00F531CC" w:rsidRDefault="007D52CA" w:rsidP="007D52CA">
      <w:pPr>
        <w:rPr>
          <w:rFonts w:eastAsia="Calibri"/>
          <w:szCs w:val="22"/>
          <w:lang w:eastAsia="de-DE" w:bidi="de-DE"/>
        </w:rPr>
      </w:pPr>
    </w:p>
    <w:p w14:paraId="322C5EF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Verpflichtung, die Tochtergesellschaft sofort in Kenntnis zu setzen, wenn die Beteiligung vor Ende des Zeitraums von einem Jahr [den in § 5</w:t>
      </w:r>
      <w:r w:rsidRPr="00F531CC">
        <w:rPr>
          <w:rFonts w:eastAsia="Calibri"/>
          <w:i/>
          <w:szCs w:val="22"/>
          <w:lang w:eastAsia="de-DE" w:bidi="de-DE"/>
        </w:rPr>
        <w:t>bis</w:t>
      </w:r>
      <w:r w:rsidRPr="00F531CC">
        <w:rPr>
          <w:rFonts w:eastAsia="Calibri"/>
          <w:szCs w:val="22"/>
          <w:lang w:eastAsia="de-DE" w:bidi="de-DE"/>
        </w:rPr>
        <w:t xml:space="preserve"> erwähnten Mindestprozentsatz] unterschreitet.]</w:t>
      </w:r>
    </w:p>
    <w:p w14:paraId="6B43F2A2" w14:textId="77777777" w:rsidR="007D52CA" w:rsidRPr="00F531CC" w:rsidRDefault="007D52CA" w:rsidP="007D52CA">
      <w:pPr>
        <w:jc w:val="both"/>
        <w:rPr>
          <w:rFonts w:eastAsia="Calibri"/>
          <w:szCs w:val="22"/>
          <w:lang w:eastAsia="de-DE" w:bidi="de-DE"/>
        </w:rPr>
      </w:pPr>
    </w:p>
    <w:p w14:paraId="28C026F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p>
    <w:p w14:paraId="6EA2A937" w14:textId="77777777" w:rsidR="007D52CA" w:rsidRPr="00F531CC" w:rsidRDefault="007D52CA" w:rsidP="007D52CA">
      <w:pPr>
        <w:jc w:val="both"/>
        <w:rPr>
          <w:rFonts w:eastAsia="Calibri"/>
          <w:szCs w:val="22"/>
          <w:lang w:eastAsia="de-DE" w:bidi="de-DE"/>
        </w:rPr>
      </w:pPr>
    </w:p>
    <w:p w14:paraId="71428FA0" w14:textId="24C67BC7" w:rsidR="007D52CA" w:rsidRPr="00F531CC" w:rsidRDefault="007D52CA" w:rsidP="007D52CA">
      <w:pPr>
        <w:jc w:val="both"/>
        <w:rPr>
          <w:rFonts w:eastAsia="Calibri"/>
          <w:szCs w:val="22"/>
          <w:lang w:eastAsia="de-DE" w:bidi="de-DE"/>
        </w:rPr>
      </w:pPr>
      <w:r w:rsidRPr="00F531CC">
        <w:rPr>
          <w:rFonts w:eastAsia="Calibri"/>
          <w:szCs w:val="22"/>
          <w:lang w:eastAsia="de-DE" w:bidi="de-DE"/>
        </w:rPr>
        <w:tab/>
        <w:t>§ 5 - Der in Artikel 106 § 6 vorgesehene Verzicht auf die Einnahme des Mobiliensteuervorabzugs unterliegt der Bedingung, dass der Schuldner der Einkünfte eine Bescheinigung erhält, in der bestätigt wird, dass der Empfänger:</w:t>
      </w:r>
    </w:p>
    <w:p w14:paraId="218CD5A7" w14:textId="77777777" w:rsidR="007D52CA" w:rsidRPr="00F531CC" w:rsidRDefault="007D52CA" w:rsidP="007D52CA">
      <w:pPr>
        <w:jc w:val="both"/>
        <w:rPr>
          <w:rFonts w:eastAsia="Calibri"/>
          <w:szCs w:val="22"/>
          <w:lang w:eastAsia="de-DE" w:bidi="de-DE"/>
        </w:rPr>
      </w:pPr>
    </w:p>
    <w:p w14:paraId="32ED2A2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eine inländische Gesellschaft ist,</w:t>
      </w:r>
    </w:p>
    <w:p w14:paraId="4F76123F" w14:textId="77777777" w:rsidR="007D52CA" w:rsidRPr="00F531CC" w:rsidRDefault="007D52CA" w:rsidP="007D52CA">
      <w:pPr>
        <w:jc w:val="both"/>
        <w:rPr>
          <w:rFonts w:eastAsia="Calibri"/>
          <w:szCs w:val="22"/>
          <w:lang w:eastAsia="de-DE" w:bidi="de-DE"/>
        </w:rPr>
      </w:pPr>
    </w:p>
    <w:p w14:paraId="7FA6E80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zum Zeitpunkt der Zuerkennung der Einkünfte während eines ununterbrochenen Zeitraums von mindestens einem Jahr [eine Mindestbeteiligung wie in § 5</w:t>
      </w:r>
      <w:r w:rsidRPr="00F531CC">
        <w:rPr>
          <w:rFonts w:eastAsia="Calibri"/>
          <w:i/>
          <w:szCs w:val="22"/>
          <w:lang w:eastAsia="de-DE" w:bidi="de-DE"/>
        </w:rPr>
        <w:t>bis</w:t>
      </w:r>
      <w:r w:rsidRPr="00F531CC">
        <w:rPr>
          <w:rFonts w:eastAsia="Calibri"/>
          <w:szCs w:val="22"/>
          <w:lang w:eastAsia="de-DE" w:bidi="de-DE"/>
        </w:rPr>
        <w:t xml:space="preserve"> erwähnt] am Kapital der Gesellschaft, die die Einkünfte schuldet, gehalten hat.</w:t>
      </w:r>
    </w:p>
    <w:p w14:paraId="412153E0" w14:textId="77777777" w:rsidR="007D52CA" w:rsidRPr="00F531CC" w:rsidRDefault="007D52CA" w:rsidP="007D52CA">
      <w:pPr>
        <w:jc w:val="both"/>
        <w:rPr>
          <w:rFonts w:eastAsia="Calibri"/>
          <w:szCs w:val="22"/>
          <w:lang w:eastAsia="de-DE" w:bidi="de-DE"/>
        </w:rPr>
      </w:pPr>
    </w:p>
    <w:p w14:paraId="369B9CB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[Ist zum Zeitpunkt der Zuerkennung der Dividenden die in Buchstabe </w:t>
      </w:r>
      <w:r w:rsidRPr="00F531CC">
        <w:rPr>
          <w:rFonts w:eastAsia="Calibri"/>
          <w:i/>
          <w:szCs w:val="22"/>
          <w:lang w:eastAsia="de-DE" w:bidi="de-DE"/>
        </w:rPr>
        <w:t>b)</w:t>
      </w:r>
      <w:r w:rsidRPr="00F531CC">
        <w:rPr>
          <w:rFonts w:eastAsia="Calibri"/>
          <w:szCs w:val="22"/>
          <w:lang w:eastAsia="de-DE" w:bidi="de-DE"/>
        </w:rPr>
        <w:t xml:space="preserve"> des vorhergehenden Absatzes erwähnte Besitzdauer von mindestens einem Jahr noch nicht erreicht, muss die Bescheinigung, die der Empfänger dem Schuldner der Einkünfte aushändigt, außerdem Folgendes enthalten:</w:t>
      </w:r>
    </w:p>
    <w:p w14:paraId="0AD7878D" w14:textId="77777777" w:rsidR="007D52CA" w:rsidRPr="00F531CC" w:rsidRDefault="007D52CA" w:rsidP="007D52CA">
      <w:pPr>
        <w:jc w:val="both"/>
        <w:rPr>
          <w:rFonts w:eastAsia="Calibri"/>
          <w:szCs w:val="22"/>
          <w:lang w:eastAsia="de-DE" w:bidi="de-DE"/>
        </w:rPr>
      </w:pPr>
    </w:p>
    <w:p w14:paraId="0977DDC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Datum, ab dem [eine Mindestbeteiligung wie in § 5</w:t>
      </w:r>
      <w:r w:rsidRPr="00F531CC">
        <w:rPr>
          <w:rFonts w:eastAsia="Calibri"/>
          <w:i/>
          <w:szCs w:val="22"/>
          <w:lang w:eastAsia="de-DE" w:bidi="de-DE"/>
        </w:rPr>
        <w:t>bis</w:t>
      </w:r>
      <w:r w:rsidRPr="00F531CC">
        <w:rPr>
          <w:rFonts w:eastAsia="Calibri"/>
          <w:szCs w:val="22"/>
          <w:lang w:eastAsia="de-DE" w:bidi="de-DE"/>
        </w:rPr>
        <w:t xml:space="preserve"> erwähnt] ununterbrochen gehalten wird,</w:t>
      </w:r>
    </w:p>
    <w:p w14:paraId="5682EB10" w14:textId="77777777" w:rsidR="007D52CA" w:rsidRPr="00F531CC" w:rsidRDefault="007D52CA" w:rsidP="007D52CA">
      <w:pPr>
        <w:jc w:val="both"/>
        <w:rPr>
          <w:rFonts w:eastAsia="Calibri"/>
          <w:szCs w:val="22"/>
          <w:lang w:eastAsia="de-DE" w:bidi="de-DE"/>
        </w:rPr>
      </w:pPr>
    </w:p>
    <w:p w14:paraId="7780964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Verpflichtung, diese Mindestbeteiligung aufrechtzuerhalten, bis die Besitzdauer von mindestens einem Jahr erreicht ist, und die Tochtergesellschaft sofort von der Erfüllung dieser Verpflichtung in Kenntnis zu setzen,</w:t>
      </w:r>
    </w:p>
    <w:p w14:paraId="1B114CD4" w14:textId="77777777" w:rsidR="007D52CA" w:rsidRPr="00F531CC" w:rsidRDefault="007D52CA" w:rsidP="007D52CA">
      <w:pPr>
        <w:rPr>
          <w:rFonts w:eastAsia="Calibri"/>
          <w:szCs w:val="22"/>
          <w:lang w:eastAsia="de-DE" w:bidi="de-DE"/>
        </w:rPr>
      </w:pPr>
    </w:p>
    <w:p w14:paraId="01BD156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Verpflichtung, die Tochtergesellschaft sofort in Kenntnis zu setzen, wenn die Beteiligung vor Ende des Zeitraums von einem Jahr [den in § 5</w:t>
      </w:r>
      <w:r w:rsidRPr="00F531CC">
        <w:rPr>
          <w:rFonts w:eastAsia="Calibri"/>
          <w:i/>
          <w:szCs w:val="22"/>
          <w:lang w:eastAsia="de-DE" w:bidi="de-DE"/>
        </w:rPr>
        <w:t>bis</w:t>
      </w:r>
      <w:r w:rsidRPr="00F531CC">
        <w:rPr>
          <w:rFonts w:eastAsia="Calibri"/>
          <w:szCs w:val="22"/>
          <w:lang w:eastAsia="de-DE" w:bidi="de-DE"/>
        </w:rPr>
        <w:t xml:space="preserve"> erwähnten Mindestprozentsatz] unterschreitet.]</w:t>
      </w:r>
    </w:p>
    <w:p w14:paraId="4DEA75E5" w14:textId="77777777" w:rsidR="007D52CA" w:rsidRPr="00F531CC" w:rsidRDefault="007D52CA" w:rsidP="007D52CA">
      <w:pPr>
        <w:jc w:val="both"/>
        <w:rPr>
          <w:rFonts w:eastAsia="Calibri"/>
          <w:szCs w:val="22"/>
          <w:lang w:eastAsia="de-DE" w:bidi="de-DE"/>
        </w:rPr>
      </w:pPr>
    </w:p>
    <w:p w14:paraId="36B9A07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p>
    <w:p w14:paraId="0A4EEB80" w14:textId="77777777" w:rsidR="007D52CA" w:rsidRPr="00F531CC" w:rsidRDefault="007D52CA" w:rsidP="007D52CA">
      <w:pPr>
        <w:jc w:val="both"/>
        <w:rPr>
          <w:rFonts w:eastAsia="Calibri"/>
          <w:szCs w:val="22"/>
          <w:lang w:eastAsia="de-DE" w:bidi="de-DE"/>
        </w:rPr>
      </w:pPr>
    </w:p>
    <w:p w14:paraId="10AD4C4B" w14:textId="45EFADC8" w:rsidR="007D52CA" w:rsidRPr="00F531CC" w:rsidRDefault="007D52CA" w:rsidP="007D52CA">
      <w:pPr>
        <w:jc w:val="both"/>
        <w:rPr>
          <w:rFonts w:eastAsia="Calibri"/>
          <w:szCs w:val="22"/>
          <w:lang w:eastAsia="de-DE" w:bidi="de-DE"/>
        </w:rPr>
      </w:pPr>
      <w:r w:rsidRPr="00F531CC">
        <w:rPr>
          <w:rFonts w:eastAsia="Calibri"/>
          <w:szCs w:val="22"/>
          <w:lang w:eastAsia="de-DE" w:bidi="de-DE"/>
        </w:rPr>
        <w:tab/>
        <w:t>[§ 5</w:t>
      </w:r>
      <w:r w:rsidRPr="00F531CC">
        <w:rPr>
          <w:rFonts w:eastAsia="Calibri"/>
          <w:i/>
          <w:szCs w:val="22"/>
          <w:lang w:eastAsia="de-DE" w:bidi="de-DE"/>
        </w:rPr>
        <w:t>bis</w:t>
      </w:r>
      <w:r w:rsidRPr="00F531CC">
        <w:rPr>
          <w:rFonts w:eastAsia="Calibri"/>
          <w:szCs w:val="22"/>
          <w:lang w:eastAsia="de-DE" w:bidi="de-DE"/>
        </w:rPr>
        <w:t> - Die in § 4 Absatz 1 Buchstabe </w:t>
      </w:r>
      <w:r w:rsidRPr="00F531CC">
        <w:rPr>
          <w:rFonts w:eastAsia="Calibri"/>
          <w:i/>
          <w:szCs w:val="22"/>
          <w:lang w:eastAsia="de-DE" w:bidi="de-DE"/>
        </w:rPr>
        <w:t>b)</w:t>
      </w:r>
      <w:r w:rsidRPr="00F531CC">
        <w:rPr>
          <w:rFonts w:eastAsia="Calibri"/>
          <w:szCs w:val="22"/>
          <w:lang w:eastAsia="de-DE" w:bidi="de-DE"/>
        </w:rPr>
        <w:t xml:space="preserve"> und 2 Buchstabe </w:t>
      </w:r>
      <w:r w:rsidRPr="00F531CC">
        <w:rPr>
          <w:rFonts w:eastAsia="Calibri"/>
          <w:i/>
          <w:szCs w:val="22"/>
          <w:lang w:eastAsia="de-DE" w:bidi="de-DE"/>
        </w:rPr>
        <w:t>a)</w:t>
      </w:r>
      <w:r w:rsidRPr="00F531CC">
        <w:rPr>
          <w:rFonts w:eastAsia="Calibri"/>
          <w:szCs w:val="22"/>
          <w:lang w:eastAsia="de-DE" w:bidi="de-DE"/>
        </w:rPr>
        <w:t xml:space="preserve"> und </w:t>
      </w:r>
      <w:r w:rsidRPr="00F531CC">
        <w:rPr>
          <w:rFonts w:eastAsia="Calibri"/>
          <w:i/>
          <w:szCs w:val="22"/>
          <w:lang w:eastAsia="de-DE" w:bidi="de-DE"/>
        </w:rPr>
        <w:t>c)</w:t>
      </w:r>
      <w:r w:rsidR="00F563A1">
        <w:rPr>
          <w:rFonts w:eastAsia="Calibri"/>
          <w:szCs w:val="22"/>
          <w:lang w:eastAsia="de-DE" w:bidi="de-DE"/>
        </w:rPr>
        <w:t>[</w:t>
      </w:r>
      <w:r w:rsidR="00F563A1" w:rsidRPr="00194E72">
        <w:t>, § 5 Absatz 1 Buchstabe </w:t>
      </w:r>
      <w:r w:rsidR="00F563A1" w:rsidRPr="00194E72">
        <w:rPr>
          <w:i/>
          <w:iCs/>
        </w:rPr>
        <w:t>b)</w:t>
      </w:r>
      <w:r w:rsidR="00F563A1" w:rsidRPr="00194E72">
        <w:t xml:space="preserve"> und 2 Buchstabe </w:t>
      </w:r>
      <w:r w:rsidR="00F563A1" w:rsidRPr="00194E72">
        <w:rPr>
          <w:i/>
          <w:iCs/>
        </w:rPr>
        <w:t>a)</w:t>
      </w:r>
      <w:r w:rsidR="00F563A1" w:rsidRPr="00194E72">
        <w:t xml:space="preserve"> und </w:t>
      </w:r>
      <w:r w:rsidR="00F563A1" w:rsidRPr="00194E72">
        <w:rPr>
          <w:i/>
          <w:iCs/>
        </w:rPr>
        <w:t>c)</w:t>
      </w:r>
      <w:r w:rsidR="00F563A1" w:rsidRPr="00194E72">
        <w:t xml:space="preserve"> und § 5</w:t>
      </w:r>
      <w:r w:rsidR="00F563A1" w:rsidRPr="00194E72">
        <w:rPr>
          <w:i/>
        </w:rPr>
        <w:t>ter</w:t>
      </w:r>
      <w:r w:rsidR="00F563A1" w:rsidRPr="00194E72">
        <w:t xml:space="preserve"> Absatz 1 Buchstabe </w:t>
      </w:r>
      <w:r w:rsidR="00F563A1" w:rsidRPr="00194E72">
        <w:rPr>
          <w:i/>
          <w:iCs/>
        </w:rPr>
        <w:t>b)</w:t>
      </w:r>
      <w:r w:rsidR="00F563A1" w:rsidRPr="00194E72">
        <w:t xml:space="preserve"> und 2 Buchstabe </w:t>
      </w:r>
      <w:r w:rsidR="00F563A1" w:rsidRPr="00194E72">
        <w:rPr>
          <w:i/>
          <w:iCs/>
        </w:rPr>
        <w:t>a)</w:t>
      </w:r>
      <w:r w:rsidR="00F563A1" w:rsidRPr="00194E72">
        <w:t xml:space="preserve"> und </w:t>
      </w:r>
      <w:r w:rsidR="00F563A1" w:rsidRPr="00194E72">
        <w:rPr>
          <w:i/>
          <w:iCs/>
        </w:rPr>
        <w:t>c)</w:t>
      </w:r>
      <w:r w:rsidR="00F563A1">
        <w:rPr>
          <w:rFonts w:eastAsia="Calibri"/>
          <w:szCs w:val="22"/>
          <w:lang w:eastAsia="de-DE" w:bidi="de-DE"/>
        </w:rPr>
        <w:t xml:space="preserve">] </w:t>
      </w:r>
      <w:r w:rsidRPr="00F531CC">
        <w:rPr>
          <w:rFonts w:eastAsia="Calibri"/>
          <w:szCs w:val="22"/>
          <w:lang w:eastAsia="de-DE" w:bidi="de-DE"/>
        </w:rPr>
        <w:t>erwähnte Mindestbeteiligung entspricht:</w:t>
      </w:r>
    </w:p>
    <w:p w14:paraId="635494F6" w14:textId="77777777" w:rsidR="007D52CA" w:rsidRPr="00F531CC" w:rsidRDefault="007D52CA" w:rsidP="007D52CA">
      <w:pPr>
        <w:jc w:val="both"/>
        <w:rPr>
          <w:rFonts w:eastAsia="Calibri"/>
          <w:szCs w:val="22"/>
          <w:lang w:eastAsia="de-DE" w:bidi="de-DE"/>
        </w:rPr>
      </w:pPr>
    </w:p>
    <w:p w14:paraId="3EE398A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- 25 Prozent für Dividenden, die vor dem 1. Januar 2005 zuerkannt oder ausgeschüttet wurden,</w:t>
      </w:r>
    </w:p>
    <w:p w14:paraId="3C641F1A" w14:textId="77777777" w:rsidR="007D52CA" w:rsidRPr="00F531CC" w:rsidRDefault="007D52CA" w:rsidP="007D52CA">
      <w:pPr>
        <w:jc w:val="both"/>
        <w:rPr>
          <w:rFonts w:eastAsia="Calibri"/>
          <w:szCs w:val="22"/>
          <w:lang w:eastAsia="de-DE" w:bidi="de-DE"/>
        </w:rPr>
      </w:pPr>
    </w:p>
    <w:p w14:paraId="6809F98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- 20 Prozent für Dividenden, die ab dem 1. Januar 2005 zuerkannt oder ausgeschüttet wurden,</w:t>
      </w:r>
    </w:p>
    <w:p w14:paraId="61B62B52" w14:textId="77777777" w:rsidR="007D52CA" w:rsidRPr="00F531CC" w:rsidRDefault="007D52CA" w:rsidP="007D52CA">
      <w:pPr>
        <w:jc w:val="both"/>
        <w:rPr>
          <w:rFonts w:eastAsia="Calibri"/>
          <w:szCs w:val="22"/>
          <w:lang w:eastAsia="de-DE" w:bidi="de-DE"/>
        </w:rPr>
      </w:pPr>
    </w:p>
    <w:p w14:paraId="24A8D7F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- 15 Prozent für Dividenden, die ab dem 1. Januar 2007 zuerkannt oder ausgeschüttet wurden,</w:t>
      </w:r>
    </w:p>
    <w:p w14:paraId="7C72A74D" w14:textId="77777777" w:rsidR="007D52CA" w:rsidRPr="00F531CC" w:rsidRDefault="007D52CA" w:rsidP="007D52CA">
      <w:pPr>
        <w:jc w:val="both"/>
        <w:rPr>
          <w:rFonts w:eastAsia="Calibri"/>
          <w:szCs w:val="22"/>
          <w:lang w:eastAsia="de-DE" w:bidi="de-DE"/>
        </w:rPr>
      </w:pPr>
    </w:p>
    <w:p w14:paraId="55891D1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- 10 Prozent für Dividenden, die ab dem 1. Januar 2009 zuerkannt oder ausgeschüttet wurden.]</w:t>
      </w:r>
    </w:p>
    <w:p w14:paraId="082F1AB0" w14:textId="77777777" w:rsidR="007D52CA" w:rsidRDefault="007D52CA" w:rsidP="007D52CA">
      <w:pPr>
        <w:rPr>
          <w:rFonts w:eastAsia="Calibri"/>
          <w:szCs w:val="22"/>
          <w:lang w:eastAsia="de-DE" w:bidi="de-DE"/>
        </w:rPr>
      </w:pPr>
    </w:p>
    <w:p w14:paraId="4EA20659" w14:textId="77777777" w:rsidR="00F563A1" w:rsidRPr="00194E72" w:rsidRDefault="00F563A1" w:rsidP="00F563A1">
      <w:pPr>
        <w:jc w:val="both"/>
      </w:pPr>
      <w:r>
        <w:rPr>
          <w:rFonts w:eastAsia="Calibri"/>
          <w:szCs w:val="22"/>
          <w:lang w:eastAsia="de-DE" w:bidi="de-DE"/>
        </w:rPr>
        <w:tab/>
        <w:t>[</w:t>
      </w:r>
      <w:r w:rsidRPr="00194E72">
        <w:t>§ 5</w:t>
      </w:r>
      <w:r w:rsidRPr="00194E72">
        <w:rPr>
          <w:i/>
        </w:rPr>
        <w:t>ter</w:t>
      </w:r>
      <w:r w:rsidRPr="00194E72">
        <w:t> - Der in Artikel 106 § 6</w:t>
      </w:r>
      <w:r w:rsidRPr="00194E72">
        <w:rPr>
          <w:i/>
        </w:rPr>
        <w:t>ter</w:t>
      </w:r>
      <w:r w:rsidRPr="00194E72">
        <w:t xml:space="preserve"> vorgesehene Verzicht auf die Einnahme des Mobiliensteuervorabzugs unterliegt der Bedingung, dass der Schuldner der Einkünfte eine Bescheinigung erhält, in der bestätigt wird, dass der Empfänger:</w:t>
      </w:r>
    </w:p>
    <w:p w14:paraId="38DA685D" w14:textId="77777777" w:rsidR="00F563A1" w:rsidRPr="00194E72" w:rsidRDefault="00F563A1" w:rsidP="00F563A1">
      <w:pPr>
        <w:jc w:val="both"/>
      </w:pPr>
    </w:p>
    <w:p w14:paraId="2DE27E12" w14:textId="77777777" w:rsidR="00F563A1" w:rsidRPr="00194E72" w:rsidRDefault="00F563A1" w:rsidP="00F563A1">
      <w:pPr>
        <w:jc w:val="both"/>
      </w:pPr>
      <w:r w:rsidRPr="00194E72">
        <w:tab/>
      </w:r>
      <w:r w:rsidRPr="00194E72">
        <w:rPr>
          <w:i/>
        </w:rPr>
        <w:t>a)</w:t>
      </w:r>
      <w:r w:rsidRPr="00194E72">
        <w:t xml:space="preserve"> ein alternativer Organismus für gemeinsame Anlagen ist, der in der Form einer Gesellschaft mit Rechtspersönlichkeit gegründet worden ist und im Ausland als europäischer langfristiger Investmentfonds gemäß der Verordnung (EU) 2015/760 des Europäischen Parlaments und des Rates vom 29. April 2015 über europäische langfristige Investmentfonds zugelassen ist,</w:t>
      </w:r>
    </w:p>
    <w:p w14:paraId="650B3A8D" w14:textId="77777777" w:rsidR="00F563A1" w:rsidRPr="00194E72" w:rsidRDefault="00F563A1" w:rsidP="00F563A1">
      <w:pPr>
        <w:jc w:val="both"/>
      </w:pPr>
    </w:p>
    <w:p w14:paraId="7AD20E08" w14:textId="77777777" w:rsidR="00F563A1" w:rsidRPr="00194E72" w:rsidRDefault="00F563A1" w:rsidP="00F563A1">
      <w:pPr>
        <w:jc w:val="both"/>
      </w:pPr>
      <w:r w:rsidRPr="00194E72">
        <w:tab/>
      </w:r>
      <w:r w:rsidRPr="00194E72">
        <w:rPr>
          <w:i/>
          <w:iCs/>
        </w:rPr>
        <w:t>b)</w:t>
      </w:r>
      <w:r w:rsidRPr="00194E72">
        <w:t> zum Zeitpunkt der Zuerkennung der Einkünfte während eines ununterbrochenen Zeitraums von mindestens einem Jahr eine Mindestbeteiligung wie in § 5</w:t>
      </w:r>
      <w:r w:rsidRPr="00194E72">
        <w:rPr>
          <w:i/>
          <w:iCs/>
        </w:rPr>
        <w:t>bis</w:t>
      </w:r>
      <w:r w:rsidRPr="00194E72">
        <w:t xml:space="preserve"> erwähnt am Kapital der Gesellschaft, die die Einkünfte schuldet, gehalten hat.</w:t>
      </w:r>
    </w:p>
    <w:p w14:paraId="67714ECD" w14:textId="77777777" w:rsidR="00F563A1" w:rsidRPr="00194E72" w:rsidRDefault="00F563A1" w:rsidP="00F563A1">
      <w:pPr>
        <w:jc w:val="both"/>
      </w:pPr>
    </w:p>
    <w:p w14:paraId="00E8FF18" w14:textId="77777777" w:rsidR="00F563A1" w:rsidRPr="00194E72" w:rsidRDefault="00F563A1" w:rsidP="00F563A1">
      <w:pPr>
        <w:jc w:val="both"/>
      </w:pPr>
      <w:r w:rsidRPr="00194E72">
        <w:tab/>
        <w:t>Ist zum Zeitpunkt der Zuerkennung der Dividenden die in Buchstabe </w:t>
      </w:r>
      <w:r w:rsidRPr="00194E72">
        <w:rPr>
          <w:i/>
          <w:iCs/>
        </w:rPr>
        <w:t>b)</w:t>
      </w:r>
      <w:r w:rsidRPr="00194E72">
        <w:t xml:space="preserve"> des vorhergehenden Absatzes erwähnte Besitzdauer von mindestens einem Jahr noch nicht erreicht, </w:t>
      </w:r>
      <w:r w:rsidRPr="00194E72">
        <w:lastRenderedPageBreak/>
        <w:t>muss die Bescheinigung, die der Empfänger dem Schuldner der Einkünfte aushändigt, außerdem Folgendes enthalten:</w:t>
      </w:r>
    </w:p>
    <w:p w14:paraId="058EEF6C" w14:textId="77777777" w:rsidR="00F563A1" w:rsidRPr="00194E72" w:rsidRDefault="00F563A1" w:rsidP="00F563A1">
      <w:pPr>
        <w:jc w:val="both"/>
      </w:pPr>
    </w:p>
    <w:p w14:paraId="5783C273" w14:textId="77777777" w:rsidR="00F563A1" w:rsidRPr="00194E72" w:rsidRDefault="00F563A1" w:rsidP="00F563A1">
      <w:pPr>
        <w:jc w:val="both"/>
      </w:pPr>
      <w:r w:rsidRPr="00194E72">
        <w:tab/>
      </w:r>
      <w:r w:rsidRPr="00194E72">
        <w:rPr>
          <w:i/>
          <w:iCs/>
        </w:rPr>
        <w:t>a)</w:t>
      </w:r>
      <w:r w:rsidRPr="00194E72">
        <w:t> Datum, ab dem eine Mindestbeteiligung wie in § 5</w:t>
      </w:r>
      <w:r w:rsidRPr="00194E72">
        <w:rPr>
          <w:i/>
        </w:rPr>
        <w:t>bis</w:t>
      </w:r>
      <w:r w:rsidRPr="00194E72">
        <w:t xml:space="preserve"> erwähnt ununterbrochen gehalten wird,</w:t>
      </w:r>
    </w:p>
    <w:p w14:paraId="74C78E4C" w14:textId="77777777" w:rsidR="00F563A1" w:rsidRPr="00194E72" w:rsidRDefault="00F563A1" w:rsidP="00F563A1">
      <w:pPr>
        <w:jc w:val="both"/>
      </w:pPr>
    </w:p>
    <w:p w14:paraId="26AAF65E" w14:textId="77777777" w:rsidR="00F563A1" w:rsidRPr="00194E72" w:rsidRDefault="00F563A1" w:rsidP="00F563A1">
      <w:pPr>
        <w:jc w:val="both"/>
      </w:pPr>
      <w:r w:rsidRPr="00194E72">
        <w:tab/>
      </w:r>
      <w:r w:rsidRPr="00194E72">
        <w:rPr>
          <w:i/>
          <w:iCs/>
        </w:rPr>
        <w:t>b)</w:t>
      </w:r>
      <w:r w:rsidRPr="00194E72">
        <w:t> Verpflichtung, diese Mindestbeteiligung aufrechtzuerhalten, bis die Besitzdauer von mindestens einem Jahr erreicht ist, und die Tochtergesellschaft sofort von der Erfüllung dieser Verpflichtung in Kenntnis zu setzen,</w:t>
      </w:r>
    </w:p>
    <w:p w14:paraId="07BA3843" w14:textId="77777777" w:rsidR="00F563A1" w:rsidRPr="00194E72" w:rsidRDefault="00F563A1" w:rsidP="00F563A1">
      <w:pPr>
        <w:jc w:val="both"/>
      </w:pPr>
    </w:p>
    <w:p w14:paraId="4590C3FD" w14:textId="328B4958" w:rsidR="00F563A1" w:rsidRDefault="00F563A1" w:rsidP="00F563A1">
      <w:pPr>
        <w:jc w:val="both"/>
      </w:pPr>
      <w:r w:rsidRPr="00194E72">
        <w:tab/>
      </w:r>
      <w:r w:rsidRPr="00194E72">
        <w:rPr>
          <w:i/>
          <w:iCs/>
        </w:rPr>
        <w:t>c)</w:t>
      </w:r>
      <w:r w:rsidRPr="00194E72">
        <w:t> Verpflichtung, die Tochtergesellschaft sofort in Kenntnis zu setzen, wenn die Beteiligung vor Ende des Zeitraums von einem Jahr den in § 5</w:t>
      </w:r>
      <w:r w:rsidRPr="00194E72">
        <w:rPr>
          <w:i/>
          <w:iCs/>
        </w:rPr>
        <w:t>bis</w:t>
      </w:r>
      <w:r w:rsidRPr="00194E72">
        <w:t xml:space="preserve"> erwähnten Mindestprozentsatz unterschreitet.</w:t>
      </w:r>
      <w:r>
        <w:t xml:space="preserve">] </w:t>
      </w:r>
    </w:p>
    <w:p w14:paraId="49782C8E" w14:textId="77777777" w:rsidR="00F563A1" w:rsidRPr="00F531CC" w:rsidRDefault="00F563A1" w:rsidP="00F563A1">
      <w:pPr>
        <w:rPr>
          <w:rFonts w:eastAsia="Calibri"/>
          <w:szCs w:val="22"/>
          <w:lang w:eastAsia="de-DE" w:bidi="de-DE"/>
        </w:rPr>
      </w:pPr>
    </w:p>
    <w:p w14:paraId="121F7F0C" w14:textId="6A276735" w:rsidR="007D52CA" w:rsidRPr="00F531CC" w:rsidRDefault="007D52CA" w:rsidP="007D52CA">
      <w:pPr>
        <w:jc w:val="both"/>
        <w:rPr>
          <w:rFonts w:eastAsia="Calibri"/>
          <w:szCs w:val="22"/>
          <w:lang w:eastAsia="de-DE" w:bidi="de-DE"/>
        </w:rPr>
      </w:pPr>
      <w:r w:rsidRPr="00F531CC">
        <w:rPr>
          <w:rFonts w:eastAsia="Calibri"/>
          <w:szCs w:val="22"/>
          <w:lang w:eastAsia="de-DE" w:bidi="de-DE"/>
        </w:rPr>
        <w:tab/>
        <w:t>§ 6 - Der in den Artikeln </w:t>
      </w:r>
      <w:r w:rsidR="00253009">
        <w:rPr>
          <w:rFonts w:eastAsia="Calibri"/>
          <w:szCs w:val="22"/>
          <w:lang w:eastAsia="de-DE" w:bidi="de-DE"/>
        </w:rPr>
        <w:t>[…]</w:t>
      </w:r>
      <w:r w:rsidRPr="00F531CC">
        <w:rPr>
          <w:rFonts w:eastAsia="Calibri"/>
          <w:szCs w:val="22"/>
          <w:lang w:eastAsia="de-DE" w:bidi="de-DE"/>
        </w:rPr>
        <w:t xml:space="preserve"> [107 § 2 Nr. 5 Buchstabe </w:t>
      </w:r>
      <w:r w:rsidRPr="00F531CC">
        <w:rPr>
          <w:rFonts w:eastAsia="Calibri"/>
          <w:i/>
          <w:szCs w:val="22"/>
          <w:lang w:eastAsia="de-DE" w:bidi="de-DE"/>
        </w:rPr>
        <w:t>b)</w:t>
      </w:r>
      <w:r w:rsidRPr="00F531CC">
        <w:rPr>
          <w:rFonts w:eastAsia="Calibri"/>
          <w:szCs w:val="22"/>
          <w:lang w:eastAsia="de-DE" w:bidi="de-DE"/>
        </w:rPr>
        <w:t xml:space="preserve"> bis </w:t>
      </w:r>
      <w:r w:rsidRPr="00F531CC">
        <w:rPr>
          <w:rFonts w:eastAsia="Calibri"/>
          <w:i/>
          <w:szCs w:val="22"/>
          <w:lang w:eastAsia="de-DE" w:bidi="de-DE"/>
        </w:rPr>
        <w:t>f)</w:t>
      </w:r>
      <w:r w:rsidRPr="00F531CC">
        <w:rPr>
          <w:rFonts w:eastAsia="Calibri"/>
          <w:szCs w:val="22"/>
          <w:lang w:eastAsia="de-DE" w:bidi="de-DE"/>
        </w:rPr>
        <w:t xml:space="preserve"> und Nr. 6], 110 Nr. 4 Buchstabe </w:t>
      </w:r>
      <w:r w:rsidRPr="00F531CC">
        <w:rPr>
          <w:rFonts w:eastAsia="Calibri"/>
          <w:i/>
          <w:szCs w:val="22"/>
          <w:lang w:eastAsia="de-DE" w:bidi="de-DE"/>
        </w:rPr>
        <w:t>b)</w:t>
      </w:r>
      <w:r w:rsidRPr="00F531CC">
        <w:rPr>
          <w:rFonts w:eastAsia="Calibri"/>
          <w:szCs w:val="22"/>
          <w:lang w:eastAsia="de-DE" w:bidi="de-DE"/>
        </w:rPr>
        <w:t xml:space="preserve"> und </w:t>
      </w:r>
      <w:r w:rsidRPr="00F531CC">
        <w:rPr>
          <w:rFonts w:eastAsia="Calibri"/>
          <w:i/>
          <w:szCs w:val="22"/>
          <w:lang w:eastAsia="de-DE" w:bidi="de-DE"/>
        </w:rPr>
        <w:t>d)</w:t>
      </w:r>
      <w:r w:rsidRPr="00F531CC">
        <w:rPr>
          <w:rFonts w:eastAsia="Calibri"/>
          <w:szCs w:val="22"/>
          <w:lang w:eastAsia="de-DE" w:bidi="de-DE"/>
        </w:rPr>
        <w:t>, 113 § 2 Nr. 2 Buchstabe </w:t>
      </w:r>
      <w:r w:rsidRPr="00F531CC">
        <w:rPr>
          <w:rFonts w:eastAsia="Calibri"/>
          <w:i/>
          <w:szCs w:val="22"/>
          <w:lang w:eastAsia="de-DE" w:bidi="de-DE"/>
        </w:rPr>
        <w:t>b)</w:t>
      </w:r>
      <w:r w:rsidRPr="00F531CC">
        <w:rPr>
          <w:rFonts w:eastAsia="Calibri"/>
          <w:szCs w:val="22"/>
          <w:lang w:eastAsia="de-DE" w:bidi="de-DE"/>
        </w:rPr>
        <w:t xml:space="preserve"> und § 3 Buchstabe </w:t>
      </w:r>
      <w:r w:rsidRPr="00F531CC">
        <w:rPr>
          <w:rFonts w:eastAsia="Calibri"/>
          <w:i/>
          <w:szCs w:val="22"/>
          <w:lang w:eastAsia="de-DE" w:bidi="de-DE"/>
        </w:rPr>
        <w:t>c)</w:t>
      </w:r>
      <w:r w:rsidRPr="00F531CC">
        <w:rPr>
          <w:rFonts w:eastAsia="Calibri"/>
          <w:szCs w:val="22"/>
          <w:lang w:eastAsia="de-DE" w:bidi="de-DE"/>
        </w:rPr>
        <w:t xml:space="preserve"> und 114 § 2 Buchstabe </w:t>
      </w:r>
      <w:r w:rsidRPr="00F531CC">
        <w:rPr>
          <w:rFonts w:eastAsia="Calibri"/>
          <w:i/>
          <w:szCs w:val="22"/>
          <w:lang w:eastAsia="de-DE" w:bidi="de-DE"/>
        </w:rPr>
        <w:t>c)</w:t>
      </w:r>
      <w:r w:rsidRPr="00F531CC">
        <w:rPr>
          <w:rFonts w:eastAsia="Calibri"/>
          <w:szCs w:val="22"/>
          <w:lang w:eastAsia="de-DE" w:bidi="de-DE"/>
        </w:rPr>
        <w:t xml:space="preserve"> vorgesehene Verzicht auf die Einnahme des Mobiliensteuervorabzugs unterliegt der Bedingung, dass der Schuldner der Einkünfte eine Bescheinigung erhält, in der bestätigt wird, dass die Empfänger:</w:t>
      </w:r>
    </w:p>
    <w:p w14:paraId="5D59B02C" w14:textId="77777777" w:rsidR="007D52CA" w:rsidRPr="00F531CC" w:rsidRDefault="007D52CA" w:rsidP="007D52CA">
      <w:pPr>
        <w:jc w:val="both"/>
        <w:rPr>
          <w:rFonts w:eastAsia="Calibri"/>
          <w:szCs w:val="22"/>
          <w:lang w:eastAsia="de-DE" w:bidi="de-DE"/>
        </w:rPr>
      </w:pPr>
    </w:p>
    <w:p w14:paraId="54C8666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Eigentümer oder Nießbraucher des beweglichen Kapitalvermögens sind, das die Einkünfte erzeugt,</w:t>
      </w:r>
    </w:p>
    <w:p w14:paraId="270D0570" w14:textId="77777777" w:rsidR="007D52CA" w:rsidRPr="00F531CC" w:rsidRDefault="007D52CA" w:rsidP="007D52CA">
      <w:pPr>
        <w:jc w:val="both"/>
        <w:rPr>
          <w:rFonts w:eastAsia="Calibri"/>
          <w:szCs w:val="22"/>
          <w:lang w:eastAsia="de-DE" w:bidi="de-DE"/>
        </w:rPr>
      </w:pPr>
    </w:p>
    <w:p w14:paraId="39965DDF" w14:textId="77777777" w:rsidR="00253009" w:rsidRDefault="007D52CA" w:rsidP="00253009">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Gebietsfremde sind, die dieses Kapitalvermögen nicht zur Ausübung einer beruflichen Tätigkeit in Belgien genutzt haben.</w:t>
      </w:r>
    </w:p>
    <w:p w14:paraId="589C1917" w14:textId="77777777" w:rsidR="00253009" w:rsidRDefault="00253009" w:rsidP="00253009">
      <w:pPr>
        <w:jc w:val="both"/>
        <w:rPr>
          <w:rFonts w:eastAsia="Calibri"/>
          <w:szCs w:val="22"/>
          <w:lang w:eastAsia="de-DE" w:bidi="de-DE"/>
        </w:rPr>
      </w:pPr>
    </w:p>
    <w:p w14:paraId="777B6277" w14:textId="02B50E74" w:rsidR="00253009" w:rsidRPr="003D71B2" w:rsidRDefault="00253009" w:rsidP="00253009">
      <w:pPr>
        <w:jc w:val="both"/>
      </w:pPr>
      <w:r>
        <w:rPr>
          <w:rFonts w:eastAsia="Calibri"/>
          <w:szCs w:val="22"/>
          <w:lang w:eastAsia="de-DE" w:bidi="de-DE"/>
        </w:rPr>
        <w:tab/>
        <w:t>[</w:t>
      </w:r>
      <w:r w:rsidRPr="003D71B2">
        <w:t>§ 6/1 - Der in Artikel 106 § 7 vorgesehene Verzicht auf die Einnahme des Mobilien</w:t>
      </w:r>
      <w:r w:rsidRPr="003D71B2">
        <w:softHyphen/>
        <w:t>steuervorabzugs unterliegt der Bedingung, dass der Schuldner der Einkünfte eine Beschei</w:t>
      </w:r>
      <w:r w:rsidRPr="003D71B2">
        <w:softHyphen/>
        <w:t>nigung erhält, in der bestätigt wird, dass die Empfänger:</w:t>
      </w:r>
    </w:p>
    <w:p w14:paraId="537D6AA3" w14:textId="77777777" w:rsidR="00253009" w:rsidRPr="003D71B2" w:rsidRDefault="00253009" w:rsidP="00253009">
      <w:pPr>
        <w:jc w:val="both"/>
      </w:pPr>
    </w:p>
    <w:p w14:paraId="0D70CF5A" w14:textId="77777777" w:rsidR="00253009" w:rsidRPr="003D71B2" w:rsidRDefault="00253009" w:rsidP="00253009">
      <w:pPr>
        <w:jc w:val="both"/>
      </w:pPr>
      <w:r w:rsidRPr="003D71B2">
        <w:tab/>
      </w:r>
      <w:r w:rsidRPr="003D71B2">
        <w:rPr>
          <w:i/>
        </w:rPr>
        <w:t>a)</w:t>
      </w:r>
      <w:r w:rsidRPr="003D71B2">
        <w:t> Eigentümer oder Nießbraucher des beweglichen Kapitalvermögens sind, das die Einkünfte erzeugt,</w:t>
      </w:r>
    </w:p>
    <w:p w14:paraId="3BCF64E5" w14:textId="77777777" w:rsidR="00253009" w:rsidRPr="003D71B2" w:rsidRDefault="00253009" w:rsidP="00253009">
      <w:pPr>
        <w:jc w:val="both"/>
      </w:pPr>
    </w:p>
    <w:p w14:paraId="1E5E7DAF" w14:textId="77777777" w:rsidR="00253009" w:rsidRPr="003D71B2" w:rsidRDefault="00253009" w:rsidP="00253009">
      <w:pPr>
        <w:jc w:val="both"/>
      </w:pPr>
      <w:r w:rsidRPr="003D71B2">
        <w:tab/>
      </w:r>
      <w:r w:rsidRPr="003D71B2">
        <w:rPr>
          <w:i/>
        </w:rPr>
        <w:t>b)</w:t>
      </w:r>
      <w:r w:rsidRPr="003D71B2">
        <w:t> Gebietsfremde sind, die dieses Kapitalvermögen nicht zur Ausübung einer beruf</w:t>
      </w:r>
      <w:r w:rsidRPr="003D71B2">
        <w:softHyphen/>
        <w:t>lichen Tätigkeit in Belgien genutzt haben.</w:t>
      </w:r>
    </w:p>
    <w:p w14:paraId="2A0869E8" w14:textId="77777777" w:rsidR="00253009" w:rsidRPr="003D71B2" w:rsidRDefault="00253009" w:rsidP="00253009">
      <w:pPr>
        <w:jc w:val="both"/>
      </w:pPr>
    </w:p>
    <w:p w14:paraId="6D6C2B72" w14:textId="77777777" w:rsidR="00F76A2A" w:rsidRDefault="00253009" w:rsidP="00F76A2A">
      <w:pPr>
        <w:jc w:val="both"/>
        <w:rPr>
          <w:rFonts w:eastAsia="Calibri"/>
          <w:szCs w:val="22"/>
          <w:lang w:eastAsia="de-DE" w:bidi="de-DE"/>
        </w:rPr>
      </w:pPr>
      <w:r w:rsidRPr="003D71B2">
        <w:tab/>
        <w:t>Der Verzicht unterliegt außerdem der Bedingung, dass der Schuldner des Mobilien</w:t>
      </w:r>
      <w:r w:rsidRPr="003D71B2">
        <w:softHyphen/>
        <w:t>steuervorabzugs angibt, in welchem Maße die ausgeschütteten Dividenden aus den in Absatz 2 erwähnten Dividenden und Einkünften stammen oder nicht.</w:t>
      </w:r>
      <w:r>
        <w:rPr>
          <w:rFonts w:eastAsia="Calibri"/>
          <w:szCs w:val="22"/>
          <w:lang w:eastAsia="de-DE" w:bidi="de-DE"/>
        </w:rPr>
        <w:t>]</w:t>
      </w:r>
    </w:p>
    <w:p w14:paraId="0C6357E3" w14:textId="4683C714" w:rsidR="00FA5F5E" w:rsidRDefault="00FA5F5E" w:rsidP="00F76A2A">
      <w:pPr>
        <w:jc w:val="both"/>
        <w:rPr>
          <w:rFonts w:eastAsia="Calibri"/>
          <w:szCs w:val="22"/>
          <w:lang w:eastAsia="de-DE" w:bidi="de-DE"/>
        </w:rPr>
      </w:pPr>
    </w:p>
    <w:p w14:paraId="2860BB19" w14:textId="078B7710" w:rsidR="007D52CA" w:rsidRPr="00F531CC" w:rsidRDefault="007D52CA" w:rsidP="007D52CA">
      <w:pPr>
        <w:jc w:val="both"/>
        <w:rPr>
          <w:rFonts w:eastAsia="Calibri"/>
          <w:szCs w:val="22"/>
          <w:lang w:eastAsia="de-DE" w:bidi="de-DE"/>
        </w:rPr>
      </w:pPr>
      <w:r w:rsidRPr="00F531CC">
        <w:rPr>
          <w:rFonts w:eastAsia="Calibri"/>
          <w:szCs w:val="22"/>
          <w:lang w:eastAsia="de-DE" w:bidi="de-DE"/>
        </w:rPr>
        <w:tab/>
        <w:t>[§ 6</w:t>
      </w:r>
      <w:r w:rsidRPr="00F531CC">
        <w:rPr>
          <w:rFonts w:eastAsia="Calibri"/>
          <w:i/>
          <w:szCs w:val="22"/>
          <w:lang w:eastAsia="de-DE" w:bidi="de-DE"/>
        </w:rPr>
        <w:t>bis</w:t>
      </w:r>
      <w:r w:rsidRPr="00F531CC">
        <w:rPr>
          <w:rFonts w:eastAsia="Calibri"/>
          <w:szCs w:val="22"/>
          <w:lang w:eastAsia="de-DE" w:bidi="de-DE"/>
        </w:rPr>
        <w:t> - Der in den Artikeln 107 § 6, 111 Buchstabe </w:t>
      </w:r>
      <w:r w:rsidRPr="00F531CC">
        <w:rPr>
          <w:rFonts w:eastAsia="Calibri"/>
          <w:i/>
          <w:szCs w:val="22"/>
          <w:lang w:eastAsia="de-DE" w:bidi="de-DE"/>
        </w:rPr>
        <w:t>d)</w:t>
      </w:r>
      <w:r w:rsidRPr="00F531CC">
        <w:rPr>
          <w:rFonts w:eastAsia="Calibri"/>
          <w:szCs w:val="22"/>
          <w:lang w:eastAsia="de-DE" w:bidi="de-DE"/>
        </w:rPr>
        <w:t xml:space="preserve"> und 113 § 7 vorgesehene Verzicht auf die Einnahme des Mobiliensteuervorabzugs unterliegt der Bedingung, dass der Schuldner der Einkünfte eine Bescheinigung erhält, in der bestätigt wird, dass:</w:t>
      </w:r>
    </w:p>
    <w:p w14:paraId="21F66D40" w14:textId="77777777" w:rsidR="007D52CA" w:rsidRPr="00F531CC" w:rsidRDefault="007D52CA" w:rsidP="007D52CA">
      <w:pPr>
        <w:jc w:val="both"/>
        <w:rPr>
          <w:rFonts w:eastAsia="Calibri"/>
          <w:szCs w:val="22"/>
          <w:lang w:eastAsia="de-DE" w:bidi="de-DE"/>
        </w:rPr>
      </w:pPr>
    </w:p>
    <w:p w14:paraId="05C9E87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der Empfänger eine inländische Gesellschaft oder eine in Artikel 105 Nr. 6 Buchstabe </w:t>
      </w:r>
      <w:r w:rsidRPr="00F531CC">
        <w:rPr>
          <w:rFonts w:eastAsia="Calibri"/>
          <w:i/>
          <w:szCs w:val="22"/>
          <w:lang w:eastAsia="de-DE" w:bidi="de-DE"/>
        </w:rPr>
        <w:t>a)</w:t>
      </w:r>
      <w:r w:rsidRPr="00F531CC">
        <w:rPr>
          <w:rFonts w:eastAsia="Calibri"/>
          <w:szCs w:val="22"/>
          <w:lang w:eastAsia="de-DE" w:bidi="de-DE"/>
        </w:rPr>
        <w:t xml:space="preserve"> erwähnte Gesellschaft eines Mitgliedstaats ist,</w:t>
      </w:r>
    </w:p>
    <w:p w14:paraId="2DE74019" w14:textId="77777777" w:rsidR="007D52CA" w:rsidRPr="00F531CC" w:rsidRDefault="007D52CA" w:rsidP="007D52CA">
      <w:pPr>
        <w:jc w:val="both"/>
        <w:rPr>
          <w:rFonts w:eastAsia="Calibri"/>
          <w:szCs w:val="22"/>
          <w:lang w:eastAsia="de-DE" w:bidi="de-DE"/>
        </w:rPr>
      </w:pPr>
    </w:p>
    <w:p w14:paraId="1B92BB0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gegebenenfalls die in Artikel 105 Nr. 6 Buchstabe </w:t>
      </w:r>
      <w:r w:rsidRPr="00F531CC">
        <w:rPr>
          <w:rFonts w:eastAsia="Calibri"/>
          <w:i/>
          <w:szCs w:val="22"/>
          <w:lang w:eastAsia="de-DE" w:bidi="de-DE"/>
        </w:rPr>
        <w:t>b)</w:t>
      </w:r>
      <w:r w:rsidRPr="00F531CC">
        <w:rPr>
          <w:rFonts w:eastAsia="Calibri"/>
          <w:szCs w:val="22"/>
          <w:lang w:eastAsia="de-DE" w:bidi="de-DE"/>
        </w:rPr>
        <w:t xml:space="preserve"> erwähnte Drittgesellschaft eine Gesellschaft eines Mitgliedstaats der Europäischen Union ist,</w:t>
      </w:r>
    </w:p>
    <w:p w14:paraId="671DBB01" w14:textId="77777777" w:rsidR="007D52CA" w:rsidRPr="00F531CC" w:rsidRDefault="007D52CA" w:rsidP="007D52CA">
      <w:pPr>
        <w:jc w:val="both"/>
        <w:rPr>
          <w:rFonts w:eastAsia="Calibri"/>
          <w:szCs w:val="22"/>
          <w:lang w:eastAsia="de-DE" w:bidi="de-DE"/>
        </w:rPr>
      </w:pPr>
    </w:p>
    <w:p w14:paraId="7A9C0FC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r>
      <w:r w:rsidRPr="00F531CC">
        <w:rPr>
          <w:rFonts w:eastAsia="Calibri"/>
          <w:i/>
          <w:szCs w:val="22"/>
          <w:lang w:eastAsia="de-DE" w:bidi="de-DE"/>
        </w:rPr>
        <w:t>c)</w:t>
      </w:r>
      <w:r w:rsidRPr="00F531CC">
        <w:rPr>
          <w:rFonts w:eastAsia="Calibri"/>
          <w:szCs w:val="22"/>
          <w:lang w:eastAsia="de-DE" w:bidi="de-DE"/>
        </w:rPr>
        <w:t> je nach Fall der Schuldner, der Empfänger oder die Drittgesellschaft zum Zeitpunkt der Zuerkennung oder Ausschüttung der Einkünfte während eines ununterbrochenen Zeitraums von mindestens einem Jahr eine direkte oder indirekte Beteiligung von mindestens 25 Prozent am Kapital des Empfängers oder des Schuldners beziehungsweise am Kapital der einen und der anderen dieser Gesellschaften in Volleigentum gehalten hat,</w:t>
      </w:r>
    </w:p>
    <w:p w14:paraId="5016D74E" w14:textId="77777777" w:rsidR="007D52CA" w:rsidRPr="00F531CC" w:rsidRDefault="007D52CA" w:rsidP="007D52CA">
      <w:pPr>
        <w:rPr>
          <w:rFonts w:eastAsia="Calibri"/>
          <w:szCs w:val="22"/>
          <w:lang w:eastAsia="de-DE" w:bidi="de-DE"/>
        </w:rPr>
      </w:pPr>
    </w:p>
    <w:p w14:paraId="174EAF3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d)</w:t>
      </w:r>
      <w:r w:rsidRPr="00F531CC">
        <w:rPr>
          <w:rFonts w:eastAsia="Calibri"/>
          <w:szCs w:val="22"/>
          <w:lang w:eastAsia="de-DE" w:bidi="de-DE"/>
        </w:rPr>
        <w:t> der Empfänger der Einkünfte Eigentümer oder Nießbraucher der Wertpapiere, Rechte oder Güter ist, die die Einkünfte erzeugen, und dass diese Wertpapiere, Rechte oder Güter zu keinem Zeitpunkt des Zeitraums, in dem diese Einkünfte erzeugt wurden, unter den Aktiva einer Niederlassung ausgewiesen waren, über die er außerhalb des Gebiets der Europäischen Union verfügt.</w:t>
      </w:r>
    </w:p>
    <w:p w14:paraId="40A4AFB1" w14:textId="77777777" w:rsidR="007D52CA" w:rsidRPr="00F531CC" w:rsidRDefault="007D52CA" w:rsidP="007D52CA">
      <w:pPr>
        <w:jc w:val="both"/>
        <w:rPr>
          <w:rFonts w:eastAsia="Calibri"/>
          <w:szCs w:val="22"/>
          <w:lang w:eastAsia="de-DE" w:bidi="de-DE"/>
        </w:rPr>
      </w:pPr>
    </w:p>
    <w:p w14:paraId="08F4E38F" w14:textId="7F18EC56" w:rsidR="007D52CA" w:rsidRPr="00F531CC" w:rsidRDefault="007D52CA" w:rsidP="007D52CA">
      <w:pPr>
        <w:jc w:val="both"/>
        <w:rPr>
          <w:rFonts w:eastAsia="Calibri"/>
          <w:szCs w:val="22"/>
          <w:lang w:eastAsia="de-DE" w:bidi="de-DE"/>
        </w:rPr>
      </w:pPr>
      <w:r w:rsidRPr="00F531CC">
        <w:rPr>
          <w:rFonts w:eastAsia="Calibri"/>
          <w:szCs w:val="22"/>
          <w:lang w:eastAsia="de-DE" w:bidi="de-DE"/>
        </w:rPr>
        <w:tab/>
        <w:t>Ist zum Zeitpunkt der Zuerkennung oder Ausschüttung der Einkünfte die in Buchstabe </w:t>
      </w:r>
      <w:r w:rsidRPr="00F531CC">
        <w:rPr>
          <w:rFonts w:eastAsia="Calibri"/>
          <w:i/>
          <w:szCs w:val="22"/>
          <w:lang w:eastAsia="de-DE" w:bidi="de-DE"/>
        </w:rPr>
        <w:t>c)</w:t>
      </w:r>
      <w:r w:rsidRPr="00F531CC">
        <w:rPr>
          <w:rFonts w:eastAsia="Calibri"/>
          <w:szCs w:val="22"/>
          <w:lang w:eastAsia="de-DE" w:bidi="de-DE"/>
        </w:rPr>
        <w:t xml:space="preserve"> des vorhergehenden Absatzes erwähnte Besitzdauer von mindestens einem Jahr noch nicht erreicht, muss die Bescheinigung, die der Empfänger oder die Drittgesellschaft dem Schuldner der Einkünfte aushändigt, außerdem Folgendes enthalten:</w:t>
      </w:r>
    </w:p>
    <w:p w14:paraId="35CA98A7" w14:textId="77777777" w:rsidR="007D52CA" w:rsidRPr="00F531CC" w:rsidRDefault="007D52CA" w:rsidP="007D52CA">
      <w:pPr>
        <w:jc w:val="both"/>
        <w:rPr>
          <w:rFonts w:eastAsia="Calibri"/>
          <w:szCs w:val="22"/>
          <w:lang w:eastAsia="de-DE" w:bidi="de-DE"/>
        </w:rPr>
      </w:pPr>
    </w:p>
    <w:p w14:paraId="384EFEE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Datum, ab dem eine Beteiligung von mindestens 25 Prozent ununterbrochen gehalten wird,</w:t>
      </w:r>
    </w:p>
    <w:p w14:paraId="4994F121" w14:textId="77777777" w:rsidR="007D52CA" w:rsidRPr="00F531CC" w:rsidRDefault="007D52CA" w:rsidP="007D52CA">
      <w:pPr>
        <w:jc w:val="both"/>
        <w:rPr>
          <w:rFonts w:eastAsia="Calibri"/>
          <w:szCs w:val="22"/>
          <w:lang w:eastAsia="de-DE" w:bidi="de-DE"/>
        </w:rPr>
      </w:pPr>
    </w:p>
    <w:p w14:paraId="71F34E5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Verpflichtung, diese Mindestbeteiligung aufrechtzuerhalten, bis die Besitzdauer von mindestens einem Jahr erreicht ist, und den Schuldner der Einkünfte sofort von der Erfüllung dieser Verpflichtung in Kenntnis zu setzen,</w:t>
      </w:r>
    </w:p>
    <w:p w14:paraId="1E1120CC" w14:textId="77777777" w:rsidR="007D52CA" w:rsidRPr="00F531CC" w:rsidRDefault="007D52CA" w:rsidP="007D52CA">
      <w:pPr>
        <w:rPr>
          <w:rFonts w:eastAsia="Calibri"/>
          <w:szCs w:val="22"/>
          <w:lang w:eastAsia="de-DE" w:bidi="de-DE"/>
        </w:rPr>
      </w:pPr>
    </w:p>
    <w:p w14:paraId="1223E6C9"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Verpflichtung, den Schuldner der Einkünfte sofort in Kenntnis zu setzen, wenn die Beteiligung vor Ende des Zeitraums von einem Jahr die Grenze von 25 Prozent unterschreitet.]</w:t>
      </w:r>
    </w:p>
    <w:p w14:paraId="06597B19" w14:textId="77777777" w:rsidR="007D52CA" w:rsidRPr="00F531CC" w:rsidRDefault="007D52CA" w:rsidP="007D52CA">
      <w:pPr>
        <w:jc w:val="both"/>
        <w:rPr>
          <w:rFonts w:eastAsia="Calibri"/>
          <w:szCs w:val="22"/>
          <w:lang w:eastAsia="de-DE" w:bidi="de-DE"/>
        </w:rPr>
      </w:pPr>
    </w:p>
    <w:p w14:paraId="31D42BE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6</w:t>
      </w:r>
      <w:r w:rsidRPr="00F531CC">
        <w:rPr>
          <w:rFonts w:eastAsia="Calibri"/>
          <w:i/>
          <w:szCs w:val="22"/>
          <w:lang w:eastAsia="de-DE" w:bidi="de-DE"/>
        </w:rPr>
        <w:t>ter</w:t>
      </w:r>
      <w:r w:rsidRPr="00F531CC">
        <w:rPr>
          <w:rFonts w:eastAsia="Calibri"/>
          <w:szCs w:val="22"/>
          <w:lang w:eastAsia="de-DE" w:bidi="de-DE"/>
        </w:rPr>
        <w:t> - Der in Artikel 107 § 2 Nr. 10 vorgesehene Verzicht auf die Einnahme des Mobiliensteuervorabzugs unterliegt der Bedingung, dass der Schuldner der Einkünfte eine Bescheinigung erhält, in der bestätigt wird, dass der Empfänger:</w:t>
      </w:r>
    </w:p>
    <w:p w14:paraId="33A4EAC6" w14:textId="77777777" w:rsidR="007D52CA" w:rsidRPr="00F531CC" w:rsidRDefault="007D52CA" w:rsidP="007D52CA">
      <w:pPr>
        <w:jc w:val="both"/>
        <w:rPr>
          <w:rFonts w:eastAsia="Calibri"/>
          <w:szCs w:val="22"/>
          <w:lang w:eastAsia="de-DE" w:bidi="de-DE"/>
        </w:rPr>
      </w:pPr>
    </w:p>
    <w:p w14:paraId="58CF8E1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Eigentümer oder Nießbraucher des beweglichen Kapitalvermögens ist, das die Einkünfte erzeugt,</w:t>
      </w:r>
    </w:p>
    <w:p w14:paraId="2D89D760" w14:textId="77777777" w:rsidR="007D52CA" w:rsidRPr="00F531CC" w:rsidRDefault="007D52CA" w:rsidP="007D52CA">
      <w:pPr>
        <w:jc w:val="both"/>
        <w:rPr>
          <w:rFonts w:eastAsia="Calibri"/>
          <w:szCs w:val="22"/>
          <w:lang w:eastAsia="de-DE" w:bidi="de-DE"/>
        </w:rPr>
      </w:pPr>
    </w:p>
    <w:p w14:paraId="1C18565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ein Gebietsfremder ist, der dieses Kapitalvermögen nicht zur Ausübung einer beruflichen Tätigkeit in Belgien genutzt hat,</w:t>
      </w:r>
    </w:p>
    <w:p w14:paraId="6CB61B7A" w14:textId="77777777" w:rsidR="007D52CA" w:rsidRPr="00F531CC" w:rsidRDefault="007D52CA" w:rsidP="007D52CA">
      <w:pPr>
        <w:jc w:val="both"/>
        <w:rPr>
          <w:rFonts w:eastAsia="Calibri"/>
          <w:szCs w:val="22"/>
          <w:lang w:eastAsia="de-DE" w:bidi="de-DE"/>
        </w:rPr>
      </w:pPr>
    </w:p>
    <w:p w14:paraId="0BA5469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 entweder ein in Artikel 227 Nr. 1 oder 3 des Einkommensteuergesetzbuches 1992 erwähnter Gebietsfremder ist,</w:t>
      </w:r>
    </w:p>
    <w:p w14:paraId="5E924754" w14:textId="77777777" w:rsidR="007D52CA" w:rsidRPr="00F531CC" w:rsidRDefault="007D52CA" w:rsidP="007D52CA">
      <w:pPr>
        <w:jc w:val="both"/>
        <w:rPr>
          <w:rFonts w:eastAsia="Calibri"/>
          <w:szCs w:val="22"/>
          <w:lang w:eastAsia="de-DE" w:bidi="de-DE"/>
        </w:rPr>
      </w:pPr>
    </w:p>
    <w:p w14:paraId="2CC7430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oder ein in Artikel 227 Nr. 2 des Einkommensteuergesetzbuches 1992 erwähnter Gebietsfremder ist, der in einem Land ansässig ist, in dem die Bestimmungen des allgemeinen Rechts in Bezug auf Steuern nicht erheblich vorteilhafter sind als in Belgien, und dort einer Einkommensteuer unterliegt oder dessen Aktien oder Anteile nicht mindestens zur Hälfte im Besitz von Einwohnern des Königreichs sind,</w:t>
      </w:r>
    </w:p>
    <w:p w14:paraId="73621689" w14:textId="77777777" w:rsidR="007D52CA" w:rsidRPr="00F531CC" w:rsidRDefault="007D52CA" w:rsidP="007D52CA">
      <w:pPr>
        <w:jc w:val="both"/>
        <w:rPr>
          <w:rFonts w:eastAsia="Calibri"/>
          <w:szCs w:val="22"/>
          <w:lang w:eastAsia="de-DE" w:bidi="de-DE"/>
        </w:rPr>
      </w:pPr>
    </w:p>
    <w:p w14:paraId="1507872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oder eine Investmentgesellschaft ist, die öffentlich zur Zeichnung aufgefordert hat.]</w:t>
      </w:r>
    </w:p>
    <w:p w14:paraId="5CD97122" w14:textId="77777777" w:rsidR="007D52CA" w:rsidRPr="00F531CC" w:rsidRDefault="007D52CA" w:rsidP="007D52CA">
      <w:pPr>
        <w:jc w:val="both"/>
        <w:rPr>
          <w:rFonts w:eastAsia="Calibri"/>
          <w:szCs w:val="22"/>
          <w:lang w:eastAsia="de-DE" w:bidi="de-DE"/>
        </w:rPr>
      </w:pPr>
    </w:p>
    <w:p w14:paraId="1CD6108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7 - Der in Artikel 115 § 1 vorgesehene Verzicht auf die Einnahme des Mobiliensteuervorabzugs unterliegt der Bedingung, dass die Verwaltungsgesellschaft des </w:t>
      </w:r>
      <w:r w:rsidRPr="00F531CC">
        <w:rPr>
          <w:rFonts w:eastAsia="Calibri"/>
          <w:szCs w:val="22"/>
          <w:lang w:eastAsia="de-DE" w:bidi="de-DE"/>
        </w:rPr>
        <w:lastRenderedPageBreak/>
        <w:t>[Pensionssparfonds] dem Schuldner des Mobiliensteuervorabzugs eine Bescheinigung aushändigt, in der bestätigt wird, dass es sich um Einkünfte handelt, die zugunsten kollektiver Sparkonten wie in [Artikel 145</w:t>
      </w:r>
      <w:r w:rsidRPr="00F531CC">
        <w:rPr>
          <w:rFonts w:eastAsia="Calibri"/>
          <w:szCs w:val="22"/>
          <w:vertAlign w:val="superscript"/>
          <w:lang w:eastAsia="de-DE" w:bidi="de-DE"/>
        </w:rPr>
        <w:t>16</w:t>
      </w:r>
      <w:r w:rsidRPr="00F531CC">
        <w:rPr>
          <w:rFonts w:eastAsia="Calibri"/>
          <w:szCs w:val="22"/>
          <w:lang w:eastAsia="de-DE" w:bidi="de-DE"/>
        </w:rPr>
        <w:t xml:space="preserve"> Nr. 1] des Einkommensteuergesetzbuches 1992 erwähnt bezogen werden.</w:t>
      </w:r>
    </w:p>
    <w:p w14:paraId="5B43CE99" w14:textId="77777777" w:rsidR="007D52CA" w:rsidRPr="00F531CC" w:rsidRDefault="007D52CA" w:rsidP="007D52CA">
      <w:pPr>
        <w:jc w:val="both"/>
        <w:rPr>
          <w:rFonts w:eastAsia="Calibri"/>
          <w:szCs w:val="22"/>
          <w:lang w:eastAsia="de-DE" w:bidi="de-DE"/>
        </w:rPr>
      </w:pPr>
    </w:p>
    <w:p w14:paraId="5359A41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8 - Der in Artikel 115 § 2 vorgesehene Verzicht auf die Einnahme des Mobiliensteuervorabzugs unterliegt der Bedingung, dass das Institut, das Unternehmen oder die Börsengesellschaft, bei dem/der das Konto eröffnet wurde, dem Schuldner des Mobiliensteuervorabzugs eine Bescheinigung aushändigt, in der bestätigt wird, dass es sich um Einkünfte aus Guthaben auf einem in [Artikel 145</w:t>
      </w:r>
      <w:r w:rsidRPr="00F531CC">
        <w:rPr>
          <w:rFonts w:eastAsia="Calibri"/>
          <w:szCs w:val="22"/>
          <w:vertAlign w:val="superscript"/>
          <w:lang w:eastAsia="de-DE" w:bidi="de-DE"/>
        </w:rPr>
        <w:t>16</w:t>
      </w:r>
      <w:r w:rsidRPr="00F531CC">
        <w:rPr>
          <w:rFonts w:eastAsia="Calibri"/>
          <w:szCs w:val="22"/>
          <w:lang w:eastAsia="de-DE" w:bidi="de-DE"/>
        </w:rPr>
        <w:t xml:space="preserve"> Nr. 2] desselben Gesetzbuches erwähnten individuellen Sparkonto handelt.</w:t>
      </w:r>
    </w:p>
    <w:p w14:paraId="30F8DE66" w14:textId="77777777" w:rsidR="007D52CA" w:rsidRPr="00F531CC" w:rsidRDefault="007D52CA" w:rsidP="007D52CA">
      <w:pPr>
        <w:jc w:val="both"/>
        <w:rPr>
          <w:rFonts w:eastAsia="Calibri"/>
          <w:szCs w:val="22"/>
          <w:lang w:eastAsia="de-DE" w:bidi="de-DE"/>
        </w:rPr>
      </w:pPr>
    </w:p>
    <w:p w14:paraId="5678B2F0" w14:textId="563CEFC9"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9 - Der in Artikel 116 vorgesehene Verzicht auf die Einnahme des Mobiliensteuervorabzugs unterliegt </w:t>
      </w:r>
      <w:r w:rsidR="00F563A1">
        <w:rPr>
          <w:rFonts w:eastAsia="Calibri"/>
          <w:szCs w:val="22"/>
          <w:lang w:eastAsia="de-DE" w:bidi="de-DE"/>
        </w:rPr>
        <w:t>[</w:t>
      </w:r>
      <w:r w:rsidR="00F563A1" w:rsidRPr="00194E72">
        <w:t>der Bedingung, dass die Investmentgesellschaft, der europäische langfristige Investmentfonds oder die beaufsichtigte Immobiliengesellschaft</w:t>
      </w:r>
      <w:r w:rsidR="00F563A1">
        <w:rPr>
          <w:rFonts w:eastAsia="Calibri"/>
          <w:szCs w:val="22"/>
          <w:lang w:eastAsia="de-DE" w:bidi="de-DE"/>
        </w:rPr>
        <w:t>]</w:t>
      </w:r>
      <w:r w:rsidRPr="00F531CC">
        <w:rPr>
          <w:rFonts w:eastAsia="Calibri"/>
          <w:szCs w:val="22"/>
          <w:lang w:eastAsia="de-DE" w:bidi="de-DE"/>
        </w:rPr>
        <w:t xml:space="preserve"> dem Schuldner des Mobiliensteuervorabzugs eine Bescheinigung aushändigt, in der bestätigt wird, dass es sich um Einkünfte aus Vermögen handelt, </w:t>
      </w:r>
      <w:r w:rsidR="00F563A1">
        <w:rPr>
          <w:rFonts w:eastAsia="Calibri"/>
          <w:szCs w:val="22"/>
          <w:lang w:eastAsia="de-DE" w:bidi="de-DE"/>
        </w:rPr>
        <w:t>[</w:t>
      </w:r>
      <w:r w:rsidR="00F563A1" w:rsidRPr="00194E72">
        <w:t>dessen Eigentümer sie/er ist</w:t>
      </w:r>
      <w:r w:rsidR="00F563A1">
        <w:rPr>
          <w:rFonts w:eastAsia="Calibri"/>
          <w:szCs w:val="22"/>
          <w:lang w:eastAsia="de-DE" w:bidi="de-DE"/>
        </w:rPr>
        <w:t>]</w:t>
      </w:r>
      <w:r w:rsidRPr="00F531CC">
        <w:rPr>
          <w:rFonts w:eastAsia="Calibri"/>
          <w:szCs w:val="22"/>
          <w:lang w:eastAsia="de-DE" w:bidi="de-DE"/>
        </w:rPr>
        <w:t>.</w:t>
      </w:r>
    </w:p>
    <w:p w14:paraId="6F7590C1" w14:textId="77777777" w:rsidR="007D52CA" w:rsidRPr="00F531CC" w:rsidRDefault="007D52CA" w:rsidP="007D52CA">
      <w:pPr>
        <w:jc w:val="both"/>
        <w:rPr>
          <w:rFonts w:eastAsia="Calibri"/>
          <w:szCs w:val="22"/>
          <w:lang w:eastAsia="de-DE" w:bidi="de-DE"/>
        </w:rPr>
      </w:pPr>
    </w:p>
    <w:p w14:paraId="0C3F27B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10 - Der Minister der Finanzen oder sein Beauftragter legt die Modalitäten fest, gemäß denen Schuldner von Leib- oder Zeitrenten wie in Artikel 17 § 1 Nr. 4 des Einkommensteuergesetzbuches 1992 erwähnt der Verwaltung der direkten Steuern Identität der Empfänger und Betrag der ihnen gewährten oder zuerkannten Zinsen mitteilen.</w:t>
      </w:r>
    </w:p>
    <w:p w14:paraId="6DE344A9" w14:textId="77777777" w:rsidR="007D52CA" w:rsidRPr="00F531CC" w:rsidRDefault="007D52CA" w:rsidP="007D52CA">
      <w:pPr>
        <w:rPr>
          <w:rFonts w:eastAsia="Calibri"/>
          <w:szCs w:val="22"/>
          <w:lang w:eastAsia="de-DE" w:bidi="de-DE"/>
        </w:rPr>
      </w:pPr>
    </w:p>
    <w:p w14:paraId="42CDF58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11 - In Fällen, die nicht in den Paragraphen 1 bis 10 erwähnt sind, unterliegt der in den Artikeln 106, 107, 110, 113 und 114 vorgesehene Gesamt- oder Teilverzicht auf die Einnahme des Mobiliensteuervorabzugs der Bedingung, dass der Empfänger und der Schuldner der Einkünfte oder, was Einkünfte ausländischer Herkunft betrifft, der erste belgische Vermittler und gegebenenfalls der Verwahrer der Wertpapiere, die die Einkünfte erzeugen, die vom Minister der Finanzen oder von seinem Beauftragten festgelegten Vorschriften in Bezug auf die Identifizierung des Empfängers der Einkünfte einhalten.</w:t>
      </w:r>
    </w:p>
    <w:p w14:paraId="72518992" w14:textId="77777777" w:rsidR="007D52CA" w:rsidRPr="00F531CC" w:rsidRDefault="007D52CA" w:rsidP="007D52CA">
      <w:pPr>
        <w:jc w:val="both"/>
        <w:rPr>
          <w:rFonts w:eastAsia="Calibri"/>
          <w:szCs w:val="22"/>
          <w:lang w:eastAsia="de-DE" w:bidi="de-DE"/>
        </w:rPr>
      </w:pPr>
    </w:p>
    <w:p w14:paraId="3D17891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12 - Der in Artikel 108 vorgesehene Verzicht auf die Einnahme des Mobiliensteuervorabzugs unterliegt der Bedingung, dass der Schuldner des Mobilien</w:t>
      </w:r>
      <w:r w:rsidRPr="00F531CC">
        <w:rPr>
          <w:rFonts w:eastAsia="Calibri"/>
          <w:szCs w:val="22"/>
          <w:lang w:eastAsia="de-DE" w:bidi="de-DE"/>
        </w:rPr>
        <w:softHyphen/>
        <w:t>steuervorabzugs eine Bescheinigung erhält, in der bestätigt wird, dass der Empfänger eine inländische Gesellschaft oder ein gemäß Artikel 233 des Einkommensteuergesetzbuches 1992 der Steuer der Gebietsfremden unterliegender Steuerpflichtiger ist, der das Kapitalvermögen, das die Einkünfte erzeugt, zur Ausübung seiner beruflichen Tätigkeit in Belgien nutzt.</w:t>
      </w:r>
    </w:p>
    <w:p w14:paraId="4AF33CA7" w14:textId="77777777" w:rsidR="007D52CA" w:rsidRPr="00F531CC" w:rsidRDefault="007D52CA" w:rsidP="007D52CA">
      <w:pPr>
        <w:jc w:val="both"/>
        <w:rPr>
          <w:rFonts w:eastAsia="Calibri"/>
          <w:szCs w:val="22"/>
          <w:lang w:eastAsia="de-DE" w:bidi="de-DE"/>
        </w:rPr>
      </w:pPr>
    </w:p>
    <w:p w14:paraId="706AB1D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13 - [...]]</w:t>
      </w:r>
    </w:p>
    <w:p w14:paraId="4834DFB7" w14:textId="77777777" w:rsidR="007D52CA" w:rsidRPr="00F531CC" w:rsidRDefault="007D52CA" w:rsidP="007D52CA">
      <w:pPr>
        <w:jc w:val="both"/>
        <w:rPr>
          <w:rFonts w:eastAsia="Calibri"/>
          <w:szCs w:val="22"/>
          <w:lang w:eastAsia="de-DE" w:bidi="de-DE"/>
        </w:rPr>
      </w:pPr>
    </w:p>
    <w:p w14:paraId="2F77574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14 - Der in Artikel 109 Absatz 2 vorgesehene Verzicht auf die Einnahme des Mobiliensteuervorabzugs unterliegt der Bedingung, dass der Schuldner des Mobiliensteuervorabzugs eine Bescheinigung erhält, in der bestätigt wird, dass:</w:t>
      </w:r>
    </w:p>
    <w:p w14:paraId="105B4869" w14:textId="77777777" w:rsidR="007D52CA" w:rsidRPr="00F531CC" w:rsidRDefault="007D52CA" w:rsidP="007D52CA">
      <w:pPr>
        <w:jc w:val="both"/>
        <w:rPr>
          <w:rFonts w:eastAsia="Calibri"/>
          <w:szCs w:val="22"/>
          <w:lang w:eastAsia="de-DE" w:bidi="de-DE"/>
        </w:rPr>
      </w:pPr>
    </w:p>
    <w:p w14:paraId="18F597E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der Empfänger der Einkünfte ein Organismus für gemeinsame Anlagen nach ausländischem Recht ist, der ein ungeteiltes Vermögen darstellt, das von einer Verwaltungs</w:t>
      </w:r>
      <w:r w:rsidRPr="00F531CC">
        <w:rPr>
          <w:rFonts w:eastAsia="Calibri"/>
          <w:szCs w:val="22"/>
          <w:lang w:eastAsia="de-DE" w:bidi="de-DE"/>
        </w:rPr>
        <w:softHyphen/>
        <w:t>gesellschaft für Rechnung der Teilnehmer verwaltet wird, und dass die Anteile an diesem Organismus in Belgien nicht öffentlich ausgegeben werden und in Belgien nicht gehandelt werden,</w:t>
      </w:r>
    </w:p>
    <w:p w14:paraId="20D1FFEB" w14:textId="77777777" w:rsidR="007D52CA" w:rsidRPr="00F531CC" w:rsidRDefault="007D52CA" w:rsidP="007D52CA">
      <w:pPr>
        <w:jc w:val="both"/>
        <w:rPr>
          <w:rFonts w:eastAsia="Calibri"/>
          <w:szCs w:val="22"/>
          <w:lang w:eastAsia="de-DE" w:bidi="de-DE"/>
        </w:rPr>
      </w:pPr>
    </w:p>
    <w:p w14:paraId="3353A34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2. die Wertpapiere, die diese Einkünfte erzeugen, nicht zur Ausübung einer beruflichen Tätigkeit in Belgien genutzt werden.]</w:t>
      </w:r>
    </w:p>
    <w:p w14:paraId="2AABAA85" w14:textId="77777777" w:rsidR="007D52CA" w:rsidRPr="00F531CC" w:rsidRDefault="007D52CA" w:rsidP="007D52CA">
      <w:pPr>
        <w:rPr>
          <w:rFonts w:eastAsia="Calibri"/>
          <w:szCs w:val="22"/>
          <w:lang w:eastAsia="de-DE" w:bidi="de-DE"/>
        </w:rPr>
      </w:pPr>
    </w:p>
    <w:p w14:paraId="16B96DFC" w14:textId="18A1A351"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15] - [In den in § 4 Absatz 2, </w:t>
      </w:r>
      <w:r w:rsidR="00F563A1">
        <w:rPr>
          <w:rFonts w:eastAsia="Calibri"/>
          <w:szCs w:val="22"/>
          <w:lang w:eastAsia="de-DE" w:bidi="de-DE"/>
        </w:rPr>
        <w:t>[</w:t>
      </w:r>
      <w:r w:rsidR="00F563A1" w:rsidRPr="00194E72">
        <w:t>§ 5 Absatz 2, § 5</w:t>
      </w:r>
      <w:r w:rsidR="00F563A1" w:rsidRPr="00194E72">
        <w:rPr>
          <w:i/>
        </w:rPr>
        <w:t>ter</w:t>
      </w:r>
      <w:r w:rsidR="00F563A1" w:rsidRPr="00194E72">
        <w:t xml:space="preserve"> Absatz 2 und § 6</w:t>
      </w:r>
      <w:r w:rsidR="00F563A1" w:rsidRPr="00194E72">
        <w:rPr>
          <w:i/>
        </w:rPr>
        <w:t>bis</w:t>
      </w:r>
      <w:r w:rsidR="00F563A1" w:rsidRPr="00194E72">
        <w:t xml:space="preserve"> Absatz 2</w:t>
      </w:r>
      <w:r w:rsidR="00F563A1">
        <w:rPr>
          <w:rFonts w:eastAsia="Calibri"/>
          <w:szCs w:val="22"/>
          <w:lang w:eastAsia="de-DE" w:bidi="de-DE"/>
        </w:rPr>
        <w:t>]</w:t>
      </w:r>
      <w:r w:rsidRPr="00F531CC">
        <w:rPr>
          <w:rFonts w:eastAsia="Calibri"/>
          <w:szCs w:val="22"/>
          <w:lang w:eastAsia="de-DE" w:bidi="de-DE"/>
        </w:rPr>
        <w:t xml:space="preserve"> erwähnten Fällen muss sich der Schuldner der Einkünfte verpflichten, zum Zeitpunkt der Zuerkennung oder Ausschüttung der Einkünfte auf diese Einkünfte vorläufig einen Betrag einzubehalten, der dem Mobiliensteuervorabzug entspricht, der im Prinzip auf diese Einkünfte geschuldet würde, und diesen Betrag als Mobiliensteuervorabzug, erhöht um eventuell geschuldete Verzugszinsen, definitiv zu zahlen, wenn die Bedingung, [die in § 5</w:t>
      </w:r>
      <w:r w:rsidRPr="00F531CC">
        <w:rPr>
          <w:rFonts w:eastAsia="Calibri"/>
          <w:i/>
          <w:szCs w:val="22"/>
          <w:lang w:eastAsia="de-DE" w:bidi="de-DE"/>
        </w:rPr>
        <w:t>bis</w:t>
      </w:r>
      <w:r w:rsidRPr="00F531CC">
        <w:rPr>
          <w:rFonts w:eastAsia="Calibri"/>
          <w:szCs w:val="22"/>
          <w:lang w:eastAsia="de-DE" w:bidi="de-DE"/>
        </w:rPr>
        <w:t xml:space="preserve"> oder 6</w:t>
      </w:r>
      <w:r w:rsidRPr="00F531CC">
        <w:rPr>
          <w:rFonts w:eastAsia="Calibri"/>
          <w:i/>
          <w:szCs w:val="22"/>
          <w:lang w:eastAsia="de-DE" w:bidi="de-DE"/>
        </w:rPr>
        <w:t>bis</w:t>
      </w:r>
      <w:r w:rsidRPr="00F531CC">
        <w:rPr>
          <w:rFonts w:eastAsia="Calibri"/>
          <w:szCs w:val="22"/>
          <w:lang w:eastAsia="de-DE" w:bidi="de-DE"/>
        </w:rPr>
        <w:t xml:space="preserve"> erwähnte Mindestbeteiligung] während eines ununterbrochenen Zeitraums von mindestens einem Jahr zu halten, nicht erfüllt ist.]]</w:t>
      </w:r>
    </w:p>
    <w:p w14:paraId="62BD22D4" w14:textId="77777777" w:rsidR="007D52CA" w:rsidRPr="00F531CC" w:rsidRDefault="007D52CA" w:rsidP="007D52CA">
      <w:pPr>
        <w:jc w:val="both"/>
        <w:rPr>
          <w:rFonts w:eastAsia="Calibri"/>
          <w:szCs w:val="22"/>
          <w:lang w:eastAsia="de-DE" w:bidi="de-DE"/>
        </w:rPr>
      </w:pPr>
    </w:p>
    <w:p w14:paraId="0CEE076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16 - [Der in Artikel 116</w:t>
      </w:r>
      <w:r w:rsidRPr="00F531CC">
        <w:rPr>
          <w:rFonts w:eastAsia="Calibri"/>
          <w:i/>
          <w:szCs w:val="22"/>
          <w:lang w:eastAsia="de-DE" w:bidi="de-DE"/>
        </w:rPr>
        <w:t>bis</w:t>
      </w:r>
      <w:r w:rsidRPr="00F531CC">
        <w:rPr>
          <w:rFonts w:eastAsia="Calibri"/>
          <w:szCs w:val="22"/>
          <w:lang w:eastAsia="de-DE" w:bidi="de-DE"/>
        </w:rPr>
        <w:t xml:space="preserve"> vorgesehene Verzicht auf die Einnahme des Mobiliensteuervorabzugs unterliegt der Bedingung, dass der Verwalter des zugelassenen zentralisierten Systems von dem Teilnehmer des Systems, der ihm die verliehenen Finanzinstrumente überträgt, eine Bescheinigung erhält, in der bestätigt wird, dass die Empfänger der Einkünfte Personen sind, die einer der in diesem Artikel aufgeführten Kategorien angehören.]]</w:t>
      </w:r>
    </w:p>
    <w:p w14:paraId="229E6225" w14:textId="77777777" w:rsidR="007D52CA" w:rsidRPr="00F531CC" w:rsidRDefault="007D52CA" w:rsidP="007D52CA">
      <w:pPr>
        <w:rPr>
          <w:rFonts w:eastAsia="Calibri"/>
          <w:szCs w:val="22"/>
          <w:lang w:eastAsia="de-DE" w:bidi="de-DE"/>
        </w:rPr>
      </w:pPr>
    </w:p>
    <w:p w14:paraId="3127DE9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17 - [Der in Artikel 111</w:t>
      </w:r>
      <w:r w:rsidRPr="00F531CC">
        <w:rPr>
          <w:rFonts w:eastAsia="Calibri"/>
          <w:i/>
          <w:szCs w:val="22"/>
          <w:lang w:eastAsia="de-DE" w:bidi="de-DE"/>
        </w:rPr>
        <w:t>bis</w:t>
      </w:r>
      <w:r w:rsidRPr="00F531CC">
        <w:rPr>
          <w:rFonts w:eastAsia="Calibri"/>
          <w:szCs w:val="22"/>
          <w:lang w:eastAsia="de-DE" w:bidi="de-DE"/>
        </w:rPr>
        <w:t xml:space="preserve"> § 1 vorgesehene Verzicht auf die Einnahme des Mobiliensteuervorabzugs unterliegt der Bedingung, dass der Schuldner der Einkünfte eine Bescheinigung erhält, in der bestätigt wird, dass der Empfänger:</w:t>
      </w:r>
    </w:p>
    <w:p w14:paraId="6193F736" w14:textId="77777777" w:rsidR="007D52CA" w:rsidRPr="00F531CC" w:rsidRDefault="007D52CA" w:rsidP="007D52CA">
      <w:pPr>
        <w:jc w:val="both"/>
        <w:rPr>
          <w:rFonts w:eastAsia="Calibri"/>
          <w:szCs w:val="22"/>
          <w:lang w:eastAsia="de-DE" w:bidi="de-DE"/>
        </w:rPr>
      </w:pPr>
    </w:p>
    <w:p w14:paraId="047FCC1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eine inländische Gesellschaft oder ein gemäß Artikel 233 desselben Gesetzbuches der Steuer der Gebietsfremden unterliegender Steuerpflichtiger ist, der die Finanzinstrumente, die Gegenstand der Vereinbarung über die Leistung von dinglichen Sicherheiten oder des Verleihs sind, in Belgien zur Ausübung seiner beruflichen Tätigkeit nutzt,</w:t>
      </w:r>
    </w:p>
    <w:p w14:paraId="35C4DF9A" w14:textId="77777777" w:rsidR="007D52CA" w:rsidRPr="00F531CC" w:rsidRDefault="007D52CA" w:rsidP="007D52CA">
      <w:pPr>
        <w:jc w:val="both"/>
        <w:rPr>
          <w:rFonts w:eastAsia="Calibri"/>
          <w:szCs w:val="22"/>
          <w:lang w:eastAsia="de-DE" w:bidi="de-DE"/>
        </w:rPr>
      </w:pPr>
    </w:p>
    <w:p w14:paraId="5CC2E39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Eigentümer der verliehenen Finanzinstrumente ist.]]</w:t>
      </w:r>
    </w:p>
    <w:p w14:paraId="3BA23774" w14:textId="77777777" w:rsidR="007D52CA" w:rsidRPr="00F531CC" w:rsidRDefault="007D52CA" w:rsidP="007D52CA">
      <w:pPr>
        <w:jc w:val="both"/>
        <w:rPr>
          <w:rFonts w:eastAsia="Calibri"/>
          <w:szCs w:val="22"/>
          <w:lang w:eastAsia="de-DE" w:bidi="de-DE"/>
        </w:rPr>
      </w:pPr>
    </w:p>
    <w:p w14:paraId="593632E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18 - [Der in Artikel 111</w:t>
      </w:r>
      <w:r w:rsidRPr="00F531CC">
        <w:rPr>
          <w:rFonts w:eastAsia="Calibri"/>
          <w:i/>
          <w:szCs w:val="22"/>
          <w:lang w:eastAsia="de-DE" w:bidi="de-DE"/>
        </w:rPr>
        <w:t>bis</w:t>
      </w:r>
      <w:r w:rsidRPr="00F531CC">
        <w:rPr>
          <w:rFonts w:eastAsia="Calibri"/>
          <w:szCs w:val="22"/>
          <w:lang w:eastAsia="de-DE" w:bidi="de-DE"/>
        </w:rPr>
        <w:t xml:space="preserve"> § 2 vorgesehene Verzicht auf die Einnahme des Mobiliensteuervorabzugs unterliegt der Bedingung, dass der Schuldner der Einkünfte oder der in Belgien ansässige Vermittler eine Bescheinigung erhält, in der bestätigt wird, dass der Empfänger:</w:t>
      </w:r>
    </w:p>
    <w:p w14:paraId="0F4CD3D8" w14:textId="77777777" w:rsidR="007D52CA" w:rsidRPr="00F531CC" w:rsidRDefault="007D52CA" w:rsidP="007D52CA">
      <w:pPr>
        <w:jc w:val="both"/>
        <w:rPr>
          <w:rFonts w:eastAsia="Calibri"/>
          <w:szCs w:val="22"/>
          <w:lang w:eastAsia="de-DE" w:bidi="de-DE"/>
        </w:rPr>
      </w:pPr>
    </w:p>
    <w:p w14:paraId="1167B0D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ein gebietsfremder Sparer ist, der Anspruch erheben kann auf die Anwendung eines Abkommens zur Vermeidung der Doppelbesteuerung, das zwischen Belgien und dem Staat, dessen Einwohner er ist, geschlossen wurde,</w:t>
      </w:r>
    </w:p>
    <w:p w14:paraId="51F87B8D" w14:textId="77777777" w:rsidR="007D52CA" w:rsidRPr="00F531CC" w:rsidRDefault="007D52CA" w:rsidP="007D52CA">
      <w:pPr>
        <w:jc w:val="both"/>
        <w:rPr>
          <w:rFonts w:eastAsia="Calibri"/>
          <w:szCs w:val="22"/>
          <w:lang w:eastAsia="de-DE" w:bidi="de-DE"/>
        </w:rPr>
      </w:pPr>
    </w:p>
    <w:p w14:paraId="44A8C0B1" w14:textId="5A2F6659"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Eigentümer der verliehenen Finanzinstrumente ist.]]</w:t>
      </w:r>
    </w:p>
    <w:p w14:paraId="18F5126E" w14:textId="77777777" w:rsidR="007D52CA" w:rsidRPr="00F531CC" w:rsidRDefault="007D52CA" w:rsidP="007D52CA">
      <w:pPr>
        <w:jc w:val="both"/>
        <w:rPr>
          <w:rFonts w:eastAsia="Calibri"/>
          <w:szCs w:val="22"/>
          <w:lang w:eastAsia="de-DE" w:bidi="de-DE"/>
        </w:rPr>
      </w:pPr>
    </w:p>
    <w:p w14:paraId="0CD0CE6C" w14:textId="25E88218"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117 § 1 einziger Absatz Nr. 1 einziger Absatz Buchstabe a) abgeändert durch Art. 2 des K.E. vom 11. Dezember 1996 (B.S. vom 14. Dezember 1996); § 1 einziger Absatz Nr. 2 abgeändert durch Art. 2 Nr. 1 des K.E. vom 17. Dezember 1996 (B.S. vom 31. Dezember 1996); § 1 einziger Absatz Nr. 4 abgeändert durch Art. 5 Nr. 1 des K.E. vom 22. Dezember 2003 (B.S. vom 31. Dezember 2003); § 2 ersetzt durch Art. 19 Nr. 1 des K.E. vom 20. Januar 2005 (B.S. vom 1. Februar 2005); § 2 einziger Absatz Buchstabe b) ersetzt durch Art. 3 Nr. 1 des K.E. vom 20. Dezember 2012 (B.S. vom 28. Dezember 2012)</w:t>
      </w:r>
      <w:r w:rsidR="00E26C3E">
        <w:rPr>
          <w:rFonts w:eastAsia="Calibri"/>
          <w:i/>
          <w:szCs w:val="22"/>
          <w:lang w:eastAsia="de-DE" w:bidi="de-DE"/>
        </w:rPr>
        <w:t xml:space="preserve"> und abgeändert durch Art. 20 des K.E. vom 29. August 2019</w:t>
      </w:r>
      <w:r w:rsidR="00865C4C">
        <w:rPr>
          <w:rFonts w:eastAsia="Calibri"/>
          <w:i/>
          <w:szCs w:val="22"/>
          <w:lang w:eastAsia="de-DE" w:bidi="de-DE"/>
        </w:rPr>
        <w:t> (I)</w:t>
      </w:r>
      <w:r w:rsidR="00E26C3E">
        <w:rPr>
          <w:rFonts w:eastAsia="Calibri"/>
          <w:i/>
          <w:szCs w:val="22"/>
          <w:lang w:eastAsia="de-DE" w:bidi="de-DE"/>
        </w:rPr>
        <w:t xml:space="preserve"> (B.S. vom 13. September 2019)</w:t>
      </w:r>
      <w:r w:rsidRPr="00F531CC">
        <w:rPr>
          <w:rFonts w:eastAsia="Calibri"/>
          <w:i/>
          <w:szCs w:val="22"/>
          <w:lang w:eastAsia="de-DE" w:bidi="de-DE"/>
        </w:rPr>
        <w:t>; § 2 einziger Absatz Buchstabe c) abgeändert durch Art. 9 des K.E. vom 5. Dezember 2011 (II) (B.S. vom 12. Dezember 2011)</w:t>
      </w:r>
      <w:r w:rsidR="002661C9">
        <w:rPr>
          <w:rFonts w:eastAsia="Calibri"/>
          <w:i/>
          <w:szCs w:val="22"/>
          <w:lang w:eastAsia="de-DE" w:bidi="de-DE"/>
        </w:rPr>
        <w:t>,</w:t>
      </w:r>
      <w:r w:rsidRPr="00F531CC">
        <w:rPr>
          <w:rFonts w:eastAsia="Calibri"/>
          <w:i/>
          <w:szCs w:val="22"/>
          <w:lang w:eastAsia="de-DE" w:bidi="de-DE"/>
        </w:rPr>
        <w:t xml:space="preserve"> </w:t>
      </w:r>
      <w:r w:rsidRPr="00F531CC">
        <w:rPr>
          <w:rFonts w:eastAsia="Calibri"/>
          <w:i/>
          <w:szCs w:val="22"/>
          <w:lang w:eastAsia="de-DE" w:bidi="de-DE"/>
        </w:rPr>
        <w:lastRenderedPageBreak/>
        <w:t>Art. 3 Nr. 2 des K.E. vom 20. Dezember 2012 (B.S. vom 28. Dezember 2012)</w:t>
      </w:r>
      <w:r w:rsidR="002661C9">
        <w:rPr>
          <w:rFonts w:eastAsia="Calibri"/>
          <w:i/>
          <w:szCs w:val="22"/>
          <w:lang w:eastAsia="de-DE" w:bidi="de-DE"/>
        </w:rPr>
        <w:t xml:space="preserve"> und Art. 22 des K.E. vom </w:t>
      </w:r>
      <w:r w:rsidR="005024BD">
        <w:rPr>
          <w:rFonts w:eastAsia="Calibri"/>
          <w:i/>
          <w:szCs w:val="22"/>
          <w:lang w:eastAsia="de-DE" w:bidi="de-DE"/>
        </w:rPr>
        <w:t>22. Mai 2017 (II)</w:t>
      </w:r>
      <w:r w:rsidR="002661C9">
        <w:rPr>
          <w:rFonts w:eastAsia="Calibri"/>
          <w:i/>
          <w:szCs w:val="22"/>
          <w:lang w:eastAsia="de-DE" w:bidi="de-DE"/>
        </w:rPr>
        <w:t xml:space="preserve"> (B.S. vom 6. Juni 2017)</w:t>
      </w:r>
      <w:r w:rsidRPr="00F531CC">
        <w:rPr>
          <w:rFonts w:eastAsia="Calibri"/>
          <w:i/>
          <w:szCs w:val="22"/>
          <w:lang w:eastAsia="de-DE" w:bidi="de-DE"/>
        </w:rPr>
        <w:t>; § 3 aufgehoben durch Art. 4 des K.E. vom 22. Februar 2010 (B.S. vom 1. März 2010); § 4 Abs. 1 ersetzt durch Art. 4 des K.E. vom 21. Dezember 2006 (II) (B.S. vom 29. Dezember 2006); § 4 Abs. 2 eingefügt durch Art. 2 Nr. 1 des K.E. vom 6. Juli 1997 (II) (B.S. vom 30. Juli 1997); § 4 Abs. 2 Buchstabe a) abgeändert durch Art. 3 Nr. 3 des K.E. vom 18. April 2005 (B.S. vom 3. Mai 2005); § 4 Abs. 2 Buchstabe c) abgeändert durch Art. 3 Nr. 4 des K.E. vom 18. April 2005 (B.S. vom 3. Mai 2005); § 4 Abs. 3 eingefügt durch Art. 4 Nr. 1 des K.E. vom 4. Dezember 2000 (B.S. vom 23. Dezember 2000) und aufgehoben durch Art. 19 Nr. 3 des K.E. vom 20. Januar 2005 (B.S. vom 1. Februar 2005); § 5 Abs. 1 Buchstabe b) abgeändert durch Art. 3 Nr. 5 des K.E. vom 18. April 2005 (B.S. vom 3. Mai 2005); § 5 Abs. 2 eingefügt durch Art. 2 Nr. 2 des K.E. vom 6. Juli 1997 (II) (B.S. vom 30. Juli 1997); § 5 Abs. 2 Buchstabe a) abgeändert durch Art. 3 Nr. 6 des K.E. vom 18. April 2005 (B.S. vom 3. Mai 2005); § 5 Abs. 2 Buchstabe c) abgeändert durch Art. 3 Nr. 7 des K.E. vom 18. April 2005 (B.S. vom 3. Mai 2005); § 5 Abs. 3 eingefügt durch Art. 4 Nr. 2 des K.E. vom 4. Dezember 2000 (B.S. vom 23. Dezember 2000) und aufgehoben durch Art. 19 Nr. 4 des K.E. vom 20. Januar 2005 (B.S. vom 1. Februar 2005); § 5bis eingefügt durch Art. 3 Nr. 8 des K.E. vom 18. April 2005 (B.S. vom 3. Mai 2005)</w:t>
      </w:r>
      <w:r w:rsidR="00FE63BF">
        <w:rPr>
          <w:rFonts w:eastAsia="Calibri"/>
          <w:i/>
          <w:szCs w:val="22"/>
          <w:lang w:eastAsia="de-DE" w:bidi="de-DE"/>
        </w:rPr>
        <w:t xml:space="preserve">; § 5bis einziger Absatz einleitende Bestimmung  </w:t>
      </w:r>
      <w:r w:rsidR="00F563A1">
        <w:rPr>
          <w:rFonts w:eastAsia="Calibri"/>
          <w:i/>
          <w:szCs w:val="22"/>
          <w:lang w:eastAsia="de-DE" w:bidi="de-DE"/>
        </w:rPr>
        <w:t>abgeändert durch Art. 3 Nr. 1 des K.E. vom 5. Juli 2022 (B.S. vom 15. Juli 2022); § 5ter eingefügt durch Art. 3 Nr. 2 des K.E. vom 5. Juli 2022 (B.S. vom 15. Juli 2022)</w:t>
      </w:r>
      <w:r w:rsidRPr="00F531CC">
        <w:rPr>
          <w:rFonts w:eastAsia="Calibri"/>
          <w:i/>
          <w:szCs w:val="22"/>
          <w:lang w:eastAsia="de-DE" w:bidi="de-DE"/>
        </w:rPr>
        <w:t>; § 6 einziger Absatz einleitende Bestimmung abgeändert durch Art. 2 des K.E. vom 26. Mai 1994 (II) (B.S. vom 9. Juni 1994)</w:t>
      </w:r>
      <w:r w:rsidR="00253009">
        <w:rPr>
          <w:rFonts w:eastAsia="Calibri"/>
          <w:i/>
          <w:szCs w:val="22"/>
          <w:lang w:eastAsia="de-DE" w:bidi="de-DE"/>
        </w:rPr>
        <w:t>,</w:t>
      </w:r>
      <w:r w:rsidRPr="00F531CC">
        <w:rPr>
          <w:rFonts w:eastAsia="Calibri"/>
          <w:i/>
          <w:szCs w:val="22"/>
          <w:lang w:eastAsia="de-DE" w:bidi="de-DE"/>
        </w:rPr>
        <w:t xml:space="preserve"> Art. 19 Nr. 5 des K.E. vom 20. Januar 2005 (B.S. vom 1. Februar 2005)</w:t>
      </w:r>
      <w:r w:rsidR="00253009">
        <w:rPr>
          <w:rFonts w:eastAsia="Calibri"/>
          <w:i/>
          <w:szCs w:val="22"/>
          <w:lang w:eastAsia="de-DE" w:bidi="de-DE"/>
        </w:rPr>
        <w:t xml:space="preserve"> und Art. 31 Nr. 1 des K.E. vom 9. November 2016 (B.S. vom 18. November 2016)</w:t>
      </w:r>
      <w:r w:rsidRPr="00F531CC">
        <w:rPr>
          <w:rFonts w:eastAsia="Calibri"/>
          <w:i/>
          <w:szCs w:val="22"/>
          <w:lang w:eastAsia="de-DE" w:bidi="de-DE"/>
        </w:rPr>
        <w:t xml:space="preserve">; </w:t>
      </w:r>
      <w:r w:rsidR="00253009">
        <w:rPr>
          <w:rFonts w:eastAsia="Calibri"/>
          <w:i/>
          <w:szCs w:val="22"/>
          <w:lang w:eastAsia="de-DE" w:bidi="de-DE"/>
        </w:rPr>
        <w:t xml:space="preserve">§ 6/1 eingefügt durch Art. 31 Nr. 2 des K.E. vom 9. November 2016 (B.S. vom 18. November 2016); </w:t>
      </w:r>
      <w:r w:rsidRPr="00F531CC">
        <w:rPr>
          <w:rFonts w:eastAsia="Calibri"/>
          <w:i/>
          <w:szCs w:val="22"/>
          <w:lang w:eastAsia="de-DE" w:bidi="de-DE"/>
        </w:rPr>
        <w:t>§ 6bis eingefügt durch Art. 5 Nr. 2 des K.E. vom 22. Dezember 2003 (B.S. vom 31. Dezember 2003); § 6ter eingefügt durch Art. 19 Nr. 6 des K.E. vom 20. Januar 2005 (B.S. vom 1. Februar 2005); § 7 abgeändert durch Art. 15 Nr. 1 des K.E. vom 1. September 1995 (II) (B.S. vom 5. Oktober 1995); § 8 abgeändert durch Art. 15 Nr. 2 des K.E. vom 1. September 1995 (II) (B.S. vom 5. Oktober 1995);</w:t>
      </w:r>
      <w:r w:rsidR="00F563A1">
        <w:rPr>
          <w:rFonts w:eastAsia="Calibri"/>
          <w:i/>
          <w:szCs w:val="22"/>
          <w:lang w:eastAsia="de-DE" w:bidi="de-DE"/>
        </w:rPr>
        <w:t xml:space="preserve"> § 9 abgeändert durch Art. 3 Nr. 3 des K.E. vom 5. Juli 2022 (B.S. vom 15. Juli 2022);</w:t>
      </w:r>
      <w:r w:rsidRPr="00F531CC">
        <w:rPr>
          <w:rFonts w:eastAsia="Calibri"/>
          <w:i/>
          <w:szCs w:val="22"/>
          <w:lang w:eastAsia="de-DE" w:bidi="de-DE"/>
        </w:rPr>
        <w:t xml:space="preserve"> § 13 eingefügt durch Art. 2 des K.E. vom 30. Mai 1995 (B.S. vom 21. Juli 1995) und aufgehoben durch Art. 3 des K.E. vom 27. Dezember 2012 (B.S. vom 31. Dezember 2012); § 14 eingefügt durch Art. 2 Nr. 2 des K.E. vom 17. Dezember 1996 (B.S. vom 31. Dezember 1996); früherer zweiter Paragraph 14 eingefügt durch Art. 2 Nr. 3 des K.E. vom 6. Juli 1997 (II) (B.S. vom 30. Juli 1997), implizit umnummeriert zu § 15 und ersetzt durch Art. 5 Nr. 3 des K.E. vom 22. Dezember 2003 (B.S. vom 31. Dezember 2003) und abgeändert durch Art. 3 Nr. 9 des K.E. vom 18. April 2005 (B.S. vom 3. Mai 2005)</w:t>
      </w:r>
      <w:r w:rsidR="00F563A1">
        <w:rPr>
          <w:rFonts w:eastAsia="Calibri"/>
          <w:i/>
          <w:szCs w:val="22"/>
          <w:lang w:eastAsia="de-DE" w:bidi="de-DE"/>
        </w:rPr>
        <w:t xml:space="preserve"> und Art. 3 Nr. 4 des K.E. vom 5. Juli 2022 (B.S. vom 15. Juli 2022)</w:t>
      </w:r>
      <w:r w:rsidRPr="00F531CC">
        <w:rPr>
          <w:rFonts w:eastAsia="Calibri"/>
          <w:i/>
          <w:szCs w:val="22"/>
          <w:lang w:eastAsia="de-DE" w:bidi="de-DE"/>
        </w:rPr>
        <w:t>; § 16 eingefügt durch Art. 4 Nr. 3 des K.E. vom 4. Dezember 2000 (B.S. vom 23. Dezember 2000) und ersetzt durch Art. 19 Nr. 7 des K.E. vom 20. Januar 2005 (B.S. vom 1. Februar 2005); § 17 eingefügt durch Art. 4 Nr. 4 des K.E. vom 4. Dezember 2000 (B.S. vom 23. Dezember 2000) und ersetzt durch Art. 19 Nr. 8 des K.E. vom 20. Januar 2005 (B.S. vom 1. Februar 2005); § 18 eingefügt durch Art. 4 Nr. 5 des K.E. vom 4. Dezember 2000 (B.S. vom 23. Dezember 2000) und ersetzt durch Art. 19 Nr. 9 des K.E. vom 20. Januar 2005 (B.S. vom 1. Februar 2005)]</w:t>
      </w:r>
    </w:p>
    <w:p w14:paraId="418BAB26" w14:textId="77777777" w:rsidR="007D52CA" w:rsidRPr="00F531CC" w:rsidRDefault="007D52CA" w:rsidP="007D52CA">
      <w:pPr>
        <w:jc w:val="both"/>
        <w:rPr>
          <w:rFonts w:eastAsia="Calibri"/>
          <w:i/>
          <w:szCs w:val="22"/>
          <w:lang w:eastAsia="de-DE" w:bidi="de-DE"/>
        </w:rPr>
      </w:pPr>
    </w:p>
    <w:p w14:paraId="2631A733" w14:textId="77777777" w:rsidR="007D52CA" w:rsidRPr="00F531CC" w:rsidRDefault="007D52CA" w:rsidP="007D52CA">
      <w:pPr>
        <w:jc w:val="both"/>
        <w:rPr>
          <w:rFonts w:eastAsia="Calibri"/>
          <w:szCs w:val="22"/>
          <w:lang w:eastAsia="de-DE" w:bidi="de-DE"/>
        </w:rPr>
      </w:pPr>
    </w:p>
    <w:p w14:paraId="44F8D23B" w14:textId="77777777" w:rsidR="00137616" w:rsidRDefault="00137616">
      <w:pPr>
        <w:rPr>
          <w:rFonts w:eastAsia="Calibri"/>
          <w:szCs w:val="22"/>
          <w:lang w:eastAsia="de-DE" w:bidi="de-DE"/>
        </w:rPr>
      </w:pPr>
      <w:r>
        <w:rPr>
          <w:rFonts w:eastAsia="Calibri"/>
          <w:szCs w:val="22"/>
          <w:lang w:eastAsia="de-DE" w:bidi="de-DE"/>
        </w:rPr>
        <w:br w:type="page"/>
      </w:r>
    </w:p>
    <w:p w14:paraId="59E81390" w14:textId="10270BB5"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r>
      <w:r w:rsidRPr="00F531CC">
        <w:rPr>
          <w:rFonts w:eastAsia="Calibri"/>
          <w:b/>
          <w:szCs w:val="22"/>
          <w:lang w:eastAsia="de-DE" w:bidi="de-DE"/>
        </w:rPr>
        <w:t>Art. 118 -</w:t>
      </w:r>
      <w:r w:rsidRPr="00F531CC">
        <w:rPr>
          <w:rFonts w:eastAsia="Calibri"/>
          <w:szCs w:val="22"/>
          <w:lang w:eastAsia="de-DE" w:bidi="de-DE"/>
        </w:rPr>
        <w:t xml:space="preserve"> § 1 - Von der Einnahme des Mobiliensteuervorabzugs in Bezug auf Schuldverschreibungen, Kassenbons oder andere ähnliche Wertpapiere belgischer Herkunft wird unter folgenden Bedingungen vollständig abgesehen:</w:t>
      </w:r>
    </w:p>
    <w:p w14:paraId="37435274" w14:textId="77777777" w:rsidR="007D52CA" w:rsidRPr="00F531CC" w:rsidRDefault="007D52CA" w:rsidP="007D52CA">
      <w:pPr>
        <w:jc w:val="both"/>
        <w:rPr>
          <w:rFonts w:eastAsia="Calibri"/>
          <w:szCs w:val="22"/>
          <w:lang w:eastAsia="de-DE" w:bidi="de-DE"/>
        </w:rPr>
      </w:pPr>
    </w:p>
    <w:p w14:paraId="2CBF0F7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[Für die in Artikel 107 § 2 Nr. 5 Buchstabe </w:t>
      </w:r>
      <w:r w:rsidRPr="00F531CC">
        <w:rPr>
          <w:rFonts w:eastAsia="Calibri"/>
          <w:i/>
          <w:szCs w:val="22"/>
          <w:lang w:eastAsia="de-DE" w:bidi="de-DE"/>
        </w:rPr>
        <w:t>b)</w:t>
      </w:r>
      <w:r w:rsidRPr="00F531CC">
        <w:rPr>
          <w:rFonts w:eastAsia="Calibri"/>
          <w:szCs w:val="22"/>
          <w:lang w:eastAsia="de-DE" w:bidi="de-DE"/>
        </w:rPr>
        <w:t xml:space="preserve"> und Nr. 10 erwähnten Einkünfte]:</w:t>
      </w:r>
    </w:p>
    <w:p w14:paraId="38C24F6F" w14:textId="77777777" w:rsidR="007D52CA" w:rsidRPr="00F531CC" w:rsidRDefault="007D52CA" w:rsidP="007D52CA">
      <w:pPr>
        <w:jc w:val="both"/>
        <w:rPr>
          <w:rFonts w:eastAsia="Calibri"/>
          <w:szCs w:val="22"/>
          <w:lang w:eastAsia="de-DE" w:bidi="de-DE"/>
        </w:rPr>
      </w:pPr>
    </w:p>
    <w:p w14:paraId="116E161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muss der Schuldner der Einkünfte die in Artikel 117 [§ 6 oder 6</w:t>
      </w:r>
      <w:r w:rsidRPr="00F531CC">
        <w:rPr>
          <w:rFonts w:eastAsia="Calibri"/>
          <w:i/>
          <w:szCs w:val="22"/>
          <w:lang w:eastAsia="de-DE" w:bidi="de-DE"/>
        </w:rPr>
        <w:t>ter</w:t>
      </w:r>
      <w:r w:rsidRPr="00F531CC">
        <w:rPr>
          <w:rFonts w:eastAsia="Calibri"/>
          <w:szCs w:val="22"/>
          <w:lang w:eastAsia="de-DE" w:bidi="de-DE"/>
        </w:rPr>
        <w:t>] erwähnte Bescheinigung erhalten,</w:t>
      </w:r>
    </w:p>
    <w:p w14:paraId="47513B41" w14:textId="77777777" w:rsidR="007D52CA" w:rsidRPr="00F531CC" w:rsidRDefault="007D52CA" w:rsidP="007D52CA">
      <w:pPr>
        <w:jc w:val="both"/>
        <w:rPr>
          <w:rFonts w:eastAsia="Calibri"/>
          <w:szCs w:val="22"/>
          <w:lang w:eastAsia="de-DE" w:bidi="de-DE"/>
        </w:rPr>
      </w:pPr>
    </w:p>
    <w:p w14:paraId="125B057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muss der Empfänger der Einkünfte während des gesamten Zeitraums, auf den sich die Einkünfte beziehen, Eigentümer oder Nießbraucher der Wertpapiere, die die Einkünfte erzeugen, gewesen sein,</w:t>
      </w:r>
    </w:p>
    <w:p w14:paraId="48EE037E" w14:textId="77777777" w:rsidR="007D52CA" w:rsidRPr="00F531CC" w:rsidRDefault="007D52CA" w:rsidP="007D52CA">
      <w:pPr>
        <w:rPr>
          <w:rFonts w:eastAsia="Calibri"/>
          <w:szCs w:val="22"/>
          <w:lang w:eastAsia="de-DE" w:bidi="de-DE"/>
        </w:rPr>
      </w:pPr>
    </w:p>
    <w:p w14:paraId="6E08E15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müssen die Wertpapiere, die die Einkünfte erzeugen, während desselben gesamten Zeitraums Gegenstand einer namentlichen Eintragung beim Ausgeber gewesen sein.</w:t>
      </w:r>
    </w:p>
    <w:p w14:paraId="65BAE93A" w14:textId="77777777" w:rsidR="007D52CA" w:rsidRPr="00F531CC" w:rsidRDefault="007D52CA" w:rsidP="007D52CA">
      <w:pPr>
        <w:jc w:val="both"/>
        <w:rPr>
          <w:rFonts w:eastAsia="Calibri"/>
          <w:szCs w:val="22"/>
          <w:lang w:eastAsia="de-DE" w:bidi="de-DE"/>
        </w:rPr>
      </w:pPr>
    </w:p>
    <w:p w14:paraId="4E924FAE" w14:textId="20DEB5F5" w:rsidR="007D52CA" w:rsidRPr="00F531CC" w:rsidRDefault="007D52CA" w:rsidP="007D52CA">
      <w:pPr>
        <w:jc w:val="both"/>
        <w:rPr>
          <w:rFonts w:eastAsia="Calibri"/>
          <w:szCs w:val="22"/>
          <w:lang w:eastAsia="de-DE" w:bidi="de-DE"/>
        </w:rPr>
      </w:pPr>
      <w:r w:rsidRPr="00F531CC">
        <w:rPr>
          <w:rFonts w:eastAsia="Calibri"/>
          <w:szCs w:val="22"/>
          <w:lang w:eastAsia="de-DE" w:bidi="de-DE"/>
        </w:rPr>
        <w:tab/>
        <w:t>2. Für die in Artikel 107 § 2 Nr. 8 Buchstabe </w:t>
      </w:r>
      <w:r w:rsidRPr="00F531CC">
        <w:rPr>
          <w:rFonts w:eastAsia="Calibri"/>
          <w:i/>
          <w:szCs w:val="22"/>
          <w:lang w:eastAsia="de-DE" w:bidi="de-DE"/>
        </w:rPr>
        <w:t>a)</w:t>
      </w:r>
      <w:r w:rsidRPr="00F531CC">
        <w:rPr>
          <w:rFonts w:eastAsia="Calibri"/>
          <w:szCs w:val="22"/>
          <w:lang w:eastAsia="de-DE" w:bidi="de-DE"/>
        </w:rPr>
        <w:t xml:space="preserve"> erwähnten Einkünfte:</w:t>
      </w:r>
    </w:p>
    <w:p w14:paraId="5E07987B" w14:textId="77777777" w:rsidR="007D52CA" w:rsidRPr="00F531CC" w:rsidRDefault="007D52CA" w:rsidP="007D52CA">
      <w:pPr>
        <w:jc w:val="both"/>
        <w:rPr>
          <w:rFonts w:eastAsia="Calibri"/>
          <w:szCs w:val="22"/>
          <w:lang w:eastAsia="de-DE" w:bidi="de-DE"/>
        </w:rPr>
      </w:pPr>
    </w:p>
    <w:p w14:paraId="6471917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werden die in Artikel 117 § 11 erwähnten Bedingungen in Bezug auf die Identifizierung des Empfängers der Einkünfte eingehalten,</w:t>
      </w:r>
    </w:p>
    <w:p w14:paraId="73E6091F" w14:textId="77777777" w:rsidR="007D52CA" w:rsidRPr="00F531CC" w:rsidRDefault="007D52CA" w:rsidP="007D52CA">
      <w:pPr>
        <w:jc w:val="both"/>
        <w:rPr>
          <w:rFonts w:eastAsia="Calibri"/>
          <w:szCs w:val="22"/>
          <w:lang w:eastAsia="de-DE" w:bidi="de-DE"/>
        </w:rPr>
      </w:pPr>
    </w:p>
    <w:p w14:paraId="5AF8DF6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muss der Empfänger der Einkünfte während des gesamten Zeitraums, auf den sich die Einkünfte beziehen, Eigentümer oder Nießbraucher der Wertpapiere, die die Einkünfte erzeugen, gewesen sein,</w:t>
      </w:r>
    </w:p>
    <w:p w14:paraId="189E3C1F" w14:textId="77777777" w:rsidR="007D52CA" w:rsidRPr="00F531CC" w:rsidRDefault="007D52CA" w:rsidP="007D52CA">
      <w:pPr>
        <w:jc w:val="both"/>
        <w:rPr>
          <w:rFonts w:eastAsia="Calibri"/>
          <w:szCs w:val="22"/>
          <w:lang w:eastAsia="de-DE" w:bidi="de-DE"/>
        </w:rPr>
      </w:pPr>
    </w:p>
    <w:p w14:paraId="0975275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müssen die Wertpapiere, die die Einkünfte erzeugen, während desselben gesamten Zeitraums Gegenstand einer namentlichen Eintragung beim Ausgeber gewesen sein.</w:t>
      </w:r>
    </w:p>
    <w:p w14:paraId="6E73D3CE" w14:textId="77777777" w:rsidR="007D52CA" w:rsidRPr="00F531CC" w:rsidRDefault="007D52CA" w:rsidP="007D52CA">
      <w:pPr>
        <w:rPr>
          <w:rFonts w:eastAsia="Calibri"/>
          <w:szCs w:val="22"/>
          <w:lang w:eastAsia="de-DE" w:bidi="de-DE"/>
        </w:rPr>
      </w:pPr>
    </w:p>
    <w:p w14:paraId="6C916870" w14:textId="2B630A6B" w:rsidR="007D52CA" w:rsidRPr="00F531CC" w:rsidRDefault="007D52CA" w:rsidP="007D52CA">
      <w:pPr>
        <w:jc w:val="both"/>
        <w:rPr>
          <w:rFonts w:eastAsia="Calibri"/>
          <w:szCs w:val="22"/>
          <w:lang w:eastAsia="de-DE" w:bidi="de-DE"/>
        </w:rPr>
      </w:pPr>
      <w:r w:rsidRPr="00F531CC">
        <w:rPr>
          <w:rFonts w:eastAsia="Calibri"/>
          <w:szCs w:val="22"/>
          <w:lang w:eastAsia="de-DE" w:bidi="de-DE"/>
        </w:rPr>
        <w:tab/>
        <w:t>3. Für die in den Artikeln 107 § 2 Nr. 8 Buchstabe </w:t>
      </w:r>
      <w:r w:rsidRPr="00F531CC">
        <w:rPr>
          <w:rFonts w:eastAsia="Calibri"/>
          <w:i/>
          <w:szCs w:val="22"/>
          <w:lang w:eastAsia="de-DE" w:bidi="de-DE"/>
        </w:rPr>
        <w:t>b)</w:t>
      </w:r>
      <w:r w:rsidRPr="00F531CC">
        <w:rPr>
          <w:rFonts w:eastAsia="Calibri"/>
          <w:szCs w:val="22"/>
          <w:lang w:eastAsia="de-DE" w:bidi="de-DE"/>
        </w:rPr>
        <w:t xml:space="preserve"> und 113 § 2 Nr. 1 erwähnten Einkünfte:</w:t>
      </w:r>
    </w:p>
    <w:p w14:paraId="21609264" w14:textId="77777777" w:rsidR="007D52CA" w:rsidRPr="00F531CC" w:rsidRDefault="007D52CA" w:rsidP="007D52CA">
      <w:pPr>
        <w:jc w:val="both"/>
        <w:rPr>
          <w:rFonts w:eastAsia="Calibri"/>
          <w:szCs w:val="22"/>
          <w:lang w:eastAsia="de-DE" w:bidi="de-DE"/>
        </w:rPr>
      </w:pPr>
    </w:p>
    <w:p w14:paraId="10DCC9F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werden die in Artikel 117 § 11 erwähnten Bedingungen in Bezug auf die Identifizierung des Empfängers der Einkünfte eingehalten,</w:t>
      </w:r>
    </w:p>
    <w:p w14:paraId="013DC994" w14:textId="77777777" w:rsidR="007D52CA" w:rsidRPr="00F531CC" w:rsidRDefault="007D52CA" w:rsidP="007D52CA">
      <w:pPr>
        <w:jc w:val="both"/>
        <w:rPr>
          <w:rFonts w:eastAsia="Calibri"/>
          <w:szCs w:val="22"/>
          <w:lang w:eastAsia="de-DE" w:bidi="de-DE"/>
        </w:rPr>
      </w:pPr>
    </w:p>
    <w:p w14:paraId="3A6ADE0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muss der Empfänger der Einkünfte während des gesamten Zeitraums, auf den sich die Einkünfte beziehen, Eigentümer oder Nießbraucher der Wertpapiere, die die Einkünfte erzeugen, gewesen sein,</w:t>
      </w:r>
    </w:p>
    <w:p w14:paraId="30D3786C" w14:textId="77777777" w:rsidR="007D52CA" w:rsidRPr="00F531CC" w:rsidRDefault="007D52CA" w:rsidP="007D52CA">
      <w:pPr>
        <w:jc w:val="both"/>
        <w:rPr>
          <w:rFonts w:eastAsia="Calibri"/>
          <w:szCs w:val="22"/>
          <w:lang w:eastAsia="de-DE" w:bidi="de-DE"/>
        </w:rPr>
      </w:pPr>
    </w:p>
    <w:p w14:paraId="3BBFA50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[müssen die Wertpapiere, die die Einkünfte erzeugen, während desselben gesamten Zeitraums:</w:t>
      </w:r>
    </w:p>
    <w:p w14:paraId="422B80B8" w14:textId="77777777" w:rsidR="007D52CA" w:rsidRPr="00F531CC" w:rsidRDefault="007D52CA" w:rsidP="007D52CA">
      <w:pPr>
        <w:jc w:val="both"/>
        <w:rPr>
          <w:rFonts w:eastAsia="Calibri"/>
          <w:szCs w:val="22"/>
          <w:lang w:eastAsia="de-DE" w:bidi="de-DE"/>
        </w:rPr>
      </w:pPr>
    </w:p>
    <w:p w14:paraId="19F5F80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entweder Gegenstand einer namentlichen Eintragung beim Ausgeber gewesen sein, wenn es sich um Namenspapiere handelt,</w:t>
      </w:r>
    </w:p>
    <w:p w14:paraId="0C37D3B9" w14:textId="77777777" w:rsidR="007D52CA" w:rsidRPr="00F531CC" w:rsidRDefault="007D52CA" w:rsidP="007D52CA">
      <w:pPr>
        <w:jc w:val="both"/>
        <w:rPr>
          <w:rFonts w:eastAsia="Calibri"/>
          <w:szCs w:val="22"/>
          <w:lang w:eastAsia="de-DE" w:bidi="de-DE"/>
        </w:rPr>
      </w:pPr>
    </w:p>
    <w:p w14:paraId="54C20AC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oder in Belgien bei einer Bank, einem öffentlichen Kreditinstitut oder einer Sparkasse, die der Kontrolle der [Autorität Finanzielle Dienste und Märkte] unterliegt, unverschlossen hinterlegt gewesen sein, wenn es sich um Inhaberpapiere handelt,</w:t>
      </w:r>
    </w:p>
    <w:p w14:paraId="3323E1A3" w14:textId="77777777" w:rsidR="007D52CA" w:rsidRPr="00F531CC" w:rsidRDefault="007D52CA" w:rsidP="007D52CA">
      <w:pPr>
        <w:jc w:val="both"/>
        <w:rPr>
          <w:rFonts w:eastAsia="Calibri"/>
          <w:szCs w:val="22"/>
          <w:lang w:eastAsia="de-DE" w:bidi="de-DE"/>
        </w:rPr>
      </w:pPr>
    </w:p>
    <w:p w14:paraId="0293FB4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xml:space="preserve"> oder in Belgien auf einem Wertpapierkonto auf den Namen ihres Eigentümers oder Inhabers bei einer Liquidationseinrichtung oder einem zugelassenen Kontenführer, der </w:t>
      </w:r>
      <w:r w:rsidRPr="00F531CC">
        <w:rPr>
          <w:rFonts w:eastAsia="Calibri"/>
          <w:szCs w:val="22"/>
          <w:lang w:eastAsia="de-DE" w:bidi="de-DE"/>
        </w:rPr>
        <w:lastRenderedPageBreak/>
        <w:t>ermächtigt ist, solche Wertpapiere zu besitzen, gebucht gewesen sein, wenn es sich um entmaterialisierte Wertpapiere handelt.</w:t>
      </w:r>
    </w:p>
    <w:p w14:paraId="021C0DE5" w14:textId="77777777" w:rsidR="007D52CA" w:rsidRPr="00F531CC" w:rsidRDefault="007D52CA" w:rsidP="007D52CA">
      <w:pPr>
        <w:jc w:val="both"/>
        <w:rPr>
          <w:rFonts w:eastAsia="Calibri"/>
          <w:szCs w:val="22"/>
          <w:lang w:eastAsia="de-DE" w:bidi="de-DE"/>
        </w:rPr>
      </w:pPr>
    </w:p>
    <w:p w14:paraId="094DACA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Was Inhaberpapiere betrifft, die in Belgien unverschlossen hinterlegt waren, bleibt ihre Umwandlung in entmaterialisierte Wertpapiere auf einem Wertpapierkonto bei einer Liquidationseinrichtung oder einem ermächtigten zugelassenen Kontenführer ohne Auswirkung für die Beurteilung der Bedingung der Dauerhaftigkeit während des gesamten Besteuerungszeitraums, auf den sich die Einkünfte aus diesen Wertpapieren beziehen.]</w:t>
      </w:r>
    </w:p>
    <w:p w14:paraId="03E5AF27" w14:textId="77777777" w:rsidR="007D52CA" w:rsidRPr="00F531CC" w:rsidRDefault="007D52CA" w:rsidP="007D52CA">
      <w:pPr>
        <w:rPr>
          <w:rFonts w:eastAsia="Calibri"/>
          <w:szCs w:val="22"/>
          <w:lang w:eastAsia="de-DE" w:bidi="de-DE"/>
        </w:rPr>
      </w:pPr>
    </w:p>
    <w:p w14:paraId="1D7D1C4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4. Für die in Artikel 115 § 1 erwähnten Einkünfte:</w:t>
      </w:r>
    </w:p>
    <w:p w14:paraId="63B22DB8" w14:textId="77777777" w:rsidR="007D52CA" w:rsidRPr="00F531CC" w:rsidRDefault="007D52CA" w:rsidP="007D52CA">
      <w:pPr>
        <w:jc w:val="both"/>
        <w:rPr>
          <w:rFonts w:eastAsia="Calibri"/>
          <w:szCs w:val="22"/>
          <w:lang w:eastAsia="de-DE" w:bidi="de-DE"/>
        </w:rPr>
      </w:pPr>
    </w:p>
    <w:p w14:paraId="4590CB6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muss der Schuldner des Mobiliensteuervorabzugs die in Artikel 117 § 7 erwähnte Bescheinigung erhalten,</w:t>
      </w:r>
    </w:p>
    <w:p w14:paraId="5ED7126A" w14:textId="77777777" w:rsidR="007D52CA" w:rsidRPr="00F531CC" w:rsidRDefault="007D52CA" w:rsidP="007D52CA">
      <w:pPr>
        <w:jc w:val="both"/>
        <w:rPr>
          <w:rFonts w:eastAsia="Calibri"/>
          <w:szCs w:val="22"/>
          <w:lang w:eastAsia="de-DE" w:bidi="de-DE"/>
        </w:rPr>
      </w:pPr>
    </w:p>
    <w:p w14:paraId="7BEA65F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müssen die Wertpapiere, die die Einkünfte erzeugen, während des gesamten Zeitraums, auf den sich die Einkünfte beziehen, in den Investitionen des [Pensionssparfonds] enthalten gewesen sein,</w:t>
      </w:r>
    </w:p>
    <w:p w14:paraId="6A569F6D" w14:textId="77777777" w:rsidR="007D52CA" w:rsidRPr="00F531CC" w:rsidRDefault="007D52CA" w:rsidP="007D52CA">
      <w:pPr>
        <w:jc w:val="both"/>
        <w:rPr>
          <w:rFonts w:eastAsia="Calibri"/>
          <w:szCs w:val="22"/>
          <w:lang w:eastAsia="de-DE" w:bidi="de-DE"/>
        </w:rPr>
      </w:pPr>
    </w:p>
    <w:p w14:paraId="182F0B9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[müssen die Wertpapiere, die die Einkünfte erzeugen, während desselben gesamten Zeitraums:</w:t>
      </w:r>
    </w:p>
    <w:p w14:paraId="5FDD58E7" w14:textId="77777777" w:rsidR="007D52CA" w:rsidRPr="00F531CC" w:rsidRDefault="007D52CA" w:rsidP="007D52CA">
      <w:pPr>
        <w:jc w:val="both"/>
        <w:rPr>
          <w:rFonts w:eastAsia="Calibri"/>
          <w:szCs w:val="22"/>
          <w:lang w:eastAsia="de-DE" w:bidi="de-DE"/>
        </w:rPr>
      </w:pPr>
    </w:p>
    <w:p w14:paraId="49A8921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entweder Gegenstand einer namentlichen Eintragung beim Ausgeber gewesen sein, wenn es sich um Namenspapiere handelt,</w:t>
      </w:r>
    </w:p>
    <w:p w14:paraId="62F8BBEA" w14:textId="77777777" w:rsidR="007D52CA" w:rsidRPr="00F531CC" w:rsidRDefault="007D52CA" w:rsidP="007D52CA">
      <w:pPr>
        <w:jc w:val="both"/>
        <w:rPr>
          <w:rFonts w:eastAsia="Calibri"/>
          <w:szCs w:val="22"/>
          <w:lang w:eastAsia="de-DE" w:bidi="de-DE"/>
        </w:rPr>
      </w:pPr>
    </w:p>
    <w:p w14:paraId="7B4DF81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oder in Belgien bei einem Institut, einem Unternehmen oder einer Börsengesellschaft wie in Artikel 145</w:t>
      </w:r>
      <w:r w:rsidRPr="00F531CC">
        <w:rPr>
          <w:rFonts w:eastAsia="Calibri"/>
          <w:szCs w:val="22"/>
          <w:vertAlign w:val="superscript"/>
          <w:lang w:eastAsia="de-DE" w:bidi="de-DE"/>
        </w:rPr>
        <w:t>15</w:t>
      </w:r>
      <w:r w:rsidRPr="00F531CC">
        <w:rPr>
          <w:rFonts w:eastAsia="Calibri"/>
          <w:szCs w:val="22"/>
          <w:lang w:eastAsia="de-DE" w:bidi="de-DE"/>
        </w:rPr>
        <w:t xml:space="preserve"> Absatz 1 des Einkommensteuergesetzbuches 1992 erwähnt unverschlossen hinterlegt gewesen sein, wenn es sich um Inhaberpapiere handelt,</w:t>
      </w:r>
    </w:p>
    <w:p w14:paraId="79347741" w14:textId="77777777" w:rsidR="007D52CA" w:rsidRPr="00F531CC" w:rsidRDefault="007D52CA" w:rsidP="007D52CA">
      <w:pPr>
        <w:rPr>
          <w:rFonts w:eastAsia="Calibri"/>
          <w:szCs w:val="22"/>
          <w:lang w:eastAsia="de-DE" w:bidi="de-DE"/>
        </w:rPr>
      </w:pPr>
    </w:p>
    <w:p w14:paraId="6CCFE93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oder in Belgien auf einem Wertpapierkonto auf den Namen ihres Eigentümers oder Inhabers bei einer Liquidationseinrichtung oder einem in Artikel 145</w:t>
      </w:r>
      <w:r w:rsidRPr="00F531CC">
        <w:rPr>
          <w:rFonts w:eastAsia="Calibri"/>
          <w:szCs w:val="22"/>
          <w:vertAlign w:val="superscript"/>
          <w:lang w:eastAsia="de-DE" w:bidi="de-DE"/>
        </w:rPr>
        <w:t>15</w:t>
      </w:r>
      <w:r w:rsidRPr="00F531CC">
        <w:rPr>
          <w:rFonts w:eastAsia="Calibri"/>
          <w:szCs w:val="22"/>
          <w:lang w:eastAsia="de-DE" w:bidi="de-DE"/>
        </w:rPr>
        <w:t xml:space="preserve"> Absatz 1 desselben Gesetzbuches erwähnten zugelassenen Kontenführer, der ermächtigt ist, solche Wertpapiere zu besitzen, gebucht gewesen sein, wenn es sich um entmaterialisierte Wertpapiere handelt.</w:t>
      </w:r>
    </w:p>
    <w:p w14:paraId="7F335692" w14:textId="77777777" w:rsidR="007D52CA" w:rsidRPr="00F531CC" w:rsidRDefault="007D52CA" w:rsidP="007D52CA">
      <w:pPr>
        <w:jc w:val="both"/>
        <w:rPr>
          <w:rFonts w:eastAsia="Calibri"/>
          <w:szCs w:val="22"/>
          <w:lang w:eastAsia="de-DE" w:bidi="de-DE"/>
        </w:rPr>
      </w:pPr>
    </w:p>
    <w:p w14:paraId="6F8D0CA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Was Inhaberpapiere betrifft, die in Belgien unverschlossen hinterlegt waren, bleibt ihre Umwandlung in entmaterialisierte Wertpapiere auf einem Wertpapierkonto bei einer Liquidationseinrichtung oder einem ermächtigten zugelassenen Kontenführer ohne Auswirkung für die Beurteilung der Bedingung der Dauerhaftigkeit während des gesamten Besteuerungszeitraums, auf den sich die Einkünfte aus diesen Wertpapieren beziehen.]</w:t>
      </w:r>
    </w:p>
    <w:p w14:paraId="112B7F59" w14:textId="77777777" w:rsidR="007D52CA" w:rsidRPr="00F531CC" w:rsidRDefault="007D52CA" w:rsidP="007D52CA">
      <w:pPr>
        <w:jc w:val="both"/>
        <w:rPr>
          <w:rFonts w:eastAsia="Calibri"/>
          <w:szCs w:val="22"/>
          <w:lang w:eastAsia="de-DE" w:bidi="de-DE"/>
        </w:rPr>
      </w:pPr>
    </w:p>
    <w:p w14:paraId="4CC1259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5. Für die in Artikel 115 § 2 erwähnten Einkünfte:</w:t>
      </w:r>
    </w:p>
    <w:p w14:paraId="28CCDF4A" w14:textId="77777777" w:rsidR="007D52CA" w:rsidRPr="00F531CC" w:rsidRDefault="007D52CA" w:rsidP="007D52CA">
      <w:pPr>
        <w:jc w:val="both"/>
        <w:rPr>
          <w:rFonts w:eastAsia="Calibri"/>
          <w:szCs w:val="22"/>
          <w:lang w:eastAsia="de-DE" w:bidi="de-DE"/>
        </w:rPr>
      </w:pPr>
    </w:p>
    <w:p w14:paraId="569ED8E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muss der Schuldner des Mobiliensteuervorabzugs die in Artikel 117 § 8 erwähnte Bescheinigung erhalten,</w:t>
      </w:r>
    </w:p>
    <w:p w14:paraId="26F3C02E" w14:textId="77777777" w:rsidR="007D52CA" w:rsidRPr="00F531CC" w:rsidRDefault="007D52CA" w:rsidP="007D52CA">
      <w:pPr>
        <w:jc w:val="both"/>
        <w:rPr>
          <w:rFonts w:eastAsia="Calibri"/>
          <w:szCs w:val="22"/>
          <w:lang w:eastAsia="de-DE" w:bidi="de-DE"/>
        </w:rPr>
      </w:pPr>
    </w:p>
    <w:p w14:paraId="7020694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müssen die Wertpapiere, die die Einkünfte erzeugen, während des gesamten Zeitraums, auf den sich die Einkünfte beziehen, in den Aktiva desselben individuellen Sparkontos enthalten gewesen sein,</w:t>
      </w:r>
    </w:p>
    <w:p w14:paraId="26735DA0" w14:textId="77777777" w:rsidR="007D52CA" w:rsidRPr="00F531CC" w:rsidRDefault="007D52CA" w:rsidP="007D52CA">
      <w:pPr>
        <w:jc w:val="both"/>
        <w:rPr>
          <w:rFonts w:eastAsia="Calibri"/>
          <w:szCs w:val="22"/>
          <w:lang w:eastAsia="de-DE" w:bidi="de-DE"/>
        </w:rPr>
      </w:pPr>
    </w:p>
    <w:p w14:paraId="316C2C33" w14:textId="77777777" w:rsidR="00137616" w:rsidRDefault="00137616">
      <w:pPr>
        <w:rPr>
          <w:rFonts w:eastAsia="Calibri"/>
          <w:szCs w:val="22"/>
          <w:lang w:eastAsia="de-DE" w:bidi="de-DE"/>
        </w:rPr>
      </w:pPr>
      <w:r>
        <w:rPr>
          <w:rFonts w:eastAsia="Calibri"/>
          <w:szCs w:val="22"/>
          <w:lang w:eastAsia="de-DE" w:bidi="de-DE"/>
        </w:rPr>
        <w:br w:type="page"/>
      </w:r>
    </w:p>
    <w:p w14:paraId="32DB89C9" w14:textId="18A5F31C"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 [müssen die Wertpapiere, die die Einkünfte erzeugen, während desselben gesamten Zeitraums:</w:t>
      </w:r>
    </w:p>
    <w:p w14:paraId="2B41A283" w14:textId="77777777" w:rsidR="007D52CA" w:rsidRPr="00F531CC" w:rsidRDefault="007D52CA" w:rsidP="007D52CA">
      <w:pPr>
        <w:jc w:val="both"/>
        <w:rPr>
          <w:rFonts w:eastAsia="Calibri"/>
          <w:szCs w:val="22"/>
          <w:lang w:eastAsia="de-DE" w:bidi="de-DE"/>
        </w:rPr>
      </w:pPr>
    </w:p>
    <w:p w14:paraId="100441C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entweder Gegenstand einer namentlichen Eintragung beim Ausgeber gewesen sein, wenn es sich um Namenspapiere handelt,</w:t>
      </w:r>
    </w:p>
    <w:p w14:paraId="0E5D1085" w14:textId="77777777" w:rsidR="007D52CA" w:rsidRPr="00F531CC" w:rsidRDefault="007D52CA" w:rsidP="007D52CA">
      <w:pPr>
        <w:jc w:val="both"/>
        <w:rPr>
          <w:rFonts w:eastAsia="Calibri"/>
          <w:szCs w:val="22"/>
          <w:lang w:eastAsia="de-DE" w:bidi="de-DE"/>
        </w:rPr>
      </w:pPr>
    </w:p>
    <w:p w14:paraId="234F76E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oder in Belgien bei einem Institut, einem Unternehmen oder einer Börsengesellschaft wie in Artikel 145</w:t>
      </w:r>
      <w:r w:rsidRPr="00F531CC">
        <w:rPr>
          <w:rFonts w:eastAsia="Calibri"/>
          <w:szCs w:val="22"/>
          <w:vertAlign w:val="superscript"/>
          <w:lang w:eastAsia="de-DE" w:bidi="de-DE"/>
        </w:rPr>
        <w:t>15</w:t>
      </w:r>
      <w:r w:rsidRPr="00F531CC">
        <w:rPr>
          <w:rFonts w:eastAsia="Calibri"/>
          <w:szCs w:val="22"/>
          <w:lang w:eastAsia="de-DE" w:bidi="de-DE"/>
        </w:rPr>
        <w:t xml:space="preserve"> Absatz 1 des Einkommensteuergesetzbuches 1992 erwähnt unverschlossen hinterlegt gewesen sein, wenn es sich um Inhaberpapiere handelt,</w:t>
      </w:r>
    </w:p>
    <w:p w14:paraId="3A90C1A0" w14:textId="77777777" w:rsidR="007D52CA" w:rsidRPr="00F531CC" w:rsidRDefault="007D52CA" w:rsidP="007D52CA">
      <w:pPr>
        <w:rPr>
          <w:rFonts w:eastAsia="Calibri"/>
          <w:szCs w:val="22"/>
          <w:lang w:eastAsia="de-DE" w:bidi="de-DE"/>
        </w:rPr>
      </w:pPr>
    </w:p>
    <w:p w14:paraId="5E60E4D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oder in Belgien auf einem Wertpapierkonto auf den Namen ihres Eigentümers oder Inhabers bei einer Liquidationseinrichtung oder einem in Artikel 145</w:t>
      </w:r>
      <w:r w:rsidRPr="00F531CC">
        <w:rPr>
          <w:rFonts w:eastAsia="Calibri"/>
          <w:szCs w:val="22"/>
          <w:vertAlign w:val="superscript"/>
          <w:lang w:eastAsia="de-DE" w:bidi="de-DE"/>
        </w:rPr>
        <w:t>15</w:t>
      </w:r>
      <w:r w:rsidRPr="00F531CC">
        <w:rPr>
          <w:rFonts w:eastAsia="Calibri"/>
          <w:szCs w:val="22"/>
          <w:lang w:eastAsia="de-DE" w:bidi="de-DE"/>
        </w:rPr>
        <w:t xml:space="preserve"> Absatz 1 desselben Gesetzbuches erwähnten zugelassenen Kontenführer, der ermächtigt ist, solche Wertpapiere zu besitzen, gebucht gewesen sein, wenn es sich um entmaterialisierte Wertpapiere handelt.</w:t>
      </w:r>
    </w:p>
    <w:p w14:paraId="46375A5A" w14:textId="77777777" w:rsidR="007D52CA" w:rsidRPr="00F531CC" w:rsidRDefault="007D52CA" w:rsidP="007D52CA">
      <w:pPr>
        <w:jc w:val="both"/>
        <w:rPr>
          <w:rFonts w:eastAsia="Calibri"/>
          <w:szCs w:val="22"/>
          <w:lang w:eastAsia="de-DE" w:bidi="de-DE"/>
        </w:rPr>
      </w:pPr>
    </w:p>
    <w:p w14:paraId="5492178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Was Inhaberpapiere betrifft, die in Belgien unverschlossen hinterlegt waren, bleibt ihre Umwandlung in entmaterialisierte Wertpapiere auf einem Wertpapierkonto bei einer Liquidationseinrichtung oder einem ermächtigten zugelassenen Kontenführer ohne Auswirkung für die Beurteilung der Bedingung der Dauerhaftigkeit während des gesamten Besteuerungszeitraums, auf den sich die Einkünfte aus diesen Wertpapieren beziehen.]</w:t>
      </w:r>
    </w:p>
    <w:p w14:paraId="039D2795" w14:textId="77777777" w:rsidR="007D52CA" w:rsidRPr="00F531CC" w:rsidRDefault="007D52CA" w:rsidP="007D52CA">
      <w:pPr>
        <w:jc w:val="both"/>
        <w:rPr>
          <w:rFonts w:eastAsia="Calibri"/>
          <w:szCs w:val="22"/>
          <w:lang w:eastAsia="de-DE" w:bidi="de-DE"/>
        </w:rPr>
      </w:pPr>
    </w:p>
    <w:p w14:paraId="3F041F9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6. Für die in Artikel 116 erwähnten Einkünfte:</w:t>
      </w:r>
    </w:p>
    <w:p w14:paraId="1C3C16D5" w14:textId="77777777" w:rsidR="007D52CA" w:rsidRPr="00F531CC" w:rsidRDefault="007D52CA" w:rsidP="007D52CA">
      <w:pPr>
        <w:jc w:val="both"/>
        <w:rPr>
          <w:rFonts w:eastAsia="Calibri"/>
          <w:szCs w:val="22"/>
          <w:lang w:eastAsia="de-DE" w:bidi="de-DE"/>
        </w:rPr>
      </w:pPr>
    </w:p>
    <w:p w14:paraId="4844A75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muss der Schuldner des Mobiliensteuervorabzugs die in Artikel 117 § 9 erwähnte Bescheinigung erhalten,</w:t>
      </w:r>
    </w:p>
    <w:p w14:paraId="0CD4BD21" w14:textId="77777777" w:rsidR="007D52CA" w:rsidRPr="00F531CC" w:rsidRDefault="007D52CA" w:rsidP="007D52CA">
      <w:pPr>
        <w:jc w:val="both"/>
        <w:rPr>
          <w:rFonts w:eastAsia="Calibri"/>
          <w:szCs w:val="22"/>
          <w:lang w:eastAsia="de-DE" w:bidi="de-DE"/>
        </w:rPr>
      </w:pPr>
    </w:p>
    <w:p w14:paraId="58684C8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muss der Empfänger der Einkünfte während des gesamten Zeitraums, auf den sich die Einkünfte beziehen, Eigentümer der Wertpapiere, die die Einkünfte erzeugen, gewesen sein,</w:t>
      </w:r>
    </w:p>
    <w:p w14:paraId="344C4044" w14:textId="77777777" w:rsidR="007D52CA" w:rsidRPr="00F531CC" w:rsidRDefault="007D52CA" w:rsidP="007D52CA">
      <w:pPr>
        <w:rPr>
          <w:rFonts w:eastAsia="Calibri"/>
          <w:szCs w:val="22"/>
          <w:lang w:eastAsia="de-DE" w:bidi="de-DE"/>
        </w:rPr>
      </w:pPr>
    </w:p>
    <w:p w14:paraId="6C4A422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[müssen die Wertpapiere, die die Einkünfte erzeugen, während desselben gesamten Zeitraums:</w:t>
      </w:r>
    </w:p>
    <w:p w14:paraId="77D896A6" w14:textId="77777777" w:rsidR="007D52CA" w:rsidRPr="00F531CC" w:rsidRDefault="007D52CA" w:rsidP="007D52CA">
      <w:pPr>
        <w:jc w:val="both"/>
        <w:rPr>
          <w:rFonts w:eastAsia="Calibri"/>
          <w:szCs w:val="22"/>
          <w:lang w:eastAsia="de-DE" w:bidi="de-DE"/>
        </w:rPr>
      </w:pPr>
    </w:p>
    <w:p w14:paraId="4B185F6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entweder Gegenstand einer namentlichen Eintragung beim Ausgeber gewesen sein, wenn es sich um Namenspapiere handelt,</w:t>
      </w:r>
    </w:p>
    <w:p w14:paraId="0110F16D" w14:textId="77777777" w:rsidR="007D52CA" w:rsidRPr="00F531CC" w:rsidRDefault="007D52CA" w:rsidP="007D52CA">
      <w:pPr>
        <w:jc w:val="both"/>
        <w:rPr>
          <w:rFonts w:eastAsia="Calibri"/>
          <w:szCs w:val="22"/>
          <w:lang w:eastAsia="de-DE" w:bidi="de-DE"/>
        </w:rPr>
      </w:pPr>
    </w:p>
    <w:p w14:paraId="020A918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w:t>
      </w:r>
      <w:r w:rsidR="00D07BB7">
        <w:rPr>
          <w:rFonts w:eastAsia="Calibri"/>
          <w:szCs w:val="22"/>
          <w:lang w:eastAsia="de-DE" w:bidi="de-DE"/>
        </w:rPr>
        <w:t>[…]</w:t>
      </w:r>
    </w:p>
    <w:p w14:paraId="6A7CD076" w14:textId="77777777" w:rsidR="007D52CA" w:rsidRPr="00F531CC" w:rsidRDefault="007D52CA" w:rsidP="007D52CA">
      <w:pPr>
        <w:jc w:val="both"/>
        <w:rPr>
          <w:rFonts w:eastAsia="Calibri"/>
          <w:szCs w:val="22"/>
          <w:lang w:eastAsia="de-DE" w:bidi="de-DE"/>
        </w:rPr>
      </w:pPr>
    </w:p>
    <w:p w14:paraId="515638F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c)</w:t>
      </w:r>
      <w:r w:rsidRPr="00F531CC">
        <w:rPr>
          <w:rFonts w:eastAsia="Calibri"/>
          <w:szCs w:val="22"/>
          <w:lang w:eastAsia="de-DE" w:bidi="de-DE"/>
        </w:rPr>
        <w:t xml:space="preserve"> oder in Belgien </w:t>
      </w:r>
      <w:r w:rsidR="00620746">
        <w:rPr>
          <w:rFonts w:eastAsia="Calibri"/>
          <w:szCs w:val="22"/>
          <w:lang w:eastAsia="de-DE" w:bidi="de-DE"/>
        </w:rPr>
        <w:t>[</w:t>
      </w:r>
      <w:r w:rsidR="00620746" w:rsidRPr="00074B2F">
        <w:t>oder in einem anderen Mitgliedstaat des Europäischen Wirtschaftsraums</w:t>
      </w:r>
      <w:r w:rsidR="00620746">
        <w:rPr>
          <w:rFonts w:eastAsia="Calibri"/>
          <w:szCs w:val="22"/>
          <w:lang w:eastAsia="de-DE" w:bidi="de-DE"/>
        </w:rPr>
        <w:t xml:space="preserve">] </w:t>
      </w:r>
      <w:r w:rsidRPr="00F531CC">
        <w:rPr>
          <w:rFonts w:eastAsia="Calibri"/>
          <w:szCs w:val="22"/>
          <w:lang w:eastAsia="de-DE" w:bidi="de-DE"/>
        </w:rPr>
        <w:t>auf einem Wertpapierkonto auf den Namen ihres Eigentümers oder Inhabers bei einer Liquidationseinrichtung oder einem zugelassenen Kontenführer, der ermächtigt ist, solche Wertpapiere zu besitzen, gebucht gewesen sein, wenn es sich um entmaterialisierte Wertpapiere handelt.</w:t>
      </w:r>
    </w:p>
    <w:p w14:paraId="73D40AC8" w14:textId="77777777" w:rsidR="007D52CA" w:rsidRPr="00F531CC" w:rsidRDefault="007D52CA" w:rsidP="007D52CA">
      <w:pPr>
        <w:jc w:val="both"/>
        <w:rPr>
          <w:rFonts w:eastAsia="Calibri"/>
          <w:szCs w:val="22"/>
          <w:lang w:eastAsia="de-DE" w:bidi="de-DE"/>
        </w:rPr>
      </w:pPr>
    </w:p>
    <w:p w14:paraId="28AE9D8F"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00620746">
        <w:rPr>
          <w:rFonts w:eastAsia="Calibri"/>
          <w:szCs w:val="22"/>
          <w:lang w:eastAsia="de-DE" w:bidi="de-DE"/>
        </w:rPr>
        <w:t>[…]</w:t>
      </w:r>
      <w:r w:rsidRPr="00F531CC">
        <w:rPr>
          <w:rFonts w:eastAsia="Calibri"/>
          <w:szCs w:val="22"/>
          <w:lang w:eastAsia="de-DE" w:bidi="de-DE"/>
        </w:rPr>
        <w:t>]</w:t>
      </w:r>
    </w:p>
    <w:p w14:paraId="074E538C" w14:textId="6900DE27" w:rsidR="00520950" w:rsidRDefault="00520950">
      <w:pPr>
        <w:rPr>
          <w:rFonts w:eastAsia="Calibri"/>
          <w:szCs w:val="22"/>
          <w:lang w:eastAsia="de-DE" w:bidi="de-DE"/>
        </w:rPr>
      </w:pPr>
    </w:p>
    <w:p w14:paraId="78EDADDD" w14:textId="77777777" w:rsidR="00137616" w:rsidRDefault="00137616">
      <w:pPr>
        <w:rPr>
          <w:rFonts w:eastAsia="Calibri"/>
          <w:szCs w:val="22"/>
          <w:lang w:eastAsia="de-DE" w:bidi="de-DE"/>
        </w:rPr>
      </w:pPr>
      <w:r>
        <w:rPr>
          <w:rFonts w:eastAsia="Calibri"/>
          <w:szCs w:val="22"/>
          <w:lang w:eastAsia="de-DE" w:bidi="de-DE"/>
        </w:rPr>
        <w:br w:type="page"/>
      </w:r>
    </w:p>
    <w:p w14:paraId="62E7D316" w14:textId="1DE86EC1"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 1</w:t>
      </w:r>
      <w:r w:rsidRPr="00F531CC">
        <w:rPr>
          <w:rFonts w:eastAsia="Calibri"/>
          <w:i/>
          <w:szCs w:val="22"/>
          <w:lang w:eastAsia="de-DE" w:bidi="de-DE"/>
        </w:rPr>
        <w:t>bis</w:t>
      </w:r>
      <w:r w:rsidRPr="00F531CC">
        <w:rPr>
          <w:rFonts w:eastAsia="Calibri"/>
          <w:szCs w:val="22"/>
          <w:lang w:eastAsia="de-DE" w:bidi="de-DE"/>
        </w:rPr>
        <w:t> - Von der Einnahme des Mobiliensteuervorabzugs in Bezug auf Schuldverschreibungen, Kassenbons oder andere ähnliche Wertpapiere wird für die in den Artikeln 107 § 6 und 113 § 7 erwähnten Einkünfte unter folgenden Bedingungen vollständig abgesehen:</w:t>
      </w:r>
    </w:p>
    <w:p w14:paraId="7299D9CB" w14:textId="77777777" w:rsidR="007D52CA" w:rsidRPr="00F531CC" w:rsidRDefault="007D52CA" w:rsidP="007D52CA">
      <w:pPr>
        <w:jc w:val="both"/>
        <w:rPr>
          <w:rFonts w:eastAsia="Calibri"/>
          <w:szCs w:val="22"/>
          <w:lang w:eastAsia="de-DE" w:bidi="de-DE"/>
        </w:rPr>
      </w:pPr>
    </w:p>
    <w:p w14:paraId="134522A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Der Schuldner der Einkünfte muss die in Artikel 117 § 6</w:t>
      </w:r>
      <w:r w:rsidRPr="00F531CC">
        <w:rPr>
          <w:rFonts w:eastAsia="Calibri"/>
          <w:i/>
          <w:szCs w:val="22"/>
          <w:lang w:eastAsia="de-DE" w:bidi="de-DE"/>
        </w:rPr>
        <w:t>bis</w:t>
      </w:r>
      <w:r w:rsidRPr="00F531CC">
        <w:rPr>
          <w:rFonts w:eastAsia="Calibri"/>
          <w:szCs w:val="22"/>
          <w:lang w:eastAsia="de-DE" w:bidi="de-DE"/>
        </w:rPr>
        <w:t xml:space="preserve"> erwähnte Bescheinigung erhalten.</w:t>
      </w:r>
    </w:p>
    <w:p w14:paraId="5E503045" w14:textId="77777777" w:rsidR="007D52CA" w:rsidRPr="00F531CC" w:rsidRDefault="007D52CA" w:rsidP="007D52CA">
      <w:pPr>
        <w:jc w:val="both"/>
        <w:rPr>
          <w:rFonts w:eastAsia="Calibri"/>
          <w:szCs w:val="22"/>
          <w:lang w:eastAsia="de-DE" w:bidi="de-DE"/>
        </w:rPr>
      </w:pPr>
    </w:p>
    <w:p w14:paraId="4558B6B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Der Empfänger der Einkünfte muss während des gesamten Zeitraums, auf den sich die Einkünfte beziehen, Eigentümer oder Nießbraucher der Wertpapiere, die die Einkünfte erzeugen, gewesen sein.</w:t>
      </w:r>
    </w:p>
    <w:p w14:paraId="77663051" w14:textId="77777777" w:rsidR="007D52CA" w:rsidRPr="00F531CC" w:rsidRDefault="007D52CA" w:rsidP="007D52CA">
      <w:pPr>
        <w:jc w:val="both"/>
        <w:rPr>
          <w:rFonts w:eastAsia="Calibri"/>
          <w:szCs w:val="22"/>
          <w:lang w:eastAsia="de-DE" w:bidi="de-DE"/>
        </w:rPr>
      </w:pPr>
    </w:p>
    <w:p w14:paraId="26588937"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Handelt es sich [...] [um Wertpapiere, die Anleihen darstellen, deren Zinsen kapitalisiert werden, oder um Wertpapiere, die nicht zu einer periodischen Zahlung von Zinsen führen und mit einem Diskont ausgegeben wurden, der den bis zum Fälligkeitstermin der Wertpapiere kapitalisierten Zinsen entspricht,] entspricht für die Anwendung von Absatz 1 der Zeitraum, auf den sich die Einkünfte beziehen, dem Zeitraum, der zum Zeitpunkt der Ausgabe der Wertpapiere beginnt und am Tag der Zuerkennung oder Ausschüttung der Einkünfte endet.]</w:t>
      </w:r>
    </w:p>
    <w:p w14:paraId="2D94CB23" w14:textId="77777777" w:rsidR="007D52CA" w:rsidRPr="00F531CC" w:rsidRDefault="007D52CA" w:rsidP="007D52CA">
      <w:pPr>
        <w:rPr>
          <w:rFonts w:eastAsia="Calibri"/>
          <w:szCs w:val="22"/>
          <w:lang w:eastAsia="de-DE" w:bidi="de-DE"/>
        </w:rPr>
      </w:pPr>
    </w:p>
    <w:p w14:paraId="4041D47B" w14:textId="2AFF0EC0" w:rsidR="007D52CA" w:rsidRPr="003C2396" w:rsidRDefault="007D52CA" w:rsidP="007D52CA">
      <w:pPr>
        <w:jc w:val="both"/>
        <w:rPr>
          <w:rFonts w:eastAsia="Calibri"/>
          <w:spacing w:val="-2"/>
          <w:szCs w:val="22"/>
          <w:lang w:eastAsia="de-DE" w:bidi="de-DE"/>
        </w:rPr>
      </w:pPr>
      <w:r w:rsidRPr="003C2396">
        <w:rPr>
          <w:rFonts w:eastAsia="Calibri"/>
          <w:spacing w:val="-2"/>
          <w:szCs w:val="22"/>
          <w:lang w:eastAsia="de-DE" w:bidi="de-DE"/>
        </w:rPr>
        <w:tab/>
        <w:t>§ 2 - In Bezug auf Inhaberpapiere [und entmaterialisierte Wertpapiere], die nicht in § 1 Nr. 3 bis 6 erwähnt sind, können halbstaatliche Einrichtungen der sozialen Sicherheit oder damit gleichgesetzte Einrichtungen, [Pensionssparfonds], Inhaber eines individuellen Spar</w:t>
      </w:r>
      <w:r w:rsidR="003C2396" w:rsidRPr="003C2396">
        <w:rPr>
          <w:rFonts w:eastAsia="Calibri"/>
          <w:spacing w:val="-2"/>
          <w:szCs w:val="22"/>
          <w:lang w:eastAsia="de-DE" w:bidi="de-DE"/>
        </w:rPr>
        <w:softHyphen/>
      </w:r>
      <w:r w:rsidRPr="003C2396">
        <w:rPr>
          <w:rFonts w:eastAsia="Calibri"/>
          <w:spacing w:val="-2"/>
          <w:szCs w:val="22"/>
          <w:lang w:eastAsia="de-DE" w:bidi="de-DE"/>
        </w:rPr>
        <w:t xml:space="preserve">kontos </w:t>
      </w:r>
      <w:r w:rsidR="00817112" w:rsidRPr="003C2396">
        <w:rPr>
          <w:rFonts w:eastAsia="Calibri"/>
          <w:spacing w:val="-2"/>
          <w:szCs w:val="22"/>
          <w:lang w:eastAsia="de-DE" w:bidi="de-DE"/>
        </w:rPr>
        <w:t>[</w:t>
      </w:r>
      <w:r w:rsidR="00817112" w:rsidRPr="003C2396">
        <w:rPr>
          <w:spacing w:val="-2"/>
        </w:rPr>
        <w:t>oder Investmentgesellschaften wie in den Artikeln 15 und 271/10 des Gesetzes vom 3. August 2012 über Organismen für gemeinsame Anlagen, die die Bedingungen der Richt</w:t>
      </w:r>
      <w:r w:rsidR="003C2396" w:rsidRPr="003C2396">
        <w:rPr>
          <w:spacing w:val="-2"/>
        </w:rPr>
        <w:softHyphen/>
      </w:r>
      <w:r w:rsidR="00817112" w:rsidRPr="003C2396">
        <w:rPr>
          <w:spacing w:val="-2"/>
        </w:rPr>
        <w:t>linie 2009/65/EG erfüllen, und Organismen für Anlagen in Forderungen oder in den Artikeln 190, 195 und 298 des Gesetzes vom 19. April 2014 über alternative Organismen für gemeinsame Anlagen und ihre Verwalter erwähnt</w:t>
      </w:r>
      <w:r w:rsidR="00817112" w:rsidRPr="003C2396">
        <w:rPr>
          <w:rFonts w:eastAsia="Calibri"/>
          <w:spacing w:val="-2"/>
          <w:szCs w:val="22"/>
          <w:lang w:eastAsia="de-DE" w:bidi="de-DE"/>
        </w:rPr>
        <w:t>]</w:t>
      </w:r>
      <w:r w:rsidRPr="003C2396">
        <w:rPr>
          <w:rFonts w:eastAsia="Calibri"/>
          <w:spacing w:val="-2"/>
          <w:szCs w:val="22"/>
          <w:lang w:eastAsia="de-DE" w:bidi="de-DE"/>
        </w:rPr>
        <w:t xml:space="preserve"> </w:t>
      </w:r>
      <w:r w:rsidR="004879C2">
        <w:rPr>
          <w:rFonts w:eastAsia="Calibri"/>
          <w:spacing w:val="-2"/>
          <w:szCs w:val="22"/>
          <w:lang w:eastAsia="de-DE" w:bidi="de-DE"/>
        </w:rPr>
        <w:t>[</w:t>
      </w:r>
      <w:r w:rsidR="004879C2" w:rsidRPr="00194E72">
        <w:t>und europäische langfristige Investmentfonds</w:t>
      </w:r>
      <w:r w:rsidR="004879C2">
        <w:rPr>
          <w:rFonts w:eastAsia="Calibri"/>
          <w:spacing w:val="-2"/>
          <w:szCs w:val="22"/>
          <w:lang w:eastAsia="de-DE" w:bidi="de-DE"/>
        </w:rPr>
        <w:t xml:space="preserve">] </w:t>
      </w:r>
      <w:r w:rsidRPr="003C2396">
        <w:rPr>
          <w:rFonts w:eastAsia="Calibri"/>
          <w:spacing w:val="-2"/>
          <w:szCs w:val="22"/>
          <w:lang w:eastAsia="de-DE" w:bidi="de-DE"/>
        </w:rPr>
        <w:t>gemäß Artikel 119 eine Erstattung des an der Quelle eingenommenen Mobiliensteuervorabzugs auf die diesbezüglichen Einkünfte erhalten.</w:t>
      </w:r>
    </w:p>
    <w:p w14:paraId="38815990" w14:textId="77777777" w:rsidR="007D52CA" w:rsidRPr="00F531CC" w:rsidRDefault="007D52CA" w:rsidP="007D52CA">
      <w:pPr>
        <w:jc w:val="both"/>
        <w:rPr>
          <w:rFonts w:eastAsia="Calibri"/>
          <w:szCs w:val="22"/>
          <w:lang w:eastAsia="de-DE" w:bidi="de-DE"/>
        </w:rPr>
      </w:pPr>
    </w:p>
    <w:p w14:paraId="5555ABD9" w14:textId="73F95707" w:rsidR="007D52CA" w:rsidRPr="00817112" w:rsidRDefault="007D52CA" w:rsidP="007D52CA">
      <w:pPr>
        <w:jc w:val="both"/>
        <w:rPr>
          <w:rFonts w:eastAsia="Calibri"/>
          <w:szCs w:val="22"/>
          <w:lang w:eastAsia="de-DE" w:bidi="de-DE"/>
        </w:rPr>
      </w:pPr>
      <w:r w:rsidRPr="00F531CC">
        <w:rPr>
          <w:rFonts w:eastAsia="Calibri"/>
          <w:i/>
          <w:szCs w:val="22"/>
          <w:lang w:eastAsia="de-DE" w:bidi="de-DE"/>
        </w:rPr>
        <w:t>[Art. 118 § 1 einziger Absatz Nr. 1 einziger Absatz einleitende Bestimmung ersetzt durch Art. 3 des K.E. vom 26. Mai 1994 (II) (B.S. vom 9. Juni 1994); § 1 einziger Absatz Nr. 1 einziger Absatz erster Gedankenstrich abgeändert durch Art. 10 des K.E. vom 5. Dezember 2011 (II) (B.S. vom 12. Dezember 2011); § 1 einziger Absatz Nr. 3 einziger Absatz dritter Gedankenstrich ersetzt durch Art. 6 Nr. 1 des K.E. vom 7. Dezember 2007 (I) (B.S. vom 12. Dezember 2007, Err. vom 11. April 2008); § 1 einziger Absatz Nr. 3 einziger Absatz dritter Gedankenstrich einziger Absatz Buchstabe b) abgeändert durch Art. 331 Abs. 2 des K.E. vom 3. März 2011 (B.S. vom 9. März 2011); § 1 einziger Absatz Nr. 4 einziger Absatz zweiter Gedankenstrich abgeändert durch Art. 16 Nr. 1 des K.E. vom 1. September 1995 (II) (B.S. vom 5. Oktober 1995); § 1 einziger Absatz Nr. 4 einziger Absatz dritter Gedankenstrich ersetzt durch Art. 6 Nr. 2 des K.E. vom 7. Dezember 2007 (I) (B.S. vom 12. Dezember 2007, Err. vom 11. April 2008); § 1 einziger Absatz Nr. 5 einziger Absatz dritter Gedankenstrich ersetzt durch Art. 6 Nr. 2 des K.E. vom 7. Dezember 2007 (I) (B.S. vom 12. Dezember 2007, Err. vom 11. April 2008); § 1 einziger Absatz Nr. 6 einziger Absatz dritter Gedankenstrich ersetzt durch Art. 6 Nr. 3 des K.E. vom 7. Dezember 2007 (I) (B.S. vom 12. Dezember 2007, Err. vom 11. April 2008); § 1 einziger Absatz Nr. 6 einziger Absatz dritter Gedankenstrich einziger Absatz Buchstabe </w:t>
      </w:r>
      <w:r w:rsidR="00E761DC">
        <w:rPr>
          <w:rFonts w:eastAsia="Calibri"/>
          <w:i/>
          <w:szCs w:val="22"/>
          <w:lang w:eastAsia="de-DE" w:bidi="de-DE"/>
        </w:rPr>
        <w:t>b</w:t>
      </w:r>
      <w:r w:rsidRPr="00F531CC">
        <w:rPr>
          <w:rFonts w:eastAsia="Calibri"/>
          <w:i/>
          <w:szCs w:val="22"/>
          <w:lang w:eastAsia="de-DE" w:bidi="de-DE"/>
        </w:rPr>
        <w:t xml:space="preserve">) </w:t>
      </w:r>
      <w:r w:rsidR="00620746">
        <w:rPr>
          <w:rFonts w:eastAsia="Calibri"/>
          <w:i/>
          <w:szCs w:val="22"/>
          <w:lang w:eastAsia="de-DE" w:bidi="de-DE"/>
        </w:rPr>
        <w:t xml:space="preserve">aufgehoben durch Art. 2 des K.E. vom 27. September 2015 (B.S. vom </w:t>
      </w:r>
      <w:r w:rsidR="002853EE">
        <w:rPr>
          <w:rFonts w:eastAsia="Calibri"/>
          <w:i/>
          <w:szCs w:val="22"/>
          <w:lang w:eastAsia="de-DE" w:bidi="de-DE"/>
        </w:rPr>
        <w:t>6. November 2015</w:t>
      </w:r>
      <w:r w:rsidR="00620746">
        <w:rPr>
          <w:rFonts w:eastAsia="Calibri"/>
          <w:i/>
          <w:szCs w:val="22"/>
          <w:lang w:eastAsia="de-DE" w:bidi="de-DE"/>
        </w:rPr>
        <w:t>)</w:t>
      </w:r>
      <w:r w:rsidRPr="00F531CC">
        <w:rPr>
          <w:rFonts w:eastAsia="Calibri"/>
          <w:i/>
          <w:szCs w:val="22"/>
          <w:lang w:eastAsia="de-DE" w:bidi="de-DE"/>
        </w:rPr>
        <w:t xml:space="preserve">; </w:t>
      </w:r>
      <w:r w:rsidR="00620746" w:rsidRPr="00F531CC">
        <w:rPr>
          <w:rFonts w:eastAsia="Calibri"/>
          <w:i/>
          <w:szCs w:val="22"/>
          <w:lang w:eastAsia="de-DE" w:bidi="de-DE"/>
        </w:rPr>
        <w:t>§ 1 einziger Absatz Nr. 6 einziger Absatz dritter Gedankenstrich einziger Absatz Buchstabe </w:t>
      </w:r>
      <w:r w:rsidR="00E761DC">
        <w:rPr>
          <w:rFonts w:eastAsia="Calibri"/>
          <w:i/>
          <w:szCs w:val="22"/>
          <w:lang w:eastAsia="de-DE" w:bidi="de-DE"/>
        </w:rPr>
        <w:t>c</w:t>
      </w:r>
      <w:r w:rsidR="00620746" w:rsidRPr="00F531CC">
        <w:rPr>
          <w:rFonts w:eastAsia="Calibri"/>
          <w:i/>
          <w:szCs w:val="22"/>
          <w:lang w:eastAsia="de-DE" w:bidi="de-DE"/>
        </w:rPr>
        <w:t xml:space="preserve">) </w:t>
      </w:r>
      <w:r w:rsidR="00E761DC">
        <w:rPr>
          <w:rFonts w:eastAsia="Calibri"/>
          <w:i/>
          <w:szCs w:val="22"/>
          <w:lang w:eastAsia="de-DE" w:bidi="de-DE"/>
        </w:rPr>
        <w:t xml:space="preserve">abgeändert </w:t>
      </w:r>
      <w:r w:rsidR="00620746">
        <w:rPr>
          <w:rFonts w:eastAsia="Calibri"/>
          <w:i/>
          <w:szCs w:val="22"/>
          <w:lang w:eastAsia="de-DE" w:bidi="de-DE"/>
        </w:rPr>
        <w:t>durch Art. </w:t>
      </w:r>
      <w:r w:rsidR="00E761DC">
        <w:rPr>
          <w:rFonts w:eastAsia="Calibri"/>
          <w:i/>
          <w:szCs w:val="22"/>
          <w:lang w:eastAsia="de-DE" w:bidi="de-DE"/>
        </w:rPr>
        <w:t>3</w:t>
      </w:r>
      <w:r w:rsidR="00620746">
        <w:rPr>
          <w:rFonts w:eastAsia="Calibri"/>
          <w:i/>
          <w:szCs w:val="22"/>
          <w:lang w:eastAsia="de-DE" w:bidi="de-DE"/>
        </w:rPr>
        <w:t xml:space="preserve"> des K.E. vom 27. September 2015 (B.S. vom </w:t>
      </w:r>
      <w:r w:rsidR="002853EE">
        <w:rPr>
          <w:rFonts w:eastAsia="Calibri"/>
          <w:i/>
          <w:szCs w:val="22"/>
          <w:lang w:eastAsia="de-DE" w:bidi="de-DE"/>
        </w:rPr>
        <w:t>6. November 2015</w:t>
      </w:r>
      <w:r w:rsidR="00620746">
        <w:rPr>
          <w:rFonts w:eastAsia="Calibri"/>
          <w:i/>
          <w:szCs w:val="22"/>
          <w:lang w:eastAsia="de-DE" w:bidi="de-DE"/>
        </w:rPr>
        <w:t>)</w:t>
      </w:r>
      <w:r w:rsidR="00620746" w:rsidRPr="00F531CC">
        <w:rPr>
          <w:rFonts w:eastAsia="Calibri"/>
          <w:i/>
          <w:szCs w:val="22"/>
          <w:lang w:eastAsia="de-DE" w:bidi="de-DE"/>
        </w:rPr>
        <w:t xml:space="preserve">; </w:t>
      </w:r>
      <w:r w:rsidR="00E761DC">
        <w:rPr>
          <w:rFonts w:eastAsia="Calibri"/>
          <w:i/>
          <w:szCs w:val="22"/>
          <w:lang w:eastAsia="de-DE" w:bidi="de-DE"/>
        </w:rPr>
        <w:t xml:space="preserve">§ 1 einziger Absatz Nr. 6 einziger Absatz dritter Gedankenstrich früherer </w:t>
      </w:r>
      <w:r w:rsidR="00E761DC">
        <w:rPr>
          <w:rFonts w:eastAsia="Calibri"/>
          <w:i/>
          <w:szCs w:val="22"/>
          <w:lang w:eastAsia="de-DE" w:bidi="de-DE"/>
        </w:rPr>
        <w:lastRenderedPageBreak/>
        <w:t xml:space="preserve">Absatz 2 aufgehoben durch Art. 4 des K.E. vom 27. September 2015 (B.S. vom </w:t>
      </w:r>
      <w:r w:rsidR="002853EE">
        <w:rPr>
          <w:rFonts w:eastAsia="Calibri"/>
          <w:i/>
          <w:szCs w:val="22"/>
          <w:lang w:eastAsia="de-DE" w:bidi="de-DE"/>
        </w:rPr>
        <w:t>6. November 2015</w:t>
      </w:r>
      <w:r w:rsidR="00E761DC">
        <w:rPr>
          <w:rFonts w:eastAsia="Calibri"/>
          <w:i/>
          <w:szCs w:val="22"/>
          <w:lang w:eastAsia="de-DE" w:bidi="de-DE"/>
        </w:rPr>
        <w:t xml:space="preserve">); </w:t>
      </w:r>
      <w:r w:rsidRPr="00F531CC">
        <w:rPr>
          <w:rFonts w:eastAsia="Calibri"/>
          <w:i/>
          <w:szCs w:val="22"/>
          <w:lang w:eastAsia="de-DE" w:bidi="de-DE"/>
        </w:rPr>
        <w:t>§ 1bis eingefügt durch Art. 6 des K.E. vom 22. Dezember 2003 (B.S. vom 31. Dezember 2003); § 1bis Abs. 2 abgeändert durch Art. 6 Nr. 1 und 2 des K.E. vom 13. August 2004 (B.S. vom 7. September 2004); § 2 abgeändert durch Art. 11 des K.E. vom 22. Oktober 1993 (B.S. vom 29. Oktober 1993), Art. 16 Nr. 4 des K.E. vom 1. September 1995 (II) (B.S. vom 5. Oktober 1995), Art. 17 des K.E. vom 15. Mai 2003 (B.S. vom 12. Juni 2003)</w:t>
      </w:r>
      <w:r w:rsidR="00817112">
        <w:rPr>
          <w:rFonts w:eastAsia="Calibri"/>
          <w:i/>
          <w:szCs w:val="22"/>
          <w:lang w:eastAsia="de-DE" w:bidi="de-DE"/>
        </w:rPr>
        <w:t>,</w:t>
      </w:r>
      <w:r w:rsidRPr="00F531CC">
        <w:rPr>
          <w:rFonts w:eastAsia="Calibri"/>
          <w:i/>
          <w:szCs w:val="22"/>
          <w:lang w:eastAsia="de-DE" w:bidi="de-DE"/>
        </w:rPr>
        <w:t xml:space="preserve"> Art. 6 Nr. 4 des K.E. vom 7. Dezember 2007 (I) (B.S. vom 12. Dezember 2007)</w:t>
      </w:r>
      <w:r w:rsidR="004879C2">
        <w:rPr>
          <w:rFonts w:eastAsia="Calibri"/>
          <w:i/>
          <w:szCs w:val="22"/>
          <w:lang w:eastAsia="de-DE" w:bidi="de-DE"/>
        </w:rPr>
        <w:t xml:space="preserve">, </w:t>
      </w:r>
      <w:r w:rsidR="00817112">
        <w:rPr>
          <w:rFonts w:eastAsia="Calibri"/>
          <w:i/>
          <w:szCs w:val="22"/>
          <w:lang w:eastAsia="de-DE" w:bidi="de-DE"/>
        </w:rPr>
        <w:t xml:space="preserve">Art. 23 des K.E. vom </w:t>
      </w:r>
      <w:r w:rsidR="005024BD">
        <w:rPr>
          <w:rFonts w:eastAsia="Calibri"/>
          <w:i/>
          <w:szCs w:val="22"/>
          <w:lang w:eastAsia="de-DE" w:bidi="de-DE"/>
        </w:rPr>
        <w:t>22. Mai 2017 (II)</w:t>
      </w:r>
      <w:r w:rsidR="00817112">
        <w:rPr>
          <w:rFonts w:eastAsia="Calibri"/>
          <w:i/>
          <w:szCs w:val="22"/>
          <w:lang w:eastAsia="de-DE" w:bidi="de-DE"/>
        </w:rPr>
        <w:t xml:space="preserve"> (B.S. vom 6. Juni 2017)</w:t>
      </w:r>
      <w:r w:rsidR="004879C2">
        <w:rPr>
          <w:rFonts w:eastAsia="Calibri"/>
          <w:i/>
          <w:szCs w:val="22"/>
          <w:lang w:eastAsia="de-DE" w:bidi="de-DE"/>
        </w:rPr>
        <w:t xml:space="preserve"> und Art. 4 des K.E. vom 5. Juli 2022 (B.S. vom 15. Juli 2022)</w:t>
      </w:r>
      <w:r w:rsidRPr="00F531CC">
        <w:rPr>
          <w:rFonts w:eastAsia="Calibri"/>
          <w:i/>
          <w:szCs w:val="22"/>
          <w:lang w:eastAsia="de-DE" w:bidi="de-DE"/>
        </w:rPr>
        <w:t>]</w:t>
      </w:r>
    </w:p>
    <w:p w14:paraId="1A756DD3" w14:textId="10BE46D4" w:rsidR="00312718" w:rsidRDefault="00312718">
      <w:pPr>
        <w:rPr>
          <w:rFonts w:eastAsia="Calibri"/>
          <w:szCs w:val="22"/>
          <w:lang w:eastAsia="de-DE" w:bidi="de-DE"/>
        </w:rPr>
      </w:pPr>
    </w:p>
    <w:p w14:paraId="57E10596" w14:textId="77777777" w:rsidR="00427A3C" w:rsidRDefault="007D52CA" w:rsidP="00427A3C">
      <w:pPr>
        <w:jc w:val="both"/>
        <w:rPr>
          <w:rFonts w:eastAsia="Calibri"/>
          <w:szCs w:val="22"/>
          <w:lang w:eastAsia="de-DE" w:bidi="de-DE"/>
        </w:rPr>
      </w:pPr>
      <w:r w:rsidRPr="00F531CC">
        <w:rPr>
          <w:rFonts w:eastAsia="Calibri"/>
          <w:szCs w:val="22"/>
          <w:lang w:eastAsia="de-DE" w:bidi="de-DE"/>
        </w:rPr>
        <w:tab/>
      </w:r>
    </w:p>
    <w:p w14:paraId="2CC0144E" w14:textId="59FCB736" w:rsidR="007D52CA" w:rsidRPr="00F531CC" w:rsidRDefault="007D52CA" w:rsidP="00427A3C">
      <w:pPr>
        <w:ind w:firstLine="708"/>
        <w:jc w:val="both"/>
        <w:rPr>
          <w:rFonts w:eastAsia="Calibri"/>
          <w:szCs w:val="22"/>
          <w:lang w:eastAsia="de-DE" w:bidi="de-DE"/>
        </w:rPr>
      </w:pPr>
      <w:r w:rsidRPr="00F531CC">
        <w:rPr>
          <w:rFonts w:eastAsia="Calibri"/>
          <w:b/>
          <w:szCs w:val="22"/>
          <w:lang w:eastAsia="de-DE" w:bidi="de-DE"/>
        </w:rPr>
        <w:t>Art. 119 -</w:t>
      </w:r>
      <w:r w:rsidRPr="00F531CC">
        <w:rPr>
          <w:rFonts w:eastAsia="Calibri"/>
          <w:szCs w:val="22"/>
          <w:lang w:eastAsia="de-DE" w:bidi="de-DE"/>
        </w:rPr>
        <w:t xml:space="preserve"> § 1 - Infolge eines Widerspruchs, der gemäß den in Artikel 371 des Einkommensteuergesetzbuches 1992 vorgesehenen Formen und Fristen beim Direktor der direkten Steuern der Provinz oder der Region, in dessen Amtsbereich der Mobiliensteuer</w:t>
      </w:r>
      <w:r w:rsidRPr="00F531CC">
        <w:rPr>
          <w:rFonts w:eastAsia="Calibri"/>
          <w:szCs w:val="22"/>
          <w:lang w:eastAsia="de-DE" w:bidi="de-DE"/>
        </w:rPr>
        <w:softHyphen/>
        <w:t>vorabzug gezahlt worden ist, eingelegt wird, kann eine Erstattung des an der Quelle eingenommenen Mobiliensteuervorabzugs gewährt werden für:</w:t>
      </w:r>
    </w:p>
    <w:p w14:paraId="5FD7AEC7" w14:textId="77777777" w:rsidR="007D52CA" w:rsidRPr="00F531CC" w:rsidRDefault="007D52CA" w:rsidP="007D52CA">
      <w:pPr>
        <w:jc w:val="both"/>
        <w:rPr>
          <w:rFonts w:eastAsia="Calibri"/>
          <w:szCs w:val="22"/>
          <w:lang w:eastAsia="de-DE" w:bidi="de-DE"/>
        </w:rPr>
      </w:pPr>
    </w:p>
    <w:p w14:paraId="7058FC34"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halbstaatliche Einrichtungen der sozialen Sicherheit oder damit gleichgesetzte Einrichtungen in Fällen, in denen dieser Vorabzug an der Quelle einbehalten worden ist, ohne die Eigenschaft der Empfänger zu berücksichtigen,</w:t>
      </w:r>
    </w:p>
    <w:p w14:paraId="20D05705" w14:textId="77777777" w:rsidR="007D52CA" w:rsidRPr="00F531CC" w:rsidRDefault="007D52CA" w:rsidP="007D52CA">
      <w:pPr>
        <w:jc w:val="both"/>
        <w:rPr>
          <w:rFonts w:eastAsia="Calibri"/>
          <w:szCs w:val="22"/>
          <w:lang w:eastAsia="de-DE" w:bidi="de-DE"/>
        </w:rPr>
      </w:pPr>
    </w:p>
    <w:p w14:paraId="73A725AB"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2. gebietsfremde Sparer in Fällen, in denen dieser Vorabzug an der Quelle einbehalten worden ist, obwohl zu ihren Gunsten tatsächlich ein Verzicht auf die Einnahme des Mobiliensteuervorabzugs erfolgen kann,</w:t>
      </w:r>
    </w:p>
    <w:p w14:paraId="6E5CFC91" w14:textId="77777777" w:rsidR="007D52CA" w:rsidRDefault="007D52CA" w:rsidP="007D52CA">
      <w:pPr>
        <w:rPr>
          <w:rFonts w:eastAsia="Calibri"/>
          <w:szCs w:val="22"/>
          <w:lang w:eastAsia="de-DE" w:bidi="de-DE"/>
        </w:rPr>
      </w:pPr>
    </w:p>
    <w:p w14:paraId="005232C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3. [Pensionssparfonds] wie in Artikel 115 § 1 erwähnt in Fällen, in denen dieser Vorabzug an der Quelle einbehalten worden ist, obwohl zu ihren Gunsten tatsächlich ein Verzicht auf die Einnahme des Mobiliensteuervorabzugs erfolgen kann,</w:t>
      </w:r>
    </w:p>
    <w:p w14:paraId="6C739A24" w14:textId="77777777" w:rsidR="007D52CA" w:rsidRPr="00F531CC" w:rsidRDefault="007D52CA" w:rsidP="007D52CA">
      <w:pPr>
        <w:jc w:val="both"/>
        <w:rPr>
          <w:rFonts w:eastAsia="Calibri"/>
          <w:szCs w:val="22"/>
          <w:lang w:eastAsia="de-DE" w:bidi="de-DE"/>
        </w:rPr>
      </w:pPr>
    </w:p>
    <w:p w14:paraId="29ED55B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4. Inhaber eines individuellen Sparkontos wie in Artikel 115 § 2 erwähnt in Fällen, in denen dieser Vorabzug an der Quelle einbehalten worden ist, obwohl zu ihren Gunsten tatsächlich ein Verzicht auf die Einnahme des Mobiliensteuervorabzugs erfolgen kann,</w:t>
      </w:r>
    </w:p>
    <w:p w14:paraId="10FDE7EF" w14:textId="77777777" w:rsidR="007D52CA" w:rsidRPr="00F531CC" w:rsidRDefault="007D52CA" w:rsidP="007D52CA">
      <w:pPr>
        <w:jc w:val="both"/>
        <w:rPr>
          <w:rFonts w:eastAsia="Calibri"/>
          <w:szCs w:val="22"/>
          <w:lang w:eastAsia="de-DE" w:bidi="de-DE"/>
        </w:rPr>
      </w:pPr>
    </w:p>
    <w:p w14:paraId="77B773DE" w14:textId="54E0EE7D"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5. Investmentgesellschaften wie </w:t>
      </w:r>
      <w:r w:rsidR="00817112">
        <w:rPr>
          <w:rFonts w:eastAsia="Calibri"/>
          <w:szCs w:val="22"/>
          <w:lang w:eastAsia="de-DE" w:bidi="de-DE"/>
        </w:rPr>
        <w:t>[</w:t>
      </w:r>
      <w:r w:rsidR="00817112" w:rsidRPr="00B617CF">
        <w:t>in den Artikeln 15 und 271/10 des Gesetzes vom 3. August 2012 über Organismen für gemeinsame Anlagen, die die Bedingungen der Richtlinie 2009/65/EG erfüllen, und Organismen für Anlagen in Forderungen und in den Artikeln 190, 195 und 298 des Gesetzes vom 19. April 2014 über alternative Organismen für gemeinsame Anlagen und ihre Verwalter</w:t>
      </w:r>
      <w:r w:rsidR="00817112">
        <w:rPr>
          <w:rFonts w:eastAsia="Calibri"/>
          <w:szCs w:val="22"/>
          <w:lang w:eastAsia="de-DE" w:bidi="de-DE"/>
        </w:rPr>
        <w:t>]</w:t>
      </w:r>
      <w:r w:rsidRPr="00F531CC">
        <w:rPr>
          <w:rFonts w:eastAsia="Calibri"/>
          <w:szCs w:val="22"/>
          <w:lang w:eastAsia="de-DE" w:bidi="de-DE"/>
        </w:rPr>
        <w:t xml:space="preserve"> erwähnt</w:t>
      </w:r>
      <w:r w:rsidR="004879C2">
        <w:rPr>
          <w:rFonts w:eastAsia="Calibri"/>
          <w:szCs w:val="22"/>
          <w:lang w:eastAsia="de-DE" w:bidi="de-DE"/>
        </w:rPr>
        <w:t xml:space="preserve"> [</w:t>
      </w:r>
      <w:r w:rsidR="004879C2" w:rsidRPr="00194E72">
        <w:t>und europäische langfristige Investmentfonds</w:t>
      </w:r>
      <w:r w:rsidR="004879C2">
        <w:rPr>
          <w:rFonts w:eastAsia="Calibri"/>
          <w:szCs w:val="22"/>
          <w:lang w:eastAsia="de-DE" w:bidi="de-DE"/>
        </w:rPr>
        <w:t>]</w:t>
      </w:r>
      <w:r w:rsidRPr="00F531CC">
        <w:rPr>
          <w:rFonts w:eastAsia="Calibri"/>
          <w:szCs w:val="22"/>
          <w:lang w:eastAsia="de-DE" w:bidi="de-DE"/>
        </w:rPr>
        <w:t>.</w:t>
      </w:r>
    </w:p>
    <w:p w14:paraId="53E506C1" w14:textId="77777777" w:rsidR="007D52CA" w:rsidRPr="00F531CC" w:rsidRDefault="007D52CA" w:rsidP="007D52CA">
      <w:pPr>
        <w:jc w:val="both"/>
        <w:rPr>
          <w:rFonts w:eastAsia="Calibri"/>
          <w:szCs w:val="22"/>
          <w:lang w:eastAsia="de-DE" w:bidi="de-DE"/>
        </w:rPr>
      </w:pPr>
    </w:p>
    <w:p w14:paraId="144104B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Wurden die in Artikel 118 erwähnten Wertpapiere zwischen zwei Fälligkeitsterminen der Einkünfte erworben, können Verkäufer und Käufer eine Erstattung des an der Quelle eingenommenen Mobiliensteuervorabzugs erhalten, der sich auf den entsprechenden Teil der Bruttozinsen bezieht, den jeder von ihnen tatsächlich bezogen hat oder über den jeder von ihnen tatsächlich verfügt hat.</w:t>
      </w:r>
    </w:p>
    <w:p w14:paraId="1D5F8C59" w14:textId="77777777" w:rsidR="007D52CA" w:rsidRPr="00F531CC" w:rsidRDefault="007D52CA" w:rsidP="007D52CA">
      <w:pPr>
        <w:jc w:val="both"/>
        <w:rPr>
          <w:rFonts w:eastAsia="Calibri"/>
          <w:szCs w:val="22"/>
          <w:lang w:eastAsia="de-DE" w:bidi="de-DE"/>
        </w:rPr>
      </w:pPr>
    </w:p>
    <w:p w14:paraId="7597E2F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Handelt es sich jedoch um Wertpapiere, die in Artikel 118 § 1 Nr. 1 erwähnt sind, ist die Erstattung des Mobiliensteuervorabzugs gegebenenfalls auf den Vorabzug begrenzt, der sich auf die Zinsen des Zeitraums bezieht, in dem die Wertpapiere, die die Einkünfte erzeugen, Gegenstand einer namentlichen Eintragung beim Ausgeber waren.</w:t>
      </w:r>
    </w:p>
    <w:p w14:paraId="5EEACCC9" w14:textId="77777777" w:rsidR="007D52CA" w:rsidRPr="00F531CC" w:rsidRDefault="007D52CA" w:rsidP="007D52CA">
      <w:pPr>
        <w:jc w:val="both"/>
        <w:rPr>
          <w:rFonts w:eastAsia="Calibri"/>
          <w:szCs w:val="22"/>
          <w:lang w:eastAsia="de-DE" w:bidi="de-DE"/>
        </w:rPr>
      </w:pPr>
    </w:p>
    <w:p w14:paraId="70BF178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2 - In Bezug auf die in Artikel 118 § 1 Nr. 1 erwähnten Wertpapiere, die vom Staat oder vom Straßenbaufonds ausgegeben werden und die zwischen zwei Fälligkeitsterminen der Einkünfte veräußert oder erworben werden, ist die Verwaltung des Schatzamtes ermächtigt, dem Verkäufer und dem Erwerber für den Zeitraum, in dem die Wertpapiere, die die Einkünfte erzeugen, Gegenstand einer namentlichen Eintragung im öffentlichen Schuldbuch gewesen sind, einen Betrag zu zahlen, der dem Mobiliensteuervorabzug entspricht, der sich auf den entsprechenden Teil der Bruttozinsen bezieht, den jeder von ihnen tatsächlich bezogen hat oder über den jeder von ihnen tatsächlich verfügt hat.</w:t>
      </w:r>
    </w:p>
    <w:p w14:paraId="6DF788EF" w14:textId="77777777" w:rsidR="007D52CA" w:rsidRPr="00F531CC" w:rsidRDefault="007D52CA" w:rsidP="007D52CA">
      <w:pPr>
        <w:rPr>
          <w:rFonts w:eastAsia="Calibri"/>
          <w:szCs w:val="22"/>
          <w:lang w:eastAsia="de-DE" w:bidi="de-DE"/>
        </w:rPr>
      </w:pPr>
    </w:p>
    <w:p w14:paraId="4C4D3DD2" w14:textId="0BD7A127" w:rsidR="007D52CA" w:rsidRPr="00F531CC" w:rsidRDefault="007D52CA" w:rsidP="007D52CA">
      <w:pPr>
        <w:jc w:val="both"/>
        <w:rPr>
          <w:rFonts w:eastAsia="Calibri"/>
          <w:szCs w:val="22"/>
          <w:lang w:eastAsia="de-DE" w:bidi="de-DE"/>
        </w:rPr>
      </w:pPr>
      <w:r w:rsidRPr="00F531CC">
        <w:rPr>
          <w:rFonts w:eastAsia="Calibri"/>
          <w:szCs w:val="22"/>
          <w:lang w:eastAsia="de-DE" w:bidi="de-DE"/>
        </w:rPr>
        <w:tab/>
        <w:t>Die in Absatz 1 erwähnte Zahlung unterliegt der Bedingung, dass der betreffende gebietsfremde Sparer die vom Minister der Finanzen oder von seinem Beauftragten festgelegten Vorschriften einhält.</w:t>
      </w:r>
    </w:p>
    <w:p w14:paraId="4A498B03" w14:textId="77777777" w:rsidR="007D52CA" w:rsidRPr="00F531CC" w:rsidRDefault="007D52CA" w:rsidP="007D52CA">
      <w:pPr>
        <w:jc w:val="both"/>
        <w:rPr>
          <w:rFonts w:eastAsia="Calibri"/>
          <w:szCs w:val="22"/>
          <w:lang w:eastAsia="de-DE" w:bidi="de-DE"/>
        </w:rPr>
      </w:pPr>
    </w:p>
    <w:p w14:paraId="0266D73F" w14:textId="0A066EAC" w:rsidR="007D52CA" w:rsidRPr="00817112" w:rsidRDefault="007D52CA" w:rsidP="007D52CA">
      <w:pPr>
        <w:jc w:val="both"/>
        <w:rPr>
          <w:rFonts w:eastAsia="Calibri"/>
          <w:szCs w:val="22"/>
          <w:lang w:eastAsia="de-DE" w:bidi="de-DE"/>
        </w:rPr>
      </w:pPr>
      <w:r w:rsidRPr="00F531CC">
        <w:rPr>
          <w:rFonts w:eastAsia="Calibri"/>
          <w:i/>
          <w:szCs w:val="22"/>
          <w:lang w:eastAsia="de-DE" w:bidi="de-DE"/>
        </w:rPr>
        <w:t>[Art. 119 § 1 Abs. 1 Nr. 3 abgeändert durch Art. 17 des K.E. vom 1. September 1995 (II) (B.S. vom 5. Oktober 1995); § 1 Abs. 1 Nr. 5 abgeändert durch Art. 12 des K.E. vom 22. Oktober 1993 (B.S. vom 29. Oktober 1993)</w:t>
      </w:r>
      <w:r w:rsidR="00817112">
        <w:rPr>
          <w:rFonts w:eastAsia="Calibri"/>
          <w:i/>
          <w:szCs w:val="22"/>
          <w:lang w:eastAsia="de-DE" w:bidi="de-DE"/>
        </w:rPr>
        <w:t>,</w:t>
      </w:r>
      <w:r w:rsidRPr="00F531CC">
        <w:rPr>
          <w:rFonts w:eastAsia="Calibri"/>
          <w:i/>
          <w:szCs w:val="22"/>
          <w:lang w:eastAsia="de-DE" w:bidi="de-DE"/>
        </w:rPr>
        <w:t xml:space="preserve"> Art. 18 des K.E. vom 15. Mai 2003 (B.S. vom 12. Juni 2003)</w:t>
      </w:r>
      <w:r w:rsidR="004879C2">
        <w:rPr>
          <w:rFonts w:eastAsia="Calibri"/>
          <w:i/>
          <w:szCs w:val="22"/>
          <w:lang w:eastAsia="de-DE" w:bidi="de-DE"/>
        </w:rPr>
        <w:t>,</w:t>
      </w:r>
      <w:r w:rsidR="00817112">
        <w:rPr>
          <w:rFonts w:eastAsia="Calibri"/>
          <w:i/>
          <w:szCs w:val="22"/>
          <w:lang w:eastAsia="de-DE" w:bidi="de-DE"/>
        </w:rPr>
        <w:t xml:space="preserve"> Art. 24 des K.E. vom </w:t>
      </w:r>
      <w:r w:rsidR="005024BD">
        <w:rPr>
          <w:rFonts w:eastAsia="Calibri"/>
          <w:i/>
          <w:szCs w:val="22"/>
          <w:lang w:eastAsia="de-DE" w:bidi="de-DE"/>
        </w:rPr>
        <w:t>22. Mai 2017 (II)</w:t>
      </w:r>
      <w:r w:rsidR="00817112">
        <w:rPr>
          <w:rFonts w:eastAsia="Calibri"/>
          <w:i/>
          <w:szCs w:val="22"/>
          <w:lang w:eastAsia="de-DE" w:bidi="de-DE"/>
        </w:rPr>
        <w:t xml:space="preserve"> (B.S. vom 6. Juni 2017)</w:t>
      </w:r>
      <w:r w:rsidR="004879C2">
        <w:rPr>
          <w:rFonts w:eastAsia="Calibri"/>
          <w:i/>
          <w:szCs w:val="22"/>
          <w:lang w:eastAsia="de-DE" w:bidi="de-DE"/>
        </w:rPr>
        <w:t xml:space="preserve"> und Art. 5 des K.E. vom 5. Juli 2022 (B.S. vom 15. Juli 2022)</w:t>
      </w:r>
      <w:r w:rsidRPr="00F531CC">
        <w:rPr>
          <w:rFonts w:eastAsia="Calibri"/>
          <w:i/>
          <w:szCs w:val="22"/>
          <w:lang w:eastAsia="de-DE" w:bidi="de-DE"/>
        </w:rPr>
        <w:t>]</w:t>
      </w:r>
    </w:p>
    <w:p w14:paraId="3E5C479B" w14:textId="77777777" w:rsidR="007D52CA" w:rsidRDefault="007D52CA" w:rsidP="007D52CA">
      <w:pPr>
        <w:rPr>
          <w:rFonts w:eastAsia="Calibri"/>
          <w:szCs w:val="22"/>
          <w:lang w:eastAsia="de-DE" w:bidi="de-DE"/>
        </w:rPr>
      </w:pPr>
    </w:p>
    <w:p w14:paraId="01A0556C" w14:textId="6D8CF516" w:rsidR="00457844" w:rsidRDefault="00457844">
      <w:pPr>
        <w:rPr>
          <w:rFonts w:eastAsia="Calibri"/>
          <w:szCs w:val="22"/>
          <w:lang w:eastAsia="de-DE" w:bidi="de-DE"/>
        </w:rPr>
      </w:pPr>
    </w:p>
    <w:p w14:paraId="60AE8CDE" w14:textId="5F187CAC" w:rsidR="007D52CA" w:rsidRPr="00F531CC" w:rsidRDefault="007D52CA" w:rsidP="007D52CA">
      <w:pPr>
        <w:jc w:val="both"/>
        <w:rPr>
          <w:rFonts w:eastAsia="Calibri"/>
          <w:szCs w:val="22"/>
          <w:lang w:eastAsia="de-DE" w:bidi="de-DE"/>
        </w:rPr>
      </w:pPr>
      <w:r w:rsidRPr="00F531CC">
        <w:rPr>
          <w:rFonts w:eastAsia="Calibri"/>
          <w:szCs w:val="22"/>
          <w:lang w:eastAsia="de-DE" w:bidi="de-DE"/>
        </w:rPr>
        <w:t>[Unterabschnitt 4 - Ab dem 1. Januar 1994 ausgegebene [Aktien oder Anteile], die in Belgien unverschlossen hinterlegt [oder auf einem Wertpapierkonto gebucht] waren - Bedingungen und Anwendungsmodalitäten für den Erhalt eines ermäßigten Steuersatzes des Mobilien</w:t>
      </w:r>
      <w:r w:rsidRPr="00F531CC">
        <w:rPr>
          <w:rFonts w:eastAsia="Calibri"/>
          <w:szCs w:val="22"/>
          <w:lang w:eastAsia="de-DE" w:bidi="de-DE"/>
        </w:rPr>
        <w:softHyphen/>
        <w:t>steuervorabzugs</w:t>
      </w:r>
    </w:p>
    <w:p w14:paraId="235F0F2B" w14:textId="77777777" w:rsidR="007D52CA" w:rsidRPr="00F531CC" w:rsidRDefault="007D52CA" w:rsidP="007D52CA">
      <w:pPr>
        <w:jc w:val="both"/>
        <w:rPr>
          <w:rFonts w:eastAsia="Calibri"/>
          <w:szCs w:val="22"/>
          <w:lang w:eastAsia="de-DE" w:bidi="de-DE"/>
        </w:rPr>
      </w:pPr>
    </w:p>
    <w:p w14:paraId="10D5BB64" w14:textId="77777777" w:rsidR="007D52CA" w:rsidRPr="00F531CC" w:rsidRDefault="007D52CA" w:rsidP="007D52CA">
      <w:pPr>
        <w:jc w:val="center"/>
        <w:rPr>
          <w:rFonts w:eastAsia="Calibri"/>
          <w:szCs w:val="22"/>
          <w:lang w:eastAsia="de-DE" w:bidi="de-DE"/>
        </w:rPr>
      </w:pPr>
      <w:r w:rsidRPr="00F531CC">
        <w:rPr>
          <w:rFonts w:eastAsia="Calibri"/>
          <w:szCs w:val="22"/>
          <w:lang w:eastAsia="de-DE" w:bidi="de-DE"/>
        </w:rPr>
        <w:t>(Einkommensteuergesetzbuch 1992, Artikel 269 Absatz 3 Buchstabe </w:t>
      </w:r>
      <w:r w:rsidRPr="00F531CC">
        <w:rPr>
          <w:rFonts w:eastAsia="Calibri"/>
          <w:i/>
          <w:szCs w:val="22"/>
          <w:lang w:eastAsia="de-DE" w:bidi="de-DE"/>
        </w:rPr>
        <w:t>b)</w:t>
      </w:r>
      <w:r w:rsidRPr="00F531CC">
        <w:rPr>
          <w:rFonts w:eastAsia="Calibri"/>
          <w:szCs w:val="22"/>
          <w:lang w:eastAsia="de-DE" w:bidi="de-DE"/>
        </w:rPr>
        <w:t>)</w:t>
      </w:r>
    </w:p>
    <w:p w14:paraId="7282ABD7" w14:textId="77777777" w:rsidR="007D52CA" w:rsidRPr="00F531CC" w:rsidRDefault="007D52CA" w:rsidP="007D52CA">
      <w:pPr>
        <w:jc w:val="center"/>
        <w:rPr>
          <w:rFonts w:eastAsia="Calibri"/>
          <w:szCs w:val="22"/>
          <w:lang w:eastAsia="de-DE" w:bidi="de-DE"/>
        </w:rPr>
      </w:pPr>
    </w:p>
    <w:p w14:paraId="1A074002"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[Unterabschnitt 4 mit Art. 119bis eingefügt durch Art. 1 des K.E. vom 1. September 1995 (I) (B.S. vom 28. September 1995); Überschrift von Unterabschnitt 4 abgeändert durch Art. 7 des K.E. vom 7. Dezember 2007 (I) (B.S. vom 12. Dezember 2007)]</w:t>
      </w:r>
    </w:p>
    <w:p w14:paraId="232F4B98" w14:textId="77777777" w:rsidR="007D52CA" w:rsidRPr="00F531CC" w:rsidRDefault="007D52CA" w:rsidP="007D52CA">
      <w:pPr>
        <w:jc w:val="both"/>
        <w:rPr>
          <w:rFonts w:eastAsia="Calibri"/>
          <w:szCs w:val="22"/>
          <w:lang w:eastAsia="de-DE" w:bidi="de-DE"/>
        </w:rPr>
      </w:pPr>
    </w:p>
    <w:p w14:paraId="6873C8E7" w14:textId="77777777" w:rsidR="007D52CA" w:rsidRPr="00F531CC" w:rsidRDefault="007D52CA" w:rsidP="007D52CA">
      <w:pPr>
        <w:jc w:val="both"/>
        <w:rPr>
          <w:rFonts w:eastAsia="Calibri"/>
          <w:szCs w:val="22"/>
          <w:lang w:eastAsia="de-DE" w:bidi="de-DE"/>
        </w:rPr>
      </w:pPr>
    </w:p>
    <w:p w14:paraId="3CEF391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119</w:t>
      </w:r>
      <w:r w:rsidRPr="00F531CC">
        <w:rPr>
          <w:rFonts w:eastAsia="Calibri"/>
          <w:b/>
          <w:i/>
          <w:szCs w:val="22"/>
          <w:lang w:eastAsia="de-DE" w:bidi="de-DE"/>
        </w:rPr>
        <w:t>bis</w:t>
      </w:r>
      <w:r w:rsidRPr="00F531CC">
        <w:rPr>
          <w:rFonts w:eastAsia="Calibri"/>
          <w:b/>
          <w:szCs w:val="22"/>
          <w:lang w:eastAsia="de-DE" w:bidi="de-DE"/>
        </w:rPr>
        <w:t> -</w:t>
      </w:r>
      <w:r w:rsidRPr="00F531CC">
        <w:rPr>
          <w:rFonts w:eastAsia="Calibri"/>
          <w:szCs w:val="22"/>
          <w:lang w:eastAsia="de-DE" w:bidi="de-DE"/>
        </w:rPr>
        <w:t xml:space="preserve"> § 1 - [Für die Anwendung von Artikel 269 Absatz 3 Buchstabe </w:t>
      </w:r>
      <w:r w:rsidRPr="00F531CC">
        <w:rPr>
          <w:rFonts w:eastAsia="Calibri"/>
          <w:i/>
          <w:szCs w:val="22"/>
          <w:lang w:eastAsia="de-DE" w:bidi="de-DE"/>
        </w:rPr>
        <w:t>b)</w:t>
      </w:r>
      <w:r w:rsidRPr="00F531CC">
        <w:rPr>
          <w:rFonts w:eastAsia="Calibri"/>
          <w:szCs w:val="22"/>
          <w:lang w:eastAsia="de-DE" w:bidi="de-DE"/>
        </w:rPr>
        <w:t xml:space="preserve"> des Einkommensteuergesetzbuches 1992 müssen Inhaberaktien oder -anteile oder entmateriali</w:t>
      </w:r>
      <w:r w:rsidRPr="00F531CC">
        <w:rPr>
          <w:rFonts w:eastAsia="Calibri"/>
          <w:szCs w:val="22"/>
          <w:lang w:eastAsia="de-DE" w:bidi="de-DE"/>
        </w:rPr>
        <w:softHyphen/>
        <w:t>sierte Aktien oder Anteile seit ihrer Ausgabe entweder in Belgien bei einer Bank, einem öffentlichen Kreditinstitut, einer Börsengesellschaft oder einer Sparkasse, die der Kontrolle der [Autorität Finanzielle Dienste und Märkte] unterliegt, dauerhaft unverschlossen hinterlegt gewesen sein oder in entmaterialisierter Form auf den Namen ihres Eigentümers oder Inhabers bei einer Liquidationseinrichtung oder einem zugelassenen Kontenführer, der ermächtigt ist, solche Wertpapiere zu besitzen, gehalten worden sein.</w:t>
      </w:r>
    </w:p>
    <w:p w14:paraId="406DBB70" w14:textId="77777777" w:rsidR="007D52CA" w:rsidRPr="00F531CC" w:rsidRDefault="007D52CA" w:rsidP="007D52CA">
      <w:pPr>
        <w:jc w:val="both"/>
        <w:rPr>
          <w:rFonts w:eastAsia="Calibri"/>
          <w:szCs w:val="22"/>
          <w:lang w:eastAsia="de-DE" w:bidi="de-DE"/>
        </w:rPr>
      </w:pPr>
    </w:p>
    <w:p w14:paraId="4CBC853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Die Bedingung der Dauerhaftigkeit der unverschlossenen Hinterlegung ist erfüllt, wenn:</w:t>
      </w:r>
    </w:p>
    <w:p w14:paraId="77504EEC" w14:textId="77777777" w:rsidR="007D52CA" w:rsidRPr="00F531CC" w:rsidRDefault="007D52CA" w:rsidP="007D52CA">
      <w:pPr>
        <w:jc w:val="both"/>
        <w:rPr>
          <w:rFonts w:eastAsia="Calibri"/>
          <w:szCs w:val="22"/>
          <w:lang w:eastAsia="de-DE" w:bidi="de-DE"/>
        </w:rPr>
      </w:pPr>
    </w:p>
    <w:p w14:paraId="5EF0A4CD"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die Aktien oder Anteile nach ihrer materiellen Ausgabe im Hinblick auf ihre unverschlossene Hinterlegung von der ausgebenden Gesellschaft an eine in Absatz 1 erwähnte Einrichtung, die der Hinterleger bei der Zeichnung der Aktien oder Anteile bestimmt hat, übergeben wurden und</w:t>
      </w:r>
    </w:p>
    <w:p w14:paraId="50EF2A0F" w14:textId="77777777" w:rsidR="007D52CA" w:rsidRPr="00F531CC" w:rsidRDefault="007D52CA" w:rsidP="007D52CA">
      <w:pPr>
        <w:jc w:val="both"/>
        <w:rPr>
          <w:rFonts w:eastAsia="Calibri"/>
          <w:szCs w:val="22"/>
          <w:lang w:eastAsia="de-DE" w:bidi="de-DE"/>
        </w:rPr>
      </w:pPr>
    </w:p>
    <w:p w14:paraId="022D564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2. die unverschlossene Hinterlegung bis zum Zeitpunkt der Zuerkennung oder Ausschüttung der Dividende ununterbrochen aufrechterhalten wurde.</w:t>
      </w:r>
    </w:p>
    <w:p w14:paraId="20536039" w14:textId="77777777" w:rsidR="007D52CA" w:rsidRPr="00F531CC" w:rsidRDefault="007D52CA" w:rsidP="007D52CA">
      <w:pPr>
        <w:jc w:val="both"/>
        <w:rPr>
          <w:rFonts w:eastAsia="Calibri"/>
          <w:szCs w:val="22"/>
          <w:lang w:eastAsia="de-DE" w:bidi="de-DE"/>
        </w:rPr>
      </w:pPr>
    </w:p>
    <w:p w14:paraId="2966ED77" w14:textId="3BB82BF7" w:rsidR="007D52CA" w:rsidRPr="00F531CC" w:rsidRDefault="007D52CA" w:rsidP="007D52CA">
      <w:pPr>
        <w:jc w:val="both"/>
        <w:rPr>
          <w:rFonts w:eastAsia="Calibri"/>
          <w:szCs w:val="22"/>
          <w:lang w:eastAsia="de-DE" w:bidi="de-DE"/>
        </w:rPr>
      </w:pPr>
      <w:r w:rsidRPr="00F531CC">
        <w:rPr>
          <w:rFonts w:eastAsia="Calibri"/>
          <w:szCs w:val="22"/>
          <w:lang w:eastAsia="de-DE" w:bidi="de-DE"/>
        </w:rPr>
        <w:tab/>
        <w:t>Die Umwandlung von Inhaberaktien oder -anteilen, die seit ihrer Ausgabe bei einer Bank, einem öffentlichen Kreditinstitut, einer Börsengesellschaft oder einer Sparkasse wie in Absatz 1 erwähnt unverschlossen hinterlegt waren, in entmaterialisierte Aktien oder Anteile gemäß dem Gesetz vom 14. Dezember 2005 zur Abschaffung der Inhaberpapiere bleibt ohne Auswirkung für die Beurteilung der Bedingung der dauerhaften Buchung auf einem Wertpapierkonto in Belgien auf den Namen ihres Eigentümers oder Inhabers bei einer Liquidationseinrichtung oder einem zugelassenen Kontenführer, der ermächtigt ist, solche Wertpapiere zu besitzen.</w:t>
      </w:r>
    </w:p>
    <w:p w14:paraId="0C6ADFCF" w14:textId="77777777" w:rsidR="00C735CE" w:rsidRDefault="007D52CA" w:rsidP="007D52CA">
      <w:pPr>
        <w:jc w:val="both"/>
        <w:rPr>
          <w:rFonts w:eastAsia="Calibri"/>
          <w:szCs w:val="22"/>
          <w:lang w:eastAsia="de-DE" w:bidi="de-DE"/>
        </w:rPr>
      </w:pPr>
      <w:r w:rsidRPr="00F531CC">
        <w:rPr>
          <w:rFonts w:eastAsia="Calibri"/>
          <w:szCs w:val="22"/>
          <w:lang w:eastAsia="de-DE" w:bidi="de-DE"/>
        </w:rPr>
        <w:tab/>
      </w:r>
    </w:p>
    <w:p w14:paraId="6CB0B6AF" w14:textId="79109682" w:rsidR="007D52CA" w:rsidRPr="00F531CC" w:rsidRDefault="007D52CA" w:rsidP="00C735CE">
      <w:pPr>
        <w:ind w:firstLine="708"/>
        <w:jc w:val="both"/>
        <w:rPr>
          <w:rFonts w:eastAsia="Calibri"/>
          <w:szCs w:val="22"/>
          <w:lang w:eastAsia="de-DE" w:bidi="de-DE"/>
        </w:rPr>
      </w:pPr>
      <w:r w:rsidRPr="00F531CC">
        <w:rPr>
          <w:rFonts w:eastAsia="Calibri"/>
          <w:szCs w:val="22"/>
          <w:lang w:eastAsia="de-DE" w:bidi="de-DE"/>
        </w:rPr>
        <w:t>Die Bedingung der dauerhaften Buchung auf einem Wertpapierkonto ist erfüllt, wenn die Aktien oder Anteile seit ihrer Ausgabe auf diesem Konto gebucht sind.]</w:t>
      </w:r>
    </w:p>
    <w:p w14:paraId="525D4A37" w14:textId="77777777" w:rsidR="007D52CA" w:rsidRPr="00F531CC" w:rsidRDefault="007D52CA" w:rsidP="007D52CA">
      <w:pPr>
        <w:rPr>
          <w:rFonts w:eastAsia="Calibri"/>
          <w:szCs w:val="22"/>
          <w:lang w:eastAsia="de-DE" w:bidi="de-DE"/>
        </w:rPr>
      </w:pPr>
    </w:p>
    <w:p w14:paraId="5FF4F68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2 - Die ausgebende Gesellschaft [hat] die Aktien oder Anteile, auf die [Artikel 269 Absatz 3 Buchstabe </w:t>
      </w:r>
      <w:r w:rsidRPr="00F531CC">
        <w:rPr>
          <w:rFonts w:eastAsia="Calibri"/>
          <w:i/>
          <w:szCs w:val="22"/>
          <w:lang w:eastAsia="de-DE" w:bidi="de-DE"/>
        </w:rPr>
        <w:t>b)</w:t>
      </w:r>
      <w:r w:rsidRPr="00F531CC">
        <w:rPr>
          <w:rFonts w:eastAsia="Calibri"/>
          <w:szCs w:val="22"/>
          <w:lang w:eastAsia="de-DE" w:bidi="de-DE"/>
        </w:rPr>
        <w:t xml:space="preserve"> zweiter Gedankenstrich] des vorerwähnten Gesetzbuches angewandt wird, bei ihrer materiellen Ausgabe anhand einer speziellen Codenummer, die das Sekretariat für Wertpapiere zuteilt, identifizieren lassen.</w:t>
      </w:r>
    </w:p>
    <w:p w14:paraId="53A244A6" w14:textId="77777777" w:rsidR="007D52CA" w:rsidRPr="00F531CC" w:rsidRDefault="007D52CA" w:rsidP="007D52CA">
      <w:pPr>
        <w:rPr>
          <w:rFonts w:eastAsia="Calibri"/>
          <w:szCs w:val="22"/>
          <w:lang w:eastAsia="de-DE" w:bidi="de-DE"/>
        </w:rPr>
      </w:pPr>
    </w:p>
    <w:p w14:paraId="13308992"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Die ausgebende Gesellschaft muss dem Sekretariat für Wertpapiere das Datum der Zuerkennung oder Ausschüttung der Dividende und den steuerpflichtigen Bruttobetrag des Kupons mitteilen, damit das Sekretariat diese Informationen den verwahrenden Einrichtungen, die darum ersuchen, mitteilen kann.</w:t>
      </w:r>
    </w:p>
    <w:p w14:paraId="481A63C8" w14:textId="77777777" w:rsidR="007D52CA" w:rsidRPr="00F531CC" w:rsidRDefault="007D52CA" w:rsidP="007D52CA">
      <w:pPr>
        <w:jc w:val="both"/>
        <w:rPr>
          <w:rFonts w:eastAsia="Calibri"/>
          <w:szCs w:val="22"/>
          <w:lang w:eastAsia="de-DE" w:bidi="de-DE"/>
        </w:rPr>
      </w:pPr>
    </w:p>
    <w:p w14:paraId="3772BCE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2</w:t>
      </w:r>
      <w:r w:rsidRPr="00F531CC">
        <w:rPr>
          <w:rFonts w:eastAsia="Calibri"/>
          <w:i/>
          <w:szCs w:val="22"/>
          <w:lang w:eastAsia="de-DE" w:bidi="de-DE"/>
        </w:rPr>
        <w:t>bis</w:t>
      </w:r>
      <w:r w:rsidRPr="00F531CC">
        <w:rPr>
          <w:rFonts w:eastAsia="Calibri"/>
          <w:szCs w:val="22"/>
          <w:lang w:eastAsia="de-DE" w:bidi="de-DE"/>
        </w:rPr>
        <w:t> - Die ausgebende Gesellschaft muss die Aktien oder Anteile, auf die Artikel 269 Absatz 3 Buchstabe </w:t>
      </w:r>
      <w:r w:rsidRPr="00F531CC">
        <w:rPr>
          <w:rFonts w:eastAsia="Calibri"/>
          <w:i/>
          <w:szCs w:val="22"/>
          <w:lang w:eastAsia="de-DE" w:bidi="de-DE"/>
        </w:rPr>
        <w:t>b)</w:t>
      </w:r>
      <w:r w:rsidRPr="00F531CC">
        <w:rPr>
          <w:rFonts w:eastAsia="Calibri"/>
          <w:szCs w:val="22"/>
          <w:lang w:eastAsia="de-DE" w:bidi="de-DE"/>
        </w:rPr>
        <w:t xml:space="preserve"> dritter Gedankenstrich des vorerwähnten Gesetzbuches angewandt wird, bei ihrer Ausgabe anhand einer speziellen Codenummer, die das Sekretariat für Wertpapiere zuteilt, identifizieren lassen.</w:t>
      </w:r>
    </w:p>
    <w:p w14:paraId="47C5F489" w14:textId="77777777" w:rsidR="007D52CA" w:rsidRPr="00F531CC" w:rsidRDefault="007D52CA" w:rsidP="007D52CA">
      <w:pPr>
        <w:jc w:val="both"/>
        <w:rPr>
          <w:rFonts w:eastAsia="Calibri"/>
          <w:szCs w:val="22"/>
          <w:lang w:eastAsia="de-DE" w:bidi="de-DE"/>
        </w:rPr>
      </w:pPr>
    </w:p>
    <w:p w14:paraId="104306F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Die ausgebende Gesellschaft muss dem Sekretariat für Wertpapiere das Datum der Zuerkennung oder Ausschüttung der Dividende und den steuerpflichtigen Bruttobetrag des Kupons mitteilen, damit das Sekretariat diese Informationen den Kontenführern, die darum ersuchen, mitteilen kann.]</w:t>
      </w:r>
    </w:p>
    <w:p w14:paraId="766EC103" w14:textId="77777777" w:rsidR="007D52CA" w:rsidRPr="00F531CC" w:rsidRDefault="007D52CA" w:rsidP="007D52CA">
      <w:pPr>
        <w:jc w:val="both"/>
        <w:rPr>
          <w:rFonts w:eastAsia="Calibri"/>
          <w:szCs w:val="22"/>
          <w:lang w:eastAsia="de-DE" w:bidi="de-DE"/>
        </w:rPr>
      </w:pPr>
    </w:p>
    <w:p w14:paraId="11EF926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3 - Bei Zuerkennung oder Ausschüttung der Dividende sind die in § 1 Absatz 1 erwähnten Einrichtungen verpflichtet:</w:t>
      </w:r>
    </w:p>
    <w:p w14:paraId="2ECFDB60" w14:textId="77777777" w:rsidR="007D52CA" w:rsidRPr="00F531CC" w:rsidRDefault="007D52CA" w:rsidP="007D52CA">
      <w:pPr>
        <w:jc w:val="both"/>
        <w:rPr>
          <w:rFonts w:eastAsia="Calibri"/>
          <w:szCs w:val="22"/>
          <w:lang w:eastAsia="de-DE" w:bidi="de-DE"/>
        </w:rPr>
      </w:pPr>
    </w:p>
    <w:p w14:paraId="771FAB9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pro ausgebende Gesellschaft eine Gesamtbescheinigung auszustellen, in der die Anzahl Aktien oder Anteile angegeben wird, die die Bedingung der Dauerhaftigkeit der unverschlossenen Hinterlegung [oder die Bedingung der dauerhaften Buchung auf einem Wertpapierkonto] erfüllen,</w:t>
      </w:r>
    </w:p>
    <w:p w14:paraId="1505D4A3" w14:textId="77777777" w:rsidR="007D52CA" w:rsidRPr="00F531CC" w:rsidRDefault="007D52CA" w:rsidP="007D52CA">
      <w:pPr>
        <w:jc w:val="both"/>
        <w:rPr>
          <w:rFonts w:eastAsia="Calibri"/>
          <w:szCs w:val="22"/>
          <w:lang w:eastAsia="de-DE" w:bidi="de-DE"/>
        </w:rPr>
      </w:pPr>
    </w:p>
    <w:p w14:paraId="1BBB278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diese Bescheinigung der ausgebenden Gesellschaft zu übergeben.</w:t>
      </w:r>
    </w:p>
    <w:p w14:paraId="75E8A70E" w14:textId="77777777" w:rsidR="007D52CA" w:rsidRPr="00F531CC" w:rsidRDefault="007D52CA" w:rsidP="007D52CA">
      <w:pPr>
        <w:jc w:val="both"/>
        <w:rPr>
          <w:rFonts w:eastAsia="Calibri"/>
          <w:szCs w:val="22"/>
          <w:lang w:eastAsia="de-DE" w:bidi="de-DE"/>
        </w:rPr>
      </w:pPr>
    </w:p>
    <w:p w14:paraId="795DC0B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Die ausgebende Gesellschaft muss diese Bescheinigungen ihrer Erklärung zum Mobiliensteuervorabzug beifügen.</w:t>
      </w:r>
    </w:p>
    <w:p w14:paraId="1CB622D7" w14:textId="77777777" w:rsidR="007D52CA" w:rsidRPr="00F531CC" w:rsidRDefault="007D52CA" w:rsidP="007D52CA">
      <w:pPr>
        <w:jc w:val="both"/>
        <w:rPr>
          <w:rFonts w:eastAsia="Calibri"/>
          <w:szCs w:val="22"/>
          <w:lang w:eastAsia="de-DE" w:bidi="de-DE"/>
        </w:rPr>
      </w:pPr>
    </w:p>
    <w:p w14:paraId="1263522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xml:space="preserve">§ 4 - [Bei Wechsel der verwahrenden oder kontoführenden Einrichtung wird für die Anwendung von § 1 Absatz 2 Nr. 2 oder Absatz 4 davon ausgegangen, dass die </w:t>
      </w:r>
      <w:r w:rsidRPr="00F531CC">
        <w:rPr>
          <w:rFonts w:eastAsia="Calibri"/>
          <w:szCs w:val="22"/>
          <w:lang w:eastAsia="de-DE" w:bidi="de-DE"/>
        </w:rPr>
        <w:lastRenderedPageBreak/>
        <w:t>unverschlossene Hinterlegung oder die Buchung auf einem Wertpapierkonto ununterbrochen aufrechterhalten wird, wenn diese Verrichtung zwischen Einrichtungen wie in § 1 erwähnt erfolgt und insofern:</w:t>
      </w:r>
    </w:p>
    <w:p w14:paraId="07542114" w14:textId="77777777" w:rsidR="007D52CA" w:rsidRPr="00F531CC" w:rsidRDefault="007D52CA" w:rsidP="007D52CA">
      <w:pPr>
        <w:jc w:val="both"/>
        <w:rPr>
          <w:rFonts w:eastAsia="Calibri"/>
          <w:szCs w:val="22"/>
          <w:lang w:eastAsia="de-DE" w:bidi="de-DE"/>
        </w:rPr>
      </w:pPr>
    </w:p>
    <w:p w14:paraId="4185AD7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dem Hinterleger bei dieser Verrichtung keine Aktien oder Anteile übergeben werden, was Inhaberaktien oder -anteile betrifft, die noch nicht auf einem Wertpapierkonto entmaterialisiert worden sind,</w:t>
      </w:r>
    </w:p>
    <w:p w14:paraId="405DA193" w14:textId="77777777" w:rsidR="007C20CA" w:rsidRDefault="007C20CA">
      <w:pPr>
        <w:rPr>
          <w:rFonts w:eastAsia="Calibri"/>
          <w:szCs w:val="22"/>
          <w:lang w:eastAsia="de-DE" w:bidi="de-DE"/>
        </w:rPr>
      </w:pPr>
    </w:p>
    <w:p w14:paraId="630C6655" w14:textId="0005976B" w:rsidR="007D52CA" w:rsidRPr="00F531CC" w:rsidRDefault="007D52CA" w:rsidP="007D52CA">
      <w:pPr>
        <w:jc w:val="both"/>
        <w:rPr>
          <w:rFonts w:eastAsia="Calibri"/>
          <w:szCs w:val="22"/>
          <w:lang w:eastAsia="de-DE" w:bidi="de-DE"/>
        </w:rPr>
      </w:pPr>
      <w:r w:rsidRPr="00F531CC">
        <w:rPr>
          <w:rFonts w:eastAsia="Calibri"/>
          <w:szCs w:val="22"/>
          <w:lang w:eastAsia="de-DE" w:bidi="de-DE"/>
        </w:rPr>
        <w:tab/>
        <w:t>- die erste Einrichtung der neuen Einrichtung eine Bescheinigung ausstellt, in der sie bestätigt, dass die betreffenden Aktien oder Anteile wie in § 1 vorgesehen bis zum Tag der vorerwähnten Verrichtung unverschlossen hinterlegt oder auf einem Wertpapierkonto gebucht waren.]]</w:t>
      </w:r>
    </w:p>
    <w:p w14:paraId="6DBEB43A" w14:textId="77777777" w:rsidR="007D52CA" w:rsidRPr="00F531CC" w:rsidRDefault="007D52CA" w:rsidP="007D52CA">
      <w:pPr>
        <w:jc w:val="both"/>
        <w:rPr>
          <w:rFonts w:eastAsia="Calibri"/>
          <w:szCs w:val="22"/>
          <w:lang w:eastAsia="de-DE" w:bidi="de-DE"/>
        </w:rPr>
      </w:pPr>
    </w:p>
    <w:p w14:paraId="4814FDBF"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119bis § 1 ersetzt durch Art. 8 Nr. 1 des K.E. vom 7. Dezember 2007 (I) (B.S. vom 12. Dezember 2007); § 1 Abs. 1 abgeändert durch Art. 331 Abs. 2 des K.E. vom 3. März 2011 (B.S. vom 9. März 2011); § 2 Abs. 1 abgeändert durch Art. 8 Nr. 2 des K.E. vom 7. Dezember 2007 (I) (B.S. vom 12. Dezember 2007); § 2bis eingefügt durch Art. 8 Nr. 3 des K.E. vom 7. Dezember 2007 (I) (B.S. vom 12. Dezember 2007); § 3 Abs. 1 erster Gedankenstrich abgeändert durch Art. 8 Nr. 4 des K.E. vom 7. Dezember 2007 (I) (B.S. vom 12. Dezember 2007); § 4 ersetzt durch Art. 8 Nr. 5 des K.E. vom 7. Dezember 2007 (I) (B.S. vom 12. Dezember 2007)]</w:t>
      </w:r>
    </w:p>
    <w:p w14:paraId="685758C8" w14:textId="77777777" w:rsidR="007D52CA" w:rsidRPr="00F531CC" w:rsidRDefault="007D52CA" w:rsidP="007D52CA">
      <w:pPr>
        <w:jc w:val="both"/>
        <w:rPr>
          <w:rFonts w:eastAsia="Calibri"/>
          <w:szCs w:val="22"/>
          <w:lang w:eastAsia="de-DE" w:bidi="de-DE"/>
        </w:rPr>
      </w:pPr>
    </w:p>
    <w:p w14:paraId="79F5ED09" w14:textId="77777777" w:rsidR="007D52CA" w:rsidRPr="00F531CC" w:rsidRDefault="007D52CA" w:rsidP="007D52CA">
      <w:pPr>
        <w:jc w:val="both"/>
        <w:rPr>
          <w:rFonts w:eastAsia="Calibri"/>
          <w:szCs w:val="22"/>
          <w:lang w:eastAsia="de-DE" w:bidi="de-DE"/>
        </w:rPr>
      </w:pPr>
    </w:p>
    <w:p w14:paraId="6A936030" w14:textId="77777777" w:rsidR="007D52CA" w:rsidRPr="00F531CC" w:rsidRDefault="007D52CA" w:rsidP="007D52CA">
      <w:pPr>
        <w:jc w:val="center"/>
        <w:rPr>
          <w:rFonts w:eastAsia="Calibri"/>
          <w:szCs w:val="22"/>
          <w:lang w:eastAsia="de-DE" w:bidi="de-DE"/>
        </w:rPr>
      </w:pPr>
      <w:r w:rsidRPr="00F531CC">
        <w:rPr>
          <w:rFonts w:eastAsia="Calibri"/>
          <w:i/>
          <w:szCs w:val="22"/>
          <w:lang w:eastAsia="de-DE" w:bidi="de-DE"/>
        </w:rPr>
        <w:t>Abschnitt 4</w:t>
      </w:r>
      <w:r w:rsidRPr="00F531CC">
        <w:rPr>
          <w:rFonts w:eastAsia="Calibri"/>
          <w:szCs w:val="22"/>
          <w:lang w:eastAsia="de-DE" w:bidi="de-DE"/>
        </w:rPr>
        <w:t> - Anrechnung der Vorabzüge</w:t>
      </w:r>
    </w:p>
    <w:p w14:paraId="32DDFD43" w14:textId="77777777" w:rsidR="007D52CA" w:rsidRPr="00F531CC" w:rsidRDefault="007D52CA" w:rsidP="007D52CA">
      <w:pPr>
        <w:jc w:val="center"/>
        <w:rPr>
          <w:rFonts w:eastAsia="Calibri"/>
          <w:szCs w:val="22"/>
          <w:lang w:eastAsia="de-DE" w:bidi="de-DE"/>
        </w:rPr>
      </w:pPr>
    </w:p>
    <w:p w14:paraId="0949B56E" w14:textId="77777777" w:rsidR="007D52CA" w:rsidRPr="00F531CC" w:rsidRDefault="007D52CA" w:rsidP="007D52CA">
      <w:pPr>
        <w:jc w:val="center"/>
        <w:rPr>
          <w:rFonts w:eastAsia="Calibri"/>
          <w:szCs w:val="22"/>
          <w:lang w:eastAsia="de-DE" w:bidi="de-DE"/>
        </w:rPr>
      </w:pPr>
    </w:p>
    <w:p w14:paraId="6BC1F860" w14:textId="77777777" w:rsidR="007D52CA" w:rsidRPr="00F531CC" w:rsidRDefault="007D52CA" w:rsidP="007D52CA">
      <w:pPr>
        <w:jc w:val="center"/>
        <w:rPr>
          <w:rFonts w:eastAsia="Calibri"/>
          <w:szCs w:val="22"/>
          <w:lang w:eastAsia="de-DE" w:bidi="de-DE"/>
        </w:rPr>
      </w:pPr>
      <w:r w:rsidRPr="00F531CC">
        <w:rPr>
          <w:rFonts w:eastAsia="Calibri"/>
          <w:szCs w:val="22"/>
          <w:lang w:eastAsia="de-DE" w:bidi="de-DE"/>
        </w:rPr>
        <w:t>[Unterabschnitt 1 - [...]</w:t>
      </w:r>
    </w:p>
    <w:p w14:paraId="0B627CA8" w14:textId="77777777" w:rsidR="007D52CA" w:rsidRPr="00F531CC" w:rsidRDefault="007D52CA" w:rsidP="007D52CA">
      <w:pPr>
        <w:jc w:val="center"/>
        <w:rPr>
          <w:rFonts w:eastAsia="Calibri"/>
          <w:szCs w:val="22"/>
          <w:lang w:eastAsia="de-DE" w:bidi="de-DE"/>
        </w:rPr>
      </w:pPr>
    </w:p>
    <w:p w14:paraId="5C54DD38"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[Unterabschnitt 1 mit Art. 120 aufgehoben durch Art. 8 des K.E. vom 30. September 2014 (II) (B.S. vom 9. Oktober 2014)]</w:t>
      </w:r>
    </w:p>
    <w:p w14:paraId="3EB7A348" w14:textId="77777777" w:rsidR="007D52CA" w:rsidRPr="00F531CC" w:rsidRDefault="007D52CA" w:rsidP="007D52CA">
      <w:pPr>
        <w:jc w:val="both"/>
        <w:rPr>
          <w:rFonts w:eastAsia="Calibri"/>
          <w:szCs w:val="22"/>
          <w:lang w:eastAsia="de-DE" w:bidi="de-DE"/>
        </w:rPr>
      </w:pPr>
    </w:p>
    <w:p w14:paraId="25FFD740" w14:textId="77777777" w:rsidR="007D52CA" w:rsidRPr="00F531CC" w:rsidRDefault="007D52CA" w:rsidP="007D52CA">
      <w:pPr>
        <w:jc w:val="both"/>
        <w:rPr>
          <w:rFonts w:eastAsia="Calibri"/>
          <w:szCs w:val="22"/>
          <w:lang w:eastAsia="de-DE" w:bidi="de-DE"/>
        </w:rPr>
      </w:pPr>
    </w:p>
    <w:p w14:paraId="62F180C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120 -</w:t>
      </w:r>
      <w:r w:rsidRPr="00F531CC">
        <w:rPr>
          <w:rFonts w:eastAsia="Calibri"/>
          <w:szCs w:val="22"/>
          <w:lang w:eastAsia="de-DE" w:bidi="de-DE"/>
        </w:rPr>
        <w:t xml:space="preserve"> [...]]</w:t>
      </w:r>
    </w:p>
    <w:p w14:paraId="3B73EBF7" w14:textId="5133E9A0" w:rsidR="00AF3938" w:rsidRDefault="00AF3938">
      <w:pPr>
        <w:rPr>
          <w:rFonts w:eastAsia="Calibri"/>
          <w:szCs w:val="22"/>
          <w:lang w:eastAsia="de-DE" w:bidi="de-DE"/>
        </w:rPr>
      </w:pPr>
    </w:p>
    <w:p w14:paraId="5BBF60FC" w14:textId="77777777" w:rsidR="00137616" w:rsidRDefault="00137616">
      <w:pPr>
        <w:rPr>
          <w:rFonts w:eastAsia="Calibri"/>
          <w:szCs w:val="22"/>
          <w:lang w:eastAsia="de-DE" w:bidi="de-DE"/>
        </w:rPr>
      </w:pPr>
    </w:p>
    <w:p w14:paraId="1348A16F" w14:textId="69109012" w:rsidR="007D52CA" w:rsidRPr="00F531CC" w:rsidRDefault="007D52CA" w:rsidP="00211FF1">
      <w:pPr>
        <w:jc w:val="center"/>
        <w:rPr>
          <w:rFonts w:eastAsia="Calibri"/>
          <w:szCs w:val="22"/>
          <w:lang w:eastAsia="de-DE" w:bidi="de-DE"/>
        </w:rPr>
      </w:pPr>
      <w:r w:rsidRPr="00F531CC">
        <w:rPr>
          <w:rFonts w:eastAsia="Calibri"/>
          <w:szCs w:val="22"/>
          <w:lang w:eastAsia="de-DE" w:bidi="de-DE"/>
        </w:rPr>
        <w:t>Unterabschnitt 2 - Fiktiver Mobiliensteuervorabzug</w:t>
      </w:r>
    </w:p>
    <w:p w14:paraId="6465E5C1" w14:textId="77777777" w:rsidR="007D52CA" w:rsidRPr="00F531CC" w:rsidRDefault="007D52CA" w:rsidP="007D52CA">
      <w:pPr>
        <w:jc w:val="center"/>
        <w:rPr>
          <w:rFonts w:eastAsia="Calibri"/>
          <w:szCs w:val="22"/>
          <w:lang w:eastAsia="de-DE" w:bidi="de-DE"/>
        </w:rPr>
      </w:pPr>
    </w:p>
    <w:p w14:paraId="342C136D" w14:textId="77777777" w:rsidR="007D52CA" w:rsidRPr="00F531CC" w:rsidRDefault="007D52CA" w:rsidP="007D52CA">
      <w:pPr>
        <w:jc w:val="center"/>
        <w:rPr>
          <w:rFonts w:eastAsia="Calibri"/>
          <w:szCs w:val="22"/>
          <w:lang w:eastAsia="de-DE" w:bidi="de-DE"/>
        </w:rPr>
      </w:pPr>
      <w:r w:rsidRPr="00F531CC">
        <w:rPr>
          <w:rFonts w:eastAsia="Calibri"/>
          <w:szCs w:val="22"/>
          <w:lang w:eastAsia="de-DE" w:bidi="de-DE"/>
        </w:rPr>
        <w:t>(Einkommensteuergesetzbuch 1992, Artikel 284)</w:t>
      </w:r>
    </w:p>
    <w:p w14:paraId="19F20F2C" w14:textId="77777777" w:rsidR="007D52CA" w:rsidRPr="00F531CC" w:rsidRDefault="007D52CA" w:rsidP="007D52CA">
      <w:pPr>
        <w:jc w:val="both"/>
        <w:rPr>
          <w:rFonts w:eastAsia="Calibri"/>
          <w:szCs w:val="22"/>
          <w:lang w:eastAsia="de-DE" w:bidi="de-DE"/>
        </w:rPr>
      </w:pPr>
    </w:p>
    <w:p w14:paraId="763CC4E7" w14:textId="77777777" w:rsidR="007D52CA" w:rsidRPr="00F531CC" w:rsidRDefault="007D52CA" w:rsidP="007D52CA">
      <w:pPr>
        <w:jc w:val="both"/>
        <w:rPr>
          <w:rFonts w:eastAsia="Calibri"/>
          <w:szCs w:val="22"/>
          <w:lang w:eastAsia="de-DE" w:bidi="de-DE"/>
        </w:rPr>
      </w:pPr>
    </w:p>
    <w:p w14:paraId="145ABB6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121 -</w:t>
      </w:r>
      <w:r w:rsidRPr="00F531CC">
        <w:rPr>
          <w:rFonts w:eastAsia="Calibri"/>
          <w:szCs w:val="22"/>
          <w:lang w:eastAsia="de-DE" w:bidi="de-DE"/>
        </w:rPr>
        <w:t xml:space="preserve"> § 1 - Der anzurechnende fiktive Mobiliensteuervorabzug auf Einkünfte aus Kapitalvermögen und beweglichen Gütern, für die vollständig oder teilweise von der Einnahme des Mobiliensteuervorabzugs abgesehen wird, entspricht:</w:t>
      </w:r>
    </w:p>
    <w:p w14:paraId="77D4C81E" w14:textId="77777777" w:rsidR="007D52CA" w:rsidRPr="00F531CC" w:rsidRDefault="007D52CA" w:rsidP="007D52CA">
      <w:pPr>
        <w:jc w:val="both"/>
        <w:rPr>
          <w:rFonts w:eastAsia="Calibri"/>
          <w:szCs w:val="22"/>
          <w:lang w:eastAsia="de-DE" w:bidi="de-DE"/>
        </w:rPr>
      </w:pPr>
    </w:p>
    <w:p w14:paraId="390E1558"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fünfundzwanzig Fünfundsiebzigsteln des eingenommenen oder erhaltenen Nettobetrags der Prämien belgischer öffentlicher Wertpapiere, die vor dem 1. Dezember 1962 ausgegeben wurden, bei denen gemäß Artikel 113 § 3 Buchstabe </w:t>
      </w:r>
      <w:r w:rsidRPr="00F531CC">
        <w:rPr>
          <w:rFonts w:eastAsia="Calibri"/>
          <w:i/>
          <w:szCs w:val="22"/>
          <w:lang w:eastAsia="de-DE" w:bidi="de-DE"/>
        </w:rPr>
        <w:t>a)</w:t>
      </w:r>
      <w:r w:rsidRPr="00F531CC">
        <w:rPr>
          <w:rFonts w:eastAsia="Calibri"/>
          <w:szCs w:val="22"/>
          <w:lang w:eastAsia="de-DE" w:bidi="de-DE"/>
        </w:rPr>
        <w:t xml:space="preserve"> vollständig von der Einnahme des Mobiliensteuervorabzugs abgesehen wird,</w:t>
      </w:r>
    </w:p>
    <w:p w14:paraId="6C55A0EA" w14:textId="77777777" w:rsidR="007D52CA" w:rsidRPr="00F531CC" w:rsidRDefault="007D52CA" w:rsidP="007D52CA">
      <w:pPr>
        <w:rPr>
          <w:rFonts w:eastAsia="Calibri"/>
          <w:szCs w:val="22"/>
          <w:lang w:eastAsia="de-DE" w:bidi="de-DE"/>
        </w:rPr>
      </w:pPr>
    </w:p>
    <w:p w14:paraId="4354E2F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t>2. der Differenz zwischen den fünfundzwanzig Fünfundsiebzigsteln des eingenommenen oder erhaltenen Nettobetrags und dem tatsächlich geschuldeten Mobiliensteuervorabzug für:</w:t>
      </w:r>
    </w:p>
    <w:p w14:paraId="2A94AE9F" w14:textId="77777777" w:rsidR="007D52CA" w:rsidRPr="00F531CC" w:rsidRDefault="007D52CA" w:rsidP="007D52CA">
      <w:pPr>
        <w:jc w:val="both"/>
        <w:rPr>
          <w:rFonts w:eastAsia="Calibri"/>
          <w:szCs w:val="22"/>
          <w:lang w:eastAsia="de-DE" w:bidi="de-DE"/>
        </w:rPr>
      </w:pPr>
    </w:p>
    <w:p w14:paraId="24FBD1C5"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Prämien und Zinsen belgischer öffentlicher Wertpapiere, die vor dem 1. Dezember 1962 ausgegeben wurden, und Einkünfte aus Schuldverschreibungen, Kassenbons oder anderen ähnlichen Wertpapieren und aus Schuldforderungen und Darlehen, die in Ausführung von Abkommen gewährt oder zuerkannt werden, die vor dem 1. Januar 1962 geschlossen wurden, auf die gemäß Artikel 113 § 4 der Mobiliensteuer</w:t>
      </w:r>
      <w:r w:rsidRPr="00F531CC">
        <w:rPr>
          <w:rFonts w:eastAsia="Calibri"/>
          <w:szCs w:val="22"/>
          <w:lang w:eastAsia="de-DE" w:bidi="de-DE"/>
        </w:rPr>
        <w:softHyphen/>
        <w:t>vorabzug zum Satz von 12,5 Prozent erhoben wird,</w:t>
      </w:r>
    </w:p>
    <w:p w14:paraId="6BAB3B65" w14:textId="77777777" w:rsidR="007D52CA" w:rsidRPr="00F531CC" w:rsidRDefault="007D52CA" w:rsidP="007D52CA">
      <w:pPr>
        <w:jc w:val="both"/>
        <w:rPr>
          <w:rFonts w:eastAsia="Calibri"/>
          <w:szCs w:val="22"/>
          <w:lang w:eastAsia="de-DE" w:bidi="de-DE"/>
        </w:rPr>
      </w:pPr>
    </w:p>
    <w:p w14:paraId="231280D0"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Einkünfte aus Termineinlagen oder Einlagen mit Abhebungs- beziehungsweise Entnahmevorankündigungsfrist, die Verwahrer vor dem 1. Dezember 1962 erhalten haben und auf die gemäß Artikel 114 § 3 der Mobiliensteuervorabzug zum Satz von 12,5 Prozent erhoben wird,</w:t>
      </w:r>
    </w:p>
    <w:p w14:paraId="17E46D6D" w14:textId="77777777" w:rsidR="007D52CA" w:rsidRPr="00F531CC" w:rsidRDefault="007D52CA" w:rsidP="007D52CA">
      <w:pPr>
        <w:jc w:val="both"/>
        <w:rPr>
          <w:rFonts w:eastAsia="Calibri"/>
          <w:szCs w:val="22"/>
          <w:lang w:eastAsia="de-DE" w:bidi="de-DE"/>
        </w:rPr>
      </w:pPr>
    </w:p>
    <w:p w14:paraId="3146BB7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3. fünfzehn Fünfundachtzigsteln des eingenommenen oder erhaltenen Nettobetrags:</w:t>
      </w:r>
    </w:p>
    <w:p w14:paraId="0192F8BD" w14:textId="77777777" w:rsidR="007D52CA" w:rsidRPr="00F531CC" w:rsidRDefault="007D52CA" w:rsidP="007D52CA">
      <w:pPr>
        <w:jc w:val="both"/>
        <w:rPr>
          <w:rFonts w:eastAsia="Calibri"/>
          <w:szCs w:val="22"/>
          <w:lang w:eastAsia="de-DE" w:bidi="de-DE"/>
        </w:rPr>
      </w:pPr>
    </w:p>
    <w:p w14:paraId="7E5D0DB9"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der Einkünfte aus öffentlichen Wertpapieren wie in Artikel 113 § 3 Buchstabe </w:t>
      </w:r>
      <w:r w:rsidRPr="00F531CC">
        <w:rPr>
          <w:rFonts w:eastAsia="Calibri"/>
          <w:i/>
          <w:szCs w:val="22"/>
          <w:lang w:eastAsia="de-DE" w:bidi="de-DE"/>
        </w:rPr>
        <w:t>b)</w:t>
      </w:r>
      <w:r w:rsidRPr="00F531CC">
        <w:rPr>
          <w:rFonts w:eastAsia="Calibri"/>
          <w:szCs w:val="22"/>
          <w:lang w:eastAsia="de-DE" w:bidi="de-DE"/>
        </w:rPr>
        <w:t xml:space="preserve"> erwähnt,</w:t>
      </w:r>
    </w:p>
    <w:p w14:paraId="52E472B6" w14:textId="77777777" w:rsidR="007D52CA" w:rsidRPr="00F531CC" w:rsidRDefault="007D52CA" w:rsidP="007D52CA">
      <w:pPr>
        <w:jc w:val="both"/>
        <w:rPr>
          <w:rFonts w:eastAsia="Calibri"/>
          <w:szCs w:val="22"/>
          <w:lang w:eastAsia="de-DE" w:bidi="de-DE"/>
        </w:rPr>
      </w:pPr>
    </w:p>
    <w:p w14:paraId="211182E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der Lose in Bezug auf belgische öffentliche Wertpapiere, die vor dem 1. Dezember 1962 ausgegeben wurden, bei denen gemäß Artikel 113 § 3 Buchstabe </w:t>
      </w:r>
      <w:r w:rsidRPr="00F531CC">
        <w:rPr>
          <w:rFonts w:eastAsia="Calibri"/>
          <w:i/>
          <w:szCs w:val="22"/>
          <w:lang w:eastAsia="de-DE" w:bidi="de-DE"/>
        </w:rPr>
        <w:t>a)</w:t>
      </w:r>
      <w:r w:rsidRPr="00F531CC">
        <w:rPr>
          <w:rFonts w:eastAsia="Calibri"/>
          <w:szCs w:val="22"/>
          <w:lang w:eastAsia="de-DE" w:bidi="de-DE"/>
        </w:rPr>
        <w:t xml:space="preserve"> vollständig von der Einnahme des Mobiliensteuervorabzugs abgesehen wird,</w:t>
      </w:r>
    </w:p>
    <w:p w14:paraId="37D819D5" w14:textId="77777777" w:rsidR="007D52CA" w:rsidRPr="00F531CC" w:rsidRDefault="007D52CA" w:rsidP="007D52CA">
      <w:pPr>
        <w:jc w:val="both"/>
        <w:rPr>
          <w:rFonts w:eastAsia="Calibri"/>
          <w:szCs w:val="22"/>
          <w:lang w:eastAsia="de-DE" w:bidi="de-DE"/>
        </w:rPr>
      </w:pPr>
    </w:p>
    <w:p w14:paraId="7863DD83"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4. der Differenz zwischen den fünfzehn Fünfundachtzigsteln des eingenommenen oder erhaltenen Nettobetrags und dem tatsächlich geschuldeten Mobiliensteuervorabzug für Lose in Bezug auf belgische öffentliche Wertpapiere, die vor dem 1. Dezember 1962 ausgegeben wurden und nicht in Nr. 3 Buchstabe </w:t>
      </w:r>
      <w:r w:rsidRPr="00F531CC">
        <w:rPr>
          <w:rFonts w:eastAsia="Calibri"/>
          <w:i/>
          <w:szCs w:val="22"/>
          <w:lang w:eastAsia="de-DE" w:bidi="de-DE"/>
        </w:rPr>
        <w:t>b)</w:t>
      </w:r>
      <w:r w:rsidRPr="00F531CC">
        <w:rPr>
          <w:rFonts w:eastAsia="Calibri"/>
          <w:szCs w:val="22"/>
          <w:lang w:eastAsia="de-DE" w:bidi="de-DE"/>
        </w:rPr>
        <w:t xml:space="preserve"> erwähnt sind.</w:t>
      </w:r>
    </w:p>
    <w:p w14:paraId="2A35E254" w14:textId="77777777" w:rsidR="007D52CA" w:rsidRPr="00F531CC" w:rsidRDefault="007D52CA" w:rsidP="007D52CA">
      <w:pPr>
        <w:jc w:val="both"/>
        <w:rPr>
          <w:rFonts w:eastAsia="Calibri"/>
          <w:szCs w:val="22"/>
          <w:lang w:eastAsia="de-DE" w:bidi="de-DE"/>
        </w:rPr>
      </w:pPr>
    </w:p>
    <w:p w14:paraId="70386E2E"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2 - Umfassen steuerpflichtige Einkünfte, die gemäß Artikel 126 des Einkommen</w:t>
      </w:r>
      <w:r w:rsidRPr="00F531CC">
        <w:rPr>
          <w:rFonts w:eastAsia="Calibri"/>
          <w:szCs w:val="22"/>
          <w:lang w:eastAsia="de-DE" w:bidi="de-DE"/>
        </w:rPr>
        <w:softHyphen/>
        <w:t>steuergesetzbuches 1992 zusammengelegt werden, Zinsen von verschiedenen in § 1 Nr. 2 Buchstabe </w:t>
      </w:r>
      <w:r w:rsidRPr="00F531CC">
        <w:rPr>
          <w:rFonts w:eastAsia="Calibri"/>
          <w:i/>
          <w:szCs w:val="22"/>
          <w:lang w:eastAsia="de-DE" w:bidi="de-DE"/>
        </w:rPr>
        <w:t>b)</w:t>
      </w:r>
      <w:r w:rsidRPr="00F531CC">
        <w:rPr>
          <w:rFonts w:eastAsia="Calibri"/>
          <w:szCs w:val="22"/>
          <w:lang w:eastAsia="de-DE" w:bidi="de-DE"/>
        </w:rPr>
        <w:t xml:space="preserve"> erwähnten Einlagen, wird in Bezug auf den Teil des Gesamtbetrags der vergüteten Zinsen, auf den der Mobiliensteuervorabzug zum Satz von 25 Prozent erhoben worden wäre, wenn diese Zinsen aus einer einzigen Einlage hervorgegangen wären, kein fiktiver Mobiliensteuervorabzug angerechnet.</w:t>
      </w:r>
    </w:p>
    <w:p w14:paraId="3FE7C75B" w14:textId="77777777" w:rsidR="007D52CA" w:rsidRPr="00F531CC" w:rsidRDefault="007D52CA" w:rsidP="007D52CA">
      <w:pPr>
        <w:jc w:val="both"/>
        <w:rPr>
          <w:rFonts w:eastAsia="Calibri"/>
          <w:szCs w:val="22"/>
          <w:lang w:eastAsia="de-DE" w:bidi="de-DE"/>
        </w:rPr>
      </w:pPr>
    </w:p>
    <w:p w14:paraId="39D7D69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 3 - Unter dem in § 1 erwähnten eingenommenen oder erhaltenen Nettobetrag versteht man den Nettobetrag der Einkünfte nach Abzug des tatsächlich einbehaltenen Mobiliensteuervorabzugs, aber vor Abzug der Inkassokosten, Aufbewahrungskosten und anderer ähnlicher Kosten.</w:t>
      </w:r>
    </w:p>
    <w:p w14:paraId="284FFAE1" w14:textId="77777777" w:rsidR="007D52CA" w:rsidRPr="00F531CC" w:rsidRDefault="007D52CA" w:rsidP="007D52CA">
      <w:pPr>
        <w:jc w:val="both"/>
        <w:rPr>
          <w:rFonts w:eastAsia="Calibri"/>
          <w:szCs w:val="22"/>
          <w:lang w:eastAsia="de-DE" w:bidi="de-DE"/>
        </w:rPr>
      </w:pPr>
    </w:p>
    <w:p w14:paraId="1F586108" w14:textId="77777777" w:rsidR="007D52CA" w:rsidRPr="00F531CC" w:rsidRDefault="007D52CA" w:rsidP="007D52CA">
      <w:pPr>
        <w:jc w:val="both"/>
        <w:rPr>
          <w:rFonts w:eastAsia="Calibri"/>
          <w:szCs w:val="22"/>
          <w:lang w:eastAsia="de-DE" w:bidi="de-DE"/>
        </w:rPr>
      </w:pPr>
    </w:p>
    <w:p w14:paraId="1C8F3AD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122</w:t>
      </w:r>
      <w:r w:rsidRPr="00F531CC">
        <w:rPr>
          <w:rFonts w:eastAsia="Calibri"/>
          <w:szCs w:val="22"/>
          <w:lang w:eastAsia="de-DE" w:bidi="de-DE"/>
        </w:rPr>
        <w:t> - Artikel 121 ist anwendbar auf die in § 1 desselben Artikels erwähnten Einkünfte, die für die Festlegung der Besteuerungsgrundlage der Einkommensteuern berücksichtigt werden.</w:t>
      </w:r>
    </w:p>
    <w:p w14:paraId="3DD0EFCB" w14:textId="77777777" w:rsidR="007D52CA" w:rsidRDefault="007D52CA" w:rsidP="007D52CA">
      <w:pPr>
        <w:rPr>
          <w:rFonts w:eastAsia="Calibri"/>
          <w:szCs w:val="22"/>
          <w:lang w:eastAsia="de-DE" w:bidi="de-DE"/>
        </w:rPr>
      </w:pPr>
    </w:p>
    <w:p w14:paraId="02B18BFC" w14:textId="05EE521C" w:rsidR="00520950" w:rsidRDefault="00520950">
      <w:pPr>
        <w:rPr>
          <w:rFonts w:eastAsia="Calibri"/>
          <w:szCs w:val="22"/>
          <w:lang w:eastAsia="de-DE" w:bidi="de-DE"/>
        </w:rPr>
      </w:pPr>
    </w:p>
    <w:p w14:paraId="76D1A3E3" w14:textId="77777777" w:rsidR="00137616" w:rsidRDefault="00137616">
      <w:pPr>
        <w:rPr>
          <w:rFonts w:eastAsia="Calibri"/>
          <w:szCs w:val="22"/>
          <w:lang w:eastAsia="de-DE" w:bidi="de-DE"/>
        </w:rPr>
      </w:pPr>
      <w:r>
        <w:rPr>
          <w:rFonts w:eastAsia="Calibri"/>
          <w:szCs w:val="22"/>
          <w:lang w:eastAsia="de-DE" w:bidi="de-DE"/>
        </w:rPr>
        <w:br w:type="page"/>
      </w:r>
    </w:p>
    <w:p w14:paraId="7053F233" w14:textId="57F8974F" w:rsidR="007D52CA" w:rsidRPr="00F531CC" w:rsidRDefault="007D52CA" w:rsidP="007D52CA">
      <w:pPr>
        <w:jc w:val="center"/>
        <w:rPr>
          <w:rFonts w:eastAsia="Calibri"/>
          <w:szCs w:val="22"/>
          <w:lang w:eastAsia="de-DE" w:bidi="de-DE"/>
        </w:rPr>
      </w:pPr>
      <w:r w:rsidRPr="00F531CC">
        <w:rPr>
          <w:rFonts w:eastAsia="Calibri"/>
          <w:szCs w:val="22"/>
          <w:lang w:eastAsia="de-DE" w:bidi="de-DE"/>
        </w:rPr>
        <w:lastRenderedPageBreak/>
        <w:t>Unterabschnitt 3 - Anrechnungsgrenzen</w:t>
      </w:r>
    </w:p>
    <w:p w14:paraId="5F7F7C73" w14:textId="77777777" w:rsidR="007D52CA" w:rsidRPr="00F531CC" w:rsidRDefault="007D52CA" w:rsidP="007D52CA">
      <w:pPr>
        <w:jc w:val="center"/>
        <w:rPr>
          <w:rFonts w:eastAsia="Calibri"/>
          <w:szCs w:val="22"/>
          <w:lang w:eastAsia="de-DE" w:bidi="de-DE"/>
        </w:rPr>
      </w:pPr>
    </w:p>
    <w:p w14:paraId="38D6242A" w14:textId="77777777" w:rsidR="007D52CA" w:rsidRPr="00F531CC" w:rsidRDefault="007D52CA" w:rsidP="007D52CA">
      <w:pPr>
        <w:jc w:val="center"/>
        <w:rPr>
          <w:rFonts w:eastAsia="Calibri"/>
          <w:szCs w:val="22"/>
          <w:lang w:eastAsia="de-DE" w:bidi="de-DE"/>
        </w:rPr>
      </w:pPr>
      <w:r w:rsidRPr="00F531CC">
        <w:rPr>
          <w:rFonts w:eastAsia="Calibri"/>
          <w:szCs w:val="22"/>
          <w:lang w:eastAsia="de-DE" w:bidi="de-DE"/>
        </w:rPr>
        <w:t>(Einkommensteuergesetzbuch 1992, Artikel 295)</w:t>
      </w:r>
    </w:p>
    <w:p w14:paraId="0A3637AD" w14:textId="77777777" w:rsidR="007D52CA" w:rsidRPr="00F531CC" w:rsidRDefault="007D52CA" w:rsidP="007D52CA">
      <w:pPr>
        <w:jc w:val="both"/>
        <w:rPr>
          <w:rFonts w:eastAsia="Calibri"/>
          <w:szCs w:val="22"/>
          <w:lang w:eastAsia="de-DE" w:bidi="de-DE"/>
        </w:rPr>
      </w:pPr>
    </w:p>
    <w:p w14:paraId="5D02A836" w14:textId="77777777" w:rsidR="007D52CA" w:rsidRPr="00F531CC" w:rsidRDefault="007D52CA" w:rsidP="007D52CA">
      <w:pPr>
        <w:jc w:val="both"/>
        <w:rPr>
          <w:rFonts w:eastAsia="Calibri"/>
          <w:szCs w:val="22"/>
          <w:lang w:eastAsia="de-DE" w:bidi="de-DE"/>
        </w:rPr>
      </w:pPr>
    </w:p>
    <w:p w14:paraId="49FBFA94" w14:textId="77777777" w:rsidR="007D52CA"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123 -</w:t>
      </w:r>
      <w:r w:rsidRPr="00F531CC">
        <w:rPr>
          <w:rFonts w:eastAsia="Calibri"/>
          <w:szCs w:val="22"/>
          <w:lang w:eastAsia="de-DE" w:bidi="de-DE"/>
        </w:rPr>
        <w:t xml:space="preserve"> [Der Mobiliensteuervorabzug], der fiktive Mobiliensteuervorabzug und der Pauschalanteil ausländischer Steuer werden in dem in den Artikeln 276 bis 294 des Einkommensteuergesetzbuches 1992 vorgesehenen Maße auf die Steuer der natürlichen Personen, die Gesellschaftssteuer oder die Steuer der Gebietsfremden angerechnet, insofern sie sich auf Einkünfte beziehen, die für die Festlegung der Besteuerungsgrundlage dieser Steuern berücksichtigt werden.</w:t>
      </w:r>
    </w:p>
    <w:p w14:paraId="27C20E62" w14:textId="77777777" w:rsidR="00102973" w:rsidRDefault="00102973" w:rsidP="007D52CA">
      <w:pPr>
        <w:jc w:val="both"/>
        <w:rPr>
          <w:rFonts w:eastAsia="Calibri"/>
          <w:szCs w:val="22"/>
          <w:lang w:eastAsia="de-DE" w:bidi="de-DE"/>
        </w:rPr>
      </w:pPr>
    </w:p>
    <w:p w14:paraId="5AAE94F3" w14:textId="09B8092B" w:rsidR="00102973" w:rsidRPr="00F531CC" w:rsidRDefault="00102973" w:rsidP="007D52CA">
      <w:pPr>
        <w:jc w:val="both"/>
        <w:rPr>
          <w:rFonts w:eastAsia="Calibri"/>
          <w:szCs w:val="22"/>
          <w:lang w:eastAsia="de-DE" w:bidi="de-DE"/>
        </w:rPr>
      </w:pPr>
      <w:r>
        <w:rPr>
          <w:rFonts w:eastAsia="Calibri"/>
          <w:szCs w:val="22"/>
          <w:lang w:eastAsia="de-DE" w:bidi="de-DE"/>
        </w:rPr>
        <w:tab/>
        <w:t>[</w:t>
      </w:r>
      <w:r w:rsidRPr="002614B3">
        <w:t>Der Mobiliensteuervorabzug, der auf Dividenden einbehalten wird, für die gemäß Artikel 307 § 1/1 Absatz 3 und § 1/5 Absatz 1 des vorerwähnten Gesetzbuches die Anwendung von Artikel 21 Absatz 1 Nr. 14 desselben Gesetzbuches beantragt wird, wird ebenfalls auf die Steuer der natürlichen Personen und die Steuer der Gebietsfremden angerechnet.</w:t>
      </w:r>
      <w:r>
        <w:rPr>
          <w:rFonts w:eastAsia="Calibri"/>
          <w:szCs w:val="22"/>
          <w:lang w:eastAsia="de-DE" w:bidi="de-DE"/>
        </w:rPr>
        <w:t>]</w:t>
      </w:r>
    </w:p>
    <w:p w14:paraId="62C8ED3C" w14:textId="77777777" w:rsidR="007D52CA" w:rsidRPr="00F531CC" w:rsidRDefault="007D52CA" w:rsidP="007D52CA">
      <w:pPr>
        <w:jc w:val="both"/>
        <w:rPr>
          <w:rFonts w:eastAsia="Calibri"/>
          <w:szCs w:val="22"/>
          <w:lang w:eastAsia="de-DE" w:bidi="de-DE"/>
        </w:rPr>
      </w:pPr>
    </w:p>
    <w:p w14:paraId="5141FF19" w14:textId="10A7FD69" w:rsidR="007D52CA" w:rsidRPr="00F531CC" w:rsidRDefault="007D52CA" w:rsidP="007D52CA">
      <w:pPr>
        <w:jc w:val="both"/>
        <w:rPr>
          <w:rFonts w:eastAsia="Calibri"/>
          <w:i/>
          <w:szCs w:val="22"/>
          <w:lang w:eastAsia="de-DE" w:bidi="de-DE"/>
        </w:rPr>
      </w:pPr>
      <w:r w:rsidRPr="00F531CC">
        <w:rPr>
          <w:rFonts w:eastAsia="Calibri"/>
          <w:i/>
          <w:szCs w:val="22"/>
          <w:lang w:eastAsia="de-DE" w:bidi="de-DE"/>
        </w:rPr>
        <w:t xml:space="preserve">[Art. 123 </w:t>
      </w:r>
      <w:r w:rsidR="00102973">
        <w:rPr>
          <w:rFonts w:eastAsia="Calibri"/>
          <w:i/>
          <w:szCs w:val="22"/>
          <w:lang w:eastAsia="de-DE" w:bidi="de-DE"/>
        </w:rPr>
        <w:t xml:space="preserve">Abs. 1 (früherer einziger Absatz) </w:t>
      </w:r>
      <w:r w:rsidRPr="00F531CC">
        <w:rPr>
          <w:rFonts w:eastAsia="Calibri"/>
          <w:i/>
          <w:szCs w:val="22"/>
          <w:lang w:eastAsia="de-DE" w:bidi="de-DE"/>
        </w:rPr>
        <w:t>abgeändert durch Art. 9 des K.E. vom 30. September 2014 (II) (B.S. vom 9. Oktober 2014)</w:t>
      </w:r>
      <w:r w:rsidR="00102973">
        <w:rPr>
          <w:rFonts w:eastAsia="Calibri"/>
          <w:i/>
          <w:szCs w:val="22"/>
          <w:lang w:eastAsia="de-DE" w:bidi="de-DE"/>
        </w:rPr>
        <w:t>; Abs. 2 eingefügt durch Art. 1 des K.E. vom 28. April 2019 (I) (B.S. vom 9. Mai 2019)</w:t>
      </w:r>
      <w:r w:rsidR="00673592" w:rsidRPr="00673592">
        <w:rPr>
          <w:rFonts w:eastAsia="Calibri"/>
          <w:i/>
          <w:szCs w:val="22"/>
          <w:lang w:eastAsia="de-DE" w:bidi="de-DE"/>
        </w:rPr>
        <w:t xml:space="preserve"> </w:t>
      </w:r>
      <w:r w:rsidR="00673592">
        <w:rPr>
          <w:rFonts w:eastAsia="Calibri"/>
          <w:i/>
          <w:szCs w:val="22"/>
          <w:lang w:eastAsia="de-DE" w:bidi="de-DE"/>
        </w:rPr>
        <w:t xml:space="preserve">- anwendbar auf den </w:t>
      </w:r>
      <w:r w:rsidR="00673592">
        <w:rPr>
          <w:i/>
        </w:rPr>
        <w:t>Mobiliensteuervorabzug, der auf Dividenden einbehalten wird, die ab dem 1. Januar 2018 ausgeschüttet oder zuerkannt werden -</w:t>
      </w:r>
      <w:r w:rsidRPr="00F531CC">
        <w:rPr>
          <w:rFonts w:eastAsia="Calibri"/>
          <w:i/>
          <w:szCs w:val="22"/>
          <w:lang w:eastAsia="de-DE" w:bidi="de-DE"/>
        </w:rPr>
        <w:t>]</w:t>
      </w:r>
    </w:p>
    <w:p w14:paraId="6BE435ED" w14:textId="77777777" w:rsidR="007D52CA" w:rsidRPr="00F531CC" w:rsidRDefault="007D52CA" w:rsidP="007D52CA">
      <w:pPr>
        <w:jc w:val="both"/>
        <w:rPr>
          <w:rFonts w:eastAsia="Calibri"/>
          <w:szCs w:val="22"/>
          <w:lang w:eastAsia="de-DE" w:bidi="de-DE"/>
        </w:rPr>
      </w:pPr>
    </w:p>
    <w:p w14:paraId="2CF5A8C1" w14:textId="77777777" w:rsidR="007D52CA" w:rsidRPr="00F531CC" w:rsidRDefault="007D52CA" w:rsidP="007D52CA">
      <w:pPr>
        <w:jc w:val="both"/>
        <w:rPr>
          <w:rFonts w:eastAsia="Calibri"/>
          <w:szCs w:val="22"/>
          <w:lang w:eastAsia="de-DE" w:bidi="de-DE"/>
        </w:rPr>
      </w:pPr>
    </w:p>
    <w:p w14:paraId="6757BE1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w:t>
      </w:r>
      <w:r w:rsidRPr="00F531CC">
        <w:rPr>
          <w:rFonts w:eastAsia="Calibri"/>
          <w:b/>
          <w:szCs w:val="22"/>
          <w:lang w:eastAsia="de-DE" w:bidi="de-DE"/>
        </w:rPr>
        <w:t>Art. 123</w:t>
      </w:r>
      <w:r w:rsidRPr="00F531CC">
        <w:rPr>
          <w:rFonts w:eastAsia="Calibri"/>
          <w:b/>
          <w:i/>
          <w:szCs w:val="22"/>
          <w:lang w:eastAsia="de-DE" w:bidi="de-DE"/>
        </w:rPr>
        <w:t>bis</w:t>
      </w:r>
      <w:r w:rsidRPr="00F531CC">
        <w:rPr>
          <w:rFonts w:eastAsia="Calibri"/>
          <w:b/>
          <w:szCs w:val="22"/>
          <w:lang w:eastAsia="de-DE" w:bidi="de-DE"/>
        </w:rPr>
        <w:t> -</w:t>
      </w:r>
      <w:r w:rsidRPr="00F531CC">
        <w:rPr>
          <w:rFonts w:eastAsia="Calibri"/>
          <w:szCs w:val="22"/>
          <w:lang w:eastAsia="de-DE" w:bidi="de-DE"/>
        </w:rPr>
        <w:t xml:space="preserve"> Die in Artikel 283 Absatz 2 des Einkommensteuergesetzbuches 1992 vorgesehene Anrechnung des Mobiliensteuervorabzugs unterliegt der Bedingung, dass der Empfänger der Einkünfte eine Bescheinigung erhält, in der bestätigt wird, dass:</w:t>
      </w:r>
    </w:p>
    <w:p w14:paraId="2C2376BB" w14:textId="77777777" w:rsidR="007D52CA" w:rsidRPr="00F531CC" w:rsidRDefault="007D52CA" w:rsidP="007D52CA">
      <w:pPr>
        <w:jc w:val="both"/>
        <w:rPr>
          <w:rFonts w:eastAsia="Calibri"/>
          <w:szCs w:val="22"/>
          <w:lang w:eastAsia="de-DE" w:bidi="de-DE"/>
        </w:rPr>
      </w:pPr>
    </w:p>
    <w:p w14:paraId="678EB4A1"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entweder der Verleiher der Aktien oder Anteile, für die die Anrechnung beantragt wird, ohne Verleih in Bezug auf diese Aktien oder Anteile die Bedingungen erfüllt hätte, damit gemäß den Artikeln 106 bis 119</w:t>
      </w:r>
      <w:r w:rsidRPr="00F531CC">
        <w:rPr>
          <w:rFonts w:eastAsia="Calibri"/>
          <w:i/>
          <w:szCs w:val="22"/>
          <w:lang w:eastAsia="de-DE" w:bidi="de-DE"/>
        </w:rPr>
        <w:t>bis</w:t>
      </w:r>
      <w:r w:rsidRPr="00F531CC">
        <w:rPr>
          <w:rFonts w:eastAsia="Calibri"/>
          <w:szCs w:val="22"/>
          <w:lang w:eastAsia="de-DE" w:bidi="de-DE"/>
        </w:rPr>
        <w:t xml:space="preserve"> zum Zeitpunkt der Zuerkennung oder Ausschüttung der Dividenden, die sich auf die verliehenen Aktien oder Anteile beziehen, zu seinen Gunsten ein Verzicht auf die Einnahme des Mobiliensteuervorabzugs erfolgt wäre,</w:t>
      </w:r>
    </w:p>
    <w:p w14:paraId="68B47661" w14:textId="77777777" w:rsidR="007D52CA" w:rsidRPr="00F531CC" w:rsidRDefault="007D52CA" w:rsidP="007D52CA">
      <w:pPr>
        <w:jc w:val="both"/>
        <w:rPr>
          <w:rFonts w:eastAsia="Calibri"/>
          <w:szCs w:val="22"/>
          <w:lang w:eastAsia="de-DE" w:bidi="de-DE"/>
        </w:rPr>
      </w:pPr>
    </w:p>
    <w:p w14:paraId="6E2E44A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oder dieser Verleiher ohne Verleih in Bezug auf diese Aktien oder Anteile die Bedingungen erfüllt hätte, damit gemäß den Bestimmungen eines Abkommens zur Vermeidung der Doppelbesteuerung zum Zeitpunkt der Zuerkennung oder Ausschüttung der Dividenden, die sich auf die verliehenen Aktien oder Anteile beziehen, zu seinen Gunsten eine Ermäßigung des Mobiliensteuervorabzugs erfolgt wäre.]</w:t>
      </w:r>
    </w:p>
    <w:p w14:paraId="000D67BC" w14:textId="77777777" w:rsidR="007D52CA" w:rsidRPr="00F531CC" w:rsidRDefault="007D52CA" w:rsidP="007D52CA">
      <w:pPr>
        <w:jc w:val="both"/>
        <w:rPr>
          <w:rFonts w:eastAsia="Calibri"/>
          <w:szCs w:val="22"/>
          <w:lang w:eastAsia="de-DE" w:bidi="de-DE"/>
        </w:rPr>
      </w:pPr>
    </w:p>
    <w:p w14:paraId="1D51447B"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123bis eingefügt durch Art. 20 des K.E. vom 20. Januar 2005 (B.S. vom 1. Februar 2005)]</w:t>
      </w:r>
    </w:p>
    <w:p w14:paraId="51BCEA77" w14:textId="77777777" w:rsidR="007D52CA" w:rsidRPr="00F531CC" w:rsidRDefault="007D52CA" w:rsidP="007D52CA">
      <w:pPr>
        <w:jc w:val="both"/>
        <w:rPr>
          <w:rFonts w:eastAsia="Calibri"/>
          <w:szCs w:val="22"/>
          <w:lang w:eastAsia="de-DE" w:bidi="de-DE"/>
        </w:rPr>
      </w:pPr>
    </w:p>
    <w:p w14:paraId="577BBF28" w14:textId="77777777" w:rsidR="007D52CA" w:rsidRPr="00F531CC" w:rsidRDefault="007D52CA" w:rsidP="007D52CA">
      <w:pPr>
        <w:jc w:val="both"/>
        <w:rPr>
          <w:rFonts w:eastAsia="Calibri"/>
          <w:szCs w:val="22"/>
          <w:lang w:eastAsia="de-DE" w:bidi="de-DE"/>
        </w:rPr>
      </w:pPr>
    </w:p>
    <w:p w14:paraId="416138E6"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b/>
          <w:szCs w:val="22"/>
          <w:lang w:eastAsia="de-DE" w:bidi="de-DE"/>
        </w:rPr>
        <w:t>Art. 124 -</w:t>
      </w:r>
      <w:r w:rsidRPr="00F531CC">
        <w:rPr>
          <w:rFonts w:eastAsia="Calibri"/>
          <w:szCs w:val="22"/>
          <w:lang w:eastAsia="de-DE" w:bidi="de-DE"/>
        </w:rPr>
        <w:t xml:space="preserve"> [...]</w:t>
      </w:r>
    </w:p>
    <w:p w14:paraId="49D0A173" w14:textId="77777777" w:rsidR="007D52CA" w:rsidRPr="00F531CC" w:rsidRDefault="007D52CA" w:rsidP="007D52CA">
      <w:pPr>
        <w:jc w:val="both"/>
        <w:rPr>
          <w:rFonts w:eastAsia="Calibri"/>
          <w:szCs w:val="22"/>
          <w:lang w:eastAsia="de-DE" w:bidi="de-DE"/>
        </w:rPr>
      </w:pPr>
    </w:p>
    <w:p w14:paraId="63CEA712"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124 aufgehoben durch Art. 10 des K.E. vom 30. September 2014 (II) (B.S. vom 9. Oktober 2014)]</w:t>
      </w:r>
    </w:p>
    <w:p w14:paraId="09EC45C5" w14:textId="77777777" w:rsidR="007D52CA" w:rsidRPr="00F531CC" w:rsidRDefault="007D52CA" w:rsidP="007D52CA">
      <w:pPr>
        <w:jc w:val="both"/>
        <w:rPr>
          <w:rFonts w:eastAsia="Calibri"/>
          <w:szCs w:val="22"/>
          <w:lang w:eastAsia="de-DE" w:bidi="de-DE"/>
        </w:rPr>
      </w:pPr>
    </w:p>
    <w:p w14:paraId="483D3D14" w14:textId="77777777" w:rsidR="007D52CA" w:rsidRPr="00F531CC" w:rsidRDefault="007D52CA" w:rsidP="007D52CA">
      <w:pPr>
        <w:jc w:val="both"/>
        <w:rPr>
          <w:rFonts w:eastAsia="Calibri"/>
          <w:szCs w:val="22"/>
          <w:lang w:eastAsia="de-DE" w:bidi="de-DE"/>
        </w:rPr>
      </w:pPr>
    </w:p>
    <w:p w14:paraId="705D100A"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lastRenderedPageBreak/>
        <w:tab/>
      </w:r>
      <w:r w:rsidRPr="00F531CC">
        <w:rPr>
          <w:rFonts w:eastAsia="Calibri"/>
          <w:b/>
          <w:szCs w:val="22"/>
          <w:lang w:eastAsia="de-DE" w:bidi="de-DE"/>
        </w:rPr>
        <w:t>Art. 125 -</w:t>
      </w:r>
      <w:r w:rsidRPr="00F531CC">
        <w:rPr>
          <w:rFonts w:eastAsia="Calibri"/>
          <w:szCs w:val="22"/>
          <w:lang w:eastAsia="de-DE" w:bidi="de-DE"/>
        </w:rPr>
        <w:t xml:space="preserve"> [Der in Artikel 290 Absatz 1 Nr. 1 des Einkommensteuergesetzbuches 1992 erwähnte Anteil der Staatssteuer, der sich proportional auf Berufseinkünfte bezieht, entspricht der Summe:</w:t>
      </w:r>
    </w:p>
    <w:p w14:paraId="3D3D3F6D" w14:textId="77777777" w:rsidR="007D52CA" w:rsidRPr="00F531CC" w:rsidRDefault="007D52CA" w:rsidP="007D52CA">
      <w:pPr>
        <w:jc w:val="both"/>
        <w:rPr>
          <w:rFonts w:eastAsia="Calibri"/>
          <w:szCs w:val="22"/>
          <w:lang w:eastAsia="de-DE" w:bidi="de-DE"/>
        </w:rPr>
      </w:pPr>
    </w:p>
    <w:p w14:paraId="71B712BC" w14:textId="77777777" w:rsidR="007D52CA" w:rsidRPr="00F531CC" w:rsidRDefault="007D52CA" w:rsidP="007D52CA">
      <w:pPr>
        <w:jc w:val="both"/>
        <w:rPr>
          <w:rFonts w:eastAsia="Calibri"/>
          <w:szCs w:val="22"/>
          <w:lang w:eastAsia="de-DE" w:bidi="de-DE"/>
        </w:rPr>
      </w:pPr>
      <w:r w:rsidRPr="00F531CC">
        <w:rPr>
          <w:rFonts w:eastAsia="Calibri"/>
          <w:szCs w:val="22"/>
          <w:lang w:eastAsia="de-DE" w:bidi="de-DE"/>
        </w:rPr>
        <w:tab/>
        <w:t>1. des Betrags der Staatssteuer in Bezug auf Nettoberufseinkünfte, die gemäß Artikel 171 des vorerwähnten Gesetzbuches getrennt besteuert werden, und</w:t>
      </w:r>
    </w:p>
    <w:p w14:paraId="1756A3D8" w14:textId="77777777" w:rsidR="00C23267" w:rsidRDefault="00C23267">
      <w:pPr>
        <w:rPr>
          <w:rFonts w:eastAsia="Calibri"/>
          <w:szCs w:val="22"/>
          <w:lang w:eastAsia="de-DE" w:bidi="de-DE"/>
        </w:rPr>
      </w:pPr>
    </w:p>
    <w:p w14:paraId="14AF1858" w14:textId="066801F9" w:rsidR="007D52CA" w:rsidRPr="00F531CC" w:rsidRDefault="007D52CA" w:rsidP="007D52CA">
      <w:pPr>
        <w:jc w:val="both"/>
        <w:rPr>
          <w:rFonts w:eastAsia="Calibri"/>
          <w:szCs w:val="22"/>
          <w:lang w:eastAsia="de-DE" w:bidi="de-DE"/>
        </w:rPr>
      </w:pPr>
      <w:r w:rsidRPr="00F531CC">
        <w:rPr>
          <w:rFonts w:eastAsia="Calibri"/>
          <w:szCs w:val="22"/>
          <w:lang w:eastAsia="de-DE" w:bidi="de-DE"/>
        </w:rPr>
        <w:tab/>
        <w:t>2. des Produkts:</w:t>
      </w:r>
    </w:p>
    <w:p w14:paraId="1C459D8C" w14:textId="77777777" w:rsidR="007D52CA" w:rsidRPr="00F531CC" w:rsidRDefault="007D52CA" w:rsidP="007D52CA">
      <w:pPr>
        <w:jc w:val="both"/>
        <w:rPr>
          <w:rFonts w:eastAsia="Calibri"/>
          <w:szCs w:val="22"/>
          <w:lang w:eastAsia="de-DE" w:bidi="de-DE"/>
        </w:rPr>
      </w:pPr>
    </w:p>
    <w:p w14:paraId="0BDCECC8" w14:textId="77777777" w:rsidR="00673592"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a)</w:t>
      </w:r>
      <w:r w:rsidRPr="00F531CC">
        <w:rPr>
          <w:rFonts w:eastAsia="Calibri"/>
          <w:szCs w:val="22"/>
          <w:lang w:eastAsia="de-DE" w:bidi="de-DE"/>
        </w:rPr>
        <w:t> des Betrags der Staatssteuer in Bezug auf das steuerpflichtige Einkommen, das gemäß Artikel 130 des vorerwähnten Gesetzbuches besteuert wird, und</w:t>
      </w:r>
    </w:p>
    <w:p w14:paraId="4DE2B0FD" w14:textId="77777777" w:rsidR="00673592" w:rsidRDefault="00673592" w:rsidP="007D52CA">
      <w:pPr>
        <w:jc w:val="both"/>
        <w:rPr>
          <w:rFonts w:eastAsia="Calibri"/>
          <w:szCs w:val="22"/>
          <w:lang w:eastAsia="de-DE" w:bidi="de-DE"/>
        </w:rPr>
      </w:pPr>
    </w:p>
    <w:p w14:paraId="18491A82" w14:textId="357468BB" w:rsidR="007D52CA" w:rsidRPr="00F531CC" w:rsidRDefault="007D52CA" w:rsidP="007D52CA">
      <w:pPr>
        <w:jc w:val="both"/>
        <w:rPr>
          <w:rFonts w:eastAsia="Calibri"/>
          <w:szCs w:val="22"/>
          <w:lang w:eastAsia="de-DE" w:bidi="de-DE"/>
        </w:rPr>
      </w:pPr>
      <w:r w:rsidRPr="00F531CC">
        <w:rPr>
          <w:rFonts w:eastAsia="Calibri"/>
          <w:szCs w:val="22"/>
          <w:lang w:eastAsia="de-DE" w:bidi="de-DE"/>
        </w:rPr>
        <w:tab/>
      </w:r>
      <w:r w:rsidRPr="00F531CC">
        <w:rPr>
          <w:rFonts w:eastAsia="Calibri"/>
          <w:i/>
          <w:szCs w:val="22"/>
          <w:lang w:eastAsia="de-DE" w:bidi="de-DE"/>
        </w:rPr>
        <w:t>b)</w:t>
      </w:r>
      <w:r w:rsidRPr="00F531CC">
        <w:rPr>
          <w:rFonts w:eastAsia="Calibri"/>
          <w:szCs w:val="22"/>
          <w:lang w:eastAsia="de-DE" w:bidi="de-DE"/>
        </w:rPr>
        <w:t> eines Bruchs, dessen Zähler dem Betrag der Nettoberufseinkünfte, die gemäß dem vorerwähnten Artikel 130 besteuert werden, und dessen Nenner dem Gesamtbetrag der Nettoeinkünfte, die gemäß diesem Artikel besteuert werden, entspricht.]</w:t>
      </w:r>
    </w:p>
    <w:p w14:paraId="478AA31A" w14:textId="77777777" w:rsidR="007D52CA" w:rsidRPr="00F531CC" w:rsidRDefault="007D52CA" w:rsidP="007D52CA">
      <w:pPr>
        <w:jc w:val="both"/>
        <w:rPr>
          <w:rFonts w:eastAsia="Calibri"/>
          <w:szCs w:val="22"/>
          <w:lang w:eastAsia="de-DE" w:bidi="de-DE"/>
        </w:rPr>
      </w:pPr>
    </w:p>
    <w:p w14:paraId="2C9FE6ED" w14:textId="77777777" w:rsidR="007D52CA" w:rsidRPr="00F531CC" w:rsidRDefault="007D52CA" w:rsidP="007D52CA">
      <w:pPr>
        <w:jc w:val="both"/>
        <w:rPr>
          <w:rFonts w:eastAsia="Calibri"/>
          <w:i/>
          <w:szCs w:val="22"/>
          <w:lang w:eastAsia="de-DE" w:bidi="de-DE"/>
        </w:rPr>
      </w:pPr>
      <w:r w:rsidRPr="00F531CC">
        <w:rPr>
          <w:rFonts w:eastAsia="Calibri"/>
          <w:i/>
          <w:szCs w:val="22"/>
          <w:lang w:eastAsia="de-DE" w:bidi="de-DE"/>
        </w:rPr>
        <w:t>[Art. 125 ersetzt durch Art. 11 des K.E. vom 30. September 2014 (II) (B.S. vom 9. Oktober 2014)]</w:t>
      </w:r>
    </w:p>
    <w:p w14:paraId="0D6ADAB5" w14:textId="77777777" w:rsidR="006E74AB" w:rsidRDefault="006E74AB">
      <w:pPr>
        <w:rPr>
          <w:lang w:eastAsia="fr-BE" w:bidi="de-DE"/>
        </w:rPr>
      </w:pPr>
      <w:r>
        <w:rPr>
          <w:lang w:eastAsia="fr-BE" w:bidi="de-DE"/>
        </w:rPr>
        <w:br w:type="page"/>
      </w:r>
    </w:p>
    <w:p w14:paraId="5755059A" w14:textId="77777777" w:rsidR="003426CA" w:rsidRPr="00D21420" w:rsidRDefault="003426CA" w:rsidP="00211FF1">
      <w:pPr>
        <w:jc w:val="center"/>
        <w:rPr>
          <w:i/>
          <w:lang w:eastAsia="de-DE" w:bidi="de-DE"/>
        </w:rPr>
      </w:pPr>
      <w:r w:rsidRPr="00D21420">
        <w:rPr>
          <w:rFonts w:eastAsia="Calibri"/>
          <w:lang w:eastAsia="de-DE" w:bidi="de-DE"/>
        </w:rPr>
        <w:lastRenderedPageBreak/>
        <w:t xml:space="preserve">KAPITEL 3 - </w:t>
      </w:r>
      <w:r w:rsidRPr="00D21420">
        <w:rPr>
          <w:rFonts w:eastAsia="Calibri"/>
          <w:i/>
          <w:lang w:eastAsia="de-DE" w:bidi="de-DE"/>
        </w:rPr>
        <w:t>Festlegung und Beitreibung der Steuern</w:t>
      </w:r>
    </w:p>
    <w:p w14:paraId="73C4D975" w14:textId="77777777" w:rsidR="003426CA" w:rsidRPr="00D21420" w:rsidRDefault="003426CA" w:rsidP="003426CA">
      <w:pPr>
        <w:jc w:val="center"/>
        <w:rPr>
          <w:i/>
          <w:lang w:bidi="de-DE"/>
        </w:rPr>
      </w:pPr>
    </w:p>
    <w:p w14:paraId="61D748A6" w14:textId="77777777" w:rsidR="003426CA" w:rsidRPr="00D21420" w:rsidRDefault="003426CA" w:rsidP="003426CA">
      <w:pPr>
        <w:jc w:val="center"/>
        <w:rPr>
          <w:lang w:bidi="de-DE"/>
        </w:rPr>
      </w:pPr>
    </w:p>
    <w:p w14:paraId="1B0AFEEB" w14:textId="77777777" w:rsidR="00227232" w:rsidRPr="00BC3A70" w:rsidRDefault="003426CA" w:rsidP="00227232">
      <w:pPr>
        <w:jc w:val="center"/>
      </w:pPr>
      <w:r w:rsidRPr="00D21420">
        <w:rPr>
          <w:rFonts w:eastAsia="Calibri"/>
          <w:i/>
          <w:lang w:eastAsia="de-DE" w:bidi="de-DE"/>
        </w:rPr>
        <w:t>Abschnitt 1</w:t>
      </w:r>
      <w:r w:rsidRPr="00D21420">
        <w:rPr>
          <w:rFonts w:eastAsia="Calibri"/>
          <w:lang w:eastAsia="de-DE" w:bidi="de-DE"/>
        </w:rPr>
        <w:t> - [</w:t>
      </w:r>
      <w:r w:rsidR="00227232" w:rsidRPr="00BC3A70">
        <w:t>Erklärungen</w:t>
      </w:r>
    </w:p>
    <w:p w14:paraId="0FE24575" w14:textId="77777777" w:rsidR="00227232" w:rsidRPr="00BC3A70" w:rsidRDefault="00227232" w:rsidP="00227232">
      <w:pPr>
        <w:jc w:val="center"/>
      </w:pPr>
    </w:p>
    <w:p w14:paraId="768F42F0" w14:textId="77777777" w:rsidR="00227232" w:rsidRPr="00D21420" w:rsidRDefault="00227232" w:rsidP="00227232">
      <w:pPr>
        <w:ind w:firstLine="708"/>
        <w:jc w:val="center"/>
        <w:rPr>
          <w:lang w:eastAsia="de-DE" w:bidi="de-DE"/>
        </w:rPr>
      </w:pPr>
      <w:r w:rsidRPr="00BC3A70">
        <w:t>(Einkommensteuergesetzbuch 1992, Artikel 297 Absatz 2, 300 § 1 und 307 § 1)</w:t>
      </w:r>
      <w:r w:rsidR="003426CA" w:rsidRPr="00D21420">
        <w:rPr>
          <w:rFonts w:eastAsia="Calibri"/>
          <w:lang w:eastAsia="de-DE" w:bidi="de-DE"/>
        </w:rPr>
        <w:t>]</w:t>
      </w:r>
    </w:p>
    <w:p w14:paraId="7107DC2F" w14:textId="77777777" w:rsidR="003426CA" w:rsidRPr="00D21420" w:rsidRDefault="003426CA" w:rsidP="00227232">
      <w:pPr>
        <w:jc w:val="center"/>
        <w:rPr>
          <w:lang w:eastAsia="de-DE" w:bidi="de-DE"/>
        </w:rPr>
      </w:pPr>
    </w:p>
    <w:p w14:paraId="5596DF99" w14:textId="77777777" w:rsidR="003426CA" w:rsidRPr="00D21420" w:rsidRDefault="003426CA" w:rsidP="003426CA">
      <w:pPr>
        <w:jc w:val="both"/>
        <w:rPr>
          <w:i/>
          <w:lang w:eastAsia="de-DE" w:bidi="de-DE"/>
        </w:rPr>
      </w:pPr>
      <w:r w:rsidRPr="00D21420">
        <w:rPr>
          <w:rFonts w:eastAsia="Calibri"/>
          <w:i/>
          <w:lang w:eastAsia="de-DE" w:bidi="de-DE"/>
        </w:rPr>
        <w:t xml:space="preserve">[Überschrift von Abschnitt 1 ersetzt durch Art. 1 </w:t>
      </w:r>
      <w:r w:rsidR="00227232">
        <w:rPr>
          <w:rFonts w:eastAsia="Calibri"/>
          <w:i/>
          <w:lang w:eastAsia="de-DE" w:bidi="de-DE"/>
        </w:rPr>
        <w:t>des K.E. vom 11. März 2018 (B.S. vom 16. März 2018)</w:t>
      </w:r>
      <w:r w:rsidRPr="00D21420">
        <w:rPr>
          <w:rFonts w:eastAsia="Calibri"/>
          <w:i/>
          <w:lang w:eastAsia="de-DE" w:bidi="de-DE"/>
        </w:rPr>
        <w:t>]</w:t>
      </w:r>
    </w:p>
    <w:p w14:paraId="180CD969" w14:textId="77777777" w:rsidR="003426CA" w:rsidRPr="00D21420" w:rsidRDefault="003426CA" w:rsidP="003426CA">
      <w:pPr>
        <w:jc w:val="both"/>
        <w:rPr>
          <w:lang w:bidi="de-DE"/>
        </w:rPr>
      </w:pPr>
    </w:p>
    <w:p w14:paraId="3FFD490B" w14:textId="77777777" w:rsidR="003426CA" w:rsidRPr="00D21420" w:rsidRDefault="003426CA" w:rsidP="003426CA">
      <w:pPr>
        <w:jc w:val="both"/>
        <w:rPr>
          <w:lang w:bidi="de-DE"/>
        </w:rPr>
      </w:pPr>
    </w:p>
    <w:p w14:paraId="72E7F1CD" w14:textId="77777777" w:rsidR="003426CA" w:rsidRPr="00D21420" w:rsidRDefault="003426CA" w:rsidP="003426CA">
      <w:pPr>
        <w:jc w:val="both"/>
        <w:rPr>
          <w:lang w:eastAsia="de-DE" w:bidi="de-DE"/>
        </w:rPr>
      </w:pPr>
      <w:r w:rsidRPr="00D21420">
        <w:rPr>
          <w:rFonts w:eastAsia="Calibri"/>
          <w:szCs w:val="22"/>
          <w:lang w:eastAsia="de-DE" w:bidi="de-DE"/>
        </w:rPr>
        <w:tab/>
        <w:t>[</w:t>
      </w:r>
      <w:r w:rsidRPr="00D21420">
        <w:rPr>
          <w:rFonts w:eastAsia="Calibri"/>
          <w:b/>
          <w:lang w:eastAsia="de-DE" w:bidi="de-DE"/>
        </w:rPr>
        <w:t>Art. 125</w:t>
      </w:r>
      <w:r w:rsidRPr="00D21420">
        <w:rPr>
          <w:rFonts w:eastAsia="Calibri"/>
          <w:b/>
          <w:i/>
          <w:lang w:eastAsia="de-DE" w:bidi="de-DE"/>
        </w:rPr>
        <w:t>bis</w:t>
      </w:r>
      <w:r w:rsidRPr="00D21420">
        <w:rPr>
          <w:rFonts w:eastAsia="Calibri"/>
          <w:lang w:eastAsia="de-DE" w:bidi="de-DE"/>
        </w:rPr>
        <w:t> - Das Kontrollzentrum Brüssel 4 ist mit der Überprüfung der Erklärung zur Steuer der natürlichen Personen der in Artikel 27 Nr. 5 des Einkommensteuer</w:t>
      </w:r>
      <w:r w:rsidRPr="00D21420">
        <w:rPr>
          <w:rFonts w:eastAsia="Calibri"/>
          <w:lang w:eastAsia="de-DE" w:bidi="de-DE"/>
        </w:rPr>
        <w:softHyphen/>
        <w:t>gesetzbuches 1992 erwähnten Personen beauftragt.]</w:t>
      </w:r>
    </w:p>
    <w:p w14:paraId="47343843" w14:textId="77777777" w:rsidR="003426CA" w:rsidRPr="00D21420" w:rsidRDefault="003426CA" w:rsidP="003426CA">
      <w:pPr>
        <w:jc w:val="both"/>
        <w:rPr>
          <w:spacing w:val="-3"/>
          <w:lang w:bidi="de-DE"/>
        </w:rPr>
      </w:pPr>
    </w:p>
    <w:p w14:paraId="395F46AB" w14:textId="77777777" w:rsidR="003426CA" w:rsidRPr="00D21420" w:rsidRDefault="003426CA" w:rsidP="003426CA">
      <w:pPr>
        <w:jc w:val="both"/>
        <w:rPr>
          <w:i/>
          <w:lang w:eastAsia="de-DE" w:bidi="de-DE"/>
        </w:rPr>
      </w:pPr>
      <w:r w:rsidRPr="00D21420">
        <w:rPr>
          <w:rFonts w:eastAsia="Calibri"/>
          <w:i/>
          <w:lang w:eastAsia="de-DE" w:bidi="de-DE"/>
        </w:rPr>
        <w:t>[Art. 125bis eingefügt durch Art. 1 Nr. 2 des K.E. vom 6. Juli 1997 (I) (B.S. vom 19. Juli 1997)]</w:t>
      </w:r>
    </w:p>
    <w:p w14:paraId="1726F048" w14:textId="77777777" w:rsidR="003426CA" w:rsidRPr="00D21420" w:rsidRDefault="003426CA" w:rsidP="003426CA">
      <w:pPr>
        <w:jc w:val="both"/>
        <w:rPr>
          <w:lang w:bidi="de-DE"/>
        </w:rPr>
      </w:pPr>
    </w:p>
    <w:p w14:paraId="4BDCABAF" w14:textId="77777777" w:rsidR="003426CA" w:rsidRPr="00D21420" w:rsidRDefault="003426CA" w:rsidP="003426CA">
      <w:pPr>
        <w:jc w:val="both"/>
        <w:rPr>
          <w:spacing w:val="-3"/>
          <w:lang w:bidi="de-DE"/>
        </w:rPr>
      </w:pPr>
    </w:p>
    <w:p w14:paraId="6BB334E2"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126</w:t>
      </w:r>
      <w:r w:rsidRPr="00D21420">
        <w:rPr>
          <w:rFonts w:eastAsia="Calibri"/>
          <w:lang w:eastAsia="de-DE" w:bidi="de-DE"/>
        </w:rPr>
        <w:t> - Die Bestimmungen der [Artikel 305, 307 §§ 2 und 3 und 307</w:t>
      </w:r>
      <w:r w:rsidRPr="00D21420">
        <w:rPr>
          <w:rFonts w:eastAsia="Calibri"/>
          <w:i/>
          <w:lang w:eastAsia="de-DE" w:bidi="de-DE"/>
        </w:rPr>
        <w:t>bis</w:t>
      </w:r>
      <w:r w:rsidRPr="00D21420">
        <w:rPr>
          <w:rFonts w:eastAsia="Calibri"/>
          <w:lang w:eastAsia="de-DE" w:bidi="de-DE"/>
        </w:rPr>
        <w:t>] des Einkommensteuergesetzbuches 1992 über die Erklärung in Bezug auf die Steuer der natürlichen Personen, die Gesellschaftssteuer, die Steuer der juristischen Personen und die Steuer der Gebietsfremden sind auf die Erklärungen in Bezug auf Mobiliensteuervorabzug und Berufssteuervorabzug wie in den Artikeln 85, 90 und 91 des vorliegenden Erlasses erwähnt anwendbar.</w:t>
      </w:r>
    </w:p>
    <w:p w14:paraId="5500B9E9" w14:textId="77777777" w:rsidR="003426CA" w:rsidRPr="00D21420" w:rsidRDefault="003426CA" w:rsidP="003426CA">
      <w:pPr>
        <w:jc w:val="both"/>
        <w:rPr>
          <w:lang w:bidi="de-DE"/>
        </w:rPr>
      </w:pPr>
    </w:p>
    <w:p w14:paraId="17E90A92" w14:textId="77777777" w:rsidR="003426CA" w:rsidRPr="00D21420" w:rsidRDefault="003426CA" w:rsidP="003426CA">
      <w:pPr>
        <w:jc w:val="both"/>
        <w:rPr>
          <w:i/>
          <w:lang w:eastAsia="de-DE" w:bidi="de-DE"/>
        </w:rPr>
      </w:pPr>
      <w:r w:rsidRPr="00D21420">
        <w:rPr>
          <w:rFonts w:eastAsia="Calibri"/>
          <w:i/>
          <w:lang w:eastAsia="de-DE" w:bidi="de-DE"/>
        </w:rPr>
        <w:t>[Art. 126 abgeändert durch Art. 2 des K.E. vom 10. Mai 2010 (B.S. vom 14. Mai 2010)]</w:t>
      </w:r>
    </w:p>
    <w:p w14:paraId="62473E3B" w14:textId="77777777" w:rsidR="003426CA" w:rsidRPr="00D21420" w:rsidRDefault="003426CA" w:rsidP="003426CA">
      <w:pPr>
        <w:jc w:val="both"/>
        <w:rPr>
          <w:lang w:bidi="de-DE"/>
        </w:rPr>
      </w:pPr>
    </w:p>
    <w:p w14:paraId="622B4A4D" w14:textId="77777777" w:rsidR="003426CA" w:rsidRPr="00D21420" w:rsidRDefault="003426CA" w:rsidP="003426CA">
      <w:pPr>
        <w:jc w:val="both"/>
        <w:rPr>
          <w:lang w:bidi="de-DE"/>
        </w:rPr>
      </w:pPr>
    </w:p>
    <w:p w14:paraId="31CE6941"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127</w:t>
      </w:r>
      <w:r w:rsidRPr="00D21420">
        <w:rPr>
          <w:rFonts w:eastAsia="Calibri"/>
          <w:lang w:eastAsia="de-DE" w:bidi="de-DE"/>
        </w:rPr>
        <w:t> - Gemeinden sind verpflichtet:</w:t>
      </w:r>
    </w:p>
    <w:p w14:paraId="56A8B110" w14:textId="77777777" w:rsidR="003426CA" w:rsidRPr="00D21420" w:rsidRDefault="003426CA" w:rsidP="003426CA">
      <w:pPr>
        <w:jc w:val="both"/>
        <w:rPr>
          <w:lang w:bidi="de-DE"/>
        </w:rPr>
      </w:pPr>
    </w:p>
    <w:p w14:paraId="209D9379"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1. regelmäßig und mindestens einmal pro Jahr vor dem 15. Januar dem Kontrolleur der direkten Steuern des Amtsbereichs eine Aufstellung zu übermitteln, in der die im vorhergehenden Jahr in der Bevölkerung eingetretenen Veränderungen angegeben sind: zugezogene und weggezogene Personen und Veränderungen innerhalb der Gemeinde; diese Aufstellung kann durch Ad-hoc-Karten oder Duplikate der an die Bevölkerungsdienste gemachten Erklärungen ersetzt werden,</w:t>
      </w:r>
    </w:p>
    <w:p w14:paraId="582F4892" w14:textId="77777777" w:rsidR="003426CA" w:rsidRPr="00D21420" w:rsidRDefault="003426CA" w:rsidP="003426CA">
      <w:pPr>
        <w:jc w:val="both"/>
        <w:rPr>
          <w:lang w:bidi="de-DE"/>
        </w:rPr>
      </w:pPr>
    </w:p>
    <w:p w14:paraId="28FFEB0C"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2. auf Antrag eine detaillierte Liste der Personen zu übermitteln, die durch Intervention der Gemeinde bestimmte Formalitäten erfüllt haben, die ebenfalls von steuerlichem Interesse sind,</w:t>
      </w:r>
    </w:p>
    <w:p w14:paraId="7CE8F54F" w14:textId="77777777" w:rsidR="003426CA" w:rsidRPr="00D21420" w:rsidRDefault="003426CA" w:rsidP="003426CA">
      <w:pPr>
        <w:jc w:val="both"/>
        <w:rPr>
          <w:lang w:bidi="de-DE"/>
        </w:rPr>
      </w:pPr>
    </w:p>
    <w:p w14:paraId="1017E29F"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3. die lokale Polizei zu beauftragen, gegen Entschädigung gegebenenfalls bei der Zustellung und Einsammlung der Erklärungen in Bezug auf die direkten Steuern mitzuarbeiten,</w:t>
      </w:r>
    </w:p>
    <w:p w14:paraId="7F5D983E" w14:textId="77777777" w:rsidR="003426CA" w:rsidRPr="00D21420" w:rsidRDefault="003426CA" w:rsidP="003426CA">
      <w:pPr>
        <w:jc w:val="both"/>
        <w:rPr>
          <w:lang w:bidi="de-DE"/>
        </w:rPr>
      </w:pPr>
    </w:p>
    <w:p w14:paraId="44A6825A" w14:textId="77777777" w:rsidR="003426CA" w:rsidRDefault="003426CA" w:rsidP="003426CA">
      <w:pPr>
        <w:jc w:val="both"/>
        <w:rPr>
          <w:rFonts w:eastAsia="Calibri"/>
          <w:lang w:eastAsia="de-DE" w:bidi="de-DE"/>
        </w:rPr>
      </w:pPr>
      <w:r w:rsidRPr="00D21420">
        <w:rPr>
          <w:rFonts w:eastAsia="Calibri"/>
          <w:szCs w:val="22"/>
          <w:lang w:eastAsia="de-DE" w:bidi="de-DE"/>
        </w:rPr>
        <w:tab/>
      </w:r>
      <w:r w:rsidRPr="00D21420">
        <w:rPr>
          <w:rFonts w:eastAsia="Calibri"/>
          <w:lang w:eastAsia="de-DE" w:bidi="de-DE"/>
        </w:rPr>
        <w:t>4. Steuerbeamten eine angemessene, wenn nötig beheizte und beleuchtete Räumlich</w:t>
      </w:r>
      <w:r w:rsidRPr="00D21420">
        <w:rPr>
          <w:rFonts w:eastAsia="Calibri"/>
          <w:lang w:eastAsia="de-DE" w:bidi="de-DE"/>
        </w:rPr>
        <w:softHyphen/>
        <w:t>keit für Sitzungen zur Verfügung zu stellen, die für die Festlegung und Beitreibung der direkten Steuern zeitweilig erforderlich sind, in Gemeinden, in denen der Steuerdi</w:t>
      </w:r>
      <w:r>
        <w:rPr>
          <w:rFonts w:eastAsia="Calibri"/>
          <w:lang w:eastAsia="de-DE" w:bidi="de-DE"/>
        </w:rPr>
        <w:t>enst über kein ausreichend gro</w:t>
      </w:r>
      <w:r w:rsidRPr="00D21420">
        <w:rPr>
          <w:rFonts w:eastAsia="Calibri"/>
          <w:lang w:eastAsia="de-DE" w:bidi="de-DE"/>
        </w:rPr>
        <w:t>ßes Amt verfügt.</w:t>
      </w:r>
    </w:p>
    <w:p w14:paraId="42E38C0A" w14:textId="77777777" w:rsidR="003426CA" w:rsidRPr="00D21420" w:rsidRDefault="003426CA" w:rsidP="003426CA">
      <w:pPr>
        <w:jc w:val="both"/>
        <w:rPr>
          <w:rFonts w:eastAsia="Calibri"/>
          <w:lang w:eastAsia="de-DE" w:bidi="de-DE"/>
        </w:rPr>
      </w:pPr>
    </w:p>
    <w:p w14:paraId="2E803134" w14:textId="77777777" w:rsidR="003426CA" w:rsidRPr="00D21420" w:rsidRDefault="003426CA" w:rsidP="003426CA">
      <w:pPr>
        <w:jc w:val="both"/>
        <w:rPr>
          <w:lang w:eastAsia="de-DE" w:bidi="de-DE"/>
        </w:rPr>
      </w:pPr>
      <w:r w:rsidRPr="00D21420">
        <w:rPr>
          <w:rFonts w:eastAsia="Calibri"/>
          <w:szCs w:val="22"/>
          <w:lang w:eastAsia="de-DE" w:bidi="de-DE"/>
        </w:rPr>
        <w:lastRenderedPageBreak/>
        <w:tab/>
      </w:r>
      <w:r w:rsidRPr="00D21420">
        <w:rPr>
          <w:rFonts w:eastAsia="Calibri"/>
          <w:lang w:eastAsia="de-DE" w:bidi="de-DE"/>
        </w:rPr>
        <w:t>Agglomerationen sind verpflichtet, auf Antrag die in Absatz 1 Nr. 2 erwähnte Liste zu übermitteln.</w:t>
      </w:r>
    </w:p>
    <w:p w14:paraId="06EC5C01" w14:textId="77777777" w:rsidR="003426CA" w:rsidRDefault="003426CA" w:rsidP="003426CA">
      <w:pPr>
        <w:jc w:val="both"/>
        <w:rPr>
          <w:lang w:bidi="de-DE"/>
        </w:rPr>
      </w:pPr>
    </w:p>
    <w:p w14:paraId="34924A1C" w14:textId="77777777" w:rsidR="00227232" w:rsidRDefault="00227232" w:rsidP="003426CA">
      <w:pPr>
        <w:jc w:val="both"/>
        <w:rPr>
          <w:lang w:bidi="de-DE"/>
        </w:rPr>
      </w:pPr>
    </w:p>
    <w:p w14:paraId="6B31F367" w14:textId="77777777" w:rsidR="00227232" w:rsidRDefault="00227232" w:rsidP="003426CA">
      <w:pPr>
        <w:jc w:val="both"/>
        <w:rPr>
          <w:lang w:bidi="de-DE"/>
        </w:rPr>
      </w:pPr>
      <w:r>
        <w:rPr>
          <w:lang w:bidi="de-DE"/>
        </w:rPr>
        <w:tab/>
        <w:t>[</w:t>
      </w:r>
      <w:r w:rsidRPr="00227232">
        <w:rPr>
          <w:b/>
        </w:rPr>
        <w:t>Art. 127/0</w:t>
      </w:r>
      <w:r w:rsidRPr="00BC3A70">
        <w:t> - Die in Artikel 305 des Einkommensteuergesetzbuches 1992 erwähnten Erklärungen werden von dem Dienst bereitgestellt, der zu diesem Zweck vom Generalverwalter der mit der Festlegung der Einkommensteuern beauftragten Verwaltung bestimmt wird.</w:t>
      </w:r>
      <w:r>
        <w:rPr>
          <w:lang w:bidi="de-DE"/>
        </w:rPr>
        <w:t>]</w:t>
      </w:r>
    </w:p>
    <w:p w14:paraId="7653B172" w14:textId="77777777" w:rsidR="00227232" w:rsidRDefault="00227232" w:rsidP="003426CA">
      <w:pPr>
        <w:jc w:val="both"/>
        <w:rPr>
          <w:lang w:bidi="de-DE"/>
        </w:rPr>
      </w:pPr>
    </w:p>
    <w:p w14:paraId="03CB6C83" w14:textId="77777777" w:rsidR="00227232" w:rsidRDefault="00227232" w:rsidP="003426CA">
      <w:pPr>
        <w:jc w:val="both"/>
        <w:rPr>
          <w:i/>
          <w:lang w:bidi="de-DE"/>
        </w:rPr>
      </w:pPr>
      <w:r>
        <w:rPr>
          <w:i/>
          <w:lang w:bidi="de-DE"/>
        </w:rPr>
        <w:t>[Art. 127/0 eingefügt durch Art. 2 des K.E. vom 11. März 2018 (B.S. vom 16. März 2018)]</w:t>
      </w:r>
    </w:p>
    <w:p w14:paraId="2E0E8813" w14:textId="77777777" w:rsidR="00227232" w:rsidRPr="00227232" w:rsidRDefault="00227232" w:rsidP="003426CA">
      <w:pPr>
        <w:jc w:val="both"/>
        <w:rPr>
          <w:i/>
          <w:lang w:bidi="de-DE"/>
        </w:rPr>
      </w:pPr>
    </w:p>
    <w:p w14:paraId="7E871A5D" w14:textId="77777777" w:rsidR="003426CA" w:rsidRPr="00D21420" w:rsidRDefault="003426CA" w:rsidP="003426CA">
      <w:pPr>
        <w:jc w:val="both"/>
        <w:rPr>
          <w:lang w:bidi="de-DE"/>
        </w:rPr>
      </w:pPr>
    </w:p>
    <w:p w14:paraId="200B5D58" w14:textId="77777777" w:rsidR="003426CA" w:rsidRPr="00D21420" w:rsidRDefault="003426CA" w:rsidP="003426CA">
      <w:pPr>
        <w:jc w:val="both"/>
        <w:rPr>
          <w:lang w:eastAsia="de-DE" w:bidi="de-DE"/>
        </w:rPr>
      </w:pPr>
      <w:r w:rsidRPr="00D21420">
        <w:rPr>
          <w:rFonts w:eastAsia="Calibri"/>
          <w:lang w:eastAsia="de-DE" w:bidi="de-DE"/>
        </w:rPr>
        <w:t>[</w:t>
      </w:r>
      <w:r w:rsidRPr="00D21420">
        <w:rPr>
          <w:rFonts w:eastAsia="Calibri"/>
          <w:i/>
          <w:lang w:eastAsia="de-DE" w:bidi="de-DE"/>
        </w:rPr>
        <w:t>Abschnitt 1bis</w:t>
      </w:r>
      <w:r w:rsidRPr="00D21420">
        <w:rPr>
          <w:rFonts w:eastAsia="Calibri"/>
          <w:lang w:eastAsia="de-DE" w:bidi="de-DE"/>
        </w:rPr>
        <w:t xml:space="preserve"> - Modalitäten in Bezug auf die Einreichung der Gesellschaftssteuererklärung, der Erklärung zur Steuer der juristischen Personen, der Erklärung zur Steuer der Gebietsfremden/Gesellschaften und der Erklärung zur Steuer der Gebietsfremden/juristische Personen </w:t>
      </w:r>
    </w:p>
    <w:p w14:paraId="6F08C0AC" w14:textId="77777777" w:rsidR="003426CA" w:rsidRPr="00D21420" w:rsidRDefault="003426CA" w:rsidP="003426CA">
      <w:pPr>
        <w:jc w:val="both"/>
        <w:rPr>
          <w:lang w:bidi="de-DE"/>
        </w:rPr>
      </w:pPr>
    </w:p>
    <w:p w14:paraId="3DD4802B" w14:textId="77777777" w:rsidR="003426CA" w:rsidRPr="00D21420" w:rsidRDefault="003426CA" w:rsidP="003426CA">
      <w:pPr>
        <w:jc w:val="center"/>
        <w:rPr>
          <w:lang w:eastAsia="de-DE" w:bidi="de-DE"/>
        </w:rPr>
      </w:pPr>
      <w:r w:rsidRPr="00D21420">
        <w:rPr>
          <w:rFonts w:eastAsia="Calibri"/>
          <w:lang w:eastAsia="de-DE" w:bidi="de-DE"/>
        </w:rPr>
        <w:t>(Einkommensteuergesetzbuch 1992, Artikel 307</w:t>
      </w:r>
      <w:r w:rsidRPr="00D21420">
        <w:rPr>
          <w:rFonts w:eastAsia="Calibri"/>
          <w:i/>
          <w:lang w:eastAsia="de-DE" w:bidi="de-DE"/>
        </w:rPr>
        <w:t>bis</w:t>
      </w:r>
      <w:r w:rsidRPr="00D21420">
        <w:rPr>
          <w:rFonts w:eastAsia="Calibri"/>
          <w:lang w:eastAsia="de-DE" w:bidi="de-DE"/>
        </w:rPr>
        <w:t xml:space="preserve"> § 3 Absatz 3)</w:t>
      </w:r>
    </w:p>
    <w:p w14:paraId="1C45CADD" w14:textId="77777777" w:rsidR="003426CA" w:rsidRPr="00D21420" w:rsidRDefault="003426CA" w:rsidP="003426CA">
      <w:pPr>
        <w:jc w:val="both"/>
        <w:rPr>
          <w:lang w:bidi="de-DE"/>
        </w:rPr>
      </w:pPr>
    </w:p>
    <w:p w14:paraId="3C844093" w14:textId="77777777" w:rsidR="003426CA" w:rsidRPr="00D21420" w:rsidRDefault="003426CA" w:rsidP="003426CA">
      <w:pPr>
        <w:jc w:val="both"/>
        <w:rPr>
          <w:i/>
          <w:lang w:eastAsia="de-DE" w:bidi="de-DE"/>
        </w:rPr>
      </w:pPr>
      <w:r w:rsidRPr="00D21420">
        <w:rPr>
          <w:rFonts w:eastAsia="Calibri"/>
          <w:i/>
          <w:lang w:eastAsia="de-DE" w:bidi="de-DE"/>
        </w:rPr>
        <w:t>[Abschnitt 1bis mit den Artikeln 127/1 und 127/2 eingefügt durch Art. 1 des K.E. vom 7. Februar 2014 (I) (B.S. vom 14. Februar 2014)]</w:t>
      </w:r>
    </w:p>
    <w:p w14:paraId="38AE1B66" w14:textId="77777777" w:rsidR="003426CA" w:rsidRPr="00D21420" w:rsidRDefault="003426CA" w:rsidP="003426CA">
      <w:pPr>
        <w:jc w:val="both"/>
        <w:rPr>
          <w:lang w:bidi="de-DE"/>
        </w:rPr>
      </w:pPr>
    </w:p>
    <w:p w14:paraId="0A5DE349" w14:textId="77777777" w:rsidR="003426CA" w:rsidRPr="00D21420" w:rsidRDefault="003426CA" w:rsidP="003426CA">
      <w:pPr>
        <w:jc w:val="both"/>
        <w:rPr>
          <w:lang w:bidi="de-DE"/>
        </w:rPr>
      </w:pPr>
    </w:p>
    <w:p w14:paraId="4EE52915" w14:textId="77777777" w:rsidR="003426CA" w:rsidRPr="00440C0E" w:rsidRDefault="003426CA" w:rsidP="003426CA">
      <w:pPr>
        <w:jc w:val="both"/>
        <w:rPr>
          <w:spacing w:val="2"/>
          <w:lang w:eastAsia="de-DE" w:bidi="de-DE"/>
        </w:rPr>
      </w:pPr>
      <w:r w:rsidRPr="00440C0E">
        <w:rPr>
          <w:rFonts w:eastAsia="Calibri"/>
          <w:spacing w:val="2"/>
          <w:szCs w:val="22"/>
          <w:lang w:eastAsia="de-DE" w:bidi="de-DE"/>
        </w:rPr>
        <w:tab/>
      </w:r>
      <w:r w:rsidRPr="00440C0E">
        <w:rPr>
          <w:rFonts w:eastAsia="Calibri"/>
          <w:b/>
          <w:spacing w:val="2"/>
          <w:lang w:eastAsia="de-DE" w:bidi="de-DE"/>
        </w:rPr>
        <w:t>Art. 127/1</w:t>
      </w:r>
      <w:r w:rsidRPr="00440C0E">
        <w:rPr>
          <w:rFonts w:eastAsia="Calibri"/>
          <w:spacing w:val="2"/>
          <w:lang w:eastAsia="de-DE" w:bidi="de-DE"/>
        </w:rPr>
        <w:t> - Steuerpflichtige, die der Gesellschaftssteuer oder der Steuer der juristischen Personen unterliegen, und Steuerpflichtige, die gemäß Artikel 227 Nr. 2 und 3 des Einkommensteuergesetzbuches 1992 der Steuer der Gebietsfremden unterliegen, benutzen die Anwendung Biztax, die ihnen von der Verwaltung auf der Website des Föderalen Öffentlichen Dienstes Finanzen zur Verfügung gestellt wird, um ihre Erklärung elektronisch einzureichen.</w:t>
      </w:r>
    </w:p>
    <w:p w14:paraId="4865E1FF" w14:textId="77777777" w:rsidR="003426CA" w:rsidRPr="00D21420" w:rsidRDefault="003426CA" w:rsidP="003426CA">
      <w:pPr>
        <w:jc w:val="both"/>
        <w:rPr>
          <w:lang w:bidi="de-DE"/>
        </w:rPr>
      </w:pPr>
    </w:p>
    <w:p w14:paraId="079BC58A"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Die Anwendung Biztax ist über einen elektronischen Personalausweis oder ein von einer Zertifizierungsstelle zugelassenes Zertifikat der Klasse 3 zugänglich.</w:t>
      </w:r>
    </w:p>
    <w:p w14:paraId="7DF5E0B2" w14:textId="77777777" w:rsidR="003426CA" w:rsidRPr="00D21420" w:rsidRDefault="003426CA" w:rsidP="003426CA">
      <w:pPr>
        <w:jc w:val="both"/>
        <w:rPr>
          <w:lang w:bidi="de-DE"/>
        </w:rPr>
      </w:pPr>
    </w:p>
    <w:p w14:paraId="5CBA1B40"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xml:space="preserve">Die Erklärung wird durch </w:t>
      </w:r>
      <w:r w:rsidR="00440C0E">
        <w:rPr>
          <w:rFonts w:eastAsia="Calibri"/>
          <w:lang w:eastAsia="de-DE" w:bidi="de-DE"/>
        </w:rPr>
        <w:t>[</w:t>
      </w:r>
      <w:r w:rsidR="00440C0E">
        <w:t xml:space="preserve">eine elektronische Signatur im Sinne von Artikel 3 Nr. 10 der Verordnung (EU) Nr. 910/2014 des Europäischen Parlaments und des Rates vom 23. Juli 2014 über elektronische Identifizierung und Vertrauensdienste für elektronische Transaktionen im Binnenmarkt und zur Aufhebung der Richtlinie 1999/93/EG oder eine qualifizierte elektronische Signatur im Sinne von Artikel 3 Nr. 12 derselben Verordnung] </w:t>
      </w:r>
      <w:r w:rsidRPr="00D21420">
        <w:rPr>
          <w:rFonts w:eastAsia="Calibri"/>
          <w:lang w:eastAsia="de-DE" w:bidi="de-DE"/>
        </w:rPr>
        <w:t>eingereicht.</w:t>
      </w:r>
    </w:p>
    <w:p w14:paraId="6AB45990" w14:textId="77777777" w:rsidR="003426CA" w:rsidRPr="00D21420" w:rsidRDefault="003426CA" w:rsidP="003426CA">
      <w:pPr>
        <w:jc w:val="both"/>
        <w:rPr>
          <w:lang w:bidi="de-DE"/>
        </w:rPr>
      </w:pPr>
    </w:p>
    <w:p w14:paraId="23DCD80F"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xml:space="preserve">Als Nachweis für die Einreichung der Erklärung wird eine PDF-Empfangsbestätigung mit </w:t>
      </w:r>
      <w:r w:rsidR="00440C0E">
        <w:rPr>
          <w:rFonts w:eastAsia="Calibri"/>
          <w:lang w:eastAsia="de-DE" w:bidi="de-DE"/>
        </w:rPr>
        <w:t>[</w:t>
      </w:r>
      <w:r w:rsidR="00440C0E">
        <w:t>einem elektronischen Siegel im Sinne von Artikel 3 Nr. 25 der Verordnung (EU) Nr. 910/2014 des Europäischen Parlaments und des Rates vom 23. Juli 2014 über elektronische Identifizierung und Vertrauensdienste für elektronische Transaktionen im Binnenmarkt und zur Aufhebung der Richtlinie 1999/93/EG oder einem qualifizierten elektronischen Siegel im Sinne von Artikel 3 Nr. 27 derselben Verordnung]</w:t>
      </w:r>
      <w:r w:rsidRPr="00D21420">
        <w:rPr>
          <w:rFonts w:eastAsia="Calibri"/>
          <w:lang w:eastAsia="de-DE" w:bidi="de-DE"/>
        </w:rPr>
        <w:t xml:space="preserve"> des Föderalen Öffentlichen Dienstes Finanzen ausgestellt.</w:t>
      </w:r>
    </w:p>
    <w:p w14:paraId="6A597CC1" w14:textId="77777777" w:rsidR="003426CA" w:rsidRPr="00D21420" w:rsidRDefault="003426CA" w:rsidP="003426CA">
      <w:pPr>
        <w:jc w:val="both"/>
        <w:rPr>
          <w:lang w:bidi="de-DE"/>
        </w:rPr>
      </w:pPr>
    </w:p>
    <w:p w14:paraId="0613F8FE" w14:textId="77777777" w:rsidR="00440C0E" w:rsidRDefault="00440C0E">
      <w:pPr>
        <w:rPr>
          <w:rFonts w:eastAsia="Calibri"/>
          <w:szCs w:val="22"/>
          <w:lang w:eastAsia="de-DE" w:bidi="de-DE"/>
        </w:rPr>
      </w:pPr>
      <w:r>
        <w:rPr>
          <w:rFonts w:eastAsia="Calibri"/>
          <w:szCs w:val="22"/>
          <w:lang w:eastAsia="de-DE" w:bidi="de-DE"/>
        </w:rPr>
        <w:br w:type="page"/>
      </w:r>
    </w:p>
    <w:p w14:paraId="4743EBEF" w14:textId="77777777" w:rsidR="003426CA" w:rsidRDefault="003426CA" w:rsidP="003426CA">
      <w:pPr>
        <w:jc w:val="both"/>
        <w:rPr>
          <w:rFonts w:eastAsia="Calibri"/>
          <w:lang w:eastAsia="de-DE" w:bidi="de-DE"/>
        </w:rPr>
      </w:pPr>
      <w:r w:rsidRPr="00D21420">
        <w:rPr>
          <w:rFonts w:eastAsia="Calibri"/>
          <w:szCs w:val="22"/>
          <w:lang w:eastAsia="de-DE" w:bidi="de-DE"/>
        </w:rPr>
        <w:lastRenderedPageBreak/>
        <w:tab/>
      </w:r>
      <w:r w:rsidRPr="00D21420">
        <w:rPr>
          <w:rFonts w:eastAsia="Calibri"/>
          <w:lang w:eastAsia="de-DE" w:bidi="de-DE"/>
        </w:rPr>
        <w:t>Nach der Einreichung können Steuerpflichtige oder gegebenenfalls die Person, die sie zur Einreichung der betreffenden Erklärung bevollmächtigt haben, mittels ihres Zertifikats oder ihres elektronischen Personalausweises die PDF-Dateien der Empfangsbestätigung, der Erklärung und der Anlagen abrufen.</w:t>
      </w:r>
    </w:p>
    <w:p w14:paraId="13BF0A7E" w14:textId="77777777" w:rsidR="00440C0E" w:rsidRDefault="00440C0E" w:rsidP="003426CA">
      <w:pPr>
        <w:jc w:val="both"/>
        <w:rPr>
          <w:rFonts w:eastAsia="Calibri"/>
          <w:lang w:eastAsia="de-DE" w:bidi="de-DE"/>
        </w:rPr>
      </w:pPr>
    </w:p>
    <w:p w14:paraId="23022F02" w14:textId="77777777" w:rsidR="00440C0E" w:rsidRPr="00440C0E" w:rsidRDefault="00440C0E" w:rsidP="003426CA">
      <w:pPr>
        <w:jc w:val="both"/>
        <w:rPr>
          <w:i/>
          <w:lang w:eastAsia="de-DE" w:bidi="de-DE"/>
        </w:rPr>
      </w:pPr>
      <w:r>
        <w:rPr>
          <w:rFonts w:eastAsia="Calibri"/>
          <w:i/>
          <w:lang w:eastAsia="de-DE" w:bidi="de-DE"/>
        </w:rPr>
        <w:t xml:space="preserve">[Art. 127/1 Abs. 3 abgeändert durch Art. 4 Nr. 1 des K.E. vom 25. September 2018 (B.S. vom 10. Oktober 2018); Abs. 4 abgeändert durch Art. 4 Nr. 2 des K.E. vom 25. September 2018 (B.S. vom 10. Oktober 2018)] </w:t>
      </w:r>
    </w:p>
    <w:p w14:paraId="25D23226" w14:textId="77777777" w:rsidR="00CC4F83" w:rsidRDefault="00CC4F83" w:rsidP="003426CA">
      <w:pPr>
        <w:jc w:val="both"/>
        <w:rPr>
          <w:rFonts w:eastAsia="Calibri"/>
          <w:szCs w:val="22"/>
          <w:lang w:eastAsia="de-DE" w:bidi="de-DE"/>
        </w:rPr>
      </w:pPr>
    </w:p>
    <w:p w14:paraId="0BDAAE28" w14:textId="77777777" w:rsidR="00CC4F83" w:rsidRDefault="00CC4F83" w:rsidP="003426CA">
      <w:pPr>
        <w:jc w:val="both"/>
        <w:rPr>
          <w:rFonts w:eastAsia="Calibri"/>
          <w:szCs w:val="22"/>
          <w:lang w:eastAsia="de-DE" w:bidi="de-DE"/>
        </w:rPr>
      </w:pPr>
    </w:p>
    <w:p w14:paraId="5F57D98B"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127/2</w:t>
      </w:r>
      <w:r w:rsidRPr="00D21420">
        <w:rPr>
          <w:rFonts w:eastAsia="Calibri"/>
          <w:lang w:eastAsia="de-DE" w:bidi="de-DE"/>
        </w:rPr>
        <w:t> - Verfügen Steuerpflichtige, die der Gesellschaftssteuer oder der Steuer der juristischen Personen unterliegen, und Steuerpflichtige, die gemäß Artikel 227 Nr. 2 und 3 des Einkommensteuergesetzbuches 1992 der Steuer der Gebietsfremden unterliegen, oder gegebenenfalls die Person, die sie zur Einreichung der betreffenden Erklärung bevollmächtigt haben, nicht über die erforderlichen Informatikmittel, reichen sie jährlich eine unterzeichnete schriftliche Erklärung beim zuständigen Steueramt ein.</w:t>
      </w:r>
    </w:p>
    <w:p w14:paraId="48419F5C" w14:textId="77777777" w:rsidR="003426CA" w:rsidRPr="00D21420" w:rsidRDefault="003426CA" w:rsidP="003426CA">
      <w:pPr>
        <w:jc w:val="both"/>
        <w:rPr>
          <w:lang w:bidi="de-DE"/>
        </w:rPr>
      </w:pPr>
    </w:p>
    <w:p w14:paraId="188B5B8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Nach Empfang der Erklärung stellt das zuständige Steueramt den in Absatz 1 erwähnten Steuerpflichtigen ein Erklärungsformular aus.]</w:t>
      </w:r>
    </w:p>
    <w:p w14:paraId="3543DC82" w14:textId="77777777" w:rsidR="003426CA" w:rsidRDefault="003426CA" w:rsidP="003426CA">
      <w:pPr>
        <w:jc w:val="both"/>
        <w:rPr>
          <w:lang w:bidi="de-DE"/>
        </w:rPr>
      </w:pPr>
    </w:p>
    <w:p w14:paraId="076F281E" w14:textId="77777777" w:rsidR="00CC4F83" w:rsidRDefault="00CC4F83">
      <w:pPr>
        <w:rPr>
          <w:rFonts w:eastAsia="Calibri"/>
          <w:i/>
          <w:lang w:eastAsia="de-DE" w:bidi="de-DE"/>
        </w:rPr>
      </w:pPr>
    </w:p>
    <w:p w14:paraId="4E62C5EA" w14:textId="77777777" w:rsidR="003426CA" w:rsidRPr="00D21420" w:rsidRDefault="003426CA" w:rsidP="003426CA">
      <w:pPr>
        <w:jc w:val="center"/>
        <w:rPr>
          <w:lang w:eastAsia="de-DE" w:bidi="de-DE"/>
        </w:rPr>
      </w:pPr>
      <w:r w:rsidRPr="00D21420">
        <w:rPr>
          <w:rFonts w:eastAsia="Calibri"/>
          <w:i/>
          <w:lang w:eastAsia="de-DE" w:bidi="de-DE"/>
        </w:rPr>
        <w:t>Abschnitt 2</w:t>
      </w:r>
      <w:r w:rsidRPr="00D21420">
        <w:rPr>
          <w:rFonts w:eastAsia="Calibri"/>
          <w:lang w:eastAsia="de-DE" w:bidi="de-DE"/>
        </w:rPr>
        <w:t xml:space="preserve"> - Heberollen </w:t>
      </w:r>
    </w:p>
    <w:p w14:paraId="3E4F72A2" w14:textId="77777777" w:rsidR="003426CA" w:rsidRPr="00D21420" w:rsidRDefault="003426CA" w:rsidP="003426CA">
      <w:pPr>
        <w:jc w:val="center"/>
        <w:rPr>
          <w:lang w:bidi="de-DE"/>
        </w:rPr>
      </w:pPr>
    </w:p>
    <w:p w14:paraId="08ED756A" w14:textId="77777777" w:rsidR="003426CA" w:rsidRPr="00D21420" w:rsidRDefault="003426CA" w:rsidP="003426CA">
      <w:pPr>
        <w:jc w:val="center"/>
        <w:rPr>
          <w:lang w:eastAsia="de-DE" w:bidi="de-DE"/>
        </w:rPr>
      </w:pPr>
      <w:r w:rsidRPr="00D21420">
        <w:rPr>
          <w:rFonts w:eastAsia="Calibri"/>
          <w:lang w:eastAsia="de-DE" w:bidi="de-DE"/>
        </w:rPr>
        <w:t>(Einkommensteuergesetzbuch 1992, Artikel 251 und 300 § 1)</w:t>
      </w:r>
    </w:p>
    <w:p w14:paraId="18BE1EB4" w14:textId="77777777" w:rsidR="003426CA" w:rsidRPr="00D21420" w:rsidRDefault="003426CA" w:rsidP="003426CA">
      <w:pPr>
        <w:jc w:val="both"/>
        <w:rPr>
          <w:lang w:bidi="de-DE"/>
        </w:rPr>
      </w:pPr>
    </w:p>
    <w:p w14:paraId="50ACA5E6" w14:textId="77777777" w:rsidR="003426CA" w:rsidRPr="00D21420" w:rsidRDefault="003426CA" w:rsidP="003426CA">
      <w:pPr>
        <w:jc w:val="both"/>
        <w:rPr>
          <w:lang w:bidi="de-DE"/>
        </w:rPr>
      </w:pPr>
    </w:p>
    <w:p w14:paraId="0A653F7A"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128</w:t>
      </w:r>
      <w:r w:rsidRPr="00D21420">
        <w:rPr>
          <w:rFonts w:eastAsia="Calibri"/>
          <w:lang w:eastAsia="de-DE" w:bidi="de-DE"/>
        </w:rPr>
        <w:t> - Heberollen können entweder pro Art der Steuer oder des Vorabzugs getrennt oder für mehrere Arten von Steuern oder Vorabzügen gleichzeitig erstellt werden.</w:t>
      </w:r>
    </w:p>
    <w:p w14:paraId="6940D368" w14:textId="77777777" w:rsidR="003426CA" w:rsidRPr="00D21420" w:rsidRDefault="003426CA" w:rsidP="003426CA">
      <w:pPr>
        <w:jc w:val="both"/>
        <w:rPr>
          <w:lang w:bidi="de-DE"/>
        </w:rPr>
      </w:pPr>
    </w:p>
    <w:p w14:paraId="76FB1D70" w14:textId="77777777" w:rsidR="003426CA" w:rsidRPr="00D21420" w:rsidRDefault="003426CA" w:rsidP="003426CA">
      <w:pPr>
        <w:jc w:val="both"/>
        <w:rPr>
          <w:lang w:bidi="de-DE"/>
        </w:rPr>
      </w:pPr>
    </w:p>
    <w:p w14:paraId="1AA537AB"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129</w:t>
      </w:r>
      <w:r w:rsidRPr="00D21420">
        <w:rPr>
          <w:rFonts w:eastAsia="Calibri"/>
          <w:lang w:eastAsia="de-DE" w:bidi="de-DE"/>
        </w:rPr>
        <w:t> - Heberollen können wenn nötig für mehrere Steuerjahre erstellt werden, vorausgesetzt, sie werden jedes Jahr erneut für vollstreckbar erklärt.</w:t>
      </w:r>
    </w:p>
    <w:p w14:paraId="4F5556D7" w14:textId="77777777" w:rsidR="003426CA" w:rsidRPr="00D21420" w:rsidRDefault="003426CA" w:rsidP="003426CA">
      <w:pPr>
        <w:jc w:val="both"/>
        <w:rPr>
          <w:lang w:bidi="de-DE"/>
        </w:rPr>
      </w:pPr>
    </w:p>
    <w:p w14:paraId="17F14708" w14:textId="77777777" w:rsidR="003426CA" w:rsidRPr="00D21420" w:rsidRDefault="003426CA" w:rsidP="003426CA">
      <w:pPr>
        <w:jc w:val="both"/>
        <w:rPr>
          <w:lang w:bidi="de-DE"/>
        </w:rPr>
      </w:pPr>
    </w:p>
    <w:p w14:paraId="1E3EB7FA"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130</w:t>
      </w:r>
      <w:r w:rsidRPr="00D21420">
        <w:rPr>
          <w:rFonts w:eastAsia="Calibri"/>
          <w:lang w:eastAsia="de-DE" w:bidi="de-DE"/>
        </w:rPr>
        <w:t> - Heberollen mit Veranlagungen zu Steuern oder Vorabzügen sind an das Haushaltsjahr gebunden, das zu dem Zeitpunkt läuft, zu dem sie für vollstreckbar erklärt werden; Steuersätze und eventuell Zuschlaghundertstel, die sich auf die jeweiligen Steuer</w:t>
      </w:r>
      <w:r w:rsidRPr="00D21420">
        <w:rPr>
          <w:rFonts w:eastAsia="Calibri"/>
          <w:lang w:eastAsia="de-DE" w:bidi="de-DE"/>
        </w:rPr>
        <w:softHyphen/>
        <w:t>jahre beziehen, sind anwendbar.</w:t>
      </w:r>
    </w:p>
    <w:p w14:paraId="6724C2E4" w14:textId="77777777" w:rsidR="003426CA" w:rsidRPr="00D21420" w:rsidRDefault="003426CA" w:rsidP="003426CA">
      <w:pPr>
        <w:jc w:val="both"/>
        <w:rPr>
          <w:lang w:bidi="de-DE"/>
        </w:rPr>
      </w:pPr>
    </w:p>
    <w:p w14:paraId="08559334" w14:textId="77777777" w:rsidR="003426CA" w:rsidRPr="00D21420" w:rsidRDefault="003426CA" w:rsidP="003426CA">
      <w:pPr>
        <w:jc w:val="both"/>
        <w:rPr>
          <w:lang w:bidi="de-DE"/>
        </w:rPr>
      </w:pPr>
    </w:p>
    <w:p w14:paraId="55FCD45B"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131</w:t>
      </w:r>
      <w:r w:rsidRPr="00D21420">
        <w:rPr>
          <w:rFonts w:eastAsia="Calibri"/>
          <w:lang w:eastAsia="de-DE" w:bidi="de-DE"/>
        </w:rPr>
        <w:t> - Heberollen der direkten Steuern werden pro Gemeinde, Gemeindegruppe oder Einnahmeamt erstellt.</w:t>
      </w:r>
    </w:p>
    <w:p w14:paraId="5F6B962D" w14:textId="77777777" w:rsidR="003426CA" w:rsidRPr="00D21420" w:rsidRDefault="003426CA" w:rsidP="003426CA">
      <w:pPr>
        <w:jc w:val="both"/>
        <w:rPr>
          <w:lang w:bidi="de-DE"/>
        </w:rPr>
      </w:pPr>
    </w:p>
    <w:p w14:paraId="3D6D2480" w14:textId="77777777" w:rsidR="003426CA" w:rsidRPr="00D21420" w:rsidRDefault="003426CA" w:rsidP="003426CA">
      <w:pPr>
        <w:jc w:val="both"/>
        <w:rPr>
          <w:lang w:bidi="de-DE"/>
        </w:rPr>
      </w:pPr>
    </w:p>
    <w:p w14:paraId="1F1E0869"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132</w:t>
      </w:r>
      <w:r w:rsidRPr="00D21420">
        <w:rPr>
          <w:rFonts w:eastAsia="Calibri"/>
          <w:lang w:eastAsia="de-DE" w:bidi="de-DE"/>
        </w:rPr>
        <w:t> - Heberollen werden in den von der Verwaltung oder ihren Beauftragten festgelegten Zeiträumen erstellt.</w:t>
      </w:r>
    </w:p>
    <w:p w14:paraId="5E3569AD" w14:textId="77777777" w:rsidR="003426CA" w:rsidRPr="00D21420" w:rsidRDefault="003426CA" w:rsidP="003426CA">
      <w:pPr>
        <w:jc w:val="both"/>
        <w:rPr>
          <w:lang w:bidi="de-DE"/>
        </w:rPr>
      </w:pPr>
    </w:p>
    <w:p w14:paraId="42240144" w14:textId="77777777" w:rsidR="003426CA" w:rsidRPr="00D21420" w:rsidRDefault="003426CA" w:rsidP="003426CA">
      <w:pPr>
        <w:jc w:val="both"/>
        <w:rPr>
          <w:lang w:bidi="de-DE"/>
        </w:rPr>
      </w:pPr>
    </w:p>
    <w:p w14:paraId="7A516B5C"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133</w:t>
      </w:r>
      <w:r w:rsidRPr="00D21420">
        <w:rPr>
          <w:rFonts w:eastAsia="Calibri"/>
          <w:lang w:eastAsia="de-DE" w:bidi="de-DE"/>
        </w:rPr>
        <w:t> - [§ 1] - Veranlagungen werden auf den Namen des betreffenden Steuerschuldners in die Heberolle eingetragen.</w:t>
      </w:r>
    </w:p>
    <w:p w14:paraId="2090AA93" w14:textId="77777777" w:rsidR="003426CA" w:rsidRPr="00D21420" w:rsidRDefault="003426CA" w:rsidP="003426CA">
      <w:pPr>
        <w:jc w:val="both"/>
        <w:rPr>
          <w:lang w:bidi="de-DE"/>
        </w:rPr>
      </w:pPr>
    </w:p>
    <w:p w14:paraId="68EC9082"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2] - Veranlagungen zu Lasten verstorbener Steuerschuldner werden auf ihren Namen in die Heberolle eingetragen; vor dem Namen wird das Wort "Nachlass" und nach dem Namen gegebenenfalls die Angabe der Person oder der Personen vermerkt, die sich bei der Verwaltung der direkten Steuern als Erbe, Vermächtnisnehmer, Beschenkter oder Sonder</w:t>
      </w:r>
      <w:r w:rsidRPr="00D21420">
        <w:rPr>
          <w:rFonts w:eastAsia="Calibri"/>
          <w:lang w:eastAsia="de-DE" w:bidi="de-DE"/>
        </w:rPr>
        <w:softHyphen/>
        <w:t>bevollmächtigter gemeldet haben.</w:t>
      </w:r>
    </w:p>
    <w:p w14:paraId="5670B387" w14:textId="77777777" w:rsidR="003426CA" w:rsidRPr="00D21420" w:rsidRDefault="003426CA" w:rsidP="003426CA">
      <w:pPr>
        <w:jc w:val="both"/>
        <w:rPr>
          <w:lang w:bidi="de-DE"/>
        </w:rPr>
      </w:pPr>
    </w:p>
    <w:p w14:paraId="3CA415E3"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Die Identität dieser Personen wird detailliert angegeben. Ist einer der Erben ausdrücklich bestimmt worden, den Nachlass zu vertreten, erfolgt die Eintragung in die Heberolle wie folgt: "Nachlass X ..., die Erben, vertreten durch ...".</w:t>
      </w:r>
    </w:p>
    <w:p w14:paraId="7DE8891E" w14:textId="77777777" w:rsidR="003426CA" w:rsidRPr="00D21420" w:rsidRDefault="003426CA" w:rsidP="003426CA">
      <w:pPr>
        <w:jc w:val="both"/>
        <w:rPr>
          <w:lang w:bidi="de-DE"/>
        </w:rPr>
      </w:pPr>
    </w:p>
    <w:p w14:paraId="5CE13411"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Im Falle einer Veranlagung von Amts wegen muss hinter dem Namen des verstorbenen Steuerschuldners (Nachlass X ...) nur die Angabe eines der Erben, der dem Steuerkontrolleur bekannt ist, vermerkt werden.</w:t>
      </w:r>
    </w:p>
    <w:p w14:paraId="469746DE" w14:textId="77777777" w:rsidR="003426CA" w:rsidRPr="00D21420" w:rsidRDefault="003426CA" w:rsidP="003426CA">
      <w:pPr>
        <w:jc w:val="both"/>
        <w:rPr>
          <w:lang w:bidi="de-DE"/>
        </w:rPr>
      </w:pPr>
    </w:p>
    <w:p w14:paraId="3486928F" w14:textId="78F76DAC" w:rsidR="003426CA" w:rsidRDefault="003426CA" w:rsidP="003426CA">
      <w:pPr>
        <w:jc w:val="both"/>
        <w:rPr>
          <w:rFonts w:eastAsia="Calibri"/>
          <w:lang w:eastAsia="de-DE" w:bidi="de-DE"/>
        </w:rPr>
      </w:pPr>
      <w:r w:rsidRPr="00D21420">
        <w:rPr>
          <w:rFonts w:eastAsia="Calibri"/>
          <w:szCs w:val="22"/>
          <w:lang w:eastAsia="de-DE" w:bidi="de-DE"/>
        </w:rPr>
        <w:tab/>
      </w:r>
      <w:r w:rsidRPr="00D21420">
        <w:rPr>
          <w:rFonts w:eastAsia="Calibri"/>
          <w:lang w:eastAsia="de-DE" w:bidi="de-DE"/>
        </w:rPr>
        <w:t>[§ 3 - Gehört ein unbewegliches Gut mehreren Eigentümern in einer ungeteilten Rechtsgemeinschaft, wird die Veranlagung zum Immobiliensteuervorabzug auf den Namen eines oder mehrerer Eigentümer in die Heberolle eingetragen, gefolgt von den Wörtern "in ungeteilter Rechtsgemeinschaft".</w:t>
      </w:r>
      <w:r w:rsidR="00C0148B">
        <w:rPr>
          <w:rFonts w:eastAsia="Calibri"/>
          <w:lang w:eastAsia="de-DE" w:bidi="de-DE"/>
        </w:rPr>
        <w:t>]</w:t>
      </w:r>
    </w:p>
    <w:p w14:paraId="47375952" w14:textId="3A5F0416" w:rsidR="00C0148B" w:rsidRDefault="00C0148B" w:rsidP="003426CA">
      <w:pPr>
        <w:jc w:val="both"/>
        <w:rPr>
          <w:rFonts w:eastAsia="Calibri"/>
          <w:lang w:eastAsia="de-DE" w:bidi="de-DE"/>
        </w:rPr>
      </w:pPr>
    </w:p>
    <w:p w14:paraId="6A2CA272" w14:textId="19E253AF" w:rsidR="00C0148B" w:rsidRPr="00D21420" w:rsidRDefault="00C0148B" w:rsidP="003426CA">
      <w:pPr>
        <w:jc w:val="both"/>
        <w:rPr>
          <w:lang w:eastAsia="de-DE" w:bidi="de-DE"/>
        </w:rPr>
      </w:pPr>
      <w:r>
        <w:rPr>
          <w:rFonts w:eastAsia="Calibri"/>
          <w:lang w:eastAsia="de-DE" w:bidi="de-DE"/>
        </w:rPr>
        <w:tab/>
        <w:t>[</w:t>
      </w:r>
      <w:r>
        <w:t>§ 4 </w:t>
      </w:r>
      <w:r>
        <w:softHyphen/>
        <w:t xml:space="preserve"> Veranlagungen zu Lasten liquidierter Gesellschaften, liquidierter Vereinigungen oder liquidierter Stiftungen werden auf den Namen der Gesellschaft, Vereinigung oder Stiftung in die Heberolle eingetragen, gefolgt von den Wörtern "liquidiert, vertreten durch den/die Liquidator(en) q.q.".]</w:t>
      </w:r>
    </w:p>
    <w:p w14:paraId="29B13E9C" w14:textId="77777777" w:rsidR="003426CA" w:rsidRPr="00D21420" w:rsidRDefault="003426CA" w:rsidP="003426CA">
      <w:pPr>
        <w:jc w:val="both"/>
        <w:rPr>
          <w:lang w:bidi="de-DE"/>
        </w:rPr>
      </w:pPr>
    </w:p>
    <w:p w14:paraId="0FBBA52A" w14:textId="6B7069C9" w:rsidR="003426CA" w:rsidRPr="00D21420" w:rsidRDefault="003426CA" w:rsidP="003426CA">
      <w:pPr>
        <w:jc w:val="both"/>
        <w:rPr>
          <w:i/>
          <w:lang w:eastAsia="de-DE" w:bidi="de-DE"/>
        </w:rPr>
      </w:pPr>
      <w:r w:rsidRPr="00D21420">
        <w:rPr>
          <w:rFonts w:eastAsia="Calibri"/>
          <w:i/>
          <w:lang w:eastAsia="de-DE" w:bidi="de-DE"/>
        </w:rPr>
        <w:t>[Art. 133 § 1 (früherer Absatz 1) nummeriert durch Art. 1 des K.E. vom 26. September 2011 (B.S. vom 4. Oktober 2011); § 2 (frühere Absätze 2 bis 4) nummeriert durch Art. 1 des K.E. vom 26. September 2011 (B.S. vom 4. Oktober 2011); § 3 eingefügt durch Art. 1 des K.E. vom 26. September 2011 (B.S. vom 4. Oktober 2011)</w:t>
      </w:r>
      <w:r w:rsidR="00C0148B">
        <w:rPr>
          <w:rFonts w:eastAsia="Calibri"/>
          <w:i/>
          <w:lang w:eastAsia="de-DE" w:bidi="de-DE"/>
        </w:rPr>
        <w:t>; § 4 eingefügt durch Art. 1 des K.E. vom 12. Dezember 2021 (B.S. vom 21. Dezember 2021)</w:t>
      </w:r>
      <w:r w:rsidRPr="00D21420">
        <w:rPr>
          <w:rFonts w:eastAsia="Calibri"/>
          <w:i/>
          <w:lang w:eastAsia="de-DE" w:bidi="de-DE"/>
        </w:rPr>
        <w:t>]</w:t>
      </w:r>
    </w:p>
    <w:p w14:paraId="2CBC0278" w14:textId="77777777" w:rsidR="003426CA" w:rsidRPr="00D21420" w:rsidRDefault="003426CA" w:rsidP="003426CA">
      <w:pPr>
        <w:jc w:val="both"/>
        <w:rPr>
          <w:lang w:bidi="de-DE"/>
        </w:rPr>
      </w:pPr>
    </w:p>
    <w:p w14:paraId="43B770A3" w14:textId="77777777" w:rsidR="003426CA" w:rsidRPr="00D21420" w:rsidRDefault="003426CA" w:rsidP="003426CA">
      <w:pPr>
        <w:jc w:val="both"/>
        <w:rPr>
          <w:lang w:bidi="de-DE"/>
        </w:rPr>
      </w:pPr>
    </w:p>
    <w:p w14:paraId="6F68FC25"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134</w:t>
      </w:r>
      <w:r w:rsidRPr="00D21420">
        <w:rPr>
          <w:rFonts w:eastAsia="Calibri"/>
          <w:lang w:eastAsia="de-DE" w:bidi="de-DE"/>
        </w:rPr>
        <w:t> - Für die Berechnung von Veranlagungen zur Steuer der natürlichen Personen, zur Gesellschaftssteuer, zur Steuer der juristischen Personen und zur Steuer der Gebietsfremden wird die Besteuerungsgrundlage [in Euro festgelegt und zu einem Cent abgerundet].</w:t>
      </w:r>
    </w:p>
    <w:p w14:paraId="299E1CF7" w14:textId="77777777" w:rsidR="003426CA" w:rsidRPr="00D21420" w:rsidRDefault="003426CA" w:rsidP="003426CA">
      <w:pPr>
        <w:jc w:val="both"/>
        <w:rPr>
          <w:lang w:bidi="de-DE"/>
        </w:rPr>
      </w:pPr>
    </w:p>
    <w:p w14:paraId="31C9FD95" w14:textId="77777777" w:rsidR="003426CA" w:rsidRPr="00D21420" w:rsidRDefault="003426CA" w:rsidP="003426CA">
      <w:pPr>
        <w:jc w:val="both"/>
        <w:rPr>
          <w:i/>
          <w:lang w:eastAsia="de-DE" w:bidi="de-DE"/>
        </w:rPr>
      </w:pPr>
      <w:r w:rsidRPr="00D21420">
        <w:rPr>
          <w:rFonts w:eastAsia="Calibri"/>
          <w:i/>
          <w:lang w:eastAsia="de-DE" w:bidi="de-DE"/>
        </w:rPr>
        <w:t>[Art. 134 abgeändert durch Art. 5 Nr. 7 des K.E. vom 20. Juli 2000 (B.S. vom 30. August 2000)]</w:t>
      </w:r>
    </w:p>
    <w:p w14:paraId="2D120C68" w14:textId="77777777" w:rsidR="003426CA" w:rsidRPr="00D21420" w:rsidRDefault="003426CA" w:rsidP="003426CA">
      <w:pPr>
        <w:jc w:val="both"/>
        <w:rPr>
          <w:lang w:bidi="de-DE"/>
        </w:rPr>
      </w:pPr>
    </w:p>
    <w:p w14:paraId="2872AC01" w14:textId="77777777" w:rsidR="003426CA" w:rsidRPr="00D21420" w:rsidRDefault="003426CA" w:rsidP="003426CA">
      <w:pPr>
        <w:jc w:val="both"/>
        <w:rPr>
          <w:lang w:bidi="de-DE"/>
        </w:rPr>
      </w:pPr>
    </w:p>
    <w:p w14:paraId="523D5B02"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135</w:t>
      </w:r>
      <w:r w:rsidRPr="00D21420">
        <w:rPr>
          <w:rFonts w:eastAsia="Calibri"/>
          <w:szCs w:val="22"/>
          <w:lang w:eastAsia="de-DE" w:bidi="de-DE"/>
        </w:rPr>
        <w:t> -</w:t>
      </w:r>
      <w:r w:rsidRPr="00D21420">
        <w:rPr>
          <w:rFonts w:eastAsia="Calibri"/>
          <w:lang w:eastAsia="de-DE" w:bidi="de-DE"/>
        </w:rPr>
        <w:t xml:space="preserve"> Die verschiedenen Veranlagungen einschließlich der Zuschlaghundertstel werden zu jedem Berechnungsstadium [in Euro festgelegt und zu einem Cent abgerundet].</w:t>
      </w:r>
    </w:p>
    <w:p w14:paraId="16D941DB" w14:textId="77777777" w:rsidR="003426CA" w:rsidRPr="00D21420" w:rsidRDefault="003426CA" w:rsidP="003426CA">
      <w:pPr>
        <w:jc w:val="both"/>
        <w:rPr>
          <w:lang w:bidi="de-DE"/>
        </w:rPr>
      </w:pPr>
    </w:p>
    <w:p w14:paraId="27C03824" w14:textId="77777777" w:rsidR="003426CA" w:rsidRPr="00D21420" w:rsidRDefault="003426CA" w:rsidP="003426CA">
      <w:pPr>
        <w:jc w:val="both"/>
        <w:rPr>
          <w:i/>
          <w:lang w:eastAsia="de-DE" w:bidi="de-DE"/>
        </w:rPr>
      </w:pPr>
      <w:r w:rsidRPr="00D21420">
        <w:rPr>
          <w:rFonts w:eastAsia="Calibri"/>
          <w:i/>
          <w:lang w:eastAsia="de-DE" w:bidi="de-DE"/>
        </w:rPr>
        <w:t>[Art. 135 abgeändert durch Art. 5 Nr. 8 des K.E. vom 20. Juli 2000 (B.S. vom 30. August 2000)]</w:t>
      </w:r>
    </w:p>
    <w:p w14:paraId="14367ECB" w14:textId="77777777" w:rsidR="003426CA" w:rsidRPr="00D21420" w:rsidRDefault="003426CA" w:rsidP="003426CA">
      <w:pPr>
        <w:jc w:val="both"/>
        <w:rPr>
          <w:lang w:bidi="de-DE"/>
        </w:rPr>
      </w:pPr>
    </w:p>
    <w:p w14:paraId="09AAF0B1" w14:textId="77777777" w:rsidR="003426CA" w:rsidRPr="00D21420" w:rsidRDefault="003426CA" w:rsidP="003426CA">
      <w:pPr>
        <w:jc w:val="both"/>
        <w:rPr>
          <w:lang w:bidi="de-DE"/>
        </w:rPr>
      </w:pPr>
    </w:p>
    <w:p w14:paraId="1C2F2CE4" w14:textId="716D55C7" w:rsidR="003426CA" w:rsidRPr="00D21420" w:rsidRDefault="003426CA" w:rsidP="003426CA">
      <w:pPr>
        <w:jc w:val="both"/>
        <w:rPr>
          <w:lang w:bidi="de-DE"/>
        </w:rPr>
      </w:pPr>
      <w:r w:rsidRPr="00D21420">
        <w:rPr>
          <w:rFonts w:eastAsia="Calibri"/>
          <w:szCs w:val="22"/>
          <w:lang w:eastAsia="de-DE" w:bidi="de-DE"/>
        </w:rPr>
        <w:tab/>
      </w:r>
      <w:r w:rsidRPr="00D21420">
        <w:rPr>
          <w:rFonts w:eastAsia="Calibri"/>
          <w:b/>
          <w:lang w:eastAsia="de-DE" w:bidi="de-DE"/>
        </w:rPr>
        <w:t>Art. 136</w:t>
      </w:r>
      <w:r w:rsidRPr="00D21420">
        <w:rPr>
          <w:rFonts w:eastAsia="Calibri"/>
          <w:szCs w:val="22"/>
          <w:lang w:eastAsia="de-DE" w:bidi="de-DE"/>
        </w:rPr>
        <w:t> -</w:t>
      </w:r>
      <w:r w:rsidRPr="00D21420">
        <w:rPr>
          <w:rFonts w:eastAsia="Calibri"/>
          <w:lang w:eastAsia="de-DE" w:bidi="de-DE"/>
        </w:rPr>
        <w:t xml:space="preserve"> Sobald Heberollen für vollstreckbar erklärt sind, wird den betreffenden Steuerschuldnern ein Steuerbescheid zugeschickt.</w:t>
      </w:r>
    </w:p>
    <w:p w14:paraId="58D9D86E" w14:textId="77777777" w:rsidR="00440C0E" w:rsidRDefault="00440C0E">
      <w:pPr>
        <w:rPr>
          <w:rFonts w:eastAsia="Calibri"/>
          <w:lang w:eastAsia="de-DE" w:bidi="de-DE"/>
        </w:rPr>
      </w:pPr>
      <w:r>
        <w:rPr>
          <w:rFonts w:eastAsia="Calibri"/>
          <w:lang w:eastAsia="de-DE" w:bidi="de-DE"/>
        </w:rPr>
        <w:br w:type="page"/>
      </w:r>
    </w:p>
    <w:p w14:paraId="10FFB250" w14:textId="77777777" w:rsidR="0059755A" w:rsidRPr="0059755A" w:rsidRDefault="0059755A" w:rsidP="0059755A">
      <w:pPr>
        <w:jc w:val="center"/>
        <w:rPr>
          <w:rFonts w:eastAsia="Calibri"/>
          <w:spacing w:val="-4"/>
          <w:lang w:eastAsia="de-DE" w:bidi="de-DE"/>
        </w:rPr>
      </w:pPr>
      <w:r w:rsidRPr="0059755A">
        <w:rPr>
          <w:rFonts w:eastAsia="Calibri"/>
          <w:spacing w:val="-4"/>
          <w:lang w:eastAsia="de-DE" w:bidi="de-DE"/>
        </w:rPr>
        <w:lastRenderedPageBreak/>
        <w:t>[</w:t>
      </w:r>
      <w:r w:rsidRPr="0059755A">
        <w:rPr>
          <w:rFonts w:eastAsia="Calibri"/>
          <w:i/>
          <w:spacing w:val="-4"/>
          <w:lang w:eastAsia="de-DE" w:bidi="de-DE"/>
        </w:rPr>
        <w:t>Abschnitt 2bis</w:t>
      </w:r>
      <w:r w:rsidRPr="0059755A">
        <w:rPr>
          <w:rFonts w:eastAsia="Calibri"/>
          <w:spacing w:val="-4"/>
          <w:lang w:eastAsia="de-DE" w:bidi="de-DE"/>
        </w:rPr>
        <w:t xml:space="preserve"> – [Zurverfügungstellung von Steuerbescheiden und Vorschlägen der vereinfachten Erklärung anhand eines Verfahrens, bei dem Informatiktechniken verwendet werden]</w:t>
      </w:r>
    </w:p>
    <w:p w14:paraId="3C6867A7" w14:textId="77777777" w:rsidR="0059755A" w:rsidRPr="0059755A" w:rsidRDefault="0059755A" w:rsidP="0059755A">
      <w:pPr>
        <w:jc w:val="both"/>
        <w:rPr>
          <w:rFonts w:eastAsia="Calibri"/>
          <w:lang w:eastAsia="de-DE" w:bidi="de-DE"/>
        </w:rPr>
      </w:pPr>
    </w:p>
    <w:p w14:paraId="0C5D3B2D" w14:textId="77777777" w:rsidR="0059755A" w:rsidRPr="0059755A" w:rsidRDefault="0059755A" w:rsidP="0059755A">
      <w:pPr>
        <w:jc w:val="center"/>
        <w:rPr>
          <w:rFonts w:eastAsia="Calibri"/>
          <w:lang w:eastAsia="de-DE" w:bidi="de-DE"/>
        </w:rPr>
      </w:pPr>
      <w:r w:rsidRPr="0059755A">
        <w:rPr>
          <w:rFonts w:eastAsia="Calibri"/>
          <w:lang w:eastAsia="de-DE" w:bidi="de-DE"/>
        </w:rPr>
        <w:t>(Einkommensteuergesetzbuch 1992, Artikel 302 Absatz 3)</w:t>
      </w:r>
    </w:p>
    <w:p w14:paraId="6FB3E817" w14:textId="77777777" w:rsidR="0059755A" w:rsidRPr="0059755A" w:rsidRDefault="0059755A" w:rsidP="0059755A">
      <w:pPr>
        <w:jc w:val="both"/>
        <w:rPr>
          <w:rFonts w:eastAsia="Calibri"/>
          <w:lang w:eastAsia="de-DE" w:bidi="de-DE"/>
        </w:rPr>
      </w:pPr>
    </w:p>
    <w:p w14:paraId="63DBA3C7" w14:textId="77777777" w:rsidR="0059755A" w:rsidRPr="0059755A" w:rsidRDefault="0059755A" w:rsidP="0059755A">
      <w:pPr>
        <w:jc w:val="both"/>
        <w:rPr>
          <w:rFonts w:eastAsia="Calibri"/>
          <w:i/>
          <w:lang w:eastAsia="de-DE" w:bidi="de-DE"/>
        </w:rPr>
      </w:pPr>
      <w:r w:rsidRPr="0059755A">
        <w:rPr>
          <w:rFonts w:eastAsia="Calibri"/>
          <w:i/>
          <w:lang w:eastAsia="de-DE" w:bidi="de-DE"/>
        </w:rPr>
        <w:t>[Abschnitt 2bis mit den Artikeln 136/1 und 136/2 eingefügt durch Art. 1 des K.E. vom 7. Februar 2014 (II) (B.S. vom 14. Februar 2014); Überschrift ersetzt durch Art. 2 des K.E. vom 15. März 2023 (B.S. vom 24. März 2023)]</w:t>
      </w:r>
    </w:p>
    <w:p w14:paraId="67F7F613" w14:textId="77777777" w:rsidR="003426CA" w:rsidRPr="00D21420" w:rsidRDefault="003426CA" w:rsidP="003426CA">
      <w:pPr>
        <w:jc w:val="both"/>
        <w:rPr>
          <w:lang w:bidi="de-DE"/>
        </w:rPr>
      </w:pPr>
    </w:p>
    <w:p w14:paraId="2EA82499" w14:textId="77777777" w:rsidR="003426CA" w:rsidRPr="00D21420" w:rsidRDefault="003426CA" w:rsidP="003426CA">
      <w:pPr>
        <w:jc w:val="both"/>
        <w:rPr>
          <w:lang w:bidi="de-DE"/>
        </w:rPr>
      </w:pPr>
    </w:p>
    <w:p w14:paraId="6B750750" w14:textId="347CBEEE" w:rsidR="00FC4434" w:rsidRPr="00D872F7" w:rsidRDefault="003426CA" w:rsidP="00FC4434">
      <w:pPr>
        <w:ind w:firstLine="708"/>
        <w:jc w:val="both"/>
      </w:pPr>
      <w:r w:rsidRPr="00D21420">
        <w:rPr>
          <w:rFonts w:eastAsia="Calibri"/>
          <w:b/>
          <w:lang w:eastAsia="de-DE" w:bidi="de-DE"/>
        </w:rPr>
        <w:t>Art. 136/1</w:t>
      </w:r>
      <w:r w:rsidRPr="00D21420">
        <w:rPr>
          <w:rFonts w:eastAsia="Calibri"/>
          <w:lang w:eastAsia="de-DE" w:bidi="de-DE"/>
        </w:rPr>
        <w:t> - </w:t>
      </w:r>
      <w:r w:rsidR="00FC4434">
        <w:rPr>
          <w:rFonts w:eastAsia="Calibri"/>
          <w:lang w:eastAsia="de-DE" w:bidi="de-DE"/>
        </w:rPr>
        <w:t>[</w:t>
      </w:r>
      <w:r w:rsidR="00FC4434" w:rsidRPr="00D872F7">
        <w:t>§ 1 - Hat ein Steuerpflichtiger dem elektronischen Austausch von Nachrichten durch Aktivierung der durch das Gesetz vom 27. Februar 2019 über den elektronischen Austausch von Nachrichten über die eBox eingeführten eBox im Voraus ausdrücklich zugestimmt, so gilt dies als ausdrückliches Einverständnis zu dem in Artikel 302 Absatz 2 des Einkommensteuergesetzbuches 1992 vorgesehenen Verfahren.</w:t>
      </w:r>
    </w:p>
    <w:p w14:paraId="03A6869F" w14:textId="77777777" w:rsidR="00FC4434" w:rsidRPr="00D872F7" w:rsidRDefault="00FC4434" w:rsidP="00FC4434">
      <w:pPr>
        <w:ind w:firstLine="708"/>
        <w:jc w:val="both"/>
      </w:pPr>
    </w:p>
    <w:p w14:paraId="26872D4C" w14:textId="77777777" w:rsidR="00FC4434" w:rsidRPr="00D872F7" w:rsidRDefault="00FC4434" w:rsidP="00FC4434">
      <w:pPr>
        <w:ind w:firstLine="708"/>
        <w:jc w:val="both"/>
      </w:pPr>
      <w:r w:rsidRPr="00D872F7">
        <w:t>Diese Zustimmung hat zur Folge, dass die in der vorerwähnten Bestimmung angegebenen Unterlagen ausschließlich auf der gesicherten elektronischen Plattform der Föderalbehörde zur Verfügung gestellt werden.</w:t>
      </w:r>
    </w:p>
    <w:p w14:paraId="2AE1848B" w14:textId="77777777" w:rsidR="00FC4434" w:rsidRPr="00D872F7" w:rsidRDefault="00FC4434" w:rsidP="00FC4434">
      <w:pPr>
        <w:ind w:firstLine="708"/>
        <w:jc w:val="both"/>
      </w:pPr>
    </w:p>
    <w:p w14:paraId="28A68A5C" w14:textId="77777777" w:rsidR="00FC4434" w:rsidRPr="00D872F7" w:rsidRDefault="00FC4434" w:rsidP="00FC4434">
      <w:pPr>
        <w:ind w:firstLine="708"/>
        <w:jc w:val="both"/>
      </w:pPr>
      <w:r w:rsidRPr="00D872F7">
        <w:t>Wird eine gemeinsame Veranlagung festgelegt und hat nur einer der beiden Ehepartner dem Austausch von Nachrichten über die eBox im Voraus zugestimmt, werden die Unterlagen auch gemäß Artikel 302 Absatz 1 desselben Gesetzbuches übermittelt.</w:t>
      </w:r>
    </w:p>
    <w:p w14:paraId="1816B84D" w14:textId="77777777" w:rsidR="00FC4434" w:rsidRPr="00D872F7" w:rsidRDefault="00FC4434" w:rsidP="00FC4434">
      <w:pPr>
        <w:ind w:firstLine="708"/>
        <w:jc w:val="both"/>
      </w:pPr>
    </w:p>
    <w:p w14:paraId="3AA92363" w14:textId="77777777" w:rsidR="00FC4434" w:rsidRPr="00D872F7" w:rsidRDefault="00FC4434" w:rsidP="00FC4434">
      <w:pPr>
        <w:ind w:firstLine="708"/>
        <w:jc w:val="both"/>
      </w:pPr>
      <w:r w:rsidRPr="00D872F7">
        <w:t>§ 2 - Der Steuerpflichtige erhält über die eBox eine Nachricht, wenn ihm eine Unterlage auf der gesicherten elektronischen Plattform der Föderalbehörde zur Verfügung gestellt wird.</w:t>
      </w:r>
    </w:p>
    <w:p w14:paraId="05BF5666" w14:textId="77777777" w:rsidR="00FC4434" w:rsidRPr="00D872F7" w:rsidRDefault="00FC4434" w:rsidP="00FC4434">
      <w:pPr>
        <w:ind w:firstLine="708"/>
        <w:jc w:val="both"/>
      </w:pPr>
    </w:p>
    <w:p w14:paraId="18623AD5" w14:textId="77777777" w:rsidR="00FC4434" w:rsidRPr="00D872F7" w:rsidRDefault="00FC4434" w:rsidP="00FC4434">
      <w:pPr>
        <w:ind w:left="708"/>
        <w:jc w:val="both"/>
      </w:pPr>
      <w:r w:rsidRPr="00D872F7">
        <w:t>§ 3 - Der Versand von Nachrichten über die eBox endet, wenn:</w:t>
      </w:r>
    </w:p>
    <w:p w14:paraId="0B77C490" w14:textId="77777777" w:rsidR="00FC4434" w:rsidRPr="00D872F7" w:rsidRDefault="00FC4434" w:rsidP="00FC4434">
      <w:pPr>
        <w:ind w:left="708"/>
        <w:jc w:val="both"/>
      </w:pPr>
    </w:p>
    <w:p w14:paraId="0CBC9139" w14:textId="77777777" w:rsidR="00FC4434" w:rsidRPr="00D872F7" w:rsidRDefault="00FC4434" w:rsidP="00FC4434">
      <w:pPr>
        <w:ind w:firstLine="708"/>
        <w:jc w:val="both"/>
      </w:pPr>
      <w:r w:rsidRPr="00D872F7">
        <w:t>1. der Steuerpflichtige stirbt,</w:t>
      </w:r>
    </w:p>
    <w:p w14:paraId="391BE111" w14:textId="77777777" w:rsidR="00FC4434" w:rsidRPr="00D872F7" w:rsidRDefault="00FC4434" w:rsidP="00FC4434">
      <w:pPr>
        <w:ind w:firstLine="708"/>
        <w:jc w:val="both"/>
      </w:pPr>
    </w:p>
    <w:p w14:paraId="7D962D34" w14:textId="77777777" w:rsidR="00FC4434" w:rsidRPr="00D872F7" w:rsidRDefault="00FC4434" w:rsidP="00FC4434">
      <w:pPr>
        <w:ind w:firstLine="708"/>
        <w:jc w:val="both"/>
      </w:pPr>
      <w:r w:rsidRPr="00D872F7">
        <w:t>2. der Steuerpflichtige oder im Falle einer gemeinsamen Veranlagung einer der Ehepartner seine Zustimmung zum Austausch von Nachrichten über die eBox durch Deaktivierung der eBox widerruft. Dieser Widerruf kann jederzeit vorgenommen werden und ist sofort wirksam.</w:t>
      </w:r>
    </w:p>
    <w:p w14:paraId="0551108A" w14:textId="77777777" w:rsidR="00FC4434" w:rsidRPr="00D872F7" w:rsidRDefault="00FC4434" w:rsidP="00FC4434">
      <w:pPr>
        <w:ind w:firstLine="708"/>
        <w:jc w:val="both"/>
      </w:pPr>
    </w:p>
    <w:p w14:paraId="6C786702" w14:textId="625365FE" w:rsidR="003426CA" w:rsidRPr="00D21420" w:rsidRDefault="00FC4434" w:rsidP="00FC4434">
      <w:pPr>
        <w:ind w:firstLine="708"/>
        <w:jc w:val="both"/>
        <w:rPr>
          <w:lang w:eastAsia="de-DE" w:bidi="de-DE"/>
        </w:rPr>
      </w:pPr>
      <w:r w:rsidRPr="00D872F7">
        <w:t>Ab diesem Zeitpunkt werden die Unterlagen gemäß Artikel 302 Absatz 1 desselben Gesetzbuches übermittelt. Im Falle einer gemeinsamen Veranlagung nutzt der Ehepartner, der die eBox nicht deaktiviert hat, diesen Dienst weiter.</w:t>
      </w:r>
      <w:r>
        <w:t>]</w:t>
      </w:r>
    </w:p>
    <w:p w14:paraId="6214A079" w14:textId="77777777" w:rsidR="003426CA" w:rsidRDefault="003426CA" w:rsidP="003426CA">
      <w:pPr>
        <w:jc w:val="both"/>
        <w:rPr>
          <w:lang w:bidi="de-DE"/>
        </w:rPr>
      </w:pPr>
    </w:p>
    <w:p w14:paraId="1362FBCE" w14:textId="06625B8E" w:rsidR="008F6D51" w:rsidRDefault="008F6D51" w:rsidP="003426CA">
      <w:pPr>
        <w:jc w:val="both"/>
        <w:rPr>
          <w:i/>
          <w:lang w:bidi="de-DE"/>
        </w:rPr>
      </w:pPr>
      <w:r>
        <w:rPr>
          <w:i/>
          <w:lang w:bidi="de-DE"/>
        </w:rPr>
        <w:t xml:space="preserve">[Art. 136/1 ersetzt durch Art. 1 </w:t>
      </w:r>
      <w:r w:rsidR="00FC4434">
        <w:rPr>
          <w:i/>
          <w:lang w:bidi="de-DE"/>
        </w:rPr>
        <w:t>des K.E. vom 11. September 2019 (B.S. vom 25. September 2019)</w:t>
      </w:r>
      <w:r>
        <w:rPr>
          <w:i/>
          <w:lang w:bidi="de-DE"/>
        </w:rPr>
        <w:t>]</w:t>
      </w:r>
    </w:p>
    <w:p w14:paraId="065F17B4" w14:textId="77777777" w:rsidR="00FC4434" w:rsidRPr="008F6D51" w:rsidRDefault="00FC4434" w:rsidP="003426CA">
      <w:pPr>
        <w:jc w:val="both"/>
        <w:rPr>
          <w:i/>
          <w:lang w:bidi="de-DE"/>
        </w:rPr>
      </w:pPr>
    </w:p>
    <w:p w14:paraId="4C5D3FC3" w14:textId="77777777" w:rsidR="003426CA" w:rsidRPr="00D21420" w:rsidRDefault="003426CA" w:rsidP="003426CA">
      <w:pPr>
        <w:jc w:val="both"/>
        <w:rPr>
          <w:lang w:bidi="de-DE"/>
        </w:rPr>
      </w:pPr>
    </w:p>
    <w:p w14:paraId="26F50E0C" w14:textId="115112EC" w:rsidR="003426CA" w:rsidRDefault="003426CA" w:rsidP="00FC4434">
      <w:pPr>
        <w:jc w:val="both"/>
        <w:rPr>
          <w:rFonts w:eastAsia="Calibri"/>
          <w:lang w:eastAsia="de-DE" w:bidi="de-DE"/>
        </w:rPr>
      </w:pPr>
      <w:r w:rsidRPr="00D21420">
        <w:rPr>
          <w:rFonts w:eastAsia="Calibri"/>
          <w:szCs w:val="22"/>
          <w:lang w:eastAsia="de-DE" w:bidi="de-DE"/>
        </w:rPr>
        <w:tab/>
      </w:r>
      <w:r w:rsidRPr="00D21420">
        <w:rPr>
          <w:rFonts w:eastAsia="Calibri"/>
          <w:b/>
          <w:lang w:eastAsia="de-DE" w:bidi="de-DE"/>
        </w:rPr>
        <w:t>Art. 136/2</w:t>
      </w:r>
      <w:r w:rsidRPr="00D21420">
        <w:rPr>
          <w:rFonts w:eastAsia="Calibri"/>
          <w:lang w:eastAsia="de-DE" w:bidi="de-DE"/>
        </w:rPr>
        <w:t> - </w:t>
      </w:r>
      <w:r w:rsidR="00FC4434">
        <w:rPr>
          <w:rFonts w:eastAsia="Calibri"/>
          <w:lang w:eastAsia="de-DE" w:bidi="de-DE"/>
        </w:rPr>
        <w:t>[..</w:t>
      </w:r>
      <w:r w:rsidRPr="00D21420">
        <w:rPr>
          <w:rFonts w:eastAsia="Calibri"/>
          <w:lang w:eastAsia="de-DE" w:bidi="de-DE"/>
        </w:rPr>
        <w:t>.]</w:t>
      </w:r>
    </w:p>
    <w:p w14:paraId="39B1D6DB" w14:textId="77777777" w:rsidR="008F6D51" w:rsidRDefault="008F6D51" w:rsidP="003426CA">
      <w:pPr>
        <w:jc w:val="both"/>
        <w:rPr>
          <w:rFonts w:eastAsia="Calibri"/>
          <w:lang w:eastAsia="de-DE" w:bidi="de-DE"/>
        </w:rPr>
      </w:pPr>
    </w:p>
    <w:p w14:paraId="768C67AC" w14:textId="40308443" w:rsidR="008F6D51" w:rsidRPr="008F6D51" w:rsidRDefault="008F6D51" w:rsidP="003426CA">
      <w:pPr>
        <w:jc w:val="both"/>
        <w:rPr>
          <w:i/>
          <w:lang w:eastAsia="de-DE" w:bidi="de-DE"/>
        </w:rPr>
      </w:pPr>
      <w:r>
        <w:rPr>
          <w:rFonts w:eastAsia="Calibri"/>
          <w:i/>
          <w:lang w:eastAsia="de-DE" w:bidi="de-DE"/>
        </w:rPr>
        <w:t xml:space="preserve">[Art. 136/2 </w:t>
      </w:r>
      <w:r w:rsidR="00FC4434">
        <w:rPr>
          <w:rFonts w:eastAsia="Calibri"/>
          <w:i/>
          <w:lang w:eastAsia="de-DE" w:bidi="de-DE"/>
        </w:rPr>
        <w:t>aufgehoben durch Art. 2</w:t>
      </w:r>
      <w:r w:rsidR="00FC4434">
        <w:rPr>
          <w:i/>
          <w:lang w:bidi="de-DE"/>
        </w:rPr>
        <w:t xml:space="preserve"> des K.E. vom 11. September 2019 (B.S. vom 25. September 2019)</w:t>
      </w:r>
      <w:r>
        <w:rPr>
          <w:i/>
          <w:lang w:bidi="de-DE"/>
        </w:rPr>
        <w:t>]</w:t>
      </w:r>
    </w:p>
    <w:p w14:paraId="0C47EA8D" w14:textId="77777777" w:rsidR="003426CA" w:rsidRPr="00D21420" w:rsidRDefault="003426CA" w:rsidP="003426CA">
      <w:pPr>
        <w:jc w:val="both"/>
        <w:rPr>
          <w:lang w:bidi="de-DE"/>
        </w:rPr>
      </w:pPr>
    </w:p>
    <w:p w14:paraId="08CE70A8" w14:textId="77777777" w:rsidR="00FC4434" w:rsidRDefault="00FC4434">
      <w:pPr>
        <w:rPr>
          <w:rFonts w:eastAsia="Calibri"/>
          <w:i/>
          <w:lang w:eastAsia="de-DE" w:bidi="de-DE"/>
        </w:rPr>
      </w:pPr>
      <w:r>
        <w:rPr>
          <w:rFonts w:eastAsia="Calibri"/>
          <w:i/>
          <w:lang w:eastAsia="de-DE" w:bidi="de-DE"/>
        </w:rPr>
        <w:br w:type="page"/>
      </w:r>
    </w:p>
    <w:p w14:paraId="3DFDEA08" w14:textId="50EAC1A3" w:rsidR="003426CA" w:rsidRPr="00AF3938" w:rsidRDefault="00AF3938" w:rsidP="003426CA">
      <w:pPr>
        <w:jc w:val="center"/>
        <w:rPr>
          <w:i/>
          <w:iCs/>
          <w:lang w:eastAsia="de-DE" w:bidi="de-DE"/>
        </w:rPr>
      </w:pPr>
      <w:r>
        <w:rPr>
          <w:rFonts w:eastAsia="Calibri"/>
          <w:iCs/>
          <w:lang w:eastAsia="de-DE" w:bidi="de-DE"/>
        </w:rPr>
        <w:lastRenderedPageBreak/>
        <w:t>[</w:t>
      </w:r>
      <w:r w:rsidR="003426CA" w:rsidRPr="00D21420">
        <w:rPr>
          <w:rFonts w:eastAsia="Calibri"/>
          <w:i/>
          <w:lang w:eastAsia="de-DE" w:bidi="de-DE"/>
        </w:rPr>
        <w:t>Abschnitt 3</w:t>
      </w:r>
      <w:r w:rsidR="003426CA" w:rsidRPr="00D21420">
        <w:rPr>
          <w:rFonts w:eastAsia="Calibri"/>
          <w:lang w:eastAsia="de-DE" w:bidi="de-DE"/>
        </w:rPr>
        <w:t xml:space="preserve"> - </w:t>
      </w:r>
      <w:r>
        <w:rPr>
          <w:rFonts w:eastAsia="Calibri"/>
          <w:lang w:eastAsia="de-DE" w:bidi="de-DE"/>
        </w:rPr>
        <w:t>[...]</w:t>
      </w:r>
    </w:p>
    <w:p w14:paraId="51080155" w14:textId="77777777" w:rsidR="003426CA" w:rsidRPr="00D21420" w:rsidRDefault="003426CA" w:rsidP="003426CA">
      <w:pPr>
        <w:jc w:val="center"/>
        <w:rPr>
          <w:lang w:bidi="de-DE"/>
        </w:rPr>
      </w:pPr>
    </w:p>
    <w:p w14:paraId="0850196A" w14:textId="56017949" w:rsidR="003426CA" w:rsidRPr="00AF3938" w:rsidRDefault="00AF3938" w:rsidP="003426CA">
      <w:pPr>
        <w:jc w:val="both"/>
        <w:rPr>
          <w:i/>
          <w:iCs/>
          <w:lang w:bidi="de-DE"/>
        </w:rPr>
      </w:pPr>
      <w:r>
        <w:rPr>
          <w:i/>
          <w:iCs/>
          <w:lang w:bidi="de-DE"/>
        </w:rPr>
        <w:t>[Abschnitt 3 mit den Artikeln 137 bis 141 aufgehoben durch Art. 27</w:t>
      </w:r>
      <w:r w:rsidRPr="00AF3938">
        <w:rPr>
          <w:i/>
          <w:iCs/>
          <w:lang w:bidi="de-DE"/>
        </w:rPr>
        <w:t xml:space="preserve"> des K.E. vom 17. Dezember 2024 (B.S. vom 24. Dezember 2024)</w:t>
      </w:r>
      <w:r>
        <w:rPr>
          <w:i/>
          <w:iCs/>
          <w:lang w:bidi="de-DE"/>
        </w:rPr>
        <w:t>]</w:t>
      </w:r>
    </w:p>
    <w:p w14:paraId="03EBA90A" w14:textId="77777777" w:rsidR="003426CA" w:rsidRDefault="003426CA" w:rsidP="003426CA">
      <w:pPr>
        <w:jc w:val="both"/>
        <w:rPr>
          <w:lang w:bidi="de-DE"/>
        </w:rPr>
      </w:pPr>
    </w:p>
    <w:p w14:paraId="5FC1F7E2" w14:textId="77777777" w:rsidR="00AF3938" w:rsidRPr="00D21420" w:rsidRDefault="00AF3938" w:rsidP="003426CA">
      <w:pPr>
        <w:jc w:val="both"/>
        <w:rPr>
          <w:lang w:bidi="de-DE"/>
        </w:rPr>
      </w:pPr>
    </w:p>
    <w:p w14:paraId="3CB10575" w14:textId="3982BB6B" w:rsidR="003426CA" w:rsidRPr="00D21420" w:rsidRDefault="003426CA" w:rsidP="00AF3938">
      <w:pPr>
        <w:jc w:val="both"/>
        <w:rPr>
          <w:lang w:eastAsia="de-DE" w:bidi="de-DE"/>
        </w:rPr>
      </w:pPr>
      <w:r w:rsidRPr="00D21420">
        <w:rPr>
          <w:rFonts w:eastAsia="Calibri"/>
          <w:szCs w:val="22"/>
          <w:lang w:eastAsia="de-DE" w:bidi="de-DE"/>
        </w:rPr>
        <w:tab/>
      </w:r>
      <w:r w:rsidRPr="00D21420">
        <w:rPr>
          <w:rFonts w:eastAsia="Calibri"/>
          <w:b/>
          <w:lang w:eastAsia="de-DE" w:bidi="de-DE"/>
        </w:rPr>
        <w:t>Art. 137</w:t>
      </w:r>
      <w:r w:rsidRPr="00D21420">
        <w:rPr>
          <w:rFonts w:eastAsia="Calibri"/>
          <w:lang w:eastAsia="de-DE" w:bidi="de-DE"/>
        </w:rPr>
        <w:t xml:space="preserve"> - </w:t>
      </w:r>
      <w:r w:rsidRPr="00D21420">
        <w:rPr>
          <w:rFonts w:eastAsia="Calibri"/>
          <w:b/>
          <w:lang w:eastAsia="de-DE" w:bidi="de-DE"/>
        </w:rPr>
        <w:t>141</w:t>
      </w:r>
      <w:r w:rsidRPr="00D21420">
        <w:rPr>
          <w:rFonts w:eastAsia="Calibri"/>
          <w:szCs w:val="22"/>
          <w:lang w:eastAsia="de-DE" w:bidi="de-DE"/>
        </w:rPr>
        <w:t> -</w:t>
      </w:r>
      <w:r w:rsidRPr="00D21420">
        <w:rPr>
          <w:rFonts w:eastAsia="Calibri"/>
          <w:lang w:eastAsia="de-DE" w:bidi="de-DE"/>
        </w:rPr>
        <w:t xml:space="preserve"> </w:t>
      </w:r>
      <w:r w:rsidR="004E5BA7">
        <w:rPr>
          <w:rFonts w:eastAsia="Calibri"/>
          <w:lang w:eastAsia="de-DE" w:bidi="de-DE"/>
        </w:rPr>
        <w:t>[</w:t>
      </w:r>
      <w:r w:rsidR="00AF3938">
        <w:t>..</w:t>
      </w:r>
      <w:r w:rsidR="006F08C4" w:rsidRPr="00F10B28">
        <w:t>.</w:t>
      </w:r>
      <w:r w:rsidR="004E5BA7">
        <w:rPr>
          <w:rFonts w:eastAsia="Calibri"/>
          <w:lang w:eastAsia="de-DE" w:bidi="de-DE"/>
        </w:rPr>
        <w:t>]</w:t>
      </w:r>
      <w:r w:rsidR="00AF3938">
        <w:rPr>
          <w:rFonts w:eastAsia="Calibri"/>
          <w:lang w:eastAsia="de-DE" w:bidi="de-DE"/>
        </w:rPr>
        <w:t>]</w:t>
      </w:r>
    </w:p>
    <w:p w14:paraId="6E2B348A" w14:textId="77777777" w:rsidR="003426CA" w:rsidRDefault="003426CA" w:rsidP="003426CA">
      <w:pPr>
        <w:jc w:val="both"/>
        <w:rPr>
          <w:lang w:bidi="de-DE"/>
        </w:rPr>
      </w:pPr>
    </w:p>
    <w:p w14:paraId="6374BF4D" w14:textId="77777777" w:rsidR="006F08C4" w:rsidRPr="00D21420" w:rsidRDefault="006F08C4" w:rsidP="003426CA">
      <w:pPr>
        <w:jc w:val="both"/>
        <w:rPr>
          <w:lang w:bidi="de-DE"/>
        </w:rPr>
      </w:pPr>
    </w:p>
    <w:p w14:paraId="10DBEB3B" w14:textId="77777777" w:rsidR="003426CA" w:rsidRPr="00D21420" w:rsidRDefault="003426CA" w:rsidP="006F08C4">
      <w:pPr>
        <w:jc w:val="both"/>
        <w:rPr>
          <w:lang w:eastAsia="de-DE" w:bidi="de-DE"/>
        </w:rPr>
      </w:pPr>
      <w:r w:rsidRPr="00D21420">
        <w:rPr>
          <w:rFonts w:eastAsia="Calibri"/>
          <w:szCs w:val="22"/>
          <w:lang w:eastAsia="de-DE" w:bidi="de-DE"/>
        </w:rPr>
        <w:tab/>
      </w:r>
      <w:r w:rsidRPr="00D21420">
        <w:rPr>
          <w:rFonts w:eastAsia="Calibri"/>
          <w:b/>
          <w:lang w:eastAsia="de-DE" w:bidi="de-DE"/>
        </w:rPr>
        <w:t>Art. 142</w:t>
      </w:r>
      <w:r w:rsidRPr="00D21420">
        <w:rPr>
          <w:rFonts w:eastAsia="Calibri"/>
          <w:lang w:eastAsia="de-DE" w:bidi="de-DE"/>
        </w:rPr>
        <w:t> - </w:t>
      </w:r>
      <w:r w:rsidR="006F08C4">
        <w:rPr>
          <w:rFonts w:eastAsia="Calibri"/>
          <w:lang w:eastAsia="de-DE" w:bidi="de-DE"/>
        </w:rPr>
        <w:t>[...]</w:t>
      </w:r>
    </w:p>
    <w:p w14:paraId="5FDBEC61" w14:textId="77777777" w:rsidR="003426CA" w:rsidRPr="00D21420" w:rsidRDefault="003426CA" w:rsidP="003426CA">
      <w:pPr>
        <w:jc w:val="both"/>
        <w:rPr>
          <w:lang w:bidi="de-DE"/>
        </w:rPr>
      </w:pPr>
    </w:p>
    <w:p w14:paraId="13083D0D" w14:textId="77777777" w:rsidR="003426CA" w:rsidRPr="00D21420" w:rsidRDefault="003426CA" w:rsidP="003426CA">
      <w:pPr>
        <w:jc w:val="both"/>
        <w:rPr>
          <w:i/>
          <w:lang w:eastAsia="de-DE" w:bidi="de-DE"/>
        </w:rPr>
      </w:pPr>
      <w:r w:rsidRPr="00D21420">
        <w:rPr>
          <w:rFonts w:eastAsia="Calibri"/>
          <w:i/>
          <w:lang w:eastAsia="de-DE" w:bidi="de-DE"/>
        </w:rPr>
        <w:t>[Art. 142</w:t>
      </w:r>
      <w:r w:rsidR="006F08C4">
        <w:rPr>
          <w:rFonts w:eastAsia="Calibri"/>
          <w:i/>
          <w:lang w:eastAsia="de-DE" w:bidi="de-DE"/>
        </w:rPr>
        <w:t xml:space="preserve"> aufgehoben</w:t>
      </w:r>
      <w:r w:rsidR="006F08C4">
        <w:rPr>
          <w:rFonts w:eastAsia="Calibri"/>
          <w:i/>
          <w:szCs w:val="22"/>
          <w:lang w:eastAsia="de-DE" w:bidi="de-DE"/>
        </w:rPr>
        <w:t xml:space="preserve"> durch Art. </w:t>
      </w:r>
      <w:r w:rsidR="00B94F3F">
        <w:rPr>
          <w:rFonts w:eastAsia="Calibri"/>
          <w:i/>
          <w:szCs w:val="22"/>
          <w:lang w:eastAsia="de-DE" w:bidi="de-DE"/>
        </w:rPr>
        <w:t xml:space="preserve">45 Nr. 1 </w:t>
      </w:r>
      <w:r w:rsidR="006F08C4">
        <w:rPr>
          <w:rFonts w:eastAsia="Calibri"/>
          <w:i/>
          <w:szCs w:val="22"/>
          <w:lang w:eastAsia="de-DE" w:bidi="de-DE"/>
        </w:rPr>
        <w:t>des K.E. vom 17. Februar 2019 (B.S. vom 8. März 2019)</w:t>
      </w:r>
      <w:r w:rsidRPr="00D21420">
        <w:rPr>
          <w:rFonts w:eastAsia="Calibri"/>
          <w:i/>
          <w:lang w:eastAsia="de-DE" w:bidi="de-DE"/>
        </w:rPr>
        <w:t>]</w:t>
      </w:r>
    </w:p>
    <w:p w14:paraId="3E1AE035" w14:textId="77777777" w:rsidR="003426CA" w:rsidRPr="00D21420" w:rsidRDefault="003426CA" w:rsidP="003426CA">
      <w:pPr>
        <w:jc w:val="both"/>
        <w:rPr>
          <w:lang w:bidi="de-DE"/>
        </w:rPr>
      </w:pPr>
    </w:p>
    <w:p w14:paraId="28182BD8" w14:textId="77777777" w:rsidR="003426CA" w:rsidRPr="00D21420" w:rsidRDefault="003426CA" w:rsidP="003426CA">
      <w:pPr>
        <w:jc w:val="both"/>
        <w:rPr>
          <w:lang w:bidi="de-DE"/>
        </w:rPr>
      </w:pPr>
    </w:p>
    <w:p w14:paraId="4256C819" w14:textId="77777777" w:rsidR="003426CA" w:rsidRDefault="003426CA" w:rsidP="003426CA">
      <w:pPr>
        <w:jc w:val="both"/>
        <w:rPr>
          <w:rFonts w:eastAsia="Calibri"/>
          <w:lang w:eastAsia="de-DE" w:bidi="de-DE"/>
        </w:rPr>
      </w:pPr>
      <w:r w:rsidRPr="00D21420">
        <w:rPr>
          <w:rFonts w:eastAsia="Calibri"/>
          <w:szCs w:val="22"/>
          <w:lang w:eastAsia="de-DE" w:bidi="de-DE"/>
        </w:rPr>
        <w:tab/>
      </w:r>
      <w:r w:rsidRPr="00D21420">
        <w:rPr>
          <w:rFonts w:eastAsia="Calibri"/>
          <w:b/>
          <w:lang w:eastAsia="de-DE" w:bidi="de-DE"/>
        </w:rPr>
        <w:t>Art. 143</w:t>
      </w:r>
      <w:r w:rsidRPr="00D21420">
        <w:rPr>
          <w:rFonts w:eastAsia="Calibri"/>
          <w:szCs w:val="22"/>
          <w:lang w:eastAsia="de-DE" w:bidi="de-DE"/>
        </w:rPr>
        <w:t> </w:t>
      </w:r>
      <w:r w:rsidRPr="00B94F3F">
        <w:rPr>
          <w:rFonts w:eastAsia="Calibri"/>
          <w:b/>
          <w:szCs w:val="22"/>
          <w:lang w:eastAsia="de-DE" w:bidi="de-DE"/>
        </w:rPr>
        <w:t>-</w:t>
      </w:r>
      <w:r w:rsidRPr="00B94F3F">
        <w:rPr>
          <w:rFonts w:eastAsia="Calibri"/>
          <w:b/>
          <w:lang w:eastAsia="de-DE" w:bidi="de-DE"/>
        </w:rPr>
        <w:t> </w:t>
      </w:r>
      <w:r w:rsidRPr="00D21420">
        <w:rPr>
          <w:rFonts w:eastAsia="Calibri"/>
          <w:b/>
          <w:lang w:eastAsia="de-DE" w:bidi="de-DE"/>
        </w:rPr>
        <w:t>144</w:t>
      </w:r>
      <w:r w:rsidRPr="00D21420">
        <w:rPr>
          <w:rFonts w:eastAsia="Calibri"/>
          <w:lang w:eastAsia="de-DE" w:bidi="de-DE"/>
        </w:rPr>
        <w:t xml:space="preserve"> - </w:t>
      </w:r>
      <w:r w:rsidR="00B94F3F">
        <w:rPr>
          <w:rFonts w:eastAsia="Calibri"/>
          <w:lang w:eastAsia="de-DE" w:bidi="de-DE"/>
        </w:rPr>
        <w:t>[...]</w:t>
      </w:r>
    </w:p>
    <w:p w14:paraId="16473DA1" w14:textId="77777777" w:rsidR="00B94F3F" w:rsidRDefault="00B94F3F" w:rsidP="003426CA">
      <w:pPr>
        <w:jc w:val="both"/>
        <w:rPr>
          <w:rFonts w:eastAsia="Calibri"/>
          <w:lang w:eastAsia="de-DE" w:bidi="de-DE"/>
        </w:rPr>
      </w:pPr>
    </w:p>
    <w:p w14:paraId="4613F519" w14:textId="77777777" w:rsidR="00B94F3F" w:rsidRPr="00B94F3F" w:rsidRDefault="00B94F3F" w:rsidP="003426CA">
      <w:pPr>
        <w:jc w:val="both"/>
        <w:rPr>
          <w:i/>
          <w:lang w:bidi="de-DE"/>
        </w:rPr>
      </w:pPr>
      <w:r w:rsidRPr="00B94F3F">
        <w:rPr>
          <w:rFonts w:eastAsia="Calibri"/>
          <w:i/>
          <w:lang w:eastAsia="de-DE" w:bidi="de-DE"/>
        </w:rPr>
        <w:t>[</w:t>
      </w:r>
      <w:r>
        <w:rPr>
          <w:rFonts w:eastAsia="Calibri"/>
          <w:i/>
          <w:lang w:eastAsia="de-DE" w:bidi="de-DE"/>
        </w:rPr>
        <w:t xml:space="preserve">Art. 143 und 144 aufgehoben </w:t>
      </w:r>
      <w:r>
        <w:rPr>
          <w:rFonts w:eastAsia="Calibri"/>
          <w:i/>
          <w:szCs w:val="22"/>
          <w:lang w:eastAsia="de-DE" w:bidi="de-DE"/>
        </w:rPr>
        <w:t>durch Art. 45 Nr. 2</w:t>
      </w:r>
      <w:r w:rsidR="00326E0B">
        <w:rPr>
          <w:rFonts w:eastAsia="Calibri"/>
          <w:i/>
          <w:szCs w:val="22"/>
          <w:lang w:eastAsia="de-DE" w:bidi="de-DE"/>
        </w:rPr>
        <w:t xml:space="preserve"> </w:t>
      </w:r>
      <w:r>
        <w:rPr>
          <w:rFonts w:eastAsia="Calibri"/>
          <w:i/>
          <w:szCs w:val="22"/>
          <w:lang w:eastAsia="de-DE" w:bidi="de-DE"/>
        </w:rPr>
        <w:t>des K.E. vom 17. Februar 2019 (B.S. vom 8. März 2019)</w:t>
      </w:r>
      <w:r w:rsidRPr="00B94F3F">
        <w:rPr>
          <w:rFonts w:eastAsia="Calibri"/>
          <w:i/>
          <w:lang w:eastAsia="de-DE" w:bidi="de-DE"/>
        </w:rPr>
        <w:t>]</w:t>
      </w:r>
    </w:p>
    <w:p w14:paraId="06AE8EFC" w14:textId="77777777" w:rsidR="003426CA" w:rsidRDefault="003426CA" w:rsidP="003426CA">
      <w:pPr>
        <w:jc w:val="both"/>
        <w:rPr>
          <w:lang w:bidi="de-DE"/>
        </w:rPr>
      </w:pPr>
    </w:p>
    <w:p w14:paraId="71B01749" w14:textId="77777777" w:rsidR="00B94F3F" w:rsidRPr="00D21420" w:rsidRDefault="00B94F3F" w:rsidP="003426CA">
      <w:pPr>
        <w:jc w:val="both"/>
        <w:rPr>
          <w:lang w:bidi="de-DE"/>
        </w:rPr>
      </w:pPr>
    </w:p>
    <w:p w14:paraId="6BD4DFAE" w14:textId="77777777" w:rsidR="003426CA" w:rsidRPr="00D21420" w:rsidRDefault="003426CA" w:rsidP="003426CA">
      <w:pPr>
        <w:jc w:val="center"/>
        <w:rPr>
          <w:lang w:eastAsia="de-DE" w:bidi="de-DE"/>
        </w:rPr>
      </w:pPr>
      <w:r w:rsidRPr="00D21420">
        <w:rPr>
          <w:rFonts w:eastAsia="Calibri"/>
          <w:lang w:eastAsia="de-DE" w:bidi="de-DE"/>
        </w:rPr>
        <w:t>[</w:t>
      </w:r>
      <w:r w:rsidRPr="00D21420">
        <w:rPr>
          <w:rFonts w:eastAsia="Calibri"/>
          <w:i/>
          <w:lang w:eastAsia="de-DE" w:bidi="de-DE"/>
        </w:rPr>
        <w:t>Abschnitt 3bis</w:t>
      </w:r>
      <w:r w:rsidRPr="00D21420">
        <w:rPr>
          <w:rFonts w:eastAsia="Calibri"/>
          <w:lang w:eastAsia="de-DE" w:bidi="de-DE"/>
        </w:rPr>
        <w:t> - Anteil jedes Steuerpflichtigen an der gemeinsamen Veranlagung</w:t>
      </w:r>
    </w:p>
    <w:p w14:paraId="6095F85E" w14:textId="77777777" w:rsidR="003426CA" w:rsidRPr="00D21420" w:rsidRDefault="003426CA" w:rsidP="003426CA">
      <w:pPr>
        <w:jc w:val="center"/>
        <w:rPr>
          <w:lang w:bidi="de-DE"/>
        </w:rPr>
      </w:pPr>
    </w:p>
    <w:p w14:paraId="74660630" w14:textId="321E3149" w:rsidR="003426CA" w:rsidRPr="00D21420" w:rsidRDefault="003426CA" w:rsidP="003426CA">
      <w:pPr>
        <w:jc w:val="center"/>
        <w:rPr>
          <w:lang w:eastAsia="de-DE" w:bidi="de-DE"/>
        </w:rPr>
      </w:pPr>
      <w:r w:rsidRPr="00D21420">
        <w:rPr>
          <w:rFonts w:eastAsia="Calibri"/>
          <w:lang w:eastAsia="de-DE" w:bidi="de-DE"/>
        </w:rPr>
        <w:t xml:space="preserve">[(Einkommensteuergesetzbuch 1992, </w:t>
      </w:r>
      <w:r w:rsidR="00A81426">
        <w:rPr>
          <w:rFonts w:eastAsia="Calibri"/>
          <w:lang w:eastAsia="de-DE" w:bidi="de-DE"/>
        </w:rPr>
        <w:t>[</w:t>
      </w:r>
      <w:r w:rsidRPr="00D21420">
        <w:rPr>
          <w:rFonts w:eastAsia="Calibri"/>
          <w:lang w:eastAsia="de-DE" w:bidi="de-DE"/>
        </w:rPr>
        <w:t>Artikel </w:t>
      </w:r>
      <w:r w:rsidR="00A81426">
        <w:rPr>
          <w:rFonts w:eastAsia="Calibri"/>
          <w:lang w:eastAsia="de-DE" w:bidi="de-DE"/>
        </w:rPr>
        <w:t>126</w:t>
      </w:r>
      <w:r w:rsidRPr="00D21420">
        <w:rPr>
          <w:rFonts w:eastAsia="Calibri"/>
          <w:lang w:eastAsia="de-DE" w:bidi="de-DE"/>
        </w:rPr>
        <w:t xml:space="preserve"> § </w:t>
      </w:r>
      <w:r w:rsidR="00A81426">
        <w:rPr>
          <w:rFonts w:eastAsia="Calibri"/>
          <w:lang w:eastAsia="de-DE" w:bidi="de-DE"/>
        </w:rPr>
        <w:t>5]</w:t>
      </w:r>
      <w:r w:rsidRPr="00D21420">
        <w:rPr>
          <w:rFonts w:eastAsia="Calibri"/>
          <w:lang w:eastAsia="de-DE" w:bidi="de-DE"/>
        </w:rPr>
        <w:t>)]</w:t>
      </w:r>
    </w:p>
    <w:p w14:paraId="090849B1" w14:textId="77777777" w:rsidR="003426CA" w:rsidRPr="00D21420" w:rsidRDefault="003426CA" w:rsidP="003426CA">
      <w:pPr>
        <w:jc w:val="both"/>
        <w:rPr>
          <w:lang w:bidi="de-DE"/>
        </w:rPr>
      </w:pPr>
    </w:p>
    <w:p w14:paraId="1DFFAE4B" w14:textId="12AC57C7" w:rsidR="003426CA" w:rsidRPr="00D21420" w:rsidRDefault="003426CA" w:rsidP="003426CA">
      <w:pPr>
        <w:jc w:val="both"/>
        <w:rPr>
          <w:i/>
          <w:lang w:eastAsia="de-DE" w:bidi="de-DE"/>
        </w:rPr>
      </w:pPr>
      <w:r w:rsidRPr="00D21420">
        <w:rPr>
          <w:rFonts w:eastAsia="Calibri"/>
          <w:i/>
          <w:lang w:eastAsia="de-DE" w:bidi="de-DE"/>
        </w:rPr>
        <w:t xml:space="preserve">[Abschnitt 3bis mit den Artikeln 144/1 bis 144/7 eingefügt durch Art. 1 des K.E. vom 22. Dezember 2010 (I) (B.S. vom 7. Januar 2011); Überschrift von Abschnitt 3bis </w:t>
      </w:r>
      <w:r w:rsidR="00A81426">
        <w:rPr>
          <w:rFonts w:eastAsia="Calibri"/>
          <w:i/>
          <w:lang w:eastAsia="de-DE" w:bidi="de-DE"/>
        </w:rPr>
        <w:t>abgeänder</w:t>
      </w:r>
      <w:r w:rsidRPr="00D21420">
        <w:rPr>
          <w:rFonts w:eastAsia="Calibri"/>
          <w:i/>
          <w:lang w:eastAsia="de-DE" w:bidi="de-DE"/>
        </w:rPr>
        <w:t>t durch Art. 13 des K.E. vom 5. Dezember 2011 (II) (B.S. vom 12. Dezember 2011)</w:t>
      </w:r>
      <w:r w:rsidR="00A81426">
        <w:rPr>
          <w:rFonts w:eastAsia="Calibri"/>
          <w:i/>
          <w:lang w:eastAsia="de-DE" w:bidi="de-DE"/>
        </w:rPr>
        <w:t xml:space="preserve"> und Art. 14</w:t>
      </w:r>
      <w:r w:rsidR="00A81426" w:rsidRPr="00A81426">
        <w:rPr>
          <w:rFonts w:eastAsia="Calibri"/>
          <w:i/>
          <w:lang w:eastAsia="de-DE" w:bidi="de-DE"/>
        </w:rPr>
        <w:t xml:space="preserve"> des K.E. vom 17. Juli 2023 (II) (B.S. vom 26. Juli 2023)</w:t>
      </w:r>
      <w:r w:rsidRPr="00D21420">
        <w:rPr>
          <w:rFonts w:eastAsia="Calibri"/>
          <w:i/>
          <w:lang w:eastAsia="de-DE" w:bidi="de-DE"/>
        </w:rPr>
        <w:t>]</w:t>
      </w:r>
    </w:p>
    <w:p w14:paraId="74CE466A" w14:textId="77777777" w:rsidR="003426CA" w:rsidRPr="00D21420" w:rsidRDefault="003426CA" w:rsidP="003426CA">
      <w:pPr>
        <w:jc w:val="both"/>
        <w:rPr>
          <w:lang w:bidi="de-DE"/>
        </w:rPr>
      </w:pPr>
    </w:p>
    <w:p w14:paraId="2870422D" w14:textId="77777777" w:rsidR="003426CA" w:rsidRPr="00D21420" w:rsidRDefault="003426CA" w:rsidP="003426CA">
      <w:pPr>
        <w:jc w:val="both"/>
        <w:rPr>
          <w:lang w:bidi="de-DE"/>
        </w:rPr>
      </w:pPr>
    </w:p>
    <w:p w14:paraId="75A780F3"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144/1</w:t>
      </w:r>
      <w:r w:rsidRPr="00D21420">
        <w:rPr>
          <w:rFonts w:eastAsia="Calibri"/>
          <w:lang w:eastAsia="de-DE" w:bidi="de-DE"/>
        </w:rPr>
        <w:t> - Der Anteil jedes Steuerpflichtigen an der gemeinsamen Veranlagung wird gemäß den Artikeln 144/2 bis 144/7 festgelegt.</w:t>
      </w:r>
    </w:p>
    <w:p w14:paraId="360AEADB" w14:textId="77777777" w:rsidR="003426CA" w:rsidRPr="00D21420" w:rsidRDefault="003426CA" w:rsidP="003426CA">
      <w:pPr>
        <w:jc w:val="both"/>
        <w:rPr>
          <w:lang w:bidi="de-DE"/>
        </w:rPr>
      </w:pPr>
    </w:p>
    <w:p w14:paraId="5BE0A1B5" w14:textId="77777777" w:rsidR="003426CA" w:rsidRPr="00D21420" w:rsidRDefault="003426CA" w:rsidP="003426CA">
      <w:pPr>
        <w:jc w:val="both"/>
        <w:rPr>
          <w:lang w:bidi="de-DE"/>
        </w:rPr>
      </w:pPr>
    </w:p>
    <w:p w14:paraId="53A887E7"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144/2</w:t>
      </w:r>
      <w:r w:rsidRPr="00D21420">
        <w:rPr>
          <w:rFonts w:eastAsia="Calibri"/>
          <w:lang w:eastAsia="de-DE" w:bidi="de-DE"/>
        </w:rPr>
        <w:t> - Für die Anwendung des vorliegenden Abschnitts versteht man unter:</w:t>
      </w:r>
    </w:p>
    <w:p w14:paraId="03727905" w14:textId="77777777" w:rsidR="003426CA" w:rsidRPr="00D21420" w:rsidRDefault="003426CA" w:rsidP="003426CA">
      <w:pPr>
        <w:jc w:val="both"/>
        <w:rPr>
          <w:lang w:bidi="de-DE"/>
        </w:rPr>
      </w:pPr>
    </w:p>
    <w:p w14:paraId="59996EF6"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1. [Anteil eines Steuerpflichtigen an der in die Heberolle eingetragenen Veranlagung: die Steuer der natürlichen Personen auf steuerpflichtige Einkünfte des Steuerpflichtigen, so wie diese Einkünfte in der in die Heberolle eingetragenen Veranlagung festgelegt sind; die Steuer der natürlichen Personen entspricht dabei:</w:t>
      </w:r>
    </w:p>
    <w:p w14:paraId="6E42AB68" w14:textId="77777777" w:rsidR="003426CA" w:rsidRPr="00D21420" w:rsidRDefault="003426CA" w:rsidP="003426CA">
      <w:pPr>
        <w:jc w:val="both"/>
        <w:rPr>
          <w:lang w:bidi="de-DE"/>
        </w:rPr>
      </w:pPr>
    </w:p>
    <w:p w14:paraId="0EB69F08"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der Gesamtsteuer des Steuerpflichtigen,</w:t>
      </w:r>
    </w:p>
    <w:p w14:paraId="0EFFBF44" w14:textId="77777777" w:rsidR="003426CA" w:rsidRPr="00D21420" w:rsidRDefault="003426CA" w:rsidP="003426CA">
      <w:pPr>
        <w:jc w:val="both"/>
        <w:rPr>
          <w:lang w:bidi="de-DE"/>
        </w:rPr>
      </w:pPr>
    </w:p>
    <w:p w14:paraId="04594084" w14:textId="391377AD"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w:t>
      </w:r>
      <w:r w:rsidR="00A81426">
        <w:rPr>
          <w:rFonts w:eastAsia="Calibri"/>
          <w:lang w:eastAsia="de-DE" w:bidi="de-DE"/>
        </w:rPr>
        <w:t>[</w:t>
      </w:r>
      <w:r w:rsidR="00A81426" w:rsidRPr="00A115C4">
        <w:t>erhöht um die Erhöhungen wie erwähnt in den Artikeln 145</w:t>
      </w:r>
      <w:r w:rsidR="00A81426" w:rsidRPr="00A115C4">
        <w:rPr>
          <w:vertAlign w:val="superscript"/>
        </w:rPr>
        <w:t>7</w:t>
      </w:r>
      <w:r w:rsidR="00A81426" w:rsidRPr="00A115C4">
        <w:t xml:space="preserve"> § 2, 145</w:t>
      </w:r>
      <w:r w:rsidR="00A81426" w:rsidRPr="00A115C4">
        <w:rPr>
          <w:vertAlign w:val="superscript"/>
        </w:rPr>
        <w:t>26</w:t>
      </w:r>
      <w:r w:rsidR="00A81426" w:rsidRPr="00A115C4">
        <w:t xml:space="preserve"> § 5, 145</w:t>
      </w:r>
      <w:r w:rsidR="00A81426" w:rsidRPr="00A115C4">
        <w:rPr>
          <w:vertAlign w:val="superscript"/>
        </w:rPr>
        <w:t>27</w:t>
      </w:r>
      <w:r w:rsidR="00A81426" w:rsidRPr="00A115C4">
        <w:t xml:space="preserve"> § 4, 145</w:t>
      </w:r>
      <w:r w:rsidR="00A81426" w:rsidRPr="00A115C4">
        <w:rPr>
          <w:vertAlign w:val="superscript"/>
        </w:rPr>
        <w:t>32</w:t>
      </w:r>
      <w:r w:rsidR="00A81426" w:rsidRPr="00A115C4">
        <w:t xml:space="preserve"> § 2 und 157 bis 168/1 des Einkommensteuer</w:t>
      </w:r>
      <w:r w:rsidR="00A81426" w:rsidRPr="00A115C4">
        <w:softHyphen/>
        <w:t>gesetzbuches 1992, in Artikel 15 § 3 Absatz 4 und 8 des Gesetzes vom 15. Juli 2020 zur Festlegung verschiedener dringender Steuermaßnahmen aufgrund der COVID-19-Pandemie (CORONA III) und in Artikel 12 § 5 Absatz 2 und 6 des Gesetzes vom 2. April 2021 zur Festlegung von zeitweiligen Unterstützungsmaßnahmen aufgrund der COVID-19-Pandemie</w:t>
      </w:r>
      <w:r w:rsidR="00A81426">
        <w:rPr>
          <w:rFonts w:eastAsia="Calibri"/>
          <w:lang w:eastAsia="de-DE" w:bidi="de-DE"/>
        </w:rPr>
        <w:t>]</w:t>
      </w:r>
      <w:r w:rsidRPr="00D21420">
        <w:rPr>
          <w:rFonts w:eastAsia="Calibri"/>
          <w:lang w:eastAsia="de-DE" w:bidi="de-DE"/>
        </w:rPr>
        <w:t xml:space="preserve"> und verringert um die in den </w:t>
      </w:r>
      <w:r w:rsidRPr="00D21420">
        <w:rPr>
          <w:rFonts w:eastAsia="Calibri"/>
          <w:lang w:eastAsia="de-DE" w:bidi="de-DE"/>
        </w:rPr>
        <w:lastRenderedPageBreak/>
        <w:t>Artikeln 175 bis 177 desselben Gesetzbuches erwähnten Vergütungen, die auf die Gesamtsteuer angewandt worden sind,</w:t>
      </w:r>
    </w:p>
    <w:p w14:paraId="6F0CACE4" w14:textId="77777777" w:rsidR="003426CA" w:rsidRPr="00D21420" w:rsidRDefault="003426CA" w:rsidP="003426CA">
      <w:pPr>
        <w:jc w:val="both"/>
        <w:rPr>
          <w:lang w:bidi="de-DE"/>
        </w:rPr>
      </w:pPr>
    </w:p>
    <w:p w14:paraId="545195B9" w14:textId="501BE8E0"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xml:space="preserve">- verringert um die in seinem Namen getätigten Vorauszahlungen wie in den Artikeln 157 bis 168 und 175 bis 177 desselben Gesetzbuches erwähnt und um den Pauschalanteil ausländischer Steuer, die Vorabzüge, </w:t>
      </w:r>
      <w:r w:rsidR="00A81426">
        <w:rPr>
          <w:rFonts w:eastAsia="Calibri"/>
          <w:lang w:eastAsia="de-DE" w:bidi="de-DE"/>
        </w:rPr>
        <w:t>[...]</w:t>
      </w:r>
      <w:r w:rsidRPr="00D21420">
        <w:rPr>
          <w:rFonts w:eastAsia="Calibri"/>
          <w:lang w:eastAsia="de-DE" w:bidi="de-DE"/>
        </w:rPr>
        <w:t xml:space="preserve"> die Steuergutschriften wie in den Artikeln 134 §§ 3 und 4, </w:t>
      </w:r>
      <w:r w:rsidR="00A81426">
        <w:rPr>
          <w:rFonts w:eastAsia="Calibri"/>
          <w:lang w:eastAsia="de-DE" w:bidi="de-DE"/>
        </w:rPr>
        <w:t>[...]</w:t>
      </w:r>
      <w:r w:rsidRPr="00D21420">
        <w:rPr>
          <w:rFonts w:eastAsia="Calibri"/>
          <w:lang w:eastAsia="de-DE" w:bidi="de-DE"/>
        </w:rPr>
        <w:t xml:space="preserve"> 289</w:t>
      </w:r>
      <w:r w:rsidRPr="00D21420">
        <w:rPr>
          <w:rFonts w:eastAsia="Calibri"/>
          <w:i/>
          <w:lang w:eastAsia="de-DE" w:bidi="de-DE"/>
        </w:rPr>
        <w:t>bis</w:t>
      </w:r>
      <w:r w:rsidRPr="00D21420">
        <w:rPr>
          <w:rFonts w:eastAsia="Calibri"/>
          <w:lang w:eastAsia="de-DE" w:bidi="de-DE"/>
        </w:rPr>
        <w:t>, 289</w:t>
      </w:r>
      <w:r w:rsidRPr="00D21420">
        <w:rPr>
          <w:rFonts w:eastAsia="Calibri"/>
          <w:i/>
          <w:lang w:eastAsia="de-DE" w:bidi="de-DE"/>
        </w:rPr>
        <w:t>ter</w:t>
      </w:r>
      <w:r w:rsidRPr="00D21420">
        <w:rPr>
          <w:rFonts w:eastAsia="Calibri"/>
          <w:lang w:eastAsia="de-DE" w:bidi="de-DE"/>
        </w:rPr>
        <w:t xml:space="preserve"> und 289</w:t>
      </w:r>
      <w:r w:rsidRPr="00D21420">
        <w:rPr>
          <w:rFonts w:eastAsia="Calibri"/>
          <w:i/>
          <w:lang w:eastAsia="de-DE" w:bidi="de-DE"/>
        </w:rPr>
        <w:t>ter</w:t>
      </w:r>
      <w:r w:rsidRPr="00D21420">
        <w:rPr>
          <w:rFonts w:eastAsia="Calibri"/>
          <w:lang w:eastAsia="de-DE" w:bidi="de-DE"/>
        </w:rPr>
        <w:t>/1 desselben Gesetzbuches</w:t>
      </w:r>
      <w:r w:rsidR="00A81426">
        <w:rPr>
          <w:rFonts w:eastAsia="Calibri"/>
          <w:lang w:eastAsia="de-DE" w:bidi="de-DE"/>
        </w:rPr>
        <w:t xml:space="preserve"> [</w:t>
      </w:r>
      <w:r w:rsidR="00A81426" w:rsidRPr="00A115C4">
        <w:t>und in Kapitel 5 des Gesetzes vom 20. November 2022 zur Festlegung verschiedener steuerrechtlicher und finanzieller Bestimmungen</w:t>
      </w:r>
      <w:r w:rsidR="00A81426">
        <w:rPr>
          <w:rFonts w:eastAsia="Calibri"/>
          <w:lang w:eastAsia="de-DE" w:bidi="de-DE"/>
        </w:rPr>
        <w:t>]</w:t>
      </w:r>
      <w:r w:rsidRPr="00D21420">
        <w:rPr>
          <w:rFonts w:eastAsia="Calibri"/>
          <w:lang w:eastAsia="de-DE" w:bidi="de-DE"/>
        </w:rPr>
        <w:t xml:space="preserve"> erwähnt und die regionalen Steuergutschriften, auf die er Anspruch hat,</w:t>
      </w:r>
    </w:p>
    <w:p w14:paraId="58E9AD73" w14:textId="77777777" w:rsidR="003426CA" w:rsidRPr="00D21420" w:rsidRDefault="003426CA" w:rsidP="003426CA">
      <w:pPr>
        <w:jc w:val="both"/>
        <w:rPr>
          <w:lang w:bidi="de-DE"/>
        </w:rPr>
      </w:pPr>
    </w:p>
    <w:p w14:paraId="17B00D6A"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erhöht um seinen Anteil an den Steuerzuschlägen wie in Artikel 444 desselben Gesetzbuches erwähnt, der gemäß Nr. 3 berechnet wird,</w:t>
      </w:r>
    </w:p>
    <w:p w14:paraId="57FF5FEB" w14:textId="77777777" w:rsidR="003426CA" w:rsidRPr="00D21420" w:rsidRDefault="003426CA" w:rsidP="003426CA">
      <w:pPr>
        <w:jc w:val="both"/>
        <w:rPr>
          <w:lang w:bidi="de-DE"/>
        </w:rPr>
      </w:pPr>
    </w:p>
    <w:p w14:paraId="7B0F8DF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erhöht um die Zuschlagsteuern, die gemäß den Artikeln 466 und 466</w:t>
      </w:r>
      <w:r w:rsidRPr="00D21420">
        <w:rPr>
          <w:rFonts w:eastAsia="Calibri"/>
          <w:i/>
          <w:lang w:eastAsia="de-DE" w:bidi="de-DE"/>
        </w:rPr>
        <w:t>bis</w:t>
      </w:r>
      <w:r w:rsidRPr="00D21420">
        <w:rPr>
          <w:rFonts w:eastAsia="Calibri"/>
          <w:lang w:eastAsia="de-DE" w:bidi="de-DE"/>
        </w:rPr>
        <w:t xml:space="preserve"> desselben Gesetzbuches festgelegt werden,</w:t>
      </w:r>
    </w:p>
    <w:p w14:paraId="1EC71807" w14:textId="77777777" w:rsidR="003426CA" w:rsidRPr="00D21420" w:rsidRDefault="003426CA" w:rsidP="003426CA">
      <w:pPr>
        <w:jc w:val="both"/>
        <w:rPr>
          <w:lang w:bidi="de-DE"/>
        </w:rPr>
      </w:pPr>
    </w:p>
    <w:p w14:paraId="56F1746C" w14:textId="77777777" w:rsidR="003426CA" w:rsidRDefault="003426CA" w:rsidP="003426CA">
      <w:pPr>
        <w:jc w:val="both"/>
        <w:rPr>
          <w:rFonts w:eastAsia="Calibri"/>
          <w:lang w:eastAsia="de-DE" w:bidi="de-DE"/>
        </w:rPr>
      </w:pPr>
      <w:r w:rsidRPr="00D21420">
        <w:rPr>
          <w:rFonts w:eastAsia="Calibri"/>
          <w:szCs w:val="22"/>
          <w:lang w:eastAsia="de-DE" w:bidi="de-DE"/>
        </w:rPr>
        <w:tab/>
      </w:r>
      <w:r w:rsidRPr="00D21420">
        <w:rPr>
          <w:rFonts w:eastAsia="Calibri"/>
          <w:lang w:eastAsia="de-DE" w:bidi="de-DE"/>
        </w:rPr>
        <w:t>- und erhöht um seinen Anteil am Sondersozialversicherungsbeitrag, der gemäß Nr. 4 berechnet wird, und verringert um die Einbehaltungen, die gemäß Artikel 109 des Gesetzes vom 30. März 1994 zur Festlegung sozialer Bestimmungen vorgenommen werden, und den Zuschlag wie in Artikel 125 Nr. 1 desselben Gesetzes erwähnt, die angerechnet worden sind,]</w:t>
      </w:r>
    </w:p>
    <w:p w14:paraId="0BDE9B7A" w14:textId="77777777" w:rsidR="00231BE5" w:rsidRDefault="00231BE5" w:rsidP="003426CA">
      <w:pPr>
        <w:jc w:val="both"/>
        <w:rPr>
          <w:rFonts w:eastAsia="Calibri"/>
          <w:lang w:eastAsia="de-DE" w:bidi="de-DE"/>
        </w:rPr>
      </w:pPr>
    </w:p>
    <w:p w14:paraId="5C83B5B0" w14:textId="19D47195" w:rsidR="00231BE5" w:rsidRPr="00D21420" w:rsidRDefault="00231BE5" w:rsidP="003426CA">
      <w:pPr>
        <w:jc w:val="both"/>
        <w:rPr>
          <w:lang w:eastAsia="de-DE" w:bidi="de-DE"/>
        </w:rPr>
      </w:pPr>
      <w:r>
        <w:rPr>
          <w:rFonts w:eastAsia="Calibri"/>
          <w:lang w:eastAsia="de-DE" w:bidi="de-DE"/>
        </w:rPr>
        <w:tab/>
        <w:t>[</w:t>
      </w:r>
      <w:r w:rsidRPr="00A115C4">
        <w:t>- und erhöht um seinen Anteil am Sonderbeitrag Energie, der gemäß Nr. 5 berechnet wird,</w:t>
      </w:r>
      <w:r>
        <w:rPr>
          <w:rFonts w:eastAsia="Calibri"/>
          <w:lang w:eastAsia="de-DE" w:bidi="de-DE"/>
        </w:rPr>
        <w:t>]</w:t>
      </w:r>
    </w:p>
    <w:p w14:paraId="080C2FB3" w14:textId="77777777" w:rsidR="003426CA" w:rsidRPr="00D21420" w:rsidRDefault="003426CA" w:rsidP="003426CA">
      <w:pPr>
        <w:jc w:val="both"/>
        <w:rPr>
          <w:lang w:bidi="de-DE"/>
        </w:rPr>
      </w:pPr>
    </w:p>
    <w:p w14:paraId="568E9F0C" w14:textId="77777777" w:rsidR="003426CA" w:rsidRPr="00AF3938" w:rsidRDefault="003426CA" w:rsidP="003426CA">
      <w:pPr>
        <w:jc w:val="both"/>
        <w:rPr>
          <w:spacing w:val="-2"/>
          <w:lang w:eastAsia="de-DE" w:bidi="de-DE"/>
        </w:rPr>
      </w:pPr>
      <w:r w:rsidRPr="00AF3938">
        <w:rPr>
          <w:rFonts w:eastAsia="Calibri"/>
          <w:spacing w:val="-2"/>
          <w:szCs w:val="22"/>
          <w:lang w:eastAsia="de-DE" w:bidi="de-DE"/>
        </w:rPr>
        <w:tab/>
      </w:r>
      <w:r w:rsidRPr="00AF3938">
        <w:rPr>
          <w:rFonts w:eastAsia="Calibri"/>
          <w:spacing w:val="-2"/>
          <w:lang w:eastAsia="de-DE" w:bidi="de-DE"/>
        </w:rPr>
        <w:t>2. Anteil eines Steuerpflichtigen an der fiktiven Veranlagung: die Steuer der natürlichen Personen auf steuerpflichtige Einkünfte des Steuerpflichtigen, so wie diese Einkünfte in der in die Heberolle eingetragenen Veranlagung festgelegt sind; die Steuer wird gemäß Nr. 1 festgelegt, jedoch wird die in den Artikeln 144/3, 144/4 oder 144/5 erwähnte Berichtigung angewandt,</w:t>
      </w:r>
    </w:p>
    <w:p w14:paraId="387871F7" w14:textId="77777777" w:rsidR="003426CA" w:rsidRPr="00D21420" w:rsidRDefault="003426CA" w:rsidP="003426CA">
      <w:pPr>
        <w:jc w:val="both"/>
        <w:rPr>
          <w:lang w:bidi="de-DE"/>
        </w:rPr>
      </w:pPr>
    </w:p>
    <w:p w14:paraId="7FB8EC11"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3. Anteil eines Steuerpflichtigen an den Steuerzuschlägen: Zuschläge, die von beiden Steuerpflichtigen gemeinsam geschuldet werden und entsprechend dem Anteil des Steuerpflichtigen an der Steuerdifferenz, die als Grundlage für die Berechnung dieser Zuschläge dient, verhältnismäßig berechnet werden,</w:t>
      </w:r>
    </w:p>
    <w:p w14:paraId="7445321F" w14:textId="77777777" w:rsidR="003426CA" w:rsidRPr="00D21420" w:rsidRDefault="003426CA" w:rsidP="003426CA">
      <w:pPr>
        <w:jc w:val="both"/>
        <w:rPr>
          <w:lang w:bidi="de-DE"/>
        </w:rPr>
      </w:pPr>
    </w:p>
    <w:p w14:paraId="1DA0C979" w14:textId="675CCC03" w:rsidR="003426CA" w:rsidRPr="00AF3938" w:rsidRDefault="003426CA" w:rsidP="003426CA">
      <w:pPr>
        <w:jc w:val="both"/>
        <w:rPr>
          <w:rFonts w:eastAsia="Calibri"/>
          <w:spacing w:val="-2"/>
          <w:lang w:eastAsia="de-DE" w:bidi="de-DE"/>
        </w:rPr>
      </w:pPr>
      <w:r w:rsidRPr="00AF3938">
        <w:rPr>
          <w:rFonts w:eastAsia="Calibri"/>
          <w:spacing w:val="-2"/>
          <w:szCs w:val="22"/>
          <w:lang w:eastAsia="de-DE" w:bidi="de-DE"/>
        </w:rPr>
        <w:tab/>
      </w:r>
      <w:r w:rsidRPr="00AF3938">
        <w:rPr>
          <w:rFonts w:eastAsia="Calibri"/>
          <w:spacing w:val="-2"/>
          <w:lang w:eastAsia="de-DE" w:bidi="de-DE"/>
        </w:rPr>
        <w:t>4. Anteil eines Steuerpflichtigen am Sondersozialversicherungsbeitrag: den Sonder</w:t>
      </w:r>
      <w:r w:rsidR="00AF3938" w:rsidRPr="00AF3938">
        <w:rPr>
          <w:rFonts w:eastAsia="Calibri"/>
          <w:spacing w:val="-2"/>
          <w:lang w:eastAsia="de-DE" w:bidi="de-DE"/>
        </w:rPr>
        <w:softHyphen/>
      </w:r>
      <w:r w:rsidRPr="00AF3938">
        <w:rPr>
          <w:rFonts w:eastAsia="Calibri"/>
          <w:spacing w:val="-2"/>
          <w:lang w:eastAsia="de-DE" w:bidi="de-DE"/>
        </w:rPr>
        <w:t>beitrag, der von beiden Steuerpflichtigen gemeinsam geschuldet wird und entsprechend dem Anteil des Steuerpflichtigen am Haushaltseinkommen wie in Artikel 107 Nr. 2 des Gesetzes vom 30. März 1994 zur Festlegung sozialer Bestimmungen bestimmt verhältnismäßig berechnet wird</w:t>
      </w:r>
      <w:r w:rsidR="00231BE5" w:rsidRPr="00AF3938">
        <w:rPr>
          <w:rFonts w:eastAsia="Calibri"/>
          <w:spacing w:val="-2"/>
          <w:lang w:eastAsia="de-DE" w:bidi="de-DE"/>
        </w:rPr>
        <w:t>,</w:t>
      </w:r>
    </w:p>
    <w:p w14:paraId="4F7CF44A" w14:textId="77777777" w:rsidR="00231BE5" w:rsidRDefault="00231BE5" w:rsidP="003426CA">
      <w:pPr>
        <w:jc w:val="both"/>
        <w:rPr>
          <w:rFonts w:eastAsia="Calibri"/>
          <w:lang w:eastAsia="de-DE" w:bidi="de-DE"/>
        </w:rPr>
      </w:pPr>
    </w:p>
    <w:p w14:paraId="37DC764F" w14:textId="68C7CEF8" w:rsidR="00231BE5" w:rsidRPr="00D21420" w:rsidRDefault="00231BE5" w:rsidP="003426CA">
      <w:pPr>
        <w:jc w:val="both"/>
        <w:rPr>
          <w:lang w:eastAsia="de-DE" w:bidi="de-DE"/>
        </w:rPr>
      </w:pPr>
      <w:r>
        <w:rPr>
          <w:rFonts w:eastAsia="Calibri"/>
          <w:lang w:eastAsia="de-DE" w:bidi="de-DE"/>
        </w:rPr>
        <w:tab/>
        <w:t>[</w:t>
      </w:r>
      <w:r w:rsidRPr="00A115C4">
        <w:t>5. Anteil eines Steuerpflichtigen am Sonderbeitrag Energie: den Sonderbeitrag, der von beiden Steuerpflichtigen gemeinsam geschuldet wird und der verhältnismäßig berechnet wird entsprechend dem Anteil des Einkommens des Steuerpflichtigen wie in Artikel 57 Nr. 6 des Gesetzes vom 30. Oktober 2022 zur Festlegung von zeitweiligen Unterstützungsmaß</w:t>
      </w:r>
      <w:r w:rsidRPr="00A115C4">
        <w:softHyphen/>
        <w:t>nahmen infolge der Energiekrise und Artikel 24 Nr. 6 des Gesetzes vom 19. Dezember 2022 zur Gewährung einer zweiten föderalen Strom- und Gasprämie bestimmt an der Summe des Einkommens der beiden Steuerpflichtigen.</w:t>
      </w:r>
      <w:r>
        <w:rPr>
          <w:rFonts w:eastAsia="Calibri"/>
          <w:lang w:eastAsia="de-DE" w:bidi="de-DE"/>
        </w:rPr>
        <w:t>]</w:t>
      </w:r>
    </w:p>
    <w:p w14:paraId="3C5DE453" w14:textId="77777777" w:rsidR="003426CA" w:rsidRPr="00D21420" w:rsidRDefault="003426CA" w:rsidP="003426CA">
      <w:pPr>
        <w:jc w:val="both"/>
        <w:rPr>
          <w:lang w:bidi="de-DE"/>
        </w:rPr>
      </w:pPr>
    </w:p>
    <w:p w14:paraId="790D14EC" w14:textId="1F675196" w:rsidR="003426CA" w:rsidRPr="00D21420" w:rsidRDefault="003426CA" w:rsidP="003426CA">
      <w:pPr>
        <w:jc w:val="both"/>
        <w:rPr>
          <w:i/>
          <w:lang w:eastAsia="de-DE" w:bidi="de-DE"/>
        </w:rPr>
      </w:pPr>
      <w:r w:rsidRPr="00D21420">
        <w:rPr>
          <w:rFonts w:eastAsia="Calibri"/>
          <w:i/>
          <w:lang w:eastAsia="de-DE" w:bidi="de-DE"/>
        </w:rPr>
        <w:t>[Art. 144/2 einziger Absatz Nr. 1 ersetzt durch Art. 12 des K.E. vom 30. September 2014 (II) (B.S. vom 9. Oktober 2014)</w:t>
      </w:r>
      <w:r w:rsidR="00231BE5">
        <w:rPr>
          <w:rFonts w:eastAsia="Calibri"/>
          <w:i/>
          <w:lang w:eastAsia="de-DE" w:bidi="de-DE"/>
        </w:rPr>
        <w:t xml:space="preserve">; einziger Absatz Nr. 1 zweiter Gedankenstrich abgeändert durch </w:t>
      </w:r>
      <w:r w:rsidR="00231BE5">
        <w:rPr>
          <w:rFonts w:eastAsia="Calibri"/>
          <w:i/>
          <w:lang w:eastAsia="de-DE" w:bidi="de-DE"/>
        </w:rPr>
        <w:lastRenderedPageBreak/>
        <w:t>Art. 15 Buchstabe a)</w:t>
      </w:r>
      <w:r w:rsidR="00231BE5" w:rsidRPr="00231BE5">
        <w:rPr>
          <w:rFonts w:eastAsia="Calibri"/>
          <w:i/>
          <w:lang w:eastAsia="de-DE" w:bidi="de-DE"/>
        </w:rPr>
        <w:t xml:space="preserve"> des K.E. vom 17. Juli 2023 (II) (B.S. vom 26. Juli 2023)</w:t>
      </w:r>
      <w:r w:rsidR="00231BE5">
        <w:rPr>
          <w:rFonts w:eastAsia="Calibri"/>
          <w:i/>
          <w:lang w:eastAsia="de-DE" w:bidi="de-DE"/>
        </w:rPr>
        <w:t>; einziger Absatz Nr. 1 dritter Gedankenstrich abgeändert durch Art. 15 Buchstabe b) und c)</w:t>
      </w:r>
      <w:r w:rsidR="00231BE5" w:rsidRPr="00231BE5">
        <w:rPr>
          <w:rFonts w:eastAsia="Calibri"/>
          <w:i/>
          <w:lang w:eastAsia="de-DE" w:bidi="de-DE"/>
        </w:rPr>
        <w:t xml:space="preserve"> des K.E. vom 17. Juli 2023 (II) (B.S. vom 26. Juli 2023)</w:t>
      </w:r>
      <w:r w:rsidR="00231BE5">
        <w:rPr>
          <w:rFonts w:eastAsia="Calibri"/>
          <w:i/>
          <w:lang w:eastAsia="de-DE" w:bidi="de-DE"/>
        </w:rPr>
        <w:t>; einziger Absatz Nr. 1 siebter Gedankenstrich eingefügt durch Art. 15 Buchstabe d)</w:t>
      </w:r>
      <w:r w:rsidR="00231BE5" w:rsidRPr="00231BE5">
        <w:rPr>
          <w:rFonts w:eastAsia="Calibri"/>
          <w:i/>
          <w:lang w:eastAsia="de-DE" w:bidi="de-DE"/>
        </w:rPr>
        <w:t xml:space="preserve"> des K.E. vom 17. Juli 2023 (II) (B.S. vom 26. Juli 2023)</w:t>
      </w:r>
      <w:r w:rsidR="00231BE5">
        <w:rPr>
          <w:rFonts w:eastAsia="Calibri"/>
          <w:i/>
          <w:lang w:eastAsia="de-DE" w:bidi="de-DE"/>
        </w:rPr>
        <w:t>; einziger Absatz Nr. 5 eingefügt durch Art. 15 Buchstabe e)</w:t>
      </w:r>
      <w:r w:rsidR="00231BE5" w:rsidRPr="00231BE5">
        <w:rPr>
          <w:rFonts w:eastAsia="Calibri"/>
          <w:i/>
          <w:lang w:eastAsia="de-DE" w:bidi="de-DE"/>
        </w:rPr>
        <w:t xml:space="preserve"> des K.E. vom 17. Juli 2023 (II) (B.S. vom 26. Juli 2023)</w:t>
      </w:r>
      <w:r w:rsidRPr="00D21420">
        <w:rPr>
          <w:rFonts w:eastAsia="Calibri"/>
          <w:i/>
          <w:lang w:eastAsia="de-DE" w:bidi="de-DE"/>
        </w:rPr>
        <w:t>]</w:t>
      </w:r>
    </w:p>
    <w:p w14:paraId="05E89A99" w14:textId="77777777" w:rsidR="003426CA" w:rsidRPr="00D21420" w:rsidRDefault="003426CA" w:rsidP="003426CA">
      <w:pPr>
        <w:jc w:val="both"/>
        <w:rPr>
          <w:lang w:bidi="de-DE"/>
        </w:rPr>
      </w:pPr>
    </w:p>
    <w:p w14:paraId="477F929C" w14:textId="77777777" w:rsidR="003426CA" w:rsidRPr="00D21420" w:rsidRDefault="003426CA" w:rsidP="003426CA">
      <w:pPr>
        <w:jc w:val="both"/>
        <w:rPr>
          <w:lang w:bidi="de-DE"/>
        </w:rPr>
      </w:pPr>
    </w:p>
    <w:p w14:paraId="042838E7"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144/3</w:t>
      </w:r>
      <w:r w:rsidRPr="00D21420">
        <w:rPr>
          <w:rFonts w:eastAsia="Calibri"/>
          <w:lang w:eastAsia="de-DE" w:bidi="de-DE"/>
        </w:rPr>
        <w:t> - Sind aufgrund von Artikel 104 des Einkommensteuergesetzbuches 1992 Unterhaltsleistungen von einem Steuerpflichtigen für ein oder mehrere Kinder zu Lasten abgezogen worden, die am 1. Januar des Steuerjahres nur Mitglied des Haushalts des anderen Steuerpflichtigen waren, wird auf der Grundlage derselben Daten und gemäß denselben Regeln wie für die in die Heberolle eingetragene Veranlagung eine fiktive Veranlagung berechnet, ohne jedoch bei der Festlegung der Zuschläge zum Steuerfreibetrag wie in Artikel 132 desselben Gesetzbuches erwähnt die vorerwähnten Kinder zu berücksichtigen.</w:t>
      </w:r>
    </w:p>
    <w:p w14:paraId="161B9B4F" w14:textId="77777777" w:rsidR="003426CA" w:rsidRPr="00D21420" w:rsidRDefault="003426CA" w:rsidP="003426CA">
      <w:pPr>
        <w:jc w:val="both"/>
        <w:rPr>
          <w:lang w:bidi="de-DE"/>
        </w:rPr>
      </w:pPr>
    </w:p>
    <w:p w14:paraId="3C21F1A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Der Steuervorteil für Kinder zu Lasten, den der Steuerpflichtige erhalten hat, der die Unterhaltsleistungen gezahlt hat, entspricht der Differenz zwischen:</w:t>
      </w:r>
    </w:p>
    <w:p w14:paraId="7D415ABA" w14:textId="77777777" w:rsidR="003426CA" w:rsidRPr="00D21420" w:rsidRDefault="003426CA" w:rsidP="003426CA">
      <w:pPr>
        <w:jc w:val="both"/>
        <w:rPr>
          <w:lang w:bidi="de-DE"/>
        </w:rPr>
      </w:pPr>
    </w:p>
    <w:p w14:paraId="4F428C74"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1. seinem Anteil an der fiktiven Veranlagung, die gemäß Absatz 1 berechnet wird,</w:t>
      </w:r>
    </w:p>
    <w:p w14:paraId="471313C9" w14:textId="77777777" w:rsidR="003426CA" w:rsidRPr="00D21420" w:rsidRDefault="003426CA" w:rsidP="003426CA">
      <w:pPr>
        <w:jc w:val="both"/>
        <w:rPr>
          <w:lang w:bidi="de-DE"/>
        </w:rPr>
      </w:pPr>
    </w:p>
    <w:p w14:paraId="41EAD119"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2. und seinem Anteil an der in die Heberolle eingetragenen Veranlagung.</w:t>
      </w:r>
    </w:p>
    <w:p w14:paraId="68648612" w14:textId="77777777" w:rsidR="003426CA" w:rsidRPr="00D21420" w:rsidRDefault="003426CA" w:rsidP="003426CA">
      <w:pPr>
        <w:jc w:val="both"/>
        <w:rPr>
          <w:lang w:bidi="de-DE"/>
        </w:rPr>
      </w:pPr>
    </w:p>
    <w:p w14:paraId="73784025" w14:textId="77777777" w:rsidR="003426CA" w:rsidRPr="00D21420" w:rsidRDefault="003426CA" w:rsidP="003426CA">
      <w:pPr>
        <w:jc w:val="both"/>
        <w:rPr>
          <w:lang w:bidi="de-DE"/>
        </w:rPr>
      </w:pPr>
    </w:p>
    <w:p w14:paraId="6741C2F3"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144/4</w:t>
      </w:r>
      <w:r w:rsidRPr="00D21420">
        <w:rPr>
          <w:rFonts w:eastAsia="Calibri"/>
          <w:lang w:eastAsia="de-DE" w:bidi="de-DE"/>
        </w:rPr>
        <w:t> - Wird der in Artikel 131 des Einkommensteuergesetzbuches 1992 erwähnte Steuerfreibetrag infolge der Anwendung der Artikel 132 oder 132</w:t>
      </w:r>
      <w:r w:rsidRPr="00D21420">
        <w:rPr>
          <w:rFonts w:eastAsia="Calibri"/>
          <w:i/>
          <w:lang w:eastAsia="de-DE" w:bidi="de-DE"/>
        </w:rPr>
        <w:t>bis</w:t>
      </w:r>
      <w:r w:rsidRPr="00D21420">
        <w:rPr>
          <w:rFonts w:eastAsia="Calibri"/>
          <w:lang w:eastAsia="de-DE" w:bidi="de-DE"/>
        </w:rPr>
        <w:t xml:space="preserve"> desselben Gesetzbuches erhöht, wird auf der Grundlage derselben Daten und gemäß denselben Regeln wie für die in die Heberolle eingetragene Veranlagung eine fiktive Veranlagung berechnet, ohne jedoch die in den Artikeln 132 und 132</w:t>
      </w:r>
      <w:r w:rsidRPr="00D21420">
        <w:rPr>
          <w:rFonts w:eastAsia="Calibri"/>
          <w:i/>
          <w:lang w:eastAsia="de-DE" w:bidi="de-DE"/>
        </w:rPr>
        <w:t>bis</w:t>
      </w:r>
      <w:r w:rsidRPr="00D21420">
        <w:rPr>
          <w:rFonts w:eastAsia="Calibri"/>
          <w:lang w:eastAsia="de-DE" w:bidi="de-DE"/>
        </w:rPr>
        <w:t xml:space="preserve"> desselben Gesetzbuches erwähnten Zuschläge zum Steuerfreibetrag anzuwenden.</w:t>
      </w:r>
    </w:p>
    <w:p w14:paraId="60E0D9B0" w14:textId="77777777" w:rsidR="003426CA" w:rsidRPr="00D21420" w:rsidRDefault="003426CA" w:rsidP="003426CA">
      <w:pPr>
        <w:jc w:val="both"/>
        <w:rPr>
          <w:lang w:bidi="de-DE"/>
        </w:rPr>
      </w:pPr>
    </w:p>
    <w:p w14:paraId="2D0C26FB"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Der Steuervorteil, den jeder Steuerpflichtige erhalten hat, entspricht der Hälfte der Differenz zwischen:</w:t>
      </w:r>
    </w:p>
    <w:p w14:paraId="46403031" w14:textId="77777777" w:rsidR="003426CA" w:rsidRPr="00D21420" w:rsidRDefault="003426CA" w:rsidP="003426CA">
      <w:pPr>
        <w:jc w:val="both"/>
        <w:rPr>
          <w:lang w:bidi="de-DE"/>
        </w:rPr>
      </w:pPr>
    </w:p>
    <w:p w14:paraId="2785ACCE"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1. seinem Anteil an der fiktiven Veranlagung, die gemäß Absatz 1 berechnet wird,</w:t>
      </w:r>
    </w:p>
    <w:p w14:paraId="4E432EFB" w14:textId="77777777" w:rsidR="003426CA" w:rsidRPr="00D21420" w:rsidRDefault="003426CA" w:rsidP="003426CA">
      <w:pPr>
        <w:jc w:val="both"/>
        <w:rPr>
          <w:lang w:bidi="de-DE"/>
        </w:rPr>
      </w:pPr>
    </w:p>
    <w:p w14:paraId="026E2C5A"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xml:space="preserve">2. und seinem Anteil an der fiktiven Veranlagung, die gemäß Artikel 144/3 berechnet wird, oder, wenn Artikel 144/3 nicht anwendbar ist, seinem Anteil an der in die Heberolle eingetragenen Veranlagung. </w:t>
      </w:r>
    </w:p>
    <w:p w14:paraId="57A83204" w14:textId="77777777" w:rsidR="003426CA" w:rsidRPr="00D21420" w:rsidRDefault="003426CA" w:rsidP="003426CA">
      <w:pPr>
        <w:jc w:val="both"/>
        <w:rPr>
          <w:lang w:bidi="de-DE"/>
        </w:rPr>
      </w:pPr>
    </w:p>
    <w:p w14:paraId="6A939B92" w14:textId="77777777" w:rsidR="003426CA" w:rsidRPr="00D21420" w:rsidRDefault="003426CA" w:rsidP="003426CA">
      <w:pPr>
        <w:jc w:val="both"/>
        <w:rPr>
          <w:lang w:bidi="de-DE"/>
        </w:rPr>
      </w:pPr>
    </w:p>
    <w:p w14:paraId="3BC411E5"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144/5</w:t>
      </w:r>
      <w:r w:rsidRPr="00D21420">
        <w:rPr>
          <w:rFonts w:eastAsia="Calibri"/>
          <w:lang w:eastAsia="de-DE" w:bidi="de-DE"/>
        </w:rPr>
        <w:t> - Wird ein Teil der Berufseinkünfte eines der Steuerpflichtigen gemäß den Artikeln 87 oder 88 des Einkommensteuergesetzbuches 1992 dem anderen Steuerpflichtigen angerechnet, wird auf der Grundlage derselben Daten und gemäß denselben Regeln wie für die in die Heberolle eingetragene Veranlagung eine fiktive Veranlagung berechnet, ohne jedoch die Artikel 87 und 88 oder die Artikel 132 und 132</w:t>
      </w:r>
      <w:r w:rsidRPr="00D21420">
        <w:rPr>
          <w:rFonts w:eastAsia="Calibri"/>
          <w:i/>
          <w:lang w:eastAsia="de-DE" w:bidi="de-DE"/>
        </w:rPr>
        <w:t>bis</w:t>
      </w:r>
      <w:r w:rsidRPr="00D21420">
        <w:rPr>
          <w:rFonts w:eastAsia="Calibri"/>
          <w:lang w:eastAsia="de-DE" w:bidi="de-DE"/>
        </w:rPr>
        <w:t xml:space="preserve"> desselben Gesetzbuches anzuwenden.</w:t>
      </w:r>
    </w:p>
    <w:p w14:paraId="6BEF6092" w14:textId="77777777" w:rsidR="003426CA" w:rsidRPr="00D21420" w:rsidRDefault="003426CA" w:rsidP="003426CA">
      <w:pPr>
        <w:jc w:val="both"/>
        <w:rPr>
          <w:lang w:bidi="de-DE"/>
        </w:rPr>
      </w:pPr>
    </w:p>
    <w:p w14:paraId="4C6B2315" w14:textId="77777777" w:rsidR="00AF3938" w:rsidRDefault="00AF3938">
      <w:pPr>
        <w:rPr>
          <w:rFonts w:eastAsia="Calibri"/>
          <w:szCs w:val="22"/>
          <w:lang w:eastAsia="de-DE" w:bidi="de-DE"/>
        </w:rPr>
      </w:pPr>
      <w:r>
        <w:rPr>
          <w:rFonts w:eastAsia="Calibri"/>
          <w:szCs w:val="22"/>
          <w:lang w:eastAsia="de-DE" w:bidi="de-DE"/>
        </w:rPr>
        <w:br w:type="page"/>
      </w:r>
    </w:p>
    <w:p w14:paraId="5958ADD5" w14:textId="6E0B8E9E" w:rsidR="003426CA" w:rsidRPr="00D21420" w:rsidRDefault="003426CA" w:rsidP="003426CA">
      <w:pPr>
        <w:jc w:val="both"/>
        <w:rPr>
          <w:lang w:eastAsia="de-DE" w:bidi="de-DE"/>
        </w:rPr>
      </w:pPr>
      <w:r w:rsidRPr="00D21420">
        <w:rPr>
          <w:rFonts w:eastAsia="Calibri"/>
          <w:szCs w:val="22"/>
          <w:lang w:eastAsia="de-DE" w:bidi="de-DE"/>
        </w:rPr>
        <w:lastRenderedPageBreak/>
        <w:tab/>
      </w:r>
      <w:r w:rsidRPr="00D21420">
        <w:rPr>
          <w:rFonts w:eastAsia="Calibri"/>
          <w:lang w:eastAsia="de-DE" w:bidi="de-DE"/>
        </w:rPr>
        <w:t>Der Steuernachteil, der dem Steuerpflichtigen entstanden ist, dem gemäß den Artikeln 87 oder 88 desselben Gesetzbuches Berufseinkünfte angerechnet worden sind, entspricht der Plusdifferenz zwischen:</w:t>
      </w:r>
    </w:p>
    <w:p w14:paraId="3A11BAB1" w14:textId="77777777" w:rsidR="003426CA" w:rsidRPr="00D21420" w:rsidRDefault="003426CA" w:rsidP="003426CA">
      <w:pPr>
        <w:jc w:val="both"/>
        <w:rPr>
          <w:lang w:bidi="de-DE"/>
        </w:rPr>
      </w:pPr>
    </w:p>
    <w:p w14:paraId="5533EADF"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1. seinem Anteil an der fiktiven Veranlagung, die gemäß Artikel 144/4 berechnet wird, oder, wenn Artikel 144/4 nicht anwendbar ist, seinem Anteil an der in die Heberolle eingetragenen Veranlagung</w:t>
      </w:r>
    </w:p>
    <w:p w14:paraId="43C64D4B" w14:textId="77777777" w:rsidR="003426CA" w:rsidRPr="00D21420" w:rsidRDefault="003426CA" w:rsidP="003426CA">
      <w:pPr>
        <w:jc w:val="both"/>
        <w:rPr>
          <w:lang w:bidi="de-DE"/>
        </w:rPr>
      </w:pPr>
    </w:p>
    <w:p w14:paraId="29901FBF"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2. und seinem Anteil an der fiktiven Veranlagung, die gemäß Absatz 1 berechnet wird.</w:t>
      </w:r>
    </w:p>
    <w:p w14:paraId="191EB2A3" w14:textId="77777777" w:rsidR="003426CA" w:rsidRPr="00D21420" w:rsidRDefault="003426CA" w:rsidP="003426CA">
      <w:pPr>
        <w:jc w:val="both"/>
        <w:rPr>
          <w:lang w:bidi="de-DE"/>
        </w:rPr>
      </w:pPr>
    </w:p>
    <w:p w14:paraId="49B7DF4C" w14:textId="77777777" w:rsidR="003426CA" w:rsidRPr="00D21420" w:rsidRDefault="003426CA" w:rsidP="003426CA">
      <w:pPr>
        <w:jc w:val="both"/>
        <w:rPr>
          <w:lang w:bidi="de-DE"/>
        </w:rPr>
      </w:pPr>
    </w:p>
    <w:p w14:paraId="2DFE3669"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144/6</w:t>
      </w:r>
      <w:r w:rsidRPr="00D21420">
        <w:rPr>
          <w:rFonts w:eastAsia="Calibri"/>
          <w:lang w:eastAsia="de-DE" w:bidi="de-DE"/>
        </w:rPr>
        <w:t> - § 1 - Der Anteil jedes Steuerpflichtigen an der gemeinsamen Veranlagung entspricht:</w:t>
      </w:r>
    </w:p>
    <w:p w14:paraId="0C7A1EC8" w14:textId="77777777" w:rsidR="003426CA" w:rsidRPr="00D21420" w:rsidRDefault="003426CA" w:rsidP="003426CA">
      <w:pPr>
        <w:jc w:val="both"/>
        <w:rPr>
          <w:lang w:bidi="de-DE"/>
        </w:rPr>
      </w:pPr>
    </w:p>
    <w:p w14:paraId="43FBA0D1"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1. seinem Anteil an der in die Heberolle eingetragenen Veranlagung,</w:t>
      </w:r>
    </w:p>
    <w:p w14:paraId="27555AAD" w14:textId="77777777" w:rsidR="003426CA" w:rsidRPr="00D21420" w:rsidRDefault="003426CA" w:rsidP="003426CA">
      <w:pPr>
        <w:jc w:val="both"/>
        <w:rPr>
          <w:lang w:bidi="de-DE"/>
        </w:rPr>
      </w:pPr>
    </w:p>
    <w:p w14:paraId="10847624"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2. eventuell erhöht - für den Steuerpflichtigen, der Unterhaltsleistungen für ein oder mehrere Kinder zu Lasten abgezogen hat, die am 1. Januar des Steuerjahres nur Mitglied des Haushalts des anderen Steuerpflichtigen waren - um den Steuervorteil, der gemäß Artikel 144/3 Absatz 2 berechnet wird,</w:t>
      </w:r>
    </w:p>
    <w:p w14:paraId="44B50E02" w14:textId="77777777" w:rsidR="003426CA" w:rsidRPr="00D21420" w:rsidRDefault="003426CA" w:rsidP="003426CA">
      <w:pPr>
        <w:jc w:val="both"/>
        <w:rPr>
          <w:lang w:bidi="de-DE"/>
        </w:rPr>
      </w:pPr>
    </w:p>
    <w:p w14:paraId="70E72EC7"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3. eventuell verringert - für den Steuerpflichtigen, der nicht in Nr. 2 erwähnt ist - um den Steuervorteil, der gemäß Artikel 144/3 Absatz 2 berechnet wird und den der andere Steuerpflichtige erhalten hat,</w:t>
      </w:r>
    </w:p>
    <w:p w14:paraId="6FFA7024" w14:textId="77777777" w:rsidR="003426CA" w:rsidRPr="00D21420" w:rsidRDefault="003426CA" w:rsidP="003426CA">
      <w:pPr>
        <w:jc w:val="both"/>
        <w:rPr>
          <w:lang w:bidi="de-DE"/>
        </w:rPr>
      </w:pPr>
    </w:p>
    <w:p w14:paraId="75AD0BF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4. eventuell erhöht um den Steuervorteil, den er infolge der Anwendung der Artikel 132 und 132</w:t>
      </w:r>
      <w:r w:rsidRPr="00D21420">
        <w:rPr>
          <w:rFonts w:eastAsia="Calibri"/>
          <w:i/>
          <w:lang w:eastAsia="de-DE" w:bidi="de-DE"/>
        </w:rPr>
        <w:t>bis</w:t>
      </w:r>
      <w:r w:rsidRPr="00D21420">
        <w:rPr>
          <w:rFonts w:eastAsia="Calibri"/>
          <w:lang w:eastAsia="de-DE" w:bidi="de-DE"/>
        </w:rPr>
        <w:t xml:space="preserve"> des Einkommensteuergesetzbuches 1992 erhalten hat und der gemäß Artikel 144/4 Absatz 2 berechnet wird,</w:t>
      </w:r>
    </w:p>
    <w:p w14:paraId="0AB1CCF1" w14:textId="77777777" w:rsidR="003426CA" w:rsidRPr="00D21420" w:rsidRDefault="003426CA" w:rsidP="003426CA">
      <w:pPr>
        <w:jc w:val="both"/>
        <w:rPr>
          <w:lang w:bidi="de-DE"/>
        </w:rPr>
      </w:pPr>
    </w:p>
    <w:p w14:paraId="620FFFE8"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5. eventuell verringert um den Steuervorteil, den der andere Steuerpflichtige infolge der Anwendung der Artikel 132 und 132</w:t>
      </w:r>
      <w:r w:rsidRPr="00D21420">
        <w:rPr>
          <w:rFonts w:eastAsia="Calibri"/>
          <w:i/>
          <w:lang w:eastAsia="de-DE" w:bidi="de-DE"/>
        </w:rPr>
        <w:t>bis</w:t>
      </w:r>
      <w:r w:rsidRPr="00D21420">
        <w:rPr>
          <w:rFonts w:eastAsia="Calibri"/>
          <w:lang w:eastAsia="de-DE" w:bidi="de-DE"/>
        </w:rPr>
        <w:t xml:space="preserve"> desselben Gesetzbuches erhalten hat und der gemäß Artikel 144/4 Absatz 2 berechnet wird,</w:t>
      </w:r>
    </w:p>
    <w:p w14:paraId="1AD956A1" w14:textId="77777777" w:rsidR="003426CA" w:rsidRPr="00D21420" w:rsidRDefault="003426CA" w:rsidP="003426CA">
      <w:pPr>
        <w:jc w:val="both"/>
        <w:rPr>
          <w:lang w:bidi="de-DE"/>
        </w:rPr>
      </w:pPr>
    </w:p>
    <w:p w14:paraId="1EDD0ED2"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6. eventuell verringert um den Steuernachteil, der ihm infolge der Anrechnung von Berufseinkünften des anderen Steuerpflichtigen aufgrund von Artikel 87 oder 88 desselben Gesetzbuches entstanden ist und der gemäß Artikel 144/5 Absatz 2 berechnet wird,</w:t>
      </w:r>
    </w:p>
    <w:p w14:paraId="218E47D6" w14:textId="77777777" w:rsidR="003426CA" w:rsidRPr="00D21420" w:rsidRDefault="003426CA" w:rsidP="003426CA">
      <w:pPr>
        <w:jc w:val="both"/>
        <w:rPr>
          <w:lang w:bidi="de-DE"/>
        </w:rPr>
      </w:pPr>
    </w:p>
    <w:p w14:paraId="6A66A366"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7. eventuell erhöht um den Steuernachteil, der dem anderen Steuerpflichtigen infolge der Anrechnung eines Teils seiner Berufseinkünfte aufgrund von Artikel 87 oder 88 desselben Gesetzbuches entstanden ist und der gemäß Artikel 144/5 Absatz 2 berechnet wird.</w:t>
      </w:r>
    </w:p>
    <w:p w14:paraId="7E9764E8" w14:textId="77777777" w:rsidR="003426CA" w:rsidRPr="00D21420" w:rsidRDefault="003426CA" w:rsidP="003426CA">
      <w:pPr>
        <w:jc w:val="both"/>
        <w:rPr>
          <w:lang w:bidi="de-DE"/>
        </w:rPr>
      </w:pPr>
    </w:p>
    <w:p w14:paraId="45F0D2C0" w14:textId="77777777" w:rsidR="003426CA" w:rsidRPr="00D21420" w:rsidRDefault="00EB03E9" w:rsidP="003426CA">
      <w:pPr>
        <w:jc w:val="both"/>
        <w:rPr>
          <w:lang w:eastAsia="de-DE" w:bidi="de-DE"/>
        </w:rPr>
      </w:pPr>
      <w:r>
        <w:rPr>
          <w:rFonts w:eastAsia="Calibri"/>
          <w:lang w:eastAsia="de-DE" w:bidi="de-DE"/>
        </w:rPr>
        <w:tab/>
      </w:r>
      <w:r w:rsidR="003426CA" w:rsidRPr="00D21420">
        <w:rPr>
          <w:rFonts w:eastAsia="Calibri"/>
          <w:lang w:eastAsia="de-DE" w:bidi="de-DE"/>
        </w:rPr>
        <w:t>§ 2 - Führt der gemäß § 1 berechnete Anteil eines Steuerpflichtigen an der gemeinsamen Veranlagung zu einer Steuererstattung, wird der Betrag dieser Erstattung begrenzt auf den Gesamtbetrag:</w:t>
      </w:r>
    </w:p>
    <w:p w14:paraId="42D1EACA" w14:textId="77777777" w:rsidR="003426CA" w:rsidRPr="00D21420" w:rsidRDefault="003426CA" w:rsidP="003426CA">
      <w:pPr>
        <w:jc w:val="both"/>
        <w:rPr>
          <w:lang w:bidi="de-DE"/>
        </w:rPr>
      </w:pPr>
    </w:p>
    <w:p w14:paraId="0A291576" w14:textId="3EAF6749"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1. seiner Vorauszahlungen</w:t>
      </w:r>
      <w:r w:rsidR="00231BE5">
        <w:rPr>
          <w:rFonts w:eastAsia="Calibri"/>
          <w:lang w:eastAsia="de-DE" w:bidi="de-DE"/>
        </w:rPr>
        <w:t xml:space="preserve"> </w:t>
      </w:r>
      <w:r w:rsidRPr="00D21420">
        <w:rPr>
          <w:rFonts w:eastAsia="Calibri"/>
          <w:lang w:eastAsia="de-DE" w:bidi="de-DE"/>
        </w:rPr>
        <w:t>[</w:t>
      </w:r>
      <w:r w:rsidR="00231BE5">
        <w:rPr>
          <w:rFonts w:eastAsia="Calibri"/>
          <w:lang w:eastAsia="de-DE" w:bidi="de-DE"/>
        </w:rPr>
        <w:t>...</w:t>
      </w:r>
      <w:r w:rsidRPr="00D21420">
        <w:rPr>
          <w:rFonts w:eastAsia="Calibri"/>
          <w:lang w:eastAsia="de-DE" w:bidi="de-DE"/>
        </w:rPr>
        <w:t>] und erstattungsfähigen Vorabzüge,</w:t>
      </w:r>
    </w:p>
    <w:p w14:paraId="65290DAE" w14:textId="77777777" w:rsidR="003426CA" w:rsidRPr="00D21420" w:rsidRDefault="003426CA" w:rsidP="003426CA">
      <w:pPr>
        <w:jc w:val="both"/>
        <w:rPr>
          <w:lang w:bidi="de-DE"/>
        </w:rPr>
      </w:pPr>
    </w:p>
    <w:p w14:paraId="057EAE1D" w14:textId="77777777" w:rsidR="00AF3938" w:rsidRDefault="00AF3938">
      <w:pPr>
        <w:rPr>
          <w:rFonts w:eastAsia="Calibri"/>
          <w:szCs w:val="22"/>
          <w:lang w:eastAsia="de-DE" w:bidi="de-DE"/>
        </w:rPr>
      </w:pPr>
      <w:r>
        <w:rPr>
          <w:rFonts w:eastAsia="Calibri"/>
          <w:szCs w:val="22"/>
          <w:lang w:eastAsia="de-DE" w:bidi="de-DE"/>
        </w:rPr>
        <w:br w:type="page"/>
      </w:r>
    </w:p>
    <w:p w14:paraId="72FEC6CA" w14:textId="452DB4D2" w:rsidR="003426CA" w:rsidRPr="00D21420" w:rsidRDefault="003426CA" w:rsidP="003426CA">
      <w:pPr>
        <w:jc w:val="both"/>
        <w:rPr>
          <w:lang w:eastAsia="de-DE" w:bidi="de-DE"/>
        </w:rPr>
      </w:pPr>
      <w:r w:rsidRPr="00D21420">
        <w:rPr>
          <w:rFonts w:eastAsia="Calibri"/>
          <w:szCs w:val="22"/>
          <w:lang w:eastAsia="de-DE" w:bidi="de-DE"/>
        </w:rPr>
        <w:lastRenderedPageBreak/>
        <w:tab/>
      </w:r>
      <w:r w:rsidRPr="00D21420">
        <w:rPr>
          <w:rFonts w:eastAsia="Calibri"/>
          <w:lang w:eastAsia="de-DE" w:bidi="de-DE"/>
        </w:rPr>
        <w:t>2. der Steuergutschrift, die gemäß Artikel [134 §§ 3 und 4 desselben Gesetzbuches] angerechnet wird, begrenzt auf den in Artikel 134 § 3 Absatz 2</w:t>
      </w:r>
      <w:r w:rsidR="00231BE5">
        <w:rPr>
          <w:rFonts w:eastAsia="Calibri"/>
          <w:lang w:eastAsia="de-DE" w:bidi="de-DE"/>
        </w:rPr>
        <w:t xml:space="preserve"> [erster Gedankenstrich]</w:t>
      </w:r>
      <w:r w:rsidRPr="00D21420">
        <w:rPr>
          <w:rFonts w:eastAsia="Calibri"/>
          <w:lang w:eastAsia="de-DE" w:bidi="de-DE"/>
        </w:rPr>
        <w:t xml:space="preserve"> desselben Gesetzbuches erwähnten Höchstbetrag, der multipliziert wird mit der Gesamtzahl:</w:t>
      </w:r>
    </w:p>
    <w:p w14:paraId="331D39E1" w14:textId="77777777" w:rsidR="003426CA" w:rsidRPr="00D21420" w:rsidRDefault="003426CA" w:rsidP="003426CA">
      <w:pPr>
        <w:jc w:val="both"/>
        <w:rPr>
          <w:lang w:bidi="de-DE"/>
        </w:rPr>
      </w:pPr>
    </w:p>
    <w:p w14:paraId="03424861"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der Anzahl Kinder, die in Artikel 144/3 Absatz 1 erwähnt sind und am 1. Januar des Steuerjahres nur Mitglied seines Haushalts waren,</w:t>
      </w:r>
    </w:p>
    <w:p w14:paraId="20DF6A56" w14:textId="77777777" w:rsidR="003426CA" w:rsidRPr="00D21420" w:rsidRDefault="003426CA" w:rsidP="003426CA">
      <w:pPr>
        <w:jc w:val="both"/>
        <w:rPr>
          <w:lang w:bidi="de-DE"/>
        </w:rPr>
      </w:pPr>
    </w:p>
    <w:p w14:paraId="35FF2875" w14:textId="3E7F57EC" w:rsidR="003426CA" w:rsidRDefault="003426CA" w:rsidP="003426CA">
      <w:pPr>
        <w:jc w:val="both"/>
        <w:rPr>
          <w:rFonts w:eastAsia="Calibri"/>
          <w:lang w:eastAsia="de-DE" w:bidi="de-DE"/>
        </w:rPr>
      </w:pPr>
      <w:r w:rsidRPr="00D21420">
        <w:rPr>
          <w:rFonts w:eastAsia="Calibri"/>
          <w:szCs w:val="22"/>
          <w:lang w:eastAsia="de-DE" w:bidi="de-DE"/>
        </w:rPr>
        <w:tab/>
      </w:r>
      <w:r w:rsidRPr="00D21420">
        <w:rPr>
          <w:rFonts w:eastAsia="Calibri"/>
          <w:lang w:eastAsia="de-DE" w:bidi="de-DE"/>
        </w:rPr>
        <w:t>- </w:t>
      </w:r>
      <w:r w:rsidR="00231BE5">
        <w:rPr>
          <w:rFonts w:eastAsia="Calibri"/>
          <w:lang w:eastAsia="de-DE" w:bidi="de-DE"/>
        </w:rPr>
        <w:t>[</w:t>
      </w:r>
      <w:r w:rsidR="00231BE5" w:rsidRPr="00A115C4">
        <w:t>der Hälfte der Anzahl Kinder zu Lasten, die nicht in Artikel 144/3 Absatz 1 erwähnt sind und für die Artikel 132</w:t>
      </w:r>
      <w:r w:rsidR="00231BE5" w:rsidRPr="00A115C4">
        <w:rPr>
          <w:i/>
        </w:rPr>
        <w:t>bis</w:t>
      </w:r>
      <w:r w:rsidR="00231BE5" w:rsidRPr="00A115C4">
        <w:t xml:space="preserve"> desselben Gesetzbuches nicht angewendet wird,</w:t>
      </w:r>
      <w:r w:rsidR="00231BE5">
        <w:rPr>
          <w:rFonts w:eastAsia="Calibri"/>
          <w:lang w:eastAsia="de-DE" w:bidi="de-DE"/>
        </w:rPr>
        <w:t>]</w:t>
      </w:r>
    </w:p>
    <w:p w14:paraId="4A8D8898" w14:textId="77777777" w:rsidR="00231BE5" w:rsidRDefault="00231BE5" w:rsidP="003426CA">
      <w:pPr>
        <w:jc w:val="both"/>
        <w:rPr>
          <w:rFonts w:eastAsia="Calibri"/>
          <w:lang w:eastAsia="de-DE" w:bidi="de-DE"/>
        </w:rPr>
      </w:pPr>
    </w:p>
    <w:p w14:paraId="422BB691" w14:textId="7EB2C57A" w:rsidR="00231BE5" w:rsidRPr="00D21420" w:rsidRDefault="00231BE5" w:rsidP="003426CA">
      <w:pPr>
        <w:jc w:val="both"/>
        <w:rPr>
          <w:lang w:eastAsia="de-DE" w:bidi="de-DE"/>
        </w:rPr>
      </w:pPr>
      <w:r>
        <w:rPr>
          <w:rFonts w:eastAsia="Calibri"/>
          <w:lang w:eastAsia="de-DE" w:bidi="de-DE"/>
        </w:rPr>
        <w:tab/>
        <w:t>[</w:t>
      </w:r>
      <w:r w:rsidRPr="00A115C4">
        <w:t>- eines Viertels der Anzahl Kinder, die nicht in Artikel 144/3 Absatz 1 erwähnt sind und für die Artikel 132</w:t>
      </w:r>
      <w:r w:rsidRPr="00A115C4">
        <w:rPr>
          <w:i/>
        </w:rPr>
        <w:t>bis</w:t>
      </w:r>
      <w:r w:rsidRPr="00A115C4">
        <w:t xml:space="preserve"> desselben Gesetzbuches angewendet wird,</w:t>
      </w:r>
      <w:r>
        <w:t>]</w:t>
      </w:r>
    </w:p>
    <w:p w14:paraId="18BFD85D" w14:textId="77777777" w:rsidR="003426CA" w:rsidRPr="00D21420" w:rsidRDefault="003426CA" w:rsidP="003426CA">
      <w:pPr>
        <w:jc w:val="both"/>
        <w:rPr>
          <w:lang w:bidi="de-DE"/>
        </w:rPr>
      </w:pPr>
    </w:p>
    <w:p w14:paraId="12DC22AF"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3. der anderen anrechenbaren und erstattungsfähigen Bestandteile, auf die der Steuerpflichtige Anspruch hat.</w:t>
      </w:r>
    </w:p>
    <w:p w14:paraId="222B3E36" w14:textId="77777777" w:rsidR="003426CA" w:rsidRPr="00D21420" w:rsidRDefault="003426CA" w:rsidP="003426CA">
      <w:pPr>
        <w:jc w:val="both"/>
        <w:rPr>
          <w:lang w:bidi="de-DE"/>
        </w:rPr>
      </w:pPr>
    </w:p>
    <w:p w14:paraId="6FFE5EA7"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Die Differenz zwischen den gemäß § 1 und Absatz 1 berechneten Beträgen, die dem Steuerpflichtigen zu erstatten sind, wird auf den Anteil des anderen Steuerpflichtigen an der gemeinsamen Veranlagung angerechnet.</w:t>
      </w:r>
    </w:p>
    <w:p w14:paraId="0C821FFC" w14:textId="77777777" w:rsidR="003426CA" w:rsidRPr="00D21420" w:rsidRDefault="003426CA" w:rsidP="003426CA">
      <w:pPr>
        <w:jc w:val="both"/>
        <w:rPr>
          <w:lang w:bidi="de-DE"/>
        </w:rPr>
      </w:pPr>
    </w:p>
    <w:p w14:paraId="7711CF00"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3 - Führt der gemäß den Paragraphen 1 und 2 berechnete Anteil eines Steuerpflichtigen an der gemeinsamen Veranlagung zu einer Steuererstattung und entspricht der gemäß den Paragraphen 1 und 2 berechnete Anteil des anderen Steuerpflichtigen an der gemeinsamen Veranlagung einer zu zahlenden Steuer, muss eine Berichtigung vorgenommen werden:</w:t>
      </w:r>
    </w:p>
    <w:p w14:paraId="013F25A5" w14:textId="77777777" w:rsidR="003426CA" w:rsidRPr="00D21420" w:rsidRDefault="003426CA" w:rsidP="003426CA">
      <w:pPr>
        <w:jc w:val="both"/>
        <w:rPr>
          <w:lang w:bidi="de-DE"/>
        </w:rPr>
      </w:pPr>
    </w:p>
    <w:p w14:paraId="6E93DB1E"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Ist das Ergebnis der in die Heberolle eingetragenen Veranlagung eine Steuererstattung, wird der gemäß den Paragraphen 1 und 2 berechnete Anteil des Steuerpflichtigen an der gemeinsamen Veranlagung, der zu einer Steuererstattung führt, auf das Ergebnis der in die Heberolle eingetragenen Veranlagung begrenzt und der Anteil des anderen Steuerpflichtigen auf null Euro herabgesetzt.</w:t>
      </w:r>
    </w:p>
    <w:p w14:paraId="394A063C" w14:textId="77777777" w:rsidR="005879E4" w:rsidRDefault="005879E4">
      <w:pPr>
        <w:rPr>
          <w:rFonts w:eastAsia="Calibri"/>
          <w:szCs w:val="22"/>
          <w:lang w:eastAsia="de-DE" w:bidi="de-DE"/>
        </w:rPr>
      </w:pPr>
    </w:p>
    <w:p w14:paraId="67DE063C"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Ist das Ergebnis der in die Heberolle eingetragenen Veranlagung eine zu zahlende Steuer, wird der gemäß den Paragraphen 1 und 2 berechnete Anteil des Steuerpflichtigen an der gemeinsamen Veranlagung, der zu einer Steuererstattung führt, auf null Euro herabgesetzt und der Anteil des anderen Steuerpflichtigen auf das Ergebnis der in die Heberolle eingetragenen Veranlagung begrenzt.</w:t>
      </w:r>
    </w:p>
    <w:p w14:paraId="4BA20EDA" w14:textId="77777777" w:rsidR="003426CA" w:rsidRPr="00D21420" w:rsidRDefault="003426CA" w:rsidP="003426CA">
      <w:pPr>
        <w:jc w:val="both"/>
        <w:rPr>
          <w:lang w:bidi="de-DE"/>
        </w:rPr>
      </w:pPr>
    </w:p>
    <w:p w14:paraId="23209FFB" w14:textId="527EBE72" w:rsidR="003426CA" w:rsidRDefault="003426CA" w:rsidP="003426CA">
      <w:pPr>
        <w:jc w:val="both"/>
        <w:rPr>
          <w:rFonts w:eastAsia="Calibri"/>
          <w:i/>
          <w:lang w:eastAsia="de-DE" w:bidi="de-DE"/>
        </w:rPr>
      </w:pPr>
      <w:r w:rsidRPr="00D21420">
        <w:rPr>
          <w:rFonts w:eastAsia="Calibri"/>
          <w:i/>
          <w:lang w:eastAsia="de-DE" w:bidi="de-DE"/>
        </w:rPr>
        <w:t>[Art. 144/6 § 2 Abs. 1 Nr. 1 abgeändert durch Art. 16 Nr. 2 des K.E. vom 5. Dezember 2011 (II) (B.S. vom 12. Dezember 2011)</w:t>
      </w:r>
      <w:r w:rsidR="00D21DD8">
        <w:rPr>
          <w:rFonts w:eastAsia="Calibri"/>
          <w:i/>
          <w:lang w:eastAsia="de-DE" w:bidi="de-DE"/>
        </w:rPr>
        <w:t xml:space="preserve"> und Art. 16 Buchstabe a)</w:t>
      </w:r>
      <w:r w:rsidR="00D21DD8" w:rsidRPr="00D21DD8">
        <w:rPr>
          <w:rFonts w:eastAsia="Calibri"/>
          <w:i/>
          <w:lang w:eastAsia="de-DE" w:bidi="de-DE"/>
        </w:rPr>
        <w:t xml:space="preserve"> des K.E. vom 17. Juli 2023 (II) (B.S. vom 26. Juli 2023)</w:t>
      </w:r>
      <w:r w:rsidRPr="00D21420">
        <w:rPr>
          <w:rFonts w:eastAsia="Calibri"/>
          <w:i/>
          <w:lang w:eastAsia="de-DE" w:bidi="de-DE"/>
        </w:rPr>
        <w:t>; § 2 Abs. 1 Nr. 2 einziger Absatz einleitende Bestimmung abgeändert durch Art. 2 des K.E. vom 4. April 2014 (B.S. vom 14. April 2014)</w:t>
      </w:r>
      <w:r w:rsidR="00C73606">
        <w:rPr>
          <w:rFonts w:eastAsia="Calibri"/>
          <w:i/>
          <w:lang w:eastAsia="de-DE" w:bidi="de-DE"/>
        </w:rPr>
        <w:t xml:space="preserve"> und</w:t>
      </w:r>
      <w:r w:rsidR="00D21DD8">
        <w:rPr>
          <w:rFonts w:eastAsia="Calibri"/>
          <w:i/>
          <w:lang w:eastAsia="de-DE" w:bidi="de-DE"/>
        </w:rPr>
        <w:t xml:space="preserve"> Art. 16 Buchstabe b)</w:t>
      </w:r>
      <w:r w:rsidR="00D21DD8" w:rsidRPr="00D21DD8">
        <w:rPr>
          <w:rFonts w:eastAsia="Calibri"/>
          <w:i/>
          <w:lang w:eastAsia="de-DE" w:bidi="de-DE"/>
        </w:rPr>
        <w:t xml:space="preserve"> des K.E. vom 17. Juli 2023 (II) (B.S. vom 26. Juli 2023)</w:t>
      </w:r>
      <w:r w:rsidR="00D21DD8">
        <w:rPr>
          <w:rFonts w:eastAsia="Calibri"/>
          <w:i/>
          <w:lang w:eastAsia="de-DE" w:bidi="de-DE"/>
        </w:rPr>
        <w:t>; § 2 Abs. 1 Nr. 2 einziger Absatz zweiter Gedankenstrich ersetzt durch Art. 16 Buchstabe c)</w:t>
      </w:r>
      <w:r w:rsidR="00D21DD8" w:rsidRPr="00D21DD8">
        <w:rPr>
          <w:rFonts w:eastAsia="Calibri"/>
          <w:i/>
          <w:lang w:eastAsia="de-DE" w:bidi="de-DE"/>
        </w:rPr>
        <w:t xml:space="preserve"> des K.E. vom 17. Juli 2023 (II) (B.S. vom 26. Juli 2023)</w:t>
      </w:r>
      <w:r w:rsidR="00D21DD8">
        <w:rPr>
          <w:rFonts w:eastAsia="Calibri"/>
          <w:i/>
          <w:lang w:eastAsia="de-DE" w:bidi="de-DE"/>
        </w:rPr>
        <w:t>; § 2 Abs. 1 Nr. 2 einziger Absatz dritter Gedankenstrich eingefügt durch Art. 16 Buchstabe d)</w:t>
      </w:r>
      <w:r w:rsidR="00D21DD8" w:rsidRPr="00D21DD8">
        <w:rPr>
          <w:rFonts w:eastAsia="Calibri"/>
          <w:i/>
          <w:lang w:eastAsia="de-DE" w:bidi="de-DE"/>
        </w:rPr>
        <w:t xml:space="preserve"> des K.E. vom 17. Juli 2023 (II) (B.S. vom 26. Juli 2023)</w:t>
      </w:r>
      <w:r w:rsidRPr="00D21420">
        <w:rPr>
          <w:rFonts w:eastAsia="Calibri"/>
          <w:i/>
          <w:lang w:eastAsia="de-DE" w:bidi="de-DE"/>
        </w:rPr>
        <w:t>]</w:t>
      </w:r>
    </w:p>
    <w:p w14:paraId="35A63168" w14:textId="77777777" w:rsidR="003426CA" w:rsidRPr="00D21420" w:rsidRDefault="003426CA" w:rsidP="003426CA">
      <w:pPr>
        <w:jc w:val="both"/>
        <w:rPr>
          <w:rFonts w:eastAsia="Calibri"/>
          <w:lang w:eastAsia="de-DE" w:bidi="de-DE"/>
        </w:rPr>
      </w:pPr>
    </w:p>
    <w:p w14:paraId="43C238B9" w14:textId="77777777" w:rsidR="003426CA" w:rsidRPr="00D21420" w:rsidRDefault="003426CA" w:rsidP="003426CA">
      <w:pPr>
        <w:jc w:val="both"/>
        <w:rPr>
          <w:rFonts w:eastAsia="Calibri"/>
          <w:lang w:eastAsia="de-DE" w:bidi="de-DE"/>
        </w:rPr>
      </w:pPr>
    </w:p>
    <w:p w14:paraId="0D06F829" w14:textId="77777777" w:rsidR="003426CA" w:rsidRPr="00D21420" w:rsidRDefault="003426CA" w:rsidP="003426CA">
      <w:pPr>
        <w:jc w:val="both"/>
        <w:rPr>
          <w:lang w:eastAsia="de-DE" w:bidi="de-DE"/>
        </w:rPr>
      </w:pPr>
      <w:r w:rsidRPr="00D21420">
        <w:rPr>
          <w:rFonts w:eastAsia="Calibri"/>
          <w:szCs w:val="22"/>
          <w:lang w:eastAsia="de-DE" w:bidi="de-DE"/>
        </w:rPr>
        <w:lastRenderedPageBreak/>
        <w:tab/>
      </w:r>
      <w:r w:rsidRPr="00D21420">
        <w:rPr>
          <w:rFonts w:eastAsia="Calibri"/>
          <w:b/>
          <w:lang w:eastAsia="de-DE" w:bidi="de-DE"/>
        </w:rPr>
        <w:t>Art. 144/7</w:t>
      </w:r>
      <w:r w:rsidRPr="00D21420">
        <w:rPr>
          <w:rFonts w:eastAsia="Calibri"/>
          <w:lang w:eastAsia="de-DE" w:bidi="de-DE"/>
        </w:rPr>
        <w:t> - Der Anteil jedes Steuerpflichtigen an der Steuernachforderung wird um seinen jeweiligen Anteil an der Veranlagung, auf die sich die Steuernachforderung bezieht, verringert.]</w:t>
      </w:r>
    </w:p>
    <w:p w14:paraId="5F6B0666" w14:textId="77777777" w:rsidR="003426CA" w:rsidRPr="00D21420" w:rsidRDefault="003426CA" w:rsidP="003426CA">
      <w:pPr>
        <w:jc w:val="both"/>
        <w:rPr>
          <w:lang w:bidi="de-DE"/>
        </w:rPr>
      </w:pPr>
    </w:p>
    <w:p w14:paraId="27E1582A" w14:textId="77777777" w:rsidR="003426CA" w:rsidRPr="00D21420" w:rsidRDefault="003426CA" w:rsidP="003426CA">
      <w:pPr>
        <w:jc w:val="both"/>
        <w:rPr>
          <w:lang w:bidi="de-DE"/>
        </w:rPr>
      </w:pPr>
    </w:p>
    <w:p w14:paraId="0B000652" w14:textId="531787F2" w:rsidR="003426CA" w:rsidRPr="00D21420" w:rsidRDefault="003426CA" w:rsidP="003426CA">
      <w:pPr>
        <w:jc w:val="center"/>
        <w:rPr>
          <w:lang w:eastAsia="de-DE" w:bidi="de-DE"/>
        </w:rPr>
      </w:pPr>
      <w:r w:rsidRPr="00D21420">
        <w:rPr>
          <w:rFonts w:eastAsia="Calibri"/>
          <w:i/>
          <w:lang w:eastAsia="de-DE" w:bidi="de-DE"/>
        </w:rPr>
        <w:t>Abschnitt 4</w:t>
      </w:r>
      <w:r w:rsidRPr="00D21420">
        <w:rPr>
          <w:rFonts w:eastAsia="Calibri"/>
          <w:lang w:eastAsia="de-DE" w:bidi="de-DE"/>
        </w:rPr>
        <w:t xml:space="preserve"> - Verjährung </w:t>
      </w:r>
    </w:p>
    <w:p w14:paraId="1AFF4112" w14:textId="77777777" w:rsidR="003426CA" w:rsidRPr="00D21420" w:rsidRDefault="003426CA" w:rsidP="003426CA">
      <w:pPr>
        <w:jc w:val="center"/>
        <w:rPr>
          <w:lang w:bidi="de-DE"/>
        </w:rPr>
      </w:pPr>
    </w:p>
    <w:p w14:paraId="4D701BBE" w14:textId="77777777" w:rsidR="003426CA" w:rsidRPr="00D21420" w:rsidRDefault="003426CA" w:rsidP="003426CA">
      <w:pPr>
        <w:jc w:val="center"/>
        <w:rPr>
          <w:lang w:eastAsia="de-DE" w:bidi="de-DE"/>
        </w:rPr>
      </w:pPr>
      <w:r w:rsidRPr="00D21420">
        <w:rPr>
          <w:rFonts w:eastAsia="Calibri"/>
          <w:lang w:eastAsia="de-DE" w:bidi="de-DE"/>
        </w:rPr>
        <w:t>(Einkommensteuergesetzbuch 1992, Artikel 300 § 1)</w:t>
      </w:r>
    </w:p>
    <w:p w14:paraId="60E51772" w14:textId="77777777" w:rsidR="003426CA" w:rsidRPr="00D21420" w:rsidRDefault="003426CA" w:rsidP="003426CA">
      <w:pPr>
        <w:jc w:val="both"/>
        <w:rPr>
          <w:lang w:bidi="de-DE"/>
        </w:rPr>
      </w:pPr>
    </w:p>
    <w:p w14:paraId="4FC15EEF" w14:textId="77777777" w:rsidR="003426CA" w:rsidRPr="00D21420" w:rsidRDefault="003426CA" w:rsidP="003426CA">
      <w:pPr>
        <w:jc w:val="both"/>
        <w:rPr>
          <w:lang w:bidi="de-DE"/>
        </w:rPr>
      </w:pPr>
    </w:p>
    <w:p w14:paraId="4863CD97"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145</w:t>
      </w:r>
      <w:r w:rsidRPr="00D21420">
        <w:rPr>
          <w:rFonts w:eastAsia="Calibri"/>
          <w:lang w:eastAsia="de-DE" w:bidi="de-DE"/>
        </w:rPr>
        <w:t> - [...]</w:t>
      </w:r>
    </w:p>
    <w:p w14:paraId="37D300BC" w14:textId="77777777" w:rsidR="003426CA" w:rsidRPr="00D21420" w:rsidRDefault="003426CA" w:rsidP="003426CA">
      <w:pPr>
        <w:jc w:val="both"/>
        <w:rPr>
          <w:lang w:bidi="de-DE"/>
        </w:rPr>
      </w:pPr>
    </w:p>
    <w:p w14:paraId="34CFEED6" w14:textId="77777777" w:rsidR="003426CA" w:rsidRPr="00D21420" w:rsidRDefault="003426CA" w:rsidP="003426CA">
      <w:pPr>
        <w:jc w:val="both"/>
        <w:rPr>
          <w:i/>
          <w:lang w:eastAsia="de-DE" w:bidi="de-DE"/>
        </w:rPr>
      </w:pPr>
      <w:r w:rsidRPr="00D21420">
        <w:rPr>
          <w:rFonts w:eastAsia="Calibri"/>
          <w:i/>
          <w:lang w:eastAsia="de-DE" w:bidi="de-DE"/>
        </w:rPr>
        <w:t>[Art. 145 aufgehoben durch Art. 17 des K.E. vom 5. Dezember 2011 (II) (B.S. vom 12. Dezember 2011)]</w:t>
      </w:r>
    </w:p>
    <w:p w14:paraId="280A469C" w14:textId="77777777" w:rsidR="003426CA" w:rsidRPr="00D21420" w:rsidRDefault="003426CA" w:rsidP="003426CA">
      <w:pPr>
        <w:jc w:val="both"/>
        <w:rPr>
          <w:lang w:bidi="de-DE"/>
        </w:rPr>
      </w:pPr>
    </w:p>
    <w:p w14:paraId="2D43915C" w14:textId="77777777" w:rsidR="003426CA" w:rsidRPr="00D21420" w:rsidRDefault="003426CA" w:rsidP="003426CA">
      <w:pPr>
        <w:jc w:val="both"/>
        <w:rPr>
          <w:lang w:bidi="de-DE"/>
        </w:rPr>
      </w:pPr>
    </w:p>
    <w:p w14:paraId="142C433A" w14:textId="77777777" w:rsidR="003426CA" w:rsidRPr="00D21420" w:rsidRDefault="003426CA" w:rsidP="003426CA">
      <w:pPr>
        <w:jc w:val="center"/>
        <w:rPr>
          <w:lang w:eastAsia="de-DE" w:bidi="de-DE"/>
        </w:rPr>
      </w:pPr>
      <w:r w:rsidRPr="00D21420">
        <w:rPr>
          <w:rFonts w:eastAsia="Calibri"/>
          <w:i/>
          <w:lang w:eastAsia="de-DE" w:bidi="de-DE"/>
        </w:rPr>
        <w:t>Abschnitt 5</w:t>
      </w:r>
      <w:r w:rsidRPr="00D21420">
        <w:rPr>
          <w:rFonts w:eastAsia="Calibri"/>
          <w:lang w:eastAsia="de-DE" w:bidi="de-DE"/>
        </w:rPr>
        <w:t xml:space="preserve"> - Verfolgungen </w:t>
      </w:r>
    </w:p>
    <w:p w14:paraId="011BC285" w14:textId="77777777" w:rsidR="003426CA" w:rsidRPr="00D21420" w:rsidRDefault="003426CA" w:rsidP="003426CA">
      <w:pPr>
        <w:jc w:val="center"/>
        <w:rPr>
          <w:lang w:bidi="de-DE"/>
        </w:rPr>
      </w:pPr>
    </w:p>
    <w:p w14:paraId="21020F82" w14:textId="77777777" w:rsidR="003426CA" w:rsidRPr="00D21420" w:rsidRDefault="003426CA" w:rsidP="003426CA">
      <w:pPr>
        <w:jc w:val="center"/>
        <w:rPr>
          <w:lang w:eastAsia="de-DE" w:bidi="de-DE"/>
        </w:rPr>
      </w:pPr>
      <w:r w:rsidRPr="00D21420">
        <w:rPr>
          <w:rFonts w:eastAsia="Calibri"/>
          <w:lang w:eastAsia="de-DE" w:bidi="de-DE"/>
        </w:rPr>
        <w:t>(Einkommensteuergesetzbuch 1992, Artikel 300 § 1)</w:t>
      </w:r>
    </w:p>
    <w:p w14:paraId="6719A1A0" w14:textId="77777777" w:rsidR="003426CA" w:rsidRPr="00D21420" w:rsidRDefault="003426CA" w:rsidP="003426CA">
      <w:pPr>
        <w:jc w:val="both"/>
        <w:rPr>
          <w:lang w:bidi="de-DE"/>
        </w:rPr>
      </w:pPr>
    </w:p>
    <w:p w14:paraId="5D5A73B1" w14:textId="77777777" w:rsidR="003426CA" w:rsidRPr="00D21420" w:rsidRDefault="003426CA" w:rsidP="003426CA">
      <w:pPr>
        <w:jc w:val="both"/>
        <w:rPr>
          <w:lang w:bidi="de-DE"/>
        </w:rPr>
      </w:pPr>
    </w:p>
    <w:p w14:paraId="7215397F" w14:textId="16092CBE" w:rsidR="003426CA" w:rsidRPr="00D21420" w:rsidRDefault="009450BB" w:rsidP="003426CA">
      <w:pPr>
        <w:jc w:val="center"/>
        <w:rPr>
          <w:lang w:eastAsia="de-DE" w:bidi="de-DE"/>
        </w:rPr>
      </w:pPr>
      <w:r>
        <w:rPr>
          <w:rFonts w:eastAsia="Calibri"/>
          <w:lang w:eastAsia="de-DE" w:bidi="de-DE"/>
        </w:rPr>
        <w:t>[</w:t>
      </w:r>
      <w:r w:rsidR="003426CA" w:rsidRPr="00D21420">
        <w:rPr>
          <w:rFonts w:eastAsia="Calibri"/>
          <w:lang w:eastAsia="de-DE" w:bidi="de-DE"/>
        </w:rPr>
        <w:t xml:space="preserve">Unterabschnitt 1 - </w:t>
      </w:r>
      <w:r>
        <w:rPr>
          <w:rFonts w:eastAsia="Calibri"/>
          <w:lang w:eastAsia="de-DE" w:bidi="de-DE"/>
        </w:rPr>
        <w:t>[...]</w:t>
      </w:r>
    </w:p>
    <w:p w14:paraId="334BA211" w14:textId="7F09E89D" w:rsidR="003426CA" w:rsidRDefault="003426CA" w:rsidP="003426CA">
      <w:pPr>
        <w:jc w:val="both"/>
        <w:rPr>
          <w:lang w:bidi="de-DE"/>
        </w:rPr>
      </w:pPr>
    </w:p>
    <w:p w14:paraId="3A2DC6D9" w14:textId="263EA2BE" w:rsidR="009450BB" w:rsidRDefault="009450BB" w:rsidP="003426CA">
      <w:pPr>
        <w:jc w:val="both"/>
        <w:rPr>
          <w:i/>
          <w:lang w:eastAsia="de-DE"/>
        </w:rPr>
      </w:pPr>
      <w:r>
        <w:rPr>
          <w:i/>
          <w:lang w:bidi="de-DE"/>
        </w:rPr>
        <w:t>[Unterabschnitt 1 mit den Artikeln 146 und 147 aufgehoben durch Art. 35 Nr. 1</w:t>
      </w:r>
      <w:r>
        <w:rPr>
          <w:i/>
          <w:lang w:eastAsia="de-DE"/>
        </w:rPr>
        <w:t xml:space="preserve"> des K.E. vom 9. Dezember 2019 (B.S. vom 16. Dezember 2019)]</w:t>
      </w:r>
    </w:p>
    <w:p w14:paraId="4BF62AFD" w14:textId="77777777" w:rsidR="009450BB" w:rsidRPr="009450BB" w:rsidRDefault="009450BB" w:rsidP="003426CA">
      <w:pPr>
        <w:jc w:val="both"/>
        <w:rPr>
          <w:i/>
          <w:lang w:bidi="de-DE"/>
        </w:rPr>
      </w:pPr>
    </w:p>
    <w:p w14:paraId="7795336C" w14:textId="77777777" w:rsidR="003426CA" w:rsidRPr="00D21420" w:rsidRDefault="003426CA" w:rsidP="003426CA">
      <w:pPr>
        <w:jc w:val="both"/>
        <w:rPr>
          <w:lang w:bidi="de-DE"/>
        </w:rPr>
      </w:pPr>
    </w:p>
    <w:p w14:paraId="336EABC1" w14:textId="79063AC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146</w:t>
      </w:r>
      <w:r w:rsidRPr="00D21420">
        <w:rPr>
          <w:rFonts w:eastAsia="Calibri"/>
          <w:lang w:eastAsia="de-DE" w:bidi="de-DE"/>
        </w:rPr>
        <w:t xml:space="preserve"> - </w:t>
      </w:r>
      <w:r w:rsidRPr="00D21420">
        <w:rPr>
          <w:rFonts w:eastAsia="Calibri"/>
          <w:b/>
          <w:lang w:eastAsia="de-DE" w:bidi="de-DE"/>
        </w:rPr>
        <w:t>147</w:t>
      </w:r>
      <w:r w:rsidRPr="00D21420">
        <w:rPr>
          <w:rFonts w:eastAsia="Calibri"/>
          <w:lang w:eastAsia="de-DE" w:bidi="de-DE"/>
        </w:rPr>
        <w:t xml:space="preserve"> - </w:t>
      </w:r>
      <w:r w:rsidR="009450BB">
        <w:rPr>
          <w:rFonts w:eastAsia="Calibri"/>
          <w:lang w:eastAsia="de-DE" w:bidi="de-DE"/>
        </w:rPr>
        <w:t>[...]]</w:t>
      </w:r>
    </w:p>
    <w:p w14:paraId="37BFE0D5" w14:textId="77777777" w:rsidR="003426CA" w:rsidRPr="00D21420" w:rsidRDefault="003426CA" w:rsidP="003426CA">
      <w:pPr>
        <w:jc w:val="both"/>
        <w:rPr>
          <w:lang w:bidi="de-DE"/>
        </w:rPr>
      </w:pPr>
    </w:p>
    <w:p w14:paraId="57211D6D" w14:textId="77777777" w:rsidR="005879E4" w:rsidRDefault="005879E4">
      <w:pPr>
        <w:rPr>
          <w:rFonts w:eastAsia="Calibri"/>
          <w:lang w:eastAsia="de-DE" w:bidi="de-DE"/>
        </w:rPr>
      </w:pPr>
    </w:p>
    <w:p w14:paraId="2C72B478" w14:textId="0BF22B77" w:rsidR="003426CA" w:rsidRPr="00D21420" w:rsidRDefault="009450BB" w:rsidP="003426CA">
      <w:pPr>
        <w:jc w:val="center"/>
        <w:rPr>
          <w:lang w:eastAsia="de-DE" w:bidi="de-DE"/>
        </w:rPr>
      </w:pPr>
      <w:r>
        <w:rPr>
          <w:rFonts w:eastAsia="Calibri"/>
          <w:lang w:eastAsia="de-DE" w:bidi="de-DE"/>
        </w:rPr>
        <w:t>[</w:t>
      </w:r>
      <w:r w:rsidR="003426CA" w:rsidRPr="00D21420">
        <w:rPr>
          <w:rFonts w:eastAsia="Calibri"/>
          <w:lang w:eastAsia="de-DE" w:bidi="de-DE"/>
        </w:rPr>
        <w:t xml:space="preserve">Unterabschnitt 2 - </w:t>
      </w:r>
      <w:r>
        <w:rPr>
          <w:rFonts w:eastAsia="Calibri"/>
          <w:lang w:eastAsia="de-DE" w:bidi="de-DE"/>
        </w:rPr>
        <w:t>[...]</w:t>
      </w:r>
    </w:p>
    <w:p w14:paraId="47821937" w14:textId="31394F02" w:rsidR="003426CA" w:rsidRDefault="003426CA" w:rsidP="003426CA">
      <w:pPr>
        <w:jc w:val="both"/>
        <w:rPr>
          <w:lang w:bidi="de-DE"/>
        </w:rPr>
      </w:pPr>
    </w:p>
    <w:p w14:paraId="44E2EF42" w14:textId="34C13739" w:rsidR="009450BB" w:rsidRDefault="009450BB" w:rsidP="009450BB">
      <w:pPr>
        <w:jc w:val="both"/>
        <w:rPr>
          <w:i/>
          <w:lang w:bidi="de-DE"/>
        </w:rPr>
      </w:pPr>
      <w:r>
        <w:rPr>
          <w:i/>
          <w:lang w:bidi="de-DE"/>
        </w:rPr>
        <w:t>[Unterabschnitt 2 mit den Artikeln 148 bis 163 aufgehoben durch Art. 35 Nr. 2</w:t>
      </w:r>
      <w:r>
        <w:rPr>
          <w:i/>
          <w:lang w:eastAsia="de-DE"/>
        </w:rPr>
        <w:t xml:space="preserve"> des K.E. vom 9. Dezember 2019 (B.S. vom 16. Dezember 2019)]</w:t>
      </w:r>
    </w:p>
    <w:p w14:paraId="7E98BEF6" w14:textId="77777777" w:rsidR="009450BB" w:rsidRPr="00D21420" w:rsidRDefault="009450BB" w:rsidP="003426CA">
      <w:pPr>
        <w:jc w:val="both"/>
        <w:rPr>
          <w:lang w:bidi="de-DE"/>
        </w:rPr>
      </w:pPr>
    </w:p>
    <w:p w14:paraId="650E209B" w14:textId="77777777" w:rsidR="003426CA" w:rsidRPr="00D21420" w:rsidRDefault="003426CA" w:rsidP="003426CA">
      <w:pPr>
        <w:jc w:val="both"/>
        <w:rPr>
          <w:lang w:bidi="de-DE"/>
        </w:rPr>
      </w:pPr>
    </w:p>
    <w:p w14:paraId="67294437" w14:textId="26CB07DD" w:rsidR="003426CA" w:rsidRPr="00D21420" w:rsidRDefault="003426CA" w:rsidP="009450BB">
      <w:pPr>
        <w:jc w:val="both"/>
        <w:rPr>
          <w:lang w:eastAsia="de-DE" w:bidi="de-DE"/>
        </w:rPr>
      </w:pPr>
      <w:r w:rsidRPr="00D21420">
        <w:rPr>
          <w:rFonts w:eastAsia="Calibri"/>
          <w:szCs w:val="22"/>
          <w:lang w:eastAsia="de-DE" w:bidi="de-DE"/>
        </w:rPr>
        <w:tab/>
      </w:r>
      <w:r w:rsidRPr="00D21420">
        <w:rPr>
          <w:rFonts w:eastAsia="Calibri"/>
          <w:b/>
          <w:lang w:eastAsia="de-DE" w:bidi="de-DE"/>
        </w:rPr>
        <w:t>Art. 148</w:t>
      </w:r>
      <w:r w:rsidRPr="00D21420">
        <w:rPr>
          <w:rFonts w:eastAsia="Calibri"/>
          <w:lang w:eastAsia="de-DE" w:bidi="de-DE"/>
        </w:rPr>
        <w:t xml:space="preserve"> - </w:t>
      </w:r>
      <w:r w:rsidR="009450BB">
        <w:rPr>
          <w:rFonts w:eastAsia="Calibri"/>
          <w:lang w:eastAsia="de-DE" w:bidi="de-DE"/>
        </w:rPr>
        <w:t>[...]</w:t>
      </w:r>
    </w:p>
    <w:p w14:paraId="352AE8E5" w14:textId="77777777" w:rsidR="003426CA" w:rsidRPr="00D21420" w:rsidRDefault="003426CA" w:rsidP="003426CA">
      <w:pPr>
        <w:jc w:val="both"/>
        <w:rPr>
          <w:lang w:bidi="de-DE"/>
        </w:rPr>
      </w:pPr>
    </w:p>
    <w:p w14:paraId="4A3556C8" w14:textId="77777777" w:rsidR="003426CA" w:rsidRPr="00D21420" w:rsidRDefault="003426CA" w:rsidP="003426CA">
      <w:pPr>
        <w:jc w:val="both"/>
        <w:rPr>
          <w:lang w:bidi="de-DE"/>
        </w:rPr>
      </w:pPr>
    </w:p>
    <w:p w14:paraId="7B4F1C55" w14:textId="35D35E20" w:rsidR="003426CA" w:rsidRPr="00D21420" w:rsidRDefault="003426CA" w:rsidP="003426CA">
      <w:pPr>
        <w:jc w:val="center"/>
        <w:rPr>
          <w:b/>
          <w:lang w:eastAsia="de-DE" w:bidi="de-DE"/>
        </w:rPr>
      </w:pPr>
      <w:r w:rsidRPr="00D21420">
        <w:rPr>
          <w:rFonts w:eastAsia="Calibri"/>
          <w:b/>
          <w:lang w:eastAsia="de-DE" w:bidi="de-DE"/>
        </w:rPr>
        <w:t>A. </w:t>
      </w:r>
      <w:r w:rsidR="009450BB">
        <w:rPr>
          <w:rFonts w:eastAsia="Calibri"/>
          <w:lang w:eastAsia="de-DE" w:bidi="de-DE"/>
        </w:rPr>
        <w:t>[...]</w:t>
      </w:r>
    </w:p>
    <w:p w14:paraId="24FED561" w14:textId="77777777" w:rsidR="003426CA" w:rsidRPr="00D21420" w:rsidRDefault="003426CA" w:rsidP="003426CA">
      <w:pPr>
        <w:jc w:val="both"/>
        <w:rPr>
          <w:lang w:bidi="de-DE"/>
        </w:rPr>
      </w:pPr>
    </w:p>
    <w:p w14:paraId="5F4C9E50" w14:textId="77777777" w:rsidR="003426CA" w:rsidRPr="00D21420" w:rsidRDefault="003426CA" w:rsidP="003426CA">
      <w:pPr>
        <w:jc w:val="both"/>
        <w:rPr>
          <w:lang w:bidi="de-DE"/>
        </w:rPr>
      </w:pPr>
    </w:p>
    <w:p w14:paraId="572C205A" w14:textId="367D76D6"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149</w:t>
      </w:r>
      <w:r w:rsidRPr="00D21420">
        <w:rPr>
          <w:rFonts w:eastAsia="Calibri"/>
          <w:lang w:eastAsia="de-DE" w:bidi="de-DE"/>
        </w:rPr>
        <w:t xml:space="preserve"> - </w:t>
      </w:r>
      <w:r w:rsidRPr="00D21420">
        <w:rPr>
          <w:rFonts w:eastAsia="Calibri"/>
          <w:b/>
          <w:lang w:eastAsia="de-DE" w:bidi="de-DE"/>
        </w:rPr>
        <w:t>150</w:t>
      </w:r>
      <w:r w:rsidRPr="00D21420">
        <w:rPr>
          <w:rFonts w:eastAsia="Calibri"/>
          <w:lang w:eastAsia="de-DE" w:bidi="de-DE"/>
        </w:rPr>
        <w:t xml:space="preserve"> - </w:t>
      </w:r>
      <w:r w:rsidR="009450BB">
        <w:rPr>
          <w:rFonts w:eastAsia="Calibri"/>
          <w:lang w:eastAsia="de-DE" w:bidi="de-DE"/>
        </w:rPr>
        <w:t>[..</w:t>
      </w:r>
      <w:r w:rsidRPr="00D21420">
        <w:rPr>
          <w:rFonts w:eastAsia="Calibri"/>
          <w:lang w:eastAsia="de-DE" w:bidi="de-DE"/>
        </w:rPr>
        <w:t>.</w:t>
      </w:r>
      <w:r w:rsidR="009450BB">
        <w:rPr>
          <w:rFonts w:eastAsia="Calibri"/>
          <w:lang w:eastAsia="de-DE" w:bidi="de-DE"/>
        </w:rPr>
        <w:t>]</w:t>
      </w:r>
    </w:p>
    <w:p w14:paraId="52E1FDCD" w14:textId="77777777" w:rsidR="003426CA" w:rsidRPr="00D21420" w:rsidRDefault="003426CA" w:rsidP="003426CA">
      <w:pPr>
        <w:jc w:val="both"/>
        <w:rPr>
          <w:lang w:bidi="de-DE"/>
        </w:rPr>
      </w:pPr>
    </w:p>
    <w:p w14:paraId="42D28AE6" w14:textId="77777777" w:rsidR="003426CA" w:rsidRPr="00D21420" w:rsidRDefault="003426CA" w:rsidP="003426CA">
      <w:pPr>
        <w:jc w:val="both"/>
        <w:rPr>
          <w:lang w:bidi="de-DE"/>
        </w:rPr>
      </w:pPr>
    </w:p>
    <w:p w14:paraId="222762D6" w14:textId="11C25742" w:rsidR="003426CA" w:rsidRPr="00D21420" w:rsidRDefault="003426CA" w:rsidP="003426CA">
      <w:pPr>
        <w:jc w:val="center"/>
        <w:rPr>
          <w:b/>
          <w:lang w:eastAsia="de-DE" w:bidi="de-DE"/>
        </w:rPr>
      </w:pPr>
      <w:r w:rsidRPr="00D21420">
        <w:rPr>
          <w:rFonts w:eastAsia="Calibri"/>
          <w:b/>
          <w:lang w:eastAsia="de-DE" w:bidi="de-DE"/>
        </w:rPr>
        <w:t>B. </w:t>
      </w:r>
      <w:r w:rsidR="009450BB">
        <w:rPr>
          <w:rFonts w:eastAsia="Calibri"/>
          <w:lang w:eastAsia="de-DE" w:bidi="de-DE"/>
        </w:rPr>
        <w:t>[...]</w:t>
      </w:r>
    </w:p>
    <w:p w14:paraId="5C0777F1" w14:textId="77777777" w:rsidR="003426CA" w:rsidRPr="00D21420" w:rsidRDefault="003426CA" w:rsidP="003426CA">
      <w:pPr>
        <w:jc w:val="both"/>
        <w:rPr>
          <w:lang w:bidi="de-DE"/>
        </w:rPr>
      </w:pPr>
    </w:p>
    <w:p w14:paraId="25914E57" w14:textId="77777777" w:rsidR="003426CA" w:rsidRPr="00D21420" w:rsidRDefault="003426CA" w:rsidP="003426CA">
      <w:pPr>
        <w:jc w:val="both"/>
        <w:rPr>
          <w:lang w:bidi="de-DE"/>
        </w:rPr>
      </w:pPr>
    </w:p>
    <w:p w14:paraId="22ECC472" w14:textId="04265107" w:rsidR="003426CA" w:rsidRPr="00D21420" w:rsidRDefault="003426CA" w:rsidP="009450BB">
      <w:pPr>
        <w:jc w:val="both"/>
        <w:rPr>
          <w:lang w:eastAsia="de-DE" w:bidi="de-DE"/>
        </w:rPr>
      </w:pPr>
      <w:r w:rsidRPr="00D21420">
        <w:rPr>
          <w:rFonts w:eastAsia="Calibri"/>
          <w:szCs w:val="22"/>
          <w:lang w:eastAsia="de-DE" w:bidi="de-DE"/>
        </w:rPr>
        <w:tab/>
      </w:r>
      <w:r w:rsidRPr="00D21420">
        <w:rPr>
          <w:rFonts w:eastAsia="Calibri"/>
          <w:b/>
          <w:lang w:eastAsia="de-DE" w:bidi="de-DE"/>
        </w:rPr>
        <w:t>Art. 151</w:t>
      </w:r>
      <w:r w:rsidRPr="00D21420">
        <w:rPr>
          <w:rFonts w:eastAsia="Calibri"/>
          <w:lang w:eastAsia="de-DE" w:bidi="de-DE"/>
        </w:rPr>
        <w:t xml:space="preserve"> - </w:t>
      </w:r>
      <w:r w:rsidRPr="00D21420">
        <w:rPr>
          <w:rFonts w:eastAsia="Calibri"/>
          <w:b/>
          <w:lang w:eastAsia="de-DE" w:bidi="de-DE"/>
        </w:rPr>
        <w:t>156</w:t>
      </w:r>
      <w:r w:rsidRPr="00D21420">
        <w:rPr>
          <w:rFonts w:eastAsia="Calibri"/>
          <w:lang w:eastAsia="de-DE" w:bidi="de-DE"/>
        </w:rPr>
        <w:t xml:space="preserve"> - </w:t>
      </w:r>
      <w:r w:rsidR="009450BB">
        <w:rPr>
          <w:rFonts w:eastAsia="Calibri"/>
          <w:lang w:eastAsia="de-DE" w:bidi="de-DE"/>
        </w:rPr>
        <w:t>[...]</w:t>
      </w:r>
    </w:p>
    <w:p w14:paraId="703911CB" w14:textId="77777777" w:rsidR="003426CA" w:rsidRPr="00D21420" w:rsidRDefault="003426CA" w:rsidP="003426CA">
      <w:pPr>
        <w:jc w:val="both"/>
        <w:rPr>
          <w:lang w:bidi="de-DE"/>
        </w:rPr>
      </w:pPr>
    </w:p>
    <w:p w14:paraId="586C846B" w14:textId="77777777" w:rsidR="003426CA" w:rsidRPr="00D21420" w:rsidRDefault="003426CA" w:rsidP="003426CA">
      <w:pPr>
        <w:jc w:val="both"/>
        <w:rPr>
          <w:lang w:bidi="de-DE"/>
        </w:rPr>
      </w:pPr>
    </w:p>
    <w:p w14:paraId="5620D775" w14:textId="74498691" w:rsidR="003426CA" w:rsidRPr="00D21420" w:rsidRDefault="003426CA" w:rsidP="003426CA">
      <w:pPr>
        <w:jc w:val="center"/>
        <w:rPr>
          <w:b/>
          <w:lang w:eastAsia="de-DE" w:bidi="de-DE"/>
        </w:rPr>
      </w:pPr>
      <w:r w:rsidRPr="00D21420">
        <w:rPr>
          <w:rFonts w:eastAsia="Calibri"/>
          <w:b/>
          <w:lang w:eastAsia="de-DE" w:bidi="de-DE"/>
        </w:rPr>
        <w:t>C. </w:t>
      </w:r>
      <w:r w:rsidR="009450BB">
        <w:rPr>
          <w:rFonts w:eastAsia="Calibri"/>
          <w:lang w:eastAsia="de-DE" w:bidi="de-DE"/>
        </w:rPr>
        <w:t>[...]</w:t>
      </w:r>
    </w:p>
    <w:p w14:paraId="44F6947F" w14:textId="77777777" w:rsidR="003426CA" w:rsidRPr="00D21420" w:rsidRDefault="003426CA" w:rsidP="003426CA">
      <w:pPr>
        <w:jc w:val="both"/>
        <w:rPr>
          <w:lang w:bidi="de-DE"/>
        </w:rPr>
      </w:pPr>
    </w:p>
    <w:p w14:paraId="42ABA2AE" w14:textId="77777777" w:rsidR="003426CA" w:rsidRPr="00D21420" w:rsidRDefault="003426CA" w:rsidP="003426CA">
      <w:pPr>
        <w:jc w:val="both"/>
        <w:rPr>
          <w:lang w:bidi="de-DE"/>
        </w:rPr>
      </w:pPr>
    </w:p>
    <w:p w14:paraId="2B8F3CFA" w14:textId="2F524300" w:rsidR="003426CA" w:rsidRPr="00D21420" w:rsidRDefault="003426CA" w:rsidP="003426CA">
      <w:pPr>
        <w:jc w:val="both"/>
        <w:rPr>
          <w:lang w:bidi="de-DE"/>
        </w:rPr>
      </w:pPr>
      <w:r w:rsidRPr="00D21420">
        <w:rPr>
          <w:rFonts w:eastAsia="Calibri"/>
          <w:szCs w:val="22"/>
          <w:lang w:eastAsia="de-DE" w:bidi="de-DE"/>
        </w:rPr>
        <w:tab/>
      </w:r>
      <w:r w:rsidRPr="00D21420">
        <w:rPr>
          <w:rFonts w:eastAsia="Calibri"/>
          <w:b/>
          <w:lang w:eastAsia="de-DE" w:bidi="de-DE"/>
        </w:rPr>
        <w:t>Art. 157</w:t>
      </w:r>
      <w:r w:rsidRPr="00D21420">
        <w:rPr>
          <w:rFonts w:eastAsia="Calibri"/>
          <w:lang w:eastAsia="de-DE" w:bidi="de-DE"/>
        </w:rPr>
        <w:t xml:space="preserve"> - </w:t>
      </w:r>
      <w:r w:rsidR="009450BB">
        <w:rPr>
          <w:rFonts w:eastAsia="Calibri"/>
          <w:lang w:eastAsia="de-DE" w:bidi="de-DE"/>
        </w:rPr>
        <w:t>[...]</w:t>
      </w:r>
    </w:p>
    <w:p w14:paraId="31230090" w14:textId="77777777" w:rsidR="003426CA" w:rsidRPr="00D21420" w:rsidRDefault="003426CA" w:rsidP="003426CA">
      <w:pPr>
        <w:jc w:val="both"/>
        <w:rPr>
          <w:lang w:bidi="de-DE"/>
        </w:rPr>
      </w:pPr>
    </w:p>
    <w:p w14:paraId="26D96191" w14:textId="37E79099" w:rsidR="003426CA" w:rsidRPr="00D21420" w:rsidRDefault="003426CA" w:rsidP="003426CA">
      <w:pPr>
        <w:jc w:val="center"/>
        <w:rPr>
          <w:b/>
          <w:lang w:eastAsia="de-DE" w:bidi="de-DE"/>
        </w:rPr>
      </w:pPr>
      <w:r w:rsidRPr="00D21420">
        <w:rPr>
          <w:rFonts w:eastAsia="Calibri"/>
          <w:b/>
          <w:lang w:eastAsia="de-DE" w:bidi="de-DE"/>
        </w:rPr>
        <w:t>D. </w:t>
      </w:r>
      <w:r w:rsidR="009450BB">
        <w:rPr>
          <w:rFonts w:eastAsia="Calibri"/>
          <w:lang w:eastAsia="de-DE" w:bidi="de-DE"/>
        </w:rPr>
        <w:t>[...]</w:t>
      </w:r>
    </w:p>
    <w:p w14:paraId="7C80B590" w14:textId="77777777" w:rsidR="003426CA" w:rsidRPr="00D21420" w:rsidRDefault="003426CA" w:rsidP="003426CA">
      <w:pPr>
        <w:jc w:val="both"/>
        <w:rPr>
          <w:lang w:bidi="de-DE"/>
        </w:rPr>
      </w:pPr>
    </w:p>
    <w:p w14:paraId="70C256DC" w14:textId="77777777" w:rsidR="003426CA" w:rsidRPr="00D21420" w:rsidRDefault="003426CA" w:rsidP="003426CA">
      <w:pPr>
        <w:jc w:val="both"/>
        <w:rPr>
          <w:lang w:bidi="de-DE"/>
        </w:rPr>
      </w:pPr>
    </w:p>
    <w:p w14:paraId="79FE777D" w14:textId="3043E1DD" w:rsidR="00050DE7" w:rsidRDefault="003426CA" w:rsidP="004116A3">
      <w:pPr>
        <w:jc w:val="both"/>
        <w:rPr>
          <w:rFonts w:eastAsia="Calibri"/>
          <w:b/>
          <w:lang w:eastAsia="de-DE" w:bidi="de-DE"/>
        </w:rPr>
      </w:pPr>
      <w:r w:rsidRPr="00D21420">
        <w:rPr>
          <w:rFonts w:eastAsia="Calibri"/>
          <w:szCs w:val="22"/>
          <w:lang w:eastAsia="de-DE" w:bidi="de-DE"/>
        </w:rPr>
        <w:tab/>
      </w:r>
      <w:r w:rsidRPr="00D21420">
        <w:rPr>
          <w:rFonts w:eastAsia="Calibri"/>
          <w:b/>
          <w:lang w:eastAsia="de-DE" w:bidi="de-DE"/>
        </w:rPr>
        <w:t>Art. 158</w:t>
      </w:r>
      <w:r w:rsidRPr="00D21420">
        <w:rPr>
          <w:rFonts w:eastAsia="Calibri"/>
          <w:lang w:eastAsia="de-DE" w:bidi="de-DE"/>
        </w:rPr>
        <w:t xml:space="preserve"> - </w:t>
      </w:r>
      <w:r w:rsidR="004116A3">
        <w:rPr>
          <w:rFonts w:eastAsia="Calibri"/>
          <w:lang w:eastAsia="de-DE" w:bidi="de-DE"/>
        </w:rPr>
        <w:t>[...]</w:t>
      </w:r>
    </w:p>
    <w:p w14:paraId="323AF497" w14:textId="77777777" w:rsidR="00050DE7" w:rsidRDefault="00050DE7" w:rsidP="003426CA">
      <w:pPr>
        <w:jc w:val="center"/>
        <w:rPr>
          <w:rFonts w:eastAsia="Calibri"/>
          <w:b/>
          <w:lang w:eastAsia="de-DE" w:bidi="de-DE"/>
        </w:rPr>
      </w:pPr>
    </w:p>
    <w:p w14:paraId="1FF3A36E" w14:textId="373CA192" w:rsidR="00FC4434" w:rsidRDefault="00FC4434">
      <w:pPr>
        <w:rPr>
          <w:rFonts w:eastAsia="Calibri"/>
          <w:b/>
          <w:lang w:eastAsia="de-DE" w:bidi="de-DE"/>
        </w:rPr>
      </w:pPr>
    </w:p>
    <w:p w14:paraId="1AC61A34" w14:textId="0078CD72" w:rsidR="003426CA" w:rsidRPr="00D21420" w:rsidRDefault="003426CA" w:rsidP="003426CA">
      <w:pPr>
        <w:jc w:val="center"/>
        <w:rPr>
          <w:b/>
          <w:lang w:eastAsia="de-DE" w:bidi="de-DE"/>
        </w:rPr>
      </w:pPr>
      <w:r w:rsidRPr="00D21420">
        <w:rPr>
          <w:rFonts w:eastAsia="Calibri"/>
          <w:b/>
          <w:lang w:eastAsia="de-DE" w:bidi="de-DE"/>
        </w:rPr>
        <w:t>E. </w:t>
      </w:r>
      <w:r w:rsidR="004116A3">
        <w:rPr>
          <w:rFonts w:eastAsia="Calibri"/>
          <w:lang w:eastAsia="de-DE" w:bidi="de-DE"/>
        </w:rPr>
        <w:t>[...]</w:t>
      </w:r>
    </w:p>
    <w:p w14:paraId="3CE7EC19" w14:textId="77777777" w:rsidR="003426CA" w:rsidRPr="00D21420" w:rsidRDefault="003426CA" w:rsidP="003426CA">
      <w:pPr>
        <w:jc w:val="both"/>
        <w:rPr>
          <w:lang w:bidi="de-DE"/>
        </w:rPr>
      </w:pPr>
    </w:p>
    <w:p w14:paraId="28593F32" w14:textId="77777777" w:rsidR="003426CA" w:rsidRPr="00D21420" w:rsidRDefault="003426CA" w:rsidP="003426CA">
      <w:pPr>
        <w:jc w:val="both"/>
        <w:rPr>
          <w:lang w:bidi="de-DE"/>
        </w:rPr>
      </w:pPr>
    </w:p>
    <w:p w14:paraId="02DA18EA" w14:textId="73066EF3"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159</w:t>
      </w:r>
      <w:r w:rsidRPr="00D21420">
        <w:rPr>
          <w:rFonts w:eastAsia="Calibri"/>
          <w:lang w:eastAsia="de-DE" w:bidi="de-DE"/>
        </w:rPr>
        <w:t xml:space="preserve"> - </w:t>
      </w:r>
      <w:r w:rsidR="004116A3">
        <w:rPr>
          <w:rFonts w:eastAsia="Calibri"/>
          <w:lang w:eastAsia="de-DE" w:bidi="de-DE"/>
        </w:rPr>
        <w:t>[...]</w:t>
      </w:r>
    </w:p>
    <w:p w14:paraId="03FA81E2" w14:textId="77777777" w:rsidR="003426CA" w:rsidRPr="00D21420" w:rsidRDefault="003426CA" w:rsidP="003426CA">
      <w:pPr>
        <w:jc w:val="both"/>
        <w:rPr>
          <w:lang w:bidi="de-DE"/>
        </w:rPr>
      </w:pPr>
    </w:p>
    <w:p w14:paraId="3C556969" w14:textId="77777777" w:rsidR="003426CA" w:rsidRPr="00D21420" w:rsidRDefault="003426CA" w:rsidP="003426CA">
      <w:pPr>
        <w:jc w:val="both"/>
        <w:rPr>
          <w:lang w:bidi="de-DE"/>
        </w:rPr>
      </w:pPr>
    </w:p>
    <w:p w14:paraId="33B9B55B"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160</w:t>
      </w:r>
      <w:r w:rsidRPr="00D21420">
        <w:rPr>
          <w:rFonts w:eastAsia="Calibri"/>
          <w:lang w:eastAsia="de-DE" w:bidi="de-DE"/>
        </w:rPr>
        <w:t> - [...]</w:t>
      </w:r>
    </w:p>
    <w:p w14:paraId="766F34E7" w14:textId="77777777" w:rsidR="003426CA" w:rsidRPr="00D21420" w:rsidRDefault="003426CA" w:rsidP="003426CA">
      <w:pPr>
        <w:jc w:val="both"/>
        <w:rPr>
          <w:lang w:bidi="de-DE"/>
        </w:rPr>
      </w:pPr>
    </w:p>
    <w:p w14:paraId="234D81BF" w14:textId="77777777" w:rsidR="003426CA" w:rsidRPr="00C949AA" w:rsidRDefault="003426CA" w:rsidP="003426CA">
      <w:pPr>
        <w:jc w:val="both"/>
        <w:rPr>
          <w:i/>
          <w:lang w:eastAsia="de-DE" w:bidi="de-DE"/>
        </w:rPr>
      </w:pPr>
      <w:r w:rsidRPr="00D21420">
        <w:rPr>
          <w:rFonts w:eastAsia="Calibri"/>
          <w:i/>
          <w:lang w:eastAsia="de-DE" w:bidi="de-DE"/>
        </w:rPr>
        <w:t>[Art. 160 aufgehoben durch Art. 1 des K.E. vom 17. </w:t>
      </w:r>
      <w:r w:rsidRPr="00C949AA">
        <w:rPr>
          <w:rFonts w:eastAsia="Calibri"/>
          <w:i/>
          <w:lang w:val="da-DK" w:eastAsia="de-DE" w:bidi="de-DE"/>
        </w:rPr>
        <w:t>September 2005 (I) (B.S. vom 23. </w:t>
      </w:r>
      <w:r w:rsidRPr="00C949AA">
        <w:rPr>
          <w:rFonts w:eastAsia="Calibri"/>
          <w:i/>
          <w:lang w:eastAsia="de-DE" w:bidi="de-DE"/>
        </w:rPr>
        <w:t>September 2005)]</w:t>
      </w:r>
    </w:p>
    <w:p w14:paraId="6F7751BA" w14:textId="77777777" w:rsidR="003426CA" w:rsidRPr="00C949AA" w:rsidRDefault="003426CA" w:rsidP="003426CA">
      <w:pPr>
        <w:jc w:val="both"/>
        <w:rPr>
          <w:lang w:bidi="de-DE"/>
        </w:rPr>
      </w:pPr>
    </w:p>
    <w:p w14:paraId="4F874880" w14:textId="77777777" w:rsidR="003426CA" w:rsidRPr="00C949AA" w:rsidRDefault="003426CA" w:rsidP="003426CA">
      <w:pPr>
        <w:jc w:val="both"/>
        <w:rPr>
          <w:lang w:bidi="de-DE"/>
        </w:rPr>
      </w:pPr>
    </w:p>
    <w:p w14:paraId="13F54120" w14:textId="2442833C" w:rsidR="003426CA" w:rsidRPr="00D21420" w:rsidRDefault="003426CA" w:rsidP="003426CA">
      <w:pPr>
        <w:jc w:val="center"/>
        <w:rPr>
          <w:b/>
          <w:lang w:eastAsia="de-DE" w:bidi="de-DE"/>
        </w:rPr>
      </w:pPr>
      <w:r w:rsidRPr="00D21420">
        <w:rPr>
          <w:rFonts w:eastAsia="Calibri"/>
          <w:b/>
          <w:lang w:eastAsia="de-DE" w:bidi="de-DE"/>
        </w:rPr>
        <w:t>F. </w:t>
      </w:r>
      <w:r w:rsidR="004116A3">
        <w:rPr>
          <w:rFonts w:eastAsia="Calibri"/>
          <w:lang w:eastAsia="de-DE" w:bidi="de-DE"/>
        </w:rPr>
        <w:t>[...]</w:t>
      </w:r>
    </w:p>
    <w:p w14:paraId="42D02E4F" w14:textId="77777777" w:rsidR="003426CA" w:rsidRPr="00D21420" w:rsidRDefault="003426CA" w:rsidP="003426CA">
      <w:pPr>
        <w:jc w:val="both"/>
        <w:rPr>
          <w:lang w:bidi="de-DE"/>
        </w:rPr>
      </w:pPr>
    </w:p>
    <w:p w14:paraId="478D63B1" w14:textId="77777777" w:rsidR="003426CA" w:rsidRPr="00D21420" w:rsidRDefault="003426CA" w:rsidP="003426CA">
      <w:pPr>
        <w:jc w:val="both"/>
        <w:rPr>
          <w:lang w:bidi="de-DE"/>
        </w:rPr>
      </w:pPr>
    </w:p>
    <w:p w14:paraId="163652B9" w14:textId="76A5BB54"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161</w:t>
      </w:r>
      <w:r w:rsidRPr="00D21420">
        <w:rPr>
          <w:rFonts w:eastAsia="Calibri"/>
          <w:lang w:eastAsia="de-DE" w:bidi="de-DE"/>
        </w:rPr>
        <w:t xml:space="preserve"> - </w:t>
      </w:r>
      <w:r w:rsidR="004116A3">
        <w:rPr>
          <w:rFonts w:eastAsia="Calibri"/>
          <w:lang w:eastAsia="de-DE" w:bidi="de-DE"/>
        </w:rPr>
        <w:t>[...]</w:t>
      </w:r>
    </w:p>
    <w:p w14:paraId="3D103961" w14:textId="77777777" w:rsidR="003426CA" w:rsidRPr="00D21420" w:rsidRDefault="003426CA" w:rsidP="003426CA">
      <w:pPr>
        <w:jc w:val="both"/>
        <w:rPr>
          <w:lang w:bidi="de-DE"/>
        </w:rPr>
      </w:pPr>
    </w:p>
    <w:p w14:paraId="32762497" w14:textId="77777777" w:rsidR="003426CA" w:rsidRPr="00D21420" w:rsidRDefault="003426CA" w:rsidP="003426CA">
      <w:pPr>
        <w:jc w:val="both"/>
        <w:rPr>
          <w:lang w:bidi="de-DE"/>
        </w:rPr>
      </w:pPr>
    </w:p>
    <w:p w14:paraId="79669356" w14:textId="4BE24359" w:rsidR="003426CA" w:rsidRPr="00D21420" w:rsidRDefault="003426CA" w:rsidP="003426CA">
      <w:pPr>
        <w:jc w:val="center"/>
        <w:rPr>
          <w:b/>
          <w:lang w:eastAsia="de-DE" w:bidi="de-DE"/>
        </w:rPr>
      </w:pPr>
      <w:r w:rsidRPr="00D21420">
        <w:rPr>
          <w:rFonts w:eastAsia="Calibri"/>
          <w:b/>
          <w:lang w:eastAsia="de-DE" w:bidi="de-DE"/>
        </w:rPr>
        <w:t>G. </w:t>
      </w:r>
      <w:r w:rsidR="004116A3">
        <w:rPr>
          <w:rFonts w:eastAsia="Calibri"/>
          <w:lang w:eastAsia="de-DE" w:bidi="de-DE"/>
        </w:rPr>
        <w:t>[...]</w:t>
      </w:r>
    </w:p>
    <w:p w14:paraId="6F2F4C51" w14:textId="77777777" w:rsidR="003426CA" w:rsidRPr="00D21420" w:rsidRDefault="003426CA" w:rsidP="003426CA">
      <w:pPr>
        <w:jc w:val="both"/>
        <w:rPr>
          <w:lang w:bidi="de-DE"/>
        </w:rPr>
      </w:pPr>
    </w:p>
    <w:p w14:paraId="048FA5DB" w14:textId="77777777" w:rsidR="003426CA" w:rsidRPr="00D21420" w:rsidRDefault="003426CA" w:rsidP="003426CA">
      <w:pPr>
        <w:jc w:val="both"/>
        <w:rPr>
          <w:lang w:bidi="de-DE"/>
        </w:rPr>
      </w:pPr>
    </w:p>
    <w:p w14:paraId="48F6DA84" w14:textId="1427D281"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162</w:t>
      </w:r>
      <w:r w:rsidRPr="00D21420">
        <w:rPr>
          <w:rFonts w:eastAsia="Calibri"/>
          <w:lang w:eastAsia="de-DE" w:bidi="de-DE"/>
        </w:rPr>
        <w:t> </w:t>
      </w:r>
      <w:r w:rsidR="004116A3">
        <w:rPr>
          <w:rFonts w:eastAsia="Calibri"/>
          <w:lang w:eastAsia="de-DE" w:bidi="de-DE"/>
        </w:rPr>
        <w:t xml:space="preserve">- </w:t>
      </w:r>
      <w:r w:rsidRPr="00D21420">
        <w:rPr>
          <w:rFonts w:eastAsia="Calibri"/>
          <w:b/>
          <w:lang w:eastAsia="de-DE" w:bidi="de-DE"/>
        </w:rPr>
        <w:t>163</w:t>
      </w:r>
      <w:r w:rsidRPr="00D21420">
        <w:rPr>
          <w:rFonts w:eastAsia="Calibri"/>
          <w:lang w:eastAsia="de-DE" w:bidi="de-DE"/>
        </w:rPr>
        <w:t xml:space="preserve"> - </w:t>
      </w:r>
      <w:r w:rsidR="004116A3">
        <w:rPr>
          <w:rFonts w:eastAsia="Calibri"/>
          <w:lang w:eastAsia="de-DE" w:bidi="de-DE"/>
        </w:rPr>
        <w:t>[...]]</w:t>
      </w:r>
    </w:p>
    <w:p w14:paraId="4129E374" w14:textId="77777777" w:rsidR="005879E4" w:rsidRDefault="005879E4" w:rsidP="003426CA">
      <w:pPr>
        <w:jc w:val="center"/>
        <w:rPr>
          <w:rFonts w:eastAsia="Calibri"/>
          <w:lang w:eastAsia="de-DE" w:bidi="de-DE"/>
        </w:rPr>
      </w:pPr>
    </w:p>
    <w:p w14:paraId="7F07A963" w14:textId="77777777" w:rsidR="00FB6FEE" w:rsidRDefault="00FB6FEE">
      <w:pPr>
        <w:rPr>
          <w:rFonts w:eastAsia="Calibri"/>
          <w:lang w:eastAsia="de-DE" w:bidi="de-DE"/>
        </w:rPr>
      </w:pPr>
    </w:p>
    <w:p w14:paraId="493F8852" w14:textId="35E187C1" w:rsidR="00AF2BE3" w:rsidRPr="000B04B1" w:rsidRDefault="004116A3" w:rsidP="000B04B1">
      <w:pPr>
        <w:jc w:val="center"/>
        <w:rPr>
          <w:lang w:eastAsia="de-DE" w:bidi="de-DE"/>
        </w:rPr>
      </w:pPr>
      <w:r>
        <w:rPr>
          <w:rFonts w:eastAsia="Calibri"/>
          <w:lang w:eastAsia="de-DE" w:bidi="de-DE"/>
        </w:rPr>
        <w:t>[</w:t>
      </w:r>
      <w:r w:rsidR="00AF2BE3" w:rsidRPr="00D21420">
        <w:rPr>
          <w:rFonts w:eastAsia="Calibri"/>
          <w:lang w:eastAsia="de-DE" w:bidi="de-DE"/>
        </w:rPr>
        <w:t>Unterabschnitt 3 </w:t>
      </w:r>
      <w:r w:rsidR="000B04B1">
        <w:rPr>
          <w:rFonts w:eastAsia="Calibri"/>
          <w:lang w:eastAsia="de-DE" w:bidi="de-DE"/>
        </w:rPr>
        <w:t>-</w:t>
      </w:r>
      <w:r w:rsidR="00AF2BE3" w:rsidRPr="007E376B">
        <w:rPr>
          <w:rFonts w:eastAsia="Calibri"/>
          <w:sz w:val="20"/>
          <w:lang w:eastAsia="de-DE" w:bidi="de-DE"/>
        </w:rPr>
        <w:t xml:space="preserve"> </w:t>
      </w:r>
      <w:r w:rsidR="00AF2BE3" w:rsidRPr="000B04B1">
        <w:rPr>
          <w:rFonts w:eastAsia="Calibri"/>
          <w:lang w:eastAsia="de-DE" w:bidi="de-DE"/>
        </w:rPr>
        <w:t>[...]</w:t>
      </w:r>
    </w:p>
    <w:p w14:paraId="255D96A5" w14:textId="77777777" w:rsidR="00AF2BE3" w:rsidRPr="000B04B1" w:rsidRDefault="00AF2BE3" w:rsidP="00AF2BE3">
      <w:pPr>
        <w:jc w:val="both"/>
        <w:rPr>
          <w:lang w:bidi="de-DE"/>
        </w:rPr>
      </w:pPr>
    </w:p>
    <w:p w14:paraId="1268FE27" w14:textId="36B4DC49" w:rsidR="00AF2BE3" w:rsidRPr="000B04B1" w:rsidRDefault="00AF2BE3" w:rsidP="00AF2BE3">
      <w:pPr>
        <w:jc w:val="both"/>
        <w:rPr>
          <w:i/>
          <w:iCs/>
          <w:lang w:bidi="de-DE"/>
        </w:rPr>
      </w:pPr>
      <w:r w:rsidRPr="000B04B1">
        <w:rPr>
          <w:i/>
          <w:iCs/>
          <w:lang w:bidi="de-DE"/>
        </w:rPr>
        <w:t>[Unterabschnitt 3 mit den Artikeln 164 bis 166 aufgehoben durch Art. 136 Nr. 1 des G. vom 13. April 2019 (B.S. vom 30. April 2019)]</w:t>
      </w:r>
    </w:p>
    <w:p w14:paraId="60EAD936" w14:textId="77777777" w:rsidR="00AF2BE3" w:rsidRPr="000B04B1" w:rsidRDefault="00AF2BE3" w:rsidP="00AF2BE3">
      <w:pPr>
        <w:jc w:val="both"/>
        <w:rPr>
          <w:lang w:bidi="de-DE"/>
        </w:rPr>
      </w:pPr>
    </w:p>
    <w:p w14:paraId="56F7D1BF" w14:textId="77777777" w:rsidR="00AF2BE3" w:rsidRPr="000B04B1" w:rsidRDefault="00AF2BE3" w:rsidP="00AF2BE3">
      <w:pPr>
        <w:jc w:val="both"/>
        <w:rPr>
          <w:lang w:bidi="de-DE"/>
        </w:rPr>
      </w:pPr>
    </w:p>
    <w:p w14:paraId="12F7FC2F" w14:textId="1DB90DDF" w:rsidR="00AF2BE3" w:rsidRDefault="00AF2BE3" w:rsidP="000B04B1">
      <w:pPr>
        <w:ind w:firstLine="708"/>
        <w:jc w:val="both"/>
        <w:rPr>
          <w:rFonts w:eastAsia="Calibri"/>
          <w:lang w:eastAsia="de-DE" w:bidi="de-DE"/>
        </w:rPr>
      </w:pPr>
      <w:r w:rsidRPr="000B04B1">
        <w:rPr>
          <w:rFonts w:eastAsia="Calibri"/>
          <w:b/>
          <w:lang w:eastAsia="de-DE" w:bidi="de-DE"/>
        </w:rPr>
        <w:t>Art. 164 - </w:t>
      </w:r>
      <w:r w:rsidRPr="000B04B1">
        <w:rPr>
          <w:rFonts w:eastAsia="Calibri"/>
          <w:b/>
          <w:bCs/>
          <w:lang w:eastAsia="de-DE" w:bidi="de-DE"/>
        </w:rPr>
        <w:t>166</w:t>
      </w:r>
      <w:r w:rsidRPr="000B04B1">
        <w:rPr>
          <w:rFonts w:eastAsia="Calibri"/>
          <w:lang w:eastAsia="de-DE" w:bidi="de-DE"/>
        </w:rPr>
        <w:t> - [...]]</w:t>
      </w:r>
    </w:p>
    <w:p w14:paraId="5F55F588" w14:textId="7FB95438" w:rsidR="000B04B1" w:rsidRDefault="000B04B1" w:rsidP="00AF2BE3">
      <w:pPr>
        <w:jc w:val="both"/>
        <w:rPr>
          <w:rFonts w:eastAsia="Calibri"/>
          <w:lang w:eastAsia="de-DE" w:bidi="de-DE"/>
        </w:rPr>
      </w:pPr>
    </w:p>
    <w:p w14:paraId="03E0E52E" w14:textId="77777777" w:rsidR="000B04B1" w:rsidRPr="000B04B1" w:rsidRDefault="000B04B1" w:rsidP="00AF2BE3">
      <w:pPr>
        <w:jc w:val="both"/>
        <w:rPr>
          <w:lang w:eastAsia="de-DE" w:bidi="de-DE"/>
        </w:rPr>
      </w:pPr>
    </w:p>
    <w:p w14:paraId="383E0C8D" w14:textId="77777777" w:rsidR="00AF3938" w:rsidRDefault="00AF3938">
      <w:pPr>
        <w:rPr>
          <w:rFonts w:eastAsia="Calibri"/>
          <w:lang w:eastAsia="de-DE" w:bidi="de-DE"/>
        </w:rPr>
      </w:pPr>
      <w:r>
        <w:rPr>
          <w:rFonts w:eastAsia="Calibri"/>
          <w:lang w:eastAsia="de-DE" w:bidi="de-DE"/>
        </w:rPr>
        <w:br w:type="page"/>
      </w:r>
    </w:p>
    <w:p w14:paraId="07F0C58D" w14:textId="22F8A77C" w:rsidR="003426CA" w:rsidRPr="00D21420" w:rsidRDefault="004116A3" w:rsidP="003426CA">
      <w:pPr>
        <w:jc w:val="center"/>
        <w:rPr>
          <w:lang w:eastAsia="de-DE" w:bidi="de-DE"/>
        </w:rPr>
      </w:pPr>
      <w:r>
        <w:rPr>
          <w:rFonts w:eastAsia="Calibri"/>
          <w:lang w:eastAsia="de-DE" w:bidi="de-DE"/>
        </w:rPr>
        <w:lastRenderedPageBreak/>
        <w:t>[</w:t>
      </w:r>
      <w:r w:rsidR="003426CA" w:rsidRPr="00D21420">
        <w:rPr>
          <w:rFonts w:eastAsia="Calibri"/>
          <w:lang w:eastAsia="de-DE" w:bidi="de-DE"/>
        </w:rPr>
        <w:t xml:space="preserve">Unterabschnitt 4 - </w:t>
      </w:r>
      <w:r>
        <w:rPr>
          <w:rFonts w:eastAsia="Calibri"/>
          <w:lang w:eastAsia="de-DE" w:bidi="de-DE"/>
        </w:rPr>
        <w:t>[...]</w:t>
      </w:r>
    </w:p>
    <w:p w14:paraId="3AD774E9" w14:textId="470FF015" w:rsidR="003426CA" w:rsidRDefault="003426CA" w:rsidP="003426CA">
      <w:pPr>
        <w:jc w:val="both"/>
        <w:rPr>
          <w:lang w:bidi="de-DE"/>
        </w:rPr>
      </w:pPr>
    </w:p>
    <w:p w14:paraId="68EC4E20" w14:textId="08AD99B4" w:rsidR="004116A3" w:rsidRDefault="004116A3" w:rsidP="004116A3">
      <w:pPr>
        <w:jc w:val="both"/>
        <w:rPr>
          <w:i/>
          <w:lang w:eastAsia="de-DE"/>
        </w:rPr>
      </w:pPr>
      <w:r>
        <w:rPr>
          <w:i/>
          <w:lang w:bidi="de-DE"/>
        </w:rPr>
        <w:t>[Unterabschnitt 4 mit den Artikeln 167 bis 171 aufgehoben durch Art. 35 Nr. </w:t>
      </w:r>
      <w:r w:rsidR="009808BC">
        <w:rPr>
          <w:i/>
          <w:lang w:bidi="de-DE"/>
        </w:rPr>
        <w:t>3</w:t>
      </w:r>
      <w:r>
        <w:rPr>
          <w:i/>
          <w:lang w:eastAsia="de-DE"/>
        </w:rPr>
        <w:t xml:space="preserve"> des K.E. vom 9. Dezember 2019 (B.S. vom 16. Dezember 2019)]</w:t>
      </w:r>
    </w:p>
    <w:p w14:paraId="497A2760" w14:textId="77777777" w:rsidR="004116A3" w:rsidRPr="00D21420" w:rsidRDefault="004116A3" w:rsidP="003426CA">
      <w:pPr>
        <w:jc w:val="both"/>
        <w:rPr>
          <w:lang w:bidi="de-DE"/>
        </w:rPr>
      </w:pPr>
    </w:p>
    <w:p w14:paraId="76ACDB71" w14:textId="77777777" w:rsidR="003426CA" w:rsidRPr="00D21420" w:rsidRDefault="003426CA" w:rsidP="003426CA">
      <w:pPr>
        <w:jc w:val="both"/>
        <w:rPr>
          <w:lang w:bidi="de-DE"/>
        </w:rPr>
      </w:pPr>
    </w:p>
    <w:p w14:paraId="7E32F4A7" w14:textId="052FB8C3" w:rsidR="003426CA" w:rsidRPr="00D21420" w:rsidRDefault="003426CA" w:rsidP="004116A3">
      <w:pPr>
        <w:jc w:val="both"/>
        <w:rPr>
          <w:lang w:bidi="de-DE"/>
        </w:rPr>
      </w:pPr>
      <w:r w:rsidRPr="00D21420">
        <w:rPr>
          <w:rFonts w:eastAsia="Calibri"/>
          <w:szCs w:val="22"/>
          <w:lang w:eastAsia="de-DE" w:bidi="de-DE"/>
        </w:rPr>
        <w:tab/>
      </w:r>
      <w:r w:rsidRPr="00D21420">
        <w:rPr>
          <w:rFonts w:eastAsia="Calibri"/>
          <w:b/>
          <w:lang w:eastAsia="de-DE" w:bidi="de-DE"/>
        </w:rPr>
        <w:t>Art. 167</w:t>
      </w:r>
      <w:r w:rsidRPr="00D21420">
        <w:rPr>
          <w:rFonts w:eastAsia="Calibri"/>
          <w:lang w:eastAsia="de-DE" w:bidi="de-DE"/>
        </w:rPr>
        <w:t xml:space="preserve"> - </w:t>
      </w:r>
      <w:r w:rsidRPr="00D21420">
        <w:rPr>
          <w:rFonts w:eastAsia="Calibri"/>
          <w:b/>
          <w:lang w:eastAsia="de-DE" w:bidi="de-DE"/>
        </w:rPr>
        <w:t>171</w:t>
      </w:r>
      <w:r w:rsidRPr="00D21420">
        <w:rPr>
          <w:rFonts w:eastAsia="Calibri"/>
          <w:lang w:eastAsia="de-DE" w:bidi="de-DE"/>
        </w:rPr>
        <w:t xml:space="preserve"> - </w:t>
      </w:r>
      <w:r w:rsidR="004116A3">
        <w:rPr>
          <w:rFonts w:eastAsia="Calibri"/>
          <w:lang w:eastAsia="de-DE" w:bidi="de-DE"/>
        </w:rPr>
        <w:t>[...]]</w:t>
      </w:r>
    </w:p>
    <w:p w14:paraId="03E0B357" w14:textId="5C7B8A19" w:rsidR="003426CA" w:rsidRDefault="003426CA" w:rsidP="003426CA">
      <w:pPr>
        <w:jc w:val="both"/>
        <w:rPr>
          <w:lang w:bidi="de-DE"/>
        </w:rPr>
      </w:pPr>
    </w:p>
    <w:p w14:paraId="0A6DD17A" w14:textId="77777777" w:rsidR="004116A3" w:rsidRPr="00D21420" w:rsidRDefault="004116A3" w:rsidP="003426CA">
      <w:pPr>
        <w:jc w:val="both"/>
        <w:rPr>
          <w:lang w:bidi="de-DE"/>
        </w:rPr>
      </w:pPr>
    </w:p>
    <w:p w14:paraId="5E4CD011" w14:textId="7D6FCE9C" w:rsidR="003426CA" w:rsidRPr="00D21420" w:rsidRDefault="009808BC" w:rsidP="003426CA">
      <w:pPr>
        <w:jc w:val="center"/>
        <w:rPr>
          <w:lang w:eastAsia="de-DE" w:bidi="de-DE"/>
        </w:rPr>
      </w:pPr>
      <w:r>
        <w:rPr>
          <w:rFonts w:eastAsia="Calibri"/>
          <w:lang w:eastAsia="de-DE" w:bidi="de-DE"/>
        </w:rPr>
        <w:t>[</w:t>
      </w:r>
      <w:r w:rsidR="003426CA" w:rsidRPr="00D21420">
        <w:rPr>
          <w:rFonts w:eastAsia="Calibri"/>
          <w:lang w:eastAsia="de-DE" w:bidi="de-DE"/>
        </w:rPr>
        <w:t xml:space="preserve">Unterabschnitt 5 - </w:t>
      </w:r>
      <w:r w:rsidR="004B306B">
        <w:rPr>
          <w:rFonts w:eastAsia="Calibri"/>
          <w:lang w:eastAsia="de-DE" w:bidi="de-DE"/>
        </w:rPr>
        <w:t>[...]</w:t>
      </w:r>
    </w:p>
    <w:p w14:paraId="43D7169C" w14:textId="75954ADA" w:rsidR="003426CA" w:rsidRDefault="003426CA" w:rsidP="003426CA">
      <w:pPr>
        <w:jc w:val="both"/>
        <w:rPr>
          <w:lang w:bidi="de-DE"/>
        </w:rPr>
      </w:pPr>
    </w:p>
    <w:p w14:paraId="7D39B4E9" w14:textId="6F1F0D24" w:rsidR="009808BC" w:rsidRDefault="009808BC" w:rsidP="009808BC">
      <w:pPr>
        <w:jc w:val="both"/>
        <w:rPr>
          <w:i/>
          <w:lang w:eastAsia="de-DE"/>
        </w:rPr>
      </w:pPr>
      <w:r>
        <w:rPr>
          <w:i/>
          <w:lang w:bidi="de-DE"/>
        </w:rPr>
        <w:t>[Unterabschnitt 5 mit den Artikeln 172 bis 174 aufgehoben durch Art. 35 Nr. 4</w:t>
      </w:r>
      <w:r>
        <w:rPr>
          <w:i/>
          <w:lang w:eastAsia="de-DE"/>
        </w:rPr>
        <w:t xml:space="preserve"> des K.E. vom 9. Dezember 2019 (B.S. vom 16. Dezember 2019)]</w:t>
      </w:r>
    </w:p>
    <w:p w14:paraId="7B657A10" w14:textId="77777777" w:rsidR="009808BC" w:rsidRPr="00D21420" w:rsidRDefault="009808BC" w:rsidP="003426CA">
      <w:pPr>
        <w:jc w:val="both"/>
        <w:rPr>
          <w:lang w:bidi="de-DE"/>
        </w:rPr>
      </w:pPr>
    </w:p>
    <w:p w14:paraId="2D8B30DF" w14:textId="77777777" w:rsidR="003426CA" w:rsidRPr="00D21420" w:rsidRDefault="003426CA" w:rsidP="003426CA">
      <w:pPr>
        <w:jc w:val="both"/>
        <w:rPr>
          <w:lang w:bidi="de-DE"/>
        </w:rPr>
      </w:pPr>
    </w:p>
    <w:p w14:paraId="60244C4F" w14:textId="3149B79B" w:rsidR="003426CA" w:rsidRPr="00D21420" w:rsidRDefault="003426CA" w:rsidP="009808BC">
      <w:pPr>
        <w:jc w:val="both"/>
        <w:rPr>
          <w:lang w:bidi="de-DE"/>
        </w:rPr>
      </w:pPr>
      <w:r w:rsidRPr="00D21420">
        <w:rPr>
          <w:rFonts w:eastAsia="Calibri"/>
          <w:szCs w:val="22"/>
          <w:lang w:eastAsia="de-DE" w:bidi="de-DE"/>
        </w:rPr>
        <w:tab/>
      </w:r>
      <w:r w:rsidRPr="00D21420">
        <w:rPr>
          <w:rFonts w:eastAsia="Calibri"/>
          <w:b/>
          <w:lang w:eastAsia="de-DE" w:bidi="de-DE"/>
        </w:rPr>
        <w:t>Art. 172</w:t>
      </w:r>
      <w:r w:rsidRPr="00D21420">
        <w:rPr>
          <w:rFonts w:eastAsia="Calibri"/>
          <w:lang w:eastAsia="de-DE" w:bidi="de-DE"/>
        </w:rPr>
        <w:t xml:space="preserve"> - </w:t>
      </w:r>
      <w:r w:rsidRPr="00D21420">
        <w:rPr>
          <w:rFonts w:eastAsia="Calibri"/>
          <w:b/>
          <w:lang w:eastAsia="de-DE" w:bidi="de-DE"/>
        </w:rPr>
        <w:t>174</w:t>
      </w:r>
      <w:r w:rsidRPr="00D21420">
        <w:rPr>
          <w:rFonts w:eastAsia="Calibri"/>
          <w:lang w:eastAsia="de-DE" w:bidi="de-DE"/>
        </w:rPr>
        <w:t xml:space="preserve"> - </w:t>
      </w:r>
      <w:r w:rsidR="009808BC">
        <w:rPr>
          <w:rFonts w:eastAsia="Calibri"/>
          <w:lang w:eastAsia="de-DE" w:bidi="de-DE"/>
        </w:rPr>
        <w:t>[...]]</w:t>
      </w:r>
    </w:p>
    <w:p w14:paraId="6B905FCB" w14:textId="02D7D54A" w:rsidR="003426CA" w:rsidRDefault="003426CA" w:rsidP="003426CA">
      <w:pPr>
        <w:jc w:val="both"/>
        <w:rPr>
          <w:lang w:bidi="de-DE"/>
        </w:rPr>
      </w:pPr>
    </w:p>
    <w:p w14:paraId="2D1E2CB5" w14:textId="77777777" w:rsidR="009808BC" w:rsidRPr="00D21420" w:rsidRDefault="009808BC" w:rsidP="003426CA">
      <w:pPr>
        <w:jc w:val="both"/>
        <w:rPr>
          <w:lang w:bidi="de-DE"/>
        </w:rPr>
      </w:pPr>
    </w:p>
    <w:p w14:paraId="1CB7DA92" w14:textId="77777777" w:rsidR="003426CA" w:rsidRPr="00D21420" w:rsidRDefault="003426CA" w:rsidP="003426CA">
      <w:pPr>
        <w:jc w:val="center"/>
        <w:rPr>
          <w:lang w:eastAsia="de-DE" w:bidi="de-DE"/>
        </w:rPr>
      </w:pPr>
      <w:r w:rsidRPr="00D21420">
        <w:rPr>
          <w:rFonts w:eastAsia="Calibri"/>
          <w:lang w:eastAsia="de-DE" w:bidi="de-DE"/>
        </w:rPr>
        <w:t>Unterabschnitt 6 - Allgemeine Bestimmungen</w:t>
      </w:r>
    </w:p>
    <w:p w14:paraId="5448D533" w14:textId="77777777" w:rsidR="003426CA" w:rsidRPr="00D21420" w:rsidRDefault="003426CA" w:rsidP="003426CA">
      <w:pPr>
        <w:jc w:val="both"/>
        <w:rPr>
          <w:lang w:bidi="de-DE"/>
        </w:rPr>
      </w:pPr>
    </w:p>
    <w:p w14:paraId="0927EE48" w14:textId="77777777" w:rsidR="003426CA" w:rsidRPr="00D21420" w:rsidRDefault="003426CA" w:rsidP="003426CA">
      <w:pPr>
        <w:jc w:val="both"/>
        <w:rPr>
          <w:lang w:bidi="de-DE"/>
        </w:rPr>
      </w:pPr>
    </w:p>
    <w:p w14:paraId="5BECF115"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175</w:t>
      </w:r>
      <w:r w:rsidRPr="00D21420">
        <w:rPr>
          <w:rFonts w:eastAsia="Calibri"/>
          <w:lang w:eastAsia="de-DE" w:bidi="de-DE"/>
        </w:rPr>
        <w:t> - Die Gesetzesbestimmungen über Inhalt und Zustellung von Gerichtsvollzieherurkunden sind auf Urkunden in Bezug auf Rechtsverfolgungen im Bereich der direkten Steuern anwendbar.</w:t>
      </w:r>
    </w:p>
    <w:p w14:paraId="2BE9A3EC" w14:textId="77777777" w:rsidR="003426CA" w:rsidRPr="00D21420" w:rsidRDefault="003426CA" w:rsidP="003426CA">
      <w:pPr>
        <w:jc w:val="both"/>
        <w:rPr>
          <w:lang w:bidi="de-DE"/>
        </w:rPr>
      </w:pPr>
    </w:p>
    <w:p w14:paraId="3D4260C9" w14:textId="77777777" w:rsidR="003426CA" w:rsidRPr="00D21420" w:rsidRDefault="003426CA" w:rsidP="003426CA">
      <w:pPr>
        <w:jc w:val="both"/>
        <w:rPr>
          <w:lang w:bidi="de-DE"/>
        </w:rPr>
      </w:pPr>
    </w:p>
    <w:p w14:paraId="3687E6DF" w14:textId="77777777" w:rsidR="003426CA" w:rsidRPr="00D21420" w:rsidRDefault="003426CA" w:rsidP="003426CA">
      <w:pPr>
        <w:jc w:val="center"/>
        <w:rPr>
          <w:lang w:eastAsia="de-DE" w:bidi="de-DE"/>
        </w:rPr>
      </w:pPr>
      <w:r w:rsidRPr="00D21420">
        <w:rPr>
          <w:rFonts w:eastAsia="Calibri"/>
          <w:i/>
          <w:lang w:eastAsia="de-DE" w:bidi="de-DE"/>
        </w:rPr>
        <w:t>Abschnitt 6</w:t>
      </w:r>
      <w:r w:rsidRPr="00D21420">
        <w:rPr>
          <w:rFonts w:eastAsia="Calibri"/>
          <w:lang w:eastAsia="de-DE" w:bidi="de-DE"/>
        </w:rPr>
        <w:t xml:space="preserve"> - Ermittlung von Verstößen </w:t>
      </w:r>
    </w:p>
    <w:p w14:paraId="16B0C96A" w14:textId="77777777" w:rsidR="003426CA" w:rsidRPr="00D21420" w:rsidRDefault="003426CA" w:rsidP="003426CA">
      <w:pPr>
        <w:jc w:val="center"/>
        <w:rPr>
          <w:lang w:bidi="de-DE"/>
        </w:rPr>
      </w:pPr>
    </w:p>
    <w:p w14:paraId="172B972A" w14:textId="77777777" w:rsidR="003426CA" w:rsidRPr="00D21420" w:rsidRDefault="003426CA" w:rsidP="003426CA">
      <w:pPr>
        <w:jc w:val="center"/>
        <w:rPr>
          <w:lang w:eastAsia="de-DE" w:bidi="de-DE"/>
        </w:rPr>
      </w:pPr>
      <w:r w:rsidRPr="00D21420">
        <w:rPr>
          <w:rFonts w:eastAsia="Calibri"/>
          <w:lang w:eastAsia="de-DE" w:bidi="de-DE"/>
        </w:rPr>
        <w:t>(Einkommensteuergesetzbuch 1992, Artikel 300 § 1)</w:t>
      </w:r>
    </w:p>
    <w:p w14:paraId="7E52EDD0" w14:textId="77777777" w:rsidR="003426CA" w:rsidRPr="00D21420" w:rsidRDefault="003426CA" w:rsidP="003426CA">
      <w:pPr>
        <w:jc w:val="both"/>
        <w:rPr>
          <w:lang w:bidi="de-DE"/>
        </w:rPr>
      </w:pPr>
    </w:p>
    <w:p w14:paraId="4E7A304F" w14:textId="77777777" w:rsidR="003426CA" w:rsidRPr="00D21420" w:rsidRDefault="003426CA" w:rsidP="003426CA">
      <w:pPr>
        <w:jc w:val="both"/>
        <w:rPr>
          <w:lang w:bidi="de-DE"/>
        </w:rPr>
      </w:pPr>
    </w:p>
    <w:p w14:paraId="409C2855"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176</w:t>
      </w:r>
      <w:r w:rsidRPr="00D21420">
        <w:rPr>
          <w:rFonts w:eastAsia="Calibri"/>
          <w:lang w:eastAsia="de-DE" w:bidi="de-DE"/>
        </w:rPr>
        <w:t> - Unbeschadet der Befugnisse der Gerichtsoffiziere bei der Staatsanwalt</w:t>
      </w:r>
      <w:r w:rsidRPr="00D21420">
        <w:rPr>
          <w:rFonts w:eastAsia="Calibri"/>
          <w:lang w:eastAsia="de-DE" w:bidi="de-DE"/>
        </w:rPr>
        <w:softHyphen/>
        <w:t>schaft sind die Beamten der Verwaltung der direkten Steuern, der Zoll- und Akzisen</w:t>
      </w:r>
      <w:r w:rsidRPr="00D21420">
        <w:rPr>
          <w:rFonts w:eastAsia="Calibri"/>
          <w:lang w:eastAsia="de-DE" w:bidi="de-DE"/>
        </w:rPr>
        <w:softHyphen/>
        <w:t>verwaltung und der Katasterverwaltung, die vereidigten Gemeindebeamten, die Gendarmen, die Gerichtsbediensteten bei der Staatsanwaltschaft, die Sonderkontrolleure, die der Transportverwaltung beigeordnet sind, und die Mitglieder des Aufsichtspersonals des Hohen Kontrollausschusses befugt, Verstöße zu ermitteln und selbst allein Protokolle im Bereich der direkten Steuern zu erstellen.</w:t>
      </w:r>
    </w:p>
    <w:p w14:paraId="41C4125B" w14:textId="77777777" w:rsidR="003426CA" w:rsidRPr="00D21420" w:rsidRDefault="003426CA" w:rsidP="003426CA">
      <w:pPr>
        <w:jc w:val="both"/>
        <w:rPr>
          <w:lang w:bidi="de-DE"/>
        </w:rPr>
      </w:pPr>
    </w:p>
    <w:p w14:paraId="1A00FFDB"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Diese Protokolle, denen eventuell schriftliche Erläuterungen der Zuwiderhandelnden beigefügt werden, werden auf Antrag des Ministers der Finanzen und auf Betreiben des Direktors der direkten Steuern, mit Wahl des Wohnsitzes in seinen Ämtern, erstellt; sie müssen weder bestätigt noch mit einem Sichtvermerk versehen und nicht notifiziert werden.</w:t>
      </w:r>
    </w:p>
    <w:p w14:paraId="33644362" w14:textId="77777777" w:rsidR="003426CA" w:rsidRPr="00D21420" w:rsidRDefault="003426CA" w:rsidP="003426CA">
      <w:pPr>
        <w:jc w:val="both"/>
        <w:rPr>
          <w:lang w:bidi="de-DE"/>
        </w:rPr>
      </w:pPr>
    </w:p>
    <w:p w14:paraId="2879E3BD" w14:textId="77777777" w:rsidR="003426CA" w:rsidRDefault="003426CA" w:rsidP="003426CA">
      <w:pPr>
        <w:jc w:val="both"/>
        <w:rPr>
          <w:rFonts w:eastAsia="Calibri"/>
          <w:lang w:eastAsia="de-DE" w:bidi="de-DE"/>
        </w:rPr>
      </w:pPr>
      <w:r w:rsidRPr="00D21420">
        <w:rPr>
          <w:rFonts w:eastAsia="Calibri"/>
          <w:szCs w:val="22"/>
          <w:lang w:eastAsia="de-DE" w:bidi="de-DE"/>
        </w:rPr>
        <w:tab/>
      </w:r>
      <w:r w:rsidRPr="00D21420">
        <w:rPr>
          <w:rFonts w:eastAsia="Calibri"/>
          <w:lang w:eastAsia="de-DE" w:bidi="de-DE"/>
        </w:rPr>
        <w:t>Die Protokolle werden den zu diesem Zweck vom Minister der Finanzen bestimmten Beamten übermittelt.</w:t>
      </w:r>
    </w:p>
    <w:p w14:paraId="67229B08" w14:textId="77777777" w:rsidR="00B7418B" w:rsidRDefault="00B7418B" w:rsidP="003426CA">
      <w:pPr>
        <w:jc w:val="both"/>
        <w:rPr>
          <w:rFonts w:eastAsia="Calibri"/>
          <w:lang w:eastAsia="de-DE" w:bidi="de-DE"/>
        </w:rPr>
      </w:pPr>
    </w:p>
    <w:p w14:paraId="35A265C9" w14:textId="77777777" w:rsidR="00B7418B" w:rsidRPr="00D21420" w:rsidRDefault="00B7418B" w:rsidP="003426CA">
      <w:pPr>
        <w:jc w:val="both"/>
        <w:rPr>
          <w:lang w:eastAsia="de-DE" w:bidi="de-DE"/>
        </w:rPr>
      </w:pPr>
    </w:p>
    <w:p w14:paraId="6A1AD690" w14:textId="77777777" w:rsidR="00AF3938" w:rsidRDefault="00AF3938">
      <w:pPr>
        <w:rPr>
          <w:rFonts w:eastAsia="Calibri"/>
          <w:i/>
          <w:lang w:eastAsia="de-DE" w:bidi="de-DE"/>
        </w:rPr>
      </w:pPr>
      <w:r>
        <w:rPr>
          <w:rFonts w:eastAsia="Calibri"/>
          <w:i/>
          <w:lang w:eastAsia="de-DE" w:bidi="de-DE"/>
        </w:rPr>
        <w:br w:type="page"/>
      </w:r>
    </w:p>
    <w:p w14:paraId="12FB9848" w14:textId="3F744228" w:rsidR="005D3E82" w:rsidRDefault="005D3E82" w:rsidP="005D3E82">
      <w:pPr>
        <w:jc w:val="center"/>
        <w:rPr>
          <w:lang w:eastAsia="de-DE" w:bidi="de-DE"/>
        </w:rPr>
      </w:pPr>
      <w:r>
        <w:rPr>
          <w:rFonts w:eastAsia="Calibri"/>
          <w:i/>
          <w:lang w:eastAsia="de-DE" w:bidi="de-DE"/>
        </w:rPr>
        <w:lastRenderedPageBreak/>
        <w:t>Abschnitt 7</w:t>
      </w:r>
      <w:r>
        <w:rPr>
          <w:rFonts w:eastAsia="Calibri"/>
          <w:lang w:eastAsia="de-DE" w:bidi="de-DE"/>
        </w:rPr>
        <w:t> - [Festlegung und Beitreibung der Steuer der Gebietsfremden auf Mehrwerte auf unbewegliche Güter]</w:t>
      </w:r>
    </w:p>
    <w:p w14:paraId="590DC4EB" w14:textId="77777777" w:rsidR="005D3E82" w:rsidRDefault="005D3E82" w:rsidP="005D3E82">
      <w:pPr>
        <w:jc w:val="both"/>
        <w:rPr>
          <w:lang w:bidi="de-DE"/>
        </w:rPr>
      </w:pPr>
    </w:p>
    <w:p w14:paraId="00483F25" w14:textId="77777777" w:rsidR="005D3E82" w:rsidRDefault="005D3E82" w:rsidP="005D3E82">
      <w:pPr>
        <w:jc w:val="center"/>
        <w:rPr>
          <w:lang w:eastAsia="de-DE" w:bidi="de-DE"/>
        </w:rPr>
      </w:pPr>
      <w:r>
        <w:rPr>
          <w:rFonts w:eastAsia="Calibri"/>
          <w:lang w:eastAsia="de-DE" w:bidi="de-DE"/>
        </w:rPr>
        <w:t>(Einkommensteuergesetzbuch 1992, Artikel 301)</w:t>
      </w:r>
    </w:p>
    <w:p w14:paraId="6EAB24C3" w14:textId="77777777" w:rsidR="005D3E82" w:rsidRDefault="005D3E82" w:rsidP="005D3E82">
      <w:pPr>
        <w:jc w:val="center"/>
        <w:rPr>
          <w:lang w:bidi="de-DE"/>
        </w:rPr>
      </w:pPr>
    </w:p>
    <w:p w14:paraId="36AE4122" w14:textId="77777777" w:rsidR="005D3E82" w:rsidRDefault="005D3E82" w:rsidP="005D3E82">
      <w:pPr>
        <w:jc w:val="both"/>
        <w:rPr>
          <w:i/>
          <w:lang w:eastAsia="de-DE" w:bidi="de-DE"/>
        </w:rPr>
      </w:pPr>
      <w:r>
        <w:rPr>
          <w:rFonts w:eastAsia="Calibri"/>
          <w:i/>
          <w:lang w:eastAsia="de-DE" w:bidi="de-DE"/>
        </w:rPr>
        <w:t>[Überschrift von Abschnitt 7 ersetzt durch Art. 9 des K.E. vom 23. November 2021 (B.S. vom 2. Dezember 2021)]</w:t>
      </w:r>
    </w:p>
    <w:p w14:paraId="1E50C299" w14:textId="77777777" w:rsidR="003426CA" w:rsidRPr="00D21420" w:rsidRDefault="003426CA" w:rsidP="003426CA">
      <w:pPr>
        <w:jc w:val="both"/>
        <w:rPr>
          <w:lang w:bidi="de-DE"/>
        </w:rPr>
      </w:pPr>
    </w:p>
    <w:p w14:paraId="1B4628C6" w14:textId="77777777" w:rsidR="003426CA" w:rsidRPr="00D21420" w:rsidRDefault="003426CA" w:rsidP="003426CA">
      <w:pPr>
        <w:jc w:val="both"/>
        <w:rPr>
          <w:lang w:bidi="de-DE"/>
        </w:rPr>
      </w:pPr>
    </w:p>
    <w:p w14:paraId="0D942749" w14:textId="77777777" w:rsidR="005D3E82" w:rsidRDefault="005D3E82" w:rsidP="005D3E82">
      <w:pPr>
        <w:jc w:val="both"/>
        <w:rPr>
          <w:lang w:eastAsia="de-DE" w:bidi="de-DE"/>
        </w:rPr>
      </w:pPr>
      <w:r>
        <w:rPr>
          <w:rFonts w:eastAsia="Calibri"/>
          <w:szCs w:val="22"/>
          <w:lang w:eastAsia="de-DE" w:bidi="de-DE"/>
        </w:rPr>
        <w:tab/>
      </w:r>
      <w:r>
        <w:rPr>
          <w:rFonts w:eastAsia="Calibri"/>
          <w:b/>
          <w:lang w:eastAsia="de-DE" w:bidi="de-DE"/>
        </w:rPr>
        <w:t>Art. 177</w:t>
      </w:r>
      <w:r>
        <w:rPr>
          <w:rFonts w:eastAsia="Calibri"/>
          <w:lang w:eastAsia="de-DE" w:bidi="de-DE"/>
        </w:rPr>
        <w:t> - § 1 - [Im Falle einer entgeltlichen Abtretung in Belgien gelegener unbeweglicher Güter oder dinglicher Rechte an diesen Gütern müssen Personen, die aufgrund von Artikel 35 des Registrierungs-, Hypotheken- und Kanzleigebührengesetzbuches dazu verpflichtet sind, die Urkunde oder eine Erklärung, durch die die Abtretung festgestellt wird, registrieren zu lassen und die damit verbundenen Gebühren zu zahlen, bei der Registrierung dieser Urkunde oder dieser Erklärung [</w:t>
      </w:r>
      <w:r>
        <w:t>auf das Finanzkonto des zuständigen Dienstes</w:t>
      </w:r>
      <w:r>
        <w:rPr>
          <w:rFonts w:eastAsia="Calibri"/>
          <w:lang w:eastAsia="de-DE" w:bidi="de-DE"/>
        </w:rPr>
        <w:t>] die Steuer der Gebietsfremden zahlen in Bezug auf die in Artikel 228 § 2 Nr. 9 Buchstabe </w:t>
      </w:r>
      <w:r>
        <w:rPr>
          <w:rFonts w:eastAsia="Calibri"/>
          <w:i/>
          <w:lang w:eastAsia="de-DE" w:bidi="de-DE"/>
        </w:rPr>
        <w:t>g)</w:t>
      </w:r>
      <w:r>
        <w:rPr>
          <w:rFonts w:eastAsia="Calibri"/>
          <w:lang w:eastAsia="de-DE" w:bidi="de-DE"/>
        </w:rPr>
        <w:t xml:space="preserve"> oder </w:t>
      </w:r>
      <w:r>
        <w:rPr>
          <w:rFonts w:eastAsia="Calibri"/>
          <w:i/>
          <w:lang w:eastAsia="de-DE" w:bidi="de-DE"/>
        </w:rPr>
        <w:t>i)</w:t>
      </w:r>
      <w:r>
        <w:rPr>
          <w:rFonts w:eastAsia="Calibri"/>
          <w:lang w:eastAsia="de-DE" w:bidi="de-DE"/>
        </w:rPr>
        <w:t xml:space="preserve"> des Einkommensteuergesetzbuches 1992 erwähnten Mehrwerte, die als verschiedene Einkünfte steuerpflichtig sind.]</w:t>
      </w:r>
    </w:p>
    <w:p w14:paraId="07B3DA9D" w14:textId="77777777" w:rsidR="005D3E82" w:rsidRDefault="005D3E82" w:rsidP="005D3E82">
      <w:pPr>
        <w:jc w:val="both"/>
        <w:rPr>
          <w:lang w:bidi="de-DE"/>
        </w:rPr>
      </w:pPr>
    </w:p>
    <w:p w14:paraId="19D66A44" w14:textId="77777777" w:rsidR="005D3E82" w:rsidRDefault="005D3E82" w:rsidP="005D3E82">
      <w:pPr>
        <w:jc w:val="both"/>
        <w:rPr>
          <w:lang w:eastAsia="de-DE" w:bidi="de-DE"/>
        </w:rPr>
      </w:pPr>
      <w:r>
        <w:rPr>
          <w:rFonts w:eastAsia="Calibri"/>
          <w:szCs w:val="22"/>
          <w:lang w:eastAsia="de-DE" w:bidi="de-DE"/>
        </w:rPr>
        <w:tab/>
        <w:t>[</w:t>
      </w:r>
      <w:r>
        <w:rPr>
          <w:rFonts w:eastAsia="Calibri"/>
          <w:lang w:eastAsia="de-DE" w:bidi="de-DE"/>
        </w:rPr>
        <w:t>Artikel 169</w:t>
      </w:r>
      <w:r>
        <w:rPr>
          <w:rFonts w:eastAsia="Calibri"/>
          <w:i/>
          <w:iCs/>
          <w:lang w:eastAsia="de-DE" w:bidi="de-DE"/>
        </w:rPr>
        <w:t>ter</w:t>
      </w:r>
      <w:r>
        <w:rPr>
          <w:rFonts w:eastAsia="Calibri"/>
          <w:lang w:eastAsia="de-DE" w:bidi="de-DE"/>
        </w:rPr>
        <w:t>] des Registrierungs-, Hypotheken- und Kanzleigebührengesetzbuches ist anwendbar auf die Steuer der Gebietsfremden, die bei Registrierung der Urkunde oder der Erklärung zu zahlen ist.</w:t>
      </w:r>
    </w:p>
    <w:p w14:paraId="51B77324" w14:textId="77777777" w:rsidR="005D3E82" w:rsidRDefault="005D3E82" w:rsidP="005D3E82">
      <w:pPr>
        <w:jc w:val="both"/>
        <w:rPr>
          <w:lang w:bidi="de-DE"/>
        </w:rPr>
      </w:pPr>
    </w:p>
    <w:p w14:paraId="05C90E03" w14:textId="77777777" w:rsidR="005D3E82" w:rsidRDefault="005D3E82" w:rsidP="005D3E82">
      <w:pPr>
        <w:jc w:val="both"/>
        <w:rPr>
          <w:lang w:eastAsia="de-DE" w:bidi="de-DE"/>
        </w:rPr>
      </w:pPr>
      <w:r>
        <w:rPr>
          <w:rFonts w:eastAsia="Calibri"/>
          <w:szCs w:val="22"/>
          <w:lang w:eastAsia="de-DE" w:bidi="de-DE"/>
        </w:rPr>
        <w:tab/>
      </w:r>
      <w:r>
        <w:rPr>
          <w:rFonts w:eastAsia="Calibri"/>
          <w:lang w:eastAsia="de-DE" w:bidi="de-DE"/>
        </w:rPr>
        <w:t>§ 2 - Wenn § 1 angewendet werden muss, müssen Personen, die verpflichtet sind, die Urkunde oder die Erklärung, durch die die Abtretung festgestellt wird, registrieren zu lassen, dem Einnehmer des Registrierungsamtes vor der Registrierung eine Erklärung in zweifacher Ausfertigung übergeben, in der die Angaben mitgeteilt werden, die für die Berechnung der Steuer der Gebietsfremden in Bezug auf die verwirklichten Mehrwerte erforderlich sind, und gegebenenfalls die Kosten und Aufwendungen rechtfertigen, die der Zedent vom Preis der Abtretung abziehen oder zum Erwerbspreis hinzufügen lassen möchte.</w:t>
      </w:r>
    </w:p>
    <w:p w14:paraId="0D2B4C14" w14:textId="77777777" w:rsidR="005D3E82" w:rsidRDefault="005D3E82" w:rsidP="005D3E82">
      <w:pPr>
        <w:jc w:val="both"/>
        <w:rPr>
          <w:lang w:bidi="de-DE"/>
        </w:rPr>
      </w:pPr>
    </w:p>
    <w:p w14:paraId="51125D94" w14:textId="77777777" w:rsidR="005D3E82" w:rsidRDefault="005D3E82" w:rsidP="005D3E82">
      <w:pPr>
        <w:jc w:val="both"/>
        <w:rPr>
          <w:lang w:eastAsia="de-DE" w:bidi="de-DE"/>
        </w:rPr>
      </w:pPr>
      <w:r>
        <w:rPr>
          <w:rFonts w:eastAsia="Calibri"/>
          <w:szCs w:val="22"/>
          <w:lang w:eastAsia="de-DE" w:bidi="de-DE"/>
        </w:rPr>
        <w:tab/>
      </w:r>
      <w:r>
        <w:rPr>
          <w:rFonts w:eastAsia="Calibri"/>
          <w:lang w:eastAsia="de-DE" w:bidi="de-DE"/>
        </w:rPr>
        <w:t>Hängt die Festlegung der Besteuerungsgrundlage für die Steuer der Gebietsfremden ganz oder teilweise von der Bewertung eines lebenslangen Rechts ab, muss die Erklärung Namen, Vornamen, Wohnsitz und Geburtsort und -datum der Personen enthalten, die dieses lebenslange Recht besitzen.</w:t>
      </w:r>
    </w:p>
    <w:p w14:paraId="489CC717" w14:textId="77777777" w:rsidR="005D3E82" w:rsidRDefault="005D3E82" w:rsidP="005D3E82">
      <w:pPr>
        <w:jc w:val="both"/>
        <w:rPr>
          <w:lang w:bidi="de-DE"/>
        </w:rPr>
      </w:pPr>
    </w:p>
    <w:p w14:paraId="418E8C68" w14:textId="77777777" w:rsidR="005D3E82" w:rsidRDefault="005D3E82" w:rsidP="005D3E82">
      <w:pPr>
        <w:jc w:val="both"/>
        <w:rPr>
          <w:lang w:eastAsia="de-DE" w:bidi="de-DE"/>
        </w:rPr>
      </w:pPr>
      <w:r>
        <w:rPr>
          <w:rFonts w:eastAsia="Calibri"/>
          <w:szCs w:val="22"/>
          <w:lang w:eastAsia="de-DE" w:bidi="de-DE"/>
        </w:rPr>
        <w:tab/>
      </w:r>
      <w:r>
        <w:rPr>
          <w:rFonts w:eastAsia="Calibri"/>
          <w:lang w:eastAsia="de-DE" w:bidi="de-DE"/>
        </w:rPr>
        <w:t>Im Falle einer Abtretung eines bebauten unbeweglichen Gutes [wie in Artikel 91 des Einkommensteuergesetzbuches 1992 erwähnt] muss in einer Erklärung der Verkaufswert der getrennt von Grund und Boden betrachteten Bauten angegeben werden, wenn der Einnehmer des Registrierungsamtes darum ersucht.</w:t>
      </w:r>
    </w:p>
    <w:p w14:paraId="14AD3D76" w14:textId="77777777" w:rsidR="005D3E82" w:rsidRDefault="005D3E82" w:rsidP="005D3E82">
      <w:pPr>
        <w:jc w:val="both"/>
        <w:rPr>
          <w:lang w:bidi="de-DE"/>
        </w:rPr>
      </w:pPr>
    </w:p>
    <w:p w14:paraId="551B9CE0" w14:textId="77777777" w:rsidR="005D3E82" w:rsidRDefault="005D3E82" w:rsidP="005D3E82">
      <w:pPr>
        <w:jc w:val="both"/>
        <w:rPr>
          <w:lang w:eastAsia="de-DE" w:bidi="de-DE"/>
        </w:rPr>
      </w:pPr>
      <w:r>
        <w:rPr>
          <w:rFonts w:eastAsia="Calibri"/>
          <w:szCs w:val="22"/>
          <w:lang w:eastAsia="de-DE" w:bidi="de-DE"/>
        </w:rPr>
        <w:tab/>
      </w:r>
      <w:r>
        <w:rPr>
          <w:rFonts w:eastAsia="Calibri"/>
          <w:lang w:eastAsia="de-DE" w:bidi="de-DE"/>
        </w:rPr>
        <w:t>[...]</w:t>
      </w:r>
    </w:p>
    <w:p w14:paraId="1F5E2261" w14:textId="77777777" w:rsidR="005D3E82" w:rsidRDefault="005D3E82" w:rsidP="005D3E82">
      <w:pPr>
        <w:jc w:val="both"/>
        <w:rPr>
          <w:lang w:bidi="de-DE"/>
        </w:rPr>
      </w:pPr>
    </w:p>
    <w:p w14:paraId="7959B761" w14:textId="77777777" w:rsidR="005D3E82" w:rsidRDefault="005D3E82" w:rsidP="005D3E82">
      <w:pPr>
        <w:jc w:val="both"/>
        <w:rPr>
          <w:lang w:eastAsia="de-DE" w:bidi="de-DE"/>
        </w:rPr>
      </w:pPr>
      <w:r>
        <w:rPr>
          <w:rFonts w:eastAsia="Calibri"/>
          <w:szCs w:val="22"/>
          <w:lang w:eastAsia="de-DE" w:bidi="de-DE"/>
        </w:rPr>
        <w:tab/>
      </w:r>
      <w:r>
        <w:rPr>
          <w:rFonts w:eastAsia="Calibri"/>
          <w:lang w:eastAsia="de-DE" w:bidi="de-DE"/>
        </w:rPr>
        <w:t>[</w:t>
      </w:r>
      <w:r>
        <w:t>Das Registrierungsamt</w:t>
      </w:r>
      <w:r>
        <w:rPr>
          <w:rFonts w:eastAsia="Calibri"/>
          <w:lang w:eastAsia="de-DE" w:bidi="de-DE"/>
        </w:rPr>
        <w:t>] kann die Registrierung der Urkunde von der Vorlage einer Bescheinigung abhängig machen, die vom zuständigen Beamten [</w:t>
      </w:r>
      <w:r>
        <w:t>der mit der Festlegung der Einkommensteuern beauftragten Verwaltung des Föderalen Öffentlichen Dienstes Finanzen</w:t>
      </w:r>
      <w:r>
        <w:rPr>
          <w:rFonts w:eastAsia="Calibri"/>
          <w:lang w:eastAsia="de-DE" w:bidi="de-DE"/>
        </w:rPr>
        <w:t>] ausgeht und in der festgestellt wird, dass der Zedent kein [in Artikel 227 Nr. 1 oder 3 desselben Gesetzbuches] erwähnter Steuerpflichtiger ist.</w:t>
      </w:r>
    </w:p>
    <w:p w14:paraId="01DD03C5" w14:textId="77777777" w:rsidR="005D3E82" w:rsidRDefault="005D3E82" w:rsidP="005D3E82">
      <w:pPr>
        <w:jc w:val="both"/>
        <w:rPr>
          <w:rFonts w:eastAsia="Calibri"/>
          <w:szCs w:val="22"/>
          <w:lang w:eastAsia="de-DE" w:bidi="de-DE"/>
        </w:rPr>
      </w:pPr>
    </w:p>
    <w:p w14:paraId="16E6560A" w14:textId="77777777" w:rsidR="005D3E82" w:rsidRDefault="005D3E82" w:rsidP="005D3E82">
      <w:pPr>
        <w:jc w:val="both"/>
        <w:rPr>
          <w:spacing w:val="-2"/>
          <w:lang w:eastAsia="de-DE" w:bidi="de-DE"/>
        </w:rPr>
      </w:pPr>
      <w:r>
        <w:rPr>
          <w:rFonts w:eastAsia="Calibri"/>
          <w:spacing w:val="-2"/>
          <w:szCs w:val="22"/>
          <w:lang w:eastAsia="de-DE" w:bidi="de-DE"/>
        </w:rPr>
        <w:lastRenderedPageBreak/>
        <w:tab/>
      </w:r>
      <w:r>
        <w:rPr>
          <w:rFonts w:eastAsia="Calibri"/>
          <w:spacing w:val="-2"/>
          <w:lang w:eastAsia="de-DE" w:bidi="de-DE"/>
        </w:rPr>
        <w:t>§ 3 - [Die Steuer der Gebietsfremden, die aufgrund der in Artikel 228 § 2 Nr. 9 Buchstabe </w:t>
      </w:r>
      <w:r>
        <w:rPr>
          <w:rFonts w:eastAsia="Calibri"/>
          <w:i/>
          <w:spacing w:val="-2"/>
          <w:lang w:eastAsia="de-DE" w:bidi="de-DE"/>
        </w:rPr>
        <w:t>g)</w:t>
      </w:r>
      <w:r>
        <w:rPr>
          <w:rFonts w:eastAsia="Calibri"/>
          <w:spacing w:val="-2"/>
          <w:lang w:eastAsia="de-DE" w:bidi="de-DE"/>
        </w:rPr>
        <w:t xml:space="preserve"> oder </w:t>
      </w:r>
      <w:r>
        <w:rPr>
          <w:rFonts w:eastAsia="Calibri"/>
          <w:i/>
          <w:spacing w:val="-2"/>
          <w:lang w:eastAsia="de-DE" w:bidi="de-DE"/>
        </w:rPr>
        <w:t>i)</w:t>
      </w:r>
      <w:r>
        <w:rPr>
          <w:rFonts w:eastAsia="Calibri"/>
          <w:spacing w:val="-2"/>
          <w:lang w:eastAsia="de-DE" w:bidi="de-DE"/>
        </w:rPr>
        <w:t xml:space="preserve"> des Einkommensteuergesetzbuches 1992 erwähnten Mehrwerte geschuldet wird, die als verschiedene Einkünfte steuerpflichtig sind, [</w:t>
      </w:r>
      <w:r>
        <w:t>wird von der mit der Festlegung der Einkommensteuern beauftragten Verwaltung gemäß den Bestimmungen desselben Gesetzbuchs festgelegt und gemäß dem Gesetzbuch über die gütliche Beitreibung und die Zwangsbeitreibung von Steuerforderungen und nichtsteuerlichen Forderungen beigetrieben</w:t>
      </w:r>
      <w:r>
        <w:rPr>
          <w:rFonts w:eastAsia="Calibri"/>
          <w:spacing w:val="-2"/>
          <w:lang w:eastAsia="de-DE" w:bidi="de-DE"/>
        </w:rPr>
        <w:t>], wenn diese Steuer aus gleich welchem Grund [</w:t>
      </w:r>
      <w:r>
        <w:t>nicht gemäß § 1 gezahlt worden ist oder wenn der gemäß § 1 gezahlte Betrag dieser Steuer</w:t>
      </w:r>
      <w:r>
        <w:rPr>
          <w:rFonts w:eastAsia="Calibri"/>
          <w:spacing w:val="-2"/>
          <w:lang w:eastAsia="de-DE" w:bidi="de-DE"/>
        </w:rPr>
        <w:t>] oder wenn der Betrag dieser Steuer, die dem Einnehmer des Registrierungsamtes gezahlt worden ist, niedriger ist als der geschuldete Betrag.]</w:t>
      </w:r>
    </w:p>
    <w:p w14:paraId="1D7F7D54" w14:textId="77777777" w:rsidR="005D3E82" w:rsidRDefault="005D3E82" w:rsidP="005D3E82">
      <w:pPr>
        <w:jc w:val="both"/>
        <w:rPr>
          <w:lang w:bidi="de-DE"/>
        </w:rPr>
      </w:pPr>
    </w:p>
    <w:p w14:paraId="3EF7B2C4" w14:textId="77777777" w:rsidR="005D3E82" w:rsidRDefault="005D3E82" w:rsidP="005D3E82">
      <w:pPr>
        <w:jc w:val="both"/>
        <w:rPr>
          <w:lang w:eastAsia="de-DE" w:bidi="de-DE"/>
        </w:rPr>
      </w:pPr>
      <w:r>
        <w:rPr>
          <w:rFonts w:eastAsia="Calibri"/>
          <w:szCs w:val="22"/>
          <w:lang w:eastAsia="de-DE" w:bidi="de-DE"/>
        </w:rPr>
        <w:tab/>
      </w:r>
      <w:r>
        <w:rPr>
          <w:rFonts w:eastAsia="Calibri"/>
          <w:lang w:eastAsia="de-DE" w:bidi="de-DE"/>
        </w:rPr>
        <w:t>§ 4 - Die Bestimmungen von Titel 7 Kapitel 7 des Einkommensteuergesetz</w:t>
      </w:r>
      <w:r>
        <w:rPr>
          <w:rFonts w:eastAsia="Calibri"/>
          <w:lang w:eastAsia="de-DE" w:bidi="de-DE"/>
        </w:rPr>
        <w:softHyphen/>
        <w:t>buches 1992 sind anwendbar auf die Steuer der Gebietsfremden, die [...] bei Registrierung einer Urkunde oder einer Erklärung, durch die die entgeltliche Abtretung [...] unbeweglicher Güter oder dinglicher Rechte an diesen unbeweglichen Gütern festgestellt wird, erhoben wird.</w:t>
      </w:r>
    </w:p>
    <w:p w14:paraId="3F91EC55" w14:textId="77777777" w:rsidR="005D3E82" w:rsidRDefault="005D3E82" w:rsidP="005D3E82">
      <w:pPr>
        <w:jc w:val="both"/>
        <w:rPr>
          <w:lang w:bidi="de-DE"/>
        </w:rPr>
      </w:pPr>
    </w:p>
    <w:p w14:paraId="5C245EA1" w14:textId="77777777" w:rsidR="005D3E82" w:rsidRDefault="005D3E82" w:rsidP="005D3E82">
      <w:pPr>
        <w:jc w:val="both"/>
        <w:rPr>
          <w:i/>
          <w:lang w:eastAsia="de-DE" w:bidi="de-DE"/>
        </w:rPr>
      </w:pPr>
      <w:r>
        <w:rPr>
          <w:rFonts w:eastAsia="Calibri"/>
          <w:i/>
          <w:lang w:eastAsia="de-DE" w:bidi="de-DE"/>
        </w:rPr>
        <w:t>[Art. 177 § 1 Abs. 1 ersetzt durch Art. 11 Nr. 1 des K.E. vom 20. Mai 1997 (B.S. vom 10. Juni 1997) und abgeändert durch Art. 10 Buchstabe a) des K.E. vom 23. November 2021 (B.S. vom 2. Dezember 2021); § 1 Abs. 2 abgeändert durch Art. 10 Buchstabe b) des K.E. vom 23. November 2021 (B.S. vom 2. Dezember 2021); § 2 Abs. 3 abgeändert durch Art. 11 Nr. 2 des K.E. vom 20. Mai 1997 (B.S. vom 10. Juni 1997); § 2 früherer Absatz 4 aufgehoben durch Art. 11 Nr. 3 des K.E. vom 20. Mai 1997 (B.S. vom 10. Juni 1997); § 2 neuer Absatz 4 abgeändert durch Art. 11 Nr. 4 des K.E. vom 20. Mai 1997 (B.S. vom 10. Juni 1997) und Art. 10 Buchstabe c) des K.E. vom 23. November 2021 (B.S. vom 2. Dezember 2021); § 3 ersetzt durch Art. 11 Nr. 5 des K.E. vom 20. Mai 1997 (B.S. vom 10. Juni 1997) und abgeändert durch Art. 36</w:t>
      </w:r>
      <w:r>
        <w:rPr>
          <w:i/>
          <w:lang w:eastAsia="de-DE"/>
        </w:rPr>
        <w:t xml:space="preserve"> des K.E. vom 9. Dezember 2019 (B.S. vom 16. Dezember 2019) und Art. </w:t>
      </w:r>
      <w:r>
        <w:rPr>
          <w:rFonts w:eastAsia="Calibri"/>
          <w:i/>
          <w:lang w:eastAsia="de-DE" w:bidi="de-DE"/>
        </w:rPr>
        <w:t>10 Buchstabe d) des K.E. vom 23. November 2021 (B.S. vom 2. Dezember 2021); § 4 abgeändert durch Art. 11 Nr. 6 des K.E. vom 20. Mai 1997 (B.S. vom 10. Juni 1997) und Art. 10 Buchstabe e) des K.E. vom 23. November 2021 (B.S. vom 2. Dezember 2021)]</w:t>
      </w:r>
    </w:p>
    <w:p w14:paraId="58AA126A" w14:textId="77777777" w:rsidR="003426CA" w:rsidRPr="00D21420" w:rsidRDefault="003426CA" w:rsidP="003426CA">
      <w:pPr>
        <w:jc w:val="both"/>
        <w:rPr>
          <w:rFonts w:eastAsia="Calibri"/>
          <w:szCs w:val="22"/>
          <w:lang w:eastAsia="de-DE" w:bidi="de-DE"/>
        </w:rPr>
      </w:pPr>
    </w:p>
    <w:p w14:paraId="0F915077" w14:textId="77777777" w:rsidR="003426CA" w:rsidRPr="00D21420" w:rsidRDefault="003426CA" w:rsidP="003426CA">
      <w:pPr>
        <w:jc w:val="both"/>
        <w:rPr>
          <w:rFonts w:eastAsia="Calibri"/>
          <w:szCs w:val="22"/>
          <w:lang w:eastAsia="de-DE" w:bidi="de-DE"/>
        </w:rPr>
      </w:pPr>
    </w:p>
    <w:p w14:paraId="54C8A48B" w14:textId="77777777" w:rsidR="003426CA" w:rsidRPr="00D21420" w:rsidRDefault="003426CA" w:rsidP="003426CA">
      <w:pPr>
        <w:jc w:val="center"/>
        <w:rPr>
          <w:lang w:eastAsia="de-DE" w:bidi="de-DE"/>
        </w:rPr>
      </w:pPr>
      <w:r w:rsidRPr="00D21420">
        <w:rPr>
          <w:rFonts w:eastAsia="Calibri"/>
          <w:i/>
          <w:lang w:eastAsia="de-DE" w:bidi="de-DE"/>
        </w:rPr>
        <w:t>Abschnitt 8</w:t>
      </w:r>
      <w:r w:rsidRPr="00D21420">
        <w:rPr>
          <w:rFonts w:eastAsia="Calibri"/>
          <w:lang w:eastAsia="de-DE" w:bidi="de-DE"/>
        </w:rPr>
        <w:t> - [Befreiung von der Pflicht, eine Erklärung zur Steuer der natürlichen Personen einzureichen</w:t>
      </w:r>
    </w:p>
    <w:p w14:paraId="305D54FE" w14:textId="77777777" w:rsidR="003426CA" w:rsidRPr="00D21420" w:rsidRDefault="003426CA" w:rsidP="003426CA">
      <w:pPr>
        <w:jc w:val="center"/>
        <w:rPr>
          <w:lang w:bidi="de-DE"/>
        </w:rPr>
      </w:pPr>
    </w:p>
    <w:p w14:paraId="07926EB7" w14:textId="77777777" w:rsidR="003426CA" w:rsidRPr="00D21420" w:rsidRDefault="003426CA" w:rsidP="003426CA">
      <w:pPr>
        <w:jc w:val="center"/>
        <w:rPr>
          <w:lang w:eastAsia="de-DE" w:bidi="de-DE"/>
        </w:rPr>
      </w:pPr>
      <w:r w:rsidRPr="00D21420">
        <w:rPr>
          <w:rFonts w:eastAsia="Calibri"/>
          <w:lang w:eastAsia="de-DE" w:bidi="de-DE"/>
        </w:rPr>
        <w:t>(Einkommensteuergesetzbuch 1992, Artikel 306)]</w:t>
      </w:r>
    </w:p>
    <w:p w14:paraId="17AE1F2D" w14:textId="77777777" w:rsidR="003426CA" w:rsidRPr="00D21420" w:rsidRDefault="003426CA" w:rsidP="003426CA">
      <w:pPr>
        <w:jc w:val="both"/>
        <w:rPr>
          <w:lang w:bidi="de-DE"/>
        </w:rPr>
      </w:pPr>
    </w:p>
    <w:p w14:paraId="0DEEB9C6" w14:textId="77777777" w:rsidR="003426CA" w:rsidRPr="00D21420" w:rsidRDefault="003426CA" w:rsidP="003426CA">
      <w:pPr>
        <w:jc w:val="both"/>
        <w:rPr>
          <w:i/>
          <w:lang w:eastAsia="de-DE" w:bidi="de-DE"/>
        </w:rPr>
      </w:pPr>
      <w:r w:rsidRPr="00D21420">
        <w:rPr>
          <w:rFonts w:eastAsia="Calibri"/>
          <w:i/>
          <w:lang w:eastAsia="de-DE" w:bidi="de-DE"/>
        </w:rPr>
        <w:t>[Überschrift von Abschnitt 8 ersetzt durch Art. 1 des K.E. vom 9. Mai 1994 (B.S. vom 19. Mai 1994)]</w:t>
      </w:r>
    </w:p>
    <w:p w14:paraId="1A598BCB" w14:textId="77777777" w:rsidR="003426CA" w:rsidRPr="00D21420" w:rsidRDefault="003426CA" w:rsidP="003426CA">
      <w:pPr>
        <w:jc w:val="both"/>
        <w:rPr>
          <w:lang w:bidi="de-DE"/>
        </w:rPr>
      </w:pPr>
    </w:p>
    <w:p w14:paraId="78549A53" w14:textId="77777777" w:rsidR="003426CA" w:rsidRPr="00D21420" w:rsidRDefault="003426CA" w:rsidP="003426CA">
      <w:pPr>
        <w:jc w:val="both"/>
        <w:rPr>
          <w:lang w:bidi="de-DE"/>
        </w:rPr>
      </w:pPr>
    </w:p>
    <w:p w14:paraId="3294C29A"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b/>
          <w:lang w:eastAsia="de-DE" w:bidi="de-DE"/>
        </w:rPr>
        <w:t>Art. 178</w:t>
      </w:r>
      <w:r w:rsidRPr="00D21420">
        <w:rPr>
          <w:rFonts w:eastAsia="Calibri"/>
          <w:lang w:eastAsia="de-DE" w:bidi="de-DE"/>
        </w:rPr>
        <w:t> - [§ 1 - Steuerpflichtige sind aufgrund von Artikel 306 § 1 Absatz 1 des Einkommensteuergesetzbuches 1992 von der Pflicht, eine Erklärung zur Steuer der natürlichen Personen einzureichen, befreit und erhalten aufgrund von Artikel 306 § 2 Absatz 1 desselben Gesetzbuches einen Vorschlag der vereinfachten Erklärung für das Steuerjahr, dessen Besteuerungszeitraum auf ein Kalenderjahr folgt, in dem die betreffenden Steuerpflichtigen keine anderen steuerpflichtigen Einkünfte und Bestandteile als die in § 2 erwähnten Einkünfte und Bestandteile angegeben haben und insofern sie nicht aufgrund von § 3 von der Befreiung ausgeschlossen sind.</w:t>
      </w:r>
    </w:p>
    <w:p w14:paraId="0FFA6DDB" w14:textId="77777777" w:rsidR="00D97CDB" w:rsidRPr="00D21420" w:rsidRDefault="00D97CDB" w:rsidP="00D97CDB">
      <w:pPr>
        <w:jc w:val="both"/>
        <w:rPr>
          <w:lang w:bidi="de-DE"/>
        </w:rPr>
      </w:pPr>
    </w:p>
    <w:p w14:paraId="15553138"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 xml:space="preserve">§ 2 - Steuerpflichtige sind von der Pflicht, eine Erklärung zur Steuer der natürlichen Personen einzureichen, befreit und erhalten einen von der Verwaltung erstellten Vorschlag der </w:t>
      </w:r>
      <w:r w:rsidRPr="00D21420">
        <w:rPr>
          <w:rFonts w:eastAsia="Calibri"/>
          <w:lang w:eastAsia="de-DE" w:bidi="de-DE"/>
        </w:rPr>
        <w:lastRenderedPageBreak/>
        <w:t>vereinfachten Erklärung, wenn sie keine anderen steuerpflichtigen Einkünfte und Bestandteile als die folgenden Einkünfte und Bestandteile angeben müssen:</w:t>
      </w:r>
    </w:p>
    <w:p w14:paraId="004DEFD7" w14:textId="77777777" w:rsidR="00D97CDB" w:rsidRPr="00D21420" w:rsidRDefault="00D97CDB" w:rsidP="00D97CDB">
      <w:pPr>
        <w:jc w:val="both"/>
        <w:rPr>
          <w:lang w:bidi="de-DE"/>
        </w:rPr>
      </w:pPr>
    </w:p>
    <w:p w14:paraId="48F6AAF3" w14:textId="77777777" w:rsidR="00D97CDB" w:rsidRDefault="00D97CDB" w:rsidP="00D97CDB">
      <w:pPr>
        <w:jc w:val="both"/>
        <w:rPr>
          <w:rFonts w:eastAsia="Calibri"/>
          <w:lang w:eastAsia="de-DE" w:bidi="de-DE"/>
        </w:rPr>
      </w:pPr>
      <w:r w:rsidRPr="00D21420">
        <w:rPr>
          <w:rFonts w:eastAsia="Calibri"/>
          <w:szCs w:val="22"/>
          <w:lang w:eastAsia="de-DE" w:bidi="de-DE"/>
        </w:rPr>
        <w:tab/>
      </w:r>
      <w:r w:rsidRPr="00D21420">
        <w:rPr>
          <w:rFonts w:eastAsia="Calibri"/>
          <w:lang w:eastAsia="de-DE" w:bidi="de-DE"/>
        </w:rPr>
        <w:t>1. gesetzliche Pensionen, die sie ab dem gesetzlichen Ruhestandsalter erhalten, und diesbezügliche rückständige Beträge,</w:t>
      </w:r>
    </w:p>
    <w:p w14:paraId="3A090DB0" w14:textId="77777777" w:rsidR="00D97CDB" w:rsidRPr="00D21420" w:rsidRDefault="00D97CDB" w:rsidP="00D97CDB">
      <w:pPr>
        <w:jc w:val="both"/>
        <w:rPr>
          <w:rFonts w:eastAsia="Calibri"/>
          <w:lang w:eastAsia="de-DE" w:bidi="de-DE"/>
        </w:rPr>
      </w:pPr>
    </w:p>
    <w:p w14:paraId="085EDFE6"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2. Hinterbliebenenpensionen und diesbezügliche rückständige Beträge,</w:t>
      </w:r>
    </w:p>
    <w:p w14:paraId="3AC02E8E" w14:textId="77777777" w:rsidR="00D97CDB" w:rsidRPr="00D21420" w:rsidRDefault="00D97CDB" w:rsidP="00D97CDB">
      <w:pPr>
        <w:jc w:val="both"/>
        <w:rPr>
          <w:lang w:bidi="de-DE"/>
        </w:rPr>
      </w:pPr>
    </w:p>
    <w:p w14:paraId="79C6D9AB"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3. [andere Pensionen, Renten, Umwandlungsrenten, als solche geltende Kapitalien, Rückkaufswerte und Zulagen und diesbezügliche rückständige Beträge,]</w:t>
      </w:r>
    </w:p>
    <w:p w14:paraId="5C997E63" w14:textId="77777777" w:rsidR="00D97CDB" w:rsidRPr="00D21420" w:rsidRDefault="00D97CDB" w:rsidP="00D97CDB">
      <w:pPr>
        <w:jc w:val="both"/>
        <w:rPr>
          <w:lang w:bidi="de-DE"/>
        </w:rPr>
      </w:pPr>
    </w:p>
    <w:p w14:paraId="0792932E" w14:textId="77777777" w:rsidR="00D97CDB" w:rsidRPr="004703BA" w:rsidRDefault="00D97CDB" w:rsidP="00D97CDB">
      <w:pPr>
        <w:jc w:val="both"/>
        <w:rPr>
          <w:spacing w:val="-2"/>
          <w:lang w:eastAsia="de-DE" w:bidi="de-DE"/>
        </w:rPr>
      </w:pPr>
      <w:r w:rsidRPr="004703BA">
        <w:rPr>
          <w:rFonts w:eastAsia="Calibri"/>
          <w:spacing w:val="-2"/>
          <w:szCs w:val="22"/>
          <w:lang w:eastAsia="de-DE" w:bidi="de-DE"/>
        </w:rPr>
        <w:tab/>
      </w:r>
      <w:r w:rsidRPr="004703BA">
        <w:rPr>
          <w:rFonts w:eastAsia="Calibri"/>
          <w:spacing w:val="-2"/>
          <w:lang w:eastAsia="de-DE" w:bidi="de-DE"/>
        </w:rPr>
        <w:t>[3/1. Entschädigungen, Zulagen, Renten und Umwandlungsrenten von Kapitalien, die aus den Rechtsvorschriften über Arbeitsunfälle oder Berufskrankheiten, die zu einer bleibenden Unfähigkeit geführt haben, hervorgehen, und diesbezügliche rückständige Beträge,</w:t>
      </w:r>
    </w:p>
    <w:p w14:paraId="1D24FED1" w14:textId="77777777" w:rsidR="00D97CDB" w:rsidRPr="00D21420" w:rsidRDefault="00D97CDB" w:rsidP="00D97CDB">
      <w:pPr>
        <w:jc w:val="both"/>
        <w:rPr>
          <w:lang w:bidi="de-DE"/>
        </w:rPr>
      </w:pPr>
    </w:p>
    <w:p w14:paraId="2F5046C2"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3/2. Beträge, die aus einem im Rahmen des Pensionssparens eröffneten Sparkonto oder einer im Rahmen des Pensionssparens abgeschlossenen Sparversicherung hervorgehen,]</w:t>
      </w:r>
    </w:p>
    <w:p w14:paraId="35B7481C" w14:textId="77777777" w:rsidR="00D97CDB" w:rsidRPr="00D21420" w:rsidRDefault="00D97CDB" w:rsidP="00D97CDB">
      <w:pPr>
        <w:jc w:val="both"/>
        <w:rPr>
          <w:lang w:bidi="de-DE"/>
        </w:rPr>
      </w:pPr>
    </w:p>
    <w:p w14:paraId="53562686"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4. Arbeitslosengeld und diesbezügliche rückständige Beträge,</w:t>
      </w:r>
    </w:p>
    <w:p w14:paraId="2B10C00B" w14:textId="77777777" w:rsidR="00D97CDB" w:rsidRPr="00D21420" w:rsidRDefault="00D97CDB" w:rsidP="00D97CDB">
      <w:pPr>
        <w:jc w:val="both"/>
        <w:rPr>
          <w:lang w:bidi="de-DE"/>
        </w:rPr>
      </w:pPr>
    </w:p>
    <w:p w14:paraId="3CA425E9" w14:textId="77777777" w:rsidR="00D97CDB" w:rsidRPr="00D21420" w:rsidRDefault="00D97CDB" w:rsidP="00D97CDB">
      <w:pPr>
        <w:jc w:val="both"/>
        <w:rPr>
          <w:rFonts w:eastAsia="Calibri"/>
          <w:lang w:eastAsia="de-DE" w:bidi="de-DE"/>
        </w:rPr>
      </w:pPr>
      <w:r w:rsidRPr="00D21420">
        <w:rPr>
          <w:rFonts w:eastAsia="Calibri"/>
          <w:szCs w:val="22"/>
          <w:lang w:eastAsia="de-DE" w:bidi="de-DE"/>
        </w:rPr>
        <w:tab/>
      </w:r>
      <w:r w:rsidRPr="00D21420">
        <w:rPr>
          <w:rFonts w:eastAsia="Calibri"/>
          <w:lang w:eastAsia="de-DE" w:bidi="de-DE"/>
        </w:rPr>
        <w:t>5. gesetzliche Krankheits- und Invaliditätsentschädigungen und diesbezügliche rückständige Beträge,</w:t>
      </w:r>
    </w:p>
    <w:p w14:paraId="004F332A" w14:textId="77777777" w:rsidR="00D97CDB" w:rsidRPr="00D21420" w:rsidRDefault="00D97CDB" w:rsidP="00D97CDB">
      <w:pPr>
        <w:jc w:val="both"/>
        <w:rPr>
          <w:rFonts w:eastAsia="Calibri"/>
          <w:lang w:eastAsia="de-DE" w:bidi="de-DE"/>
        </w:rPr>
      </w:pPr>
    </w:p>
    <w:p w14:paraId="796A8BBA"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6. Ausgaben, die für Leistungen im Rahmen der lokalen Beschäftigungsagenturen gezahlt werden,</w:t>
      </w:r>
    </w:p>
    <w:p w14:paraId="077F44A1" w14:textId="77777777" w:rsidR="00D97CDB" w:rsidRPr="00D21420" w:rsidRDefault="00D97CDB" w:rsidP="00D97CDB">
      <w:pPr>
        <w:jc w:val="both"/>
        <w:rPr>
          <w:lang w:bidi="de-DE"/>
        </w:rPr>
      </w:pPr>
    </w:p>
    <w:p w14:paraId="38787F20"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7. Ausgaben für Leistungen, die mit Dienstleistungsschecks vergütet werden,</w:t>
      </w:r>
    </w:p>
    <w:p w14:paraId="01B1AFAB" w14:textId="77777777" w:rsidR="00D97CDB" w:rsidRPr="00D21420" w:rsidRDefault="00D97CDB" w:rsidP="00D97CDB">
      <w:pPr>
        <w:jc w:val="both"/>
        <w:rPr>
          <w:lang w:bidi="de-DE"/>
        </w:rPr>
      </w:pPr>
    </w:p>
    <w:p w14:paraId="18ACD9B6"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8. Berufssteuervorabzug und Vorauszahlungen,</w:t>
      </w:r>
    </w:p>
    <w:p w14:paraId="3A28E380" w14:textId="77777777" w:rsidR="00D97CDB" w:rsidRPr="00D21420" w:rsidRDefault="00D97CDB" w:rsidP="00D97CDB">
      <w:pPr>
        <w:jc w:val="both"/>
        <w:rPr>
          <w:lang w:bidi="de-DE"/>
        </w:rPr>
      </w:pPr>
    </w:p>
    <w:p w14:paraId="4DAC81D0"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9. personenbezogene Daten und Familienlasten,</w:t>
      </w:r>
    </w:p>
    <w:p w14:paraId="6DFCDA02" w14:textId="77777777" w:rsidR="00D97CDB" w:rsidRPr="00D21420" w:rsidRDefault="00D97CDB" w:rsidP="00D97CDB">
      <w:pPr>
        <w:jc w:val="both"/>
        <w:rPr>
          <w:lang w:bidi="de-DE"/>
        </w:rPr>
      </w:pPr>
    </w:p>
    <w:p w14:paraId="18446994"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10. nicht einbehaltene persönliche Sozialbeiträge,</w:t>
      </w:r>
    </w:p>
    <w:p w14:paraId="13930725" w14:textId="77777777" w:rsidR="00D97CDB" w:rsidRPr="00D21420" w:rsidRDefault="00D97CDB" w:rsidP="00D97CDB">
      <w:pPr>
        <w:jc w:val="both"/>
        <w:rPr>
          <w:lang w:bidi="de-DE"/>
        </w:rPr>
      </w:pPr>
    </w:p>
    <w:p w14:paraId="0A85C8A6"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[11. Einkünfte, die in Leib- oder Zeitrenten enthalten sind, die nach dem 1. Januar 1962 entgeltlich zu Lasten von juristischen Personen oder Unternehmen gebildet wurden, die in Belgien oder im Ausland ansässig sind,</w:t>
      </w:r>
    </w:p>
    <w:p w14:paraId="496F303E" w14:textId="77777777" w:rsidR="00D97CDB" w:rsidRPr="00D21420" w:rsidRDefault="00D97CDB" w:rsidP="00D97CDB">
      <w:pPr>
        <w:jc w:val="both"/>
        <w:rPr>
          <w:lang w:bidi="de-DE"/>
        </w:rPr>
      </w:pPr>
    </w:p>
    <w:p w14:paraId="499A8D3E"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12. unentgeltliche Zuwendungen,]</w:t>
      </w:r>
    </w:p>
    <w:p w14:paraId="492971BE" w14:textId="77777777" w:rsidR="00D97CDB" w:rsidRPr="00D21420" w:rsidRDefault="00D97CDB" w:rsidP="00D97CDB">
      <w:pPr>
        <w:jc w:val="both"/>
        <w:rPr>
          <w:lang w:bidi="de-DE"/>
        </w:rPr>
      </w:pPr>
    </w:p>
    <w:p w14:paraId="55FD6748" w14:textId="77777777" w:rsidR="00D97CDB" w:rsidRPr="004703BA" w:rsidRDefault="00D97CDB" w:rsidP="00D97CDB">
      <w:pPr>
        <w:jc w:val="both"/>
        <w:rPr>
          <w:spacing w:val="-2"/>
          <w:lang w:eastAsia="de-DE" w:bidi="de-DE"/>
        </w:rPr>
      </w:pPr>
      <w:r w:rsidRPr="004703BA">
        <w:rPr>
          <w:rFonts w:eastAsia="Calibri"/>
          <w:spacing w:val="-2"/>
          <w:szCs w:val="22"/>
          <w:lang w:eastAsia="de-DE" w:bidi="de-DE"/>
        </w:rPr>
        <w:tab/>
      </w:r>
      <w:r w:rsidRPr="004703BA">
        <w:rPr>
          <w:rFonts w:eastAsia="Calibri"/>
          <w:spacing w:val="-2"/>
          <w:lang w:eastAsia="de-DE" w:bidi="de-DE"/>
        </w:rPr>
        <w:t xml:space="preserve">[13. Entlohnungen, </w:t>
      </w:r>
      <w:r>
        <w:rPr>
          <w:rFonts w:eastAsia="Calibri"/>
          <w:spacing w:val="-2"/>
          <w:lang w:eastAsia="de-DE" w:bidi="de-DE"/>
        </w:rPr>
        <w:t>[...]</w:t>
      </w:r>
      <w:r w:rsidRPr="004703BA">
        <w:rPr>
          <w:rFonts w:eastAsia="Calibri"/>
          <w:spacing w:val="-2"/>
          <w:lang w:eastAsia="de-DE" w:bidi="de-DE"/>
        </w:rPr>
        <w:t>]</w:t>
      </w:r>
    </w:p>
    <w:p w14:paraId="75700627" w14:textId="77777777" w:rsidR="00D97CDB" w:rsidRDefault="00D97CDB" w:rsidP="00D97CDB">
      <w:pPr>
        <w:jc w:val="both"/>
        <w:rPr>
          <w:rFonts w:eastAsia="Calibri"/>
          <w:szCs w:val="22"/>
          <w:lang w:eastAsia="de-DE" w:bidi="de-DE"/>
        </w:rPr>
      </w:pPr>
    </w:p>
    <w:p w14:paraId="65A8ED91" w14:textId="77777777" w:rsidR="00D97CDB" w:rsidRDefault="00D97CDB" w:rsidP="00D97CDB">
      <w:pPr>
        <w:jc w:val="both"/>
        <w:rPr>
          <w:rFonts w:eastAsia="Calibri"/>
          <w:lang w:eastAsia="de-DE" w:bidi="de-DE"/>
        </w:rPr>
      </w:pPr>
      <w:r w:rsidRPr="00D21420">
        <w:rPr>
          <w:rFonts w:eastAsia="Calibri"/>
          <w:szCs w:val="22"/>
          <w:lang w:eastAsia="de-DE" w:bidi="de-DE"/>
        </w:rPr>
        <w:tab/>
      </w:r>
      <w:r>
        <w:rPr>
          <w:rFonts w:eastAsia="Calibri"/>
          <w:szCs w:val="22"/>
          <w:lang w:eastAsia="de-DE" w:bidi="de-DE"/>
        </w:rPr>
        <w:t>[</w:t>
      </w:r>
      <w:r w:rsidRPr="00D21420">
        <w:rPr>
          <w:rFonts w:eastAsia="Calibri"/>
          <w:lang w:eastAsia="de-DE" w:bidi="de-DE"/>
        </w:rPr>
        <w:t xml:space="preserve">14. Unterhaltsleistungen wie in </w:t>
      </w:r>
      <w:r>
        <w:rPr>
          <w:rFonts w:eastAsia="Calibri"/>
          <w:lang w:eastAsia="de-DE" w:bidi="de-DE"/>
        </w:rPr>
        <w:t>[</w:t>
      </w:r>
      <w:r w:rsidRPr="00B617CF">
        <w:t>Artikel 90 Absatz 1 Nr. 3</w:t>
      </w:r>
      <w:r>
        <w:rPr>
          <w:rFonts w:eastAsia="Calibri"/>
          <w:lang w:eastAsia="de-DE" w:bidi="de-DE"/>
        </w:rPr>
        <w:t>]</w:t>
      </w:r>
      <w:r w:rsidRPr="00D21420">
        <w:rPr>
          <w:rFonts w:eastAsia="Calibri"/>
          <w:lang w:eastAsia="de-DE" w:bidi="de-DE"/>
        </w:rPr>
        <w:t xml:space="preserve"> des Einkommensteuer</w:t>
      </w:r>
      <w:r>
        <w:rPr>
          <w:rFonts w:eastAsia="Calibri"/>
          <w:lang w:eastAsia="de-DE" w:bidi="de-DE"/>
        </w:rPr>
        <w:softHyphen/>
      </w:r>
      <w:r w:rsidRPr="00D21420">
        <w:rPr>
          <w:rFonts w:eastAsia="Calibri"/>
          <w:lang w:eastAsia="de-DE" w:bidi="de-DE"/>
        </w:rPr>
        <w:t>gesetz</w:t>
      </w:r>
      <w:r w:rsidRPr="00D21420">
        <w:rPr>
          <w:rFonts w:eastAsia="Calibri"/>
          <w:lang w:eastAsia="de-DE" w:bidi="de-DE"/>
        </w:rPr>
        <w:softHyphen/>
        <w:t>buches 1992 erwähnt, die den Steuerfreibetrag nicht überschreiten, wenn der Steuerpflichtige ein Minderjäh</w:t>
      </w:r>
      <w:r>
        <w:rPr>
          <w:rFonts w:eastAsia="Calibri"/>
          <w:lang w:eastAsia="de-DE" w:bidi="de-DE"/>
        </w:rPr>
        <w:t>riger unter sechzehn Jahren ist,</w:t>
      </w:r>
      <w:r w:rsidRPr="00D21420">
        <w:rPr>
          <w:rFonts w:eastAsia="Calibri"/>
          <w:lang w:eastAsia="de-DE" w:bidi="de-DE"/>
        </w:rPr>
        <w:t>]</w:t>
      </w:r>
    </w:p>
    <w:p w14:paraId="1CAEC6FE" w14:textId="77777777" w:rsidR="00D97CDB" w:rsidRDefault="00D97CDB" w:rsidP="00D97CDB">
      <w:pPr>
        <w:jc w:val="both"/>
        <w:rPr>
          <w:rFonts w:eastAsia="Calibri"/>
          <w:lang w:eastAsia="de-DE" w:bidi="de-DE"/>
        </w:rPr>
      </w:pPr>
    </w:p>
    <w:p w14:paraId="7814C6A7" w14:textId="77777777" w:rsidR="00D97CDB" w:rsidRPr="008F7B0E" w:rsidRDefault="00D97CDB" w:rsidP="00D97CDB">
      <w:pPr>
        <w:jc w:val="both"/>
      </w:pPr>
      <w:r>
        <w:rPr>
          <w:rFonts w:eastAsia="Calibri"/>
          <w:lang w:eastAsia="de-DE" w:bidi="de-DE"/>
        </w:rPr>
        <w:tab/>
        <w:t>[</w:t>
      </w:r>
      <w:r w:rsidRPr="008F7B0E">
        <w:t xml:space="preserve">15. in Ausführung eines Hypothekenanleihevertrags getätigte Ausgaben in Zusammenhang mit einer Steuerermäßigung für die eigene Wohnung, außer wenn die Verwaltung nicht elektronisch über die diesbezüglichen Daten verfügt oder wenn diese Daten </w:t>
      </w:r>
      <w:r w:rsidRPr="008F7B0E">
        <w:lastRenderedPageBreak/>
        <w:t>im Hinblick auf eine korrekte Erstellung des Vorschlags der vereinfachten Erklärung nicht auf angemessene Weise verarbeitet werden können,</w:t>
      </w:r>
    </w:p>
    <w:p w14:paraId="5015E057" w14:textId="77777777" w:rsidR="00D97CDB" w:rsidRPr="008F7B0E" w:rsidRDefault="00D97CDB" w:rsidP="00D97CDB">
      <w:pPr>
        <w:jc w:val="both"/>
      </w:pPr>
    </w:p>
    <w:p w14:paraId="724C4431" w14:textId="536D7DFA" w:rsidR="00D97CDB" w:rsidRPr="008F7B0E" w:rsidRDefault="00D97CDB" w:rsidP="00D97CDB">
      <w:pPr>
        <w:jc w:val="both"/>
      </w:pPr>
      <w:r w:rsidRPr="008F7B0E">
        <w:tab/>
        <w:t>16. in Ausführung eines individuellen Lebensversicherungsvertrags gezahlte Prämien in Zusammenhang mit einer Steuerermäßigung für langfristiges Sparen, außer wenn die Verwaltung nicht elektronisch über die diesbezüglichen Daten verfügt oder wenn diese Daten im Hinblick auf eine korrekte Erstellung des Vorschlags der vereinfachten Erklärung nicht auf angemessene Weise verarbeitet werden können,</w:t>
      </w:r>
      <w:r w:rsidR="00D21DD8">
        <w:t>]</w:t>
      </w:r>
    </w:p>
    <w:p w14:paraId="72E0FCCA" w14:textId="77777777" w:rsidR="00D97CDB" w:rsidRPr="008F7B0E" w:rsidRDefault="00D97CDB" w:rsidP="00D97CDB">
      <w:pPr>
        <w:jc w:val="both"/>
      </w:pPr>
    </w:p>
    <w:p w14:paraId="3C4ECE4A" w14:textId="112530AF" w:rsidR="00D97CDB" w:rsidRPr="008F7B0E" w:rsidRDefault="00D97CDB" w:rsidP="00D97CDB">
      <w:pPr>
        <w:jc w:val="both"/>
      </w:pPr>
      <w:r w:rsidRPr="008F7B0E">
        <w:tab/>
      </w:r>
      <w:r w:rsidR="00D21DD8">
        <w:t>[</w:t>
      </w:r>
      <w:r w:rsidRPr="008F7B0E">
        <w:t xml:space="preserve">17. Einkünfte aus in Belgien gelegenen unbeweglichen Gütern, die in </w:t>
      </w:r>
      <w:r w:rsidR="00D21DD8">
        <w:t>[</w:t>
      </w:r>
      <w:r w:rsidRPr="008F7B0E">
        <w:t>Artikel 7 § 1 Nr. 1 zweiter Gedankenstrich</w:t>
      </w:r>
      <w:r w:rsidR="00D21DD8">
        <w:t>]</w:t>
      </w:r>
      <w:r w:rsidRPr="008F7B0E">
        <w:t>, Nr. 2 Buchstabe </w:t>
      </w:r>
      <w:r w:rsidRPr="008F7B0E">
        <w:rPr>
          <w:i/>
          <w:iCs/>
        </w:rPr>
        <w:t>a)</w:t>
      </w:r>
      <w:r w:rsidRPr="008F7B0E">
        <w:t xml:space="preserve"> zweiter Gedankenstrich und Nr. 2 Buchstabe </w:t>
      </w:r>
      <w:r w:rsidRPr="008F7B0E">
        <w:rPr>
          <w:i/>
          <w:iCs/>
        </w:rPr>
        <w:t>bbis)</w:t>
      </w:r>
      <w:r w:rsidRPr="008F7B0E">
        <w:t xml:space="preserve"> des Einkommenssteuergesetzbuches 1992 erwähnt sind, außer wenn diese Daten im Hinblick auf eine korrekte Erstellung des Vorschlags der vereinfachten Erklärung nicht auf angemessene Weise verarbeitet werden können oder wenn der Steuerpflichtige ebenfalls in Ausführung eines in Nr. 15 erwähnten Hypothekenanleihevertrags getätigte Ausgaben angibt,</w:t>
      </w:r>
      <w:r w:rsidR="00D21DD8">
        <w:t>]</w:t>
      </w:r>
    </w:p>
    <w:p w14:paraId="364CBEEE" w14:textId="77777777" w:rsidR="00D97CDB" w:rsidRPr="008F7B0E" w:rsidRDefault="00D97CDB" w:rsidP="00D97CDB">
      <w:pPr>
        <w:jc w:val="both"/>
      </w:pPr>
    </w:p>
    <w:p w14:paraId="39458654" w14:textId="7CF71E88" w:rsidR="00D97CDB" w:rsidRDefault="00D97CDB" w:rsidP="00D97CDB">
      <w:pPr>
        <w:jc w:val="both"/>
        <w:rPr>
          <w:rFonts w:eastAsia="Calibri"/>
          <w:lang w:eastAsia="de-DE" w:bidi="de-DE"/>
        </w:rPr>
      </w:pPr>
      <w:r w:rsidRPr="008F7B0E">
        <w:tab/>
      </w:r>
      <w:r w:rsidR="00D21DD8">
        <w:t>[</w:t>
      </w:r>
      <w:r w:rsidRPr="008F7B0E">
        <w:t>18. in Ausführung eines Rechtsschutzversicherungsvertrags gezahlte Prämien</w:t>
      </w:r>
      <w:r w:rsidR="009C3F3F">
        <w:t>,</w:t>
      </w:r>
      <w:r>
        <w:rPr>
          <w:rFonts w:eastAsia="Calibri"/>
          <w:lang w:eastAsia="de-DE" w:bidi="de-DE"/>
        </w:rPr>
        <w:t>]</w:t>
      </w:r>
    </w:p>
    <w:p w14:paraId="5D1BCEBA" w14:textId="77777777" w:rsidR="009C3F3F" w:rsidRDefault="009C3F3F" w:rsidP="00D97CDB">
      <w:pPr>
        <w:jc w:val="both"/>
        <w:rPr>
          <w:rFonts w:eastAsia="Calibri"/>
          <w:lang w:eastAsia="de-DE" w:bidi="de-DE"/>
        </w:rPr>
      </w:pPr>
    </w:p>
    <w:p w14:paraId="4AEFA7EC" w14:textId="77777777" w:rsidR="009C3F3F" w:rsidRPr="00FD62C1" w:rsidRDefault="009C3F3F" w:rsidP="009C3F3F">
      <w:pPr>
        <w:jc w:val="both"/>
      </w:pPr>
      <w:r>
        <w:rPr>
          <w:rFonts w:eastAsia="Calibri"/>
          <w:lang w:eastAsia="de-DE" w:bidi="de-DE"/>
        </w:rPr>
        <w:tab/>
        <w:t>[</w:t>
      </w:r>
      <w:r w:rsidRPr="00FD62C1">
        <w:t>19. Einkünfte aus der Sharing Economy oder aus der Vereinsarbeit, wenn diese die Bedingungen erfüllen, um von der Verwaltung als verschiedene Einkünfte eingestuft zu werden, und im vorhergehenden Steuerjahr oder im laufenden Steuerjahr von der Verwaltung nicht als Berufseinkünfte eingestuft worden sind,</w:t>
      </w:r>
    </w:p>
    <w:p w14:paraId="6709D47C" w14:textId="77777777" w:rsidR="009C3F3F" w:rsidRPr="00FD62C1" w:rsidRDefault="009C3F3F" w:rsidP="009C3F3F">
      <w:pPr>
        <w:jc w:val="both"/>
      </w:pPr>
    </w:p>
    <w:p w14:paraId="5D2AE88F" w14:textId="230EF729" w:rsidR="009C3F3F" w:rsidRDefault="009C3F3F" w:rsidP="009C3F3F">
      <w:pPr>
        <w:jc w:val="both"/>
        <w:rPr>
          <w:rFonts w:eastAsia="Calibri"/>
          <w:lang w:eastAsia="de-DE" w:bidi="de-DE"/>
        </w:rPr>
      </w:pPr>
      <w:r w:rsidRPr="00FD62C1">
        <w:tab/>
        <w:t>20. Kinderbetreuungskosten, außer wenn diese Daten im Hinblick auf eine korrekte Erstellung des Vorschlags der vereinfachten Erklärung nicht auf angemessene Weise verarbeitet werden können.</w:t>
      </w:r>
      <w:r>
        <w:t>]</w:t>
      </w:r>
    </w:p>
    <w:p w14:paraId="3B3F2480" w14:textId="77777777" w:rsidR="00D97CDB" w:rsidRDefault="00D97CDB" w:rsidP="00D97CDB">
      <w:pPr>
        <w:rPr>
          <w:rFonts w:eastAsia="Calibri"/>
          <w:szCs w:val="22"/>
          <w:lang w:eastAsia="de-DE" w:bidi="de-DE"/>
        </w:rPr>
      </w:pPr>
    </w:p>
    <w:p w14:paraId="00681021" w14:textId="18583D59"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 3 - In Abweichung von § 2 gilt die Befreiung von der Erklärungspflicht nicht für Steuerpflichtige, die:</w:t>
      </w:r>
    </w:p>
    <w:p w14:paraId="333F7C5C" w14:textId="77777777" w:rsidR="00D97CDB" w:rsidRPr="00D21420" w:rsidRDefault="00D97CDB" w:rsidP="00D97CDB">
      <w:pPr>
        <w:jc w:val="both"/>
        <w:rPr>
          <w:lang w:bidi="de-DE"/>
        </w:rPr>
      </w:pPr>
    </w:p>
    <w:p w14:paraId="25929C02"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1. Einkünfte ausländischer Herkunft angeben müssen,</w:t>
      </w:r>
    </w:p>
    <w:p w14:paraId="0477BEA3" w14:textId="77777777" w:rsidR="00D97CDB" w:rsidRDefault="00D97CDB" w:rsidP="00D97CDB">
      <w:pPr>
        <w:jc w:val="both"/>
        <w:rPr>
          <w:rFonts w:eastAsia="Calibri"/>
          <w:szCs w:val="22"/>
          <w:lang w:eastAsia="de-DE" w:bidi="de-DE"/>
        </w:rPr>
      </w:pPr>
    </w:p>
    <w:p w14:paraId="00D938C1"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2. ein oder mehrere Konten [oder einen oder mehrere individuelle Lebensver</w:t>
      </w:r>
      <w:r w:rsidRPr="00D21420">
        <w:rPr>
          <w:rFonts w:eastAsia="Calibri"/>
          <w:lang w:eastAsia="de-DE" w:bidi="de-DE"/>
        </w:rPr>
        <w:softHyphen/>
        <w:t>sicherungsverträge] im Ausland besitzen,</w:t>
      </w:r>
    </w:p>
    <w:p w14:paraId="2862E6CF" w14:textId="77777777" w:rsidR="00D97CDB" w:rsidRPr="00D21420" w:rsidRDefault="00D97CDB" w:rsidP="00D97CDB">
      <w:pPr>
        <w:jc w:val="both"/>
        <w:rPr>
          <w:lang w:bidi="de-DE"/>
        </w:rPr>
      </w:pPr>
    </w:p>
    <w:p w14:paraId="753D4A7F" w14:textId="591B99FB"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3. </w:t>
      </w:r>
      <w:r w:rsidR="009C3F3F">
        <w:rPr>
          <w:rFonts w:eastAsia="Calibri"/>
          <w:lang w:eastAsia="de-DE" w:bidi="de-DE"/>
        </w:rPr>
        <w:t>[</w:t>
      </w:r>
      <w:r w:rsidR="009C3F3F" w:rsidRPr="00FD62C1">
        <w:t>während des Besteuerungszeitraums verstorben sind. Die Befreiung gilt auch nicht für ihre Erben, Universalvermächtnisnehmer oder -beschenkten, die die Erklärung des Verstorbenen einreichen müssen, mit Ausnahme der Erben, Universalvermächtnisnehmer oder -beschenkten eines Verstorbenen, der sowohl für den Besteuerungszeitraum vor dem Tod als auch für den Besteuerungszeitraum, in dem der Tod eingetreten ist, als Alleinstehender betrachtet wird,</w:t>
      </w:r>
      <w:r w:rsidR="009C3F3F">
        <w:t>]</w:t>
      </w:r>
    </w:p>
    <w:p w14:paraId="4B5FD16D" w14:textId="77777777" w:rsidR="00D97CDB" w:rsidRPr="00D21420" w:rsidRDefault="00D97CDB" w:rsidP="00D97CDB">
      <w:pPr>
        <w:jc w:val="both"/>
        <w:rPr>
          <w:lang w:bidi="de-DE"/>
        </w:rPr>
      </w:pPr>
    </w:p>
    <w:p w14:paraId="35F21864"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4. von Amts wegen aus den Bevölkerungsregistern gestrichen sind,</w:t>
      </w:r>
    </w:p>
    <w:p w14:paraId="239E8D58" w14:textId="77777777" w:rsidR="00D97CDB" w:rsidRPr="00D21420" w:rsidRDefault="00D97CDB" w:rsidP="00D97CDB">
      <w:pPr>
        <w:jc w:val="both"/>
        <w:rPr>
          <w:lang w:bidi="de-DE"/>
        </w:rPr>
      </w:pPr>
    </w:p>
    <w:p w14:paraId="14A13AB8"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5. ihren Wohnsitz im Ausland haben,</w:t>
      </w:r>
    </w:p>
    <w:p w14:paraId="08565ED8" w14:textId="77777777" w:rsidR="00D97CDB" w:rsidRPr="00D21420" w:rsidRDefault="00D97CDB" w:rsidP="00D97CDB">
      <w:pPr>
        <w:jc w:val="both"/>
        <w:rPr>
          <w:lang w:bidi="de-DE"/>
        </w:rPr>
      </w:pPr>
    </w:p>
    <w:p w14:paraId="74812835"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6. keine bekannte Adresse haben,</w:t>
      </w:r>
    </w:p>
    <w:p w14:paraId="19F06BBF" w14:textId="77777777" w:rsidR="00D97CDB" w:rsidRPr="00D21420" w:rsidRDefault="00D97CDB" w:rsidP="00D97CDB">
      <w:pPr>
        <w:jc w:val="both"/>
        <w:rPr>
          <w:lang w:bidi="de-DE"/>
        </w:rPr>
      </w:pPr>
    </w:p>
    <w:p w14:paraId="376246D8" w14:textId="77777777" w:rsidR="00D97CDB" w:rsidRPr="00D21420" w:rsidRDefault="00D97CDB" w:rsidP="00D97CDB">
      <w:pPr>
        <w:jc w:val="both"/>
        <w:rPr>
          <w:lang w:eastAsia="de-DE" w:bidi="de-DE"/>
        </w:rPr>
      </w:pPr>
      <w:r w:rsidRPr="00D21420">
        <w:rPr>
          <w:rFonts w:eastAsia="Calibri"/>
          <w:szCs w:val="22"/>
          <w:lang w:eastAsia="de-DE" w:bidi="de-DE"/>
        </w:rPr>
        <w:lastRenderedPageBreak/>
        <w:tab/>
      </w:r>
      <w:r w:rsidRPr="00D21420">
        <w:rPr>
          <w:rFonts w:eastAsia="Calibri"/>
          <w:lang w:eastAsia="de-DE" w:bidi="de-DE"/>
        </w:rPr>
        <w:t>7. Berufseinkünfte beziehen, die aufgrund eines Abkommens steuerfrei sind und nicht für die Berechnung der Steuer auf ihre anderen Einkünfte berücksichtigt werden,</w:t>
      </w:r>
    </w:p>
    <w:p w14:paraId="504498BF" w14:textId="77777777" w:rsidR="00D97CDB" w:rsidRPr="00D21420" w:rsidRDefault="00D97CDB" w:rsidP="00D97CDB">
      <w:pPr>
        <w:jc w:val="both"/>
        <w:rPr>
          <w:lang w:bidi="de-DE"/>
        </w:rPr>
      </w:pPr>
    </w:p>
    <w:p w14:paraId="72A4ADC7"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8. Ehepartner eines [in Nr. 3 oder 7 erwähnten] Steuerpflichtigen sind,</w:t>
      </w:r>
    </w:p>
    <w:p w14:paraId="32AB95B1" w14:textId="77777777" w:rsidR="00D97CDB" w:rsidRPr="00D21420" w:rsidRDefault="00D97CDB" w:rsidP="00D97CDB">
      <w:pPr>
        <w:jc w:val="both"/>
        <w:rPr>
          <w:lang w:bidi="de-DE"/>
        </w:rPr>
      </w:pPr>
    </w:p>
    <w:p w14:paraId="7B9A7E70" w14:textId="05BC3A8D" w:rsidR="00D97CDB" w:rsidRDefault="00D97CDB" w:rsidP="00D97CDB">
      <w:pPr>
        <w:jc w:val="both"/>
        <w:rPr>
          <w:rFonts w:eastAsia="Calibri"/>
          <w:lang w:eastAsia="de-DE" w:bidi="de-DE"/>
        </w:rPr>
      </w:pPr>
      <w:r w:rsidRPr="00D21420">
        <w:rPr>
          <w:rFonts w:eastAsia="Calibri"/>
          <w:szCs w:val="22"/>
          <w:lang w:eastAsia="de-DE" w:bidi="de-DE"/>
        </w:rPr>
        <w:tab/>
      </w:r>
      <w:r w:rsidRPr="00D21420">
        <w:rPr>
          <w:rFonts w:eastAsia="Calibri"/>
          <w:lang w:eastAsia="de-DE" w:bidi="de-DE"/>
        </w:rPr>
        <w:t>9. </w:t>
      </w:r>
      <w:r w:rsidR="009C3F3F">
        <w:rPr>
          <w:rFonts w:eastAsia="Calibri"/>
          <w:lang w:eastAsia="de-DE" w:bidi="de-DE"/>
        </w:rPr>
        <w:t>[</w:t>
      </w:r>
      <w:r w:rsidR="009C3F3F" w:rsidRPr="00FD62C1">
        <w:t>ihre Unternehmensnummer, Gewinne aus Industrie-, Handels- oder Landwirtschaftsbetrieben, Gewinne aus freien Berufen, Ämtern oder anderen Erwerbstätigkeiten, Profite, Gewinne, Entlohnungen von Unternehmensleitern, Entlohnungen von mithelfenden Ehepartnern und mithelfenden gesetzlich Zusammenwohnenden, Vorabzüge in Bezug auf eine selbstständige Berufstätigkeit, Gewinne und Profite aus einer vorherigen Berufstätigkeit, eine erste Niederlassung als Selbständiger, verschiedene Einkünfte angeben müssen oder die sie betreffenden Codes ausfüllen müssen, mit Ausnahme von Einkünften aus der Sharing Economy oder aus der Vereinsarbeit, die die in Artikel 37</w:t>
      </w:r>
      <w:r w:rsidR="009C3F3F" w:rsidRPr="00FD62C1">
        <w:rPr>
          <w:i/>
          <w:iCs/>
        </w:rPr>
        <w:t>bis</w:t>
      </w:r>
      <w:r w:rsidR="009C3F3F" w:rsidRPr="00FD62C1">
        <w:t xml:space="preserve"> § 2 des Einkommensteuergesetzbuches 1992 festgelegten Grenzen nicht überschritten haben, und Unterhaltsleistungen,</w:t>
      </w:r>
      <w:r w:rsidR="009C3F3F">
        <w:rPr>
          <w:rFonts w:eastAsia="Calibri"/>
          <w:lang w:eastAsia="de-DE" w:bidi="de-DE"/>
        </w:rPr>
        <w:t>]</w:t>
      </w:r>
      <w:r w:rsidRPr="00D21420">
        <w:rPr>
          <w:rFonts w:eastAsia="Calibri"/>
          <w:lang w:eastAsia="de-DE" w:bidi="de-DE"/>
        </w:rPr>
        <w:t>]</w:t>
      </w:r>
    </w:p>
    <w:p w14:paraId="70F19867" w14:textId="77777777" w:rsidR="00D97CDB" w:rsidRDefault="00D97CDB" w:rsidP="00D97CDB">
      <w:pPr>
        <w:jc w:val="both"/>
        <w:rPr>
          <w:rFonts w:eastAsia="Calibri"/>
          <w:lang w:eastAsia="de-DE" w:bidi="de-DE"/>
        </w:rPr>
      </w:pPr>
    </w:p>
    <w:p w14:paraId="7F70A239" w14:textId="77777777" w:rsidR="00D97CDB" w:rsidRDefault="00D97CDB" w:rsidP="00D97CDB">
      <w:pPr>
        <w:jc w:val="both"/>
      </w:pPr>
      <w:r>
        <w:rPr>
          <w:rFonts w:eastAsia="Calibri"/>
          <w:lang w:eastAsia="de-DE" w:bidi="de-DE"/>
        </w:rPr>
        <w:tab/>
        <w:t>[</w:t>
      </w:r>
      <w:r w:rsidRPr="00C4668A">
        <w:t>10. selbst oder deren Ehepartner oder gesetzlich zusammenwohnender Partner beziehungsweise deren Kinder, über die sie die elterliche Autorität ausüben, entweder Gründer einer Rechtsvereinbarung im Sinne von Artikel 2 § 1 Nr. 14 des EStGB 92 oder Drittbegünstigte im Sinne von Artikel 2 § 1 Nr. 14/1 desselben Gesetzbuches sind,</w:t>
      </w:r>
      <w:r>
        <w:t>]</w:t>
      </w:r>
    </w:p>
    <w:p w14:paraId="1F0C59D3" w14:textId="77777777" w:rsidR="00D97CDB" w:rsidRDefault="00D97CDB" w:rsidP="00D97CDB">
      <w:pPr>
        <w:jc w:val="both"/>
      </w:pPr>
    </w:p>
    <w:p w14:paraId="37DEA388" w14:textId="77777777" w:rsidR="00D97CDB" w:rsidRPr="00D21420" w:rsidRDefault="00D97CDB" w:rsidP="00D97CDB">
      <w:pPr>
        <w:jc w:val="both"/>
        <w:rPr>
          <w:lang w:eastAsia="de-DE" w:bidi="de-DE"/>
        </w:rPr>
      </w:pPr>
      <w:r>
        <w:tab/>
        <w:t>[</w:t>
      </w:r>
      <w:r w:rsidRPr="00C4668A">
        <w:t>11. Darlehen wie in Artikel 21 Absatz 1 Nr. 13 desselben Gesetzbuches erwähnt gewährt haben, deren Laufzeit noch nicht abgelaufen ist.</w:t>
      </w:r>
      <w:r>
        <w:t>]</w:t>
      </w:r>
    </w:p>
    <w:p w14:paraId="733474DD" w14:textId="77777777" w:rsidR="00D97CDB" w:rsidRPr="00D21DD8" w:rsidRDefault="00D97CDB" w:rsidP="00D97CDB">
      <w:pPr>
        <w:jc w:val="both"/>
        <w:rPr>
          <w:lang w:bidi="de-DE"/>
        </w:rPr>
      </w:pPr>
    </w:p>
    <w:p w14:paraId="3E744808" w14:textId="0E05BE10" w:rsidR="00D97CDB" w:rsidRPr="00C73606" w:rsidRDefault="00D97CDB" w:rsidP="00C73606">
      <w:pPr>
        <w:jc w:val="both"/>
        <w:rPr>
          <w:rFonts w:eastAsia="Calibri"/>
          <w:lang w:eastAsia="de-DE" w:bidi="de-DE"/>
        </w:rPr>
      </w:pPr>
      <w:r w:rsidRPr="00D21DD8">
        <w:rPr>
          <w:rFonts w:eastAsia="Calibri"/>
          <w:szCs w:val="22"/>
          <w:lang w:eastAsia="de-DE" w:bidi="de-DE"/>
        </w:rPr>
        <w:tab/>
      </w:r>
      <w:r w:rsidRPr="00D21DD8">
        <w:rPr>
          <w:rFonts w:eastAsia="Calibri"/>
          <w:lang w:eastAsia="de-DE" w:bidi="de-DE"/>
        </w:rPr>
        <w:t>[§ 4 - Nicht aufgrund von § 3 von der Befreiung ausgeschlossene Steuerpflichtige, die aufgrund der Paragraphen 1 und 2 oder des vorliegenden Paragraphen für das vorhergehende Steuer</w:t>
      </w:r>
      <w:r w:rsidRPr="00D21DD8">
        <w:rPr>
          <w:rFonts w:eastAsia="Calibri"/>
          <w:lang w:eastAsia="de-DE" w:bidi="de-DE"/>
        </w:rPr>
        <w:softHyphen/>
      </w:r>
      <w:r w:rsidRPr="00D21DD8">
        <w:rPr>
          <w:rFonts w:eastAsia="Calibri"/>
          <w:lang w:eastAsia="de-DE" w:bidi="de-DE"/>
        </w:rPr>
        <w:softHyphen/>
        <w:t>jahr von der Pflicht, eine Erklärung zur Steuer der natürlichen Personen einzureichen, befreit worden sind und einen Vorschlag der vereinfachten Erklärung erhalten haben und die infolge der an diesem Vorschlag der vereinfachten Erklärung angebrachten Änderungen eigent</w:t>
      </w:r>
      <w:r w:rsidRPr="00D21DD8">
        <w:rPr>
          <w:rFonts w:eastAsia="Calibri"/>
          <w:lang w:eastAsia="de-DE" w:bidi="de-DE"/>
        </w:rPr>
        <w:softHyphen/>
        <w:t>lich die Bedingungen von § 2 nicht mehr erfüllen, um von der Pflicht zur Einreichung einer Erklärung für das folgende Jahr befreit zu werden, bleiben für dieses Steuerjahr dennoch von der Pflicht, eine Erklärung zur Steuer der natürlichen Personen einzureichen, befreit und erhalten weiterhin einen Vorschlag der vereinfachten Erklärung, vorausgesetzt, dass sie keine anderen steuerpflichtigen Einkünfte als die [in § 2 Nr. 1 bis 5 und 11 erwähnten] Einkünfte angeben müssen.]</w:t>
      </w:r>
    </w:p>
    <w:p w14:paraId="0DFC3D97" w14:textId="77777777" w:rsidR="00D97CDB" w:rsidRPr="00D21420" w:rsidRDefault="00D97CDB" w:rsidP="00D97CDB">
      <w:pPr>
        <w:jc w:val="both"/>
        <w:rPr>
          <w:lang w:bidi="de-DE"/>
        </w:rPr>
      </w:pPr>
    </w:p>
    <w:p w14:paraId="20D385CD" w14:textId="3F1DEC17" w:rsidR="00D97CDB" w:rsidRPr="00DE2BC0" w:rsidRDefault="00D97CDB" w:rsidP="00D97CDB">
      <w:pPr>
        <w:jc w:val="both"/>
        <w:rPr>
          <w:rFonts w:eastAsia="Calibri"/>
          <w:i/>
          <w:lang w:eastAsia="de-DE" w:bidi="de-DE"/>
        </w:rPr>
      </w:pPr>
      <w:r w:rsidRPr="00D21420">
        <w:rPr>
          <w:rFonts w:eastAsia="Calibri"/>
          <w:i/>
          <w:lang w:eastAsia="de-DE" w:bidi="de-DE"/>
        </w:rPr>
        <w:t>[Art. 178 ersetzt durch Art. 1 des K.E. vom 23. März 2011 (B.S. vom 30. März 2011); § 2 einziger Absatz Nr. 3 ersetzt durch Art. 1 Nr. 1 des K.E. vom 22. April 2012 (B.S. vom 25. April 2012); § 2 einziger Absatz Nr. 3/1 und 3/2 eingefügt durch Art. 1 Nr. 2 des K.E. vom 22. April 2012 (B.S. vom 25. April 2012); § 2 einziger Absatz Nr. 11 und 12 eingefügt durch Art. 1 Nr. 1 des K.E. vom 19. April 2013 (B.S. vom 26. April 2013); § 2 einziger Absatz Nr. 13 eingefügt durch Art. 1 Nr. 1 des K.E. vom 21. Februar 2014 (II) (B.S. vom 26. Februar 2014)</w:t>
      </w:r>
      <w:r>
        <w:rPr>
          <w:rFonts w:eastAsia="Calibri"/>
          <w:i/>
          <w:lang w:eastAsia="de-DE" w:bidi="de-DE"/>
        </w:rPr>
        <w:t xml:space="preserve"> und abgeändert durch Art. 1 des K.E. vom 6. März 2018 (I) (B.S. vom 20. März 2018)</w:t>
      </w:r>
      <w:r w:rsidRPr="00D21420">
        <w:rPr>
          <w:rFonts w:eastAsia="Calibri"/>
          <w:i/>
          <w:lang w:eastAsia="de-DE" w:bidi="de-DE"/>
        </w:rPr>
        <w:t>; § 2 einziger Absatz Nr. 1</w:t>
      </w:r>
      <w:r>
        <w:rPr>
          <w:rFonts w:eastAsia="Calibri"/>
          <w:i/>
          <w:lang w:eastAsia="de-DE" w:bidi="de-DE"/>
        </w:rPr>
        <w:t>4</w:t>
      </w:r>
      <w:r w:rsidRPr="00D21420">
        <w:rPr>
          <w:rFonts w:eastAsia="Calibri"/>
          <w:i/>
          <w:lang w:eastAsia="de-DE" w:bidi="de-DE"/>
        </w:rPr>
        <w:t xml:space="preserve"> eingefügt durch Art. 1 Nr. 1 des K.E. vom 21. Februar 2014 (II) (B.S. vom 26. Februar 2014)</w:t>
      </w:r>
      <w:r>
        <w:rPr>
          <w:rFonts w:eastAsia="Calibri"/>
          <w:i/>
          <w:lang w:eastAsia="de-DE" w:bidi="de-DE"/>
        </w:rPr>
        <w:t xml:space="preserve"> und abgeändert durch Art. 25 des K.E. vom 22. Mai 2017 (II) (B.S. vom 6. Juni 2017)</w:t>
      </w:r>
      <w:r w:rsidRPr="00D21420">
        <w:rPr>
          <w:rFonts w:eastAsia="Calibri"/>
          <w:i/>
          <w:lang w:eastAsia="de-DE" w:bidi="de-DE"/>
        </w:rPr>
        <w:t>;</w:t>
      </w:r>
      <w:r>
        <w:rPr>
          <w:rFonts w:eastAsia="Calibri"/>
          <w:i/>
          <w:lang w:eastAsia="de-DE" w:bidi="de-DE"/>
        </w:rPr>
        <w:t xml:space="preserve"> § 2 einziger Absatz Nr. 15 </w:t>
      </w:r>
      <w:r w:rsidR="00D21DD8">
        <w:rPr>
          <w:rFonts w:eastAsia="Calibri"/>
          <w:i/>
          <w:lang w:eastAsia="de-DE" w:bidi="de-DE"/>
        </w:rPr>
        <w:t>und 16</w:t>
      </w:r>
      <w:r>
        <w:rPr>
          <w:rFonts w:eastAsia="Calibri"/>
          <w:i/>
          <w:lang w:eastAsia="de-DE" w:bidi="de-DE"/>
        </w:rPr>
        <w:t xml:space="preserve"> eingefügt durch Art. 1 des K.E. vom 30. April 2020 (B.S. vom 11. Mai 2020); </w:t>
      </w:r>
      <w:r w:rsidR="00D21DD8">
        <w:rPr>
          <w:rFonts w:eastAsia="Calibri"/>
          <w:i/>
          <w:lang w:eastAsia="de-DE" w:bidi="de-DE"/>
        </w:rPr>
        <w:t>§ 2 einziger Absatz Nr. 17 eingefügt durch Art. 1 des K.E. vom 30. April 2020 (B.S. vom 11. Mai 2020) und abgeändert durch Art. 17</w:t>
      </w:r>
      <w:r w:rsidR="00D21DD8" w:rsidRPr="00D21DD8">
        <w:rPr>
          <w:rFonts w:eastAsia="Calibri"/>
          <w:i/>
          <w:lang w:eastAsia="de-DE" w:bidi="de-DE"/>
        </w:rPr>
        <w:t xml:space="preserve"> des K.E. vom 17. Juli 2023 (II) (B.S. vom 26. Juli 2023)</w:t>
      </w:r>
      <w:r w:rsidR="00D21DD8">
        <w:rPr>
          <w:rFonts w:eastAsia="Calibri"/>
          <w:i/>
          <w:lang w:eastAsia="de-DE" w:bidi="de-DE"/>
        </w:rPr>
        <w:t xml:space="preserve">; § 2 einziger Absatz Nr. 18 eingefügt durch Art. 1 des K.E. vom 30. April 2020 (B.S. vom 11. Mai 2020); </w:t>
      </w:r>
      <w:r w:rsidR="009C3F3F">
        <w:rPr>
          <w:rFonts w:eastAsia="Calibri"/>
          <w:i/>
          <w:lang w:eastAsia="de-DE" w:bidi="de-DE"/>
        </w:rPr>
        <w:t xml:space="preserve">§ 2 einziger Absatz Nr. 19 und 20 </w:t>
      </w:r>
      <w:r w:rsidR="009C3F3F">
        <w:rPr>
          <w:rFonts w:eastAsia="Calibri"/>
          <w:i/>
          <w:lang w:eastAsia="de-DE" w:bidi="de-DE"/>
        </w:rPr>
        <w:lastRenderedPageBreak/>
        <w:t xml:space="preserve">eingefügt durch Art. 1 Nr. 1 des K.E. vom 11. März 2024 (B.S. vom 19. März 2024); </w:t>
      </w:r>
      <w:r w:rsidRPr="00D21420">
        <w:rPr>
          <w:rFonts w:eastAsia="Calibri"/>
          <w:i/>
          <w:lang w:eastAsia="de-DE" w:bidi="de-DE"/>
        </w:rPr>
        <w:t xml:space="preserve">§ 3 einziger Absatz Nr. 2 abgeändert durch Art. 1 Nr. 2 des K.E. vom 21. Februar 2014 (II) (B.S. vom 26. Februar 2014); </w:t>
      </w:r>
      <w:r w:rsidR="009C3F3F">
        <w:rPr>
          <w:rFonts w:eastAsia="Calibri"/>
          <w:i/>
          <w:lang w:eastAsia="de-DE" w:bidi="de-DE"/>
        </w:rPr>
        <w:t xml:space="preserve">§ 3 einziger Absatz Nr. 3 ersetzt durch Art. 1 Nr. 2 des K.E. vom 11. März 2024 (B.S. vom 19. März 2024); </w:t>
      </w:r>
      <w:r w:rsidRPr="00D21420">
        <w:rPr>
          <w:rFonts w:eastAsia="Calibri"/>
          <w:i/>
          <w:lang w:eastAsia="de-DE" w:bidi="de-DE"/>
        </w:rPr>
        <w:t xml:space="preserve">§ 3 einziger Absatz Nr. 8 abgeändert durch Art. 1 Nr. 2 des K.E. vom 19. April 2013 (B.S. vom 26. April 2013); </w:t>
      </w:r>
      <w:r w:rsidR="009C3F3F">
        <w:rPr>
          <w:rFonts w:eastAsia="Calibri"/>
          <w:i/>
          <w:lang w:eastAsia="de-DE" w:bidi="de-DE"/>
        </w:rPr>
        <w:t xml:space="preserve">§ 3 einziger Absatz Nr. 9 ersetzt durch Art. 1 Nr. 3 des K.E. vom 11. März 2024 (B.S. vom 19. März 2024); </w:t>
      </w:r>
      <w:r>
        <w:rPr>
          <w:rFonts w:eastAsia="Calibri"/>
          <w:i/>
          <w:lang w:eastAsia="de-DE" w:bidi="de-DE"/>
        </w:rPr>
        <w:t xml:space="preserve">§ 3 einziger Absatz Nr. 10 eingefügt durch Art. 1 des K.E. vom 10. Juli 2017 (B.S. vom 17. Juli 2017); § 3 einziger Absatz Nr. 11 eingefügt durch Art. 2 des K.E. vom 10. Juli 2017 (B.S. vom 17. Juli 2017); </w:t>
      </w:r>
      <w:r w:rsidRPr="00D21420">
        <w:rPr>
          <w:rFonts w:eastAsia="Calibri"/>
          <w:i/>
          <w:lang w:eastAsia="de-DE" w:bidi="de-DE"/>
        </w:rPr>
        <w:t>§ 4 eingefügt durch Art. 1 Nr. 3 des K.E. vom 22. April 2012 (B.S. vom 25. April 2012) und abgeändert durch Art. 1 Nr. 3 des K.E. vom 19. April 2013 (B.S. vom 26. April 2013)]</w:t>
      </w:r>
    </w:p>
    <w:p w14:paraId="6DC0C8EF" w14:textId="77777777" w:rsidR="00D97CDB" w:rsidRDefault="00D97CDB" w:rsidP="00D97CDB">
      <w:pPr>
        <w:jc w:val="both"/>
        <w:rPr>
          <w:rFonts w:eastAsia="Calibri"/>
          <w:szCs w:val="22"/>
          <w:lang w:eastAsia="de-DE" w:bidi="de-DE"/>
        </w:rPr>
      </w:pPr>
    </w:p>
    <w:p w14:paraId="17E97343" w14:textId="77777777" w:rsidR="00D97CDB" w:rsidRDefault="00D97CDB" w:rsidP="00D97CDB">
      <w:pPr>
        <w:jc w:val="both"/>
        <w:rPr>
          <w:rFonts w:eastAsia="Calibri"/>
          <w:szCs w:val="22"/>
          <w:lang w:eastAsia="de-DE" w:bidi="de-DE"/>
        </w:rPr>
      </w:pPr>
    </w:p>
    <w:p w14:paraId="71F77D52"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w:t>
      </w:r>
      <w:r w:rsidRPr="00D21420">
        <w:rPr>
          <w:rFonts w:eastAsia="Calibri"/>
          <w:b/>
          <w:lang w:eastAsia="de-DE" w:bidi="de-DE"/>
        </w:rPr>
        <w:t>Art. 178/1</w:t>
      </w:r>
      <w:r w:rsidRPr="00D21420">
        <w:rPr>
          <w:rFonts w:eastAsia="Calibri"/>
          <w:lang w:eastAsia="de-DE" w:bidi="de-DE"/>
        </w:rPr>
        <w:t> - [§ 1] - Aufgrund von Artikel 306 § 2 Absatz 2 desselben Gesetzbuches ist die Verwaltung nicht verpflichtet, einen Vorschlag der vereinfachten Erklärung an Steuerpflichtige zu versenden, die aufgrund von Artikel 178 von der Erklärungspflicht befreit sind und deren steuerpflichtige Einkünfte weniger betragen als:</w:t>
      </w:r>
    </w:p>
    <w:p w14:paraId="3E8FA488" w14:textId="77777777" w:rsidR="00D97CDB" w:rsidRPr="00D21420" w:rsidRDefault="00D97CDB" w:rsidP="00D97CDB">
      <w:pPr>
        <w:jc w:val="both"/>
        <w:rPr>
          <w:lang w:bidi="de-DE"/>
        </w:rPr>
      </w:pPr>
    </w:p>
    <w:p w14:paraId="27A7C50F"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1. der Steuerfreibetrag, wenn es sich um einzeln veranlagte Steuerpflichtige handelt,</w:t>
      </w:r>
    </w:p>
    <w:p w14:paraId="6A3F8725" w14:textId="77777777" w:rsidR="00D97CDB" w:rsidRPr="00D21420" w:rsidRDefault="00D97CDB" w:rsidP="00D97CDB">
      <w:pPr>
        <w:jc w:val="both"/>
        <w:rPr>
          <w:lang w:bidi="de-DE"/>
        </w:rPr>
      </w:pPr>
    </w:p>
    <w:p w14:paraId="22308736"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2. die Summe der Steuerfreibeträge der beiden Steuerpflichtigen, wenn eine gemeinsame Veranlagung festgelegt werden muss.]</w:t>
      </w:r>
    </w:p>
    <w:p w14:paraId="3ABFE441" w14:textId="77777777" w:rsidR="00D97CDB" w:rsidRPr="00D21420" w:rsidRDefault="00D97CDB" w:rsidP="00D97CDB">
      <w:pPr>
        <w:jc w:val="both"/>
        <w:rPr>
          <w:lang w:bidi="de-DE"/>
        </w:rPr>
      </w:pPr>
    </w:p>
    <w:p w14:paraId="6EA46FF2" w14:textId="77777777" w:rsidR="00D97CDB" w:rsidRPr="00D21420" w:rsidRDefault="00D97CDB" w:rsidP="00D97CDB">
      <w:pPr>
        <w:jc w:val="both"/>
        <w:rPr>
          <w:lang w:eastAsia="de-DE" w:bidi="de-DE"/>
        </w:rPr>
      </w:pPr>
      <w:r w:rsidRPr="00D21420">
        <w:rPr>
          <w:rFonts w:eastAsia="Calibri"/>
          <w:szCs w:val="22"/>
          <w:lang w:eastAsia="de-DE" w:bidi="de-DE"/>
        </w:rPr>
        <w:tab/>
      </w:r>
      <w:r w:rsidRPr="00D21420">
        <w:rPr>
          <w:rFonts w:eastAsia="Calibri"/>
          <w:lang w:eastAsia="de-DE" w:bidi="de-DE"/>
        </w:rPr>
        <w:t xml:space="preserve">[§ 2 - </w:t>
      </w:r>
      <w:r>
        <w:rPr>
          <w:rFonts w:eastAsia="Calibri"/>
          <w:lang w:eastAsia="de-DE" w:bidi="de-DE"/>
        </w:rPr>
        <w:t>[..</w:t>
      </w:r>
      <w:r w:rsidRPr="00D21420">
        <w:rPr>
          <w:rFonts w:eastAsia="Calibri"/>
          <w:lang w:eastAsia="de-DE" w:bidi="de-DE"/>
        </w:rPr>
        <w:t>.</w:t>
      </w:r>
      <w:r>
        <w:rPr>
          <w:rFonts w:eastAsia="Calibri"/>
          <w:lang w:eastAsia="de-DE" w:bidi="de-DE"/>
        </w:rPr>
        <w:t>]</w:t>
      </w:r>
      <w:r w:rsidRPr="00D21420">
        <w:rPr>
          <w:rFonts w:eastAsia="Calibri"/>
          <w:lang w:eastAsia="de-DE" w:bidi="de-DE"/>
        </w:rPr>
        <w:t>]</w:t>
      </w:r>
    </w:p>
    <w:p w14:paraId="35678B0E" w14:textId="77777777" w:rsidR="00D97CDB" w:rsidRPr="00D21420" w:rsidRDefault="00D97CDB" w:rsidP="00D97CDB">
      <w:pPr>
        <w:jc w:val="both"/>
        <w:rPr>
          <w:lang w:bidi="de-DE"/>
        </w:rPr>
      </w:pPr>
    </w:p>
    <w:p w14:paraId="604E608A" w14:textId="77777777" w:rsidR="00D97CDB" w:rsidRPr="00D21420" w:rsidRDefault="00D97CDB" w:rsidP="00D97CDB">
      <w:pPr>
        <w:jc w:val="both"/>
        <w:rPr>
          <w:i/>
          <w:lang w:eastAsia="de-DE" w:bidi="de-DE"/>
        </w:rPr>
      </w:pPr>
      <w:r w:rsidRPr="00D21420">
        <w:rPr>
          <w:rFonts w:eastAsia="Calibri"/>
          <w:i/>
          <w:lang w:eastAsia="de-DE" w:bidi="de-DE"/>
        </w:rPr>
        <w:t>[Art. 178/1 eingefügt durch Art. 2 des K.E. vom 23. März 2011 (B.S. vom 30. März 2011); § 1 (früherer einziger Absatz) nummeriert durch Art. 2 des K.E. vom 19. April 2013 (B.S. vom 26. April 20</w:t>
      </w:r>
      <w:r>
        <w:rPr>
          <w:rFonts w:eastAsia="Calibri"/>
          <w:i/>
          <w:lang w:eastAsia="de-DE" w:bidi="de-DE"/>
        </w:rPr>
        <w:t xml:space="preserve">13); § 2 eingefügt durch Art. 2 </w:t>
      </w:r>
      <w:r w:rsidRPr="00D21420">
        <w:rPr>
          <w:rFonts w:eastAsia="Calibri"/>
          <w:i/>
          <w:lang w:eastAsia="de-DE" w:bidi="de-DE"/>
        </w:rPr>
        <w:t>des K.E. vom 19. April 2013 (B.S. vom 26. April 2013)</w:t>
      </w:r>
      <w:r>
        <w:rPr>
          <w:rFonts w:eastAsia="Calibri"/>
          <w:i/>
          <w:lang w:eastAsia="de-DE" w:bidi="de-DE"/>
        </w:rPr>
        <w:t xml:space="preserve"> und aufgehoben durch Art. 2 des K.E. vom 30. April 2020 (B.S. vom 11. Mai 2020)</w:t>
      </w:r>
      <w:r w:rsidRPr="00D21420">
        <w:rPr>
          <w:rFonts w:eastAsia="Calibri"/>
          <w:i/>
          <w:lang w:eastAsia="de-DE" w:bidi="de-DE"/>
        </w:rPr>
        <w:t>]</w:t>
      </w:r>
    </w:p>
    <w:p w14:paraId="1F770311" w14:textId="77777777" w:rsidR="003426CA" w:rsidRPr="00D21420" w:rsidRDefault="003426CA" w:rsidP="003426CA">
      <w:pPr>
        <w:jc w:val="both"/>
        <w:rPr>
          <w:lang w:bidi="de-DE"/>
        </w:rPr>
      </w:pPr>
    </w:p>
    <w:p w14:paraId="33BD578D" w14:textId="77777777" w:rsidR="003426CA" w:rsidRPr="00D21420" w:rsidRDefault="003426CA" w:rsidP="003426CA">
      <w:pPr>
        <w:jc w:val="both"/>
        <w:rPr>
          <w:lang w:bidi="de-DE"/>
        </w:rPr>
      </w:pPr>
    </w:p>
    <w:p w14:paraId="01D494CB"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w:t>
      </w:r>
    </w:p>
    <w:p w14:paraId="535CD7AF" w14:textId="77777777" w:rsidR="003426CA" w:rsidRPr="00D21420" w:rsidRDefault="003426CA" w:rsidP="003426CA">
      <w:pPr>
        <w:jc w:val="both"/>
        <w:rPr>
          <w:lang w:bidi="de-DE"/>
        </w:rPr>
      </w:pPr>
    </w:p>
    <w:p w14:paraId="2BCB274D" w14:textId="77777777" w:rsidR="003426CA" w:rsidRPr="00D21420" w:rsidRDefault="003426CA" w:rsidP="003426CA">
      <w:pPr>
        <w:jc w:val="both"/>
        <w:rPr>
          <w:i/>
          <w:lang w:eastAsia="de-DE" w:bidi="de-DE"/>
        </w:rPr>
      </w:pPr>
      <w:r w:rsidRPr="00D21420">
        <w:rPr>
          <w:rFonts w:eastAsia="Calibri"/>
          <w:i/>
          <w:lang w:eastAsia="de-DE" w:bidi="de-DE"/>
        </w:rPr>
        <w:t>[Früherer Artikel 179 aufgehoben durch Art. 3 des K.E. vom 9. Mai 1994 (B.S. vom 19. Mai 1994)]</w:t>
      </w:r>
    </w:p>
    <w:p w14:paraId="2BAF6D78" w14:textId="77777777" w:rsidR="003426CA" w:rsidRPr="00D21420" w:rsidRDefault="003426CA" w:rsidP="003426CA">
      <w:pPr>
        <w:jc w:val="both"/>
        <w:rPr>
          <w:lang w:bidi="de-DE"/>
        </w:rPr>
      </w:pPr>
    </w:p>
    <w:p w14:paraId="2DD03A0A" w14:textId="79F712C2" w:rsidR="00C73606" w:rsidRDefault="00C73606">
      <w:pPr>
        <w:rPr>
          <w:rFonts w:eastAsia="Calibri"/>
          <w:lang w:eastAsia="de-DE" w:bidi="de-DE"/>
        </w:rPr>
      </w:pPr>
    </w:p>
    <w:p w14:paraId="617C0657" w14:textId="77777777" w:rsidR="00AF3938" w:rsidRDefault="00AF3938">
      <w:pPr>
        <w:rPr>
          <w:rFonts w:eastAsia="Calibri"/>
          <w:lang w:eastAsia="de-DE" w:bidi="de-DE"/>
        </w:rPr>
      </w:pPr>
      <w:r>
        <w:rPr>
          <w:rFonts w:eastAsia="Calibri"/>
          <w:lang w:eastAsia="de-DE" w:bidi="de-DE"/>
        </w:rPr>
        <w:br w:type="page"/>
      </w:r>
    </w:p>
    <w:p w14:paraId="715B137C" w14:textId="22A650F2" w:rsidR="00673592" w:rsidRDefault="00102973" w:rsidP="00102973">
      <w:pPr>
        <w:jc w:val="both"/>
      </w:pPr>
      <w:r>
        <w:rPr>
          <w:rFonts w:eastAsia="Calibri"/>
          <w:lang w:eastAsia="de-DE" w:bidi="de-DE"/>
        </w:rPr>
        <w:lastRenderedPageBreak/>
        <w:t>[</w:t>
      </w:r>
      <w:r w:rsidRPr="00673592">
        <w:rPr>
          <w:i/>
        </w:rPr>
        <w:t>Abschnitt 8/1</w:t>
      </w:r>
      <w:r w:rsidRPr="002614B3">
        <w:t> - Nachweis, der im Rahmen von Anträgen auf Anrechnung des Mobiliensteuervorabzugs zu erbringen ist, der auf den in Artikel 21 Absatz 1 Nr. 14 des Einkommensteuergesetzbuches 1992 erwähnten ersten Teilbetrag der Dividenden einbehalten wird</w:t>
      </w:r>
    </w:p>
    <w:p w14:paraId="6759D7B1" w14:textId="77777777" w:rsidR="00673592" w:rsidRDefault="00673592" w:rsidP="00102973">
      <w:pPr>
        <w:jc w:val="both"/>
      </w:pPr>
    </w:p>
    <w:p w14:paraId="05A00076" w14:textId="0D7BF45A" w:rsidR="00102973" w:rsidRPr="002614B3" w:rsidRDefault="00102973" w:rsidP="00673592">
      <w:pPr>
        <w:jc w:val="center"/>
      </w:pPr>
      <w:r w:rsidRPr="002614B3">
        <w:t>(Einkommensteuergesetzbuch 1992, Artikel 307 § 1/1 Absatz 3 und § 1/5)</w:t>
      </w:r>
    </w:p>
    <w:p w14:paraId="663E6B2F" w14:textId="77777777" w:rsidR="00102973" w:rsidRDefault="00102973" w:rsidP="00102973">
      <w:pPr>
        <w:jc w:val="both"/>
      </w:pPr>
    </w:p>
    <w:p w14:paraId="3496A963" w14:textId="2D100B63" w:rsidR="00102973" w:rsidRDefault="00102973" w:rsidP="00102973">
      <w:pPr>
        <w:jc w:val="both"/>
        <w:rPr>
          <w:i/>
        </w:rPr>
      </w:pPr>
      <w:r>
        <w:rPr>
          <w:i/>
        </w:rPr>
        <w:t>[Abschnitt 8/1 mit Art. 178/2 eingefügt durch Art. 2</w:t>
      </w:r>
      <w:r w:rsidRPr="00102973">
        <w:rPr>
          <w:i/>
        </w:rPr>
        <w:t xml:space="preserve"> des K.E. vom 28. April 2019 (I) (B.S. vom 9. Mai 2019)</w:t>
      </w:r>
      <w:r w:rsidR="00673592" w:rsidRPr="00673592">
        <w:rPr>
          <w:rFonts w:eastAsia="Calibri"/>
          <w:i/>
          <w:szCs w:val="22"/>
          <w:lang w:eastAsia="de-DE" w:bidi="de-DE"/>
        </w:rPr>
        <w:t xml:space="preserve"> </w:t>
      </w:r>
      <w:r w:rsidR="00673592">
        <w:rPr>
          <w:rFonts w:eastAsia="Calibri"/>
          <w:i/>
          <w:szCs w:val="22"/>
          <w:lang w:eastAsia="de-DE" w:bidi="de-DE"/>
        </w:rPr>
        <w:t xml:space="preserve">- anwendbar auf den </w:t>
      </w:r>
      <w:r w:rsidR="00673592">
        <w:rPr>
          <w:i/>
        </w:rPr>
        <w:t>Mobiliensteuervorabzug, der auf Dividenden einbehalten wird, die ab dem 1. Januar 2018 ausgeschüttet oder zuerkannt werden -</w:t>
      </w:r>
      <w:r>
        <w:rPr>
          <w:i/>
        </w:rPr>
        <w:t>]</w:t>
      </w:r>
    </w:p>
    <w:p w14:paraId="29D03478" w14:textId="77777777" w:rsidR="00102973" w:rsidRDefault="00102973" w:rsidP="00102973">
      <w:pPr>
        <w:jc w:val="both"/>
        <w:rPr>
          <w:i/>
        </w:rPr>
      </w:pPr>
    </w:p>
    <w:p w14:paraId="33799C23" w14:textId="77777777" w:rsidR="00102973" w:rsidRPr="00102973" w:rsidRDefault="00102973" w:rsidP="00102973">
      <w:pPr>
        <w:jc w:val="both"/>
        <w:rPr>
          <w:i/>
        </w:rPr>
      </w:pPr>
    </w:p>
    <w:p w14:paraId="03A2CC62" w14:textId="77777777" w:rsidR="00102973" w:rsidRPr="002614B3" w:rsidRDefault="00102973" w:rsidP="00102973">
      <w:pPr>
        <w:jc w:val="both"/>
      </w:pPr>
      <w:r w:rsidRPr="002614B3">
        <w:tab/>
      </w:r>
      <w:r w:rsidRPr="00102973">
        <w:rPr>
          <w:b/>
        </w:rPr>
        <w:t>Art. 178/2</w:t>
      </w:r>
      <w:r w:rsidRPr="002614B3">
        <w:t> - Steuerpflichtige, die in Anwendung von Artikel 307 § 1/1 Absatz 3 oder § 1/5 des Einkommensteuergesetzbuches 1992 die Anrechnung und gegebenenfalls die Erstat</w:t>
      </w:r>
      <w:r w:rsidRPr="002614B3">
        <w:softHyphen/>
        <w:t>tung des Mobiliensteuervorabzugs beantragen, der gemäß Artikel 261 desselben Gesetzbuches auf den in Artikel 21 Absatz 1 Nr. 14 dieses Gesetzbuches erwähnten ersten Teilbetrag der Dividenden einbehalten wird, halten Unterlagen zur Verfügung der Verwaltung bereit, aus denen folgende Angaben hervorgehen:</w:t>
      </w:r>
    </w:p>
    <w:p w14:paraId="17878B12" w14:textId="77777777" w:rsidR="00102973" w:rsidRPr="002614B3" w:rsidRDefault="00102973" w:rsidP="00102973">
      <w:pPr>
        <w:jc w:val="both"/>
      </w:pPr>
    </w:p>
    <w:p w14:paraId="45EEDF3F" w14:textId="77777777" w:rsidR="00102973" w:rsidRPr="002614B3" w:rsidRDefault="00102973" w:rsidP="00102973">
      <w:pPr>
        <w:jc w:val="both"/>
      </w:pPr>
      <w:r w:rsidRPr="002614B3">
        <w:tab/>
        <w:t>- Name der Gesellschaft, die die Dividenden zuerkannt hat,</w:t>
      </w:r>
    </w:p>
    <w:p w14:paraId="77F74614" w14:textId="77777777" w:rsidR="00102973" w:rsidRPr="002614B3" w:rsidRDefault="00102973" w:rsidP="00102973">
      <w:pPr>
        <w:jc w:val="both"/>
      </w:pPr>
      <w:r w:rsidRPr="002614B3">
        <w:tab/>
      </w:r>
    </w:p>
    <w:p w14:paraId="6448776E" w14:textId="77777777" w:rsidR="00102973" w:rsidRPr="002614B3" w:rsidRDefault="00102973" w:rsidP="00102973">
      <w:pPr>
        <w:jc w:val="both"/>
      </w:pPr>
      <w:r w:rsidRPr="002614B3">
        <w:tab/>
        <w:t>- Bruttobetrag der Dividenden,</w:t>
      </w:r>
    </w:p>
    <w:p w14:paraId="4B1AB511" w14:textId="77777777" w:rsidR="00102973" w:rsidRPr="002614B3" w:rsidRDefault="00102973" w:rsidP="00102973">
      <w:pPr>
        <w:jc w:val="both"/>
      </w:pPr>
    </w:p>
    <w:p w14:paraId="5AA11B8D" w14:textId="77777777" w:rsidR="00102973" w:rsidRPr="002614B3" w:rsidRDefault="00102973" w:rsidP="00102973">
      <w:pPr>
        <w:jc w:val="both"/>
      </w:pPr>
      <w:r w:rsidRPr="002614B3">
        <w:tab/>
        <w:t>- gegebenenfalls Herkunftsland der Dividenden und Betrag der ausländischen Steuer für Steuerpflichtige, die der Steuer der natürlichen Personen unterliegen,</w:t>
      </w:r>
    </w:p>
    <w:p w14:paraId="71AAC9E9" w14:textId="77777777" w:rsidR="00102973" w:rsidRPr="002614B3" w:rsidRDefault="00102973" w:rsidP="00102973">
      <w:pPr>
        <w:jc w:val="both"/>
      </w:pPr>
    </w:p>
    <w:p w14:paraId="4010D9BE" w14:textId="77777777" w:rsidR="00102973" w:rsidRPr="002614B3" w:rsidRDefault="00102973" w:rsidP="00102973">
      <w:pPr>
        <w:jc w:val="both"/>
      </w:pPr>
      <w:r w:rsidRPr="002614B3">
        <w:tab/>
        <w:t>- gegebenenfalls Mobiliensteuervorabzugssatz für Steuerpflichtige, die der Steuer der Gebietsfremden unterliegen, unter Berücksichtigung der auf einem Abkommen zur Vermei</w:t>
      </w:r>
      <w:r w:rsidRPr="002614B3">
        <w:softHyphen/>
        <w:t>dung der Doppelbesteuerung beruhenden Ermäßigungen,</w:t>
      </w:r>
    </w:p>
    <w:p w14:paraId="617E2FA7" w14:textId="77777777" w:rsidR="00102973" w:rsidRPr="002614B3" w:rsidRDefault="00102973" w:rsidP="00102973">
      <w:pPr>
        <w:jc w:val="both"/>
      </w:pPr>
    </w:p>
    <w:p w14:paraId="40F70D82" w14:textId="77777777" w:rsidR="00102973" w:rsidRPr="002614B3" w:rsidRDefault="00102973" w:rsidP="00102973">
      <w:pPr>
        <w:jc w:val="both"/>
      </w:pPr>
      <w:r w:rsidRPr="002614B3">
        <w:tab/>
        <w:t>- Betrag des einbehaltenen Mobiliensteuervorabzugs, gegebenenfalls aufgegliedert nach Steuersätzen,</w:t>
      </w:r>
    </w:p>
    <w:p w14:paraId="60CE0705" w14:textId="77777777" w:rsidR="00102973" w:rsidRPr="002614B3" w:rsidRDefault="00102973" w:rsidP="00102973">
      <w:pPr>
        <w:jc w:val="both"/>
      </w:pPr>
    </w:p>
    <w:p w14:paraId="5AF04001" w14:textId="77777777" w:rsidR="00102973" w:rsidRPr="002614B3" w:rsidRDefault="00102973" w:rsidP="00102973">
      <w:pPr>
        <w:jc w:val="both"/>
      </w:pPr>
      <w:r w:rsidRPr="002614B3">
        <w:tab/>
        <w:t>- Datum, an dem die Dividenden von der Gesellschaft ausgeschüttet oder zuerkannt werden, was Einkünfte belgischer Herkunft betrifft,</w:t>
      </w:r>
    </w:p>
    <w:p w14:paraId="4DD44380" w14:textId="77777777" w:rsidR="00102973" w:rsidRPr="002614B3" w:rsidRDefault="00102973" w:rsidP="00102973">
      <w:pPr>
        <w:jc w:val="both"/>
      </w:pPr>
    </w:p>
    <w:p w14:paraId="632E56DF" w14:textId="77777777" w:rsidR="00102973" w:rsidRPr="002614B3" w:rsidRDefault="00102973" w:rsidP="00102973">
      <w:pPr>
        <w:jc w:val="both"/>
      </w:pPr>
      <w:r w:rsidRPr="002614B3">
        <w:tab/>
        <w:t>- Datum, an dem die Dividenden vom Steuerpflichtigen bezogen werden.</w:t>
      </w:r>
    </w:p>
    <w:p w14:paraId="03C78CE5" w14:textId="77777777" w:rsidR="00102973" w:rsidRPr="002614B3" w:rsidRDefault="00102973" w:rsidP="00102973">
      <w:pPr>
        <w:jc w:val="both"/>
      </w:pPr>
    </w:p>
    <w:p w14:paraId="17E6AB7C" w14:textId="1974E58A" w:rsidR="00102973" w:rsidRDefault="00102973" w:rsidP="00102973">
      <w:pPr>
        <w:rPr>
          <w:rFonts w:eastAsia="Calibri"/>
          <w:lang w:eastAsia="de-DE" w:bidi="de-DE"/>
        </w:rPr>
      </w:pPr>
      <w:r w:rsidRPr="002614B3">
        <w:tab/>
        <w:t>Die in Absatz 1 erwähnten Unterlagen werden ausgestellt von dem Finanzinstitut, bei dem der Steuerpflichtige das Konto führt, auf das die Dividenden gezahlt werden, von einem anderen Finanzinstitut, das bei der Ausschüttung der Dividenden als Vermittler aufgetreten ist, oder von der Gesellschaft, die die Dividenden zuerkannt hat.</w:t>
      </w:r>
      <w:r>
        <w:rPr>
          <w:rFonts w:eastAsia="Calibri"/>
          <w:lang w:eastAsia="de-DE" w:bidi="de-DE"/>
        </w:rPr>
        <w:t>]</w:t>
      </w:r>
    </w:p>
    <w:p w14:paraId="66587513" w14:textId="77777777" w:rsidR="00102973" w:rsidRDefault="00102973">
      <w:pPr>
        <w:rPr>
          <w:rFonts w:eastAsia="Calibri"/>
          <w:lang w:eastAsia="de-DE" w:bidi="de-DE"/>
        </w:rPr>
      </w:pPr>
    </w:p>
    <w:p w14:paraId="37B216C0" w14:textId="1697859B" w:rsidR="00D21DD8" w:rsidRDefault="00D21DD8">
      <w:pPr>
        <w:rPr>
          <w:rFonts w:eastAsia="Calibri"/>
          <w:lang w:eastAsia="de-DE" w:bidi="de-DE"/>
        </w:rPr>
      </w:pPr>
    </w:p>
    <w:p w14:paraId="616D63EB" w14:textId="77777777" w:rsidR="00AF3938" w:rsidRDefault="00AF3938">
      <w:pPr>
        <w:rPr>
          <w:rFonts w:eastAsia="Calibri"/>
          <w:lang w:eastAsia="de-DE" w:bidi="de-DE"/>
        </w:rPr>
      </w:pPr>
      <w:r>
        <w:rPr>
          <w:rFonts w:eastAsia="Calibri"/>
          <w:lang w:eastAsia="de-DE" w:bidi="de-DE"/>
        </w:rPr>
        <w:br w:type="page"/>
      </w:r>
    </w:p>
    <w:p w14:paraId="2BE52CD8" w14:textId="6E0C1ACF" w:rsidR="003426CA" w:rsidRPr="00D21420" w:rsidRDefault="003426CA" w:rsidP="003426CA">
      <w:pPr>
        <w:jc w:val="center"/>
        <w:rPr>
          <w:lang w:eastAsia="de-DE" w:bidi="de-DE"/>
        </w:rPr>
      </w:pPr>
      <w:r w:rsidRPr="00D21420">
        <w:rPr>
          <w:rFonts w:eastAsia="Calibri"/>
          <w:lang w:eastAsia="de-DE" w:bidi="de-DE"/>
        </w:rPr>
        <w:lastRenderedPageBreak/>
        <w:t>[</w:t>
      </w:r>
      <w:r w:rsidRPr="00D21420">
        <w:rPr>
          <w:rFonts w:eastAsia="Calibri"/>
          <w:i/>
          <w:lang w:eastAsia="de-DE" w:bidi="de-DE"/>
        </w:rPr>
        <w:t>Abschnitt 8bis</w:t>
      </w:r>
      <w:r w:rsidRPr="00D21420">
        <w:rPr>
          <w:rFonts w:eastAsia="Calibri"/>
          <w:lang w:eastAsia="de-DE" w:bidi="de-DE"/>
        </w:rPr>
        <w:t xml:space="preserve"> - Pflicht, Zahlungen anzugeben, die direkt oder indirekt an Personen gemacht werden, die in Staaten ohne oder mit niedriger Besteuerung ansässig sind </w:t>
      </w:r>
    </w:p>
    <w:p w14:paraId="11F61B6F" w14:textId="77777777" w:rsidR="003426CA" w:rsidRPr="00D21420" w:rsidRDefault="003426CA" w:rsidP="003426CA">
      <w:pPr>
        <w:jc w:val="center"/>
        <w:rPr>
          <w:lang w:bidi="de-DE"/>
        </w:rPr>
      </w:pPr>
    </w:p>
    <w:p w14:paraId="2987374F" w14:textId="77777777" w:rsidR="003426CA" w:rsidRPr="00D21420" w:rsidRDefault="003426CA" w:rsidP="003426CA">
      <w:pPr>
        <w:jc w:val="center"/>
        <w:rPr>
          <w:lang w:eastAsia="de-DE" w:bidi="de-DE"/>
        </w:rPr>
      </w:pPr>
      <w:r w:rsidRPr="00D21420">
        <w:rPr>
          <w:rFonts w:eastAsia="Calibri"/>
          <w:lang w:eastAsia="de-DE" w:bidi="de-DE"/>
        </w:rPr>
        <w:t>(Einkommensteuergesetzbuch 1992, Artikel 307)</w:t>
      </w:r>
    </w:p>
    <w:p w14:paraId="43619E33" w14:textId="77777777" w:rsidR="003426CA" w:rsidRPr="00D21420" w:rsidRDefault="003426CA" w:rsidP="003426CA">
      <w:pPr>
        <w:jc w:val="both"/>
        <w:rPr>
          <w:lang w:bidi="de-DE"/>
        </w:rPr>
      </w:pPr>
    </w:p>
    <w:p w14:paraId="12FEF5D4" w14:textId="77777777" w:rsidR="003426CA" w:rsidRPr="00D21420" w:rsidRDefault="003426CA" w:rsidP="003426CA">
      <w:pPr>
        <w:jc w:val="both"/>
        <w:rPr>
          <w:i/>
          <w:lang w:eastAsia="de-DE" w:bidi="de-DE"/>
        </w:rPr>
      </w:pPr>
      <w:r w:rsidRPr="00D21420">
        <w:rPr>
          <w:rFonts w:eastAsia="Calibri"/>
          <w:i/>
          <w:lang w:eastAsia="de-DE" w:bidi="de-DE"/>
        </w:rPr>
        <w:t>[Abschnitt 8bis mit neuem Artikel 179 eingefügt durch Art. 1 des K.E. vom 6. Mai 2010 (B.S. vom 12. Mai 2010)]</w:t>
      </w:r>
    </w:p>
    <w:p w14:paraId="5A297DB0" w14:textId="77777777" w:rsidR="003426CA" w:rsidRPr="00D21420" w:rsidRDefault="003426CA" w:rsidP="003426CA">
      <w:pPr>
        <w:jc w:val="both"/>
        <w:rPr>
          <w:i/>
          <w:lang w:bidi="de-DE"/>
        </w:rPr>
      </w:pPr>
    </w:p>
    <w:p w14:paraId="04C7A135" w14:textId="77777777" w:rsidR="003426CA" w:rsidRPr="00D21420" w:rsidRDefault="003426CA" w:rsidP="003426CA">
      <w:pPr>
        <w:jc w:val="both"/>
        <w:rPr>
          <w:lang w:bidi="de-DE"/>
        </w:rPr>
      </w:pPr>
    </w:p>
    <w:p w14:paraId="798020A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 xml:space="preserve">Art. 179 - </w:t>
      </w:r>
      <w:r w:rsidRPr="00D21420">
        <w:rPr>
          <w:rFonts w:eastAsia="Calibri"/>
          <w:lang w:eastAsia="de-DE" w:bidi="de-DE"/>
        </w:rPr>
        <w:t xml:space="preserve">Die in </w:t>
      </w:r>
      <w:r w:rsidR="0099308D">
        <w:rPr>
          <w:rFonts w:eastAsia="Calibri"/>
          <w:lang w:eastAsia="de-DE" w:bidi="de-DE"/>
        </w:rPr>
        <w:t>[</w:t>
      </w:r>
      <w:r w:rsidR="0099308D" w:rsidRPr="0099308D">
        <w:t>Artikel 307 § 1 Absatz 5 Buchstabe </w:t>
      </w:r>
      <w:r w:rsidR="0099308D" w:rsidRPr="0099308D">
        <w:rPr>
          <w:i/>
        </w:rPr>
        <w:t>b)</w:t>
      </w:r>
      <w:r w:rsidR="0099308D">
        <w:rPr>
          <w:rFonts w:eastAsia="Calibri"/>
          <w:lang w:eastAsia="de-DE" w:bidi="de-DE"/>
        </w:rPr>
        <w:t>]</w:t>
      </w:r>
      <w:r w:rsidRPr="00D21420">
        <w:rPr>
          <w:rFonts w:eastAsia="Calibri"/>
          <w:lang w:eastAsia="de-DE" w:bidi="de-DE"/>
        </w:rPr>
        <w:t xml:space="preserve"> des Einkommensteuergesetz</w:t>
      </w:r>
      <w:r w:rsidRPr="00D21420">
        <w:rPr>
          <w:rFonts w:eastAsia="Calibri"/>
          <w:lang w:eastAsia="de-DE" w:bidi="de-DE"/>
        </w:rPr>
        <w:softHyphen/>
        <w:t>buches 1992 erwähnte Liste der Staaten ohne oder mit niedriger Besteuerung ist folgende Liste:</w:t>
      </w:r>
    </w:p>
    <w:p w14:paraId="4372966B" w14:textId="77777777" w:rsidR="003426CA" w:rsidRPr="00D21420" w:rsidRDefault="003426CA" w:rsidP="003426CA">
      <w:pPr>
        <w:jc w:val="both"/>
        <w:rPr>
          <w:lang w:bidi="de-DE"/>
        </w:rPr>
      </w:pPr>
    </w:p>
    <w:p w14:paraId="1E014D3B" w14:textId="77777777" w:rsidR="0099308D" w:rsidRPr="00C949AA" w:rsidRDefault="003426CA" w:rsidP="0099308D">
      <w:pPr>
        <w:jc w:val="both"/>
      </w:pPr>
      <w:r w:rsidRPr="00D21420">
        <w:rPr>
          <w:rFonts w:eastAsia="Calibri"/>
          <w:szCs w:val="22"/>
          <w:lang w:eastAsia="de-DE" w:bidi="de-DE"/>
        </w:rPr>
        <w:tab/>
      </w:r>
      <w:r w:rsidR="0099308D" w:rsidRPr="00C949AA">
        <w:rPr>
          <w:rFonts w:eastAsia="Calibri"/>
          <w:szCs w:val="22"/>
          <w:lang w:eastAsia="de-DE" w:bidi="de-DE"/>
        </w:rPr>
        <w:t>[</w:t>
      </w:r>
      <w:r w:rsidR="0099308D" w:rsidRPr="00C949AA">
        <w:t>1. Abu Dhabi,</w:t>
      </w:r>
    </w:p>
    <w:p w14:paraId="32FC996A" w14:textId="77777777" w:rsidR="0099308D" w:rsidRPr="00C949AA" w:rsidRDefault="0099308D" w:rsidP="0099308D">
      <w:pPr>
        <w:jc w:val="both"/>
      </w:pPr>
    </w:p>
    <w:p w14:paraId="1F964E34" w14:textId="77777777" w:rsidR="0099308D" w:rsidRPr="00C949AA" w:rsidRDefault="0099308D" w:rsidP="0099308D">
      <w:pPr>
        <w:jc w:val="both"/>
      </w:pPr>
      <w:r w:rsidRPr="00C949AA">
        <w:tab/>
        <w:t>2. Ajman,</w:t>
      </w:r>
    </w:p>
    <w:p w14:paraId="6442DA6F" w14:textId="77777777" w:rsidR="0099308D" w:rsidRPr="00C949AA" w:rsidRDefault="0099308D" w:rsidP="0099308D">
      <w:pPr>
        <w:jc w:val="both"/>
      </w:pPr>
    </w:p>
    <w:p w14:paraId="73C2C158" w14:textId="77777777" w:rsidR="0099308D" w:rsidRPr="00C949AA" w:rsidRDefault="0099308D" w:rsidP="0099308D">
      <w:pPr>
        <w:jc w:val="both"/>
      </w:pPr>
      <w:r w:rsidRPr="00C949AA">
        <w:tab/>
        <w:t>3. Anguilla,</w:t>
      </w:r>
    </w:p>
    <w:p w14:paraId="118031D3" w14:textId="77777777" w:rsidR="0099308D" w:rsidRPr="00C949AA" w:rsidRDefault="0099308D" w:rsidP="0099308D">
      <w:pPr>
        <w:jc w:val="both"/>
      </w:pPr>
    </w:p>
    <w:p w14:paraId="7E043202" w14:textId="77777777" w:rsidR="0099308D" w:rsidRPr="00C949AA" w:rsidRDefault="0099308D" w:rsidP="0099308D">
      <w:pPr>
        <w:jc w:val="both"/>
      </w:pPr>
      <w:r w:rsidRPr="00C949AA">
        <w:tab/>
        <w:t>4. Bahamas,</w:t>
      </w:r>
    </w:p>
    <w:p w14:paraId="01FF6613" w14:textId="77777777" w:rsidR="0099308D" w:rsidRPr="00C949AA" w:rsidRDefault="0099308D" w:rsidP="0099308D">
      <w:pPr>
        <w:jc w:val="both"/>
      </w:pPr>
    </w:p>
    <w:p w14:paraId="3DFB9762" w14:textId="77777777" w:rsidR="0099308D" w:rsidRPr="0099308D" w:rsidRDefault="0099308D" w:rsidP="0099308D">
      <w:pPr>
        <w:jc w:val="both"/>
      </w:pPr>
      <w:r w:rsidRPr="00C949AA">
        <w:tab/>
      </w:r>
      <w:r w:rsidRPr="0099308D">
        <w:t>5. Bahrain,</w:t>
      </w:r>
    </w:p>
    <w:p w14:paraId="77EB5215" w14:textId="77777777" w:rsidR="0099308D" w:rsidRPr="0099308D" w:rsidRDefault="0099308D" w:rsidP="0099308D">
      <w:pPr>
        <w:jc w:val="both"/>
      </w:pPr>
    </w:p>
    <w:p w14:paraId="19B8EB6A" w14:textId="77777777" w:rsidR="0099308D" w:rsidRPr="0099308D" w:rsidRDefault="0099308D" w:rsidP="0099308D">
      <w:pPr>
        <w:jc w:val="both"/>
      </w:pPr>
      <w:r w:rsidRPr="0099308D">
        <w:tab/>
        <w:t>6. Bermuda,</w:t>
      </w:r>
    </w:p>
    <w:p w14:paraId="662BF7AE" w14:textId="77777777" w:rsidR="0099308D" w:rsidRPr="0099308D" w:rsidRDefault="0099308D" w:rsidP="0099308D">
      <w:pPr>
        <w:jc w:val="both"/>
      </w:pPr>
    </w:p>
    <w:p w14:paraId="3FC9B490" w14:textId="77777777" w:rsidR="0099308D" w:rsidRPr="0099308D" w:rsidRDefault="0099308D" w:rsidP="0099308D">
      <w:pPr>
        <w:jc w:val="both"/>
      </w:pPr>
      <w:r w:rsidRPr="0099308D">
        <w:tab/>
        <w:t>7. Britische Jungferninseln,</w:t>
      </w:r>
    </w:p>
    <w:p w14:paraId="3820D6CC" w14:textId="77777777" w:rsidR="0099308D" w:rsidRPr="0099308D" w:rsidRDefault="0099308D" w:rsidP="0099308D">
      <w:pPr>
        <w:jc w:val="both"/>
      </w:pPr>
    </w:p>
    <w:p w14:paraId="5EDD2BD2" w14:textId="77777777" w:rsidR="0099308D" w:rsidRPr="0099308D" w:rsidRDefault="0099308D" w:rsidP="0099308D">
      <w:pPr>
        <w:jc w:val="both"/>
      </w:pPr>
      <w:r w:rsidRPr="0099308D">
        <w:tab/>
        <w:t>8. Kaiman-Inseln,</w:t>
      </w:r>
    </w:p>
    <w:p w14:paraId="65E6FDB7" w14:textId="77777777" w:rsidR="0099308D" w:rsidRPr="0099308D" w:rsidRDefault="0099308D" w:rsidP="0099308D">
      <w:pPr>
        <w:jc w:val="both"/>
      </w:pPr>
    </w:p>
    <w:p w14:paraId="69A03AEE" w14:textId="77777777" w:rsidR="0099308D" w:rsidRPr="0099308D" w:rsidRDefault="0099308D" w:rsidP="0099308D">
      <w:pPr>
        <w:jc w:val="both"/>
      </w:pPr>
      <w:r w:rsidRPr="0099308D">
        <w:tab/>
        <w:t>9. Dubai,</w:t>
      </w:r>
    </w:p>
    <w:p w14:paraId="4301BA6A" w14:textId="77777777" w:rsidR="0099308D" w:rsidRPr="0099308D" w:rsidRDefault="0099308D" w:rsidP="0099308D">
      <w:pPr>
        <w:jc w:val="both"/>
      </w:pPr>
    </w:p>
    <w:p w14:paraId="34595B4F" w14:textId="77777777" w:rsidR="0099308D" w:rsidRPr="0099308D" w:rsidRDefault="0099308D" w:rsidP="0099308D">
      <w:pPr>
        <w:jc w:val="both"/>
      </w:pPr>
      <w:r w:rsidRPr="0099308D">
        <w:tab/>
        <w:t>10. Fujairah,</w:t>
      </w:r>
    </w:p>
    <w:p w14:paraId="6310C7A1" w14:textId="77777777" w:rsidR="0099308D" w:rsidRPr="0099308D" w:rsidRDefault="0099308D" w:rsidP="0099308D">
      <w:pPr>
        <w:jc w:val="both"/>
      </w:pPr>
    </w:p>
    <w:p w14:paraId="15C754D7" w14:textId="77777777" w:rsidR="0099308D" w:rsidRPr="0099308D" w:rsidRDefault="0099308D" w:rsidP="0099308D">
      <w:pPr>
        <w:jc w:val="both"/>
      </w:pPr>
      <w:r w:rsidRPr="0099308D">
        <w:tab/>
        <w:t>11. Guernsey,</w:t>
      </w:r>
    </w:p>
    <w:p w14:paraId="1B0E7E6B" w14:textId="77777777" w:rsidR="0099308D" w:rsidRPr="0099308D" w:rsidRDefault="0099308D" w:rsidP="0099308D">
      <w:pPr>
        <w:jc w:val="both"/>
      </w:pPr>
    </w:p>
    <w:p w14:paraId="16149F32" w14:textId="77777777" w:rsidR="0099308D" w:rsidRPr="0099308D" w:rsidRDefault="0099308D" w:rsidP="0099308D">
      <w:pPr>
        <w:jc w:val="both"/>
      </w:pPr>
      <w:r w:rsidRPr="0099308D">
        <w:tab/>
        <w:t>12. Jersey,</w:t>
      </w:r>
    </w:p>
    <w:p w14:paraId="302C1037" w14:textId="77777777" w:rsidR="0099308D" w:rsidRPr="0099308D" w:rsidRDefault="0099308D" w:rsidP="0099308D">
      <w:pPr>
        <w:jc w:val="both"/>
      </w:pPr>
    </w:p>
    <w:p w14:paraId="2576D9A9" w14:textId="77777777" w:rsidR="0099308D" w:rsidRPr="0099308D" w:rsidRDefault="0099308D" w:rsidP="0099308D">
      <w:pPr>
        <w:jc w:val="both"/>
      </w:pPr>
      <w:r w:rsidRPr="0099308D">
        <w:tab/>
        <w:t>13. Insel Man,</w:t>
      </w:r>
    </w:p>
    <w:p w14:paraId="5B88ED67" w14:textId="77777777" w:rsidR="0099308D" w:rsidRPr="0099308D" w:rsidRDefault="0099308D" w:rsidP="0099308D">
      <w:pPr>
        <w:jc w:val="both"/>
      </w:pPr>
    </w:p>
    <w:p w14:paraId="2F086D6C" w14:textId="77777777" w:rsidR="0099308D" w:rsidRPr="0099308D" w:rsidRDefault="0099308D" w:rsidP="0099308D">
      <w:pPr>
        <w:jc w:val="both"/>
      </w:pPr>
      <w:r w:rsidRPr="0099308D">
        <w:tab/>
        <w:t>14. Marshallinseln,</w:t>
      </w:r>
    </w:p>
    <w:p w14:paraId="715A9C60" w14:textId="77777777" w:rsidR="0099308D" w:rsidRPr="0099308D" w:rsidRDefault="0099308D" w:rsidP="0099308D">
      <w:pPr>
        <w:jc w:val="both"/>
      </w:pPr>
    </w:p>
    <w:p w14:paraId="3C2E0E67" w14:textId="77777777" w:rsidR="0099308D" w:rsidRPr="0099308D" w:rsidRDefault="0099308D" w:rsidP="0099308D">
      <w:pPr>
        <w:jc w:val="both"/>
      </w:pPr>
      <w:r w:rsidRPr="0099308D">
        <w:tab/>
        <w:t>15. Mikronesien (Föderierte Staaten von),</w:t>
      </w:r>
    </w:p>
    <w:p w14:paraId="4DEB6540" w14:textId="77777777" w:rsidR="0099308D" w:rsidRPr="0099308D" w:rsidRDefault="0099308D" w:rsidP="0099308D">
      <w:pPr>
        <w:jc w:val="both"/>
      </w:pPr>
    </w:p>
    <w:p w14:paraId="5A982E4D" w14:textId="77777777" w:rsidR="0099308D" w:rsidRPr="0099308D" w:rsidRDefault="0099308D" w:rsidP="0099308D">
      <w:pPr>
        <w:jc w:val="both"/>
      </w:pPr>
      <w:r w:rsidRPr="0099308D">
        <w:tab/>
        <w:t>16. Monaco,</w:t>
      </w:r>
    </w:p>
    <w:p w14:paraId="1B3528F3" w14:textId="77777777" w:rsidR="0099308D" w:rsidRPr="0099308D" w:rsidRDefault="0099308D" w:rsidP="0099308D">
      <w:pPr>
        <w:jc w:val="both"/>
      </w:pPr>
    </w:p>
    <w:p w14:paraId="6170B81C" w14:textId="77777777" w:rsidR="0099308D" w:rsidRPr="00C949AA" w:rsidRDefault="0099308D" w:rsidP="0099308D">
      <w:pPr>
        <w:jc w:val="both"/>
        <w:rPr>
          <w:lang w:val="fi-FI"/>
        </w:rPr>
      </w:pPr>
      <w:r w:rsidRPr="0099308D">
        <w:tab/>
      </w:r>
      <w:r w:rsidRPr="00C949AA">
        <w:rPr>
          <w:lang w:val="fi-FI"/>
        </w:rPr>
        <w:t>17. Montenegro,</w:t>
      </w:r>
    </w:p>
    <w:p w14:paraId="3C53EF1A" w14:textId="77777777" w:rsidR="0099308D" w:rsidRPr="00C949AA" w:rsidRDefault="0099308D" w:rsidP="0099308D">
      <w:pPr>
        <w:jc w:val="both"/>
        <w:rPr>
          <w:lang w:val="fi-FI"/>
        </w:rPr>
      </w:pPr>
    </w:p>
    <w:p w14:paraId="7B08859E" w14:textId="77777777" w:rsidR="0099308D" w:rsidRPr="00C949AA" w:rsidRDefault="0099308D" w:rsidP="0099308D">
      <w:pPr>
        <w:jc w:val="both"/>
        <w:rPr>
          <w:lang w:val="fi-FI"/>
        </w:rPr>
      </w:pPr>
      <w:r w:rsidRPr="00C949AA">
        <w:rPr>
          <w:lang w:val="fi-FI"/>
        </w:rPr>
        <w:tab/>
        <w:t>18. Nauru,</w:t>
      </w:r>
    </w:p>
    <w:p w14:paraId="10FB020D" w14:textId="77777777" w:rsidR="0099308D" w:rsidRPr="00C949AA" w:rsidRDefault="0099308D" w:rsidP="0099308D">
      <w:pPr>
        <w:jc w:val="both"/>
        <w:rPr>
          <w:lang w:val="fi-FI"/>
        </w:rPr>
      </w:pPr>
    </w:p>
    <w:p w14:paraId="088A65BF" w14:textId="77777777" w:rsidR="0099308D" w:rsidRPr="00C949AA" w:rsidRDefault="0099308D" w:rsidP="0099308D">
      <w:pPr>
        <w:jc w:val="both"/>
        <w:rPr>
          <w:lang w:val="fi-FI"/>
        </w:rPr>
      </w:pPr>
      <w:r w:rsidRPr="00C949AA">
        <w:rPr>
          <w:lang w:val="fi-FI"/>
        </w:rPr>
        <w:tab/>
        <w:t>19. Usbekistan,</w:t>
      </w:r>
    </w:p>
    <w:p w14:paraId="406E0CA1" w14:textId="77777777" w:rsidR="0099308D" w:rsidRPr="00C949AA" w:rsidRDefault="0099308D" w:rsidP="0099308D">
      <w:pPr>
        <w:jc w:val="both"/>
        <w:rPr>
          <w:lang w:val="fi-FI"/>
        </w:rPr>
      </w:pPr>
    </w:p>
    <w:p w14:paraId="58E757D3" w14:textId="77777777" w:rsidR="0099308D" w:rsidRPr="00C949AA" w:rsidRDefault="0099308D" w:rsidP="0099308D">
      <w:pPr>
        <w:jc w:val="both"/>
        <w:rPr>
          <w:lang w:val="fi-FI"/>
        </w:rPr>
      </w:pPr>
      <w:r w:rsidRPr="00C949AA">
        <w:rPr>
          <w:lang w:val="fi-FI"/>
        </w:rPr>
        <w:lastRenderedPageBreak/>
        <w:tab/>
        <w:t>20. Palau,</w:t>
      </w:r>
    </w:p>
    <w:p w14:paraId="3E21239A" w14:textId="77777777" w:rsidR="0099308D" w:rsidRPr="00C949AA" w:rsidRDefault="0099308D" w:rsidP="0099308D">
      <w:pPr>
        <w:jc w:val="both"/>
        <w:rPr>
          <w:lang w:val="fi-FI"/>
        </w:rPr>
      </w:pPr>
    </w:p>
    <w:p w14:paraId="185F9EA5" w14:textId="77777777" w:rsidR="0099308D" w:rsidRPr="00C949AA" w:rsidRDefault="0099308D" w:rsidP="0099308D">
      <w:pPr>
        <w:jc w:val="both"/>
        <w:rPr>
          <w:lang w:val="fi-FI"/>
        </w:rPr>
      </w:pPr>
      <w:r w:rsidRPr="00C949AA">
        <w:rPr>
          <w:lang w:val="fi-FI"/>
        </w:rPr>
        <w:tab/>
        <w:t>21. Pitcairninseln,</w:t>
      </w:r>
    </w:p>
    <w:p w14:paraId="2755CF4C" w14:textId="77777777" w:rsidR="0099308D" w:rsidRPr="00C949AA" w:rsidRDefault="0099308D" w:rsidP="0099308D">
      <w:pPr>
        <w:jc w:val="both"/>
        <w:rPr>
          <w:lang w:val="fi-FI"/>
        </w:rPr>
      </w:pPr>
    </w:p>
    <w:p w14:paraId="21FE68A8" w14:textId="77777777" w:rsidR="0099308D" w:rsidRPr="00C949AA" w:rsidRDefault="0099308D" w:rsidP="0099308D">
      <w:pPr>
        <w:jc w:val="both"/>
        <w:rPr>
          <w:lang w:val="fi-FI"/>
        </w:rPr>
      </w:pPr>
      <w:r w:rsidRPr="00C949AA">
        <w:rPr>
          <w:lang w:val="fi-FI"/>
        </w:rPr>
        <w:tab/>
        <w:t>22. Ras al Khaimah,</w:t>
      </w:r>
    </w:p>
    <w:p w14:paraId="3801CAE6" w14:textId="77777777" w:rsidR="0099308D" w:rsidRPr="00C949AA" w:rsidRDefault="0099308D" w:rsidP="0099308D">
      <w:pPr>
        <w:jc w:val="both"/>
        <w:rPr>
          <w:lang w:val="fi-FI"/>
        </w:rPr>
      </w:pPr>
    </w:p>
    <w:p w14:paraId="37D1B98A" w14:textId="77777777" w:rsidR="0099308D" w:rsidRPr="00C949AA" w:rsidRDefault="0099308D" w:rsidP="0099308D">
      <w:pPr>
        <w:jc w:val="both"/>
        <w:rPr>
          <w:lang w:val="fi-FI"/>
        </w:rPr>
      </w:pPr>
      <w:r w:rsidRPr="00C949AA">
        <w:rPr>
          <w:lang w:val="fi-FI"/>
        </w:rPr>
        <w:tab/>
        <w:t>23. Sankt Bartholomäus,</w:t>
      </w:r>
    </w:p>
    <w:p w14:paraId="03C7B0C3" w14:textId="77777777" w:rsidR="0099308D" w:rsidRPr="00C949AA" w:rsidRDefault="0099308D" w:rsidP="0099308D">
      <w:pPr>
        <w:jc w:val="both"/>
        <w:rPr>
          <w:lang w:val="fi-FI"/>
        </w:rPr>
      </w:pPr>
    </w:p>
    <w:p w14:paraId="1ED4E336" w14:textId="77777777" w:rsidR="0099308D" w:rsidRPr="00C949AA" w:rsidRDefault="0099308D" w:rsidP="0099308D">
      <w:pPr>
        <w:jc w:val="both"/>
        <w:rPr>
          <w:lang w:val="fi-FI"/>
        </w:rPr>
      </w:pPr>
      <w:r w:rsidRPr="00C949AA">
        <w:rPr>
          <w:lang w:val="fi-FI"/>
        </w:rPr>
        <w:tab/>
        <w:t>24. Sharjah,</w:t>
      </w:r>
    </w:p>
    <w:p w14:paraId="681D5533" w14:textId="77777777" w:rsidR="0099308D" w:rsidRPr="00C949AA" w:rsidRDefault="0099308D" w:rsidP="0099308D">
      <w:pPr>
        <w:jc w:val="both"/>
        <w:rPr>
          <w:lang w:val="fi-FI"/>
        </w:rPr>
      </w:pPr>
    </w:p>
    <w:p w14:paraId="485A636A" w14:textId="77777777" w:rsidR="0099308D" w:rsidRPr="00C949AA" w:rsidRDefault="0099308D" w:rsidP="0099308D">
      <w:pPr>
        <w:jc w:val="both"/>
        <w:rPr>
          <w:lang w:val="fi-FI"/>
        </w:rPr>
      </w:pPr>
      <w:r w:rsidRPr="00C949AA">
        <w:rPr>
          <w:lang w:val="fi-FI"/>
        </w:rPr>
        <w:tab/>
        <w:t>25. Somalia,</w:t>
      </w:r>
    </w:p>
    <w:p w14:paraId="4EA4A3D6" w14:textId="77777777" w:rsidR="0099308D" w:rsidRPr="00C949AA" w:rsidRDefault="0099308D" w:rsidP="0099308D">
      <w:pPr>
        <w:jc w:val="both"/>
        <w:rPr>
          <w:lang w:val="fi-FI"/>
        </w:rPr>
      </w:pPr>
    </w:p>
    <w:p w14:paraId="1D2E29C7" w14:textId="77777777" w:rsidR="0099308D" w:rsidRPr="00C949AA" w:rsidRDefault="0099308D" w:rsidP="0099308D">
      <w:pPr>
        <w:jc w:val="both"/>
        <w:rPr>
          <w:lang w:val="fi-FI"/>
        </w:rPr>
      </w:pPr>
      <w:r w:rsidRPr="00C949AA">
        <w:rPr>
          <w:lang w:val="fi-FI"/>
        </w:rPr>
        <w:tab/>
        <w:t>26. Turkmenistan,</w:t>
      </w:r>
    </w:p>
    <w:p w14:paraId="0F057364" w14:textId="77777777" w:rsidR="0099308D" w:rsidRPr="00C949AA" w:rsidRDefault="0099308D" w:rsidP="0099308D">
      <w:pPr>
        <w:jc w:val="both"/>
        <w:rPr>
          <w:lang w:val="fi-FI"/>
        </w:rPr>
      </w:pPr>
    </w:p>
    <w:p w14:paraId="5F286A5D" w14:textId="77777777" w:rsidR="0099308D" w:rsidRPr="00C949AA" w:rsidRDefault="0099308D" w:rsidP="0099308D">
      <w:pPr>
        <w:jc w:val="both"/>
        <w:rPr>
          <w:lang w:val="fi-FI"/>
        </w:rPr>
      </w:pPr>
      <w:r w:rsidRPr="00C949AA">
        <w:rPr>
          <w:lang w:val="fi-FI"/>
        </w:rPr>
        <w:tab/>
        <w:t>27. Turks- und Caicosinseln,</w:t>
      </w:r>
    </w:p>
    <w:p w14:paraId="2C8563FA" w14:textId="77777777" w:rsidR="0099308D" w:rsidRPr="00C949AA" w:rsidRDefault="0099308D" w:rsidP="0099308D">
      <w:pPr>
        <w:jc w:val="both"/>
        <w:rPr>
          <w:lang w:val="fi-FI"/>
        </w:rPr>
      </w:pPr>
    </w:p>
    <w:p w14:paraId="145940C5" w14:textId="77777777" w:rsidR="0099308D" w:rsidRPr="00C949AA" w:rsidRDefault="0099308D" w:rsidP="0099308D">
      <w:pPr>
        <w:jc w:val="both"/>
        <w:rPr>
          <w:lang w:val="fi-FI"/>
        </w:rPr>
      </w:pPr>
      <w:r w:rsidRPr="00C949AA">
        <w:rPr>
          <w:lang w:val="fi-FI"/>
        </w:rPr>
        <w:tab/>
        <w:t>28. Umm al Qaiwain,</w:t>
      </w:r>
    </w:p>
    <w:p w14:paraId="3F167BF7" w14:textId="77777777" w:rsidR="0099308D" w:rsidRPr="00C949AA" w:rsidRDefault="0099308D" w:rsidP="0099308D">
      <w:pPr>
        <w:jc w:val="both"/>
        <w:rPr>
          <w:lang w:val="fi-FI"/>
        </w:rPr>
      </w:pPr>
    </w:p>
    <w:p w14:paraId="5C9E879F" w14:textId="77777777" w:rsidR="0099308D" w:rsidRPr="00C949AA" w:rsidRDefault="0099308D" w:rsidP="0099308D">
      <w:pPr>
        <w:jc w:val="both"/>
        <w:rPr>
          <w:lang w:val="fi-FI"/>
        </w:rPr>
      </w:pPr>
      <w:r w:rsidRPr="00C949AA">
        <w:rPr>
          <w:lang w:val="fi-FI"/>
        </w:rPr>
        <w:tab/>
        <w:t>29. Vanuatu,</w:t>
      </w:r>
    </w:p>
    <w:p w14:paraId="59D96788" w14:textId="7CB48793" w:rsidR="0015007B" w:rsidRPr="00C949AA" w:rsidRDefault="0015007B">
      <w:pPr>
        <w:rPr>
          <w:lang w:val="fi-FI"/>
        </w:rPr>
      </w:pPr>
    </w:p>
    <w:p w14:paraId="68DF68B9" w14:textId="4A347781" w:rsidR="003426CA" w:rsidRPr="00C949AA" w:rsidRDefault="0099308D" w:rsidP="0099308D">
      <w:pPr>
        <w:jc w:val="both"/>
        <w:rPr>
          <w:lang w:val="fi-FI" w:eastAsia="de-DE" w:bidi="de-DE"/>
        </w:rPr>
      </w:pPr>
      <w:r w:rsidRPr="00C949AA">
        <w:rPr>
          <w:lang w:val="fi-FI"/>
        </w:rPr>
        <w:tab/>
        <w:t>30. Wallis und Futuna.</w:t>
      </w:r>
      <w:r w:rsidRPr="00C949AA">
        <w:rPr>
          <w:rFonts w:eastAsia="Calibri"/>
          <w:lang w:val="fi-FI" w:eastAsia="de-DE" w:bidi="de-DE"/>
        </w:rPr>
        <w:t>]</w:t>
      </w:r>
      <w:r w:rsidR="003426CA" w:rsidRPr="00C949AA">
        <w:rPr>
          <w:rFonts w:eastAsia="Calibri"/>
          <w:lang w:val="fi-FI" w:eastAsia="de-DE" w:bidi="de-DE"/>
        </w:rPr>
        <w:t>]</w:t>
      </w:r>
    </w:p>
    <w:p w14:paraId="5DC15D11" w14:textId="77777777" w:rsidR="003426CA" w:rsidRPr="00C949AA" w:rsidRDefault="003426CA" w:rsidP="003426CA">
      <w:pPr>
        <w:jc w:val="both"/>
        <w:rPr>
          <w:lang w:val="fi-FI" w:bidi="de-DE"/>
        </w:rPr>
      </w:pPr>
    </w:p>
    <w:p w14:paraId="5E1C498A" w14:textId="77777777" w:rsidR="0099308D" w:rsidRPr="0099308D" w:rsidRDefault="0099308D" w:rsidP="003426CA">
      <w:pPr>
        <w:jc w:val="both"/>
        <w:rPr>
          <w:i/>
          <w:lang w:bidi="de-DE"/>
        </w:rPr>
      </w:pPr>
      <w:r w:rsidRPr="0099308D">
        <w:rPr>
          <w:i/>
          <w:lang w:bidi="de-DE"/>
        </w:rPr>
        <w:t>[</w:t>
      </w:r>
      <w:r>
        <w:rPr>
          <w:i/>
          <w:lang w:bidi="de-DE"/>
        </w:rPr>
        <w:t>Art. 179 einziger Absatz einleitende Bestimmung abgeändert durch Art. 1 Buchstabe a) des K.E. vom 1. März 2016</w:t>
      </w:r>
      <w:r w:rsidR="006273A7">
        <w:rPr>
          <w:i/>
          <w:lang w:bidi="de-DE"/>
        </w:rPr>
        <w:t xml:space="preserve"> (II) </w:t>
      </w:r>
      <w:r>
        <w:rPr>
          <w:i/>
          <w:lang w:bidi="de-DE"/>
        </w:rPr>
        <w:t>(B.S. vom 11. März 2016); einziger Absatz Nr. 1 bis 30 ersetzt durch Art. 1 Buchstabe b) des K.E. vom 1. März 2016</w:t>
      </w:r>
      <w:r w:rsidR="006273A7">
        <w:rPr>
          <w:i/>
          <w:lang w:bidi="de-DE"/>
        </w:rPr>
        <w:t xml:space="preserve"> (II)</w:t>
      </w:r>
      <w:r>
        <w:rPr>
          <w:i/>
          <w:lang w:bidi="de-DE"/>
        </w:rPr>
        <w:t xml:space="preserve"> (B.S. vom 11. März 2016)</w:t>
      </w:r>
      <w:r w:rsidRPr="0099308D">
        <w:rPr>
          <w:i/>
          <w:lang w:bidi="de-DE"/>
        </w:rPr>
        <w:t>]</w:t>
      </w:r>
    </w:p>
    <w:p w14:paraId="7E3E1057" w14:textId="77777777" w:rsidR="0099308D" w:rsidRPr="00D21420" w:rsidRDefault="0099308D" w:rsidP="003426CA">
      <w:pPr>
        <w:jc w:val="both"/>
        <w:rPr>
          <w:lang w:bidi="de-DE"/>
        </w:rPr>
      </w:pPr>
    </w:p>
    <w:p w14:paraId="229DFAC9" w14:textId="04659F48" w:rsidR="002674EF" w:rsidRDefault="002674EF">
      <w:pPr>
        <w:rPr>
          <w:rFonts w:eastAsia="Calibri"/>
          <w:i/>
          <w:lang w:eastAsia="de-DE" w:bidi="de-DE"/>
        </w:rPr>
      </w:pPr>
    </w:p>
    <w:p w14:paraId="31482E89" w14:textId="39B65314" w:rsidR="003426CA" w:rsidRPr="00D21420" w:rsidRDefault="003426CA" w:rsidP="003426CA">
      <w:pPr>
        <w:jc w:val="center"/>
        <w:rPr>
          <w:lang w:eastAsia="de-DE" w:bidi="de-DE"/>
        </w:rPr>
      </w:pPr>
      <w:r w:rsidRPr="00D21420">
        <w:rPr>
          <w:rFonts w:eastAsia="Calibri"/>
          <w:i/>
          <w:lang w:eastAsia="de-DE" w:bidi="de-DE"/>
        </w:rPr>
        <w:t>Abschnitt 9</w:t>
      </w:r>
      <w:r w:rsidRPr="00D21420">
        <w:rPr>
          <w:rFonts w:eastAsia="Calibri"/>
          <w:lang w:eastAsia="de-DE" w:bidi="de-DE"/>
        </w:rPr>
        <w:t xml:space="preserve"> - Bestimmung von Dritten, um für die Ausführung einer Aufgabe allgemeinen Interesses Informationen zu erhalten </w:t>
      </w:r>
    </w:p>
    <w:p w14:paraId="392DFD76" w14:textId="77777777" w:rsidR="003426CA" w:rsidRPr="00D21420" w:rsidRDefault="003426CA" w:rsidP="003426CA">
      <w:pPr>
        <w:jc w:val="center"/>
        <w:rPr>
          <w:lang w:bidi="de-DE"/>
        </w:rPr>
      </w:pPr>
    </w:p>
    <w:p w14:paraId="34615A7B" w14:textId="77777777" w:rsidR="003426CA" w:rsidRPr="00D21420" w:rsidRDefault="003426CA" w:rsidP="003426CA">
      <w:pPr>
        <w:jc w:val="center"/>
        <w:rPr>
          <w:lang w:eastAsia="de-DE" w:bidi="de-DE"/>
        </w:rPr>
      </w:pPr>
      <w:r w:rsidRPr="00D21420">
        <w:rPr>
          <w:rFonts w:eastAsia="Calibri"/>
          <w:lang w:eastAsia="de-DE" w:bidi="de-DE"/>
        </w:rPr>
        <w:t>(Einkommensteuergesetzbuch 1992, Artikel 314 § 4)</w:t>
      </w:r>
    </w:p>
    <w:p w14:paraId="15D8E685" w14:textId="77777777" w:rsidR="003426CA" w:rsidRPr="00D21420" w:rsidRDefault="003426CA" w:rsidP="003426CA">
      <w:pPr>
        <w:jc w:val="both"/>
        <w:rPr>
          <w:lang w:bidi="de-DE"/>
        </w:rPr>
      </w:pPr>
    </w:p>
    <w:p w14:paraId="3D103AE2" w14:textId="77777777" w:rsidR="003426CA" w:rsidRPr="00D21420" w:rsidRDefault="003426CA" w:rsidP="003426CA">
      <w:pPr>
        <w:jc w:val="both"/>
        <w:rPr>
          <w:lang w:bidi="de-DE"/>
        </w:rPr>
      </w:pPr>
    </w:p>
    <w:p w14:paraId="32AFBD47" w14:textId="11CDF99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180</w:t>
      </w:r>
      <w:r w:rsidRPr="00D21420">
        <w:rPr>
          <w:rFonts w:eastAsia="Calibri"/>
          <w:lang w:eastAsia="de-DE" w:bidi="de-DE"/>
        </w:rPr>
        <w:t xml:space="preserve"> - [§ 1 - Die Aktiengesellschaft nach belgischem Recht Joos, Nr. BE 0449.689.723, </w:t>
      </w:r>
      <w:r w:rsidR="00E26C3E">
        <w:rPr>
          <w:rFonts w:eastAsia="Calibri"/>
          <w:lang w:eastAsia="de-DE" w:bidi="de-DE"/>
        </w:rPr>
        <w:t>[</w:t>
      </w:r>
      <w:r w:rsidR="00E26C3E" w:rsidRPr="00402AAD">
        <w:t>mit satzungsmäßigem Sitz</w:t>
      </w:r>
      <w:r w:rsidR="00E26C3E">
        <w:rPr>
          <w:rFonts w:eastAsia="Calibri"/>
          <w:lang w:eastAsia="de-DE" w:bidi="de-DE"/>
        </w:rPr>
        <w:t>]</w:t>
      </w:r>
      <w:r w:rsidRPr="00D21420">
        <w:rPr>
          <w:rFonts w:eastAsia="Calibri"/>
          <w:lang w:eastAsia="de-DE" w:bidi="de-DE"/>
        </w:rPr>
        <w:t xml:space="preserve"> in 2300 Turnhout, Everdongenlaan 14, wird ermächtigt, in Artikel 314 § 4 Absatz 1 des Einkommensteuergesetzbuches 1992 erwähnte Informationen zu erhalten.</w:t>
      </w:r>
    </w:p>
    <w:p w14:paraId="1AFD2A15" w14:textId="77777777" w:rsidR="003426CA" w:rsidRPr="00D21420" w:rsidRDefault="003426CA" w:rsidP="003426CA">
      <w:pPr>
        <w:jc w:val="both"/>
        <w:rPr>
          <w:lang w:bidi="de-DE"/>
        </w:rPr>
      </w:pPr>
    </w:p>
    <w:p w14:paraId="7D442092" w14:textId="537AC896"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2 - Der Erhalt dieser Informationen entspricht nicht einem Recht auf Zugriff auf das Nationalregister der natürlichen Personen.]</w:t>
      </w:r>
    </w:p>
    <w:p w14:paraId="39A2830A" w14:textId="77777777" w:rsidR="003426CA" w:rsidRPr="00D21420" w:rsidRDefault="003426CA" w:rsidP="003426CA">
      <w:pPr>
        <w:jc w:val="both"/>
        <w:rPr>
          <w:lang w:bidi="de-DE"/>
        </w:rPr>
      </w:pPr>
    </w:p>
    <w:p w14:paraId="2A89F62B" w14:textId="01F7A4C4" w:rsidR="003426CA" w:rsidRPr="00D21420" w:rsidRDefault="003426CA" w:rsidP="003426CA">
      <w:pPr>
        <w:jc w:val="both"/>
        <w:rPr>
          <w:i/>
          <w:lang w:eastAsia="de-DE" w:bidi="de-DE"/>
        </w:rPr>
      </w:pPr>
      <w:r w:rsidRPr="00D21420">
        <w:rPr>
          <w:rFonts w:eastAsia="Calibri"/>
          <w:i/>
          <w:lang w:eastAsia="de-DE" w:bidi="de-DE"/>
        </w:rPr>
        <w:t>[Art. 180 ersetzt durch Art. 1 des K.E. vom 1. April 2007 (B.S. vom 6. April 2007)</w:t>
      </w:r>
      <w:r w:rsidR="00E26C3E">
        <w:rPr>
          <w:rFonts w:eastAsia="Calibri"/>
          <w:i/>
          <w:lang w:eastAsia="de-DE" w:bidi="de-DE"/>
        </w:rPr>
        <w:t>; § 1 abgeändert durch Art. 21</w:t>
      </w:r>
      <w:r w:rsidR="00E26C3E" w:rsidRPr="00E26C3E">
        <w:rPr>
          <w:rFonts w:eastAsia="Calibri"/>
          <w:i/>
          <w:lang w:eastAsia="de-DE" w:bidi="de-DE"/>
        </w:rPr>
        <w:t xml:space="preserve"> des K.E. vom 29. August 2019</w:t>
      </w:r>
      <w:r w:rsidR="00865C4C">
        <w:rPr>
          <w:rFonts w:eastAsia="Calibri"/>
          <w:i/>
          <w:lang w:eastAsia="de-DE" w:bidi="de-DE"/>
        </w:rPr>
        <w:t> (I)</w:t>
      </w:r>
      <w:r w:rsidR="00E26C3E" w:rsidRPr="00E26C3E">
        <w:rPr>
          <w:rFonts w:eastAsia="Calibri"/>
          <w:i/>
          <w:lang w:eastAsia="de-DE" w:bidi="de-DE"/>
        </w:rPr>
        <w:t xml:space="preserve"> (B.S. vom 13. September 2019)</w:t>
      </w:r>
      <w:r w:rsidRPr="00D21420">
        <w:rPr>
          <w:rFonts w:eastAsia="Calibri"/>
          <w:i/>
          <w:lang w:eastAsia="de-DE" w:bidi="de-DE"/>
        </w:rPr>
        <w:t>]</w:t>
      </w:r>
    </w:p>
    <w:p w14:paraId="09B599CE" w14:textId="77777777" w:rsidR="003426CA" w:rsidRPr="00D21420" w:rsidRDefault="003426CA" w:rsidP="003426CA">
      <w:pPr>
        <w:jc w:val="both"/>
        <w:rPr>
          <w:lang w:bidi="de-DE"/>
        </w:rPr>
      </w:pPr>
    </w:p>
    <w:p w14:paraId="16DA2092" w14:textId="77777777" w:rsidR="003426CA" w:rsidRPr="00D21420" w:rsidRDefault="003426CA" w:rsidP="003426CA">
      <w:pPr>
        <w:jc w:val="both"/>
        <w:rPr>
          <w:lang w:bidi="de-DE"/>
        </w:rPr>
      </w:pPr>
    </w:p>
    <w:p w14:paraId="49204560"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181</w:t>
      </w:r>
      <w:r w:rsidRPr="00D21420">
        <w:rPr>
          <w:rFonts w:eastAsia="Calibri"/>
          <w:lang w:eastAsia="de-DE" w:bidi="de-DE"/>
        </w:rPr>
        <w:t> - [§ 1 - Die Aktiengesellschaft Joos verwendet in Artikel 180 § 1 erwähnte Daten ausschließlich in ihren Werkstätten, in denen Arbeiten ausgeführt werden, um die Adressen der Empfänger auf den Formularen der Erklärung zur Steuer der natürlichen Personen anzugeben, unter Berücksichtigung der Bestimmungen von Artikel 314 § 4 letzter Absatz des Einkommensteuergesetzbuches 1992.</w:t>
      </w:r>
    </w:p>
    <w:p w14:paraId="76124086" w14:textId="77777777" w:rsidR="003426CA" w:rsidRPr="00D21420" w:rsidRDefault="003426CA" w:rsidP="003426CA">
      <w:pPr>
        <w:jc w:val="both"/>
        <w:rPr>
          <w:lang w:bidi="de-DE"/>
        </w:rPr>
      </w:pPr>
    </w:p>
    <w:p w14:paraId="35424DEA"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2 - Zur Vermeidung der Anwendung der Bestimmungen von Artikel 314 § 5 desselben Gesetzbuches ergreift die Aktiengesellschaft Joos erforderliche Maßnahmen, damit die Bestimmungen von § 1 eingehalten werden.]</w:t>
      </w:r>
    </w:p>
    <w:p w14:paraId="4BB3DFF3" w14:textId="77777777" w:rsidR="003426CA" w:rsidRPr="00D21420" w:rsidRDefault="003426CA" w:rsidP="003426CA">
      <w:pPr>
        <w:jc w:val="both"/>
        <w:rPr>
          <w:lang w:bidi="de-DE"/>
        </w:rPr>
      </w:pPr>
    </w:p>
    <w:p w14:paraId="4EA3543A" w14:textId="77777777" w:rsidR="003426CA" w:rsidRPr="00D21420" w:rsidRDefault="003426CA" w:rsidP="003426CA">
      <w:pPr>
        <w:jc w:val="both"/>
        <w:rPr>
          <w:i/>
          <w:lang w:eastAsia="de-DE" w:bidi="de-DE"/>
        </w:rPr>
      </w:pPr>
      <w:r w:rsidRPr="00D21420">
        <w:rPr>
          <w:rFonts w:eastAsia="Calibri"/>
          <w:i/>
          <w:lang w:eastAsia="de-DE" w:bidi="de-DE"/>
        </w:rPr>
        <w:t>[Art. 181 ersetzt durch Art. 1 des K.E. vom 1. April 2007 (B.S. vom 6. April 2007)]</w:t>
      </w:r>
    </w:p>
    <w:p w14:paraId="6AE324F0" w14:textId="77777777" w:rsidR="003426CA" w:rsidRPr="00D21420" w:rsidRDefault="003426CA" w:rsidP="003426CA">
      <w:pPr>
        <w:jc w:val="both"/>
        <w:rPr>
          <w:lang w:bidi="de-DE"/>
        </w:rPr>
      </w:pPr>
    </w:p>
    <w:p w14:paraId="270CEC4C" w14:textId="7C7C0B0E" w:rsidR="003426CA" w:rsidRDefault="003426CA" w:rsidP="003426CA">
      <w:pPr>
        <w:jc w:val="both"/>
        <w:rPr>
          <w:lang w:bidi="de-DE"/>
        </w:rPr>
      </w:pPr>
    </w:p>
    <w:p w14:paraId="7C8A0DAF" w14:textId="77777777" w:rsidR="00DD31E8" w:rsidRPr="006A7AC8" w:rsidRDefault="00DD31E8" w:rsidP="007A4517">
      <w:pPr>
        <w:jc w:val="center"/>
      </w:pPr>
      <w:r>
        <w:rPr>
          <w:lang w:bidi="de-DE"/>
        </w:rPr>
        <w:t>[</w:t>
      </w:r>
      <w:r w:rsidRPr="007A4517">
        <w:rPr>
          <w:i/>
        </w:rPr>
        <w:t>Abschnitt 9/1</w:t>
      </w:r>
      <w:r w:rsidRPr="006A7AC8">
        <w:t> - Verpflichtungen der Pensionseinrichtungen</w:t>
      </w:r>
    </w:p>
    <w:p w14:paraId="573BF087" w14:textId="77777777" w:rsidR="00DD31E8" w:rsidRPr="006A7AC8" w:rsidRDefault="00DD31E8" w:rsidP="00DD31E8">
      <w:pPr>
        <w:jc w:val="both"/>
      </w:pPr>
    </w:p>
    <w:p w14:paraId="318751EC" w14:textId="017765BE" w:rsidR="00DD31E8" w:rsidRDefault="00DD31E8" w:rsidP="007A4517">
      <w:pPr>
        <w:jc w:val="center"/>
      </w:pPr>
      <w:r w:rsidRPr="006A7AC8">
        <w:t>(Einkommensteuergesetzbuch 1992, Artikel 321</w:t>
      </w:r>
      <w:r w:rsidRPr="006A7AC8">
        <w:rPr>
          <w:i/>
        </w:rPr>
        <w:t>ter</w:t>
      </w:r>
      <w:r w:rsidRPr="006A7AC8">
        <w:t>)</w:t>
      </w:r>
    </w:p>
    <w:p w14:paraId="5C86DC86" w14:textId="3CC6EADB" w:rsidR="007A4517" w:rsidRDefault="007A4517" w:rsidP="007A4517">
      <w:pPr>
        <w:jc w:val="center"/>
      </w:pPr>
    </w:p>
    <w:p w14:paraId="362CA143" w14:textId="60F8CBBD" w:rsidR="007A4517" w:rsidRDefault="007A4517" w:rsidP="007A4517">
      <w:pPr>
        <w:jc w:val="both"/>
        <w:rPr>
          <w:i/>
        </w:rPr>
      </w:pPr>
      <w:r>
        <w:rPr>
          <w:i/>
        </w:rPr>
        <w:t>[Abschnitt 9/1 mit Art. 181/1 eingefügt durch Art. 1 des K.E. vom 14. Oktober 2019 (B.S. vom 28. Oktober 2019)]</w:t>
      </w:r>
    </w:p>
    <w:p w14:paraId="43ACFA43" w14:textId="77777777" w:rsidR="007A4517" w:rsidRPr="007A4517" w:rsidRDefault="007A4517" w:rsidP="007A4517">
      <w:pPr>
        <w:jc w:val="both"/>
        <w:rPr>
          <w:i/>
        </w:rPr>
      </w:pPr>
    </w:p>
    <w:p w14:paraId="2F5E8D46" w14:textId="77777777" w:rsidR="00DD31E8" w:rsidRPr="006A7AC8" w:rsidRDefault="00DD31E8" w:rsidP="00DD31E8">
      <w:pPr>
        <w:jc w:val="both"/>
      </w:pPr>
    </w:p>
    <w:p w14:paraId="595E754B" w14:textId="77777777" w:rsidR="00DD31E8" w:rsidRPr="006A7AC8" w:rsidRDefault="00DD31E8" w:rsidP="00DD31E8">
      <w:pPr>
        <w:jc w:val="both"/>
      </w:pPr>
      <w:r w:rsidRPr="006A7AC8">
        <w:tab/>
      </w:r>
      <w:r w:rsidRPr="007A4517">
        <w:rPr>
          <w:b/>
        </w:rPr>
        <w:t>Art. 181/1</w:t>
      </w:r>
      <w:r w:rsidRPr="006A7AC8">
        <w:t> - § 1 - Die Individualkarten, die Pensionseinrichtungen in Anwendung von Artikel 321</w:t>
      </w:r>
      <w:r w:rsidRPr="006A7AC8">
        <w:rPr>
          <w:i/>
          <w:iCs/>
        </w:rPr>
        <w:t>ter</w:t>
      </w:r>
      <w:r w:rsidRPr="006A7AC8">
        <w:t xml:space="preserve"> des Einkommensteuergesetzbuches 1992 der mit der Festlegung der Steuer der natürlichen Personen beauftragten Verwaltung übermitteln müssen, enthalten folgende Informationen in Bezug auf jede Pension, die in Anwendung von Artikel 230 Absatz 1 Nr. 4</w:t>
      </w:r>
      <w:r w:rsidRPr="006A7AC8">
        <w:rPr>
          <w:i/>
          <w:iCs/>
        </w:rPr>
        <w:t>bis</w:t>
      </w:r>
      <w:r w:rsidRPr="006A7AC8">
        <w:t xml:space="preserve"> des vorerwähnten Gesetzbuches steuerfrei ist:</w:t>
      </w:r>
    </w:p>
    <w:p w14:paraId="17C6A74C" w14:textId="77777777" w:rsidR="00DD31E8" w:rsidRPr="006A7AC8" w:rsidRDefault="00DD31E8" w:rsidP="00DD31E8">
      <w:pPr>
        <w:jc w:val="both"/>
      </w:pPr>
    </w:p>
    <w:p w14:paraId="3B0CDB69" w14:textId="77777777" w:rsidR="00DD31E8" w:rsidRPr="006A7AC8" w:rsidRDefault="00DD31E8" w:rsidP="00DD31E8">
      <w:pPr>
        <w:jc w:val="both"/>
      </w:pPr>
      <w:r w:rsidRPr="006A7AC8">
        <w:tab/>
        <w:t>1. Jahr, in dem die Pension gezahlt oder zuerkannt worden ist,</w:t>
      </w:r>
    </w:p>
    <w:p w14:paraId="774A2BF3" w14:textId="77777777" w:rsidR="00DD31E8" w:rsidRPr="006A7AC8" w:rsidRDefault="00DD31E8" w:rsidP="00DD31E8">
      <w:pPr>
        <w:jc w:val="both"/>
      </w:pPr>
    </w:p>
    <w:p w14:paraId="7384FD30" w14:textId="77777777" w:rsidR="00DD31E8" w:rsidRPr="006A7AC8" w:rsidRDefault="00DD31E8" w:rsidP="00DD31E8">
      <w:pPr>
        <w:jc w:val="both"/>
      </w:pPr>
      <w:r w:rsidRPr="006A7AC8">
        <w:tab/>
        <w:t>2. folgende Informationen über die ausschüttende Einrichtung:</w:t>
      </w:r>
    </w:p>
    <w:p w14:paraId="4FF21AA4" w14:textId="77777777" w:rsidR="00DD31E8" w:rsidRPr="006A7AC8" w:rsidRDefault="00DD31E8" w:rsidP="00DD31E8">
      <w:pPr>
        <w:jc w:val="both"/>
      </w:pPr>
    </w:p>
    <w:p w14:paraId="15F4D754" w14:textId="77777777" w:rsidR="00DD31E8" w:rsidRPr="006A7AC8" w:rsidRDefault="00DD31E8" w:rsidP="00DD31E8">
      <w:pPr>
        <w:jc w:val="both"/>
      </w:pPr>
      <w:r w:rsidRPr="006A7AC8">
        <w:tab/>
      </w:r>
      <w:r w:rsidRPr="006A7AC8">
        <w:rPr>
          <w:i/>
        </w:rPr>
        <w:t>a) </w:t>
      </w:r>
      <w:r w:rsidRPr="006A7AC8">
        <w:t>Namen und Rechtsform,</w:t>
      </w:r>
    </w:p>
    <w:p w14:paraId="6CF56B82" w14:textId="77777777" w:rsidR="00DD31E8" w:rsidRPr="006A7AC8" w:rsidRDefault="00DD31E8" w:rsidP="00DD31E8">
      <w:pPr>
        <w:jc w:val="both"/>
      </w:pPr>
    </w:p>
    <w:p w14:paraId="1E2A4AB2" w14:textId="77777777" w:rsidR="00DD31E8" w:rsidRPr="006A7AC8" w:rsidRDefault="00DD31E8" w:rsidP="00DD31E8">
      <w:pPr>
        <w:jc w:val="both"/>
      </w:pPr>
      <w:r w:rsidRPr="006A7AC8">
        <w:tab/>
      </w:r>
      <w:r w:rsidRPr="006A7AC8">
        <w:rPr>
          <w:i/>
        </w:rPr>
        <w:t>b) </w:t>
      </w:r>
      <w:r w:rsidRPr="006A7AC8">
        <w:t>Adresse,</w:t>
      </w:r>
    </w:p>
    <w:p w14:paraId="57805ADD" w14:textId="77777777" w:rsidR="00DD31E8" w:rsidRPr="006A7AC8" w:rsidRDefault="00DD31E8" w:rsidP="00DD31E8">
      <w:pPr>
        <w:jc w:val="both"/>
      </w:pPr>
    </w:p>
    <w:p w14:paraId="722AC612" w14:textId="77777777" w:rsidR="00DD31E8" w:rsidRPr="006A7AC8" w:rsidRDefault="00DD31E8" w:rsidP="00DD31E8">
      <w:pPr>
        <w:jc w:val="both"/>
      </w:pPr>
      <w:r w:rsidRPr="006A7AC8">
        <w:tab/>
      </w:r>
      <w:r w:rsidRPr="006A7AC8">
        <w:rPr>
          <w:i/>
          <w:iCs/>
        </w:rPr>
        <w:t>c)</w:t>
      </w:r>
      <w:r w:rsidRPr="006A7AC8">
        <w:t> Unternehmensnummer,</w:t>
      </w:r>
    </w:p>
    <w:p w14:paraId="6DFD8F0E" w14:textId="77777777" w:rsidR="00DD31E8" w:rsidRPr="006A7AC8" w:rsidRDefault="00DD31E8" w:rsidP="00DD31E8">
      <w:pPr>
        <w:jc w:val="both"/>
      </w:pPr>
    </w:p>
    <w:p w14:paraId="3366094B" w14:textId="77777777" w:rsidR="00DD31E8" w:rsidRPr="006A7AC8" w:rsidRDefault="00DD31E8" w:rsidP="00DD31E8">
      <w:pPr>
        <w:jc w:val="both"/>
      </w:pPr>
      <w:r w:rsidRPr="006A7AC8">
        <w:tab/>
        <w:t>3. folgende Informationen über den Empfänger der Einkünfte:</w:t>
      </w:r>
    </w:p>
    <w:p w14:paraId="6C7F49CD" w14:textId="77777777" w:rsidR="00DD31E8" w:rsidRPr="006A7AC8" w:rsidRDefault="00DD31E8" w:rsidP="00DD31E8">
      <w:pPr>
        <w:jc w:val="both"/>
      </w:pPr>
    </w:p>
    <w:p w14:paraId="6A3F2938" w14:textId="77777777" w:rsidR="00DD31E8" w:rsidRPr="006A7AC8" w:rsidRDefault="00DD31E8" w:rsidP="00DD31E8">
      <w:pPr>
        <w:jc w:val="both"/>
      </w:pPr>
      <w:r w:rsidRPr="006A7AC8">
        <w:tab/>
      </w:r>
      <w:r w:rsidRPr="006A7AC8">
        <w:rPr>
          <w:i/>
        </w:rPr>
        <w:t>a) </w:t>
      </w:r>
      <w:r w:rsidRPr="006A7AC8">
        <w:t>Namen und Vornamen,</w:t>
      </w:r>
    </w:p>
    <w:p w14:paraId="141D2AFA" w14:textId="77777777" w:rsidR="00DD31E8" w:rsidRPr="006A7AC8" w:rsidRDefault="00DD31E8" w:rsidP="00DD31E8">
      <w:pPr>
        <w:jc w:val="both"/>
      </w:pPr>
    </w:p>
    <w:p w14:paraId="3E06864C" w14:textId="77777777" w:rsidR="00DD31E8" w:rsidRPr="006A7AC8" w:rsidRDefault="00DD31E8" w:rsidP="00DD31E8">
      <w:pPr>
        <w:jc w:val="both"/>
      </w:pPr>
      <w:r w:rsidRPr="006A7AC8">
        <w:tab/>
      </w:r>
      <w:r w:rsidRPr="006A7AC8">
        <w:rPr>
          <w:i/>
        </w:rPr>
        <w:t>b)</w:t>
      </w:r>
      <w:r w:rsidRPr="006A7AC8">
        <w:t> Adresse des Steuerwohnsitzes,</w:t>
      </w:r>
    </w:p>
    <w:p w14:paraId="1B5AE468" w14:textId="77777777" w:rsidR="00DD31E8" w:rsidRPr="006A7AC8" w:rsidRDefault="00DD31E8" w:rsidP="00DD31E8">
      <w:pPr>
        <w:jc w:val="both"/>
      </w:pPr>
    </w:p>
    <w:p w14:paraId="08F9389C" w14:textId="77777777" w:rsidR="00DD31E8" w:rsidRPr="006A7AC8" w:rsidRDefault="00DD31E8" w:rsidP="00DD31E8">
      <w:pPr>
        <w:jc w:val="both"/>
      </w:pPr>
      <w:r w:rsidRPr="006A7AC8">
        <w:tab/>
      </w:r>
      <w:r w:rsidRPr="006A7AC8">
        <w:rPr>
          <w:i/>
          <w:iCs/>
        </w:rPr>
        <w:t>c)</w:t>
      </w:r>
      <w:r w:rsidRPr="006A7AC8">
        <w:t> ausländische Identifikationsnummer:</w:t>
      </w:r>
    </w:p>
    <w:p w14:paraId="5BFD6F71" w14:textId="77777777" w:rsidR="00DD31E8" w:rsidRPr="006A7AC8" w:rsidRDefault="00DD31E8" w:rsidP="00DD31E8">
      <w:pPr>
        <w:jc w:val="both"/>
      </w:pPr>
    </w:p>
    <w:p w14:paraId="24A939CA" w14:textId="77777777" w:rsidR="00DD31E8" w:rsidRPr="006A7AC8" w:rsidRDefault="00DD31E8" w:rsidP="00DD31E8">
      <w:pPr>
        <w:jc w:val="both"/>
      </w:pPr>
      <w:r w:rsidRPr="006A7AC8">
        <w:tab/>
        <w:t>- entweder die Steueridentifikationsnummer</w:t>
      </w:r>
    </w:p>
    <w:p w14:paraId="0B1AB7E7" w14:textId="77777777" w:rsidR="00DD31E8" w:rsidRPr="006A7AC8" w:rsidRDefault="00DD31E8" w:rsidP="00DD31E8">
      <w:pPr>
        <w:jc w:val="both"/>
      </w:pPr>
    </w:p>
    <w:p w14:paraId="1B0DD144" w14:textId="77777777" w:rsidR="00DD31E8" w:rsidRPr="006A7AC8" w:rsidRDefault="00DD31E8" w:rsidP="00DD31E8">
      <w:pPr>
        <w:jc w:val="both"/>
      </w:pPr>
      <w:r w:rsidRPr="006A7AC8">
        <w:tab/>
        <w:t>- oder die Sozialversicherungsnummer</w:t>
      </w:r>
    </w:p>
    <w:p w14:paraId="7C21E7F4" w14:textId="77777777" w:rsidR="00DD31E8" w:rsidRPr="006A7AC8" w:rsidRDefault="00DD31E8" w:rsidP="00DD31E8">
      <w:pPr>
        <w:jc w:val="both"/>
      </w:pPr>
    </w:p>
    <w:p w14:paraId="3BCC7C11" w14:textId="77777777" w:rsidR="00DD31E8" w:rsidRPr="006A7AC8" w:rsidRDefault="00DD31E8" w:rsidP="00DD31E8">
      <w:pPr>
        <w:jc w:val="both"/>
      </w:pPr>
      <w:r w:rsidRPr="006A7AC8">
        <w:tab/>
        <w:t>- oder eine andere Identifikationsnummer</w:t>
      </w:r>
    </w:p>
    <w:p w14:paraId="2EC07EE7" w14:textId="77777777" w:rsidR="00DD31E8" w:rsidRPr="006A7AC8" w:rsidRDefault="00DD31E8" w:rsidP="00DD31E8">
      <w:pPr>
        <w:jc w:val="both"/>
      </w:pPr>
    </w:p>
    <w:p w14:paraId="29D13EE2" w14:textId="77777777" w:rsidR="00DD31E8" w:rsidRPr="006A7AC8" w:rsidRDefault="00DD31E8" w:rsidP="00DD31E8">
      <w:pPr>
        <w:jc w:val="both"/>
      </w:pPr>
      <w:r w:rsidRPr="006A7AC8">
        <w:tab/>
        <w:t>und Land, in dem die Identifikationsnummer vergeben worden ist,</w:t>
      </w:r>
    </w:p>
    <w:p w14:paraId="5B662B35" w14:textId="77777777" w:rsidR="00DD31E8" w:rsidRPr="006A7AC8" w:rsidRDefault="00DD31E8" w:rsidP="00DD31E8">
      <w:pPr>
        <w:jc w:val="both"/>
      </w:pPr>
    </w:p>
    <w:p w14:paraId="7994788D" w14:textId="77777777" w:rsidR="00DD31E8" w:rsidRPr="006A7AC8" w:rsidRDefault="00DD31E8" w:rsidP="00DD31E8">
      <w:pPr>
        <w:jc w:val="both"/>
      </w:pPr>
      <w:r w:rsidRPr="006A7AC8">
        <w:tab/>
      </w:r>
      <w:r w:rsidRPr="006A7AC8">
        <w:rPr>
          <w:i/>
          <w:iCs/>
        </w:rPr>
        <w:t>d)</w:t>
      </w:r>
      <w:r w:rsidRPr="006A7AC8">
        <w:t> Geburtsdatum,</w:t>
      </w:r>
    </w:p>
    <w:p w14:paraId="4FE1B36E" w14:textId="77777777" w:rsidR="00DD31E8" w:rsidRPr="006A7AC8" w:rsidRDefault="00DD31E8" w:rsidP="00DD31E8">
      <w:pPr>
        <w:jc w:val="both"/>
      </w:pPr>
    </w:p>
    <w:p w14:paraId="20AD66B1" w14:textId="77777777" w:rsidR="00DD31E8" w:rsidRPr="006A7AC8" w:rsidRDefault="00DD31E8" w:rsidP="00DD31E8">
      <w:pPr>
        <w:jc w:val="both"/>
      </w:pPr>
      <w:r w:rsidRPr="006A7AC8">
        <w:lastRenderedPageBreak/>
        <w:tab/>
        <w:t>4. folgende Informationen über die Leistung:</w:t>
      </w:r>
    </w:p>
    <w:p w14:paraId="37496513" w14:textId="77777777" w:rsidR="00DD31E8" w:rsidRPr="006A7AC8" w:rsidRDefault="00DD31E8" w:rsidP="00DD31E8">
      <w:pPr>
        <w:jc w:val="both"/>
      </w:pPr>
    </w:p>
    <w:p w14:paraId="15B75C67" w14:textId="77777777" w:rsidR="00DD31E8" w:rsidRPr="006A7AC8" w:rsidRDefault="00DD31E8" w:rsidP="00DD31E8">
      <w:pPr>
        <w:jc w:val="both"/>
      </w:pPr>
      <w:r w:rsidRPr="006A7AC8">
        <w:tab/>
      </w:r>
      <w:r w:rsidRPr="006A7AC8">
        <w:rPr>
          <w:i/>
        </w:rPr>
        <w:t>a) </w:t>
      </w:r>
      <w:r w:rsidRPr="006A7AC8">
        <w:t>einmalige Vertrags- oder Policenummer oder, in deren Ermangelung, einmalige Nummer, mit der der Angeschlossene identifiziert wird,</w:t>
      </w:r>
    </w:p>
    <w:p w14:paraId="36608E5F" w14:textId="77777777" w:rsidR="00DD31E8" w:rsidRPr="006A7AC8" w:rsidRDefault="00DD31E8" w:rsidP="00DD31E8">
      <w:pPr>
        <w:jc w:val="both"/>
      </w:pPr>
    </w:p>
    <w:p w14:paraId="314299C5" w14:textId="77777777" w:rsidR="00DD31E8" w:rsidRPr="006A7AC8" w:rsidRDefault="00DD31E8" w:rsidP="00DD31E8">
      <w:pPr>
        <w:jc w:val="both"/>
      </w:pPr>
      <w:r w:rsidRPr="006A7AC8">
        <w:tab/>
      </w:r>
      <w:r w:rsidRPr="006A7AC8">
        <w:rPr>
          <w:i/>
        </w:rPr>
        <w:t>b) </w:t>
      </w:r>
      <w:r w:rsidRPr="006A7AC8">
        <w:t>Anlass zur Leistung in Form einer der folgenden Bezeichnungen:</w:t>
      </w:r>
    </w:p>
    <w:p w14:paraId="6311EA70" w14:textId="77777777" w:rsidR="00DD31E8" w:rsidRPr="006A7AC8" w:rsidRDefault="00DD31E8" w:rsidP="00DD31E8">
      <w:pPr>
        <w:jc w:val="both"/>
      </w:pPr>
    </w:p>
    <w:p w14:paraId="415BBCA7" w14:textId="77777777" w:rsidR="00DD31E8" w:rsidRPr="006A7AC8" w:rsidRDefault="00DD31E8" w:rsidP="00DD31E8">
      <w:pPr>
        <w:jc w:val="both"/>
      </w:pPr>
      <w:r w:rsidRPr="006A7AC8">
        <w:tab/>
        <w:t>- "Pension",</w:t>
      </w:r>
    </w:p>
    <w:p w14:paraId="77613712" w14:textId="77777777" w:rsidR="00DD31E8" w:rsidRPr="006A7AC8" w:rsidRDefault="00DD31E8" w:rsidP="00DD31E8">
      <w:pPr>
        <w:jc w:val="both"/>
      </w:pPr>
    </w:p>
    <w:p w14:paraId="678A96A9" w14:textId="77777777" w:rsidR="00DD31E8" w:rsidRPr="006A7AC8" w:rsidRDefault="00DD31E8" w:rsidP="00DD31E8">
      <w:pPr>
        <w:jc w:val="both"/>
      </w:pPr>
      <w:r w:rsidRPr="006A7AC8">
        <w:tab/>
        <w:t>- "Vorruhestandspension",</w:t>
      </w:r>
    </w:p>
    <w:p w14:paraId="4AC2CB9A" w14:textId="77777777" w:rsidR="00DD31E8" w:rsidRPr="006A7AC8" w:rsidRDefault="00DD31E8" w:rsidP="00DD31E8">
      <w:pPr>
        <w:jc w:val="both"/>
      </w:pPr>
    </w:p>
    <w:p w14:paraId="2E09B69A" w14:textId="77777777" w:rsidR="00DD31E8" w:rsidRPr="006A7AC8" w:rsidRDefault="00DD31E8" w:rsidP="00DD31E8">
      <w:pPr>
        <w:jc w:val="both"/>
      </w:pPr>
      <w:r w:rsidRPr="006A7AC8">
        <w:tab/>
        <w:t>- "Hinterbliebenenpension",</w:t>
      </w:r>
    </w:p>
    <w:p w14:paraId="45AEFBC0" w14:textId="77777777" w:rsidR="00DD31E8" w:rsidRPr="006A7AC8" w:rsidRDefault="00DD31E8" w:rsidP="00DD31E8">
      <w:pPr>
        <w:jc w:val="both"/>
      </w:pPr>
    </w:p>
    <w:p w14:paraId="64FCCB5D" w14:textId="77777777" w:rsidR="00DD31E8" w:rsidRPr="006A7AC8" w:rsidRDefault="00DD31E8" w:rsidP="00DD31E8">
      <w:pPr>
        <w:jc w:val="both"/>
      </w:pPr>
      <w:r w:rsidRPr="006A7AC8">
        <w:tab/>
        <w:t>- "Invalidität oder Arbeitsunfähigkeit",</w:t>
      </w:r>
    </w:p>
    <w:p w14:paraId="5112AE16" w14:textId="77777777" w:rsidR="00DD31E8" w:rsidRPr="006A7AC8" w:rsidRDefault="00DD31E8" w:rsidP="00DD31E8">
      <w:pPr>
        <w:jc w:val="both"/>
      </w:pPr>
    </w:p>
    <w:p w14:paraId="54AD7322" w14:textId="77777777" w:rsidR="00DD31E8" w:rsidRPr="006A7AC8" w:rsidRDefault="00DD31E8" w:rsidP="00DD31E8">
      <w:pPr>
        <w:jc w:val="both"/>
      </w:pPr>
      <w:r w:rsidRPr="006A7AC8">
        <w:tab/>
        <w:t>- "Sonstiges",</w:t>
      </w:r>
    </w:p>
    <w:p w14:paraId="1D26C3D5" w14:textId="77777777" w:rsidR="00DD31E8" w:rsidRPr="006A7AC8" w:rsidRDefault="00DD31E8" w:rsidP="00DD31E8">
      <w:pPr>
        <w:jc w:val="both"/>
      </w:pPr>
    </w:p>
    <w:p w14:paraId="73338C1B" w14:textId="77777777" w:rsidR="00DD31E8" w:rsidRPr="006A7AC8" w:rsidRDefault="00DD31E8" w:rsidP="00DD31E8">
      <w:pPr>
        <w:jc w:val="both"/>
      </w:pPr>
      <w:r w:rsidRPr="006A7AC8">
        <w:tab/>
      </w:r>
      <w:r w:rsidRPr="006A7AC8">
        <w:rPr>
          <w:i/>
        </w:rPr>
        <w:t>c) </w:t>
      </w:r>
      <w:r w:rsidRPr="006A7AC8">
        <w:t>Grund für die Auszahlung der Leistung in Form einer der folgenden Vermerke:</w:t>
      </w:r>
    </w:p>
    <w:p w14:paraId="1B92DDD3" w14:textId="77777777" w:rsidR="00DD31E8" w:rsidRPr="006A7AC8" w:rsidRDefault="00DD31E8" w:rsidP="00DD31E8">
      <w:pPr>
        <w:jc w:val="both"/>
      </w:pPr>
    </w:p>
    <w:p w14:paraId="6C549E6C" w14:textId="77777777" w:rsidR="00DD31E8" w:rsidRPr="006A7AC8" w:rsidRDefault="00DD31E8" w:rsidP="00DD31E8">
      <w:pPr>
        <w:jc w:val="both"/>
      </w:pPr>
      <w:r w:rsidRPr="006A7AC8">
        <w:tab/>
        <w:t>- "Auszahlung bei Endfälligkeit",</w:t>
      </w:r>
    </w:p>
    <w:p w14:paraId="054E8CF9" w14:textId="77777777" w:rsidR="00DD31E8" w:rsidRPr="006A7AC8" w:rsidRDefault="00DD31E8" w:rsidP="00DD31E8">
      <w:pPr>
        <w:jc w:val="both"/>
      </w:pPr>
    </w:p>
    <w:p w14:paraId="3182EA20" w14:textId="77777777" w:rsidR="00DD31E8" w:rsidRPr="006A7AC8" w:rsidRDefault="00DD31E8" w:rsidP="00DD31E8">
      <w:pPr>
        <w:jc w:val="both"/>
      </w:pPr>
      <w:r w:rsidRPr="006A7AC8">
        <w:tab/>
        <w:t>- "bedingungsloser Rückkauf",</w:t>
      </w:r>
    </w:p>
    <w:p w14:paraId="065C93E9" w14:textId="77777777" w:rsidR="00DD31E8" w:rsidRPr="006A7AC8" w:rsidRDefault="00DD31E8" w:rsidP="00DD31E8">
      <w:pPr>
        <w:jc w:val="both"/>
      </w:pPr>
    </w:p>
    <w:p w14:paraId="28A313A8" w14:textId="77777777" w:rsidR="00DD31E8" w:rsidRPr="006A7AC8" w:rsidRDefault="00DD31E8" w:rsidP="00DD31E8">
      <w:pPr>
        <w:jc w:val="both"/>
      </w:pPr>
      <w:r w:rsidRPr="006A7AC8">
        <w:tab/>
        <w:t>- "Rückkauf wegen Invalidität oder aufgrund der medizinischen Situation",</w:t>
      </w:r>
    </w:p>
    <w:p w14:paraId="1335EED9" w14:textId="77777777" w:rsidR="00DD31E8" w:rsidRPr="006A7AC8" w:rsidRDefault="00DD31E8" w:rsidP="00DD31E8">
      <w:pPr>
        <w:jc w:val="both"/>
      </w:pPr>
    </w:p>
    <w:p w14:paraId="1718B401" w14:textId="77777777" w:rsidR="00DD31E8" w:rsidRPr="006A7AC8" w:rsidRDefault="00DD31E8" w:rsidP="00DD31E8">
      <w:pPr>
        <w:jc w:val="both"/>
      </w:pPr>
      <w:r w:rsidRPr="006A7AC8">
        <w:tab/>
        <w:t>- "Rückkauf unter sonstigen Umständen",</w:t>
      </w:r>
    </w:p>
    <w:p w14:paraId="29BE548B" w14:textId="77777777" w:rsidR="00DD31E8" w:rsidRPr="006A7AC8" w:rsidRDefault="00DD31E8" w:rsidP="00DD31E8">
      <w:pPr>
        <w:jc w:val="both"/>
      </w:pPr>
    </w:p>
    <w:p w14:paraId="05BE2B98" w14:textId="77777777" w:rsidR="00DD31E8" w:rsidRPr="006A7AC8" w:rsidRDefault="00DD31E8" w:rsidP="00DD31E8">
      <w:pPr>
        <w:jc w:val="both"/>
      </w:pPr>
      <w:r w:rsidRPr="006A7AC8">
        <w:tab/>
        <w:t>- "Auszahlung aus anderem Grund",</w:t>
      </w:r>
    </w:p>
    <w:p w14:paraId="6B9B2A8D" w14:textId="77777777" w:rsidR="00DD31E8" w:rsidRPr="006A7AC8" w:rsidRDefault="00DD31E8" w:rsidP="00DD31E8">
      <w:pPr>
        <w:jc w:val="both"/>
      </w:pPr>
    </w:p>
    <w:p w14:paraId="3ABC563D" w14:textId="77777777" w:rsidR="00DD31E8" w:rsidRPr="006A7AC8" w:rsidRDefault="00DD31E8" w:rsidP="00DD31E8">
      <w:pPr>
        <w:jc w:val="both"/>
      </w:pPr>
      <w:r w:rsidRPr="006A7AC8">
        <w:tab/>
        <w:t>- "Abtretung wegen Erbfall",</w:t>
      </w:r>
    </w:p>
    <w:p w14:paraId="6645351B" w14:textId="77777777" w:rsidR="00DD31E8" w:rsidRPr="006A7AC8" w:rsidRDefault="00DD31E8" w:rsidP="00DD31E8">
      <w:pPr>
        <w:jc w:val="both"/>
      </w:pPr>
    </w:p>
    <w:p w14:paraId="08132993" w14:textId="77777777" w:rsidR="00DD31E8" w:rsidRPr="006A7AC8" w:rsidRDefault="00DD31E8" w:rsidP="00DD31E8">
      <w:pPr>
        <w:jc w:val="both"/>
      </w:pPr>
      <w:r w:rsidRPr="006A7AC8">
        <w:tab/>
        <w:t>- "Abtretung wegen Schenkung",</w:t>
      </w:r>
    </w:p>
    <w:p w14:paraId="622E9AEE" w14:textId="77777777" w:rsidR="00DD31E8" w:rsidRPr="006A7AC8" w:rsidRDefault="00DD31E8" w:rsidP="00DD31E8">
      <w:pPr>
        <w:jc w:val="both"/>
      </w:pPr>
    </w:p>
    <w:p w14:paraId="30FA94F2" w14:textId="77777777" w:rsidR="00DD31E8" w:rsidRPr="006A7AC8" w:rsidRDefault="00DD31E8" w:rsidP="00DD31E8">
      <w:pPr>
        <w:jc w:val="both"/>
      </w:pPr>
      <w:r w:rsidRPr="006A7AC8">
        <w:tab/>
        <w:t>- "Abtretung wegen Verkauf",</w:t>
      </w:r>
    </w:p>
    <w:p w14:paraId="1830E4C1" w14:textId="77777777" w:rsidR="00DD31E8" w:rsidRPr="006A7AC8" w:rsidRDefault="00DD31E8" w:rsidP="00DD31E8">
      <w:pPr>
        <w:jc w:val="both"/>
      </w:pPr>
    </w:p>
    <w:p w14:paraId="26C4759D" w14:textId="77777777" w:rsidR="00DD31E8" w:rsidRPr="006A7AC8" w:rsidRDefault="00DD31E8" w:rsidP="00DD31E8">
      <w:pPr>
        <w:jc w:val="both"/>
      </w:pPr>
      <w:r w:rsidRPr="006A7AC8">
        <w:tab/>
        <w:t>- "Abtretung aus anderem Grund",</w:t>
      </w:r>
    </w:p>
    <w:p w14:paraId="59E0D609" w14:textId="77777777" w:rsidR="00DD31E8" w:rsidRPr="006A7AC8" w:rsidRDefault="00DD31E8" w:rsidP="00DD31E8">
      <w:pPr>
        <w:jc w:val="both"/>
      </w:pPr>
    </w:p>
    <w:p w14:paraId="1560510C" w14:textId="77777777" w:rsidR="009C3F3F" w:rsidRDefault="00DD31E8" w:rsidP="00DD31E8">
      <w:pPr>
        <w:jc w:val="both"/>
      </w:pPr>
      <w:r w:rsidRPr="006A7AC8">
        <w:tab/>
      </w:r>
    </w:p>
    <w:p w14:paraId="217FF47C" w14:textId="4305D818" w:rsidR="00DD31E8" w:rsidRPr="006A7AC8" w:rsidRDefault="00DD31E8" w:rsidP="009C3F3F">
      <w:pPr>
        <w:ind w:firstLine="708"/>
      </w:pPr>
      <w:r w:rsidRPr="006A7AC8">
        <w:rPr>
          <w:i/>
        </w:rPr>
        <w:t>d) </w:t>
      </w:r>
      <w:r w:rsidRPr="006A7AC8">
        <w:t>Häufigkeit der Leistung in Form einer der folgenden Vermerke:</w:t>
      </w:r>
    </w:p>
    <w:p w14:paraId="44D2EB06" w14:textId="77777777" w:rsidR="00DD31E8" w:rsidRPr="006A7AC8" w:rsidRDefault="00DD31E8" w:rsidP="00DD31E8">
      <w:pPr>
        <w:jc w:val="both"/>
      </w:pPr>
    </w:p>
    <w:p w14:paraId="6A8F24F0" w14:textId="77777777" w:rsidR="00DD31E8" w:rsidRPr="006A7AC8" w:rsidRDefault="00DD31E8" w:rsidP="00DD31E8">
      <w:pPr>
        <w:jc w:val="both"/>
      </w:pPr>
      <w:r w:rsidRPr="006A7AC8">
        <w:tab/>
        <w:t>- "einmalige Kapitalauszahlung",</w:t>
      </w:r>
    </w:p>
    <w:p w14:paraId="1088EA46" w14:textId="77777777" w:rsidR="00DD31E8" w:rsidRPr="006A7AC8" w:rsidRDefault="00DD31E8" w:rsidP="00DD31E8">
      <w:pPr>
        <w:jc w:val="both"/>
      </w:pPr>
    </w:p>
    <w:p w14:paraId="6F904629" w14:textId="77777777" w:rsidR="00DD31E8" w:rsidRPr="006A7AC8" w:rsidRDefault="00DD31E8" w:rsidP="00DD31E8">
      <w:pPr>
        <w:jc w:val="both"/>
      </w:pPr>
      <w:r w:rsidRPr="006A7AC8">
        <w:tab/>
        <w:t>- "Mehrfachauszahlungen",</w:t>
      </w:r>
    </w:p>
    <w:p w14:paraId="0CE07EB8" w14:textId="77777777" w:rsidR="00DD31E8" w:rsidRPr="006A7AC8" w:rsidRDefault="00DD31E8" w:rsidP="00DD31E8">
      <w:pPr>
        <w:jc w:val="both"/>
      </w:pPr>
    </w:p>
    <w:p w14:paraId="1B6A1B02" w14:textId="05E4EE31" w:rsidR="00DD31E8" w:rsidRPr="006A7AC8" w:rsidRDefault="00DD31E8" w:rsidP="00DD31E8">
      <w:pPr>
        <w:jc w:val="both"/>
      </w:pPr>
      <w:r w:rsidRPr="006A7AC8">
        <w:rPr>
          <w:i/>
        </w:rPr>
        <w:tab/>
        <w:t>e) </w:t>
      </w:r>
      <w:r w:rsidRPr="006A7AC8">
        <w:t>Betrag der Leistung:</w:t>
      </w:r>
    </w:p>
    <w:p w14:paraId="509ADE1D" w14:textId="77777777" w:rsidR="00DD31E8" w:rsidRPr="006A7AC8" w:rsidRDefault="00DD31E8" w:rsidP="00DD31E8">
      <w:pPr>
        <w:jc w:val="both"/>
      </w:pPr>
    </w:p>
    <w:p w14:paraId="6047D5D3" w14:textId="77777777" w:rsidR="00DD31E8" w:rsidRPr="006A7AC8" w:rsidRDefault="00DD31E8" w:rsidP="00DD31E8">
      <w:pPr>
        <w:jc w:val="both"/>
      </w:pPr>
      <w:r w:rsidRPr="006A7AC8">
        <w:tab/>
        <w:t>- Gesamtbetrag der Leistung nach Abzug der Pflichtbeiträge zur Sozialversicherung und vor Abzug von Steuern oder Einbehaltung von Vorabzügen,</w:t>
      </w:r>
    </w:p>
    <w:p w14:paraId="3EE2F0F2" w14:textId="77777777" w:rsidR="00DD31E8" w:rsidRPr="006A7AC8" w:rsidRDefault="00DD31E8" w:rsidP="00DD31E8">
      <w:pPr>
        <w:jc w:val="both"/>
      </w:pPr>
    </w:p>
    <w:p w14:paraId="23423FF8" w14:textId="77777777" w:rsidR="00DD31E8" w:rsidRPr="006A7AC8" w:rsidRDefault="00DD31E8" w:rsidP="00DD31E8">
      <w:pPr>
        <w:jc w:val="both"/>
      </w:pPr>
      <w:r w:rsidRPr="006A7AC8">
        <w:tab/>
        <w:t>- Währungseinheit, in der der Betrag gezahlt wird,</w:t>
      </w:r>
    </w:p>
    <w:p w14:paraId="3F9CCE95" w14:textId="77777777" w:rsidR="00DD31E8" w:rsidRPr="006A7AC8" w:rsidRDefault="00DD31E8" w:rsidP="00DD31E8">
      <w:pPr>
        <w:jc w:val="both"/>
      </w:pPr>
    </w:p>
    <w:p w14:paraId="7DADFA86" w14:textId="77777777" w:rsidR="00DD31E8" w:rsidRPr="006A7AC8" w:rsidRDefault="00DD31E8" w:rsidP="00DD31E8">
      <w:pPr>
        <w:jc w:val="both"/>
      </w:pPr>
      <w:r w:rsidRPr="006A7AC8">
        <w:tab/>
        <w:t>5. folgende Informationen über die Bildung der Pension:</w:t>
      </w:r>
    </w:p>
    <w:p w14:paraId="1670E310" w14:textId="77777777" w:rsidR="00DD31E8" w:rsidRPr="006A7AC8" w:rsidRDefault="00DD31E8" w:rsidP="00DD31E8">
      <w:pPr>
        <w:jc w:val="both"/>
      </w:pPr>
    </w:p>
    <w:p w14:paraId="03C3A45F" w14:textId="77777777" w:rsidR="00DD31E8" w:rsidRPr="006A7AC8" w:rsidRDefault="00DD31E8" w:rsidP="00DD31E8">
      <w:pPr>
        <w:jc w:val="both"/>
      </w:pPr>
      <w:r w:rsidRPr="006A7AC8">
        <w:tab/>
      </w:r>
      <w:r w:rsidRPr="006A7AC8">
        <w:rPr>
          <w:i/>
        </w:rPr>
        <w:t>a</w:t>
      </w:r>
      <w:r w:rsidRPr="006A7AC8">
        <w:rPr>
          <w:i/>
          <w:iCs/>
        </w:rPr>
        <w:t>)</w:t>
      </w:r>
      <w:r w:rsidRPr="006A7AC8">
        <w:t> Namen, Rechtsform und Adresse der Unternehmen und Gesellschaften, die der Pensionseinrichtung Prämien und Beiträge für die Pension gezahlt haben,</w:t>
      </w:r>
    </w:p>
    <w:p w14:paraId="038595E6" w14:textId="77777777" w:rsidR="00DD31E8" w:rsidRPr="006A7AC8" w:rsidRDefault="00DD31E8" w:rsidP="00DD31E8">
      <w:pPr>
        <w:jc w:val="both"/>
      </w:pPr>
    </w:p>
    <w:p w14:paraId="36D453AD" w14:textId="77777777" w:rsidR="00DD31E8" w:rsidRPr="006A7AC8" w:rsidRDefault="00DD31E8" w:rsidP="00DD31E8">
      <w:pPr>
        <w:jc w:val="both"/>
      </w:pPr>
      <w:r w:rsidRPr="006A7AC8">
        <w:tab/>
      </w:r>
      <w:r w:rsidRPr="006A7AC8">
        <w:rPr>
          <w:i/>
        </w:rPr>
        <w:t>b) </w:t>
      </w:r>
      <w:r w:rsidRPr="006A7AC8">
        <w:t>wenn die Pension ganz oder teilweise aus übertragenen Versorgungsrücklagen besteht:</w:t>
      </w:r>
    </w:p>
    <w:p w14:paraId="0A9AD364" w14:textId="77777777" w:rsidR="00DD31E8" w:rsidRPr="006A7AC8" w:rsidRDefault="00DD31E8" w:rsidP="00DD31E8">
      <w:pPr>
        <w:jc w:val="both"/>
      </w:pPr>
    </w:p>
    <w:p w14:paraId="70AC5800" w14:textId="77777777" w:rsidR="00DD31E8" w:rsidRPr="006A7AC8" w:rsidRDefault="00DD31E8" w:rsidP="00DD31E8">
      <w:pPr>
        <w:jc w:val="both"/>
      </w:pPr>
      <w:r w:rsidRPr="006A7AC8">
        <w:tab/>
        <w:t>- Namen, Rechtsform und Adresse der Pensionseinrichtung, von der die Rücklagen übertragen worden sind,</w:t>
      </w:r>
    </w:p>
    <w:p w14:paraId="1EB8EC71" w14:textId="77777777" w:rsidR="00DD31E8" w:rsidRPr="006A7AC8" w:rsidRDefault="00DD31E8" w:rsidP="00DD31E8">
      <w:pPr>
        <w:jc w:val="both"/>
      </w:pPr>
    </w:p>
    <w:p w14:paraId="37536904" w14:textId="77777777" w:rsidR="00DD31E8" w:rsidRPr="006A7AC8" w:rsidRDefault="00DD31E8" w:rsidP="00DD31E8">
      <w:pPr>
        <w:jc w:val="both"/>
      </w:pPr>
      <w:r w:rsidRPr="006A7AC8">
        <w:tab/>
        <w:t>- Namen, Rechtsform und Adresse der Unternehmen und Gesellschaften, die der übertragenden Pensionseinrichtung Prämien und Beiträge für die Pension gezahlt haben,</w:t>
      </w:r>
    </w:p>
    <w:p w14:paraId="15F0A09D" w14:textId="77777777" w:rsidR="00DD31E8" w:rsidRPr="006A7AC8" w:rsidRDefault="00DD31E8" w:rsidP="00DD31E8">
      <w:pPr>
        <w:jc w:val="both"/>
      </w:pPr>
    </w:p>
    <w:p w14:paraId="4B4E5890" w14:textId="77777777" w:rsidR="00DD31E8" w:rsidRPr="006A7AC8" w:rsidRDefault="00DD31E8" w:rsidP="00DD31E8">
      <w:pPr>
        <w:jc w:val="both"/>
      </w:pPr>
      <w:r w:rsidRPr="006A7AC8">
        <w:tab/>
      </w:r>
      <w:r w:rsidRPr="006A7AC8">
        <w:rPr>
          <w:i/>
        </w:rPr>
        <w:t>c) </w:t>
      </w:r>
      <w:r w:rsidRPr="006A7AC8">
        <w:t>wenn es sich um eine Hinterbliebenenpension oder eine Leistung im Todesfall handelt oder wenn ein Teil der Versorgungsansprüche wegen Scheidung auf den anderen Ehepartner übertragen wird: Namen der Person, zu deren Gunsten die Versorgungsansprüche aufgebaut wurden.</w:t>
      </w:r>
    </w:p>
    <w:p w14:paraId="17A868A0" w14:textId="77777777" w:rsidR="00DD31E8" w:rsidRPr="006A7AC8" w:rsidRDefault="00DD31E8" w:rsidP="00DD31E8">
      <w:pPr>
        <w:jc w:val="both"/>
      </w:pPr>
    </w:p>
    <w:p w14:paraId="32C29393" w14:textId="77777777" w:rsidR="00DD31E8" w:rsidRPr="006A7AC8" w:rsidRDefault="00DD31E8" w:rsidP="00DD31E8">
      <w:pPr>
        <w:jc w:val="both"/>
      </w:pPr>
      <w:r w:rsidRPr="006A7AC8">
        <w:tab/>
        <w:t>§ 2 ­ Der Minister der Finanzen oder sein Beauftragter bestimmt die praktischen Modalitäten für die elektronische Einreichung der Karten.</w:t>
      </w:r>
    </w:p>
    <w:p w14:paraId="6DA432E2" w14:textId="77777777" w:rsidR="00DD31E8" w:rsidRPr="006A7AC8" w:rsidRDefault="00DD31E8" w:rsidP="00DD31E8">
      <w:pPr>
        <w:jc w:val="both"/>
      </w:pPr>
    </w:p>
    <w:p w14:paraId="4F41090D" w14:textId="77777777" w:rsidR="00DD31E8" w:rsidRPr="006A7AC8" w:rsidRDefault="00DD31E8" w:rsidP="00DD31E8">
      <w:pPr>
        <w:jc w:val="both"/>
      </w:pPr>
      <w:r w:rsidRPr="006A7AC8">
        <w:tab/>
        <w:t>§ 3 ­ Die Karten werden im Hinblick auf die Kontrolle der in Artikel 230 Absatz 1 Nr. 4</w:t>
      </w:r>
      <w:r w:rsidRPr="006A7AC8">
        <w:rPr>
          <w:i/>
          <w:iCs/>
        </w:rPr>
        <w:t>bis</w:t>
      </w:r>
      <w:r w:rsidRPr="006A7AC8">
        <w:t xml:space="preserve"> des Einkommensteuergesetzbuches 1992 erwähnten Steuerbefreiung und auf die Einhaltung der Verpflichtungen in Sachen internationalen Informationsaustausch ausgestellt.</w:t>
      </w:r>
    </w:p>
    <w:p w14:paraId="0D0528CB" w14:textId="77777777" w:rsidR="00DD31E8" w:rsidRPr="006A7AC8" w:rsidRDefault="00DD31E8" w:rsidP="00DD31E8">
      <w:pPr>
        <w:jc w:val="both"/>
      </w:pPr>
    </w:p>
    <w:p w14:paraId="4D9E47C1" w14:textId="4FA7FC50" w:rsidR="00DD31E8" w:rsidRDefault="00DD31E8" w:rsidP="007A4517">
      <w:pPr>
        <w:jc w:val="both"/>
      </w:pPr>
      <w:r w:rsidRPr="006A7AC8">
        <w:tab/>
        <w:t>Unbeschadet der Aufbewahrung, die erforderlich ist für die weitere, in Artikel 89 der Verordnung (EU) 2016/679 des Europäischen Parlaments und des Rates vom 27. April 2016 zum Schutz natürlicher Personen bei der Verarbeitung personenbezogener Daten, zum freien Datenverkehr und zur Aufhebung der Richtlinie 95/46/EG (Datenschutz-Grundverordnung) erwähnte Verarbeitung zu im öffentlichen Interesse liegenden Archivzwecken, zu wissenschaftlichen oder historischen Forschungszwecken oder zu statistischen Zwecken, bewahrt die Verwaltung die personenbezogenen Daten, die in den Karten aufgenommen sind, nicht länger auf, als es für die Zwecke, für die sie verarbeitet werden, erforderlich ist, wobei die maximale Aufbewahrungsfrist ein Jahr nach endgültiger Beendigung beziehungsweise Ausschöpfung der gerichtlichen, administrativen und außergerichtlichen Verfahren und Rechtsmittel in Bezug auf die Ausstellung der Karten, die Gewährung der Steuerbefreiung oder den internationalen Informationsaustausch nicht überschreiten darf.</w:t>
      </w:r>
      <w:r w:rsidR="007A4517">
        <w:t>]</w:t>
      </w:r>
    </w:p>
    <w:p w14:paraId="7A876F30" w14:textId="38C17462" w:rsidR="007A4517" w:rsidRDefault="007A4517" w:rsidP="007A4517">
      <w:pPr>
        <w:jc w:val="both"/>
      </w:pPr>
    </w:p>
    <w:p w14:paraId="3A6F8735" w14:textId="77777777" w:rsidR="005D3E82" w:rsidRDefault="005D3E82" w:rsidP="00DE2BC0">
      <w:pPr>
        <w:jc w:val="center"/>
        <w:rPr>
          <w:rFonts w:eastAsia="Calibri"/>
          <w:lang w:eastAsia="de-DE" w:bidi="de-DE"/>
        </w:rPr>
      </w:pPr>
    </w:p>
    <w:p w14:paraId="3F46AC0B" w14:textId="77777777" w:rsidR="00AF3938" w:rsidRDefault="00AF3938">
      <w:pPr>
        <w:rPr>
          <w:rFonts w:eastAsia="Calibri"/>
          <w:lang w:eastAsia="de-DE" w:bidi="de-DE"/>
        </w:rPr>
      </w:pPr>
      <w:r>
        <w:rPr>
          <w:rFonts w:eastAsia="Calibri"/>
          <w:lang w:eastAsia="de-DE" w:bidi="de-DE"/>
        </w:rPr>
        <w:br w:type="page"/>
      </w:r>
    </w:p>
    <w:p w14:paraId="35D1E2AC" w14:textId="3C9F1DCA" w:rsidR="003426CA" w:rsidRPr="00D21420" w:rsidRDefault="003426CA" w:rsidP="00DE2BC0">
      <w:pPr>
        <w:jc w:val="center"/>
        <w:rPr>
          <w:lang w:eastAsia="de-DE" w:bidi="de-DE"/>
        </w:rPr>
      </w:pPr>
      <w:r w:rsidRPr="00D21420">
        <w:rPr>
          <w:rFonts w:eastAsia="Calibri"/>
          <w:lang w:eastAsia="de-DE" w:bidi="de-DE"/>
        </w:rPr>
        <w:lastRenderedPageBreak/>
        <w:t>[</w:t>
      </w:r>
      <w:r w:rsidRPr="00D21420">
        <w:rPr>
          <w:rFonts w:eastAsia="Calibri"/>
          <w:i/>
          <w:lang w:eastAsia="de-DE" w:bidi="de-DE"/>
        </w:rPr>
        <w:t>Abschnitt 9bis</w:t>
      </w:r>
      <w:r w:rsidRPr="00D21420">
        <w:rPr>
          <w:rFonts w:eastAsia="Calibri"/>
          <w:lang w:eastAsia="de-DE" w:bidi="de-DE"/>
        </w:rPr>
        <w:t> - Bestimmung von Bediensteten anderer Steuerverwaltungen, die zur Durchführung von Untersuchungen ermächtigt sind</w:t>
      </w:r>
    </w:p>
    <w:p w14:paraId="4FF1A9C3" w14:textId="77777777" w:rsidR="003426CA" w:rsidRPr="00D21420" w:rsidRDefault="003426CA" w:rsidP="003426CA">
      <w:pPr>
        <w:jc w:val="center"/>
        <w:rPr>
          <w:lang w:bidi="de-DE"/>
        </w:rPr>
      </w:pPr>
    </w:p>
    <w:p w14:paraId="050A9069" w14:textId="77777777" w:rsidR="003426CA" w:rsidRPr="00D21420" w:rsidRDefault="003426CA" w:rsidP="003426CA">
      <w:pPr>
        <w:jc w:val="center"/>
        <w:rPr>
          <w:lang w:eastAsia="de-DE" w:bidi="de-DE"/>
        </w:rPr>
      </w:pPr>
      <w:r w:rsidRPr="00D21420">
        <w:rPr>
          <w:rFonts w:eastAsia="Calibri"/>
          <w:lang w:eastAsia="de-DE" w:bidi="de-DE"/>
        </w:rPr>
        <w:t>(Einkommensteuergesetzbuch 1992, Artikel 334</w:t>
      </w:r>
      <w:r w:rsidRPr="00D21420">
        <w:rPr>
          <w:rFonts w:eastAsia="Calibri"/>
          <w:i/>
          <w:lang w:eastAsia="de-DE" w:bidi="de-DE"/>
        </w:rPr>
        <w:t>bis</w:t>
      </w:r>
      <w:r w:rsidRPr="00D21420">
        <w:rPr>
          <w:rFonts w:eastAsia="Calibri"/>
          <w:lang w:eastAsia="de-DE" w:bidi="de-DE"/>
        </w:rPr>
        <w:t>)</w:t>
      </w:r>
    </w:p>
    <w:p w14:paraId="0152B536" w14:textId="77777777" w:rsidR="003426CA" w:rsidRPr="00D21420" w:rsidRDefault="003426CA" w:rsidP="003426CA">
      <w:pPr>
        <w:jc w:val="both"/>
        <w:rPr>
          <w:lang w:bidi="de-DE"/>
        </w:rPr>
      </w:pPr>
    </w:p>
    <w:p w14:paraId="5CFE7A69" w14:textId="77777777" w:rsidR="003426CA" w:rsidRPr="00D21420" w:rsidRDefault="003426CA" w:rsidP="003426CA">
      <w:pPr>
        <w:jc w:val="both"/>
        <w:rPr>
          <w:i/>
          <w:lang w:eastAsia="de-DE" w:bidi="de-DE"/>
        </w:rPr>
      </w:pPr>
      <w:r w:rsidRPr="00D21420">
        <w:rPr>
          <w:rFonts w:eastAsia="Calibri"/>
          <w:i/>
          <w:lang w:eastAsia="de-DE" w:bidi="de-DE"/>
        </w:rPr>
        <w:t>[Abschnitt 9bis mit Art. 181bis eingefügt durch Art. 1 des K.E. vom 4. April 1995 (B.S. vom 13. Mai 1995)]</w:t>
      </w:r>
    </w:p>
    <w:p w14:paraId="29AAE4EA" w14:textId="77777777" w:rsidR="003426CA" w:rsidRPr="00D21420" w:rsidRDefault="003426CA" w:rsidP="003426CA">
      <w:pPr>
        <w:jc w:val="both"/>
        <w:rPr>
          <w:lang w:bidi="de-DE"/>
        </w:rPr>
      </w:pPr>
    </w:p>
    <w:p w14:paraId="1C1CB0FD" w14:textId="77777777" w:rsidR="003426CA" w:rsidRPr="00D21420" w:rsidRDefault="003426CA" w:rsidP="003426CA">
      <w:pPr>
        <w:jc w:val="both"/>
        <w:rPr>
          <w:lang w:bidi="de-DE"/>
        </w:rPr>
      </w:pPr>
    </w:p>
    <w:p w14:paraId="13BE946F" w14:textId="77777777" w:rsidR="00FB6FEE" w:rsidRDefault="003426CA" w:rsidP="00FB6FEE">
      <w:pPr>
        <w:jc w:val="both"/>
        <w:rPr>
          <w:rFonts w:eastAsia="Calibri"/>
          <w:spacing w:val="-3"/>
          <w:lang w:eastAsia="de-DE" w:bidi="de-DE"/>
        </w:rPr>
      </w:pPr>
      <w:r w:rsidRPr="00D21420">
        <w:rPr>
          <w:rFonts w:eastAsia="Calibri"/>
          <w:szCs w:val="22"/>
          <w:lang w:eastAsia="de-DE" w:bidi="de-DE"/>
        </w:rPr>
        <w:tab/>
      </w:r>
      <w:r w:rsidRPr="00D21420">
        <w:rPr>
          <w:rFonts w:eastAsia="Calibri"/>
          <w:b/>
          <w:lang w:eastAsia="de-DE" w:bidi="de-DE"/>
        </w:rPr>
        <w:t>Art. 181</w:t>
      </w:r>
      <w:r w:rsidRPr="00D21420">
        <w:rPr>
          <w:rFonts w:eastAsia="Calibri"/>
          <w:b/>
          <w:i/>
          <w:lang w:eastAsia="de-DE" w:bidi="de-DE"/>
        </w:rPr>
        <w:t>bis</w:t>
      </w:r>
      <w:r w:rsidRPr="00D21420">
        <w:rPr>
          <w:rFonts w:eastAsia="Calibri"/>
          <w:lang w:eastAsia="de-DE" w:bidi="de-DE"/>
        </w:rPr>
        <w:t xml:space="preserve"> - </w:t>
      </w:r>
      <w:r w:rsidRPr="00D21420">
        <w:rPr>
          <w:rFonts w:eastAsia="Calibri"/>
          <w:spacing w:val="-3"/>
          <w:lang w:eastAsia="de-DE" w:bidi="de-DE"/>
        </w:rPr>
        <w:t>In Titel 7 Kapitel 3 des Einkommensteuergesetzbuches 1992 erwähnte Untersuchungen dürfen von Bediensteten der Zoll- und Akzisenverwaltung, die in Anwendung des Königlichen Erlasses vom 7. Dezember 1992 der Verwaltung der direkten Steuern zur Verfügung gestellt worden sind, durchgeführt werden.]</w:t>
      </w:r>
    </w:p>
    <w:p w14:paraId="34C21048" w14:textId="77777777" w:rsidR="00673592" w:rsidRDefault="00673592" w:rsidP="003426CA">
      <w:pPr>
        <w:jc w:val="center"/>
        <w:rPr>
          <w:rFonts w:eastAsia="Calibri"/>
          <w:i/>
          <w:lang w:eastAsia="de-DE" w:bidi="de-DE"/>
        </w:rPr>
      </w:pPr>
    </w:p>
    <w:p w14:paraId="13F779FE" w14:textId="77777777" w:rsidR="00673592" w:rsidRDefault="00673592" w:rsidP="003426CA">
      <w:pPr>
        <w:jc w:val="center"/>
        <w:rPr>
          <w:rFonts w:eastAsia="Calibri"/>
          <w:i/>
          <w:lang w:eastAsia="de-DE" w:bidi="de-DE"/>
        </w:rPr>
      </w:pPr>
    </w:p>
    <w:p w14:paraId="7EB7A65B" w14:textId="180FC4F7" w:rsidR="003426CA" w:rsidRPr="00D21420" w:rsidRDefault="003426CA" w:rsidP="003426CA">
      <w:pPr>
        <w:jc w:val="center"/>
        <w:rPr>
          <w:lang w:eastAsia="de-DE" w:bidi="de-DE"/>
        </w:rPr>
      </w:pPr>
      <w:r w:rsidRPr="00D21420">
        <w:rPr>
          <w:rFonts w:eastAsia="Calibri"/>
          <w:i/>
          <w:lang w:eastAsia="de-DE" w:bidi="de-DE"/>
        </w:rPr>
        <w:t>Abschnitt 10</w:t>
      </w:r>
      <w:r w:rsidRPr="00D21420">
        <w:rPr>
          <w:rFonts w:eastAsia="Calibri"/>
          <w:lang w:eastAsia="de-DE" w:bidi="de-DE"/>
        </w:rPr>
        <w:t> - [Mindestbetrag der steuerpflichtigen Gewinne oder Profite von Unternehmen oder Inhabern eines freien Berufs]</w:t>
      </w:r>
    </w:p>
    <w:p w14:paraId="6675DEAD" w14:textId="77777777" w:rsidR="003426CA" w:rsidRPr="00D21420" w:rsidRDefault="003426CA" w:rsidP="003426CA">
      <w:pPr>
        <w:jc w:val="center"/>
        <w:rPr>
          <w:lang w:bidi="de-DE"/>
        </w:rPr>
      </w:pPr>
    </w:p>
    <w:p w14:paraId="52EC8929" w14:textId="77777777" w:rsidR="003426CA" w:rsidRPr="00D21420" w:rsidRDefault="003426CA" w:rsidP="003426CA">
      <w:pPr>
        <w:jc w:val="center"/>
        <w:rPr>
          <w:lang w:eastAsia="de-DE" w:bidi="de-DE"/>
        </w:rPr>
      </w:pPr>
      <w:r w:rsidRPr="00D21420">
        <w:rPr>
          <w:rFonts w:eastAsia="Calibri"/>
          <w:spacing w:val="-3"/>
          <w:lang w:eastAsia="de-DE" w:bidi="de-DE"/>
        </w:rPr>
        <w:t>(Einkommensteuergesetzbuch 1992, Artikel 342 § 2)</w:t>
      </w:r>
    </w:p>
    <w:p w14:paraId="5756BC77" w14:textId="77777777" w:rsidR="003426CA" w:rsidRPr="00D21420" w:rsidRDefault="003426CA" w:rsidP="003426CA">
      <w:pPr>
        <w:jc w:val="center"/>
        <w:rPr>
          <w:lang w:bidi="de-DE"/>
        </w:rPr>
      </w:pPr>
    </w:p>
    <w:p w14:paraId="35890184" w14:textId="77777777" w:rsidR="003426CA" w:rsidRPr="00D21420" w:rsidRDefault="003426CA" w:rsidP="003426CA">
      <w:pPr>
        <w:jc w:val="both"/>
        <w:rPr>
          <w:i/>
          <w:lang w:eastAsia="de-DE" w:bidi="de-DE"/>
        </w:rPr>
      </w:pPr>
      <w:r w:rsidRPr="00D21420">
        <w:rPr>
          <w:rFonts w:eastAsia="Calibri"/>
          <w:i/>
          <w:lang w:eastAsia="de-DE" w:bidi="de-DE"/>
        </w:rPr>
        <w:t>[Überschrift von Abschnitt 10 abgeändert durch Art. 1 des K.E. vom 2. September 2005 (B.S. vom 21. September 2005)]</w:t>
      </w:r>
    </w:p>
    <w:p w14:paraId="640BE816" w14:textId="77777777" w:rsidR="003426CA" w:rsidRPr="00D21420" w:rsidRDefault="003426CA" w:rsidP="003426CA">
      <w:pPr>
        <w:jc w:val="both"/>
        <w:rPr>
          <w:lang w:bidi="de-DE"/>
        </w:rPr>
      </w:pPr>
    </w:p>
    <w:p w14:paraId="37D38A9B" w14:textId="77777777" w:rsidR="003426CA" w:rsidRPr="00D21420" w:rsidRDefault="003426CA" w:rsidP="003426CA">
      <w:pPr>
        <w:jc w:val="both"/>
        <w:rPr>
          <w:lang w:bidi="de-DE"/>
        </w:rPr>
      </w:pPr>
    </w:p>
    <w:p w14:paraId="49792464"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182</w:t>
      </w:r>
      <w:r w:rsidRPr="00D21420">
        <w:rPr>
          <w:rFonts w:eastAsia="Calibri"/>
          <w:lang w:eastAsia="de-DE" w:bidi="de-DE"/>
        </w:rPr>
        <w:t> - § 1 - [Der Mindestbetrag der Gewinne, die für die in Belgien tätigen ausländischen Betriebe steuerpflichtig sind und gemäß dem in Artikel 342 § 1 Absatz 1 des Einkommensteuergesetzbuches 1992 vorgesehenen Vergleichsverfahren besteuert werden, und bei Nichtabgabe oder verspäteter Einreichung einer Erklärung der Mindestbetrag der Gewinne, die für belgische Unternehmen steuerpflichtig sind, werden wie folgt festgelegt:]</w:t>
      </w:r>
    </w:p>
    <w:p w14:paraId="4775E020" w14:textId="77777777" w:rsidR="003426CA" w:rsidRPr="00D21420" w:rsidRDefault="003426CA" w:rsidP="003426CA">
      <w:pPr>
        <w:jc w:val="both"/>
        <w:rPr>
          <w:lang w:bidi="de-DE"/>
        </w:rPr>
      </w:pPr>
    </w:p>
    <w:p w14:paraId="102416A0" w14:textId="77777777" w:rsidR="003426CA" w:rsidRPr="00D21420" w:rsidRDefault="003426CA" w:rsidP="003426CA">
      <w:pPr>
        <w:jc w:val="both"/>
        <w:rPr>
          <w:spacing w:val="-3"/>
          <w:lang w:eastAsia="de-DE" w:bidi="de-DE"/>
        </w:rPr>
      </w:pPr>
      <w:r w:rsidRPr="00D21420">
        <w:rPr>
          <w:rFonts w:eastAsia="Calibri"/>
          <w:szCs w:val="22"/>
          <w:lang w:eastAsia="de-DE" w:bidi="de-DE"/>
        </w:rPr>
        <w:tab/>
      </w:r>
      <w:r w:rsidRPr="00D21420">
        <w:rPr>
          <w:rFonts w:eastAsia="Calibri"/>
          <w:spacing w:val="-3"/>
          <w:lang w:eastAsia="de-DE" w:bidi="de-DE"/>
        </w:rPr>
        <w:t>1. Landwirtschaftsbetriebe, Gartenbaubetriebe oder Baumschulen: Pauschaltabelle, die für belgische Steuerpflichtige festgelegt ist, die in demselben landwirtschaftlichen Gebiet einen ähnlichen Beruf ausüben,</w:t>
      </w:r>
    </w:p>
    <w:p w14:paraId="5384BA49" w14:textId="77777777" w:rsidR="003426CA" w:rsidRPr="00D21420" w:rsidRDefault="003426CA" w:rsidP="003426CA">
      <w:pPr>
        <w:jc w:val="both"/>
        <w:rPr>
          <w:spacing w:val="-3"/>
          <w:lang w:bidi="de-DE"/>
        </w:rPr>
      </w:pPr>
    </w:p>
    <w:p w14:paraId="25EB6B45" w14:textId="332670D6" w:rsidR="003426CA" w:rsidRPr="00D21420" w:rsidRDefault="003426CA" w:rsidP="003426CA">
      <w:pPr>
        <w:jc w:val="both"/>
        <w:rPr>
          <w:spacing w:val="-3"/>
          <w:lang w:eastAsia="de-DE" w:bidi="de-DE"/>
        </w:rPr>
      </w:pPr>
      <w:r w:rsidRPr="00D21420">
        <w:rPr>
          <w:rFonts w:eastAsia="Calibri"/>
          <w:szCs w:val="22"/>
          <w:lang w:eastAsia="de-DE" w:bidi="de-DE"/>
        </w:rPr>
        <w:tab/>
      </w:r>
      <w:r w:rsidRPr="00D21420">
        <w:rPr>
          <w:rFonts w:eastAsia="Calibri"/>
          <w:spacing w:val="-3"/>
          <w:lang w:eastAsia="de-DE" w:bidi="de-DE"/>
        </w:rPr>
        <w:t>2. Unternehmen, die folgenden Industriezweigen angehören:</w:t>
      </w:r>
    </w:p>
    <w:p w14:paraId="537F0D5B" w14:textId="77777777" w:rsidR="003426CA" w:rsidRPr="00D21420" w:rsidRDefault="003426CA" w:rsidP="003426CA">
      <w:pPr>
        <w:jc w:val="both"/>
        <w:rPr>
          <w:spacing w:val="-3"/>
          <w:lang w:bidi="de-DE"/>
        </w:rPr>
      </w:pPr>
    </w:p>
    <w:p w14:paraId="4C304D5A"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a)</w:t>
      </w:r>
      <w:r w:rsidRPr="00D21420">
        <w:rPr>
          <w:rFonts w:eastAsia="Calibri"/>
          <w:lang w:eastAsia="de-DE" w:bidi="de-DE"/>
        </w:rPr>
        <w:t> Chemieindustrie: [22.000 EUR] pro Personalmitglied (Durchschnittsanzahl für das betreffende Jahr),</w:t>
      </w:r>
    </w:p>
    <w:p w14:paraId="741441BF" w14:textId="77777777" w:rsidR="003426CA" w:rsidRPr="00D21420" w:rsidRDefault="003426CA" w:rsidP="003426CA">
      <w:pPr>
        <w:jc w:val="both"/>
        <w:rPr>
          <w:lang w:bidi="de-DE"/>
        </w:rPr>
      </w:pPr>
    </w:p>
    <w:p w14:paraId="482B243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b)</w:t>
      </w:r>
      <w:r w:rsidRPr="00D21420">
        <w:rPr>
          <w:rFonts w:eastAsia="Calibri"/>
          <w:lang w:eastAsia="de-DE" w:bidi="de-DE"/>
        </w:rPr>
        <w:t> Nahrungsmittelindustrie: [12.000 EUR] pro Personalmitglied (Durchschnittsanzahl für das betreffende Jahr),</w:t>
      </w:r>
    </w:p>
    <w:p w14:paraId="3A1A08B5" w14:textId="77777777" w:rsidR="003426CA" w:rsidRPr="00D21420" w:rsidRDefault="003426CA" w:rsidP="003426CA">
      <w:pPr>
        <w:jc w:val="both"/>
        <w:rPr>
          <w:lang w:bidi="de-DE"/>
        </w:rPr>
      </w:pPr>
    </w:p>
    <w:p w14:paraId="13CCEBB6"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c)</w:t>
      </w:r>
      <w:r w:rsidRPr="00D21420">
        <w:rPr>
          <w:rFonts w:eastAsia="Calibri"/>
          <w:lang w:eastAsia="de-DE" w:bidi="de-DE"/>
        </w:rPr>
        <w:t> Metallindustrie, feinmechanische Industrie, Betriebe und Unternehmen, die nichtenergetische Mineralien gewinnen und verarbeiten, Baugewerbe und andere Industrien, Betriebe und Unternehmen, die nicht in den vorstehenden Buchstaben </w:t>
      </w:r>
      <w:r w:rsidRPr="00D21420">
        <w:rPr>
          <w:rFonts w:eastAsia="Calibri"/>
          <w:i/>
          <w:lang w:eastAsia="de-DE" w:bidi="de-DE"/>
        </w:rPr>
        <w:t>a)</w:t>
      </w:r>
      <w:r w:rsidRPr="00D21420">
        <w:rPr>
          <w:rFonts w:eastAsia="Calibri"/>
          <w:lang w:eastAsia="de-DE" w:bidi="de-DE"/>
        </w:rPr>
        <w:t xml:space="preserve"> und </w:t>
      </w:r>
      <w:r w:rsidRPr="00D21420">
        <w:rPr>
          <w:rFonts w:eastAsia="Calibri"/>
          <w:i/>
          <w:lang w:eastAsia="de-DE" w:bidi="de-DE"/>
        </w:rPr>
        <w:t>b)</w:t>
      </w:r>
      <w:r w:rsidRPr="00D21420">
        <w:rPr>
          <w:rFonts w:eastAsia="Calibri"/>
          <w:lang w:eastAsia="de-DE" w:bidi="de-DE"/>
        </w:rPr>
        <w:t xml:space="preserve"> erwähnt sind: [7.000 EUR] pro Personalmitglied (Durchschnittsanzahl für das betreffende Jahr),</w:t>
      </w:r>
    </w:p>
    <w:p w14:paraId="61257791" w14:textId="77777777" w:rsidR="009C3F3F" w:rsidRDefault="009C3F3F" w:rsidP="003426CA">
      <w:pPr>
        <w:jc w:val="both"/>
        <w:rPr>
          <w:rFonts w:eastAsia="Calibri"/>
          <w:szCs w:val="22"/>
          <w:lang w:eastAsia="de-DE" w:bidi="de-DE"/>
        </w:rPr>
      </w:pPr>
    </w:p>
    <w:p w14:paraId="460ECF0D" w14:textId="77777777" w:rsidR="00AF3938" w:rsidRDefault="00AF3938">
      <w:pPr>
        <w:rPr>
          <w:rFonts w:eastAsia="Calibri"/>
          <w:szCs w:val="22"/>
          <w:lang w:eastAsia="de-DE" w:bidi="de-DE"/>
        </w:rPr>
      </w:pPr>
      <w:r>
        <w:rPr>
          <w:rFonts w:eastAsia="Calibri"/>
          <w:szCs w:val="22"/>
          <w:lang w:eastAsia="de-DE" w:bidi="de-DE"/>
        </w:rPr>
        <w:br w:type="page"/>
      </w:r>
    </w:p>
    <w:p w14:paraId="13C8BC76" w14:textId="1542FDC9" w:rsidR="003426CA" w:rsidRPr="00D21420" w:rsidRDefault="003426CA" w:rsidP="003426CA">
      <w:pPr>
        <w:jc w:val="both"/>
        <w:rPr>
          <w:lang w:eastAsia="de-DE" w:bidi="de-DE"/>
        </w:rPr>
      </w:pPr>
      <w:r w:rsidRPr="00D21420">
        <w:rPr>
          <w:rFonts w:eastAsia="Calibri"/>
          <w:szCs w:val="22"/>
          <w:lang w:eastAsia="de-DE" w:bidi="de-DE"/>
        </w:rPr>
        <w:lastRenderedPageBreak/>
        <w:tab/>
      </w:r>
      <w:r w:rsidRPr="00D21420">
        <w:rPr>
          <w:rFonts w:eastAsia="Calibri"/>
          <w:lang w:eastAsia="de-DE" w:bidi="de-DE"/>
        </w:rPr>
        <w:t>3. Unternehmen aus dem Handels- und Dienstleistungssektor:</w:t>
      </w:r>
    </w:p>
    <w:p w14:paraId="16F2AEF2" w14:textId="77777777" w:rsidR="003426CA" w:rsidRPr="00D21420" w:rsidRDefault="003426CA" w:rsidP="003426CA">
      <w:pPr>
        <w:jc w:val="both"/>
        <w:rPr>
          <w:lang w:bidi="de-DE"/>
        </w:rPr>
      </w:pPr>
    </w:p>
    <w:p w14:paraId="772E369A"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a)</w:t>
      </w:r>
      <w:r w:rsidRPr="00D21420">
        <w:rPr>
          <w:rFonts w:eastAsia="Calibri"/>
          <w:lang w:eastAsia="de-DE" w:bidi="de-DE"/>
        </w:rPr>
        <w:t> Großhandel, Einzelhandel, Transport, Horeca, Ingenieur- und Studienbüros, Informatik, Elektronik und andere Dienstleistungen für Unternehmen: [2,50 EUR] pro [25 EUR] Umsatz mit einem Mindestbetrag von [7.000 EUR] pro Personalmitglied (Durchschnittsanzahl für das betreffende Jahr),</w:t>
      </w:r>
    </w:p>
    <w:p w14:paraId="42F1B718" w14:textId="77777777" w:rsidR="003426CA" w:rsidRPr="00D21420" w:rsidRDefault="003426CA" w:rsidP="003426CA">
      <w:pPr>
        <w:jc w:val="both"/>
        <w:rPr>
          <w:lang w:bidi="de-DE"/>
        </w:rPr>
      </w:pPr>
    </w:p>
    <w:p w14:paraId="4E09E504"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b)</w:t>
      </w:r>
      <w:r w:rsidRPr="00D21420">
        <w:rPr>
          <w:rFonts w:eastAsia="Calibri"/>
          <w:lang w:eastAsia="de-DE" w:bidi="de-DE"/>
        </w:rPr>
        <w:t> Zwischenhändler und Vermittler im Transportbereich: [2,50 EUR] pro [25 EUR] Umsatz mit einem Mindestbetrag von [14.500 EUR] pro Personalmitglied (Durchschnitts</w:t>
      </w:r>
      <w:r w:rsidRPr="00D21420">
        <w:rPr>
          <w:rFonts w:eastAsia="Calibri"/>
          <w:lang w:eastAsia="de-DE" w:bidi="de-DE"/>
        </w:rPr>
        <w:softHyphen/>
        <w:t>anzahl für das betreffende Jahr),</w:t>
      </w:r>
    </w:p>
    <w:p w14:paraId="6CA3A75D" w14:textId="77777777" w:rsidR="003426CA" w:rsidRPr="00D21420" w:rsidRDefault="003426CA" w:rsidP="003426CA">
      <w:pPr>
        <w:jc w:val="both"/>
        <w:rPr>
          <w:lang w:bidi="de-DE"/>
        </w:rPr>
      </w:pPr>
    </w:p>
    <w:p w14:paraId="5D587D9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c)</w:t>
      </w:r>
      <w:r w:rsidRPr="00D21420">
        <w:rPr>
          <w:rFonts w:eastAsia="Calibri"/>
          <w:lang w:eastAsia="de-DE" w:bidi="de-DE"/>
        </w:rPr>
        <w:t> Banken und Kredit- und Wechselinstitute: [24.000 EUR] pro Personalmitglied (Durchschnittsanzahl für das betreffende Jahr),</w:t>
      </w:r>
    </w:p>
    <w:p w14:paraId="26D7E05B" w14:textId="77777777" w:rsidR="003426CA" w:rsidRPr="00D21420" w:rsidRDefault="003426CA" w:rsidP="003426CA">
      <w:pPr>
        <w:jc w:val="both"/>
        <w:rPr>
          <w:lang w:bidi="de-DE"/>
        </w:rPr>
      </w:pPr>
    </w:p>
    <w:p w14:paraId="42C6C140"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d)</w:t>
      </w:r>
      <w:r w:rsidRPr="00D21420">
        <w:rPr>
          <w:rFonts w:eastAsia="Calibri"/>
          <w:lang w:eastAsia="de-DE" w:bidi="de-DE"/>
        </w:rPr>
        <w:t> Versicherungen: [2,50 EUR] pro [25 EUR] eingenommene Prämien,</w:t>
      </w:r>
    </w:p>
    <w:p w14:paraId="23A7C7CE" w14:textId="77777777" w:rsidR="00673592" w:rsidRDefault="00673592" w:rsidP="003426CA">
      <w:pPr>
        <w:jc w:val="both"/>
        <w:rPr>
          <w:rFonts w:eastAsia="Calibri"/>
          <w:szCs w:val="22"/>
          <w:lang w:eastAsia="de-DE" w:bidi="de-DE"/>
        </w:rPr>
      </w:pPr>
    </w:p>
    <w:p w14:paraId="6F2929C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e)</w:t>
      </w:r>
      <w:r w:rsidRPr="00D21420">
        <w:rPr>
          <w:rFonts w:eastAsia="Calibri"/>
          <w:lang w:eastAsia="de-DE" w:bidi="de-DE"/>
        </w:rPr>
        <w:t> andere Betriebe und Unternehmen aus dem Handels- und Dienstleistungssektor: [2,50 EUR] pro [25 EUR] Umsatz mit einem Mindestbetrag von [7.000 EUR] pro Personalmitglied (Durchschnittsanzahl für das betreffende Jahr).</w:t>
      </w:r>
    </w:p>
    <w:p w14:paraId="1935A146" w14:textId="77777777" w:rsidR="003426CA" w:rsidRPr="00D21420" w:rsidRDefault="003426CA" w:rsidP="003426CA">
      <w:pPr>
        <w:jc w:val="both"/>
        <w:rPr>
          <w:lang w:bidi="de-DE"/>
        </w:rPr>
      </w:pPr>
    </w:p>
    <w:p w14:paraId="3978C163"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2 - In keinem Fall darf der gemäß § 1 festgelegte Betrag der steuerpflichtigen Gewinne unter [19.000 EUR] liegen.</w:t>
      </w:r>
    </w:p>
    <w:p w14:paraId="689FCD54" w14:textId="77777777" w:rsidR="003426CA" w:rsidRPr="00D21420" w:rsidRDefault="003426CA" w:rsidP="003426CA">
      <w:pPr>
        <w:jc w:val="both"/>
        <w:rPr>
          <w:lang w:bidi="de-DE"/>
        </w:rPr>
      </w:pPr>
    </w:p>
    <w:p w14:paraId="5594EB9A"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[Bei Nichtabgabe oder verspäteter Einreichung einer Erklärung ist der in Absatz 1 festgelegte Mindestbetrag ebenfalls auf die steuerpflichtigen Profite von Inhabern eines freien Berufs anwendbar.]</w:t>
      </w:r>
    </w:p>
    <w:p w14:paraId="4D1F55DA" w14:textId="77777777" w:rsidR="003426CA" w:rsidRDefault="003426CA" w:rsidP="003426CA">
      <w:pPr>
        <w:jc w:val="both"/>
        <w:rPr>
          <w:lang w:bidi="de-DE"/>
        </w:rPr>
      </w:pPr>
    </w:p>
    <w:p w14:paraId="5072BC53" w14:textId="53F62A38" w:rsidR="0017246A" w:rsidRPr="00C5581B" w:rsidRDefault="0017246A" w:rsidP="0017246A">
      <w:pPr>
        <w:jc w:val="both"/>
      </w:pPr>
      <w:r>
        <w:rPr>
          <w:lang w:bidi="de-DE"/>
        </w:rPr>
        <w:tab/>
        <w:t>[</w:t>
      </w:r>
      <w:r w:rsidRPr="00C5581B">
        <w:t>§ 2/1 - Bei Nichtabgabe oder verspäteter Einreichung einer Erklärung durch ein Unternehmen, das gemäß Artikel 227 Nr. 2 desselben Gesetzbuches der Gesellschaftssteuer oder der Steuer der Gebietsfremden unterliegt, wird der in Anwendung von Artikel 342 § 4 desselben Gesetzbuches festgelegte Mindestbetrag der steuerpflichtigen Gewinne um folgende Prozentsätze erhöht:</w:t>
      </w:r>
    </w:p>
    <w:p w14:paraId="5CAF964A" w14:textId="77777777" w:rsidR="0017246A" w:rsidRPr="00C5581B" w:rsidRDefault="0017246A" w:rsidP="0017246A">
      <w:pPr>
        <w:jc w:val="both"/>
      </w:pPr>
    </w:p>
    <w:p w14:paraId="5725826D" w14:textId="77777777" w:rsidR="0017246A" w:rsidRPr="00C5581B" w:rsidRDefault="0017246A" w:rsidP="0017246A">
      <w:pPr>
        <w:jc w:val="both"/>
      </w:pPr>
      <w:r w:rsidRPr="00C5581B">
        <w:tab/>
        <w:t>- 25 Prozent beim zweiten Verstoß,</w:t>
      </w:r>
    </w:p>
    <w:p w14:paraId="55097EDD" w14:textId="77777777" w:rsidR="0017246A" w:rsidRPr="00C5581B" w:rsidRDefault="0017246A" w:rsidP="0017246A">
      <w:pPr>
        <w:jc w:val="both"/>
      </w:pPr>
    </w:p>
    <w:p w14:paraId="6854DA5F" w14:textId="77777777" w:rsidR="0017246A" w:rsidRPr="00C5581B" w:rsidRDefault="0017246A" w:rsidP="0017246A">
      <w:pPr>
        <w:jc w:val="both"/>
      </w:pPr>
      <w:r w:rsidRPr="00C5581B">
        <w:tab/>
        <w:t>- 50 Prozent beim dritten Verstoß,</w:t>
      </w:r>
    </w:p>
    <w:p w14:paraId="1A4A528B" w14:textId="77777777" w:rsidR="0017246A" w:rsidRPr="00C5581B" w:rsidRDefault="0017246A" w:rsidP="0017246A">
      <w:pPr>
        <w:jc w:val="both"/>
      </w:pPr>
    </w:p>
    <w:p w14:paraId="304D64C8" w14:textId="77777777" w:rsidR="0017246A" w:rsidRPr="00C5581B" w:rsidRDefault="0017246A" w:rsidP="0017246A">
      <w:pPr>
        <w:jc w:val="both"/>
      </w:pPr>
      <w:r w:rsidRPr="00C5581B">
        <w:tab/>
        <w:t>- 100 Prozent beim vierten Verstoß,</w:t>
      </w:r>
    </w:p>
    <w:p w14:paraId="24200EAC" w14:textId="77777777" w:rsidR="0017246A" w:rsidRPr="00C5581B" w:rsidRDefault="0017246A" w:rsidP="0017246A">
      <w:pPr>
        <w:jc w:val="both"/>
      </w:pPr>
    </w:p>
    <w:p w14:paraId="7CDF90EE" w14:textId="77777777" w:rsidR="0017246A" w:rsidRPr="00C5581B" w:rsidRDefault="0017246A" w:rsidP="0017246A">
      <w:pPr>
        <w:jc w:val="both"/>
      </w:pPr>
      <w:r w:rsidRPr="00C5581B">
        <w:tab/>
        <w:t>- 200 Prozent beim fünften Verstoß oder bei folgenden Verstößen.</w:t>
      </w:r>
    </w:p>
    <w:p w14:paraId="27C8005C" w14:textId="77777777" w:rsidR="0017246A" w:rsidRPr="00C5581B" w:rsidRDefault="0017246A" w:rsidP="0017246A">
      <w:pPr>
        <w:jc w:val="both"/>
      </w:pPr>
    </w:p>
    <w:p w14:paraId="5EAEF53D" w14:textId="3EC293AD" w:rsidR="0017246A" w:rsidRDefault="0017246A" w:rsidP="0017246A">
      <w:pPr>
        <w:jc w:val="both"/>
        <w:rPr>
          <w:lang w:bidi="de-DE"/>
        </w:rPr>
      </w:pPr>
      <w:r w:rsidRPr="00C5581B">
        <w:tab/>
        <w:t>§ 2/2 - Für die Festlegung des Erhöhungsprozentsatzes des in Anwendung von § 2/1 anzuwendenden Mindestbetrags der steuerpflichtigen Gewinne werden frühere Verstöße nicht berücksichtigt, wenn für die letzten vier Steuerjahre vor dem Steuerjahr, in dem der neue Verstoß in Bezug auf die Nichtabgabe oder verspätete Einreichung einer Erklärung begangen worden ist, kein Verstoß geahndet wurde.</w:t>
      </w:r>
      <w:r>
        <w:rPr>
          <w:lang w:bidi="de-DE"/>
        </w:rPr>
        <w:t>]</w:t>
      </w:r>
    </w:p>
    <w:p w14:paraId="49A82DE9" w14:textId="77777777" w:rsidR="0017246A" w:rsidRPr="00D21420" w:rsidRDefault="0017246A" w:rsidP="0017246A">
      <w:pPr>
        <w:jc w:val="both"/>
        <w:rPr>
          <w:lang w:bidi="de-DE"/>
        </w:rPr>
      </w:pPr>
    </w:p>
    <w:p w14:paraId="19270DB1" w14:textId="77777777" w:rsidR="00AF3938" w:rsidRDefault="00AF3938">
      <w:pPr>
        <w:rPr>
          <w:rFonts w:eastAsia="Calibri"/>
          <w:lang w:eastAsia="de-DE" w:bidi="de-DE"/>
        </w:rPr>
      </w:pPr>
      <w:r>
        <w:rPr>
          <w:rFonts w:eastAsia="Calibri"/>
          <w:lang w:eastAsia="de-DE" w:bidi="de-DE"/>
        </w:rPr>
        <w:br w:type="page"/>
      </w:r>
    </w:p>
    <w:p w14:paraId="462D5D0B" w14:textId="116CE201" w:rsidR="003426CA" w:rsidRPr="00D21420" w:rsidRDefault="003426CA" w:rsidP="00AF3938">
      <w:pPr>
        <w:ind w:firstLine="708"/>
        <w:jc w:val="both"/>
        <w:rPr>
          <w:lang w:eastAsia="de-DE" w:bidi="de-DE"/>
        </w:rPr>
      </w:pPr>
      <w:r w:rsidRPr="00D21420">
        <w:rPr>
          <w:rFonts w:eastAsia="Calibri"/>
          <w:lang w:eastAsia="de-DE" w:bidi="de-DE"/>
        </w:rPr>
        <w:lastRenderedPageBreak/>
        <w:t>§ 3 - Gemäß § 1 festgelegte steuerpflichtige Einkünfte beinhalten nicht [in Artikel 228 § 2 Nr. 9 Buchstabe </w:t>
      </w:r>
      <w:r w:rsidRPr="00D21420">
        <w:rPr>
          <w:rFonts w:eastAsia="Calibri"/>
          <w:i/>
          <w:lang w:eastAsia="de-DE" w:bidi="de-DE"/>
        </w:rPr>
        <w:t>g)</w:t>
      </w:r>
      <w:r w:rsidRPr="00D21420">
        <w:rPr>
          <w:rFonts w:eastAsia="Calibri"/>
          <w:lang w:eastAsia="de-DE" w:bidi="de-DE"/>
        </w:rPr>
        <w:t xml:space="preserve"> und </w:t>
      </w:r>
      <w:r w:rsidRPr="00D21420">
        <w:rPr>
          <w:rFonts w:eastAsia="Calibri"/>
          <w:i/>
          <w:lang w:eastAsia="de-DE" w:bidi="de-DE"/>
        </w:rPr>
        <w:t>i)</w:t>
      </w:r>
      <w:r w:rsidRPr="00D21420">
        <w:rPr>
          <w:rFonts w:eastAsia="Calibri"/>
          <w:lang w:eastAsia="de-DE" w:bidi="de-DE"/>
        </w:rPr>
        <w:t>] desselben Gesetzbuches erwähnte Mehrwerte.</w:t>
      </w:r>
    </w:p>
    <w:p w14:paraId="55574876" w14:textId="77777777" w:rsidR="003426CA" w:rsidRPr="00D21420" w:rsidRDefault="003426CA" w:rsidP="003426CA">
      <w:pPr>
        <w:jc w:val="both"/>
        <w:rPr>
          <w:lang w:bidi="de-DE"/>
        </w:rPr>
      </w:pPr>
    </w:p>
    <w:p w14:paraId="1083AC10" w14:textId="43A5D613" w:rsidR="003426CA" w:rsidRPr="00D21420" w:rsidRDefault="003426CA" w:rsidP="003426CA">
      <w:pPr>
        <w:jc w:val="both"/>
        <w:rPr>
          <w:i/>
          <w:lang w:eastAsia="de-DE" w:bidi="de-DE"/>
        </w:rPr>
      </w:pPr>
      <w:r w:rsidRPr="00D21420">
        <w:rPr>
          <w:rFonts w:eastAsia="Calibri"/>
          <w:i/>
          <w:lang w:eastAsia="de-DE" w:bidi="de-DE"/>
        </w:rPr>
        <w:t xml:space="preserve">[Art. 182 § 1 einziger Absatz einleitende Bestimmung ersetzt durch Art. 2 Nr. 1 des K.E. vom 2. September 2005 (B.S. vom 21. September 2005); § 1 einziger Absatz Nr. 2 einziger Absatz Buchstabe a) bis c) abgeändert durch Art. 2 Nr. 1 des K.E. vom 20. Juli 2000 (B.S. vom 30. August 2000), selbst abgeändert durch Art. 37 Nr. 6 des K.E. vom 13. Juli 2001 (B.S. vom 11. August 2001); § 1 einziger Absatz Nr. 3 einziger Absatz Buchstabe a) bis e) abgeändert durch Art. 2 Nr. 1 des K.E. vom 20. Juli 2000 (B.S. vom 30. August 2000), selbst abgeändert durch Art. 37 Nr. 6 des K.E. vom 13. Juli 2001 (B.S. vom 11. August 2001); § 2 Abs. 1 abgeändert durch Art. 2 Nr. 1 des K.E. vom 20. Juli 2000 (B.S. vom 30. August 2000), selbst abgeändert durch Art. 37 Nr. 6 des K.E. vom 13. Juli 2001 (B.S. vom 11. August 2001), und durch Art. 5 des K.E. vom 21. Dezember 2006 (II) (B.S. vom 29. Dezember 2006); § 2 Abs. 2 eingefügt durch Art. 2 Nr. 2 des K.E. vom 2. September 2005 (B.S. vom 21. September 2005); </w:t>
      </w:r>
      <w:r w:rsidR="0017246A">
        <w:rPr>
          <w:rFonts w:eastAsia="Calibri"/>
          <w:i/>
          <w:lang w:eastAsia="de-DE" w:bidi="de-DE"/>
        </w:rPr>
        <w:t xml:space="preserve">§§ 2/1 und 2/2 eingefügt durch Art. 1 des K.E. vom 29. Juli 2019 (B.S. vom 26. August 2019); </w:t>
      </w:r>
      <w:r w:rsidRPr="00D21420">
        <w:rPr>
          <w:rFonts w:eastAsia="Calibri"/>
          <w:i/>
          <w:lang w:eastAsia="de-DE" w:bidi="de-DE"/>
        </w:rPr>
        <w:t>§ 3 abgeändert durch Art. 12 Nr. 1 und 2 des K.E. vom 20. Mai 1997 (B.S. vom 10. Juni 1997)]</w:t>
      </w:r>
    </w:p>
    <w:p w14:paraId="266CA972" w14:textId="77777777" w:rsidR="003426CA" w:rsidRPr="00D21420" w:rsidRDefault="003426CA" w:rsidP="003426CA">
      <w:pPr>
        <w:jc w:val="both"/>
        <w:rPr>
          <w:lang w:bidi="de-DE"/>
        </w:rPr>
      </w:pPr>
    </w:p>
    <w:p w14:paraId="31AD46C4" w14:textId="77777777" w:rsidR="003426CA" w:rsidRPr="00D21420" w:rsidRDefault="003426CA" w:rsidP="003426CA">
      <w:pPr>
        <w:jc w:val="both"/>
        <w:rPr>
          <w:lang w:bidi="de-DE"/>
        </w:rPr>
      </w:pPr>
    </w:p>
    <w:p w14:paraId="5F80AA90" w14:textId="4C126594" w:rsidR="003426CA" w:rsidRPr="00D21420" w:rsidRDefault="003426CA" w:rsidP="003426CA">
      <w:pPr>
        <w:jc w:val="center"/>
        <w:rPr>
          <w:lang w:eastAsia="de-DE" w:bidi="de-DE"/>
        </w:rPr>
      </w:pPr>
      <w:r w:rsidRPr="00D21420">
        <w:rPr>
          <w:rFonts w:eastAsia="Calibri"/>
          <w:lang w:eastAsia="de-DE" w:bidi="de-DE"/>
        </w:rPr>
        <w:t>[</w:t>
      </w:r>
      <w:r w:rsidRPr="00D21420">
        <w:rPr>
          <w:rFonts w:eastAsia="Calibri"/>
          <w:i/>
          <w:lang w:eastAsia="de-DE" w:bidi="de-DE"/>
        </w:rPr>
        <w:t>Abschnitt 11 </w:t>
      </w:r>
      <w:r w:rsidRPr="00D21420">
        <w:rPr>
          <w:rFonts w:eastAsia="Calibri"/>
          <w:lang w:eastAsia="de-DE" w:bidi="de-DE"/>
        </w:rPr>
        <w:t>- [...]</w:t>
      </w:r>
    </w:p>
    <w:p w14:paraId="661C3C96" w14:textId="77777777" w:rsidR="003426CA" w:rsidRPr="00D21420" w:rsidRDefault="003426CA" w:rsidP="003426CA">
      <w:pPr>
        <w:jc w:val="both"/>
        <w:rPr>
          <w:lang w:bidi="de-DE"/>
        </w:rPr>
      </w:pPr>
    </w:p>
    <w:p w14:paraId="644D445F" w14:textId="77777777" w:rsidR="003426CA" w:rsidRPr="00D21420" w:rsidRDefault="003426CA" w:rsidP="003426CA">
      <w:pPr>
        <w:jc w:val="both"/>
        <w:rPr>
          <w:i/>
          <w:lang w:eastAsia="de-DE" w:bidi="de-DE"/>
        </w:rPr>
      </w:pPr>
      <w:r w:rsidRPr="00D21420">
        <w:rPr>
          <w:rFonts w:eastAsia="Calibri"/>
          <w:i/>
          <w:lang w:eastAsia="de-DE" w:bidi="de-DE"/>
        </w:rPr>
        <w:t>[Abschnitt 11 mit den Artikeln 183 bis 198 aufgehoben durch Art. 20 des K.E. vom 11. Dezember 2006 (B.S. vom 18. Dezember 2006)]</w:t>
      </w:r>
    </w:p>
    <w:p w14:paraId="0344D059" w14:textId="77777777" w:rsidR="003426CA" w:rsidRPr="00D21420" w:rsidRDefault="003426CA" w:rsidP="003426CA">
      <w:pPr>
        <w:jc w:val="both"/>
        <w:rPr>
          <w:lang w:bidi="de-DE"/>
        </w:rPr>
      </w:pPr>
    </w:p>
    <w:p w14:paraId="01F9A606" w14:textId="77777777" w:rsidR="003426CA" w:rsidRPr="00D21420" w:rsidRDefault="003426CA" w:rsidP="003426CA">
      <w:pPr>
        <w:jc w:val="both"/>
        <w:rPr>
          <w:lang w:bidi="de-DE"/>
        </w:rPr>
      </w:pPr>
    </w:p>
    <w:p w14:paraId="6162F6CB"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183 - 198</w:t>
      </w:r>
      <w:r w:rsidRPr="00D21420">
        <w:rPr>
          <w:rFonts w:eastAsia="Calibri"/>
          <w:lang w:eastAsia="de-DE" w:bidi="de-DE"/>
        </w:rPr>
        <w:t> - [...]]</w:t>
      </w:r>
    </w:p>
    <w:p w14:paraId="2CA2A694" w14:textId="77777777" w:rsidR="003426CA" w:rsidRPr="00D21420" w:rsidRDefault="003426CA" w:rsidP="003426CA">
      <w:pPr>
        <w:jc w:val="both"/>
        <w:rPr>
          <w:lang w:bidi="de-DE"/>
        </w:rPr>
      </w:pPr>
    </w:p>
    <w:p w14:paraId="76DD4FFB" w14:textId="77777777" w:rsidR="003426CA" w:rsidRPr="00D21420" w:rsidRDefault="003426CA" w:rsidP="003426CA">
      <w:pPr>
        <w:jc w:val="both"/>
        <w:rPr>
          <w:lang w:bidi="de-DE"/>
        </w:rPr>
      </w:pPr>
    </w:p>
    <w:p w14:paraId="235256AF" w14:textId="77777777" w:rsidR="003426CA" w:rsidRPr="00D21420" w:rsidRDefault="003426CA" w:rsidP="003426CA">
      <w:pPr>
        <w:jc w:val="both"/>
        <w:rPr>
          <w:lang w:eastAsia="de-DE" w:bidi="de-DE"/>
        </w:rPr>
      </w:pPr>
      <w:r w:rsidRPr="00D21420">
        <w:rPr>
          <w:rFonts w:eastAsia="Calibri"/>
          <w:i/>
          <w:lang w:eastAsia="de-DE" w:bidi="de-DE"/>
        </w:rPr>
        <w:t>Abschnitt 12</w:t>
      </w:r>
      <w:r w:rsidRPr="00D21420">
        <w:rPr>
          <w:rFonts w:eastAsia="Calibri"/>
          <w:lang w:eastAsia="de-DE" w:bidi="de-DE"/>
        </w:rPr>
        <w:t xml:space="preserve"> - Bestimmung des Besteuerungszeitraums und der diesbezüglichen Einkünfte in Bezug auf die Steuer der natürlichen Personen, die Gesellschaftssteuer, die Steuer der juristischen Personen, die Steuer der Gebietsfremden und die Vorabzüge </w:t>
      </w:r>
    </w:p>
    <w:p w14:paraId="28D42CDA" w14:textId="77777777" w:rsidR="003426CA" w:rsidRPr="00D21420" w:rsidRDefault="003426CA" w:rsidP="003426CA">
      <w:pPr>
        <w:jc w:val="both"/>
        <w:rPr>
          <w:lang w:bidi="de-DE"/>
        </w:rPr>
      </w:pPr>
    </w:p>
    <w:p w14:paraId="6EC9604A" w14:textId="77777777" w:rsidR="003426CA" w:rsidRPr="00D21420" w:rsidRDefault="003426CA" w:rsidP="003426CA">
      <w:pPr>
        <w:jc w:val="center"/>
        <w:rPr>
          <w:lang w:eastAsia="de-DE" w:bidi="de-DE"/>
        </w:rPr>
      </w:pPr>
      <w:r w:rsidRPr="00D21420">
        <w:rPr>
          <w:rFonts w:eastAsia="Calibri"/>
          <w:lang w:eastAsia="de-DE" w:bidi="de-DE"/>
        </w:rPr>
        <w:t>(Einkommensteuergesetzbuch 1992, Artikel 360 Absatz 2)</w:t>
      </w:r>
    </w:p>
    <w:p w14:paraId="3E7FE075" w14:textId="77777777" w:rsidR="003426CA" w:rsidRPr="00D21420" w:rsidRDefault="003426CA" w:rsidP="003426CA">
      <w:pPr>
        <w:jc w:val="both"/>
        <w:rPr>
          <w:lang w:bidi="de-DE"/>
        </w:rPr>
      </w:pPr>
    </w:p>
    <w:p w14:paraId="4AD2BFCC" w14:textId="77777777" w:rsidR="003426CA" w:rsidRPr="00D21420" w:rsidRDefault="003426CA" w:rsidP="003426CA">
      <w:pPr>
        <w:jc w:val="both"/>
        <w:rPr>
          <w:lang w:bidi="de-DE"/>
        </w:rPr>
      </w:pPr>
    </w:p>
    <w:p w14:paraId="1214C00A"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199</w:t>
      </w:r>
      <w:r w:rsidRPr="00D21420">
        <w:rPr>
          <w:rFonts w:eastAsia="Calibri"/>
          <w:lang w:eastAsia="de-DE" w:bidi="de-DE"/>
        </w:rPr>
        <w:t> - Der Besteuerungszeitraum stimmt mit dem Jahr überein, dessen Jahreszahl das Steuerjahr bestimmt, für die Anwendung:</w:t>
      </w:r>
    </w:p>
    <w:p w14:paraId="41180BAF" w14:textId="77777777" w:rsidR="003426CA" w:rsidRPr="00D21420" w:rsidRDefault="003426CA" w:rsidP="003426CA">
      <w:pPr>
        <w:jc w:val="both"/>
        <w:rPr>
          <w:lang w:bidi="de-DE"/>
        </w:rPr>
      </w:pPr>
    </w:p>
    <w:p w14:paraId="5285206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a)</w:t>
      </w:r>
      <w:r w:rsidRPr="00D21420">
        <w:rPr>
          <w:rFonts w:eastAsia="Calibri"/>
          <w:lang w:eastAsia="de-DE" w:bidi="de-DE"/>
        </w:rPr>
        <w:t> des Immobiliensteuervorabzugs,</w:t>
      </w:r>
    </w:p>
    <w:p w14:paraId="5839C5FF" w14:textId="77777777" w:rsidR="00B7418B" w:rsidRDefault="00B7418B" w:rsidP="003426CA">
      <w:pPr>
        <w:jc w:val="both"/>
        <w:rPr>
          <w:rFonts w:eastAsia="Calibri"/>
          <w:szCs w:val="22"/>
          <w:lang w:eastAsia="de-DE" w:bidi="de-DE"/>
        </w:rPr>
      </w:pPr>
    </w:p>
    <w:p w14:paraId="3B6D9DA8"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b)</w:t>
      </w:r>
      <w:r w:rsidRPr="00D21420">
        <w:rPr>
          <w:rFonts w:eastAsia="Calibri"/>
          <w:lang w:eastAsia="de-DE" w:bidi="de-DE"/>
        </w:rPr>
        <w:t> des Mobiliensteuervorabzugs,</w:t>
      </w:r>
    </w:p>
    <w:p w14:paraId="7745FD96" w14:textId="77777777" w:rsidR="003426CA" w:rsidRPr="00D21420" w:rsidRDefault="003426CA" w:rsidP="003426CA">
      <w:pPr>
        <w:jc w:val="both"/>
        <w:rPr>
          <w:lang w:bidi="de-DE"/>
        </w:rPr>
      </w:pPr>
    </w:p>
    <w:p w14:paraId="531E4F3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c)</w:t>
      </w:r>
      <w:r w:rsidRPr="00D21420">
        <w:rPr>
          <w:rFonts w:eastAsia="Calibri"/>
          <w:lang w:eastAsia="de-DE" w:bidi="de-DE"/>
        </w:rPr>
        <w:t> des Berufssteuervorabzugs wie in den Artikeln 270 bis 275 des Einkommensteuer</w:t>
      </w:r>
      <w:r w:rsidRPr="00D21420">
        <w:rPr>
          <w:rFonts w:eastAsia="Calibri"/>
          <w:lang w:eastAsia="de-DE" w:bidi="de-DE"/>
        </w:rPr>
        <w:softHyphen/>
        <w:t>gesetzbuches 1992 erwähnt.</w:t>
      </w:r>
    </w:p>
    <w:p w14:paraId="4CD2B8CB" w14:textId="77777777" w:rsidR="003426CA" w:rsidRPr="00D21420" w:rsidRDefault="003426CA" w:rsidP="003426CA">
      <w:pPr>
        <w:jc w:val="both"/>
        <w:rPr>
          <w:lang w:bidi="de-DE"/>
        </w:rPr>
      </w:pPr>
    </w:p>
    <w:p w14:paraId="4B081139" w14:textId="77777777" w:rsidR="003426CA" w:rsidRPr="00D21420" w:rsidRDefault="003426CA" w:rsidP="003426CA">
      <w:pPr>
        <w:jc w:val="both"/>
        <w:rPr>
          <w:lang w:bidi="de-DE"/>
        </w:rPr>
      </w:pPr>
    </w:p>
    <w:p w14:paraId="08EF9854" w14:textId="77777777" w:rsidR="009C3F3F" w:rsidRDefault="009C3F3F">
      <w:pPr>
        <w:rPr>
          <w:rFonts w:eastAsia="Calibri"/>
          <w:szCs w:val="22"/>
          <w:lang w:eastAsia="de-DE" w:bidi="de-DE"/>
        </w:rPr>
      </w:pPr>
      <w:r>
        <w:rPr>
          <w:rFonts w:eastAsia="Calibri"/>
          <w:szCs w:val="22"/>
          <w:lang w:eastAsia="de-DE" w:bidi="de-DE"/>
        </w:rPr>
        <w:br w:type="page"/>
      </w:r>
    </w:p>
    <w:p w14:paraId="0F898A82" w14:textId="50A5EFDC" w:rsidR="003426CA" w:rsidRPr="00D21420" w:rsidRDefault="003426CA" w:rsidP="003426CA">
      <w:pPr>
        <w:jc w:val="both"/>
        <w:rPr>
          <w:lang w:eastAsia="de-DE" w:bidi="de-DE"/>
        </w:rPr>
      </w:pPr>
      <w:r w:rsidRPr="00D21420">
        <w:rPr>
          <w:rFonts w:eastAsia="Calibri"/>
          <w:szCs w:val="22"/>
          <w:lang w:eastAsia="de-DE" w:bidi="de-DE"/>
        </w:rPr>
        <w:lastRenderedPageBreak/>
        <w:tab/>
      </w:r>
      <w:r w:rsidRPr="00D21420">
        <w:rPr>
          <w:rFonts w:eastAsia="Calibri"/>
          <w:b/>
          <w:lang w:eastAsia="de-DE" w:bidi="de-DE"/>
        </w:rPr>
        <w:t>Art. 200</w:t>
      </w:r>
      <w:r w:rsidRPr="00D21420">
        <w:rPr>
          <w:rFonts w:eastAsia="Calibri"/>
          <w:lang w:eastAsia="de-DE" w:bidi="de-DE"/>
        </w:rPr>
        <w:t> - Der Besteuerungszeitraum stimmt mit dem Jahr überein, das dem Jahr vorangeht, dessen Jahreszahl das Steuerjahr bestimmt, für die Anwendung:</w:t>
      </w:r>
    </w:p>
    <w:p w14:paraId="2A9345B1" w14:textId="77777777" w:rsidR="003426CA" w:rsidRPr="00D21420" w:rsidRDefault="003426CA" w:rsidP="003426CA">
      <w:pPr>
        <w:jc w:val="both"/>
        <w:rPr>
          <w:lang w:bidi="de-DE"/>
        </w:rPr>
      </w:pPr>
    </w:p>
    <w:p w14:paraId="6EE54E12"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a)</w:t>
      </w:r>
      <w:r w:rsidRPr="00D21420">
        <w:rPr>
          <w:rFonts w:eastAsia="Calibri"/>
          <w:lang w:eastAsia="de-DE" w:bidi="de-DE"/>
        </w:rPr>
        <w:t> der Steuer der natürlichen Personen und der Steuer der Gebietsfremden, die gemäß den [Artikeln 243 bis 244,] 245 und 248 des Einkommensteuergesetzbuches 1992 festgelegt wird,</w:t>
      </w:r>
    </w:p>
    <w:p w14:paraId="6DF10046" w14:textId="77777777" w:rsidR="003426CA" w:rsidRPr="00D21420" w:rsidRDefault="003426CA" w:rsidP="003426CA">
      <w:pPr>
        <w:jc w:val="both"/>
        <w:rPr>
          <w:lang w:bidi="de-DE"/>
        </w:rPr>
      </w:pPr>
    </w:p>
    <w:p w14:paraId="51A46175"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b)</w:t>
      </w:r>
      <w:r w:rsidRPr="00D21420">
        <w:rPr>
          <w:rFonts w:eastAsia="Calibri"/>
          <w:lang w:eastAsia="de-DE" w:bidi="de-DE"/>
        </w:rPr>
        <w:t> der Gesellschaftssteuer und der Steuer der Gebietsfremden, die gemäß den Artikeln 233 und 248 desselben Gesetzbuches festgelegt wird, wenn die Betreffenden keine Buchhaltung oder eine Buchhaltung pro Kalenderjahr führen,</w:t>
      </w:r>
    </w:p>
    <w:p w14:paraId="2A3BB23A" w14:textId="77777777" w:rsidR="003426CA" w:rsidRPr="00D21420" w:rsidRDefault="003426CA" w:rsidP="003426CA">
      <w:pPr>
        <w:jc w:val="both"/>
        <w:rPr>
          <w:lang w:bidi="de-DE"/>
        </w:rPr>
      </w:pPr>
    </w:p>
    <w:p w14:paraId="4F31240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c)</w:t>
      </w:r>
      <w:r w:rsidRPr="00D21420">
        <w:rPr>
          <w:rFonts w:eastAsia="Calibri"/>
          <w:lang w:eastAsia="de-DE" w:bidi="de-DE"/>
        </w:rPr>
        <w:t> der Steuer der juristischen Personen und der Steuer der Gebietsfremden, die gemäß den Artikeln 234 und 248 desselben Gesetzbuches festgelegt wird.</w:t>
      </w:r>
    </w:p>
    <w:p w14:paraId="2B40DD6B" w14:textId="77777777" w:rsidR="003426CA" w:rsidRPr="00D21420" w:rsidRDefault="003426CA" w:rsidP="003426CA">
      <w:pPr>
        <w:jc w:val="both"/>
        <w:rPr>
          <w:lang w:bidi="de-DE"/>
        </w:rPr>
      </w:pPr>
    </w:p>
    <w:p w14:paraId="727B0B6A" w14:textId="77777777" w:rsidR="003426CA" w:rsidRPr="00D21420" w:rsidRDefault="003426CA" w:rsidP="003426CA">
      <w:pPr>
        <w:jc w:val="both"/>
        <w:rPr>
          <w:i/>
          <w:lang w:eastAsia="de-DE" w:bidi="de-DE"/>
        </w:rPr>
      </w:pPr>
      <w:r w:rsidRPr="00D21420">
        <w:rPr>
          <w:rFonts w:eastAsia="Calibri"/>
          <w:i/>
          <w:lang w:eastAsia="de-DE" w:bidi="de-DE"/>
        </w:rPr>
        <w:t>[Art. 200 einziger Absatz Buchstabe a) abgeändert durch Art. 13 des K.E. vom 30. September 2014 (II) (B.S. vom 9. Oktober 2014)]</w:t>
      </w:r>
    </w:p>
    <w:p w14:paraId="7571CE87" w14:textId="77777777" w:rsidR="003426CA" w:rsidRPr="00D21420" w:rsidRDefault="003426CA" w:rsidP="003426CA">
      <w:pPr>
        <w:jc w:val="both"/>
        <w:rPr>
          <w:lang w:bidi="de-DE"/>
        </w:rPr>
      </w:pPr>
    </w:p>
    <w:p w14:paraId="2A0CF5F9" w14:textId="77777777" w:rsidR="003426CA" w:rsidRPr="00D21420" w:rsidRDefault="003426CA" w:rsidP="003426CA">
      <w:pPr>
        <w:jc w:val="both"/>
        <w:rPr>
          <w:lang w:bidi="de-DE"/>
        </w:rPr>
      </w:pPr>
    </w:p>
    <w:p w14:paraId="4E451EB5"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201</w:t>
      </w:r>
      <w:r w:rsidRPr="00D21420">
        <w:rPr>
          <w:rFonts w:eastAsia="Calibri"/>
          <w:lang w:eastAsia="de-DE" w:bidi="de-DE"/>
        </w:rPr>
        <w:t xml:space="preserve"> - </w:t>
      </w:r>
      <w:r w:rsidRPr="00D21420">
        <w:rPr>
          <w:rFonts w:eastAsia="Calibri"/>
          <w:spacing w:val="-3"/>
          <w:lang w:eastAsia="de-DE" w:bidi="de-DE"/>
        </w:rPr>
        <w:t>Der Besteuerungszeitraum stimmt mit dem Geschäftsjahr überein, das dem Jahr vorangeht, dessen Jahreszahl das Steuerjahr bestimmt, für die Anwendung der Gesellschaftssteuer und der Steuer der Gebietsfremden, die gemäß den Artikeln 233 und 248 des Einkommensteuergesetzbuches 1992 festgelegt wird, wenn das Geschäftsjahr sich auf einen Zeitraum bezieht, der kürzer oder länger als ein Jahr ist und die Betreffenden ihre Buchhaltung am 31. Dezember des Jahres abschließen.</w:t>
      </w:r>
    </w:p>
    <w:p w14:paraId="4CB7EA02" w14:textId="77777777" w:rsidR="003426CA" w:rsidRPr="00D21420" w:rsidRDefault="003426CA" w:rsidP="003426CA">
      <w:pPr>
        <w:jc w:val="both"/>
        <w:rPr>
          <w:lang w:bidi="de-DE"/>
        </w:rPr>
      </w:pPr>
    </w:p>
    <w:p w14:paraId="469929EA" w14:textId="77777777" w:rsidR="003426CA" w:rsidRPr="00D21420" w:rsidRDefault="003426CA" w:rsidP="003426CA">
      <w:pPr>
        <w:jc w:val="both"/>
        <w:rPr>
          <w:lang w:bidi="de-DE"/>
        </w:rPr>
      </w:pPr>
    </w:p>
    <w:p w14:paraId="7CE9D204"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202</w:t>
      </w:r>
      <w:r w:rsidRPr="00D21420">
        <w:rPr>
          <w:rFonts w:eastAsia="Calibri"/>
          <w:lang w:eastAsia="de-DE" w:bidi="de-DE"/>
        </w:rPr>
        <w:t xml:space="preserve"> - </w:t>
      </w:r>
      <w:r w:rsidRPr="00D21420">
        <w:rPr>
          <w:rFonts w:eastAsia="Calibri"/>
          <w:spacing w:val="-3"/>
          <w:lang w:eastAsia="de-DE" w:bidi="de-DE"/>
        </w:rPr>
        <w:t>Der Besteuerungszeitraum stimmt mit dem Geschäftsjahr überein, das in dem Jahr abgeschlossen wird, dessen Jahreszahl das Steuerjahr bestimmt, für die Anwendung der Gesellschaftssteuer und der Steuer der Gebietsfremden, die gemäß den Artikeln 233 und 248 des Einkommensteuergesetzbuches 1992 festgelegt wird, wenn die Betreffenden eine andere Buchhaltung als pro Kalenderjahr führen.</w:t>
      </w:r>
    </w:p>
    <w:p w14:paraId="312AE5C1" w14:textId="77777777" w:rsidR="003426CA" w:rsidRPr="00D21420" w:rsidRDefault="003426CA" w:rsidP="003426CA">
      <w:pPr>
        <w:jc w:val="both"/>
        <w:rPr>
          <w:lang w:bidi="de-DE"/>
        </w:rPr>
      </w:pPr>
    </w:p>
    <w:p w14:paraId="55BCF228" w14:textId="77777777" w:rsidR="003426CA" w:rsidRPr="00D21420" w:rsidRDefault="003426CA" w:rsidP="003426CA">
      <w:pPr>
        <w:jc w:val="both"/>
        <w:rPr>
          <w:lang w:bidi="de-DE"/>
        </w:rPr>
      </w:pPr>
    </w:p>
    <w:p w14:paraId="4CA2C897"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203</w:t>
      </w:r>
      <w:r w:rsidRPr="00D21420">
        <w:rPr>
          <w:rFonts w:eastAsia="Calibri"/>
          <w:lang w:eastAsia="de-DE" w:bidi="de-DE"/>
        </w:rPr>
        <w:t> - [§ 1] - Für Steuerpflichtige, die die Bedingungen der Steuerpflichtigkeit nach Artikel 200 erst nach dem 1. Januar erfüllen oder vor dem 31. Dezember nicht mehr erfüllen, stimmt der Besteuerungszeitraum mit dem Teil des Jahres überein, in dem diese Bedingungen erfüllt sind.</w:t>
      </w:r>
    </w:p>
    <w:p w14:paraId="1BF61D74" w14:textId="77777777" w:rsidR="003426CA" w:rsidRPr="00D21420" w:rsidRDefault="003426CA" w:rsidP="003426CA">
      <w:pPr>
        <w:jc w:val="both"/>
        <w:rPr>
          <w:lang w:bidi="de-DE"/>
        </w:rPr>
      </w:pPr>
    </w:p>
    <w:p w14:paraId="4BD4A163" w14:textId="5AB51823"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In Abweichung von vorerwähntem Artikel 200 bestimmt die Jahreszahl des Jahres, in dem die Bedingungen der Steuerpflichtigkeit</w:t>
      </w:r>
      <w:r w:rsidR="004A331E">
        <w:rPr>
          <w:rFonts w:eastAsia="Calibri"/>
          <w:lang w:eastAsia="de-DE" w:bidi="de-DE"/>
        </w:rPr>
        <w:t xml:space="preserve"> [</w:t>
      </w:r>
      <w:r w:rsidR="004A331E" w:rsidRPr="00820364">
        <w:t>aus einem anderen Grund als dem Tod des Steuerpflichtigen</w:t>
      </w:r>
      <w:r w:rsidR="004A331E">
        <w:rPr>
          <w:rFonts w:eastAsia="Calibri"/>
          <w:lang w:eastAsia="de-DE" w:bidi="de-DE"/>
        </w:rPr>
        <w:t>]</w:t>
      </w:r>
      <w:r w:rsidRPr="00D21420">
        <w:rPr>
          <w:rFonts w:eastAsia="Calibri"/>
          <w:lang w:eastAsia="de-DE" w:bidi="de-DE"/>
        </w:rPr>
        <w:t xml:space="preserve"> nicht mehr erfüllt sind, das Steuerjahr.</w:t>
      </w:r>
    </w:p>
    <w:p w14:paraId="37404049" w14:textId="77777777" w:rsidR="00B7418B" w:rsidRDefault="00B7418B" w:rsidP="003426CA">
      <w:pPr>
        <w:jc w:val="both"/>
        <w:rPr>
          <w:rFonts w:eastAsia="Calibri"/>
          <w:szCs w:val="22"/>
          <w:lang w:eastAsia="de-DE" w:bidi="de-DE"/>
        </w:rPr>
      </w:pPr>
    </w:p>
    <w:p w14:paraId="0B815C31" w14:textId="49157713"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 2 - Für die Anwendung von § 1:</w:t>
      </w:r>
    </w:p>
    <w:p w14:paraId="7CBA8057" w14:textId="77777777" w:rsidR="003426CA" w:rsidRPr="00D21420" w:rsidRDefault="003426CA" w:rsidP="003426CA">
      <w:pPr>
        <w:jc w:val="both"/>
        <w:rPr>
          <w:lang w:bidi="de-DE"/>
        </w:rPr>
      </w:pPr>
    </w:p>
    <w:p w14:paraId="19DA80D2"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1. sind die Bedingungen der Einkommensteuerpflichtigkeit erst nach dem 1. Januar erfüllt, wenn die Person die Eigenschaft eines Einkommensteuerpflichtigen an einem Datum nach dem 1. Januar erhält,</w:t>
      </w:r>
    </w:p>
    <w:p w14:paraId="6E8CAB76" w14:textId="77777777" w:rsidR="003426CA" w:rsidRPr="00D21420" w:rsidRDefault="003426CA" w:rsidP="003426CA">
      <w:pPr>
        <w:jc w:val="both"/>
        <w:rPr>
          <w:lang w:bidi="de-DE"/>
        </w:rPr>
      </w:pPr>
    </w:p>
    <w:p w14:paraId="08D0C9C1" w14:textId="77777777" w:rsidR="009C3F3F" w:rsidRDefault="009C3F3F">
      <w:pPr>
        <w:rPr>
          <w:rFonts w:eastAsia="Calibri"/>
          <w:szCs w:val="22"/>
          <w:lang w:eastAsia="de-DE" w:bidi="de-DE"/>
        </w:rPr>
      </w:pPr>
      <w:r>
        <w:rPr>
          <w:rFonts w:eastAsia="Calibri"/>
          <w:szCs w:val="22"/>
          <w:lang w:eastAsia="de-DE" w:bidi="de-DE"/>
        </w:rPr>
        <w:br w:type="page"/>
      </w:r>
    </w:p>
    <w:p w14:paraId="259AD065" w14:textId="01753722" w:rsidR="003426CA" w:rsidRPr="00D21420" w:rsidRDefault="003426CA" w:rsidP="003426CA">
      <w:pPr>
        <w:jc w:val="both"/>
        <w:rPr>
          <w:lang w:eastAsia="de-DE" w:bidi="de-DE"/>
        </w:rPr>
      </w:pPr>
      <w:r w:rsidRPr="00D21420">
        <w:rPr>
          <w:rFonts w:eastAsia="Calibri"/>
          <w:szCs w:val="22"/>
          <w:lang w:eastAsia="de-DE" w:bidi="de-DE"/>
        </w:rPr>
        <w:lastRenderedPageBreak/>
        <w:tab/>
      </w:r>
      <w:r w:rsidRPr="00D21420">
        <w:rPr>
          <w:rFonts w:eastAsia="Calibri"/>
          <w:lang w:eastAsia="de-DE" w:bidi="de-DE"/>
        </w:rPr>
        <w:t>2. sind die Bedingungen der Einkommensteuerpflichtigkeit vor dem 31. Dezember nicht mehr erfüllt, wenn die Person die Eigenschaft eines Einkommensteuerpflichtigen an einem Datum vor dem 31. Dezember nicht mehr besitzt.]</w:t>
      </w:r>
    </w:p>
    <w:p w14:paraId="3F39765A" w14:textId="77777777" w:rsidR="003426CA" w:rsidRPr="00D21420" w:rsidRDefault="003426CA" w:rsidP="003426CA">
      <w:pPr>
        <w:jc w:val="both"/>
        <w:rPr>
          <w:lang w:bidi="de-DE"/>
        </w:rPr>
      </w:pPr>
    </w:p>
    <w:p w14:paraId="1A7E355C" w14:textId="49D29736" w:rsidR="003426CA" w:rsidRPr="00D21420" w:rsidRDefault="003426CA" w:rsidP="003426CA">
      <w:pPr>
        <w:jc w:val="both"/>
        <w:rPr>
          <w:i/>
          <w:lang w:eastAsia="de-DE" w:bidi="de-DE"/>
        </w:rPr>
      </w:pPr>
      <w:r w:rsidRPr="00D21420">
        <w:rPr>
          <w:rFonts w:eastAsia="Calibri"/>
          <w:i/>
          <w:lang w:eastAsia="de-DE" w:bidi="de-DE"/>
        </w:rPr>
        <w:t xml:space="preserve">[Art. 203 § 1 (frühere Absätze 1 und 2) nummeriert durch Art. 1 des K.E. vom 22. Dezember 2010 (II) (B.S. vom 7. Januar 2011); </w:t>
      </w:r>
      <w:r w:rsidR="004A331E">
        <w:rPr>
          <w:rFonts w:eastAsia="Calibri"/>
          <w:i/>
          <w:lang w:eastAsia="de-DE" w:bidi="de-DE"/>
        </w:rPr>
        <w:t xml:space="preserve">§ 1 Abs. 2 abgeändert durch Art. 1 des K.E. vom 11. November 2024 (B.S. vom 22. November 2024); </w:t>
      </w:r>
      <w:r w:rsidRPr="00D21420">
        <w:rPr>
          <w:rFonts w:eastAsia="Calibri"/>
          <w:i/>
          <w:lang w:eastAsia="de-DE" w:bidi="de-DE"/>
        </w:rPr>
        <w:t>§ 2 eingefügt durch Art. 1 des K.E. vom 22. Dezember 2010 (II) (B.S. vom 7. Januar 2011)]</w:t>
      </w:r>
    </w:p>
    <w:p w14:paraId="76D1DC04" w14:textId="77777777" w:rsidR="003426CA" w:rsidRPr="00D21420" w:rsidRDefault="003426CA" w:rsidP="003426CA">
      <w:pPr>
        <w:jc w:val="both"/>
        <w:rPr>
          <w:lang w:bidi="de-DE"/>
        </w:rPr>
      </w:pPr>
    </w:p>
    <w:p w14:paraId="6BF27E3C" w14:textId="77777777" w:rsidR="003426CA" w:rsidRPr="00D21420" w:rsidRDefault="003426CA" w:rsidP="003426CA">
      <w:pPr>
        <w:jc w:val="both"/>
        <w:rPr>
          <w:lang w:bidi="de-DE"/>
        </w:rPr>
      </w:pPr>
    </w:p>
    <w:p w14:paraId="50E1BC81"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204</w:t>
      </w:r>
      <w:r w:rsidRPr="00D21420">
        <w:rPr>
          <w:rFonts w:eastAsia="Calibri"/>
          <w:lang w:eastAsia="de-DE" w:bidi="de-DE"/>
        </w:rPr>
        <w:t> - Die Einkünfte des in den Artikeln 199 bis 203 erwähnten Besteuerungs</w:t>
      </w:r>
      <w:r w:rsidRPr="00D21420">
        <w:rPr>
          <w:rFonts w:eastAsia="Calibri"/>
          <w:lang w:eastAsia="de-DE" w:bidi="de-DE"/>
        </w:rPr>
        <w:softHyphen/>
        <w:t>zeitraums sind:</w:t>
      </w:r>
    </w:p>
    <w:p w14:paraId="7F0992AD" w14:textId="77777777" w:rsidR="003426CA" w:rsidRPr="00D21420" w:rsidRDefault="003426CA" w:rsidP="003426CA">
      <w:pPr>
        <w:jc w:val="both"/>
        <w:rPr>
          <w:lang w:bidi="de-DE"/>
        </w:rPr>
      </w:pPr>
    </w:p>
    <w:p w14:paraId="2D4CF3AE"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1. Einkünfte aus bebauten oder unbebauten unbeweglichen Gütern, die sich auf diesen Zeitraum beziehen,</w:t>
      </w:r>
    </w:p>
    <w:p w14:paraId="7C2D255C" w14:textId="77777777" w:rsidR="003426CA" w:rsidRPr="00D21420" w:rsidRDefault="003426CA" w:rsidP="003426CA">
      <w:pPr>
        <w:jc w:val="both"/>
        <w:rPr>
          <w:lang w:bidi="de-DE"/>
        </w:rPr>
      </w:pPr>
    </w:p>
    <w:p w14:paraId="6AFF41B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2. Einkünfte aus Kapitalvermögen und beweglichen Gütern, die gemäß den Artikeln 261 Nr. 2, 263 Absatz 1 und 267 des Einkommensteuergesetzbuches 1992 dem Mobiliensteuervorabzug unterliegen und dem Steuerpflichtigen während dieses Zeitraums gezahlt oder zuerkannt werden,</w:t>
      </w:r>
    </w:p>
    <w:p w14:paraId="5D89F1A9" w14:textId="77777777" w:rsidR="003426CA" w:rsidRPr="00D21420" w:rsidRDefault="003426CA" w:rsidP="003426CA">
      <w:pPr>
        <w:jc w:val="both"/>
        <w:rPr>
          <w:lang w:bidi="de-DE"/>
        </w:rPr>
      </w:pPr>
    </w:p>
    <w:p w14:paraId="1008BFEE"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3. Berufseinkünfte, bestehend aus:</w:t>
      </w:r>
    </w:p>
    <w:p w14:paraId="3AB7D7A4" w14:textId="77777777" w:rsidR="003426CA" w:rsidRPr="00D21420" w:rsidRDefault="003426CA" w:rsidP="003426CA">
      <w:pPr>
        <w:jc w:val="both"/>
        <w:rPr>
          <w:lang w:bidi="de-DE"/>
        </w:rPr>
      </w:pPr>
    </w:p>
    <w:p w14:paraId="39D881A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a)</w:t>
      </w:r>
      <w:r w:rsidRPr="00D21420">
        <w:rPr>
          <w:rFonts w:eastAsia="Calibri"/>
          <w:lang w:eastAsia="de-DE" w:bidi="de-DE"/>
        </w:rPr>
        <w:t> festgestellten oder vermuteten Gewinnen oder Profiten dieses Zeitraums</w:t>
      </w:r>
      <w:r w:rsidR="008C7583">
        <w:rPr>
          <w:rFonts w:eastAsia="Calibri"/>
          <w:lang w:eastAsia="de-DE" w:bidi="de-DE"/>
        </w:rPr>
        <w:t>, [</w:t>
      </w:r>
      <w:r w:rsidR="008C7583" w:rsidRPr="00F04E88">
        <w:t>die keine Entschädigungen sind, die als vollständige Entschädigung oder Teilentschädigung für einen zeitweiligen Gewinn- oder Profitausfall bezogen werden,</w:t>
      </w:r>
      <w:r w:rsidR="008C7583">
        <w:rPr>
          <w:rFonts w:eastAsia="Calibri"/>
          <w:lang w:eastAsia="de-DE" w:bidi="de-DE"/>
        </w:rPr>
        <w:t>]</w:t>
      </w:r>
    </w:p>
    <w:p w14:paraId="41F38E2F" w14:textId="77777777" w:rsidR="003426CA" w:rsidRPr="00D21420" w:rsidRDefault="003426CA" w:rsidP="003426CA">
      <w:pPr>
        <w:jc w:val="both"/>
        <w:rPr>
          <w:lang w:bidi="de-DE"/>
        </w:rPr>
      </w:pPr>
    </w:p>
    <w:p w14:paraId="37A26DBA"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b)</w:t>
      </w:r>
      <w:r w:rsidRPr="00D21420">
        <w:rPr>
          <w:rFonts w:eastAsia="Calibri"/>
          <w:lang w:eastAsia="de-DE" w:bidi="de-DE"/>
        </w:rPr>
        <w:t> Entlohnungen</w:t>
      </w:r>
      <w:r w:rsidR="008C7583">
        <w:rPr>
          <w:rFonts w:eastAsia="Calibri"/>
          <w:lang w:eastAsia="de-DE" w:bidi="de-DE"/>
        </w:rPr>
        <w:t xml:space="preserve"> [</w:t>
      </w:r>
      <w:r w:rsidR="008C7583" w:rsidRPr="00F04E88">
        <w:t>und als vollständige Entschädigung oder Teilentschädigung für einen zeitweiligen Gewinn- oder Profitausfall bezogene Entschädigungen</w:t>
      </w:r>
      <w:r w:rsidR="008C7583">
        <w:rPr>
          <w:rFonts w:eastAsia="Calibri"/>
          <w:lang w:eastAsia="de-DE" w:bidi="de-DE"/>
        </w:rPr>
        <w:t>]</w:t>
      </w:r>
      <w:r w:rsidRPr="00D21420">
        <w:rPr>
          <w:rFonts w:eastAsia="Calibri"/>
          <w:lang w:eastAsia="de-DE" w:bidi="de-DE"/>
        </w:rPr>
        <w:t>, die dem Steuerpflichtigen während dieses Zeitraums gezahlt oder zuerkannt werden,</w:t>
      </w:r>
    </w:p>
    <w:p w14:paraId="6D584B70" w14:textId="77777777" w:rsidR="003426CA" w:rsidRPr="00D21420" w:rsidRDefault="003426CA" w:rsidP="003426CA">
      <w:pPr>
        <w:jc w:val="both"/>
        <w:rPr>
          <w:lang w:bidi="de-DE"/>
        </w:rPr>
      </w:pPr>
    </w:p>
    <w:p w14:paraId="6F5303D7"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c)</w:t>
      </w:r>
      <w:r w:rsidRPr="00D21420">
        <w:rPr>
          <w:rFonts w:eastAsia="Calibri"/>
          <w:lang w:eastAsia="de-DE" w:bidi="de-DE"/>
        </w:rPr>
        <w:t> Pensionen, Renten und Zulagen, die dem Steuerpflichtigen während dieses Zeitraums gezahlt oder zuerkannt werden,</w:t>
      </w:r>
    </w:p>
    <w:p w14:paraId="5EC74E8F" w14:textId="77777777" w:rsidR="003426CA" w:rsidRPr="00D21420" w:rsidRDefault="003426CA" w:rsidP="003426CA">
      <w:pPr>
        <w:jc w:val="both"/>
        <w:rPr>
          <w:lang w:bidi="de-DE"/>
        </w:rPr>
      </w:pPr>
    </w:p>
    <w:p w14:paraId="1F1D9CBE"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4. verschiedene Einkünfte, bestehend aus:</w:t>
      </w:r>
    </w:p>
    <w:p w14:paraId="4E12E1DD" w14:textId="77777777" w:rsidR="003426CA" w:rsidRPr="00D21420" w:rsidRDefault="003426CA" w:rsidP="003426CA">
      <w:pPr>
        <w:jc w:val="both"/>
        <w:rPr>
          <w:lang w:bidi="de-DE"/>
        </w:rPr>
      </w:pPr>
    </w:p>
    <w:p w14:paraId="456FC802"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a)</w:t>
      </w:r>
      <w:r w:rsidRPr="00D21420">
        <w:rPr>
          <w:rFonts w:eastAsia="Calibri"/>
          <w:lang w:eastAsia="de-DE" w:bidi="de-DE"/>
        </w:rPr>
        <w:t xml:space="preserve"> festgestellten oder vermuteten Gewinnen oder Profiten dieses Zeitraums wie in </w:t>
      </w:r>
      <w:r w:rsidR="00817112">
        <w:rPr>
          <w:rFonts w:eastAsia="Calibri"/>
          <w:lang w:eastAsia="de-DE" w:bidi="de-DE"/>
        </w:rPr>
        <w:t>[</w:t>
      </w:r>
      <w:r w:rsidR="00817112" w:rsidRPr="00B617CF">
        <w:t>Artikel 90 Absatz 1 Nr. 1</w:t>
      </w:r>
      <w:r w:rsidR="00817112">
        <w:rPr>
          <w:rFonts w:eastAsia="Calibri"/>
          <w:lang w:eastAsia="de-DE" w:bidi="de-DE"/>
        </w:rPr>
        <w:t>]</w:t>
      </w:r>
      <w:r w:rsidRPr="00D21420">
        <w:rPr>
          <w:rFonts w:eastAsia="Calibri"/>
          <w:lang w:eastAsia="de-DE" w:bidi="de-DE"/>
        </w:rPr>
        <w:t xml:space="preserve"> desselben Gesetzbuches erwähnt,</w:t>
      </w:r>
    </w:p>
    <w:p w14:paraId="6C58BDB4" w14:textId="77777777" w:rsidR="003426CA" w:rsidRPr="00D21420" w:rsidRDefault="003426CA" w:rsidP="003426CA">
      <w:pPr>
        <w:jc w:val="both"/>
        <w:rPr>
          <w:lang w:bidi="de-DE"/>
        </w:rPr>
      </w:pPr>
    </w:p>
    <w:p w14:paraId="23729F73" w14:textId="4C5A8719"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b)</w:t>
      </w:r>
      <w:r w:rsidRPr="00D21420">
        <w:rPr>
          <w:rFonts w:eastAsia="Calibri"/>
          <w:lang w:eastAsia="de-DE" w:bidi="de-DE"/>
        </w:rPr>
        <w:t xml:space="preserve"> Summen wie in </w:t>
      </w:r>
      <w:r w:rsidR="00817112">
        <w:rPr>
          <w:rFonts w:eastAsia="Calibri"/>
          <w:lang w:eastAsia="de-DE" w:bidi="de-DE"/>
        </w:rPr>
        <w:t>[</w:t>
      </w:r>
      <w:r w:rsidR="00817112" w:rsidRPr="00B617CF">
        <w:t xml:space="preserve">Artikel 90 Absatz 1 </w:t>
      </w:r>
      <w:r w:rsidR="00D86FA8">
        <w:t>[</w:t>
      </w:r>
      <w:r w:rsidR="00817112" w:rsidRPr="00B617CF">
        <w:t>Nr. 1</w:t>
      </w:r>
      <w:r w:rsidR="00817112" w:rsidRPr="00B617CF">
        <w:rPr>
          <w:i/>
        </w:rPr>
        <w:t>bis</w:t>
      </w:r>
      <w:r w:rsidR="00817112" w:rsidRPr="00B617CF">
        <w:t xml:space="preserve"> bis 7</w:t>
      </w:r>
      <w:r w:rsidR="00D86FA8">
        <w:t>]</w:t>
      </w:r>
      <w:r w:rsidR="00817112">
        <w:rPr>
          <w:rFonts w:eastAsia="Calibri"/>
          <w:lang w:eastAsia="de-DE" w:bidi="de-DE"/>
        </w:rPr>
        <w:t>]</w:t>
      </w:r>
      <w:r w:rsidRPr="00D21420">
        <w:rPr>
          <w:rFonts w:eastAsia="Calibri"/>
          <w:lang w:eastAsia="de-DE" w:bidi="de-DE"/>
        </w:rPr>
        <w:t xml:space="preserve"> desselben Gesetzbuches erwähnt, die dem Steuerpflichtigen während dieses Zeitraums gezahlt oder zuerkannt werden,</w:t>
      </w:r>
    </w:p>
    <w:p w14:paraId="7F5BB865" w14:textId="77777777" w:rsidR="003426CA" w:rsidRDefault="003426CA" w:rsidP="003426CA">
      <w:pPr>
        <w:jc w:val="both"/>
        <w:rPr>
          <w:lang w:bidi="de-DE"/>
        </w:rPr>
      </w:pPr>
    </w:p>
    <w:p w14:paraId="686604F6" w14:textId="65F9EDF9" w:rsidR="00D86FA8" w:rsidRDefault="00D86FA8" w:rsidP="003426CA">
      <w:pPr>
        <w:jc w:val="both"/>
        <w:rPr>
          <w:lang w:bidi="de-DE"/>
        </w:rPr>
      </w:pPr>
      <w:r>
        <w:rPr>
          <w:lang w:bidi="de-DE"/>
        </w:rPr>
        <w:tab/>
        <w:t>[</w:t>
      </w:r>
      <w:r w:rsidRPr="00402F5F">
        <w:rPr>
          <w:i/>
        </w:rPr>
        <w:t>b/1)</w:t>
      </w:r>
      <w:r w:rsidRPr="00402F5F">
        <w:t> </w:t>
      </w:r>
      <w:r w:rsidR="00E41791">
        <w:t>[...]</w:t>
      </w:r>
      <w:r>
        <w:rPr>
          <w:lang w:bidi="de-DE"/>
        </w:rPr>
        <w:t>]</w:t>
      </w:r>
    </w:p>
    <w:p w14:paraId="563D5737" w14:textId="77777777" w:rsidR="00D86FA8" w:rsidRPr="00D21420" w:rsidRDefault="00D86FA8" w:rsidP="003426CA">
      <w:pPr>
        <w:jc w:val="both"/>
        <w:rPr>
          <w:lang w:bidi="de-DE"/>
        </w:rPr>
      </w:pPr>
    </w:p>
    <w:p w14:paraId="7CBDEEA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c)</w:t>
      </w:r>
      <w:r w:rsidRPr="00D21420">
        <w:rPr>
          <w:rFonts w:eastAsia="Calibri"/>
          <w:lang w:eastAsia="de-DE" w:bidi="de-DE"/>
        </w:rPr>
        <w:t xml:space="preserve"> festgestellten oder vermuteten Mehrwerten dieses Zeitraums wie in </w:t>
      </w:r>
      <w:r w:rsidR="00817112">
        <w:rPr>
          <w:rFonts w:eastAsia="Calibri"/>
          <w:lang w:eastAsia="de-DE" w:bidi="de-DE"/>
        </w:rPr>
        <w:t>[</w:t>
      </w:r>
      <w:r w:rsidR="00817112" w:rsidRPr="00B617CF">
        <w:t>Artikel 90 Absatz 1 Nr. 8</w:t>
      </w:r>
      <w:r w:rsidR="00817112">
        <w:rPr>
          <w:rFonts w:eastAsia="Calibri"/>
          <w:lang w:eastAsia="de-DE" w:bidi="de-DE"/>
        </w:rPr>
        <w:t>]</w:t>
      </w:r>
      <w:r w:rsidRPr="00D21420">
        <w:rPr>
          <w:rFonts w:eastAsia="Calibri"/>
          <w:lang w:eastAsia="de-DE" w:bidi="de-DE"/>
        </w:rPr>
        <w:t xml:space="preserve"> desselben Gesetzbuches erwähnt,</w:t>
      </w:r>
    </w:p>
    <w:p w14:paraId="1D7A69F2" w14:textId="77777777" w:rsidR="003426CA" w:rsidRPr="00D21420" w:rsidRDefault="003426CA" w:rsidP="003426CA">
      <w:pPr>
        <w:jc w:val="both"/>
        <w:rPr>
          <w:lang w:bidi="de-DE"/>
        </w:rPr>
      </w:pPr>
    </w:p>
    <w:p w14:paraId="7C3F2F91"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i/>
          <w:lang w:eastAsia="de-DE" w:bidi="de-DE"/>
        </w:rPr>
        <w:t>d)</w:t>
      </w:r>
      <w:r w:rsidRPr="00D21420">
        <w:rPr>
          <w:rFonts w:eastAsia="Calibri"/>
          <w:lang w:eastAsia="de-DE" w:bidi="de-DE"/>
        </w:rPr>
        <w:t xml:space="preserve"> Mehrwerten wie in </w:t>
      </w:r>
      <w:r w:rsidR="00817112">
        <w:rPr>
          <w:rFonts w:eastAsia="Calibri"/>
          <w:lang w:eastAsia="de-DE" w:bidi="de-DE"/>
        </w:rPr>
        <w:t>[</w:t>
      </w:r>
      <w:r w:rsidR="00817112" w:rsidRPr="00B617CF">
        <w:t>Artikel 90 Absatz 1 Nr. 9</w:t>
      </w:r>
      <w:r w:rsidR="00817112">
        <w:rPr>
          <w:rFonts w:eastAsia="Calibri"/>
          <w:lang w:eastAsia="de-DE" w:bidi="de-DE"/>
        </w:rPr>
        <w:t>]</w:t>
      </w:r>
      <w:r w:rsidRPr="00D21420">
        <w:rPr>
          <w:rFonts w:eastAsia="Calibri"/>
          <w:lang w:eastAsia="de-DE" w:bidi="de-DE"/>
        </w:rPr>
        <w:t xml:space="preserve"> desselben Gesetzbuches erwähnt,</w:t>
      </w:r>
    </w:p>
    <w:p w14:paraId="1F10D8E5" w14:textId="77777777" w:rsidR="00B7418B" w:rsidRDefault="00B7418B" w:rsidP="003426CA">
      <w:pPr>
        <w:jc w:val="both"/>
        <w:rPr>
          <w:rFonts w:eastAsia="Calibri"/>
          <w:szCs w:val="22"/>
          <w:lang w:eastAsia="de-DE" w:bidi="de-DE"/>
        </w:rPr>
      </w:pPr>
    </w:p>
    <w:p w14:paraId="645D8F8C" w14:textId="77777777" w:rsidR="003426CA" w:rsidRPr="00D21420" w:rsidRDefault="003426CA" w:rsidP="003426CA">
      <w:pPr>
        <w:jc w:val="both"/>
        <w:rPr>
          <w:lang w:eastAsia="de-DE" w:bidi="de-DE"/>
        </w:rPr>
      </w:pPr>
      <w:r w:rsidRPr="00D21420">
        <w:rPr>
          <w:rFonts w:eastAsia="Calibri"/>
          <w:szCs w:val="22"/>
          <w:lang w:eastAsia="de-DE" w:bidi="de-DE"/>
        </w:rPr>
        <w:lastRenderedPageBreak/>
        <w:tab/>
      </w:r>
      <w:r w:rsidRPr="00D21420">
        <w:rPr>
          <w:rFonts w:eastAsia="Calibri"/>
          <w:lang w:eastAsia="de-DE" w:bidi="de-DE"/>
        </w:rPr>
        <w:t>[</w:t>
      </w:r>
      <w:r w:rsidRPr="00D21420">
        <w:rPr>
          <w:rFonts w:eastAsia="Calibri"/>
          <w:i/>
          <w:lang w:eastAsia="de-DE" w:bidi="de-DE"/>
        </w:rPr>
        <w:t>e)</w:t>
      </w:r>
      <w:r w:rsidRPr="00D21420">
        <w:rPr>
          <w:rFonts w:eastAsia="Calibri"/>
          <w:lang w:eastAsia="de-DE" w:bidi="de-DE"/>
        </w:rPr>
        <w:t xml:space="preserve"> festgestellten oder vermuteten Mehrwerten dieses Zeitraums wie in </w:t>
      </w:r>
      <w:r w:rsidR="00817112">
        <w:rPr>
          <w:rFonts w:eastAsia="Calibri"/>
          <w:lang w:eastAsia="de-DE" w:bidi="de-DE"/>
        </w:rPr>
        <w:t>[</w:t>
      </w:r>
      <w:r w:rsidR="00817112" w:rsidRPr="00B617CF">
        <w:t>Artikel 90 Absatz 1 Nr. 10</w:t>
      </w:r>
      <w:r w:rsidR="00817112">
        <w:rPr>
          <w:rFonts w:eastAsia="Calibri"/>
          <w:lang w:eastAsia="de-DE" w:bidi="de-DE"/>
        </w:rPr>
        <w:t>]</w:t>
      </w:r>
      <w:r w:rsidRPr="00D21420">
        <w:rPr>
          <w:rFonts w:eastAsia="Calibri"/>
          <w:lang w:eastAsia="de-DE" w:bidi="de-DE"/>
        </w:rPr>
        <w:t xml:space="preserve"> desselben Gesetzbuches erwähnt,]</w:t>
      </w:r>
    </w:p>
    <w:p w14:paraId="7458DD33" w14:textId="77777777" w:rsidR="003426CA" w:rsidRPr="00D21420" w:rsidRDefault="003426CA" w:rsidP="003426CA">
      <w:pPr>
        <w:jc w:val="both"/>
        <w:rPr>
          <w:lang w:bidi="de-DE"/>
        </w:rPr>
      </w:pPr>
    </w:p>
    <w:p w14:paraId="102AEA96"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w:t>
      </w:r>
      <w:r w:rsidRPr="00D21420">
        <w:rPr>
          <w:rFonts w:eastAsia="Calibri"/>
          <w:i/>
          <w:lang w:eastAsia="de-DE" w:bidi="de-DE"/>
        </w:rPr>
        <w:t>f)</w:t>
      </w:r>
      <w:r w:rsidRPr="00D21420">
        <w:rPr>
          <w:rFonts w:eastAsia="Calibri"/>
          <w:lang w:eastAsia="de-DE" w:bidi="de-DE"/>
        </w:rPr>
        <w:t xml:space="preserve"> Entschädigungen wie in </w:t>
      </w:r>
      <w:r w:rsidR="00817112">
        <w:rPr>
          <w:rFonts w:eastAsia="Calibri"/>
          <w:lang w:eastAsia="de-DE" w:bidi="de-DE"/>
        </w:rPr>
        <w:t>[</w:t>
      </w:r>
      <w:r w:rsidR="00817112" w:rsidRPr="00B617CF">
        <w:t>Artikel 90 Absatz 1 Nr. 11</w:t>
      </w:r>
      <w:r w:rsidR="00817112">
        <w:rPr>
          <w:rFonts w:eastAsia="Calibri"/>
          <w:lang w:eastAsia="de-DE" w:bidi="de-DE"/>
        </w:rPr>
        <w:t>]</w:t>
      </w:r>
      <w:r w:rsidRPr="00D21420">
        <w:rPr>
          <w:rFonts w:eastAsia="Calibri"/>
          <w:lang w:eastAsia="de-DE" w:bidi="de-DE"/>
        </w:rPr>
        <w:t xml:space="preserve"> desselben Gesetzbuches erwähnt,</w:t>
      </w:r>
      <w:r w:rsidR="00877E3E">
        <w:rPr>
          <w:rFonts w:eastAsia="Calibri"/>
          <w:lang w:eastAsia="de-DE" w:bidi="de-DE"/>
        </w:rPr>
        <w:t>]</w:t>
      </w:r>
    </w:p>
    <w:p w14:paraId="5976361C" w14:textId="77777777" w:rsidR="003426CA" w:rsidRPr="00D21420" w:rsidRDefault="003426CA" w:rsidP="003426CA">
      <w:pPr>
        <w:jc w:val="both"/>
        <w:rPr>
          <w:lang w:bidi="de-DE"/>
        </w:rPr>
      </w:pPr>
    </w:p>
    <w:p w14:paraId="2706C42A" w14:textId="77777777" w:rsidR="003426CA" w:rsidRPr="00D21420" w:rsidRDefault="003426CA" w:rsidP="003426CA">
      <w:pPr>
        <w:jc w:val="both"/>
        <w:rPr>
          <w:lang w:eastAsia="de-DE" w:bidi="de-DE"/>
        </w:rPr>
      </w:pPr>
      <w:r w:rsidRPr="00D21420">
        <w:rPr>
          <w:rFonts w:eastAsia="Calibri"/>
          <w:szCs w:val="22"/>
          <w:lang w:eastAsia="de-DE" w:bidi="de-DE"/>
        </w:rPr>
        <w:tab/>
      </w:r>
      <w:r w:rsidR="00877E3E">
        <w:rPr>
          <w:rFonts w:eastAsia="Calibri"/>
          <w:szCs w:val="22"/>
          <w:lang w:eastAsia="de-DE" w:bidi="de-DE"/>
        </w:rPr>
        <w:t>[</w:t>
      </w:r>
      <w:r w:rsidRPr="00D21420">
        <w:rPr>
          <w:rFonts w:eastAsia="Calibri"/>
          <w:i/>
          <w:lang w:eastAsia="de-DE" w:bidi="de-DE"/>
        </w:rPr>
        <w:t>g)</w:t>
      </w:r>
      <w:r w:rsidRPr="00D21420">
        <w:rPr>
          <w:rFonts w:eastAsia="Calibri"/>
          <w:lang w:eastAsia="de-DE" w:bidi="de-DE"/>
        </w:rPr>
        <w:t xml:space="preserve"> Vergütungen wie in </w:t>
      </w:r>
      <w:r w:rsidR="00817112">
        <w:rPr>
          <w:rFonts w:eastAsia="Calibri"/>
          <w:lang w:eastAsia="de-DE" w:bidi="de-DE"/>
        </w:rPr>
        <w:t>[</w:t>
      </w:r>
      <w:r w:rsidR="00817112" w:rsidRPr="00B617CF">
        <w:t>Artikel 90 Absatz 1 Nr. 12</w:t>
      </w:r>
      <w:r w:rsidR="00817112">
        <w:rPr>
          <w:rFonts w:eastAsia="Calibri"/>
          <w:lang w:eastAsia="de-DE" w:bidi="de-DE"/>
        </w:rPr>
        <w:t>]</w:t>
      </w:r>
      <w:r w:rsidRPr="00D21420">
        <w:rPr>
          <w:rFonts w:eastAsia="Calibri"/>
          <w:lang w:eastAsia="de-DE" w:bidi="de-DE"/>
        </w:rPr>
        <w:t xml:space="preserve"> desselben Gesetzbuches erwähnt,]</w:t>
      </w:r>
    </w:p>
    <w:p w14:paraId="49A039A0" w14:textId="77777777" w:rsidR="003426CA" w:rsidRPr="00D21420" w:rsidRDefault="003426CA" w:rsidP="003426CA">
      <w:pPr>
        <w:jc w:val="both"/>
        <w:rPr>
          <w:lang w:bidi="de-DE"/>
        </w:rPr>
      </w:pPr>
    </w:p>
    <w:p w14:paraId="22CF9C13"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5. Ausgaben, Beiträge, Pensionen, Renten und Zulagen wie [in den Artikeln 222 und [223 Nr. 1 und 2]] desselben Gesetzbuches erwähnt, die dem Steuerpflichtigen während dieses Zeitraums gezahlt oder zuerkannt werden.</w:t>
      </w:r>
    </w:p>
    <w:p w14:paraId="11A33C6D" w14:textId="77777777" w:rsidR="003426CA" w:rsidRPr="00D21420" w:rsidRDefault="003426CA" w:rsidP="003426CA">
      <w:pPr>
        <w:jc w:val="both"/>
        <w:rPr>
          <w:lang w:bidi="de-DE"/>
        </w:rPr>
      </w:pPr>
    </w:p>
    <w:p w14:paraId="3E51EBED" w14:textId="0897098A" w:rsidR="003426CA" w:rsidRPr="00D21420" w:rsidRDefault="003426CA" w:rsidP="003426CA">
      <w:pPr>
        <w:jc w:val="both"/>
        <w:rPr>
          <w:i/>
          <w:lang w:eastAsia="de-DE" w:bidi="de-DE"/>
        </w:rPr>
      </w:pPr>
      <w:r w:rsidRPr="00D21420">
        <w:rPr>
          <w:rFonts w:eastAsia="Calibri"/>
          <w:i/>
          <w:lang w:eastAsia="de-DE" w:bidi="de-DE"/>
        </w:rPr>
        <w:t>[Art. 204</w:t>
      </w:r>
      <w:r w:rsidR="008C7583">
        <w:rPr>
          <w:rFonts w:eastAsia="Calibri"/>
          <w:i/>
          <w:lang w:eastAsia="de-DE" w:bidi="de-DE"/>
        </w:rPr>
        <w:t xml:space="preserve"> einziger Absatz Nr. 3 einziger Absatz Buchstabe a) abgeändert durch Art. 1 Nr. 1 des K.E. vom 19. April 2018 (B.S. vom 25. April 2018);</w:t>
      </w:r>
      <w:r w:rsidRPr="00D21420">
        <w:rPr>
          <w:rFonts w:eastAsia="Calibri"/>
          <w:i/>
          <w:lang w:eastAsia="de-DE" w:bidi="de-DE"/>
        </w:rPr>
        <w:t xml:space="preserve"> </w:t>
      </w:r>
      <w:r w:rsidR="008C7583">
        <w:rPr>
          <w:rFonts w:eastAsia="Calibri"/>
          <w:i/>
          <w:lang w:eastAsia="de-DE" w:bidi="de-DE"/>
        </w:rPr>
        <w:t>einziger Absatz Nr. 3 einziger Absatz Buchstabe b) abgeändert durch Art. 1 Nr. 2 des K.E. vom 19. April 2018 (B.S. vom 25. April 2018);</w:t>
      </w:r>
      <w:r w:rsidR="008C7583" w:rsidRPr="00D21420">
        <w:rPr>
          <w:rFonts w:eastAsia="Calibri"/>
          <w:i/>
          <w:lang w:eastAsia="de-DE" w:bidi="de-DE"/>
        </w:rPr>
        <w:t xml:space="preserve"> </w:t>
      </w:r>
      <w:r w:rsidR="00817112" w:rsidRPr="00D21420">
        <w:rPr>
          <w:rFonts w:eastAsia="Calibri"/>
          <w:i/>
          <w:lang w:eastAsia="de-DE" w:bidi="de-DE"/>
        </w:rPr>
        <w:t>einziger Absatz Nr. 4 einziger Absatz Buchstabe </w:t>
      </w:r>
      <w:r w:rsidR="00817112">
        <w:rPr>
          <w:rFonts w:eastAsia="Calibri"/>
          <w:i/>
          <w:lang w:eastAsia="de-DE" w:bidi="de-DE"/>
        </w:rPr>
        <w:t>a</w:t>
      </w:r>
      <w:r w:rsidR="00817112" w:rsidRPr="00D21420">
        <w:rPr>
          <w:rFonts w:eastAsia="Calibri"/>
          <w:i/>
          <w:lang w:eastAsia="de-DE" w:bidi="de-DE"/>
        </w:rPr>
        <w:t>)</w:t>
      </w:r>
      <w:r w:rsidR="00817112">
        <w:rPr>
          <w:rFonts w:eastAsia="Calibri"/>
          <w:i/>
          <w:lang w:eastAsia="de-DE" w:bidi="de-DE"/>
        </w:rPr>
        <w:t xml:space="preserve"> abgeändert durch Art. 26 Nr. 1 des K.E. vom </w:t>
      </w:r>
      <w:r w:rsidR="005024BD">
        <w:rPr>
          <w:rFonts w:eastAsia="Calibri"/>
          <w:i/>
          <w:lang w:eastAsia="de-DE" w:bidi="de-DE"/>
        </w:rPr>
        <w:t>22. Mai 2017 (II)</w:t>
      </w:r>
      <w:r w:rsidR="00817112">
        <w:rPr>
          <w:rFonts w:eastAsia="Calibri"/>
          <w:i/>
          <w:lang w:eastAsia="de-DE" w:bidi="de-DE"/>
        </w:rPr>
        <w:t xml:space="preserve"> (B.S. vom 6. Juni 2017); </w:t>
      </w:r>
      <w:r w:rsidR="00817112" w:rsidRPr="00D21420">
        <w:rPr>
          <w:rFonts w:eastAsia="Calibri"/>
          <w:i/>
          <w:lang w:eastAsia="de-DE" w:bidi="de-DE"/>
        </w:rPr>
        <w:t>einziger Absatz Nr. 4 einziger Absatz Buchstabe </w:t>
      </w:r>
      <w:r w:rsidR="00817112">
        <w:rPr>
          <w:rFonts w:eastAsia="Calibri"/>
          <w:i/>
          <w:lang w:eastAsia="de-DE" w:bidi="de-DE"/>
        </w:rPr>
        <w:t>b</w:t>
      </w:r>
      <w:r w:rsidR="00817112" w:rsidRPr="00D21420">
        <w:rPr>
          <w:rFonts w:eastAsia="Calibri"/>
          <w:i/>
          <w:lang w:eastAsia="de-DE" w:bidi="de-DE"/>
        </w:rPr>
        <w:t>)</w:t>
      </w:r>
      <w:r w:rsidR="00817112">
        <w:rPr>
          <w:rFonts w:eastAsia="Calibri"/>
          <w:i/>
          <w:lang w:eastAsia="de-DE" w:bidi="de-DE"/>
        </w:rPr>
        <w:t xml:space="preserve"> abgeändert durch Art. 26 Nr. 2 des K.E. vom </w:t>
      </w:r>
      <w:r w:rsidR="005024BD">
        <w:rPr>
          <w:rFonts w:eastAsia="Calibri"/>
          <w:i/>
          <w:lang w:eastAsia="de-DE" w:bidi="de-DE"/>
        </w:rPr>
        <w:t>22. Mai 2017 (II)</w:t>
      </w:r>
      <w:r w:rsidR="00817112">
        <w:rPr>
          <w:rFonts w:eastAsia="Calibri"/>
          <w:i/>
          <w:lang w:eastAsia="de-DE" w:bidi="de-DE"/>
        </w:rPr>
        <w:t xml:space="preserve"> (B.S. vom 6. Juni 2017)</w:t>
      </w:r>
      <w:r w:rsidR="00E41791">
        <w:rPr>
          <w:rFonts w:eastAsia="Calibri"/>
          <w:i/>
          <w:lang w:eastAsia="de-DE" w:bidi="de-DE"/>
        </w:rPr>
        <w:t>,</w:t>
      </w:r>
      <w:r w:rsidR="009C0099">
        <w:rPr>
          <w:rFonts w:eastAsia="Calibri"/>
          <w:i/>
          <w:lang w:eastAsia="de-DE" w:bidi="de-DE"/>
        </w:rPr>
        <w:t xml:space="preserve"> Art. </w:t>
      </w:r>
      <w:r w:rsidR="00D86FA8">
        <w:rPr>
          <w:rFonts w:eastAsia="Calibri"/>
          <w:i/>
          <w:lang w:eastAsia="de-DE" w:bidi="de-DE"/>
        </w:rPr>
        <w:t xml:space="preserve">1 Nr. 1 </w:t>
      </w:r>
      <w:r w:rsidR="00D86FA8">
        <w:rPr>
          <w:rFonts w:eastAsia="Calibri"/>
          <w:i/>
          <w:szCs w:val="22"/>
          <w:lang w:eastAsia="de-DE" w:bidi="de-DE"/>
        </w:rPr>
        <w:t>des K.E. vom 28. April 2019 (II) (B.S. vom 9. Mai 2019)</w:t>
      </w:r>
      <w:r w:rsidR="00E41791">
        <w:rPr>
          <w:rFonts w:eastAsia="Calibri"/>
          <w:i/>
          <w:szCs w:val="22"/>
          <w:lang w:eastAsia="de-DE" w:bidi="de-DE"/>
        </w:rPr>
        <w:t xml:space="preserve"> und Art.</w:t>
      </w:r>
      <w:r w:rsidR="00E41791" w:rsidRPr="00E41791">
        <w:rPr>
          <w:rFonts w:eastAsia="Calibri"/>
          <w:i/>
          <w:szCs w:val="22"/>
          <w:lang w:eastAsia="de-DE" w:bidi="de-DE"/>
        </w:rPr>
        <w:t xml:space="preserve"> 2 Nr. </w:t>
      </w:r>
      <w:r w:rsidR="00E41791">
        <w:rPr>
          <w:rFonts w:eastAsia="Calibri"/>
          <w:i/>
          <w:szCs w:val="22"/>
          <w:lang w:eastAsia="de-DE" w:bidi="de-DE"/>
        </w:rPr>
        <w:t>1</w:t>
      </w:r>
      <w:r w:rsidR="00E41791" w:rsidRPr="00E41791">
        <w:rPr>
          <w:rFonts w:eastAsia="Calibri"/>
          <w:i/>
          <w:szCs w:val="22"/>
          <w:lang w:eastAsia="de-DE" w:bidi="de-DE"/>
        </w:rPr>
        <w:t xml:space="preserve"> des K.E. vom 19. Dezember 2022 (B.S. vom 22. Dezember 2022)</w:t>
      </w:r>
      <w:r w:rsidR="00817112">
        <w:rPr>
          <w:rFonts w:eastAsia="Calibri"/>
          <w:i/>
          <w:lang w:eastAsia="de-DE" w:bidi="de-DE"/>
        </w:rPr>
        <w:t xml:space="preserve">; </w:t>
      </w:r>
      <w:r w:rsidR="00D86FA8">
        <w:rPr>
          <w:rFonts w:eastAsia="Calibri"/>
          <w:i/>
          <w:lang w:eastAsia="de-DE" w:bidi="de-DE"/>
        </w:rPr>
        <w:t xml:space="preserve">einziger Absatz Nr. 4 einziger Absatz Buchstabe b/1) eingefügt durch Art. 1 Nr. 2 </w:t>
      </w:r>
      <w:r w:rsidR="00D86FA8">
        <w:rPr>
          <w:rFonts w:eastAsia="Calibri"/>
          <w:i/>
          <w:szCs w:val="22"/>
          <w:lang w:eastAsia="de-DE" w:bidi="de-DE"/>
        </w:rPr>
        <w:t>des K.E. vom 28. April</w:t>
      </w:r>
      <w:r w:rsidR="009C0099">
        <w:rPr>
          <w:rFonts w:eastAsia="Calibri"/>
          <w:i/>
          <w:szCs w:val="22"/>
          <w:lang w:eastAsia="de-DE" w:bidi="de-DE"/>
        </w:rPr>
        <w:t> </w:t>
      </w:r>
      <w:r w:rsidR="00D86FA8">
        <w:rPr>
          <w:rFonts w:eastAsia="Calibri"/>
          <w:i/>
          <w:szCs w:val="22"/>
          <w:lang w:eastAsia="de-DE" w:bidi="de-DE"/>
        </w:rPr>
        <w:t>2</w:t>
      </w:r>
      <w:r w:rsidR="009C0099">
        <w:rPr>
          <w:rFonts w:eastAsia="Calibri"/>
          <w:i/>
          <w:szCs w:val="22"/>
          <w:lang w:eastAsia="de-DE" w:bidi="de-DE"/>
        </w:rPr>
        <w:t>019 (II) (B.S. vom 9. Mai 2019)</w:t>
      </w:r>
      <w:r w:rsidR="002E1059">
        <w:rPr>
          <w:rFonts w:eastAsia="Calibri"/>
          <w:i/>
          <w:szCs w:val="22"/>
          <w:lang w:eastAsia="de-DE" w:bidi="de-DE"/>
        </w:rPr>
        <w:t xml:space="preserve"> und </w:t>
      </w:r>
      <w:r w:rsidR="00E41791">
        <w:rPr>
          <w:rFonts w:eastAsia="Calibri"/>
          <w:i/>
          <w:szCs w:val="22"/>
          <w:lang w:eastAsia="de-DE" w:bidi="de-DE"/>
        </w:rPr>
        <w:t>aufgehoben durch Art. 2 Nr. 2 des K.E. vom 19. Dezember 2022 (B.S. vom 22. Dezember 2022)</w:t>
      </w:r>
      <w:r w:rsidR="00D86FA8">
        <w:rPr>
          <w:rFonts w:eastAsia="Calibri"/>
          <w:i/>
          <w:szCs w:val="22"/>
          <w:lang w:eastAsia="de-DE" w:bidi="de-DE"/>
        </w:rPr>
        <w:t xml:space="preserve">; </w:t>
      </w:r>
      <w:r w:rsidR="00817112" w:rsidRPr="00D21420">
        <w:rPr>
          <w:rFonts w:eastAsia="Calibri"/>
          <w:i/>
          <w:lang w:eastAsia="de-DE" w:bidi="de-DE"/>
        </w:rPr>
        <w:t>einziger Absatz Nr. 4 einziger Absatz Buchstabe </w:t>
      </w:r>
      <w:r w:rsidR="00817112">
        <w:rPr>
          <w:rFonts w:eastAsia="Calibri"/>
          <w:i/>
          <w:lang w:eastAsia="de-DE" w:bidi="de-DE"/>
        </w:rPr>
        <w:t>c</w:t>
      </w:r>
      <w:r w:rsidR="00817112" w:rsidRPr="00D21420">
        <w:rPr>
          <w:rFonts w:eastAsia="Calibri"/>
          <w:i/>
          <w:lang w:eastAsia="de-DE" w:bidi="de-DE"/>
        </w:rPr>
        <w:t>)</w:t>
      </w:r>
      <w:r w:rsidR="00817112">
        <w:rPr>
          <w:rFonts w:eastAsia="Calibri"/>
          <w:i/>
          <w:lang w:eastAsia="de-DE" w:bidi="de-DE"/>
        </w:rPr>
        <w:t xml:space="preserve"> abgeändert durch Art. 26 Nr. 3 des K.E. vom </w:t>
      </w:r>
      <w:r w:rsidR="005024BD">
        <w:rPr>
          <w:rFonts w:eastAsia="Calibri"/>
          <w:i/>
          <w:lang w:eastAsia="de-DE" w:bidi="de-DE"/>
        </w:rPr>
        <w:t>22. Mai 2017 (II)</w:t>
      </w:r>
      <w:r w:rsidR="00817112">
        <w:rPr>
          <w:rFonts w:eastAsia="Calibri"/>
          <w:i/>
          <w:lang w:eastAsia="de-DE" w:bidi="de-DE"/>
        </w:rPr>
        <w:t xml:space="preserve"> (B.S. vom 6. Juni 2017); </w:t>
      </w:r>
      <w:r w:rsidR="00817112" w:rsidRPr="00D21420">
        <w:rPr>
          <w:rFonts w:eastAsia="Calibri"/>
          <w:i/>
          <w:lang w:eastAsia="de-DE" w:bidi="de-DE"/>
        </w:rPr>
        <w:t>einziger Absatz Nr. 4 einziger Absatz Buchstabe </w:t>
      </w:r>
      <w:r w:rsidR="002D3071">
        <w:rPr>
          <w:rFonts w:eastAsia="Calibri"/>
          <w:i/>
          <w:lang w:eastAsia="de-DE" w:bidi="de-DE"/>
        </w:rPr>
        <w:t>d</w:t>
      </w:r>
      <w:r w:rsidR="00817112" w:rsidRPr="00D21420">
        <w:rPr>
          <w:rFonts w:eastAsia="Calibri"/>
          <w:i/>
          <w:lang w:eastAsia="de-DE" w:bidi="de-DE"/>
        </w:rPr>
        <w:t>)</w:t>
      </w:r>
      <w:r w:rsidR="00817112">
        <w:rPr>
          <w:rFonts w:eastAsia="Calibri"/>
          <w:i/>
          <w:lang w:eastAsia="de-DE" w:bidi="de-DE"/>
        </w:rPr>
        <w:t xml:space="preserve"> abgeändert durch Art. 26 Nr. </w:t>
      </w:r>
      <w:r w:rsidR="002D3071">
        <w:rPr>
          <w:rFonts w:eastAsia="Calibri"/>
          <w:i/>
          <w:lang w:eastAsia="de-DE" w:bidi="de-DE"/>
        </w:rPr>
        <w:t>4</w:t>
      </w:r>
      <w:r w:rsidR="00817112">
        <w:rPr>
          <w:rFonts w:eastAsia="Calibri"/>
          <w:i/>
          <w:lang w:eastAsia="de-DE" w:bidi="de-DE"/>
        </w:rPr>
        <w:t xml:space="preserve"> des K.E. vom </w:t>
      </w:r>
      <w:r w:rsidR="005024BD">
        <w:rPr>
          <w:rFonts w:eastAsia="Calibri"/>
          <w:i/>
          <w:lang w:eastAsia="de-DE" w:bidi="de-DE"/>
        </w:rPr>
        <w:t>22. Mai 2017 (II)</w:t>
      </w:r>
      <w:r w:rsidR="00817112">
        <w:rPr>
          <w:rFonts w:eastAsia="Calibri"/>
          <w:i/>
          <w:lang w:eastAsia="de-DE" w:bidi="de-DE"/>
        </w:rPr>
        <w:t xml:space="preserve"> (B.S. vom 6. Juni 2017); </w:t>
      </w:r>
      <w:r w:rsidRPr="00D21420">
        <w:rPr>
          <w:rFonts w:eastAsia="Calibri"/>
          <w:i/>
          <w:lang w:eastAsia="de-DE" w:bidi="de-DE"/>
        </w:rPr>
        <w:t>einziger Absatz Nr. 4 einziger Absatz Buchstabe e) eingefügt durch Art. 13 Nr. 1 des K.E. vom 20. Mai 1997 (B.S. vom 10. Juni 1997)</w:t>
      </w:r>
      <w:r w:rsidR="002D3071">
        <w:rPr>
          <w:rFonts w:eastAsia="Calibri"/>
          <w:i/>
          <w:lang w:eastAsia="de-DE" w:bidi="de-DE"/>
        </w:rPr>
        <w:t xml:space="preserve"> und abgeändert durch Art. 26 Nr. 5 des K.E. vom </w:t>
      </w:r>
      <w:r w:rsidR="005024BD">
        <w:rPr>
          <w:rFonts w:eastAsia="Calibri"/>
          <w:i/>
          <w:lang w:eastAsia="de-DE" w:bidi="de-DE"/>
        </w:rPr>
        <w:t>22. Mai 2017 (II)</w:t>
      </w:r>
      <w:r w:rsidR="002D3071">
        <w:rPr>
          <w:rFonts w:eastAsia="Calibri"/>
          <w:i/>
          <w:lang w:eastAsia="de-DE" w:bidi="de-DE"/>
        </w:rPr>
        <w:t xml:space="preserve"> (B.S. vom 6. Juni 2017)</w:t>
      </w:r>
      <w:r w:rsidRPr="00D21420">
        <w:rPr>
          <w:rFonts w:eastAsia="Calibri"/>
          <w:i/>
          <w:lang w:eastAsia="de-DE" w:bidi="de-DE"/>
        </w:rPr>
        <w:t>; einziger Absatz Nr. 4 einziger Absatz Buchstabe f) eingefügt durch Art. 14 des K.E. vom 27. Januar 2009 (B.S. vom 3. Februar 2009)</w:t>
      </w:r>
      <w:r w:rsidR="002D3071">
        <w:rPr>
          <w:rFonts w:eastAsia="Calibri"/>
          <w:i/>
          <w:lang w:eastAsia="de-DE" w:bidi="de-DE"/>
        </w:rPr>
        <w:t xml:space="preserve"> und abgeändert durch Art. 26 Nr. 6 des K.E. vom </w:t>
      </w:r>
      <w:r w:rsidR="005024BD">
        <w:rPr>
          <w:rFonts w:eastAsia="Calibri"/>
          <w:i/>
          <w:lang w:eastAsia="de-DE" w:bidi="de-DE"/>
        </w:rPr>
        <w:t>22. Mai 2017 (II)</w:t>
      </w:r>
      <w:r w:rsidR="002D3071">
        <w:rPr>
          <w:rFonts w:eastAsia="Calibri"/>
          <w:i/>
          <w:lang w:eastAsia="de-DE" w:bidi="de-DE"/>
        </w:rPr>
        <w:t xml:space="preserve"> (B.S. vom 6. Juni 2017)</w:t>
      </w:r>
      <w:r w:rsidR="002D3071" w:rsidRPr="00D21420">
        <w:rPr>
          <w:rFonts w:eastAsia="Calibri"/>
          <w:i/>
          <w:lang w:eastAsia="de-DE" w:bidi="de-DE"/>
        </w:rPr>
        <w:t>;</w:t>
      </w:r>
      <w:r w:rsidR="002D3071">
        <w:rPr>
          <w:rFonts w:eastAsia="Calibri"/>
          <w:i/>
          <w:lang w:eastAsia="de-DE" w:bidi="de-DE"/>
        </w:rPr>
        <w:t xml:space="preserve"> </w:t>
      </w:r>
      <w:r w:rsidR="002D3071" w:rsidRPr="00D21420">
        <w:rPr>
          <w:rFonts w:eastAsia="Calibri"/>
          <w:i/>
          <w:lang w:eastAsia="de-DE" w:bidi="de-DE"/>
        </w:rPr>
        <w:t>einziger Absatz N</w:t>
      </w:r>
      <w:r w:rsidR="002D3071">
        <w:rPr>
          <w:rFonts w:eastAsia="Calibri"/>
          <w:i/>
          <w:lang w:eastAsia="de-DE" w:bidi="de-DE"/>
        </w:rPr>
        <w:t>r. 4 einziger Absatz Buchstabe g</w:t>
      </w:r>
      <w:r w:rsidR="002D3071" w:rsidRPr="00D21420">
        <w:rPr>
          <w:rFonts w:eastAsia="Calibri"/>
          <w:i/>
          <w:lang w:eastAsia="de-DE" w:bidi="de-DE"/>
        </w:rPr>
        <w:t>) eingefügt durch Art. 14 des K.E. vom 27. Januar 2009 (B.S. vom 3. Februar 2009)</w:t>
      </w:r>
      <w:r w:rsidR="002D3071">
        <w:rPr>
          <w:rFonts w:eastAsia="Calibri"/>
          <w:i/>
          <w:lang w:eastAsia="de-DE" w:bidi="de-DE"/>
        </w:rPr>
        <w:t xml:space="preserve"> und abgeändert durch Art. 26 Nr. 7 des K.E. vom </w:t>
      </w:r>
      <w:r w:rsidR="005024BD">
        <w:rPr>
          <w:rFonts w:eastAsia="Calibri"/>
          <w:i/>
          <w:lang w:eastAsia="de-DE" w:bidi="de-DE"/>
        </w:rPr>
        <w:t>22. Mai 2017 (II)</w:t>
      </w:r>
      <w:r w:rsidR="002D3071">
        <w:rPr>
          <w:rFonts w:eastAsia="Calibri"/>
          <w:i/>
          <w:lang w:eastAsia="de-DE" w:bidi="de-DE"/>
        </w:rPr>
        <w:t xml:space="preserve"> (B.S. vom 6. Juni 2017)</w:t>
      </w:r>
      <w:r w:rsidRPr="00D21420">
        <w:rPr>
          <w:rFonts w:eastAsia="Calibri"/>
          <w:i/>
          <w:lang w:eastAsia="de-DE" w:bidi="de-DE"/>
        </w:rPr>
        <w:t>; einziger Absatz Nr. 5 abgeändert durch Art. 13 Nr. 2 des K.E. vom 20. Mai 1997 (B.S. vom 10. Juni 1997) und Art. 21 des K.E. vom 11. Dezember 2006 (B.S. vom 18. Dezember 2006)]</w:t>
      </w:r>
    </w:p>
    <w:p w14:paraId="67D4C421" w14:textId="77777777" w:rsidR="003426CA" w:rsidRPr="00D21420" w:rsidRDefault="003426CA" w:rsidP="003426CA">
      <w:pPr>
        <w:jc w:val="both"/>
        <w:rPr>
          <w:lang w:bidi="de-DE"/>
        </w:rPr>
      </w:pPr>
    </w:p>
    <w:p w14:paraId="68750871" w14:textId="77777777" w:rsidR="003426CA" w:rsidRPr="00D21420" w:rsidRDefault="003426CA" w:rsidP="003426CA">
      <w:pPr>
        <w:jc w:val="both"/>
        <w:rPr>
          <w:lang w:bidi="de-DE"/>
        </w:rPr>
      </w:pPr>
    </w:p>
    <w:p w14:paraId="6CD1CAD0"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205</w:t>
      </w:r>
      <w:r w:rsidRPr="00D21420">
        <w:rPr>
          <w:rFonts w:eastAsia="Calibri"/>
          <w:lang w:eastAsia="de-DE" w:bidi="de-DE"/>
        </w:rPr>
        <w:t> - Für die Anwendung:</w:t>
      </w:r>
    </w:p>
    <w:p w14:paraId="475E7FC1" w14:textId="77777777" w:rsidR="003426CA" w:rsidRPr="00D21420" w:rsidRDefault="003426CA" w:rsidP="003426CA">
      <w:pPr>
        <w:jc w:val="both"/>
        <w:rPr>
          <w:lang w:bidi="de-DE"/>
        </w:rPr>
      </w:pPr>
    </w:p>
    <w:p w14:paraId="0F57E210"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1. von Artikel 204 Nr. 3 Buchstabe </w:t>
      </w:r>
      <w:r w:rsidRPr="00D21420">
        <w:rPr>
          <w:rFonts w:eastAsia="Calibri"/>
          <w:i/>
          <w:lang w:eastAsia="de-DE" w:bidi="de-DE"/>
        </w:rPr>
        <w:t>a)</w:t>
      </w:r>
      <w:r w:rsidRPr="00D21420">
        <w:rPr>
          <w:rFonts w:eastAsia="Calibri"/>
          <w:lang w:eastAsia="de-DE" w:bidi="de-DE"/>
        </w:rPr>
        <w:t xml:space="preserve"> wird davon ausgegangen, dass Gewinne oder Profite, die aus einer Buchhaltung hervorgehen, am Datum des Abschlusses des Geschäftsjahres, auf das sie sich beziehen, bezogen worden sind,</w:t>
      </w:r>
    </w:p>
    <w:p w14:paraId="39883636" w14:textId="77777777" w:rsidR="003426CA" w:rsidRPr="00D21420" w:rsidRDefault="003426CA" w:rsidP="003426CA">
      <w:pPr>
        <w:jc w:val="both"/>
        <w:rPr>
          <w:lang w:bidi="de-DE"/>
        </w:rPr>
      </w:pPr>
    </w:p>
    <w:p w14:paraId="39948A83"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2. von Artikel 204 Nr. 3 Buchstabe </w:t>
      </w:r>
      <w:r w:rsidRPr="00D21420">
        <w:rPr>
          <w:rFonts w:eastAsia="Calibri"/>
          <w:i/>
          <w:lang w:eastAsia="de-DE" w:bidi="de-DE"/>
        </w:rPr>
        <w:t>b)</w:t>
      </w:r>
      <w:r w:rsidRPr="00D21420">
        <w:rPr>
          <w:rFonts w:eastAsia="Calibri"/>
          <w:lang w:eastAsia="de-DE" w:bidi="de-DE"/>
        </w:rPr>
        <w:t xml:space="preserve"> wird davon ausgegangen, dass der in Artikel 31 Absatz 3 des Einkommensteuergesetzbuches 1992 erwähnte Betrag an dem Datum, an dem die Aktien oder Anteile übertragen worden sind, gezahlt oder zuerkannt worden ist.</w:t>
      </w:r>
    </w:p>
    <w:p w14:paraId="129295B7" w14:textId="77777777" w:rsidR="003426CA" w:rsidRPr="00D21420" w:rsidRDefault="003426CA" w:rsidP="003426CA">
      <w:pPr>
        <w:jc w:val="both"/>
        <w:rPr>
          <w:lang w:bidi="de-DE"/>
        </w:rPr>
      </w:pPr>
    </w:p>
    <w:p w14:paraId="249E89D6" w14:textId="77777777" w:rsidR="004A331E" w:rsidRDefault="004A331E">
      <w:pPr>
        <w:rPr>
          <w:rFonts w:eastAsia="Calibri"/>
          <w:szCs w:val="22"/>
          <w:lang w:eastAsia="de-DE" w:bidi="de-DE"/>
        </w:rPr>
      </w:pPr>
      <w:r>
        <w:rPr>
          <w:rFonts w:eastAsia="Calibri"/>
          <w:szCs w:val="22"/>
          <w:lang w:eastAsia="de-DE" w:bidi="de-DE"/>
        </w:rPr>
        <w:br w:type="page"/>
      </w:r>
    </w:p>
    <w:p w14:paraId="1C8643F5" w14:textId="2EFFC112" w:rsidR="003426CA" w:rsidRPr="00D21420" w:rsidRDefault="003426CA" w:rsidP="003426CA">
      <w:pPr>
        <w:jc w:val="both"/>
        <w:rPr>
          <w:lang w:eastAsia="de-DE" w:bidi="de-DE"/>
        </w:rPr>
      </w:pPr>
      <w:r w:rsidRPr="00D21420">
        <w:rPr>
          <w:rFonts w:eastAsia="Calibri"/>
          <w:szCs w:val="22"/>
          <w:lang w:eastAsia="de-DE" w:bidi="de-DE"/>
        </w:rPr>
        <w:lastRenderedPageBreak/>
        <w:tab/>
      </w:r>
      <w:r w:rsidRPr="00D21420">
        <w:rPr>
          <w:rFonts w:eastAsia="Calibri"/>
          <w:lang w:eastAsia="de-DE" w:bidi="de-DE"/>
        </w:rPr>
        <w:t>3. [...]</w:t>
      </w:r>
    </w:p>
    <w:p w14:paraId="65E9C380" w14:textId="77777777" w:rsidR="003426CA" w:rsidRPr="00D21420" w:rsidRDefault="003426CA" w:rsidP="003426CA">
      <w:pPr>
        <w:jc w:val="both"/>
        <w:rPr>
          <w:lang w:bidi="de-DE"/>
        </w:rPr>
      </w:pPr>
    </w:p>
    <w:p w14:paraId="53FDF9DD" w14:textId="77777777" w:rsidR="003426CA" w:rsidRPr="00D21420" w:rsidRDefault="003426CA" w:rsidP="003426CA">
      <w:pPr>
        <w:jc w:val="both"/>
        <w:rPr>
          <w:i/>
          <w:lang w:eastAsia="de-DE" w:bidi="de-DE"/>
        </w:rPr>
      </w:pPr>
      <w:r w:rsidRPr="00D21420">
        <w:rPr>
          <w:rFonts w:eastAsia="Calibri"/>
          <w:i/>
          <w:lang w:eastAsia="de-DE" w:bidi="de-DE"/>
        </w:rPr>
        <w:t>[Art. 205 einziger Absatz Nr. 3 aufgehoben durch Art. 19 des K.E. vom 1. September 1995 (II) (B.S. vom 5. Oktober 1995)]</w:t>
      </w:r>
    </w:p>
    <w:p w14:paraId="5167707F" w14:textId="77777777" w:rsidR="003426CA" w:rsidRPr="00D21420" w:rsidRDefault="003426CA" w:rsidP="003426CA">
      <w:pPr>
        <w:jc w:val="both"/>
        <w:rPr>
          <w:lang w:bidi="de-DE"/>
        </w:rPr>
      </w:pPr>
    </w:p>
    <w:p w14:paraId="0853907B" w14:textId="77777777" w:rsidR="003426CA" w:rsidRPr="00D21420" w:rsidRDefault="003426CA" w:rsidP="003426CA">
      <w:pPr>
        <w:jc w:val="both"/>
        <w:rPr>
          <w:lang w:bidi="de-DE"/>
        </w:rPr>
      </w:pPr>
    </w:p>
    <w:p w14:paraId="08DA7815"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206</w:t>
      </w:r>
      <w:r w:rsidRPr="00D21420">
        <w:rPr>
          <w:rFonts w:eastAsia="Calibri"/>
          <w:lang w:eastAsia="de-DE" w:bidi="de-DE"/>
        </w:rPr>
        <w:t xml:space="preserve"> - </w:t>
      </w:r>
      <w:r w:rsidRPr="00D21420">
        <w:rPr>
          <w:rFonts w:eastAsia="Calibri"/>
          <w:spacing w:val="-3"/>
          <w:lang w:eastAsia="de-DE" w:bidi="de-DE"/>
        </w:rPr>
        <w:t>Die Sondersteuer im Rahmen der Gesellschaftssteuer wie in Artikel 219 des Einkommensteuergesetzbuches 1992 erwähnt, die Sondersteuer im Rahmen der Steuer der Gebietsfremden, die aufgrund von Artikel 246 Nr. 2 festgelegt wird, und die Steuern wie in Artikel 247 Nr. 2 und 3 desselben Gesetzbuches erwähnt, sind an das Steuerjahr gebunden, das sich auf den Besteuerungszeitraum bezieht, der gemäß den Artikeln 200 bis 203 bestimmt wird und in dem der Umstand, durch den diese Steuern begründet werden, eingetreten ist.</w:t>
      </w:r>
    </w:p>
    <w:p w14:paraId="403D765A" w14:textId="77777777" w:rsidR="00B7418B" w:rsidRDefault="00B7418B" w:rsidP="003426CA">
      <w:pPr>
        <w:jc w:val="center"/>
        <w:rPr>
          <w:rFonts w:eastAsia="Calibri"/>
          <w:i/>
          <w:lang w:eastAsia="de-DE" w:bidi="de-DE"/>
        </w:rPr>
      </w:pPr>
    </w:p>
    <w:p w14:paraId="10F2216E" w14:textId="77777777" w:rsidR="00B7418B" w:rsidRDefault="00B7418B" w:rsidP="003426CA">
      <w:pPr>
        <w:jc w:val="center"/>
        <w:rPr>
          <w:rFonts w:eastAsia="Calibri"/>
          <w:lang w:eastAsia="de-DE" w:bidi="de-DE"/>
        </w:rPr>
      </w:pPr>
    </w:p>
    <w:p w14:paraId="00B1E276" w14:textId="77777777" w:rsidR="00673592" w:rsidRDefault="00673592" w:rsidP="00673592">
      <w:pPr>
        <w:jc w:val="both"/>
      </w:pPr>
      <w:r>
        <w:rPr>
          <w:rFonts w:eastAsia="Calibri"/>
          <w:lang w:eastAsia="de-DE" w:bidi="de-DE"/>
        </w:rPr>
        <w:t>[</w:t>
      </w:r>
      <w:r w:rsidRPr="00673592">
        <w:rPr>
          <w:i/>
        </w:rPr>
        <w:t>Abschnitt 12/1</w:t>
      </w:r>
      <w:r w:rsidRPr="002614B3">
        <w:t> - Anträge auf Erstattung des Mobiliensteuervorabzugs, der auf den in Artikel 21 Absatz 1 Nr. 14 des Einkommensteuergesetzbuches 1992 erwähnten ersten Teil</w:t>
      </w:r>
      <w:r w:rsidRPr="002614B3">
        <w:softHyphen/>
        <w:t xml:space="preserve">betrag der Dividenden einbehalten wird </w:t>
      </w:r>
    </w:p>
    <w:p w14:paraId="7206923D" w14:textId="77777777" w:rsidR="00673592" w:rsidRDefault="00673592" w:rsidP="00673592">
      <w:pPr>
        <w:jc w:val="both"/>
      </w:pPr>
    </w:p>
    <w:p w14:paraId="589C7365" w14:textId="43496723" w:rsidR="00673592" w:rsidRPr="002614B3" w:rsidRDefault="00673592" w:rsidP="00673592">
      <w:pPr>
        <w:jc w:val="center"/>
      </w:pPr>
      <w:r w:rsidRPr="002614B3">
        <w:t>(Einkommensteuergesetz</w:t>
      </w:r>
      <w:r w:rsidRPr="002614B3">
        <w:softHyphen/>
        <w:t>buch 1992, Artikel 376/1)</w:t>
      </w:r>
    </w:p>
    <w:p w14:paraId="0503CC27" w14:textId="77777777" w:rsidR="00673592" w:rsidRDefault="00673592" w:rsidP="00673592">
      <w:pPr>
        <w:jc w:val="both"/>
      </w:pPr>
    </w:p>
    <w:p w14:paraId="08A48C3A" w14:textId="0AAEE94D" w:rsidR="00673592" w:rsidRPr="00673592" w:rsidRDefault="00673592" w:rsidP="00673592">
      <w:pPr>
        <w:jc w:val="both"/>
        <w:rPr>
          <w:i/>
        </w:rPr>
      </w:pPr>
      <w:r>
        <w:rPr>
          <w:i/>
        </w:rPr>
        <w:t xml:space="preserve">[Abschnitt 12/1 </w:t>
      </w:r>
      <w:r w:rsidR="00701B70">
        <w:rPr>
          <w:i/>
        </w:rPr>
        <w:t xml:space="preserve">mit Art. 206/1 </w:t>
      </w:r>
      <w:r>
        <w:rPr>
          <w:i/>
        </w:rPr>
        <w:t>eingefügt durch Art. 3</w:t>
      </w:r>
      <w:r>
        <w:rPr>
          <w:rFonts w:eastAsia="Calibri"/>
          <w:i/>
          <w:szCs w:val="22"/>
          <w:lang w:eastAsia="de-DE" w:bidi="de-DE"/>
        </w:rPr>
        <w:t xml:space="preserve"> des K.E. vom 28. April 2019 (I) (B.S. vom 9. Mai 2019)</w:t>
      </w:r>
      <w:r>
        <w:rPr>
          <w:i/>
        </w:rPr>
        <w:t>]</w:t>
      </w:r>
    </w:p>
    <w:p w14:paraId="01252261" w14:textId="77777777" w:rsidR="00673592" w:rsidRDefault="00673592" w:rsidP="00673592">
      <w:pPr>
        <w:jc w:val="both"/>
      </w:pPr>
    </w:p>
    <w:p w14:paraId="0E12358B" w14:textId="77777777" w:rsidR="00673592" w:rsidRPr="002614B3" w:rsidRDefault="00673592" w:rsidP="00673592">
      <w:pPr>
        <w:jc w:val="both"/>
      </w:pPr>
    </w:p>
    <w:p w14:paraId="7DBB9B34" w14:textId="77777777" w:rsidR="00673592" w:rsidRPr="002614B3" w:rsidRDefault="00673592" w:rsidP="00673592">
      <w:pPr>
        <w:jc w:val="both"/>
      </w:pPr>
      <w:r w:rsidRPr="002614B3">
        <w:tab/>
      </w:r>
      <w:r w:rsidRPr="00673592">
        <w:rPr>
          <w:b/>
        </w:rPr>
        <w:t>Art. 206/1</w:t>
      </w:r>
      <w:r w:rsidRPr="002614B3">
        <w:t> - § 1 - Steuerpflichtige, die in Anwendung von Artikel 376/1 des Einkom</w:t>
      </w:r>
      <w:r w:rsidRPr="002614B3">
        <w:softHyphen/>
        <w:t>mensteuergesetzbuches 1992 die Erstattung des Mobiliensteuervorabzugs erhalten möchten, der gemäß Artikel 261 desselben Gesetzbuches auf den in Artikel 21 Absatz 1 Nr. 14 dieses Gesetzbuches erwähnten ersten Teilbetrag der Dividenden einbehalten wird, müssen zu diesem Zweck einen für richtig bescheinigten, datierten und unterzeichneten schriftlichen Antrag beim Generalberater des Zentrums Ausland einreichen.</w:t>
      </w:r>
    </w:p>
    <w:p w14:paraId="64625493" w14:textId="553FDD1B" w:rsidR="00673592" w:rsidRDefault="00673592" w:rsidP="00673592"/>
    <w:p w14:paraId="2B53682A" w14:textId="77777777" w:rsidR="00673592" w:rsidRPr="002614B3" w:rsidRDefault="00673592" w:rsidP="00673592">
      <w:pPr>
        <w:jc w:val="both"/>
      </w:pPr>
      <w:r w:rsidRPr="002614B3">
        <w:tab/>
        <w:t>§ 2 - In dem in § 1 erwähnten Antrag wird Folgendes vermerkt:</w:t>
      </w:r>
    </w:p>
    <w:p w14:paraId="39CFE827" w14:textId="77777777" w:rsidR="00673592" w:rsidRPr="002614B3" w:rsidRDefault="00673592" w:rsidP="00673592">
      <w:pPr>
        <w:jc w:val="both"/>
      </w:pPr>
    </w:p>
    <w:p w14:paraId="7809F249" w14:textId="77777777" w:rsidR="00673592" w:rsidRPr="002614B3" w:rsidRDefault="00673592" w:rsidP="00673592">
      <w:pPr>
        <w:jc w:val="both"/>
      </w:pPr>
      <w:r w:rsidRPr="002614B3">
        <w:tab/>
        <w:t>- Name, Vorname, Geburtsdatum und vollständige Adresse des Steuerpflichtigen,</w:t>
      </w:r>
    </w:p>
    <w:p w14:paraId="30A0DDB8" w14:textId="77777777" w:rsidR="00673592" w:rsidRPr="002614B3" w:rsidRDefault="00673592" w:rsidP="00673592">
      <w:pPr>
        <w:jc w:val="both"/>
      </w:pPr>
      <w:r w:rsidRPr="002614B3">
        <w:tab/>
      </w:r>
    </w:p>
    <w:p w14:paraId="2666B7C8" w14:textId="77777777" w:rsidR="00673592" w:rsidRPr="002614B3" w:rsidRDefault="00673592" w:rsidP="00673592">
      <w:pPr>
        <w:jc w:val="both"/>
      </w:pPr>
      <w:r w:rsidRPr="002614B3">
        <w:tab/>
        <w:t>- ausländische Steueridentifikationsnummer des Steuerpflichtigen,</w:t>
      </w:r>
    </w:p>
    <w:p w14:paraId="4DA548A0" w14:textId="77777777" w:rsidR="00673592" w:rsidRPr="002614B3" w:rsidRDefault="00673592" w:rsidP="00673592">
      <w:pPr>
        <w:jc w:val="both"/>
      </w:pPr>
    </w:p>
    <w:p w14:paraId="58DFFB37" w14:textId="77777777" w:rsidR="00673592" w:rsidRPr="002614B3" w:rsidRDefault="00673592" w:rsidP="00673592">
      <w:pPr>
        <w:jc w:val="both"/>
      </w:pPr>
      <w:r w:rsidRPr="002614B3">
        <w:tab/>
        <w:t>- Einkommensjahr, für das der Antrag eingereicht wird,</w:t>
      </w:r>
    </w:p>
    <w:p w14:paraId="23B545B3" w14:textId="77777777" w:rsidR="00673592" w:rsidRPr="002614B3" w:rsidRDefault="00673592" w:rsidP="00673592">
      <w:pPr>
        <w:jc w:val="both"/>
      </w:pPr>
      <w:r w:rsidRPr="002614B3">
        <w:tab/>
      </w:r>
    </w:p>
    <w:p w14:paraId="7C3F99E6" w14:textId="77777777" w:rsidR="00673592" w:rsidRPr="002614B3" w:rsidRDefault="00673592" w:rsidP="00673592">
      <w:pPr>
        <w:jc w:val="both"/>
      </w:pPr>
      <w:r w:rsidRPr="002614B3">
        <w:tab/>
        <w:t>- Nummer des Finanzkontos auf den Namen des Steuerpflichtigen, auf das die Erstattung gezahlt werden muss, sowie Name und Adresse des Finanzinstituts, bei dem das Konto geführt wird.</w:t>
      </w:r>
    </w:p>
    <w:p w14:paraId="2EFFFD66" w14:textId="77777777" w:rsidR="00673592" w:rsidRPr="002614B3" w:rsidRDefault="00673592" w:rsidP="00673592">
      <w:pPr>
        <w:jc w:val="both"/>
      </w:pPr>
    </w:p>
    <w:p w14:paraId="2DA8FAD0" w14:textId="40673803" w:rsidR="00673592" w:rsidRPr="002614B3" w:rsidRDefault="00673592" w:rsidP="00673592">
      <w:pPr>
        <w:jc w:val="both"/>
      </w:pPr>
      <w:r w:rsidRPr="002614B3">
        <w:tab/>
        <w:t>Dem in Absatz 1 erwähnten Antrag werden folgende Unterlagen beigefügt:</w:t>
      </w:r>
    </w:p>
    <w:p w14:paraId="46AABF59" w14:textId="77777777" w:rsidR="00673592" w:rsidRPr="002614B3" w:rsidRDefault="00673592" w:rsidP="00673592">
      <w:pPr>
        <w:jc w:val="both"/>
      </w:pPr>
    </w:p>
    <w:p w14:paraId="1F7BA59B" w14:textId="77777777" w:rsidR="00673592" w:rsidRPr="002614B3" w:rsidRDefault="00673592" w:rsidP="00673592">
      <w:pPr>
        <w:jc w:val="both"/>
      </w:pPr>
      <w:r w:rsidRPr="002614B3">
        <w:tab/>
        <w:t>1. Bescheinigung über die Rechtsstellung eines Gebietsfremden,</w:t>
      </w:r>
    </w:p>
    <w:p w14:paraId="658CF0D7" w14:textId="77777777" w:rsidR="00673592" w:rsidRPr="002614B3" w:rsidRDefault="00673592" w:rsidP="00673592">
      <w:pPr>
        <w:jc w:val="both"/>
      </w:pPr>
    </w:p>
    <w:p w14:paraId="6B005786" w14:textId="77777777" w:rsidR="00673592" w:rsidRPr="002614B3" w:rsidRDefault="00673592" w:rsidP="00673592">
      <w:pPr>
        <w:jc w:val="both"/>
      </w:pPr>
      <w:r w:rsidRPr="002614B3">
        <w:tab/>
        <w:t>2. Unterlagen, aus denen folgende Angaben hervorgehen:</w:t>
      </w:r>
    </w:p>
    <w:p w14:paraId="072A8D58" w14:textId="77777777" w:rsidR="00673592" w:rsidRPr="002614B3" w:rsidRDefault="00673592" w:rsidP="00673592">
      <w:pPr>
        <w:jc w:val="both"/>
      </w:pPr>
    </w:p>
    <w:p w14:paraId="067D1E8C" w14:textId="77777777" w:rsidR="00673592" w:rsidRPr="002614B3" w:rsidRDefault="00673592" w:rsidP="00673592">
      <w:pPr>
        <w:jc w:val="both"/>
      </w:pPr>
      <w:r w:rsidRPr="002614B3">
        <w:tab/>
        <w:t>- Name der Gesellschaft, die die Dividenden zuerkannt hat,</w:t>
      </w:r>
    </w:p>
    <w:p w14:paraId="09098F78" w14:textId="77777777" w:rsidR="00673592" w:rsidRPr="002614B3" w:rsidRDefault="00673592" w:rsidP="00673592">
      <w:pPr>
        <w:jc w:val="both"/>
      </w:pPr>
    </w:p>
    <w:p w14:paraId="4ED1A152" w14:textId="77777777" w:rsidR="00673592" w:rsidRPr="00337995" w:rsidRDefault="00673592" w:rsidP="00673592">
      <w:pPr>
        <w:jc w:val="both"/>
      </w:pPr>
      <w:r w:rsidRPr="002614B3">
        <w:tab/>
      </w:r>
      <w:r w:rsidRPr="00337995">
        <w:t>- Bruttobetrag der Dividenden,</w:t>
      </w:r>
    </w:p>
    <w:p w14:paraId="5B269F81" w14:textId="77777777" w:rsidR="00673592" w:rsidRPr="00337995" w:rsidRDefault="00673592" w:rsidP="00673592">
      <w:pPr>
        <w:jc w:val="both"/>
      </w:pPr>
    </w:p>
    <w:p w14:paraId="73C1F419" w14:textId="77777777" w:rsidR="00673592" w:rsidRPr="002614B3" w:rsidRDefault="00673592" w:rsidP="00673592">
      <w:pPr>
        <w:jc w:val="both"/>
      </w:pPr>
      <w:r w:rsidRPr="00337995">
        <w:tab/>
      </w:r>
      <w:r w:rsidRPr="002614B3">
        <w:t>- Mobiliensteuervorabzugssatz unter Berücksichtigung der auf einem Abkommen zur Vermeidung der Doppelbesteuerung beruhenden Ermäßigungen,</w:t>
      </w:r>
    </w:p>
    <w:p w14:paraId="72BE53EC" w14:textId="77777777" w:rsidR="00673592" w:rsidRPr="002614B3" w:rsidRDefault="00673592" w:rsidP="00673592">
      <w:pPr>
        <w:jc w:val="both"/>
      </w:pPr>
    </w:p>
    <w:p w14:paraId="0AA673DB" w14:textId="77777777" w:rsidR="00673592" w:rsidRPr="002614B3" w:rsidRDefault="00673592" w:rsidP="00673592">
      <w:pPr>
        <w:jc w:val="both"/>
      </w:pPr>
      <w:r w:rsidRPr="002614B3">
        <w:tab/>
        <w:t>- Betrag des einbehaltenen Mobiliensteuervorabzugs, gegebenenfalls aufgegliedert nach Steuersätzen,</w:t>
      </w:r>
    </w:p>
    <w:p w14:paraId="2EB75A6C" w14:textId="77777777" w:rsidR="00673592" w:rsidRPr="002614B3" w:rsidRDefault="00673592" w:rsidP="00673592">
      <w:pPr>
        <w:jc w:val="both"/>
      </w:pPr>
    </w:p>
    <w:p w14:paraId="4B14AE1C" w14:textId="77777777" w:rsidR="00673592" w:rsidRPr="002614B3" w:rsidRDefault="00673592" w:rsidP="00673592">
      <w:pPr>
        <w:jc w:val="both"/>
      </w:pPr>
      <w:r w:rsidRPr="002614B3">
        <w:tab/>
        <w:t>- Datum, an dem die Dividenden von der Gesellschaft ausgeschüttet oder zuerkannt werden,</w:t>
      </w:r>
    </w:p>
    <w:p w14:paraId="73684FF2" w14:textId="77777777" w:rsidR="00673592" w:rsidRPr="002614B3" w:rsidRDefault="00673592" w:rsidP="00673592">
      <w:pPr>
        <w:jc w:val="both"/>
      </w:pPr>
    </w:p>
    <w:p w14:paraId="03CFE6B6" w14:textId="77777777" w:rsidR="00673592" w:rsidRPr="002614B3" w:rsidRDefault="00673592" w:rsidP="00673592">
      <w:pPr>
        <w:jc w:val="both"/>
      </w:pPr>
      <w:r w:rsidRPr="002614B3">
        <w:tab/>
        <w:t>- Datum, an dem die Dividenden vom Steuerpflichtigen bezogen werden.</w:t>
      </w:r>
    </w:p>
    <w:p w14:paraId="59D287E4" w14:textId="77777777" w:rsidR="00673592" w:rsidRPr="002614B3" w:rsidRDefault="00673592" w:rsidP="00673592">
      <w:pPr>
        <w:jc w:val="both"/>
      </w:pPr>
    </w:p>
    <w:p w14:paraId="584EE6A0" w14:textId="7CB4235F" w:rsidR="00673592" w:rsidRDefault="00673592" w:rsidP="00673592">
      <w:pPr>
        <w:jc w:val="both"/>
        <w:rPr>
          <w:rFonts w:eastAsia="Calibri"/>
          <w:lang w:eastAsia="de-DE" w:bidi="de-DE"/>
        </w:rPr>
      </w:pPr>
      <w:r w:rsidRPr="002614B3">
        <w:tab/>
        <w:t>Die in Absatz 2 Nr. 2 erwähnten Unterlagen werden ausgestellt von dem Finanzinstitut, bei dem der Steuerpflichtige das Konto führt, auf das die Dividenden gezahlt werden, von einem anderen Finanzinstitut, das bei der Ausschüttung der Dividenden als Vermittler aufgetreten ist, oder von der Gesellschaft, die die Dividenden zuerkannt hat.</w:t>
      </w:r>
      <w:r>
        <w:rPr>
          <w:rFonts w:eastAsia="Calibri"/>
          <w:lang w:eastAsia="de-DE" w:bidi="de-DE"/>
        </w:rPr>
        <w:t>]</w:t>
      </w:r>
    </w:p>
    <w:p w14:paraId="10D8EBD9" w14:textId="037BB61A" w:rsidR="0017246A" w:rsidRDefault="0017246A">
      <w:pPr>
        <w:rPr>
          <w:rFonts w:eastAsia="Calibri"/>
          <w:i/>
          <w:lang w:eastAsia="de-DE" w:bidi="de-DE"/>
        </w:rPr>
      </w:pPr>
    </w:p>
    <w:p w14:paraId="3C05ABD5" w14:textId="77777777" w:rsidR="007A4517" w:rsidRDefault="007A4517">
      <w:pPr>
        <w:rPr>
          <w:rFonts w:eastAsia="Calibri"/>
          <w:i/>
          <w:lang w:eastAsia="de-DE" w:bidi="de-DE"/>
        </w:rPr>
      </w:pPr>
    </w:p>
    <w:p w14:paraId="33F93E6C" w14:textId="3C6458CF" w:rsidR="003426CA" w:rsidRPr="00D21420" w:rsidRDefault="003426CA" w:rsidP="003426CA">
      <w:pPr>
        <w:jc w:val="center"/>
        <w:rPr>
          <w:lang w:eastAsia="de-DE" w:bidi="de-DE"/>
        </w:rPr>
      </w:pPr>
      <w:r w:rsidRPr="00D21420">
        <w:rPr>
          <w:rFonts w:eastAsia="Calibri"/>
          <w:i/>
          <w:lang w:eastAsia="de-DE" w:bidi="de-DE"/>
        </w:rPr>
        <w:t>Abschnitt 13</w:t>
      </w:r>
      <w:r w:rsidRPr="00D21420">
        <w:rPr>
          <w:rFonts w:eastAsia="Calibri"/>
          <w:lang w:eastAsia="de-DE" w:bidi="de-DE"/>
        </w:rPr>
        <w:t> - [</w:t>
      </w:r>
      <w:r w:rsidR="009808BC">
        <w:rPr>
          <w:rFonts w:eastAsia="Calibri"/>
          <w:lang w:eastAsia="de-DE" w:bidi="de-DE"/>
        </w:rPr>
        <w:t>[</w:t>
      </w:r>
      <w:r w:rsidR="009808BC" w:rsidRPr="00B6392E">
        <w:t>Einhaltung der Einbehaltungspflicht in Bezug auf Steuerschulden und nichtsteuerliche Schulden eines Unternehmers oder Subunternehmers</w:t>
      </w:r>
      <w:r w:rsidR="009808BC">
        <w:rPr>
          <w:rFonts w:eastAsia="Calibri"/>
          <w:lang w:eastAsia="de-DE" w:bidi="de-DE"/>
        </w:rPr>
        <w:t>]</w:t>
      </w:r>
    </w:p>
    <w:p w14:paraId="7BDC7751" w14:textId="77777777" w:rsidR="003426CA" w:rsidRPr="00D21420" w:rsidRDefault="003426CA" w:rsidP="003426CA">
      <w:pPr>
        <w:jc w:val="center"/>
        <w:rPr>
          <w:lang w:bidi="de-DE"/>
        </w:rPr>
      </w:pPr>
    </w:p>
    <w:p w14:paraId="53DA6692" w14:textId="77777777" w:rsidR="003426CA" w:rsidRPr="00D21420" w:rsidRDefault="003426CA" w:rsidP="003426CA">
      <w:pPr>
        <w:jc w:val="center"/>
        <w:rPr>
          <w:lang w:eastAsia="de-DE" w:bidi="de-DE"/>
        </w:rPr>
      </w:pPr>
      <w:r w:rsidRPr="00D21420">
        <w:rPr>
          <w:rFonts w:eastAsia="Calibri"/>
          <w:lang w:eastAsia="de-DE" w:bidi="de-DE"/>
        </w:rPr>
        <w:t>(Einkommensteuergesetzbuch 1992, Artikel 403, 404 und 406)]</w:t>
      </w:r>
    </w:p>
    <w:p w14:paraId="7C9DCA86" w14:textId="77777777" w:rsidR="003426CA" w:rsidRPr="00D21420" w:rsidRDefault="003426CA" w:rsidP="003426CA">
      <w:pPr>
        <w:jc w:val="both"/>
        <w:rPr>
          <w:lang w:bidi="de-DE"/>
        </w:rPr>
      </w:pPr>
    </w:p>
    <w:p w14:paraId="4C6F6E91" w14:textId="4C4C29A0" w:rsidR="003426CA" w:rsidRPr="00D21420" w:rsidRDefault="003426CA" w:rsidP="003426CA">
      <w:pPr>
        <w:jc w:val="both"/>
        <w:rPr>
          <w:i/>
          <w:lang w:eastAsia="de-DE" w:bidi="de-DE"/>
        </w:rPr>
      </w:pPr>
      <w:r w:rsidRPr="00D21420">
        <w:rPr>
          <w:rFonts w:eastAsia="Calibri"/>
          <w:i/>
          <w:lang w:eastAsia="de-DE" w:bidi="de-DE"/>
        </w:rPr>
        <w:t>[Überschrift von Abschnitt 13 ersetzt durch Art. 19 des K.E. vom 27. Dezember 2007 (B.S. vom 31. Dezember 2007</w:t>
      </w:r>
      <w:r w:rsidR="009808BC">
        <w:rPr>
          <w:rFonts w:eastAsia="Calibri"/>
          <w:i/>
          <w:lang w:eastAsia="de-DE" w:bidi="de-DE"/>
        </w:rPr>
        <w:t>) und abgeändert durch Art. 37</w:t>
      </w:r>
      <w:r w:rsidR="009808BC">
        <w:rPr>
          <w:i/>
          <w:lang w:eastAsia="de-DE"/>
        </w:rPr>
        <w:t xml:space="preserve"> des K.E. vom 9. Dezember 2019 (B.S. vom 16. Dezember 2019</w:t>
      </w:r>
      <w:r w:rsidRPr="00D21420">
        <w:rPr>
          <w:rFonts w:eastAsia="Calibri"/>
          <w:i/>
          <w:lang w:eastAsia="de-DE" w:bidi="de-DE"/>
        </w:rPr>
        <w:t>)]</w:t>
      </w:r>
    </w:p>
    <w:p w14:paraId="69F17C20" w14:textId="77777777" w:rsidR="003426CA" w:rsidRPr="00D21420" w:rsidRDefault="003426CA" w:rsidP="003426CA">
      <w:pPr>
        <w:jc w:val="both"/>
        <w:rPr>
          <w:lang w:bidi="de-DE"/>
        </w:rPr>
      </w:pPr>
    </w:p>
    <w:p w14:paraId="7033D474" w14:textId="77777777" w:rsidR="003426CA" w:rsidRPr="00D21420" w:rsidRDefault="003426CA" w:rsidP="003426CA">
      <w:pPr>
        <w:jc w:val="both"/>
        <w:rPr>
          <w:lang w:bidi="de-DE"/>
        </w:rPr>
      </w:pPr>
    </w:p>
    <w:p w14:paraId="02702B2B" w14:textId="1FFE8576" w:rsidR="003426CA" w:rsidRPr="00D21420" w:rsidRDefault="003426CA" w:rsidP="00C930F5">
      <w:pPr>
        <w:jc w:val="both"/>
        <w:rPr>
          <w:lang w:eastAsia="de-DE" w:bidi="de-DE"/>
        </w:rPr>
      </w:pPr>
      <w:r w:rsidRPr="00D21420">
        <w:rPr>
          <w:rFonts w:eastAsia="Calibri"/>
          <w:szCs w:val="22"/>
          <w:lang w:eastAsia="de-DE" w:bidi="de-DE"/>
        </w:rPr>
        <w:tab/>
      </w:r>
      <w:r w:rsidRPr="00D21420">
        <w:rPr>
          <w:rFonts w:eastAsia="Calibri"/>
          <w:b/>
          <w:lang w:eastAsia="de-DE" w:bidi="de-DE"/>
        </w:rPr>
        <w:t>Art. 207</w:t>
      </w:r>
      <w:r w:rsidRPr="00D21420">
        <w:rPr>
          <w:rFonts w:eastAsia="Calibri"/>
          <w:lang w:eastAsia="de-DE" w:bidi="de-DE"/>
        </w:rPr>
        <w:t> -</w:t>
      </w:r>
      <w:r w:rsidR="00C930F5">
        <w:rPr>
          <w:rFonts w:eastAsia="Calibri"/>
          <w:lang w:eastAsia="de-DE" w:bidi="de-DE"/>
        </w:rPr>
        <w:t xml:space="preserve"> </w:t>
      </w:r>
      <w:r w:rsidR="00C930F5">
        <w:rPr>
          <w:rFonts w:eastAsia="Calibri"/>
          <w:b/>
          <w:lang w:eastAsia="de-DE" w:bidi="de-DE"/>
        </w:rPr>
        <w:t>209</w:t>
      </w:r>
      <w:r w:rsidR="00C930F5">
        <w:rPr>
          <w:rFonts w:eastAsia="Calibri"/>
          <w:lang w:eastAsia="de-DE" w:bidi="de-DE"/>
        </w:rPr>
        <w:t xml:space="preserve"> -</w:t>
      </w:r>
      <w:r w:rsidRPr="00D21420">
        <w:rPr>
          <w:rFonts w:eastAsia="Calibri"/>
          <w:lang w:eastAsia="de-DE" w:bidi="de-DE"/>
        </w:rPr>
        <w:t xml:space="preserve"> [</w:t>
      </w:r>
      <w:r w:rsidR="00C930F5">
        <w:rPr>
          <w:rFonts w:eastAsia="Calibri"/>
          <w:lang w:eastAsia="de-DE" w:bidi="de-DE"/>
        </w:rPr>
        <w:t>...</w:t>
      </w:r>
      <w:r w:rsidRPr="00D21420">
        <w:rPr>
          <w:rFonts w:eastAsia="Calibri"/>
          <w:lang w:eastAsia="de-DE" w:bidi="de-DE"/>
        </w:rPr>
        <w:t>]</w:t>
      </w:r>
    </w:p>
    <w:p w14:paraId="2434BC02" w14:textId="77777777" w:rsidR="003426CA" w:rsidRPr="00D21420" w:rsidRDefault="003426CA" w:rsidP="003426CA">
      <w:pPr>
        <w:jc w:val="both"/>
        <w:rPr>
          <w:lang w:bidi="de-DE"/>
        </w:rPr>
      </w:pPr>
    </w:p>
    <w:p w14:paraId="161D52BA" w14:textId="4BFEA185" w:rsidR="003426CA" w:rsidRPr="00D21420" w:rsidRDefault="003426CA" w:rsidP="003426CA">
      <w:pPr>
        <w:jc w:val="both"/>
        <w:rPr>
          <w:i/>
          <w:lang w:eastAsia="de-DE" w:bidi="de-DE"/>
        </w:rPr>
      </w:pPr>
      <w:r w:rsidRPr="00D21420">
        <w:rPr>
          <w:rFonts w:eastAsia="Calibri"/>
          <w:i/>
          <w:lang w:eastAsia="de-DE" w:bidi="de-DE"/>
        </w:rPr>
        <w:t xml:space="preserve">[Art. 207 </w:t>
      </w:r>
      <w:r w:rsidR="00C930F5">
        <w:rPr>
          <w:rFonts w:eastAsia="Calibri"/>
          <w:i/>
          <w:lang w:eastAsia="de-DE" w:bidi="de-DE"/>
        </w:rPr>
        <w:t>bis 209 aufgehoben durch Art. 18 des K.E. vom 20. Dezember 2019 (I) (B.S. vom 24. Dezember 2019)</w:t>
      </w:r>
      <w:r w:rsidRPr="00D21420">
        <w:rPr>
          <w:rFonts w:eastAsia="Calibri"/>
          <w:i/>
          <w:lang w:eastAsia="de-DE" w:bidi="de-DE"/>
        </w:rPr>
        <w:t>]</w:t>
      </w:r>
    </w:p>
    <w:p w14:paraId="7D64F818" w14:textId="0A47CC60" w:rsidR="00673592" w:rsidRDefault="00673592">
      <w:pPr>
        <w:rPr>
          <w:rFonts w:eastAsia="Calibri"/>
          <w:szCs w:val="22"/>
          <w:lang w:eastAsia="de-DE" w:bidi="de-DE"/>
        </w:rPr>
      </w:pPr>
    </w:p>
    <w:p w14:paraId="7F7827DB" w14:textId="77777777" w:rsidR="00D86FA8" w:rsidRDefault="00D86FA8" w:rsidP="003426CA">
      <w:pPr>
        <w:jc w:val="both"/>
        <w:rPr>
          <w:rFonts w:eastAsia="Calibri"/>
          <w:szCs w:val="22"/>
          <w:lang w:eastAsia="de-DE" w:bidi="de-DE"/>
        </w:rPr>
      </w:pPr>
    </w:p>
    <w:p w14:paraId="5999F3DB" w14:textId="77777777" w:rsidR="009808BC" w:rsidRPr="00B6392E" w:rsidRDefault="003426CA" w:rsidP="009808BC">
      <w:pPr>
        <w:jc w:val="both"/>
      </w:pPr>
      <w:r w:rsidRPr="00D21420">
        <w:rPr>
          <w:rFonts w:eastAsia="Calibri"/>
          <w:szCs w:val="22"/>
          <w:lang w:eastAsia="de-DE" w:bidi="de-DE"/>
        </w:rPr>
        <w:tab/>
      </w:r>
      <w:r w:rsidRPr="00D21420">
        <w:rPr>
          <w:rFonts w:eastAsia="Calibri"/>
          <w:b/>
          <w:lang w:eastAsia="de-DE" w:bidi="de-DE"/>
        </w:rPr>
        <w:t>Art. 210</w:t>
      </w:r>
      <w:r w:rsidRPr="00D21420">
        <w:rPr>
          <w:rFonts w:eastAsia="Calibri"/>
          <w:lang w:eastAsia="de-DE" w:bidi="de-DE"/>
        </w:rPr>
        <w:t> - [</w:t>
      </w:r>
      <w:r w:rsidR="009808BC" w:rsidRPr="00B6392E">
        <w:t>Wurde die durch Artikel 55 des Gesetzbuches über die gütliche Beitreibung und die Zwangsbeitreibung von Steuerforderungen und nichtsteuerlichen Forderungen auferlegte Zahlung nicht getätigt, wird die in Artikel 393 des Einkommensteuer</w:t>
      </w:r>
      <w:r w:rsidR="009808BC" w:rsidRPr="00B6392E">
        <w:softHyphen/>
        <w:t>gesetzbuches 1992 erwähnte administrative Geldbuße für höchstens drei Verstöße um ein Achtel, ein Viertel oder die Hälfte der Geldbuße verringert, je nachdem, ob es sich um den ersten, zweiten beziehungsweise dritten Verstoß handelt, vorausgesetzt, die Person, die die Zahlung nicht getätigt hat, hatte einen Vertrag mit einem Unternehmer abgeschlossen, der zum Zeitpunkt des Vertragsabschlusses keine Steuerschulden und nichtsteuerlichen Schulden hatte, und zum Zeitpunkt der Feststellung des Verstoßes:</w:t>
      </w:r>
    </w:p>
    <w:p w14:paraId="022CFFD0" w14:textId="77777777" w:rsidR="009808BC" w:rsidRPr="00B6392E" w:rsidRDefault="009808BC" w:rsidP="009808BC">
      <w:pPr>
        <w:jc w:val="both"/>
      </w:pPr>
    </w:p>
    <w:p w14:paraId="135E8D95" w14:textId="77777777" w:rsidR="009808BC" w:rsidRPr="00B6392E" w:rsidRDefault="009808BC" w:rsidP="009808BC">
      <w:pPr>
        <w:jc w:val="both"/>
      </w:pPr>
      <w:r w:rsidRPr="00B6392E">
        <w:tab/>
        <w:t>1. hatte dieser Unternehmer entweder keine Steuerschulden und nichtsteuerlichen Schulden mehr</w:t>
      </w:r>
    </w:p>
    <w:p w14:paraId="2D6A3764" w14:textId="77777777" w:rsidR="009808BC" w:rsidRPr="00B6392E" w:rsidRDefault="009808BC" w:rsidP="009808BC">
      <w:pPr>
        <w:jc w:val="both"/>
      </w:pPr>
    </w:p>
    <w:p w14:paraId="73B36067" w14:textId="32364D52" w:rsidR="003426CA" w:rsidRPr="00D21420" w:rsidRDefault="009808BC" w:rsidP="009808BC">
      <w:pPr>
        <w:jc w:val="both"/>
        <w:rPr>
          <w:lang w:eastAsia="de-DE" w:bidi="de-DE"/>
        </w:rPr>
      </w:pPr>
      <w:r w:rsidRPr="00B6392E">
        <w:lastRenderedPageBreak/>
        <w:tab/>
        <w:t>2. oder hatte dieser Unternehmer noch Steuerschulden oder nichtsteuerliche Schulden und die Person, die die Zahlung nicht getätigt hat, hat die Zahlung auf Antrag der Verwaltung innerhalb der von ihr festgelegten Frist nachgeholt und der Nachweis dieser Zahlung ist erbracht worden.</w:t>
      </w:r>
      <w:r w:rsidR="003426CA" w:rsidRPr="00D21420">
        <w:rPr>
          <w:rFonts w:eastAsia="Calibri"/>
          <w:lang w:eastAsia="de-DE" w:bidi="de-DE"/>
        </w:rPr>
        <w:t>]</w:t>
      </w:r>
    </w:p>
    <w:p w14:paraId="438634F2" w14:textId="77777777" w:rsidR="003426CA" w:rsidRPr="00D21420" w:rsidRDefault="003426CA" w:rsidP="003426CA">
      <w:pPr>
        <w:jc w:val="both"/>
        <w:rPr>
          <w:lang w:bidi="de-DE"/>
        </w:rPr>
      </w:pPr>
    </w:p>
    <w:p w14:paraId="0EAA068D" w14:textId="3191FB5B" w:rsidR="003426CA" w:rsidRPr="00D21420" w:rsidRDefault="003426CA" w:rsidP="003426CA">
      <w:pPr>
        <w:jc w:val="both"/>
        <w:rPr>
          <w:i/>
          <w:lang w:eastAsia="de-DE" w:bidi="de-DE"/>
        </w:rPr>
      </w:pPr>
      <w:r w:rsidRPr="00D21420">
        <w:rPr>
          <w:rFonts w:eastAsia="Calibri"/>
          <w:i/>
          <w:lang w:eastAsia="de-DE" w:bidi="de-DE"/>
        </w:rPr>
        <w:t>[Art. 210 ersetzt durch Art. </w:t>
      </w:r>
      <w:r w:rsidR="009808BC">
        <w:rPr>
          <w:rFonts w:eastAsia="Calibri"/>
          <w:i/>
          <w:lang w:eastAsia="de-DE" w:bidi="de-DE"/>
        </w:rPr>
        <w:t>38</w:t>
      </w:r>
      <w:r w:rsidR="009808BC">
        <w:rPr>
          <w:i/>
          <w:lang w:eastAsia="de-DE"/>
        </w:rPr>
        <w:t xml:space="preserve"> des K.E. vom 9. Dezember 2019 (B.S. vom 16. Dezember 2019)</w:t>
      </w:r>
      <w:r w:rsidRPr="00D21420">
        <w:rPr>
          <w:rFonts w:eastAsia="Calibri"/>
          <w:i/>
          <w:lang w:eastAsia="de-DE" w:bidi="de-DE"/>
        </w:rPr>
        <w:t>]</w:t>
      </w:r>
    </w:p>
    <w:p w14:paraId="101EE1C3" w14:textId="3C1E1085" w:rsidR="002674EF" w:rsidRDefault="002674EF">
      <w:pPr>
        <w:rPr>
          <w:rFonts w:eastAsia="Calibri"/>
          <w:lang w:eastAsia="de-DE" w:bidi="de-DE"/>
        </w:rPr>
      </w:pPr>
    </w:p>
    <w:p w14:paraId="686C9767" w14:textId="77777777" w:rsidR="00D86FA8" w:rsidRDefault="00D86FA8">
      <w:pPr>
        <w:rPr>
          <w:rFonts w:eastAsia="Calibri"/>
          <w:lang w:eastAsia="de-DE" w:bidi="de-DE"/>
        </w:rPr>
      </w:pPr>
    </w:p>
    <w:p w14:paraId="48DFB32D" w14:textId="45D29E95" w:rsidR="005D3E82" w:rsidRDefault="005D3E82" w:rsidP="005D3E82">
      <w:pPr>
        <w:jc w:val="both"/>
        <w:rPr>
          <w:lang w:eastAsia="de-DE" w:bidi="de-DE"/>
        </w:rPr>
      </w:pPr>
      <w:r>
        <w:rPr>
          <w:rFonts w:eastAsia="Calibri"/>
          <w:lang w:eastAsia="de-DE" w:bidi="de-DE"/>
        </w:rPr>
        <w:t>[</w:t>
      </w:r>
      <w:r>
        <w:rPr>
          <w:rFonts w:eastAsia="Calibri"/>
          <w:i/>
          <w:lang w:eastAsia="de-DE" w:bidi="de-DE"/>
        </w:rPr>
        <w:t>Abschnitt 13bis</w:t>
      </w:r>
      <w:r>
        <w:rPr>
          <w:rFonts w:eastAsia="Calibri"/>
          <w:lang w:eastAsia="de-DE" w:bidi="de-DE"/>
        </w:rPr>
        <w:t> - [</w:t>
      </w:r>
      <w:r w:rsidRPr="005D3E82">
        <w:t xml:space="preserve">Einnahme des Berufssteuervorabzugs auf Mehrwerte, die von Gebietsfremden auf unbewegliche Güter verwirklicht werden, durch die Generalverwaltung </w:t>
      </w:r>
      <w:r w:rsidR="00306504">
        <w:t>Vermögungsdokumentation</w:t>
      </w:r>
      <w:r>
        <w:rPr>
          <w:rFonts w:eastAsia="Calibri"/>
          <w:lang w:eastAsia="de-DE" w:bidi="de-DE"/>
        </w:rPr>
        <w:t xml:space="preserve">] </w:t>
      </w:r>
    </w:p>
    <w:p w14:paraId="48E9B02D" w14:textId="77777777" w:rsidR="005D3E82" w:rsidRDefault="005D3E82" w:rsidP="005D3E82">
      <w:pPr>
        <w:jc w:val="both"/>
        <w:rPr>
          <w:lang w:bidi="de-DE"/>
        </w:rPr>
      </w:pPr>
    </w:p>
    <w:p w14:paraId="481890CE" w14:textId="77777777" w:rsidR="005D3E82" w:rsidRDefault="005D3E82" w:rsidP="005D3E82">
      <w:pPr>
        <w:jc w:val="center"/>
        <w:rPr>
          <w:lang w:eastAsia="de-DE" w:bidi="de-DE"/>
        </w:rPr>
      </w:pPr>
      <w:r>
        <w:rPr>
          <w:rFonts w:eastAsia="Calibri"/>
          <w:lang w:eastAsia="de-DE" w:bidi="de-DE"/>
        </w:rPr>
        <w:t>(Einkommensteuergesetzbuch 1992, Artikel 412</w:t>
      </w:r>
      <w:r>
        <w:rPr>
          <w:rFonts w:eastAsia="Calibri"/>
          <w:i/>
          <w:lang w:eastAsia="de-DE" w:bidi="de-DE"/>
        </w:rPr>
        <w:t>bis</w:t>
      </w:r>
      <w:r>
        <w:rPr>
          <w:rFonts w:eastAsia="Calibri"/>
          <w:lang w:eastAsia="de-DE" w:bidi="de-DE"/>
        </w:rPr>
        <w:t>)</w:t>
      </w:r>
    </w:p>
    <w:p w14:paraId="7177FC3C" w14:textId="77777777" w:rsidR="005D3E82" w:rsidRDefault="005D3E82" w:rsidP="005D3E82">
      <w:pPr>
        <w:jc w:val="both"/>
        <w:rPr>
          <w:lang w:bidi="de-DE"/>
        </w:rPr>
      </w:pPr>
    </w:p>
    <w:p w14:paraId="23147BFD" w14:textId="64D6B996" w:rsidR="005D3E82" w:rsidRDefault="005D3E82" w:rsidP="005D3E82">
      <w:pPr>
        <w:jc w:val="both"/>
        <w:rPr>
          <w:i/>
          <w:lang w:eastAsia="de-DE" w:bidi="de-DE"/>
        </w:rPr>
      </w:pPr>
      <w:r>
        <w:rPr>
          <w:rFonts w:eastAsia="Calibri"/>
          <w:i/>
          <w:lang w:eastAsia="de-DE" w:bidi="de-DE"/>
        </w:rPr>
        <w:t xml:space="preserve">[Abschnitt 13bis mit den Artikeln 210bis und 210ter eingefügt durch Art. 5 des K.E. vom 10. Januar 1997 (B.S. vom 11. Februar 1997); Überschrift von Abschnitt 13bis ersetzt durch Art. 1 des K.E. vom </w:t>
      </w:r>
      <w:r w:rsidR="00306504">
        <w:rPr>
          <w:rFonts w:eastAsia="Calibri"/>
          <w:i/>
          <w:lang w:eastAsia="de-DE" w:bidi="de-DE"/>
        </w:rPr>
        <w:t>21</w:t>
      </w:r>
      <w:r>
        <w:rPr>
          <w:rFonts w:eastAsia="Calibri"/>
          <w:i/>
          <w:lang w:eastAsia="de-DE" w:bidi="de-DE"/>
        </w:rPr>
        <w:t>. </w:t>
      </w:r>
      <w:r w:rsidR="00306504">
        <w:rPr>
          <w:rFonts w:eastAsia="Calibri"/>
          <w:i/>
          <w:lang w:eastAsia="de-DE" w:bidi="de-DE"/>
        </w:rPr>
        <w:t>Septe</w:t>
      </w:r>
      <w:r>
        <w:rPr>
          <w:rFonts w:eastAsia="Calibri"/>
          <w:i/>
          <w:lang w:eastAsia="de-DE" w:bidi="de-DE"/>
        </w:rPr>
        <w:t>mber 202</w:t>
      </w:r>
      <w:r w:rsidR="00306504">
        <w:rPr>
          <w:rFonts w:eastAsia="Calibri"/>
          <w:i/>
          <w:lang w:eastAsia="de-DE" w:bidi="de-DE"/>
        </w:rPr>
        <w:t>2</w:t>
      </w:r>
      <w:r>
        <w:rPr>
          <w:rFonts w:eastAsia="Calibri"/>
          <w:i/>
          <w:lang w:eastAsia="de-DE" w:bidi="de-DE"/>
        </w:rPr>
        <w:t xml:space="preserve"> (B.S. vom </w:t>
      </w:r>
      <w:r w:rsidR="00306504">
        <w:rPr>
          <w:rFonts w:eastAsia="Calibri"/>
          <w:i/>
          <w:lang w:eastAsia="de-DE" w:bidi="de-DE"/>
        </w:rPr>
        <w:t>13</w:t>
      </w:r>
      <w:r>
        <w:rPr>
          <w:rFonts w:eastAsia="Calibri"/>
          <w:i/>
          <w:lang w:eastAsia="de-DE" w:bidi="de-DE"/>
        </w:rPr>
        <w:t>. </w:t>
      </w:r>
      <w:r w:rsidR="00306504">
        <w:rPr>
          <w:rFonts w:eastAsia="Calibri"/>
          <w:i/>
          <w:lang w:eastAsia="de-DE" w:bidi="de-DE"/>
        </w:rPr>
        <w:t>Okto</w:t>
      </w:r>
      <w:r>
        <w:rPr>
          <w:rFonts w:eastAsia="Calibri"/>
          <w:i/>
          <w:lang w:eastAsia="de-DE" w:bidi="de-DE"/>
        </w:rPr>
        <w:t>ber 202</w:t>
      </w:r>
      <w:r w:rsidR="00306504">
        <w:rPr>
          <w:rFonts w:eastAsia="Calibri"/>
          <w:i/>
          <w:lang w:eastAsia="de-DE" w:bidi="de-DE"/>
        </w:rPr>
        <w:t>2</w:t>
      </w:r>
      <w:r>
        <w:rPr>
          <w:rFonts w:eastAsia="Calibri"/>
          <w:i/>
          <w:lang w:eastAsia="de-DE" w:bidi="de-DE"/>
        </w:rPr>
        <w:t>)]</w:t>
      </w:r>
    </w:p>
    <w:p w14:paraId="1F47581E" w14:textId="0E96C3BC" w:rsidR="003426CA" w:rsidRPr="00D21420" w:rsidRDefault="003426CA" w:rsidP="003426CA">
      <w:pPr>
        <w:jc w:val="both"/>
        <w:rPr>
          <w:i/>
          <w:lang w:eastAsia="de-DE" w:bidi="de-DE"/>
        </w:rPr>
      </w:pPr>
    </w:p>
    <w:p w14:paraId="0F0C2CA0" w14:textId="77777777" w:rsidR="003426CA" w:rsidRPr="00D21420" w:rsidRDefault="003426CA" w:rsidP="003426CA">
      <w:pPr>
        <w:jc w:val="both"/>
        <w:rPr>
          <w:lang w:bidi="de-DE"/>
        </w:rPr>
      </w:pPr>
    </w:p>
    <w:p w14:paraId="6118B2AA" w14:textId="77777777" w:rsidR="003426CA" w:rsidRPr="00D21420" w:rsidRDefault="003426CA" w:rsidP="003426CA">
      <w:pPr>
        <w:jc w:val="both"/>
        <w:rPr>
          <w:lang w:bidi="de-DE"/>
        </w:rPr>
      </w:pPr>
    </w:p>
    <w:p w14:paraId="5A6EB241" w14:textId="48379965" w:rsidR="003426CA" w:rsidRPr="00D21420" w:rsidRDefault="003426CA" w:rsidP="00805D28">
      <w:pPr>
        <w:jc w:val="both"/>
        <w:rPr>
          <w:lang w:eastAsia="de-DE" w:bidi="de-DE"/>
        </w:rPr>
      </w:pPr>
      <w:r w:rsidRPr="00D21420">
        <w:rPr>
          <w:rFonts w:eastAsia="Calibri"/>
          <w:szCs w:val="22"/>
          <w:lang w:eastAsia="de-DE" w:bidi="de-DE"/>
        </w:rPr>
        <w:tab/>
      </w:r>
      <w:r w:rsidRPr="00D21420">
        <w:rPr>
          <w:rFonts w:eastAsia="Calibri"/>
          <w:b/>
          <w:lang w:eastAsia="de-DE" w:bidi="de-DE"/>
        </w:rPr>
        <w:t>Art. 210</w:t>
      </w:r>
      <w:r w:rsidRPr="00D21420">
        <w:rPr>
          <w:rFonts w:eastAsia="Calibri"/>
          <w:b/>
          <w:i/>
          <w:lang w:eastAsia="de-DE" w:bidi="de-DE"/>
        </w:rPr>
        <w:t>bis</w:t>
      </w:r>
      <w:r w:rsidRPr="00D21420">
        <w:rPr>
          <w:rFonts w:eastAsia="Calibri"/>
          <w:lang w:eastAsia="de-DE" w:bidi="de-DE"/>
        </w:rPr>
        <w:t> - </w:t>
      </w:r>
      <w:r w:rsidR="00805D28">
        <w:rPr>
          <w:rFonts w:eastAsia="Calibri"/>
          <w:lang w:eastAsia="de-DE" w:bidi="de-DE"/>
        </w:rPr>
        <w:t>[...]</w:t>
      </w:r>
    </w:p>
    <w:p w14:paraId="63B95C93" w14:textId="77777777" w:rsidR="003426CA" w:rsidRPr="00D21420" w:rsidRDefault="003426CA" w:rsidP="003426CA">
      <w:pPr>
        <w:jc w:val="both"/>
        <w:rPr>
          <w:lang w:bidi="de-DE"/>
        </w:rPr>
      </w:pPr>
    </w:p>
    <w:p w14:paraId="592161FF" w14:textId="317A9EC9" w:rsidR="003426CA" w:rsidRPr="00C949AA" w:rsidRDefault="003426CA" w:rsidP="003426CA">
      <w:pPr>
        <w:jc w:val="both"/>
        <w:rPr>
          <w:i/>
          <w:lang w:eastAsia="de-DE" w:bidi="de-DE"/>
        </w:rPr>
      </w:pPr>
      <w:r w:rsidRPr="00D21420">
        <w:rPr>
          <w:rFonts w:eastAsia="Calibri"/>
          <w:i/>
          <w:lang w:eastAsia="de-DE" w:bidi="de-DE"/>
        </w:rPr>
        <w:t xml:space="preserve">[Art. 210bis </w:t>
      </w:r>
      <w:r w:rsidR="00805D28">
        <w:rPr>
          <w:rFonts w:eastAsia="Calibri"/>
          <w:i/>
          <w:lang w:eastAsia="de-DE" w:bidi="de-DE"/>
        </w:rPr>
        <w:t>aufgehoben durch Art. 10 Nr. 1 des K.E. vom 22. </w:t>
      </w:r>
      <w:r w:rsidR="00805D28" w:rsidRPr="00C949AA">
        <w:rPr>
          <w:rFonts w:eastAsia="Calibri"/>
          <w:i/>
          <w:lang w:eastAsia="de-DE" w:bidi="de-DE"/>
        </w:rPr>
        <w:t>Juni 2020 (B.S. vom 26. Juni 2020)</w:t>
      </w:r>
      <w:r w:rsidRPr="00C949AA">
        <w:rPr>
          <w:rFonts w:eastAsia="Calibri"/>
          <w:i/>
          <w:lang w:eastAsia="de-DE" w:bidi="de-DE"/>
        </w:rPr>
        <w:t>]</w:t>
      </w:r>
    </w:p>
    <w:p w14:paraId="70B9515F" w14:textId="77777777" w:rsidR="003426CA" w:rsidRPr="00C949AA" w:rsidRDefault="003426CA" w:rsidP="003426CA">
      <w:pPr>
        <w:jc w:val="both"/>
        <w:rPr>
          <w:lang w:bidi="de-DE"/>
        </w:rPr>
      </w:pPr>
    </w:p>
    <w:p w14:paraId="10738C45" w14:textId="77777777" w:rsidR="003426CA" w:rsidRPr="00C949AA" w:rsidRDefault="003426CA" w:rsidP="003426CA">
      <w:pPr>
        <w:jc w:val="both"/>
        <w:rPr>
          <w:lang w:bidi="de-DE"/>
        </w:rPr>
      </w:pPr>
    </w:p>
    <w:p w14:paraId="3BD8F621" w14:textId="11D40602" w:rsidR="003426CA" w:rsidRPr="00D21420" w:rsidRDefault="003426CA" w:rsidP="003426CA">
      <w:pPr>
        <w:jc w:val="both"/>
        <w:rPr>
          <w:lang w:eastAsia="de-DE" w:bidi="de-DE"/>
        </w:rPr>
      </w:pPr>
      <w:r w:rsidRPr="00C949AA">
        <w:rPr>
          <w:rFonts w:eastAsia="Calibri"/>
          <w:szCs w:val="22"/>
          <w:lang w:eastAsia="de-DE" w:bidi="de-DE"/>
        </w:rPr>
        <w:tab/>
      </w:r>
      <w:r w:rsidRPr="00D21420">
        <w:rPr>
          <w:rFonts w:eastAsia="Calibri"/>
          <w:b/>
          <w:lang w:eastAsia="de-DE" w:bidi="de-DE"/>
        </w:rPr>
        <w:t>Art. 210</w:t>
      </w:r>
      <w:r w:rsidRPr="00D21420">
        <w:rPr>
          <w:rFonts w:eastAsia="Calibri"/>
          <w:b/>
          <w:i/>
          <w:lang w:eastAsia="de-DE" w:bidi="de-DE"/>
        </w:rPr>
        <w:t>ter</w:t>
      </w:r>
      <w:r w:rsidRPr="00D21420">
        <w:rPr>
          <w:rFonts w:eastAsia="Calibri"/>
          <w:lang w:eastAsia="de-DE" w:bidi="de-DE"/>
        </w:rPr>
        <w:t> - [</w:t>
      </w:r>
      <w:r w:rsidR="00805D28" w:rsidRPr="00D90C2B">
        <w:t>Die Angaben, die in der in Artikel 412</w:t>
      </w:r>
      <w:r w:rsidR="00805D28" w:rsidRPr="00D90C2B">
        <w:rPr>
          <w:i/>
        </w:rPr>
        <w:t>bis</w:t>
      </w:r>
      <w:r w:rsidR="00805D28" w:rsidRPr="00D90C2B">
        <w:t xml:space="preserve"> des Einkommensteuer</w:t>
      </w:r>
      <w:r w:rsidR="00805D28" w:rsidRPr="00D90C2B">
        <w:softHyphen/>
        <w:t>gesetzbuches 1992 erwähnten Meldung enthalten sein müssen, sind in Anlage 4 zum Königlichen Erlass vom 22. Juni 2020 zur Ausführung der Artikel 93</w:t>
      </w:r>
      <w:r w:rsidR="00805D28" w:rsidRPr="00D90C2B">
        <w:rPr>
          <w:i/>
        </w:rPr>
        <w:t>ter</w:t>
      </w:r>
      <w:r w:rsidR="00805D28" w:rsidRPr="00D90C2B">
        <w:t xml:space="preserve"> bis 93</w:t>
      </w:r>
      <w:r w:rsidR="00805D28" w:rsidRPr="00D90C2B">
        <w:rPr>
          <w:i/>
        </w:rPr>
        <w:t>quinquies</w:t>
      </w:r>
      <w:r w:rsidR="00805D28" w:rsidRPr="00D90C2B">
        <w:t xml:space="preserve"> des Mehrwertsteuergesetzbuches, der Artikel 412</w:t>
      </w:r>
      <w:r w:rsidR="00805D28" w:rsidRPr="00D90C2B">
        <w:rPr>
          <w:i/>
        </w:rPr>
        <w:t>bis</w:t>
      </w:r>
      <w:r w:rsidR="00805D28" w:rsidRPr="00D90C2B">
        <w:t>, 433 bis 435 des Einkommensteuer</w:t>
      </w:r>
      <w:r w:rsidR="00805D28" w:rsidRPr="00D90C2B">
        <w:softHyphen/>
        <w:t>gesetzbuches 1992, der Artikel 35 bis 37, 43 bis 45 und 47 des Gesetzbuches über die gütliche Beitreibung und die Zwangsbeitreibung von Steuerforderungen und nichtsteuerlichen Forderungen und der Artikel 157 bis 159 und 161 des Programmgesetzes (I) vom 29. März 2012 im Bereich E-Notariat aufgenommen.</w:t>
      </w:r>
      <w:r w:rsidRPr="00D21420">
        <w:rPr>
          <w:rFonts w:eastAsia="Calibri"/>
          <w:lang w:eastAsia="de-DE" w:bidi="de-DE"/>
        </w:rPr>
        <w:t>]]</w:t>
      </w:r>
    </w:p>
    <w:p w14:paraId="0D671946" w14:textId="77777777" w:rsidR="003426CA" w:rsidRPr="00D21420" w:rsidRDefault="003426CA" w:rsidP="003426CA">
      <w:pPr>
        <w:rPr>
          <w:lang w:bidi="de-DE"/>
        </w:rPr>
      </w:pPr>
    </w:p>
    <w:p w14:paraId="47413845" w14:textId="707C13F3" w:rsidR="003426CA" w:rsidRPr="00C949AA" w:rsidRDefault="003426CA" w:rsidP="003426CA">
      <w:pPr>
        <w:jc w:val="both"/>
        <w:rPr>
          <w:i/>
          <w:lang w:eastAsia="de-DE" w:bidi="de-DE"/>
        </w:rPr>
      </w:pPr>
      <w:r w:rsidRPr="00D21420">
        <w:rPr>
          <w:rFonts w:eastAsia="Calibri"/>
          <w:i/>
          <w:lang w:eastAsia="de-DE" w:bidi="de-DE"/>
        </w:rPr>
        <w:t>[Art. 210ter ersetzt durch Art. </w:t>
      </w:r>
      <w:r w:rsidR="00805D28">
        <w:rPr>
          <w:rFonts w:eastAsia="Calibri"/>
          <w:i/>
          <w:lang w:eastAsia="de-DE" w:bidi="de-DE"/>
        </w:rPr>
        <w:t>8 des K.E. vom 22. </w:t>
      </w:r>
      <w:r w:rsidR="00805D28" w:rsidRPr="00C949AA">
        <w:rPr>
          <w:rFonts w:eastAsia="Calibri"/>
          <w:i/>
          <w:lang w:eastAsia="de-DE" w:bidi="de-DE"/>
        </w:rPr>
        <w:t>Juni 2020 (B.S. vom 26. Juni 2020)</w:t>
      </w:r>
      <w:r w:rsidRPr="00C949AA">
        <w:rPr>
          <w:rFonts w:eastAsia="Calibri"/>
          <w:i/>
          <w:lang w:eastAsia="de-DE" w:bidi="de-DE"/>
        </w:rPr>
        <w:t>]</w:t>
      </w:r>
    </w:p>
    <w:p w14:paraId="2C187E7E" w14:textId="77777777" w:rsidR="003426CA" w:rsidRPr="00C949AA" w:rsidRDefault="003426CA" w:rsidP="003426CA">
      <w:pPr>
        <w:jc w:val="both"/>
        <w:rPr>
          <w:lang w:bidi="de-DE"/>
        </w:rPr>
      </w:pPr>
    </w:p>
    <w:p w14:paraId="42B96FEE" w14:textId="77777777" w:rsidR="003426CA" w:rsidRPr="00C949AA" w:rsidRDefault="003426CA" w:rsidP="003426CA">
      <w:pPr>
        <w:jc w:val="both"/>
        <w:rPr>
          <w:lang w:bidi="de-DE"/>
        </w:rPr>
      </w:pPr>
    </w:p>
    <w:p w14:paraId="3FD08EDB" w14:textId="35EEB262" w:rsidR="004F124A" w:rsidRPr="000B04B1" w:rsidRDefault="004F124A" w:rsidP="000B04B1">
      <w:pPr>
        <w:jc w:val="center"/>
        <w:rPr>
          <w:lang w:eastAsia="de-DE" w:bidi="de-DE"/>
        </w:rPr>
      </w:pPr>
      <w:r w:rsidRPr="00D21420">
        <w:rPr>
          <w:rFonts w:eastAsia="Calibri"/>
          <w:i/>
          <w:lang w:eastAsia="de-DE" w:bidi="de-DE"/>
        </w:rPr>
        <w:t>Abschnitt 14</w:t>
      </w:r>
      <w:r w:rsidRPr="00D21420">
        <w:rPr>
          <w:rFonts w:eastAsia="Calibri"/>
          <w:lang w:eastAsia="de-DE" w:bidi="de-DE"/>
        </w:rPr>
        <w:t xml:space="preserve"> - </w:t>
      </w:r>
      <w:r w:rsidRPr="000B04B1">
        <w:rPr>
          <w:rFonts w:eastAsia="Calibri"/>
          <w:lang w:eastAsia="de-DE" w:bidi="de-DE"/>
        </w:rPr>
        <w:t>[...]</w:t>
      </w:r>
    </w:p>
    <w:p w14:paraId="3F054AB0" w14:textId="77777777" w:rsidR="004F124A" w:rsidRPr="000B04B1" w:rsidRDefault="004F124A" w:rsidP="004F124A">
      <w:pPr>
        <w:jc w:val="both"/>
        <w:rPr>
          <w:lang w:bidi="de-DE"/>
        </w:rPr>
      </w:pPr>
    </w:p>
    <w:p w14:paraId="490F27B1" w14:textId="77777777" w:rsidR="004F124A" w:rsidRPr="000B04B1" w:rsidRDefault="004F124A" w:rsidP="004F124A">
      <w:pPr>
        <w:jc w:val="both"/>
        <w:rPr>
          <w:iCs/>
          <w:lang w:bidi="de-DE"/>
        </w:rPr>
      </w:pPr>
      <w:r w:rsidRPr="000B04B1">
        <w:rPr>
          <w:i/>
          <w:iCs/>
          <w:lang w:bidi="de-DE"/>
        </w:rPr>
        <w:t>[Abschnitt 14 mit den Artikeln 211 bis 219 aufgehoben durch Art. 136 Nr. 2 des G. vom 13. April 2019 (B.S. vom 30. April 2019)]</w:t>
      </w:r>
    </w:p>
    <w:p w14:paraId="65727E66" w14:textId="77777777" w:rsidR="004F124A" w:rsidRPr="000B04B1" w:rsidRDefault="004F124A" w:rsidP="004F124A">
      <w:pPr>
        <w:jc w:val="both"/>
        <w:rPr>
          <w:lang w:bidi="de-DE"/>
        </w:rPr>
      </w:pPr>
    </w:p>
    <w:p w14:paraId="74680BBC" w14:textId="77777777" w:rsidR="004F124A" w:rsidRPr="000B04B1" w:rsidRDefault="004F124A" w:rsidP="004F124A">
      <w:pPr>
        <w:jc w:val="both"/>
        <w:rPr>
          <w:lang w:bidi="de-DE"/>
        </w:rPr>
      </w:pPr>
    </w:p>
    <w:p w14:paraId="56970EBA" w14:textId="0B3B56F6" w:rsidR="004F124A" w:rsidRPr="000B04B1" w:rsidRDefault="004F124A" w:rsidP="000B04B1">
      <w:pPr>
        <w:ind w:firstLine="708"/>
        <w:jc w:val="both"/>
        <w:rPr>
          <w:i/>
          <w:lang w:eastAsia="de-DE" w:bidi="de-DE"/>
        </w:rPr>
      </w:pPr>
      <w:r w:rsidRPr="000B04B1">
        <w:rPr>
          <w:rFonts w:eastAsia="Calibri"/>
          <w:b/>
          <w:lang w:eastAsia="de-DE" w:bidi="de-DE"/>
        </w:rPr>
        <w:t xml:space="preserve">Art. 211 - </w:t>
      </w:r>
      <w:r w:rsidRPr="000B04B1">
        <w:rPr>
          <w:rFonts w:eastAsia="Calibri"/>
          <w:b/>
          <w:bCs/>
          <w:lang w:eastAsia="de-DE" w:bidi="de-DE"/>
        </w:rPr>
        <w:t>219</w:t>
      </w:r>
      <w:r w:rsidRPr="000B04B1">
        <w:rPr>
          <w:rFonts w:eastAsia="Calibri"/>
          <w:bCs/>
          <w:lang w:eastAsia="de-DE" w:bidi="de-DE"/>
        </w:rPr>
        <w:t xml:space="preserve"> </w:t>
      </w:r>
      <w:r w:rsidRPr="000B04B1">
        <w:rPr>
          <w:rFonts w:eastAsia="Calibri"/>
          <w:lang w:eastAsia="de-DE" w:bidi="de-DE"/>
        </w:rPr>
        <w:t>- [...]]</w:t>
      </w:r>
    </w:p>
    <w:p w14:paraId="7C1CD0E8" w14:textId="77777777" w:rsidR="004F124A" w:rsidRPr="000B04B1" w:rsidRDefault="004F124A" w:rsidP="004F124A">
      <w:pPr>
        <w:jc w:val="both"/>
        <w:rPr>
          <w:i/>
          <w:lang w:eastAsia="de-DE" w:bidi="de-DE"/>
        </w:rPr>
      </w:pPr>
    </w:p>
    <w:p w14:paraId="78873E3A" w14:textId="77777777" w:rsidR="004F124A" w:rsidRPr="000B04B1" w:rsidRDefault="004F124A" w:rsidP="004F124A">
      <w:pPr>
        <w:jc w:val="both"/>
        <w:rPr>
          <w:lang w:bidi="de-DE"/>
        </w:rPr>
      </w:pPr>
    </w:p>
    <w:p w14:paraId="24070311" w14:textId="77777777" w:rsidR="004A331E" w:rsidRDefault="004A331E">
      <w:pPr>
        <w:rPr>
          <w:rFonts w:eastAsia="Calibri"/>
          <w:i/>
          <w:lang w:eastAsia="de-DE" w:bidi="de-DE"/>
        </w:rPr>
      </w:pPr>
      <w:r>
        <w:rPr>
          <w:rFonts w:eastAsia="Calibri"/>
          <w:i/>
          <w:lang w:eastAsia="de-DE" w:bidi="de-DE"/>
        </w:rPr>
        <w:br w:type="page"/>
      </w:r>
    </w:p>
    <w:p w14:paraId="3155AF5E" w14:textId="711A965B" w:rsidR="004F124A" w:rsidRPr="000B04B1" w:rsidRDefault="004F124A" w:rsidP="000B04B1">
      <w:pPr>
        <w:jc w:val="center"/>
        <w:rPr>
          <w:lang w:eastAsia="de-DE" w:bidi="de-DE"/>
        </w:rPr>
      </w:pPr>
      <w:r w:rsidRPr="00D21420">
        <w:rPr>
          <w:rFonts w:eastAsia="Calibri"/>
          <w:i/>
          <w:lang w:eastAsia="de-DE" w:bidi="de-DE"/>
        </w:rPr>
        <w:lastRenderedPageBreak/>
        <w:t>Abschnitt 15</w:t>
      </w:r>
      <w:r w:rsidRPr="00D21420">
        <w:rPr>
          <w:rFonts w:eastAsia="Calibri"/>
          <w:lang w:eastAsia="de-DE" w:bidi="de-DE"/>
        </w:rPr>
        <w:t xml:space="preserve"> - </w:t>
      </w:r>
      <w:r w:rsidRPr="000B04B1">
        <w:rPr>
          <w:rFonts w:eastAsia="Calibri"/>
          <w:lang w:eastAsia="de-DE" w:bidi="de-DE"/>
        </w:rPr>
        <w:t>[...]</w:t>
      </w:r>
    </w:p>
    <w:p w14:paraId="3F357FFE" w14:textId="77777777" w:rsidR="004F124A" w:rsidRPr="000B04B1" w:rsidRDefault="004F124A" w:rsidP="004F124A">
      <w:pPr>
        <w:jc w:val="both"/>
        <w:rPr>
          <w:lang w:bidi="de-DE"/>
        </w:rPr>
      </w:pPr>
    </w:p>
    <w:p w14:paraId="027BFAC2" w14:textId="77777777" w:rsidR="004F124A" w:rsidRPr="000B04B1" w:rsidRDefault="004F124A" w:rsidP="004F124A">
      <w:pPr>
        <w:jc w:val="both"/>
        <w:rPr>
          <w:iCs/>
          <w:lang w:bidi="de-DE"/>
        </w:rPr>
      </w:pPr>
      <w:r w:rsidRPr="000B04B1">
        <w:rPr>
          <w:i/>
          <w:iCs/>
          <w:lang w:bidi="de-DE"/>
        </w:rPr>
        <w:t>[Abschnitt 15 mit den Artikeln 220 bis 224 aufgehoben durch Art. 136 Nr. 3 des G. vom 13. April 2019 (B.S. vom 30. April 2019)]</w:t>
      </w:r>
    </w:p>
    <w:p w14:paraId="694FA2E4" w14:textId="77777777" w:rsidR="004F124A" w:rsidRPr="000B04B1" w:rsidRDefault="004F124A" w:rsidP="004F124A">
      <w:pPr>
        <w:jc w:val="both"/>
        <w:rPr>
          <w:lang w:bidi="de-DE"/>
        </w:rPr>
      </w:pPr>
    </w:p>
    <w:p w14:paraId="2F28EA6F" w14:textId="77777777" w:rsidR="004F124A" w:rsidRPr="000B04B1" w:rsidRDefault="004F124A" w:rsidP="004F124A">
      <w:pPr>
        <w:jc w:val="both"/>
        <w:rPr>
          <w:lang w:bidi="de-DE"/>
        </w:rPr>
      </w:pPr>
    </w:p>
    <w:p w14:paraId="2923B3D3" w14:textId="0460EE03" w:rsidR="004F124A" w:rsidRPr="000B04B1" w:rsidRDefault="004F124A" w:rsidP="000B04B1">
      <w:pPr>
        <w:ind w:firstLine="708"/>
        <w:jc w:val="both"/>
        <w:rPr>
          <w:rFonts w:eastAsia="Calibri"/>
          <w:lang w:eastAsia="de-DE" w:bidi="de-DE"/>
        </w:rPr>
      </w:pPr>
      <w:r w:rsidRPr="000B04B1">
        <w:rPr>
          <w:rFonts w:eastAsia="Calibri"/>
          <w:b/>
          <w:lang w:eastAsia="de-DE" w:bidi="de-DE"/>
        </w:rPr>
        <w:t xml:space="preserve">Art. 220 - </w:t>
      </w:r>
      <w:r w:rsidRPr="000B04B1">
        <w:rPr>
          <w:rFonts w:eastAsia="Calibri"/>
          <w:b/>
          <w:bCs/>
          <w:lang w:eastAsia="de-DE" w:bidi="de-DE"/>
        </w:rPr>
        <w:t>224</w:t>
      </w:r>
      <w:r w:rsidRPr="000B04B1">
        <w:rPr>
          <w:rFonts w:eastAsia="Calibri"/>
          <w:bCs/>
          <w:lang w:eastAsia="de-DE" w:bidi="de-DE"/>
        </w:rPr>
        <w:t xml:space="preserve"> </w:t>
      </w:r>
      <w:r w:rsidRPr="000B04B1">
        <w:rPr>
          <w:rFonts w:eastAsia="Calibri"/>
          <w:lang w:eastAsia="de-DE" w:bidi="de-DE"/>
        </w:rPr>
        <w:t>- [...]]</w:t>
      </w:r>
    </w:p>
    <w:p w14:paraId="45C4FECB" w14:textId="77777777" w:rsidR="004F124A" w:rsidRDefault="004F124A" w:rsidP="004F124A">
      <w:pPr>
        <w:jc w:val="both"/>
        <w:rPr>
          <w:rFonts w:eastAsia="Calibri"/>
          <w:sz w:val="20"/>
          <w:lang w:eastAsia="de-DE" w:bidi="de-DE"/>
        </w:rPr>
      </w:pPr>
    </w:p>
    <w:p w14:paraId="223069CD" w14:textId="77777777" w:rsidR="004F124A" w:rsidRDefault="004F124A" w:rsidP="003426CA">
      <w:pPr>
        <w:jc w:val="center"/>
        <w:rPr>
          <w:rFonts w:eastAsia="Calibri"/>
          <w:i/>
          <w:lang w:eastAsia="de-DE" w:bidi="de-DE"/>
        </w:rPr>
      </w:pPr>
    </w:p>
    <w:p w14:paraId="679D0AC2" w14:textId="1D9E8E6F" w:rsidR="003426CA" w:rsidRPr="00D21420" w:rsidRDefault="003426CA" w:rsidP="003426CA">
      <w:pPr>
        <w:jc w:val="center"/>
        <w:rPr>
          <w:lang w:eastAsia="de-DE" w:bidi="de-DE"/>
        </w:rPr>
      </w:pPr>
      <w:r w:rsidRPr="00D21420">
        <w:rPr>
          <w:rFonts w:eastAsia="Calibri"/>
          <w:i/>
          <w:lang w:eastAsia="de-DE" w:bidi="de-DE"/>
        </w:rPr>
        <w:t>Abschnitt 16</w:t>
      </w:r>
      <w:r w:rsidRPr="00D21420">
        <w:rPr>
          <w:rFonts w:eastAsia="Calibri"/>
          <w:lang w:eastAsia="de-DE" w:bidi="de-DE"/>
        </w:rPr>
        <w:t xml:space="preserve"> - Tabelle der Steuerzuschläge </w:t>
      </w:r>
    </w:p>
    <w:p w14:paraId="0EB291C4" w14:textId="77777777" w:rsidR="003426CA" w:rsidRPr="00D21420" w:rsidRDefault="003426CA" w:rsidP="003426CA">
      <w:pPr>
        <w:jc w:val="center"/>
        <w:rPr>
          <w:lang w:bidi="de-DE"/>
        </w:rPr>
      </w:pPr>
    </w:p>
    <w:p w14:paraId="738EC525" w14:textId="77777777" w:rsidR="003426CA" w:rsidRPr="00D21420" w:rsidRDefault="003426CA" w:rsidP="003426CA">
      <w:pPr>
        <w:jc w:val="center"/>
        <w:rPr>
          <w:lang w:eastAsia="de-DE" w:bidi="de-DE"/>
        </w:rPr>
      </w:pPr>
      <w:r w:rsidRPr="00D21420">
        <w:rPr>
          <w:rFonts w:eastAsia="Calibri"/>
          <w:lang w:eastAsia="de-DE" w:bidi="de-DE"/>
        </w:rPr>
        <w:t>(Einkommensteuergesetzbuch 1992, Artikel 444)</w:t>
      </w:r>
    </w:p>
    <w:p w14:paraId="472E1E71" w14:textId="77777777" w:rsidR="003426CA" w:rsidRPr="00D21420" w:rsidRDefault="003426CA" w:rsidP="003426CA">
      <w:pPr>
        <w:jc w:val="both"/>
        <w:rPr>
          <w:lang w:bidi="de-DE"/>
        </w:rPr>
      </w:pPr>
    </w:p>
    <w:p w14:paraId="4F52B495" w14:textId="77777777" w:rsidR="003426CA" w:rsidRPr="00D21420" w:rsidRDefault="003426CA" w:rsidP="003426CA">
      <w:pPr>
        <w:jc w:val="both"/>
        <w:rPr>
          <w:lang w:bidi="de-DE"/>
        </w:rPr>
      </w:pPr>
    </w:p>
    <w:p w14:paraId="32E6A8AC" w14:textId="435581AE"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225</w:t>
      </w:r>
      <w:r w:rsidRPr="00D21420">
        <w:rPr>
          <w:rFonts w:eastAsia="Calibri"/>
          <w:lang w:eastAsia="de-DE" w:bidi="de-DE"/>
        </w:rPr>
        <w:t> </w:t>
      </w:r>
      <w:r w:rsidR="000C6F2A">
        <w:rPr>
          <w:rFonts w:eastAsia="Calibri"/>
          <w:lang w:eastAsia="de-DE" w:bidi="de-DE"/>
        </w:rPr>
        <w:t>–</w:t>
      </w:r>
      <w:r w:rsidRPr="00D21420">
        <w:rPr>
          <w:rFonts w:eastAsia="Calibri"/>
          <w:lang w:eastAsia="de-DE" w:bidi="de-DE"/>
        </w:rPr>
        <w:t xml:space="preserve"> </w:t>
      </w:r>
      <w:r w:rsidR="000C6F2A">
        <w:rPr>
          <w:rFonts w:eastAsia="Calibri"/>
          <w:lang w:eastAsia="de-DE" w:bidi="de-DE"/>
        </w:rPr>
        <w:t>[</w:t>
      </w:r>
      <w:r w:rsidRPr="00D21420">
        <w:rPr>
          <w:rFonts w:eastAsia="Calibri"/>
          <w:lang w:eastAsia="de-DE" w:bidi="de-DE"/>
        </w:rPr>
        <w:t xml:space="preserve">Die Tabelle der Steuerzuschläge, die bei Nichtabgabe </w:t>
      </w:r>
      <w:r w:rsidR="000C6F2A" w:rsidRPr="000C6F2A">
        <w:rPr>
          <w:rFonts w:eastAsia="Calibri"/>
          <w:lang w:eastAsia="de-DE" w:bidi="de-DE"/>
        </w:rPr>
        <w:t xml:space="preserve">oder verspäteter Einreichung </w:t>
      </w:r>
      <w:r w:rsidRPr="00D21420">
        <w:rPr>
          <w:rFonts w:eastAsia="Calibri"/>
          <w:lang w:eastAsia="de-DE" w:bidi="de-DE"/>
        </w:rPr>
        <w:t>einer Erklärung anwendbar sind, die sich nicht auf den Mobilien- oder Berufssteuervorabzug bezieht, wird wie folgt festgelegt:</w:t>
      </w:r>
    </w:p>
    <w:p w14:paraId="7569E847" w14:textId="0A355E84" w:rsidR="00EE13DE" w:rsidRPr="00CF2BB7" w:rsidRDefault="00EE13DE" w:rsidP="00EE13DE">
      <w:pPr>
        <w:jc w:val="both"/>
      </w:pPr>
    </w:p>
    <w:tbl>
      <w:tblPr>
        <w:tblStyle w:val="Grilledutableau"/>
        <w:tblW w:w="0" w:type="auto"/>
        <w:tblLook w:val="04A0" w:firstRow="1" w:lastRow="0" w:firstColumn="1" w:lastColumn="0" w:noHBand="0" w:noVBand="1"/>
      </w:tblPr>
      <w:tblGrid>
        <w:gridCol w:w="6090"/>
        <w:gridCol w:w="2970"/>
      </w:tblGrid>
      <w:tr w:rsidR="00EE13DE" w14:paraId="7CE5229F" w14:textId="77777777" w:rsidTr="00EE13DE">
        <w:trPr>
          <w:trHeight w:val="567"/>
        </w:trPr>
        <w:tc>
          <w:tcPr>
            <w:tcW w:w="6090" w:type="dxa"/>
            <w:vAlign w:val="center"/>
          </w:tcPr>
          <w:p w14:paraId="7B00E40D" w14:textId="6D9E5D61" w:rsidR="00EE13DE" w:rsidRDefault="00EE13DE" w:rsidP="00F42A16">
            <w:pPr>
              <w:jc w:val="center"/>
            </w:pPr>
            <w:r>
              <w:t>Art der Verstöße</w:t>
            </w:r>
          </w:p>
        </w:tc>
        <w:tc>
          <w:tcPr>
            <w:tcW w:w="2970" w:type="dxa"/>
            <w:vAlign w:val="center"/>
          </w:tcPr>
          <w:p w14:paraId="6C39B517" w14:textId="77777777" w:rsidR="00EE13DE" w:rsidRDefault="00EE13DE" w:rsidP="00F42A16">
            <w:pPr>
              <w:jc w:val="center"/>
            </w:pPr>
            <w:r>
              <w:t>Zuschläge</w:t>
            </w:r>
          </w:p>
        </w:tc>
      </w:tr>
      <w:tr w:rsidR="00EE13DE" w:rsidRPr="00D601AD" w14:paraId="0EB67168" w14:textId="77777777" w:rsidTr="00EE13DE">
        <w:trPr>
          <w:trHeight w:val="567"/>
        </w:trPr>
        <w:tc>
          <w:tcPr>
            <w:tcW w:w="6090" w:type="dxa"/>
            <w:vAlign w:val="center"/>
          </w:tcPr>
          <w:p w14:paraId="7D6E23EC" w14:textId="77777777" w:rsidR="00EE13DE" w:rsidRPr="00D601AD" w:rsidRDefault="00EE13DE" w:rsidP="00F42A16">
            <w:pPr>
              <w:jc w:val="both"/>
            </w:pPr>
            <w:r>
              <w:t>A. Nichtabgabe oder verspätete Einreichung der Erklärung aus Gründen, die unabhängig vom Willen des Steuer</w:t>
            </w:r>
            <w:r>
              <w:softHyphen/>
              <w:t>pflichtigen sind:</w:t>
            </w:r>
          </w:p>
        </w:tc>
        <w:tc>
          <w:tcPr>
            <w:tcW w:w="2970" w:type="dxa"/>
            <w:vAlign w:val="center"/>
          </w:tcPr>
          <w:p w14:paraId="0564FFD0" w14:textId="77777777" w:rsidR="00EE13DE" w:rsidRPr="00D601AD" w:rsidRDefault="00EE13DE" w:rsidP="00F42A16">
            <w:pPr>
              <w:jc w:val="both"/>
            </w:pPr>
            <w:r>
              <w:t>Entfällt</w:t>
            </w:r>
          </w:p>
        </w:tc>
      </w:tr>
      <w:tr w:rsidR="00EE13DE" w:rsidRPr="00D601AD" w14:paraId="086BBAF3" w14:textId="77777777" w:rsidTr="00EE13DE">
        <w:trPr>
          <w:trHeight w:val="567"/>
        </w:trPr>
        <w:tc>
          <w:tcPr>
            <w:tcW w:w="6090" w:type="dxa"/>
            <w:vAlign w:val="center"/>
          </w:tcPr>
          <w:p w14:paraId="37883500" w14:textId="77777777" w:rsidR="00EE13DE" w:rsidRPr="00D601AD" w:rsidRDefault="00EE13DE" w:rsidP="00F42A16">
            <w:pPr>
              <w:spacing w:before="120" w:after="120"/>
              <w:jc w:val="both"/>
            </w:pPr>
            <w:r>
              <w:t>B. Nichtabgabe oder verspätete Einreichung der Erklärung ohne Steuerhinterziehungsabsicht:</w:t>
            </w:r>
          </w:p>
        </w:tc>
        <w:tc>
          <w:tcPr>
            <w:tcW w:w="2970" w:type="dxa"/>
            <w:vAlign w:val="center"/>
          </w:tcPr>
          <w:p w14:paraId="7F6608C7" w14:textId="77777777" w:rsidR="00EE13DE" w:rsidRPr="00D601AD" w:rsidRDefault="00EE13DE" w:rsidP="00F42A16">
            <w:pPr>
              <w:jc w:val="both"/>
            </w:pPr>
          </w:p>
        </w:tc>
      </w:tr>
      <w:tr w:rsidR="00EE13DE" w:rsidRPr="00D601AD" w14:paraId="56B86330" w14:textId="77777777" w:rsidTr="00EE13DE">
        <w:trPr>
          <w:trHeight w:val="567"/>
        </w:trPr>
        <w:tc>
          <w:tcPr>
            <w:tcW w:w="6090" w:type="dxa"/>
            <w:vAlign w:val="center"/>
          </w:tcPr>
          <w:p w14:paraId="27EFAB1C" w14:textId="77777777" w:rsidR="00EE13DE" w:rsidRPr="00D601AD" w:rsidRDefault="00EE13DE" w:rsidP="00F42A16">
            <w:pPr>
              <w:spacing w:before="120" w:after="120"/>
              <w:jc w:val="both"/>
            </w:pPr>
            <w:r>
              <w:t>- erster Verstoß (ohne Berücksichtigung der in vorstehendem Buchstaben A erwähnten Fälle der Nichtabgabe oder verspäteten Einreichung der Erklärung):</w:t>
            </w:r>
          </w:p>
        </w:tc>
        <w:tc>
          <w:tcPr>
            <w:tcW w:w="2970" w:type="dxa"/>
            <w:vAlign w:val="center"/>
          </w:tcPr>
          <w:p w14:paraId="308418CE" w14:textId="77777777" w:rsidR="00EE13DE" w:rsidRPr="00D601AD" w:rsidRDefault="00EE13DE" w:rsidP="00F42A16">
            <w:pPr>
              <w:jc w:val="both"/>
            </w:pPr>
            <w:r>
              <w:t>10 Prozent</w:t>
            </w:r>
          </w:p>
        </w:tc>
      </w:tr>
      <w:tr w:rsidR="00EE13DE" w:rsidRPr="00D601AD" w14:paraId="48BD328E" w14:textId="77777777" w:rsidTr="00EE13DE">
        <w:trPr>
          <w:trHeight w:val="567"/>
        </w:trPr>
        <w:tc>
          <w:tcPr>
            <w:tcW w:w="6090" w:type="dxa"/>
            <w:vAlign w:val="center"/>
          </w:tcPr>
          <w:p w14:paraId="7AC205CB" w14:textId="77777777" w:rsidR="00EE13DE" w:rsidRPr="00D601AD" w:rsidRDefault="00EE13DE" w:rsidP="00F42A16">
            <w:pPr>
              <w:jc w:val="both"/>
            </w:pPr>
            <w:r>
              <w:t>- zweiter Verstoß:</w:t>
            </w:r>
          </w:p>
        </w:tc>
        <w:tc>
          <w:tcPr>
            <w:tcW w:w="2970" w:type="dxa"/>
            <w:vAlign w:val="center"/>
          </w:tcPr>
          <w:p w14:paraId="00654964" w14:textId="77777777" w:rsidR="00EE13DE" w:rsidRPr="00D601AD" w:rsidRDefault="00EE13DE" w:rsidP="00F42A16">
            <w:pPr>
              <w:jc w:val="both"/>
            </w:pPr>
            <w:r>
              <w:t>20 Prozent</w:t>
            </w:r>
          </w:p>
        </w:tc>
      </w:tr>
      <w:tr w:rsidR="00EE13DE" w:rsidRPr="00D601AD" w14:paraId="6020B4B5" w14:textId="77777777" w:rsidTr="00EE13DE">
        <w:trPr>
          <w:trHeight w:val="567"/>
        </w:trPr>
        <w:tc>
          <w:tcPr>
            <w:tcW w:w="6090" w:type="dxa"/>
            <w:vAlign w:val="center"/>
          </w:tcPr>
          <w:p w14:paraId="1D495864" w14:textId="77777777" w:rsidR="00EE13DE" w:rsidRPr="00D601AD" w:rsidRDefault="00EE13DE" w:rsidP="00F42A16">
            <w:pPr>
              <w:jc w:val="both"/>
            </w:pPr>
            <w:r>
              <w:t>- dritter Verstoß:</w:t>
            </w:r>
          </w:p>
        </w:tc>
        <w:tc>
          <w:tcPr>
            <w:tcW w:w="2970" w:type="dxa"/>
            <w:vAlign w:val="center"/>
          </w:tcPr>
          <w:p w14:paraId="21D0BE49" w14:textId="77777777" w:rsidR="00EE13DE" w:rsidRPr="00D601AD" w:rsidRDefault="00EE13DE" w:rsidP="00F42A16">
            <w:pPr>
              <w:jc w:val="both"/>
            </w:pPr>
            <w:r>
              <w:t>30 Prozent</w:t>
            </w:r>
          </w:p>
        </w:tc>
      </w:tr>
      <w:tr w:rsidR="00EE13DE" w:rsidRPr="00D601AD" w14:paraId="246D9294" w14:textId="77777777" w:rsidTr="00EE13DE">
        <w:trPr>
          <w:trHeight w:val="567"/>
        </w:trPr>
        <w:tc>
          <w:tcPr>
            <w:tcW w:w="6090" w:type="dxa"/>
            <w:vAlign w:val="center"/>
          </w:tcPr>
          <w:p w14:paraId="61C17AD0" w14:textId="77777777" w:rsidR="00EE13DE" w:rsidRPr="00D601AD" w:rsidRDefault="00EE13DE" w:rsidP="00F42A16">
            <w:pPr>
              <w:spacing w:before="120" w:after="120"/>
              <w:jc w:val="both"/>
            </w:pPr>
            <w:r>
              <w:t>Ab dem vierten Verstoß werden Verstöße dieser Art nachstehendem Buchstaben C zugeordnet und entsprechend geahndet.</w:t>
            </w:r>
          </w:p>
        </w:tc>
        <w:tc>
          <w:tcPr>
            <w:tcW w:w="2970" w:type="dxa"/>
            <w:vAlign w:val="center"/>
          </w:tcPr>
          <w:p w14:paraId="56916F74" w14:textId="77777777" w:rsidR="00EE13DE" w:rsidRPr="00D601AD" w:rsidRDefault="00EE13DE" w:rsidP="00F42A16">
            <w:pPr>
              <w:jc w:val="both"/>
            </w:pPr>
          </w:p>
        </w:tc>
      </w:tr>
      <w:tr w:rsidR="00EE13DE" w:rsidRPr="00D601AD" w14:paraId="5F35283C" w14:textId="77777777" w:rsidTr="00EE13DE">
        <w:trPr>
          <w:trHeight w:val="567"/>
        </w:trPr>
        <w:tc>
          <w:tcPr>
            <w:tcW w:w="6090" w:type="dxa"/>
            <w:vAlign w:val="center"/>
          </w:tcPr>
          <w:p w14:paraId="1A9CFEA7" w14:textId="77777777" w:rsidR="00EE13DE" w:rsidRPr="00D601AD" w:rsidRDefault="00EE13DE" w:rsidP="00F42A16">
            <w:pPr>
              <w:spacing w:before="120" w:after="120"/>
              <w:jc w:val="both"/>
            </w:pPr>
            <w:r>
              <w:t>C. Nichtabgabe oder verspätete Einreichung der Erklärung mit Steuerhinterziehungsabsicht:</w:t>
            </w:r>
          </w:p>
        </w:tc>
        <w:tc>
          <w:tcPr>
            <w:tcW w:w="2970" w:type="dxa"/>
            <w:vAlign w:val="center"/>
          </w:tcPr>
          <w:p w14:paraId="13E1F9B4" w14:textId="77777777" w:rsidR="00EE13DE" w:rsidRPr="00D601AD" w:rsidRDefault="00EE13DE" w:rsidP="00F42A16">
            <w:pPr>
              <w:jc w:val="both"/>
            </w:pPr>
          </w:p>
        </w:tc>
      </w:tr>
      <w:tr w:rsidR="00EE13DE" w:rsidRPr="00D601AD" w14:paraId="1EFCF62C" w14:textId="77777777" w:rsidTr="00EE13DE">
        <w:trPr>
          <w:trHeight w:val="567"/>
        </w:trPr>
        <w:tc>
          <w:tcPr>
            <w:tcW w:w="6090" w:type="dxa"/>
            <w:vAlign w:val="center"/>
          </w:tcPr>
          <w:p w14:paraId="15556855" w14:textId="77777777" w:rsidR="00EE13DE" w:rsidRPr="00D601AD" w:rsidRDefault="00EE13DE" w:rsidP="00F42A16">
            <w:pPr>
              <w:jc w:val="both"/>
            </w:pPr>
            <w:r>
              <w:t>- erster Verstoß:</w:t>
            </w:r>
          </w:p>
        </w:tc>
        <w:tc>
          <w:tcPr>
            <w:tcW w:w="2970" w:type="dxa"/>
            <w:vAlign w:val="center"/>
          </w:tcPr>
          <w:p w14:paraId="089032E3" w14:textId="77777777" w:rsidR="00EE13DE" w:rsidRPr="00D601AD" w:rsidRDefault="00EE13DE" w:rsidP="00F42A16">
            <w:pPr>
              <w:jc w:val="both"/>
            </w:pPr>
            <w:r>
              <w:t>50 Prozent</w:t>
            </w:r>
          </w:p>
        </w:tc>
      </w:tr>
      <w:tr w:rsidR="00EE13DE" w:rsidRPr="00D601AD" w14:paraId="01C1840F" w14:textId="77777777" w:rsidTr="00EE13DE">
        <w:trPr>
          <w:trHeight w:val="567"/>
        </w:trPr>
        <w:tc>
          <w:tcPr>
            <w:tcW w:w="6090" w:type="dxa"/>
            <w:vAlign w:val="center"/>
          </w:tcPr>
          <w:p w14:paraId="697CC94D" w14:textId="77777777" w:rsidR="00EE13DE" w:rsidRPr="00D601AD" w:rsidRDefault="00EE13DE" w:rsidP="00F42A16">
            <w:pPr>
              <w:jc w:val="both"/>
            </w:pPr>
            <w:r>
              <w:t>- zweiter Verstoß:</w:t>
            </w:r>
          </w:p>
        </w:tc>
        <w:tc>
          <w:tcPr>
            <w:tcW w:w="2970" w:type="dxa"/>
            <w:vAlign w:val="center"/>
          </w:tcPr>
          <w:p w14:paraId="73438E93" w14:textId="77777777" w:rsidR="00EE13DE" w:rsidRPr="00D601AD" w:rsidRDefault="00EE13DE" w:rsidP="00F42A16">
            <w:pPr>
              <w:jc w:val="both"/>
            </w:pPr>
            <w:r>
              <w:t>100 Prozent</w:t>
            </w:r>
          </w:p>
        </w:tc>
      </w:tr>
      <w:tr w:rsidR="00EE13DE" w:rsidRPr="00D601AD" w14:paraId="44BD7D58" w14:textId="77777777" w:rsidTr="00EE13DE">
        <w:trPr>
          <w:trHeight w:val="567"/>
        </w:trPr>
        <w:tc>
          <w:tcPr>
            <w:tcW w:w="6090" w:type="dxa"/>
            <w:vAlign w:val="center"/>
          </w:tcPr>
          <w:p w14:paraId="77F3E13A" w14:textId="77777777" w:rsidR="00EE13DE" w:rsidRPr="00D601AD" w:rsidRDefault="00EE13DE" w:rsidP="00F42A16">
            <w:pPr>
              <w:jc w:val="both"/>
            </w:pPr>
            <w:r>
              <w:t>- dritter Verstoß und folgende Verstöße:</w:t>
            </w:r>
          </w:p>
        </w:tc>
        <w:tc>
          <w:tcPr>
            <w:tcW w:w="2970" w:type="dxa"/>
            <w:vAlign w:val="center"/>
          </w:tcPr>
          <w:p w14:paraId="62146D99" w14:textId="77777777" w:rsidR="00EE13DE" w:rsidRPr="00D601AD" w:rsidRDefault="00EE13DE" w:rsidP="00F42A16">
            <w:pPr>
              <w:jc w:val="both"/>
            </w:pPr>
            <w:r>
              <w:t>200 Prozent</w:t>
            </w:r>
          </w:p>
        </w:tc>
      </w:tr>
      <w:tr w:rsidR="00EE13DE" w:rsidRPr="00D601AD" w14:paraId="23496BFB" w14:textId="77777777" w:rsidTr="00EE13DE">
        <w:trPr>
          <w:trHeight w:val="567"/>
        </w:trPr>
        <w:tc>
          <w:tcPr>
            <w:tcW w:w="6090" w:type="dxa"/>
            <w:vAlign w:val="center"/>
          </w:tcPr>
          <w:p w14:paraId="347E6EFD" w14:textId="5284A122" w:rsidR="00EE13DE" w:rsidRPr="00D601AD" w:rsidRDefault="00EE13DE" w:rsidP="00F42A16">
            <w:pPr>
              <w:spacing w:before="120" w:after="120"/>
              <w:jc w:val="both"/>
            </w:pPr>
            <w:r>
              <w:t xml:space="preserve">D. Nichtabgabe oder verspätete Einreichung der Erklärung entweder verbunden mit einer Unrichtigkeit oder einer Weglassung durch Fälschung oder dem Gebrauch gefälschter </w:t>
            </w:r>
            <w:r>
              <w:lastRenderedPageBreak/>
              <w:t>Urkunden bei der Überprüfung der steuerlichen Lage oder verbunden mit einer Bestechung oder dem Versuch einer Bestechung eines Beamten:</w:t>
            </w:r>
          </w:p>
        </w:tc>
        <w:tc>
          <w:tcPr>
            <w:tcW w:w="2970" w:type="dxa"/>
            <w:vAlign w:val="center"/>
          </w:tcPr>
          <w:p w14:paraId="7174A777" w14:textId="77777777" w:rsidR="00EE13DE" w:rsidRPr="00D601AD" w:rsidRDefault="00EE13DE" w:rsidP="00F42A16">
            <w:pPr>
              <w:jc w:val="both"/>
            </w:pPr>
          </w:p>
        </w:tc>
      </w:tr>
      <w:tr w:rsidR="00EE13DE" w:rsidRPr="00D601AD" w14:paraId="5A9BC231" w14:textId="77777777" w:rsidTr="00EE13DE">
        <w:trPr>
          <w:trHeight w:val="567"/>
        </w:trPr>
        <w:tc>
          <w:tcPr>
            <w:tcW w:w="6090" w:type="dxa"/>
            <w:vAlign w:val="center"/>
          </w:tcPr>
          <w:p w14:paraId="52C03773" w14:textId="77777777" w:rsidR="00EE13DE" w:rsidRPr="00D601AD" w:rsidRDefault="00EE13DE" w:rsidP="00F42A16">
            <w:pPr>
              <w:jc w:val="both"/>
            </w:pPr>
            <w:r>
              <w:t>in allen Fällen:</w:t>
            </w:r>
          </w:p>
        </w:tc>
        <w:tc>
          <w:tcPr>
            <w:tcW w:w="2970" w:type="dxa"/>
            <w:vAlign w:val="center"/>
          </w:tcPr>
          <w:p w14:paraId="331C2A9E" w14:textId="332FDA45" w:rsidR="00EE13DE" w:rsidRPr="00D601AD" w:rsidRDefault="00EE13DE" w:rsidP="00F42A16">
            <w:pPr>
              <w:jc w:val="both"/>
            </w:pPr>
            <w:r>
              <w:t>200 Prozent]</w:t>
            </w:r>
          </w:p>
        </w:tc>
      </w:tr>
    </w:tbl>
    <w:p w14:paraId="2475C6FE" w14:textId="77777777" w:rsidR="00EE13DE" w:rsidRDefault="00EE13DE" w:rsidP="00EE13DE">
      <w:pPr>
        <w:jc w:val="both"/>
      </w:pPr>
    </w:p>
    <w:p w14:paraId="23EBB632" w14:textId="6F71342B" w:rsidR="00EE13DE" w:rsidRDefault="00EE13DE" w:rsidP="00EE13DE">
      <w:pPr>
        <w:jc w:val="both"/>
        <w:rPr>
          <w:i/>
          <w:iCs/>
        </w:rPr>
      </w:pPr>
      <w:r>
        <w:rPr>
          <w:i/>
          <w:iCs/>
        </w:rPr>
        <w:t>[Art. 225 ersetzt durch Art. 1 des K.E. vom 13. September 2022 (B.S. vom 13. Oktober 2022)]</w:t>
      </w:r>
    </w:p>
    <w:p w14:paraId="20E1941E" w14:textId="77777777" w:rsidR="00EE13DE" w:rsidRPr="00EE13DE" w:rsidRDefault="00EE13DE" w:rsidP="00EE13DE">
      <w:pPr>
        <w:jc w:val="both"/>
        <w:rPr>
          <w:i/>
          <w:iCs/>
        </w:rPr>
      </w:pPr>
    </w:p>
    <w:p w14:paraId="3E087C2F" w14:textId="726CCF77" w:rsidR="00805D28" w:rsidRDefault="00805D28">
      <w:pPr>
        <w:rPr>
          <w:rFonts w:eastAsia="Calibri"/>
          <w:b/>
          <w:lang w:eastAsia="de-DE" w:bidi="de-DE"/>
        </w:rPr>
      </w:pPr>
    </w:p>
    <w:p w14:paraId="28D96E54" w14:textId="34FF37B2" w:rsidR="003426CA" w:rsidRPr="00D21420" w:rsidRDefault="00C71A98" w:rsidP="003426CA">
      <w:pPr>
        <w:jc w:val="both"/>
        <w:rPr>
          <w:lang w:eastAsia="de-DE" w:bidi="de-DE"/>
        </w:rPr>
      </w:pPr>
      <w:r>
        <w:rPr>
          <w:rFonts w:eastAsia="Calibri"/>
          <w:b/>
          <w:lang w:eastAsia="de-DE" w:bidi="de-DE"/>
        </w:rPr>
        <w:tab/>
      </w:r>
      <w:r w:rsidR="003426CA" w:rsidRPr="00D21420">
        <w:rPr>
          <w:rFonts w:eastAsia="Calibri"/>
          <w:b/>
          <w:lang w:eastAsia="de-DE" w:bidi="de-DE"/>
        </w:rPr>
        <w:t>Art. 226</w:t>
      </w:r>
      <w:r w:rsidR="003426CA" w:rsidRPr="00D21420">
        <w:rPr>
          <w:rFonts w:eastAsia="Calibri"/>
          <w:lang w:eastAsia="de-DE" w:bidi="de-DE"/>
        </w:rPr>
        <w:t> - Die Tabelle der Steuerzuschläge, die im Falle einer unvollständigen oder unrichtigen Erklärung anwendbar sind, die sich nicht auf den Mobilien- oder Berufssteuervorabzug bezieht, wird wie folgt festgelegt:</w:t>
      </w:r>
    </w:p>
    <w:p w14:paraId="4AF630F2" w14:textId="77777777" w:rsidR="004F124A" w:rsidRPr="00D21420" w:rsidRDefault="004F124A" w:rsidP="003426CA">
      <w:pPr>
        <w:jc w:val="both"/>
        <w:rPr>
          <w:lang w:bidi="de-DE"/>
        </w:rPr>
      </w:pPr>
    </w:p>
    <w:tbl>
      <w:tblPr>
        <w:tblW w:w="9207"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7459"/>
        <w:gridCol w:w="1748"/>
      </w:tblGrid>
      <w:tr w:rsidR="003426CA" w:rsidRPr="00D21420" w14:paraId="7BFF50E3" w14:textId="77777777" w:rsidTr="00020C32">
        <w:trPr>
          <w:jc w:val="center"/>
        </w:trPr>
        <w:tc>
          <w:tcPr>
            <w:tcW w:w="7459" w:type="dxa"/>
            <w:vAlign w:val="center"/>
          </w:tcPr>
          <w:p w14:paraId="6219C2EE"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00" w:after="100"/>
              <w:jc w:val="center"/>
              <w:rPr>
                <w:spacing w:val="-3"/>
                <w:lang w:eastAsia="de-DE" w:bidi="de-DE"/>
              </w:rPr>
            </w:pPr>
            <w:r w:rsidRPr="00D21420">
              <w:rPr>
                <w:rFonts w:eastAsia="Calibri"/>
                <w:spacing w:val="-3"/>
                <w:lang w:eastAsia="de-DE" w:bidi="de-DE"/>
              </w:rPr>
              <w:t>Art der Verstöße</w:t>
            </w:r>
          </w:p>
        </w:tc>
        <w:tc>
          <w:tcPr>
            <w:tcW w:w="1748" w:type="dxa"/>
            <w:vAlign w:val="center"/>
          </w:tcPr>
          <w:p w14:paraId="11581A8D"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00" w:after="100"/>
              <w:jc w:val="center"/>
              <w:rPr>
                <w:spacing w:val="-3"/>
                <w:lang w:eastAsia="de-DE" w:bidi="de-DE"/>
              </w:rPr>
            </w:pPr>
            <w:r w:rsidRPr="00D21420">
              <w:rPr>
                <w:rFonts w:eastAsia="Calibri"/>
                <w:spacing w:val="-3"/>
                <w:lang w:eastAsia="de-DE" w:bidi="de-DE"/>
              </w:rPr>
              <w:t>Zuschläge</w:t>
            </w:r>
          </w:p>
        </w:tc>
      </w:tr>
      <w:tr w:rsidR="003426CA" w:rsidRPr="00D21420" w14:paraId="1B7ED06B" w14:textId="77777777" w:rsidTr="00020C32">
        <w:trPr>
          <w:jc w:val="center"/>
        </w:trPr>
        <w:tc>
          <w:tcPr>
            <w:tcW w:w="7459" w:type="dxa"/>
            <w:tcBorders>
              <w:bottom w:val="single" w:sz="6" w:space="0" w:color="auto"/>
            </w:tcBorders>
          </w:tcPr>
          <w:p w14:paraId="0CCF011D"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both"/>
              <w:rPr>
                <w:spacing w:val="-3"/>
                <w:lang w:eastAsia="de-DE" w:bidi="de-DE"/>
              </w:rPr>
            </w:pPr>
            <w:r w:rsidRPr="00D21420">
              <w:rPr>
                <w:rFonts w:eastAsia="Calibri"/>
                <w:lang w:eastAsia="de-DE" w:bidi="de-DE"/>
              </w:rPr>
              <w:t>A.</w:t>
            </w:r>
            <w:r w:rsidRPr="00D21420">
              <w:rPr>
                <w:rFonts w:eastAsia="Calibri"/>
                <w:lang w:eastAsia="de-DE" w:bidi="de-DE"/>
              </w:rPr>
              <w:tab/>
              <w:t>Unvollständige oder unrichtige Erklärung aus Gründen, die unabhängig vom Willen des Steuerpflichtigen sind:</w:t>
            </w:r>
          </w:p>
        </w:tc>
        <w:tc>
          <w:tcPr>
            <w:tcW w:w="1748" w:type="dxa"/>
            <w:tcBorders>
              <w:bottom w:val="single" w:sz="6" w:space="0" w:color="auto"/>
            </w:tcBorders>
            <w:vAlign w:val="center"/>
          </w:tcPr>
          <w:p w14:paraId="7C6A77B2"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center"/>
              <w:rPr>
                <w:spacing w:val="-3"/>
                <w:lang w:eastAsia="de-DE" w:bidi="de-DE"/>
              </w:rPr>
            </w:pPr>
            <w:r w:rsidRPr="00D21420">
              <w:rPr>
                <w:rFonts w:eastAsia="Calibri"/>
                <w:spacing w:val="-3"/>
                <w:lang w:eastAsia="de-DE" w:bidi="de-DE"/>
              </w:rPr>
              <w:t>Entfällt</w:t>
            </w:r>
          </w:p>
        </w:tc>
      </w:tr>
      <w:tr w:rsidR="003426CA" w:rsidRPr="00516EF3" w14:paraId="5D05F766" w14:textId="77777777" w:rsidTr="00020C32">
        <w:trPr>
          <w:jc w:val="center"/>
        </w:trPr>
        <w:tc>
          <w:tcPr>
            <w:tcW w:w="7459" w:type="dxa"/>
            <w:tcBorders>
              <w:top w:val="single" w:sz="6" w:space="0" w:color="auto"/>
              <w:bottom w:val="nil"/>
            </w:tcBorders>
          </w:tcPr>
          <w:p w14:paraId="6B0E49F2" w14:textId="5967AB5C"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both"/>
              <w:rPr>
                <w:spacing w:val="-3"/>
                <w:lang w:eastAsia="de-DE" w:bidi="de-DE"/>
              </w:rPr>
            </w:pPr>
            <w:r w:rsidRPr="00D21420">
              <w:rPr>
                <w:rFonts w:eastAsia="Calibri"/>
                <w:spacing w:val="-3"/>
                <w:lang w:eastAsia="de-DE" w:bidi="de-DE"/>
              </w:rPr>
              <w:t>B.</w:t>
            </w:r>
            <w:r w:rsidRPr="00D21420">
              <w:rPr>
                <w:rFonts w:eastAsia="Calibri"/>
                <w:lang w:eastAsia="de-DE" w:bidi="de-DE"/>
              </w:rPr>
              <w:tab/>
            </w:r>
            <w:r w:rsidRPr="00D21420">
              <w:rPr>
                <w:rFonts w:eastAsia="Calibri"/>
                <w:spacing w:val="-3"/>
                <w:lang w:eastAsia="de-DE" w:bidi="de-DE"/>
              </w:rPr>
              <w:t>Unvollständige oder unrichtige Erklärung ohne Steuerhinterziehungs</w:t>
            </w:r>
            <w:r w:rsidRPr="00D21420">
              <w:rPr>
                <w:rFonts w:eastAsia="Calibri"/>
                <w:spacing w:val="-3"/>
                <w:lang w:eastAsia="de-DE" w:bidi="de-DE"/>
              </w:rPr>
              <w:softHyphen/>
              <w:t>absicht:</w:t>
            </w:r>
          </w:p>
        </w:tc>
        <w:tc>
          <w:tcPr>
            <w:tcW w:w="1748" w:type="dxa"/>
            <w:tcBorders>
              <w:top w:val="single" w:sz="6" w:space="0" w:color="auto"/>
              <w:bottom w:val="nil"/>
            </w:tcBorders>
            <w:vAlign w:val="center"/>
          </w:tcPr>
          <w:p w14:paraId="1E37C825"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center"/>
              <w:rPr>
                <w:spacing w:val="-3"/>
                <w:lang w:bidi="de-DE"/>
              </w:rPr>
            </w:pPr>
          </w:p>
        </w:tc>
      </w:tr>
      <w:tr w:rsidR="003426CA" w:rsidRPr="00D21420" w14:paraId="70F842CC" w14:textId="77777777" w:rsidTr="00020C32">
        <w:trPr>
          <w:jc w:val="center"/>
        </w:trPr>
        <w:tc>
          <w:tcPr>
            <w:tcW w:w="7459" w:type="dxa"/>
            <w:tcBorders>
              <w:top w:val="nil"/>
              <w:bottom w:val="nil"/>
            </w:tcBorders>
          </w:tcPr>
          <w:p w14:paraId="48F0FA97"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both"/>
              <w:rPr>
                <w:spacing w:val="-3"/>
                <w:lang w:eastAsia="de-DE" w:bidi="de-DE"/>
              </w:rPr>
            </w:pPr>
            <w:r w:rsidRPr="00D21420">
              <w:rPr>
                <w:rFonts w:eastAsia="Calibri"/>
                <w:lang w:eastAsia="de-DE" w:bidi="de-DE"/>
              </w:rPr>
              <w:tab/>
            </w:r>
            <w:r w:rsidRPr="00D21420">
              <w:rPr>
                <w:rFonts w:eastAsia="Calibri"/>
                <w:spacing w:val="-3"/>
                <w:lang w:eastAsia="de-DE" w:bidi="de-DE"/>
              </w:rPr>
              <w:t>- erster Verstoß (ohne Berücksichtigung der in vorstehendem Buchstaben A erwähnten Fälle):</w:t>
            </w:r>
          </w:p>
        </w:tc>
        <w:tc>
          <w:tcPr>
            <w:tcW w:w="1748" w:type="dxa"/>
            <w:tcBorders>
              <w:top w:val="nil"/>
              <w:bottom w:val="nil"/>
            </w:tcBorders>
            <w:vAlign w:val="center"/>
          </w:tcPr>
          <w:p w14:paraId="5FCA5A54"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center"/>
              <w:rPr>
                <w:spacing w:val="-3"/>
                <w:lang w:eastAsia="de-DE" w:bidi="de-DE"/>
              </w:rPr>
            </w:pPr>
            <w:r w:rsidRPr="00D21420">
              <w:rPr>
                <w:rFonts w:eastAsia="Calibri"/>
                <w:spacing w:val="-3"/>
                <w:lang w:eastAsia="de-DE" w:bidi="de-DE"/>
              </w:rPr>
              <w:t>10 Prozent</w:t>
            </w:r>
          </w:p>
        </w:tc>
      </w:tr>
      <w:tr w:rsidR="003426CA" w:rsidRPr="00D21420" w14:paraId="0EF48720" w14:textId="77777777" w:rsidTr="00020C32">
        <w:trPr>
          <w:jc w:val="center"/>
        </w:trPr>
        <w:tc>
          <w:tcPr>
            <w:tcW w:w="7459" w:type="dxa"/>
            <w:tcBorders>
              <w:top w:val="nil"/>
              <w:bottom w:val="nil"/>
            </w:tcBorders>
          </w:tcPr>
          <w:p w14:paraId="7F2776BB"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both"/>
              <w:rPr>
                <w:spacing w:val="-3"/>
                <w:lang w:eastAsia="de-DE" w:bidi="de-DE"/>
              </w:rPr>
            </w:pPr>
            <w:r w:rsidRPr="00D21420">
              <w:rPr>
                <w:rFonts w:eastAsia="Calibri"/>
                <w:lang w:eastAsia="de-DE" w:bidi="de-DE"/>
              </w:rPr>
              <w:tab/>
            </w:r>
            <w:r w:rsidRPr="00D21420">
              <w:rPr>
                <w:rFonts w:eastAsia="Calibri"/>
                <w:spacing w:val="-3"/>
                <w:lang w:eastAsia="de-DE" w:bidi="de-DE"/>
              </w:rPr>
              <w:t>- zweiter Verstoß:</w:t>
            </w:r>
          </w:p>
        </w:tc>
        <w:tc>
          <w:tcPr>
            <w:tcW w:w="1748" w:type="dxa"/>
            <w:tcBorders>
              <w:top w:val="nil"/>
              <w:bottom w:val="nil"/>
            </w:tcBorders>
            <w:vAlign w:val="center"/>
          </w:tcPr>
          <w:p w14:paraId="2802D00F"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center"/>
              <w:rPr>
                <w:spacing w:val="-3"/>
                <w:lang w:eastAsia="de-DE" w:bidi="de-DE"/>
              </w:rPr>
            </w:pPr>
            <w:r w:rsidRPr="00D21420">
              <w:rPr>
                <w:rFonts w:eastAsia="Calibri"/>
                <w:spacing w:val="-3"/>
                <w:lang w:eastAsia="de-DE" w:bidi="de-DE"/>
              </w:rPr>
              <w:t>20 Prozent</w:t>
            </w:r>
          </w:p>
        </w:tc>
      </w:tr>
      <w:tr w:rsidR="003426CA" w:rsidRPr="00D21420" w14:paraId="65457D95" w14:textId="77777777" w:rsidTr="00020C32">
        <w:trPr>
          <w:jc w:val="center"/>
        </w:trPr>
        <w:tc>
          <w:tcPr>
            <w:tcW w:w="7459" w:type="dxa"/>
            <w:tcBorders>
              <w:top w:val="nil"/>
              <w:bottom w:val="nil"/>
            </w:tcBorders>
          </w:tcPr>
          <w:p w14:paraId="55F08887"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both"/>
              <w:rPr>
                <w:spacing w:val="-3"/>
                <w:lang w:eastAsia="de-DE" w:bidi="de-DE"/>
              </w:rPr>
            </w:pPr>
            <w:r w:rsidRPr="00D21420">
              <w:rPr>
                <w:rFonts w:eastAsia="Calibri"/>
                <w:lang w:eastAsia="de-DE" w:bidi="de-DE"/>
              </w:rPr>
              <w:tab/>
            </w:r>
            <w:r w:rsidRPr="00D21420">
              <w:rPr>
                <w:rFonts w:eastAsia="Calibri"/>
                <w:spacing w:val="-3"/>
                <w:lang w:eastAsia="de-DE" w:bidi="de-DE"/>
              </w:rPr>
              <w:t>- dritter Verstoß:</w:t>
            </w:r>
          </w:p>
        </w:tc>
        <w:tc>
          <w:tcPr>
            <w:tcW w:w="1748" w:type="dxa"/>
            <w:tcBorders>
              <w:top w:val="nil"/>
              <w:bottom w:val="nil"/>
            </w:tcBorders>
            <w:vAlign w:val="center"/>
          </w:tcPr>
          <w:p w14:paraId="07B27BD6"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center"/>
              <w:rPr>
                <w:spacing w:val="-3"/>
                <w:lang w:eastAsia="de-DE" w:bidi="de-DE"/>
              </w:rPr>
            </w:pPr>
            <w:r w:rsidRPr="00D21420">
              <w:rPr>
                <w:rFonts w:eastAsia="Calibri"/>
                <w:spacing w:val="-3"/>
                <w:lang w:eastAsia="de-DE" w:bidi="de-DE"/>
              </w:rPr>
              <w:t>30 Prozent</w:t>
            </w:r>
          </w:p>
        </w:tc>
      </w:tr>
      <w:tr w:rsidR="003426CA" w:rsidRPr="00516EF3" w14:paraId="19BF6A0B" w14:textId="77777777" w:rsidTr="00020C32">
        <w:trPr>
          <w:jc w:val="center"/>
        </w:trPr>
        <w:tc>
          <w:tcPr>
            <w:tcW w:w="7459" w:type="dxa"/>
            <w:tcBorders>
              <w:top w:val="nil"/>
              <w:bottom w:val="single" w:sz="6" w:space="0" w:color="auto"/>
            </w:tcBorders>
          </w:tcPr>
          <w:p w14:paraId="35EFA9DA"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both"/>
              <w:rPr>
                <w:spacing w:val="-3"/>
                <w:lang w:eastAsia="de-DE" w:bidi="de-DE"/>
              </w:rPr>
            </w:pPr>
            <w:r w:rsidRPr="00D21420">
              <w:rPr>
                <w:rFonts w:eastAsia="Calibri"/>
                <w:lang w:eastAsia="de-DE" w:bidi="de-DE"/>
              </w:rPr>
              <w:tab/>
            </w:r>
            <w:r w:rsidRPr="00D21420">
              <w:rPr>
                <w:rFonts w:eastAsia="Calibri"/>
                <w:spacing w:val="-3"/>
                <w:lang w:eastAsia="de-DE" w:bidi="de-DE"/>
              </w:rPr>
              <w:t>Ab dem vierten Verstoß werden Verstöße dieser Art nachstehendem Buchstaben C zugeordnet und entsprechend geahndet.</w:t>
            </w:r>
          </w:p>
        </w:tc>
        <w:tc>
          <w:tcPr>
            <w:tcW w:w="1748" w:type="dxa"/>
            <w:tcBorders>
              <w:top w:val="nil"/>
              <w:bottom w:val="single" w:sz="6" w:space="0" w:color="auto"/>
            </w:tcBorders>
            <w:vAlign w:val="center"/>
          </w:tcPr>
          <w:p w14:paraId="4653D92D"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center"/>
              <w:rPr>
                <w:spacing w:val="-3"/>
                <w:lang w:bidi="de-DE"/>
              </w:rPr>
            </w:pPr>
          </w:p>
        </w:tc>
      </w:tr>
      <w:tr w:rsidR="003426CA" w:rsidRPr="00516EF3" w14:paraId="1842B506" w14:textId="77777777" w:rsidTr="00020C32">
        <w:trPr>
          <w:jc w:val="center"/>
        </w:trPr>
        <w:tc>
          <w:tcPr>
            <w:tcW w:w="7459" w:type="dxa"/>
            <w:tcBorders>
              <w:top w:val="single" w:sz="6" w:space="0" w:color="auto"/>
              <w:bottom w:val="nil"/>
            </w:tcBorders>
          </w:tcPr>
          <w:p w14:paraId="5F53E18A"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both"/>
              <w:rPr>
                <w:spacing w:val="-3"/>
                <w:lang w:eastAsia="de-DE" w:bidi="de-DE"/>
              </w:rPr>
            </w:pPr>
            <w:r w:rsidRPr="00D21420">
              <w:rPr>
                <w:rFonts w:eastAsia="Calibri"/>
                <w:spacing w:val="-3"/>
                <w:lang w:eastAsia="de-DE" w:bidi="de-DE"/>
              </w:rPr>
              <w:t>C.</w:t>
            </w:r>
            <w:r w:rsidRPr="00D21420">
              <w:rPr>
                <w:rFonts w:eastAsia="Calibri"/>
                <w:lang w:eastAsia="de-DE" w:bidi="de-DE"/>
              </w:rPr>
              <w:tab/>
            </w:r>
            <w:r w:rsidRPr="00D21420">
              <w:rPr>
                <w:rFonts w:eastAsia="Calibri"/>
                <w:spacing w:val="-3"/>
                <w:lang w:eastAsia="de-DE" w:bidi="de-DE"/>
              </w:rPr>
              <w:t>Unvollständige oder unrichtige Erklärung mit Steuerhinterziehungs</w:t>
            </w:r>
            <w:r w:rsidRPr="00D21420">
              <w:rPr>
                <w:rFonts w:eastAsia="Calibri"/>
                <w:spacing w:val="-3"/>
                <w:lang w:eastAsia="de-DE" w:bidi="de-DE"/>
              </w:rPr>
              <w:softHyphen/>
              <w:t>absicht:</w:t>
            </w:r>
          </w:p>
        </w:tc>
        <w:tc>
          <w:tcPr>
            <w:tcW w:w="1748" w:type="dxa"/>
            <w:tcBorders>
              <w:top w:val="single" w:sz="6" w:space="0" w:color="auto"/>
              <w:bottom w:val="nil"/>
            </w:tcBorders>
            <w:vAlign w:val="center"/>
          </w:tcPr>
          <w:p w14:paraId="30005828"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center"/>
              <w:rPr>
                <w:spacing w:val="-3"/>
                <w:lang w:bidi="de-DE"/>
              </w:rPr>
            </w:pPr>
          </w:p>
        </w:tc>
      </w:tr>
      <w:tr w:rsidR="003426CA" w:rsidRPr="00D21420" w14:paraId="00C42B73" w14:textId="77777777" w:rsidTr="00020C32">
        <w:trPr>
          <w:jc w:val="center"/>
        </w:trPr>
        <w:tc>
          <w:tcPr>
            <w:tcW w:w="7459" w:type="dxa"/>
            <w:tcBorders>
              <w:top w:val="nil"/>
              <w:bottom w:val="nil"/>
            </w:tcBorders>
          </w:tcPr>
          <w:p w14:paraId="52276D63"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both"/>
              <w:rPr>
                <w:spacing w:val="-3"/>
                <w:lang w:eastAsia="de-DE" w:bidi="de-DE"/>
              </w:rPr>
            </w:pPr>
            <w:r w:rsidRPr="00D21420">
              <w:rPr>
                <w:rFonts w:eastAsia="Calibri"/>
                <w:lang w:eastAsia="de-DE" w:bidi="de-DE"/>
              </w:rPr>
              <w:tab/>
            </w:r>
            <w:r w:rsidRPr="00D21420">
              <w:rPr>
                <w:rFonts w:eastAsia="Calibri"/>
                <w:spacing w:val="-3"/>
                <w:lang w:eastAsia="de-DE" w:bidi="de-DE"/>
              </w:rPr>
              <w:t>- erster Verstoß:</w:t>
            </w:r>
          </w:p>
        </w:tc>
        <w:tc>
          <w:tcPr>
            <w:tcW w:w="1748" w:type="dxa"/>
            <w:tcBorders>
              <w:top w:val="nil"/>
              <w:bottom w:val="nil"/>
            </w:tcBorders>
            <w:vAlign w:val="center"/>
          </w:tcPr>
          <w:p w14:paraId="4D9C505F"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center"/>
              <w:rPr>
                <w:spacing w:val="-3"/>
                <w:lang w:eastAsia="de-DE" w:bidi="de-DE"/>
              </w:rPr>
            </w:pPr>
            <w:r w:rsidRPr="00D21420">
              <w:rPr>
                <w:rFonts w:eastAsia="Calibri"/>
                <w:spacing w:val="-3"/>
                <w:lang w:eastAsia="de-DE" w:bidi="de-DE"/>
              </w:rPr>
              <w:t>50 Prozent</w:t>
            </w:r>
          </w:p>
        </w:tc>
      </w:tr>
      <w:tr w:rsidR="003426CA" w:rsidRPr="00D21420" w14:paraId="4C6BA4A5" w14:textId="77777777" w:rsidTr="00020C32">
        <w:trPr>
          <w:jc w:val="center"/>
        </w:trPr>
        <w:tc>
          <w:tcPr>
            <w:tcW w:w="7459" w:type="dxa"/>
            <w:tcBorders>
              <w:top w:val="nil"/>
              <w:bottom w:val="nil"/>
            </w:tcBorders>
          </w:tcPr>
          <w:p w14:paraId="00C39394"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both"/>
              <w:rPr>
                <w:spacing w:val="-3"/>
                <w:lang w:eastAsia="de-DE" w:bidi="de-DE"/>
              </w:rPr>
            </w:pPr>
            <w:r w:rsidRPr="00D21420">
              <w:rPr>
                <w:rFonts w:eastAsia="Calibri"/>
                <w:lang w:eastAsia="de-DE" w:bidi="de-DE"/>
              </w:rPr>
              <w:tab/>
            </w:r>
            <w:r w:rsidRPr="00D21420">
              <w:rPr>
                <w:rFonts w:eastAsia="Calibri"/>
                <w:spacing w:val="-3"/>
                <w:lang w:eastAsia="de-DE" w:bidi="de-DE"/>
              </w:rPr>
              <w:t>- zweiter Verstoß:</w:t>
            </w:r>
          </w:p>
        </w:tc>
        <w:tc>
          <w:tcPr>
            <w:tcW w:w="1748" w:type="dxa"/>
            <w:tcBorders>
              <w:top w:val="nil"/>
              <w:bottom w:val="nil"/>
            </w:tcBorders>
            <w:vAlign w:val="center"/>
          </w:tcPr>
          <w:p w14:paraId="6A013C1A"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center"/>
              <w:rPr>
                <w:spacing w:val="-3"/>
                <w:lang w:eastAsia="de-DE" w:bidi="de-DE"/>
              </w:rPr>
            </w:pPr>
            <w:r w:rsidRPr="00D21420">
              <w:rPr>
                <w:rFonts w:eastAsia="Calibri"/>
                <w:spacing w:val="-3"/>
                <w:lang w:eastAsia="de-DE" w:bidi="de-DE"/>
              </w:rPr>
              <w:t>100 Prozent</w:t>
            </w:r>
          </w:p>
        </w:tc>
      </w:tr>
      <w:tr w:rsidR="003426CA" w:rsidRPr="00D21420" w14:paraId="275D412D" w14:textId="77777777" w:rsidTr="00020C32">
        <w:trPr>
          <w:jc w:val="center"/>
        </w:trPr>
        <w:tc>
          <w:tcPr>
            <w:tcW w:w="7459" w:type="dxa"/>
            <w:tcBorders>
              <w:top w:val="nil"/>
              <w:bottom w:val="single" w:sz="6" w:space="0" w:color="auto"/>
            </w:tcBorders>
          </w:tcPr>
          <w:p w14:paraId="58982E73"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both"/>
              <w:rPr>
                <w:spacing w:val="-3"/>
                <w:lang w:eastAsia="de-DE" w:bidi="de-DE"/>
              </w:rPr>
            </w:pPr>
            <w:r w:rsidRPr="00D21420">
              <w:rPr>
                <w:rFonts w:eastAsia="Calibri"/>
                <w:lang w:eastAsia="de-DE" w:bidi="de-DE"/>
              </w:rPr>
              <w:tab/>
            </w:r>
            <w:r w:rsidRPr="00D21420">
              <w:rPr>
                <w:rFonts w:eastAsia="Calibri"/>
                <w:spacing w:val="-3"/>
                <w:lang w:eastAsia="de-DE" w:bidi="de-DE"/>
              </w:rPr>
              <w:t>- dritter Verstoß und folgende Verstöße:</w:t>
            </w:r>
          </w:p>
        </w:tc>
        <w:tc>
          <w:tcPr>
            <w:tcW w:w="1748" w:type="dxa"/>
            <w:tcBorders>
              <w:top w:val="nil"/>
              <w:bottom w:val="single" w:sz="6" w:space="0" w:color="auto"/>
            </w:tcBorders>
            <w:vAlign w:val="center"/>
          </w:tcPr>
          <w:p w14:paraId="613AC9D1"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center"/>
              <w:rPr>
                <w:spacing w:val="-3"/>
                <w:lang w:eastAsia="de-DE" w:bidi="de-DE"/>
              </w:rPr>
            </w:pPr>
            <w:r w:rsidRPr="00D21420">
              <w:rPr>
                <w:rFonts w:eastAsia="Calibri"/>
                <w:spacing w:val="-3"/>
                <w:lang w:eastAsia="de-DE" w:bidi="de-DE"/>
              </w:rPr>
              <w:t>200 Prozent</w:t>
            </w:r>
          </w:p>
        </w:tc>
      </w:tr>
      <w:tr w:rsidR="003426CA" w:rsidRPr="00516EF3" w14:paraId="48203886" w14:textId="77777777" w:rsidTr="00020C32">
        <w:trPr>
          <w:trHeight w:val="615"/>
          <w:jc w:val="center"/>
        </w:trPr>
        <w:tc>
          <w:tcPr>
            <w:tcW w:w="7459" w:type="dxa"/>
            <w:tcBorders>
              <w:top w:val="single" w:sz="6" w:space="0" w:color="auto"/>
              <w:bottom w:val="nil"/>
            </w:tcBorders>
          </w:tcPr>
          <w:p w14:paraId="3F9A248E"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both"/>
              <w:rPr>
                <w:lang w:eastAsia="de-DE" w:bidi="de-DE"/>
              </w:rPr>
            </w:pPr>
            <w:r w:rsidRPr="00D21420">
              <w:rPr>
                <w:rFonts w:eastAsia="Calibri"/>
                <w:lang w:eastAsia="de-DE" w:bidi="de-DE"/>
              </w:rPr>
              <w:t>D.</w:t>
            </w:r>
            <w:r w:rsidRPr="00D21420">
              <w:rPr>
                <w:rFonts w:eastAsia="Calibri"/>
                <w:lang w:eastAsia="de-DE" w:bidi="de-DE"/>
              </w:rPr>
              <w:tab/>
              <w:t>Unvollständige oder unrichtige Erklärung verbunden mit einer Fälschung oder dem Gebrauch gefälschter Urkunden oder verbunden mit einer Bestechung oder dem Versuch einer Bestechung eines Beamten:</w:t>
            </w:r>
          </w:p>
        </w:tc>
        <w:tc>
          <w:tcPr>
            <w:tcW w:w="1748" w:type="dxa"/>
            <w:tcBorders>
              <w:top w:val="single" w:sz="6" w:space="0" w:color="auto"/>
              <w:bottom w:val="nil"/>
            </w:tcBorders>
            <w:vAlign w:val="center"/>
          </w:tcPr>
          <w:p w14:paraId="177920D3"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center"/>
              <w:rPr>
                <w:spacing w:val="-3"/>
                <w:lang w:bidi="de-DE"/>
              </w:rPr>
            </w:pPr>
          </w:p>
          <w:p w14:paraId="1CECEBD6"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center"/>
              <w:rPr>
                <w:spacing w:val="-3"/>
                <w:lang w:bidi="de-DE"/>
              </w:rPr>
            </w:pPr>
          </w:p>
        </w:tc>
      </w:tr>
      <w:tr w:rsidR="003426CA" w:rsidRPr="00D21420" w14:paraId="530A97A5" w14:textId="77777777" w:rsidTr="00020C32">
        <w:trPr>
          <w:trHeight w:val="615"/>
          <w:jc w:val="center"/>
        </w:trPr>
        <w:tc>
          <w:tcPr>
            <w:tcW w:w="7459" w:type="dxa"/>
            <w:tcBorders>
              <w:top w:val="nil"/>
              <w:bottom w:val="double" w:sz="6" w:space="0" w:color="auto"/>
            </w:tcBorders>
          </w:tcPr>
          <w:p w14:paraId="172546F9"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both"/>
              <w:rPr>
                <w:lang w:eastAsia="de-DE" w:bidi="de-DE"/>
              </w:rPr>
            </w:pPr>
            <w:r w:rsidRPr="00D21420">
              <w:rPr>
                <w:rFonts w:eastAsia="Calibri"/>
                <w:lang w:eastAsia="de-DE" w:bidi="de-DE"/>
              </w:rPr>
              <w:tab/>
              <w:t>in allen Fällen:</w:t>
            </w:r>
          </w:p>
        </w:tc>
        <w:tc>
          <w:tcPr>
            <w:tcW w:w="1748" w:type="dxa"/>
            <w:tcBorders>
              <w:top w:val="nil"/>
              <w:bottom w:val="double" w:sz="6" w:space="0" w:color="auto"/>
            </w:tcBorders>
            <w:vAlign w:val="center"/>
          </w:tcPr>
          <w:p w14:paraId="0C206D37"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40" w:after="60"/>
              <w:jc w:val="center"/>
              <w:rPr>
                <w:spacing w:val="-3"/>
                <w:lang w:eastAsia="de-DE" w:bidi="de-DE"/>
              </w:rPr>
            </w:pPr>
            <w:r w:rsidRPr="00D21420">
              <w:rPr>
                <w:rFonts w:eastAsia="Calibri"/>
                <w:spacing w:val="-3"/>
                <w:lang w:eastAsia="de-DE" w:bidi="de-DE"/>
              </w:rPr>
              <w:t>200 Prozent</w:t>
            </w:r>
          </w:p>
        </w:tc>
      </w:tr>
    </w:tbl>
    <w:p w14:paraId="5868656A" w14:textId="77777777" w:rsidR="003426CA" w:rsidRPr="00D21420" w:rsidRDefault="003426CA" w:rsidP="003426CA">
      <w:pPr>
        <w:jc w:val="both"/>
        <w:rPr>
          <w:lang w:bidi="de-DE"/>
        </w:rPr>
      </w:pPr>
    </w:p>
    <w:p w14:paraId="3807707F" w14:textId="77777777" w:rsidR="003426CA" w:rsidRPr="00D21420" w:rsidRDefault="003426CA" w:rsidP="003426CA">
      <w:pPr>
        <w:jc w:val="both"/>
        <w:rPr>
          <w:lang w:val="fr-BE" w:bidi="de-DE"/>
        </w:rPr>
      </w:pPr>
    </w:p>
    <w:p w14:paraId="10737B93"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 xml:space="preserve">Art. 227 - </w:t>
      </w:r>
      <w:r w:rsidRPr="00D21420">
        <w:rPr>
          <w:rFonts w:eastAsia="Calibri"/>
          <w:lang w:eastAsia="de-DE" w:bidi="de-DE"/>
        </w:rPr>
        <w:t>Für die Festlegung des anzuwendenden Prozentsatzes der Steuerzuschläge werden frühere Verstöße, die in den Buchstaben B und C der Artikel 225 und 226 erwähnt sind, nicht berücksichtigt, wenn für die letzten vier Steuerjahre vor dem Steuerjahr, für das ein neuer Verstoß geahndet werden muss, kein Verstoß in Bezug auf die Einkommensteuer</w:t>
      </w:r>
      <w:r w:rsidRPr="00D21420">
        <w:rPr>
          <w:rFonts w:eastAsia="Calibri"/>
          <w:lang w:eastAsia="de-DE" w:bidi="de-DE"/>
        </w:rPr>
        <w:softHyphen/>
        <w:t>erklärung geahndet wurde.</w:t>
      </w:r>
    </w:p>
    <w:p w14:paraId="39587C29" w14:textId="77777777" w:rsidR="003426CA" w:rsidRPr="00D21420" w:rsidRDefault="003426CA" w:rsidP="003426CA">
      <w:pPr>
        <w:jc w:val="both"/>
        <w:rPr>
          <w:lang w:bidi="de-DE"/>
        </w:rPr>
      </w:pPr>
    </w:p>
    <w:p w14:paraId="400BD80B" w14:textId="158C21F4" w:rsidR="004F124A" w:rsidRDefault="004F124A">
      <w:pPr>
        <w:rPr>
          <w:rFonts w:eastAsia="Calibri"/>
          <w:szCs w:val="22"/>
          <w:lang w:eastAsia="de-DE" w:bidi="de-DE"/>
        </w:rPr>
      </w:pPr>
    </w:p>
    <w:p w14:paraId="11A7C368" w14:textId="77777777" w:rsidR="00E41791" w:rsidRDefault="00E41791">
      <w:pPr>
        <w:rPr>
          <w:rFonts w:eastAsia="Calibri"/>
          <w:szCs w:val="22"/>
          <w:lang w:eastAsia="de-DE" w:bidi="de-DE"/>
        </w:rPr>
      </w:pPr>
      <w:r>
        <w:rPr>
          <w:rFonts w:eastAsia="Calibri"/>
          <w:szCs w:val="22"/>
          <w:lang w:eastAsia="de-DE" w:bidi="de-DE"/>
        </w:rPr>
        <w:br w:type="page"/>
      </w:r>
    </w:p>
    <w:p w14:paraId="7CCE8677" w14:textId="09E0D714" w:rsidR="003426CA" w:rsidRPr="00D21420" w:rsidRDefault="003426CA" w:rsidP="003426CA">
      <w:pPr>
        <w:jc w:val="both"/>
        <w:rPr>
          <w:lang w:eastAsia="de-DE" w:bidi="de-DE"/>
        </w:rPr>
      </w:pPr>
      <w:r w:rsidRPr="00D21420">
        <w:rPr>
          <w:rFonts w:eastAsia="Calibri"/>
          <w:szCs w:val="22"/>
          <w:lang w:eastAsia="de-DE" w:bidi="de-DE"/>
        </w:rPr>
        <w:lastRenderedPageBreak/>
        <w:tab/>
      </w:r>
      <w:r w:rsidRPr="00D21420">
        <w:rPr>
          <w:rFonts w:eastAsia="Calibri"/>
          <w:b/>
          <w:lang w:eastAsia="de-DE" w:bidi="de-DE"/>
        </w:rPr>
        <w:t>Art. 228</w:t>
      </w:r>
      <w:r w:rsidRPr="00D21420">
        <w:rPr>
          <w:rFonts w:eastAsia="Calibri"/>
          <w:lang w:eastAsia="de-DE" w:bidi="de-DE"/>
        </w:rPr>
        <w:t xml:space="preserve"> - Die Tabelle der Steuerzuschläge, die bei Nichtabgabe </w:t>
      </w:r>
      <w:r w:rsidR="00EE13DE">
        <w:rPr>
          <w:rFonts w:eastAsia="Calibri"/>
          <w:lang w:eastAsia="de-DE" w:bidi="de-DE"/>
        </w:rPr>
        <w:t xml:space="preserve">[oder verspäteter Einreichung] </w:t>
      </w:r>
      <w:r w:rsidRPr="00D21420">
        <w:rPr>
          <w:rFonts w:eastAsia="Calibri"/>
          <w:lang w:eastAsia="de-DE" w:bidi="de-DE"/>
        </w:rPr>
        <w:t>der Erklärung oder im Falle einer unvollständigen oder unrichtigen Erklärung in Bezug auf den Mobilien- oder Berufssteuervorabzug - verbunden mit einer Nichtzahlung oder unzureichenden Zahlung dieser Vorabzüge - anwendbar sind, wird wie folgt festgelegt:</w:t>
      </w:r>
    </w:p>
    <w:p w14:paraId="1A098C6D" w14:textId="77777777" w:rsidR="003426CA" w:rsidRPr="00D21420" w:rsidRDefault="003426CA" w:rsidP="003426CA">
      <w:pPr>
        <w:jc w:val="both"/>
        <w:rPr>
          <w:lang w:bidi="de-DE"/>
        </w:rPr>
      </w:pPr>
    </w:p>
    <w:tbl>
      <w:tblPr>
        <w:tblW w:w="9113" w:type="dxa"/>
        <w:jc w:val="center"/>
        <w:tblLayout w:type="fixed"/>
        <w:tblCellMar>
          <w:left w:w="120" w:type="dxa"/>
          <w:right w:w="120" w:type="dxa"/>
        </w:tblCellMar>
        <w:tblLook w:val="0000" w:firstRow="0" w:lastRow="0" w:firstColumn="0" w:lastColumn="0" w:noHBand="0" w:noVBand="0"/>
      </w:tblPr>
      <w:tblGrid>
        <w:gridCol w:w="6610"/>
        <w:gridCol w:w="2503"/>
      </w:tblGrid>
      <w:tr w:rsidR="003426CA" w:rsidRPr="00D21420" w14:paraId="49948724" w14:textId="77777777" w:rsidTr="00020C32">
        <w:trPr>
          <w:cantSplit/>
          <w:tblHeader/>
          <w:jc w:val="center"/>
        </w:trPr>
        <w:tc>
          <w:tcPr>
            <w:tcW w:w="6625" w:type="dxa"/>
            <w:tcBorders>
              <w:top w:val="double" w:sz="4" w:space="0" w:color="auto"/>
              <w:left w:val="double" w:sz="4" w:space="0" w:color="auto"/>
              <w:bottom w:val="single" w:sz="4" w:space="0" w:color="auto"/>
              <w:right w:val="single" w:sz="4" w:space="0" w:color="auto"/>
            </w:tcBorders>
            <w:vAlign w:val="center"/>
          </w:tcPr>
          <w:p w14:paraId="7B5CFB8C" w14:textId="77777777" w:rsidR="003426CA" w:rsidRPr="00D21420" w:rsidRDefault="003426CA" w:rsidP="00020C32">
            <w:pPr>
              <w:spacing w:before="100" w:after="100"/>
              <w:jc w:val="center"/>
              <w:rPr>
                <w:spacing w:val="-3"/>
                <w:lang w:eastAsia="de-DE" w:bidi="de-DE"/>
              </w:rPr>
            </w:pPr>
            <w:r w:rsidRPr="00D21420">
              <w:rPr>
                <w:rFonts w:eastAsia="Calibri"/>
                <w:spacing w:val="-3"/>
                <w:lang w:eastAsia="de-DE" w:bidi="de-DE"/>
              </w:rPr>
              <w:t>Art der Verstöße</w:t>
            </w:r>
          </w:p>
        </w:tc>
        <w:tc>
          <w:tcPr>
            <w:tcW w:w="2488" w:type="dxa"/>
            <w:tcBorders>
              <w:top w:val="double" w:sz="4" w:space="0" w:color="auto"/>
              <w:left w:val="single" w:sz="4" w:space="0" w:color="auto"/>
              <w:bottom w:val="single" w:sz="4" w:space="0" w:color="auto"/>
              <w:right w:val="double" w:sz="4" w:space="0" w:color="auto"/>
            </w:tcBorders>
            <w:vAlign w:val="center"/>
          </w:tcPr>
          <w:p w14:paraId="392B34C7" w14:textId="77777777" w:rsidR="003426CA" w:rsidRPr="00D21420" w:rsidRDefault="003426CA" w:rsidP="00020C32">
            <w:pPr>
              <w:spacing w:before="100" w:after="100"/>
              <w:jc w:val="center"/>
              <w:rPr>
                <w:spacing w:val="-3"/>
                <w:lang w:eastAsia="de-DE" w:bidi="de-DE"/>
              </w:rPr>
            </w:pPr>
            <w:r w:rsidRPr="00D21420">
              <w:rPr>
                <w:rFonts w:eastAsia="Calibri"/>
                <w:spacing w:val="-3"/>
                <w:lang w:eastAsia="de-DE" w:bidi="de-DE"/>
              </w:rPr>
              <w:t>Zuschläge</w:t>
            </w:r>
          </w:p>
        </w:tc>
      </w:tr>
      <w:tr w:rsidR="003426CA" w:rsidRPr="00D21420" w14:paraId="2EEF03EF" w14:textId="77777777" w:rsidTr="00020C32">
        <w:trPr>
          <w:cantSplit/>
          <w:jc w:val="center"/>
        </w:trPr>
        <w:tc>
          <w:tcPr>
            <w:tcW w:w="6625" w:type="dxa"/>
            <w:tcBorders>
              <w:left w:val="double" w:sz="4" w:space="0" w:color="auto"/>
              <w:bottom w:val="single" w:sz="4" w:space="0" w:color="auto"/>
              <w:right w:val="single" w:sz="4" w:space="0" w:color="auto"/>
            </w:tcBorders>
          </w:tcPr>
          <w:p w14:paraId="6211498A"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both"/>
              <w:rPr>
                <w:lang w:eastAsia="de-DE" w:bidi="de-DE"/>
              </w:rPr>
            </w:pPr>
            <w:r w:rsidRPr="00D21420">
              <w:rPr>
                <w:rFonts w:eastAsia="Calibri"/>
                <w:lang w:eastAsia="de-DE" w:bidi="de-DE"/>
              </w:rPr>
              <w:t>A.</w:t>
            </w:r>
            <w:r w:rsidRPr="00D21420">
              <w:rPr>
                <w:rFonts w:eastAsia="Calibri"/>
                <w:lang w:eastAsia="de-DE" w:bidi="de-DE"/>
              </w:rPr>
              <w:tab/>
              <w:t>Verstoß aus Gründen, die unabhängig vom Willen des Steuerpflichtigen sind:</w:t>
            </w:r>
          </w:p>
        </w:tc>
        <w:tc>
          <w:tcPr>
            <w:tcW w:w="2488" w:type="dxa"/>
            <w:tcBorders>
              <w:left w:val="single" w:sz="4" w:space="0" w:color="auto"/>
              <w:bottom w:val="single" w:sz="4" w:space="0" w:color="auto"/>
              <w:right w:val="double" w:sz="4" w:space="0" w:color="auto"/>
            </w:tcBorders>
            <w:vAlign w:val="center"/>
          </w:tcPr>
          <w:p w14:paraId="4C3F2EB0" w14:textId="77777777" w:rsidR="003426CA" w:rsidRPr="00D21420" w:rsidRDefault="003426CA" w:rsidP="00020C32">
            <w:pPr>
              <w:spacing w:before="120" w:after="60"/>
              <w:jc w:val="center"/>
              <w:rPr>
                <w:spacing w:val="-3"/>
                <w:lang w:eastAsia="de-DE" w:bidi="de-DE"/>
              </w:rPr>
            </w:pPr>
            <w:r w:rsidRPr="00D21420">
              <w:rPr>
                <w:rFonts w:eastAsia="Calibri"/>
                <w:spacing w:val="-3"/>
                <w:lang w:eastAsia="de-DE" w:bidi="de-DE"/>
              </w:rPr>
              <w:t>Entfällt</w:t>
            </w:r>
          </w:p>
        </w:tc>
      </w:tr>
      <w:tr w:rsidR="003426CA" w:rsidRPr="00D21420" w14:paraId="5860A908" w14:textId="77777777" w:rsidTr="00020C32">
        <w:trPr>
          <w:cantSplit/>
          <w:jc w:val="center"/>
        </w:trPr>
        <w:tc>
          <w:tcPr>
            <w:tcW w:w="6605" w:type="dxa"/>
            <w:tcBorders>
              <w:left w:val="double" w:sz="4" w:space="0" w:color="auto"/>
              <w:right w:val="single" w:sz="4" w:space="0" w:color="auto"/>
            </w:tcBorders>
          </w:tcPr>
          <w:p w14:paraId="2276B42E"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both"/>
              <w:rPr>
                <w:lang w:eastAsia="de-DE" w:bidi="de-DE"/>
              </w:rPr>
            </w:pPr>
            <w:r w:rsidRPr="00D21420">
              <w:rPr>
                <w:rFonts w:eastAsia="Calibri"/>
                <w:lang w:eastAsia="de-DE" w:bidi="de-DE"/>
              </w:rPr>
              <w:t>B.</w:t>
            </w:r>
            <w:r w:rsidRPr="00D21420">
              <w:rPr>
                <w:rFonts w:eastAsia="Calibri"/>
                <w:lang w:eastAsia="de-DE" w:bidi="de-DE"/>
              </w:rPr>
              <w:tab/>
              <w:t>Verstoß ohne Steuerhinterziehungsabsicht:</w:t>
            </w:r>
          </w:p>
        </w:tc>
        <w:tc>
          <w:tcPr>
            <w:tcW w:w="2508" w:type="dxa"/>
            <w:tcBorders>
              <w:left w:val="single" w:sz="4" w:space="0" w:color="auto"/>
              <w:right w:val="double" w:sz="4" w:space="0" w:color="auto"/>
            </w:tcBorders>
            <w:vAlign w:val="center"/>
          </w:tcPr>
          <w:p w14:paraId="3EEAFFB5" w14:textId="77777777" w:rsidR="003426CA" w:rsidRPr="00D21420" w:rsidRDefault="003426CA" w:rsidP="00020C32">
            <w:pPr>
              <w:spacing w:before="60" w:after="60"/>
              <w:jc w:val="center"/>
              <w:rPr>
                <w:spacing w:val="-3"/>
                <w:lang w:bidi="de-DE"/>
              </w:rPr>
            </w:pPr>
          </w:p>
        </w:tc>
      </w:tr>
      <w:tr w:rsidR="003426CA" w:rsidRPr="00D21420" w14:paraId="5F2B0C3A" w14:textId="77777777" w:rsidTr="00020C32">
        <w:trPr>
          <w:cantSplit/>
          <w:jc w:val="center"/>
        </w:trPr>
        <w:tc>
          <w:tcPr>
            <w:tcW w:w="6605" w:type="dxa"/>
            <w:tcBorders>
              <w:left w:val="double" w:sz="4" w:space="0" w:color="auto"/>
              <w:right w:val="single" w:sz="4" w:space="0" w:color="auto"/>
            </w:tcBorders>
          </w:tcPr>
          <w:p w14:paraId="0F416F6D"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erster Verstoß:</w:t>
            </w:r>
          </w:p>
        </w:tc>
        <w:tc>
          <w:tcPr>
            <w:tcW w:w="2508" w:type="dxa"/>
            <w:tcBorders>
              <w:left w:val="single" w:sz="4" w:space="0" w:color="auto"/>
              <w:right w:val="double" w:sz="4" w:space="0" w:color="auto"/>
            </w:tcBorders>
            <w:vAlign w:val="center"/>
          </w:tcPr>
          <w:p w14:paraId="5C5C6211" w14:textId="77777777" w:rsidR="003426CA" w:rsidRPr="00D21420" w:rsidRDefault="003426CA" w:rsidP="00020C32">
            <w:pPr>
              <w:spacing w:before="60" w:after="60"/>
              <w:jc w:val="center"/>
              <w:rPr>
                <w:spacing w:val="-3"/>
                <w:lang w:eastAsia="de-DE" w:bidi="de-DE"/>
              </w:rPr>
            </w:pPr>
            <w:r w:rsidRPr="00D21420">
              <w:rPr>
                <w:rFonts w:eastAsia="Calibri"/>
                <w:spacing w:val="-3"/>
                <w:lang w:eastAsia="de-DE" w:bidi="de-DE"/>
              </w:rPr>
              <w:t>Entfällt</w:t>
            </w:r>
          </w:p>
        </w:tc>
      </w:tr>
      <w:tr w:rsidR="003426CA" w:rsidRPr="00D21420" w14:paraId="16EA6CBB" w14:textId="77777777" w:rsidTr="00020C32">
        <w:trPr>
          <w:cantSplit/>
          <w:jc w:val="center"/>
        </w:trPr>
        <w:tc>
          <w:tcPr>
            <w:tcW w:w="6605" w:type="dxa"/>
            <w:tcBorders>
              <w:left w:val="double" w:sz="4" w:space="0" w:color="auto"/>
              <w:right w:val="single" w:sz="4" w:space="0" w:color="auto"/>
            </w:tcBorders>
          </w:tcPr>
          <w:p w14:paraId="1180F60C"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zweiter Verstoß:</w:t>
            </w:r>
          </w:p>
        </w:tc>
        <w:tc>
          <w:tcPr>
            <w:tcW w:w="2508" w:type="dxa"/>
            <w:tcBorders>
              <w:left w:val="single" w:sz="4" w:space="0" w:color="auto"/>
              <w:right w:val="double" w:sz="4" w:space="0" w:color="auto"/>
            </w:tcBorders>
            <w:vAlign w:val="center"/>
          </w:tcPr>
          <w:p w14:paraId="1B6BF032" w14:textId="77777777" w:rsidR="003426CA" w:rsidRPr="00D21420" w:rsidRDefault="003426CA" w:rsidP="00020C32">
            <w:pPr>
              <w:spacing w:before="60" w:after="60"/>
              <w:jc w:val="center"/>
              <w:rPr>
                <w:spacing w:val="-3"/>
                <w:lang w:eastAsia="de-DE" w:bidi="de-DE"/>
              </w:rPr>
            </w:pPr>
            <w:r w:rsidRPr="00D21420">
              <w:rPr>
                <w:rFonts w:eastAsia="Calibri"/>
                <w:spacing w:val="-3"/>
                <w:lang w:eastAsia="de-DE" w:bidi="de-DE"/>
              </w:rPr>
              <w:t>10 Prozent</w:t>
            </w:r>
          </w:p>
        </w:tc>
      </w:tr>
      <w:tr w:rsidR="003426CA" w:rsidRPr="00D21420" w14:paraId="7753A1CF" w14:textId="77777777" w:rsidTr="00020C32">
        <w:trPr>
          <w:cantSplit/>
          <w:jc w:val="center"/>
        </w:trPr>
        <w:tc>
          <w:tcPr>
            <w:tcW w:w="6605" w:type="dxa"/>
            <w:tcBorders>
              <w:left w:val="double" w:sz="4" w:space="0" w:color="auto"/>
              <w:right w:val="single" w:sz="4" w:space="0" w:color="auto"/>
            </w:tcBorders>
          </w:tcPr>
          <w:p w14:paraId="3A5A0F1C"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dritter Verstoß:</w:t>
            </w:r>
          </w:p>
        </w:tc>
        <w:tc>
          <w:tcPr>
            <w:tcW w:w="2508" w:type="dxa"/>
            <w:tcBorders>
              <w:left w:val="single" w:sz="4" w:space="0" w:color="auto"/>
              <w:right w:val="double" w:sz="4" w:space="0" w:color="auto"/>
            </w:tcBorders>
            <w:vAlign w:val="center"/>
          </w:tcPr>
          <w:p w14:paraId="2C028276" w14:textId="77777777" w:rsidR="003426CA" w:rsidRPr="00D21420" w:rsidRDefault="003426CA" w:rsidP="00020C32">
            <w:pPr>
              <w:spacing w:before="60" w:after="60"/>
              <w:jc w:val="center"/>
              <w:rPr>
                <w:spacing w:val="-3"/>
                <w:lang w:eastAsia="de-DE" w:bidi="de-DE"/>
              </w:rPr>
            </w:pPr>
            <w:r w:rsidRPr="00D21420">
              <w:rPr>
                <w:rFonts w:eastAsia="Calibri"/>
                <w:spacing w:val="-3"/>
                <w:lang w:eastAsia="de-DE" w:bidi="de-DE"/>
              </w:rPr>
              <w:t>20 Prozent</w:t>
            </w:r>
          </w:p>
        </w:tc>
      </w:tr>
      <w:tr w:rsidR="003426CA" w:rsidRPr="00D21420" w14:paraId="6A41C7FD" w14:textId="77777777" w:rsidTr="00020C32">
        <w:trPr>
          <w:cantSplit/>
          <w:jc w:val="center"/>
        </w:trPr>
        <w:tc>
          <w:tcPr>
            <w:tcW w:w="6605" w:type="dxa"/>
            <w:tcBorders>
              <w:left w:val="double" w:sz="4" w:space="0" w:color="auto"/>
              <w:right w:val="single" w:sz="4" w:space="0" w:color="auto"/>
            </w:tcBorders>
          </w:tcPr>
          <w:p w14:paraId="5E738433"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vierter und fünfter Verstoß:</w:t>
            </w:r>
          </w:p>
        </w:tc>
        <w:tc>
          <w:tcPr>
            <w:tcW w:w="2508" w:type="dxa"/>
            <w:tcBorders>
              <w:left w:val="single" w:sz="4" w:space="0" w:color="auto"/>
              <w:right w:val="double" w:sz="4" w:space="0" w:color="auto"/>
            </w:tcBorders>
            <w:vAlign w:val="center"/>
          </w:tcPr>
          <w:p w14:paraId="10A37810" w14:textId="77777777" w:rsidR="003426CA" w:rsidRPr="00D21420" w:rsidRDefault="003426CA" w:rsidP="00020C32">
            <w:pPr>
              <w:spacing w:before="60" w:after="60"/>
              <w:jc w:val="center"/>
              <w:rPr>
                <w:spacing w:val="-3"/>
                <w:lang w:eastAsia="de-DE" w:bidi="de-DE"/>
              </w:rPr>
            </w:pPr>
            <w:r w:rsidRPr="00D21420">
              <w:rPr>
                <w:rFonts w:eastAsia="Calibri"/>
                <w:spacing w:val="-3"/>
                <w:lang w:eastAsia="de-DE" w:bidi="de-DE"/>
              </w:rPr>
              <w:t>30 Prozent</w:t>
            </w:r>
          </w:p>
        </w:tc>
      </w:tr>
      <w:tr w:rsidR="003426CA" w:rsidRPr="00516EF3" w14:paraId="3B486F7C" w14:textId="77777777" w:rsidTr="00020C32">
        <w:trPr>
          <w:cantSplit/>
          <w:jc w:val="center"/>
        </w:trPr>
        <w:tc>
          <w:tcPr>
            <w:tcW w:w="6605" w:type="dxa"/>
            <w:tcBorders>
              <w:left w:val="double" w:sz="4" w:space="0" w:color="auto"/>
              <w:bottom w:val="single" w:sz="4" w:space="0" w:color="auto"/>
              <w:right w:val="single" w:sz="4" w:space="0" w:color="auto"/>
            </w:tcBorders>
          </w:tcPr>
          <w:p w14:paraId="78A22E5E"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Ab dem sechsten Verstoß werden Verstöße dieser Art nachstehendem Buchstaben C zugeordnet und entsprechend geahndet.</w:t>
            </w:r>
          </w:p>
        </w:tc>
        <w:tc>
          <w:tcPr>
            <w:tcW w:w="2508" w:type="dxa"/>
            <w:tcBorders>
              <w:left w:val="single" w:sz="4" w:space="0" w:color="auto"/>
              <w:bottom w:val="single" w:sz="4" w:space="0" w:color="auto"/>
              <w:right w:val="double" w:sz="4" w:space="0" w:color="auto"/>
            </w:tcBorders>
            <w:vAlign w:val="center"/>
          </w:tcPr>
          <w:p w14:paraId="00D9B6DA" w14:textId="77777777" w:rsidR="003426CA" w:rsidRPr="00D21420" w:rsidRDefault="003426CA" w:rsidP="00020C32">
            <w:pPr>
              <w:spacing w:before="60" w:after="60"/>
              <w:jc w:val="center"/>
              <w:rPr>
                <w:spacing w:val="-3"/>
                <w:lang w:bidi="de-DE"/>
              </w:rPr>
            </w:pPr>
          </w:p>
        </w:tc>
      </w:tr>
      <w:tr w:rsidR="003426CA" w:rsidRPr="00D21420" w14:paraId="2F02B37D" w14:textId="77777777" w:rsidTr="00020C32">
        <w:trPr>
          <w:cantSplit/>
          <w:jc w:val="center"/>
        </w:trPr>
        <w:tc>
          <w:tcPr>
            <w:tcW w:w="6605" w:type="dxa"/>
            <w:tcBorders>
              <w:left w:val="double" w:sz="4" w:space="0" w:color="auto"/>
              <w:right w:val="single" w:sz="4" w:space="0" w:color="auto"/>
            </w:tcBorders>
          </w:tcPr>
          <w:p w14:paraId="64E9BAEB"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both"/>
              <w:rPr>
                <w:lang w:eastAsia="de-DE" w:bidi="de-DE"/>
              </w:rPr>
            </w:pPr>
            <w:r w:rsidRPr="00D21420">
              <w:rPr>
                <w:rFonts w:eastAsia="Calibri"/>
                <w:lang w:eastAsia="de-DE" w:bidi="de-DE"/>
              </w:rPr>
              <w:t>C.</w:t>
            </w:r>
            <w:r w:rsidRPr="00D21420">
              <w:rPr>
                <w:rFonts w:eastAsia="Calibri"/>
                <w:lang w:eastAsia="de-DE" w:bidi="de-DE"/>
              </w:rPr>
              <w:tab/>
              <w:t>Verstoß mit Steuerhinterziehungsabsicht:</w:t>
            </w:r>
          </w:p>
        </w:tc>
        <w:tc>
          <w:tcPr>
            <w:tcW w:w="2508" w:type="dxa"/>
            <w:tcBorders>
              <w:left w:val="single" w:sz="4" w:space="0" w:color="auto"/>
              <w:right w:val="double" w:sz="4" w:space="0" w:color="auto"/>
            </w:tcBorders>
            <w:vAlign w:val="center"/>
          </w:tcPr>
          <w:p w14:paraId="75B4AAA0" w14:textId="77777777" w:rsidR="003426CA" w:rsidRPr="00D21420" w:rsidRDefault="003426CA" w:rsidP="00020C32">
            <w:pPr>
              <w:spacing w:before="120" w:after="60"/>
              <w:jc w:val="center"/>
              <w:rPr>
                <w:b/>
                <w:spacing w:val="-3"/>
                <w:lang w:val="fr-BE" w:bidi="de-DE"/>
              </w:rPr>
            </w:pPr>
          </w:p>
        </w:tc>
      </w:tr>
      <w:tr w:rsidR="003426CA" w:rsidRPr="00D21420" w14:paraId="76B1FB34" w14:textId="77777777" w:rsidTr="00020C32">
        <w:trPr>
          <w:cantSplit/>
          <w:jc w:val="center"/>
        </w:trPr>
        <w:tc>
          <w:tcPr>
            <w:tcW w:w="6605" w:type="dxa"/>
            <w:tcBorders>
              <w:left w:val="double" w:sz="4" w:space="0" w:color="auto"/>
              <w:right w:val="single" w:sz="4" w:space="0" w:color="auto"/>
            </w:tcBorders>
          </w:tcPr>
          <w:p w14:paraId="15AC8387"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erster Verstoß:</w:t>
            </w:r>
          </w:p>
        </w:tc>
        <w:tc>
          <w:tcPr>
            <w:tcW w:w="2508" w:type="dxa"/>
            <w:tcBorders>
              <w:left w:val="single" w:sz="4" w:space="0" w:color="auto"/>
              <w:right w:val="double" w:sz="4" w:space="0" w:color="auto"/>
            </w:tcBorders>
            <w:vAlign w:val="center"/>
          </w:tcPr>
          <w:p w14:paraId="163E7F9A"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eastAsia="de-DE" w:bidi="de-DE"/>
              </w:rPr>
            </w:pPr>
            <w:r w:rsidRPr="00D21420">
              <w:rPr>
                <w:rFonts w:eastAsia="Calibri"/>
                <w:spacing w:val="-3"/>
                <w:lang w:eastAsia="de-DE" w:bidi="de-DE"/>
              </w:rPr>
              <w:t>50 Prozent</w:t>
            </w:r>
          </w:p>
        </w:tc>
      </w:tr>
      <w:tr w:rsidR="003426CA" w:rsidRPr="00D21420" w14:paraId="509B1CDF" w14:textId="77777777" w:rsidTr="00020C32">
        <w:trPr>
          <w:cantSplit/>
          <w:jc w:val="center"/>
        </w:trPr>
        <w:tc>
          <w:tcPr>
            <w:tcW w:w="6605" w:type="dxa"/>
            <w:tcBorders>
              <w:left w:val="double" w:sz="4" w:space="0" w:color="auto"/>
              <w:right w:val="single" w:sz="4" w:space="0" w:color="auto"/>
            </w:tcBorders>
          </w:tcPr>
          <w:p w14:paraId="24FEE5F0"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zweiter und dritter Verstoß:</w:t>
            </w:r>
          </w:p>
        </w:tc>
        <w:tc>
          <w:tcPr>
            <w:tcW w:w="2508" w:type="dxa"/>
            <w:tcBorders>
              <w:left w:val="single" w:sz="4" w:space="0" w:color="auto"/>
              <w:right w:val="double" w:sz="4" w:space="0" w:color="auto"/>
            </w:tcBorders>
            <w:vAlign w:val="center"/>
          </w:tcPr>
          <w:p w14:paraId="61C7FF54" w14:textId="77777777" w:rsidR="003426CA" w:rsidRPr="00D21420" w:rsidRDefault="003426CA" w:rsidP="00020C32">
            <w:pPr>
              <w:spacing w:before="60" w:after="60"/>
              <w:jc w:val="center"/>
              <w:rPr>
                <w:spacing w:val="-3"/>
                <w:lang w:eastAsia="de-DE" w:bidi="de-DE"/>
              </w:rPr>
            </w:pPr>
            <w:r w:rsidRPr="00D21420">
              <w:rPr>
                <w:rFonts w:eastAsia="Calibri"/>
                <w:spacing w:val="-3"/>
                <w:lang w:eastAsia="de-DE" w:bidi="de-DE"/>
              </w:rPr>
              <w:t>75 Prozent</w:t>
            </w:r>
          </w:p>
        </w:tc>
      </w:tr>
      <w:tr w:rsidR="003426CA" w:rsidRPr="00D21420" w14:paraId="6B307E20" w14:textId="77777777" w:rsidTr="00020C32">
        <w:trPr>
          <w:cantSplit/>
          <w:jc w:val="center"/>
        </w:trPr>
        <w:tc>
          <w:tcPr>
            <w:tcW w:w="6605" w:type="dxa"/>
            <w:tcBorders>
              <w:left w:val="double" w:sz="4" w:space="0" w:color="auto"/>
              <w:right w:val="single" w:sz="4" w:space="0" w:color="auto"/>
            </w:tcBorders>
          </w:tcPr>
          <w:p w14:paraId="69AF6B4E"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vierter und fünfter Verstoß:</w:t>
            </w:r>
          </w:p>
        </w:tc>
        <w:tc>
          <w:tcPr>
            <w:tcW w:w="2508" w:type="dxa"/>
            <w:tcBorders>
              <w:left w:val="single" w:sz="4" w:space="0" w:color="auto"/>
              <w:right w:val="double" w:sz="4" w:space="0" w:color="auto"/>
            </w:tcBorders>
            <w:vAlign w:val="center"/>
          </w:tcPr>
          <w:p w14:paraId="09B47671" w14:textId="77777777" w:rsidR="003426CA" w:rsidRPr="00D21420" w:rsidRDefault="003426CA" w:rsidP="00020C32">
            <w:pPr>
              <w:spacing w:before="60" w:after="60"/>
              <w:jc w:val="center"/>
              <w:rPr>
                <w:spacing w:val="-3"/>
                <w:lang w:eastAsia="de-DE" w:bidi="de-DE"/>
              </w:rPr>
            </w:pPr>
            <w:r w:rsidRPr="00D21420">
              <w:rPr>
                <w:rFonts w:eastAsia="Calibri"/>
                <w:spacing w:val="-3"/>
                <w:lang w:eastAsia="de-DE" w:bidi="de-DE"/>
              </w:rPr>
              <w:t>100 Prozent</w:t>
            </w:r>
          </w:p>
        </w:tc>
      </w:tr>
      <w:tr w:rsidR="003426CA" w:rsidRPr="00D21420" w14:paraId="2C49EF7E" w14:textId="77777777" w:rsidTr="00020C32">
        <w:trPr>
          <w:cantSplit/>
          <w:jc w:val="center"/>
        </w:trPr>
        <w:tc>
          <w:tcPr>
            <w:tcW w:w="6605" w:type="dxa"/>
            <w:tcBorders>
              <w:left w:val="double" w:sz="4" w:space="0" w:color="auto"/>
              <w:right w:val="single" w:sz="4" w:space="0" w:color="auto"/>
            </w:tcBorders>
          </w:tcPr>
          <w:p w14:paraId="3E6390DB"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sechster und siebter Verstoß:</w:t>
            </w:r>
          </w:p>
        </w:tc>
        <w:tc>
          <w:tcPr>
            <w:tcW w:w="2508" w:type="dxa"/>
            <w:tcBorders>
              <w:left w:val="single" w:sz="4" w:space="0" w:color="auto"/>
              <w:right w:val="double" w:sz="4" w:space="0" w:color="auto"/>
            </w:tcBorders>
            <w:vAlign w:val="center"/>
          </w:tcPr>
          <w:p w14:paraId="0CB8E586" w14:textId="77777777" w:rsidR="003426CA" w:rsidRPr="00D21420" w:rsidRDefault="003426CA" w:rsidP="00020C32">
            <w:pPr>
              <w:spacing w:before="60" w:after="60"/>
              <w:jc w:val="center"/>
              <w:rPr>
                <w:spacing w:val="-3"/>
                <w:lang w:eastAsia="de-DE" w:bidi="de-DE"/>
              </w:rPr>
            </w:pPr>
            <w:r w:rsidRPr="00D21420">
              <w:rPr>
                <w:rFonts w:eastAsia="Calibri"/>
                <w:spacing w:val="-3"/>
                <w:lang w:eastAsia="de-DE" w:bidi="de-DE"/>
              </w:rPr>
              <w:t>150 Prozent</w:t>
            </w:r>
          </w:p>
        </w:tc>
      </w:tr>
      <w:tr w:rsidR="003426CA" w:rsidRPr="00D21420" w14:paraId="10C9EF3A" w14:textId="77777777" w:rsidTr="00020C32">
        <w:trPr>
          <w:cantSplit/>
          <w:jc w:val="center"/>
        </w:trPr>
        <w:tc>
          <w:tcPr>
            <w:tcW w:w="6605" w:type="dxa"/>
            <w:tcBorders>
              <w:left w:val="double" w:sz="4" w:space="0" w:color="auto"/>
              <w:bottom w:val="single" w:sz="4" w:space="0" w:color="auto"/>
              <w:right w:val="single" w:sz="4" w:space="0" w:color="auto"/>
            </w:tcBorders>
          </w:tcPr>
          <w:p w14:paraId="2B7575E3"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achter Verstoß und folgende Verstöße:</w:t>
            </w:r>
          </w:p>
        </w:tc>
        <w:tc>
          <w:tcPr>
            <w:tcW w:w="2508" w:type="dxa"/>
            <w:tcBorders>
              <w:left w:val="single" w:sz="4" w:space="0" w:color="auto"/>
              <w:bottom w:val="single" w:sz="4" w:space="0" w:color="auto"/>
              <w:right w:val="double" w:sz="4" w:space="0" w:color="auto"/>
            </w:tcBorders>
            <w:vAlign w:val="center"/>
          </w:tcPr>
          <w:p w14:paraId="54385962" w14:textId="77777777" w:rsidR="003426CA" w:rsidRPr="00D21420" w:rsidRDefault="003426CA" w:rsidP="00020C32">
            <w:pPr>
              <w:spacing w:before="60" w:after="60"/>
              <w:jc w:val="center"/>
              <w:rPr>
                <w:spacing w:val="-3"/>
                <w:lang w:eastAsia="de-DE" w:bidi="de-DE"/>
              </w:rPr>
            </w:pPr>
            <w:r w:rsidRPr="00D21420">
              <w:rPr>
                <w:rFonts w:eastAsia="Calibri"/>
                <w:spacing w:val="-3"/>
                <w:lang w:eastAsia="de-DE" w:bidi="de-DE"/>
              </w:rPr>
              <w:t>200 Prozent</w:t>
            </w:r>
          </w:p>
        </w:tc>
      </w:tr>
      <w:tr w:rsidR="003426CA" w:rsidRPr="00516EF3" w14:paraId="65D0093A" w14:textId="77777777" w:rsidTr="00020C32">
        <w:trPr>
          <w:cantSplit/>
          <w:trHeight w:val="473"/>
          <w:jc w:val="center"/>
        </w:trPr>
        <w:tc>
          <w:tcPr>
            <w:tcW w:w="6605" w:type="dxa"/>
            <w:tcBorders>
              <w:left w:val="double" w:sz="4" w:space="0" w:color="auto"/>
              <w:right w:val="single" w:sz="4" w:space="0" w:color="auto"/>
            </w:tcBorders>
          </w:tcPr>
          <w:p w14:paraId="2DEB49C1"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both"/>
              <w:rPr>
                <w:lang w:eastAsia="de-DE" w:bidi="de-DE"/>
              </w:rPr>
            </w:pPr>
            <w:r w:rsidRPr="00D21420">
              <w:rPr>
                <w:rFonts w:eastAsia="Calibri"/>
                <w:lang w:eastAsia="de-DE" w:bidi="de-DE"/>
              </w:rPr>
              <w:t>D.</w:t>
            </w:r>
            <w:r w:rsidRPr="00D21420">
              <w:rPr>
                <w:rFonts w:eastAsia="Calibri"/>
                <w:lang w:eastAsia="de-DE" w:bidi="de-DE"/>
              </w:rPr>
              <w:tab/>
              <w:t xml:space="preserve">Verstoß verbunden mit einer Fälschung oder dem Gebrauch gefälschter Urkunden oder verbunden mit einer Bestechung oder dem Versuch einer Bestechung eines Beamten: </w:t>
            </w:r>
          </w:p>
        </w:tc>
        <w:tc>
          <w:tcPr>
            <w:tcW w:w="2508" w:type="dxa"/>
            <w:tcBorders>
              <w:left w:val="single" w:sz="4" w:space="0" w:color="auto"/>
              <w:right w:val="double" w:sz="4" w:space="0" w:color="auto"/>
            </w:tcBorders>
            <w:vAlign w:val="center"/>
          </w:tcPr>
          <w:p w14:paraId="3679481B" w14:textId="77777777" w:rsidR="003426CA" w:rsidRPr="00D21420" w:rsidRDefault="003426CA" w:rsidP="00020C32">
            <w:pPr>
              <w:spacing w:before="120" w:after="60"/>
              <w:jc w:val="center"/>
              <w:rPr>
                <w:spacing w:val="-3"/>
                <w:lang w:bidi="de-DE"/>
              </w:rPr>
            </w:pPr>
          </w:p>
        </w:tc>
      </w:tr>
      <w:tr w:rsidR="003426CA" w:rsidRPr="00D21420" w14:paraId="2322B408" w14:textId="77777777" w:rsidTr="00020C32">
        <w:trPr>
          <w:cantSplit/>
          <w:trHeight w:val="472"/>
          <w:jc w:val="center"/>
        </w:trPr>
        <w:tc>
          <w:tcPr>
            <w:tcW w:w="6605" w:type="dxa"/>
            <w:tcBorders>
              <w:left w:val="double" w:sz="4" w:space="0" w:color="auto"/>
              <w:bottom w:val="double" w:sz="4" w:space="0" w:color="auto"/>
              <w:right w:val="single" w:sz="4" w:space="0" w:color="auto"/>
            </w:tcBorders>
          </w:tcPr>
          <w:p w14:paraId="78FED29B"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both"/>
              <w:rPr>
                <w:lang w:eastAsia="de-DE" w:bidi="de-DE"/>
              </w:rPr>
            </w:pPr>
            <w:r w:rsidRPr="00D21420">
              <w:rPr>
                <w:rFonts w:eastAsia="Calibri"/>
                <w:lang w:eastAsia="de-DE" w:bidi="de-DE"/>
              </w:rPr>
              <w:tab/>
              <w:t>in allen Fällen:</w:t>
            </w:r>
          </w:p>
        </w:tc>
        <w:tc>
          <w:tcPr>
            <w:tcW w:w="2508" w:type="dxa"/>
            <w:tcBorders>
              <w:left w:val="single" w:sz="4" w:space="0" w:color="auto"/>
              <w:bottom w:val="double" w:sz="4" w:space="0" w:color="auto"/>
              <w:right w:val="double" w:sz="4" w:space="0" w:color="auto"/>
            </w:tcBorders>
            <w:vAlign w:val="center"/>
          </w:tcPr>
          <w:p w14:paraId="62E26AA9" w14:textId="77777777" w:rsidR="003426CA" w:rsidRPr="00D21420" w:rsidRDefault="003426CA" w:rsidP="00020C32">
            <w:pPr>
              <w:spacing w:before="120" w:after="60"/>
              <w:jc w:val="center"/>
              <w:rPr>
                <w:spacing w:val="-3"/>
                <w:lang w:eastAsia="de-DE" w:bidi="de-DE"/>
              </w:rPr>
            </w:pPr>
            <w:r w:rsidRPr="00D21420">
              <w:rPr>
                <w:rFonts w:eastAsia="Calibri"/>
                <w:spacing w:val="-3"/>
                <w:lang w:eastAsia="de-DE" w:bidi="de-DE"/>
              </w:rPr>
              <w:t>200 Prozent</w:t>
            </w:r>
          </w:p>
        </w:tc>
      </w:tr>
    </w:tbl>
    <w:p w14:paraId="05615A32" w14:textId="77777777" w:rsidR="00B7418B" w:rsidRDefault="00B7418B" w:rsidP="003426CA">
      <w:pPr>
        <w:jc w:val="both"/>
        <w:rPr>
          <w:rFonts w:eastAsia="Calibri"/>
          <w:szCs w:val="22"/>
          <w:lang w:eastAsia="de-DE" w:bidi="de-DE"/>
        </w:rPr>
      </w:pPr>
    </w:p>
    <w:p w14:paraId="02CDE7FD"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Für die Festlegung des anzuwendenden Prozentsatzes der Steuerzuschläge werden frühere Verstöße, die in den Buchstaben B und C erwähnt sind, nicht berücksichtigt, wenn für vier aufeinander folgende monatliche, vierteljährliche oder jährliche Fälligkeitstermine kein Verstoß in Bezug auf die Erklärung und Zahlung in Bezug auf den Mobilien- oder Berufssteuervorabzug - getrennt betrachtet - geahndet wurde.</w:t>
      </w:r>
    </w:p>
    <w:p w14:paraId="304994C0" w14:textId="77777777" w:rsidR="003426CA" w:rsidRDefault="003426CA" w:rsidP="003426CA">
      <w:pPr>
        <w:jc w:val="both"/>
        <w:rPr>
          <w:lang w:bidi="de-DE"/>
        </w:rPr>
      </w:pPr>
    </w:p>
    <w:p w14:paraId="62487AAA" w14:textId="5323E16E" w:rsidR="00EE13DE" w:rsidRDefault="00EE13DE" w:rsidP="003426CA">
      <w:pPr>
        <w:jc w:val="both"/>
        <w:rPr>
          <w:i/>
          <w:iCs/>
          <w:lang w:bidi="de-DE"/>
        </w:rPr>
      </w:pPr>
      <w:r>
        <w:rPr>
          <w:i/>
          <w:iCs/>
          <w:lang w:bidi="de-DE"/>
        </w:rPr>
        <w:t>[Art. 228 Abs. 1 einleitende Bestimmung abgeändert durch Art. 2</w:t>
      </w:r>
      <w:r w:rsidRPr="00EE13DE">
        <w:rPr>
          <w:i/>
          <w:iCs/>
          <w:lang w:bidi="de-DE"/>
        </w:rPr>
        <w:t xml:space="preserve"> des K.E. vom 13. September 2022 (B.S. vom 13. Oktober 2022)]</w:t>
      </w:r>
    </w:p>
    <w:p w14:paraId="25229047" w14:textId="77777777" w:rsidR="00EE13DE" w:rsidRDefault="00EE13DE" w:rsidP="003426CA">
      <w:pPr>
        <w:jc w:val="both"/>
        <w:rPr>
          <w:i/>
          <w:iCs/>
          <w:lang w:bidi="de-DE"/>
        </w:rPr>
      </w:pPr>
    </w:p>
    <w:p w14:paraId="08E89178" w14:textId="77777777" w:rsidR="00EE13DE" w:rsidRDefault="00EE13DE" w:rsidP="003426CA">
      <w:pPr>
        <w:jc w:val="both"/>
        <w:rPr>
          <w:i/>
          <w:iCs/>
          <w:lang w:bidi="de-DE"/>
        </w:rPr>
      </w:pPr>
    </w:p>
    <w:p w14:paraId="5A474824" w14:textId="77777777" w:rsidR="00E41791" w:rsidRDefault="00E41791">
      <w:pPr>
        <w:rPr>
          <w:lang w:bidi="de-DE"/>
        </w:rPr>
      </w:pPr>
      <w:r>
        <w:rPr>
          <w:lang w:bidi="de-DE"/>
        </w:rPr>
        <w:br w:type="page"/>
      </w:r>
    </w:p>
    <w:p w14:paraId="08742172" w14:textId="6C00158A" w:rsidR="00EE13DE" w:rsidRDefault="00EE13DE" w:rsidP="00EE13DE">
      <w:pPr>
        <w:jc w:val="both"/>
      </w:pPr>
      <w:r>
        <w:rPr>
          <w:lang w:bidi="de-DE"/>
        </w:rPr>
        <w:lastRenderedPageBreak/>
        <w:tab/>
        <w:t>[</w:t>
      </w:r>
      <w:r w:rsidRPr="00EE13DE">
        <w:rPr>
          <w:b/>
          <w:bCs/>
        </w:rPr>
        <w:t>Art. 228/1</w:t>
      </w:r>
      <w:r>
        <w:t> - In Abweichung von Artikel 228 wird die Tabelle der Steuerzuschläge, die im Falle einer unrichtigen Erklärung anwendbar sind, die zu einer in Titel VI Kapitel 1 Abschnitt 4 Unterabschnitt 3 des Einkommensteuergesetzbuches 1992 erwähnten Befreiung von der Zahlung des Berufssteuervorabzugs führt, wie folgt festgelegt:</w:t>
      </w:r>
    </w:p>
    <w:p w14:paraId="5D58FED5" w14:textId="77777777" w:rsidR="00EE13DE" w:rsidRDefault="00EE13DE" w:rsidP="00EE13DE">
      <w:pPr>
        <w:jc w:val="both"/>
      </w:pPr>
    </w:p>
    <w:tbl>
      <w:tblPr>
        <w:tblStyle w:val="Grilledutableau"/>
        <w:tblW w:w="0" w:type="auto"/>
        <w:tblLook w:val="04A0" w:firstRow="1" w:lastRow="0" w:firstColumn="1" w:lastColumn="0" w:noHBand="0" w:noVBand="1"/>
      </w:tblPr>
      <w:tblGrid>
        <w:gridCol w:w="6090"/>
        <w:gridCol w:w="2970"/>
      </w:tblGrid>
      <w:tr w:rsidR="00EE13DE" w14:paraId="117F23DB" w14:textId="77777777" w:rsidTr="00EE13DE">
        <w:trPr>
          <w:trHeight w:val="567"/>
        </w:trPr>
        <w:tc>
          <w:tcPr>
            <w:tcW w:w="6090" w:type="dxa"/>
            <w:vAlign w:val="center"/>
          </w:tcPr>
          <w:p w14:paraId="1DA507C4" w14:textId="77777777" w:rsidR="00EE13DE" w:rsidRDefault="00EE13DE" w:rsidP="00F42A16">
            <w:pPr>
              <w:jc w:val="center"/>
            </w:pPr>
            <w:r>
              <w:t>Art der Verstöße</w:t>
            </w:r>
          </w:p>
        </w:tc>
        <w:tc>
          <w:tcPr>
            <w:tcW w:w="2970" w:type="dxa"/>
            <w:vAlign w:val="center"/>
          </w:tcPr>
          <w:p w14:paraId="5F27B607" w14:textId="77777777" w:rsidR="00EE13DE" w:rsidRDefault="00EE13DE" w:rsidP="00F42A16">
            <w:pPr>
              <w:jc w:val="center"/>
            </w:pPr>
            <w:r>
              <w:t>Zuschläge</w:t>
            </w:r>
          </w:p>
        </w:tc>
      </w:tr>
      <w:tr w:rsidR="00EE13DE" w:rsidRPr="00D601AD" w14:paraId="070E76AE" w14:textId="77777777" w:rsidTr="00EE13DE">
        <w:trPr>
          <w:trHeight w:val="567"/>
        </w:trPr>
        <w:tc>
          <w:tcPr>
            <w:tcW w:w="6090" w:type="dxa"/>
            <w:vAlign w:val="center"/>
          </w:tcPr>
          <w:p w14:paraId="558F3EF5" w14:textId="77777777" w:rsidR="00EE13DE" w:rsidRPr="00D601AD" w:rsidRDefault="00EE13DE" w:rsidP="00F42A16">
            <w:pPr>
              <w:spacing w:before="120" w:after="120"/>
              <w:jc w:val="both"/>
            </w:pPr>
            <w:r>
              <w:t>A. Verstoß aus Gründen, die unabhängig vom Willen des Steuerpflichtigen sind:</w:t>
            </w:r>
          </w:p>
        </w:tc>
        <w:tc>
          <w:tcPr>
            <w:tcW w:w="2970" w:type="dxa"/>
            <w:vAlign w:val="center"/>
          </w:tcPr>
          <w:p w14:paraId="736F11E5" w14:textId="77777777" w:rsidR="00EE13DE" w:rsidRPr="00D601AD" w:rsidRDefault="00EE13DE" w:rsidP="00F42A16">
            <w:pPr>
              <w:jc w:val="both"/>
            </w:pPr>
            <w:r>
              <w:t>Entfällt</w:t>
            </w:r>
          </w:p>
        </w:tc>
      </w:tr>
      <w:tr w:rsidR="00EE13DE" w:rsidRPr="00D601AD" w14:paraId="61BF56B0" w14:textId="77777777" w:rsidTr="00EE13DE">
        <w:trPr>
          <w:trHeight w:val="567"/>
        </w:trPr>
        <w:tc>
          <w:tcPr>
            <w:tcW w:w="6090" w:type="dxa"/>
            <w:vAlign w:val="center"/>
          </w:tcPr>
          <w:p w14:paraId="50EBA7AF" w14:textId="77777777" w:rsidR="00EE13DE" w:rsidRPr="00D601AD" w:rsidRDefault="00EE13DE" w:rsidP="00F42A16">
            <w:pPr>
              <w:jc w:val="both"/>
            </w:pPr>
            <w:r>
              <w:t>B. Verstoß ohne Steuerhinterziehungsabsicht:</w:t>
            </w:r>
          </w:p>
        </w:tc>
        <w:tc>
          <w:tcPr>
            <w:tcW w:w="2970" w:type="dxa"/>
            <w:vAlign w:val="center"/>
          </w:tcPr>
          <w:p w14:paraId="7B8CC06F" w14:textId="77777777" w:rsidR="00EE13DE" w:rsidRPr="00D601AD" w:rsidRDefault="00EE13DE" w:rsidP="00F42A16">
            <w:pPr>
              <w:jc w:val="both"/>
            </w:pPr>
          </w:p>
        </w:tc>
      </w:tr>
      <w:tr w:rsidR="00EE13DE" w:rsidRPr="00D601AD" w14:paraId="32558A17" w14:textId="77777777" w:rsidTr="00EE13DE">
        <w:trPr>
          <w:trHeight w:val="567"/>
        </w:trPr>
        <w:tc>
          <w:tcPr>
            <w:tcW w:w="6090" w:type="dxa"/>
            <w:vAlign w:val="center"/>
          </w:tcPr>
          <w:p w14:paraId="046D7B3A" w14:textId="77777777" w:rsidR="00EE13DE" w:rsidRPr="00D601AD" w:rsidRDefault="00EE13DE" w:rsidP="00F42A16">
            <w:pPr>
              <w:jc w:val="both"/>
            </w:pPr>
            <w:r>
              <w:t>- erster Verstoß:</w:t>
            </w:r>
          </w:p>
        </w:tc>
        <w:tc>
          <w:tcPr>
            <w:tcW w:w="2970" w:type="dxa"/>
            <w:vAlign w:val="center"/>
          </w:tcPr>
          <w:p w14:paraId="771D1903" w14:textId="77777777" w:rsidR="00EE13DE" w:rsidRPr="00D601AD" w:rsidRDefault="00EE13DE" w:rsidP="00F42A16">
            <w:pPr>
              <w:jc w:val="both"/>
            </w:pPr>
            <w:r>
              <w:t>10 Prozent</w:t>
            </w:r>
          </w:p>
        </w:tc>
      </w:tr>
      <w:tr w:rsidR="00EE13DE" w:rsidRPr="00D601AD" w14:paraId="3B926BD3" w14:textId="77777777" w:rsidTr="00EE13DE">
        <w:trPr>
          <w:trHeight w:val="567"/>
        </w:trPr>
        <w:tc>
          <w:tcPr>
            <w:tcW w:w="6090" w:type="dxa"/>
            <w:vAlign w:val="center"/>
          </w:tcPr>
          <w:p w14:paraId="169F73E4" w14:textId="77777777" w:rsidR="00EE13DE" w:rsidRPr="00D601AD" w:rsidRDefault="00EE13DE" w:rsidP="00F42A16">
            <w:pPr>
              <w:jc w:val="both"/>
            </w:pPr>
            <w:r>
              <w:t>- zweiter Verstoß:</w:t>
            </w:r>
          </w:p>
        </w:tc>
        <w:tc>
          <w:tcPr>
            <w:tcW w:w="2970" w:type="dxa"/>
            <w:vAlign w:val="center"/>
          </w:tcPr>
          <w:p w14:paraId="7E2DBC01" w14:textId="77777777" w:rsidR="00EE13DE" w:rsidRPr="00D601AD" w:rsidRDefault="00EE13DE" w:rsidP="00F42A16">
            <w:pPr>
              <w:jc w:val="both"/>
            </w:pPr>
            <w:r>
              <w:t>20 Prozent</w:t>
            </w:r>
          </w:p>
        </w:tc>
      </w:tr>
      <w:tr w:rsidR="00EE13DE" w:rsidRPr="00D601AD" w14:paraId="687FF812" w14:textId="77777777" w:rsidTr="00EE13DE">
        <w:trPr>
          <w:trHeight w:val="567"/>
        </w:trPr>
        <w:tc>
          <w:tcPr>
            <w:tcW w:w="6090" w:type="dxa"/>
            <w:vAlign w:val="center"/>
          </w:tcPr>
          <w:p w14:paraId="7B3F420F" w14:textId="77777777" w:rsidR="00EE13DE" w:rsidRPr="00D601AD" w:rsidRDefault="00EE13DE" w:rsidP="00F42A16">
            <w:pPr>
              <w:jc w:val="both"/>
            </w:pPr>
            <w:r>
              <w:t>- dritter Verstoß:</w:t>
            </w:r>
          </w:p>
        </w:tc>
        <w:tc>
          <w:tcPr>
            <w:tcW w:w="2970" w:type="dxa"/>
            <w:vAlign w:val="center"/>
          </w:tcPr>
          <w:p w14:paraId="44D6336F" w14:textId="77777777" w:rsidR="00EE13DE" w:rsidRPr="00D601AD" w:rsidRDefault="00EE13DE" w:rsidP="00F42A16">
            <w:pPr>
              <w:jc w:val="both"/>
            </w:pPr>
            <w:r>
              <w:t>30 Prozent</w:t>
            </w:r>
          </w:p>
        </w:tc>
      </w:tr>
      <w:tr w:rsidR="00EE13DE" w:rsidRPr="00D601AD" w14:paraId="0EA5BD6A" w14:textId="77777777" w:rsidTr="00EE13DE">
        <w:trPr>
          <w:trHeight w:val="567"/>
        </w:trPr>
        <w:tc>
          <w:tcPr>
            <w:tcW w:w="6090" w:type="dxa"/>
            <w:vAlign w:val="center"/>
          </w:tcPr>
          <w:p w14:paraId="105CC713" w14:textId="1209FFB5" w:rsidR="00EE13DE" w:rsidRPr="00EE13DE" w:rsidRDefault="00EE13DE" w:rsidP="00F42A16">
            <w:pPr>
              <w:spacing w:before="120" w:after="120"/>
              <w:jc w:val="both"/>
              <w:rPr>
                <w:spacing w:val="-2"/>
              </w:rPr>
            </w:pPr>
            <w:r w:rsidRPr="00EE13DE">
              <w:rPr>
                <w:spacing w:val="-2"/>
              </w:rPr>
              <w:t>Ab dem vierten Verstoß werden Verstöße dieser Art nachst</w:t>
            </w:r>
            <w:r>
              <w:rPr>
                <w:spacing w:val="-2"/>
              </w:rPr>
              <w:t>e-</w:t>
            </w:r>
            <w:r w:rsidRPr="00EE13DE">
              <w:rPr>
                <w:spacing w:val="-2"/>
              </w:rPr>
              <w:t>hendem Buchstaben C zugeordnet und entsprechend geahndet.</w:t>
            </w:r>
          </w:p>
        </w:tc>
        <w:tc>
          <w:tcPr>
            <w:tcW w:w="2970" w:type="dxa"/>
            <w:vAlign w:val="center"/>
          </w:tcPr>
          <w:p w14:paraId="524DD308" w14:textId="77777777" w:rsidR="00EE13DE" w:rsidRPr="00D601AD" w:rsidRDefault="00EE13DE" w:rsidP="00F42A16">
            <w:pPr>
              <w:jc w:val="both"/>
            </w:pPr>
          </w:p>
        </w:tc>
      </w:tr>
      <w:tr w:rsidR="00EE13DE" w:rsidRPr="00D601AD" w14:paraId="57B8607D" w14:textId="77777777" w:rsidTr="00EE13DE">
        <w:trPr>
          <w:trHeight w:val="567"/>
        </w:trPr>
        <w:tc>
          <w:tcPr>
            <w:tcW w:w="6090" w:type="dxa"/>
            <w:vAlign w:val="center"/>
          </w:tcPr>
          <w:p w14:paraId="07604761" w14:textId="77777777" w:rsidR="00EE13DE" w:rsidRPr="00D601AD" w:rsidRDefault="00EE13DE" w:rsidP="00F42A16">
            <w:pPr>
              <w:spacing w:before="120" w:after="120"/>
              <w:jc w:val="both"/>
            </w:pPr>
            <w:r>
              <w:t>C. Verstoß mit Steuerhinterziehungsabsicht:</w:t>
            </w:r>
          </w:p>
        </w:tc>
        <w:tc>
          <w:tcPr>
            <w:tcW w:w="2970" w:type="dxa"/>
            <w:vAlign w:val="center"/>
          </w:tcPr>
          <w:p w14:paraId="139F0CBD" w14:textId="77777777" w:rsidR="00EE13DE" w:rsidRPr="00D601AD" w:rsidRDefault="00EE13DE" w:rsidP="00F42A16">
            <w:pPr>
              <w:jc w:val="both"/>
            </w:pPr>
          </w:p>
        </w:tc>
      </w:tr>
      <w:tr w:rsidR="00EE13DE" w:rsidRPr="00D601AD" w14:paraId="57BC99D2" w14:textId="77777777" w:rsidTr="00EE13DE">
        <w:trPr>
          <w:trHeight w:val="567"/>
        </w:trPr>
        <w:tc>
          <w:tcPr>
            <w:tcW w:w="6090" w:type="dxa"/>
            <w:vAlign w:val="center"/>
          </w:tcPr>
          <w:p w14:paraId="575A6D3B" w14:textId="77777777" w:rsidR="00EE13DE" w:rsidRPr="00D601AD" w:rsidRDefault="00EE13DE" w:rsidP="00F42A16">
            <w:pPr>
              <w:jc w:val="both"/>
            </w:pPr>
            <w:r>
              <w:t>- erster Verstoß:</w:t>
            </w:r>
          </w:p>
        </w:tc>
        <w:tc>
          <w:tcPr>
            <w:tcW w:w="2970" w:type="dxa"/>
            <w:vAlign w:val="center"/>
          </w:tcPr>
          <w:p w14:paraId="431D57C3" w14:textId="77777777" w:rsidR="00EE13DE" w:rsidRPr="00D601AD" w:rsidRDefault="00EE13DE" w:rsidP="00F42A16">
            <w:pPr>
              <w:jc w:val="both"/>
            </w:pPr>
            <w:r>
              <w:t>50 Prozent</w:t>
            </w:r>
          </w:p>
        </w:tc>
      </w:tr>
      <w:tr w:rsidR="00EE13DE" w:rsidRPr="00D601AD" w14:paraId="58F78A44" w14:textId="77777777" w:rsidTr="00EE13DE">
        <w:trPr>
          <w:trHeight w:val="567"/>
        </w:trPr>
        <w:tc>
          <w:tcPr>
            <w:tcW w:w="6090" w:type="dxa"/>
            <w:vAlign w:val="center"/>
          </w:tcPr>
          <w:p w14:paraId="79660027" w14:textId="77777777" w:rsidR="00EE13DE" w:rsidRPr="00D601AD" w:rsidRDefault="00EE13DE" w:rsidP="00F42A16">
            <w:pPr>
              <w:jc w:val="both"/>
            </w:pPr>
            <w:r>
              <w:t>- zweiter und dritter Verstoß:</w:t>
            </w:r>
          </w:p>
        </w:tc>
        <w:tc>
          <w:tcPr>
            <w:tcW w:w="2970" w:type="dxa"/>
            <w:vAlign w:val="center"/>
          </w:tcPr>
          <w:p w14:paraId="5920C377" w14:textId="77777777" w:rsidR="00EE13DE" w:rsidRPr="00D601AD" w:rsidRDefault="00EE13DE" w:rsidP="00F42A16">
            <w:pPr>
              <w:jc w:val="both"/>
            </w:pPr>
            <w:r>
              <w:t>75 Prozent</w:t>
            </w:r>
          </w:p>
        </w:tc>
      </w:tr>
      <w:tr w:rsidR="00EE13DE" w:rsidRPr="00D601AD" w14:paraId="0548754F" w14:textId="77777777" w:rsidTr="00EE13DE">
        <w:trPr>
          <w:trHeight w:val="567"/>
        </w:trPr>
        <w:tc>
          <w:tcPr>
            <w:tcW w:w="6090" w:type="dxa"/>
            <w:vAlign w:val="center"/>
          </w:tcPr>
          <w:p w14:paraId="2B802AF8" w14:textId="77777777" w:rsidR="00EE13DE" w:rsidRPr="00D601AD" w:rsidRDefault="00EE13DE" w:rsidP="00F42A16">
            <w:pPr>
              <w:jc w:val="both"/>
            </w:pPr>
            <w:r>
              <w:t>- vierter und fünfter Verstoß:</w:t>
            </w:r>
          </w:p>
        </w:tc>
        <w:tc>
          <w:tcPr>
            <w:tcW w:w="2970" w:type="dxa"/>
            <w:vAlign w:val="center"/>
          </w:tcPr>
          <w:p w14:paraId="6EFD44E2" w14:textId="77777777" w:rsidR="00EE13DE" w:rsidRPr="00D601AD" w:rsidRDefault="00EE13DE" w:rsidP="00F42A16">
            <w:pPr>
              <w:jc w:val="both"/>
            </w:pPr>
            <w:r>
              <w:t>100 Prozent</w:t>
            </w:r>
          </w:p>
        </w:tc>
      </w:tr>
      <w:tr w:rsidR="00EE13DE" w:rsidRPr="00D601AD" w14:paraId="64D1C8A7" w14:textId="77777777" w:rsidTr="00EE13DE">
        <w:trPr>
          <w:trHeight w:val="567"/>
        </w:trPr>
        <w:tc>
          <w:tcPr>
            <w:tcW w:w="6090" w:type="dxa"/>
            <w:vAlign w:val="center"/>
          </w:tcPr>
          <w:p w14:paraId="47C91E0F" w14:textId="77777777" w:rsidR="00EE13DE" w:rsidRPr="00D601AD" w:rsidRDefault="00EE13DE" w:rsidP="00F42A16">
            <w:pPr>
              <w:jc w:val="both"/>
            </w:pPr>
            <w:r>
              <w:t>- sechster und siebter Verstoß:</w:t>
            </w:r>
          </w:p>
        </w:tc>
        <w:tc>
          <w:tcPr>
            <w:tcW w:w="2970" w:type="dxa"/>
            <w:vAlign w:val="center"/>
          </w:tcPr>
          <w:p w14:paraId="0992EE6F" w14:textId="77777777" w:rsidR="00EE13DE" w:rsidRPr="00D601AD" w:rsidRDefault="00EE13DE" w:rsidP="00F42A16">
            <w:pPr>
              <w:jc w:val="both"/>
            </w:pPr>
            <w:r>
              <w:t>150 Prozent</w:t>
            </w:r>
          </w:p>
        </w:tc>
      </w:tr>
      <w:tr w:rsidR="00EE13DE" w:rsidRPr="00D601AD" w14:paraId="40F03617" w14:textId="77777777" w:rsidTr="00EE13DE">
        <w:trPr>
          <w:trHeight w:val="567"/>
        </w:trPr>
        <w:tc>
          <w:tcPr>
            <w:tcW w:w="6090" w:type="dxa"/>
            <w:vAlign w:val="center"/>
          </w:tcPr>
          <w:p w14:paraId="5F0B8E93" w14:textId="77777777" w:rsidR="00EE13DE" w:rsidRPr="00D601AD" w:rsidRDefault="00EE13DE" w:rsidP="00F42A16">
            <w:pPr>
              <w:jc w:val="both"/>
            </w:pPr>
            <w:r>
              <w:t>- achter Verstoß und folgende Verstöße:</w:t>
            </w:r>
          </w:p>
        </w:tc>
        <w:tc>
          <w:tcPr>
            <w:tcW w:w="2970" w:type="dxa"/>
            <w:vAlign w:val="center"/>
          </w:tcPr>
          <w:p w14:paraId="59698A6C" w14:textId="77777777" w:rsidR="00EE13DE" w:rsidRPr="00D601AD" w:rsidRDefault="00EE13DE" w:rsidP="00F42A16">
            <w:pPr>
              <w:jc w:val="both"/>
            </w:pPr>
            <w:r>
              <w:t>200 Prozent</w:t>
            </w:r>
          </w:p>
        </w:tc>
      </w:tr>
      <w:tr w:rsidR="00EE13DE" w:rsidRPr="00D601AD" w14:paraId="05FFF8C8" w14:textId="77777777" w:rsidTr="00EE13DE">
        <w:trPr>
          <w:trHeight w:val="567"/>
        </w:trPr>
        <w:tc>
          <w:tcPr>
            <w:tcW w:w="6090" w:type="dxa"/>
            <w:vAlign w:val="center"/>
          </w:tcPr>
          <w:p w14:paraId="5A57D690" w14:textId="77777777" w:rsidR="00EE13DE" w:rsidRDefault="00EE13DE" w:rsidP="00F42A16">
            <w:pPr>
              <w:spacing w:before="120" w:after="120"/>
              <w:jc w:val="both"/>
            </w:pPr>
            <w:r>
              <w:t>D. Verstoß verbunden mit einer Fälschung oder dem Gebrauch gefälschter Urkunden oder verbunden mit einer Bestechung oder dem Versuch einer Bestechung eines Beamten:</w:t>
            </w:r>
          </w:p>
        </w:tc>
        <w:tc>
          <w:tcPr>
            <w:tcW w:w="2970" w:type="dxa"/>
            <w:vAlign w:val="center"/>
          </w:tcPr>
          <w:p w14:paraId="76CF33B7" w14:textId="77777777" w:rsidR="00EE13DE" w:rsidRDefault="00EE13DE" w:rsidP="00F42A16">
            <w:pPr>
              <w:jc w:val="both"/>
            </w:pPr>
          </w:p>
        </w:tc>
      </w:tr>
      <w:tr w:rsidR="00EE13DE" w:rsidRPr="00D601AD" w14:paraId="46566DB2" w14:textId="77777777" w:rsidTr="00EE13DE">
        <w:trPr>
          <w:trHeight w:val="567"/>
        </w:trPr>
        <w:tc>
          <w:tcPr>
            <w:tcW w:w="6090" w:type="dxa"/>
            <w:vAlign w:val="center"/>
          </w:tcPr>
          <w:p w14:paraId="47F7C987" w14:textId="77777777" w:rsidR="00EE13DE" w:rsidRDefault="00EE13DE" w:rsidP="00F42A16">
            <w:pPr>
              <w:jc w:val="both"/>
            </w:pPr>
            <w:r>
              <w:t>in allen Fällen:</w:t>
            </w:r>
          </w:p>
        </w:tc>
        <w:tc>
          <w:tcPr>
            <w:tcW w:w="2970" w:type="dxa"/>
            <w:vAlign w:val="center"/>
          </w:tcPr>
          <w:p w14:paraId="07FB14B7" w14:textId="77777777" w:rsidR="00EE13DE" w:rsidRDefault="00EE13DE" w:rsidP="00F42A16">
            <w:pPr>
              <w:jc w:val="both"/>
            </w:pPr>
            <w:r>
              <w:t>200 Prozent</w:t>
            </w:r>
          </w:p>
        </w:tc>
      </w:tr>
    </w:tbl>
    <w:p w14:paraId="7CBB2EDC" w14:textId="77777777" w:rsidR="00EE13DE" w:rsidRDefault="00EE13DE" w:rsidP="00EE13DE">
      <w:pPr>
        <w:jc w:val="both"/>
      </w:pPr>
    </w:p>
    <w:p w14:paraId="632FBE17" w14:textId="3401AF06" w:rsidR="00EE13DE" w:rsidRDefault="00EE13DE" w:rsidP="00EE13DE">
      <w:pPr>
        <w:jc w:val="both"/>
        <w:rPr>
          <w:lang w:bidi="de-DE"/>
        </w:rPr>
      </w:pPr>
      <w:r>
        <w:tab/>
        <w:t>Für die Festlegung des anzuwendenden Prozentsatzes der Steuerzuschläge werden frühere Verstöße, die in den Buchstaben B und C erwähnt sind, nicht berücksichtigt, wenn für vier aufeinander folgende monatliche, vierteljährliche oder jährliche Fälligkeitstermine kein Verstoß in Bezug auf die Erklärung und Zahlung in Bezug auf den Berufssteuer</w:t>
      </w:r>
      <w:r>
        <w:softHyphen/>
        <w:t>vorabzug - getrennt betrachtet - geahndet wurde.</w:t>
      </w:r>
      <w:r>
        <w:rPr>
          <w:lang w:bidi="de-DE"/>
        </w:rPr>
        <w:t>]</w:t>
      </w:r>
    </w:p>
    <w:p w14:paraId="3EDA87D7" w14:textId="77777777" w:rsidR="00EE13DE" w:rsidRDefault="00EE13DE" w:rsidP="003426CA">
      <w:pPr>
        <w:jc w:val="both"/>
        <w:rPr>
          <w:lang w:bidi="de-DE"/>
        </w:rPr>
      </w:pPr>
    </w:p>
    <w:p w14:paraId="22E79365" w14:textId="130E617C" w:rsidR="00EE13DE" w:rsidRDefault="00EE13DE" w:rsidP="003426CA">
      <w:pPr>
        <w:jc w:val="both"/>
        <w:rPr>
          <w:i/>
          <w:iCs/>
          <w:lang w:bidi="de-DE"/>
        </w:rPr>
      </w:pPr>
      <w:r>
        <w:rPr>
          <w:i/>
          <w:iCs/>
          <w:lang w:bidi="de-DE"/>
        </w:rPr>
        <w:t>[Art. 228/1 eingefügt durch Art. 3</w:t>
      </w:r>
      <w:r w:rsidRPr="00EE13DE">
        <w:rPr>
          <w:i/>
          <w:iCs/>
          <w:lang w:bidi="de-DE"/>
        </w:rPr>
        <w:t xml:space="preserve"> des K.E. vom 13. September 2022 (B.S. vom 13. Oktober 2022)]</w:t>
      </w:r>
    </w:p>
    <w:p w14:paraId="53107B80" w14:textId="77777777" w:rsidR="00EE13DE" w:rsidRPr="00EE13DE" w:rsidRDefault="00EE13DE" w:rsidP="003426CA">
      <w:pPr>
        <w:jc w:val="both"/>
        <w:rPr>
          <w:i/>
          <w:iCs/>
          <w:lang w:bidi="de-DE"/>
        </w:rPr>
      </w:pPr>
    </w:p>
    <w:p w14:paraId="133E42A0" w14:textId="77777777" w:rsidR="00EE13DE" w:rsidRPr="00EE13DE" w:rsidRDefault="00EE13DE" w:rsidP="003426CA">
      <w:pPr>
        <w:jc w:val="both"/>
        <w:rPr>
          <w:lang w:bidi="de-DE"/>
        </w:rPr>
      </w:pPr>
    </w:p>
    <w:p w14:paraId="4D811091" w14:textId="211E2DA5"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229</w:t>
      </w:r>
      <w:r w:rsidRPr="00D21420">
        <w:rPr>
          <w:rFonts w:eastAsia="Calibri"/>
          <w:lang w:eastAsia="de-DE" w:bidi="de-DE"/>
        </w:rPr>
        <w:t xml:space="preserve"> - Für die Festlegung des aufgrund der Artikel 225, </w:t>
      </w:r>
      <w:r w:rsidR="00EE13DE">
        <w:rPr>
          <w:rFonts w:eastAsia="Calibri"/>
          <w:lang w:eastAsia="de-DE" w:bidi="de-DE"/>
        </w:rPr>
        <w:t>[</w:t>
      </w:r>
      <w:r w:rsidRPr="00D21420">
        <w:rPr>
          <w:rFonts w:eastAsia="Calibri"/>
          <w:lang w:eastAsia="de-DE" w:bidi="de-DE"/>
        </w:rPr>
        <w:t>226</w:t>
      </w:r>
      <w:r w:rsidR="00EE13DE">
        <w:rPr>
          <w:rFonts w:eastAsia="Calibri"/>
          <w:lang w:eastAsia="de-DE" w:bidi="de-DE"/>
        </w:rPr>
        <w:t>, 228</w:t>
      </w:r>
      <w:r w:rsidRPr="00D21420">
        <w:rPr>
          <w:rFonts w:eastAsia="Calibri"/>
          <w:lang w:eastAsia="de-DE" w:bidi="de-DE"/>
        </w:rPr>
        <w:t xml:space="preserve"> und 228</w:t>
      </w:r>
      <w:r w:rsidR="00EE13DE">
        <w:rPr>
          <w:rFonts w:eastAsia="Calibri"/>
          <w:lang w:eastAsia="de-DE" w:bidi="de-DE"/>
        </w:rPr>
        <w:t>/1</w:t>
      </w:r>
      <w:r w:rsidR="00683C1D">
        <w:rPr>
          <w:rFonts w:eastAsia="Calibri"/>
          <w:lang w:eastAsia="de-DE" w:bidi="de-DE"/>
        </w:rPr>
        <w:t>]</w:t>
      </w:r>
      <w:r w:rsidRPr="00D21420">
        <w:rPr>
          <w:rFonts w:eastAsia="Calibri"/>
          <w:lang w:eastAsia="de-DE" w:bidi="de-DE"/>
        </w:rPr>
        <w:t xml:space="preserve"> anzuwendenden Prozentsatzes der Steuerzuschläge liegt ein zweiter oder nachfolgender Verstoß vor, wenn der Zuwiderhandelnde zu dem Zeitpunkt, zu dem ein neuer Verstoß begangen wird, von dem Zuschlag, mit dem der frühere Verstoß geahndet wurde, Kenntnis erhalten hat. </w:t>
      </w:r>
    </w:p>
    <w:p w14:paraId="6B656749" w14:textId="77777777" w:rsidR="003426CA" w:rsidRDefault="003426CA" w:rsidP="003426CA">
      <w:pPr>
        <w:jc w:val="both"/>
        <w:rPr>
          <w:lang w:bidi="de-DE"/>
        </w:rPr>
      </w:pPr>
    </w:p>
    <w:p w14:paraId="274FEC14" w14:textId="6603C95D" w:rsidR="00EE13DE" w:rsidRDefault="00EE13DE" w:rsidP="003426CA">
      <w:pPr>
        <w:jc w:val="both"/>
        <w:rPr>
          <w:i/>
          <w:iCs/>
          <w:lang w:bidi="de-DE"/>
        </w:rPr>
      </w:pPr>
      <w:r>
        <w:rPr>
          <w:i/>
          <w:iCs/>
          <w:lang w:bidi="de-DE"/>
        </w:rPr>
        <w:t>[Art. 229 abgeändert durch Art. 4</w:t>
      </w:r>
      <w:r w:rsidRPr="00EE13DE">
        <w:rPr>
          <w:i/>
          <w:iCs/>
          <w:lang w:bidi="de-DE"/>
        </w:rPr>
        <w:t xml:space="preserve"> des K.E. vom 13. September 2022 (B.S. vom 13. Oktober 2022)]</w:t>
      </w:r>
    </w:p>
    <w:p w14:paraId="6E50B557" w14:textId="77777777" w:rsidR="00EE13DE" w:rsidRPr="00EE13DE" w:rsidRDefault="00EE13DE" w:rsidP="003426CA">
      <w:pPr>
        <w:jc w:val="both"/>
        <w:rPr>
          <w:i/>
          <w:iCs/>
          <w:lang w:bidi="de-DE"/>
        </w:rPr>
      </w:pPr>
    </w:p>
    <w:p w14:paraId="2C3848D7" w14:textId="1493B664" w:rsidR="008C7583" w:rsidRDefault="008C7583">
      <w:pPr>
        <w:rPr>
          <w:rFonts w:eastAsia="Calibri"/>
          <w:lang w:eastAsia="de-DE" w:bidi="de-DE"/>
        </w:rPr>
      </w:pPr>
    </w:p>
    <w:p w14:paraId="064F3A8C" w14:textId="77777777" w:rsidR="003426CA" w:rsidRPr="00D21420" w:rsidRDefault="003426CA" w:rsidP="003426CA">
      <w:pPr>
        <w:jc w:val="center"/>
        <w:rPr>
          <w:lang w:eastAsia="de-DE" w:bidi="de-DE"/>
        </w:rPr>
      </w:pPr>
      <w:r w:rsidRPr="00D21420">
        <w:rPr>
          <w:rFonts w:eastAsia="Calibri"/>
          <w:lang w:eastAsia="de-DE" w:bidi="de-DE"/>
        </w:rPr>
        <w:t>[</w:t>
      </w:r>
      <w:r w:rsidRPr="00D21420">
        <w:rPr>
          <w:rFonts w:eastAsia="Calibri"/>
          <w:i/>
          <w:lang w:eastAsia="de-DE" w:bidi="de-DE"/>
        </w:rPr>
        <w:t>Abschnitt 17 </w:t>
      </w:r>
      <w:r w:rsidRPr="00D21420">
        <w:rPr>
          <w:rFonts w:eastAsia="Calibri"/>
          <w:lang w:eastAsia="de-DE" w:bidi="de-DE"/>
        </w:rPr>
        <w:t xml:space="preserve">- Skala der administrativen Geldbußen und Anwendungsmodalitäten </w:t>
      </w:r>
    </w:p>
    <w:p w14:paraId="2885C98E" w14:textId="77777777" w:rsidR="003426CA" w:rsidRPr="00D21420" w:rsidRDefault="003426CA" w:rsidP="003426CA">
      <w:pPr>
        <w:jc w:val="center"/>
        <w:rPr>
          <w:lang w:bidi="de-DE"/>
        </w:rPr>
      </w:pPr>
    </w:p>
    <w:p w14:paraId="2F920502" w14:textId="77777777" w:rsidR="003426CA" w:rsidRPr="00D21420" w:rsidRDefault="003426CA" w:rsidP="003426CA">
      <w:pPr>
        <w:jc w:val="center"/>
        <w:rPr>
          <w:lang w:eastAsia="de-DE" w:bidi="de-DE"/>
        </w:rPr>
      </w:pPr>
      <w:r w:rsidRPr="00D21420">
        <w:rPr>
          <w:rFonts w:eastAsia="Calibri"/>
          <w:lang w:eastAsia="de-DE" w:bidi="de-DE"/>
        </w:rPr>
        <w:t>(Einkommensteuergesetzbuch 1992, Artikel 445)</w:t>
      </w:r>
    </w:p>
    <w:p w14:paraId="0FD6EEF4" w14:textId="77777777" w:rsidR="003426CA" w:rsidRPr="00D21420" w:rsidRDefault="003426CA" w:rsidP="003426CA">
      <w:pPr>
        <w:jc w:val="both"/>
        <w:rPr>
          <w:lang w:bidi="de-DE"/>
        </w:rPr>
      </w:pPr>
    </w:p>
    <w:p w14:paraId="4399B638" w14:textId="77777777" w:rsidR="003426CA" w:rsidRPr="00D21420" w:rsidRDefault="003426CA" w:rsidP="003426CA">
      <w:pPr>
        <w:jc w:val="both"/>
        <w:rPr>
          <w:i/>
          <w:lang w:eastAsia="de-DE" w:bidi="de-DE"/>
        </w:rPr>
      </w:pPr>
      <w:r w:rsidRPr="00D21420">
        <w:rPr>
          <w:rFonts w:eastAsia="Calibri"/>
          <w:i/>
          <w:lang w:eastAsia="de-DE" w:bidi="de-DE"/>
        </w:rPr>
        <w:t>[Abschnitt 17 mit den Artikeln 229/1 bis 229/4 eingefügt durch Art. 1 des K.E. vom 24. September 2013 (B.S. vom 30. September 2013)]</w:t>
      </w:r>
    </w:p>
    <w:p w14:paraId="7AF0694B" w14:textId="77777777" w:rsidR="003426CA" w:rsidRPr="00D21420" w:rsidRDefault="003426CA" w:rsidP="003426CA">
      <w:pPr>
        <w:jc w:val="both"/>
        <w:rPr>
          <w:lang w:bidi="de-DE"/>
        </w:rPr>
      </w:pPr>
    </w:p>
    <w:p w14:paraId="7404521C" w14:textId="77777777" w:rsidR="003426CA" w:rsidRPr="00D21420" w:rsidRDefault="003426CA" w:rsidP="003426CA">
      <w:pPr>
        <w:jc w:val="both"/>
        <w:rPr>
          <w:lang w:bidi="de-DE"/>
        </w:rPr>
      </w:pPr>
    </w:p>
    <w:p w14:paraId="64CF03B7"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229/1</w:t>
      </w:r>
      <w:r w:rsidRPr="00D21420">
        <w:rPr>
          <w:rFonts w:eastAsia="Calibri"/>
          <w:lang w:eastAsia="de-DE" w:bidi="de-DE"/>
        </w:rPr>
        <w:t> - Die Skala der administrativen Geldbußen für Verstöße gegen die Bestimmungen des Einkommensteuergesetzbuches 1992 und seiner Ausführungserlasse, die sich nicht auf die Nichtabgabe oder verspätete Einreichung einer Erklärung in Bezug auf den Berufs- oder Mobiliensteuervorabzug oder die Nichtzahlung, verspätete oder unzureichende Zahlung des Berufs- oder Mobiliensteuervorabzugs beziehen, wird wie folgt festgelegt:</w:t>
      </w:r>
    </w:p>
    <w:p w14:paraId="45586808" w14:textId="77777777" w:rsidR="003426CA" w:rsidRDefault="003426CA" w:rsidP="003426CA">
      <w:pPr>
        <w:jc w:val="both"/>
        <w:rPr>
          <w:lang w:bidi="de-DE"/>
        </w:rPr>
      </w:pPr>
    </w:p>
    <w:p w14:paraId="4748F051" w14:textId="77777777" w:rsidR="004F124A" w:rsidRPr="00D21420" w:rsidRDefault="004F124A" w:rsidP="003426CA">
      <w:pPr>
        <w:jc w:val="both"/>
        <w:rPr>
          <w:lang w:bidi="de-DE"/>
        </w:rPr>
      </w:pPr>
    </w:p>
    <w:tbl>
      <w:tblPr>
        <w:tblW w:w="9113" w:type="dxa"/>
        <w:jc w:val="center"/>
        <w:tblLayout w:type="fixed"/>
        <w:tblCellMar>
          <w:left w:w="120" w:type="dxa"/>
          <w:right w:w="120" w:type="dxa"/>
        </w:tblCellMar>
        <w:tblLook w:val="0000" w:firstRow="0" w:lastRow="0" w:firstColumn="0" w:lastColumn="0" w:noHBand="0" w:noVBand="0"/>
      </w:tblPr>
      <w:tblGrid>
        <w:gridCol w:w="6897"/>
        <w:gridCol w:w="2216"/>
      </w:tblGrid>
      <w:tr w:rsidR="003426CA" w:rsidRPr="00D21420" w14:paraId="7DB9BB6F" w14:textId="77777777" w:rsidTr="00020C32">
        <w:trPr>
          <w:cantSplit/>
          <w:tblHeader/>
          <w:jc w:val="center"/>
        </w:trPr>
        <w:tc>
          <w:tcPr>
            <w:tcW w:w="6897" w:type="dxa"/>
            <w:tcBorders>
              <w:top w:val="double" w:sz="4" w:space="0" w:color="auto"/>
              <w:left w:val="double" w:sz="4" w:space="0" w:color="auto"/>
              <w:bottom w:val="single" w:sz="4" w:space="0" w:color="auto"/>
              <w:right w:val="single" w:sz="4" w:space="0" w:color="auto"/>
            </w:tcBorders>
            <w:vAlign w:val="center"/>
          </w:tcPr>
          <w:p w14:paraId="2F42FD68"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00" w:after="100"/>
              <w:jc w:val="center"/>
              <w:rPr>
                <w:spacing w:val="-3"/>
                <w:lang w:eastAsia="de-DE" w:bidi="de-DE"/>
              </w:rPr>
            </w:pPr>
            <w:r w:rsidRPr="00D21420">
              <w:rPr>
                <w:rFonts w:eastAsia="Calibri"/>
                <w:spacing w:val="-3"/>
                <w:lang w:eastAsia="de-DE" w:bidi="de-DE"/>
              </w:rPr>
              <w:t>Art der Verstöße</w:t>
            </w:r>
          </w:p>
        </w:tc>
        <w:tc>
          <w:tcPr>
            <w:tcW w:w="2216" w:type="dxa"/>
            <w:tcBorders>
              <w:top w:val="double" w:sz="4" w:space="0" w:color="auto"/>
              <w:left w:val="single" w:sz="4" w:space="0" w:color="auto"/>
              <w:bottom w:val="single" w:sz="4" w:space="0" w:color="auto"/>
              <w:right w:val="double" w:sz="4" w:space="0" w:color="auto"/>
            </w:tcBorders>
            <w:vAlign w:val="center"/>
          </w:tcPr>
          <w:p w14:paraId="3800473D"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00" w:after="100"/>
              <w:jc w:val="center"/>
              <w:rPr>
                <w:lang w:eastAsia="de-DE" w:bidi="de-DE"/>
              </w:rPr>
            </w:pPr>
            <w:r w:rsidRPr="00D21420">
              <w:rPr>
                <w:rFonts w:eastAsia="Calibri"/>
                <w:lang w:eastAsia="de-DE" w:bidi="de-DE"/>
              </w:rPr>
              <w:t>Administrative Geldbuße</w:t>
            </w:r>
          </w:p>
        </w:tc>
      </w:tr>
      <w:tr w:rsidR="003426CA" w:rsidRPr="00D21420" w14:paraId="45E453C5" w14:textId="77777777" w:rsidTr="00020C32">
        <w:trPr>
          <w:cantSplit/>
          <w:jc w:val="center"/>
        </w:trPr>
        <w:tc>
          <w:tcPr>
            <w:tcW w:w="6897" w:type="dxa"/>
            <w:tcBorders>
              <w:left w:val="double" w:sz="4" w:space="0" w:color="auto"/>
              <w:bottom w:val="single" w:sz="4" w:space="0" w:color="auto"/>
              <w:right w:val="single" w:sz="4" w:space="0" w:color="auto"/>
            </w:tcBorders>
          </w:tcPr>
          <w:p w14:paraId="59588E14"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both"/>
              <w:rPr>
                <w:lang w:eastAsia="de-DE" w:bidi="de-DE"/>
              </w:rPr>
            </w:pPr>
            <w:r w:rsidRPr="00D21420">
              <w:rPr>
                <w:rFonts w:eastAsia="Calibri"/>
                <w:lang w:eastAsia="de-DE" w:bidi="de-DE"/>
              </w:rPr>
              <w:t>A.</w:t>
            </w:r>
            <w:r w:rsidRPr="00D21420">
              <w:rPr>
                <w:rFonts w:eastAsia="Calibri"/>
                <w:lang w:eastAsia="de-DE" w:bidi="de-DE"/>
              </w:rPr>
              <w:tab/>
              <w:t>Verstoß aus Gründen, die unabhängig vom Willen des Steuerpflichtigen sind:</w:t>
            </w:r>
          </w:p>
        </w:tc>
        <w:tc>
          <w:tcPr>
            <w:tcW w:w="2216" w:type="dxa"/>
            <w:tcBorders>
              <w:left w:val="single" w:sz="4" w:space="0" w:color="auto"/>
              <w:bottom w:val="single" w:sz="4" w:space="0" w:color="auto"/>
              <w:right w:val="double" w:sz="4" w:space="0" w:color="auto"/>
            </w:tcBorders>
            <w:vAlign w:val="center"/>
          </w:tcPr>
          <w:p w14:paraId="354F7FBD"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center"/>
              <w:rPr>
                <w:spacing w:val="-3"/>
                <w:lang w:eastAsia="de-DE" w:bidi="de-DE"/>
              </w:rPr>
            </w:pPr>
            <w:r w:rsidRPr="00D21420">
              <w:rPr>
                <w:rFonts w:eastAsia="Calibri"/>
                <w:spacing w:val="-3"/>
                <w:lang w:eastAsia="de-DE" w:bidi="de-DE"/>
              </w:rPr>
              <w:t>Entfällt</w:t>
            </w:r>
          </w:p>
        </w:tc>
      </w:tr>
      <w:tr w:rsidR="003426CA" w:rsidRPr="00516EF3" w14:paraId="543CA4A8" w14:textId="77777777" w:rsidTr="00020C32">
        <w:trPr>
          <w:cantSplit/>
          <w:jc w:val="center"/>
        </w:trPr>
        <w:tc>
          <w:tcPr>
            <w:tcW w:w="6897" w:type="dxa"/>
            <w:tcBorders>
              <w:left w:val="double" w:sz="4" w:space="0" w:color="auto"/>
              <w:right w:val="single" w:sz="4" w:space="0" w:color="auto"/>
            </w:tcBorders>
          </w:tcPr>
          <w:p w14:paraId="636E8BCC"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both"/>
              <w:rPr>
                <w:lang w:eastAsia="de-DE" w:bidi="de-DE"/>
              </w:rPr>
            </w:pPr>
            <w:r w:rsidRPr="00D21420">
              <w:rPr>
                <w:rFonts w:eastAsia="Calibri"/>
                <w:lang w:eastAsia="de-DE" w:bidi="de-DE"/>
              </w:rPr>
              <w:t>B.</w:t>
            </w:r>
            <w:r w:rsidRPr="00D21420">
              <w:rPr>
                <w:rFonts w:eastAsia="Calibri"/>
                <w:lang w:eastAsia="de-DE" w:bidi="de-DE"/>
              </w:rPr>
              <w:tab/>
              <w:t>Verstoß, der nicht auf Bösgläubigkeit oder eine Steuerhinter</w:t>
            </w:r>
            <w:r w:rsidRPr="00D21420">
              <w:rPr>
                <w:rFonts w:eastAsia="Calibri"/>
                <w:lang w:eastAsia="de-DE" w:bidi="de-DE"/>
              </w:rPr>
              <w:softHyphen/>
              <w:t>ziehungsabsicht zurückzuführen ist:</w:t>
            </w:r>
          </w:p>
        </w:tc>
        <w:tc>
          <w:tcPr>
            <w:tcW w:w="2216" w:type="dxa"/>
            <w:tcBorders>
              <w:left w:val="single" w:sz="4" w:space="0" w:color="auto"/>
              <w:right w:val="double" w:sz="4" w:space="0" w:color="auto"/>
            </w:tcBorders>
            <w:vAlign w:val="center"/>
          </w:tcPr>
          <w:p w14:paraId="22F60C25"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bidi="de-DE"/>
              </w:rPr>
            </w:pPr>
          </w:p>
        </w:tc>
      </w:tr>
      <w:tr w:rsidR="003426CA" w:rsidRPr="00D21420" w14:paraId="34D5948D" w14:textId="77777777" w:rsidTr="00020C32">
        <w:trPr>
          <w:cantSplit/>
          <w:jc w:val="center"/>
        </w:trPr>
        <w:tc>
          <w:tcPr>
            <w:tcW w:w="6897" w:type="dxa"/>
            <w:tcBorders>
              <w:left w:val="double" w:sz="4" w:space="0" w:color="auto"/>
              <w:right w:val="single" w:sz="4" w:space="0" w:color="auto"/>
            </w:tcBorders>
          </w:tcPr>
          <w:p w14:paraId="3585AA3B"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erster Verstoß:</w:t>
            </w:r>
          </w:p>
        </w:tc>
        <w:tc>
          <w:tcPr>
            <w:tcW w:w="2216" w:type="dxa"/>
            <w:tcBorders>
              <w:left w:val="single" w:sz="4" w:space="0" w:color="auto"/>
              <w:right w:val="double" w:sz="4" w:space="0" w:color="auto"/>
            </w:tcBorders>
            <w:vAlign w:val="center"/>
          </w:tcPr>
          <w:p w14:paraId="63E0742B"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eastAsia="de-DE" w:bidi="de-DE"/>
              </w:rPr>
            </w:pPr>
            <w:r w:rsidRPr="00D21420">
              <w:rPr>
                <w:rFonts w:eastAsia="Calibri"/>
                <w:spacing w:val="-3"/>
                <w:lang w:eastAsia="de-DE" w:bidi="de-DE"/>
              </w:rPr>
              <w:t>50,00 EUR</w:t>
            </w:r>
          </w:p>
        </w:tc>
      </w:tr>
      <w:tr w:rsidR="003426CA" w:rsidRPr="00D21420" w14:paraId="643DAD46" w14:textId="77777777" w:rsidTr="00020C32">
        <w:trPr>
          <w:cantSplit/>
          <w:jc w:val="center"/>
        </w:trPr>
        <w:tc>
          <w:tcPr>
            <w:tcW w:w="6897" w:type="dxa"/>
            <w:tcBorders>
              <w:left w:val="double" w:sz="4" w:space="0" w:color="auto"/>
              <w:right w:val="single" w:sz="4" w:space="0" w:color="auto"/>
            </w:tcBorders>
          </w:tcPr>
          <w:p w14:paraId="00B0B387"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zweiter Verstoß:</w:t>
            </w:r>
          </w:p>
        </w:tc>
        <w:tc>
          <w:tcPr>
            <w:tcW w:w="2216" w:type="dxa"/>
            <w:tcBorders>
              <w:left w:val="single" w:sz="4" w:space="0" w:color="auto"/>
              <w:right w:val="double" w:sz="4" w:space="0" w:color="auto"/>
            </w:tcBorders>
            <w:vAlign w:val="center"/>
          </w:tcPr>
          <w:p w14:paraId="15E3EE67"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eastAsia="de-DE" w:bidi="de-DE"/>
              </w:rPr>
            </w:pPr>
            <w:r w:rsidRPr="00D21420">
              <w:rPr>
                <w:rFonts w:eastAsia="Calibri"/>
                <w:spacing w:val="-3"/>
                <w:lang w:eastAsia="de-DE" w:bidi="de-DE"/>
              </w:rPr>
              <w:t>125,00 EUR</w:t>
            </w:r>
          </w:p>
        </w:tc>
      </w:tr>
      <w:tr w:rsidR="003426CA" w:rsidRPr="00D21420" w14:paraId="4BDF6582" w14:textId="77777777" w:rsidTr="00020C32">
        <w:trPr>
          <w:cantSplit/>
          <w:jc w:val="center"/>
        </w:trPr>
        <w:tc>
          <w:tcPr>
            <w:tcW w:w="6897" w:type="dxa"/>
            <w:tcBorders>
              <w:left w:val="double" w:sz="4" w:space="0" w:color="auto"/>
              <w:right w:val="single" w:sz="4" w:space="0" w:color="auto"/>
            </w:tcBorders>
          </w:tcPr>
          <w:p w14:paraId="2D2D4331"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dritter Verstoß:</w:t>
            </w:r>
          </w:p>
        </w:tc>
        <w:tc>
          <w:tcPr>
            <w:tcW w:w="2216" w:type="dxa"/>
            <w:tcBorders>
              <w:left w:val="single" w:sz="4" w:space="0" w:color="auto"/>
              <w:right w:val="double" w:sz="4" w:space="0" w:color="auto"/>
            </w:tcBorders>
            <w:vAlign w:val="center"/>
          </w:tcPr>
          <w:p w14:paraId="3C77680C"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eastAsia="de-DE" w:bidi="de-DE"/>
              </w:rPr>
            </w:pPr>
            <w:r w:rsidRPr="00D21420">
              <w:rPr>
                <w:rFonts w:eastAsia="Calibri"/>
                <w:spacing w:val="-3"/>
                <w:lang w:eastAsia="de-DE" w:bidi="de-DE"/>
              </w:rPr>
              <w:t>250,00 EUR</w:t>
            </w:r>
          </w:p>
        </w:tc>
      </w:tr>
      <w:tr w:rsidR="003426CA" w:rsidRPr="00D21420" w14:paraId="1916E314" w14:textId="77777777" w:rsidTr="00020C32">
        <w:trPr>
          <w:cantSplit/>
          <w:jc w:val="center"/>
        </w:trPr>
        <w:tc>
          <w:tcPr>
            <w:tcW w:w="6897" w:type="dxa"/>
            <w:tcBorders>
              <w:left w:val="double" w:sz="4" w:space="0" w:color="auto"/>
              <w:right w:val="single" w:sz="4" w:space="0" w:color="auto"/>
            </w:tcBorders>
          </w:tcPr>
          <w:p w14:paraId="5445FB33"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vierter Verstoß:</w:t>
            </w:r>
          </w:p>
        </w:tc>
        <w:tc>
          <w:tcPr>
            <w:tcW w:w="2216" w:type="dxa"/>
            <w:tcBorders>
              <w:left w:val="single" w:sz="4" w:space="0" w:color="auto"/>
              <w:right w:val="double" w:sz="4" w:space="0" w:color="auto"/>
            </w:tcBorders>
            <w:vAlign w:val="center"/>
          </w:tcPr>
          <w:p w14:paraId="1BC2BE9A"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eastAsia="de-DE" w:bidi="de-DE"/>
              </w:rPr>
            </w:pPr>
            <w:r w:rsidRPr="00D21420">
              <w:rPr>
                <w:rFonts w:eastAsia="Calibri"/>
                <w:spacing w:val="-3"/>
                <w:lang w:eastAsia="de-DE" w:bidi="de-DE"/>
              </w:rPr>
              <w:t>625,00 EUR</w:t>
            </w:r>
          </w:p>
        </w:tc>
      </w:tr>
      <w:tr w:rsidR="003426CA" w:rsidRPr="00D21420" w14:paraId="3D46294F" w14:textId="77777777" w:rsidTr="00020C32">
        <w:trPr>
          <w:cantSplit/>
          <w:jc w:val="center"/>
        </w:trPr>
        <w:tc>
          <w:tcPr>
            <w:tcW w:w="6897" w:type="dxa"/>
            <w:tcBorders>
              <w:left w:val="double" w:sz="4" w:space="0" w:color="auto"/>
              <w:bottom w:val="single" w:sz="4" w:space="0" w:color="auto"/>
              <w:right w:val="single" w:sz="4" w:space="0" w:color="auto"/>
            </w:tcBorders>
          </w:tcPr>
          <w:p w14:paraId="1E123489"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folgende Verstöße:</w:t>
            </w:r>
          </w:p>
        </w:tc>
        <w:tc>
          <w:tcPr>
            <w:tcW w:w="2216" w:type="dxa"/>
            <w:tcBorders>
              <w:left w:val="single" w:sz="4" w:space="0" w:color="auto"/>
              <w:bottom w:val="single" w:sz="4" w:space="0" w:color="auto"/>
              <w:right w:val="double" w:sz="4" w:space="0" w:color="auto"/>
            </w:tcBorders>
            <w:vAlign w:val="center"/>
          </w:tcPr>
          <w:p w14:paraId="3B761D13"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eastAsia="de-DE" w:bidi="de-DE"/>
              </w:rPr>
            </w:pPr>
            <w:r w:rsidRPr="00D21420">
              <w:rPr>
                <w:rFonts w:eastAsia="Calibri"/>
                <w:spacing w:val="-3"/>
                <w:lang w:eastAsia="de-DE" w:bidi="de-DE"/>
              </w:rPr>
              <w:t>1.250,00 EUR</w:t>
            </w:r>
          </w:p>
        </w:tc>
      </w:tr>
      <w:tr w:rsidR="003426CA" w:rsidRPr="00D21420" w14:paraId="617DC46E" w14:textId="77777777" w:rsidTr="00020C32">
        <w:trPr>
          <w:cantSplit/>
          <w:jc w:val="center"/>
        </w:trPr>
        <w:tc>
          <w:tcPr>
            <w:tcW w:w="6897" w:type="dxa"/>
            <w:tcBorders>
              <w:left w:val="double" w:sz="4" w:space="0" w:color="auto"/>
              <w:bottom w:val="single" w:sz="4" w:space="0" w:color="auto"/>
              <w:right w:val="single" w:sz="4" w:space="0" w:color="auto"/>
            </w:tcBorders>
          </w:tcPr>
          <w:p w14:paraId="47AB9982"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C.</w:t>
            </w:r>
            <w:r w:rsidRPr="00D21420">
              <w:rPr>
                <w:rFonts w:eastAsia="Calibri"/>
                <w:lang w:eastAsia="de-DE" w:bidi="de-DE"/>
              </w:rPr>
              <w:tab/>
              <w:t>Verstoß, der auf Bösgläubigkeit oder Steuerhinterziehungs</w:t>
            </w:r>
            <w:r w:rsidRPr="00D21420">
              <w:rPr>
                <w:rFonts w:eastAsia="Calibri"/>
                <w:lang w:eastAsia="de-DE" w:bidi="de-DE"/>
              </w:rPr>
              <w:softHyphen/>
              <w:t>absicht zurückzuführen ist (einschließlich willentlicher Einreichung unvollständiger oder unrichtiger Erklärungen):</w:t>
            </w:r>
          </w:p>
        </w:tc>
        <w:tc>
          <w:tcPr>
            <w:tcW w:w="2216" w:type="dxa"/>
            <w:tcBorders>
              <w:left w:val="single" w:sz="4" w:space="0" w:color="auto"/>
              <w:bottom w:val="single" w:sz="4" w:space="0" w:color="auto"/>
              <w:right w:val="double" w:sz="4" w:space="0" w:color="auto"/>
            </w:tcBorders>
            <w:vAlign w:val="center"/>
          </w:tcPr>
          <w:p w14:paraId="1D2CF9F4"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val="nl-NL" w:bidi="de-DE"/>
              </w:rPr>
            </w:pPr>
            <w:r w:rsidRPr="00D21420">
              <w:rPr>
                <w:rFonts w:eastAsia="Calibri"/>
                <w:spacing w:val="-3"/>
                <w:lang w:eastAsia="de-DE" w:bidi="de-DE"/>
              </w:rPr>
              <w:t>1.250,00 EUR</w:t>
            </w:r>
          </w:p>
        </w:tc>
      </w:tr>
    </w:tbl>
    <w:p w14:paraId="30E5920B" w14:textId="77777777" w:rsidR="003426CA" w:rsidRPr="00D21420" w:rsidRDefault="003426CA" w:rsidP="003426CA">
      <w:pPr>
        <w:jc w:val="both"/>
        <w:rPr>
          <w:lang w:bidi="de-DE"/>
        </w:rPr>
      </w:pPr>
    </w:p>
    <w:p w14:paraId="722080EA" w14:textId="77777777" w:rsidR="00B7418B" w:rsidRDefault="00B7418B" w:rsidP="003426CA">
      <w:pPr>
        <w:jc w:val="both"/>
        <w:rPr>
          <w:rFonts w:eastAsia="Calibri"/>
          <w:szCs w:val="22"/>
          <w:lang w:eastAsia="de-DE" w:bidi="de-DE"/>
        </w:rPr>
      </w:pPr>
    </w:p>
    <w:p w14:paraId="0BC868E3" w14:textId="77777777" w:rsidR="004F124A" w:rsidRDefault="003426CA" w:rsidP="003426CA">
      <w:pPr>
        <w:jc w:val="both"/>
        <w:rPr>
          <w:rFonts w:eastAsia="Calibri"/>
          <w:szCs w:val="22"/>
          <w:lang w:eastAsia="de-DE" w:bidi="de-DE"/>
        </w:rPr>
      </w:pPr>
      <w:r w:rsidRPr="00D21420">
        <w:rPr>
          <w:rFonts w:eastAsia="Calibri"/>
          <w:szCs w:val="22"/>
          <w:lang w:eastAsia="de-DE" w:bidi="de-DE"/>
        </w:rPr>
        <w:tab/>
      </w:r>
    </w:p>
    <w:p w14:paraId="35500AED" w14:textId="77777777" w:rsidR="004F124A" w:rsidRDefault="004F124A">
      <w:pPr>
        <w:rPr>
          <w:rFonts w:eastAsia="Calibri"/>
          <w:szCs w:val="22"/>
          <w:lang w:eastAsia="de-DE" w:bidi="de-DE"/>
        </w:rPr>
      </w:pPr>
      <w:r>
        <w:rPr>
          <w:rFonts w:eastAsia="Calibri"/>
          <w:szCs w:val="22"/>
          <w:lang w:eastAsia="de-DE" w:bidi="de-DE"/>
        </w:rPr>
        <w:br w:type="page"/>
      </w:r>
    </w:p>
    <w:p w14:paraId="63FE97CD" w14:textId="226C71A2" w:rsidR="003426CA" w:rsidRPr="00D21420" w:rsidRDefault="003426CA" w:rsidP="004F124A">
      <w:pPr>
        <w:ind w:firstLine="708"/>
        <w:jc w:val="both"/>
        <w:rPr>
          <w:lang w:eastAsia="de-DE" w:bidi="de-DE"/>
        </w:rPr>
      </w:pPr>
      <w:r w:rsidRPr="00D21420">
        <w:rPr>
          <w:rFonts w:eastAsia="Calibri"/>
          <w:b/>
          <w:lang w:eastAsia="de-DE" w:bidi="de-DE"/>
        </w:rPr>
        <w:lastRenderedPageBreak/>
        <w:t>Art. 229/2</w:t>
      </w:r>
      <w:r w:rsidRPr="00D21420">
        <w:rPr>
          <w:rFonts w:eastAsia="Calibri"/>
          <w:lang w:eastAsia="de-DE" w:bidi="de-DE"/>
        </w:rPr>
        <w:t> - Die Skala der administrativen Geldbußen, die bei Nichtabgabe oder verspäteter Einreichung einer Erklärung in Bezug auf den Berufs- oder Mobiliensteuervorabzug oder bei Nichtzahlung, verspäteter oder unzureichender Zahlung des Berufs- oder Mobiliensteuervorabzugs anwendbar sind, wird wie folgt festgelegt:</w:t>
      </w:r>
    </w:p>
    <w:p w14:paraId="39128AFC" w14:textId="77777777" w:rsidR="003426CA" w:rsidRPr="00D21420" w:rsidRDefault="003426CA" w:rsidP="003426CA">
      <w:pPr>
        <w:jc w:val="both"/>
        <w:rPr>
          <w:lang w:bidi="de-DE"/>
        </w:rPr>
      </w:pPr>
    </w:p>
    <w:tbl>
      <w:tblPr>
        <w:tblW w:w="9224" w:type="dxa"/>
        <w:jc w:val="center"/>
        <w:tblLayout w:type="fixed"/>
        <w:tblCellMar>
          <w:left w:w="120" w:type="dxa"/>
          <w:right w:w="120" w:type="dxa"/>
        </w:tblCellMar>
        <w:tblLook w:val="0000" w:firstRow="0" w:lastRow="0" w:firstColumn="0" w:lastColumn="0" w:noHBand="0" w:noVBand="0"/>
      </w:tblPr>
      <w:tblGrid>
        <w:gridCol w:w="6648"/>
        <w:gridCol w:w="2576"/>
      </w:tblGrid>
      <w:tr w:rsidR="003426CA" w:rsidRPr="00D21420" w14:paraId="4BEBEE75" w14:textId="77777777" w:rsidTr="00D86FA8">
        <w:trPr>
          <w:cantSplit/>
          <w:tblHeader/>
          <w:jc w:val="center"/>
        </w:trPr>
        <w:tc>
          <w:tcPr>
            <w:tcW w:w="6648" w:type="dxa"/>
            <w:tcBorders>
              <w:top w:val="double" w:sz="4" w:space="0" w:color="auto"/>
              <w:left w:val="double" w:sz="4" w:space="0" w:color="auto"/>
              <w:bottom w:val="single" w:sz="4" w:space="0" w:color="auto"/>
              <w:right w:val="single" w:sz="4" w:space="0" w:color="auto"/>
            </w:tcBorders>
            <w:vAlign w:val="center"/>
          </w:tcPr>
          <w:p w14:paraId="176AB486"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00" w:after="100"/>
              <w:jc w:val="center"/>
              <w:rPr>
                <w:spacing w:val="-3"/>
                <w:lang w:eastAsia="de-DE" w:bidi="de-DE"/>
              </w:rPr>
            </w:pPr>
            <w:r w:rsidRPr="00D21420">
              <w:rPr>
                <w:rFonts w:eastAsia="Calibri"/>
                <w:spacing w:val="-3"/>
                <w:lang w:eastAsia="de-DE" w:bidi="de-DE"/>
              </w:rPr>
              <w:t>Art der Verstöße</w:t>
            </w:r>
          </w:p>
        </w:tc>
        <w:tc>
          <w:tcPr>
            <w:tcW w:w="2576" w:type="dxa"/>
            <w:tcBorders>
              <w:top w:val="double" w:sz="4" w:space="0" w:color="auto"/>
              <w:left w:val="single" w:sz="4" w:space="0" w:color="auto"/>
              <w:bottom w:val="single" w:sz="4" w:space="0" w:color="auto"/>
              <w:right w:val="double" w:sz="4" w:space="0" w:color="auto"/>
            </w:tcBorders>
            <w:vAlign w:val="center"/>
          </w:tcPr>
          <w:p w14:paraId="739C3D63"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00" w:after="100"/>
              <w:jc w:val="center"/>
              <w:rPr>
                <w:lang w:eastAsia="de-DE" w:bidi="de-DE"/>
              </w:rPr>
            </w:pPr>
            <w:r w:rsidRPr="00D21420">
              <w:rPr>
                <w:rFonts w:eastAsia="Calibri"/>
                <w:lang w:eastAsia="de-DE" w:bidi="de-DE"/>
              </w:rPr>
              <w:t>Administrative Geldbuße</w:t>
            </w:r>
          </w:p>
        </w:tc>
      </w:tr>
      <w:tr w:rsidR="003426CA" w:rsidRPr="00516EF3" w14:paraId="2619F23A" w14:textId="77777777" w:rsidTr="00D86FA8">
        <w:trPr>
          <w:cantSplit/>
          <w:jc w:val="center"/>
        </w:trPr>
        <w:tc>
          <w:tcPr>
            <w:tcW w:w="6648" w:type="dxa"/>
            <w:tcBorders>
              <w:left w:val="double" w:sz="4" w:space="0" w:color="auto"/>
              <w:right w:val="single" w:sz="4" w:space="0" w:color="auto"/>
            </w:tcBorders>
          </w:tcPr>
          <w:p w14:paraId="3527E322"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both"/>
              <w:rPr>
                <w:lang w:eastAsia="de-DE" w:bidi="de-DE"/>
              </w:rPr>
            </w:pPr>
            <w:r w:rsidRPr="00D21420">
              <w:rPr>
                <w:rFonts w:eastAsia="Calibri"/>
                <w:lang w:eastAsia="de-DE" w:bidi="de-DE"/>
              </w:rPr>
              <w:t>A.</w:t>
            </w:r>
            <w:r w:rsidRPr="00D21420">
              <w:rPr>
                <w:rFonts w:eastAsia="Calibri"/>
                <w:lang w:eastAsia="de-DE" w:bidi="de-DE"/>
              </w:rPr>
              <w:tab/>
              <w:t>Nichtabgabe oder verspätete Einreichung der Erklärung in Bezug auf den Berufs- oder Mobiliensteuervorabzug:</w:t>
            </w:r>
          </w:p>
        </w:tc>
        <w:tc>
          <w:tcPr>
            <w:tcW w:w="2576" w:type="dxa"/>
            <w:tcBorders>
              <w:left w:val="single" w:sz="4" w:space="0" w:color="auto"/>
              <w:right w:val="double" w:sz="4" w:space="0" w:color="auto"/>
            </w:tcBorders>
            <w:vAlign w:val="center"/>
          </w:tcPr>
          <w:p w14:paraId="56416704"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center"/>
              <w:rPr>
                <w:spacing w:val="-3"/>
                <w:lang w:bidi="de-DE"/>
              </w:rPr>
            </w:pPr>
          </w:p>
        </w:tc>
      </w:tr>
      <w:tr w:rsidR="003426CA" w:rsidRPr="00D21420" w14:paraId="737580FF" w14:textId="77777777" w:rsidTr="00D86FA8">
        <w:trPr>
          <w:cantSplit/>
          <w:jc w:val="center"/>
        </w:trPr>
        <w:tc>
          <w:tcPr>
            <w:tcW w:w="6648" w:type="dxa"/>
            <w:tcBorders>
              <w:left w:val="double" w:sz="4" w:space="0" w:color="auto"/>
              <w:bottom w:val="double" w:sz="4" w:space="0" w:color="auto"/>
              <w:right w:val="single" w:sz="4" w:space="0" w:color="auto"/>
            </w:tcBorders>
          </w:tcPr>
          <w:p w14:paraId="4C6E5284"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both"/>
              <w:rPr>
                <w:lang w:eastAsia="de-DE" w:bidi="de-DE"/>
              </w:rPr>
            </w:pPr>
            <w:r w:rsidRPr="00D21420">
              <w:rPr>
                <w:rFonts w:eastAsia="Calibri"/>
                <w:lang w:eastAsia="de-DE" w:bidi="de-DE"/>
              </w:rPr>
              <w:t>1.</w:t>
            </w:r>
            <w:r w:rsidRPr="00D21420">
              <w:rPr>
                <w:rFonts w:eastAsia="Calibri"/>
                <w:lang w:eastAsia="de-DE" w:bidi="de-DE"/>
              </w:rPr>
              <w:tab/>
              <w:t>Verstoß aus Gründen, die unabhängig vom Willen des Steuerpflichtigen sind:</w:t>
            </w:r>
          </w:p>
        </w:tc>
        <w:tc>
          <w:tcPr>
            <w:tcW w:w="2576" w:type="dxa"/>
            <w:tcBorders>
              <w:left w:val="single" w:sz="4" w:space="0" w:color="auto"/>
              <w:bottom w:val="double" w:sz="4" w:space="0" w:color="auto"/>
              <w:right w:val="double" w:sz="4" w:space="0" w:color="auto"/>
            </w:tcBorders>
            <w:vAlign w:val="center"/>
          </w:tcPr>
          <w:p w14:paraId="3F607BAD"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eastAsia="de-DE" w:bidi="de-DE"/>
              </w:rPr>
            </w:pPr>
            <w:r w:rsidRPr="00D21420">
              <w:rPr>
                <w:rFonts w:eastAsia="Calibri"/>
                <w:spacing w:val="-3"/>
                <w:lang w:eastAsia="de-DE" w:bidi="de-DE"/>
              </w:rPr>
              <w:t>Entfällt</w:t>
            </w:r>
          </w:p>
        </w:tc>
      </w:tr>
      <w:tr w:rsidR="003426CA" w:rsidRPr="00D21420" w14:paraId="0ABB85F2" w14:textId="77777777" w:rsidTr="00D86FA8">
        <w:trPr>
          <w:cantSplit/>
          <w:jc w:val="center"/>
        </w:trPr>
        <w:tc>
          <w:tcPr>
            <w:tcW w:w="6648" w:type="dxa"/>
            <w:tcBorders>
              <w:top w:val="double" w:sz="4" w:space="0" w:color="auto"/>
              <w:left w:val="double" w:sz="4" w:space="0" w:color="auto"/>
              <w:right w:val="single" w:sz="4" w:space="0" w:color="auto"/>
            </w:tcBorders>
          </w:tcPr>
          <w:p w14:paraId="7DE2BF14" w14:textId="77777777" w:rsidR="008C7583" w:rsidRDefault="008C7583" w:rsidP="00020C32">
            <w:pPr>
              <w:tabs>
                <w:tab w:val="left" w:pos="567"/>
                <w:tab w:val="left" w:pos="1134"/>
                <w:tab w:val="left" w:pos="1701"/>
                <w:tab w:val="left" w:pos="2268"/>
                <w:tab w:val="left" w:pos="2835"/>
                <w:tab w:val="left" w:pos="3402"/>
                <w:tab w:val="left" w:pos="3969"/>
              </w:tabs>
              <w:spacing w:before="120" w:after="60"/>
              <w:jc w:val="both"/>
              <w:rPr>
                <w:rFonts w:eastAsia="Calibri"/>
                <w:lang w:eastAsia="de-DE" w:bidi="de-DE"/>
              </w:rPr>
            </w:pPr>
          </w:p>
          <w:p w14:paraId="7EC9599F"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120" w:after="60"/>
              <w:jc w:val="both"/>
              <w:rPr>
                <w:lang w:eastAsia="de-DE" w:bidi="de-DE"/>
              </w:rPr>
            </w:pPr>
            <w:r w:rsidRPr="00D21420">
              <w:rPr>
                <w:rFonts w:eastAsia="Calibri"/>
                <w:lang w:eastAsia="de-DE" w:bidi="de-DE"/>
              </w:rPr>
              <w:t>2.</w:t>
            </w:r>
            <w:r w:rsidRPr="00D21420">
              <w:rPr>
                <w:rFonts w:eastAsia="Calibri"/>
                <w:lang w:eastAsia="de-DE" w:bidi="de-DE"/>
              </w:rPr>
              <w:tab/>
              <w:t>Anderer Verstoß:</w:t>
            </w:r>
          </w:p>
        </w:tc>
        <w:tc>
          <w:tcPr>
            <w:tcW w:w="2576" w:type="dxa"/>
            <w:tcBorders>
              <w:top w:val="double" w:sz="4" w:space="0" w:color="auto"/>
              <w:left w:val="single" w:sz="4" w:space="0" w:color="auto"/>
              <w:right w:val="double" w:sz="4" w:space="0" w:color="auto"/>
            </w:tcBorders>
            <w:vAlign w:val="center"/>
          </w:tcPr>
          <w:p w14:paraId="0D80369B"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bidi="de-DE"/>
              </w:rPr>
            </w:pPr>
          </w:p>
        </w:tc>
      </w:tr>
      <w:tr w:rsidR="003426CA" w:rsidRPr="00D21420" w14:paraId="32768EB6" w14:textId="77777777" w:rsidTr="00D86FA8">
        <w:trPr>
          <w:cantSplit/>
          <w:jc w:val="center"/>
        </w:trPr>
        <w:tc>
          <w:tcPr>
            <w:tcW w:w="6648" w:type="dxa"/>
            <w:tcBorders>
              <w:left w:val="double" w:sz="4" w:space="0" w:color="auto"/>
              <w:right w:val="single" w:sz="4" w:space="0" w:color="auto"/>
            </w:tcBorders>
          </w:tcPr>
          <w:p w14:paraId="570E39C7"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erster Verstoß:</w:t>
            </w:r>
          </w:p>
        </w:tc>
        <w:tc>
          <w:tcPr>
            <w:tcW w:w="2576" w:type="dxa"/>
            <w:tcBorders>
              <w:left w:val="single" w:sz="4" w:space="0" w:color="auto"/>
              <w:right w:val="double" w:sz="4" w:space="0" w:color="auto"/>
            </w:tcBorders>
            <w:vAlign w:val="center"/>
          </w:tcPr>
          <w:p w14:paraId="57CB6F38"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eastAsia="de-DE" w:bidi="de-DE"/>
              </w:rPr>
            </w:pPr>
            <w:r w:rsidRPr="00D21420">
              <w:rPr>
                <w:rFonts w:eastAsia="Calibri"/>
                <w:spacing w:val="-3"/>
                <w:lang w:eastAsia="de-DE" w:bidi="de-DE"/>
              </w:rPr>
              <w:t>50,00 EUR</w:t>
            </w:r>
          </w:p>
        </w:tc>
      </w:tr>
      <w:tr w:rsidR="003426CA" w:rsidRPr="00D21420" w14:paraId="64D172D3" w14:textId="77777777" w:rsidTr="00D86FA8">
        <w:trPr>
          <w:cantSplit/>
          <w:jc w:val="center"/>
        </w:trPr>
        <w:tc>
          <w:tcPr>
            <w:tcW w:w="6648" w:type="dxa"/>
            <w:tcBorders>
              <w:left w:val="double" w:sz="4" w:space="0" w:color="auto"/>
              <w:right w:val="single" w:sz="4" w:space="0" w:color="auto"/>
            </w:tcBorders>
          </w:tcPr>
          <w:p w14:paraId="094DAE04"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zweiter bis vierter Verstoß:</w:t>
            </w:r>
          </w:p>
        </w:tc>
        <w:tc>
          <w:tcPr>
            <w:tcW w:w="2576" w:type="dxa"/>
            <w:tcBorders>
              <w:left w:val="single" w:sz="4" w:space="0" w:color="auto"/>
              <w:right w:val="double" w:sz="4" w:space="0" w:color="auto"/>
            </w:tcBorders>
            <w:vAlign w:val="center"/>
          </w:tcPr>
          <w:p w14:paraId="04199763"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eastAsia="de-DE" w:bidi="de-DE"/>
              </w:rPr>
            </w:pPr>
            <w:r w:rsidRPr="00D21420">
              <w:rPr>
                <w:rFonts w:eastAsia="Calibri"/>
                <w:spacing w:val="-3"/>
                <w:lang w:eastAsia="de-DE" w:bidi="de-DE"/>
              </w:rPr>
              <w:t>125,00 EUR</w:t>
            </w:r>
          </w:p>
        </w:tc>
      </w:tr>
      <w:tr w:rsidR="003426CA" w:rsidRPr="00D21420" w14:paraId="731BA0BC" w14:textId="77777777" w:rsidTr="00D86FA8">
        <w:trPr>
          <w:cantSplit/>
          <w:jc w:val="center"/>
        </w:trPr>
        <w:tc>
          <w:tcPr>
            <w:tcW w:w="6648" w:type="dxa"/>
            <w:tcBorders>
              <w:left w:val="double" w:sz="4" w:space="0" w:color="auto"/>
              <w:right w:val="single" w:sz="4" w:space="0" w:color="auto"/>
            </w:tcBorders>
          </w:tcPr>
          <w:p w14:paraId="522EFBE4"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fünfter bis siebter Verstoß:</w:t>
            </w:r>
          </w:p>
        </w:tc>
        <w:tc>
          <w:tcPr>
            <w:tcW w:w="2576" w:type="dxa"/>
            <w:tcBorders>
              <w:left w:val="single" w:sz="4" w:space="0" w:color="auto"/>
              <w:right w:val="double" w:sz="4" w:space="0" w:color="auto"/>
            </w:tcBorders>
            <w:vAlign w:val="center"/>
          </w:tcPr>
          <w:p w14:paraId="6F82419A"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eastAsia="de-DE" w:bidi="de-DE"/>
              </w:rPr>
            </w:pPr>
            <w:r w:rsidRPr="00D21420">
              <w:rPr>
                <w:rFonts w:eastAsia="Calibri"/>
                <w:spacing w:val="-3"/>
                <w:lang w:eastAsia="de-DE" w:bidi="de-DE"/>
              </w:rPr>
              <w:t>250,00 EUR</w:t>
            </w:r>
          </w:p>
        </w:tc>
      </w:tr>
      <w:tr w:rsidR="003426CA" w:rsidRPr="00D21420" w14:paraId="3029A4CF" w14:textId="77777777" w:rsidTr="00D86FA8">
        <w:trPr>
          <w:cantSplit/>
          <w:jc w:val="center"/>
        </w:trPr>
        <w:tc>
          <w:tcPr>
            <w:tcW w:w="6648" w:type="dxa"/>
            <w:tcBorders>
              <w:left w:val="double" w:sz="4" w:space="0" w:color="auto"/>
              <w:right w:val="single" w:sz="4" w:space="0" w:color="auto"/>
            </w:tcBorders>
          </w:tcPr>
          <w:p w14:paraId="05F24CCE"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achter bis zehnter Verstoß:</w:t>
            </w:r>
          </w:p>
        </w:tc>
        <w:tc>
          <w:tcPr>
            <w:tcW w:w="2576" w:type="dxa"/>
            <w:tcBorders>
              <w:left w:val="single" w:sz="4" w:space="0" w:color="auto"/>
              <w:right w:val="double" w:sz="4" w:space="0" w:color="auto"/>
            </w:tcBorders>
            <w:vAlign w:val="center"/>
          </w:tcPr>
          <w:p w14:paraId="3B791BBB"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eastAsia="de-DE" w:bidi="de-DE"/>
              </w:rPr>
            </w:pPr>
            <w:r w:rsidRPr="00D21420">
              <w:rPr>
                <w:rFonts w:eastAsia="Calibri"/>
                <w:spacing w:val="-3"/>
                <w:lang w:eastAsia="de-DE" w:bidi="de-DE"/>
              </w:rPr>
              <w:t>625,00 EUR</w:t>
            </w:r>
          </w:p>
        </w:tc>
      </w:tr>
      <w:tr w:rsidR="003426CA" w:rsidRPr="00D21420" w14:paraId="7614AA7F" w14:textId="77777777" w:rsidTr="00D86FA8">
        <w:trPr>
          <w:cantSplit/>
          <w:jc w:val="center"/>
        </w:trPr>
        <w:tc>
          <w:tcPr>
            <w:tcW w:w="6648" w:type="dxa"/>
            <w:tcBorders>
              <w:left w:val="double" w:sz="4" w:space="0" w:color="auto"/>
              <w:bottom w:val="single" w:sz="4" w:space="0" w:color="auto"/>
              <w:right w:val="single" w:sz="4" w:space="0" w:color="auto"/>
            </w:tcBorders>
          </w:tcPr>
          <w:p w14:paraId="48A464CD"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elfter Verstoß und folgende Verstöße:</w:t>
            </w:r>
          </w:p>
        </w:tc>
        <w:tc>
          <w:tcPr>
            <w:tcW w:w="2576" w:type="dxa"/>
            <w:tcBorders>
              <w:left w:val="single" w:sz="4" w:space="0" w:color="auto"/>
              <w:bottom w:val="single" w:sz="4" w:space="0" w:color="auto"/>
              <w:right w:val="double" w:sz="4" w:space="0" w:color="auto"/>
            </w:tcBorders>
            <w:vAlign w:val="center"/>
          </w:tcPr>
          <w:p w14:paraId="65BBF0E0"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eastAsia="de-DE" w:bidi="de-DE"/>
              </w:rPr>
            </w:pPr>
            <w:r w:rsidRPr="00D21420">
              <w:rPr>
                <w:rFonts w:eastAsia="Calibri"/>
                <w:spacing w:val="-3"/>
                <w:lang w:eastAsia="de-DE" w:bidi="de-DE"/>
              </w:rPr>
              <w:t>1.250,00 EUR</w:t>
            </w:r>
          </w:p>
        </w:tc>
      </w:tr>
      <w:tr w:rsidR="003426CA" w:rsidRPr="00516EF3" w14:paraId="20B29AA9" w14:textId="77777777" w:rsidTr="00D86FA8">
        <w:trPr>
          <w:cantSplit/>
          <w:jc w:val="center"/>
        </w:trPr>
        <w:tc>
          <w:tcPr>
            <w:tcW w:w="6648" w:type="dxa"/>
            <w:tcBorders>
              <w:left w:val="double" w:sz="4" w:space="0" w:color="auto"/>
              <w:right w:val="single" w:sz="4" w:space="0" w:color="auto"/>
            </w:tcBorders>
          </w:tcPr>
          <w:p w14:paraId="11DDC446"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B.</w:t>
            </w:r>
            <w:r w:rsidRPr="00D21420">
              <w:rPr>
                <w:rFonts w:eastAsia="Calibri"/>
                <w:lang w:eastAsia="de-DE" w:bidi="de-DE"/>
              </w:rPr>
              <w:tab/>
              <w:t>Nichtzahlung, verspätete oder unzureichende Zahlung des Berufs- oder Mobiliensteuervorabzugs:</w:t>
            </w:r>
          </w:p>
        </w:tc>
        <w:tc>
          <w:tcPr>
            <w:tcW w:w="2576" w:type="dxa"/>
            <w:tcBorders>
              <w:left w:val="single" w:sz="4" w:space="0" w:color="auto"/>
              <w:right w:val="double" w:sz="4" w:space="0" w:color="auto"/>
            </w:tcBorders>
            <w:vAlign w:val="center"/>
          </w:tcPr>
          <w:p w14:paraId="03BF67E8"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bidi="de-DE"/>
              </w:rPr>
            </w:pPr>
          </w:p>
          <w:p w14:paraId="6101E4C7"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bidi="de-DE"/>
              </w:rPr>
            </w:pPr>
          </w:p>
        </w:tc>
      </w:tr>
      <w:tr w:rsidR="003426CA" w:rsidRPr="00D21420" w14:paraId="3151341F" w14:textId="77777777" w:rsidTr="00D86FA8">
        <w:trPr>
          <w:cantSplit/>
          <w:jc w:val="center"/>
        </w:trPr>
        <w:tc>
          <w:tcPr>
            <w:tcW w:w="6648" w:type="dxa"/>
            <w:tcBorders>
              <w:left w:val="double" w:sz="4" w:space="0" w:color="auto"/>
              <w:right w:val="single" w:sz="4" w:space="0" w:color="auto"/>
            </w:tcBorders>
          </w:tcPr>
          <w:p w14:paraId="7EE3FC3D"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erster Verstoß:</w:t>
            </w:r>
          </w:p>
        </w:tc>
        <w:tc>
          <w:tcPr>
            <w:tcW w:w="2576" w:type="dxa"/>
            <w:tcBorders>
              <w:left w:val="single" w:sz="4" w:space="0" w:color="auto"/>
              <w:right w:val="double" w:sz="4" w:space="0" w:color="auto"/>
            </w:tcBorders>
            <w:vAlign w:val="center"/>
          </w:tcPr>
          <w:p w14:paraId="0B50AEDE"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center"/>
              <w:rPr>
                <w:spacing w:val="-3"/>
                <w:lang w:eastAsia="de-DE" w:bidi="de-DE"/>
              </w:rPr>
            </w:pPr>
            <w:r w:rsidRPr="00D21420">
              <w:rPr>
                <w:rFonts w:eastAsia="Calibri"/>
                <w:spacing w:val="-3"/>
                <w:lang w:eastAsia="de-DE" w:bidi="de-DE"/>
              </w:rPr>
              <w:t>Entfällt</w:t>
            </w:r>
          </w:p>
        </w:tc>
      </w:tr>
      <w:tr w:rsidR="003426CA" w:rsidRPr="00516EF3" w14:paraId="45053272" w14:textId="77777777" w:rsidTr="00D86FA8">
        <w:trPr>
          <w:cantSplit/>
          <w:jc w:val="center"/>
        </w:trPr>
        <w:tc>
          <w:tcPr>
            <w:tcW w:w="6648" w:type="dxa"/>
            <w:tcBorders>
              <w:left w:val="double" w:sz="4" w:space="0" w:color="auto"/>
              <w:bottom w:val="single" w:sz="4" w:space="0" w:color="auto"/>
              <w:right w:val="single" w:sz="4" w:space="0" w:color="auto"/>
            </w:tcBorders>
          </w:tcPr>
          <w:p w14:paraId="134948F4" w14:textId="77777777" w:rsidR="003426CA" w:rsidRPr="00D21420" w:rsidRDefault="003426CA" w:rsidP="00020C32">
            <w:pPr>
              <w:tabs>
                <w:tab w:val="left" w:pos="567"/>
                <w:tab w:val="left" w:pos="1134"/>
                <w:tab w:val="left" w:pos="1701"/>
                <w:tab w:val="left" w:pos="2268"/>
                <w:tab w:val="left" w:pos="2835"/>
                <w:tab w:val="left" w:pos="3402"/>
                <w:tab w:val="left" w:pos="3969"/>
              </w:tabs>
              <w:spacing w:before="60" w:after="60"/>
              <w:jc w:val="both"/>
              <w:rPr>
                <w:lang w:eastAsia="de-DE" w:bidi="de-DE"/>
              </w:rPr>
            </w:pPr>
            <w:r w:rsidRPr="00D21420">
              <w:rPr>
                <w:rFonts w:eastAsia="Calibri"/>
                <w:lang w:eastAsia="de-DE" w:bidi="de-DE"/>
              </w:rPr>
              <w:tab/>
              <w:t>- folgende Verstöße:</w:t>
            </w:r>
          </w:p>
        </w:tc>
        <w:tc>
          <w:tcPr>
            <w:tcW w:w="2576" w:type="dxa"/>
            <w:tcBorders>
              <w:left w:val="single" w:sz="4" w:space="0" w:color="auto"/>
              <w:bottom w:val="single" w:sz="4" w:space="0" w:color="auto"/>
              <w:right w:val="double" w:sz="4" w:space="0" w:color="auto"/>
            </w:tcBorders>
            <w:vAlign w:val="center"/>
          </w:tcPr>
          <w:p w14:paraId="7D807B40" w14:textId="77777777" w:rsidR="003426CA" w:rsidRPr="00D21420" w:rsidRDefault="003426CA" w:rsidP="00020C32">
            <w:pPr>
              <w:tabs>
                <w:tab w:val="left" w:pos="567"/>
                <w:tab w:val="left" w:pos="1134"/>
                <w:tab w:val="left" w:pos="1701"/>
                <w:tab w:val="left" w:pos="2268"/>
                <w:tab w:val="left" w:pos="2835"/>
                <w:tab w:val="left" w:pos="3402"/>
                <w:tab w:val="left" w:pos="3969"/>
              </w:tabs>
              <w:jc w:val="center"/>
              <w:rPr>
                <w:lang w:eastAsia="de-DE" w:bidi="de-DE"/>
              </w:rPr>
            </w:pPr>
            <w:r w:rsidRPr="00D21420">
              <w:rPr>
                <w:rFonts w:eastAsia="Calibri"/>
                <w:lang w:eastAsia="de-DE" w:bidi="de-DE"/>
              </w:rPr>
              <w:t>10 Prozent des nicht gezahlten oder verspätet gezahlten Betrags oder des Restbetrags des nicht gezahlten oder verspätet gezahlten Betrags, mit einem Mindestbetrag von 50,00 EUR und einem Höchstbetrag von 1.250,00 EUR, auf das untere Vielfache von 10 EUR abgerundet</w:t>
            </w:r>
          </w:p>
        </w:tc>
      </w:tr>
    </w:tbl>
    <w:p w14:paraId="736D2457" w14:textId="77777777" w:rsidR="003426CA" w:rsidRPr="00D21420" w:rsidRDefault="003426CA" w:rsidP="003426CA">
      <w:pPr>
        <w:jc w:val="both"/>
        <w:rPr>
          <w:lang w:bidi="de-DE"/>
        </w:rPr>
      </w:pPr>
    </w:p>
    <w:p w14:paraId="3D181125" w14:textId="77777777" w:rsidR="003426CA" w:rsidRPr="00D21420" w:rsidRDefault="003426CA" w:rsidP="003426CA">
      <w:pPr>
        <w:jc w:val="both"/>
        <w:rPr>
          <w:lang w:bidi="de-DE"/>
        </w:rPr>
      </w:pPr>
    </w:p>
    <w:p w14:paraId="5F5695E0"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229/3</w:t>
      </w:r>
      <w:r w:rsidRPr="00D21420">
        <w:rPr>
          <w:rFonts w:eastAsia="Calibri"/>
          <w:lang w:eastAsia="de-DE" w:bidi="de-DE"/>
        </w:rPr>
        <w:t> - Frühere Verstöße wie in Artikel 229/1 Buchstabe B erwähnt werden nicht berücksichtigt für die Festlegung des anzuwendenden Betrags der administrativen Geldbußen:</w:t>
      </w:r>
    </w:p>
    <w:p w14:paraId="17C09FA0" w14:textId="77777777" w:rsidR="003426CA" w:rsidRPr="00D21420" w:rsidRDefault="003426CA" w:rsidP="003426CA">
      <w:pPr>
        <w:jc w:val="both"/>
        <w:rPr>
          <w:lang w:bidi="de-DE"/>
        </w:rPr>
      </w:pPr>
    </w:p>
    <w:p w14:paraId="53B86A28"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1. für Verstöße, die sich nicht auf den Berufs- oder Mobiliensteuervorabzug beziehen: wenn für die vier letzten Steuerjahre vor dem Steuerjahr, für das ein neuer Verstoß geahndet werden muss, kein Verstoß geahndet wurde,</w:t>
      </w:r>
    </w:p>
    <w:p w14:paraId="64CD60BD" w14:textId="77777777" w:rsidR="00B7418B" w:rsidRDefault="00B7418B" w:rsidP="003426CA">
      <w:pPr>
        <w:jc w:val="both"/>
        <w:rPr>
          <w:rFonts w:eastAsia="Calibri"/>
          <w:szCs w:val="22"/>
          <w:lang w:eastAsia="de-DE" w:bidi="de-DE"/>
        </w:rPr>
      </w:pPr>
    </w:p>
    <w:p w14:paraId="36051531" w14:textId="77777777" w:rsidR="003426CA" w:rsidRPr="00D21420" w:rsidRDefault="003426CA" w:rsidP="003426CA">
      <w:pPr>
        <w:jc w:val="both"/>
        <w:rPr>
          <w:lang w:eastAsia="de-DE" w:bidi="de-DE"/>
        </w:rPr>
      </w:pPr>
      <w:r w:rsidRPr="00D21420">
        <w:rPr>
          <w:rFonts w:eastAsia="Calibri"/>
          <w:szCs w:val="22"/>
          <w:lang w:eastAsia="de-DE" w:bidi="de-DE"/>
        </w:rPr>
        <w:lastRenderedPageBreak/>
        <w:tab/>
      </w:r>
      <w:r w:rsidRPr="00D21420">
        <w:rPr>
          <w:rFonts w:eastAsia="Calibri"/>
          <w:lang w:eastAsia="de-DE" w:bidi="de-DE"/>
        </w:rPr>
        <w:t>2. für Verstöße, die sich auf den Berufs- oder Mobiliensteuervorabzug beziehen und nicht in Artikel 229/2 erwähnt sind: wenn für vier aufeinander folgende monatliche, vierteljährliche oder jährliche Fälligkeitstermine kein Verstoß - Mobilien- und Berufssteuer</w:t>
      </w:r>
      <w:r w:rsidRPr="00D21420">
        <w:rPr>
          <w:rFonts w:eastAsia="Calibri"/>
          <w:lang w:eastAsia="de-DE" w:bidi="de-DE"/>
        </w:rPr>
        <w:softHyphen/>
        <w:t>vorabzug getrennt betrachtet - geahndet wurde.</w:t>
      </w:r>
    </w:p>
    <w:p w14:paraId="7C0ACD2B" w14:textId="77777777" w:rsidR="003426CA" w:rsidRPr="00D21420" w:rsidRDefault="003426CA" w:rsidP="003426CA">
      <w:pPr>
        <w:jc w:val="both"/>
        <w:rPr>
          <w:lang w:bidi="de-DE"/>
        </w:rPr>
      </w:pPr>
    </w:p>
    <w:p w14:paraId="456DD8B1"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lang w:eastAsia="de-DE" w:bidi="de-DE"/>
        </w:rPr>
        <w:t>Frühere Verstöße wie in Artikel 229/2 Buchstabe A und B - getrennt betrachtet - erwähnt werden für die Festlegung des anzuwendenden Betrags der administrativen Geldbußen nicht berücksichtigt, wenn für vier aufeinander folgende monatliche, vierteljährliche oder jährliche Fälligkeitstermine kein Verstoß - Mobilien- und Berufssteuer</w:t>
      </w:r>
      <w:r w:rsidRPr="00D21420">
        <w:rPr>
          <w:rFonts w:eastAsia="Calibri"/>
          <w:lang w:eastAsia="de-DE" w:bidi="de-DE"/>
        </w:rPr>
        <w:softHyphen/>
        <w:t>vorabzug getrennt betrachtet - geahndet wurde.</w:t>
      </w:r>
    </w:p>
    <w:p w14:paraId="221ED1B3" w14:textId="77777777" w:rsidR="003426CA" w:rsidRPr="00D21420" w:rsidRDefault="003426CA" w:rsidP="003426CA">
      <w:pPr>
        <w:jc w:val="both"/>
        <w:rPr>
          <w:lang w:bidi="de-DE"/>
        </w:rPr>
      </w:pPr>
    </w:p>
    <w:p w14:paraId="135F79E0" w14:textId="77777777" w:rsidR="003426CA" w:rsidRPr="00D21420" w:rsidRDefault="003426CA" w:rsidP="003426CA">
      <w:pPr>
        <w:jc w:val="both"/>
        <w:rPr>
          <w:lang w:bidi="de-DE"/>
        </w:rPr>
      </w:pPr>
    </w:p>
    <w:p w14:paraId="50D3428B" w14:textId="77777777" w:rsidR="003426CA" w:rsidRPr="00D21420" w:rsidRDefault="003426CA" w:rsidP="003426CA">
      <w:pPr>
        <w:jc w:val="both"/>
        <w:rPr>
          <w:lang w:eastAsia="de-DE" w:bidi="de-DE"/>
        </w:rPr>
      </w:pPr>
      <w:r w:rsidRPr="00D21420">
        <w:rPr>
          <w:rFonts w:eastAsia="Calibri"/>
          <w:szCs w:val="22"/>
          <w:lang w:eastAsia="de-DE" w:bidi="de-DE"/>
        </w:rPr>
        <w:tab/>
      </w:r>
      <w:r w:rsidRPr="00D21420">
        <w:rPr>
          <w:rFonts w:eastAsia="Calibri"/>
          <w:b/>
          <w:lang w:eastAsia="de-DE" w:bidi="de-DE"/>
        </w:rPr>
        <w:t>Art. 229/4</w:t>
      </w:r>
      <w:r w:rsidRPr="00D21420">
        <w:rPr>
          <w:rFonts w:eastAsia="Calibri"/>
          <w:lang w:eastAsia="de-DE" w:bidi="de-DE"/>
        </w:rPr>
        <w:t> - Für die Festlegung des aufgrund der Artikel 229/1 und 229/2 anzuwendenden Betrags der administrativen Geldbußen liegt ein zweiter oder nachfolgender Verstoß vor, wenn der Zuwiderhandelnde zu dem Zeitpunkt, zu dem ein neuer Verstoß begangen wird, von der administrativen Geldbuße, mit der der frühere Verstoß geahndet wurde, Kenntnis erhalten hat.]</w:t>
      </w:r>
    </w:p>
    <w:p w14:paraId="53ACA2DD" w14:textId="77777777" w:rsidR="003426CA" w:rsidRDefault="003426CA" w:rsidP="003426CA">
      <w:pPr>
        <w:jc w:val="both"/>
        <w:rPr>
          <w:rFonts w:eastAsia="Calibri"/>
          <w:szCs w:val="22"/>
          <w:lang w:eastAsia="de-DE" w:bidi="de-DE"/>
        </w:rPr>
      </w:pPr>
    </w:p>
    <w:p w14:paraId="3F712525" w14:textId="5ABFECFB" w:rsidR="0017246A" w:rsidRDefault="0017246A">
      <w:pPr>
        <w:rPr>
          <w:rFonts w:eastAsia="Calibri"/>
          <w:szCs w:val="22"/>
          <w:lang w:eastAsia="de-DE" w:bidi="de-DE"/>
        </w:rPr>
      </w:pPr>
    </w:p>
    <w:p w14:paraId="54C20461" w14:textId="0E35C271" w:rsidR="004B7B3E" w:rsidRPr="008E1884" w:rsidRDefault="004B7B3E" w:rsidP="004B7B3E">
      <w:pPr>
        <w:jc w:val="both"/>
      </w:pPr>
      <w:r>
        <w:rPr>
          <w:rFonts w:eastAsia="Calibri"/>
          <w:szCs w:val="22"/>
          <w:lang w:eastAsia="de-DE" w:bidi="de-DE"/>
        </w:rPr>
        <w:tab/>
        <w:t>[</w:t>
      </w:r>
      <w:r w:rsidRPr="004B7B3E">
        <w:rPr>
          <w:b/>
        </w:rPr>
        <w:t>Art. 229/5</w:t>
      </w:r>
      <w:r w:rsidRPr="008E1884">
        <w:t> - Die Skala der administrativen Geldbußen für die in Artikel 445 § 3 des Einkommensteuergesetzbuches 1992 erwähnten Verstöße wird wie folgt festgelegt:</w:t>
      </w:r>
    </w:p>
    <w:p w14:paraId="49E6ECF9" w14:textId="609E595B" w:rsidR="0017246A" w:rsidRDefault="0017246A" w:rsidP="0017246A">
      <w:pPr>
        <w:jc w:val="both"/>
      </w:pP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4814"/>
        <w:gridCol w:w="4246"/>
      </w:tblGrid>
      <w:tr w:rsidR="004B7B3E" w:rsidRPr="004D3517" w14:paraId="08943714" w14:textId="77777777" w:rsidTr="00F07BF7">
        <w:trPr>
          <w:trHeight w:val="451"/>
        </w:trPr>
        <w:tc>
          <w:tcPr>
            <w:tcW w:w="4814" w:type="dxa"/>
            <w:tcBorders>
              <w:top w:val="single" w:sz="4" w:space="0" w:color="auto"/>
              <w:bottom w:val="single" w:sz="4" w:space="0" w:color="auto"/>
            </w:tcBorders>
          </w:tcPr>
          <w:p w14:paraId="3B1DE074" w14:textId="77777777" w:rsidR="004B7B3E" w:rsidRPr="004D3517" w:rsidRDefault="004B7B3E" w:rsidP="00F07BF7">
            <w:pPr>
              <w:spacing w:before="120" w:after="120"/>
            </w:pPr>
            <w:r>
              <w:rPr>
                <w:u w:val="single"/>
              </w:rPr>
              <w:t>Art der Verstöße</w:t>
            </w:r>
          </w:p>
        </w:tc>
        <w:tc>
          <w:tcPr>
            <w:tcW w:w="4246" w:type="dxa"/>
            <w:tcBorders>
              <w:top w:val="single" w:sz="4" w:space="0" w:color="auto"/>
              <w:bottom w:val="single" w:sz="4" w:space="0" w:color="auto"/>
            </w:tcBorders>
          </w:tcPr>
          <w:p w14:paraId="04388D5F" w14:textId="77777777" w:rsidR="004B7B3E" w:rsidRPr="004D3517" w:rsidRDefault="004B7B3E" w:rsidP="00F07BF7">
            <w:pPr>
              <w:spacing w:before="120"/>
            </w:pPr>
            <w:r>
              <w:rPr>
                <w:u w:val="single"/>
              </w:rPr>
              <w:t>Administrative Geldbuße</w:t>
            </w:r>
          </w:p>
        </w:tc>
      </w:tr>
      <w:tr w:rsidR="004B7B3E" w:rsidRPr="004D3517" w14:paraId="2E46B624" w14:textId="77777777" w:rsidTr="00F07BF7">
        <w:tc>
          <w:tcPr>
            <w:tcW w:w="4814" w:type="dxa"/>
          </w:tcPr>
          <w:p w14:paraId="3911AB45" w14:textId="77777777" w:rsidR="004B7B3E" w:rsidRPr="008E1884" w:rsidRDefault="004B7B3E" w:rsidP="00F07BF7">
            <w:pPr>
              <w:jc w:val="both"/>
            </w:pPr>
            <w:r w:rsidRPr="008E1884">
              <w:rPr>
                <w:i/>
              </w:rPr>
              <w:t>A</w:t>
            </w:r>
            <w:r w:rsidRPr="008E1884">
              <w:t>.</w:t>
            </w:r>
            <w:r w:rsidRPr="008E1884">
              <w:tab/>
              <w:t>Verstoß aus Gründen, die unabhängig vom Willen des Steuerpflichtigen sind:</w:t>
            </w:r>
          </w:p>
          <w:p w14:paraId="75E447F6" w14:textId="77777777" w:rsidR="004B7B3E" w:rsidRPr="008E1884" w:rsidRDefault="004B7B3E" w:rsidP="00F07BF7">
            <w:pPr>
              <w:jc w:val="both"/>
            </w:pPr>
          </w:p>
          <w:p w14:paraId="51A996A9" w14:textId="77777777" w:rsidR="004B7B3E" w:rsidRPr="008E1884" w:rsidRDefault="004B7B3E" w:rsidP="00F07BF7">
            <w:pPr>
              <w:jc w:val="both"/>
            </w:pPr>
          </w:p>
        </w:tc>
        <w:tc>
          <w:tcPr>
            <w:tcW w:w="4246" w:type="dxa"/>
          </w:tcPr>
          <w:p w14:paraId="7205B99E" w14:textId="77777777" w:rsidR="004B7B3E" w:rsidRPr="004D3517" w:rsidRDefault="004B7B3E" w:rsidP="00F07BF7">
            <w:r>
              <w:t>Entfällt</w:t>
            </w:r>
          </w:p>
          <w:p w14:paraId="60AED5A3" w14:textId="77777777" w:rsidR="004B7B3E" w:rsidRPr="004D3517" w:rsidRDefault="004B7B3E" w:rsidP="00F07BF7"/>
        </w:tc>
      </w:tr>
      <w:tr w:rsidR="004B7B3E" w:rsidRPr="008E1884" w14:paraId="086E59FF" w14:textId="77777777" w:rsidTr="00F07BF7">
        <w:tc>
          <w:tcPr>
            <w:tcW w:w="4814" w:type="dxa"/>
          </w:tcPr>
          <w:p w14:paraId="69C65A71" w14:textId="77777777" w:rsidR="004B7B3E" w:rsidRPr="008E1884" w:rsidRDefault="004B7B3E" w:rsidP="00F07BF7">
            <w:pPr>
              <w:spacing w:after="120"/>
              <w:jc w:val="both"/>
            </w:pPr>
            <w:r w:rsidRPr="008E1884">
              <w:rPr>
                <w:i/>
              </w:rPr>
              <w:t>B.</w:t>
            </w:r>
            <w:r w:rsidRPr="008E1884">
              <w:tab/>
              <w:t xml:space="preserve">Verstoß, der nicht auf Bösgläubigkeit oder eine Steuerhinterziehungsabsicht zurückzuführen ist: </w:t>
            </w:r>
          </w:p>
        </w:tc>
        <w:tc>
          <w:tcPr>
            <w:tcW w:w="4246" w:type="dxa"/>
          </w:tcPr>
          <w:p w14:paraId="7988994F" w14:textId="77777777" w:rsidR="004B7B3E" w:rsidRPr="008E1884" w:rsidRDefault="004B7B3E" w:rsidP="00F07BF7"/>
        </w:tc>
      </w:tr>
      <w:tr w:rsidR="004B7B3E" w:rsidRPr="004D3517" w14:paraId="73C7EEA6" w14:textId="77777777" w:rsidTr="00F07BF7">
        <w:tc>
          <w:tcPr>
            <w:tcW w:w="4814" w:type="dxa"/>
          </w:tcPr>
          <w:p w14:paraId="0C7F4D81" w14:textId="77777777" w:rsidR="004B7B3E" w:rsidRPr="004D3517" w:rsidRDefault="004B7B3E" w:rsidP="00F07BF7">
            <w:pPr>
              <w:spacing w:after="120"/>
              <w:jc w:val="both"/>
            </w:pPr>
            <w:r>
              <w:t>- erster Verstoß:</w:t>
            </w:r>
          </w:p>
        </w:tc>
        <w:tc>
          <w:tcPr>
            <w:tcW w:w="4246" w:type="dxa"/>
          </w:tcPr>
          <w:p w14:paraId="0ACCF461" w14:textId="77777777" w:rsidR="004B7B3E" w:rsidRPr="004D3517" w:rsidRDefault="004B7B3E" w:rsidP="00F07BF7">
            <w:r>
              <w:t>Entfällt</w:t>
            </w:r>
          </w:p>
        </w:tc>
      </w:tr>
      <w:tr w:rsidR="004B7B3E" w:rsidRPr="004D3517" w14:paraId="70EADCE3" w14:textId="77777777" w:rsidTr="00F07BF7">
        <w:tc>
          <w:tcPr>
            <w:tcW w:w="4814" w:type="dxa"/>
          </w:tcPr>
          <w:p w14:paraId="581B4619" w14:textId="77777777" w:rsidR="004B7B3E" w:rsidRPr="004D3517" w:rsidRDefault="004B7B3E" w:rsidP="00F07BF7">
            <w:pPr>
              <w:spacing w:after="120"/>
              <w:jc w:val="both"/>
            </w:pPr>
            <w:r>
              <w:t>- zweiter Verstoß:</w:t>
            </w:r>
          </w:p>
        </w:tc>
        <w:tc>
          <w:tcPr>
            <w:tcW w:w="4246" w:type="dxa"/>
          </w:tcPr>
          <w:p w14:paraId="295D0739" w14:textId="77777777" w:rsidR="004B7B3E" w:rsidRPr="004D3517" w:rsidRDefault="004B7B3E" w:rsidP="00F07BF7">
            <w:r>
              <w:t>1.250,00 EUR</w:t>
            </w:r>
          </w:p>
        </w:tc>
      </w:tr>
      <w:tr w:rsidR="004B7B3E" w:rsidRPr="004D3517" w14:paraId="611626CA" w14:textId="77777777" w:rsidTr="00F07BF7">
        <w:tc>
          <w:tcPr>
            <w:tcW w:w="4814" w:type="dxa"/>
          </w:tcPr>
          <w:p w14:paraId="7D28DFBB" w14:textId="77777777" w:rsidR="004B7B3E" w:rsidRPr="004D3517" w:rsidRDefault="004B7B3E" w:rsidP="00F07BF7">
            <w:pPr>
              <w:spacing w:after="120"/>
              <w:jc w:val="both"/>
            </w:pPr>
            <w:r>
              <w:t>- dritter Verstoß:</w:t>
            </w:r>
          </w:p>
        </w:tc>
        <w:tc>
          <w:tcPr>
            <w:tcW w:w="4246" w:type="dxa"/>
          </w:tcPr>
          <w:p w14:paraId="241BFF19" w14:textId="77777777" w:rsidR="004B7B3E" w:rsidRPr="004D3517" w:rsidRDefault="004B7B3E" w:rsidP="00F07BF7">
            <w:r>
              <w:t>6.250,00 EUR</w:t>
            </w:r>
          </w:p>
        </w:tc>
      </w:tr>
      <w:tr w:rsidR="004B7B3E" w:rsidRPr="004D3517" w14:paraId="6BE06E07" w14:textId="77777777" w:rsidTr="00F07BF7">
        <w:tc>
          <w:tcPr>
            <w:tcW w:w="4814" w:type="dxa"/>
          </w:tcPr>
          <w:p w14:paraId="29DB02E1" w14:textId="77777777" w:rsidR="004B7B3E" w:rsidRPr="004D3517" w:rsidRDefault="004B7B3E" w:rsidP="00F07BF7">
            <w:pPr>
              <w:spacing w:after="120"/>
              <w:jc w:val="both"/>
            </w:pPr>
            <w:r>
              <w:t>- vierter Verstoß:</w:t>
            </w:r>
          </w:p>
        </w:tc>
        <w:tc>
          <w:tcPr>
            <w:tcW w:w="4246" w:type="dxa"/>
          </w:tcPr>
          <w:p w14:paraId="520A3001" w14:textId="77777777" w:rsidR="004B7B3E" w:rsidRPr="004D3517" w:rsidRDefault="004B7B3E" w:rsidP="00F07BF7">
            <w:r>
              <w:t>12.500,00 EUR</w:t>
            </w:r>
          </w:p>
        </w:tc>
      </w:tr>
      <w:tr w:rsidR="004B7B3E" w:rsidRPr="004D3517" w14:paraId="5471D69B" w14:textId="77777777" w:rsidTr="00F07BF7">
        <w:tc>
          <w:tcPr>
            <w:tcW w:w="4814" w:type="dxa"/>
          </w:tcPr>
          <w:p w14:paraId="1BE9F051" w14:textId="77777777" w:rsidR="004B7B3E" w:rsidRPr="004D3517" w:rsidRDefault="004B7B3E" w:rsidP="00F07BF7">
            <w:pPr>
              <w:spacing w:after="120"/>
              <w:jc w:val="both"/>
            </w:pPr>
            <w:r>
              <w:t>- folgende Verstöße:</w:t>
            </w:r>
          </w:p>
        </w:tc>
        <w:tc>
          <w:tcPr>
            <w:tcW w:w="4246" w:type="dxa"/>
          </w:tcPr>
          <w:p w14:paraId="78B50AF2" w14:textId="77777777" w:rsidR="004B7B3E" w:rsidRPr="004D3517" w:rsidRDefault="004B7B3E" w:rsidP="00F07BF7">
            <w:r>
              <w:t>25.000,00 EUR</w:t>
            </w:r>
          </w:p>
        </w:tc>
      </w:tr>
      <w:tr w:rsidR="004B7B3E" w:rsidRPr="008E1884" w14:paraId="60335036" w14:textId="77777777" w:rsidTr="00F07BF7">
        <w:tc>
          <w:tcPr>
            <w:tcW w:w="4814" w:type="dxa"/>
          </w:tcPr>
          <w:p w14:paraId="2E42D958" w14:textId="77777777" w:rsidR="004B7B3E" w:rsidRPr="008E1884" w:rsidRDefault="004B7B3E" w:rsidP="00F07BF7">
            <w:pPr>
              <w:spacing w:after="120"/>
              <w:jc w:val="both"/>
            </w:pPr>
            <w:r w:rsidRPr="008E1884">
              <w:rPr>
                <w:i/>
              </w:rPr>
              <w:t>C</w:t>
            </w:r>
            <w:r w:rsidRPr="008E1884">
              <w:t xml:space="preserve">. </w:t>
            </w:r>
            <w:r w:rsidRPr="008E1884">
              <w:tab/>
              <w:t>Verstoß, der auf Bösgläubigkeit oder Steuerhinterziehungsabsicht zurückzuführen ist (einschließlich willentlicher Einreichung unvoll</w:t>
            </w:r>
            <w:r w:rsidRPr="008E1884">
              <w:softHyphen/>
              <w:t xml:space="preserve">ständiger oder unrichtiger Erklärungen): </w:t>
            </w:r>
            <w:r w:rsidRPr="008E1884">
              <w:tab/>
            </w:r>
          </w:p>
        </w:tc>
        <w:tc>
          <w:tcPr>
            <w:tcW w:w="4246" w:type="dxa"/>
          </w:tcPr>
          <w:p w14:paraId="5598C10F" w14:textId="77777777" w:rsidR="004B7B3E" w:rsidRPr="008E1884" w:rsidRDefault="004B7B3E" w:rsidP="00F07BF7"/>
        </w:tc>
      </w:tr>
      <w:tr w:rsidR="004B7B3E" w:rsidRPr="004D3517" w14:paraId="65B98133" w14:textId="77777777" w:rsidTr="00F07BF7">
        <w:tc>
          <w:tcPr>
            <w:tcW w:w="4814" w:type="dxa"/>
          </w:tcPr>
          <w:p w14:paraId="2B9919CF" w14:textId="77777777" w:rsidR="004B7B3E" w:rsidRPr="004D3517" w:rsidRDefault="004B7B3E" w:rsidP="00F07BF7">
            <w:pPr>
              <w:spacing w:after="120"/>
              <w:jc w:val="both"/>
            </w:pPr>
            <w:r>
              <w:t>- erster Verstoß:</w:t>
            </w:r>
          </w:p>
        </w:tc>
        <w:tc>
          <w:tcPr>
            <w:tcW w:w="4246" w:type="dxa"/>
          </w:tcPr>
          <w:p w14:paraId="2B7FED25" w14:textId="77777777" w:rsidR="004B7B3E" w:rsidRPr="004D3517" w:rsidRDefault="004B7B3E" w:rsidP="00F07BF7">
            <w:r>
              <w:t>12.500,00 EUR</w:t>
            </w:r>
          </w:p>
        </w:tc>
      </w:tr>
      <w:tr w:rsidR="004B7B3E" w:rsidRPr="004D3517" w14:paraId="7E142EDE" w14:textId="77777777" w:rsidTr="00F07BF7">
        <w:tc>
          <w:tcPr>
            <w:tcW w:w="4814" w:type="dxa"/>
          </w:tcPr>
          <w:p w14:paraId="189E7CCA" w14:textId="77777777" w:rsidR="004B7B3E" w:rsidRPr="004D3517" w:rsidRDefault="004B7B3E" w:rsidP="00F07BF7">
            <w:pPr>
              <w:jc w:val="both"/>
            </w:pPr>
            <w:r>
              <w:t xml:space="preserve">- folgende Verstöße: </w:t>
            </w:r>
          </w:p>
        </w:tc>
        <w:tc>
          <w:tcPr>
            <w:tcW w:w="4246" w:type="dxa"/>
          </w:tcPr>
          <w:p w14:paraId="1325FD25" w14:textId="77777777" w:rsidR="004B7B3E" w:rsidRDefault="004B7B3E" w:rsidP="004B7B3E">
            <w:pPr>
              <w:jc w:val="both"/>
              <w:rPr>
                <w:rFonts w:eastAsia="Calibri"/>
                <w:szCs w:val="22"/>
                <w:lang w:eastAsia="de-DE" w:bidi="de-DE"/>
              </w:rPr>
            </w:pPr>
            <w:r>
              <w:t>25.000,00 EUR</w:t>
            </w:r>
            <w:r>
              <w:rPr>
                <w:rFonts w:eastAsia="Calibri"/>
                <w:szCs w:val="22"/>
                <w:lang w:eastAsia="de-DE" w:bidi="de-DE"/>
              </w:rPr>
              <w:t>]</w:t>
            </w:r>
          </w:p>
          <w:p w14:paraId="336D2AEA" w14:textId="77777777" w:rsidR="004B7B3E" w:rsidRPr="004B7B3E" w:rsidRDefault="004B7B3E" w:rsidP="004B7B3E">
            <w:pPr>
              <w:jc w:val="both"/>
              <w:rPr>
                <w:rFonts w:eastAsia="Calibri"/>
                <w:szCs w:val="22"/>
                <w:lang w:eastAsia="de-DE" w:bidi="de-DE"/>
              </w:rPr>
            </w:pPr>
          </w:p>
        </w:tc>
      </w:tr>
    </w:tbl>
    <w:p w14:paraId="6756EF03" w14:textId="77777777" w:rsidR="004B7B3E" w:rsidRDefault="004B7B3E" w:rsidP="003426CA">
      <w:pPr>
        <w:jc w:val="both"/>
        <w:rPr>
          <w:rFonts w:eastAsia="Calibri"/>
          <w:szCs w:val="22"/>
          <w:lang w:eastAsia="de-DE" w:bidi="de-DE"/>
        </w:rPr>
      </w:pPr>
    </w:p>
    <w:p w14:paraId="7E4900E3" w14:textId="77777777" w:rsidR="005E509B" w:rsidRDefault="004B7B3E" w:rsidP="00D86FA8">
      <w:pPr>
        <w:jc w:val="both"/>
        <w:rPr>
          <w:rFonts w:eastAsia="Calibri"/>
          <w:i/>
          <w:szCs w:val="22"/>
          <w:lang w:eastAsia="de-DE" w:bidi="de-DE"/>
        </w:rPr>
      </w:pPr>
      <w:r>
        <w:rPr>
          <w:rFonts w:eastAsia="Calibri"/>
          <w:i/>
          <w:szCs w:val="22"/>
          <w:lang w:eastAsia="de-DE" w:bidi="de-DE"/>
        </w:rPr>
        <w:t>[Art. 229/5 eingefügt durch Art. 1 des K.E. vom 29. Juni 2018 (B.S. vom 9. Juli 2018)]</w:t>
      </w:r>
    </w:p>
    <w:p w14:paraId="041DCF1C" w14:textId="77777777" w:rsidR="005E509B" w:rsidRDefault="005E509B" w:rsidP="00D86FA8">
      <w:pPr>
        <w:jc w:val="both"/>
        <w:rPr>
          <w:rFonts w:eastAsia="Calibri"/>
          <w:szCs w:val="22"/>
          <w:lang w:eastAsia="de-DE" w:bidi="de-DE"/>
        </w:rPr>
      </w:pPr>
    </w:p>
    <w:p w14:paraId="22057885" w14:textId="77777777" w:rsidR="005E509B" w:rsidRDefault="005E509B" w:rsidP="00D86FA8">
      <w:pPr>
        <w:jc w:val="both"/>
        <w:rPr>
          <w:rFonts w:eastAsia="Calibri"/>
          <w:szCs w:val="22"/>
          <w:lang w:eastAsia="de-DE" w:bidi="de-DE"/>
        </w:rPr>
      </w:pPr>
    </w:p>
    <w:p w14:paraId="7D4DEAF0" w14:textId="77777777" w:rsidR="005E509B" w:rsidRDefault="005E509B" w:rsidP="005E509B">
      <w:pPr>
        <w:jc w:val="both"/>
      </w:pPr>
      <w:r>
        <w:rPr>
          <w:rFonts w:eastAsia="Calibri"/>
          <w:szCs w:val="22"/>
          <w:lang w:eastAsia="de-DE" w:bidi="de-DE"/>
        </w:rPr>
        <w:tab/>
        <w:t>[</w:t>
      </w:r>
      <w:r w:rsidRPr="005E509B">
        <w:rPr>
          <w:b/>
        </w:rPr>
        <w:t>Art. 229/6</w:t>
      </w:r>
      <w:r>
        <w:t> - Die Skala der administrativen Geldbußen für die in Artikel 445 § 4 des Einkommensteuergesetzbuches 1992 erwähnten Verstöße wird wie folgt festgelegt:</w:t>
      </w:r>
    </w:p>
    <w:p w14:paraId="313AF100" w14:textId="77777777" w:rsidR="005E509B" w:rsidRDefault="005E509B" w:rsidP="005E509B"/>
    <w:tbl>
      <w:tblPr>
        <w:tblStyle w:val="Grilledutableau"/>
        <w:tblW w:w="0" w:type="auto"/>
        <w:tblLook w:val="04A0" w:firstRow="1" w:lastRow="0" w:firstColumn="1" w:lastColumn="0" w:noHBand="0" w:noVBand="1"/>
      </w:tblPr>
      <w:tblGrid>
        <w:gridCol w:w="6514"/>
        <w:gridCol w:w="2546"/>
      </w:tblGrid>
      <w:tr w:rsidR="005E509B" w14:paraId="19798DBD"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3D3C518F" w14:textId="77777777" w:rsidR="005E509B" w:rsidRDefault="005E509B">
            <w:pPr>
              <w:jc w:val="center"/>
              <w:rPr>
                <w:lang w:val="fr-FR"/>
              </w:rPr>
            </w:pPr>
            <w:r>
              <w:t>Art der Verstöße</w:t>
            </w:r>
          </w:p>
        </w:tc>
        <w:tc>
          <w:tcPr>
            <w:tcW w:w="2546" w:type="dxa"/>
            <w:tcBorders>
              <w:top w:val="single" w:sz="4" w:space="0" w:color="auto"/>
              <w:left w:val="single" w:sz="4" w:space="0" w:color="auto"/>
              <w:bottom w:val="single" w:sz="4" w:space="0" w:color="auto"/>
              <w:right w:val="single" w:sz="4" w:space="0" w:color="auto"/>
            </w:tcBorders>
            <w:vAlign w:val="center"/>
            <w:hideMark/>
          </w:tcPr>
          <w:p w14:paraId="4E11BC81" w14:textId="77777777" w:rsidR="005E509B" w:rsidRDefault="005E509B">
            <w:pPr>
              <w:jc w:val="center"/>
            </w:pPr>
            <w:r>
              <w:t>Administrative Geldbuße</w:t>
            </w:r>
          </w:p>
        </w:tc>
      </w:tr>
      <w:tr w:rsidR="005E509B" w:rsidRPr="005E509B" w14:paraId="157CD49F"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673F3C36" w14:textId="77777777" w:rsidR="005E509B" w:rsidRDefault="005E509B">
            <w:r>
              <w:t>A. Unvollständige Vorlage der Informationen:</w:t>
            </w:r>
          </w:p>
        </w:tc>
        <w:tc>
          <w:tcPr>
            <w:tcW w:w="2546" w:type="dxa"/>
            <w:tcBorders>
              <w:top w:val="single" w:sz="4" w:space="0" w:color="auto"/>
              <w:left w:val="single" w:sz="4" w:space="0" w:color="auto"/>
              <w:bottom w:val="single" w:sz="4" w:space="0" w:color="auto"/>
              <w:right w:val="single" w:sz="4" w:space="0" w:color="auto"/>
            </w:tcBorders>
            <w:vAlign w:val="center"/>
          </w:tcPr>
          <w:p w14:paraId="7FF5D86D" w14:textId="77777777" w:rsidR="005E509B" w:rsidRDefault="005E509B">
            <w:pPr>
              <w:rPr>
                <w:rFonts w:eastAsiaTheme="minorHAnsi"/>
              </w:rPr>
            </w:pPr>
          </w:p>
        </w:tc>
      </w:tr>
      <w:tr w:rsidR="005E509B" w:rsidRPr="005E509B" w14:paraId="0709BEFE"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70F59786" w14:textId="77777777" w:rsidR="005E509B" w:rsidRDefault="005E509B">
            <w:pPr>
              <w:jc w:val="both"/>
            </w:pPr>
            <w:r>
              <w:t>1. Verstoß, der nicht in betrügerischer Absicht oder mit der Absicht zu schaden begangen wurde:</w:t>
            </w:r>
          </w:p>
        </w:tc>
        <w:tc>
          <w:tcPr>
            <w:tcW w:w="2546" w:type="dxa"/>
            <w:tcBorders>
              <w:top w:val="single" w:sz="4" w:space="0" w:color="auto"/>
              <w:left w:val="single" w:sz="4" w:space="0" w:color="auto"/>
              <w:bottom w:val="single" w:sz="4" w:space="0" w:color="auto"/>
              <w:right w:val="single" w:sz="4" w:space="0" w:color="auto"/>
            </w:tcBorders>
            <w:vAlign w:val="center"/>
          </w:tcPr>
          <w:p w14:paraId="18C2DFA0" w14:textId="77777777" w:rsidR="005E509B" w:rsidRDefault="005E509B">
            <w:pPr>
              <w:rPr>
                <w:rFonts w:eastAsiaTheme="minorHAnsi"/>
              </w:rPr>
            </w:pPr>
          </w:p>
        </w:tc>
      </w:tr>
      <w:tr w:rsidR="005E509B" w14:paraId="4B80258A"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1BF0BCCA" w14:textId="77777777" w:rsidR="005E509B" w:rsidRDefault="005E509B">
            <w:pPr>
              <w:jc w:val="both"/>
              <w:rPr>
                <w:lang w:val="fr-FR"/>
              </w:rPr>
            </w:pPr>
            <w:r>
              <w:t>- erster Verstoß:</w:t>
            </w:r>
          </w:p>
        </w:tc>
        <w:tc>
          <w:tcPr>
            <w:tcW w:w="2546" w:type="dxa"/>
            <w:tcBorders>
              <w:top w:val="single" w:sz="4" w:space="0" w:color="auto"/>
              <w:left w:val="single" w:sz="4" w:space="0" w:color="auto"/>
              <w:bottom w:val="single" w:sz="4" w:space="0" w:color="auto"/>
              <w:right w:val="single" w:sz="4" w:space="0" w:color="auto"/>
            </w:tcBorders>
            <w:vAlign w:val="center"/>
            <w:hideMark/>
          </w:tcPr>
          <w:p w14:paraId="7D8752CB" w14:textId="77777777" w:rsidR="005E509B" w:rsidRDefault="005E509B">
            <w:pPr>
              <w:jc w:val="right"/>
            </w:pPr>
            <w:r>
              <w:t>1.250,00 EUR</w:t>
            </w:r>
          </w:p>
        </w:tc>
      </w:tr>
      <w:tr w:rsidR="005E509B" w14:paraId="02D484F2"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0E2CF946" w14:textId="77777777" w:rsidR="005E509B" w:rsidRDefault="005E509B">
            <w:pPr>
              <w:jc w:val="both"/>
            </w:pPr>
            <w:r>
              <w:t>- zweiter Verstoß:</w:t>
            </w:r>
          </w:p>
        </w:tc>
        <w:tc>
          <w:tcPr>
            <w:tcW w:w="2546" w:type="dxa"/>
            <w:tcBorders>
              <w:top w:val="single" w:sz="4" w:space="0" w:color="auto"/>
              <w:left w:val="single" w:sz="4" w:space="0" w:color="auto"/>
              <w:bottom w:val="single" w:sz="4" w:space="0" w:color="auto"/>
              <w:right w:val="single" w:sz="4" w:space="0" w:color="auto"/>
            </w:tcBorders>
            <w:vAlign w:val="center"/>
            <w:hideMark/>
          </w:tcPr>
          <w:p w14:paraId="6E63B99C" w14:textId="77777777" w:rsidR="005E509B" w:rsidRDefault="005E509B">
            <w:pPr>
              <w:jc w:val="right"/>
            </w:pPr>
            <w:r>
              <w:t>2.500,00 EUR</w:t>
            </w:r>
          </w:p>
        </w:tc>
      </w:tr>
      <w:tr w:rsidR="005E509B" w14:paraId="05F2DC0C"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2DFCE15A" w14:textId="77777777" w:rsidR="005E509B" w:rsidRDefault="005E509B">
            <w:pPr>
              <w:jc w:val="both"/>
            </w:pPr>
            <w:r>
              <w:t>- dritter Verstoß:</w:t>
            </w:r>
          </w:p>
        </w:tc>
        <w:tc>
          <w:tcPr>
            <w:tcW w:w="2546" w:type="dxa"/>
            <w:tcBorders>
              <w:top w:val="single" w:sz="4" w:space="0" w:color="auto"/>
              <w:left w:val="single" w:sz="4" w:space="0" w:color="auto"/>
              <w:bottom w:val="single" w:sz="4" w:space="0" w:color="auto"/>
              <w:right w:val="single" w:sz="4" w:space="0" w:color="auto"/>
            </w:tcBorders>
            <w:vAlign w:val="center"/>
            <w:hideMark/>
          </w:tcPr>
          <w:p w14:paraId="595DFE55" w14:textId="77777777" w:rsidR="005E509B" w:rsidRDefault="005E509B">
            <w:pPr>
              <w:jc w:val="right"/>
            </w:pPr>
            <w:r>
              <w:t>5.000,00 EUR</w:t>
            </w:r>
          </w:p>
        </w:tc>
      </w:tr>
      <w:tr w:rsidR="005E509B" w14:paraId="1E54795F"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50F071AE" w14:textId="77777777" w:rsidR="005E509B" w:rsidRDefault="005E509B">
            <w:pPr>
              <w:jc w:val="both"/>
            </w:pPr>
            <w:r>
              <w:t>- vierter Verstoß:</w:t>
            </w:r>
          </w:p>
        </w:tc>
        <w:tc>
          <w:tcPr>
            <w:tcW w:w="2546" w:type="dxa"/>
            <w:tcBorders>
              <w:top w:val="single" w:sz="4" w:space="0" w:color="auto"/>
              <w:left w:val="single" w:sz="4" w:space="0" w:color="auto"/>
              <w:bottom w:val="single" w:sz="4" w:space="0" w:color="auto"/>
              <w:right w:val="single" w:sz="4" w:space="0" w:color="auto"/>
            </w:tcBorders>
            <w:vAlign w:val="center"/>
            <w:hideMark/>
          </w:tcPr>
          <w:p w14:paraId="3345F854" w14:textId="77777777" w:rsidR="005E509B" w:rsidRDefault="005E509B">
            <w:pPr>
              <w:jc w:val="right"/>
            </w:pPr>
            <w:r>
              <w:t>10.000,00 EUR</w:t>
            </w:r>
          </w:p>
        </w:tc>
      </w:tr>
      <w:tr w:rsidR="005E509B" w14:paraId="0BBD54D4"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29C0F699" w14:textId="77777777" w:rsidR="005E509B" w:rsidRDefault="005E509B">
            <w:pPr>
              <w:jc w:val="both"/>
            </w:pPr>
            <w:r>
              <w:t>- folgende Verstöße:</w:t>
            </w:r>
          </w:p>
        </w:tc>
        <w:tc>
          <w:tcPr>
            <w:tcW w:w="2546" w:type="dxa"/>
            <w:tcBorders>
              <w:top w:val="single" w:sz="4" w:space="0" w:color="auto"/>
              <w:left w:val="single" w:sz="4" w:space="0" w:color="auto"/>
              <w:bottom w:val="single" w:sz="4" w:space="0" w:color="auto"/>
              <w:right w:val="single" w:sz="4" w:space="0" w:color="auto"/>
            </w:tcBorders>
            <w:vAlign w:val="center"/>
            <w:hideMark/>
          </w:tcPr>
          <w:p w14:paraId="6AC11130" w14:textId="77777777" w:rsidR="005E509B" w:rsidRDefault="005E509B">
            <w:pPr>
              <w:jc w:val="right"/>
            </w:pPr>
            <w:r>
              <w:t>12.500,00 EUR</w:t>
            </w:r>
          </w:p>
        </w:tc>
      </w:tr>
      <w:tr w:rsidR="005E509B" w:rsidRPr="005E509B" w14:paraId="03EF2A65"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796BFC30" w14:textId="77777777" w:rsidR="005E509B" w:rsidRDefault="005E509B">
            <w:pPr>
              <w:jc w:val="both"/>
            </w:pPr>
            <w:r>
              <w:t>2. Verstoß, der in betrügerischer Absicht oder mit der Absicht zu schaden begangen wurde:</w:t>
            </w:r>
          </w:p>
        </w:tc>
        <w:tc>
          <w:tcPr>
            <w:tcW w:w="2546" w:type="dxa"/>
            <w:tcBorders>
              <w:top w:val="single" w:sz="4" w:space="0" w:color="auto"/>
              <w:left w:val="single" w:sz="4" w:space="0" w:color="auto"/>
              <w:bottom w:val="single" w:sz="4" w:space="0" w:color="auto"/>
              <w:right w:val="single" w:sz="4" w:space="0" w:color="auto"/>
            </w:tcBorders>
            <w:vAlign w:val="center"/>
          </w:tcPr>
          <w:p w14:paraId="3EB6BFF7" w14:textId="77777777" w:rsidR="005E509B" w:rsidRDefault="005E509B">
            <w:pPr>
              <w:jc w:val="right"/>
            </w:pPr>
          </w:p>
        </w:tc>
      </w:tr>
      <w:tr w:rsidR="005E509B" w14:paraId="1464D270"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093A18FF" w14:textId="77777777" w:rsidR="005E509B" w:rsidRDefault="005E509B">
            <w:pPr>
              <w:jc w:val="both"/>
              <w:rPr>
                <w:lang w:val="fr-FR"/>
              </w:rPr>
            </w:pPr>
            <w:r>
              <w:t>- erster Verstoß:</w:t>
            </w:r>
          </w:p>
        </w:tc>
        <w:tc>
          <w:tcPr>
            <w:tcW w:w="2546" w:type="dxa"/>
            <w:tcBorders>
              <w:top w:val="single" w:sz="4" w:space="0" w:color="auto"/>
              <w:left w:val="single" w:sz="4" w:space="0" w:color="auto"/>
              <w:bottom w:val="single" w:sz="4" w:space="0" w:color="auto"/>
              <w:right w:val="single" w:sz="4" w:space="0" w:color="auto"/>
            </w:tcBorders>
            <w:vAlign w:val="center"/>
            <w:hideMark/>
          </w:tcPr>
          <w:p w14:paraId="14DD99E0" w14:textId="77777777" w:rsidR="005E509B" w:rsidRDefault="005E509B">
            <w:pPr>
              <w:jc w:val="right"/>
            </w:pPr>
            <w:r>
              <w:t>2.500,00 EUR</w:t>
            </w:r>
          </w:p>
        </w:tc>
      </w:tr>
      <w:tr w:rsidR="005E509B" w14:paraId="0682C8F0"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7AE9BEAB" w14:textId="77777777" w:rsidR="005E509B" w:rsidRDefault="005E509B">
            <w:pPr>
              <w:jc w:val="both"/>
            </w:pPr>
            <w:r>
              <w:t>- zweiter Verstoß:</w:t>
            </w:r>
          </w:p>
        </w:tc>
        <w:tc>
          <w:tcPr>
            <w:tcW w:w="2546" w:type="dxa"/>
            <w:tcBorders>
              <w:top w:val="single" w:sz="4" w:space="0" w:color="auto"/>
              <w:left w:val="single" w:sz="4" w:space="0" w:color="auto"/>
              <w:bottom w:val="single" w:sz="4" w:space="0" w:color="auto"/>
              <w:right w:val="single" w:sz="4" w:space="0" w:color="auto"/>
            </w:tcBorders>
            <w:vAlign w:val="center"/>
            <w:hideMark/>
          </w:tcPr>
          <w:p w14:paraId="744497DC" w14:textId="77777777" w:rsidR="005E509B" w:rsidRDefault="005E509B">
            <w:pPr>
              <w:jc w:val="right"/>
            </w:pPr>
            <w:r>
              <w:t>5.000,00 EUR</w:t>
            </w:r>
          </w:p>
        </w:tc>
      </w:tr>
      <w:tr w:rsidR="005E509B" w14:paraId="5CC8298A"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626355F5" w14:textId="77777777" w:rsidR="005E509B" w:rsidRDefault="005E509B">
            <w:pPr>
              <w:jc w:val="both"/>
            </w:pPr>
            <w:r>
              <w:t>- dritter Verstoß:</w:t>
            </w:r>
          </w:p>
        </w:tc>
        <w:tc>
          <w:tcPr>
            <w:tcW w:w="2546" w:type="dxa"/>
            <w:tcBorders>
              <w:top w:val="single" w:sz="4" w:space="0" w:color="auto"/>
              <w:left w:val="single" w:sz="4" w:space="0" w:color="auto"/>
              <w:bottom w:val="single" w:sz="4" w:space="0" w:color="auto"/>
              <w:right w:val="single" w:sz="4" w:space="0" w:color="auto"/>
            </w:tcBorders>
            <w:vAlign w:val="center"/>
            <w:hideMark/>
          </w:tcPr>
          <w:p w14:paraId="17E58FBE" w14:textId="77777777" w:rsidR="005E509B" w:rsidRDefault="005E509B">
            <w:pPr>
              <w:jc w:val="right"/>
            </w:pPr>
            <w:r>
              <w:t>10.000,00 EUR</w:t>
            </w:r>
          </w:p>
        </w:tc>
      </w:tr>
      <w:tr w:rsidR="005E509B" w14:paraId="2F23D446"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05EE71D9" w14:textId="77777777" w:rsidR="005E509B" w:rsidRDefault="005E509B">
            <w:pPr>
              <w:jc w:val="both"/>
            </w:pPr>
            <w:r>
              <w:t>- vierter Verstoß:</w:t>
            </w:r>
          </w:p>
        </w:tc>
        <w:tc>
          <w:tcPr>
            <w:tcW w:w="2546" w:type="dxa"/>
            <w:tcBorders>
              <w:top w:val="single" w:sz="4" w:space="0" w:color="auto"/>
              <w:left w:val="single" w:sz="4" w:space="0" w:color="auto"/>
              <w:bottom w:val="single" w:sz="4" w:space="0" w:color="auto"/>
              <w:right w:val="single" w:sz="4" w:space="0" w:color="auto"/>
            </w:tcBorders>
            <w:vAlign w:val="center"/>
            <w:hideMark/>
          </w:tcPr>
          <w:p w14:paraId="279235B9" w14:textId="77777777" w:rsidR="005E509B" w:rsidRDefault="005E509B">
            <w:pPr>
              <w:jc w:val="right"/>
            </w:pPr>
            <w:r>
              <w:t>20.000,00 EUR</w:t>
            </w:r>
          </w:p>
        </w:tc>
      </w:tr>
      <w:tr w:rsidR="005E509B" w14:paraId="1F52B072"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0C9341A6" w14:textId="77777777" w:rsidR="005E509B" w:rsidRDefault="005E509B">
            <w:pPr>
              <w:jc w:val="both"/>
            </w:pPr>
            <w:r>
              <w:t>- folgende Verstöße:</w:t>
            </w:r>
          </w:p>
        </w:tc>
        <w:tc>
          <w:tcPr>
            <w:tcW w:w="2546" w:type="dxa"/>
            <w:tcBorders>
              <w:top w:val="single" w:sz="4" w:space="0" w:color="auto"/>
              <w:left w:val="single" w:sz="4" w:space="0" w:color="auto"/>
              <w:bottom w:val="single" w:sz="4" w:space="0" w:color="auto"/>
              <w:right w:val="single" w:sz="4" w:space="0" w:color="auto"/>
            </w:tcBorders>
            <w:vAlign w:val="center"/>
            <w:hideMark/>
          </w:tcPr>
          <w:p w14:paraId="084A23F9" w14:textId="77777777" w:rsidR="005E509B" w:rsidRDefault="005E509B">
            <w:pPr>
              <w:jc w:val="right"/>
            </w:pPr>
            <w:r>
              <w:t>25.000,00 EUR</w:t>
            </w:r>
          </w:p>
        </w:tc>
      </w:tr>
      <w:tr w:rsidR="005E509B" w:rsidRPr="005E509B" w14:paraId="0E16BDE2"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4247C69A" w14:textId="77777777" w:rsidR="005E509B" w:rsidRDefault="005E509B">
            <w:pPr>
              <w:jc w:val="both"/>
            </w:pPr>
            <w:r>
              <w:t>B. Nichtvorlage oder verspätete Vorlage der Informationen:</w:t>
            </w:r>
          </w:p>
        </w:tc>
        <w:tc>
          <w:tcPr>
            <w:tcW w:w="2546" w:type="dxa"/>
            <w:tcBorders>
              <w:top w:val="single" w:sz="4" w:space="0" w:color="auto"/>
              <w:left w:val="single" w:sz="4" w:space="0" w:color="auto"/>
              <w:bottom w:val="single" w:sz="4" w:space="0" w:color="auto"/>
              <w:right w:val="single" w:sz="4" w:space="0" w:color="auto"/>
            </w:tcBorders>
            <w:vAlign w:val="center"/>
          </w:tcPr>
          <w:p w14:paraId="569ADCD5" w14:textId="77777777" w:rsidR="005E509B" w:rsidRDefault="005E509B">
            <w:pPr>
              <w:jc w:val="right"/>
            </w:pPr>
          </w:p>
        </w:tc>
      </w:tr>
      <w:tr w:rsidR="005E509B" w:rsidRPr="005E509B" w14:paraId="359B63F6"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197F4D2A" w14:textId="77777777" w:rsidR="005E509B" w:rsidRDefault="005E509B">
            <w:pPr>
              <w:jc w:val="both"/>
            </w:pPr>
            <w:r>
              <w:t>1. Verstoß, der nicht in betrügerischer Absicht oder mit der Absicht zu schaden begangen wurde:</w:t>
            </w:r>
          </w:p>
        </w:tc>
        <w:tc>
          <w:tcPr>
            <w:tcW w:w="2546" w:type="dxa"/>
            <w:tcBorders>
              <w:top w:val="single" w:sz="4" w:space="0" w:color="auto"/>
              <w:left w:val="single" w:sz="4" w:space="0" w:color="auto"/>
              <w:bottom w:val="single" w:sz="4" w:space="0" w:color="auto"/>
              <w:right w:val="single" w:sz="4" w:space="0" w:color="auto"/>
            </w:tcBorders>
            <w:vAlign w:val="center"/>
          </w:tcPr>
          <w:p w14:paraId="43BFF15D" w14:textId="77777777" w:rsidR="005E509B" w:rsidRDefault="005E509B">
            <w:pPr>
              <w:jc w:val="right"/>
            </w:pPr>
          </w:p>
        </w:tc>
      </w:tr>
      <w:tr w:rsidR="005E509B" w14:paraId="6ED2B0D1"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2556B2C7" w14:textId="77777777" w:rsidR="005E509B" w:rsidRDefault="005E509B">
            <w:pPr>
              <w:jc w:val="both"/>
              <w:rPr>
                <w:lang w:val="fr-FR"/>
              </w:rPr>
            </w:pPr>
            <w:r>
              <w:t>- erster Verstoß:</w:t>
            </w:r>
          </w:p>
        </w:tc>
        <w:tc>
          <w:tcPr>
            <w:tcW w:w="2546" w:type="dxa"/>
            <w:tcBorders>
              <w:top w:val="single" w:sz="4" w:space="0" w:color="auto"/>
              <w:left w:val="single" w:sz="4" w:space="0" w:color="auto"/>
              <w:bottom w:val="single" w:sz="4" w:space="0" w:color="auto"/>
              <w:right w:val="single" w:sz="4" w:space="0" w:color="auto"/>
            </w:tcBorders>
            <w:vAlign w:val="center"/>
            <w:hideMark/>
          </w:tcPr>
          <w:p w14:paraId="0A15510A" w14:textId="77777777" w:rsidR="005E509B" w:rsidRDefault="005E509B">
            <w:pPr>
              <w:jc w:val="right"/>
            </w:pPr>
            <w:r>
              <w:t>5.000,00 EUR</w:t>
            </w:r>
          </w:p>
        </w:tc>
      </w:tr>
      <w:tr w:rsidR="005E509B" w14:paraId="33F0F93C"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23D62702" w14:textId="77777777" w:rsidR="005E509B" w:rsidRDefault="005E509B">
            <w:pPr>
              <w:jc w:val="both"/>
            </w:pPr>
            <w:r>
              <w:t>- zweiter Verstoß:</w:t>
            </w:r>
          </w:p>
        </w:tc>
        <w:tc>
          <w:tcPr>
            <w:tcW w:w="2546" w:type="dxa"/>
            <w:tcBorders>
              <w:top w:val="single" w:sz="4" w:space="0" w:color="auto"/>
              <w:left w:val="single" w:sz="4" w:space="0" w:color="auto"/>
              <w:bottom w:val="single" w:sz="4" w:space="0" w:color="auto"/>
              <w:right w:val="single" w:sz="4" w:space="0" w:color="auto"/>
            </w:tcBorders>
            <w:vAlign w:val="center"/>
            <w:hideMark/>
          </w:tcPr>
          <w:p w14:paraId="69A32C8C" w14:textId="77777777" w:rsidR="005E509B" w:rsidRDefault="005E509B">
            <w:pPr>
              <w:jc w:val="right"/>
            </w:pPr>
            <w:r>
              <w:t>12.500,00 EUR</w:t>
            </w:r>
          </w:p>
        </w:tc>
      </w:tr>
      <w:tr w:rsidR="005E509B" w14:paraId="5CBBA4CB"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3E964EBC" w14:textId="77777777" w:rsidR="005E509B" w:rsidRDefault="005E509B">
            <w:pPr>
              <w:jc w:val="both"/>
            </w:pPr>
            <w:r>
              <w:t>- dritter Verstoß:</w:t>
            </w:r>
          </w:p>
        </w:tc>
        <w:tc>
          <w:tcPr>
            <w:tcW w:w="2546" w:type="dxa"/>
            <w:tcBorders>
              <w:top w:val="single" w:sz="4" w:space="0" w:color="auto"/>
              <w:left w:val="single" w:sz="4" w:space="0" w:color="auto"/>
              <w:bottom w:val="single" w:sz="4" w:space="0" w:color="auto"/>
              <w:right w:val="single" w:sz="4" w:space="0" w:color="auto"/>
            </w:tcBorders>
            <w:vAlign w:val="center"/>
            <w:hideMark/>
          </w:tcPr>
          <w:p w14:paraId="27575744" w14:textId="77777777" w:rsidR="005E509B" w:rsidRDefault="005E509B">
            <w:pPr>
              <w:jc w:val="right"/>
            </w:pPr>
            <w:r>
              <w:t>31.250,00 EUR</w:t>
            </w:r>
          </w:p>
        </w:tc>
      </w:tr>
      <w:tr w:rsidR="005E509B" w14:paraId="13C1ED4A"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25ADD877" w14:textId="77777777" w:rsidR="005E509B" w:rsidRDefault="005E509B">
            <w:pPr>
              <w:jc w:val="both"/>
            </w:pPr>
            <w:r>
              <w:t>- folgende Verstöße:</w:t>
            </w:r>
          </w:p>
        </w:tc>
        <w:tc>
          <w:tcPr>
            <w:tcW w:w="2546" w:type="dxa"/>
            <w:tcBorders>
              <w:top w:val="single" w:sz="4" w:space="0" w:color="auto"/>
              <w:left w:val="single" w:sz="4" w:space="0" w:color="auto"/>
              <w:bottom w:val="single" w:sz="4" w:space="0" w:color="auto"/>
              <w:right w:val="single" w:sz="4" w:space="0" w:color="auto"/>
            </w:tcBorders>
            <w:vAlign w:val="center"/>
            <w:hideMark/>
          </w:tcPr>
          <w:p w14:paraId="1956031B" w14:textId="77777777" w:rsidR="005E509B" w:rsidRDefault="005E509B">
            <w:pPr>
              <w:jc w:val="right"/>
            </w:pPr>
            <w:r>
              <w:t>50.000,00 EUR</w:t>
            </w:r>
          </w:p>
        </w:tc>
      </w:tr>
      <w:tr w:rsidR="005E509B" w:rsidRPr="005E509B" w14:paraId="270EA147"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11B8F87E" w14:textId="77777777" w:rsidR="005E509B" w:rsidRDefault="005E509B">
            <w:pPr>
              <w:jc w:val="both"/>
            </w:pPr>
            <w:r>
              <w:t>2. Verstoß, der in betrügerischer Absicht oder mit der Absicht zu schaden begangen wurde:</w:t>
            </w:r>
          </w:p>
        </w:tc>
        <w:tc>
          <w:tcPr>
            <w:tcW w:w="2546" w:type="dxa"/>
            <w:tcBorders>
              <w:top w:val="single" w:sz="4" w:space="0" w:color="auto"/>
              <w:left w:val="single" w:sz="4" w:space="0" w:color="auto"/>
              <w:bottom w:val="single" w:sz="4" w:space="0" w:color="auto"/>
              <w:right w:val="single" w:sz="4" w:space="0" w:color="auto"/>
            </w:tcBorders>
            <w:vAlign w:val="center"/>
          </w:tcPr>
          <w:p w14:paraId="0021ADA1" w14:textId="77777777" w:rsidR="005E509B" w:rsidRDefault="005E509B">
            <w:pPr>
              <w:jc w:val="right"/>
            </w:pPr>
          </w:p>
        </w:tc>
      </w:tr>
      <w:tr w:rsidR="005E509B" w14:paraId="33D39C0A"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774DE593" w14:textId="77777777" w:rsidR="005E509B" w:rsidRDefault="005E509B">
            <w:pPr>
              <w:jc w:val="both"/>
              <w:rPr>
                <w:lang w:val="fr-FR"/>
              </w:rPr>
            </w:pPr>
            <w:r>
              <w:t>- erster Verstoß:</w:t>
            </w:r>
          </w:p>
        </w:tc>
        <w:tc>
          <w:tcPr>
            <w:tcW w:w="2546" w:type="dxa"/>
            <w:tcBorders>
              <w:top w:val="single" w:sz="4" w:space="0" w:color="auto"/>
              <w:left w:val="single" w:sz="4" w:space="0" w:color="auto"/>
              <w:bottom w:val="single" w:sz="4" w:space="0" w:color="auto"/>
              <w:right w:val="single" w:sz="4" w:space="0" w:color="auto"/>
            </w:tcBorders>
            <w:vAlign w:val="center"/>
            <w:hideMark/>
          </w:tcPr>
          <w:p w14:paraId="026D3D41" w14:textId="77777777" w:rsidR="005E509B" w:rsidRDefault="005E509B">
            <w:pPr>
              <w:jc w:val="right"/>
            </w:pPr>
            <w:r>
              <w:t>12.500,00 EUR</w:t>
            </w:r>
          </w:p>
        </w:tc>
      </w:tr>
      <w:tr w:rsidR="005E509B" w14:paraId="17D8D39F"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5815F2AB" w14:textId="77777777" w:rsidR="005E509B" w:rsidRDefault="005E509B">
            <w:pPr>
              <w:jc w:val="both"/>
            </w:pPr>
            <w:r>
              <w:t>- zweiter Verstoß:</w:t>
            </w:r>
          </w:p>
        </w:tc>
        <w:tc>
          <w:tcPr>
            <w:tcW w:w="2546" w:type="dxa"/>
            <w:tcBorders>
              <w:top w:val="single" w:sz="4" w:space="0" w:color="auto"/>
              <w:left w:val="single" w:sz="4" w:space="0" w:color="auto"/>
              <w:bottom w:val="single" w:sz="4" w:space="0" w:color="auto"/>
              <w:right w:val="single" w:sz="4" w:space="0" w:color="auto"/>
            </w:tcBorders>
            <w:vAlign w:val="center"/>
            <w:hideMark/>
          </w:tcPr>
          <w:p w14:paraId="5D0B5C17" w14:textId="77777777" w:rsidR="005E509B" w:rsidRDefault="005E509B">
            <w:pPr>
              <w:jc w:val="right"/>
            </w:pPr>
            <w:r>
              <w:t>37.500,00 EUR</w:t>
            </w:r>
          </w:p>
        </w:tc>
      </w:tr>
      <w:tr w:rsidR="005E509B" w14:paraId="7DA08EDC" w14:textId="77777777" w:rsidTr="005E509B">
        <w:trPr>
          <w:trHeight w:val="397"/>
        </w:trPr>
        <w:tc>
          <w:tcPr>
            <w:tcW w:w="6516" w:type="dxa"/>
            <w:tcBorders>
              <w:top w:val="single" w:sz="4" w:space="0" w:color="auto"/>
              <w:left w:val="single" w:sz="4" w:space="0" w:color="auto"/>
              <w:bottom w:val="single" w:sz="4" w:space="0" w:color="auto"/>
              <w:right w:val="single" w:sz="4" w:space="0" w:color="auto"/>
            </w:tcBorders>
            <w:vAlign w:val="center"/>
            <w:hideMark/>
          </w:tcPr>
          <w:p w14:paraId="743B3880" w14:textId="77777777" w:rsidR="005E509B" w:rsidRDefault="005E509B">
            <w:pPr>
              <w:jc w:val="both"/>
            </w:pPr>
            <w:r>
              <w:t>- folgende Verstöße:</w:t>
            </w:r>
          </w:p>
        </w:tc>
        <w:tc>
          <w:tcPr>
            <w:tcW w:w="2546" w:type="dxa"/>
            <w:tcBorders>
              <w:top w:val="single" w:sz="4" w:space="0" w:color="auto"/>
              <w:left w:val="single" w:sz="4" w:space="0" w:color="auto"/>
              <w:bottom w:val="single" w:sz="4" w:space="0" w:color="auto"/>
              <w:right w:val="single" w:sz="4" w:space="0" w:color="auto"/>
            </w:tcBorders>
            <w:vAlign w:val="center"/>
            <w:hideMark/>
          </w:tcPr>
          <w:p w14:paraId="1EF37A1E" w14:textId="03F7F8EF" w:rsidR="005E509B" w:rsidRDefault="005E509B">
            <w:pPr>
              <w:jc w:val="right"/>
            </w:pPr>
            <w:r>
              <w:t>100.000,00 EUR]</w:t>
            </w:r>
          </w:p>
        </w:tc>
      </w:tr>
    </w:tbl>
    <w:p w14:paraId="75F04A2C" w14:textId="77777777" w:rsidR="005E509B" w:rsidRDefault="005E509B" w:rsidP="00D86FA8">
      <w:pPr>
        <w:jc w:val="both"/>
        <w:rPr>
          <w:rFonts w:eastAsia="Calibri"/>
          <w:szCs w:val="22"/>
          <w:lang w:eastAsia="de-DE" w:bidi="de-DE"/>
        </w:rPr>
      </w:pPr>
    </w:p>
    <w:p w14:paraId="7CB58295" w14:textId="77777777" w:rsidR="00940754" w:rsidRDefault="005E509B" w:rsidP="00D86FA8">
      <w:pPr>
        <w:jc w:val="both"/>
        <w:rPr>
          <w:rFonts w:eastAsia="Calibri"/>
          <w:i/>
          <w:szCs w:val="22"/>
          <w:lang w:eastAsia="de-DE" w:bidi="de-DE"/>
        </w:rPr>
      </w:pPr>
      <w:r>
        <w:rPr>
          <w:rFonts w:eastAsia="Calibri"/>
          <w:i/>
          <w:szCs w:val="22"/>
          <w:lang w:eastAsia="de-DE" w:bidi="de-DE"/>
        </w:rPr>
        <w:t>[Art. 229/6 eingefügt durch Art. 1 des K.E. vom 20. Mai 2020 (B.S. vom 4. Juni 2020)]</w:t>
      </w:r>
    </w:p>
    <w:p w14:paraId="1EF563DA" w14:textId="77777777" w:rsidR="00940754" w:rsidRDefault="00940754" w:rsidP="00D86FA8">
      <w:pPr>
        <w:jc w:val="both"/>
        <w:rPr>
          <w:rFonts w:eastAsia="Calibri"/>
          <w:iCs/>
          <w:szCs w:val="22"/>
          <w:lang w:eastAsia="de-DE" w:bidi="de-DE"/>
        </w:rPr>
      </w:pPr>
    </w:p>
    <w:p w14:paraId="0F5CB65F" w14:textId="77777777" w:rsidR="00940754" w:rsidRDefault="00940754" w:rsidP="00D86FA8">
      <w:pPr>
        <w:jc w:val="both"/>
        <w:rPr>
          <w:rFonts w:eastAsia="Calibri"/>
          <w:iCs/>
          <w:szCs w:val="22"/>
          <w:lang w:eastAsia="de-DE" w:bidi="de-DE"/>
        </w:rPr>
      </w:pPr>
    </w:p>
    <w:p w14:paraId="4D36038E" w14:textId="77777777" w:rsidR="00940754" w:rsidRDefault="00940754" w:rsidP="00940754">
      <w:pPr>
        <w:contextualSpacing/>
        <w:jc w:val="both"/>
        <w:rPr>
          <w:rFonts w:eastAsia="Calibri"/>
          <w:iCs/>
          <w:szCs w:val="22"/>
          <w:lang w:eastAsia="de-DE" w:bidi="de-DE"/>
        </w:rPr>
      </w:pPr>
      <w:r>
        <w:rPr>
          <w:rFonts w:eastAsia="Calibri"/>
          <w:iCs/>
          <w:szCs w:val="22"/>
          <w:lang w:eastAsia="de-DE" w:bidi="de-DE"/>
        </w:rPr>
        <w:tab/>
      </w:r>
    </w:p>
    <w:p w14:paraId="43D7A178" w14:textId="77777777" w:rsidR="00940754" w:rsidRDefault="00940754">
      <w:pPr>
        <w:rPr>
          <w:rFonts w:eastAsia="Calibri"/>
          <w:iCs/>
          <w:szCs w:val="22"/>
          <w:lang w:eastAsia="de-DE" w:bidi="de-DE"/>
        </w:rPr>
      </w:pPr>
      <w:r>
        <w:rPr>
          <w:rFonts w:eastAsia="Calibri"/>
          <w:iCs/>
          <w:szCs w:val="22"/>
          <w:lang w:eastAsia="de-DE" w:bidi="de-DE"/>
        </w:rPr>
        <w:br w:type="page"/>
      </w:r>
    </w:p>
    <w:p w14:paraId="4B93A6FE" w14:textId="2C333727" w:rsidR="00940754" w:rsidRPr="00CE0D3F" w:rsidRDefault="00940754" w:rsidP="00940754">
      <w:pPr>
        <w:ind w:firstLine="708"/>
        <w:contextualSpacing/>
        <w:jc w:val="both"/>
      </w:pPr>
      <w:r>
        <w:rPr>
          <w:rFonts w:eastAsia="Calibri"/>
          <w:iCs/>
          <w:szCs w:val="22"/>
          <w:lang w:eastAsia="de-DE" w:bidi="de-DE"/>
        </w:rPr>
        <w:lastRenderedPageBreak/>
        <w:t>[</w:t>
      </w:r>
      <w:r w:rsidRPr="00940754">
        <w:rPr>
          <w:b/>
          <w:bCs/>
        </w:rPr>
        <w:t>Art. 229/7</w:t>
      </w:r>
      <w:r w:rsidRPr="00CE0D3F">
        <w:t> - Die Skala der administrativen Geldbußen für die in Artikel 445 § 5 des Einkommensteuergesetzbuches 1992 erwähnten Verstöße wird wie folgt festgelegt:</w:t>
      </w:r>
    </w:p>
    <w:p w14:paraId="7A7A338A" w14:textId="77777777" w:rsidR="00940754" w:rsidRPr="00CE0D3F" w:rsidRDefault="00940754" w:rsidP="00940754">
      <w:pPr>
        <w:contextualSpacing/>
        <w:jc w:val="both"/>
      </w:pPr>
    </w:p>
    <w:p w14:paraId="3D182A19" w14:textId="77777777" w:rsidR="00940754" w:rsidRPr="00CE0D3F" w:rsidRDefault="00940754" w:rsidP="00940754">
      <w:pPr>
        <w:contextualSpacing/>
        <w:jc w:val="both"/>
      </w:pPr>
      <w:r w:rsidRPr="00CE0D3F">
        <w:tab/>
        <w:t>Tabelle</w:t>
      </w:r>
    </w:p>
    <w:p w14:paraId="6313C963" w14:textId="77777777" w:rsidR="00940754" w:rsidRPr="00CE0D3F" w:rsidRDefault="00940754" w:rsidP="00940754">
      <w:pPr>
        <w:contextualSpacing/>
        <w:jc w:val="both"/>
      </w:pPr>
    </w:p>
    <w:tbl>
      <w:tblPr>
        <w:tblStyle w:val="Grilledutableau"/>
        <w:tblW w:w="10490" w:type="dxa"/>
        <w:tblInd w:w="-714" w:type="dxa"/>
        <w:tblLook w:val="04A0" w:firstRow="1" w:lastRow="0" w:firstColumn="1" w:lastColumn="0" w:noHBand="0" w:noVBand="1"/>
      </w:tblPr>
      <w:tblGrid>
        <w:gridCol w:w="5812"/>
        <w:gridCol w:w="2694"/>
        <w:gridCol w:w="1984"/>
      </w:tblGrid>
      <w:tr w:rsidR="00940754" w:rsidRPr="00CE0D3F" w14:paraId="651A212C" w14:textId="77777777" w:rsidTr="00664597">
        <w:tc>
          <w:tcPr>
            <w:tcW w:w="5812" w:type="dxa"/>
            <w:vAlign w:val="center"/>
            <w:hideMark/>
          </w:tcPr>
          <w:p w14:paraId="0921BFAC" w14:textId="77777777" w:rsidR="00940754" w:rsidRPr="00CE0D3F" w:rsidRDefault="00940754" w:rsidP="00664597">
            <w:pPr>
              <w:spacing w:before="40"/>
              <w:contextualSpacing/>
              <w:jc w:val="center"/>
            </w:pPr>
            <w:r w:rsidRPr="00CE0D3F">
              <w:t>Art der Verstöße</w:t>
            </w:r>
          </w:p>
        </w:tc>
        <w:tc>
          <w:tcPr>
            <w:tcW w:w="2694" w:type="dxa"/>
            <w:vAlign w:val="center"/>
            <w:hideMark/>
          </w:tcPr>
          <w:p w14:paraId="6EC2E1C1" w14:textId="77777777" w:rsidR="00940754" w:rsidRPr="00CE0D3F" w:rsidRDefault="00940754" w:rsidP="00664597">
            <w:pPr>
              <w:spacing w:before="120"/>
              <w:contextualSpacing/>
              <w:jc w:val="both"/>
            </w:pPr>
            <w:r w:rsidRPr="00CE0D3F">
              <w:t>Betrag des neuen KE</w:t>
            </w:r>
          </w:p>
        </w:tc>
        <w:tc>
          <w:tcPr>
            <w:tcW w:w="1984" w:type="dxa"/>
            <w:vAlign w:val="center"/>
            <w:hideMark/>
          </w:tcPr>
          <w:p w14:paraId="455B92C3" w14:textId="77777777" w:rsidR="00940754" w:rsidRPr="00CE0D3F" w:rsidRDefault="00940754" w:rsidP="00664597">
            <w:pPr>
              <w:contextualSpacing/>
              <w:jc w:val="center"/>
            </w:pPr>
            <w:r w:rsidRPr="00CE0D3F">
              <w:t>Betrag der Geldbuße</w:t>
            </w:r>
          </w:p>
        </w:tc>
      </w:tr>
      <w:tr w:rsidR="00940754" w:rsidRPr="00CE0D3F" w14:paraId="29F03EA8" w14:textId="77777777" w:rsidTr="00664597">
        <w:trPr>
          <w:trHeight w:val="836"/>
        </w:trPr>
        <w:tc>
          <w:tcPr>
            <w:tcW w:w="5812" w:type="dxa"/>
            <w:hideMark/>
          </w:tcPr>
          <w:p w14:paraId="36778920" w14:textId="77777777" w:rsidR="00940754" w:rsidRPr="00CE0D3F" w:rsidRDefault="00940754" w:rsidP="00664597">
            <w:pPr>
              <w:spacing w:before="80"/>
              <w:contextualSpacing/>
              <w:jc w:val="both"/>
            </w:pPr>
            <w:r w:rsidRPr="00CE0D3F">
              <w:t>A. Verstoß gegen Artikel 473 des Einkommensteuergesetz</w:t>
            </w:r>
            <w:r w:rsidRPr="00CE0D3F">
              <w:softHyphen/>
              <w:t xml:space="preserve">buches 1992 aus Gründen, die unabhängig vom Willen des Steuerpflichtigen sind: </w:t>
            </w:r>
          </w:p>
        </w:tc>
        <w:tc>
          <w:tcPr>
            <w:tcW w:w="2694" w:type="dxa"/>
            <w:hideMark/>
          </w:tcPr>
          <w:p w14:paraId="22D458EF" w14:textId="77777777" w:rsidR="00940754" w:rsidRPr="00CE0D3F" w:rsidRDefault="00940754" w:rsidP="00664597">
            <w:pPr>
              <w:contextualSpacing/>
              <w:jc w:val="center"/>
            </w:pPr>
          </w:p>
          <w:p w14:paraId="4764872A" w14:textId="77777777" w:rsidR="00940754" w:rsidRPr="00CE0D3F" w:rsidRDefault="00940754" w:rsidP="00664597">
            <w:pPr>
              <w:contextualSpacing/>
              <w:jc w:val="center"/>
            </w:pPr>
            <w:r w:rsidRPr="00CE0D3F">
              <w:t>/</w:t>
            </w:r>
          </w:p>
        </w:tc>
        <w:tc>
          <w:tcPr>
            <w:tcW w:w="1984" w:type="dxa"/>
            <w:hideMark/>
          </w:tcPr>
          <w:p w14:paraId="76A234E4" w14:textId="77777777" w:rsidR="00940754" w:rsidRPr="00CE0D3F" w:rsidRDefault="00940754" w:rsidP="00664597">
            <w:pPr>
              <w:contextualSpacing/>
              <w:jc w:val="center"/>
            </w:pPr>
          </w:p>
          <w:p w14:paraId="47D3F87A" w14:textId="77777777" w:rsidR="00940754" w:rsidRPr="00CE0D3F" w:rsidRDefault="00940754" w:rsidP="00664597">
            <w:pPr>
              <w:contextualSpacing/>
              <w:jc w:val="center"/>
            </w:pPr>
            <w:r w:rsidRPr="00CE0D3F">
              <w:t>Entfällt</w:t>
            </w:r>
          </w:p>
        </w:tc>
      </w:tr>
      <w:tr w:rsidR="00940754" w:rsidRPr="00CE0D3F" w14:paraId="442CCED0" w14:textId="77777777" w:rsidTr="00664597">
        <w:tc>
          <w:tcPr>
            <w:tcW w:w="5812" w:type="dxa"/>
            <w:tcBorders>
              <w:bottom w:val="single" w:sz="4" w:space="0" w:color="auto"/>
            </w:tcBorders>
          </w:tcPr>
          <w:p w14:paraId="00A080D0" w14:textId="77777777" w:rsidR="00940754" w:rsidRPr="00CE0D3F" w:rsidRDefault="00940754" w:rsidP="00664597">
            <w:pPr>
              <w:spacing w:before="80"/>
              <w:contextualSpacing/>
              <w:jc w:val="both"/>
            </w:pPr>
          </w:p>
        </w:tc>
        <w:tc>
          <w:tcPr>
            <w:tcW w:w="2694" w:type="dxa"/>
          </w:tcPr>
          <w:p w14:paraId="287A4D82" w14:textId="77777777" w:rsidR="00940754" w:rsidRPr="00CE0D3F" w:rsidRDefault="00940754" w:rsidP="00664597">
            <w:pPr>
              <w:contextualSpacing/>
              <w:jc w:val="both"/>
            </w:pPr>
          </w:p>
        </w:tc>
        <w:tc>
          <w:tcPr>
            <w:tcW w:w="1984" w:type="dxa"/>
          </w:tcPr>
          <w:p w14:paraId="76FC3291" w14:textId="77777777" w:rsidR="00940754" w:rsidRPr="00CE0D3F" w:rsidRDefault="00940754" w:rsidP="00664597">
            <w:pPr>
              <w:contextualSpacing/>
              <w:jc w:val="center"/>
            </w:pPr>
          </w:p>
        </w:tc>
      </w:tr>
      <w:tr w:rsidR="00940754" w:rsidRPr="00CE0D3F" w14:paraId="584B8917" w14:textId="77777777" w:rsidTr="0061649C">
        <w:trPr>
          <w:trHeight w:val="2109"/>
        </w:trPr>
        <w:tc>
          <w:tcPr>
            <w:tcW w:w="5812" w:type="dxa"/>
            <w:hideMark/>
          </w:tcPr>
          <w:p w14:paraId="76865D22" w14:textId="77777777" w:rsidR="00940754" w:rsidRPr="00CE0D3F" w:rsidRDefault="00940754" w:rsidP="00664597">
            <w:pPr>
              <w:contextualSpacing/>
              <w:jc w:val="both"/>
            </w:pPr>
            <w:r w:rsidRPr="00CE0D3F">
              <w:t>B. Verspätete Einreichung oder Nichtabgabe der Erklärung der Ereignisse, die in Artikel 473 § 1 Absatz 1 erster bis dritter Gedankenstrich des Einkommensteuergesetz</w:t>
            </w:r>
            <w:r>
              <w:softHyphen/>
            </w:r>
            <w:r w:rsidRPr="00CE0D3F">
              <w:t>buches 1992 er</w:t>
            </w:r>
            <w:r w:rsidRPr="00CE0D3F">
              <w:softHyphen/>
              <w:t>wähnt sind:</w:t>
            </w:r>
          </w:p>
          <w:p w14:paraId="1BAFCB01" w14:textId="77777777" w:rsidR="00940754" w:rsidRPr="00CE0D3F" w:rsidRDefault="00940754" w:rsidP="00664597">
            <w:pPr>
              <w:contextualSpacing/>
              <w:jc w:val="both"/>
            </w:pPr>
            <w:r w:rsidRPr="00CE0D3F">
              <w:t> </w:t>
            </w:r>
          </w:p>
          <w:p w14:paraId="0606D39D" w14:textId="420B9D56" w:rsidR="00940754" w:rsidRPr="00CE0D3F" w:rsidRDefault="00940754" w:rsidP="00664597">
            <w:pPr>
              <w:contextualSpacing/>
              <w:jc w:val="both"/>
            </w:pPr>
            <w:r w:rsidRPr="00CE0D3F">
              <w:t> </w:t>
            </w:r>
          </w:p>
        </w:tc>
        <w:tc>
          <w:tcPr>
            <w:tcW w:w="2694" w:type="dxa"/>
            <w:vAlign w:val="center"/>
            <w:hideMark/>
          </w:tcPr>
          <w:p w14:paraId="7482904F" w14:textId="77777777" w:rsidR="00940754" w:rsidRDefault="00940754" w:rsidP="00664597">
            <w:pPr>
              <w:contextualSpacing/>
              <w:jc w:val="both"/>
            </w:pPr>
            <w:r w:rsidRPr="00CE0D3F">
              <w:t>- KE &lt; 745 EUR</w:t>
            </w:r>
          </w:p>
          <w:p w14:paraId="631712A0" w14:textId="77777777" w:rsidR="00940754" w:rsidRPr="00CE0D3F" w:rsidRDefault="00940754" w:rsidP="00664597">
            <w:pPr>
              <w:contextualSpacing/>
              <w:jc w:val="both"/>
            </w:pPr>
          </w:p>
          <w:p w14:paraId="4FE71897" w14:textId="77777777" w:rsidR="00940754" w:rsidRDefault="00940754" w:rsidP="00664597">
            <w:pPr>
              <w:contextualSpacing/>
            </w:pPr>
            <w:r w:rsidRPr="00CE0D3F">
              <w:t>- KE ab 745 EUR und unter 2.500 EUR</w:t>
            </w:r>
          </w:p>
          <w:p w14:paraId="3368319A" w14:textId="77777777" w:rsidR="00940754" w:rsidRPr="00CE0D3F" w:rsidRDefault="00940754" w:rsidP="00664597">
            <w:pPr>
              <w:contextualSpacing/>
            </w:pPr>
          </w:p>
          <w:p w14:paraId="096FD71F" w14:textId="6FA7364A" w:rsidR="00940754" w:rsidRPr="00CE0D3F" w:rsidRDefault="00940754" w:rsidP="00664597">
            <w:pPr>
              <w:contextualSpacing/>
            </w:pPr>
            <w:r w:rsidRPr="00CE0D3F">
              <w:t>- KE &gt; oder = 2.500 EUR</w:t>
            </w:r>
          </w:p>
        </w:tc>
        <w:tc>
          <w:tcPr>
            <w:tcW w:w="1984" w:type="dxa"/>
            <w:vAlign w:val="center"/>
            <w:hideMark/>
          </w:tcPr>
          <w:p w14:paraId="4C5D8126" w14:textId="77777777" w:rsidR="00940754" w:rsidRDefault="00940754" w:rsidP="00940754">
            <w:pPr>
              <w:contextualSpacing/>
              <w:jc w:val="center"/>
            </w:pPr>
            <w:r w:rsidRPr="00CE0D3F">
              <w:t>1.000 EUR</w:t>
            </w:r>
          </w:p>
          <w:p w14:paraId="02E6FBF8" w14:textId="77777777" w:rsidR="00940754" w:rsidRPr="00CE0D3F" w:rsidRDefault="00940754" w:rsidP="00940754">
            <w:pPr>
              <w:contextualSpacing/>
              <w:jc w:val="center"/>
            </w:pPr>
          </w:p>
          <w:p w14:paraId="3A305F34" w14:textId="77777777" w:rsidR="00940754" w:rsidRDefault="00940754" w:rsidP="00664597">
            <w:pPr>
              <w:contextualSpacing/>
              <w:jc w:val="center"/>
            </w:pPr>
            <w:r w:rsidRPr="00CE0D3F">
              <w:t>2.000 EUR</w:t>
            </w:r>
          </w:p>
          <w:p w14:paraId="7770066F" w14:textId="77777777" w:rsidR="00940754" w:rsidRDefault="00940754" w:rsidP="00664597">
            <w:pPr>
              <w:contextualSpacing/>
              <w:jc w:val="center"/>
            </w:pPr>
          </w:p>
          <w:p w14:paraId="4EAFEFAC" w14:textId="77777777" w:rsidR="00940754" w:rsidRPr="00CE0D3F" w:rsidRDefault="00940754" w:rsidP="00664597">
            <w:pPr>
              <w:contextualSpacing/>
              <w:jc w:val="center"/>
            </w:pPr>
          </w:p>
          <w:p w14:paraId="653C6069" w14:textId="6CC123E8" w:rsidR="00940754" w:rsidRPr="00CE0D3F" w:rsidRDefault="00940754" w:rsidP="00664597">
            <w:pPr>
              <w:contextualSpacing/>
              <w:jc w:val="center"/>
            </w:pPr>
            <w:r w:rsidRPr="00CE0D3F">
              <w:t>3.000 EUR</w:t>
            </w:r>
          </w:p>
        </w:tc>
      </w:tr>
      <w:tr w:rsidR="00940754" w:rsidRPr="00CE0D3F" w14:paraId="325D418E" w14:textId="77777777" w:rsidTr="00664597">
        <w:tc>
          <w:tcPr>
            <w:tcW w:w="5812" w:type="dxa"/>
            <w:tcBorders>
              <w:top w:val="single" w:sz="4" w:space="0" w:color="auto"/>
            </w:tcBorders>
          </w:tcPr>
          <w:p w14:paraId="7BC93DF3" w14:textId="77777777" w:rsidR="00940754" w:rsidRPr="00CE0D3F" w:rsidRDefault="00940754" w:rsidP="00664597">
            <w:pPr>
              <w:contextualSpacing/>
              <w:jc w:val="both"/>
            </w:pPr>
          </w:p>
        </w:tc>
        <w:tc>
          <w:tcPr>
            <w:tcW w:w="2694" w:type="dxa"/>
            <w:tcBorders>
              <w:top w:val="nil"/>
              <w:bottom w:val="single" w:sz="4" w:space="0" w:color="auto"/>
            </w:tcBorders>
          </w:tcPr>
          <w:p w14:paraId="725A9A38" w14:textId="77777777" w:rsidR="00940754" w:rsidRPr="00CE0D3F" w:rsidRDefault="00940754" w:rsidP="00664597">
            <w:pPr>
              <w:contextualSpacing/>
              <w:jc w:val="both"/>
            </w:pPr>
          </w:p>
        </w:tc>
        <w:tc>
          <w:tcPr>
            <w:tcW w:w="1984" w:type="dxa"/>
            <w:tcBorders>
              <w:top w:val="nil"/>
              <w:bottom w:val="single" w:sz="4" w:space="0" w:color="auto"/>
            </w:tcBorders>
          </w:tcPr>
          <w:p w14:paraId="18DB5BCB" w14:textId="77777777" w:rsidR="00940754" w:rsidRPr="00CE0D3F" w:rsidRDefault="00940754" w:rsidP="00664597">
            <w:pPr>
              <w:contextualSpacing/>
              <w:jc w:val="center"/>
            </w:pPr>
          </w:p>
        </w:tc>
      </w:tr>
      <w:tr w:rsidR="00940754" w:rsidRPr="00CE0D3F" w14:paraId="6EF70450" w14:textId="77777777" w:rsidTr="00E70DE4">
        <w:trPr>
          <w:trHeight w:val="1182"/>
        </w:trPr>
        <w:tc>
          <w:tcPr>
            <w:tcW w:w="5812" w:type="dxa"/>
            <w:vMerge w:val="restart"/>
            <w:hideMark/>
          </w:tcPr>
          <w:p w14:paraId="594516A8" w14:textId="77777777" w:rsidR="00940754" w:rsidRPr="00940754" w:rsidRDefault="00940754" w:rsidP="00664597">
            <w:pPr>
              <w:contextualSpacing/>
              <w:jc w:val="both"/>
              <w:rPr>
                <w:spacing w:val="-2"/>
              </w:rPr>
            </w:pPr>
            <w:r w:rsidRPr="00940754">
              <w:rPr>
                <w:spacing w:val="-2"/>
              </w:rPr>
              <w:t>C. Verspätete Einreichung oder Nichtabgabe der Erklärung der Ingebrauchnahme von neuem oder hinzugefügtem Material oder neuer oder hinzugefügter Ausrüstung und der Änderung oder definitiven Außergebrauchsetzung von Material oder Aus</w:t>
            </w:r>
            <w:r w:rsidRPr="00940754">
              <w:rPr>
                <w:spacing w:val="-2"/>
              </w:rPr>
              <w:softHyphen/>
              <w:t>rüstung (Art. 473 § 1 Absatz 1 vierter Gedankenstrich des Einkommensteuergesetz</w:t>
            </w:r>
            <w:r w:rsidRPr="00940754">
              <w:rPr>
                <w:spacing w:val="-2"/>
              </w:rPr>
              <w:softHyphen/>
              <w:t>buches 1992):</w:t>
            </w:r>
          </w:p>
          <w:p w14:paraId="4A831953" w14:textId="77777777" w:rsidR="00940754" w:rsidRPr="00CE0D3F" w:rsidRDefault="00940754" w:rsidP="00664597">
            <w:pPr>
              <w:contextualSpacing/>
              <w:jc w:val="both"/>
            </w:pPr>
            <w:r w:rsidRPr="00CE0D3F">
              <w:t> </w:t>
            </w:r>
          </w:p>
          <w:p w14:paraId="3EA8B103" w14:textId="226F6D61" w:rsidR="00940754" w:rsidRPr="00940754" w:rsidRDefault="00940754" w:rsidP="00664597">
            <w:pPr>
              <w:contextualSpacing/>
              <w:jc w:val="both"/>
              <w:rPr>
                <w:spacing w:val="-2"/>
              </w:rPr>
            </w:pPr>
            <w:r w:rsidRPr="00CE0D3F">
              <w:t> </w:t>
            </w:r>
          </w:p>
        </w:tc>
        <w:tc>
          <w:tcPr>
            <w:tcW w:w="2694" w:type="dxa"/>
            <w:tcBorders>
              <w:bottom w:val="nil"/>
            </w:tcBorders>
            <w:hideMark/>
          </w:tcPr>
          <w:p w14:paraId="689BA46B" w14:textId="77777777" w:rsidR="00940754" w:rsidRPr="00CE0D3F" w:rsidRDefault="00940754" w:rsidP="00664597">
            <w:pPr>
              <w:contextualSpacing/>
            </w:pPr>
          </w:p>
          <w:p w14:paraId="25B90770" w14:textId="77777777" w:rsidR="00940754" w:rsidRPr="00CE0D3F" w:rsidRDefault="00940754" w:rsidP="00664597">
            <w:pPr>
              <w:contextualSpacing/>
            </w:pPr>
          </w:p>
          <w:p w14:paraId="465F09A3" w14:textId="77777777" w:rsidR="00940754" w:rsidRPr="00CE0D3F" w:rsidRDefault="00940754" w:rsidP="00664597">
            <w:pPr>
              <w:contextualSpacing/>
            </w:pPr>
          </w:p>
          <w:p w14:paraId="470183A9" w14:textId="77777777" w:rsidR="00940754" w:rsidRPr="00CE0D3F" w:rsidRDefault="00940754" w:rsidP="00664597">
            <w:pPr>
              <w:contextualSpacing/>
            </w:pPr>
            <w:r w:rsidRPr="00CE0D3F">
              <w:t>- KE &lt; 159 EUR</w:t>
            </w:r>
          </w:p>
        </w:tc>
        <w:tc>
          <w:tcPr>
            <w:tcW w:w="1984" w:type="dxa"/>
            <w:tcBorders>
              <w:bottom w:val="nil"/>
            </w:tcBorders>
            <w:hideMark/>
          </w:tcPr>
          <w:p w14:paraId="2024D53F" w14:textId="77777777" w:rsidR="00940754" w:rsidRPr="00CE0D3F" w:rsidRDefault="00940754" w:rsidP="00664597">
            <w:pPr>
              <w:contextualSpacing/>
              <w:jc w:val="center"/>
            </w:pPr>
          </w:p>
          <w:p w14:paraId="14C6D12B" w14:textId="77777777" w:rsidR="00940754" w:rsidRPr="00CE0D3F" w:rsidRDefault="00940754" w:rsidP="00664597">
            <w:pPr>
              <w:contextualSpacing/>
              <w:jc w:val="center"/>
            </w:pPr>
          </w:p>
          <w:p w14:paraId="2A530ECD" w14:textId="77777777" w:rsidR="00940754" w:rsidRPr="00CE0D3F" w:rsidRDefault="00940754" w:rsidP="00664597">
            <w:pPr>
              <w:contextualSpacing/>
              <w:jc w:val="center"/>
            </w:pPr>
          </w:p>
          <w:p w14:paraId="4F6BA072" w14:textId="77777777" w:rsidR="00940754" w:rsidRPr="00CE0D3F" w:rsidRDefault="00940754" w:rsidP="00664597">
            <w:pPr>
              <w:contextualSpacing/>
              <w:jc w:val="center"/>
            </w:pPr>
            <w:r w:rsidRPr="00CE0D3F">
              <w:t>Entfällt</w:t>
            </w:r>
          </w:p>
        </w:tc>
      </w:tr>
      <w:tr w:rsidR="00940754" w:rsidRPr="00CE0D3F" w14:paraId="781015E3" w14:textId="77777777" w:rsidTr="00E70DE4">
        <w:trPr>
          <w:trHeight w:val="630"/>
        </w:trPr>
        <w:tc>
          <w:tcPr>
            <w:tcW w:w="5812" w:type="dxa"/>
            <w:vMerge/>
            <w:hideMark/>
          </w:tcPr>
          <w:p w14:paraId="156D552B" w14:textId="4799259F" w:rsidR="00940754" w:rsidRPr="00CE0D3F" w:rsidRDefault="00940754" w:rsidP="00664597">
            <w:pPr>
              <w:contextualSpacing/>
              <w:jc w:val="both"/>
            </w:pPr>
          </w:p>
        </w:tc>
        <w:tc>
          <w:tcPr>
            <w:tcW w:w="2694" w:type="dxa"/>
            <w:tcBorders>
              <w:top w:val="nil"/>
              <w:bottom w:val="nil"/>
            </w:tcBorders>
            <w:hideMark/>
          </w:tcPr>
          <w:p w14:paraId="1E691FE0" w14:textId="77777777" w:rsidR="00940754" w:rsidRPr="00CE0D3F" w:rsidRDefault="00940754" w:rsidP="00664597">
            <w:pPr>
              <w:contextualSpacing/>
            </w:pPr>
            <w:r w:rsidRPr="00CE0D3F">
              <w:t xml:space="preserve">- KE ab 159 EUR und unter 745 EUR </w:t>
            </w:r>
          </w:p>
        </w:tc>
        <w:tc>
          <w:tcPr>
            <w:tcW w:w="1984" w:type="dxa"/>
            <w:tcBorders>
              <w:top w:val="nil"/>
              <w:bottom w:val="nil"/>
            </w:tcBorders>
            <w:hideMark/>
          </w:tcPr>
          <w:p w14:paraId="41F89244" w14:textId="77777777" w:rsidR="00940754" w:rsidRPr="00CE0D3F" w:rsidRDefault="00940754" w:rsidP="00664597">
            <w:pPr>
              <w:contextualSpacing/>
              <w:jc w:val="center"/>
            </w:pPr>
            <w:r w:rsidRPr="00CE0D3F">
              <w:t>1.000 EUR</w:t>
            </w:r>
          </w:p>
        </w:tc>
      </w:tr>
      <w:tr w:rsidR="00940754" w:rsidRPr="00CE0D3F" w14:paraId="73E825D1" w14:textId="77777777" w:rsidTr="00E70DE4">
        <w:trPr>
          <w:trHeight w:val="580"/>
        </w:trPr>
        <w:tc>
          <w:tcPr>
            <w:tcW w:w="5812" w:type="dxa"/>
            <w:vMerge/>
            <w:tcBorders>
              <w:bottom w:val="nil"/>
            </w:tcBorders>
            <w:hideMark/>
          </w:tcPr>
          <w:p w14:paraId="1C24A7D8" w14:textId="460BF804" w:rsidR="00940754" w:rsidRPr="00CE0D3F" w:rsidRDefault="00940754" w:rsidP="00664597">
            <w:pPr>
              <w:contextualSpacing/>
              <w:jc w:val="both"/>
            </w:pPr>
          </w:p>
        </w:tc>
        <w:tc>
          <w:tcPr>
            <w:tcW w:w="2694" w:type="dxa"/>
            <w:tcBorders>
              <w:top w:val="nil"/>
              <w:bottom w:val="nil"/>
            </w:tcBorders>
            <w:hideMark/>
          </w:tcPr>
          <w:p w14:paraId="4547BF0B" w14:textId="77777777" w:rsidR="00940754" w:rsidRPr="00CE0D3F" w:rsidRDefault="00940754" w:rsidP="00664597">
            <w:pPr>
              <w:contextualSpacing/>
            </w:pPr>
            <w:r w:rsidRPr="00CE0D3F">
              <w:t xml:space="preserve">- KE ab 745 EUR und unter 2.500 EUR </w:t>
            </w:r>
          </w:p>
        </w:tc>
        <w:tc>
          <w:tcPr>
            <w:tcW w:w="1984" w:type="dxa"/>
            <w:tcBorders>
              <w:top w:val="nil"/>
              <w:bottom w:val="nil"/>
            </w:tcBorders>
            <w:hideMark/>
          </w:tcPr>
          <w:p w14:paraId="6C78DDF6" w14:textId="77777777" w:rsidR="00940754" w:rsidRPr="00CE0D3F" w:rsidRDefault="00940754" w:rsidP="00664597">
            <w:pPr>
              <w:contextualSpacing/>
              <w:jc w:val="center"/>
            </w:pPr>
            <w:r w:rsidRPr="00CE0D3F">
              <w:t>2.000 EUR</w:t>
            </w:r>
          </w:p>
        </w:tc>
      </w:tr>
      <w:tr w:rsidR="00940754" w:rsidRPr="00CE0D3F" w14:paraId="22EADA4C" w14:textId="77777777" w:rsidTr="00664597">
        <w:trPr>
          <w:trHeight w:val="379"/>
        </w:trPr>
        <w:tc>
          <w:tcPr>
            <w:tcW w:w="5812" w:type="dxa"/>
            <w:tcBorders>
              <w:top w:val="nil"/>
            </w:tcBorders>
            <w:hideMark/>
          </w:tcPr>
          <w:p w14:paraId="2BFFC215" w14:textId="77777777" w:rsidR="00940754" w:rsidRPr="00CE0D3F" w:rsidRDefault="00940754" w:rsidP="00664597">
            <w:pPr>
              <w:contextualSpacing/>
              <w:jc w:val="both"/>
            </w:pPr>
            <w:r w:rsidRPr="00CE0D3F">
              <w:t> </w:t>
            </w:r>
          </w:p>
        </w:tc>
        <w:tc>
          <w:tcPr>
            <w:tcW w:w="2694" w:type="dxa"/>
            <w:tcBorders>
              <w:top w:val="nil"/>
            </w:tcBorders>
            <w:hideMark/>
          </w:tcPr>
          <w:p w14:paraId="0DC55C8D" w14:textId="77777777" w:rsidR="00940754" w:rsidRPr="00CE0D3F" w:rsidRDefault="00940754" w:rsidP="00664597">
            <w:pPr>
              <w:contextualSpacing/>
            </w:pPr>
            <w:r w:rsidRPr="00CE0D3F">
              <w:t xml:space="preserve">- KE &gt; oder = 2.500 EUR </w:t>
            </w:r>
          </w:p>
        </w:tc>
        <w:tc>
          <w:tcPr>
            <w:tcW w:w="1984" w:type="dxa"/>
            <w:tcBorders>
              <w:top w:val="nil"/>
            </w:tcBorders>
            <w:hideMark/>
          </w:tcPr>
          <w:p w14:paraId="677C342F" w14:textId="77777777" w:rsidR="00940754" w:rsidRPr="00CE0D3F" w:rsidRDefault="00940754" w:rsidP="00664597">
            <w:pPr>
              <w:contextualSpacing/>
              <w:jc w:val="center"/>
            </w:pPr>
            <w:r w:rsidRPr="00CE0D3F">
              <w:t>3.000 EUR</w:t>
            </w:r>
          </w:p>
        </w:tc>
      </w:tr>
      <w:tr w:rsidR="00940754" w:rsidRPr="00CE0D3F" w14:paraId="1CDBA959" w14:textId="77777777" w:rsidTr="00664597">
        <w:tc>
          <w:tcPr>
            <w:tcW w:w="5812" w:type="dxa"/>
            <w:tcBorders>
              <w:top w:val="nil"/>
              <w:bottom w:val="single" w:sz="4" w:space="0" w:color="auto"/>
            </w:tcBorders>
          </w:tcPr>
          <w:p w14:paraId="26C56CAE" w14:textId="77777777" w:rsidR="00940754" w:rsidRPr="00CE0D3F" w:rsidRDefault="00940754" w:rsidP="00664597">
            <w:pPr>
              <w:contextualSpacing/>
              <w:jc w:val="both"/>
            </w:pPr>
          </w:p>
        </w:tc>
        <w:tc>
          <w:tcPr>
            <w:tcW w:w="2694" w:type="dxa"/>
            <w:tcBorders>
              <w:top w:val="nil"/>
              <w:bottom w:val="single" w:sz="4" w:space="0" w:color="auto"/>
            </w:tcBorders>
          </w:tcPr>
          <w:p w14:paraId="7EE7053B" w14:textId="77777777" w:rsidR="00940754" w:rsidRPr="00CE0D3F" w:rsidRDefault="00940754" w:rsidP="00664597">
            <w:pPr>
              <w:contextualSpacing/>
            </w:pPr>
          </w:p>
        </w:tc>
        <w:tc>
          <w:tcPr>
            <w:tcW w:w="1984" w:type="dxa"/>
            <w:tcBorders>
              <w:top w:val="nil"/>
              <w:bottom w:val="single" w:sz="4" w:space="0" w:color="auto"/>
            </w:tcBorders>
          </w:tcPr>
          <w:p w14:paraId="7FC0A735" w14:textId="77777777" w:rsidR="00940754" w:rsidRPr="00CE0D3F" w:rsidRDefault="00940754" w:rsidP="00664597">
            <w:pPr>
              <w:contextualSpacing/>
              <w:jc w:val="center"/>
            </w:pPr>
          </w:p>
        </w:tc>
      </w:tr>
      <w:tr w:rsidR="00940754" w:rsidRPr="00CE0D3F" w14:paraId="75ED790D" w14:textId="77777777" w:rsidTr="00CF08B7">
        <w:trPr>
          <w:trHeight w:val="2484"/>
        </w:trPr>
        <w:tc>
          <w:tcPr>
            <w:tcW w:w="5812" w:type="dxa"/>
            <w:tcBorders>
              <w:bottom w:val="nil"/>
            </w:tcBorders>
            <w:hideMark/>
          </w:tcPr>
          <w:p w14:paraId="6529E1FA" w14:textId="77777777" w:rsidR="00940754" w:rsidRPr="00CE0D3F" w:rsidRDefault="00940754" w:rsidP="00664597">
            <w:pPr>
              <w:contextualSpacing/>
              <w:jc w:val="both"/>
            </w:pPr>
            <w:r w:rsidRPr="00CE0D3F">
              <w:t xml:space="preserve">D. Verspätete Einreichung oder Nichtabgabe der Erklärung des Erwerbs und/oder der Veräußerung eines dinglichen Rechts an einem im Ausland gelegenen unbeweglichen Gut oder verspätete Einreichung oder Nichtabgabe der Erklärung des Bestehens eines dinglichen Rechts an einem im Ausland gelegenen unbeweglichen Gut am 31. Dezember 2020 (Art. 473 § 2 des Einkommensteuergesetzbuches 1992): </w:t>
            </w:r>
          </w:p>
          <w:p w14:paraId="31FC7002" w14:textId="12CF1C33" w:rsidR="00940754" w:rsidRPr="00CE0D3F" w:rsidRDefault="00940754" w:rsidP="00664597">
            <w:pPr>
              <w:contextualSpacing/>
              <w:jc w:val="both"/>
            </w:pPr>
            <w:r w:rsidRPr="00CE0D3F">
              <w:t> </w:t>
            </w:r>
          </w:p>
        </w:tc>
        <w:tc>
          <w:tcPr>
            <w:tcW w:w="2694" w:type="dxa"/>
            <w:vMerge w:val="restart"/>
            <w:tcBorders>
              <w:bottom w:val="single" w:sz="4" w:space="0" w:color="auto"/>
            </w:tcBorders>
            <w:hideMark/>
          </w:tcPr>
          <w:p w14:paraId="3C61CACD" w14:textId="77777777" w:rsidR="00940754" w:rsidRPr="00CE0D3F" w:rsidRDefault="00940754" w:rsidP="00664597">
            <w:pPr>
              <w:contextualSpacing/>
            </w:pPr>
          </w:p>
          <w:p w14:paraId="0EADFEA8" w14:textId="77777777" w:rsidR="00940754" w:rsidRPr="00CE0D3F" w:rsidRDefault="00940754" w:rsidP="00664597">
            <w:pPr>
              <w:contextualSpacing/>
            </w:pPr>
          </w:p>
          <w:p w14:paraId="6B84BD24" w14:textId="77777777" w:rsidR="00940754" w:rsidRPr="00CE0D3F" w:rsidRDefault="00940754" w:rsidP="00664597">
            <w:pPr>
              <w:contextualSpacing/>
            </w:pPr>
          </w:p>
          <w:p w14:paraId="3743292B" w14:textId="4B66CCD1" w:rsidR="00940754" w:rsidRDefault="00940754" w:rsidP="00664597">
            <w:pPr>
              <w:contextualSpacing/>
            </w:pPr>
            <w:r w:rsidRPr="00CE0D3F">
              <w:t>- KE &lt; 745 EUR</w:t>
            </w:r>
          </w:p>
          <w:p w14:paraId="557CAC48" w14:textId="77777777" w:rsidR="00940754" w:rsidRPr="00CE0D3F" w:rsidRDefault="00940754" w:rsidP="00664597">
            <w:pPr>
              <w:contextualSpacing/>
            </w:pPr>
          </w:p>
          <w:p w14:paraId="268F1869" w14:textId="2AEA2A7D" w:rsidR="00940754" w:rsidRDefault="00940754" w:rsidP="00664597">
            <w:pPr>
              <w:contextualSpacing/>
              <w:jc w:val="both"/>
            </w:pPr>
            <w:r w:rsidRPr="00CE0D3F">
              <w:t>- KE ab 745 EUR und unter 2.500 EUR</w:t>
            </w:r>
          </w:p>
          <w:p w14:paraId="0A09D7C9" w14:textId="77777777" w:rsidR="00940754" w:rsidRPr="00CE0D3F" w:rsidRDefault="00940754" w:rsidP="00664597">
            <w:pPr>
              <w:contextualSpacing/>
              <w:jc w:val="both"/>
            </w:pPr>
          </w:p>
          <w:p w14:paraId="5E590CEE" w14:textId="5AA83A0D" w:rsidR="00940754" w:rsidRPr="00CE0D3F" w:rsidRDefault="00940754" w:rsidP="00664597">
            <w:pPr>
              <w:contextualSpacing/>
              <w:jc w:val="both"/>
            </w:pPr>
            <w:r w:rsidRPr="00CE0D3F">
              <w:t xml:space="preserve">- KE &gt; oder = 2.500 EUR </w:t>
            </w:r>
          </w:p>
        </w:tc>
        <w:tc>
          <w:tcPr>
            <w:tcW w:w="1984" w:type="dxa"/>
            <w:vMerge w:val="restart"/>
            <w:tcBorders>
              <w:bottom w:val="single" w:sz="4" w:space="0" w:color="auto"/>
            </w:tcBorders>
            <w:hideMark/>
          </w:tcPr>
          <w:p w14:paraId="1951F43C" w14:textId="77777777" w:rsidR="00940754" w:rsidRPr="00CE0D3F" w:rsidRDefault="00940754" w:rsidP="00664597">
            <w:pPr>
              <w:contextualSpacing/>
              <w:jc w:val="center"/>
            </w:pPr>
          </w:p>
          <w:p w14:paraId="7813593E" w14:textId="77777777" w:rsidR="00940754" w:rsidRPr="00CE0D3F" w:rsidRDefault="00940754" w:rsidP="00664597">
            <w:pPr>
              <w:contextualSpacing/>
              <w:jc w:val="center"/>
            </w:pPr>
          </w:p>
          <w:p w14:paraId="08AE1097" w14:textId="77777777" w:rsidR="00940754" w:rsidRPr="00CE0D3F" w:rsidRDefault="00940754" w:rsidP="00664597">
            <w:pPr>
              <w:contextualSpacing/>
              <w:jc w:val="center"/>
            </w:pPr>
          </w:p>
          <w:p w14:paraId="2FD34F62" w14:textId="77777777" w:rsidR="00940754" w:rsidRDefault="00940754" w:rsidP="00664597">
            <w:pPr>
              <w:contextualSpacing/>
              <w:jc w:val="center"/>
            </w:pPr>
            <w:r w:rsidRPr="00CE0D3F">
              <w:t>1.000 EUR</w:t>
            </w:r>
          </w:p>
          <w:p w14:paraId="67EE633F" w14:textId="77777777" w:rsidR="00940754" w:rsidRPr="00CE0D3F" w:rsidRDefault="00940754" w:rsidP="00664597">
            <w:pPr>
              <w:contextualSpacing/>
              <w:jc w:val="center"/>
            </w:pPr>
          </w:p>
          <w:p w14:paraId="5899408F" w14:textId="77777777" w:rsidR="00940754" w:rsidRDefault="00940754" w:rsidP="00664597">
            <w:pPr>
              <w:contextualSpacing/>
              <w:jc w:val="center"/>
            </w:pPr>
            <w:r w:rsidRPr="00CE0D3F">
              <w:t>2.000 EUR</w:t>
            </w:r>
          </w:p>
          <w:p w14:paraId="2FCD9E1E" w14:textId="77777777" w:rsidR="00940754" w:rsidRDefault="00940754" w:rsidP="00664597">
            <w:pPr>
              <w:contextualSpacing/>
              <w:jc w:val="center"/>
            </w:pPr>
          </w:p>
          <w:p w14:paraId="39E27E40" w14:textId="77777777" w:rsidR="00940754" w:rsidRPr="00CE0D3F" w:rsidRDefault="00940754" w:rsidP="00664597">
            <w:pPr>
              <w:contextualSpacing/>
              <w:jc w:val="center"/>
            </w:pPr>
          </w:p>
          <w:p w14:paraId="18BF174C" w14:textId="0A4EA59D" w:rsidR="00940754" w:rsidRPr="00CE0D3F" w:rsidRDefault="00940754" w:rsidP="00664597">
            <w:pPr>
              <w:contextualSpacing/>
              <w:jc w:val="center"/>
            </w:pPr>
            <w:r w:rsidRPr="00CE0D3F">
              <w:t>3.000 EUR</w:t>
            </w:r>
          </w:p>
        </w:tc>
      </w:tr>
      <w:tr w:rsidR="00940754" w:rsidRPr="00CE0D3F" w14:paraId="191C4F9E" w14:textId="77777777" w:rsidTr="00CF08B7">
        <w:trPr>
          <w:trHeight w:val="439"/>
        </w:trPr>
        <w:tc>
          <w:tcPr>
            <w:tcW w:w="5812" w:type="dxa"/>
            <w:tcBorders>
              <w:top w:val="nil"/>
            </w:tcBorders>
            <w:hideMark/>
          </w:tcPr>
          <w:p w14:paraId="5B5D59DF" w14:textId="77777777" w:rsidR="00940754" w:rsidRPr="00CE0D3F" w:rsidRDefault="00940754" w:rsidP="00664597">
            <w:pPr>
              <w:contextualSpacing/>
              <w:jc w:val="both"/>
            </w:pPr>
            <w:r w:rsidRPr="00CE0D3F">
              <w:t> </w:t>
            </w:r>
          </w:p>
        </w:tc>
        <w:tc>
          <w:tcPr>
            <w:tcW w:w="2694" w:type="dxa"/>
            <w:vMerge/>
            <w:vAlign w:val="center"/>
            <w:hideMark/>
          </w:tcPr>
          <w:p w14:paraId="274DB221" w14:textId="22F0187E" w:rsidR="00940754" w:rsidRPr="00CE0D3F" w:rsidRDefault="00940754" w:rsidP="00664597">
            <w:pPr>
              <w:contextualSpacing/>
              <w:jc w:val="both"/>
            </w:pPr>
          </w:p>
        </w:tc>
        <w:tc>
          <w:tcPr>
            <w:tcW w:w="1984" w:type="dxa"/>
            <w:vMerge/>
            <w:hideMark/>
          </w:tcPr>
          <w:p w14:paraId="6AB767F7" w14:textId="62ECEEE6" w:rsidR="00940754" w:rsidRPr="00CE0D3F" w:rsidRDefault="00940754" w:rsidP="00664597">
            <w:pPr>
              <w:contextualSpacing/>
              <w:jc w:val="center"/>
            </w:pPr>
          </w:p>
        </w:tc>
      </w:tr>
    </w:tbl>
    <w:p w14:paraId="6E270E8D" w14:textId="77777777" w:rsidR="00940754" w:rsidRPr="00CE0D3F" w:rsidRDefault="00940754" w:rsidP="00940754">
      <w:pPr>
        <w:contextualSpacing/>
        <w:jc w:val="both"/>
      </w:pPr>
    </w:p>
    <w:p w14:paraId="0307D505" w14:textId="77777777" w:rsidR="00940754" w:rsidRDefault="00940754" w:rsidP="00940754">
      <w:pPr>
        <w:ind w:firstLine="708"/>
        <w:contextualSpacing/>
        <w:jc w:val="both"/>
      </w:pPr>
      <w:r w:rsidRPr="00CE0D3F">
        <w:t>Das Katastereinkommen, das für die Festlegung des Betrags der Geldbuße bei Nichteinhaltung der in Artikel 473 § 1 des Einkommensteuergesetzbuches 1992 vorgesehenen Verpflichtungen berücksichtigt wird, ist dasjenige, das in Anwendung von Artikel 494 desselben Gesetzbuches festgelegt worden ist, das heißt das Katastereinkommen, das auf der Grundlage der neuen Situation, die vom Steuerpflichtigen verspätet erklärt oder von der Verwaltung festgestellt wurde, bewertet oder neu bewertet worden ist.</w:t>
      </w:r>
    </w:p>
    <w:p w14:paraId="7FAE12DC" w14:textId="77777777" w:rsidR="00940754" w:rsidRDefault="00940754" w:rsidP="00940754">
      <w:pPr>
        <w:ind w:firstLine="708"/>
        <w:contextualSpacing/>
        <w:jc w:val="both"/>
      </w:pPr>
    </w:p>
    <w:p w14:paraId="7BF04085" w14:textId="5E83C1C9" w:rsidR="00940754" w:rsidRPr="00CE0D3F" w:rsidRDefault="00940754" w:rsidP="00940754">
      <w:pPr>
        <w:ind w:firstLine="708"/>
        <w:contextualSpacing/>
        <w:jc w:val="both"/>
      </w:pPr>
      <w:r w:rsidRPr="00CE0D3F">
        <w:lastRenderedPageBreak/>
        <w:t>Bei verspäteter Einreichung oder Nichtabgabe einer Erklärung werden Geldbußen pro betroffene Katasterparzelle angewandt.</w:t>
      </w:r>
      <w:r>
        <w:t>]</w:t>
      </w:r>
    </w:p>
    <w:p w14:paraId="7F3D0F5A" w14:textId="77777777" w:rsidR="00940754" w:rsidRDefault="00940754" w:rsidP="00D86FA8">
      <w:pPr>
        <w:jc w:val="both"/>
        <w:rPr>
          <w:rFonts w:eastAsia="Calibri"/>
          <w:szCs w:val="22"/>
          <w:lang w:eastAsia="de-DE" w:bidi="de-DE"/>
        </w:rPr>
      </w:pPr>
    </w:p>
    <w:p w14:paraId="2DB55BB7" w14:textId="43E9D98F" w:rsidR="006F44A8" w:rsidRDefault="00940754" w:rsidP="00D86FA8">
      <w:pPr>
        <w:jc w:val="both"/>
        <w:rPr>
          <w:rFonts w:eastAsia="Calibri"/>
          <w:szCs w:val="22"/>
          <w:lang w:eastAsia="de-DE" w:bidi="de-DE"/>
        </w:rPr>
      </w:pPr>
      <w:r>
        <w:rPr>
          <w:rFonts w:eastAsia="Calibri"/>
          <w:i/>
          <w:iCs/>
          <w:szCs w:val="22"/>
          <w:lang w:eastAsia="de-DE" w:bidi="de-DE"/>
        </w:rPr>
        <w:t>[Art. 229/7 eingefügt durch Art. 1 des K.E. vom 20. September 2023 (B.S. vom 12. Oktober 2023)]</w:t>
      </w:r>
      <w:r w:rsidR="006F44A8">
        <w:rPr>
          <w:rFonts w:eastAsia="Calibri"/>
          <w:szCs w:val="22"/>
          <w:lang w:eastAsia="de-DE" w:bidi="de-DE"/>
        </w:rPr>
        <w:br w:type="page"/>
      </w:r>
    </w:p>
    <w:p w14:paraId="218C3494" w14:textId="77777777" w:rsidR="003426CA" w:rsidRPr="00D21420" w:rsidRDefault="003426CA" w:rsidP="003426CA">
      <w:pPr>
        <w:jc w:val="center"/>
        <w:rPr>
          <w:rFonts w:eastAsia="Calibri"/>
          <w:szCs w:val="22"/>
          <w:lang w:eastAsia="de-DE" w:bidi="de-DE"/>
        </w:rPr>
      </w:pPr>
      <w:r w:rsidRPr="00D21420">
        <w:rPr>
          <w:rFonts w:eastAsia="Calibri"/>
          <w:szCs w:val="22"/>
          <w:lang w:eastAsia="de-DE" w:bidi="de-DE"/>
        </w:rPr>
        <w:lastRenderedPageBreak/>
        <w:t xml:space="preserve">KAPITEL 4 - </w:t>
      </w:r>
      <w:r w:rsidRPr="00D21420">
        <w:rPr>
          <w:rFonts w:eastAsia="Calibri"/>
          <w:i/>
          <w:szCs w:val="22"/>
          <w:lang w:eastAsia="de-DE" w:bidi="de-DE"/>
        </w:rPr>
        <w:t>Steuerwesen der Provinzen, Agglomerationen und Gemeinden</w:t>
      </w:r>
    </w:p>
    <w:p w14:paraId="1AC9D4FB" w14:textId="77777777" w:rsidR="003426CA" w:rsidRPr="00D21420" w:rsidRDefault="003426CA" w:rsidP="003426CA">
      <w:pPr>
        <w:jc w:val="center"/>
        <w:rPr>
          <w:rFonts w:eastAsia="Calibri"/>
          <w:szCs w:val="22"/>
          <w:lang w:eastAsia="de-DE" w:bidi="de-DE"/>
        </w:rPr>
      </w:pPr>
    </w:p>
    <w:p w14:paraId="4BFC5209" w14:textId="77777777" w:rsidR="003426CA" w:rsidRPr="00D21420" w:rsidRDefault="003426CA" w:rsidP="003426CA">
      <w:pPr>
        <w:jc w:val="center"/>
        <w:rPr>
          <w:rFonts w:eastAsia="Calibri"/>
          <w:spacing w:val="-3"/>
          <w:szCs w:val="22"/>
          <w:lang w:eastAsia="de-DE" w:bidi="de-DE"/>
        </w:rPr>
      </w:pPr>
      <w:r w:rsidRPr="00D21420">
        <w:rPr>
          <w:rFonts w:eastAsia="Calibri"/>
          <w:spacing w:val="-3"/>
          <w:szCs w:val="22"/>
          <w:lang w:eastAsia="de-DE" w:bidi="de-DE"/>
        </w:rPr>
        <w:t>(Einkommensteuergesetzbuch 1992, Artikel 300 und 469)</w:t>
      </w:r>
    </w:p>
    <w:p w14:paraId="29E40D98" w14:textId="77777777" w:rsidR="003426CA" w:rsidRPr="00D21420" w:rsidRDefault="003426CA" w:rsidP="003426CA">
      <w:pPr>
        <w:jc w:val="both"/>
        <w:rPr>
          <w:rFonts w:eastAsia="Calibri"/>
          <w:spacing w:val="-3"/>
          <w:szCs w:val="22"/>
          <w:lang w:eastAsia="de-DE" w:bidi="de-DE"/>
        </w:rPr>
      </w:pPr>
    </w:p>
    <w:p w14:paraId="2CEA5065" w14:textId="77777777" w:rsidR="003426CA" w:rsidRPr="00D21420" w:rsidRDefault="003426CA" w:rsidP="003426CA">
      <w:pPr>
        <w:jc w:val="both"/>
        <w:rPr>
          <w:rFonts w:eastAsia="Calibri"/>
          <w:spacing w:val="-3"/>
          <w:szCs w:val="22"/>
          <w:lang w:eastAsia="de-DE" w:bidi="de-DE"/>
        </w:rPr>
      </w:pPr>
    </w:p>
    <w:p w14:paraId="341AF3CE" w14:textId="77777777" w:rsidR="003426CA" w:rsidRPr="00D21420" w:rsidRDefault="003426CA" w:rsidP="003426CA">
      <w:pPr>
        <w:jc w:val="center"/>
        <w:rPr>
          <w:rFonts w:eastAsia="Calibri"/>
          <w:szCs w:val="22"/>
          <w:lang w:eastAsia="de-DE" w:bidi="de-DE"/>
        </w:rPr>
      </w:pPr>
      <w:r w:rsidRPr="00D21420">
        <w:rPr>
          <w:rFonts w:eastAsia="Calibri"/>
          <w:i/>
          <w:szCs w:val="22"/>
          <w:lang w:eastAsia="de-DE" w:bidi="de-DE"/>
        </w:rPr>
        <w:t>Abschnitt 1</w:t>
      </w:r>
      <w:r w:rsidRPr="00D21420">
        <w:rPr>
          <w:rFonts w:eastAsia="Calibri"/>
          <w:szCs w:val="22"/>
          <w:lang w:eastAsia="de-DE" w:bidi="de-DE"/>
        </w:rPr>
        <w:t> - Provinzialsteuern</w:t>
      </w:r>
    </w:p>
    <w:p w14:paraId="0907F9C2" w14:textId="77777777" w:rsidR="003426CA" w:rsidRPr="00D21420" w:rsidRDefault="003426CA" w:rsidP="003426CA">
      <w:pPr>
        <w:jc w:val="both"/>
        <w:rPr>
          <w:rFonts w:eastAsia="Calibri"/>
          <w:szCs w:val="22"/>
          <w:lang w:eastAsia="de-DE" w:bidi="de-DE"/>
        </w:rPr>
      </w:pPr>
    </w:p>
    <w:p w14:paraId="12054BBD" w14:textId="77777777" w:rsidR="003426CA" w:rsidRPr="00D21420" w:rsidRDefault="003426CA" w:rsidP="003426CA">
      <w:pPr>
        <w:jc w:val="both"/>
        <w:rPr>
          <w:rFonts w:eastAsia="Calibri"/>
          <w:szCs w:val="22"/>
          <w:lang w:eastAsia="de-DE" w:bidi="de-DE"/>
        </w:rPr>
      </w:pPr>
    </w:p>
    <w:p w14:paraId="70375757"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230</w:t>
      </w:r>
      <w:r w:rsidRPr="00D21420">
        <w:rPr>
          <w:rFonts w:eastAsia="Calibri"/>
          <w:szCs w:val="22"/>
          <w:lang w:eastAsia="de-DE" w:bidi="de-DE"/>
        </w:rPr>
        <w:t> - § 1 - Die Bestimmungen der Artikel 126, 127 und 128 bis 176 sind auf Provinzialsteuern anwendbar, sofern sie nicht speziell Einkommensteuern betreffen.</w:t>
      </w:r>
    </w:p>
    <w:p w14:paraId="161EA1F7" w14:textId="77777777" w:rsidR="003426CA" w:rsidRPr="00D21420" w:rsidRDefault="003426CA" w:rsidP="003426CA">
      <w:pPr>
        <w:jc w:val="both"/>
        <w:rPr>
          <w:rFonts w:eastAsia="Calibri"/>
          <w:szCs w:val="22"/>
          <w:lang w:eastAsia="de-DE" w:bidi="de-DE"/>
        </w:rPr>
      </w:pPr>
    </w:p>
    <w:p w14:paraId="30382FDD"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 2 - In Abweichung von Artikel 139 dürfen nicht in die Heberolle eingetragene Provinzialsteuern, für die eine Plakette, eine Marke oder ein anderes Kennzeichen ausgestellt wird, ebenfalls in Münzen oder Banknoten gezahlt werden, die in Belgien als gesetzliches Zahlungsmittel gelten.</w:t>
      </w:r>
    </w:p>
    <w:p w14:paraId="7690EE6C" w14:textId="77777777" w:rsidR="003426CA" w:rsidRPr="00D21420" w:rsidRDefault="003426CA" w:rsidP="003426CA">
      <w:pPr>
        <w:jc w:val="both"/>
        <w:rPr>
          <w:rFonts w:eastAsia="Calibri"/>
          <w:szCs w:val="22"/>
          <w:lang w:eastAsia="de-DE" w:bidi="de-DE"/>
        </w:rPr>
      </w:pPr>
    </w:p>
    <w:p w14:paraId="3117ADD4" w14:textId="77777777" w:rsidR="003426CA" w:rsidRPr="00D21420" w:rsidRDefault="003426CA" w:rsidP="003426CA">
      <w:pPr>
        <w:jc w:val="both"/>
        <w:rPr>
          <w:rFonts w:eastAsia="Calibri"/>
          <w:szCs w:val="22"/>
          <w:lang w:eastAsia="de-DE" w:bidi="de-DE"/>
        </w:rPr>
      </w:pPr>
    </w:p>
    <w:p w14:paraId="74747CF2" w14:textId="77777777" w:rsidR="003426CA" w:rsidRPr="00D21420" w:rsidRDefault="003426CA" w:rsidP="003426CA">
      <w:pPr>
        <w:jc w:val="center"/>
        <w:rPr>
          <w:rFonts w:eastAsia="Calibri"/>
          <w:szCs w:val="22"/>
          <w:lang w:eastAsia="de-DE" w:bidi="de-DE"/>
        </w:rPr>
      </w:pPr>
      <w:r w:rsidRPr="00D21420">
        <w:rPr>
          <w:rFonts w:eastAsia="Calibri"/>
          <w:i/>
          <w:szCs w:val="22"/>
          <w:lang w:eastAsia="de-DE" w:bidi="de-DE"/>
        </w:rPr>
        <w:t>Abschnitt 2 -</w:t>
      </w:r>
      <w:r w:rsidRPr="00D21420">
        <w:rPr>
          <w:rFonts w:eastAsia="Calibri"/>
          <w:szCs w:val="22"/>
          <w:lang w:eastAsia="de-DE" w:bidi="de-DE"/>
        </w:rPr>
        <w:t xml:space="preserve"> Agglomerations- und Gemeindezuschlagsteuer</w:t>
      </w:r>
    </w:p>
    <w:p w14:paraId="33EA5570" w14:textId="77777777" w:rsidR="003426CA" w:rsidRPr="00D21420" w:rsidRDefault="003426CA" w:rsidP="003426CA">
      <w:pPr>
        <w:jc w:val="both"/>
        <w:rPr>
          <w:rFonts w:eastAsia="Calibri"/>
          <w:szCs w:val="22"/>
          <w:lang w:eastAsia="de-DE" w:bidi="de-DE"/>
        </w:rPr>
      </w:pPr>
    </w:p>
    <w:p w14:paraId="3FDC778A" w14:textId="77777777" w:rsidR="003426CA" w:rsidRPr="00D21420" w:rsidRDefault="003426CA" w:rsidP="003426CA">
      <w:pPr>
        <w:jc w:val="both"/>
        <w:rPr>
          <w:rFonts w:eastAsia="Calibri"/>
          <w:szCs w:val="22"/>
          <w:lang w:eastAsia="de-DE" w:bidi="de-DE"/>
        </w:rPr>
      </w:pPr>
    </w:p>
    <w:p w14:paraId="07E2B869"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231</w:t>
      </w:r>
      <w:r w:rsidRPr="00D21420">
        <w:rPr>
          <w:rFonts w:eastAsia="Calibri"/>
          <w:szCs w:val="22"/>
          <w:lang w:eastAsia="de-DE" w:bidi="de-DE"/>
        </w:rPr>
        <w:t> - Die Heberollen der Agglomerationszuschlagsteuer auf die Steuer der natürlichen Personen und die Heberollen der Gemeindezuschlagsteuer auf die Steuer der natürlichen Personen werden gemäß den vom Generaldirektor der direkten Steuern festgelegten Modalitäten erstellt.</w:t>
      </w:r>
    </w:p>
    <w:p w14:paraId="1FC94E5E" w14:textId="77777777" w:rsidR="003426CA" w:rsidRPr="00D21420" w:rsidRDefault="003426CA" w:rsidP="003426CA">
      <w:pPr>
        <w:jc w:val="both"/>
        <w:rPr>
          <w:rFonts w:eastAsia="Calibri"/>
          <w:szCs w:val="22"/>
          <w:lang w:eastAsia="de-DE" w:bidi="de-DE"/>
        </w:rPr>
      </w:pPr>
    </w:p>
    <w:p w14:paraId="08D024CC"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Diese Zuschlagsteuern werden in die Heberollen eingetragen, die an das Haushaltsjahr gebunden sind, das zu dem Zeitpunkt läuft, zu dem sie für vollstreckbar erklärt werden; Steuersätze, die sich auf die jeweiligen Steuerjahre beziehen, sind anwendbar.</w:t>
      </w:r>
    </w:p>
    <w:p w14:paraId="342065E0" w14:textId="77777777" w:rsidR="00970B24" w:rsidRDefault="00970B24" w:rsidP="003426CA">
      <w:pPr>
        <w:jc w:val="both"/>
        <w:rPr>
          <w:rFonts w:eastAsia="Calibri"/>
          <w:szCs w:val="22"/>
          <w:lang w:eastAsia="de-DE" w:bidi="de-DE"/>
        </w:rPr>
      </w:pPr>
    </w:p>
    <w:p w14:paraId="59F10BF4" w14:textId="77777777" w:rsidR="00970B24" w:rsidRDefault="00970B24" w:rsidP="003426CA">
      <w:pPr>
        <w:jc w:val="both"/>
        <w:rPr>
          <w:rFonts w:eastAsia="Calibri"/>
          <w:szCs w:val="22"/>
          <w:lang w:eastAsia="de-DE" w:bidi="de-DE"/>
        </w:rPr>
      </w:pPr>
    </w:p>
    <w:p w14:paraId="0F6477B8"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232</w:t>
      </w:r>
      <w:r w:rsidRPr="00D21420">
        <w:rPr>
          <w:rFonts w:eastAsia="Calibri"/>
          <w:szCs w:val="22"/>
          <w:lang w:eastAsia="de-DE" w:bidi="de-DE"/>
        </w:rPr>
        <w:t> - [...]</w:t>
      </w:r>
    </w:p>
    <w:p w14:paraId="1C518CC9" w14:textId="77777777" w:rsidR="003426CA" w:rsidRPr="00D21420" w:rsidRDefault="003426CA" w:rsidP="003426CA">
      <w:pPr>
        <w:jc w:val="both"/>
        <w:rPr>
          <w:rFonts w:eastAsia="Calibri"/>
          <w:szCs w:val="22"/>
          <w:lang w:eastAsia="de-DE" w:bidi="de-DE"/>
        </w:rPr>
      </w:pPr>
    </w:p>
    <w:p w14:paraId="7F92C4AC"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Zuschlagsteuern werden [in Euro festgelegt und zu einem Cent abgerundet].</w:t>
      </w:r>
    </w:p>
    <w:p w14:paraId="3C8FE987" w14:textId="77777777" w:rsidR="003426CA" w:rsidRPr="00D21420" w:rsidRDefault="003426CA" w:rsidP="003426CA">
      <w:pPr>
        <w:jc w:val="both"/>
        <w:rPr>
          <w:rFonts w:eastAsia="Calibri"/>
          <w:szCs w:val="22"/>
          <w:lang w:eastAsia="de-DE" w:bidi="de-DE"/>
        </w:rPr>
      </w:pPr>
    </w:p>
    <w:p w14:paraId="77FEC15F" w14:textId="77777777" w:rsidR="003426CA" w:rsidRPr="00D21420" w:rsidRDefault="003426CA" w:rsidP="003426CA">
      <w:pPr>
        <w:jc w:val="both"/>
        <w:rPr>
          <w:rFonts w:eastAsia="Calibri"/>
          <w:szCs w:val="22"/>
          <w:lang w:eastAsia="de-DE" w:bidi="de-DE"/>
        </w:rPr>
      </w:pPr>
      <w:r w:rsidRPr="00D21420">
        <w:rPr>
          <w:rFonts w:eastAsia="Calibri"/>
          <w:i/>
          <w:szCs w:val="22"/>
          <w:lang w:eastAsia="de-DE" w:bidi="de-DE"/>
        </w:rPr>
        <w:t>[Art. 232 früherer Absatz 1 aufgehoben durch Art. 7 des K.E. vom 20. Juli 2000 (B.S. vom 30. August 2000); einziger Absatz abgeändert durch Art. 5 Nr. 9 des K.E. vom 20. Juli 2000 (B.S. vom 30. August 2000)]</w:t>
      </w:r>
    </w:p>
    <w:p w14:paraId="034D57D8" w14:textId="77777777" w:rsidR="003426CA" w:rsidRPr="00D21420" w:rsidRDefault="003426CA" w:rsidP="003426CA">
      <w:pPr>
        <w:jc w:val="both"/>
        <w:rPr>
          <w:rFonts w:eastAsia="Calibri"/>
          <w:szCs w:val="22"/>
          <w:lang w:eastAsia="de-DE" w:bidi="de-DE"/>
        </w:rPr>
      </w:pPr>
    </w:p>
    <w:p w14:paraId="492FB689" w14:textId="77777777" w:rsidR="003426CA" w:rsidRPr="00D21420" w:rsidRDefault="003426CA" w:rsidP="003426CA">
      <w:pPr>
        <w:jc w:val="both"/>
        <w:rPr>
          <w:rFonts w:eastAsia="Calibri"/>
          <w:szCs w:val="22"/>
          <w:lang w:eastAsia="de-DE" w:bidi="de-DE"/>
        </w:rPr>
      </w:pPr>
    </w:p>
    <w:p w14:paraId="467A8109" w14:textId="01BE52E9"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233</w:t>
      </w:r>
      <w:r w:rsidRPr="00D21420">
        <w:rPr>
          <w:rFonts w:eastAsia="Calibri"/>
          <w:szCs w:val="22"/>
          <w:lang w:eastAsia="de-DE" w:bidi="de-DE"/>
        </w:rPr>
        <w:t xml:space="preserve"> - Die Bestimmungen der </w:t>
      </w:r>
      <w:r w:rsidR="009808BC">
        <w:rPr>
          <w:rFonts w:eastAsia="Calibri"/>
          <w:szCs w:val="22"/>
          <w:lang w:eastAsia="de-DE" w:bidi="de-DE"/>
        </w:rPr>
        <w:t>[</w:t>
      </w:r>
      <w:r w:rsidR="009808BC" w:rsidRPr="00B6392E">
        <w:t xml:space="preserve">Artikel 133, 136 bis 144/7, </w:t>
      </w:r>
      <w:r w:rsidR="00805D28">
        <w:t>[...]</w:t>
      </w:r>
      <w:r w:rsidR="009808BC" w:rsidRPr="00B6392E">
        <w:t xml:space="preserve"> 210</w:t>
      </w:r>
      <w:r w:rsidR="009808BC" w:rsidRPr="00B6392E">
        <w:rPr>
          <w:i/>
        </w:rPr>
        <w:t>ter</w:t>
      </w:r>
      <w:r w:rsidR="009808BC" w:rsidRPr="00B6392E">
        <w:t xml:space="preserve"> und 225 bis 230</w:t>
      </w:r>
      <w:r w:rsidR="009808BC">
        <w:rPr>
          <w:rFonts w:eastAsia="Calibri"/>
          <w:szCs w:val="22"/>
          <w:lang w:eastAsia="de-DE" w:bidi="de-DE"/>
        </w:rPr>
        <w:t>]</w:t>
      </w:r>
      <w:r w:rsidRPr="00D21420">
        <w:rPr>
          <w:rFonts w:eastAsia="Calibri"/>
          <w:szCs w:val="22"/>
          <w:lang w:eastAsia="de-DE" w:bidi="de-DE"/>
        </w:rPr>
        <w:t xml:space="preserve"> sind auf die in Artikel 231 erwähnten Zuschlagsteuern anwendbar.</w:t>
      </w:r>
    </w:p>
    <w:p w14:paraId="64B509E3" w14:textId="7E64F982" w:rsidR="003426CA" w:rsidRDefault="003426CA" w:rsidP="003426CA">
      <w:pPr>
        <w:jc w:val="both"/>
        <w:rPr>
          <w:rFonts w:eastAsia="Calibri"/>
          <w:szCs w:val="22"/>
          <w:lang w:eastAsia="de-DE" w:bidi="de-DE"/>
        </w:rPr>
      </w:pPr>
    </w:p>
    <w:p w14:paraId="02C4FEF8" w14:textId="2E244DB0" w:rsidR="009808BC" w:rsidRDefault="009808BC" w:rsidP="003426CA">
      <w:pPr>
        <w:jc w:val="both"/>
        <w:rPr>
          <w:i/>
          <w:lang w:eastAsia="de-DE"/>
        </w:rPr>
      </w:pPr>
      <w:r>
        <w:rPr>
          <w:rFonts w:eastAsia="Calibri"/>
          <w:i/>
          <w:szCs w:val="22"/>
          <w:lang w:eastAsia="de-DE" w:bidi="de-DE"/>
        </w:rPr>
        <w:t>[Art. 233 abgeändert durch Art. 39</w:t>
      </w:r>
      <w:r>
        <w:rPr>
          <w:i/>
          <w:lang w:eastAsia="de-DE"/>
        </w:rPr>
        <w:t xml:space="preserve"> des K.E. vom 9. Dezember 2019 (B.S. vom 16. Dezember 2019)</w:t>
      </w:r>
      <w:r w:rsidR="00805D28">
        <w:rPr>
          <w:i/>
          <w:lang w:eastAsia="de-DE"/>
        </w:rPr>
        <w:t xml:space="preserve"> und Art. 9</w:t>
      </w:r>
      <w:r w:rsidR="00805D28">
        <w:rPr>
          <w:rFonts w:eastAsia="Calibri"/>
          <w:i/>
          <w:lang w:eastAsia="de-DE" w:bidi="de-DE"/>
        </w:rPr>
        <w:t xml:space="preserve"> des K.E. vom 22. </w:t>
      </w:r>
      <w:r w:rsidR="00805D28" w:rsidRPr="00805D28">
        <w:rPr>
          <w:rFonts w:eastAsia="Calibri"/>
          <w:i/>
          <w:lang w:eastAsia="de-DE" w:bidi="de-DE"/>
        </w:rPr>
        <w:t>Juni 2020 (B.S. vom 26. </w:t>
      </w:r>
      <w:r w:rsidR="00805D28" w:rsidRPr="00C949AA">
        <w:rPr>
          <w:rFonts w:eastAsia="Calibri"/>
          <w:i/>
          <w:lang w:eastAsia="de-DE" w:bidi="de-DE"/>
        </w:rPr>
        <w:t>Juni 2020)</w:t>
      </w:r>
      <w:r>
        <w:rPr>
          <w:i/>
          <w:lang w:eastAsia="de-DE"/>
        </w:rPr>
        <w:t>]</w:t>
      </w:r>
    </w:p>
    <w:p w14:paraId="6F55E2D4" w14:textId="77777777" w:rsidR="009808BC" w:rsidRPr="009808BC" w:rsidRDefault="009808BC" w:rsidP="003426CA">
      <w:pPr>
        <w:jc w:val="both"/>
        <w:rPr>
          <w:rFonts w:eastAsia="Calibri"/>
          <w:i/>
          <w:szCs w:val="22"/>
          <w:lang w:eastAsia="de-DE" w:bidi="de-DE"/>
        </w:rPr>
      </w:pPr>
    </w:p>
    <w:p w14:paraId="10493E95" w14:textId="77777777" w:rsidR="003426CA" w:rsidRPr="00D21420" w:rsidRDefault="003426CA" w:rsidP="003426CA">
      <w:pPr>
        <w:jc w:val="both"/>
        <w:rPr>
          <w:rFonts w:eastAsia="Calibri"/>
          <w:szCs w:val="22"/>
          <w:lang w:eastAsia="de-DE" w:bidi="de-DE"/>
        </w:rPr>
      </w:pPr>
    </w:p>
    <w:p w14:paraId="0CDCDBC1" w14:textId="77777777" w:rsidR="009808BC" w:rsidRDefault="009808BC">
      <w:pPr>
        <w:rPr>
          <w:rFonts w:eastAsia="Calibri"/>
          <w:szCs w:val="22"/>
          <w:lang w:eastAsia="de-DE" w:bidi="de-DE"/>
        </w:rPr>
      </w:pPr>
      <w:r>
        <w:rPr>
          <w:rFonts w:eastAsia="Calibri"/>
          <w:szCs w:val="22"/>
          <w:lang w:eastAsia="de-DE" w:bidi="de-DE"/>
        </w:rPr>
        <w:br w:type="page"/>
      </w:r>
    </w:p>
    <w:p w14:paraId="64F289EE" w14:textId="4CEBCB23" w:rsidR="003426CA" w:rsidRPr="00D21420" w:rsidRDefault="003426CA" w:rsidP="003426CA">
      <w:pPr>
        <w:jc w:val="both"/>
        <w:rPr>
          <w:rFonts w:eastAsia="Calibri"/>
          <w:szCs w:val="22"/>
          <w:lang w:eastAsia="de-DE" w:bidi="de-DE"/>
        </w:rPr>
      </w:pPr>
      <w:r w:rsidRPr="00D21420">
        <w:rPr>
          <w:rFonts w:eastAsia="Calibri"/>
          <w:szCs w:val="22"/>
          <w:lang w:eastAsia="de-DE" w:bidi="de-DE"/>
        </w:rPr>
        <w:lastRenderedPageBreak/>
        <w:tab/>
      </w:r>
      <w:r w:rsidR="004E124B">
        <w:rPr>
          <w:rFonts w:eastAsia="Calibri"/>
          <w:szCs w:val="22"/>
          <w:lang w:eastAsia="de-DE" w:bidi="de-DE"/>
        </w:rPr>
        <w:t>[</w:t>
      </w:r>
      <w:r w:rsidRPr="00D21420">
        <w:rPr>
          <w:rFonts w:eastAsia="Calibri"/>
          <w:szCs w:val="22"/>
          <w:lang w:eastAsia="de-DE" w:bidi="de-DE"/>
        </w:rPr>
        <w:t>[</w:t>
      </w:r>
      <w:r w:rsidRPr="00D21420">
        <w:rPr>
          <w:rFonts w:eastAsia="Calibri"/>
          <w:b/>
          <w:szCs w:val="22"/>
          <w:lang w:eastAsia="de-DE" w:bidi="de-DE"/>
        </w:rPr>
        <w:t>Art. 233</w:t>
      </w:r>
      <w:r w:rsidR="004E124B">
        <w:rPr>
          <w:rFonts w:eastAsia="Calibri"/>
          <w:b/>
          <w:szCs w:val="22"/>
          <w:lang w:eastAsia="de-DE" w:bidi="de-DE"/>
        </w:rPr>
        <w:t>/1</w:t>
      </w:r>
      <w:r w:rsidR="004E124B" w:rsidRPr="004E124B">
        <w:rPr>
          <w:rFonts w:eastAsia="Calibri"/>
          <w:szCs w:val="22"/>
          <w:lang w:eastAsia="de-DE" w:bidi="de-DE"/>
        </w:rPr>
        <w:t>]</w:t>
      </w:r>
      <w:r w:rsidRPr="00D21420">
        <w:rPr>
          <w:rFonts w:eastAsia="Calibri"/>
          <w:szCs w:val="22"/>
          <w:lang w:eastAsia="de-DE" w:bidi="de-DE"/>
        </w:rPr>
        <w:t> - Der in Artikel 469 Absatz 2 des Einkommensteuergesetzbuches 1992 erwähnte Satz wird auf 7 Prozent erhöht.]</w:t>
      </w:r>
    </w:p>
    <w:p w14:paraId="47A26B51" w14:textId="77777777" w:rsidR="003426CA" w:rsidRPr="00D21420" w:rsidRDefault="003426CA" w:rsidP="003426CA">
      <w:pPr>
        <w:jc w:val="both"/>
        <w:rPr>
          <w:rFonts w:eastAsia="Calibri"/>
          <w:szCs w:val="22"/>
          <w:lang w:eastAsia="de-DE" w:bidi="de-DE"/>
        </w:rPr>
      </w:pPr>
    </w:p>
    <w:p w14:paraId="3CFBE5EE" w14:textId="77777777" w:rsidR="003426CA" w:rsidRPr="00D21420" w:rsidRDefault="003426CA" w:rsidP="003426CA">
      <w:pPr>
        <w:jc w:val="both"/>
        <w:rPr>
          <w:rFonts w:eastAsia="Calibri"/>
          <w:szCs w:val="22"/>
          <w:lang w:eastAsia="de-DE" w:bidi="de-DE"/>
        </w:rPr>
      </w:pPr>
      <w:r w:rsidRPr="00D21420">
        <w:rPr>
          <w:rFonts w:eastAsia="Calibri"/>
          <w:i/>
          <w:szCs w:val="22"/>
          <w:lang w:eastAsia="de-DE" w:bidi="de-DE"/>
        </w:rPr>
        <w:t>[Art. 233</w:t>
      </w:r>
      <w:r w:rsidRPr="00D21420">
        <w:rPr>
          <w:rFonts w:eastAsia="Calibri"/>
          <w:i/>
          <w:szCs w:val="22"/>
          <w:vertAlign w:val="superscript"/>
          <w:lang w:eastAsia="de-DE" w:bidi="de-DE"/>
        </w:rPr>
        <w:t>1</w:t>
      </w:r>
      <w:r w:rsidRPr="00D21420">
        <w:rPr>
          <w:rFonts w:eastAsia="Calibri"/>
          <w:i/>
          <w:szCs w:val="22"/>
          <w:lang w:eastAsia="de-DE" w:bidi="de-DE"/>
        </w:rPr>
        <w:t xml:space="preserve"> eingefügt durch Art. 2 des K.E. vom 4. Dezember 2003 (B.S. vom 17. Dezember 2003)</w:t>
      </w:r>
      <w:r w:rsidR="004E124B">
        <w:rPr>
          <w:rFonts w:eastAsia="Calibri"/>
          <w:i/>
          <w:szCs w:val="22"/>
          <w:lang w:eastAsia="de-DE" w:bidi="de-DE"/>
        </w:rPr>
        <w:t xml:space="preserve"> und umnummeriert zu Art. 233/1 durch Art. 1 des K.E. vom 18. Februar 2018 (B.S. vom 26. Februar 2018)</w:t>
      </w:r>
      <w:r w:rsidRPr="00D21420">
        <w:rPr>
          <w:rFonts w:eastAsia="Calibri"/>
          <w:i/>
          <w:szCs w:val="22"/>
          <w:lang w:eastAsia="de-DE" w:bidi="de-DE"/>
        </w:rPr>
        <w:t>]</w:t>
      </w:r>
    </w:p>
    <w:p w14:paraId="26B0BDB2" w14:textId="77777777" w:rsidR="00970B24" w:rsidRDefault="00970B24">
      <w:pPr>
        <w:rPr>
          <w:rFonts w:eastAsia="Calibri"/>
          <w:szCs w:val="22"/>
          <w:lang w:eastAsia="de-DE" w:bidi="de-DE"/>
        </w:rPr>
      </w:pPr>
      <w:r>
        <w:rPr>
          <w:rFonts w:eastAsia="Calibri"/>
          <w:szCs w:val="22"/>
          <w:lang w:eastAsia="de-DE" w:bidi="de-DE"/>
        </w:rPr>
        <w:br w:type="page"/>
      </w:r>
    </w:p>
    <w:p w14:paraId="656A0E28" w14:textId="77777777" w:rsidR="004E124B" w:rsidRPr="004E124B" w:rsidRDefault="003426CA" w:rsidP="00855372">
      <w:pPr>
        <w:jc w:val="both"/>
      </w:pPr>
      <w:r w:rsidRPr="00D21420">
        <w:rPr>
          <w:rFonts w:eastAsia="Calibri"/>
          <w:szCs w:val="22"/>
          <w:lang w:eastAsia="de-DE" w:bidi="de-DE"/>
        </w:rPr>
        <w:lastRenderedPageBreak/>
        <w:t>[KAPITEL 4</w:t>
      </w:r>
      <w:r w:rsidRPr="00D21420">
        <w:rPr>
          <w:rFonts w:eastAsia="Calibri"/>
          <w:i/>
          <w:szCs w:val="22"/>
          <w:lang w:eastAsia="de-DE" w:bidi="de-DE"/>
        </w:rPr>
        <w:t>bis</w:t>
      </w:r>
      <w:r w:rsidRPr="00D21420">
        <w:rPr>
          <w:rFonts w:eastAsia="Calibri"/>
          <w:szCs w:val="22"/>
          <w:lang w:eastAsia="de-DE" w:bidi="de-DE"/>
        </w:rPr>
        <w:t xml:space="preserve"> - </w:t>
      </w:r>
      <w:r w:rsidR="004E124B">
        <w:rPr>
          <w:rFonts w:eastAsia="Calibri"/>
          <w:szCs w:val="22"/>
          <w:lang w:eastAsia="de-DE" w:bidi="de-DE"/>
        </w:rPr>
        <w:t>[</w:t>
      </w:r>
      <w:r w:rsidR="004E124B" w:rsidRPr="004E124B">
        <w:rPr>
          <w:i/>
        </w:rPr>
        <w:t>Besondere Regeln für Beitreibung und Informationserteilung in Bezug auf die Zuweisungen an die Provinzen, Agglomerationen und Gemeinden und die Vorschüsse an die Gemeinden</w:t>
      </w:r>
    </w:p>
    <w:p w14:paraId="30AE1316" w14:textId="77777777" w:rsidR="004E124B" w:rsidRPr="00287968" w:rsidRDefault="004E124B" w:rsidP="004E124B">
      <w:pPr>
        <w:jc w:val="both"/>
      </w:pPr>
    </w:p>
    <w:p w14:paraId="211F04D1" w14:textId="77777777" w:rsidR="003426CA" w:rsidRPr="00D21420" w:rsidRDefault="004E124B" w:rsidP="004E124B">
      <w:pPr>
        <w:jc w:val="center"/>
        <w:rPr>
          <w:rFonts w:eastAsia="Calibri"/>
          <w:szCs w:val="22"/>
          <w:lang w:eastAsia="de-DE" w:bidi="de-DE"/>
        </w:rPr>
      </w:pPr>
      <w:r w:rsidRPr="00287968">
        <w:t>(Einkommensteuergesetzbuch 1992, Artikel 470/1 und 470/2)</w:t>
      </w:r>
      <w:r>
        <w:t>]</w:t>
      </w:r>
    </w:p>
    <w:p w14:paraId="3E0886E4" w14:textId="77777777" w:rsidR="003426CA" w:rsidRPr="00D21420" w:rsidRDefault="003426CA" w:rsidP="003426CA">
      <w:pPr>
        <w:jc w:val="both"/>
        <w:rPr>
          <w:rFonts w:eastAsia="Calibri"/>
          <w:szCs w:val="22"/>
          <w:lang w:eastAsia="de-DE" w:bidi="de-DE"/>
        </w:rPr>
      </w:pPr>
    </w:p>
    <w:p w14:paraId="682B9ECF" w14:textId="77777777" w:rsidR="003426CA" w:rsidRPr="00D21420" w:rsidRDefault="003426CA" w:rsidP="003426CA">
      <w:pPr>
        <w:jc w:val="both"/>
        <w:rPr>
          <w:rFonts w:eastAsia="Calibri"/>
          <w:szCs w:val="22"/>
          <w:lang w:eastAsia="de-DE" w:bidi="de-DE"/>
        </w:rPr>
      </w:pPr>
      <w:r w:rsidRPr="00D21420">
        <w:rPr>
          <w:rFonts w:eastAsia="Calibri"/>
          <w:i/>
          <w:szCs w:val="22"/>
          <w:lang w:eastAsia="de-DE" w:bidi="de-DE"/>
        </w:rPr>
        <w:t>[Kapitel 4bis mit Art. 233bis eingefügt durch Art. 1 des K.E. vom 10. März 1999 (B.S. vom 17. April 1999)</w:t>
      </w:r>
      <w:r w:rsidR="004E124B">
        <w:rPr>
          <w:rFonts w:eastAsia="Calibri"/>
          <w:i/>
          <w:szCs w:val="22"/>
          <w:lang w:eastAsia="de-DE" w:bidi="de-DE"/>
        </w:rPr>
        <w:t>; Überschrift von Kapitel 4bis ersetzt durch Art. 2 des K.E. vom 18. Februar 2018 (B.S. vom 26. Februar 2018)</w:t>
      </w:r>
      <w:r w:rsidRPr="00D21420">
        <w:rPr>
          <w:rFonts w:eastAsia="Calibri"/>
          <w:i/>
          <w:szCs w:val="22"/>
          <w:lang w:eastAsia="de-DE" w:bidi="de-DE"/>
        </w:rPr>
        <w:t>]</w:t>
      </w:r>
    </w:p>
    <w:p w14:paraId="6C785E10" w14:textId="77777777" w:rsidR="003426CA" w:rsidRPr="00D21420" w:rsidRDefault="003426CA" w:rsidP="003426CA">
      <w:pPr>
        <w:jc w:val="both"/>
        <w:rPr>
          <w:rFonts w:eastAsia="Calibri"/>
          <w:szCs w:val="22"/>
          <w:lang w:eastAsia="de-DE" w:bidi="de-DE"/>
        </w:rPr>
      </w:pPr>
    </w:p>
    <w:p w14:paraId="60BD771C" w14:textId="77777777" w:rsidR="003426CA" w:rsidRPr="00D21420" w:rsidRDefault="003426CA" w:rsidP="003426CA">
      <w:pPr>
        <w:jc w:val="both"/>
        <w:rPr>
          <w:rFonts w:eastAsia="Calibri"/>
          <w:szCs w:val="22"/>
          <w:lang w:eastAsia="de-DE" w:bidi="de-DE"/>
        </w:rPr>
      </w:pPr>
    </w:p>
    <w:p w14:paraId="5F8F4B35"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004E124B">
        <w:rPr>
          <w:rFonts w:eastAsia="Calibri"/>
          <w:szCs w:val="22"/>
          <w:lang w:eastAsia="de-DE" w:bidi="de-DE"/>
        </w:rPr>
        <w:t>[</w:t>
      </w:r>
      <w:r w:rsidRPr="00D21420">
        <w:rPr>
          <w:rFonts w:eastAsia="Calibri"/>
          <w:b/>
          <w:szCs w:val="22"/>
          <w:lang w:eastAsia="de-DE" w:bidi="de-DE"/>
        </w:rPr>
        <w:t>Art. 233</w:t>
      </w:r>
      <w:r w:rsidR="004E124B">
        <w:rPr>
          <w:rFonts w:eastAsia="Calibri"/>
          <w:b/>
          <w:szCs w:val="22"/>
          <w:lang w:eastAsia="de-DE" w:bidi="de-DE"/>
        </w:rPr>
        <w:t>/2</w:t>
      </w:r>
      <w:r w:rsidR="004E124B">
        <w:rPr>
          <w:rFonts w:eastAsia="Calibri"/>
          <w:szCs w:val="22"/>
          <w:lang w:eastAsia="de-DE" w:bidi="de-DE"/>
        </w:rPr>
        <w:t>]</w:t>
      </w:r>
      <w:r w:rsidRPr="00D21420">
        <w:rPr>
          <w:rFonts w:eastAsia="Calibri"/>
          <w:szCs w:val="22"/>
          <w:lang w:eastAsia="de-DE" w:bidi="de-DE"/>
        </w:rPr>
        <w:t> - § 1 - Für die Anwendung von Artikel </w:t>
      </w:r>
      <w:r w:rsidR="004E124B">
        <w:rPr>
          <w:rFonts w:eastAsia="Calibri"/>
          <w:szCs w:val="22"/>
          <w:lang w:eastAsia="de-DE" w:bidi="de-DE"/>
        </w:rPr>
        <w:t>[</w:t>
      </w:r>
      <w:r w:rsidRPr="00D21420">
        <w:rPr>
          <w:rFonts w:eastAsia="Calibri"/>
          <w:szCs w:val="22"/>
          <w:lang w:eastAsia="de-DE" w:bidi="de-DE"/>
        </w:rPr>
        <w:t>470</w:t>
      </w:r>
      <w:r w:rsidR="004E124B">
        <w:rPr>
          <w:rFonts w:eastAsia="Calibri"/>
          <w:szCs w:val="22"/>
          <w:lang w:eastAsia="de-DE" w:bidi="de-DE"/>
        </w:rPr>
        <w:t>/1]</w:t>
      </w:r>
      <w:r w:rsidRPr="00D21420">
        <w:rPr>
          <w:rFonts w:eastAsia="Calibri"/>
          <w:szCs w:val="22"/>
          <w:lang w:eastAsia="de-DE" w:bidi="de-DE"/>
        </w:rPr>
        <w:t xml:space="preserve"> Absatz 4 des Einkommen</w:t>
      </w:r>
      <w:r w:rsidRPr="00D21420">
        <w:rPr>
          <w:rFonts w:eastAsia="Calibri"/>
          <w:szCs w:val="22"/>
          <w:lang w:eastAsia="de-DE" w:bidi="de-DE"/>
        </w:rPr>
        <w:softHyphen/>
        <w:t xml:space="preserve">steuergesetzbuches 1992 notifiziert die </w:t>
      </w:r>
      <w:r w:rsidR="004E124B">
        <w:rPr>
          <w:rFonts w:eastAsia="Calibri"/>
          <w:szCs w:val="22"/>
          <w:lang w:eastAsia="de-DE" w:bidi="de-DE"/>
        </w:rPr>
        <w:t>[</w:t>
      </w:r>
      <w:r w:rsidR="004E124B" w:rsidRPr="00287968">
        <w:t>mit der Einnahme und Beitreibung der Einkommensteuern beauftragte Verwaltung</w:t>
      </w:r>
      <w:r w:rsidR="004E124B">
        <w:rPr>
          <w:rFonts w:eastAsia="Calibri"/>
          <w:szCs w:val="22"/>
          <w:lang w:eastAsia="de-DE" w:bidi="de-DE"/>
        </w:rPr>
        <w:t>]</w:t>
      </w:r>
      <w:r w:rsidRPr="00D21420">
        <w:rPr>
          <w:rFonts w:eastAsia="Calibri"/>
          <w:szCs w:val="22"/>
          <w:lang w:eastAsia="de-DE" w:bidi="de-DE"/>
        </w:rPr>
        <w:t xml:space="preserve"> der Provinz, Gemeinde oder Gemeindeagglomeration den Betrag ihrer Schuldforderung am ersten Werktag nach dem Tag, an dem festgestellt wird, dass eine Einbehaltung von Amts wegen durchgeführt werden muss.</w:t>
      </w:r>
    </w:p>
    <w:p w14:paraId="17450886" w14:textId="77777777" w:rsidR="003426CA" w:rsidRPr="00D21420" w:rsidRDefault="003426CA" w:rsidP="003426CA">
      <w:pPr>
        <w:jc w:val="both"/>
        <w:rPr>
          <w:rFonts w:eastAsia="Calibri"/>
          <w:szCs w:val="22"/>
          <w:lang w:eastAsia="de-DE" w:bidi="de-DE"/>
        </w:rPr>
      </w:pPr>
    </w:p>
    <w:p w14:paraId="4E64AF1B"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Für die Anwendung von Artikel </w:t>
      </w:r>
      <w:r w:rsidR="004E124B">
        <w:rPr>
          <w:rFonts w:eastAsia="Calibri"/>
          <w:szCs w:val="22"/>
          <w:lang w:eastAsia="de-DE" w:bidi="de-DE"/>
        </w:rPr>
        <w:t>[</w:t>
      </w:r>
      <w:r w:rsidRPr="00D21420">
        <w:rPr>
          <w:rFonts w:eastAsia="Calibri"/>
          <w:szCs w:val="22"/>
          <w:lang w:eastAsia="de-DE" w:bidi="de-DE"/>
        </w:rPr>
        <w:t>470</w:t>
      </w:r>
      <w:r w:rsidR="004E124B">
        <w:rPr>
          <w:rFonts w:eastAsia="Calibri"/>
          <w:szCs w:val="22"/>
          <w:lang w:eastAsia="de-DE" w:bidi="de-DE"/>
        </w:rPr>
        <w:t>/1]</w:t>
      </w:r>
      <w:r w:rsidRPr="00D21420">
        <w:rPr>
          <w:rFonts w:eastAsia="Calibri"/>
          <w:szCs w:val="22"/>
          <w:lang w:eastAsia="de-DE" w:bidi="de-DE"/>
        </w:rPr>
        <w:t xml:space="preserve"> Absatz 6 desselben Gesetzbuches notifiziert die </w:t>
      </w:r>
      <w:r w:rsidR="004E124B">
        <w:rPr>
          <w:rFonts w:eastAsia="Calibri"/>
          <w:szCs w:val="22"/>
          <w:lang w:eastAsia="de-DE" w:bidi="de-DE"/>
        </w:rPr>
        <w:t>[</w:t>
      </w:r>
      <w:r w:rsidR="004E124B" w:rsidRPr="00287968">
        <w:t>mit der Einnahme und Beitreibung der Einkommensteuern beauftragte Verwaltung</w:t>
      </w:r>
      <w:r w:rsidR="004E124B">
        <w:rPr>
          <w:rFonts w:eastAsia="Calibri"/>
          <w:szCs w:val="22"/>
          <w:lang w:eastAsia="de-DE" w:bidi="de-DE"/>
        </w:rPr>
        <w:t>]</w:t>
      </w:r>
      <w:r w:rsidR="004E124B" w:rsidRPr="00D21420">
        <w:rPr>
          <w:rFonts w:eastAsia="Calibri"/>
          <w:szCs w:val="22"/>
          <w:lang w:eastAsia="de-DE" w:bidi="de-DE"/>
        </w:rPr>
        <w:t xml:space="preserve"> </w:t>
      </w:r>
      <w:r w:rsidRPr="00D21420">
        <w:rPr>
          <w:rFonts w:eastAsia="Calibri"/>
          <w:szCs w:val="22"/>
          <w:lang w:eastAsia="de-DE" w:bidi="de-DE"/>
        </w:rPr>
        <w:t>der Provinz, Gemeinde oder Gemeindeagglomeration den Betrag ihrer Schuldforderung am ersten Werktag nach dem Tag, an dem festgestellt wird, dass eine Zahlung von Amts wegen durch Kontobelastung durchgeführt werden muss.</w:t>
      </w:r>
    </w:p>
    <w:p w14:paraId="079E8204" w14:textId="77777777" w:rsidR="003426CA" w:rsidRPr="00D21420" w:rsidRDefault="003426CA" w:rsidP="003426CA">
      <w:pPr>
        <w:jc w:val="both"/>
        <w:rPr>
          <w:rFonts w:eastAsia="Calibri"/>
          <w:szCs w:val="22"/>
          <w:lang w:eastAsia="de-DE" w:bidi="de-DE"/>
        </w:rPr>
      </w:pPr>
    </w:p>
    <w:p w14:paraId="66EE99CF"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 xml:space="preserve">Die </w:t>
      </w:r>
      <w:r w:rsidR="00EB697A">
        <w:rPr>
          <w:rFonts w:eastAsia="Calibri"/>
          <w:szCs w:val="22"/>
          <w:lang w:eastAsia="de-DE" w:bidi="de-DE"/>
        </w:rPr>
        <w:t>[</w:t>
      </w:r>
      <w:r w:rsidR="00EB697A" w:rsidRPr="00287968">
        <w:t>mit der Einnahme und Beitreibung der Einkommensteuern beauftragte Verwaltung</w:t>
      </w:r>
      <w:r w:rsidR="00EB697A">
        <w:rPr>
          <w:rFonts w:eastAsia="Calibri"/>
          <w:szCs w:val="22"/>
          <w:lang w:eastAsia="de-DE" w:bidi="de-DE"/>
        </w:rPr>
        <w:t>]</w:t>
      </w:r>
      <w:r w:rsidR="00EB697A" w:rsidRPr="00D21420">
        <w:rPr>
          <w:rFonts w:eastAsia="Calibri"/>
          <w:szCs w:val="22"/>
          <w:lang w:eastAsia="de-DE" w:bidi="de-DE"/>
        </w:rPr>
        <w:t xml:space="preserve"> </w:t>
      </w:r>
      <w:r w:rsidRPr="00D21420">
        <w:rPr>
          <w:rFonts w:eastAsia="Calibri"/>
          <w:szCs w:val="22"/>
          <w:lang w:eastAsia="de-DE" w:bidi="de-DE"/>
        </w:rPr>
        <w:t>notifiziert dem Kreditinstitut, das mit der Führung des Finanzkontos der betreffenden Behörde beauftragt ist, den Betrag ihrer Schuldforderung, damit das Kreditinstitut diesen Betrag von Amts wegen von dem Finanzkonto der betreffenden Behörde abhebt.</w:t>
      </w:r>
    </w:p>
    <w:p w14:paraId="6A8F898A" w14:textId="77777777" w:rsidR="003426CA" w:rsidRPr="00D21420" w:rsidRDefault="003426CA" w:rsidP="003426CA">
      <w:pPr>
        <w:jc w:val="both"/>
        <w:rPr>
          <w:rFonts w:eastAsia="Calibri"/>
          <w:szCs w:val="22"/>
          <w:lang w:eastAsia="de-DE" w:bidi="de-DE"/>
        </w:rPr>
      </w:pPr>
    </w:p>
    <w:p w14:paraId="1F9C7031"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 2 - Ist der Schuldner der Forderung eine Provinz, wird die Notifizierung an den ständigen Ausschuss dieser Provinz gerichtet.</w:t>
      </w:r>
    </w:p>
    <w:p w14:paraId="4F88C158" w14:textId="77777777" w:rsidR="003426CA" w:rsidRPr="00D21420" w:rsidRDefault="003426CA" w:rsidP="003426CA">
      <w:pPr>
        <w:jc w:val="both"/>
        <w:rPr>
          <w:rFonts w:eastAsia="Calibri"/>
          <w:szCs w:val="22"/>
          <w:lang w:eastAsia="de-DE" w:bidi="de-DE"/>
        </w:rPr>
      </w:pPr>
    </w:p>
    <w:p w14:paraId="4C6E39FD" w14:textId="77777777" w:rsidR="003426CA" w:rsidRDefault="003426CA" w:rsidP="003426CA">
      <w:pPr>
        <w:jc w:val="both"/>
        <w:rPr>
          <w:rFonts w:eastAsia="Calibri"/>
          <w:szCs w:val="22"/>
          <w:lang w:eastAsia="de-DE" w:bidi="de-DE"/>
        </w:rPr>
      </w:pPr>
      <w:r w:rsidRPr="00D21420">
        <w:rPr>
          <w:rFonts w:eastAsia="Calibri"/>
          <w:szCs w:val="22"/>
          <w:lang w:eastAsia="de-DE" w:bidi="de-DE"/>
        </w:rPr>
        <w:tab/>
        <w:t>Ist der Schuldner der Forderung die Brüsseler Agglomeration, wird die Notifizierung an die Regierung der Region Brüssel-Hauptstadt gerichtet.</w:t>
      </w:r>
    </w:p>
    <w:p w14:paraId="3BB383C4" w14:textId="77777777" w:rsidR="00970B24" w:rsidRDefault="00970B24" w:rsidP="003426CA">
      <w:pPr>
        <w:jc w:val="both"/>
        <w:rPr>
          <w:rFonts w:eastAsia="Calibri"/>
          <w:szCs w:val="22"/>
          <w:lang w:eastAsia="de-DE" w:bidi="de-DE"/>
        </w:rPr>
      </w:pPr>
    </w:p>
    <w:p w14:paraId="70D2BC69"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Ist der Schuldner der Forderung eine Gemeinde, wird die Notifizierung an das Bürgermeister- und Schöffenkollegium dieser Gemeinde gerichtet.</w:t>
      </w:r>
    </w:p>
    <w:p w14:paraId="5F92E98D" w14:textId="77777777" w:rsidR="003426CA" w:rsidRPr="00D21420" w:rsidRDefault="003426CA" w:rsidP="003426CA">
      <w:pPr>
        <w:jc w:val="both"/>
        <w:rPr>
          <w:rFonts w:eastAsia="Calibri"/>
          <w:szCs w:val="22"/>
          <w:lang w:eastAsia="de-DE" w:bidi="de-DE"/>
        </w:rPr>
      </w:pPr>
    </w:p>
    <w:p w14:paraId="2216A529"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 3 - In § 1 erwähnte Notifizierungen werden der betreffenden Behörde oder ihrem Kreditinstitut auf fotografischem, magnetischem, elektronischem oder optischem Weg übermittelt und haben Beweiskraft, insofern sie binnen acht Kalendertagen per Einschreiben bestätigt werden.]</w:t>
      </w:r>
    </w:p>
    <w:p w14:paraId="59CACEB0" w14:textId="77777777" w:rsidR="003426CA" w:rsidRDefault="003426CA" w:rsidP="003426CA">
      <w:pPr>
        <w:jc w:val="both"/>
        <w:rPr>
          <w:rFonts w:eastAsia="Calibri"/>
          <w:szCs w:val="22"/>
          <w:lang w:eastAsia="de-DE" w:bidi="de-DE"/>
        </w:rPr>
      </w:pPr>
    </w:p>
    <w:p w14:paraId="54682A00" w14:textId="77777777" w:rsidR="004E124B" w:rsidRDefault="004E124B" w:rsidP="003426CA">
      <w:pPr>
        <w:jc w:val="both"/>
        <w:rPr>
          <w:rFonts w:eastAsia="Calibri"/>
          <w:i/>
          <w:szCs w:val="22"/>
          <w:lang w:eastAsia="de-DE" w:bidi="de-DE"/>
        </w:rPr>
      </w:pPr>
      <w:r>
        <w:rPr>
          <w:rFonts w:eastAsia="Calibri"/>
          <w:i/>
          <w:szCs w:val="22"/>
          <w:lang w:eastAsia="de-DE" w:bidi="de-DE"/>
        </w:rPr>
        <w:t>[Art. 233bis umnummeriert zu Art. 233/2 durch Art. 3 des K.E. vom 18. Februar 2018 (B.S. vom 26. Februar 2018); § 1 Abs. 1 abgeändert durch Art. 3 Buchstabe a) und b) des K.E. vom 18. Februar 2018 (B.S. vom 26. Februar 2018); § 1 Abs. 2 abgeändert durch Art. 3 Buchstabe a) und b) des K.E. vom 18. Februar 2018 (B.S. vom 26. Februar 2018)</w:t>
      </w:r>
      <w:r w:rsidR="00EB697A">
        <w:rPr>
          <w:rFonts w:eastAsia="Calibri"/>
          <w:i/>
          <w:szCs w:val="22"/>
          <w:lang w:eastAsia="de-DE" w:bidi="de-DE"/>
        </w:rPr>
        <w:t>; § 1 Abs. 3 abgeändert durch Art. 3 Buchstabe b) des K.E. vom 18. Februar 2018 (B.S. vom 26. Februar 2018)</w:t>
      </w:r>
      <w:r>
        <w:rPr>
          <w:rFonts w:eastAsia="Calibri"/>
          <w:i/>
          <w:szCs w:val="22"/>
          <w:lang w:eastAsia="de-DE" w:bidi="de-DE"/>
        </w:rPr>
        <w:t>]</w:t>
      </w:r>
    </w:p>
    <w:p w14:paraId="3B2029B4" w14:textId="77777777" w:rsidR="00EB697A" w:rsidRDefault="00EB697A" w:rsidP="003426CA">
      <w:pPr>
        <w:jc w:val="both"/>
        <w:rPr>
          <w:rFonts w:eastAsia="Calibri"/>
          <w:i/>
          <w:szCs w:val="22"/>
          <w:lang w:eastAsia="de-DE" w:bidi="de-DE"/>
        </w:rPr>
      </w:pPr>
    </w:p>
    <w:p w14:paraId="5BECA0DA" w14:textId="77777777" w:rsidR="00EB697A" w:rsidRDefault="00EB697A" w:rsidP="003426CA">
      <w:pPr>
        <w:jc w:val="both"/>
        <w:rPr>
          <w:rFonts w:eastAsia="Calibri"/>
          <w:szCs w:val="22"/>
          <w:lang w:eastAsia="de-DE" w:bidi="de-DE"/>
        </w:rPr>
      </w:pPr>
    </w:p>
    <w:p w14:paraId="1FE3A975" w14:textId="77777777" w:rsidR="00EB697A" w:rsidRPr="00287968" w:rsidRDefault="00EB697A" w:rsidP="00EB697A">
      <w:pPr>
        <w:ind w:firstLine="708"/>
        <w:jc w:val="both"/>
      </w:pPr>
      <w:r>
        <w:rPr>
          <w:rFonts w:eastAsia="Calibri"/>
          <w:szCs w:val="22"/>
          <w:lang w:eastAsia="de-DE" w:bidi="de-DE"/>
        </w:rPr>
        <w:lastRenderedPageBreak/>
        <w:t>[</w:t>
      </w:r>
      <w:r w:rsidRPr="00EB697A">
        <w:rPr>
          <w:b/>
        </w:rPr>
        <w:t>Art. 233/3</w:t>
      </w:r>
      <w:r w:rsidRPr="00287968">
        <w:t> - § 1 - Der Föderale Öffentliche Dienst Finanzen teilt jeder Gemeinde die Veranschlagungen des Aufkommens der Gemeindezuschlagsteuer auf die Steuer der natürlichen Personen in Bezug auf dasselbe Haushaltsjahr mit. Die ursprüngliche Veranschlagung wird im Laufe des letzten Quartals des Kalenderjahres vor dem Haushaltsjahr, auf das sich die Veranschlagung bezieht, mitgeteilt. Wenn nötig wird eine neue Veranschlagung im Laufe des zweiten Quartals des Kalenderjahres, das dem laufenden Haushaltsjahr entspricht, mitgeteilt. Die vermutlichen Einnahmen werden im Laufe des letzten Quartals desselben Jahres mitgeteilt.</w:t>
      </w:r>
    </w:p>
    <w:p w14:paraId="7BE8B44F" w14:textId="77777777" w:rsidR="00EB697A" w:rsidRPr="00287968" w:rsidRDefault="00EB697A" w:rsidP="00EB697A">
      <w:pPr>
        <w:jc w:val="both"/>
      </w:pPr>
    </w:p>
    <w:p w14:paraId="295A2D7E" w14:textId="77777777" w:rsidR="00EB697A" w:rsidRPr="00287968" w:rsidRDefault="00EB697A" w:rsidP="00EB697A">
      <w:pPr>
        <w:ind w:firstLine="708"/>
        <w:jc w:val="both"/>
      </w:pPr>
      <w:r w:rsidRPr="00287968">
        <w:t>Diese Mitteilung erfolgt elektronisch oder durch gewöhnlichen Brief und ist an das betreffende Bürgermeister- und Schöffenkollegium gerichtet.</w:t>
      </w:r>
    </w:p>
    <w:p w14:paraId="038FF8BE" w14:textId="77777777" w:rsidR="00EB697A" w:rsidRPr="00287968" w:rsidRDefault="00EB697A" w:rsidP="00EB697A">
      <w:pPr>
        <w:jc w:val="both"/>
      </w:pPr>
    </w:p>
    <w:p w14:paraId="45464CD1" w14:textId="77777777" w:rsidR="00EB697A" w:rsidRPr="00287968" w:rsidRDefault="00EB697A" w:rsidP="00EB697A">
      <w:pPr>
        <w:ind w:firstLine="708"/>
        <w:jc w:val="both"/>
      </w:pPr>
      <w:r w:rsidRPr="00287968">
        <w:t>§ 2 - Die mit der Einnahme und Beitreibung der Einkommensteuern beauftragte Verwaltung lässt dem Bürgermeister- und Schöffenkollegium jeder Gemeinde monatlich elektronisch oder durch gewöhnlichen Brief eine Aufstellung zukommen, in der die für Rechnung der Gemeinde tatsächlich eingenommenen Einnahmen für das Aufkommen der Gemeindezuschlagsteuer auf die Steuer der natürlichen Personen angegeben sind, abzüglich der Nachlasse, die für ihre Rechnung in dem Monat vor dem Monat des Versands der Aufstellung ausgezahlt werden. Diese Aufstellung enthält zudem die in Artikel 470 des Einkommensteuergesetzbuches 1992 erwähnten Verwaltungskosten in Zusammenhang mit den eingenommenen Einnahmen.</w:t>
      </w:r>
    </w:p>
    <w:p w14:paraId="34FDC5D1" w14:textId="77777777" w:rsidR="00EB697A" w:rsidRPr="00287968" w:rsidRDefault="00EB697A" w:rsidP="00EB697A">
      <w:pPr>
        <w:jc w:val="both"/>
      </w:pPr>
    </w:p>
    <w:p w14:paraId="069ABF3E" w14:textId="77777777" w:rsidR="00EB697A" w:rsidRPr="00287968" w:rsidRDefault="00EB697A" w:rsidP="00EB697A">
      <w:pPr>
        <w:ind w:firstLine="708"/>
        <w:jc w:val="both"/>
      </w:pPr>
      <w:r w:rsidRPr="00287968">
        <w:t>§ 3 - Gemäß Artikel 470/2 Absatz 3 des Einkommensteuergesetzbuches 1992 lässt der Föderale Öffentliche Dienst Finanzen dem Bürgermeister- und Schöffenkollegium jeder Gemeinde im Laufe des Monats Mai jeden Jahres elektronisch oder durch gewöhnlichen Brief die im vorerwähnten Artikel erwähnte Aufstellung zukommen.</w:t>
      </w:r>
    </w:p>
    <w:p w14:paraId="79A7589B" w14:textId="77777777" w:rsidR="00EB697A" w:rsidRPr="00287968" w:rsidRDefault="00EB697A" w:rsidP="00EB697A">
      <w:pPr>
        <w:jc w:val="both"/>
      </w:pPr>
    </w:p>
    <w:p w14:paraId="23FF1D29" w14:textId="77777777" w:rsidR="00EB697A" w:rsidRPr="00287968" w:rsidRDefault="00EB697A" w:rsidP="00EB697A">
      <w:pPr>
        <w:ind w:firstLine="708"/>
        <w:jc w:val="both"/>
      </w:pPr>
      <w:r w:rsidRPr="00287968">
        <w:t>§ 4 - Der in Artikel 470/2 Absatz 6 des Einkommensteuergesetzbuches 1992 erwähnte Ausgleich eines im Laufe der Monate Mai, Juni oder Juli festgestellten negativen Saldos durch die tatsächlichen Zuweisungen erfolgt ohne Formalitäten.</w:t>
      </w:r>
    </w:p>
    <w:p w14:paraId="0D0E6246" w14:textId="77777777" w:rsidR="00EB697A" w:rsidRPr="00287968" w:rsidRDefault="00EB697A" w:rsidP="00EB697A">
      <w:pPr>
        <w:jc w:val="both"/>
      </w:pPr>
    </w:p>
    <w:p w14:paraId="7BDCC9A1" w14:textId="77777777" w:rsidR="00EB697A" w:rsidRPr="00287968" w:rsidRDefault="00EB697A" w:rsidP="00EB697A">
      <w:pPr>
        <w:ind w:firstLine="708"/>
        <w:jc w:val="both"/>
      </w:pPr>
      <w:r w:rsidRPr="00287968">
        <w:t>§ 5 - Für die Anwendung von Artikel 470/2 Absatz 7 des Einkommen</w:t>
      </w:r>
      <w:r w:rsidRPr="00287968">
        <w:softHyphen/>
        <w:t>steuergesetzbuches 1992 notifiziert die mit der Einnahme und Beitreibung der Einkommensteuern beauftragte Verwaltung dem Bürgermeister- und Schöffenkollegium per Einschreiben den Betrag ihrer Schuldforderung am ersten Werktag nach dem Tag, an dem festgestellt wird, dass eine Zahlung durch Kontobelastung durchgeführt werden muss.</w:t>
      </w:r>
    </w:p>
    <w:p w14:paraId="60301A26" w14:textId="77777777" w:rsidR="00EB697A" w:rsidRPr="00287968" w:rsidRDefault="00EB697A" w:rsidP="00EB697A">
      <w:pPr>
        <w:jc w:val="both"/>
      </w:pPr>
    </w:p>
    <w:p w14:paraId="30681CF7" w14:textId="77777777" w:rsidR="00EB697A" w:rsidRDefault="00EB697A" w:rsidP="00EB697A">
      <w:pPr>
        <w:ind w:firstLine="708"/>
        <w:jc w:val="both"/>
        <w:rPr>
          <w:rFonts w:eastAsia="Calibri"/>
          <w:szCs w:val="22"/>
          <w:lang w:eastAsia="de-DE" w:bidi="de-DE"/>
        </w:rPr>
      </w:pPr>
      <w:r w:rsidRPr="00287968">
        <w:t>Die mit der Einnahme und Beitreibung der Einkommensteuern beauftragte Verwaltung notifiziert dem Kreditinstitut, das mit der Führung des Finanzkontos der betreffenden Gemeinde beauftragt ist, per Einschreiben den Betrag ihrer Schuldforderung, damit das Kreditinstitut diesen Betrag von Amts wegen von dem Finanzkonto der betreffenden Gemeinde abhebt.</w:t>
      </w:r>
      <w:r>
        <w:rPr>
          <w:rFonts w:eastAsia="Calibri"/>
          <w:szCs w:val="22"/>
          <w:lang w:eastAsia="de-DE" w:bidi="de-DE"/>
        </w:rPr>
        <w:t>]</w:t>
      </w:r>
    </w:p>
    <w:p w14:paraId="252BFE8F" w14:textId="77777777" w:rsidR="00EB697A" w:rsidRDefault="00EB697A" w:rsidP="00EB697A">
      <w:pPr>
        <w:ind w:firstLine="708"/>
        <w:jc w:val="both"/>
        <w:rPr>
          <w:rFonts w:eastAsia="Calibri"/>
          <w:szCs w:val="22"/>
          <w:lang w:eastAsia="de-DE" w:bidi="de-DE"/>
        </w:rPr>
      </w:pPr>
    </w:p>
    <w:p w14:paraId="23D16AB9" w14:textId="77777777" w:rsidR="00EB697A" w:rsidRPr="00EB697A" w:rsidRDefault="00EB697A" w:rsidP="00EB697A">
      <w:pPr>
        <w:jc w:val="both"/>
        <w:rPr>
          <w:rFonts w:eastAsia="Calibri"/>
          <w:i/>
          <w:szCs w:val="22"/>
          <w:lang w:eastAsia="de-DE" w:bidi="de-DE"/>
        </w:rPr>
      </w:pPr>
      <w:r>
        <w:rPr>
          <w:rFonts w:eastAsia="Calibri"/>
          <w:i/>
          <w:szCs w:val="22"/>
          <w:lang w:eastAsia="de-DE" w:bidi="de-DE"/>
        </w:rPr>
        <w:t>[Art. 233/3 eingefügt durch Art. 4</w:t>
      </w:r>
      <w:r w:rsidRPr="00EB697A">
        <w:rPr>
          <w:rFonts w:eastAsia="Calibri"/>
          <w:i/>
          <w:szCs w:val="22"/>
          <w:lang w:eastAsia="de-DE" w:bidi="de-DE"/>
        </w:rPr>
        <w:t xml:space="preserve"> des K.E. vom 18. Februar 2018 (B.S. vom 26. Februar 2018)</w:t>
      </w:r>
      <w:r>
        <w:rPr>
          <w:rFonts w:eastAsia="Calibri"/>
          <w:i/>
          <w:szCs w:val="22"/>
          <w:lang w:eastAsia="de-DE" w:bidi="de-DE"/>
        </w:rPr>
        <w:t>]</w:t>
      </w:r>
    </w:p>
    <w:p w14:paraId="33F80C95" w14:textId="77777777" w:rsidR="003426CA" w:rsidRPr="00D21420" w:rsidRDefault="003426CA" w:rsidP="003426CA">
      <w:pPr>
        <w:jc w:val="both"/>
        <w:rPr>
          <w:rFonts w:eastAsia="Calibri"/>
          <w:szCs w:val="22"/>
          <w:lang w:eastAsia="de-DE" w:bidi="de-DE"/>
        </w:rPr>
      </w:pPr>
    </w:p>
    <w:p w14:paraId="4E076DA5" w14:textId="77777777" w:rsidR="00970B24" w:rsidRDefault="00970B24">
      <w:pPr>
        <w:rPr>
          <w:rFonts w:eastAsia="Calibri"/>
          <w:szCs w:val="22"/>
          <w:lang w:eastAsia="de-DE" w:bidi="de-DE"/>
        </w:rPr>
      </w:pPr>
      <w:r>
        <w:rPr>
          <w:rFonts w:eastAsia="Calibri"/>
          <w:szCs w:val="22"/>
          <w:lang w:eastAsia="de-DE" w:bidi="de-DE"/>
        </w:rPr>
        <w:br w:type="page"/>
      </w:r>
    </w:p>
    <w:p w14:paraId="0E0631A7" w14:textId="77777777" w:rsidR="003426CA" w:rsidRPr="00D21420" w:rsidRDefault="003426CA" w:rsidP="003426CA">
      <w:pPr>
        <w:jc w:val="center"/>
        <w:rPr>
          <w:rFonts w:eastAsia="Calibri"/>
          <w:szCs w:val="22"/>
          <w:lang w:eastAsia="de-DE" w:bidi="de-DE"/>
        </w:rPr>
      </w:pPr>
      <w:r w:rsidRPr="00D21420">
        <w:rPr>
          <w:rFonts w:eastAsia="Calibri"/>
          <w:szCs w:val="22"/>
          <w:lang w:eastAsia="de-DE" w:bidi="de-DE"/>
        </w:rPr>
        <w:lastRenderedPageBreak/>
        <w:t xml:space="preserve">KAPITEL 5 - </w:t>
      </w:r>
      <w:r w:rsidRPr="00D21420">
        <w:rPr>
          <w:rFonts w:eastAsia="Calibri"/>
          <w:i/>
          <w:szCs w:val="22"/>
          <w:lang w:eastAsia="de-DE" w:bidi="de-DE"/>
        </w:rPr>
        <w:t>Übergangsmaßnahmen</w:t>
      </w:r>
    </w:p>
    <w:p w14:paraId="1EAB9DED" w14:textId="77777777" w:rsidR="003426CA" w:rsidRPr="00D21420" w:rsidRDefault="003426CA" w:rsidP="003426CA">
      <w:pPr>
        <w:jc w:val="center"/>
        <w:rPr>
          <w:rFonts w:eastAsia="Calibri"/>
          <w:szCs w:val="22"/>
          <w:lang w:eastAsia="de-DE" w:bidi="de-DE"/>
        </w:rPr>
      </w:pPr>
    </w:p>
    <w:p w14:paraId="38D640CD" w14:textId="77777777" w:rsidR="003426CA" w:rsidRPr="00D21420" w:rsidRDefault="003426CA" w:rsidP="003426CA">
      <w:pPr>
        <w:jc w:val="center"/>
        <w:rPr>
          <w:rFonts w:eastAsia="Calibri"/>
          <w:szCs w:val="22"/>
          <w:lang w:eastAsia="de-DE" w:bidi="de-DE"/>
        </w:rPr>
      </w:pPr>
      <w:r w:rsidRPr="00D21420">
        <w:rPr>
          <w:rFonts w:eastAsia="Calibri"/>
          <w:i/>
          <w:szCs w:val="22"/>
          <w:lang w:eastAsia="de-DE" w:bidi="de-DE"/>
        </w:rPr>
        <w:t>Abschnitt 1</w:t>
      </w:r>
      <w:r w:rsidRPr="00D21420">
        <w:rPr>
          <w:rFonts w:eastAsia="Calibri"/>
          <w:szCs w:val="22"/>
          <w:lang w:eastAsia="de-DE" w:bidi="de-DE"/>
        </w:rPr>
        <w:t> - Einbehaltung eines Teils des Mobiliensteuervorabzugs</w:t>
      </w:r>
    </w:p>
    <w:p w14:paraId="0E80B8B1" w14:textId="77777777" w:rsidR="003426CA" w:rsidRPr="00D21420" w:rsidRDefault="003426CA" w:rsidP="003426CA">
      <w:pPr>
        <w:jc w:val="center"/>
        <w:rPr>
          <w:rFonts w:eastAsia="Calibri"/>
          <w:szCs w:val="22"/>
          <w:lang w:eastAsia="de-DE" w:bidi="de-DE"/>
        </w:rPr>
      </w:pPr>
    </w:p>
    <w:p w14:paraId="7B3A04F6" w14:textId="77777777" w:rsidR="003426CA" w:rsidRPr="00D21420" w:rsidRDefault="003426CA" w:rsidP="003426CA">
      <w:pPr>
        <w:jc w:val="center"/>
        <w:rPr>
          <w:rFonts w:eastAsia="Calibri"/>
          <w:szCs w:val="22"/>
          <w:lang w:eastAsia="de-DE" w:bidi="de-DE"/>
        </w:rPr>
      </w:pPr>
      <w:r w:rsidRPr="00D21420">
        <w:rPr>
          <w:rFonts w:eastAsia="Calibri"/>
          <w:szCs w:val="22"/>
          <w:lang w:eastAsia="de-DE" w:bidi="de-DE"/>
        </w:rPr>
        <w:t>(Einkommensteuergesetzbuch 1992, Artikel 507 Absatz 3)</w:t>
      </w:r>
    </w:p>
    <w:p w14:paraId="7BDD4714" w14:textId="77777777" w:rsidR="003426CA" w:rsidRPr="00D21420" w:rsidRDefault="003426CA" w:rsidP="003426CA">
      <w:pPr>
        <w:jc w:val="both"/>
        <w:rPr>
          <w:rFonts w:eastAsia="Calibri"/>
          <w:szCs w:val="22"/>
          <w:lang w:eastAsia="de-DE" w:bidi="de-DE"/>
        </w:rPr>
      </w:pPr>
    </w:p>
    <w:p w14:paraId="72FCB1E4" w14:textId="77777777" w:rsidR="003426CA" w:rsidRPr="00D21420" w:rsidRDefault="003426CA" w:rsidP="003426CA">
      <w:pPr>
        <w:jc w:val="both"/>
        <w:rPr>
          <w:rFonts w:eastAsia="Calibri"/>
          <w:szCs w:val="22"/>
          <w:lang w:eastAsia="de-DE" w:bidi="de-DE"/>
        </w:rPr>
      </w:pPr>
    </w:p>
    <w:p w14:paraId="634159C2"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234</w:t>
      </w:r>
      <w:r w:rsidRPr="00D21420">
        <w:rPr>
          <w:rFonts w:eastAsia="Calibri"/>
          <w:szCs w:val="22"/>
          <w:lang w:eastAsia="de-DE" w:bidi="de-DE"/>
        </w:rPr>
        <w:t> - Wenn die Mobiliensteuer beziehungsweise der Mobiliensteuervorabzug aufgrund von Abkommen, die entweder vor dem 1. Dezember 1962 oder ab dem 1. Dezember 1962 bis zum 31. Dezember 1966 einschließlich geschlossen wurden, zu Lasten des Schuldners der Einkünfte gehen, hat Letzterer das Recht, die Differenz zwischen dem in Ausführung des Einkommensteuergesetzbuches 1992 und des vorliegenden Erlasses geschuldeten Mobiliensteuervorabzug und dem Mobiliensteuervorabzug, der vor dem letztgenannten Datum zu Lasten des vorerwähnten Schuldners ging, auf die ab dem 1. Januar 1967 gewährten oder zuerkannten steuerpflichtigen Einkünfte einzubehalten.</w:t>
      </w:r>
    </w:p>
    <w:p w14:paraId="5D1D50E6" w14:textId="77777777" w:rsidR="003426CA" w:rsidRPr="00D21420" w:rsidRDefault="003426CA" w:rsidP="003426CA">
      <w:pPr>
        <w:jc w:val="both"/>
        <w:rPr>
          <w:rFonts w:eastAsia="Calibri"/>
          <w:szCs w:val="22"/>
          <w:lang w:eastAsia="de-DE" w:bidi="de-DE"/>
        </w:rPr>
      </w:pPr>
    </w:p>
    <w:p w14:paraId="48B57733"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Wird von dieser Möglichkeit Gebrauch gemacht, werden der vom Schuldner des Einkommens zu tragende Mobiliensteuervorabzug und der an der Quelle einzubehaltende Mobiliensteuervorabzug wie folgt festgelegt:</w:t>
      </w:r>
    </w:p>
    <w:p w14:paraId="74AAABBA" w14:textId="77777777" w:rsidR="003426CA" w:rsidRPr="00D21420" w:rsidRDefault="003426CA" w:rsidP="003426CA">
      <w:pPr>
        <w:jc w:val="both"/>
        <w:rPr>
          <w:rFonts w:eastAsia="Calibri"/>
          <w:szCs w:val="22"/>
          <w:lang w:eastAsia="de-DE" w:bidi="de-DE"/>
        </w:rPr>
      </w:pPr>
    </w:p>
    <w:p w14:paraId="528AF45B"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1. Bei Zinsen belgischer öffentlicher Wertpapiere, die vor dem 1. Dezember 1962 ausgegeben wurden, die nicht von der Mobiliensteuer oder von Realsteuern befreit waren und die in Ausführung von Abkommen gewährt oder zuerkannt werden, die die Mobiliensteuer zu Lasten des Schuldners legen:</w:t>
      </w:r>
    </w:p>
    <w:p w14:paraId="37CD3594" w14:textId="77777777" w:rsidR="003426CA" w:rsidRPr="00D21420" w:rsidRDefault="003426CA" w:rsidP="003426CA">
      <w:pPr>
        <w:jc w:val="both"/>
        <w:rPr>
          <w:rFonts w:eastAsia="Calibri"/>
          <w:szCs w:val="22"/>
          <w:lang w:eastAsia="de-DE" w:bidi="de-DE"/>
        </w:rPr>
      </w:pPr>
    </w:p>
    <w:p w14:paraId="568D4588"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i/>
          <w:szCs w:val="22"/>
          <w:lang w:eastAsia="de-DE" w:bidi="de-DE"/>
        </w:rPr>
        <w:t>a)</w:t>
      </w:r>
      <w:r w:rsidRPr="00D21420">
        <w:rPr>
          <w:rFonts w:eastAsia="Calibri"/>
          <w:szCs w:val="22"/>
          <w:lang w:eastAsia="de-DE" w:bidi="de-DE"/>
        </w:rPr>
        <w:t> entspricht der vom Schuldner zu tragende Mobiliensteuervorabzug 2/98 des Betrags des vertraglichen Nettoeinkommens,</w:t>
      </w:r>
    </w:p>
    <w:p w14:paraId="04B15949" w14:textId="77777777" w:rsidR="003426CA" w:rsidRPr="00D21420" w:rsidRDefault="003426CA" w:rsidP="003426CA">
      <w:pPr>
        <w:jc w:val="both"/>
        <w:rPr>
          <w:rFonts w:eastAsia="Calibri"/>
          <w:szCs w:val="22"/>
          <w:lang w:eastAsia="de-DE" w:bidi="de-DE"/>
        </w:rPr>
      </w:pPr>
    </w:p>
    <w:p w14:paraId="22BB080F"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i/>
          <w:szCs w:val="22"/>
          <w:lang w:eastAsia="de-DE" w:bidi="de-DE"/>
        </w:rPr>
        <w:t>b)</w:t>
      </w:r>
      <w:r w:rsidRPr="00D21420">
        <w:rPr>
          <w:rFonts w:eastAsia="Calibri"/>
          <w:szCs w:val="22"/>
          <w:lang w:eastAsia="de-DE" w:bidi="de-DE"/>
        </w:rPr>
        <w:t> entspricht der an der Quelle einzubehaltende Mobiliensteuervorabzug 10,5 Prozent desselben Betrags.</w:t>
      </w:r>
    </w:p>
    <w:p w14:paraId="7C30E650" w14:textId="77777777" w:rsidR="003426CA" w:rsidRPr="00D21420" w:rsidRDefault="003426CA" w:rsidP="003426CA">
      <w:pPr>
        <w:jc w:val="both"/>
        <w:rPr>
          <w:rFonts w:eastAsia="Calibri"/>
          <w:szCs w:val="22"/>
          <w:lang w:eastAsia="de-DE" w:bidi="de-DE"/>
        </w:rPr>
      </w:pPr>
    </w:p>
    <w:p w14:paraId="7B00741C"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2. Bei anderen Einkünften, die gewährt oder zuerkannt werden in Ausführung von:</w:t>
      </w:r>
    </w:p>
    <w:p w14:paraId="5B73497C" w14:textId="77777777" w:rsidR="003426CA" w:rsidRPr="00D21420" w:rsidRDefault="003426CA" w:rsidP="003426CA">
      <w:pPr>
        <w:jc w:val="both"/>
        <w:rPr>
          <w:rFonts w:eastAsia="Calibri"/>
          <w:szCs w:val="22"/>
          <w:lang w:eastAsia="de-DE" w:bidi="de-DE"/>
        </w:rPr>
      </w:pPr>
    </w:p>
    <w:p w14:paraId="70D708DD"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i/>
          <w:szCs w:val="22"/>
          <w:lang w:eastAsia="de-DE" w:bidi="de-DE"/>
        </w:rPr>
        <w:t>a)</w:t>
      </w:r>
      <w:r w:rsidRPr="00D21420">
        <w:rPr>
          <w:rFonts w:eastAsia="Calibri"/>
          <w:szCs w:val="22"/>
          <w:lang w:eastAsia="de-DE" w:bidi="de-DE"/>
        </w:rPr>
        <w:t> Abkommen, die vor dem 1. Dezember 1962 geschlossen wurden und die die Mobiliensteuer zu Lasten des Schuldners legen:</w:t>
      </w:r>
    </w:p>
    <w:p w14:paraId="047BF8EE" w14:textId="77777777" w:rsidR="003426CA" w:rsidRPr="00D21420" w:rsidRDefault="003426CA" w:rsidP="003426CA">
      <w:pPr>
        <w:jc w:val="both"/>
        <w:rPr>
          <w:rFonts w:eastAsia="Calibri"/>
          <w:szCs w:val="22"/>
          <w:lang w:eastAsia="de-DE" w:bidi="de-DE"/>
        </w:rPr>
      </w:pPr>
    </w:p>
    <w:p w14:paraId="230972A4" w14:textId="77777777" w:rsidR="003426CA" w:rsidRDefault="003426CA" w:rsidP="003426CA">
      <w:pPr>
        <w:jc w:val="both"/>
        <w:rPr>
          <w:rFonts w:eastAsia="Calibri"/>
          <w:szCs w:val="22"/>
          <w:lang w:eastAsia="de-DE" w:bidi="de-DE"/>
        </w:rPr>
      </w:pPr>
      <w:r w:rsidRPr="00D21420">
        <w:rPr>
          <w:rFonts w:eastAsia="Calibri"/>
          <w:szCs w:val="22"/>
          <w:lang w:eastAsia="de-DE" w:bidi="de-DE"/>
        </w:rPr>
        <w:tab/>
        <w:t>- entspricht der vom Schuldner zu tragende Mobiliensteuervorabzug 2/98, 3/97, 4/96, 6/94 oder 8/92 des Betrags des vertraglichen Nettoeinkommens, je nachdem, ob dieses Einkommen vor Inkrafttreten des Gesetzes vom 15. Juli 1966 zur Abänderung des Einkommensteuergesetzbuches dem Mobiliensteuervorabzug zum Satz von 2,4 Prozent, 3 Prozent, 4 Prozent, 6 Prozent beziehungsweise 8 Prozent unterlag,</w:t>
      </w:r>
    </w:p>
    <w:p w14:paraId="3C7FCF8D" w14:textId="77777777" w:rsidR="00970B24" w:rsidRDefault="00970B24" w:rsidP="003426CA">
      <w:pPr>
        <w:jc w:val="both"/>
        <w:rPr>
          <w:rFonts w:eastAsia="Calibri"/>
          <w:szCs w:val="22"/>
          <w:lang w:eastAsia="de-DE" w:bidi="de-DE"/>
        </w:rPr>
      </w:pPr>
    </w:p>
    <w:p w14:paraId="0E4A2320"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 entspricht der an der Quelle einzubehaltende Mobiliensteuervorabzug 10,5/98, 9,5/97, 8,5/96, 6,5/94 beziehungsweise 4,5/92 desselben Betrags, entsprechend der vorstehend vorgesehenen Unterscheidung in Bezug auf den Mobiliensteuervorabzugssatz,</w:t>
      </w:r>
    </w:p>
    <w:p w14:paraId="4D32405E" w14:textId="77777777" w:rsidR="003426CA" w:rsidRPr="00D21420" w:rsidRDefault="003426CA" w:rsidP="003426CA">
      <w:pPr>
        <w:jc w:val="both"/>
        <w:rPr>
          <w:rFonts w:eastAsia="Calibri"/>
          <w:szCs w:val="22"/>
          <w:lang w:eastAsia="de-DE" w:bidi="de-DE"/>
        </w:rPr>
      </w:pPr>
    </w:p>
    <w:p w14:paraId="1BDC2367" w14:textId="77777777" w:rsidR="00970B24" w:rsidRDefault="00970B24">
      <w:pPr>
        <w:rPr>
          <w:rFonts w:eastAsia="Calibri"/>
          <w:szCs w:val="22"/>
          <w:lang w:eastAsia="de-DE" w:bidi="de-DE"/>
        </w:rPr>
      </w:pPr>
      <w:r>
        <w:rPr>
          <w:rFonts w:eastAsia="Calibri"/>
          <w:szCs w:val="22"/>
          <w:lang w:eastAsia="de-DE" w:bidi="de-DE"/>
        </w:rPr>
        <w:br w:type="page"/>
      </w:r>
    </w:p>
    <w:p w14:paraId="6746E44F"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lastRenderedPageBreak/>
        <w:tab/>
      </w:r>
      <w:r w:rsidRPr="00D21420">
        <w:rPr>
          <w:rFonts w:eastAsia="Calibri"/>
          <w:i/>
          <w:szCs w:val="22"/>
          <w:lang w:eastAsia="de-DE" w:bidi="de-DE"/>
        </w:rPr>
        <w:t>b)</w:t>
      </w:r>
      <w:r w:rsidRPr="00D21420">
        <w:rPr>
          <w:rFonts w:eastAsia="Calibri"/>
          <w:szCs w:val="22"/>
          <w:lang w:eastAsia="de-DE" w:bidi="de-DE"/>
        </w:rPr>
        <w:t> Abkommen, die ab dem 1. Dezember 1962 bis zum 31. Dezember 1966 einschließlich geschlossen wurden und die die Mobiliensteuer zu Lasten des Schuldners legen:</w:t>
      </w:r>
    </w:p>
    <w:p w14:paraId="25B185E4" w14:textId="77777777" w:rsidR="003426CA" w:rsidRPr="00D21420" w:rsidRDefault="003426CA" w:rsidP="003426CA">
      <w:pPr>
        <w:jc w:val="both"/>
        <w:rPr>
          <w:rFonts w:eastAsia="Calibri"/>
          <w:szCs w:val="22"/>
          <w:lang w:eastAsia="de-DE" w:bidi="de-DE"/>
        </w:rPr>
      </w:pPr>
    </w:p>
    <w:p w14:paraId="266A317B"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 entspricht der vom Schuldner zu tragende Mobiliensteuervorabzug 15/85 des Betrags des vertraglichen Nettoeinkommens,</w:t>
      </w:r>
    </w:p>
    <w:p w14:paraId="52F8F142" w14:textId="77777777" w:rsidR="003426CA" w:rsidRPr="00D21420" w:rsidRDefault="003426CA" w:rsidP="003426CA">
      <w:pPr>
        <w:jc w:val="both"/>
        <w:rPr>
          <w:rFonts w:eastAsia="Calibri"/>
          <w:szCs w:val="22"/>
          <w:lang w:eastAsia="de-DE" w:bidi="de-DE"/>
        </w:rPr>
      </w:pPr>
    </w:p>
    <w:p w14:paraId="334C45F2"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 entspricht der an der Quelle einzubehaltende Mobiliensteuervorabzug 10/85 desselben Betrags.</w:t>
      </w:r>
    </w:p>
    <w:p w14:paraId="10242E02" w14:textId="77777777" w:rsidR="003426CA" w:rsidRPr="00D21420" w:rsidRDefault="003426CA" w:rsidP="003426CA">
      <w:pPr>
        <w:jc w:val="both"/>
        <w:rPr>
          <w:rFonts w:eastAsia="Calibri"/>
          <w:szCs w:val="22"/>
          <w:lang w:eastAsia="de-DE" w:bidi="de-DE"/>
        </w:rPr>
      </w:pPr>
    </w:p>
    <w:p w14:paraId="5705B514" w14:textId="77777777" w:rsidR="003426CA" w:rsidRPr="00D21420" w:rsidRDefault="003426CA" w:rsidP="003426CA">
      <w:pPr>
        <w:jc w:val="both"/>
        <w:rPr>
          <w:rFonts w:eastAsia="Calibri"/>
          <w:szCs w:val="22"/>
          <w:lang w:eastAsia="de-DE" w:bidi="de-DE"/>
        </w:rPr>
      </w:pPr>
    </w:p>
    <w:p w14:paraId="11009C81" w14:textId="77777777" w:rsidR="003426CA" w:rsidRPr="00D21420" w:rsidRDefault="003426CA" w:rsidP="003426CA">
      <w:pPr>
        <w:jc w:val="both"/>
        <w:rPr>
          <w:rFonts w:eastAsia="Calibri"/>
          <w:szCs w:val="22"/>
          <w:lang w:eastAsia="de-DE" w:bidi="de-DE"/>
        </w:rPr>
      </w:pPr>
      <w:r w:rsidRPr="00D21420">
        <w:rPr>
          <w:rFonts w:eastAsia="Calibri"/>
          <w:i/>
          <w:szCs w:val="22"/>
          <w:lang w:eastAsia="de-DE" w:bidi="de-DE"/>
        </w:rPr>
        <w:t>Abschnitt 2 -</w:t>
      </w:r>
      <w:r w:rsidRPr="00D21420">
        <w:rPr>
          <w:rFonts w:eastAsia="Calibri"/>
          <w:szCs w:val="22"/>
          <w:lang w:eastAsia="de-DE" w:bidi="de-DE"/>
        </w:rPr>
        <w:t xml:space="preserve"> Neubewertung für die Berechnung der Abschreibung bestimmter Aktiva, die vor dem normalen Datum des Abschlusses der letzten Jahresbilanz vor dem 31. Dezember 1940 erworben oder gebildet wurden und die am normalen Datum des Abschlusses der letzten Jahresbilanz vor dem 31. Dezember 1946 noch in Gebrauch waren</w:t>
      </w:r>
    </w:p>
    <w:p w14:paraId="5F80CB57" w14:textId="77777777" w:rsidR="003426CA" w:rsidRPr="00D21420" w:rsidRDefault="003426CA" w:rsidP="003426CA">
      <w:pPr>
        <w:jc w:val="both"/>
        <w:rPr>
          <w:rFonts w:eastAsia="Calibri"/>
          <w:szCs w:val="22"/>
          <w:lang w:eastAsia="de-DE" w:bidi="de-DE"/>
        </w:rPr>
      </w:pPr>
    </w:p>
    <w:p w14:paraId="6B05B792" w14:textId="77777777" w:rsidR="003426CA" w:rsidRPr="00D21420" w:rsidRDefault="003426CA" w:rsidP="003426CA">
      <w:pPr>
        <w:jc w:val="center"/>
        <w:rPr>
          <w:rFonts w:eastAsia="Calibri"/>
          <w:szCs w:val="22"/>
          <w:lang w:eastAsia="de-DE" w:bidi="de-DE"/>
        </w:rPr>
      </w:pPr>
      <w:r w:rsidRPr="00D21420">
        <w:rPr>
          <w:rFonts w:eastAsia="Calibri"/>
          <w:szCs w:val="22"/>
          <w:lang w:eastAsia="de-DE" w:bidi="de-DE"/>
        </w:rPr>
        <w:t>(Einkommensteuergesetzbuch 1992, Artikel 511 § 2)</w:t>
      </w:r>
    </w:p>
    <w:p w14:paraId="55605C9D" w14:textId="77777777" w:rsidR="003426CA" w:rsidRPr="00D21420" w:rsidRDefault="003426CA" w:rsidP="003426CA">
      <w:pPr>
        <w:jc w:val="both"/>
        <w:rPr>
          <w:rFonts w:eastAsia="Calibri"/>
          <w:szCs w:val="22"/>
          <w:lang w:eastAsia="de-DE" w:bidi="de-DE"/>
        </w:rPr>
      </w:pPr>
    </w:p>
    <w:p w14:paraId="6CCDE78C" w14:textId="77777777" w:rsidR="003426CA" w:rsidRPr="00D21420" w:rsidRDefault="003426CA" w:rsidP="003426CA">
      <w:pPr>
        <w:jc w:val="both"/>
        <w:rPr>
          <w:rFonts w:eastAsia="Calibri"/>
          <w:szCs w:val="22"/>
          <w:lang w:eastAsia="de-DE" w:bidi="de-DE"/>
        </w:rPr>
      </w:pPr>
    </w:p>
    <w:p w14:paraId="3238D102"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235</w:t>
      </w:r>
      <w:r w:rsidRPr="00D21420">
        <w:rPr>
          <w:rFonts w:eastAsia="Calibri"/>
          <w:szCs w:val="22"/>
          <w:lang w:eastAsia="de-DE" w:bidi="de-DE"/>
        </w:rPr>
        <w:t> - Für die Anwendung der Artikel 236 bis 252 versteht man unter Anschaffungs- oder Investitionswert von Aktiva die Kosten für ihren Erwerb oder ihre Bildung einschließlich der damit verbundenen Steuern und Gebühren, eventueller Kosten für Transport und Montage und ähnlicher Kosten.</w:t>
      </w:r>
    </w:p>
    <w:p w14:paraId="48B709F9" w14:textId="77777777" w:rsidR="003426CA" w:rsidRPr="00D21420" w:rsidRDefault="003426CA" w:rsidP="003426CA">
      <w:pPr>
        <w:jc w:val="both"/>
        <w:rPr>
          <w:rFonts w:eastAsia="Calibri"/>
          <w:szCs w:val="22"/>
          <w:lang w:eastAsia="de-DE" w:bidi="de-DE"/>
        </w:rPr>
      </w:pPr>
    </w:p>
    <w:p w14:paraId="310683E7" w14:textId="77777777" w:rsidR="003426CA" w:rsidRPr="00D21420" w:rsidRDefault="003426CA" w:rsidP="003426CA">
      <w:pPr>
        <w:jc w:val="both"/>
        <w:rPr>
          <w:rFonts w:eastAsia="Calibri"/>
          <w:szCs w:val="22"/>
          <w:lang w:eastAsia="de-DE" w:bidi="de-DE"/>
        </w:rPr>
      </w:pPr>
    </w:p>
    <w:p w14:paraId="61FF04B7"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236</w:t>
      </w:r>
      <w:r w:rsidRPr="00D21420">
        <w:rPr>
          <w:rFonts w:eastAsia="Calibri"/>
          <w:szCs w:val="22"/>
          <w:lang w:eastAsia="de-DE" w:bidi="de-DE"/>
        </w:rPr>
        <w:t> - Aktiva, deren Anschaffungs- oder Investitionswert für die Berechnung der unter Steuerbefreiung zugelassenen Abschreibung neu bewertet werden darf, sind Ausrüstung und damit gleichgesetzte Industriegebäude, das heißt feststehende oder mobile Maschinen, Werkzeuge und Geräte mit Zubehör und Industriegebäude und zu industriellen oder kommerziellen Zwecken genutztes Mobiliar, die als solche Teil der Ausrüstung sind und schnell verschleißen oder verfallen.</w:t>
      </w:r>
    </w:p>
    <w:p w14:paraId="0F64CB7B" w14:textId="77777777" w:rsidR="003426CA" w:rsidRPr="00D21420" w:rsidRDefault="003426CA" w:rsidP="003426CA">
      <w:pPr>
        <w:jc w:val="both"/>
        <w:rPr>
          <w:rFonts w:eastAsia="Calibri"/>
          <w:szCs w:val="22"/>
          <w:lang w:eastAsia="de-DE" w:bidi="de-DE"/>
        </w:rPr>
      </w:pPr>
    </w:p>
    <w:p w14:paraId="28DEEFD9"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Ausrüstung umfasst insbesondere in Handelsunternehmen genutzte Gegenstände, die entweder durch intensive Nutzung oder durch den Einfluss des technischen Fortschritts, der Mode und der Gepflogenheiten schnellem Verschleiß ausgesetzt sind oder häufig ersetzt werden müssen.</w:t>
      </w:r>
    </w:p>
    <w:p w14:paraId="0BA41A39" w14:textId="77777777" w:rsidR="003426CA" w:rsidRPr="00D21420" w:rsidRDefault="003426CA" w:rsidP="003426CA">
      <w:pPr>
        <w:jc w:val="both"/>
        <w:rPr>
          <w:rFonts w:eastAsia="Calibri"/>
          <w:szCs w:val="22"/>
          <w:lang w:eastAsia="de-DE" w:bidi="de-DE"/>
        </w:rPr>
      </w:pPr>
    </w:p>
    <w:p w14:paraId="318EADA3" w14:textId="77777777" w:rsidR="003426CA" w:rsidRPr="00D21420" w:rsidRDefault="003426CA" w:rsidP="003426CA">
      <w:pPr>
        <w:jc w:val="both"/>
        <w:rPr>
          <w:rFonts w:eastAsia="Calibri"/>
          <w:szCs w:val="22"/>
          <w:lang w:eastAsia="de-DE" w:bidi="de-DE"/>
        </w:rPr>
      </w:pPr>
    </w:p>
    <w:p w14:paraId="49A81125"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237</w:t>
      </w:r>
      <w:r w:rsidRPr="00D21420">
        <w:rPr>
          <w:rFonts w:eastAsia="Calibri"/>
          <w:szCs w:val="22"/>
          <w:lang w:eastAsia="de-DE" w:bidi="de-DE"/>
        </w:rPr>
        <w:t> - Vom Vorteil der Abschreibung des neu bewerteten Anschaffungs- oder Investitionswertes ausgeschlossen sind im Allgemeinen Grundstücke und Gebäude, die nicht als Industriegebäude, die mit Ausrüstung gleichgesetzt sind, gelten und die insbesondere als Wohnung oder Büro dienen; Gleiches gilt für Mobiliar in Wohnungen und Büros, Portfolio, Patente, Herstellerzeichen, Geschäfts- oder Firmenwert, Kundenstamm und Firmenname. Die Abschreibung dieser Aktiva muss in steuerlicher Hinsicht weiterhin auf der Grundlage des nicht neu bewerteten Anschaffungs- oder Investitionswertes erfolgen.</w:t>
      </w:r>
    </w:p>
    <w:p w14:paraId="4FA6847E"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br w:type="page"/>
      </w:r>
      <w:r w:rsidRPr="00D21420">
        <w:rPr>
          <w:rFonts w:eastAsia="Calibri"/>
          <w:szCs w:val="22"/>
          <w:lang w:eastAsia="de-DE" w:bidi="de-DE"/>
        </w:rPr>
        <w:lastRenderedPageBreak/>
        <w:tab/>
      </w:r>
      <w:r w:rsidRPr="00D21420">
        <w:rPr>
          <w:rFonts w:eastAsia="Calibri"/>
          <w:b/>
          <w:szCs w:val="22"/>
          <w:lang w:eastAsia="de-DE" w:bidi="de-DE"/>
        </w:rPr>
        <w:t>Art. 238</w:t>
      </w:r>
      <w:r w:rsidRPr="00D21420">
        <w:rPr>
          <w:rFonts w:eastAsia="Calibri"/>
          <w:szCs w:val="22"/>
          <w:lang w:eastAsia="de-DE" w:bidi="de-DE"/>
        </w:rPr>
        <w:t> - § 1 - Die Neubewertung darf sich nur auf Ausrüstung und damit gleichgesetzte Industriegebäude beziehen, die der Steuerpflichtige vor dem normalen Datum des Abschlusses der letzten Jahresbilanz vor dem 31. Dezember 1940 erworben oder gebildet hat und die am normalen Datum des Abschlusses der letzten Jahresbilanz vor dem 31. Dezember 1946 noch tatsächlich in Gebrauch waren.</w:t>
      </w:r>
    </w:p>
    <w:p w14:paraId="4235BDA0" w14:textId="77777777" w:rsidR="003426CA" w:rsidRPr="00D21420" w:rsidRDefault="003426CA" w:rsidP="003426CA">
      <w:pPr>
        <w:jc w:val="both"/>
        <w:rPr>
          <w:rFonts w:eastAsia="Calibri"/>
          <w:szCs w:val="22"/>
          <w:lang w:eastAsia="de-DE" w:bidi="de-DE"/>
        </w:rPr>
      </w:pPr>
    </w:p>
    <w:p w14:paraId="22B87386"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In Bezug auf Ausrüstung und damit gleichgesetzte Industriegebäude von Unternehmen, die durch Umwandlung, Fusion, Übernahme, Aufspaltung oder Übernahme bereits bestehender Unternehmen oder von Teilbetrieben solcher Unternehmen gegründet werden, wird jedoch das Datum des Erwerbs oder der Bildung dieser Aktiva durch die umgewandelten, übernommenen oder aufgespaltenen Unternehmen berücksichtigt, insofern diese Änderungen nicht zur Folge hatten, dass sich die während der Besetzung des Landes verwendeten Produktionsmittel in ihrer Gesamtheit erhöht haben. Unter demselben Vorbehalt wird für die Anwendung von Absatz 1 davon ausgegangen, dass Ausrüstung und damit gleichgesetzte Industriegebäude, die geliefert oder errichtet wurden in Ausführung von Verträgen oder Vereinbarungen, die vor dem in Absatz 1 festgelegten äußersten Erwerbs- oder Bildungsdatum geschlossen wurden, am Datum dieser Verträge oder Vereinbarungen erworben oder gebildet wurden.</w:t>
      </w:r>
    </w:p>
    <w:p w14:paraId="1934B1B3" w14:textId="77777777" w:rsidR="003426CA" w:rsidRPr="00D21420" w:rsidRDefault="003426CA" w:rsidP="003426CA">
      <w:pPr>
        <w:jc w:val="both"/>
        <w:rPr>
          <w:rFonts w:eastAsia="Calibri"/>
          <w:szCs w:val="22"/>
          <w:lang w:eastAsia="de-DE" w:bidi="de-DE"/>
        </w:rPr>
      </w:pPr>
    </w:p>
    <w:p w14:paraId="1591E796"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Vorerwähnte Aktiva, die zu Eigentum requiriert wurden oder infolge von Kriegshandlungen verloren, zerstört oder unbrauchbar gemacht wurden, werden für die Anwendung der Artikel 236 bis 252 mit Aktiva gleichgesetzt, die an dem in Absatz 1 in fine festgelegten äußersten Datum noch tatsächlich in Gebrauch waren.</w:t>
      </w:r>
    </w:p>
    <w:p w14:paraId="196E2AE1" w14:textId="77777777" w:rsidR="003426CA" w:rsidRPr="00D21420" w:rsidRDefault="003426CA" w:rsidP="003426CA">
      <w:pPr>
        <w:jc w:val="both"/>
        <w:rPr>
          <w:rFonts w:eastAsia="Calibri"/>
          <w:szCs w:val="22"/>
          <w:lang w:eastAsia="de-DE" w:bidi="de-DE"/>
        </w:rPr>
      </w:pPr>
    </w:p>
    <w:p w14:paraId="326FB4DC"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 2 - Bestandteile der vorerwähnten Aktiva, die nach dem in § 1 des vorliegenden Artikels erwähnten äußersten Datum erworben oder gebildet wurden, werden weiterhin entsprechend ihrem tatsächlichen Anschaffungs- oder Investitionswert wie in Artikel 235 bestimmt abgeschrieben.</w:t>
      </w:r>
    </w:p>
    <w:p w14:paraId="027A1B77" w14:textId="77777777" w:rsidR="003426CA" w:rsidRPr="00D21420" w:rsidRDefault="003426CA" w:rsidP="003426CA">
      <w:pPr>
        <w:jc w:val="both"/>
        <w:rPr>
          <w:rFonts w:eastAsia="Calibri"/>
          <w:szCs w:val="22"/>
          <w:lang w:eastAsia="de-DE" w:bidi="de-DE"/>
        </w:rPr>
      </w:pPr>
    </w:p>
    <w:p w14:paraId="217C58E8" w14:textId="77777777" w:rsidR="003426CA" w:rsidRPr="00D21420" w:rsidRDefault="003426CA" w:rsidP="003426CA">
      <w:pPr>
        <w:jc w:val="both"/>
        <w:rPr>
          <w:rFonts w:eastAsia="Calibri"/>
          <w:szCs w:val="22"/>
          <w:lang w:eastAsia="de-DE" w:bidi="de-DE"/>
        </w:rPr>
      </w:pPr>
    </w:p>
    <w:p w14:paraId="3A6B8A5C"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239</w:t>
      </w:r>
      <w:r w:rsidRPr="00D21420">
        <w:rPr>
          <w:rFonts w:eastAsia="Calibri"/>
          <w:szCs w:val="22"/>
          <w:lang w:eastAsia="de-DE" w:bidi="de-DE"/>
        </w:rPr>
        <w:t> - Nur dem Teil der Ausrüstung und der damit gleichgesetzten Industriegebäude, der mit Eigenmitteln des Steuerpflichtigen erworben oder gebildet wurde, kann eventuell ein neuer Anschaffungs- oder Investitionswert zugewiesen werden.</w:t>
      </w:r>
    </w:p>
    <w:p w14:paraId="4AA7C03E" w14:textId="77777777" w:rsidR="003426CA" w:rsidRPr="00D21420" w:rsidRDefault="003426CA" w:rsidP="003426CA">
      <w:pPr>
        <w:jc w:val="both"/>
        <w:rPr>
          <w:rFonts w:eastAsia="Calibri"/>
          <w:szCs w:val="22"/>
          <w:lang w:eastAsia="de-DE" w:bidi="de-DE"/>
        </w:rPr>
      </w:pPr>
    </w:p>
    <w:p w14:paraId="2086D5AE"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Dieser Teil wird festgelegt unter Berücksichtigung der Angaben der letzten Jahresbilanz vor dem 31. Dezember 1940 oder in den in Artikel 238 § 1 Absatz 2 erwähnten Fällen der Angaben der Eröffnungsbilanz des neuen Unternehmens.</w:t>
      </w:r>
    </w:p>
    <w:p w14:paraId="6FC02ECD" w14:textId="77777777" w:rsidR="003426CA" w:rsidRPr="00D21420" w:rsidRDefault="003426CA" w:rsidP="003426CA">
      <w:pPr>
        <w:jc w:val="both"/>
        <w:rPr>
          <w:rFonts w:eastAsia="Calibri"/>
          <w:szCs w:val="22"/>
          <w:lang w:eastAsia="de-DE" w:bidi="de-DE"/>
        </w:rPr>
      </w:pPr>
    </w:p>
    <w:p w14:paraId="3AD07053" w14:textId="77777777" w:rsidR="003426CA" w:rsidRPr="00D21420" w:rsidRDefault="003426CA" w:rsidP="003426CA">
      <w:pPr>
        <w:jc w:val="both"/>
        <w:rPr>
          <w:rFonts w:eastAsia="Calibri"/>
          <w:szCs w:val="22"/>
          <w:lang w:eastAsia="de-DE" w:bidi="de-DE"/>
        </w:rPr>
      </w:pPr>
    </w:p>
    <w:p w14:paraId="6971F1BF"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240</w:t>
      </w:r>
      <w:r w:rsidRPr="00D21420">
        <w:rPr>
          <w:rFonts w:eastAsia="Calibri"/>
          <w:szCs w:val="22"/>
          <w:lang w:eastAsia="de-DE" w:bidi="de-DE"/>
        </w:rPr>
        <w:t> - Der neue Anschaffungs- oder Investitionswert jeder Kategorie der in den Artikeln 236, 238 § 1 und 239 erwähnten Aktiva darf nicht über zweieinhalbmal dem Wert liegen, der auf der Grundlage der am 31. August 1939 geltenden normalen Preise und unter Berücksichtigung ihrer materiellen Überalterung und ihrer tatsächlichen Wertminderung am normalen Datum des Abschlusses der letzten Jahresbilanz vor dem 31. Dezember 1946 oder gegebenenfalls am Datum der Eigentumsrequirierung, des Verlusts, der Zerstörung oder der Unbrauchbarmachung infolge von Kriegshandlungen veranschlagt wird.</w:t>
      </w:r>
    </w:p>
    <w:p w14:paraId="5354252C"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br w:type="page"/>
      </w:r>
      <w:r w:rsidRPr="00D21420">
        <w:rPr>
          <w:rFonts w:eastAsia="Calibri"/>
          <w:szCs w:val="22"/>
          <w:lang w:eastAsia="de-DE" w:bidi="de-DE"/>
        </w:rPr>
        <w:lastRenderedPageBreak/>
        <w:tab/>
        <w:t>Der neue Anschaffungs- oder Investitionswert, der jedem neu bewerteten Aktivabestandteil zugewiesen wird, darf nicht über dem Industrie- oder Handelswert am normalen Datum des Abschlusses der letzten Jahresbilanz vor dem 31. Dezember 1946 liegen.</w:t>
      </w:r>
    </w:p>
    <w:p w14:paraId="5E22DB54" w14:textId="77777777" w:rsidR="003426CA" w:rsidRPr="00D21420" w:rsidRDefault="003426CA" w:rsidP="003426CA">
      <w:pPr>
        <w:jc w:val="both"/>
        <w:rPr>
          <w:rFonts w:eastAsia="Calibri"/>
          <w:szCs w:val="22"/>
          <w:lang w:eastAsia="de-DE" w:bidi="de-DE"/>
        </w:rPr>
      </w:pPr>
    </w:p>
    <w:p w14:paraId="7A451741" w14:textId="77777777" w:rsidR="003426CA" w:rsidRPr="00D21420" w:rsidRDefault="003426CA" w:rsidP="003426CA">
      <w:pPr>
        <w:jc w:val="both"/>
        <w:rPr>
          <w:rFonts w:eastAsia="Calibri"/>
          <w:szCs w:val="22"/>
          <w:lang w:eastAsia="de-DE" w:bidi="de-DE"/>
        </w:rPr>
      </w:pPr>
    </w:p>
    <w:p w14:paraId="479A0E7A"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241</w:t>
      </w:r>
      <w:r w:rsidRPr="00D21420">
        <w:rPr>
          <w:rFonts w:eastAsia="Calibri"/>
          <w:szCs w:val="22"/>
          <w:lang w:eastAsia="de-DE" w:bidi="de-DE"/>
        </w:rPr>
        <w:t> - Um die Bestimmungen der Artikel 236 bis 252 in Anspruch zu nehmen, erstellt der Steuerpflichtige pro Kategorie oder Buchhaltungsposten ein detailliertes Inventar der neu zu bewertenden Aktiva.</w:t>
      </w:r>
    </w:p>
    <w:p w14:paraId="7C2A2D84" w14:textId="77777777" w:rsidR="003426CA" w:rsidRPr="00D21420" w:rsidRDefault="003426CA" w:rsidP="003426CA">
      <w:pPr>
        <w:jc w:val="both"/>
        <w:rPr>
          <w:rFonts w:eastAsia="Calibri"/>
          <w:szCs w:val="22"/>
          <w:lang w:eastAsia="de-DE" w:bidi="de-DE"/>
        </w:rPr>
      </w:pPr>
    </w:p>
    <w:p w14:paraId="792120ED"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Gegenstände von geringem Wert werden in den Posten "verschiedene Gegenstände" mit einem Wert in runden Zahlen, der annähernd und gutgläubig festgelegt wird, eingefügt.</w:t>
      </w:r>
    </w:p>
    <w:p w14:paraId="06F92D98" w14:textId="77777777" w:rsidR="003426CA" w:rsidRPr="00D21420" w:rsidRDefault="003426CA" w:rsidP="003426CA">
      <w:pPr>
        <w:jc w:val="both"/>
        <w:rPr>
          <w:rFonts w:eastAsia="Calibri"/>
          <w:szCs w:val="22"/>
          <w:lang w:eastAsia="de-DE" w:bidi="de-DE"/>
        </w:rPr>
      </w:pPr>
    </w:p>
    <w:p w14:paraId="2056DFAF"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Im Inventar werden angegeben:</w:t>
      </w:r>
    </w:p>
    <w:p w14:paraId="3FD010A5" w14:textId="77777777" w:rsidR="003426CA" w:rsidRPr="00D21420" w:rsidRDefault="003426CA" w:rsidP="003426CA">
      <w:pPr>
        <w:jc w:val="both"/>
        <w:rPr>
          <w:rFonts w:eastAsia="Calibri"/>
          <w:szCs w:val="22"/>
          <w:lang w:eastAsia="de-DE" w:bidi="de-DE"/>
        </w:rPr>
      </w:pPr>
    </w:p>
    <w:p w14:paraId="2C1B5C24"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i/>
          <w:szCs w:val="22"/>
          <w:lang w:eastAsia="de-DE" w:bidi="de-DE"/>
        </w:rPr>
        <w:t>a)</w:t>
      </w:r>
      <w:r w:rsidRPr="00D21420">
        <w:rPr>
          <w:rFonts w:eastAsia="Calibri"/>
          <w:szCs w:val="22"/>
          <w:lang w:eastAsia="de-DE" w:bidi="de-DE"/>
        </w:rPr>
        <w:t> Art jedes erfassten Aktivabestandteils,</w:t>
      </w:r>
    </w:p>
    <w:p w14:paraId="30AA8E85" w14:textId="77777777" w:rsidR="003426CA" w:rsidRPr="00D21420" w:rsidRDefault="003426CA" w:rsidP="003426CA">
      <w:pPr>
        <w:jc w:val="both"/>
        <w:rPr>
          <w:rFonts w:eastAsia="Calibri"/>
          <w:szCs w:val="22"/>
          <w:lang w:eastAsia="de-DE" w:bidi="de-DE"/>
        </w:rPr>
      </w:pPr>
    </w:p>
    <w:p w14:paraId="1A2A5C0F"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i/>
          <w:szCs w:val="22"/>
          <w:lang w:eastAsia="de-DE" w:bidi="de-DE"/>
        </w:rPr>
        <w:t>b)</w:t>
      </w:r>
      <w:r w:rsidRPr="00D21420">
        <w:rPr>
          <w:rFonts w:eastAsia="Calibri"/>
          <w:szCs w:val="22"/>
          <w:lang w:eastAsia="de-DE" w:bidi="de-DE"/>
        </w:rPr>
        <w:t> sofern möglich, Erwerbs- oder Bildungsdatum, außer für den Posten "verschiedene Gegenstände",</w:t>
      </w:r>
    </w:p>
    <w:p w14:paraId="661A79D2" w14:textId="77777777" w:rsidR="003426CA" w:rsidRPr="00D21420" w:rsidRDefault="003426CA" w:rsidP="003426CA">
      <w:pPr>
        <w:jc w:val="both"/>
        <w:rPr>
          <w:rFonts w:eastAsia="Calibri"/>
          <w:szCs w:val="22"/>
          <w:lang w:eastAsia="de-DE" w:bidi="de-DE"/>
        </w:rPr>
      </w:pPr>
    </w:p>
    <w:p w14:paraId="20C06D58"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i/>
          <w:szCs w:val="22"/>
          <w:lang w:eastAsia="de-DE" w:bidi="de-DE"/>
        </w:rPr>
        <w:t>c)</w:t>
      </w:r>
      <w:r w:rsidRPr="00D21420">
        <w:rPr>
          <w:rFonts w:eastAsia="Calibri"/>
          <w:szCs w:val="22"/>
          <w:lang w:eastAsia="de-DE" w:bidi="de-DE"/>
        </w:rPr>
        <w:t> für jeden erfassten Aktivabestandteil und für jede Aktivakategorie Wert 1939, der gemäß den Vorschriften von Artikel 240 Absatz 1 festgelegt wird,</w:t>
      </w:r>
    </w:p>
    <w:p w14:paraId="112F8CB5" w14:textId="77777777" w:rsidR="003426CA" w:rsidRPr="00D21420" w:rsidRDefault="003426CA" w:rsidP="003426CA">
      <w:pPr>
        <w:jc w:val="both"/>
        <w:rPr>
          <w:rFonts w:eastAsia="Calibri"/>
          <w:szCs w:val="22"/>
          <w:lang w:eastAsia="de-DE" w:bidi="de-DE"/>
        </w:rPr>
      </w:pPr>
    </w:p>
    <w:p w14:paraId="6835B705"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i/>
          <w:szCs w:val="22"/>
          <w:lang w:eastAsia="de-DE" w:bidi="de-DE"/>
        </w:rPr>
        <w:t>d)</w:t>
      </w:r>
      <w:r w:rsidRPr="00D21420">
        <w:rPr>
          <w:rFonts w:eastAsia="Calibri"/>
          <w:szCs w:val="22"/>
          <w:lang w:eastAsia="de-DE" w:bidi="de-DE"/>
        </w:rPr>
        <w:t> Industrie- oder Handelswert jedes Aktivabestandteils am normalen Datum des Abschlusses der letzten Jahresbilanz vor dem 31. Dezember 1946, insofern dieser Wert mehr oder weniger beträgt als zweieinhalbmal den in Buchstabe </w:t>
      </w:r>
      <w:r w:rsidRPr="00D21420">
        <w:rPr>
          <w:rFonts w:eastAsia="Calibri"/>
          <w:i/>
          <w:szCs w:val="22"/>
          <w:lang w:eastAsia="de-DE" w:bidi="de-DE"/>
        </w:rPr>
        <w:t>c)</w:t>
      </w:r>
      <w:r w:rsidRPr="00D21420">
        <w:rPr>
          <w:rFonts w:eastAsia="Calibri"/>
          <w:szCs w:val="22"/>
          <w:lang w:eastAsia="de-DE" w:bidi="de-DE"/>
        </w:rPr>
        <w:t xml:space="preserve"> angegebenen Wert,</w:t>
      </w:r>
    </w:p>
    <w:p w14:paraId="6FBB2EA7" w14:textId="77777777" w:rsidR="003426CA" w:rsidRPr="00D21420" w:rsidRDefault="003426CA" w:rsidP="003426CA">
      <w:pPr>
        <w:jc w:val="both"/>
        <w:rPr>
          <w:rFonts w:eastAsia="Calibri"/>
          <w:szCs w:val="22"/>
          <w:lang w:eastAsia="de-DE" w:bidi="de-DE"/>
        </w:rPr>
      </w:pPr>
    </w:p>
    <w:p w14:paraId="7AF9B5D3"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i/>
          <w:szCs w:val="22"/>
          <w:lang w:eastAsia="de-DE" w:bidi="de-DE"/>
        </w:rPr>
        <w:t>e)</w:t>
      </w:r>
      <w:r w:rsidRPr="00D21420">
        <w:rPr>
          <w:rFonts w:eastAsia="Calibri"/>
          <w:szCs w:val="22"/>
          <w:lang w:eastAsia="de-DE" w:bidi="de-DE"/>
        </w:rPr>
        <w:t> neuer Anschaffungs- oder Investitionswert, der im Hinblick auf die Berechnung der Abschreibung zugewiesen wurde und für jede Aktivakategorie höchstens zweieinhalbmal dem in Buchstabe </w:t>
      </w:r>
      <w:r w:rsidRPr="00D21420">
        <w:rPr>
          <w:rFonts w:eastAsia="Calibri"/>
          <w:i/>
          <w:szCs w:val="22"/>
          <w:lang w:eastAsia="de-DE" w:bidi="de-DE"/>
        </w:rPr>
        <w:t>c)</w:t>
      </w:r>
      <w:r w:rsidRPr="00D21420">
        <w:rPr>
          <w:rFonts w:eastAsia="Calibri"/>
          <w:szCs w:val="22"/>
          <w:lang w:eastAsia="de-DE" w:bidi="de-DE"/>
        </w:rPr>
        <w:t xml:space="preserve"> angegebenen Wert und für jeden Aktivabestandteil höchstens dem in Buchstabe </w:t>
      </w:r>
      <w:r w:rsidRPr="00D21420">
        <w:rPr>
          <w:rFonts w:eastAsia="Calibri"/>
          <w:i/>
          <w:szCs w:val="22"/>
          <w:lang w:eastAsia="de-DE" w:bidi="de-DE"/>
        </w:rPr>
        <w:t>d)</w:t>
      </w:r>
      <w:r w:rsidRPr="00D21420">
        <w:rPr>
          <w:rFonts w:eastAsia="Calibri"/>
          <w:szCs w:val="22"/>
          <w:lang w:eastAsia="de-DE" w:bidi="de-DE"/>
        </w:rPr>
        <w:t xml:space="preserve"> erwähnten Wert entspricht.</w:t>
      </w:r>
    </w:p>
    <w:p w14:paraId="58C154EA" w14:textId="77777777" w:rsidR="003426CA" w:rsidRPr="00D21420" w:rsidRDefault="003426CA" w:rsidP="003426CA">
      <w:pPr>
        <w:jc w:val="both"/>
        <w:rPr>
          <w:rFonts w:eastAsia="Calibri"/>
          <w:szCs w:val="22"/>
          <w:lang w:eastAsia="de-DE" w:bidi="de-DE"/>
        </w:rPr>
      </w:pPr>
    </w:p>
    <w:p w14:paraId="0BE37931"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Aktiva, die zu Eigentum requiriert wurden oder infolge von Kriegshandlungen zerstört, verloren oder unbrauchbar gemacht wurden, werden separat in dieses Inventar eingetragen.</w:t>
      </w:r>
    </w:p>
    <w:p w14:paraId="30ACFAA8" w14:textId="77777777" w:rsidR="003426CA" w:rsidRPr="00D21420" w:rsidRDefault="003426CA" w:rsidP="003426CA">
      <w:pPr>
        <w:jc w:val="both"/>
        <w:rPr>
          <w:rFonts w:eastAsia="Calibri"/>
          <w:szCs w:val="22"/>
          <w:lang w:eastAsia="de-DE" w:bidi="de-DE"/>
        </w:rPr>
      </w:pPr>
    </w:p>
    <w:p w14:paraId="7718DF29" w14:textId="77777777" w:rsidR="003426CA" w:rsidRPr="00D21420" w:rsidRDefault="003426CA" w:rsidP="003426CA">
      <w:pPr>
        <w:jc w:val="both"/>
        <w:rPr>
          <w:rFonts w:eastAsia="Calibri"/>
          <w:szCs w:val="22"/>
          <w:lang w:eastAsia="de-DE" w:bidi="de-DE"/>
        </w:rPr>
      </w:pPr>
    </w:p>
    <w:p w14:paraId="103629D3"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242</w:t>
      </w:r>
      <w:r w:rsidRPr="00D21420">
        <w:rPr>
          <w:rFonts w:eastAsia="Calibri"/>
          <w:szCs w:val="22"/>
          <w:lang w:eastAsia="de-DE" w:bidi="de-DE"/>
        </w:rPr>
        <w:t> - Das in Artikel 241 erwähnte Inventar wird in zweifacher Ausfertigung erstellt und eine Ausfertigung wird dem Kontrolleur der direkten Steuern oder dem für das Gebiet zuständigen Besteuerungsdienst entweder zur Untermauerung der Einkommensteuer</w:t>
      </w:r>
      <w:r w:rsidRPr="00D21420">
        <w:rPr>
          <w:rFonts w:eastAsia="Calibri"/>
          <w:szCs w:val="22"/>
          <w:lang w:eastAsia="de-DE" w:bidi="de-DE"/>
        </w:rPr>
        <w:softHyphen/>
        <w:t>erklärung, die sich auf das Geschäftsjahr bezieht, in dessen Bilanz die Neubewertung aufgenommen wurde, oder im Falle einer Abschreibung, die ab dem Steuerjahr 1947 auf dieser Grundlage berechnet wird, spätestens am 24. Januar 1948 übermittelt; bei Kapitalgesellschaften muss es von den geschäftsführenden Verwaltern und den Kommissaren und bei Unternehmen, die anders als in der Form einer Kapitalgesellschaft betrieben werden, von den verschiedenen Personen, die die Gesellschaft, Firma oder Vereinigung verpflichten können, unterzeichnet werden.</w:t>
      </w:r>
    </w:p>
    <w:p w14:paraId="08EF35EF"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br w:type="page"/>
      </w:r>
      <w:r w:rsidRPr="00D21420">
        <w:rPr>
          <w:rFonts w:eastAsia="Calibri"/>
          <w:szCs w:val="22"/>
          <w:lang w:eastAsia="de-DE" w:bidi="de-DE"/>
        </w:rPr>
        <w:lastRenderedPageBreak/>
        <w:tab/>
      </w:r>
      <w:r w:rsidRPr="00D21420">
        <w:rPr>
          <w:rFonts w:eastAsia="Calibri"/>
          <w:b/>
          <w:szCs w:val="22"/>
          <w:lang w:eastAsia="de-DE" w:bidi="de-DE"/>
        </w:rPr>
        <w:t>Art. 243</w:t>
      </w:r>
      <w:r w:rsidRPr="00D21420">
        <w:rPr>
          <w:rFonts w:eastAsia="Calibri"/>
          <w:szCs w:val="22"/>
          <w:lang w:eastAsia="de-DE" w:bidi="de-DE"/>
        </w:rPr>
        <w:t> - Die Neubewertung von Ausrüstung und damit gleichgesetzten Industrie</w:t>
      </w:r>
      <w:r w:rsidRPr="00D21420">
        <w:rPr>
          <w:rFonts w:eastAsia="Calibri"/>
          <w:szCs w:val="22"/>
          <w:lang w:eastAsia="de-DE" w:bidi="de-DE"/>
        </w:rPr>
        <w:softHyphen/>
        <w:t>gebäuden muss in die Buchhaltung oder die Bilanzen aufgenommen werden, die ab dem 31. Dezember 1947 und spätestens am 30. Dezember 1948 abgeschlossen werden; sie muss separat auf der Aktiv- und Passivseite jeder Jahresbilanz in folgenden Posten oder unter anderen ähnlichen Bezeichnungen ausgewiesen werden:</w:t>
      </w:r>
    </w:p>
    <w:p w14:paraId="5BF4C0BA" w14:textId="77777777" w:rsidR="003426CA" w:rsidRPr="00D21420" w:rsidRDefault="003426CA" w:rsidP="003426CA">
      <w:pPr>
        <w:jc w:val="both"/>
        <w:rPr>
          <w:rFonts w:eastAsia="Calibri"/>
          <w:szCs w:val="22"/>
          <w:lang w:eastAsia="de-DE" w:bidi="de-DE"/>
        </w:rPr>
      </w:pPr>
    </w:p>
    <w:p w14:paraId="57929488"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 </w:t>
      </w:r>
      <w:r w:rsidRPr="00D21420">
        <w:rPr>
          <w:rFonts w:eastAsia="Calibri"/>
          <w:i/>
          <w:szCs w:val="22"/>
          <w:lang w:eastAsia="de-DE" w:bidi="de-DE"/>
        </w:rPr>
        <w:t>auf der Aktivseite</w:t>
      </w:r>
      <w:r w:rsidRPr="00D21420">
        <w:rPr>
          <w:rFonts w:eastAsia="Calibri"/>
          <w:szCs w:val="22"/>
          <w:lang w:eastAsia="de-DE" w:bidi="de-DE"/>
        </w:rPr>
        <w:t>:</w:t>
      </w:r>
    </w:p>
    <w:p w14:paraId="2D591400" w14:textId="77777777" w:rsidR="003426CA" w:rsidRPr="00D21420" w:rsidRDefault="003426CA" w:rsidP="003426CA">
      <w:pPr>
        <w:jc w:val="both"/>
        <w:rPr>
          <w:rFonts w:eastAsia="Calibri"/>
          <w:szCs w:val="22"/>
          <w:lang w:eastAsia="de-DE" w:bidi="de-DE"/>
        </w:rPr>
      </w:pPr>
    </w:p>
    <w:p w14:paraId="4D6121BC"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"Ausrüstung und damit gleichgesetzte Industriegebäude (Neubewertung)",</w:t>
      </w:r>
    </w:p>
    <w:p w14:paraId="22580C0E" w14:textId="77777777" w:rsidR="003426CA" w:rsidRPr="00D21420" w:rsidRDefault="003426CA" w:rsidP="003426CA">
      <w:pPr>
        <w:jc w:val="both"/>
        <w:rPr>
          <w:rFonts w:eastAsia="Calibri"/>
          <w:szCs w:val="22"/>
          <w:lang w:eastAsia="de-DE" w:bidi="de-DE"/>
        </w:rPr>
      </w:pPr>
    </w:p>
    <w:p w14:paraId="26D33800"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 </w:t>
      </w:r>
      <w:r w:rsidRPr="00D21420">
        <w:rPr>
          <w:rFonts w:eastAsia="Calibri"/>
          <w:i/>
          <w:szCs w:val="22"/>
          <w:lang w:eastAsia="de-DE" w:bidi="de-DE"/>
        </w:rPr>
        <w:t>auf der Passivseite:</w:t>
      </w:r>
    </w:p>
    <w:p w14:paraId="10181359" w14:textId="77777777" w:rsidR="003426CA" w:rsidRPr="00D21420" w:rsidRDefault="003426CA" w:rsidP="003426CA">
      <w:pPr>
        <w:jc w:val="both"/>
        <w:rPr>
          <w:rFonts w:eastAsia="Calibri"/>
          <w:szCs w:val="22"/>
          <w:lang w:eastAsia="de-DE" w:bidi="de-DE"/>
        </w:rPr>
      </w:pPr>
    </w:p>
    <w:p w14:paraId="06AAEB6B"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"Mehrwert der Neubewertung von Ausrüstung und damit gleichgesetzten Industriegebäuden". Dieser Mehrwert darf jedoch in die Rechnung "Kapitalvermögen" eingefügt werden.</w:t>
      </w:r>
    </w:p>
    <w:p w14:paraId="6616102E" w14:textId="77777777" w:rsidR="003426CA" w:rsidRPr="00D21420" w:rsidRDefault="003426CA" w:rsidP="003426CA">
      <w:pPr>
        <w:jc w:val="both"/>
        <w:rPr>
          <w:rFonts w:eastAsia="Calibri"/>
          <w:szCs w:val="22"/>
          <w:lang w:eastAsia="de-DE" w:bidi="de-DE"/>
        </w:rPr>
      </w:pPr>
    </w:p>
    <w:p w14:paraId="7777AA45" w14:textId="77777777" w:rsidR="003426CA" w:rsidRPr="00D21420" w:rsidRDefault="003426CA" w:rsidP="003426CA">
      <w:pPr>
        <w:jc w:val="both"/>
        <w:rPr>
          <w:rFonts w:eastAsia="Calibri"/>
          <w:szCs w:val="22"/>
          <w:lang w:eastAsia="de-DE" w:bidi="de-DE"/>
        </w:rPr>
      </w:pPr>
    </w:p>
    <w:p w14:paraId="44CC190B"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244</w:t>
      </w:r>
      <w:r w:rsidRPr="00D21420">
        <w:rPr>
          <w:rFonts w:eastAsia="Calibri"/>
          <w:szCs w:val="22"/>
          <w:lang w:eastAsia="de-DE" w:bidi="de-DE"/>
        </w:rPr>
        <w:t> - Der neue Anschaffungs- oder Investitionswert, der gemäß den Vorschriften der Artikel 235 bis 240 festgelegt wird und auf der Aktivseite ausgewiesen wird, dient als Grundlage für die Berechnung der Abschreibungen; diese Abschreibungen dürfen bis zur vollständigen Wiederherstellung dieses Wertes - eventuell verringert um die Requirierungsentschädigungen oder Schadensersatzleistungen in Bezug auf die neu bewerteten Aktiva - steuerfrei erfolgen, und zwar ungeachtet des Datums des Erwerbs der Ausrüstung und damit gleichgesetzten Industriegebäude und ungeachtet der Abschreibungen, die bereits vor dem normalen Datum des Abschlusses der letzten Jahresbilanz vor dem 31. Dezember 1946 auf diese Aktiva vorgenommen wurden.</w:t>
      </w:r>
    </w:p>
    <w:p w14:paraId="64E99E20" w14:textId="77777777" w:rsidR="003426CA" w:rsidRPr="00D21420" w:rsidRDefault="003426CA" w:rsidP="003426CA">
      <w:pPr>
        <w:jc w:val="both"/>
        <w:rPr>
          <w:rFonts w:eastAsia="Calibri"/>
          <w:szCs w:val="22"/>
          <w:lang w:eastAsia="de-DE" w:bidi="de-DE"/>
        </w:rPr>
      </w:pPr>
    </w:p>
    <w:p w14:paraId="71641760" w14:textId="77777777" w:rsidR="003426CA" w:rsidRPr="00D21420" w:rsidRDefault="003426CA" w:rsidP="003426CA">
      <w:pPr>
        <w:jc w:val="both"/>
        <w:rPr>
          <w:rFonts w:eastAsia="Calibri"/>
          <w:szCs w:val="22"/>
          <w:lang w:eastAsia="de-DE" w:bidi="de-DE"/>
        </w:rPr>
      </w:pPr>
    </w:p>
    <w:p w14:paraId="27E1B157"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245</w:t>
      </w:r>
      <w:r w:rsidRPr="00D21420">
        <w:rPr>
          <w:rFonts w:eastAsia="Calibri"/>
          <w:szCs w:val="22"/>
          <w:lang w:eastAsia="de-DE" w:bidi="de-DE"/>
        </w:rPr>
        <w:t> - Der Steuerpflichtige gliedert die neu bewerteten Aktiva entsprechend ihrer voraussichtlichen Nutzungsdauer in drei oder vier Kategorien auf.</w:t>
      </w:r>
    </w:p>
    <w:p w14:paraId="185D2D00" w14:textId="77777777" w:rsidR="003426CA" w:rsidRPr="00D21420" w:rsidRDefault="003426CA" w:rsidP="003426CA">
      <w:pPr>
        <w:jc w:val="both"/>
        <w:rPr>
          <w:rFonts w:eastAsia="Calibri"/>
          <w:szCs w:val="22"/>
          <w:lang w:eastAsia="de-DE" w:bidi="de-DE"/>
        </w:rPr>
      </w:pPr>
    </w:p>
    <w:p w14:paraId="49941D09"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Durchschnittsprozentsätze der jährlichen Abschreibung werden von dem Betreffenden und den zuständigen Beamten der Verwaltung der direkten Steuern in gegenseitigem Einvernehmen festgelegt; diese Prozentsätze können insbesondere je nach Art der Aktiva, der Intensität ihrer Nutzung und dem Zustand ihre</w:t>
      </w:r>
      <w:r>
        <w:rPr>
          <w:rFonts w:eastAsia="Calibri"/>
          <w:szCs w:val="22"/>
          <w:lang w:eastAsia="de-DE" w:bidi="de-DE"/>
        </w:rPr>
        <w:t>s</w:t>
      </w:r>
      <w:r w:rsidRPr="00D21420">
        <w:rPr>
          <w:rFonts w:eastAsia="Calibri"/>
          <w:szCs w:val="22"/>
          <w:lang w:eastAsia="de-DE" w:bidi="de-DE"/>
        </w:rPr>
        <w:t xml:space="preserve"> Verschleißes oder ihrer wirtschaftlichen Effizienz zum Zeitpunkt der Neubewertung verschieden sein. Vorbehaltlich einer Anpassung dieser Prozentsätze auf schriftlichen und mit Gründen versehenen Antrag des Steuerpflichtigen dienen diese Prozentsätze als Grundlage für die Berechnung der jährlichen Abschreibung, die steuerfrei vorzunehmen ist.</w:t>
      </w:r>
    </w:p>
    <w:p w14:paraId="522AB969" w14:textId="77777777" w:rsidR="003426CA" w:rsidRPr="00D21420" w:rsidRDefault="003426CA" w:rsidP="003426CA">
      <w:pPr>
        <w:jc w:val="both"/>
        <w:rPr>
          <w:rFonts w:eastAsia="Calibri"/>
          <w:szCs w:val="22"/>
          <w:lang w:eastAsia="de-DE" w:bidi="de-DE"/>
        </w:rPr>
      </w:pPr>
    </w:p>
    <w:p w14:paraId="4C17D480"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Die Abschreibungsmodalitäten, die so in gegenseitigem Einvernehmen festgelegt werden, werden in einem von beiden Parteien unterzeichneten Schriftstück bestätigt; dieses Schriftstück wird der Steuerakte des Betreffenden beigefügt, der eine Abschrift davon erhalten kann.</w:t>
      </w:r>
    </w:p>
    <w:p w14:paraId="494006CB" w14:textId="77777777" w:rsidR="00970B24" w:rsidRDefault="00970B24" w:rsidP="003426CA">
      <w:pPr>
        <w:jc w:val="both"/>
        <w:rPr>
          <w:rFonts w:eastAsia="Calibri"/>
          <w:szCs w:val="22"/>
          <w:lang w:eastAsia="de-DE" w:bidi="de-DE"/>
        </w:rPr>
      </w:pPr>
    </w:p>
    <w:p w14:paraId="385180D9" w14:textId="77777777" w:rsidR="00970B24" w:rsidRDefault="00970B24" w:rsidP="003426CA">
      <w:pPr>
        <w:jc w:val="both"/>
        <w:rPr>
          <w:rFonts w:eastAsia="Calibri"/>
          <w:szCs w:val="22"/>
          <w:lang w:eastAsia="de-DE" w:bidi="de-DE"/>
        </w:rPr>
      </w:pPr>
    </w:p>
    <w:p w14:paraId="29C8DC46"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246</w:t>
      </w:r>
      <w:r w:rsidRPr="00D21420">
        <w:rPr>
          <w:rFonts w:eastAsia="Calibri"/>
          <w:szCs w:val="22"/>
          <w:lang w:eastAsia="de-DE" w:bidi="de-DE"/>
        </w:rPr>
        <w:t> - Die Abschreibung des neuen Anschaffungs- oder Investitionswertes muss beim Abschluss jedes Geschäftsjahres erfolgen.</w:t>
      </w:r>
    </w:p>
    <w:p w14:paraId="19B7424C" w14:textId="77777777" w:rsidR="003426CA" w:rsidRPr="00D21420" w:rsidRDefault="003426CA" w:rsidP="003426CA">
      <w:pPr>
        <w:jc w:val="both"/>
        <w:rPr>
          <w:rFonts w:eastAsia="Calibri"/>
          <w:szCs w:val="22"/>
          <w:lang w:eastAsia="de-DE" w:bidi="de-DE"/>
        </w:rPr>
      </w:pPr>
    </w:p>
    <w:p w14:paraId="2677216C"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lastRenderedPageBreak/>
        <w:tab/>
        <w:t>In Ermangelung von Abschreibungen oder bei unzureichenden Abschreibungen für ein oder mehrere Geschäftsjahre infolge von Verlusten oder unzureichenden Bruttogewinnen kann der Abschreibungszeitraum jedoch in dem Maße verlängert werden, wie es für die vollständige Wiederherstellung des abschreibbaren Wertes erforderlich ist.</w:t>
      </w:r>
    </w:p>
    <w:p w14:paraId="4349EE79" w14:textId="77777777" w:rsidR="003426CA" w:rsidRPr="00D21420" w:rsidRDefault="003426CA" w:rsidP="003426CA">
      <w:pPr>
        <w:jc w:val="both"/>
        <w:rPr>
          <w:rFonts w:eastAsia="Calibri"/>
          <w:szCs w:val="22"/>
          <w:lang w:eastAsia="de-DE" w:bidi="de-DE"/>
        </w:rPr>
      </w:pPr>
    </w:p>
    <w:p w14:paraId="064E6151" w14:textId="77777777" w:rsidR="003426CA" w:rsidRPr="00D21420" w:rsidRDefault="003426CA" w:rsidP="003426CA">
      <w:pPr>
        <w:jc w:val="both"/>
        <w:rPr>
          <w:rFonts w:eastAsia="Calibri"/>
          <w:szCs w:val="22"/>
          <w:lang w:eastAsia="de-DE" w:bidi="de-DE"/>
        </w:rPr>
      </w:pPr>
    </w:p>
    <w:p w14:paraId="07F80D3D"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247</w:t>
      </w:r>
      <w:r w:rsidRPr="00D21420">
        <w:rPr>
          <w:rFonts w:eastAsia="Calibri"/>
          <w:szCs w:val="22"/>
          <w:lang w:eastAsia="de-DE" w:bidi="de-DE"/>
        </w:rPr>
        <w:t> - Werden neu bewertete Aktiva während eines Geschäftsjahres veräußert, zerstört oder endgültig unbrauchbar gemacht, kann der auf den neu bewerteten Wert dieser Aktiva noch abzuschreibende Restbetrag nach eventuellem Abzug des Realisierungspreises nur noch bis zum Abschluss dieses Geschäftsjahres steuerfrei abgeschrieben werden.</w:t>
      </w:r>
    </w:p>
    <w:p w14:paraId="52208219" w14:textId="77777777" w:rsidR="003426CA" w:rsidRPr="00D21420" w:rsidRDefault="003426CA" w:rsidP="003426CA">
      <w:pPr>
        <w:jc w:val="both"/>
        <w:rPr>
          <w:rFonts w:eastAsia="Calibri"/>
          <w:szCs w:val="22"/>
          <w:lang w:eastAsia="de-DE" w:bidi="de-DE"/>
        </w:rPr>
      </w:pPr>
    </w:p>
    <w:p w14:paraId="442BE7FA" w14:textId="77777777" w:rsidR="003426CA" w:rsidRPr="00D21420" w:rsidRDefault="003426CA" w:rsidP="003426CA">
      <w:pPr>
        <w:jc w:val="both"/>
        <w:rPr>
          <w:rFonts w:eastAsia="Calibri"/>
          <w:szCs w:val="22"/>
          <w:lang w:eastAsia="de-DE" w:bidi="de-DE"/>
        </w:rPr>
      </w:pPr>
    </w:p>
    <w:p w14:paraId="636F3510"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248</w:t>
      </w:r>
      <w:r w:rsidRPr="00D21420">
        <w:rPr>
          <w:rFonts w:eastAsia="Calibri"/>
          <w:szCs w:val="22"/>
          <w:lang w:eastAsia="de-DE" w:bidi="de-DE"/>
        </w:rPr>
        <w:t> - In Bezug auf Aktiva, die zu Eigentum requiriert wurden oder infolge von Kriegshandlungen zerstört, verloren oder unbrauchbar gemacht wurden, darf die Abschreibung des neu bewerteten Wertes nach Abzug der Requirierungsentschädigungen oder Schadensersatzleistungen, die sich auf diese Aktiva beziehen, erst nach der endgültigen Festlegung des Betrags dieser Entschädigungen erfolgen.</w:t>
      </w:r>
    </w:p>
    <w:p w14:paraId="3C539F73" w14:textId="77777777" w:rsidR="003426CA" w:rsidRPr="00D21420" w:rsidRDefault="003426CA" w:rsidP="003426CA">
      <w:pPr>
        <w:jc w:val="both"/>
        <w:rPr>
          <w:rFonts w:eastAsia="Calibri"/>
          <w:szCs w:val="22"/>
          <w:lang w:eastAsia="de-DE" w:bidi="de-DE"/>
        </w:rPr>
      </w:pPr>
    </w:p>
    <w:p w14:paraId="6F18C32F"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In Bezug auf Aktiva, die infolge von Kriegshandlungen zerstört, verloren oder unbrauchbar gemacht wurden, darf die Abschreibung des neu bewerteten Wertes jedoch vor der endgültigen Festlegung des Betrags der Schadensersatzleistung steuerfrei erfolgen, wenn der Steuerpflichtige seit dem Erwerb der Gegenstände, die für die Neubewertung in Betracht kommen, eine ordnungsgemäße Buchhaltung gemäß den Vorschriften des Handelsgesetz</w:t>
      </w:r>
      <w:r w:rsidRPr="00D21420">
        <w:rPr>
          <w:rFonts w:eastAsia="Calibri"/>
          <w:szCs w:val="22"/>
          <w:lang w:eastAsia="de-DE" w:bidi="de-DE"/>
        </w:rPr>
        <w:softHyphen/>
        <w:t>buches führt.</w:t>
      </w:r>
    </w:p>
    <w:p w14:paraId="2404DC0F" w14:textId="77777777" w:rsidR="003426CA" w:rsidRPr="00D21420" w:rsidRDefault="003426CA" w:rsidP="003426CA">
      <w:pPr>
        <w:jc w:val="both"/>
        <w:rPr>
          <w:rFonts w:eastAsia="Calibri"/>
          <w:szCs w:val="22"/>
          <w:lang w:eastAsia="de-DE" w:bidi="de-DE"/>
        </w:rPr>
      </w:pPr>
    </w:p>
    <w:p w14:paraId="697AFA32"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Diese Abschreibung muss auf der Grundlage der üblichen Prozentsätze der jährlichen Abschreibungen erfolgen, die unter normalen Umständen auf Aktiva derselben Art angewandt werden. Diese Prozentsätze werden von dem Steuerpflichtigen und der Verwaltung der direkten Steuern in gegenseitigem Einvernehmen festgelegt und bestätigt wie in Artikel 245 Absatz 3 vorgesehen.</w:t>
      </w:r>
    </w:p>
    <w:p w14:paraId="2DDD4CB2" w14:textId="77777777" w:rsidR="003426CA" w:rsidRPr="00D21420" w:rsidRDefault="003426CA" w:rsidP="003426CA">
      <w:pPr>
        <w:jc w:val="both"/>
        <w:rPr>
          <w:rFonts w:eastAsia="Calibri"/>
          <w:szCs w:val="22"/>
          <w:lang w:eastAsia="de-DE" w:bidi="de-DE"/>
        </w:rPr>
      </w:pPr>
    </w:p>
    <w:p w14:paraId="1DD41E29"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Liegen die so durchgeführten und zugelassenen Abschreibungen über der nachteiligen Differenz zwischen dem neu bewerteten Wert und der Schadensersatzleistung oder entspricht die Schadensersatzleistung dem neu bewerteten Wert oder übersteigt sie ihn, bildet der Teil des Gesamtbetrags dieser Abschreibungen, der diese Differenz übersteigt, oder der Gesamtbetrag dieser Abschreibungen ein steuerpflichtiges Einkommen für das Jahr, in dem der Betrag der Schadensersatzleistung endgültig festgelegt wird.</w:t>
      </w:r>
    </w:p>
    <w:p w14:paraId="6D95C809" w14:textId="77777777" w:rsidR="003426CA" w:rsidRPr="00D21420" w:rsidRDefault="003426CA" w:rsidP="003426CA">
      <w:pPr>
        <w:jc w:val="both"/>
        <w:rPr>
          <w:rFonts w:eastAsia="Calibri"/>
          <w:szCs w:val="22"/>
          <w:lang w:eastAsia="de-DE" w:bidi="de-DE"/>
        </w:rPr>
      </w:pPr>
    </w:p>
    <w:p w14:paraId="2627E381" w14:textId="77777777" w:rsidR="003426CA" w:rsidRPr="00D21420" w:rsidRDefault="003426CA" w:rsidP="003426CA">
      <w:pPr>
        <w:jc w:val="both"/>
        <w:rPr>
          <w:rFonts w:eastAsia="Calibri"/>
          <w:szCs w:val="22"/>
          <w:lang w:eastAsia="de-DE" w:bidi="de-DE"/>
        </w:rPr>
      </w:pPr>
    </w:p>
    <w:p w14:paraId="634F846F"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249</w:t>
      </w:r>
      <w:r w:rsidRPr="00D21420">
        <w:rPr>
          <w:rFonts w:eastAsia="Calibri"/>
          <w:szCs w:val="22"/>
          <w:lang w:eastAsia="de-DE" w:bidi="de-DE"/>
        </w:rPr>
        <w:t> - Die Abschreibung des neuen Anschaffungs- oder Investitionswertes muss separat auf der Passivseite jeder Jahresbilanz im Posten "Abschreibung des neu bewerteten Wertes von Ausrüstung und damit gleichgesetzten Industriegebäuden" oder unter anderen ähnlichen Bezeichnungen ausgewiesen sein.</w:t>
      </w:r>
    </w:p>
    <w:p w14:paraId="7C98757B" w14:textId="77777777" w:rsidR="00970B24" w:rsidRDefault="00970B24" w:rsidP="003426CA">
      <w:pPr>
        <w:jc w:val="both"/>
        <w:rPr>
          <w:rFonts w:eastAsia="Calibri"/>
          <w:szCs w:val="22"/>
          <w:lang w:eastAsia="de-DE" w:bidi="de-DE"/>
        </w:rPr>
      </w:pPr>
    </w:p>
    <w:p w14:paraId="7FDFE3BE" w14:textId="77777777" w:rsidR="00970B24" w:rsidRDefault="00970B24" w:rsidP="003426CA">
      <w:pPr>
        <w:jc w:val="both"/>
        <w:rPr>
          <w:rFonts w:eastAsia="Calibri"/>
          <w:szCs w:val="22"/>
          <w:lang w:eastAsia="de-DE" w:bidi="de-DE"/>
        </w:rPr>
      </w:pPr>
    </w:p>
    <w:p w14:paraId="4B30FE29"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250</w:t>
      </w:r>
      <w:r w:rsidRPr="00D21420">
        <w:rPr>
          <w:rFonts w:eastAsia="Calibri"/>
          <w:szCs w:val="22"/>
          <w:lang w:eastAsia="de-DE" w:bidi="de-DE"/>
        </w:rPr>
        <w:t> - Die Abschreibung des neuen Anschaffungs- oder Investitionswertes wird unter Befreiung von der Einkommensteuer nur unter der ausdrücklichen Bedingung zugelassen, dass ihr Betrag nicht für Ausschüttungen, Verteilungen oder Entnahmen verwendet wird und nicht als Grundlage für die Berechnung der jährlichen Zuführung an die gesetzliche Rücklage oder für die Berechnung von Entlohnungen oder Zuerkennungen dient.</w:t>
      </w:r>
    </w:p>
    <w:p w14:paraId="31935AC4" w14:textId="77777777" w:rsidR="003426CA" w:rsidRPr="00D21420" w:rsidRDefault="003426CA" w:rsidP="003426CA">
      <w:pPr>
        <w:jc w:val="both"/>
        <w:rPr>
          <w:rFonts w:eastAsia="Calibri"/>
          <w:szCs w:val="22"/>
          <w:lang w:eastAsia="de-DE" w:bidi="de-DE"/>
        </w:rPr>
      </w:pPr>
    </w:p>
    <w:p w14:paraId="7D0DCBF2" w14:textId="77777777" w:rsidR="003426CA" w:rsidRPr="00D21420" w:rsidRDefault="003426CA" w:rsidP="003426CA">
      <w:pPr>
        <w:jc w:val="both"/>
        <w:rPr>
          <w:rFonts w:eastAsia="Calibri"/>
          <w:szCs w:val="22"/>
          <w:lang w:eastAsia="de-DE" w:bidi="de-DE"/>
        </w:rPr>
      </w:pPr>
    </w:p>
    <w:p w14:paraId="1555EC57"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251</w:t>
      </w:r>
      <w:r w:rsidRPr="00D21420">
        <w:rPr>
          <w:rFonts w:eastAsia="Calibri"/>
          <w:szCs w:val="22"/>
          <w:lang w:eastAsia="de-DE" w:bidi="de-DE"/>
        </w:rPr>
        <w:t> - Mehrwerte, die aus der Neubewertung von Ausrüstung und damit gleichgesetzten Industriegebäuden hervorgehen, werden unter den in Artikel 190 des Einkommensteuergesetzbuches 1992 vorgesehenen Bedingungen von der Steuer befreit.</w:t>
      </w:r>
    </w:p>
    <w:p w14:paraId="1C588EF6" w14:textId="77777777" w:rsidR="003426CA" w:rsidRPr="00D21420" w:rsidRDefault="003426CA" w:rsidP="003426CA">
      <w:pPr>
        <w:jc w:val="both"/>
        <w:rPr>
          <w:rFonts w:eastAsia="Calibri"/>
          <w:szCs w:val="22"/>
          <w:lang w:eastAsia="de-DE" w:bidi="de-DE"/>
        </w:rPr>
      </w:pPr>
    </w:p>
    <w:p w14:paraId="0C71468B"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Für die Anwendung von Artikel 44 § 1 desselben Gesetzbuches kann jedoch im Falle einer Veräußerung von Aktiva, die gemäß den Vorschriften der Artikel 236 bis 250 des vorliegenden Erlasses neu bewertet worden sind, auf Antrag des Steuerpflichtigen oder wenn dieser die erforderlichen näheren Angaben nicht erteilt, davon ausgegangen werden, dass diese Aktiva am normalen Datum des Abschlusses der letzten Jahresbilanz vor dem 31. Dezember 1946 erworben oder gebildet wurden zu einem Preis, der dem neu bewerteten Wert entspricht.</w:t>
      </w:r>
    </w:p>
    <w:p w14:paraId="70ABE76F" w14:textId="77777777" w:rsidR="003426CA" w:rsidRPr="00D21420" w:rsidRDefault="003426CA" w:rsidP="003426CA">
      <w:pPr>
        <w:jc w:val="both"/>
        <w:rPr>
          <w:rFonts w:eastAsia="Calibri"/>
          <w:szCs w:val="22"/>
          <w:lang w:eastAsia="de-DE" w:bidi="de-DE"/>
        </w:rPr>
      </w:pPr>
    </w:p>
    <w:p w14:paraId="0DDA7C39" w14:textId="77777777" w:rsidR="003426CA" w:rsidRPr="00D21420" w:rsidRDefault="003426CA" w:rsidP="003426CA">
      <w:pPr>
        <w:jc w:val="both"/>
        <w:rPr>
          <w:rFonts w:eastAsia="Calibri"/>
          <w:szCs w:val="22"/>
          <w:lang w:eastAsia="de-DE" w:bidi="de-DE"/>
        </w:rPr>
      </w:pPr>
    </w:p>
    <w:p w14:paraId="11DC4398"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252</w:t>
      </w:r>
      <w:r w:rsidRPr="00D21420">
        <w:rPr>
          <w:rFonts w:eastAsia="Calibri"/>
          <w:szCs w:val="22"/>
          <w:lang w:eastAsia="de-DE" w:bidi="de-DE"/>
        </w:rPr>
        <w:t> - Die Neubewertung von Ausrüstung und damit gleichgesetzten Industriegebäuden darf für die Berechnung der Abschreibung nur berücksichtigt werden, wenn der Steuerpflichtige seit dem Erwerb der Gegenstände, die für die Neubewertung in Betracht kommen, eine ordnungsgemäße Buchhaltung gemäß den Vorschriften des Handelsgesetzbuches führt.</w:t>
      </w:r>
    </w:p>
    <w:p w14:paraId="4A19CA20" w14:textId="77777777" w:rsidR="003426CA" w:rsidRPr="00D21420" w:rsidRDefault="003426CA" w:rsidP="003426CA">
      <w:pPr>
        <w:jc w:val="both"/>
        <w:rPr>
          <w:rFonts w:eastAsia="Calibri"/>
          <w:szCs w:val="22"/>
          <w:lang w:eastAsia="de-DE" w:bidi="de-DE"/>
        </w:rPr>
      </w:pPr>
    </w:p>
    <w:p w14:paraId="5A6C1866"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t>Für die Anwendung von Artikel 251 und vorliegendem Artikel in Bezug auf Aktiva, die zu Eigentum requiriert wurden oder infolge von Kriegshandlungen zerstört, verloren oder unbrauchbar gemacht wurden, wird diese Bedingung jedoch nicht gestellt, wenn Belege vorgelegt werden, wie die Belege, die als Grundlage für die endgültige Festlegung der Requirierungsentschädigungen oder Schadensersatzleistungen gedient haben.</w:t>
      </w:r>
    </w:p>
    <w:p w14:paraId="7FF0D4AC" w14:textId="77777777" w:rsidR="003426CA" w:rsidRPr="00D21420" w:rsidRDefault="003426CA" w:rsidP="003426CA">
      <w:pPr>
        <w:jc w:val="both"/>
        <w:rPr>
          <w:rFonts w:eastAsia="Calibri"/>
          <w:szCs w:val="22"/>
          <w:lang w:eastAsia="de-DE" w:bidi="de-DE"/>
        </w:rPr>
      </w:pPr>
    </w:p>
    <w:p w14:paraId="551BBF99" w14:textId="77777777" w:rsidR="003426CA" w:rsidRPr="00D21420" w:rsidRDefault="003426CA" w:rsidP="003426CA">
      <w:pPr>
        <w:jc w:val="both"/>
        <w:rPr>
          <w:rFonts w:eastAsia="Calibri"/>
          <w:szCs w:val="22"/>
          <w:lang w:eastAsia="de-DE" w:bidi="de-DE"/>
        </w:rPr>
      </w:pPr>
    </w:p>
    <w:p w14:paraId="249226D4" w14:textId="77777777" w:rsidR="003426CA" w:rsidRPr="00D21420" w:rsidRDefault="003426CA" w:rsidP="003426CA">
      <w:pPr>
        <w:jc w:val="both"/>
        <w:rPr>
          <w:rFonts w:eastAsia="Calibri"/>
          <w:szCs w:val="22"/>
          <w:lang w:eastAsia="de-DE" w:bidi="de-DE"/>
        </w:rPr>
      </w:pPr>
      <w:r w:rsidRPr="00D21420">
        <w:rPr>
          <w:rFonts w:eastAsia="Calibri"/>
          <w:szCs w:val="22"/>
          <w:lang w:eastAsia="de-DE" w:bidi="de-DE"/>
        </w:rPr>
        <w:tab/>
      </w:r>
      <w:r w:rsidRPr="00D21420">
        <w:rPr>
          <w:rFonts w:eastAsia="Calibri"/>
          <w:b/>
          <w:szCs w:val="22"/>
          <w:lang w:eastAsia="de-DE" w:bidi="de-DE"/>
        </w:rPr>
        <w:t>Art. 253</w:t>
      </w:r>
      <w:r w:rsidRPr="00D21420">
        <w:rPr>
          <w:rFonts w:eastAsia="Calibri"/>
          <w:szCs w:val="22"/>
          <w:lang w:eastAsia="de-DE" w:bidi="de-DE"/>
        </w:rPr>
        <w:t> - Der Königliche Erlass vom 12. Oktober 1930 zur Festlegung der Berechnung von Abschreibungen auf einen neu bewerteten Herstellungspreis in Bezug auf die Einkommensteuern bleibt anwendbar für die Festlegung der unter Steuerbefreiung zugelassenen Abschreibungen von Ausrüstung und damit gleichgesetzten Industriegebäuden, deren Herstellungspreis, der gemäß diesem Erlass neu bewertet wurde und in den seit 1931 abgeschlossenen Bilanzen aufgenommen wurde, nicht gemäß den Artikeln 235 bis 252 neu bewertet wird.</w:t>
      </w:r>
    </w:p>
    <w:p w14:paraId="15E8491E" w14:textId="77777777" w:rsidR="00970B24" w:rsidRDefault="00970B24" w:rsidP="003426CA">
      <w:pPr>
        <w:jc w:val="center"/>
        <w:rPr>
          <w:rFonts w:eastAsia="Calibri"/>
          <w:szCs w:val="22"/>
          <w:lang w:eastAsia="de-DE" w:bidi="de-DE"/>
        </w:rPr>
      </w:pPr>
    </w:p>
    <w:p w14:paraId="0B49BCEC" w14:textId="77777777" w:rsidR="00C4516E" w:rsidRDefault="00C4516E">
      <w:pPr>
        <w:rPr>
          <w:rFonts w:eastAsia="Calibri"/>
          <w:szCs w:val="22"/>
          <w:lang w:eastAsia="de-DE" w:bidi="de-DE"/>
        </w:rPr>
      </w:pPr>
      <w:r>
        <w:rPr>
          <w:rFonts w:eastAsia="Calibri"/>
          <w:szCs w:val="22"/>
          <w:lang w:eastAsia="de-DE" w:bidi="de-DE"/>
        </w:rPr>
        <w:br w:type="page"/>
      </w:r>
    </w:p>
    <w:p w14:paraId="26E165FB" w14:textId="77777777" w:rsidR="00C4516E" w:rsidRDefault="00C4516E" w:rsidP="00C4516E">
      <w:pPr>
        <w:jc w:val="center"/>
        <w:rPr>
          <w:rFonts w:eastAsia="Calibri"/>
          <w:szCs w:val="22"/>
          <w:lang w:eastAsia="de-DE" w:bidi="de-DE"/>
        </w:rPr>
      </w:pPr>
      <w:r>
        <w:rPr>
          <w:rFonts w:eastAsia="Calibri"/>
          <w:szCs w:val="22"/>
          <w:lang w:eastAsia="de-DE" w:bidi="de-DE"/>
        </w:rPr>
        <w:lastRenderedPageBreak/>
        <w:t>[</w:t>
      </w:r>
      <w:r>
        <w:rPr>
          <w:rFonts w:eastAsia="Calibri"/>
          <w:i/>
          <w:szCs w:val="22"/>
          <w:lang w:eastAsia="de-DE" w:bidi="de-DE"/>
        </w:rPr>
        <w:t>Abschnitt 3 </w:t>
      </w:r>
      <w:r>
        <w:rPr>
          <w:rFonts w:eastAsia="Calibri"/>
          <w:szCs w:val="22"/>
          <w:lang w:eastAsia="de-DE" w:bidi="de-DE"/>
        </w:rPr>
        <w:t>– [</w:t>
      </w:r>
      <w:r>
        <w:t>Steuerermäßigung für Zinsen</w:t>
      </w:r>
      <w:r>
        <w:rPr>
          <w:rFonts w:eastAsia="Calibri"/>
          <w:szCs w:val="22"/>
          <w:lang w:eastAsia="de-DE" w:bidi="de-DE"/>
        </w:rPr>
        <w:t>] von Hypothekenanleihen, die für die Renovierung einer Wohnung aufgenommen wurden</w:t>
      </w:r>
    </w:p>
    <w:p w14:paraId="30120329" w14:textId="77777777" w:rsidR="00C4516E" w:rsidRDefault="00C4516E" w:rsidP="00C4516E">
      <w:pPr>
        <w:jc w:val="both"/>
        <w:rPr>
          <w:rFonts w:eastAsia="Calibri"/>
          <w:szCs w:val="22"/>
          <w:lang w:eastAsia="de-DE" w:bidi="de-DE"/>
        </w:rPr>
      </w:pPr>
    </w:p>
    <w:p w14:paraId="3E0FFF7B" w14:textId="77777777" w:rsidR="00C4516E" w:rsidRPr="00031766" w:rsidRDefault="00C4516E" w:rsidP="00C4516E">
      <w:pPr>
        <w:jc w:val="both"/>
        <w:rPr>
          <w:rFonts w:eastAsia="Calibri"/>
          <w:szCs w:val="22"/>
          <w:lang w:eastAsia="de-DE" w:bidi="de-DE"/>
        </w:rPr>
      </w:pPr>
      <w:r>
        <w:rPr>
          <w:rFonts w:eastAsia="Calibri"/>
          <w:szCs w:val="22"/>
          <w:lang w:eastAsia="de-DE" w:bidi="de-DE"/>
        </w:rPr>
        <w:t>(Einkommensteuergesetzbuch 1992, [Artikel 526 § 1 Absatz 2], in dem Maße, wie dieser Absatz Artikel 115 Nr. 2 Buchstabe </w:t>
      </w:r>
      <w:r>
        <w:rPr>
          <w:rFonts w:eastAsia="Calibri"/>
          <w:i/>
          <w:szCs w:val="22"/>
          <w:lang w:eastAsia="de-DE" w:bidi="de-DE"/>
        </w:rPr>
        <w:t>b)</w:t>
      </w:r>
      <w:r>
        <w:rPr>
          <w:rFonts w:eastAsia="Calibri"/>
          <w:szCs w:val="22"/>
          <w:lang w:eastAsia="de-DE" w:bidi="de-DE"/>
        </w:rPr>
        <w:t xml:space="preserve"> desselben Gesetzbuches - so wie er vor seiner Ersetzung durch das Gesetz vom 27. Dezember 2004 bestand - auf bestimmte Anleihen anwendbar macht)</w:t>
      </w:r>
    </w:p>
    <w:p w14:paraId="06C8E562" w14:textId="77777777" w:rsidR="00C4516E" w:rsidRDefault="00C4516E" w:rsidP="00C4516E">
      <w:pPr>
        <w:jc w:val="both"/>
        <w:rPr>
          <w:rFonts w:eastAsia="Calibri"/>
          <w:szCs w:val="22"/>
          <w:lang w:eastAsia="de-DE" w:bidi="de-DE"/>
        </w:rPr>
      </w:pPr>
    </w:p>
    <w:p w14:paraId="64148FF4" w14:textId="045FBF27" w:rsidR="00C4516E" w:rsidRDefault="00C4516E" w:rsidP="00C4516E">
      <w:pPr>
        <w:jc w:val="both"/>
        <w:rPr>
          <w:rFonts w:eastAsia="Calibri"/>
          <w:szCs w:val="22"/>
          <w:lang w:eastAsia="de-DE" w:bidi="de-DE"/>
        </w:rPr>
      </w:pPr>
      <w:r>
        <w:rPr>
          <w:rFonts w:eastAsia="Calibri"/>
          <w:i/>
          <w:szCs w:val="22"/>
          <w:lang w:eastAsia="de-DE" w:bidi="de-DE"/>
        </w:rPr>
        <w:t>[Abschnitt 3 mit Art. 254 eingefügt durch Art. 4 des K.E. vom 10. Juni 2006 (B.S. vom 19. Juni 2006; Überschrift abgeändert durch Art. 14 des K.E. vom 30. September 2014 (II) (B.S. vom 9. Oktober 2014)]</w:t>
      </w:r>
    </w:p>
    <w:p w14:paraId="03E37C0E" w14:textId="77777777" w:rsidR="00C4516E" w:rsidRDefault="00C4516E" w:rsidP="00C4516E">
      <w:pPr>
        <w:jc w:val="both"/>
        <w:rPr>
          <w:rFonts w:eastAsia="Calibri"/>
          <w:szCs w:val="22"/>
          <w:lang w:eastAsia="de-DE" w:bidi="de-DE"/>
        </w:rPr>
      </w:pPr>
    </w:p>
    <w:p w14:paraId="491AD497" w14:textId="77777777" w:rsidR="00C4516E" w:rsidRDefault="00C4516E" w:rsidP="00C4516E">
      <w:pPr>
        <w:jc w:val="both"/>
        <w:rPr>
          <w:rFonts w:eastAsia="Calibri"/>
          <w:szCs w:val="22"/>
          <w:lang w:eastAsia="de-DE" w:bidi="de-DE"/>
        </w:rPr>
      </w:pPr>
    </w:p>
    <w:p w14:paraId="255A84D7" w14:textId="77777777" w:rsidR="00C4516E" w:rsidRDefault="00C4516E" w:rsidP="00C4516E">
      <w:pPr>
        <w:jc w:val="both"/>
        <w:rPr>
          <w:rFonts w:eastAsia="Calibri"/>
          <w:szCs w:val="22"/>
          <w:lang w:eastAsia="de-DE" w:bidi="de-DE"/>
        </w:rPr>
      </w:pPr>
      <w:r>
        <w:rPr>
          <w:rFonts w:eastAsia="Calibri"/>
          <w:szCs w:val="22"/>
          <w:lang w:eastAsia="de-DE" w:bidi="de-DE"/>
        </w:rPr>
        <w:tab/>
      </w:r>
      <w:r>
        <w:rPr>
          <w:rFonts w:eastAsia="Calibri"/>
          <w:b/>
          <w:szCs w:val="22"/>
          <w:lang w:eastAsia="de-DE" w:bidi="de-DE"/>
        </w:rPr>
        <w:t>Art. 254</w:t>
      </w:r>
      <w:r>
        <w:rPr>
          <w:rFonts w:eastAsia="Calibri"/>
          <w:szCs w:val="22"/>
          <w:lang w:eastAsia="de-DE" w:bidi="de-DE"/>
        </w:rPr>
        <w:t> - Leistungen, die in Artikel 115 Nr. 2 Buchstabe </w:t>
      </w:r>
      <w:r>
        <w:rPr>
          <w:rFonts w:eastAsia="Calibri"/>
          <w:i/>
          <w:szCs w:val="22"/>
          <w:lang w:eastAsia="de-DE" w:bidi="de-DE"/>
        </w:rPr>
        <w:t>b)</w:t>
      </w:r>
      <w:r>
        <w:rPr>
          <w:rFonts w:eastAsia="Calibri"/>
          <w:szCs w:val="22"/>
          <w:lang w:eastAsia="de-DE" w:bidi="de-DE"/>
        </w:rPr>
        <w:t xml:space="preserve"> des Einkommensteuer</w:t>
      </w:r>
      <w:r>
        <w:rPr>
          <w:rFonts w:eastAsia="Calibri"/>
          <w:szCs w:val="22"/>
          <w:lang w:eastAsia="de-DE" w:bidi="de-DE"/>
        </w:rPr>
        <w:softHyphen/>
        <w:t>gesetzbuches 1992 - so wie er gemäß [Artikel 526 § 1 Absatz 2] desselben Gesetzbuches anwendbar bleibt - erwähnt sind, sind Leistungen, die in Tabelle A Rubrik XXXI der Anlage zum Königlichen Erlass Nr. 20 vom 20. Juli 1970 zur Festlegung der Mehrwertsteuersätze und zur Einteilung der Güter und Dienstleistungen nach diesen Sätzen erwähnt sind.]</w:t>
      </w:r>
    </w:p>
    <w:p w14:paraId="1CA6F9BC" w14:textId="77777777" w:rsidR="00C4516E" w:rsidRDefault="00C4516E" w:rsidP="00C4516E">
      <w:pPr>
        <w:jc w:val="both"/>
        <w:rPr>
          <w:rFonts w:eastAsia="Calibri"/>
          <w:szCs w:val="22"/>
          <w:lang w:eastAsia="de-DE" w:bidi="de-DE"/>
        </w:rPr>
      </w:pPr>
    </w:p>
    <w:p w14:paraId="4CC75BAA" w14:textId="6834EF8A" w:rsidR="00C4516E" w:rsidRPr="00031766" w:rsidRDefault="00C4516E" w:rsidP="00C4516E">
      <w:pPr>
        <w:jc w:val="both"/>
        <w:rPr>
          <w:rFonts w:eastAsia="Calibri"/>
          <w:i/>
          <w:szCs w:val="22"/>
          <w:lang w:eastAsia="de-DE" w:bidi="de-DE"/>
        </w:rPr>
      </w:pPr>
      <w:r>
        <w:rPr>
          <w:rFonts w:eastAsia="Calibri"/>
          <w:i/>
          <w:szCs w:val="22"/>
          <w:lang w:eastAsia="de-DE" w:bidi="de-DE"/>
        </w:rPr>
        <w:t>[Art. 254 abgeändert durch Art. 15 des K.E. vom 30. September 2014 (II) (B.S. vom 9. Oktober 2014)]</w:t>
      </w:r>
    </w:p>
    <w:p w14:paraId="171475B5" w14:textId="77777777" w:rsidR="00C4516E" w:rsidRDefault="00C4516E" w:rsidP="00C4516E">
      <w:pPr>
        <w:jc w:val="both"/>
        <w:rPr>
          <w:rFonts w:eastAsia="Calibri"/>
          <w:szCs w:val="22"/>
          <w:lang w:eastAsia="de-DE" w:bidi="de-DE"/>
        </w:rPr>
      </w:pPr>
    </w:p>
    <w:p w14:paraId="06F45848" w14:textId="77777777" w:rsidR="00C4516E" w:rsidRDefault="00C4516E" w:rsidP="00C4516E">
      <w:pPr>
        <w:jc w:val="both"/>
        <w:rPr>
          <w:rFonts w:eastAsia="Calibri"/>
          <w:szCs w:val="22"/>
          <w:lang w:eastAsia="de-DE" w:bidi="de-DE"/>
        </w:rPr>
      </w:pPr>
    </w:p>
    <w:p w14:paraId="66EB661F" w14:textId="77777777" w:rsidR="00C4516E" w:rsidRDefault="00C4516E" w:rsidP="00C4516E">
      <w:pPr>
        <w:ind w:firstLine="708"/>
        <w:jc w:val="center"/>
      </w:pPr>
      <w:r>
        <w:rPr>
          <w:rFonts w:eastAsia="Calibri"/>
          <w:szCs w:val="22"/>
          <w:lang w:eastAsia="de-DE" w:bidi="de-DE"/>
        </w:rPr>
        <w:t>[</w:t>
      </w:r>
      <w:r>
        <w:rPr>
          <w:rFonts w:eastAsia="Calibri"/>
          <w:i/>
          <w:szCs w:val="22"/>
          <w:lang w:eastAsia="de-DE" w:bidi="de-DE"/>
        </w:rPr>
        <w:t>Abschnitt 4 </w:t>
      </w:r>
      <w:r>
        <w:rPr>
          <w:rFonts w:eastAsia="Calibri"/>
          <w:szCs w:val="22"/>
          <w:lang w:eastAsia="de-DE" w:bidi="de-DE"/>
        </w:rPr>
        <w:t>– [</w:t>
      </w:r>
      <w:r>
        <w:t>Modalitäten für die Anwendung des in eine Steuerermäßigung umgewandelten Abzugs für die einzige Wohnung</w:t>
      </w:r>
    </w:p>
    <w:p w14:paraId="6FB9944B" w14:textId="77777777" w:rsidR="00C4516E" w:rsidRDefault="00C4516E" w:rsidP="00C4516E">
      <w:pPr>
        <w:ind w:firstLine="708"/>
      </w:pPr>
    </w:p>
    <w:p w14:paraId="3D7AE3B4" w14:textId="77777777" w:rsidR="00C4516E" w:rsidRPr="00031766" w:rsidRDefault="00C4516E" w:rsidP="00C4516E">
      <w:pPr>
        <w:jc w:val="both"/>
        <w:rPr>
          <w:rFonts w:eastAsia="Calibri"/>
          <w:szCs w:val="22"/>
          <w:lang w:eastAsia="de-DE" w:bidi="de-DE"/>
        </w:rPr>
      </w:pPr>
      <w:r>
        <w:t>(Einkommensteuergesetzbuch 1992, Artikel 539 § 1 Absatz 2, in dem Maße, wie dieser Absatz Artikel 115 § 3 desselben Gesetzbuches - so wie er vor seiner Aufhebung durch das Gesetz vom 8. Mai 1994 bestand - auf bestimmte Anleihen und Versicherungsverträge anwendbar macht)</w:t>
      </w:r>
    </w:p>
    <w:p w14:paraId="2E7E3DF1" w14:textId="77777777" w:rsidR="00C4516E" w:rsidRDefault="00C4516E" w:rsidP="00C4516E">
      <w:pPr>
        <w:jc w:val="both"/>
        <w:rPr>
          <w:rFonts w:eastAsia="Calibri"/>
          <w:szCs w:val="22"/>
          <w:lang w:eastAsia="de-DE" w:bidi="de-DE"/>
        </w:rPr>
      </w:pPr>
    </w:p>
    <w:p w14:paraId="3C1B2051" w14:textId="51D68010" w:rsidR="00C4516E" w:rsidRDefault="00C4516E" w:rsidP="00C4516E">
      <w:pPr>
        <w:jc w:val="both"/>
        <w:rPr>
          <w:rFonts w:eastAsia="Calibri"/>
          <w:szCs w:val="22"/>
          <w:lang w:eastAsia="de-DE" w:bidi="de-DE"/>
        </w:rPr>
      </w:pPr>
      <w:r>
        <w:rPr>
          <w:rFonts w:eastAsia="Calibri"/>
          <w:i/>
          <w:szCs w:val="22"/>
          <w:lang w:eastAsia="de-DE" w:bidi="de-DE"/>
        </w:rPr>
        <w:t>[Abschnitt 4 mit den Artikeln 255 und 256 eingefügt durch Art. 5 des K.E. vom 10. Juni 2006 (B.S. vom 19. Juni 2006) und ersetzt durch Art. 16 des K.E. vom 30. September 2014 (II) (B.S. vom 9. Oktober 2014)]</w:t>
      </w:r>
    </w:p>
    <w:p w14:paraId="77B38E20" w14:textId="77777777" w:rsidR="00C4516E" w:rsidRDefault="00C4516E" w:rsidP="00C4516E">
      <w:pPr>
        <w:jc w:val="both"/>
        <w:rPr>
          <w:rFonts w:eastAsia="Calibri"/>
          <w:szCs w:val="22"/>
          <w:lang w:eastAsia="de-DE" w:bidi="de-DE"/>
        </w:rPr>
      </w:pPr>
    </w:p>
    <w:p w14:paraId="3E606580" w14:textId="77777777" w:rsidR="00C4516E" w:rsidRDefault="00C4516E" w:rsidP="00C4516E">
      <w:pPr>
        <w:jc w:val="both"/>
        <w:rPr>
          <w:rFonts w:eastAsia="Calibri"/>
          <w:szCs w:val="22"/>
          <w:lang w:eastAsia="de-DE" w:bidi="de-DE"/>
        </w:rPr>
      </w:pPr>
    </w:p>
    <w:p w14:paraId="1322AD5B" w14:textId="77777777" w:rsidR="00C4516E" w:rsidRDefault="00C4516E" w:rsidP="00C4516E">
      <w:pPr>
        <w:jc w:val="both"/>
      </w:pPr>
      <w:r>
        <w:rPr>
          <w:rFonts w:eastAsia="Calibri"/>
          <w:szCs w:val="22"/>
          <w:lang w:eastAsia="de-DE" w:bidi="de-DE"/>
        </w:rPr>
        <w:tab/>
      </w:r>
      <w:r>
        <w:rPr>
          <w:rFonts w:eastAsia="Calibri"/>
          <w:b/>
          <w:szCs w:val="22"/>
          <w:lang w:eastAsia="de-DE" w:bidi="de-DE"/>
        </w:rPr>
        <w:t>Art. 255</w:t>
      </w:r>
      <w:r>
        <w:rPr>
          <w:rFonts w:eastAsia="Calibri"/>
          <w:szCs w:val="22"/>
          <w:lang w:eastAsia="de-DE" w:bidi="de-DE"/>
        </w:rPr>
        <w:t xml:space="preserve"> - </w:t>
      </w:r>
      <w:r>
        <w:t>Beantragt ein Steuerpflichtiger die Anwendung des in eine Steuerermäßigung umgewandelten Abzugs für die einzige Wohnung wie erwähnt in Artikel 104 Nr. 9 des Einkommensteuergesetzbuches 1992 - so wie er aufgrund von Artikel 539 desselben Gesetzbuches anwendbar geblieben ist - für Zinsen und Summen, die für Tilgung oder Wiederherstellung einer Hypothekenanleihe gezahlt werden, und Beiträge zu einer Alters- und Todesfallzusatzversicherung, die der Steuerpflichtige in Ausführung eines Lebens</w:t>
      </w:r>
      <w:r>
        <w:softHyphen/>
        <w:t>versicherungsvertrags, den er individuell abgeschlossen hat ausschließlich für die Wiederherstellung einer Hypothekenanleihe oder als Sicherheit für eine Hypothekenanleihe, definitiv gezahlt hat für die Bildung einer Rente oder eines Kapitals zu Lebzeiten oder im Todesfall</w:t>
      </w:r>
      <w:r w:rsidR="0071555C">
        <w:t>[</w:t>
      </w:r>
      <w:r w:rsidR="0071555C" w:rsidRPr="00F86574">
        <w:t>, muss er zur Stützung dieses Antrags je nach Fall folgende Bescheinigung oder folgende Bescheinigungen, deren Muster vom Minister der Finanzen oder von seinem Beauftragten festgelegt wird und die vom Institut, das die Anleihe gewährt hat, oder vom Versicherer, bei dem der Lebensversicherungsvertrag abgeschlossen worden ist, ausgestellt werden, zur Verfügung des Föderalen Öffentlichen Dienstes Finanzen bereithalten:</w:t>
      </w:r>
      <w:r w:rsidR="0071555C">
        <w:t>]</w:t>
      </w:r>
    </w:p>
    <w:p w14:paraId="346124F8" w14:textId="77777777" w:rsidR="00C4516E" w:rsidRDefault="00C4516E" w:rsidP="00C4516E">
      <w:pPr>
        <w:ind w:firstLine="708"/>
        <w:jc w:val="both"/>
      </w:pPr>
    </w:p>
    <w:p w14:paraId="0DD41EAE" w14:textId="77777777" w:rsidR="0071555C" w:rsidRPr="00F86574" w:rsidRDefault="00C4516E" w:rsidP="0071555C">
      <w:pPr>
        <w:ind w:firstLine="708"/>
        <w:jc w:val="both"/>
      </w:pPr>
      <w:r>
        <w:lastRenderedPageBreak/>
        <w:t>A. </w:t>
      </w:r>
      <w:r w:rsidR="0071555C">
        <w:t>[</w:t>
      </w:r>
      <w:r w:rsidR="0071555C" w:rsidRPr="00F86574">
        <w:t>in Bezug auf Zinsen und Summen, die für Tilgung oder Wiederherstellung der Hypothekenanleihe gezahlt werden:</w:t>
      </w:r>
    </w:p>
    <w:p w14:paraId="1DA9B1DC" w14:textId="77777777" w:rsidR="0071555C" w:rsidRPr="00F86574" w:rsidRDefault="0071555C" w:rsidP="0071555C">
      <w:pPr>
        <w:jc w:val="both"/>
      </w:pPr>
    </w:p>
    <w:p w14:paraId="121904B0" w14:textId="77777777" w:rsidR="0071555C" w:rsidRPr="00F86574" w:rsidRDefault="0071555C" w:rsidP="0071555C">
      <w:pPr>
        <w:ind w:firstLine="708"/>
        <w:jc w:val="both"/>
      </w:pPr>
      <w:r w:rsidRPr="00F86574">
        <w:t>1. für ab dem 1. Januar 2016 aufgenommene Refinanzierungsanleihen: jährliche Bescheinigung, in der das Institut den Betrag der vom Steuerpflichtigen während des Besteuerungszeitraums getätigten Zahlungen und Angaben mitteilt, die notwendig sind, um zu überprüfen, ob die Bedingungen für die Anwendung von Artikel 104 Nr. 9 des vorerwähnten Gesetzbuches - so wie er gemäß Artikel 539 desselben Gesetzbuches anwendbar bleibt - erfüllt sind,</w:t>
      </w:r>
    </w:p>
    <w:p w14:paraId="64D59D84" w14:textId="77777777" w:rsidR="0071555C" w:rsidRPr="00F86574" w:rsidRDefault="0071555C" w:rsidP="0071555C">
      <w:pPr>
        <w:jc w:val="both"/>
      </w:pPr>
    </w:p>
    <w:p w14:paraId="7208B907" w14:textId="77777777" w:rsidR="0071555C" w:rsidRPr="00F86574" w:rsidRDefault="0071555C" w:rsidP="0071555C">
      <w:pPr>
        <w:ind w:firstLine="708"/>
        <w:jc w:val="both"/>
      </w:pPr>
      <w:r w:rsidRPr="00F86574">
        <w:t>2. für andere als in Nr. 1 erwähnte Anleihen:</w:t>
      </w:r>
    </w:p>
    <w:p w14:paraId="53AF26D8" w14:textId="77777777" w:rsidR="0071555C" w:rsidRPr="00F86574" w:rsidRDefault="0071555C" w:rsidP="0071555C">
      <w:pPr>
        <w:jc w:val="both"/>
      </w:pPr>
    </w:p>
    <w:p w14:paraId="01721C7E" w14:textId="77777777" w:rsidR="0071555C" w:rsidRPr="00F86574" w:rsidRDefault="0071555C" w:rsidP="0071555C">
      <w:pPr>
        <w:ind w:firstLine="708"/>
        <w:jc w:val="both"/>
      </w:pPr>
      <w:r w:rsidRPr="00F86574">
        <w:rPr>
          <w:i/>
        </w:rPr>
        <w:t>a)</w:t>
      </w:r>
      <w:r w:rsidRPr="00F86574">
        <w:t> einmalige Grundbescheinigung, in der das Institut Angaben mitteilt, die belegen, dass der Anleihevertrag für die Anwendung von Artikel 104 Nr. 9 des vorerwähnten Gesetzbuches - so wie er gemäß Artikel 539 desselben Gesetzbuches anwendbar bleibt - berücksichtigt werden kann,</w:t>
      </w:r>
    </w:p>
    <w:p w14:paraId="11BBB018" w14:textId="77777777" w:rsidR="0071555C" w:rsidRPr="00F86574" w:rsidRDefault="0071555C" w:rsidP="0071555C">
      <w:pPr>
        <w:jc w:val="both"/>
      </w:pPr>
    </w:p>
    <w:p w14:paraId="685F4389" w14:textId="77777777" w:rsidR="0071555C" w:rsidRPr="00F86574" w:rsidRDefault="0071555C" w:rsidP="0071555C">
      <w:pPr>
        <w:ind w:firstLine="708"/>
        <w:jc w:val="both"/>
      </w:pPr>
      <w:r w:rsidRPr="00F86574">
        <w:rPr>
          <w:i/>
        </w:rPr>
        <w:t>b)</w:t>
      </w:r>
      <w:r w:rsidRPr="00F86574">
        <w:t> jährliche Bescheinigung, in der das Institut den Betrag der vom Steuerpflichtigen während des Besteuerungszeitraums getätigten Zahlungen und Angaben mitteilt, die notwendig sind, um zu überprüfen, ob die Bedingungen für die Anwendung von Artikel 104 Nr. 9 des vorerwähnten Gesetzbuches - so wie er gemäß Artikel 539 desselben Gesetzbuches anwendbar bleibt - weiter erfüllt sind,</w:t>
      </w:r>
    </w:p>
    <w:p w14:paraId="29AEDAAA" w14:textId="77777777" w:rsidR="0071555C" w:rsidRPr="00F86574" w:rsidRDefault="0071555C" w:rsidP="0071555C">
      <w:pPr>
        <w:jc w:val="both"/>
      </w:pPr>
    </w:p>
    <w:p w14:paraId="34077F87" w14:textId="77777777" w:rsidR="0071555C" w:rsidRPr="00F86574" w:rsidRDefault="0071555C" w:rsidP="0071555C">
      <w:pPr>
        <w:ind w:firstLine="708"/>
        <w:jc w:val="both"/>
      </w:pPr>
      <w:r w:rsidRPr="00F86574">
        <w:t>B. in Bezug auf Lebensversicherungsprämien:</w:t>
      </w:r>
    </w:p>
    <w:p w14:paraId="1EB43ABB" w14:textId="77777777" w:rsidR="0071555C" w:rsidRPr="00F86574" w:rsidRDefault="0071555C" w:rsidP="0071555C">
      <w:pPr>
        <w:jc w:val="both"/>
      </w:pPr>
    </w:p>
    <w:p w14:paraId="033DE5DD" w14:textId="77777777" w:rsidR="0071555C" w:rsidRPr="00F86574" w:rsidRDefault="0071555C" w:rsidP="0071555C">
      <w:pPr>
        <w:ind w:firstLine="708"/>
        <w:jc w:val="both"/>
      </w:pPr>
      <w:r w:rsidRPr="00F86574">
        <w:t>1. für ab dem 1. Januar 2016 abgeschlossene Verträge: jährliche Bescheinigung, in der der Versicherer den Betrag der vom Steuerpflichtigen während des Besteuerungszeitraums gezahlten Prämien und Angaben mitteilt, die notwendig sind, um zu überprüfen, ob die Bedingungen für die Anwendung von Artikel 104 Nr. 9 des vorerwähnten Gesetzbuches - so wie er gemäß Artikel 539 desselben Gesetzbuches anwendbar bleibt - erfüllt sind,</w:t>
      </w:r>
    </w:p>
    <w:p w14:paraId="78A7FF29" w14:textId="77777777" w:rsidR="0071555C" w:rsidRPr="00F86574" w:rsidRDefault="0071555C" w:rsidP="0071555C">
      <w:pPr>
        <w:jc w:val="both"/>
      </w:pPr>
    </w:p>
    <w:p w14:paraId="5FF4CAB8" w14:textId="77777777" w:rsidR="0071555C" w:rsidRPr="00F86574" w:rsidRDefault="0071555C" w:rsidP="0071555C">
      <w:pPr>
        <w:ind w:firstLine="708"/>
        <w:jc w:val="both"/>
      </w:pPr>
      <w:r w:rsidRPr="00F86574">
        <w:t>2. für andere als in Nr. 1 erwähnte Verträge:</w:t>
      </w:r>
    </w:p>
    <w:p w14:paraId="4D11EB4E" w14:textId="77777777" w:rsidR="0071555C" w:rsidRPr="00F86574" w:rsidRDefault="0071555C" w:rsidP="0071555C">
      <w:pPr>
        <w:jc w:val="both"/>
      </w:pPr>
    </w:p>
    <w:p w14:paraId="437CEFD8" w14:textId="77777777" w:rsidR="0071555C" w:rsidRPr="00F86574" w:rsidRDefault="0071555C" w:rsidP="0071555C">
      <w:pPr>
        <w:ind w:firstLine="708"/>
        <w:jc w:val="both"/>
      </w:pPr>
      <w:r w:rsidRPr="00F86574">
        <w:rPr>
          <w:i/>
        </w:rPr>
        <w:t>a)</w:t>
      </w:r>
      <w:r w:rsidRPr="00F86574">
        <w:t> einmalige Grundbescheinigung, in der der Versicherer Angaben mitteilt, die belegen, dass der Lebensversicherungsvertrag für die Anwendung von Artikel 104 Nr. 9 des vorerwähnten Gesetzbuches - so wie er gemäß Artikel 539 desselben Gesetzbuches anwendbar bleibt - berücksichtigt werden kann,</w:t>
      </w:r>
    </w:p>
    <w:p w14:paraId="2B0A0983" w14:textId="77777777" w:rsidR="0071555C" w:rsidRPr="00F86574" w:rsidRDefault="0071555C" w:rsidP="0071555C">
      <w:pPr>
        <w:jc w:val="both"/>
      </w:pPr>
    </w:p>
    <w:p w14:paraId="3B1BAA7A" w14:textId="77777777" w:rsidR="00C4516E" w:rsidRDefault="0071555C" w:rsidP="0071555C">
      <w:pPr>
        <w:ind w:firstLine="708"/>
        <w:jc w:val="both"/>
      </w:pPr>
      <w:r w:rsidRPr="00F86574">
        <w:rPr>
          <w:i/>
        </w:rPr>
        <w:t>b)</w:t>
      </w:r>
      <w:r w:rsidRPr="00F86574">
        <w:t> jährliche Bescheinigung, in der der Versicherer den Betrag der vom Steuerpflichtigen während des Besteuerungszeitraums gezahlten Prämien und Angaben mitteilt, die notwendig sind, um zu überprüfen, ob die Bedingungen für die Anwendung von Artikel 104 Nr. 9 des vorerwähnten Gesetzbuches - so wie er gemäß Artikel 539 desselben Gesetzbuches anwendbar bleibt - weiter erfüllt sind.</w:t>
      </w:r>
      <w:r>
        <w:t>]</w:t>
      </w:r>
    </w:p>
    <w:p w14:paraId="2F67D387" w14:textId="77777777" w:rsidR="0071555C" w:rsidRDefault="0071555C" w:rsidP="0071555C">
      <w:pPr>
        <w:ind w:firstLine="708"/>
        <w:jc w:val="both"/>
      </w:pPr>
    </w:p>
    <w:p w14:paraId="3D2AA747" w14:textId="77777777" w:rsidR="0071555C" w:rsidRPr="0071555C" w:rsidRDefault="0071555C" w:rsidP="0071555C">
      <w:pPr>
        <w:jc w:val="both"/>
        <w:rPr>
          <w:i/>
        </w:rPr>
      </w:pPr>
      <w:r>
        <w:rPr>
          <w:i/>
        </w:rPr>
        <w:t>[Art. 255 einziger Absatz einleitende Bestimmung abgeändert durch Art. 10 Nr. 1</w:t>
      </w:r>
      <w:r>
        <w:rPr>
          <w:rFonts w:eastAsia="Calibri"/>
          <w:i/>
          <w:szCs w:val="22"/>
          <w:lang w:eastAsia="de-DE" w:bidi="de-DE"/>
        </w:rPr>
        <w:t xml:space="preserve"> des K.E. vom 6. März 2018 (II) (B.S. vom 20. März 2018); einziger Absatz Buchstabe A und B ersetzt durch Art. 10 Nr. 2 des K.E. vom 6. März 2018 (II) (B.S. vom 20. März 2018)]</w:t>
      </w:r>
    </w:p>
    <w:p w14:paraId="28602257" w14:textId="77777777" w:rsidR="00C4516E" w:rsidRDefault="00C4516E" w:rsidP="00C4516E">
      <w:pPr>
        <w:jc w:val="both"/>
      </w:pPr>
    </w:p>
    <w:p w14:paraId="0B122B64" w14:textId="77777777" w:rsidR="00C4516E" w:rsidRDefault="00C4516E" w:rsidP="00C4516E"/>
    <w:p w14:paraId="53174F41" w14:textId="77777777" w:rsidR="00C4516E" w:rsidRDefault="00C4516E" w:rsidP="00C4516E">
      <w:pPr>
        <w:jc w:val="both"/>
        <w:rPr>
          <w:rFonts w:eastAsia="Calibri"/>
          <w:szCs w:val="22"/>
          <w:lang w:eastAsia="de-DE" w:bidi="de-DE"/>
        </w:rPr>
      </w:pPr>
      <w:r>
        <w:rPr>
          <w:b/>
        </w:rPr>
        <w:lastRenderedPageBreak/>
        <w:tab/>
        <w:t>Art. 256</w:t>
      </w:r>
      <w:r>
        <w:t> - Prämien in Bezug auf einen Vertrag mit unentgeltlicher oder entgeltlicher erfolgsabhängiger Beitragsrückerstattung werden für den in eine Steuerermäßigung umgewandelten Abzug für die einzige Wohnung wie erwähnt in Artikel 104 Nr. 9 des Einkommensteuergesetzbuches 1992 - so wie er gemäß Artikel 539 desselben Gesetzbuches anwendbar bleibt - bis zu ihrem Nennbetrag berücksichtigt.</w:t>
      </w:r>
      <w:r>
        <w:rPr>
          <w:rFonts w:eastAsia="Calibri"/>
          <w:szCs w:val="22"/>
          <w:lang w:eastAsia="de-DE" w:bidi="de-DE"/>
        </w:rPr>
        <w:t>]]</w:t>
      </w:r>
    </w:p>
    <w:p w14:paraId="404845BB" w14:textId="77777777" w:rsidR="00C4516E" w:rsidRDefault="00C4516E" w:rsidP="00C4516E">
      <w:pPr>
        <w:jc w:val="both"/>
        <w:rPr>
          <w:rFonts w:eastAsia="Calibri"/>
          <w:szCs w:val="22"/>
          <w:lang w:eastAsia="de-DE" w:bidi="de-DE"/>
        </w:rPr>
      </w:pPr>
    </w:p>
    <w:p w14:paraId="2FA7FDF6" w14:textId="77777777" w:rsidR="00C4516E" w:rsidRDefault="00C4516E" w:rsidP="00C4516E">
      <w:pPr>
        <w:jc w:val="both"/>
        <w:rPr>
          <w:rFonts w:eastAsia="Calibri"/>
          <w:szCs w:val="22"/>
          <w:lang w:eastAsia="de-DE" w:bidi="de-DE"/>
        </w:rPr>
      </w:pPr>
    </w:p>
    <w:p w14:paraId="5AC696D7" w14:textId="77777777" w:rsidR="00C4516E" w:rsidRDefault="00C4516E" w:rsidP="00C4516E">
      <w:pPr>
        <w:jc w:val="center"/>
        <w:rPr>
          <w:rFonts w:eastAsia="Calibri"/>
          <w:szCs w:val="22"/>
          <w:lang w:eastAsia="de-DE" w:bidi="de-DE"/>
        </w:rPr>
      </w:pPr>
      <w:r>
        <w:rPr>
          <w:rFonts w:eastAsia="Calibri"/>
          <w:szCs w:val="22"/>
          <w:lang w:eastAsia="de-DE" w:bidi="de-DE"/>
        </w:rPr>
        <w:t>[</w:t>
      </w:r>
      <w:r>
        <w:rPr>
          <w:rFonts w:eastAsia="Calibri"/>
          <w:i/>
          <w:szCs w:val="22"/>
          <w:lang w:eastAsia="de-DE" w:bidi="de-DE"/>
        </w:rPr>
        <w:t>Abschnitt 5 </w:t>
      </w:r>
      <w:r>
        <w:rPr>
          <w:rFonts w:eastAsia="Calibri"/>
          <w:szCs w:val="22"/>
          <w:lang w:eastAsia="de-DE" w:bidi="de-DE"/>
        </w:rPr>
        <w:t>- Privat-PC-Pläne</w:t>
      </w:r>
    </w:p>
    <w:p w14:paraId="0F959318" w14:textId="77777777" w:rsidR="00C4516E" w:rsidRDefault="00C4516E" w:rsidP="00C4516E">
      <w:pPr>
        <w:jc w:val="center"/>
        <w:rPr>
          <w:rFonts w:eastAsia="Calibri"/>
          <w:szCs w:val="22"/>
          <w:lang w:eastAsia="de-DE" w:bidi="de-DE"/>
        </w:rPr>
      </w:pPr>
    </w:p>
    <w:p w14:paraId="7838C327" w14:textId="77777777" w:rsidR="00C4516E" w:rsidRDefault="00C4516E" w:rsidP="00C4516E">
      <w:pPr>
        <w:jc w:val="center"/>
        <w:rPr>
          <w:rFonts w:eastAsia="Calibri"/>
          <w:szCs w:val="22"/>
          <w:lang w:eastAsia="de-DE" w:bidi="de-DE"/>
        </w:rPr>
      </w:pPr>
      <w:r>
        <w:rPr>
          <w:rFonts w:eastAsia="Calibri"/>
          <w:szCs w:val="22"/>
          <w:lang w:eastAsia="de-DE" w:bidi="de-DE"/>
        </w:rPr>
        <w:t>(Einkommensteuergesetzbuch 1992, Artikel 533)</w:t>
      </w:r>
    </w:p>
    <w:p w14:paraId="34A39B4A" w14:textId="77777777" w:rsidR="00C4516E" w:rsidRDefault="00C4516E" w:rsidP="00C4516E">
      <w:pPr>
        <w:jc w:val="both"/>
        <w:rPr>
          <w:rFonts w:eastAsia="Calibri"/>
          <w:szCs w:val="22"/>
          <w:lang w:eastAsia="de-DE" w:bidi="de-DE"/>
        </w:rPr>
      </w:pPr>
    </w:p>
    <w:p w14:paraId="038943EC" w14:textId="77777777" w:rsidR="00C4516E" w:rsidRPr="00031766" w:rsidRDefault="00C4516E" w:rsidP="00C4516E">
      <w:pPr>
        <w:jc w:val="both"/>
        <w:rPr>
          <w:rFonts w:eastAsia="Calibri"/>
          <w:szCs w:val="22"/>
          <w:lang w:eastAsia="de-DE" w:bidi="de-DE"/>
        </w:rPr>
      </w:pPr>
      <w:r>
        <w:rPr>
          <w:rFonts w:eastAsia="Calibri"/>
          <w:i/>
          <w:szCs w:val="22"/>
          <w:lang w:eastAsia="de-DE" w:bidi="de-DE"/>
        </w:rPr>
        <w:t>[Abschnitt 5 mit Art. 257 eingefügt durch Art. 7 des K.E. vom 6. April 2010 (B.S. vom 13. April 2010)]</w:t>
      </w:r>
    </w:p>
    <w:p w14:paraId="43FF66A3" w14:textId="77777777" w:rsidR="00C4516E" w:rsidRDefault="00C4516E" w:rsidP="00C4516E">
      <w:pPr>
        <w:jc w:val="both"/>
        <w:rPr>
          <w:rFonts w:eastAsia="Calibri"/>
          <w:szCs w:val="22"/>
          <w:lang w:eastAsia="de-DE" w:bidi="de-DE"/>
        </w:rPr>
      </w:pPr>
    </w:p>
    <w:p w14:paraId="38115401" w14:textId="77777777" w:rsidR="00C4516E" w:rsidRDefault="00C4516E" w:rsidP="00C4516E">
      <w:pPr>
        <w:jc w:val="both"/>
        <w:rPr>
          <w:rFonts w:eastAsia="Calibri"/>
          <w:szCs w:val="22"/>
          <w:lang w:eastAsia="de-DE" w:bidi="de-DE"/>
        </w:rPr>
      </w:pPr>
    </w:p>
    <w:p w14:paraId="0BD08D92" w14:textId="77777777" w:rsidR="00C4516E" w:rsidRDefault="00C4516E" w:rsidP="00C4516E">
      <w:pPr>
        <w:jc w:val="both"/>
        <w:rPr>
          <w:rFonts w:eastAsia="Calibri"/>
          <w:szCs w:val="22"/>
          <w:lang w:eastAsia="de-DE" w:bidi="de-DE"/>
        </w:rPr>
      </w:pPr>
      <w:r>
        <w:rPr>
          <w:rFonts w:eastAsia="Calibri"/>
          <w:szCs w:val="22"/>
          <w:lang w:eastAsia="de-DE" w:bidi="de-DE"/>
        </w:rPr>
        <w:tab/>
      </w:r>
      <w:r>
        <w:rPr>
          <w:rFonts w:eastAsia="Calibri"/>
          <w:b/>
          <w:szCs w:val="22"/>
          <w:lang w:eastAsia="de-DE" w:bidi="de-DE"/>
        </w:rPr>
        <w:t>Art. 257</w:t>
      </w:r>
      <w:r>
        <w:rPr>
          <w:rFonts w:eastAsia="Calibri"/>
          <w:szCs w:val="22"/>
          <w:lang w:eastAsia="de-DE" w:bidi="de-DE"/>
        </w:rPr>
        <w:t> - Damit eine Beteiligung des Arbeitgebers im Rahmen eines Privat-PC-Plans für die Steuerbefreiung, die in Artikel 38 Absatz 1 Nr. 17 des Einkommensteuergesetz</w:t>
      </w:r>
      <w:r>
        <w:rPr>
          <w:rFonts w:eastAsia="Calibri"/>
          <w:szCs w:val="22"/>
          <w:lang w:eastAsia="de-DE" w:bidi="de-DE"/>
        </w:rPr>
        <w:softHyphen/>
        <w:t>buches 1992 - so wie er vor seiner Ersetzung durch das Gesetz vom 6. Mai 2009 bestand - vorgesehen ist, berücksichtigt werden kann, müssen folgende Bedingungen erfüllt sein:</w:t>
      </w:r>
    </w:p>
    <w:p w14:paraId="5AD3E065" w14:textId="77777777" w:rsidR="00C4516E" w:rsidRDefault="00C4516E" w:rsidP="00C4516E">
      <w:pPr>
        <w:jc w:val="both"/>
        <w:rPr>
          <w:rFonts w:eastAsia="Calibri"/>
          <w:szCs w:val="22"/>
          <w:lang w:eastAsia="de-DE" w:bidi="de-DE"/>
        </w:rPr>
      </w:pPr>
    </w:p>
    <w:p w14:paraId="0D54720A" w14:textId="77777777" w:rsidR="00C4516E" w:rsidRDefault="00C4516E" w:rsidP="00C4516E">
      <w:pPr>
        <w:jc w:val="both"/>
        <w:rPr>
          <w:rFonts w:eastAsia="Calibri"/>
          <w:szCs w:val="22"/>
          <w:lang w:eastAsia="de-DE" w:bidi="de-DE"/>
        </w:rPr>
      </w:pPr>
      <w:r>
        <w:rPr>
          <w:rFonts w:eastAsia="Calibri"/>
          <w:szCs w:val="22"/>
          <w:lang w:eastAsia="de-DE" w:bidi="de-DE"/>
        </w:rPr>
        <w:tab/>
        <w:t>1. Das Angebot des Arbeitgebers, in dem er sich verpflichtet, sich am Kaufpreis für einen PC mit Peripheriegeräten und Drucker, für den Internetanschluss und das Internet-Abonnement und für die berufsbezogene Software zu beteiligen, wird im Privat-PC-Plan beschrieben.</w:t>
      </w:r>
    </w:p>
    <w:p w14:paraId="7BA799F5" w14:textId="77777777" w:rsidR="00C4516E" w:rsidRDefault="00C4516E" w:rsidP="00C4516E">
      <w:pPr>
        <w:jc w:val="both"/>
        <w:rPr>
          <w:rFonts w:eastAsia="Calibri"/>
          <w:szCs w:val="22"/>
          <w:lang w:eastAsia="de-DE" w:bidi="de-DE"/>
        </w:rPr>
      </w:pPr>
    </w:p>
    <w:p w14:paraId="67CA5246" w14:textId="77777777" w:rsidR="00C4516E" w:rsidRDefault="00C4516E" w:rsidP="00C4516E">
      <w:pPr>
        <w:jc w:val="both"/>
        <w:rPr>
          <w:rFonts w:eastAsia="Calibri"/>
          <w:szCs w:val="22"/>
          <w:lang w:eastAsia="de-DE" w:bidi="de-DE"/>
        </w:rPr>
      </w:pPr>
      <w:r>
        <w:rPr>
          <w:rFonts w:eastAsia="Calibri"/>
          <w:szCs w:val="22"/>
          <w:lang w:eastAsia="de-DE" w:bidi="de-DE"/>
        </w:rPr>
        <w:tab/>
        <w:t>2. Im Plan aufgenommene Bedingungen müssen für alle Arbeitnehmer oder für eine besondere Kategorie von ihnen identisch sein und dürfen nicht diskriminierend sein.</w:t>
      </w:r>
    </w:p>
    <w:p w14:paraId="57C33473" w14:textId="77777777" w:rsidR="00C4516E" w:rsidRDefault="00C4516E" w:rsidP="00C4516E">
      <w:pPr>
        <w:jc w:val="both"/>
        <w:rPr>
          <w:rFonts w:eastAsia="Calibri"/>
          <w:szCs w:val="22"/>
          <w:lang w:eastAsia="de-DE" w:bidi="de-DE"/>
        </w:rPr>
      </w:pPr>
    </w:p>
    <w:p w14:paraId="76C004A1" w14:textId="77777777" w:rsidR="00C4516E" w:rsidRDefault="00C4516E" w:rsidP="00C4516E">
      <w:pPr>
        <w:jc w:val="both"/>
        <w:rPr>
          <w:rFonts w:eastAsia="Calibri"/>
          <w:szCs w:val="22"/>
          <w:lang w:eastAsia="de-DE" w:bidi="de-DE"/>
        </w:rPr>
      </w:pPr>
      <w:r>
        <w:rPr>
          <w:rFonts w:eastAsia="Calibri"/>
          <w:szCs w:val="22"/>
          <w:lang w:eastAsia="de-DE" w:bidi="de-DE"/>
        </w:rPr>
        <w:tab/>
        <w:t>3. Ein Plan muss folgende Mindestbedingungen erfüllen:</w:t>
      </w:r>
    </w:p>
    <w:p w14:paraId="3F7E810F" w14:textId="77777777" w:rsidR="00C4516E" w:rsidRDefault="00C4516E" w:rsidP="00C4516E">
      <w:pPr>
        <w:jc w:val="both"/>
        <w:rPr>
          <w:rFonts w:eastAsia="Calibri"/>
          <w:szCs w:val="22"/>
          <w:lang w:eastAsia="de-DE" w:bidi="de-DE"/>
        </w:rPr>
      </w:pPr>
    </w:p>
    <w:p w14:paraId="7329FDEE" w14:textId="77777777" w:rsidR="00C4516E" w:rsidRDefault="00C4516E" w:rsidP="00C4516E">
      <w:pPr>
        <w:jc w:val="both"/>
        <w:rPr>
          <w:rFonts w:eastAsia="Calibri"/>
          <w:szCs w:val="22"/>
          <w:lang w:eastAsia="de-DE" w:bidi="de-DE"/>
        </w:rPr>
      </w:pPr>
      <w:r>
        <w:rPr>
          <w:rFonts w:eastAsia="Calibri"/>
          <w:szCs w:val="22"/>
          <w:lang w:eastAsia="de-DE" w:bidi="de-DE"/>
        </w:rPr>
        <w:tab/>
      </w:r>
      <w:r>
        <w:rPr>
          <w:rFonts w:eastAsia="Calibri"/>
          <w:i/>
          <w:szCs w:val="22"/>
          <w:lang w:eastAsia="de-DE" w:bidi="de-DE"/>
        </w:rPr>
        <w:t>a)</w:t>
      </w:r>
      <w:r>
        <w:rPr>
          <w:rFonts w:eastAsia="Calibri"/>
          <w:szCs w:val="22"/>
          <w:lang w:eastAsia="de-DE" w:bidi="de-DE"/>
        </w:rPr>
        <w:t> Im Plan müssen PC mit Peripheriegeräten und Drucker, Internetanschluss und Internet-Abonnement und berufsbezogene Software beschrieben sein.</w:t>
      </w:r>
    </w:p>
    <w:p w14:paraId="2CFF795D" w14:textId="77777777" w:rsidR="00C4516E" w:rsidRDefault="00C4516E" w:rsidP="00C4516E">
      <w:pPr>
        <w:jc w:val="both"/>
        <w:rPr>
          <w:rFonts w:eastAsia="Calibri"/>
          <w:szCs w:val="22"/>
          <w:lang w:eastAsia="de-DE" w:bidi="de-DE"/>
        </w:rPr>
      </w:pPr>
    </w:p>
    <w:p w14:paraId="5FDFBFD2" w14:textId="77777777" w:rsidR="00C4516E" w:rsidRDefault="00C4516E" w:rsidP="00C4516E">
      <w:pPr>
        <w:jc w:val="both"/>
        <w:rPr>
          <w:rFonts w:eastAsia="Calibri"/>
          <w:szCs w:val="22"/>
          <w:lang w:eastAsia="de-DE" w:bidi="de-DE"/>
        </w:rPr>
      </w:pPr>
      <w:r>
        <w:rPr>
          <w:rFonts w:eastAsia="Calibri"/>
          <w:szCs w:val="22"/>
          <w:lang w:eastAsia="de-DE" w:bidi="de-DE"/>
        </w:rPr>
        <w:tab/>
      </w:r>
      <w:r>
        <w:rPr>
          <w:rFonts w:eastAsia="Calibri"/>
          <w:i/>
          <w:szCs w:val="22"/>
          <w:lang w:eastAsia="de-DE" w:bidi="de-DE"/>
        </w:rPr>
        <w:t>b)</w:t>
      </w:r>
      <w:r>
        <w:rPr>
          <w:rFonts w:eastAsia="Calibri"/>
          <w:szCs w:val="22"/>
          <w:lang w:eastAsia="de-DE" w:bidi="de-DE"/>
        </w:rPr>
        <w:t> Im Plan wird bestimmt, dass es dem Arbeitnehmer frei steht, das beschriebene Material ganz oder teilweise selbst auszuwählen.</w:t>
      </w:r>
    </w:p>
    <w:p w14:paraId="25CECFBB" w14:textId="77777777" w:rsidR="00C4516E" w:rsidRDefault="00C4516E" w:rsidP="00C4516E">
      <w:pPr>
        <w:jc w:val="both"/>
        <w:rPr>
          <w:rFonts w:eastAsia="Calibri"/>
          <w:szCs w:val="22"/>
          <w:lang w:eastAsia="de-DE" w:bidi="de-DE"/>
        </w:rPr>
      </w:pPr>
    </w:p>
    <w:p w14:paraId="0A03F6C1" w14:textId="77777777" w:rsidR="00C4516E" w:rsidRDefault="00C4516E" w:rsidP="00C4516E">
      <w:pPr>
        <w:jc w:val="both"/>
        <w:rPr>
          <w:rFonts w:eastAsia="Calibri"/>
          <w:szCs w:val="22"/>
          <w:lang w:eastAsia="de-DE" w:bidi="de-DE"/>
        </w:rPr>
      </w:pPr>
      <w:r>
        <w:rPr>
          <w:rFonts w:eastAsia="Calibri"/>
          <w:szCs w:val="22"/>
          <w:lang w:eastAsia="de-DE" w:bidi="de-DE"/>
        </w:rPr>
        <w:tab/>
      </w:r>
      <w:r>
        <w:rPr>
          <w:rFonts w:eastAsia="Calibri"/>
          <w:i/>
          <w:szCs w:val="22"/>
          <w:lang w:eastAsia="de-DE" w:bidi="de-DE"/>
        </w:rPr>
        <w:t>c)</w:t>
      </w:r>
      <w:r>
        <w:rPr>
          <w:rFonts w:eastAsia="Calibri"/>
          <w:szCs w:val="22"/>
          <w:lang w:eastAsia="de-DE" w:bidi="de-DE"/>
        </w:rPr>
        <w:t> Die Beteiligung des Arbeitgebers muss für jeden Bestandteil des Angebots genau angegeben werden.</w:t>
      </w:r>
    </w:p>
    <w:p w14:paraId="551DF7F8" w14:textId="77777777" w:rsidR="00C4516E" w:rsidRDefault="00C4516E" w:rsidP="00C4516E">
      <w:pPr>
        <w:jc w:val="both"/>
        <w:rPr>
          <w:rFonts w:eastAsia="Calibri"/>
          <w:szCs w:val="22"/>
          <w:lang w:eastAsia="de-DE" w:bidi="de-DE"/>
        </w:rPr>
      </w:pPr>
    </w:p>
    <w:p w14:paraId="79BEC539" w14:textId="77777777" w:rsidR="00C4516E" w:rsidRDefault="00C4516E" w:rsidP="00C4516E">
      <w:pPr>
        <w:jc w:val="both"/>
        <w:rPr>
          <w:rFonts w:eastAsia="Calibri"/>
          <w:szCs w:val="22"/>
          <w:lang w:eastAsia="de-DE" w:bidi="de-DE"/>
        </w:rPr>
      </w:pPr>
      <w:r>
        <w:rPr>
          <w:rFonts w:eastAsia="Calibri"/>
          <w:szCs w:val="22"/>
          <w:lang w:eastAsia="de-DE" w:bidi="de-DE"/>
        </w:rPr>
        <w:tab/>
      </w:r>
      <w:r>
        <w:rPr>
          <w:rFonts w:eastAsia="Calibri"/>
          <w:i/>
          <w:szCs w:val="22"/>
          <w:lang w:eastAsia="de-DE" w:bidi="de-DE"/>
        </w:rPr>
        <w:t>d)</w:t>
      </w:r>
      <w:r>
        <w:rPr>
          <w:rFonts w:eastAsia="Calibri"/>
          <w:szCs w:val="22"/>
          <w:lang w:eastAsia="de-DE" w:bidi="de-DE"/>
        </w:rPr>
        <w:t> Die Beteiligung darf nur für den Kauf von Material in Neuzustand erfolgen.</w:t>
      </w:r>
    </w:p>
    <w:p w14:paraId="26A11DA2" w14:textId="77777777" w:rsidR="00C4516E" w:rsidRDefault="00C4516E" w:rsidP="00C4516E">
      <w:pPr>
        <w:jc w:val="both"/>
        <w:rPr>
          <w:rFonts w:eastAsia="Calibri"/>
          <w:szCs w:val="22"/>
          <w:lang w:eastAsia="de-DE" w:bidi="de-DE"/>
        </w:rPr>
      </w:pPr>
    </w:p>
    <w:p w14:paraId="0DFAA87F" w14:textId="77777777" w:rsidR="00C4516E" w:rsidRDefault="00C4516E" w:rsidP="00C4516E">
      <w:pPr>
        <w:jc w:val="both"/>
        <w:rPr>
          <w:rFonts w:eastAsia="Calibri"/>
          <w:szCs w:val="22"/>
          <w:lang w:eastAsia="de-DE" w:bidi="de-DE"/>
        </w:rPr>
      </w:pPr>
      <w:r>
        <w:rPr>
          <w:rFonts w:eastAsia="Calibri"/>
          <w:szCs w:val="22"/>
          <w:lang w:eastAsia="de-DE" w:bidi="de-DE"/>
        </w:rPr>
        <w:tab/>
      </w:r>
      <w:r>
        <w:rPr>
          <w:rFonts w:eastAsia="Calibri"/>
          <w:i/>
          <w:szCs w:val="22"/>
          <w:lang w:eastAsia="de-DE" w:bidi="de-DE"/>
        </w:rPr>
        <w:t>e)</w:t>
      </w:r>
      <w:r>
        <w:rPr>
          <w:rFonts w:eastAsia="Calibri"/>
          <w:szCs w:val="22"/>
          <w:lang w:eastAsia="de-DE" w:bidi="de-DE"/>
        </w:rPr>
        <w:t> Die Beteiligung des Arbeitgebers erfolgt nach Abgabe einer vom Arbeitnehmer für gleich lautend erklärten Abschrift der Kaufrechnung oder des Kaufnachweises auf den Namen des Arbeitnehmers.</w:t>
      </w:r>
    </w:p>
    <w:p w14:paraId="641EBF0A" w14:textId="77777777" w:rsidR="00C4516E" w:rsidRDefault="00C4516E" w:rsidP="00C4516E">
      <w:pPr>
        <w:jc w:val="both"/>
        <w:rPr>
          <w:rFonts w:eastAsia="Calibri"/>
          <w:szCs w:val="22"/>
          <w:lang w:eastAsia="de-DE" w:bidi="de-DE"/>
        </w:rPr>
      </w:pPr>
    </w:p>
    <w:p w14:paraId="0A93D799" w14:textId="77777777" w:rsidR="00C4516E" w:rsidRDefault="00C4516E" w:rsidP="00C4516E">
      <w:pPr>
        <w:jc w:val="both"/>
        <w:rPr>
          <w:rFonts w:eastAsia="Calibri"/>
          <w:szCs w:val="22"/>
          <w:lang w:eastAsia="de-DE" w:bidi="de-DE"/>
        </w:rPr>
      </w:pPr>
      <w:r>
        <w:rPr>
          <w:rFonts w:eastAsia="Calibri"/>
          <w:szCs w:val="22"/>
          <w:lang w:eastAsia="de-DE" w:bidi="de-DE"/>
        </w:rPr>
        <w:tab/>
      </w:r>
      <w:r>
        <w:rPr>
          <w:rFonts w:eastAsia="Calibri"/>
          <w:i/>
          <w:szCs w:val="22"/>
          <w:lang w:eastAsia="de-DE" w:bidi="de-DE"/>
        </w:rPr>
        <w:t>f)</w:t>
      </w:r>
      <w:r>
        <w:rPr>
          <w:rFonts w:eastAsia="Calibri"/>
          <w:szCs w:val="22"/>
          <w:lang w:eastAsia="de-DE" w:bidi="de-DE"/>
        </w:rPr>
        <w:t> In Bezug auf Material, das der Arbeitnehmer im Rahmen eines Privat-PC-Plans zuvor gekauft hat, muss im Plan bestimmt sein, dass nur während des dritten Jahres nach dem Jahr des Kaufs das Angebot des Arbeitgebers erneut in Anspruch genommen werden darf.]</w:t>
      </w:r>
    </w:p>
    <w:p w14:paraId="64C2D0D0" w14:textId="77777777" w:rsidR="00C4516E" w:rsidRDefault="00C4516E" w:rsidP="00C4516E">
      <w:pPr>
        <w:jc w:val="both"/>
        <w:rPr>
          <w:rFonts w:eastAsia="Calibri"/>
          <w:szCs w:val="22"/>
          <w:lang w:eastAsia="de-DE" w:bidi="de-DE"/>
        </w:rPr>
      </w:pPr>
    </w:p>
    <w:p w14:paraId="20D1994D" w14:textId="77777777" w:rsidR="00C4516E" w:rsidRDefault="00C4516E" w:rsidP="00C4516E">
      <w:pPr>
        <w:jc w:val="both"/>
        <w:rPr>
          <w:rFonts w:eastAsia="Calibri"/>
          <w:szCs w:val="22"/>
          <w:lang w:eastAsia="de-DE" w:bidi="de-DE"/>
        </w:rPr>
      </w:pPr>
    </w:p>
    <w:p w14:paraId="23F2DB5E" w14:textId="77777777" w:rsidR="00C4516E" w:rsidRDefault="00C4516E" w:rsidP="00C4516E">
      <w:pPr>
        <w:ind w:firstLine="708"/>
      </w:pPr>
      <w:r>
        <w:rPr>
          <w:rFonts w:eastAsia="Calibri"/>
          <w:szCs w:val="22"/>
          <w:lang w:eastAsia="de-DE" w:bidi="de-DE"/>
        </w:rPr>
        <w:lastRenderedPageBreak/>
        <w:tab/>
        <w:t>[</w:t>
      </w:r>
      <w:r>
        <w:rPr>
          <w:i/>
        </w:rPr>
        <w:t>Abschnitt 6</w:t>
      </w:r>
      <w:r>
        <w:t> - Steuerermäßigung für energieeffiziente Wohnungen</w:t>
      </w:r>
    </w:p>
    <w:p w14:paraId="36D6680F" w14:textId="77777777" w:rsidR="00C4516E" w:rsidRDefault="00C4516E" w:rsidP="00C4516E">
      <w:pPr>
        <w:ind w:firstLine="708"/>
      </w:pPr>
    </w:p>
    <w:p w14:paraId="5A62E928" w14:textId="77777777" w:rsidR="00C4516E" w:rsidRDefault="00C4516E" w:rsidP="00C4516E">
      <w:pPr>
        <w:ind w:firstLine="708"/>
        <w:jc w:val="center"/>
      </w:pPr>
      <w:r>
        <w:t>(Einkommensteuer</w:t>
      </w:r>
      <w:r>
        <w:softHyphen/>
        <w:t>gesetzbuch 1992, Artikel 535)</w:t>
      </w:r>
    </w:p>
    <w:p w14:paraId="1F9777FA" w14:textId="77777777" w:rsidR="00C4516E" w:rsidRDefault="00C4516E" w:rsidP="00C4516E">
      <w:pPr>
        <w:ind w:firstLine="708"/>
        <w:jc w:val="center"/>
      </w:pPr>
    </w:p>
    <w:p w14:paraId="10E28080" w14:textId="2CFBB41D" w:rsidR="00C4516E" w:rsidRDefault="00C4516E" w:rsidP="00C4516E">
      <w:pPr>
        <w:jc w:val="both"/>
      </w:pPr>
      <w:r>
        <w:rPr>
          <w:rFonts w:eastAsia="Calibri"/>
          <w:i/>
          <w:szCs w:val="22"/>
          <w:lang w:eastAsia="de-DE" w:bidi="de-DE"/>
        </w:rPr>
        <w:t>[Abschnitt 6 mit Art. 258 eingefügt durch Art. 17 des K.E. vom 30. September 2014 (II) (B.S. vom 9. Oktober 2014)]</w:t>
      </w:r>
    </w:p>
    <w:p w14:paraId="5C685756" w14:textId="77777777" w:rsidR="00C4516E" w:rsidRDefault="00C4516E" w:rsidP="00C4516E">
      <w:pPr>
        <w:ind w:firstLine="708"/>
      </w:pPr>
    </w:p>
    <w:p w14:paraId="29EB57DC" w14:textId="77777777" w:rsidR="00C4516E" w:rsidRDefault="00C4516E" w:rsidP="00C4516E"/>
    <w:p w14:paraId="44964FB0" w14:textId="77777777" w:rsidR="00C4516E" w:rsidRDefault="00C4516E" w:rsidP="00C4516E">
      <w:pPr>
        <w:ind w:firstLine="708"/>
        <w:jc w:val="both"/>
      </w:pPr>
      <w:r>
        <w:rPr>
          <w:b/>
        </w:rPr>
        <w:t>Art. 258</w:t>
      </w:r>
      <w:r>
        <w:t> - § 1 - Für die Anwendung von Artikel 145</w:t>
      </w:r>
      <w:r>
        <w:rPr>
          <w:vertAlign w:val="superscript"/>
        </w:rPr>
        <w:t>24</w:t>
      </w:r>
      <w:r>
        <w:t xml:space="preserve"> § 2 Absatz 5 des Einkommen</w:t>
      </w:r>
      <w:r>
        <w:softHyphen/>
        <w:t>steuergesetzbuches 1992 - so wie er gemäß Artikel 535 desselben Gesetzbuches anwendbar bleibt - sind folgende Einrichtungen zugelassen:</w:t>
      </w:r>
    </w:p>
    <w:p w14:paraId="557BF8B0" w14:textId="77777777" w:rsidR="00C4516E" w:rsidRDefault="00C4516E" w:rsidP="00C4516E">
      <w:pPr>
        <w:jc w:val="both"/>
      </w:pPr>
    </w:p>
    <w:p w14:paraId="10006B68" w14:textId="77777777" w:rsidR="00C4516E" w:rsidRDefault="00C4516E" w:rsidP="00C4516E">
      <w:pPr>
        <w:ind w:firstLine="708"/>
        <w:jc w:val="both"/>
        <w:rPr>
          <w:lang w:val="fr-BE"/>
        </w:rPr>
      </w:pPr>
      <w:r>
        <w:rPr>
          <w:lang w:val="fr-BE"/>
        </w:rPr>
        <w:t>Passiefhuis-Platform VoG</w:t>
      </w:r>
    </w:p>
    <w:p w14:paraId="7B2524BB" w14:textId="77777777" w:rsidR="00C4516E" w:rsidRDefault="00C4516E" w:rsidP="00C4516E">
      <w:pPr>
        <w:jc w:val="both"/>
        <w:rPr>
          <w:lang w:val="fr-BE"/>
        </w:rPr>
      </w:pPr>
    </w:p>
    <w:p w14:paraId="5AFF23BA" w14:textId="77777777" w:rsidR="00C4516E" w:rsidRDefault="00C4516E" w:rsidP="00C4516E">
      <w:pPr>
        <w:ind w:firstLine="708"/>
        <w:jc w:val="both"/>
        <w:rPr>
          <w:lang w:val="fr-BE"/>
        </w:rPr>
      </w:pPr>
      <w:r>
        <w:rPr>
          <w:lang w:val="fr-BE"/>
        </w:rPr>
        <w:t>Plate-forme Maison Passive VoG.</w:t>
      </w:r>
    </w:p>
    <w:p w14:paraId="090A71E9" w14:textId="77777777" w:rsidR="00C4516E" w:rsidRDefault="00C4516E" w:rsidP="00C4516E">
      <w:pPr>
        <w:jc w:val="both"/>
        <w:rPr>
          <w:lang w:val="fr-BE"/>
        </w:rPr>
      </w:pPr>
    </w:p>
    <w:p w14:paraId="70C0BB3A" w14:textId="77777777" w:rsidR="00C4516E" w:rsidRDefault="00C4516E" w:rsidP="00C4516E">
      <w:pPr>
        <w:ind w:firstLine="708"/>
        <w:jc w:val="both"/>
      </w:pPr>
      <w:r>
        <w:t>Die "kwaliteitsverklaring passiefhuis" und die "déclaration de qualité de Maison passive", die im Laufe der Kalenderjahre 2007, 2008 und 2009 von den in Absatz 1 erwähnten zugelassenen Einrichtungen ausgestellt worden sind, gelten als Bescheinigung wie erwähnt in Artikel 145</w:t>
      </w:r>
      <w:r>
        <w:rPr>
          <w:vertAlign w:val="superscript"/>
        </w:rPr>
        <w:t>24</w:t>
      </w:r>
      <w:r>
        <w:t xml:space="preserve"> § 2 Absatz 5 des vorerwähnten Gesetzbuches, so wie er gemäß Artikel 535 desselben Gesetzbuches anwendbar bleibt.</w:t>
      </w:r>
    </w:p>
    <w:p w14:paraId="2CDB9A21" w14:textId="77777777" w:rsidR="00C4516E" w:rsidRDefault="00C4516E" w:rsidP="00C4516E">
      <w:pPr>
        <w:jc w:val="both"/>
      </w:pPr>
    </w:p>
    <w:p w14:paraId="7FB4B9C7" w14:textId="77777777" w:rsidR="00C4516E" w:rsidRDefault="00C4516E" w:rsidP="00C4516E">
      <w:pPr>
        <w:ind w:firstLine="708"/>
        <w:jc w:val="both"/>
      </w:pPr>
      <w:r>
        <w:t>Ab dem 1. Januar 2010 ausgestellte Bescheinigungen müssen den Mustern entsprechen, so wie sie vom Beauftragten des Ministers der Finanzen in Ausführung von Artikel 63</w:t>
      </w:r>
      <w:r>
        <w:rPr>
          <w:vertAlign w:val="superscript"/>
        </w:rPr>
        <w:t>11</w:t>
      </w:r>
      <w:r>
        <w:rPr>
          <w:i/>
          <w:vertAlign w:val="superscript"/>
        </w:rPr>
        <w:t>bis</w:t>
      </w:r>
      <w:r>
        <w:t xml:space="preserve"> § 1 Absatz 3 des vorliegenden Erlasses - so wie er vor seiner Aufhebung durch Artikel 7 des Königlichen Erlasses vom 30. September 2014 bestand - festgelegt worden sind.</w:t>
      </w:r>
    </w:p>
    <w:p w14:paraId="534806AC" w14:textId="77777777" w:rsidR="00C4516E" w:rsidRDefault="00C4516E" w:rsidP="00C4516E">
      <w:pPr>
        <w:jc w:val="both"/>
      </w:pPr>
    </w:p>
    <w:p w14:paraId="0D34C63C" w14:textId="77777777" w:rsidR="00C4516E" w:rsidRDefault="00C4516E" w:rsidP="00C4516E">
      <w:pPr>
        <w:ind w:firstLine="708"/>
        <w:jc w:val="both"/>
      </w:pPr>
      <w:r>
        <w:t>§ 2 - Die in § 1 Absatz 1 erwähnten zugelassenen Einrichtungen und die zuständigen Regionalverwaltungen übermitteln der für die Festlegung der Einkommensteuern zuständigen Verwaltung innerhalb von zwei Monaten nach Ende des Kalenderjahres, in dem die in § 1 Absatz 3 erwähnten Bescheinigungen ausgestellt worden sind, eine elektronische Kopie dieser Bescheinigungen.</w:t>
      </w:r>
    </w:p>
    <w:p w14:paraId="3CA5A5CB" w14:textId="77777777" w:rsidR="00C4516E" w:rsidRDefault="00C4516E" w:rsidP="00C4516E">
      <w:pPr>
        <w:jc w:val="both"/>
      </w:pPr>
    </w:p>
    <w:p w14:paraId="39D626DA" w14:textId="77777777" w:rsidR="00C4516E" w:rsidRDefault="00C4516E" w:rsidP="00C4516E">
      <w:pPr>
        <w:ind w:firstLine="708"/>
        <w:jc w:val="both"/>
      </w:pPr>
      <w:r>
        <w:t>Ist die in § 1 Absatz 3 erwähnte Bescheinigung von einer in einem anderen Mitgliedstaat des Europäischen Wirtschaftsraums ansässigen ähnlichen Einrichtung oder zuständigen Verwaltung ausgestellt worden, hält der Steuerpflichtige diese Bescheinigung zur Verfügung der Verwaltung bereit.</w:t>
      </w:r>
    </w:p>
    <w:p w14:paraId="679D4552" w14:textId="77777777" w:rsidR="00C4516E" w:rsidRDefault="00C4516E" w:rsidP="00C4516E">
      <w:pPr>
        <w:jc w:val="both"/>
      </w:pPr>
    </w:p>
    <w:p w14:paraId="1779499C" w14:textId="77777777" w:rsidR="00C4516E" w:rsidRDefault="00C4516E" w:rsidP="00C4516E">
      <w:pPr>
        <w:ind w:firstLine="708"/>
        <w:jc w:val="both"/>
      </w:pPr>
      <w:r>
        <w:t>§ 3 - Für die Anwendung des Ausgleichs wie erwähnt in Artikel 145</w:t>
      </w:r>
      <w:r>
        <w:rPr>
          <w:vertAlign w:val="superscript"/>
        </w:rPr>
        <w:t>24</w:t>
      </w:r>
      <w:r>
        <w:t xml:space="preserve"> § 2 Absatz 4 des vorerwähnten Gesetzbuches, so wie er vor seiner Aufhebung durch Artikel 41 des Gesetzes vom 28. Dezember 2011 zur Festlegung verschiedener Bestimmungen bestand, versteht man unter "Erzeugung erneuerbarer Energie" die Erzeugung von Energie durch:</w:t>
      </w:r>
    </w:p>
    <w:p w14:paraId="2309B1F3" w14:textId="77777777" w:rsidR="00C4516E" w:rsidRDefault="00C4516E" w:rsidP="00C4516E">
      <w:pPr>
        <w:jc w:val="both"/>
      </w:pPr>
    </w:p>
    <w:p w14:paraId="45FC8DAB" w14:textId="77777777" w:rsidR="00C4516E" w:rsidRDefault="00C4516E" w:rsidP="00C4516E">
      <w:pPr>
        <w:ind w:firstLine="708"/>
        <w:jc w:val="both"/>
      </w:pPr>
      <w:r>
        <w:t>1. einen Warmwasserzubereiter, der mit Sonnenenergie betrieben wird,</w:t>
      </w:r>
    </w:p>
    <w:p w14:paraId="04D3C386" w14:textId="77777777" w:rsidR="00C4516E" w:rsidRDefault="00C4516E" w:rsidP="00C4516E">
      <w:pPr>
        <w:jc w:val="both"/>
      </w:pPr>
    </w:p>
    <w:p w14:paraId="4B009C75" w14:textId="77777777" w:rsidR="00C4516E" w:rsidRDefault="00C4516E" w:rsidP="00C4516E">
      <w:pPr>
        <w:ind w:firstLine="708"/>
        <w:jc w:val="both"/>
      </w:pPr>
      <w:r>
        <w:t>2. photovoltaische Solarzellen zur Umwandlung von Sonnenenergie in elektrische Energie,</w:t>
      </w:r>
    </w:p>
    <w:p w14:paraId="717F17DB" w14:textId="77777777" w:rsidR="00C4516E" w:rsidRDefault="00C4516E" w:rsidP="00C4516E">
      <w:pPr>
        <w:jc w:val="both"/>
      </w:pPr>
    </w:p>
    <w:p w14:paraId="33C32738" w14:textId="77777777" w:rsidR="0071555C" w:rsidRDefault="0071555C">
      <w:r>
        <w:br w:type="page"/>
      </w:r>
    </w:p>
    <w:p w14:paraId="60C45028" w14:textId="77777777" w:rsidR="00C4516E" w:rsidRDefault="00C4516E" w:rsidP="00C4516E">
      <w:pPr>
        <w:ind w:firstLine="708"/>
        <w:jc w:val="both"/>
      </w:pPr>
      <w:r>
        <w:lastRenderedPageBreak/>
        <w:t>3. Wärmepumpen, die Energie nutzen, die in Form von Wärme gespeichert ist:</w:t>
      </w:r>
    </w:p>
    <w:p w14:paraId="6643ECF0" w14:textId="77777777" w:rsidR="00C4516E" w:rsidRDefault="00C4516E" w:rsidP="00C4516E">
      <w:pPr>
        <w:jc w:val="both"/>
      </w:pPr>
    </w:p>
    <w:p w14:paraId="56E5AE4B" w14:textId="77777777" w:rsidR="00C4516E" w:rsidRDefault="00C4516E" w:rsidP="00C4516E">
      <w:pPr>
        <w:ind w:firstLine="708"/>
        <w:jc w:val="both"/>
      </w:pPr>
      <w:r>
        <w:t>- in der Umgebungsluft,</w:t>
      </w:r>
    </w:p>
    <w:p w14:paraId="445C5DCB" w14:textId="77777777" w:rsidR="00C4516E" w:rsidRDefault="00C4516E" w:rsidP="00C4516E">
      <w:pPr>
        <w:jc w:val="both"/>
      </w:pPr>
    </w:p>
    <w:p w14:paraId="268719D4" w14:textId="77777777" w:rsidR="00C4516E" w:rsidRDefault="00C4516E" w:rsidP="00C4516E">
      <w:pPr>
        <w:ind w:firstLine="708"/>
        <w:jc w:val="both"/>
      </w:pPr>
      <w:r>
        <w:t>- unter der festen Erdoberfläche,</w:t>
      </w:r>
    </w:p>
    <w:p w14:paraId="27F68EC4" w14:textId="77777777" w:rsidR="00C4516E" w:rsidRDefault="00C4516E" w:rsidP="00C4516E">
      <w:pPr>
        <w:jc w:val="both"/>
      </w:pPr>
    </w:p>
    <w:p w14:paraId="38CFCA3F" w14:textId="77777777" w:rsidR="00C4516E" w:rsidRDefault="00C4516E" w:rsidP="00C4516E">
      <w:pPr>
        <w:ind w:firstLine="708"/>
        <w:jc w:val="both"/>
      </w:pPr>
      <w:r>
        <w:t>- in Oberflächenwasser.</w:t>
      </w:r>
    </w:p>
    <w:p w14:paraId="168EB2F3" w14:textId="77777777" w:rsidR="00C4516E" w:rsidRDefault="00C4516E" w:rsidP="00C4516E">
      <w:pPr>
        <w:jc w:val="both"/>
      </w:pPr>
    </w:p>
    <w:p w14:paraId="7B73C281" w14:textId="77777777" w:rsidR="00C4516E" w:rsidRDefault="00C4516E" w:rsidP="00C4516E">
      <w:pPr>
        <w:ind w:firstLine="708"/>
        <w:jc w:val="both"/>
      </w:pPr>
      <w:r>
        <w:t>Der eventuelle Energieverbrauch der in Absatz 1 erwähnten Systeme muss ebenfalls durch vor Ort erzeugte erneuerbare Energie ausgeglichen werden.</w:t>
      </w:r>
    </w:p>
    <w:p w14:paraId="22F9D1D7" w14:textId="77777777" w:rsidR="00C4516E" w:rsidRDefault="00C4516E" w:rsidP="00C4516E">
      <w:pPr>
        <w:jc w:val="both"/>
      </w:pPr>
    </w:p>
    <w:p w14:paraId="64F3EC10" w14:textId="77777777" w:rsidR="00C4516E" w:rsidRDefault="00C4516E" w:rsidP="00C4516E">
      <w:pPr>
        <w:ind w:firstLine="708"/>
        <w:jc w:val="both"/>
      </w:pPr>
      <w:r>
        <w:t>Die Anzahl kWh erzeugter erneuerbarer Energie wird anhand der Berech</w:t>
      </w:r>
      <w:r>
        <w:softHyphen/>
        <w:t>nungsmodalitäten - einschließlich der Formeln in Bezug auf die Erzeugung erneuerbarer Energie und der eventuellen Korrekturparameter -, die in der durch die Richtlinie EG/2006/32 vorgesehenen, auf die betreffende Wohnung anwendbaren EEG-Methode (Energieeffizienz von Gebäuden) aufgenommen sind, berechnet.</w:t>
      </w:r>
    </w:p>
    <w:p w14:paraId="7CB3FC2C" w14:textId="77777777" w:rsidR="00C4516E" w:rsidRDefault="00C4516E" w:rsidP="00C4516E">
      <w:pPr>
        <w:jc w:val="both"/>
      </w:pPr>
    </w:p>
    <w:p w14:paraId="1FDE2670" w14:textId="77777777" w:rsidR="00C4516E" w:rsidRDefault="00C4516E" w:rsidP="00C4516E">
      <w:pPr>
        <w:jc w:val="both"/>
        <w:rPr>
          <w:rFonts w:eastAsia="Calibri"/>
          <w:szCs w:val="22"/>
          <w:lang w:eastAsia="de-DE" w:bidi="de-DE"/>
        </w:rPr>
      </w:pPr>
      <w:r>
        <w:tab/>
        <w:t>Wenn in der örtlich anwendbaren EEG-Regelung keine Beurteilung der Erzeugung erneuerbarer Energie vorgesehen ist, werden der Umwandlungswirkungsgrad und das Input/Output-Verhältnis der Systeme und Geräte zur Erzeugung erneuerbarer Energie anhand der von der Europäischen Union festgelegten Verfahren oder - in Ermangelung dieser - anhand von internationalen Verfahren beurteilt.</w:t>
      </w:r>
      <w:r>
        <w:rPr>
          <w:rFonts w:eastAsia="Calibri"/>
          <w:szCs w:val="22"/>
          <w:lang w:eastAsia="de-DE" w:bidi="de-DE"/>
        </w:rPr>
        <w:t>]</w:t>
      </w:r>
    </w:p>
    <w:p w14:paraId="2875534E" w14:textId="77777777" w:rsidR="003426CA" w:rsidRDefault="003426CA" w:rsidP="003426CA">
      <w:pPr>
        <w:jc w:val="both"/>
      </w:pPr>
    </w:p>
    <w:p w14:paraId="3809AF27" w14:textId="77777777" w:rsidR="003426CA" w:rsidRDefault="003426CA" w:rsidP="003426CA">
      <w:pPr>
        <w:jc w:val="both"/>
      </w:pPr>
    </w:p>
    <w:p w14:paraId="66914082" w14:textId="77777777" w:rsidR="003426CA" w:rsidRPr="00F531CC" w:rsidRDefault="003426CA" w:rsidP="003426CA">
      <w:pPr>
        <w:jc w:val="both"/>
        <w:sectPr w:rsidR="003426CA" w:rsidRPr="00F531CC" w:rsidSect="003426CA">
          <w:pgSz w:w="11906" w:h="16838" w:code="9"/>
          <w:pgMar w:top="1418" w:right="1418" w:bottom="1418" w:left="1418" w:header="709" w:footer="709" w:gutter="0"/>
          <w:cols w:space="708"/>
          <w:docGrid w:linePitch="360"/>
        </w:sectPr>
      </w:pPr>
    </w:p>
    <w:p w14:paraId="6D64B728" w14:textId="77777777" w:rsidR="005A5BD5" w:rsidRPr="00135529" w:rsidRDefault="005A5BD5" w:rsidP="004C2C7D">
      <w:pPr>
        <w:jc w:val="center"/>
        <w:rPr>
          <w:rFonts w:eastAsia="Calibri"/>
          <w:b/>
          <w:szCs w:val="22"/>
          <w:lang w:eastAsia="en-US"/>
        </w:rPr>
      </w:pPr>
      <w:r w:rsidRPr="00135529">
        <w:rPr>
          <w:rFonts w:eastAsia="Calibri"/>
          <w:b/>
          <w:szCs w:val="22"/>
          <w:lang w:eastAsia="en-US"/>
        </w:rPr>
        <w:lastRenderedPageBreak/>
        <w:t>ANLAGE 1</w:t>
      </w:r>
    </w:p>
    <w:p w14:paraId="4BD36401" w14:textId="77777777" w:rsidR="005A5BD5" w:rsidRPr="00135529" w:rsidRDefault="005A5BD5" w:rsidP="004C2C7D">
      <w:pPr>
        <w:rPr>
          <w:rFonts w:eastAsia="Calibri"/>
          <w:szCs w:val="22"/>
          <w:lang w:eastAsia="en-US"/>
        </w:rPr>
      </w:pPr>
    </w:p>
    <w:p w14:paraId="07B0588D" w14:textId="77777777" w:rsidR="005A5BD5" w:rsidRPr="00135529" w:rsidRDefault="005A5BD5" w:rsidP="004C2C7D">
      <w:pPr>
        <w:rPr>
          <w:rFonts w:eastAsia="Calibri"/>
          <w:szCs w:val="22"/>
          <w:lang w:eastAsia="en-US"/>
        </w:rPr>
      </w:pPr>
    </w:p>
    <w:p w14:paraId="1341D911" w14:textId="77777777" w:rsidR="005A5BD5" w:rsidRPr="00135529" w:rsidRDefault="005A5BD5" w:rsidP="004C2C7D">
      <w:pPr>
        <w:jc w:val="center"/>
        <w:rPr>
          <w:rFonts w:eastAsia="Calibri"/>
          <w:szCs w:val="22"/>
          <w:lang w:eastAsia="en-US"/>
        </w:rPr>
      </w:pPr>
      <w:r w:rsidRPr="00135529">
        <w:rPr>
          <w:rFonts w:eastAsia="Calibri"/>
          <w:szCs w:val="22"/>
          <w:lang w:eastAsia="en-US"/>
        </w:rPr>
        <w:t>[</w:t>
      </w:r>
      <w:r w:rsidRPr="00135529">
        <w:rPr>
          <w:rFonts w:eastAsia="Calibri"/>
          <w:i/>
          <w:szCs w:val="22"/>
          <w:lang w:eastAsia="en-US"/>
        </w:rPr>
        <w:t xml:space="preserve">Abschnitt 1 </w:t>
      </w:r>
      <w:r w:rsidRPr="00135529">
        <w:rPr>
          <w:rFonts w:eastAsia="Calibri"/>
          <w:szCs w:val="22"/>
          <w:lang w:eastAsia="en-US"/>
        </w:rPr>
        <w:t>- Referenzindexe pro Monat für die ab dem 1. Januar 1995 gewährten Hypothekendarleh</w:t>
      </w:r>
      <w:r w:rsidR="00C92453">
        <w:rPr>
          <w:rFonts w:eastAsia="Calibri"/>
          <w:szCs w:val="22"/>
          <w:lang w:eastAsia="en-US"/>
        </w:rPr>
        <w:t>en, für die ein variabler Zinss</w:t>
      </w:r>
      <w:r w:rsidRPr="00135529">
        <w:rPr>
          <w:rFonts w:eastAsia="Calibri"/>
          <w:szCs w:val="22"/>
          <w:lang w:eastAsia="en-US"/>
        </w:rPr>
        <w:t xml:space="preserve">atz vereinbart worden ist </w:t>
      </w:r>
    </w:p>
    <w:p w14:paraId="60310B5C" w14:textId="77777777" w:rsidR="005A5BD5" w:rsidRPr="00135529" w:rsidRDefault="005A5BD5" w:rsidP="004C2C7D">
      <w:pPr>
        <w:jc w:val="center"/>
        <w:rPr>
          <w:rFonts w:eastAsia="Calibri"/>
          <w:szCs w:val="22"/>
          <w:lang w:eastAsia="en-US"/>
        </w:rPr>
      </w:pPr>
    </w:p>
    <w:p w14:paraId="548DAC60" w14:textId="77777777" w:rsidR="005A5BD5" w:rsidRPr="00135529" w:rsidRDefault="005A5BD5" w:rsidP="004C2C7D">
      <w:pPr>
        <w:ind w:right="-284" w:hanging="142"/>
        <w:jc w:val="center"/>
        <w:rPr>
          <w:rFonts w:eastAsia="Calibri"/>
          <w:szCs w:val="22"/>
          <w:lang w:eastAsia="en-US"/>
        </w:rPr>
      </w:pPr>
      <w:r w:rsidRPr="00135529">
        <w:rPr>
          <w:rFonts w:eastAsia="Calibri"/>
          <w:szCs w:val="22"/>
          <w:lang w:eastAsia="en-US"/>
        </w:rPr>
        <w:t xml:space="preserve">(Königlicher Erlass zur Ausführung des Einkommensteuergesetzbuches 1992, </w:t>
      </w:r>
    </w:p>
    <w:p w14:paraId="5A1AC48D" w14:textId="77777777" w:rsidR="005A5BD5" w:rsidRPr="00135529" w:rsidRDefault="005A5BD5" w:rsidP="004C2C7D">
      <w:pPr>
        <w:ind w:right="-284" w:hanging="142"/>
        <w:jc w:val="center"/>
        <w:rPr>
          <w:rFonts w:eastAsia="Calibri"/>
          <w:szCs w:val="22"/>
          <w:lang w:eastAsia="en-US"/>
        </w:rPr>
      </w:pPr>
      <w:r w:rsidRPr="00135529">
        <w:rPr>
          <w:rFonts w:eastAsia="Calibri"/>
          <w:szCs w:val="22"/>
          <w:lang w:eastAsia="en-US"/>
        </w:rPr>
        <w:t>Artikel 18 § 3 Punkt 1 einziger Absatz Buchstabe b) Absatz 3)</w:t>
      </w:r>
    </w:p>
    <w:p w14:paraId="4FF341B8" w14:textId="77777777" w:rsidR="005A5BD5" w:rsidRPr="00135529" w:rsidRDefault="005A5BD5" w:rsidP="004C2C7D">
      <w:pPr>
        <w:ind w:right="-284"/>
        <w:rPr>
          <w:rFonts w:eastAsia="Calibri"/>
          <w:szCs w:val="22"/>
          <w:lang w:eastAsia="en-US"/>
        </w:rPr>
      </w:pPr>
    </w:p>
    <w:p w14:paraId="422D0A48" w14:textId="77777777" w:rsidR="005A5BD5" w:rsidRPr="00135529" w:rsidRDefault="005A5BD5" w:rsidP="004C2C7D">
      <w:pPr>
        <w:jc w:val="both"/>
        <w:rPr>
          <w:rFonts w:eastAsia="Calibri"/>
          <w:sz w:val="16"/>
          <w:szCs w:val="16"/>
          <w:lang w:eastAsia="en-US"/>
        </w:rPr>
      </w:pPr>
    </w:p>
    <w:tbl>
      <w:tblPr>
        <w:tblW w:w="9628" w:type="dxa"/>
        <w:jc w:val="center"/>
        <w:tblBorders>
          <w:top w:val="double" w:sz="6" w:space="0" w:color="auto"/>
          <w:left w:val="double" w:sz="6" w:space="0" w:color="auto"/>
          <w:bottom w:val="double" w:sz="6" w:space="0" w:color="auto"/>
          <w:right w:val="double" w:sz="6" w:space="0" w:color="auto"/>
          <w:insideV w:val="single" w:sz="4" w:space="0" w:color="auto"/>
        </w:tblBorders>
        <w:tblLayout w:type="fixed"/>
        <w:tblCellMar>
          <w:left w:w="57" w:type="dxa"/>
          <w:right w:w="30" w:type="dxa"/>
        </w:tblCellMar>
        <w:tblLook w:val="0000" w:firstRow="0" w:lastRow="0" w:firstColumn="0" w:lastColumn="0" w:noHBand="0" w:noVBand="0"/>
      </w:tblPr>
      <w:tblGrid>
        <w:gridCol w:w="1571"/>
        <w:gridCol w:w="1570"/>
        <w:gridCol w:w="1297"/>
        <w:gridCol w:w="1297"/>
        <w:gridCol w:w="1298"/>
        <w:gridCol w:w="1297"/>
        <w:gridCol w:w="1298"/>
      </w:tblGrid>
      <w:tr w:rsidR="005A5BD5" w:rsidRPr="00CA3519" w14:paraId="745E6539" w14:textId="77777777" w:rsidTr="004C2C7D">
        <w:trPr>
          <w:trHeight w:val="397"/>
          <w:tblHeader/>
          <w:jc w:val="center"/>
        </w:trPr>
        <w:tc>
          <w:tcPr>
            <w:tcW w:w="1542" w:type="dxa"/>
            <w:tcBorders>
              <w:top w:val="double" w:sz="6" w:space="0" w:color="auto"/>
              <w:bottom w:val="single" w:sz="4" w:space="0" w:color="auto"/>
            </w:tcBorders>
            <w:vAlign w:val="center"/>
          </w:tcPr>
          <w:p w14:paraId="54F04F3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Zeitraum</w:t>
            </w:r>
          </w:p>
        </w:tc>
        <w:tc>
          <w:tcPr>
            <w:tcW w:w="1542" w:type="dxa"/>
            <w:tcBorders>
              <w:top w:val="double" w:sz="6" w:space="0" w:color="auto"/>
              <w:bottom w:val="single" w:sz="4" w:space="0" w:color="auto"/>
            </w:tcBorders>
            <w:vAlign w:val="center"/>
          </w:tcPr>
          <w:p w14:paraId="221BA96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Belgisches</w:t>
            </w:r>
          </w:p>
          <w:p w14:paraId="1A3EA5A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Staatsblatt</w:t>
            </w:r>
          </w:p>
        </w:tc>
        <w:tc>
          <w:tcPr>
            <w:tcW w:w="1274" w:type="dxa"/>
            <w:tcBorders>
              <w:top w:val="double" w:sz="6" w:space="0" w:color="auto"/>
              <w:bottom w:val="single" w:sz="4" w:space="0" w:color="auto"/>
            </w:tcBorders>
            <w:vAlign w:val="center"/>
          </w:tcPr>
          <w:p w14:paraId="70655A8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Index A</w:t>
            </w:r>
          </w:p>
        </w:tc>
        <w:tc>
          <w:tcPr>
            <w:tcW w:w="1274" w:type="dxa"/>
            <w:tcBorders>
              <w:top w:val="double" w:sz="6" w:space="0" w:color="auto"/>
              <w:bottom w:val="single" w:sz="4" w:space="0" w:color="auto"/>
            </w:tcBorders>
            <w:vAlign w:val="center"/>
          </w:tcPr>
          <w:p w14:paraId="7B4E874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Index B</w:t>
            </w:r>
          </w:p>
        </w:tc>
        <w:tc>
          <w:tcPr>
            <w:tcW w:w="1275" w:type="dxa"/>
            <w:tcBorders>
              <w:top w:val="double" w:sz="6" w:space="0" w:color="auto"/>
              <w:bottom w:val="single" w:sz="4" w:space="0" w:color="auto"/>
            </w:tcBorders>
            <w:vAlign w:val="center"/>
          </w:tcPr>
          <w:p w14:paraId="0EA82BB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Index C</w:t>
            </w:r>
          </w:p>
        </w:tc>
        <w:tc>
          <w:tcPr>
            <w:tcW w:w="1274" w:type="dxa"/>
            <w:tcBorders>
              <w:top w:val="double" w:sz="6" w:space="0" w:color="auto"/>
              <w:bottom w:val="single" w:sz="4" w:space="0" w:color="auto"/>
            </w:tcBorders>
            <w:vAlign w:val="center"/>
          </w:tcPr>
          <w:p w14:paraId="64A220F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Index D</w:t>
            </w:r>
          </w:p>
        </w:tc>
        <w:tc>
          <w:tcPr>
            <w:tcW w:w="1275" w:type="dxa"/>
            <w:tcBorders>
              <w:top w:val="double" w:sz="6" w:space="0" w:color="auto"/>
              <w:bottom w:val="single" w:sz="4" w:space="0" w:color="auto"/>
            </w:tcBorders>
            <w:vAlign w:val="center"/>
          </w:tcPr>
          <w:p w14:paraId="3AD7658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Index E</w:t>
            </w:r>
          </w:p>
        </w:tc>
      </w:tr>
      <w:tr w:rsidR="005A5BD5" w:rsidRPr="00CA3519" w14:paraId="7A0FF05B" w14:textId="77777777" w:rsidTr="004C2C7D">
        <w:trPr>
          <w:trHeight w:val="397"/>
          <w:jc w:val="center"/>
        </w:trPr>
        <w:tc>
          <w:tcPr>
            <w:tcW w:w="1542" w:type="dxa"/>
            <w:tcBorders>
              <w:top w:val="nil"/>
            </w:tcBorders>
          </w:tcPr>
          <w:p w14:paraId="645E279A"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Juli 1994</w:t>
            </w:r>
          </w:p>
        </w:tc>
        <w:tc>
          <w:tcPr>
            <w:tcW w:w="1542" w:type="dxa"/>
            <w:tcBorders>
              <w:top w:val="nil"/>
            </w:tcBorders>
          </w:tcPr>
          <w:p w14:paraId="0B222E5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30.07.1994</w:t>
            </w:r>
          </w:p>
        </w:tc>
        <w:tc>
          <w:tcPr>
            <w:tcW w:w="1274" w:type="dxa"/>
            <w:tcBorders>
              <w:top w:val="nil"/>
            </w:tcBorders>
          </w:tcPr>
          <w:p w14:paraId="3959837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5,979</w:t>
            </w:r>
          </w:p>
        </w:tc>
        <w:tc>
          <w:tcPr>
            <w:tcW w:w="1274" w:type="dxa"/>
            <w:tcBorders>
              <w:top w:val="nil"/>
            </w:tcBorders>
          </w:tcPr>
          <w:p w14:paraId="3A14883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6,295</w:t>
            </w:r>
          </w:p>
        </w:tc>
        <w:tc>
          <w:tcPr>
            <w:tcW w:w="1275" w:type="dxa"/>
            <w:tcBorders>
              <w:top w:val="nil"/>
            </w:tcBorders>
          </w:tcPr>
          <w:p w14:paraId="40B9F9E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6,600</w:t>
            </w:r>
          </w:p>
        </w:tc>
        <w:tc>
          <w:tcPr>
            <w:tcW w:w="1274" w:type="dxa"/>
            <w:tcBorders>
              <w:top w:val="nil"/>
            </w:tcBorders>
          </w:tcPr>
          <w:p w14:paraId="39B5B41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6,937</w:t>
            </w:r>
          </w:p>
        </w:tc>
        <w:tc>
          <w:tcPr>
            <w:tcW w:w="1275" w:type="dxa"/>
            <w:tcBorders>
              <w:top w:val="nil"/>
            </w:tcBorders>
          </w:tcPr>
          <w:p w14:paraId="0AC9C82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7,165</w:t>
            </w:r>
          </w:p>
        </w:tc>
      </w:tr>
      <w:tr w:rsidR="005A5BD5" w:rsidRPr="00CA3519" w14:paraId="574D60BE" w14:textId="77777777" w:rsidTr="004C2C7D">
        <w:trPr>
          <w:trHeight w:val="397"/>
          <w:jc w:val="center"/>
        </w:trPr>
        <w:tc>
          <w:tcPr>
            <w:tcW w:w="1542" w:type="dxa"/>
          </w:tcPr>
          <w:p w14:paraId="5084C6BF"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August 1994</w:t>
            </w:r>
          </w:p>
        </w:tc>
        <w:tc>
          <w:tcPr>
            <w:tcW w:w="1542" w:type="dxa"/>
          </w:tcPr>
          <w:p w14:paraId="10C9789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31.08.1994</w:t>
            </w:r>
          </w:p>
        </w:tc>
        <w:tc>
          <w:tcPr>
            <w:tcW w:w="1274" w:type="dxa"/>
          </w:tcPr>
          <w:p w14:paraId="1C24CFB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5,958</w:t>
            </w:r>
          </w:p>
        </w:tc>
        <w:tc>
          <w:tcPr>
            <w:tcW w:w="1274" w:type="dxa"/>
          </w:tcPr>
          <w:p w14:paraId="4B42620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6,564</w:t>
            </w:r>
          </w:p>
        </w:tc>
        <w:tc>
          <w:tcPr>
            <w:tcW w:w="1275" w:type="dxa"/>
          </w:tcPr>
          <w:p w14:paraId="4CB83EC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6,849</w:t>
            </w:r>
          </w:p>
        </w:tc>
        <w:tc>
          <w:tcPr>
            <w:tcW w:w="1274" w:type="dxa"/>
          </w:tcPr>
          <w:p w14:paraId="534D18A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7,125</w:t>
            </w:r>
          </w:p>
        </w:tc>
        <w:tc>
          <w:tcPr>
            <w:tcW w:w="1275" w:type="dxa"/>
          </w:tcPr>
          <w:p w14:paraId="4FB7BFF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7,299</w:t>
            </w:r>
          </w:p>
        </w:tc>
      </w:tr>
      <w:tr w:rsidR="005A5BD5" w:rsidRPr="00CA3519" w14:paraId="4FE0EAB1" w14:textId="77777777" w:rsidTr="004C2C7D">
        <w:trPr>
          <w:trHeight w:val="397"/>
          <w:jc w:val="center"/>
        </w:trPr>
        <w:tc>
          <w:tcPr>
            <w:tcW w:w="1542" w:type="dxa"/>
          </w:tcPr>
          <w:p w14:paraId="4E854153"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September 1994</w:t>
            </w:r>
          </w:p>
        </w:tc>
        <w:tc>
          <w:tcPr>
            <w:tcW w:w="1542" w:type="dxa"/>
          </w:tcPr>
          <w:p w14:paraId="6927E0FF"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30.09.1994</w:t>
            </w:r>
          </w:p>
        </w:tc>
        <w:tc>
          <w:tcPr>
            <w:tcW w:w="1274" w:type="dxa"/>
          </w:tcPr>
          <w:p w14:paraId="39EF7A4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6,293</w:t>
            </w:r>
          </w:p>
        </w:tc>
        <w:tc>
          <w:tcPr>
            <w:tcW w:w="1274" w:type="dxa"/>
          </w:tcPr>
          <w:p w14:paraId="3333590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6,897</w:t>
            </w:r>
          </w:p>
        </w:tc>
        <w:tc>
          <w:tcPr>
            <w:tcW w:w="1275" w:type="dxa"/>
          </w:tcPr>
          <w:p w14:paraId="53EC1E5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7,225</w:t>
            </w:r>
          </w:p>
        </w:tc>
        <w:tc>
          <w:tcPr>
            <w:tcW w:w="1274" w:type="dxa"/>
          </w:tcPr>
          <w:p w14:paraId="2454C88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7,476</w:t>
            </w:r>
          </w:p>
        </w:tc>
        <w:tc>
          <w:tcPr>
            <w:tcW w:w="1275" w:type="dxa"/>
          </w:tcPr>
          <w:p w14:paraId="639E6DA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7,612</w:t>
            </w:r>
          </w:p>
        </w:tc>
      </w:tr>
      <w:tr w:rsidR="005A5BD5" w:rsidRPr="00CA3519" w14:paraId="74D0FA8A" w14:textId="77777777" w:rsidTr="004C2C7D">
        <w:trPr>
          <w:trHeight w:val="397"/>
          <w:jc w:val="center"/>
        </w:trPr>
        <w:tc>
          <w:tcPr>
            <w:tcW w:w="1542" w:type="dxa"/>
          </w:tcPr>
          <w:p w14:paraId="02987866"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Oktober 1994</w:t>
            </w:r>
          </w:p>
        </w:tc>
        <w:tc>
          <w:tcPr>
            <w:tcW w:w="1542" w:type="dxa"/>
          </w:tcPr>
          <w:p w14:paraId="2E4F8A5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29.10.1994</w:t>
            </w:r>
          </w:p>
        </w:tc>
        <w:tc>
          <w:tcPr>
            <w:tcW w:w="1274" w:type="dxa"/>
          </w:tcPr>
          <w:p w14:paraId="3C7B08A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6,391</w:t>
            </w:r>
          </w:p>
        </w:tc>
        <w:tc>
          <w:tcPr>
            <w:tcW w:w="1274" w:type="dxa"/>
          </w:tcPr>
          <w:p w14:paraId="5708698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7,207</w:t>
            </w:r>
          </w:p>
        </w:tc>
        <w:tc>
          <w:tcPr>
            <w:tcW w:w="1275" w:type="dxa"/>
          </w:tcPr>
          <w:p w14:paraId="78C53EF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7,599</w:t>
            </w:r>
          </w:p>
        </w:tc>
        <w:tc>
          <w:tcPr>
            <w:tcW w:w="1274" w:type="dxa"/>
          </w:tcPr>
          <w:p w14:paraId="420DDBF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7,849</w:t>
            </w:r>
          </w:p>
        </w:tc>
        <w:tc>
          <w:tcPr>
            <w:tcW w:w="1275" w:type="dxa"/>
          </w:tcPr>
          <w:p w14:paraId="28BCFA0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7,960</w:t>
            </w:r>
          </w:p>
        </w:tc>
      </w:tr>
      <w:tr w:rsidR="005A5BD5" w:rsidRPr="00CA3519" w14:paraId="7C74C9B1" w14:textId="77777777" w:rsidTr="004C2C7D">
        <w:trPr>
          <w:trHeight w:val="397"/>
          <w:jc w:val="center"/>
        </w:trPr>
        <w:tc>
          <w:tcPr>
            <w:tcW w:w="1542" w:type="dxa"/>
          </w:tcPr>
          <w:p w14:paraId="10288715"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November 1994</w:t>
            </w:r>
          </w:p>
        </w:tc>
        <w:tc>
          <w:tcPr>
            <w:tcW w:w="1542" w:type="dxa"/>
          </w:tcPr>
          <w:p w14:paraId="7DD2E95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30.11.1994</w:t>
            </w:r>
          </w:p>
        </w:tc>
        <w:tc>
          <w:tcPr>
            <w:tcW w:w="1274" w:type="dxa"/>
          </w:tcPr>
          <w:p w14:paraId="1F4EE86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6,068</w:t>
            </w:r>
          </w:p>
        </w:tc>
        <w:tc>
          <w:tcPr>
            <w:tcW w:w="1274" w:type="dxa"/>
          </w:tcPr>
          <w:p w14:paraId="3137896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7,177</w:t>
            </w:r>
          </w:p>
        </w:tc>
        <w:tc>
          <w:tcPr>
            <w:tcW w:w="1275" w:type="dxa"/>
          </w:tcPr>
          <w:p w14:paraId="3A9FB65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7,577</w:t>
            </w:r>
          </w:p>
        </w:tc>
        <w:tc>
          <w:tcPr>
            <w:tcW w:w="1274" w:type="dxa"/>
          </w:tcPr>
          <w:p w14:paraId="1C22499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7,850</w:t>
            </w:r>
          </w:p>
        </w:tc>
        <w:tc>
          <w:tcPr>
            <w:tcW w:w="1275" w:type="dxa"/>
          </w:tcPr>
          <w:p w14:paraId="6A6D417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7,941</w:t>
            </w:r>
          </w:p>
        </w:tc>
      </w:tr>
      <w:tr w:rsidR="005A5BD5" w:rsidRPr="00CA3519" w14:paraId="2B0343C7" w14:textId="77777777" w:rsidTr="004C2C7D">
        <w:trPr>
          <w:trHeight w:val="397"/>
          <w:jc w:val="center"/>
        </w:trPr>
        <w:tc>
          <w:tcPr>
            <w:tcW w:w="1542" w:type="dxa"/>
          </w:tcPr>
          <w:p w14:paraId="276A813D"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Dezember 1994</w:t>
            </w:r>
          </w:p>
        </w:tc>
        <w:tc>
          <w:tcPr>
            <w:tcW w:w="1542" w:type="dxa"/>
          </w:tcPr>
          <w:p w14:paraId="3BECD76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31.12.1994</w:t>
            </w:r>
          </w:p>
        </w:tc>
        <w:tc>
          <w:tcPr>
            <w:tcW w:w="1274" w:type="dxa"/>
          </w:tcPr>
          <w:p w14:paraId="081066E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5,989</w:t>
            </w:r>
          </w:p>
        </w:tc>
        <w:tc>
          <w:tcPr>
            <w:tcW w:w="1274" w:type="dxa"/>
          </w:tcPr>
          <w:p w14:paraId="7847A51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7,055</w:t>
            </w:r>
          </w:p>
        </w:tc>
        <w:tc>
          <w:tcPr>
            <w:tcW w:w="1275" w:type="dxa"/>
          </w:tcPr>
          <w:p w14:paraId="6F9678D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7,369</w:t>
            </w:r>
          </w:p>
        </w:tc>
        <w:tc>
          <w:tcPr>
            <w:tcW w:w="1274" w:type="dxa"/>
          </w:tcPr>
          <w:p w14:paraId="7AA7B7F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7,675</w:t>
            </w:r>
          </w:p>
        </w:tc>
        <w:tc>
          <w:tcPr>
            <w:tcW w:w="1275" w:type="dxa"/>
          </w:tcPr>
          <w:p w14:paraId="0F4A289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7,773</w:t>
            </w:r>
          </w:p>
        </w:tc>
      </w:tr>
      <w:tr w:rsidR="005A5BD5" w:rsidRPr="00CA3519" w14:paraId="5F197180" w14:textId="77777777" w:rsidTr="004C2C7D">
        <w:trPr>
          <w:trHeight w:val="397"/>
          <w:jc w:val="center"/>
        </w:trPr>
        <w:tc>
          <w:tcPr>
            <w:tcW w:w="1542" w:type="dxa"/>
          </w:tcPr>
          <w:p w14:paraId="374C01DC"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Januar 1995</w:t>
            </w:r>
          </w:p>
        </w:tc>
        <w:tc>
          <w:tcPr>
            <w:tcW w:w="1542" w:type="dxa"/>
          </w:tcPr>
          <w:p w14:paraId="79F0233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31.01.1995</w:t>
            </w:r>
          </w:p>
        </w:tc>
        <w:tc>
          <w:tcPr>
            <w:tcW w:w="1274" w:type="dxa"/>
          </w:tcPr>
          <w:p w14:paraId="0C84146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6,153</w:t>
            </w:r>
          </w:p>
        </w:tc>
        <w:tc>
          <w:tcPr>
            <w:tcW w:w="1274" w:type="dxa"/>
          </w:tcPr>
          <w:p w14:paraId="421087D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7,102</w:t>
            </w:r>
          </w:p>
        </w:tc>
        <w:tc>
          <w:tcPr>
            <w:tcW w:w="1275" w:type="dxa"/>
          </w:tcPr>
          <w:p w14:paraId="0F373E3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7,360</w:t>
            </w:r>
          </w:p>
        </w:tc>
        <w:tc>
          <w:tcPr>
            <w:tcW w:w="1274" w:type="dxa"/>
          </w:tcPr>
          <w:p w14:paraId="5559621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7,681</w:t>
            </w:r>
          </w:p>
        </w:tc>
        <w:tc>
          <w:tcPr>
            <w:tcW w:w="1275" w:type="dxa"/>
          </w:tcPr>
          <w:p w14:paraId="611433F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7,808</w:t>
            </w:r>
          </w:p>
        </w:tc>
      </w:tr>
      <w:tr w:rsidR="005A5BD5" w:rsidRPr="00CA3519" w14:paraId="3D18565D" w14:textId="77777777" w:rsidTr="004C2C7D">
        <w:trPr>
          <w:trHeight w:val="397"/>
          <w:jc w:val="center"/>
        </w:trPr>
        <w:tc>
          <w:tcPr>
            <w:tcW w:w="1542" w:type="dxa"/>
          </w:tcPr>
          <w:p w14:paraId="6E242A3E"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Februar 1995</w:t>
            </w:r>
          </w:p>
        </w:tc>
        <w:tc>
          <w:tcPr>
            <w:tcW w:w="1542" w:type="dxa"/>
          </w:tcPr>
          <w:p w14:paraId="7C75783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28.02.1995</w:t>
            </w:r>
          </w:p>
        </w:tc>
        <w:tc>
          <w:tcPr>
            <w:tcW w:w="1274" w:type="dxa"/>
          </w:tcPr>
          <w:p w14:paraId="4190F0C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6,234</w:t>
            </w:r>
          </w:p>
        </w:tc>
        <w:tc>
          <w:tcPr>
            <w:tcW w:w="1274" w:type="dxa"/>
          </w:tcPr>
          <w:p w14:paraId="7070E6D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7,141</w:t>
            </w:r>
          </w:p>
        </w:tc>
        <w:tc>
          <w:tcPr>
            <w:tcW w:w="1275" w:type="dxa"/>
          </w:tcPr>
          <w:p w14:paraId="3653BD7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7,409</w:t>
            </w:r>
          </w:p>
        </w:tc>
        <w:tc>
          <w:tcPr>
            <w:tcW w:w="1274" w:type="dxa"/>
          </w:tcPr>
          <w:p w14:paraId="45973F8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7,725</w:t>
            </w:r>
          </w:p>
        </w:tc>
        <w:tc>
          <w:tcPr>
            <w:tcW w:w="1275" w:type="dxa"/>
          </w:tcPr>
          <w:p w14:paraId="566D606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7,868</w:t>
            </w:r>
          </w:p>
        </w:tc>
      </w:tr>
      <w:tr w:rsidR="005A5BD5" w:rsidRPr="00CA3519" w14:paraId="5D72C939" w14:textId="77777777" w:rsidTr="004C2C7D">
        <w:trPr>
          <w:trHeight w:val="397"/>
          <w:jc w:val="center"/>
        </w:trPr>
        <w:tc>
          <w:tcPr>
            <w:tcW w:w="1542" w:type="dxa"/>
          </w:tcPr>
          <w:p w14:paraId="69B60CCB"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März 1995</w:t>
            </w:r>
          </w:p>
        </w:tc>
        <w:tc>
          <w:tcPr>
            <w:tcW w:w="1542" w:type="dxa"/>
          </w:tcPr>
          <w:p w14:paraId="0815ADE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31.03.1995</w:t>
            </w:r>
          </w:p>
        </w:tc>
        <w:tc>
          <w:tcPr>
            <w:tcW w:w="1274" w:type="dxa"/>
          </w:tcPr>
          <w:p w14:paraId="42BC33F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6,454</w:t>
            </w:r>
          </w:p>
        </w:tc>
        <w:tc>
          <w:tcPr>
            <w:tcW w:w="1274" w:type="dxa"/>
          </w:tcPr>
          <w:p w14:paraId="4921FFB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7,143</w:t>
            </w:r>
          </w:p>
        </w:tc>
        <w:tc>
          <w:tcPr>
            <w:tcW w:w="1275" w:type="dxa"/>
          </w:tcPr>
          <w:p w14:paraId="385BF4C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7,417</w:t>
            </w:r>
          </w:p>
        </w:tc>
        <w:tc>
          <w:tcPr>
            <w:tcW w:w="1274" w:type="dxa"/>
          </w:tcPr>
          <w:p w14:paraId="3ACA8CA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7,660</w:t>
            </w:r>
          </w:p>
        </w:tc>
        <w:tc>
          <w:tcPr>
            <w:tcW w:w="1275" w:type="dxa"/>
          </w:tcPr>
          <w:p w14:paraId="0783918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7,793</w:t>
            </w:r>
          </w:p>
        </w:tc>
      </w:tr>
      <w:tr w:rsidR="005A5BD5" w:rsidRPr="00CA3519" w14:paraId="118215D7" w14:textId="77777777" w:rsidTr="004C2C7D">
        <w:trPr>
          <w:trHeight w:val="397"/>
          <w:jc w:val="center"/>
        </w:trPr>
        <w:tc>
          <w:tcPr>
            <w:tcW w:w="1542" w:type="dxa"/>
          </w:tcPr>
          <w:p w14:paraId="179E801A"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April 1995</w:t>
            </w:r>
          </w:p>
        </w:tc>
        <w:tc>
          <w:tcPr>
            <w:tcW w:w="1542" w:type="dxa"/>
          </w:tcPr>
          <w:p w14:paraId="36A52A9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29.04.1995</w:t>
            </w:r>
          </w:p>
        </w:tc>
        <w:tc>
          <w:tcPr>
            <w:tcW w:w="1274" w:type="dxa"/>
          </w:tcPr>
          <w:p w14:paraId="796048E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6,210</w:t>
            </w:r>
          </w:p>
        </w:tc>
        <w:tc>
          <w:tcPr>
            <w:tcW w:w="1274" w:type="dxa"/>
          </w:tcPr>
          <w:p w14:paraId="7DD8F85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6,976</w:t>
            </w:r>
          </w:p>
        </w:tc>
        <w:tc>
          <w:tcPr>
            <w:tcW w:w="1275" w:type="dxa"/>
          </w:tcPr>
          <w:p w14:paraId="07BD082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7,242</w:t>
            </w:r>
          </w:p>
        </w:tc>
        <w:tc>
          <w:tcPr>
            <w:tcW w:w="1274" w:type="dxa"/>
          </w:tcPr>
          <w:p w14:paraId="79EE066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7,413</w:t>
            </w:r>
          </w:p>
        </w:tc>
        <w:tc>
          <w:tcPr>
            <w:tcW w:w="1275" w:type="dxa"/>
          </w:tcPr>
          <w:p w14:paraId="3B784F2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7,565</w:t>
            </w:r>
          </w:p>
        </w:tc>
      </w:tr>
      <w:tr w:rsidR="005A5BD5" w:rsidRPr="00CA3519" w14:paraId="11BD6D90" w14:textId="77777777" w:rsidTr="004C2C7D">
        <w:trPr>
          <w:trHeight w:val="397"/>
          <w:jc w:val="center"/>
        </w:trPr>
        <w:tc>
          <w:tcPr>
            <w:tcW w:w="1542" w:type="dxa"/>
          </w:tcPr>
          <w:p w14:paraId="468C9E30"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Mai 1995</w:t>
            </w:r>
          </w:p>
        </w:tc>
        <w:tc>
          <w:tcPr>
            <w:tcW w:w="1542" w:type="dxa"/>
          </w:tcPr>
          <w:p w14:paraId="1B9D836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31.05.1995</w:t>
            </w:r>
          </w:p>
        </w:tc>
        <w:tc>
          <w:tcPr>
            <w:tcW w:w="1274" w:type="dxa"/>
          </w:tcPr>
          <w:p w14:paraId="04C7232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6,047</w:t>
            </w:r>
          </w:p>
        </w:tc>
        <w:tc>
          <w:tcPr>
            <w:tcW w:w="1274" w:type="dxa"/>
          </w:tcPr>
          <w:p w14:paraId="669D022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6,620</w:t>
            </w:r>
          </w:p>
        </w:tc>
        <w:tc>
          <w:tcPr>
            <w:tcW w:w="1275" w:type="dxa"/>
          </w:tcPr>
          <w:p w14:paraId="3068BB0F"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6,891</w:t>
            </w:r>
          </w:p>
        </w:tc>
        <w:tc>
          <w:tcPr>
            <w:tcW w:w="1274" w:type="dxa"/>
          </w:tcPr>
          <w:p w14:paraId="3CDCF1F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7,067</w:t>
            </w:r>
          </w:p>
        </w:tc>
        <w:tc>
          <w:tcPr>
            <w:tcW w:w="1275" w:type="dxa"/>
          </w:tcPr>
          <w:p w14:paraId="033B371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7,257</w:t>
            </w:r>
          </w:p>
        </w:tc>
      </w:tr>
      <w:tr w:rsidR="005A5BD5" w:rsidRPr="00CA3519" w14:paraId="5A7D2CAA" w14:textId="77777777" w:rsidTr="004C2C7D">
        <w:trPr>
          <w:trHeight w:val="397"/>
          <w:jc w:val="center"/>
        </w:trPr>
        <w:tc>
          <w:tcPr>
            <w:tcW w:w="1542" w:type="dxa"/>
          </w:tcPr>
          <w:p w14:paraId="2B20D8A0"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Juni 1995</w:t>
            </w:r>
          </w:p>
        </w:tc>
        <w:tc>
          <w:tcPr>
            <w:tcW w:w="1542" w:type="dxa"/>
          </w:tcPr>
          <w:p w14:paraId="26233C2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30.06.1995</w:t>
            </w:r>
          </w:p>
        </w:tc>
        <w:tc>
          <w:tcPr>
            <w:tcW w:w="1274" w:type="dxa"/>
          </w:tcPr>
          <w:p w14:paraId="30C78FB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5,533</w:t>
            </w:r>
          </w:p>
        </w:tc>
        <w:tc>
          <w:tcPr>
            <w:tcW w:w="1274" w:type="dxa"/>
          </w:tcPr>
          <w:p w14:paraId="72E045E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6,073</w:t>
            </w:r>
          </w:p>
        </w:tc>
        <w:tc>
          <w:tcPr>
            <w:tcW w:w="1275" w:type="dxa"/>
          </w:tcPr>
          <w:p w14:paraId="20E594A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6,350</w:t>
            </w:r>
          </w:p>
        </w:tc>
        <w:tc>
          <w:tcPr>
            <w:tcW w:w="1274" w:type="dxa"/>
          </w:tcPr>
          <w:p w14:paraId="2284319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6,580</w:t>
            </w:r>
          </w:p>
        </w:tc>
        <w:tc>
          <w:tcPr>
            <w:tcW w:w="1275" w:type="dxa"/>
          </w:tcPr>
          <w:p w14:paraId="446E674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6,811</w:t>
            </w:r>
          </w:p>
        </w:tc>
      </w:tr>
      <w:tr w:rsidR="005A5BD5" w:rsidRPr="00CA3519" w14:paraId="22B2D2BD" w14:textId="77777777" w:rsidTr="004C2C7D">
        <w:trPr>
          <w:trHeight w:val="397"/>
          <w:jc w:val="center"/>
        </w:trPr>
        <w:tc>
          <w:tcPr>
            <w:tcW w:w="1542" w:type="dxa"/>
          </w:tcPr>
          <w:p w14:paraId="0F276B19"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Juli 1995</w:t>
            </w:r>
          </w:p>
        </w:tc>
        <w:tc>
          <w:tcPr>
            <w:tcW w:w="1542" w:type="dxa"/>
          </w:tcPr>
          <w:p w14:paraId="764462C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29.07.1995</w:t>
            </w:r>
          </w:p>
        </w:tc>
        <w:tc>
          <w:tcPr>
            <w:tcW w:w="1274" w:type="dxa"/>
          </w:tcPr>
          <w:p w14:paraId="388ECEE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5,057</w:t>
            </w:r>
          </w:p>
        </w:tc>
        <w:tc>
          <w:tcPr>
            <w:tcW w:w="1274" w:type="dxa"/>
          </w:tcPr>
          <w:p w14:paraId="59A34C0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5,650</w:t>
            </w:r>
          </w:p>
        </w:tc>
        <w:tc>
          <w:tcPr>
            <w:tcW w:w="1275" w:type="dxa"/>
          </w:tcPr>
          <w:p w14:paraId="68A79A0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5,931</w:t>
            </w:r>
          </w:p>
        </w:tc>
        <w:tc>
          <w:tcPr>
            <w:tcW w:w="1274" w:type="dxa"/>
          </w:tcPr>
          <w:p w14:paraId="00CCEC5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6,220</w:t>
            </w:r>
          </w:p>
        </w:tc>
        <w:tc>
          <w:tcPr>
            <w:tcW w:w="1275" w:type="dxa"/>
          </w:tcPr>
          <w:p w14:paraId="509296DF"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6,543</w:t>
            </w:r>
          </w:p>
        </w:tc>
      </w:tr>
      <w:tr w:rsidR="005A5BD5" w:rsidRPr="00CA3519" w14:paraId="41FBA5B8" w14:textId="77777777" w:rsidTr="004C2C7D">
        <w:trPr>
          <w:trHeight w:val="397"/>
          <w:jc w:val="center"/>
        </w:trPr>
        <w:tc>
          <w:tcPr>
            <w:tcW w:w="1542" w:type="dxa"/>
          </w:tcPr>
          <w:p w14:paraId="414B66EA"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August 1995</w:t>
            </w:r>
          </w:p>
        </w:tc>
        <w:tc>
          <w:tcPr>
            <w:tcW w:w="1542" w:type="dxa"/>
          </w:tcPr>
          <w:p w14:paraId="04B7F91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31.08.1995</w:t>
            </w:r>
          </w:p>
        </w:tc>
        <w:tc>
          <w:tcPr>
            <w:tcW w:w="1274" w:type="dxa"/>
          </w:tcPr>
          <w:p w14:paraId="20DB0E1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4,826</w:t>
            </w:r>
          </w:p>
        </w:tc>
        <w:tc>
          <w:tcPr>
            <w:tcW w:w="1274" w:type="dxa"/>
          </w:tcPr>
          <w:p w14:paraId="0EB961E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5,442</w:t>
            </w:r>
          </w:p>
        </w:tc>
        <w:tc>
          <w:tcPr>
            <w:tcW w:w="1275" w:type="dxa"/>
          </w:tcPr>
          <w:p w14:paraId="78EE907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5,762</w:t>
            </w:r>
          </w:p>
        </w:tc>
        <w:tc>
          <w:tcPr>
            <w:tcW w:w="1274" w:type="dxa"/>
          </w:tcPr>
          <w:p w14:paraId="73284CF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6,062</w:t>
            </w:r>
          </w:p>
        </w:tc>
        <w:tc>
          <w:tcPr>
            <w:tcW w:w="1275" w:type="dxa"/>
          </w:tcPr>
          <w:p w14:paraId="6C1D7AC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6,467</w:t>
            </w:r>
          </w:p>
        </w:tc>
      </w:tr>
      <w:tr w:rsidR="005A5BD5" w:rsidRPr="00CA3519" w14:paraId="136D412F" w14:textId="77777777" w:rsidTr="004C2C7D">
        <w:trPr>
          <w:trHeight w:val="397"/>
          <w:jc w:val="center"/>
        </w:trPr>
        <w:tc>
          <w:tcPr>
            <w:tcW w:w="1542" w:type="dxa"/>
          </w:tcPr>
          <w:p w14:paraId="6E1148B3"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September 1995</w:t>
            </w:r>
          </w:p>
        </w:tc>
        <w:tc>
          <w:tcPr>
            <w:tcW w:w="1542" w:type="dxa"/>
          </w:tcPr>
          <w:p w14:paraId="281EF87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30.09.1995</w:t>
            </w:r>
          </w:p>
        </w:tc>
        <w:tc>
          <w:tcPr>
            <w:tcW w:w="1274" w:type="dxa"/>
          </w:tcPr>
          <w:p w14:paraId="472E7D0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4,629</w:t>
            </w:r>
          </w:p>
        </w:tc>
        <w:tc>
          <w:tcPr>
            <w:tcW w:w="1274" w:type="dxa"/>
          </w:tcPr>
          <w:p w14:paraId="5D7FCEF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5,159</w:t>
            </w:r>
          </w:p>
        </w:tc>
        <w:tc>
          <w:tcPr>
            <w:tcW w:w="1275" w:type="dxa"/>
          </w:tcPr>
          <w:p w14:paraId="0B34780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5,523</w:t>
            </w:r>
          </w:p>
        </w:tc>
        <w:tc>
          <w:tcPr>
            <w:tcW w:w="1274" w:type="dxa"/>
          </w:tcPr>
          <w:p w14:paraId="76EDA69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5,827</w:t>
            </w:r>
          </w:p>
        </w:tc>
        <w:tc>
          <w:tcPr>
            <w:tcW w:w="1275" w:type="dxa"/>
          </w:tcPr>
          <w:p w14:paraId="161DE1D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6,273</w:t>
            </w:r>
          </w:p>
        </w:tc>
      </w:tr>
      <w:tr w:rsidR="005A5BD5" w:rsidRPr="00CA3519" w14:paraId="7E45C120" w14:textId="77777777" w:rsidTr="004C2C7D">
        <w:trPr>
          <w:trHeight w:val="397"/>
          <w:jc w:val="center"/>
        </w:trPr>
        <w:tc>
          <w:tcPr>
            <w:tcW w:w="1542" w:type="dxa"/>
          </w:tcPr>
          <w:p w14:paraId="616A6045"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Oktober 1995</w:t>
            </w:r>
          </w:p>
        </w:tc>
        <w:tc>
          <w:tcPr>
            <w:tcW w:w="1542" w:type="dxa"/>
          </w:tcPr>
          <w:p w14:paraId="48FC19BF"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31.10.1995</w:t>
            </w:r>
          </w:p>
        </w:tc>
        <w:tc>
          <w:tcPr>
            <w:tcW w:w="1274" w:type="dxa"/>
          </w:tcPr>
          <w:p w14:paraId="0A7496B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4,460</w:t>
            </w:r>
          </w:p>
        </w:tc>
        <w:tc>
          <w:tcPr>
            <w:tcW w:w="1274" w:type="dxa"/>
          </w:tcPr>
          <w:p w14:paraId="35C5EA2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4,881</w:t>
            </w:r>
          </w:p>
        </w:tc>
        <w:tc>
          <w:tcPr>
            <w:tcW w:w="1275" w:type="dxa"/>
          </w:tcPr>
          <w:p w14:paraId="04B3C81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5,259</w:t>
            </w:r>
          </w:p>
        </w:tc>
        <w:tc>
          <w:tcPr>
            <w:tcW w:w="1274" w:type="dxa"/>
          </w:tcPr>
          <w:p w14:paraId="000EB9A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5,599</w:t>
            </w:r>
          </w:p>
        </w:tc>
        <w:tc>
          <w:tcPr>
            <w:tcW w:w="1275" w:type="dxa"/>
          </w:tcPr>
          <w:p w14:paraId="4FF4D2BF"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6,109</w:t>
            </w:r>
          </w:p>
        </w:tc>
      </w:tr>
      <w:tr w:rsidR="005A5BD5" w:rsidRPr="00CA3519" w14:paraId="501599C5" w14:textId="77777777" w:rsidTr="004C2C7D">
        <w:trPr>
          <w:trHeight w:val="397"/>
          <w:jc w:val="center"/>
        </w:trPr>
        <w:tc>
          <w:tcPr>
            <w:tcW w:w="1542" w:type="dxa"/>
          </w:tcPr>
          <w:p w14:paraId="550EEB00"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November 1995</w:t>
            </w:r>
          </w:p>
        </w:tc>
        <w:tc>
          <w:tcPr>
            <w:tcW w:w="1542" w:type="dxa"/>
          </w:tcPr>
          <w:p w14:paraId="385A3AF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31.11.1995</w:t>
            </w:r>
          </w:p>
        </w:tc>
        <w:tc>
          <w:tcPr>
            <w:tcW w:w="1274" w:type="dxa"/>
          </w:tcPr>
          <w:p w14:paraId="7893DE2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4,345</w:t>
            </w:r>
          </w:p>
        </w:tc>
        <w:tc>
          <w:tcPr>
            <w:tcW w:w="1274" w:type="dxa"/>
          </w:tcPr>
          <w:p w14:paraId="5BBE7D9F"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4,674</w:t>
            </w:r>
          </w:p>
        </w:tc>
        <w:tc>
          <w:tcPr>
            <w:tcW w:w="1275" w:type="dxa"/>
          </w:tcPr>
          <w:p w14:paraId="35E6158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5,110</w:t>
            </w:r>
          </w:p>
        </w:tc>
        <w:tc>
          <w:tcPr>
            <w:tcW w:w="1274" w:type="dxa"/>
          </w:tcPr>
          <w:p w14:paraId="56D5A56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5,440</w:t>
            </w:r>
          </w:p>
        </w:tc>
        <w:tc>
          <w:tcPr>
            <w:tcW w:w="1275" w:type="dxa"/>
          </w:tcPr>
          <w:p w14:paraId="5D38335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5,958</w:t>
            </w:r>
          </w:p>
        </w:tc>
      </w:tr>
      <w:tr w:rsidR="005A5BD5" w:rsidRPr="00CA3519" w14:paraId="7AF5F32A" w14:textId="77777777" w:rsidTr="004C2C7D">
        <w:trPr>
          <w:trHeight w:val="397"/>
          <w:jc w:val="center"/>
        </w:trPr>
        <w:tc>
          <w:tcPr>
            <w:tcW w:w="1542" w:type="dxa"/>
          </w:tcPr>
          <w:p w14:paraId="67B8F142"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Dezember 1995</w:t>
            </w:r>
          </w:p>
        </w:tc>
        <w:tc>
          <w:tcPr>
            <w:tcW w:w="1542" w:type="dxa"/>
          </w:tcPr>
          <w:p w14:paraId="3D0C50E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30.12.1995</w:t>
            </w:r>
          </w:p>
        </w:tc>
        <w:tc>
          <w:tcPr>
            <w:tcW w:w="1274" w:type="dxa"/>
          </w:tcPr>
          <w:p w14:paraId="1C87DB2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4,076</w:t>
            </w:r>
          </w:p>
        </w:tc>
        <w:tc>
          <w:tcPr>
            <w:tcW w:w="1274" w:type="dxa"/>
          </w:tcPr>
          <w:p w14:paraId="22EE191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4,452</w:t>
            </w:r>
          </w:p>
        </w:tc>
        <w:tc>
          <w:tcPr>
            <w:tcW w:w="1275" w:type="dxa"/>
          </w:tcPr>
          <w:p w14:paraId="23465A1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5,008</w:t>
            </w:r>
          </w:p>
        </w:tc>
        <w:tc>
          <w:tcPr>
            <w:tcW w:w="1274" w:type="dxa"/>
          </w:tcPr>
          <w:p w14:paraId="5CFB9F3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5,316</w:t>
            </w:r>
          </w:p>
        </w:tc>
        <w:tc>
          <w:tcPr>
            <w:tcW w:w="1275" w:type="dxa"/>
          </w:tcPr>
          <w:p w14:paraId="3C17DFE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5,744]</w:t>
            </w:r>
          </w:p>
        </w:tc>
      </w:tr>
      <w:tr w:rsidR="005A5BD5" w:rsidRPr="00CA3519" w14:paraId="7AFA3DE6" w14:textId="77777777" w:rsidTr="004C2C7D">
        <w:trPr>
          <w:trHeight w:val="397"/>
          <w:jc w:val="center"/>
        </w:trPr>
        <w:tc>
          <w:tcPr>
            <w:tcW w:w="1542" w:type="dxa"/>
          </w:tcPr>
          <w:p w14:paraId="487E8652"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[Januar 1996</w:t>
            </w:r>
          </w:p>
        </w:tc>
        <w:tc>
          <w:tcPr>
            <w:tcW w:w="1542" w:type="dxa"/>
          </w:tcPr>
          <w:p w14:paraId="38F3DF9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31.01.1996</w:t>
            </w:r>
          </w:p>
        </w:tc>
        <w:tc>
          <w:tcPr>
            <w:tcW w:w="1274" w:type="dxa"/>
          </w:tcPr>
          <w:p w14:paraId="7ED4871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3,782</w:t>
            </w:r>
          </w:p>
        </w:tc>
        <w:tc>
          <w:tcPr>
            <w:tcW w:w="1274" w:type="dxa"/>
          </w:tcPr>
          <w:p w14:paraId="3A4FF0F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4,186</w:t>
            </w:r>
          </w:p>
        </w:tc>
        <w:tc>
          <w:tcPr>
            <w:tcW w:w="1275" w:type="dxa"/>
          </w:tcPr>
          <w:p w14:paraId="27DB618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4,790</w:t>
            </w:r>
          </w:p>
        </w:tc>
        <w:tc>
          <w:tcPr>
            <w:tcW w:w="1274" w:type="dxa"/>
          </w:tcPr>
          <w:p w14:paraId="263994A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5,152</w:t>
            </w:r>
          </w:p>
        </w:tc>
        <w:tc>
          <w:tcPr>
            <w:tcW w:w="1275" w:type="dxa"/>
          </w:tcPr>
          <w:p w14:paraId="0A08498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5,544</w:t>
            </w:r>
          </w:p>
        </w:tc>
      </w:tr>
      <w:tr w:rsidR="005A5BD5" w:rsidRPr="00CA3519" w14:paraId="4087A775" w14:textId="77777777" w:rsidTr="004C2C7D">
        <w:trPr>
          <w:trHeight w:val="397"/>
          <w:jc w:val="center"/>
        </w:trPr>
        <w:tc>
          <w:tcPr>
            <w:tcW w:w="1542" w:type="dxa"/>
          </w:tcPr>
          <w:p w14:paraId="6D2589AD"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Februar 1996</w:t>
            </w:r>
          </w:p>
        </w:tc>
        <w:tc>
          <w:tcPr>
            <w:tcW w:w="1542" w:type="dxa"/>
          </w:tcPr>
          <w:p w14:paraId="541FAC0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29.02.1996</w:t>
            </w:r>
          </w:p>
        </w:tc>
        <w:tc>
          <w:tcPr>
            <w:tcW w:w="1274" w:type="dxa"/>
          </w:tcPr>
          <w:p w14:paraId="5E1878D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3,486</w:t>
            </w:r>
          </w:p>
        </w:tc>
        <w:tc>
          <w:tcPr>
            <w:tcW w:w="1274" w:type="dxa"/>
          </w:tcPr>
          <w:p w14:paraId="6BDFBAB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3,921</w:t>
            </w:r>
          </w:p>
        </w:tc>
        <w:tc>
          <w:tcPr>
            <w:tcW w:w="1275" w:type="dxa"/>
          </w:tcPr>
          <w:p w14:paraId="010A378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4,534</w:t>
            </w:r>
          </w:p>
        </w:tc>
        <w:tc>
          <w:tcPr>
            <w:tcW w:w="1274" w:type="dxa"/>
          </w:tcPr>
          <w:p w14:paraId="0000E91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4,977</w:t>
            </w:r>
          </w:p>
        </w:tc>
        <w:tc>
          <w:tcPr>
            <w:tcW w:w="1275" w:type="dxa"/>
          </w:tcPr>
          <w:p w14:paraId="3DFA25C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5,347</w:t>
            </w:r>
          </w:p>
        </w:tc>
      </w:tr>
      <w:tr w:rsidR="005A5BD5" w:rsidRPr="00CA3519" w14:paraId="4794CA60" w14:textId="77777777" w:rsidTr="004C2C7D">
        <w:trPr>
          <w:trHeight w:val="397"/>
          <w:jc w:val="center"/>
        </w:trPr>
        <w:tc>
          <w:tcPr>
            <w:tcW w:w="1542" w:type="dxa"/>
          </w:tcPr>
          <w:p w14:paraId="2F2FF96A"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März 1996</w:t>
            </w:r>
          </w:p>
        </w:tc>
        <w:tc>
          <w:tcPr>
            <w:tcW w:w="1542" w:type="dxa"/>
          </w:tcPr>
          <w:p w14:paraId="5E801D0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30.03.1996</w:t>
            </w:r>
          </w:p>
        </w:tc>
        <w:tc>
          <w:tcPr>
            <w:tcW w:w="1274" w:type="dxa"/>
          </w:tcPr>
          <w:p w14:paraId="73E6F80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3,334</w:t>
            </w:r>
          </w:p>
        </w:tc>
        <w:tc>
          <w:tcPr>
            <w:tcW w:w="1274" w:type="dxa"/>
          </w:tcPr>
          <w:p w14:paraId="7EC6E86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4,003</w:t>
            </w:r>
          </w:p>
        </w:tc>
        <w:tc>
          <w:tcPr>
            <w:tcW w:w="1275" w:type="dxa"/>
          </w:tcPr>
          <w:p w14:paraId="2FCDD38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4,643</w:t>
            </w:r>
          </w:p>
        </w:tc>
        <w:tc>
          <w:tcPr>
            <w:tcW w:w="1274" w:type="dxa"/>
          </w:tcPr>
          <w:p w14:paraId="06392A2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5,148</w:t>
            </w:r>
          </w:p>
        </w:tc>
        <w:tc>
          <w:tcPr>
            <w:tcW w:w="1275" w:type="dxa"/>
          </w:tcPr>
          <w:p w14:paraId="5A13E06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5,445</w:t>
            </w:r>
          </w:p>
        </w:tc>
      </w:tr>
      <w:tr w:rsidR="005A5BD5" w:rsidRPr="00CA3519" w14:paraId="47AFA9B9" w14:textId="77777777" w:rsidTr="004C2C7D">
        <w:trPr>
          <w:trHeight w:val="397"/>
          <w:jc w:val="center"/>
        </w:trPr>
        <w:tc>
          <w:tcPr>
            <w:tcW w:w="1542" w:type="dxa"/>
          </w:tcPr>
          <w:p w14:paraId="3224A17D"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April 1996</w:t>
            </w:r>
          </w:p>
        </w:tc>
        <w:tc>
          <w:tcPr>
            <w:tcW w:w="1542" w:type="dxa"/>
          </w:tcPr>
          <w:p w14:paraId="4253FF5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30.04.1996</w:t>
            </w:r>
          </w:p>
        </w:tc>
        <w:tc>
          <w:tcPr>
            <w:tcW w:w="1274" w:type="dxa"/>
          </w:tcPr>
          <w:p w14:paraId="2B78938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3,356</w:t>
            </w:r>
          </w:p>
        </w:tc>
        <w:tc>
          <w:tcPr>
            <w:tcW w:w="1274" w:type="dxa"/>
          </w:tcPr>
          <w:p w14:paraId="4BBFE4A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4,159</w:t>
            </w:r>
          </w:p>
        </w:tc>
        <w:tc>
          <w:tcPr>
            <w:tcW w:w="1275" w:type="dxa"/>
          </w:tcPr>
          <w:p w14:paraId="1BB4A3C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4,821</w:t>
            </w:r>
          </w:p>
        </w:tc>
        <w:tc>
          <w:tcPr>
            <w:tcW w:w="1274" w:type="dxa"/>
          </w:tcPr>
          <w:p w14:paraId="7BFAF3F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5,383</w:t>
            </w:r>
          </w:p>
        </w:tc>
        <w:tc>
          <w:tcPr>
            <w:tcW w:w="1275" w:type="dxa"/>
          </w:tcPr>
          <w:p w14:paraId="656DFDD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5,644</w:t>
            </w:r>
          </w:p>
        </w:tc>
      </w:tr>
      <w:tr w:rsidR="005A5BD5" w:rsidRPr="00CA3519" w14:paraId="53CB73DE" w14:textId="77777777" w:rsidTr="004C2C7D">
        <w:trPr>
          <w:trHeight w:val="397"/>
          <w:jc w:val="center"/>
        </w:trPr>
        <w:tc>
          <w:tcPr>
            <w:tcW w:w="1542" w:type="dxa"/>
          </w:tcPr>
          <w:p w14:paraId="390EF3C7"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Mai 1996</w:t>
            </w:r>
          </w:p>
        </w:tc>
        <w:tc>
          <w:tcPr>
            <w:tcW w:w="1542" w:type="dxa"/>
          </w:tcPr>
          <w:p w14:paraId="0DAADD6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31.05.1996</w:t>
            </w:r>
          </w:p>
        </w:tc>
        <w:tc>
          <w:tcPr>
            <w:tcW w:w="1274" w:type="dxa"/>
          </w:tcPr>
          <w:p w14:paraId="6EFC968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3,306</w:t>
            </w:r>
          </w:p>
        </w:tc>
        <w:tc>
          <w:tcPr>
            <w:tcW w:w="1274" w:type="dxa"/>
          </w:tcPr>
          <w:p w14:paraId="6B27984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3,990</w:t>
            </w:r>
          </w:p>
        </w:tc>
        <w:tc>
          <w:tcPr>
            <w:tcW w:w="1275" w:type="dxa"/>
          </w:tcPr>
          <w:p w14:paraId="6909B08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4,662</w:t>
            </w:r>
          </w:p>
        </w:tc>
        <w:tc>
          <w:tcPr>
            <w:tcW w:w="1274" w:type="dxa"/>
          </w:tcPr>
          <w:p w14:paraId="33C6626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5,257</w:t>
            </w:r>
          </w:p>
        </w:tc>
        <w:tc>
          <w:tcPr>
            <w:tcW w:w="1275" w:type="dxa"/>
          </w:tcPr>
          <w:p w14:paraId="5CB9826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5,540</w:t>
            </w:r>
          </w:p>
        </w:tc>
      </w:tr>
      <w:tr w:rsidR="005A5BD5" w:rsidRPr="00CA3519" w14:paraId="1DFFB933" w14:textId="77777777" w:rsidTr="004C2C7D">
        <w:trPr>
          <w:trHeight w:val="397"/>
          <w:jc w:val="center"/>
        </w:trPr>
        <w:tc>
          <w:tcPr>
            <w:tcW w:w="1542" w:type="dxa"/>
          </w:tcPr>
          <w:p w14:paraId="3F28E111"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Juni 1996</w:t>
            </w:r>
          </w:p>
        </w:tc>
        <w:tc>
          <w:tcPr>
            <w:tcW w:w="1542" w:type="dxa"/>
          </w:tcPr>
          <w:p w14:paraId="1E4F25B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29.06.1996</w:t>
            </w:r>
          </w:p>
        </w:tc>
        <w:tc>
          <w:tcPr>
            <w:tcW w:w="1274" w:type="dxa"/>
          </w:tcPr>
          <w:p w14:paraId="5D669D7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3,266</w:t>
            </w:r>
          </w:p>
        </w:tc>
        <w:tc>
          <w:tcPr>
            <w:tcW w:w="1274" w:type="dxa"/>
          </w:tcPr>
          <w:p w14:paraId="44B3E31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3,849</w:t>
            </w:r>
          </w:p>
        </w:tc>
        <w:tc>
          <w:tcPr>
            <w:tcW w:w="1275" w:type="dxa"/>
          </w:tcPr>
          <w:p w14:paraId="441B51F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4,517</w:t>
            </w:r>
          </w:p>
        </w:tc>
        <w:tc>
          <w:tcPr>
            <w:tcW w:w="1274" w:type="dxa"/>
          </w:tcPr>
          <w:p w14:paraId="6724CA3F"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5,130</w:t>
            </w:r>
          </w:p>
        </w:tc>
        <w:tc>
          <w:tcPr>
            <w:tcW w:w="1275" w:type="dxa"/>
          </w:tcPr>
          <w:p w14:paraId="096FB85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5,412</w:t>
            </w:r>
          </w:p>
        </w:tc>
      </w:tr>
      <w:tr w:rsidR="005A5BD5" w:rsidRPr="00CA3519" w14:paraId="782D2C17" w14:textId="77777777" w:rsidTr="004C2C7D">
        <w:trPr>
          <w:trHeight w:val="397"/>
          <w:jc w:val="center"/>
        </w:trPr>
        <w:tc>
          <w:tcPr>
            <w:tcW w:w="1542" w:type="dxa"/>
          </w:tcPr>
          <w:p w14:paraId="767099F6"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Juli 1996</w:t>
            </w:r>
          </w:p>
        </w:tc>
        <w:tc>
          <w:tcPr>
            <w:tcW w:w="1542" w:type="dxa"/>
          </w:tcPr>
          <w:p w14:paraId="58CF7AA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31.07.1996</w:t>
            </w:r>
          </w:p>
        </w:tc>
        <w:tc>
          <w:tcPr>
            <w:tcW w:w="1274" w:type="dxa"/>
          </w:tcPr>
          <w:p w14:paraId="2AA18ED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4,439</w:t>
            </w:r>
          </w:p>
        </w:tc>
        <w:tc>
          <w:tcPr>
            <w:tcW w:w="1274" w:type="dxa"/>
          </w:tcPr>
          <w:p w14:paraId="12F0D79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4,057</w:t>
            </w:r>
          </w:p>
        </w:tc>
        <w:tc>
          <w:tcPr>
            <w:tcW w:w="1275" w:type="dxa"/>
          </w:tcPr>
          <w:p w14:paraId="3C8AC83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4,657</w:t>
            </w:r>
          </w:p>
        </w:tc>
        <w:tc>
          <w:tcPr>
            <w:tcW w:w="1274" w:type="dxa"/>
          </w:tcPr>
          <w:p w14:paraId="3330C1F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5,295</w:t>
            </w:r>
          </w:p>
        </w:tc>
        <w:tc>
          <w:tcPr>
            <w:tcW w:w="1275" w:type="dxa"/>
          </w:tcPr>
          <w:p w14:paraId="708D4F6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5,544</w:t>
            </w:r>
          </w:p>
        </w:tc>
      </w:tr>
      <w:tr w:rsidR="005A5BD5" w:rsidRPr="00CA3519" w14:paraId="10946D1D" w14:textId="77777777" w:rsidTr="004C2C7D">
        <w:trPr>
          <w:trHeight w:val="397"/>
          <w:jc w:val="center"/>
        </w:trPr>
        <w:tc>
          <w:tcPr>
            <w:tcW w:w="1542" w:type="dxa"/>
          </w:tcPr>
          <w:p w14:paraId="78015561"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August 1996</w:t>
            </w:r>
          </w:p>
        </w:tc>
        <w:tc>
          <w:tcPr>
            <w:tcW w:w="1542" w:type="dxa"/>
          </w:tcPr>
          <w:p w14:paraId="6635612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31.08.1996</w:t>
            </w:r>
          </w:p>
        </w:tc>
        <w:tc>
          <w:tcPr>
            <w:tcW w:w="1274" w:type="dxa"/>
          </w:tcPr>
          <w:p w14:paraId="28DCD2D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3,578</w:t>
            </w:r>
          </w:p>
        </w:tc>
        <w:tc>
          <w:tcPr>
            <w:tcW w:w="1274" w:type="dxa"/>
          </w:tcPr>
          <w:p w14:paraId="3A91220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4,203</w:t>
            </w:r>
          </w:p>
        </w:tc>
        <w:tc>
          <w:tcPr>
            <w:tcW w:w="1275" w:type="dxa"/>
          </w:tcPr>
          <w:p w14:paraId="6CD3288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4,703</w:t>
            </w:r>
          </w:p>
        </w:tc>
        <w:tc>
          <w:tcPr>
            <w:tcW w:w="1274" w:type="dxa"/>
          </w:tcPr>
          <w:p w14:paraId="7BC7AA6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5,370</w:t>
            </w:r>
          </w:p>
        </w:tc>
        <w:tc>
          <w:tcPr>
            <w:tcW w:w="1275" w:type="dxa"/>
          </w:tcPr>
          <w:p w14:paraId="35E0EA9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5,612</w:t>
            </w:r>
          </w:p>
        </w:tc>
      </w:tr>
      <w:tr w:rsidR="005A5BD5" w:rsidRPr="00CA3519" w14:paraId="410AAA6C" w14:textId="77777777" w:rsidTr="004C2C7D">
        <w:trPr>
          <w:trHeight w:val="397"/>
          <w:jc w:val="center"/>
        </w:trPr>
        <w:tc>
          <w:tcPr>
            <w:tcW w:w="1542" w:type="dxa"/>
          </w:tcPr>
          <w:p w14:paraId="292AA53D"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September 1996</w:t>
            </w:r>
          </w:p>
        </w:tc>
        <w:tc>
          <w:tcPr>
            <w:tcW w:w="1542" w:type="dxa"/>
          </w:tcPr>
          <w:p w14:paraId="6411D55F"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28.09.1996</w:t>
            </w:r>
          </w:p>
        </w:tc>
        <w:tc>
          <w:tcPr>
            <w:tcW w:w="1274" w:type="dxa"/>
          </w:tcPr>
          <w:p w14:paraId="1B3390E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3,480</w:t>
            </w:r>
          </w:p>
        </w:tc>
        <w:tc>
          <w:tcPr>
            <w:tcW w:w="1274" w:type="dxa"/>
          </w:tcPr>
          <w:p w14:paraId="244ABD4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4,020</w:t>
            </w:r>
          </w:p>
        </w:tc>
        <w:tc>
          <w:tcPr>
            <w:tcW w:w="1275" w:type="dxa"/>
          </w:tcPr>
          <w:p w14:paraId="624BC14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4,489</w:t>
            </w:r>
          </w:p>
        </w:tc>
        <w:tc>
          <w:tcPr>
            <w:tcW w:w="1274" w:type="dxa"/>
          </w:tcPr>
          <w:p w14:paraId="0F41B58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5,185</w:t>
            </w:r>
          </w:p>
        </w:tc>
        <w:tc>
          <w:tcPr>
            <w:tcW w:w="1275" w:type="dxa"/>
          </w:tcPr>
          <w:p w14:paraId="66DCD60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5,442</w:t>
            </w:r>
          </w:p>
        </w:tc>
      </w:tr>
      <w:tr w:rsidR="005A5BD5" w:rsidRPr="00CA3519" w14:paraId="0F1C1C49" w14:textId="77777777" w:rsidTr="004C2C7D">
        <w:trPr>
          <w:trHeight w:val="397"/>
          <w:jc w:val="center"/>
        </w:trPr>
        <w:tc>
          <w:tcPr>
            <w:tcW w:w="1542" w:type="dxa"/>
          </w:tcPr>
          <w:p w14:paraId="5138C4B4"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lastRenderedPageBreak/>
              <w:t>Oktober 1996</w:t>
            </w:r>
          </w:p>
        </w:tc>
        <w:tc>
          <w:tcPr>
            <w:tcW w:w="1542" w:type="dxa"/>
          </w:tcPr>
          <w:p w14:paraId="09DF149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31.10.1996</w:t>
            </w:r>
          </w:p>
        </w:tc>
        <w:tc>
          <w:tcPr>
            <w:tcW w:w="1274" w:type="dxa"/>
          </w:tcPr>
          <w:p w14:paraId="4E24DD1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3,262</w:t>
            </w:r>
          </w:p>
        </w:tc>
        <w:tc>
          <w:tcPr>
            <w:tcW w:w="1274" w:type="dxa"/>
          </w:tcPr>
          <w:p w14:paraId="774269B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3,695</w:t>
            </w:r>
          </w:p>
        </w:tc>
        <w:tc>
          <w:tcPr>
            <w:tcW w:w="1275" w:type="dxa"/>
          </w:tcPr>
          <w:p w14:paraId="49DF3BD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4,164</w:t>
            </w:r>
          </w:p>
        </w:tc>
        <w:tc>
          <w:tcPr>
            <w:tcW w:w="1274" w:type="dxa"/>
          </w:tcPr>
          <w:p w14:paraId="1407B2B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4,899</w:t>
            </w:r>
          </w:p>
        </w:tc>
        <w:tc>
          <w:tcPr>
            <w:tcW w:w="1275" w:type="dxa"/>
          </w:tcPr>
          <w:p w14:paraId="065F3FB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5,151</w:t>
            </w:r>
          </w:p>
        </w:tc>
      </w:tr>
      <w:tr w:rsidR="005A5BD5" w:rsidRPr="00CA3519" w14:paraId="7B3D6EE8" w14:textId="77777777" w:rsidTr="004C2C7D">
        <w:trPr>
          <w:trHeight w:val="397"/>
          <w:jc w:val="center"/>
        </w:trPr>
        <w:tc>
          <w:tcPr>
            <w:tcW w:w="1542" w:type="dxa"/>
          </w:tcPr>
          <w:p w14:paraId="4475D6F7"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November 1996</w:t>
            </w:r>
          </w:p>
        </w:tc>
        <w:tc>
          <w:tcPr>
            <w:tcW w:w="1542" w:type="dxa"/>
          </w:tcPr>
          <w:p w14:paraId="77C48F4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30.11.1996</w:t>
            </w:r>
          </w:p>
        </w:tc>
        <w:tc>
          <w:tcPr>
            <w:tcW w:w="1274" w:type="dxa"/>
          </w:tcPr>
          <w:p w14:paraId="4AB996E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3,157</w:t>
            </w:r>
          </w:p>
        </w:tc>
        <w:tc>
          <w:tcPr>
            <w:tcW w:w="1274" w:type="dxa"/>
          </w:tcPr>
          <w:p w14:paraId="4CDFA69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3,557</w:t>
            </w:r>
          </w:p>
        </w:tc>
        <w:tc>
          <w:tcPr>
            <w:tcW w:w="1275" w:type="dxa"/>
          </w:tcPr>
          <w:p w14:paraId="3B06B3F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3,944</w:t>
            </w:r>
          </w:p>
        </w:tc>
        <w:tc>
          <w:tcPr>
            <w:tcW w:w="1274" w:type="dxa"/>
          </w:tcPr>
          <w:p w14:paraId="0B31EA2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4,669</w:t>
            </w:r>
          </w:p>
        </w:tc>
        <w:tc>
          <w:tcPr>
            <w:tcW w:w="1275" w:type="dxa"/>
          </w:tcPr>
          <w:p w14:paraId="14F0F6E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4,905</w:t>
            </w:r>
          </w:p>
        </w:tc>
      </w:tr>
      <w:tr w:rsidR="005A5BD5" w:rsidRPr="00CA3519" w14:paraId="56657169" w14:textId="77777777" w:rsidTr="004C2C7D">
        <w:trPr>
          <w:trHeight w:val="397"/>
          <w:jc w:val="center"/>
        </w:trPr>
        <w:tc>
          <w:tcPr>
            <w:tcW w:w="1542" w:type="dxa"/>
          </w:tcPr>
          <w:p w14:paraId="7ED4BCCE"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Dezember 1996</w:t>
            </w:r>
          </w:p>
        </w:tc>
        <w:tc>
          <w:tcPr>
            <w:tcW w:w="1542" w:type="dxa"/>
          </w:tcPr>
          <w:p w14:paraId="425C14D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31.12.1996</w:t>
            </w:r>
          </w:p>
        </w:tc>
        <w:tc>
          <w:tcPr>
            <w:tcW w:w="1274" w:type="dxa"/>
          </w:tcPr>
          <w:p w14:paraId="619916A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3,153</w:t>
            </w:r>
          </w:p>
        </w:tc>
        <w:tc>
          <w:tcPr>
            <w:tcW w:w="1274" w:type="dxa"/>
          </w:tcPr>
          <w:p w14:paraId="490729F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3,597</w:t>
            </w:r>
          </w:p>
        </w:tc>
        <w:tc>
          <w:tcPr>
            <w:tcW w:w="1275" w:type="dxa"/>
          </w:tcPr>
          <w:p w14:paraId="32E190A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3,940</w:t>
            </w:r>
          </w:p>
        </w:tc>
        <w:tc>
          <w:tcPr>
            <w:tcW w:w="1274" w:type="dxa"/>
          </w:tcPr>
          <w:p w14:paraId="1277C2D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4,549</w:t>
            </w:r>
          </w:p>
        </w:tc>
        <w:tc>
          <w:tcPr>
            <w:tcW w:w="1275" w:type="dxa"/>
          </w:tcPr>
          <w:p w14:paraId="177AA05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4,770]</w:t>
            </w:r>
          </w:p>
        </w:tc>
      </w:tr>
      <w:tr w:rsidR="005A5BD5" w:rsidRPr="00CA3519" w14:paraId="5C7B9B26" w14:textId="77777777" w:rsidTr="004C2C7D">
        <w:trPr>
          <w:trHeight w:val="397"/>
          <w:jc w:val="center"/>
        </w:trPr>
        <w:tc>
          <w:tcPr>
            <w:tcW w:w="1542" w:type="dxa"/>
          </w:tcPr>
          <w:p w14:paraId="0CBC9A25"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[Januar 1997</w:t>
            </w:r>
          </w:p>
        </w:tc>
        <w:tc>
          <w:tcPr>
            <w:tcW w:w="1542" w:type="dxa"/>
          </w:tcPr>
          <w:p w14:paraId="3A723E7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31.01.1997</w:t>
            </w:r>
          </w:p>
        </w:tc>
        <w:tc>
          <w:tcPr>
            <w:tcW w:w="1274" w:type="dxa"/>
          </w:tcPr>
          <w:p w14:paraId="4BD3C1A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3,151</w:t>
            </w:r>
          </w:p>
        </w:tc>
        <w:tc>
          <w:tcPr>
            <w:tcW w:w="1274" w:type="dxa"/>
          </w:tcPr>
          <w:p w14:paraId="15B8529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3,552</w:t>
            </w:r>
          </w:p>
        </w:tc>
        <w:tc>
          <w:tcPr>
            <w:tcW w:w="1275" w:type="dxa"/>
          </w:tcPr>
          <w:p w14:paraId="5B457CE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3,969</w:t>
            </w:r>
          </w:p>
        </w:tc>
        <w:tc>
          <w:tcPr>
            <w:tcW w:w="1274" w:type="dxa"/>
          </w:tcPr>
          <w:p w14:paraId="13D5115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4,465</w:t>
            </w:r>
          </w:p>
        </w:tc>
        <w:tc>
          <w:tcPr>
            <w:tcW w:w="1275" w:type="dxa"/>
          </w:tcPr>
          <w:p w14:paraId="700720A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4,790</w:t>
            </w:r>
          </w:p>
        </w:tc>
      </w:tr>
      <w:tr w:rsidR="005A5BD5" w:rsidRPr="00CA3519" w14:paraId="5976D40B" w14:textId="77777777" w:rsidTr="004C2C7D">
        <w:trPr>
          <w:trHeight w:val="397"/>
          <w:jc w:val="center"/>
        </w:trPr>
        <w:tc>
          <w:tcPr>
            <w:tcW w:w="1542" w:type="dxa"/>
          </w:tcPr>
          <w:p w14:paraId="0CFBF8EB"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Februar 1997</w:t>
            </w:r>
          </w:p>
        </w:tc>
        <w:tc>
          <w:tcPr>
            <w:tcW w:w="1542" w:type="dxa"/>
          </w:tcPr>
          <w:p w14:paraId="3989095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28.02.1997</w:t>
            </w:r>
          </w:p>
        </w:tc>
        <w:tc>
          <w:tcPr>
            <w:tcW w:w="1274" w:type="dxa"/>
          </w:tcPr>
          <w:p w14:paraId="5939254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3,115</w:t>
            </w:r>
          </w:p>
        </w:tc>
        <w:tc>
          <w:tcPr>
            <w:tcW w:w="1274" w:type="dxa"/>
          </w:tcPr>
          <w:p w14:paraId="0056FABF"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3,454</w:t>
            </w:r>
          </w:p>
        </w:tc>
        <w:tc>
          <w:tcPr>
            <w:tcW w:w="1275" w:type="dxa"/>
          </w:tcPr>
          <w:p w14:paraId="23DE137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3,937</w:t>
            </w:r>
          </w:p>
        </w:tc>
        <w:tc>
          <w:tcPr>
            <w:tcW w:w="1274" w:type="dxa"/>
          </w:tcPr>
          <w:p w14:paraId="199E21F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4,347</w:t>
            </w:r>
          </w:p>
        </w:tc>
        <w:tc>
          <w:tcPr>
            <w:tcW w:w="1275" w:type="dxa"/>
          </w:tcPr>
          <w:p w14:paraId="6289BF2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4,795</w:t>
            </w:r>
          </w:p>
        </w:tc>
      </w:tr>
      <w:tr w:rsidR="005A5BD5" w:rsidRPr="00CA3519" w14:paraId="2302D1DB" w14:textId="77777777" w:rsidTr="004C2C7D">
        <w:trPr>
          <w:trHeight w:val="397"/>
          <w:jc w:val="center"/>
        </w:trPr>
        <w:tc>
          <w:tcPr>
            <w:tcW w:w="1542" w:type="dxa"/>
          </w:tcPr>
          <w:p w14:paraId="3EB18F86"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März 1997</w:t>
            </w:r>
          </w:p>
        </w:tc>
        <w:tc>
          <w:tcPr>
            <w:tcW w:w="1542" w:type="dxa"/>
          </w:tcPr>
          <w:p w14:paraId="3CDBE63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29.03.1997</w:t>
            </w:r>
          </w:p>
        </w:tc>
        <w:tc>
          <w:tcPr>
            <w:tcW w:w="1274" w:type="dxa"/>
          </w:tcPr>
          <w:p w14:paraId="5B1C94D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3,200</w:t>
            </w:r>
          </w:p>
        </w:tc>
        <w:tc>
          <w:tcPr>
            <w:tcW w:w="1274" w:type="dxa"/>
          </w:tcPr>
          <w:p w14:paraId="7286DE6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3,530</w:t>
            </w:r>
          </w:p>
        </w:tc>
        <w:tc>
          <w:tcPr>
            <w:tcW w:w="1275" w:type="dxa"/>
          </w:tcPr>
          <w:p w14:paraId="3B0F47F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3,984</w:t>
            </w:r>
          </w:p>
        </w:tc>
        <w:tc>
          <w:tcPr>
            <w:tcW w:w="1274" w:type="dxa"/>
          </w:tcPr>
          <w:p w14:paraId="5448EF9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4,308</w:t>
            </w:r>
          </w:p>
        </w:tc>
        <w:tc>
          <w:tcPr>
            <w:tcW w:w="1275" w:type="dxa"/>
          </w:tcPr>
          <w:p w14:paraId="0D1CC01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4,719</w:t>
            </w:r>
          </w:p>
        </w:tc>
      </w:tr>
      <w:tr w:rsidR="005A5BD5" w:rsidRPr="00CA3519" w14:paraId="3A18098D" w14:textId="77777777" w:rsidTr="004C2C7D">
        <w:trPr>
          <w:trHeight w:val="397"/>
          <w:jc w:val="center"/>
        </w:trPr>
        <w:tc>
          <w:tcPr>
            <w:tcW w:w="1542" w:type="dxa"/>
          </w:tcPr>
          <w:p w14:paraId="3E3996AD"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April 1997</w:t>
            </w:r>
          </w:p>
        </w:tc>
        <w:tc>
          <w:tcPr>
            <w:tcW w:w="1542" w:type="dxa"/>
          </w:tcPr>
          <w:p w14:paraId="425635B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30.04.1997</w:t>
            </w:r>
          </w:p>
        </w:tc>
        <w:tc>
          <w:tcPr>
            <w:tcW w:w="1274" w:type="dxa"/>
          </w:tcPr>
          <w:p w14:paraId="0056FF7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3,394</w:t>
            </w:r>
          </w:p>
        </w:tc>
        <w:tc>
          <w:tcPr>
            <w:tcW w:w="1274" w:type="dxa"/>
          </w:tcPr>
          <w:p w14:paraId="2493B0E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3,745</w:t>
            </w:r>
          </w:p>
        </w:tc>
        <w:tc>
          <w:tcPr>
            <w:tcW w:w="1275" w:type="dxa"/>
          </w:tcPr>
          <w:p w14:paraId="50F76A7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4,194</w:t>
            </w:r>
          </w:p>
        </w:tc>
        <w:tc>
          <w:tcPr>
            <w:tcW w:w="1274" w:type="dxa"/>
          </w:tcPr>
          <w:p w14:paraId="3EBCFEF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4,497</w:t>
            </w:r>
          </w:p>
        </w:tc>
        <w:tc>
          <w:tcPr>
            <w:tcW w:w="1275" w:type="dxa"/>
          </w:tcPr>
          <w:p w14:paraId="738E6DD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4,871</w:t>
            </w:r>
          </w:p>
        </w:tc>
      </w:tr>
      <w:tr w:rsidR="005A5BD5" w:rsidRPr="00CA3519" w14:paraId="51569B05" w14:textId="77777777" w:rsidTr="004C2C7D">
        <w:trPr>
          <w:trHeight w:val="397"/>
          <w:jc w:val="center"/>
        </w:trPr>
        <w:tc>
          <w:tcPr>
            <w:tcW w:w="1542" w:type="dxa"/>
          </w:tcPr>
          <w:p w14:paraId="47332E3B"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Mai 1997</w:t>
            </w:r>
          </w:p>
        </w:tc>
        <w:tc>
          <w:tcPr>
            <w:tcW w:w="1542" w:type="dxa"/>
          </w:tcPr>
          <w:p w14:paraId="1181564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31.05.1997</w:t>
            </w:r>
          </w:p>
        </w:tc>
        <w:tc>
          <w:tcPr>
            <w:tcW w:w="1274" w:type="dxa"/>
          </w:tcPr>
          <w:p w14:paraId="29D7377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3,420</w:t>
            </w:r>
          </w:p>
        </w:tc>
        <w:tc>
          <w:tcPr>
            <w:tcW w:w="1274" w:type="dxa"/>
          </w:tcPr>
          <w:p w14:paraId="40776BA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3,770</w:t>
            </w:r>
          </w:p>
        </w:tc>
        <w:tc>
          <w:tcPr>
            <w:tcW w:w="1275" w:type="dxa"/>
          </w:tcPr>
          <w:p w14:paraId="4069D1F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4,252</w:t>
            </w:r>
          </w:p>
        </w:tc>
        <w:tc>
          <w:tcPr>
            <w:tcW w:w="1274" w:type="dxa"/>
          </w:tcPr>
          <w:p w14:paraId="36A7D01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4,563</w:t>
            </w:r>
          </w:p>
        </w:tc>
        <w:tc>
          <w:tcPr>
            <w:tcW w:w="1275" w:type="dxa"/>
          </w:tcPr>
          <w:p w14:paraId="5EE6A50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4,952</w:t>
            </w:r>
          </w:p>
        </w:tc>
      </w:tr>
      <w:tr w:rsidR="005A5BD5" w:rsidRPr="00CA3519" w14:paraId="3031F19F" w14:textId="77777777" w:rsidTr="004C2C7D">
        <w:trPr>
          <w:trHeight w:val="397"/>
          <w:jc w:val="center"/>
        </w:trPr>
        <w:tc>
          <w:tcPr>
            <w:tcW w:w="1542" w:type="dxa"/>
          </w:tcPr>
          <w:p w14:paraId="0285EA9C"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Juni 1997</w:t>
            </w:r>
          </w:p>
        </w:tc>
        <w:tc>
          <w:tcPr>
            <w:tcW w:w="1542" w:type="dxa"/>
          </w:tcPr>
          <w:p w14:paraId="6686035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28.06.1997</w:t>
            </w:r>
          </w:p>
        </w:tc>
        <w:tc>
          <w:tcPr>
            <w:tcW w:w="1274" w:type="dxa"/>
          </w:tcPr>
          <w:p w14:paraId="3E3B01F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3,378</w:t>
            </w:r>
          </w:p>
        </w:tc>
        <w:tc>
          <w:tcPr>
            <w:tcW w:w="1274" w:type="dxa"/>
          </w:tcPr>
          <w:p w14:paraId="78C6432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3,682</w:t>
            </w:r>
          </w:p>
        </w:tc>
        <w:tc>
          <w:tcPr>
            <w:tcW w:w="1275" w:type="dxa"/>
          </w:tcPr>
          <w:p w14:paraId="690B2FB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4,155</w:t>
            </w:r>
          </w:p>
        </w:tc>
        <w:tc>
          <w:tcPr>
            <w:tcW w:w="1274" w:type="dxa"/>
          </w:tcPr>
          <w:p w14:paraId="6D33808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4,464</w:t>
            </w:r>
          </w:p>
        </w:tc>
        <w:tc>
          <w:tcPr>
            <w:tcW w:w="1275" w:type="dxa"/>
          </w:tcPr>
          <w:p w14:paraId="6BD6F2E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4,862</w:t>
            </w:r>
          </w:p>
        </w:tc>
      </w:tr>
      <w:tr w:rsidR="005A5BD5" w:rsidRPr="00CA3519" w14:paraId="6C75CF6C" w14:textId="77777777" w:rsidTr="004C2C7D">
        <w:trPr>
          <w:trHeight w:val="397"/>
          <w:jc w:val="center"/>
        </w:trPr>
        <w:tc>
          <w:tcPr>
            <w:tcW w:w="1542" w:type="dxa"/>
          </w:tcPr>
          <w:p w14:paraId="070F28EC"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Juli 1997</w:t>
            </w:r>
          </w:p>
        </w:tc>
        <w:tc>
          <w:tcPr>
            <w:tcW w:w="1542" w:type="dxa"/>
          </w:tcPr>
          <w:p w14:paraId="6BA1962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31.07.1997</w:t>
            </w:r>
          </w:p>
        </w:tc>
        <w:tc>
          <w:tcPr>
            <w:tcW w:w="1274" w:type="dxa"/>
          </w:tcPr>
          <w:p w14:paraId="3109A39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3,376</w:t>
            </w:r>
          </w:p>
        </w:tc>
        <w:tc>
          <w:tcPr>
            <w:tcW w:w="1274" w:type="dxa"/>
          </w:tcPr>
          <w:p w14:paraId="59D5C0D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3,619</w:t>
            </w:r>
          </w:p>
        </w:tc>
        <w:tc>
          <w:tcPr>
            <w:tcW w:w="1275" w:type="dxa"/>
          </w:tcPr>
          <w:p w14:paraId="7853713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4,108</w:t>
            </w:r>
          </w:p>
        </w:tc>
        <w:tc>
          <w:tcPr>
            <w:tcW w:w="1274" w:type="dxa"/>
          </w:tcPr>
          <w:p w14:paraId="342B098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4,382</w:t>
            </w:r>
          </w:p>
        </w:tc>
        <w:tc>
          <w:tcPr>
            <w:tcW w:w="1275" w:type="dxa"/>
          </w:tcPr>
          <w:p w14:paraId="721A0D1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4,752</w:t>
            </w:r>
          </w:p>
        </w:tc>
      </w:tr>
      <w:tr w:rsidR="005A5BD5" w:rsidRPr="00CA3519" w14:paraId="716C561D" w14:textId="77777777" w:rsidTr="004C2C7D">
        <w:trPr>
          <w:trHeight w:val="397"/>
          <w:jc w:val="center"/>
        </w:trPr>
        <w:tc>
          <w:tcPr>
            <w:tcW w:w="1542" w:type="dxa"/>
          </w:tcPr>
          <w:p w14:paraId="7EA363EF"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August 1997</w:t>
            </w:r>
          </w:p>
        </w:tc>
        <w:tc>
          <w:tcPr>
            <w:tcW w:w="1542" w:type="dxa"/>
          </w:tcPr>
          <w:p w14:paraId="5D3DB1D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30.08.1997</w:t>
            </w:r>
          </w:p>
        </w:tc>
        <w:tc>
          <w:tcPr>
            <w:tcW w:w="1274" w:type="dxa"/>
          </w:tcPr>
          <w:p w14:paraId="22DCAC9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3,478</w:t>
            </w:r>
          </w:p>
        </w:tc>
        <w:tc>
          <w:tcPr>
            <w:tcW w:w="1274" w:type="dxa"/>
          </w:tcPr>
          <w:p w14:paraId="06D5359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3,689</w:t>
            </w:r>
          </w:p>
        </w:tc>
        <w:tc>
          <w:tcPr>
            <w:tcW w:w="1275" w:type="dxa"/>
          </w:tcPr>
          <w:p w14:paraId="3C76499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4,180</w:t>
            </w:r>
          </w:p>
        </w:tc>
        <w:tc>
          <w:tcPr>
            <w:tcW w:w="1274" w:type="dxa"/>
          </w:tcPr>
          <w:p w14:paraId="20F2B86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4,384</w:t>
            </w:r>
          </w:p>
        </w:tc>
        <w:tc>
          <w:tcPr>
            <w:tcW w:w="1275" w:type="dxa"/>
          </w:tcPr>
          <w:p w14:paraId="1A98C28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4,705</w:t>
            </w:r>
          </w:p>
        </w:tc>
      </w:tr>
      <w:tr w:rsidR="005A5BD5" w:rsidRPr="00CA3519" w14:paraId="15CBE924" w14:textId="77777777" w:rsidTr="004C2C7D">
        <w:trPr>
          <w:trHeight w:val="397"/>
          <w:jc w:val="center"/>
        </w:trPr>
        <w:tc>
          <w:tcPr>
            <w:tcW w:w="1542" w:type="dxa"/>
          </w:tcPr>
          <w:p w14:paraId="64308DE5"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September 1997</w:t>
            </w:r>
          </w:p>
        </w:tc>
        <w:tc>
          <w:tcPr>
            <w:tcW w:w="1542" w:type="dxa"/>
          </w:tcPr>
          <w:p w14:paraId="35C071A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30.09.1997</w:t>
            </w:r>
          </w:p>
        </w:tc>
        <w:tc>
          <w:tcPr>
            <w:tcW w:w="1274" w:type="dxa"/>
          </w:tcPr>
          <w:p w14:paraId="32D5810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3,697</w:t>
            </w:r>
          </w:p>
        </w:tc>
        <w:tc>
          <w:tcPr>
            <w:tcW w:w="1274" w:type="dxa"/>
          </w:tcPr>
          <w:p w14:paraId="43C4474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3,908</w:t>
            </w:r>
          </w:p>
        </w:tc>
        <w:tc>
          <w:tcPr>
            <w:tcW w:w="1275" w:type="dxa"/>
          </w:tcPr>
          <w:p w14:paraId="5BEE74A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4,370</w:t>
            </w:r>
          </w:p>
        </w:tc>
        <w:tc>
          <w:tcPr>
            <w:tcW w:w="1274" w:type="dxa"/>
          </w:tcPr>
          <w:p w14:paraId="65FE4E6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4,538</w:t>
            </w:r>
          </w:p>
        </w:tc>
        <w:tc>
          <w:tcPr>
            <w:tcW w:w="1275" w:type="dxa"/>
          </w:tcPr>
          <w:p w14:paraId="68120162"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4,824</w:t>
            </w:r>
          </w:p>
        </w:tc>
      </w:tr>
      <w:tr w:rsidR="005A5BD5" w:rsidRPr="00CA3519" w14:paraId="6A81D282" w14:textId="77777777" w:rsidTr="004C2C7D">
        <w:trPr>
          <w:trHeight w:val="397"/>
          <w:jc w:val="center"/>
        </w:trPr>
        <w:tc>
          <w:tcPr>
            <w:tcW w:w="1542" w:type="dxa"/>
          </w:tcPr>
          <w:p w14:paraId="4ABBCA11"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Oktober 1997</w:t>
            </w:r>
          </w:p>
        </w:tc>
        <w:tc>
          <w:tcPr>
            <w:tcW w:w="1542" w:type="dxa"/>
          </w:tcPr>
          <w:p w14:paraId="2143CCA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31.10.1997</w:t>
            </w:r>
            <w:r w:rsidRPr="00CA3519">
              <w:rPr>
                <w:rFonts w:eastAsia="Calibri"/>
                <w:snapToGrid w:val="0"/>
                <w:color w:val="000000"/>
                <w:sz w:val="16"/>
                <w:szCs w:val="16"/>
                <w:lang w:eastAsia="en-US"/>
              </w:rPr>
              <w:br/>
              <w:t>Err. 5.11.1997</w:t>
            </w:r>
          </w:p>
        </w:tc>
        <w:tc>
          <w:tcPr>
            <w:tcW w:w="1274" w:type="dxa"/>
          </w:tcPr>
          <w:p w14:paraId="410F4B1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3,866</w:t>
            </w:r>
          </w:p>
        </w:tc>
        <w:tc>
          <w:tcPr>
            <w:tcW w:w="1274" w:type="dxa"/>
          </w:tcPr>
          <w:p w14:paraId="02C1313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4,083</w:t>
            </w:r>
          </w:p>
        </w:tc>
        <w:tc>
          <w:tcPr>
            <w:tcW w:w="1275" w:type="dxa"/>
          </w:tcPr>
          <w:p w14:paraId="488AB04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4,523</w:t>
            </w:r>
          </w:p>
        </w:tc>
        <w:tc>
          <w:tcPr>
            <w:tcW w:w="1274" w:type="dxa"/>
          </w:tcPr>
          <w:p w14:paraId="0B985ED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4,667</w:t>
            </w:r>
          </w:p>
        </w:tc>
        <w:tc>
          <w:tcPr>
            <w:tcW w:w="1275" w:type="dxa"/>
          </w:tcPr>
          <w:p w14:paraId="6F7B5BE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4,930</w:t>
            </w:r>
          </w:p>
        </w:tc>
      </w:tr>
      <w:tr w:rsidR="005A5BD5" w:rsidRPr="00CA3519" w14:paraId="5E45EB67" w14:textId="77777777" w:rsidTr="004C2C7D">
        <w:trPr>
          <w:trHeight w:val="397"/>
          <w:jc w:val="center"/>
        </w:trPr>
        <w:tc>
          <w:tcPr>
            <w:tcW w:w="1542" w:type="dxa"/>
          </w:tcPr>
          <w:p w14:paraId="1175AF8E"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November 1997</w:t>
            </w:r>
          </w:p>
        </w:tc>
        <w:tc>
          <w:tcPr>
            <w:tcW w:w="1542" w:type="dxa"/>
          </w:tcPr>
          <w:p w14:paraId="6ADC846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29.11.1997</w:t>
            </w:r>
          </w:p>
        </w:tc>
        <w:tc>
          <w:tcPr>
            <w:tcW w:w="1274" w:type="dxa"/>
          </w:tcPr>
          <w:p w14:paraId="28CFFE2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4,074</w:t>
            </w:r>
          </w:p>
        </w:tc>
        <w:tc>
          <w:tcPr>
            <w:tcW w:w="1274" w:type="dxa"/>
          </w:tcPr>
          <w:p w14:paraId="4E568B9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4,326</w:t>
            </w:r>
          </w:p>
        </w:tc>
        <w:tc>
          <w:tcPr>
            <w:tcW w:w="1275" w:type="dxa"/>
          </w:tcPr>
          <w:p w14:paraId="6936F7A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4,734</w:t>
            </w:r>
          </w:p>
        </w:tc>
        <w:tc>
          <w:tcPr>
            <w:tcW w:w="1274" w:type="dxa"/>
          </w:tcPr>
          <w:p w14:paraId="7CC69D0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4,846</w:t>
            </w:r>
          </w:p>
        </w:tc>
        <w:tc>
          <w:tcPr>
            <w:tcW w:w="1275" w:type="dxa"/>
          </w:tcPr>
          <w:p w14:paraId="6A83D31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5,094</w:t>
            </w:r>
          </w:p>
        </w:tc>
      </w:tr>
      <w:tr w:rsidR="005A5BD5" w:rsidRPr="00CA3519" w14:paraId="71DF8BE5" w14:textId="77777777" w:rsidTr="004C2C7D">
        <w:trPr>
          <w:trHeight w:val="397"/>
          <w:jc w:val="center"/>
        </w:trPr>
        <w:tc>
          <w:tcPr>
            <w:tcW w:w="1542" w:type="dxa"/>
          </w:tcPr>
          <w:p w14:paraId="3B64A449"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Dezember 1997</w:t>
            </w:r>
          </w:p>
        </w:tc>
        <w:tc>
          <w:tcPr>
            <w:tcW w:w="1542" w:type="dxa"/>
          </w:tcPr>
          <w:p w14:paraId="1EFF648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31.12.1997</w:t>
            </w:r>
          </w:p>
        </w:tc>
        <w:tc>
          <w:tcPr>
            <w:tcW w:w="1274" w:type="dxa"/>
          </w:tcPr>
          <w:p w14:paraId="46BF767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4,169</w:t>
            </w:r>
          </w:p>
        </w:tc>
        <w:tc>
          <w:tcPr>
            <w:tcW w:w="1274" w:type="dxa"/>
          </w:tcPr>
          <w:p w14:paraId="3A317A2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4,478</w:t>
            </w:r>
          </w:p>
        </w:tc>
        <w:tc>
          <w:tcPr>
            <w:tcW w:w="1275" w:type="dxa"/>
          </w:tcPr>
          <w:p w14:paraId="1727A40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4,808</w:t>
            </w:r>
          </w:p>
        </w:tc>
        <w:tc>
          <w:tcPr>
            <w:tcW w:w="1274" w:type="dxa"/>
          </w:tcPr>
          <w:p w14:paraId="66CC581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4,912</w:t>
            </w:r>
          </w:p>
        </w:tc>
        <w:tc>
          <w:tcPr>
            <w:tcW w:w="1275" w:type="dxa"/>
          </w:tcPr>
          <w:p w14:paraId="485B4E8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5,158]</w:t>
            </w:r>
          </w:p>
        </w:tc>
      </w:tr>
      <w:tr w:rsidR="005A5BD5" w:rsidRPr="00CA3519" w14:paraId="2B28DD9B" w14:textId="77777777" w:rsidTr="004C2C7D">
        <w:trPr>
          <w:trHeight w:val="397"/>
          <w:jc w:val="center"/>
        </w:trPr>
        <w:tc>
          <w:tcPr>
            <w:tcW w:w="1542" w:type="dxa"/>
          </w:tcPr>
          <w:p w14:paraId="2806B2A6"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[Januar 1998</w:t>
            </w:r>
          </w:p>
        </w:tc>
        <w:tc>
          <w:tcPr>
            <w:tcW w:w="1542" w:type="dxa"/>
          </w:tcPr>
          <w:p w14:paraId="240057D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31.01.1998</w:t>
            </w:r>
          </w:p>
        </w:tc>
        <w:tc>
          <w:tcPr>
            <w:tcW w:w="1274" w:type="dxa"/>
          </w:tcPr>
          <w:p w14:paraId="3C37465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4,019</w:t>
            </w:r>
          </w:p>
        </w:tc>
        <w:tc>
          <w:tcPr>
            <w:tcW w:w="1274" w:type="dxa"/>
          </w:tcPr>
          <w:p w14:paraId="2F91A8D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4,348</w:t>
            </w:r>
          </w:p>
        </w:tc>
        <w:tc>
          <w:tcPr>
            <w:tcW w:w="1275" w:type="dxa"/>
          </w:tcPr>
          <w:p w14:paraId="0207B71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4,602</w:t>
            </w:r>
          </w:p>
        </w:tc>
        <w:tc>
          <w:tcPr>
            <w:tcW w:w="1274" w:type="dxa"/>
          </w:tcPr>
          <w:p w14:paraId="7D06FB6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4,758</w:t>
            </w:r>
          </w:p>
        </w:tc>
        <w:tc>
          <w:tcPr>
            <w:tcW w:w="1275" w:type="dxa"/>
          </w:tcPr>
          <w:p w14:paraId="0FE6FA9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4,957</w:t>
            </w:r>
          </w:p>
        </w:tc>
      </w:tr>
      <w:tr w:rsidR="005A5BD5" w:rsidRPr="00CA3519" w14:paraId="58CB3D5E" w14:textId="77777777" w:rsidTr="004C2C7D">
        <w:trPr>
          <w:trHeight w:val="397"/>
          <w:jc w:val="center"/>
        </w:trPr>
        <w:tc>
          <w:tcPr>
            <w:tcW w:w="1542" w:type="dxa"/>
          </w:tcPr>
          <w:p w14:paraId="59CA6038"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Februar 1998</w:t>
            </w:r>
          </w:p>
        </w:tc>
        <w:tc>
          <w:tcPr>
            <w:tcW w:w="1542" w:type="dxa"/>
          </w:tcPr>
          <w:p w14:paraId="43DA272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28.02.1998</w:t>
            </w:r>
          </w:p>
        </w:tc>
        <w:tc>
          <w:tcPr>
            <w:tcW w:w="1274" w:type="dxa"/>
          </w:tcPr>
          <w:p w14:paraId="231DB33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3,821</w:t>
            </w:r>
          </w:p>
        </w:tc>
        <w:tc>
          <w:tcPr>
            <w:tcW w:w="1274" w:type="dxa"/>
          </w:tcPr>
          <w:p w14:paraId="457195A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4,150</w:t>
            </w:r>
          </w:p>
        </w:tc>
        <w:tc>
          <w:tcPr>
            <w:tcW w:w="1275" w:type="dxa"/>
          </w:tcPr>
          <w:p w14:paraId="318722D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4,371</w:t>
            </w:r>
          </w:p>
        </w:tc>
        <w:tc>
          <w:tcPr>
            <w:tcW w:w="1274" w:type="dxa"/>
          </w:tcPr>
          <w:p w14:paraId="2850D05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4,602</w:t>
            </w:r>
          </w:p>
        </w:tc>
        <w:tc>
          <w:tcPr>
            <w:tcW w:w="1275" w:type="dxa"/>
          </w:tcPr>
          <w:p w14:paraId="3F55C74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4,733</w:t>
            </w:r>
          </w:p>
        </w:tc>
      </w:tr>
      <w:tr w:rsidR="005A5BD5" w:rsidRPr="00CA3519" w14:paraId="028C2B7A" w14:textId="77777777" w:rsidTr="004C2C7D">
        <w:trPr>
          <w:trHeight w:val="397"/>
          <w:jc w:val="center"/>
        </w:trPr>
        <w:tc>
          <w:tcPr>
            <w:tcW w:w="1542" w:type="dxa"/>
          </w:tcPr>
          <w:p w14:paraId="07FE370A"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März 1998</w:t>
            </w:r>
          </w:p>
        </w:tc>
        <w:tc>
          <w:tcPr>
            <w:tcW w:w="1542" w:type="dxa"/>
          </w:tcPr>
          <w:p w14:paraId="3E921FB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31.03.1998</w:t>
            </w:r>
          </w:p>
        </w:tc>
        <w:tc>
          <w:tcPr>
            <w:tcW w:w="1274" w:type="dxa"/>
          </w:tcPr>
          <w:p w14:paraId="06D7D2A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3,733</w:t>
            </w:r>
          </w:p>
        </w:tc>
        <w:tc>
          <w:tcPr>
            <w:tcW w:w="1274" w:type="dxa"/>
          </w:tcPr>
          <w:p w14:paraId="20BA01D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4,069</w:t>
            </w:r>
          </w:p>
        </w:tc>
        <w:tc>
          <w:tcPr>
            <w:tcW w:w="1275" w:type="dxa"/>
          </w:tcPr>
          <w:p w14:paraId="1AE5DB3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4,263</w:t>
            </w:r>
          </w:p>
        </w:tc>
        <w:tc>
          <w:tcPr>
            <w:tcW w:w="1274" w:type="dxa"/>
          </w:tcPr>
          <w:p w14:paraId="7F17B0B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4,498</w:t>
            </w:r>
          </w:p>
        </w:tc>
        <w:tc>
          <w:tcPr>
            <w:tcW w:w="1275" w:type="dxa"/>
          </w:tcPr>
          <w:p w14:paraId="4AE306E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4,606</w:t>
            </w:r>
          </w:p>
        </w:tc>
      </w:tr>
      <w:tr w:rsidR="005A5BD5" w:rsidRPr="00CA3519" w14:paraId="5BCE9A0F" w14:textId="77777777" w:rsidTr="004C2C7D">
        <w:trPr>
          <w:trHeight w:val="397"/>
          <w:jc w:val="center"/>
        </w:trPr>
        <w:tc>
          <w:tcPr>
            <w:tcW w:w="1542" w:type="dxa"/>
          </w:tcPr>
          <w:p w14:paraId="566CA835"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April 1998</w:t>
            </w:r>
          </w:p>
        </w:tc>
        <w:tc>
          <w:tcPr>
            <w:tcW w:w="1542" w:type="dxa"/>
          </w:tcPr>
          <w:p w14:paraId="217DDEA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30.04.1998</w:t>
            </w:r>
          </w:p>
        </w:tc>
        <w:tc>
          <w:tcPr>
            <w:tcW w:w="1274" w:type="dxa"/>
          </w:tcPr>
          <w:p w14:paraId="74D2D47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3,777</w:t>
            </w:r>
          </w:p>
        </w:tc>
        <w:tc>
          <w:tcPr>
            <w:tcW w:w="1274" w:type="dxa"/>
          </w:tcPr>
          <w:p w14:paraId="572E2E2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4,095</w:t>
            </w:r>
          </w:p>
        </w:tc>
        <w:tc>
          <w:tcPr>
            <w:tcW w:w="1275" w:type="dxa"/>
          </w:tcPr>
          <w:p w14:paraId="21AE56E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4,264</w:t>
            </w:r>
          </w:p>
        </w:tc>
        <w:tc>
          <w:tcPr>
            <w:tcW w:w="1274" w:type="dxa"/>
          </w:tcPr>
          <w:p w14:paraId="3847CA1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4,469</w:t>
            </w:r>
          </w:p>
        </w:tc>
        <w:tc>
          <w:tcPr>
            <w:tcW w:w="1275" w:type="dxa"/>
          </w:tcPr>
          <w:p w14:paraId="35215BE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4,559</w:t>
            </w:r>
          </w:p>
        </w:tc>
      </w:tr>
      <w:tr w:rsidR="005A5BD5" w:rsidRPr="00CA3519" w14:paraId="7A5C8917" w14:textId="77777777" w:rsidTr="004C2C7D">
        <w:trPr>
          <w:trHeight w:val="397"/>
          <w:jc w:val="center"/>
        </w:trPr>
        <w:tc>
          <w:tcPr>
            <w:tcW w:w="1542" w:type="dxa"/>
          </w:tcPr>
          <w:p w14:paraId="1FF90AB1"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Mai 1998</w:t>
            </w:r>
          </w:p>
        </w:tc>
        <w:tc>
          <w:tcPr>
            <w:tcW w:w="1542" w:type="dxa"/>
          </w:tcPr>
          <w:p w14:paraId="301BE897"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30.05.1998</w:t>
            </w:r>
          </w:p>
        </w:tc>
        <w:tc>
          <w:tcPr>
            <w:tcW w:w="1274" w:type="dxa"/>
          </w:tcPr>
          <w:p w14:paraId="39B6BCD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3,889</w:t>
            </w:r>
          </w:p>
        </w:tc>
        <w:tc>
          <w:tcPr>
            <w:tcW w:w="1274" w:type="dxa"/>
          </w:tcPr>
          <w:p w14:paraId="3277C26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4,182</w:t>
            </w:r>
          </w:p>
        </w:tc>
        <w:tc>
          <w:tcPr>
            <w:tcW w:w="1275" w:type="dxa"/>
          </w:tcPr>
          <w:p w14:paraId="376A912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4,352</w:t>
            </w:r>
          </w:p>
        </w:tc>
        <w:tc>
          <w:tcPr>
            <w:tcW w:w="1274" w:type="dxa"/>
          </w:tcPr>
          <w:p w14:paraId="0E4FA94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4,540</w:t>
            </w:r>
          </w:p>
        </w:tc>
        <w:tc>
          <w:tcPr>
            <w:tcW w:w="1275" w:type="dxa"/>
          </w:tcPr>
          <w:p w14:paraId="211D413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4,616</w:t>
            </w:r>
          </w:p>
        </w:tc>
      </w:tr>
      <w:tr w:rsidR="005A5BD5" w:rsidRPr="00CA3519" w14:paraId="31AF0482" w14:textId="77777777" w:rsidTr="004C2C7D">
        <w:trPr>
          <w:trHeight w:val="397"/>
          <w:jc w:val="center"/>
        </w:trPr>
        <w:tc>
          <w:tcPr>
            <w:tcW w:w="1542" w:type="dxa"/>
          </w:tcPr>
          <w:p w14:paraId="4B041F95"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Juni 1998</w:t>
            </w:r>
          </w:p>
        </w:tc>
        <w:tc>
          <w:tcPr>
            <w:tcW w:w="1542" w:type="dxa"/>
          </w:tcPr>
          <w:p w14:paraId="783C641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30.06.1998</w:t>
            </w:r>
          </w:p>
        </w:tc>
        <w:tc>
          <w:tcPr>
            <w:tcW w:w="1274" w:type="dxa"/>
          </w:tcPr>
          <w:p w14:paraId="3FD8420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3,932</w:t>
            </w:r>
          </w:p>
        </w:tc>
        <w:tc>
          <w:tcPr>
            <w:tcW w:w="1274" w:type="dxa"/>
          </w:tcPr>
          <w:p w14:paraId="6669328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4,197</w:t>
            </w:r>
          </w:p>
        </w:tc>
        <w:tc>
          <w:tcPr>
            <w:tcW w:w="1275" w:type="dxa"/>
          </w:tcPr>
          <w:p w14:paraId="6CC50D4F"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4,371</w:t>
            </w:r>
          </w:p>
        </w:tc>
        <w:tc>
          <w:tcPr>
            <w:tcW w:w="1274" w:type="dxa"/>
          </w:tcPr>
          <w:p w14:paraId="5E9C717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4,557</w:t>
            </w:r>
          </w:p>
        </w:tc>
        <w:tc>
          <w:tcPr>
            <w:tcW w:w="1275" w:type="dxa"/>
          </w:tcPr>
          <w:p w14:paraId="32BA572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4,636</w:t>
            </w:r>
          </w:p>
        </w:tc>
      </w:tr>
      <w:tr w:rsidR="005A5BD5" w:rsidRPr="00CA3519" w14:paraId="58A810EF" w14:textId="77777777" w:rsidTr="004C2C7D">
        <w:trPr>
          <w:trHeight w:val="397"/>
          <w:jc w:val="center"/>
        </w:trPr>
        <w:tc>
          <w:tcPr>
            <w:tcW w:w="1542" w:type="dxa"/>
          </w:tcPr>
          <w:p w14:paraId="224CBAAE"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Juli 1998</w:t>
            </w:r>
          </w:p>
        </w:tc>
        <w:tc>
          <w:tcPr>
            <w:tcW w:w="1542" w:type="dxa"/>
          </w:tcPr>
          <w:p w14:paraId="74A27BAD"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31.07.1998</w:t>
            </w:r>
          </w:p>
        </w:tc>
        <w:tc>
          <w:tcPr>
            <w:tcW w:w="1274" w:type="dxa"/>
          </w:tcPr>
          <w:p w14:paraId="186F8D3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3,891</w:t>
            </w:r>
          </w:p>
        </w:tc>
        <w:tc>
          <w:tcPr>
            <w:tcW w:w="1274" w:type="dxa"/>
          </w:tcPr>
          <w:p w14:paraId="0A894A1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4,129</w:t>
            </w:r>
          </w:p>
        </w:tc>
        <w:tc>
          <w:tcPr>
            <w:tcW w:w="1275" w:type="dxa"/>
          </w:tcPr>
          <w:p w14:paraId="4FEBA59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4,279</w:t>
            </w:r>
          </w:p>
        </w:tc>
        <w:tc>
          <w:tcPr>
            <w:tcW w:w="1274" w:type="dxa"/>
          </w:tcPr>
          <w:p w14:paraId="1E3CD19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4,448</w:t>
            </w:r>
          </w:p>
        </w:tc>
        <w:tc>
          <w:tcPr>
            <w:tcW w:w="1275" w:type="dxa"/>
          </w:tcPr>
          <w:p w14:paraId="1E41AD7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4,535</w:t>
            </w:r>
          </w:p>
        </w:tc>
      </w:tr>
      <w:tr w:rsidR="005A5BD5" w:rsidRPr="00CA3519" w14:paraId="0E1E4533" w14:textId="77777777" w:rsidTr="004C2C7D">
        <w:trPr>
          <w:trHeight w:val="397"/>
          <w:jc w:val="center"/>
        </w:trPr>
        <w:tc>
          <w:tcPr>
            <w:tcW w:w="1542" w:type="dxa"/>
          </w:tcPr>
          <w:p w14:paraId="429E79D7"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August 1998</w:t>
            </w:r>
          </w:p>
        </w:tc>
        <w:tc>
          <w:tcPr>
            <w:tcW w:w="1542" w:type="dxa"/>
          </w:tcPr>
          <w:p w14:paraId="54B4FED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29.08.1998</w:t>
            </w:r>
          </w:p>
        </w:tc>
        <w:tc>
          <w:tcPr>
            <w:tcW w:w="1274" w:type="dxa"/>
          </w:tcPr>
          <w:p w14:paraId="3EA1D18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3,849</w:t>
            </w:r>
          </w:p>
        </w:tc>
        <w:tc>
          <w:tcPr>
            <w:tcW w:w="1274" w:type="dxa"/>
          </w:tcPr>
          <w:p w14:paraId="60F0FEB0"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4,069</w:t>
            </w:r>
          </w:p>
        </w:tc>
        <w:tc>
          <w:tcPr>
            <w:tcW w:w="1275" w:type="dxa"/>
          </w:tcPr>
          <w:p w14:paraId="1867986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4,183</w:t>
            </w:r>
          </w:p>
        </w:tc>
        <w:tc>
          <w:tcPr>
            <w:tcW w:w="1274" w:type="dxa"/>
          </w:tcPr>
          <w:p w14:paraId="594F7C6A"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4,334</w:t>
            </w:r>
          </w:p>
        </w:tc>
        <w:tc>
          <w:tcPr>
            <w:tcW w:w="1275" w:type="dxa"/>
          </w:tcPr>
          <w:p w14:paraId="5964E12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4,424</w:t>
            </w:r>
          </w:p>
        </w:tc>
      </w:tr>
      <w:tr w:rsidR="005A5BD5" w:rsidRPr="00CA3519" w14:paraId="3810415D" w14:textId="77777777" w:rsidTr="004C2C7D">
        <w:trPr>
          <w:trHeight w:val="397"/>
          <w:jc w:val="center"/>
        </w:trPr>
        <w:tc>
          <w:tcPr>
            <w:tcW w:w="1542" w:type="dxa"/>
          </w:tcPr>
          <w:p w14:paraId="3A517990"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September 1998</w:t>
            </w:r>
          </w:p>
        </w:tc>
        <w:tc>
          <w:tcPr>
            <w:tcW w:w="1542" w:type="dxa"/>
          </w:tcPr>
          <w:p w14:paraId="62B16074"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30.09.1998</w:t>
            </w:r>
          </w:p>
        </w:tc>
        <w:tc>
          <w:tcPr>
            <w:tcW w:w="1274" w:type="dxa"/>
          </w:tcPr>
          <w:p w14:paraId="49CE257F"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3,729</w:t>
            </w:r>
          </w:p>
        </w:tc>
        <w:tc>
          <w:tcPr>
            <w:tcW w:w="1274" w:type="dxa"/>
          </w:tcPr>
          <w:p w14:paraId="04814D6F"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3,858</w:t>
            </w:r>
          </w:p>
        </w:tc>
        <w:tc>
          <w:tcPr>
            <w:tcW w:w="1275" w:type="dxa"/>
          </w:tcPr>
          <w:p w14:paraId="6F845C0F"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3,943</w:t>
            </w:r>
          </w:p>
        </w:tc>
        <w:tc>
          <w:tcPr>
            <w:tcW w:w="1274" w:type="dxa"/>
          </w:tcPr>
          <w:p w14:paraId="43CCA94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4,073</w:t>
            </w:r>
          </w:p>
        </w:tc>
        <w:tc>
          <w:tcPr>
            <w:tcW w:w="1275" w:type="dxa"/>
          </w:tcPr>
          <w:p w14:paraId="1D85FB8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4,159</w:t>
            </w:r>
          </w:p>
        </w:tc>
      </w:tr>
      <w:tr w:rsidR="005A5BD5" w:rsidRPr="00CA3519" w14:paraId="060B0B30" w14:textId="77777777" w:rsidTr="004C2C7D">
        <w:trPr>
          <w:trHeight w:val="397"/>
          <w:jc w:val="center"/>
        </w:trPr>
        <w:tc>
          <w:tcPr>
            <w:tcW w:w="1542" w:type="dxa"/>
          </w:tcPr>
          <w:p w14:paraId="62A87143"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Oktober 1998</w:t>
            </w:r>
          </w:p>
        </w:tc>
        <w:tc>
          <w:tcPr>
            <w:tcW w:w="1542" w:type="dxa"/>
          </w:tcPr>
          <w:p w14:paraId="730E076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31.10.1998</w:t>
            </w:r>
          </w:p>
        </w:tc>
        <w:tc>
          <w:tcPr>
            <w:tcW w:w="1274" w:type="dxa"/>
          </w:tcPr>
          <w:p w14:paraId="7C3FFCF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3,569</w:t>
            </w:r>
          </w:p>
        </w:tc>
        <w:tc>
          <w:tcPr>
            <w:tcW w:w="1274" w:type="dxa"/>
          </w:tcPr>
          <w:p w14:paraId="3DD8B99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3,610</w:t>
            </w:r>
          </w:p>
        </w:tc>
        <w:tc>
          <w:tcPr>
            <w:tcW w:w="1275" w:type="dxa"/>
          </w:tcPr>
          <w:p w14:paraId="3E54CDA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3,674</w:t>
            </w:r>
          </w:p>
        </w:tc>
        <w:tc>
          <w:tcPr>
            <w:tcW w:w="1274" w:type="dxa"/>
          </w:tcPr>
          <w:p w14:paraId="5662DD9B"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3,802</w:t>
            </w:r>
          </w:p>
        </w:tc>
        <w:tc>
          <w:tcPr>
            <w:tcW w:w="1275" w:type="dxa"/>
          </w:tcPr>
          <w:p w14:paraId="29DC5DE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3,884</w:t>
            </w:r>
          </w:p>
        </w:tc>
      </w:tr>
      <w:tr w:rsidR="005A5BD5" w:rsidRPr="00CA3519" w14:paraId="2F410370" w14:textId="77777777" w:rsidTr="004C2C7D">
        <w:trPr>
          <w:trHeight w:val="397"/>
          <w:jc w:val="center"/>
        </w:trPr>
        <w:tc>
          <w:tcPr>
            <w:tcW w:w="1542" w:type="dxa"/>
          </w:tcPr>
          <w:p w14:paraId="70B8E09D"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November 1998</w:t>
            </w:r>
          </w:p>
        </w:tc>
        <w:tc>
          <w:tcPr>
            <w:tcW w:w="1542" w:type="dxa"/>
          </w:tcPr>
          <w:p w14:paraId="7F8DDF5E"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28.11.1998</w:t>
            </w:r>
          </w:p>
        </w:tc>
        <w:tc>
          <w:tcPr>
            <w:tcW w:w="1274" w:type="dxa"/>
          </w:tcPr>
          <w:p w14:paraId="00BF0E9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3,478</w:t>
            </w:r>
          </w:p>
        </w:tc>
        <w:tc>
          <w:tcPr>
            <w:tcW w:w="1274" w:type="dxa"/>
          </w:tcPr>
          <w:p w14:paraId="3C9E761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3,512</w:t>
            </w:r>
          </w:p>
        </w:tc>
        <w:tc>
          <w:tcPr>
            <w:tcW w:w="1275" w:type="dxa"/>
          </w:tcPr>
          <w:p w14:paraId="26243628"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3,568</w:t>
            </w:r>
          </w:p>
        </w:tc>
        <w:tc>
          <w:tcPr>
            <w:tcW w:w="1274" w:type="dxa"/>
          </w:tcPr>
          <w:p w14:paraId="563E6283"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3,732</w:t>
            </w:r>
          </w:p>
        </w:tc>
        <w:tc>
          <w:tcPr>
            <w:tcW w:w="1275" w:type="dxa"/>
          </w:tcPr>
          <w:p w14:paraId="32562E75"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3,840</w:t>
            </w:r>
          </w:p>
        </w:tc>
      </w:tr>
      <w:tr w:rsidR="005A5BD5" w:rsidRPr="00CA3519" w14:paraId="34AB67FD" w14:textId="77777777" w:rsidTr="004C2C7D">
        <w:trPr>
          <w:trHeight w:val="397"/>
          <w:jc w:val="center"/>
        </w:trPr>
        <w:tc>
          <w:tcPr>
            <w:tcW w:w="1542" w:type="dxa"/>
          </w:tcPr>
          <w:p w14:paraId="6C2DBDB8" w14:textId="77777777" w:rsidR="005A5BD5" w:rsidRPr="00CA3519" w:rsidRDefault="005A5BD5" w:rsidP="004C2C7D">
            <w:pPr>
              <w:spacing w:before="40" w:after="40"/>
              <w:rPr>
                <w:rFonts w:eastAsia="Calibri"/>
                <w:snapToGrid w:val="0"/>
                <w:color w:val="000000"/>
                <w:sz w:val="16"/>
                <w:szCs w:val="16"/>
                <w:lang w:eastAsia="en-US"/>
              </w:rPr>
            </w:pPr>
            <w:r w:rsidRPr="00CA3519">
              <w:rPr>
                <w:rFonts w:eastAsia="Calibri"/>
                <w:snapToGrid w:val="0"/>
                <w:color w:val="000000"/>
                <w:sz w:val="16"/>
                <w:szCs w:val="16"/>
                <w:lang w:eastAsia="en-US"/>
              </w:rPr>
              <w:t>Dezember 1998</w:t>
            </w:r>
          </w:p>
        </w:tc>
        <w:tc>
          <w:tcPr>
            <w:tcW w:w="1542" w:type="dxa"/>
          </w:tcPr>
          <w:p w14:paraId="31D43A79"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31.12.1998</w:t>
            </w:r>
          </w:p>
        </w:tc>
        <w:tc>
          <w:tcPr>
            <w:tcW w:w="1274" w:type="dxa"/>
          </w:tcPr>
          <w:p w14:paraId="35D40CE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3,391</w:t>
            </w:r>
          </w:p>
        </w:tc>
        <w:tc>
          <w:tcPr>
            <w:tcW w:w="1274" w:type="dxa"/>
          </w:tcPr>
          <w:p w14:paraId="22FF9E5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3,416</w:t>
            </w:r>
          </w:p>
        </w:tc>
        <w:tc>
          <w:tcPr>
            <w:tcW w:w="1275" w:type="dxa"/>
          </w:tcPr>
          <w:p w14:paraId="436A075C"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3,465</w:t>
            </w:r>
          </w:p>
        </w:tc>
        <w:tc>
          <w:tcPr>
            <w:tcW w:w="1274" w:type="dxa"/>
          </w:tcPr>
          <w:p w14:paraId="55A91E26"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3,645</w:t>
            </w:r>
          </w:p>
        </w:tc>
        <w:tc>
          <w:tcPr>
            <w:tcW w:w="1275" w:type="dxa"/>
          </w:tcPr>
          <w:p w14:paraId="53F68DD1" w14:textId="77777777" w:rsidR="005A5BD5" w:rsidRPr="00CA3519" w:rsidRDefault="005A5BD5" w:rsidP="004C2C7D">
            <w:pPr>
              <w:spacing w:before="40" w:after="40"/>
              <w:jc w:val="center"/>
              <w:rPr>
                <w:rFonts w:eastAsia="Calibri"/>
                <w:snapToGrid w:val="0"/>
                <w:color w:val="000000"/>
                <w:sz w:val="16"/>
                <w:szCs w:val="16"/>
                <w:lang w:eastAsia="en-US"/>
              </w:rPr>
            </w:pPr>
            <w:r w:rsidRPr="00CA3519">
              <w:rPr>
                <w:rFonts w:eastAsia="Calibri"/>
                <w:snapToGrid w:val="0"/>
                <w:color w:val="000000"/>
                <w:sz w:val="16"/>
                <w:szCs w:val="16"/>
                <w:lang w:eastAsia="en-US"/>
              </w:rPr>
              <w:t>3,800]</w:t>
            </w:r>
          </w:p>
        </w:tc>
      </w:tr>
    </w:tbl>
    <w:p w14:paraId="2EC11F51" w14:textId="77777777" w:rsidR="005A5BD5" w:rsidRPr="00CA3519" w:rsidRDefault="005A5BD5" w:rsidP="004C2C7D">
      <w:pPr>
        <w:jc w:val="center"/>
        <w:rPr>
          <w:rFonts w:eastAsia="Calibri"/>
          <w:sz w:val="16"/>
          <w:szCs w:val="16"/>
          <w:lang w:eastAsia="en-US"/>
        </w:rPr>
        <w:sectPr w:rsidR="005A5BD5" w:rsidRPr="00CA3519" w:rsidSect="003426CA">
          <w:pgSz w:w="11906" w:h="16838"/>
          <w:pgMar w:top="1418" w:right="1418" w:bottom="1418" w:left="1418" w:header="709" w:footer="709" w:gutter="0"/>
          <w:cols w:space="708"/>
          <w:docGrid w:linePitch="360"/>
        </w:sectPr>
      </w:pPr>
    </w:p>
    <w:tbl>
      <w:tblPr>
        <w:tblW w:w="15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13"/>
        <w:gridCol w:w="2113"/>
        <w:gridCol w:w="1085"/>
        <w:gridCol w:w="1086"/>
        <w:gridCol w:w="1085"/>
        <w:gridCol w:w="1086"/>
        <w:gridCol w:w="1086"/>
        <w:gridCol w:w="1085"/>
        <w:gridCol w:w="1086"/>
        <w:gridCol w:w="1085"/>
        <w:gridCol w:w="1086"/>
        <w:gridCol w:w="1086"/>
      </w:tblGrid>
      <w:tr w:rsidR="005A5BD5" w:rsidRPr="00CA3519" w14:paraId="48533856" w14:textId="77777777" w:rsidTr="009B6E1B">
        <w:trPr>
          <w:trHeight w:val="397"/>
          <w:tblHeader/>
          <w:jc w:val="center"/>
        </w:trPr>
        <w:tc>
          <w:tcPr>
            <w:tcW w:w="2113" w:type="dxa"/>
            <w:vAlign w:val="center"/>
          </w:tcPr>
          <w:p w14:paraId="41DB2810"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lastRenderedPageBreak/>
              <w:t>Zeitraum</w:t>
            </w:r>
          </w:p>
        </w:tc>
        <w:tc>
          <w:tcPr>
            <w:tcW w:w="2113" w:type="dxa"/>
            <w:vAlign w:val="center"/>
          </w:tcPr>
          <w:p w14:paraId="0F9CCC27"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Belgisches Staatsblatt</w:t>
            </w:r>
          </w:p>
        </w:tc>
        <w:tc>
          <w:tcPr>
            <w:tcW w:w="1085" w:type="dxa"/>
            <w:vAlign w:val="center"/>
          </w:tcPr>
          <w:p w14:paraId="0D509B95"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Index A</w:t>
            </w:r>
          </w:p>
        </w:tc>
        <w:tc>
          <w:tcPr>
            <w:tcW w:w="1086" w:type="dxa"/>
            <w:vAlign w:val="center"/>
          </w:tcPr>
          <w:p w14:paraId="686D6B6F"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Index B</w:t>
            </w:r>
          </w:p>
        </w:tc>
        <w:tc>
          <w:tcPr>
            <w:tcW w:w="1085" w:type="dxa"/>
            <w:vAlign w:val="center"/>
          </w:tcPr>
          <w:p w14:paraId="48BF6607"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Index C</w:t>
            </w:r>
          </w:p>
        </w:tc>
        <w:tc>
          <w:tcPr>
            <w:tcW w:w="1086" w:type="dxa"/>
            <w:vAlign w:val="center"/>
          </w:tcPr>
          <w:p w14:paraId="71B9F92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Index D</w:t>
            </w:r>
          </w:p>
        </w:tc>
        <w:tc>
          <w:tcPr>
            <w:tcW w:w="1086" w:type="dxa"/>
            <w:vAlign w:val="center"/>
          </w:tcPr>
          <w:p w14:paraId="06991D00"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Index E</w:t>
            </w:r>
          </w:p>
        </w:tc>
        <w:tc>
          <w:tcPr>
            <w:tcW w:w="1085" w:type="dxa"/>
            <w:vAlign w:val="center"/>
          </w:tcPr>
          <w:p w14:paraId="3AFA40F9"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Index F</w:t>
            </w:r>
          </w:p>
        </w:tc>
        <w:tc>
          <w:tcPr>
            <w:tcW w:w="1086" w:type="dxa"/>
            <w:vAlign w:val="center"/>
          </w:tcPr>
          <w:p w14:paraId="2D9B5E3C"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Index G</w:t>
            </w:r>
          </w:p>
        </w:tc>
        <w:tc>
          <w:tcPr>
            <w:tcW w:w="1085" w:type="dxa"/>
            <w:vAlign w:val="center"/>
          </w:tcPr>
          <w:p w14:paraId="3C7AEC1A"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Index H</w:t>
            </w:r>
          </w:p>
        </w:tc>
        <w:tc>
          <w:tcPr>
            <w:tcW w:w="1086" w:type="dxa"/>
            <w:vAlign w:val="center"/>
          </w:tcPr>
          <w:p w14:paraId="52C08626"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Index I</w:t>
            </w:r>
          </w:p>
        </w:tc>
        <w:tc>
          <w:tcPr>
            <w:tcW w:w="1086" w:type="dxa"/>
            <w:vAlign w:val="center"/>
          </w:tcPr>
          <w:p w14:paraId="3EE73E71"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Index J</w:t>
            </w:r>
          </w:p>
        </w:tc>
      </w:tr>
      <w:tr w:rsidR="005A5BD5" w:rsidRPr="00CA3519" w14:paraId="58A1B109" w14:textId="77777777" w:rsidTr="009B6E1B">
        <w:trPr>
          <w:trHeight w:val="397"/>
          <w:jc w:val="center"/>
        </w:trPr>
        <w:tc>
          <w:tcPr>
            <w:tcW w:w="2113" w:type="dxa"/>
            <w:vAlign w:val="center"/>
          </w:tcPr>
          <w:p w14:paraId="3BA5196D" w14:textId="77777777" w:rsidR="005A5BD5" w:rsidRPr="00CA3519" w:rsidRDefault="005A5BD5" w:rsidP="004C2C7D">
            <w:pPr>
              <w:rPr>
                <w:rFonts w:eastAsia="Calibri"/>
                <w:sz w:val="16"/>
                <w:szCs w:val="22"/>
                <w:lang w:eastAsia="en-US"/>
              </w:rPr>
            </w:pPr>
            <w:r w:rsidRPr="00CA3519">
              <w:rPr>
                <w:rFonts w:eastAsia="Calibri"/>
                <w:sz w:val="16"/>
                <w:szCs w:val="22"/>
                <w:lang w:eastAsia="en-US"/>
              </w:rPr>
              <w:t>[Januar 1999</w:t>
            </w:r>
          </w:p>
        </w:tc>
        <w:tc>
          <w:tcPr>
            <w:tcW w:w="2113" w:type="dxa"/>
            <w:vAlign w:val="center"/>
          </w:tcPr>
          <w:p w14:paraId="47CD50C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20.01.1999 + Err. 03.02.1999</w:t>
            </w:r>
          </w:p>
        </w:tc>
        <w:tc>
          <w:tcPr>
            <w:tcW w:w="1085" w:type="dxa"/>
            <w:vAlign w:val="center"/>
          </w:tcPr>
          <w:p w14:paraId="2AA19906"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3,209</w:t>
            </w:r>
          </w:p>
        </w:tc>
        <w:tc>
          <w:tcPr>
            <w:tcW w:w="1086" w:type="dxa"/>
            <w:vAlign w:val="center"/>
          </w:tcPr>
          <w:p w14:paraId="147838C6"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3,258</w:t>
            </w:r>
          </w:p>
        </w:tc>
        <w:tc>
          <w:tcPr>
            <w:tcW w:w="1085" w:type="dxa"/>
            <w:vAlign w:val="center"/>
          </w:tcPr>
          <w:p w14:paraId="6326C33E"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3,343</w:t>
            </w:r>
          </w:p>
        </w:tc>
        <w:tc>
          <w:tcPr>
            <w:tcW w:w="1086" w:type="dxa"/>
            <w:vAlign w:val="center"/>
          </w:tcPr>
          <w:p w14:paraId="611D0E05"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3,481</w:t>
            </w:r>
          </w:p>
        </w:tc>
        <w:tc>
          <w:tcPr>
            <w:tcW w:w="1086" w:type="dxa"/>
            <w:vAlign w:val="center"/>
          </w:tcPr>
          <w:p w14:paraId="32AFB042"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3,636</w:t>
            </w:r>
          </w:p>
        </w:tc>
        <w:tc>
          <w:tcPr>
            <w:tcW w:w="1085" w:type="dxa"/>
            <w:vAlign w:val="center"/>
          </w:tcPr>
          <w:p w14:paraId="190990AC"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1EFFCEE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5" w:type="dxa"/>
            <w:vAlign w:val="center"/>
          </w:tcPr>
          <w:p w14:paraId="56B16B81"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6F7609CE"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1E630ACA"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r>
      <w:tr w:rsidR="005A5BD5" w:rsidRPr="00CA3519" w14:paraId="1327BDFD" w14:textId="77777777" w:rsidTr="009B6E1B">
        <w:trPr>
          <w:trHeight w:val="397"/>
          <w:jc w:val="center"/>
        </w:trPr>
        <w:tc>
          <w:tcPr>
            <w:tcW w:w="2113" w:type="dxa"/>
            <w:vAlign w:val="center"/>
          </w:tcPr>
          <w:p w14:paraId="4E119550" w14:textId="77777777" w:rsidR="005A5BD5" w:rsidRPr="00CA3519" w:rsidRDefault="005A5BD5" w:rsidP="004C2C7D">
            <w:pPr>
              <w:rPr>
                <w:rFonts w:eastAsia="Calibri"/>
                <w:sz w:val="16"/>
                <w:szCs w:val="22"/>
                <w:lang w:eastAsia="en-US"/>
              </w:rPr>
            </w:pPr>
            <w:r w:rsidRPr="00CA3519">
              <w:rPr>
                <w:rFonts w:eastAsia="Calibri"/>
                <w:sz w:val="16"/>
                <w:szCs w:val="22"/>
                <w:lang w:eastAsia="en-US"/>
              </w:rPr>
              <w:t>Februar 1999</w:t>
            </w:r>
          </w:p>
        </w:tc>
        <w:tc>
          <w:tcPr>
            <w:tcW w:w="2113" w:type="dxa"/>
            <w:vAlign w:val="center"/>
          </w:tcPr>
          <w:p w14:paraId="1399FF3F"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27.02.1999</w:t>
            </w:r>
          </w:p>
        </w:tc>
        <w:tc>
          <w:tcPr>
            <w:tcW w:w="1085" w:type="dxa"/>
            <w:vAlign w:val="center"/>
          </w:tcPr>
          <w:p w14:paraId="15E1DDEB"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2,965</w:t>
            </w:r>
          </w:p>
        </w:tc>
        <w:tc>
          <w:tcPr>
            <w:tcW w:w="1086" w:type="dxa"/>
            <w:vAlign w:val="center"/>
          </w:tcPr>
          <w:p w14:paraId="150B458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3,081</w:t>
            </w:r>
          </w:p>
        </w:tc>
        <w:tc>
          <w:tcPr>
            <w:tcW w:w="1085" w:type="dxa"/>
            <w:vAlign w:val="center"/>
          </w:tcPr>
          <w:p w14:paraId="6C773EFB"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3,232</w:t>
            </w:r>
          </w:p>
        </w:tc>
        <w:tc>
          <w:tcPr>
            <w:tcW w:w="1086" w:type="dxa"/>
            <w:vAlign w:val="center"/>
          </w:tcPr>
          <w:p w14:paraId="35B81573"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3,324</w:t>
            </w:r>
          </w:p>
        </w:tc>
        <w:tc>
          <w:tcPr>
            <w:tcW w:w="1086" w:type="dxa"/>
            <w:vAlign w:val="center"/>
          </w:tcPr>
          <w:p w14:paraId="721BB6C3"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3,465</w:t>
            </w:r>
          </w:p>
        </w:tc>
        <w:tc>
          <w:tcPr>
            <w:tcW w:w="1085" w:type="dxa"/>
            <w:vAlign w:val="center"/>
          </w:tcPr>
          <w:p w14:paraId="2C3F5CD0"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15D868B6"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5" w:type="dxa"/>
            <w:vAlign w:val="center"/>
          </w:tcPr>
          <w:p w14:paraId="2A35DD1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6F6FA66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2950931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r>
      <w:tr w:rsidR="005A5BD5" w:rsidRPr="00CA3519" w14:paraId="7C9F2074" w14:textId="77777777" w:rsidTr="009B6E1B">
        <w:trPr>
          <w:trHeight w:val="397"/>
          <w:jc w:val="center"/>
        </w:trPr>
        <w:tc>
          <w:tcPr>
            <w:tcW w:w="2113" w:type="dxa"/>
            <w:vAlign w:val="center"/>
          </w:tcPr>
          <w:p w14:paraId="76B04436" w14:textId="77777777" w:rsidR="005A5BD5" w:rsidRPr="00CA3519" w:rsidRDefault="005A5BD5" w:rsidP="004C2C7D">
            <w:pPr>
              <w:rPr>
                <w:rFonts w:eastAsia="Calibri"/>
                <w:sz w:val="16"/>
                <w:szCs w:val="22"/>
                <w:lang w:eastAsia="en-US"/>
              </w:rPr>
            </w:pPr>
            <w:r w:rsidRPr="00CA3519">
              <w:rPr>
                <w:rFonts w:eastAsia="Calibri"/>
                <w:sz w:val="16"/>
                <w:szCs w:val="22"/>
                <w:lang w:eastAsia="en-US"/>
              </w:rPr>
              <w:t>März 1999</w:t>
            </w:r>
          </w:p>
        </w:tc>
        <w:tc>
          <w:tcPr>
            <w:tcW w:w="2113" w:type="dxa"/>
            <w:vAlign w:val="center"/>
          </w:tcPr>
          <w:p w14:paraId="6335B963"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31.03.1999 Ausg. 2</w:t>
            </w:r>
          </w:p>
        </w:tc>
        <w:tc>
          <w:tcPr>
            <w:tcW w:w="1085" w:type="dxa"/>
            <w:vAlign w:val="center"/>
          </w:tcPr>
          <w:p w14:paraId="1F15E8DA"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2,907</w:t>
            </w:r>
          </w:p>
        </w:tc>
        <w:tc>
          <w:tcPr>
            <w:tcW w:w="1086" w:type="dxa"/>
            <w:vAlign w:val="center"/>
          </w:tcPr>
          <w:p w14:paraId="2692BD87"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3,068</w:t>
            </w:r>
          </w:p>
        </w:tc>
        <w:tc>
          <w:tcPr>
            <w:tcW w:w="1085" w:type="dxa"/>
            <w:vAlign w:val="center"/>
          </w:tcPr>
          <w:p w14:paraId="667D9EB6"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3,253</w:t>
            </w:r>
          </w:p>
        </w:tc>
        <w:tc>
          <w:tcPr>
            <w:tcW w:w="1086" w:type="dxa"/>
            <w:vAlign w:val="center"/>
          </w:tcPr>
          <w:p w14:paraId="7C3E8E92"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3,354</w:t>
            </w:r>
          </w:p>
        </w:tc>
        <w:tc>
          <w:tcPr>
            <w:tcW w:w="1086" w:type="dxa"/>
            <w:vAlign w:val="center"/>
          </w:tcPr>
          <w:p w14:paraId="06F06ACF"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3,503</w:t>
            </w:r>
          </w:p>
        </w:tc>
        <w:tc>
          <w:tcPr>
            <w:tcW w:w="1085" w:type="dxa"/>
            <w:vAlign w:val="center"/>
          </w:tcPr>
          <w:p w14:paraId="503E2CB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7C472892"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5" w:type="dxa"/>
            <w:vAlign w:val="center"/>
          </w:tcPr>
          <w:p w14:paraId="50EC680B"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1860435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4004362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r>
      <w:tr w:rsidR="005A5BD5" w:rsidRPr="00CA3519" w14:paraId="6FE31054" w14:textId="77777777" w:rsidTr="009B6E1B">
        <w:trPr>
          <w:trHeight w:val="397"/>
          <w:jc w:val="center"/>
        </w:trPr>
        <w:tc>
          <w:tcPr>
            <w:tcW w:w="2113" w:type="dxa"/>
            <w:vAlign w:val="center"/>
          </w:tcPr>
          <w:p w14:paraId="7FAD069C" w14:textId="77777777" w:rsidR="005A5BD5" w:rsidRPr="00CA3519" w:rsidRDefault="005A5BD5" w:rsidP="004C2C7D">
            <w:pPr>
              <w:rPr>
                <w:rFonts w:eastAsia="Calibri"/>
                <w:sz w:val="16"/>
                <w:szCs w:val="22"/>
                <w:lang w:eastAsia="en-US"/>
              </w:rPr>
            </w:pPr>
            <w:r w:rsidRPr="00CA3519">
              <w:rPr>
                <w:rFonts w:eastAsia="Calibri"/>
                <w:sz w:val="16"/>
                <w:szCs w:val="22"/>
                <w:lang w:eastAsia="en-US"/>
              </w:rPr>
              <w:t>April 1999</w:t>
            </w:r>
          </w:p>
        </w:tc>
        <w:tc>
          <w:tcPr>
            <w:tcW w:w="2113" w:type="dxa"/>
            <w:vAlign w:val="center"/>
          </w:tcPr>
          <w:p w14:paraId="2BE39445"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30.04.1999</w:t>
            </w:r>
          </w:p>
        </w:tc>
        <w:tc>
          <w:tcPr>
            <w:tcW w:w="1085" w:type="dxa"/>
            <w:vAlign w:val="center"/>
          </w:tcPr>
          <w:p w14:paraId="54BBEFCF"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2,878</w:t>
            </w:r>
          </w:p>
        </w:tc>
        <w:tc>
          <w:tcPr>
            <w:tcW w:w="1086" w:type="dxa"/>
            <w:vAlign w:val="center"/>
          </w:tcPr>
          <w:p w14:paraId="48EBC2BF"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3,038</w:t>
            </w:r>
          </w:p>
        </w:tc>
        <w:tc>
          <w:tcPr>
            <w:tcW w:w="1085" w:type="dxa"/>
            <w:vAlign w:val="center"/>
          </w:tcPr>
          <w:p w14:paraId="179AFE7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3,241</w:t>
            </w:r>
          </w:p>
        </w:tc>
        <w:tc>
          <w:tcPr>
            <w:tcW w:w="1086" w:type="dxa"/>
            <w:vAlign w:val="center"/>
          </w:tcPr>
          <w:p w14:paraId="3020F65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3,368</w:t>
            </w:r>
          </w:p>
        </w:tc>
        <w:tc>
          <w:tcPr>
            <w:tcW w:w="1086" w:type="dxa"/>
            <w:vAlign w:val="center"/>
          </w:tcPr>
          <w:p w14:paraId="7B976302"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3,541</w:t>
            </w:r>
          </w:p>
        </w:tc>
        <w:tc>
          <w:tcPr>
            <w:tcW w:w="1085" w:type="dxa"/>
            <w:vAlign w:val="center"/>
          </w:tcPr>
          <w:p w14:paraId="79BE4A25"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142F688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5" w:type="dxa"/>
            <w:vAlign w:val="center"/>
          </w:tcPr>
          <w:p w14:paraId="79CAAD7B"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6F6E33BA"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71C36413"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r>
      <w:tr w:rsidR="005A5BD5" w:rsidRPr="00CA3519" w14:paraId="7992B409" w14:textId="77777777" w:rsidTr="009B6E1B">
        <w:trPr>
          <w:trHeight w:val="397"/>
          <w:jc w:val="center"/>
        </w:trPr>
        <w:tc>
          <w:tcPr>
            <w:tcW w:w="2113" w:type="dxa"/>
            <w:vAlign w:val="center"/>
          </w:tcPr>
          <w:p w14:paraId="74F66837" w14:textId="77777777" w:rsidR="005A5BD5" w:rsidRPr="00CA3519" w:rsidRDefault="005A5BD5" w:rsidP="004C2C7D">
            <w:pPr>
              <w:rPr>
                <w:rFonts w:eastAsia="Calibri"/>
                <w:sz w:val="16"/>
                <w:szCs w:val="22"/>
                <w:lang w:eastAsia="en-US"/>
              </w:rPr>
            </w:pPr>
            <w:r w:rsidRPr="00CA3519">
              <w:rPr>
                <w:rFonts w:eastAsia="Calibri"/>
                <w:sz w:val="16"/>
                <w:szCs w:val="22"/>
                <w:lang w:eastAsia="en-US"/>
              </w:rPr>
              <w:t>Mai 1999</w:t>
            </w:r>
          </w:p>
        </w:tc>
        <w:tc>
          <w:tcPr>
            <w:tcW w:w="2113" w:type="dxa"/>
            <w:vAlign w:val="center"/>
          </w:tcPr>
          <w:p w14:paraId="2C08F001"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29.05.1999</w:t>
            </w:r>
          </w:p>
        </w:tc>
        <w:tc>
          <w:tcPr>
            <w:tcW w:w="1085" w:type="dxa"/>
            <w:vAlign w:val="center"/>
          </w:tcPr>
          <w:p w14:paraId="6DEC3119"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2,703</w:t>
            </w:r>
          </w:p>
        </w:tc>
        <w:tc>
          <w:tcPr>
            <w:tcW w:w="1086" w:type="dxa"/>
            <w:vAlign w:val="center"/>
          </w:tcPr>
          <w:p w14:paraId="19248B03"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2,859</w:t>
            </w:r>
          </w:p>
        </w:tc>
        <w:tc>
          <w:tcPr>
            <w:tcW w:w="1085" w:type="dxa"/>
            <w:vAlign w:val="center"/>
          </w:tcPr>
          <w:p w14:paraId="29F5C08B"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3,079</w:t>
            </w:r>
          </w:p>
        </w:tc>
        <w:tc>
          <w:tcPr>
            <w:tcW w:w="1086" w:type="dxa"/>
            <w:vAlign w:val="center"/>
          </w:tcPr>
          <w:p w14:paraId="53E84ECA"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3,227</w:t>
            </w:r>
          </w:p>
        </w:tc>
        <w:tc>
          <w:tcPr>
            <w:tcW w:w="1086" w:type="dxa"/>
            <w:vAlign w:val="center"/>
          </w:tcPr>
          <w:p w14:paraId="1223815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3,428</w:t>
            </w:r>
          </w:p>
        </w:tc>
        <w:tc>
          <w:tcPr>
            <w:tcW w:w="1085" w:type="dxa"/>
            <w:vAlign w:val="center"/>
          </w:tcPr>
          <w:p w14:paraId="7726886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1C4CADEB"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5" w:type="dxa"/>
            <w:vAlign w:val="center"/>
          </w:tcPr>
          <w:p w14:paraId="44B8CEA3"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00DC1AE3"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17001783"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r>
      <w:tr w:rsidR="005A5BD5" w:rsidRPr="00CA3519" w14:paraId="3312E474" w14:textId="77777777" w:rsidTr="009B6E1B">
        <w:trPr>
          <w:trHeight w:val="397"/>
          <w:jc w:val="center"/>
        </w:trPr>
        <w:tc>
          <w:tcPr>
            <w:tcW w:w="2113" w:type="dxa"/>
            <w:vAlign w:val="center"/>
          </w:tcPr>
          <w:p w14:paraId="0C11B280" w14:textId="77777777" w:rsidR="005A5BD5" w:rsidRPr="00CA3519" w:rsidRDefault="005A5BD5" w:rsidP="004C2C7D">
            <w:pPr>
              <w:rPr>
                <w:rFonts w:eastAsia="Calibri"/>
                <w:sz w:val="16"/>
                <w:szCs w:val="22"/>
                <w:lang w:eastAsia="en-US"/>
              </w:rPr>
            </w:pPr>
            <w:r w:rsidRPr="00CA3519">
              <w:rPr>
                <w:rFonts w:eastAsia="Calibri"/>
                <w:sz w:val="16"/>
                <w:szCs w:val="22"/>
                <w:lang w:eastAsia="en-US"/>
              </w:rPr>
              <w:t>Juni 1999</w:t>
            </w:r>
          </w:p>
        </w:tc>
        <w:tc>
          <w:tcPr>
            <w:tcW w:w="2113" w:type="dxa"/>
            <w:vAlign w:val="center"/>
          </w:tcPr>
          <w:p w14:paraId="1DF97FB1"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30.06.1999 Ausg. 2</w:t>
            </w:r>
          </w:p>
        </w:tc>
        <w:tc>
          <w:tcPr>
            <w:tcW w:w="1085" w:type="dxa"/>
            <w:vAlign w:val="center"/>
          </w:tcPr>
          <w:p w14:paraId="07A45CB5"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2,601</w:t>
            </w:r>
          </w:p>
        </w:tc>
        <w:tc>
          <w:tcPr>
            <w:tcW w:w="1086" w:type="dxa"/>
            <w:vAlign w:val="center"/>
          </w:tcPr>
          <w:p w14:paraId="4785301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2,809</w:t>
            </w:r>
          </w:p>
        </w:tc>
        <w:tc>
          <w:tcPr>
            <w:tcW w:w="1085" w:type="dxa"/>
            <w:vAlign w:val="center"/>
          </w:tcPr>
          <w:p w14:paraId="5B92E63A"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3,093</w:t>
            </w:r>
          </w:p>
        </w:tc>
        <w:tc>
          <w:tcPr>
            <w:tcW w:w="1086" w:type="dxa"/>
            <w:vAlign w:val="center"/>
          </w:tcPr>
          <w:p w14:paraId="2D973349"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3,266</w:t>
            </w:r>
          </w:p>
        </w:tc>
        <w:tc>
          <w:tcPr>
            <w:tcW w:w="1086" w:type="dxa"/>
            <w:vAlign w:val="center"/>
          </w:tcPr>
          <w:p w14:paraId="1C9746CC"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3,489</w:t>
            </w:r>
          </w:p>
        </w:tc>
        <w:tc>
          <w:tcPr>
            <w:tcW w:w="1085" w:type="dxa"/>
            <w:vAlign w:val="center"/>
          </w:tcPr>
          <w:p w14:paraId="7283BA53"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42900786"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5" w:type="dxa"/>
            <w:vAlign w:val="center"/>
          </w:tcPr>
          <w:p w14:paraId="2A7D85CF"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2C831FC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c>
          <w:tcPr>
            <w:tcW w:w="1086" w:type="dxa"/>
            <w:vAlign w:val="center"/>
          </w:tcPr>
          <w:p w14:paraId="3D66FD5E"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w:t>
            </w:r>
          </w:p>
        </w:tc>
      </w:tr>
      <w:tr w:rsidR="005A5BD5" w:rsidRPr="00CA3519" w14:paraId="62AF89FA" w14:textId="77777777" w:rsidTr="009B6E1B">
        <w:trPr>
          <w:trHeight w:val="397"/>
          <w:jc w:val="center"/>
        </w:trPr>
        <w:tc>
          <w:tcPr>
            <w:tcW w:w="2113" w:type="dxa"/>
            <w:vAlign w:val="center"/>
          </w:tcPr>
          <w:p w14:paraId="76D2FFCB" w14:textId="77777777" w:rsidR="005A5BD5" w:rsidRPr="00CA3519" w:rsidRDefault="005A5BD5" w:rsidP="004C2C7D">
            <w:pPr>
              <w:rPr>
                <w:rFonts w:eastAsia="Calibri"/>
                <w:sz w:val="16"/>
                <w:szCs w:val="22"/>
                <w:lang w:eastAsia="en-US"/>
              </w:rPr>
            </w:pPr>
            <w:r w:rsidRPr="00CA3519">
              <w:rPr>
                <w:rFonts w:eastAsia="Calibri"/>
                <w:sz w:val="16"/>
                <w:szCs w:val="22"/>
                <w:lang w:eastAsia="en-US"/>
              </w:rPr>
              <w:t>Juli 1999</w:t>
            </w:r>
          </w:p>
        </w:tc>
        <w:tc>
          <w:tcPr>
            <w:tcW w:w="2113" w:type="dxa"/>
            <w:vAlign w:val="center"/>
          </w:tcPr>
          <w:p w14:paraId="17ABFDCB"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20.07.1999</w:t>
            </w:r>
          </w:p>
        </w:tc>
        <w:tc>
          <w:tcPr>
            <w:tcW w:w="1085" w:type="dxa"/>
            <w:vAlign w:val="center"/>
          </w:tcPr>
          <w:p w14:paraId="3C340FB7"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2,725</w:t>
            </w:r>
          </w:p>
        </w:tc>
        <w:tc>
          <w:tcPr>
            <w:tcW w:w="1086" w:type="dxa"/>
            <w:vAlign w:val="center"/>
          </w:tcPr>
          <w:p w14:paraId="344BB773"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3,166</w:t>
            </w:r>
          </w:p>
        </w:tc>
        <w:tc>
          <w:tcPr>
            <w:tcW w:w="1085" w:type="dxa"/>
            <w:vAlign w:val="center"/>
          </w:tcPr>
          <w:p w14:paraId="57C973B1"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3,535</w:t>
            </w:r>
          </w:p>
        </w:tc>
        <w:tc>
          <w:tcPr>
            <w:tcW w:w="1086" w:type="dxa"/>
            <w:vAlign w:val="center"/>
          </w:tcPr>
          <w:p w14:paraId="666840F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3,785</w:t>
            </w:r>
          </w:p>
        </w:tc>
        <w:tc>
          <w:tcPr>
            <w:tcW w:w="1086" w:type="dxa"/>
            <w:vAlign w:val="center"/>
          </w:tcPr>
          <w:p w14:paraId="48921522"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3,977</w:t>
            </w:r>
          </w:p>
        </w:tc>
        <w:tc>
          <w:tcPr>
            <w:tcW w:w="1085" w:type="dxa"/>
            <w:vAlign w:val="center"/>
          </w:tcPr>
          <w:p w14:paraId="2741906C"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4,173</w:t>
            </w:r>
          </w:p>
        </w:tc>
        <w:tc>
          <w:tcPr>
            <w:tcW w:w="1086" w:type="dxa"/>
            <w:vAlign w:val="center"/>
          </w:tcPr>
          <w:p w14:paraId="194E3543"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4,365</w:t>
            </w:r>
          </w:p>
        </w:tc>
        <w:tc>
          <w:tcPr>
            <w:tcW w:w="1085" w:type="dxa"/>
            <w:vAlign w:val="center"/>
          </w:tcPr>
          <w:p w14:paraId="685DFD64"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4,538</w:t>
            </w:r>
          </w:p>
        </w:tc>
        <w:tc>
          <w:tcPr>
            <w:tcW w:w="1086" w:type="dxa"/>
            <w:vAlign w:val="center"/>
          </w:tcPr>
          <w:p w14:paraId="78CECC0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4,686</w:t>
            </w:r>
          </w:p>
        </w:tc>
        <w:tc>
          <w:tcPr>
            <w:tcW w:w="1086" w:type="dxa"/>
            <w:vAlign w:val="center"/>
          </w:tcPr>
          <w:p w14:paraId="3077100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4,811</w:t>
            </w:r>
          </w:p>
        </w:tc>
      </w:tr>
      <w:tr w:rsidR="005A5BD5" w:rsidRPr="00CA3519" w14:paraId="2E44C6B8" w14:textId="77777777" w:rsidTr="009B6E1B">
        <w:trPr>
          <w:trHeight w:val="397"/>
          <w:jc w:val="center"/>
        </w:trPr>
        <w:tc>
          <w:tcPr>
            <w:tcW w:w="2113" w:type="dxa"/>
            <w:vAlign w:val="center"/>
          </w:tcPr>
          <w:p w14:paraId="034D3210" w14:textId="77777777" w:rsidR="005A5BD5" w:rsidRPr="00CA3519" w:rsidRDefault="005A5BD5" w:rsidP="004C2C7D">
            <w:pPr>
              <w:rPr>
                <w:rFonts w:eastAsia="Calibri"/>
                <w:sz w:val="16"/>
                <w:szCs w:val="22"/>
                <w:lang w:eastAsia="en-US"/>
              </w:rPr>
            </w:pPr>
            <w:r w:rsidRPr="00CA3519">
              <w:rPr>
                <w:rFonts w:eastAsia="Calibri"/>
                <w:sz w:val="16"/>
                <w:szCs w:val="22"/>
                <w:lang w:eastAsia="en-US"/>
              </w:rPr>
              <w:t>August 1999</w:t>
            </w:r>
          </w:p>
        </w:tc>
        <w:tc>
          <w:tcPr>
            <w:tcW w:w="2113" w:type="dxa"/>
            <w:vAlign w:val="center"/>
          </w:tcPr>
          <w:p w14:paraId="4386350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26.08.1999</w:t>
            </w:r>
          </w:p>
        </w:tc>
        <w:tc>
          <w:tcPr>
            <w:tcW w:w="1085" w:type="dxa"/>
            <w:vAlign w:val="center"/>
          </w:tcPr>
          <w:p w14:paraId="0EAE1822"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2,938</w:t>
            </w:r>
          </w:p>
        </w:tc>
        <w:tc>
          <w:tcPr>
            <w:tcW w:w="1086" w:type="dxa"/>
            <w:vAlign w:val="center"/>
          </w:tcPr>
          <w:p w14:paraId="47E083C1"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3,453</w:t>
            </w:r>
          </w:p>
        </w:tc>
        <w:tc>
          <w:tcPr>
            <w:tcW w:w="1085" w:type="dxa"/>
            <w:vAlign w:val="center"/>
          </w:tcPr>
          <w:p w14:paraId="0B2B4DD2"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3,873</w:t>
            </w:r>
          </w:p>
        </w:tc>
        <w:tc>
          <w:tcPr>
            <w:tcW w:w="1086" w:type="dxa"/>
            <w:vAlign w:val="center"/>
          </w:tcPr>
          <w:p w14:paraId="17552870"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4,146</w:t>
            </w:r>
          </w:p>
        </w:tc>
        <w:tc>
          <w:tcPr>
            <w:tcW w:w="1086" w:type="dxa"/>
            <w:vAlign w:val="center"/>
          </w:tcPr>
          <w:p w14:paraId="38FD1E8A"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4,340</w:t>
            </w:r>
          </w:p>
        </w:tc>
        <w:tc>
          <w:tcPr>
            <w:tcW w:w="1085" w:type="dxa"/>
            <w:vAlign w:val="center"/>
          </w:tcPr>
          <w:p w14:paraId="6189636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4,521</w:t>
            </w:r>
          </w:p>
        </w:tc>
        <w:tc>
          <w:tcPr>
            <w:tcW w:w="1086" w:type="dxa"/>
            <w:vAlign w:val="center"/>
          </w:tcPr>
          <w:p w14:paraId="6EB76D5C"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4,689</w:t>
            </w:r>
          </w:p>
        </w:tc>
        <w:tc>
          <w:tcPr>
            <w:tcW w:w="1085" w:type="dxa"/>
            <w:vAlign w:val="center"/>
          </w:tcPr>
          <w:p w14:paraId="0DEB67CC"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4,891</w:t>
            </w:r>
          </w:p>
        </w:tc>
        <w:tc>
          <w:tcPr>
            <w:tcW w:w="1086" w:type="dxa"/>
            <w:vAlign w:val="center"/>
          </w:tcPr>
          <w:p w14:paraId="1AF9BCE0"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4,980</w:t>
            </w:r>
          </w:p>
        </w:tc>
        <w:tc>
          <w:tcPr>
            <w:tcW w:w="1086" w:type="dxa"/>
            <w:vAlign w:val="center"/>
          </w:tcPr>
          <w:p w14:paraId="79CFA6F4"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5,095</w:t>
            </w:r>
          </w:p>
        </w:tc>
      </w:tr>
      <w:tr w:rsidR="005A5BD5" w:rsidRPr="00CA3519" w14:paraId="4E80ED07" w14:textId="77777777" w:rsidTr="009B6E1B">
        <w:trPr>
          <w:trHeight w:val="397"/>
          <w:jc w:val="center"/>
        </w:trPr>
        <w:tc>
          <w:tcPr>
            <w:tcW w:w="2113" w:type="dxa"/>
            <w:vAlign w:val="center"/>
          </w:tcPr>
          <w:p w14:paraId="1F883FDC" w14:textId="77777777" w:rsidR="005A5BD5" w:rsidRPr="00CA3519" w:rsidRDefault="005A5BD5" w:rsidP="004C2C7D">
            <w:pPr>
              <w:rPr>
                <w:rFonts w:eastAsia="Calibri"/>
                <w:sz w:val="16"/>
                <w:szCs w:val="22"/>
                <w:lang w:eastAsia="en-US"/>
              </w:rPr>
            </w:pPr>
            <w:r w:rsidRPr="00CA3519">
              <w:rPr>
                <w:rFonts w:eastAsia="Calibri"/>
                <w:sz w:val="16"/>
                <w:szCs w:val="22"/>
                <w:lang w:eastAsia="en-US"/>
              </w:rPr>
              <w:t>September 1999</w:t>
            </w:r>
          </w:p>
        </w:tc>
        <w:tc>
          <w:tcPr>
            <w:tcW w:w="2113" w:type="dxa"/>
            <w:vAlign w:val="center"/>
          </w:tcPr>
          <w:p w14:paraId="4906AB8B"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21.09.1999</w:t>
            </w:r>
          </w:p>
        </w:tc>
        <w:tc>
          <w:tcPr>
            <w:tcW w:w="1085" w:type="dxa"/>
            <w:vAlign w:val="center"/>
          </w:tcPr>
          <w:p w14:paraId="1FEFDE6C"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3,083</w:t>
            </w:r>
          </w:p>
        </w:tc>
        <w:tc>
          <w:tcPr>
            <w:tcW w:w="1086" w:type="dxa"/>
            <w:vAlign w:val="center"/>
          </w:tcPr>
          <w:p w14:paraId="5034906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3,594</w:t>
            </w:r>
          </w:p>
        </w:tc>
        <w:tc>
          <w:tcPr>
            <w:tcW w:w="1085" w:type="dxa"/>
            <w:vAlign w:val="center"/>
          </w:tcPr>
          <w:p w14:paraId="0B959279"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4,013</w:t>
            </w:r>
          </w:p>
        </w:tc>
        <w:tc>
          <w:tcPr>
            <w:tcW w:w="1086" w:type="dxa"/>
            <w:vAlign w:val="center"/>
          </w:tcPr>
          <w:p w14:paraId="0420DC84"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4,298</w:t>
            </w:r>
          </w:p>
        </w:tc>
        <w:tc>
          <w:tcPr>
            <w:tcW w:w="1086" w:type="dxa"/>
            <w:vAlign w:val="center"/>
          </w:tcPr>
          <w:p w14:paraId="7BB85C09"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4,510</w:t>
            </w:r>
          </w:p>
        </w:tc>
        <w:tc>
          <w:tcPr>
            <w:tcW w:w="1085" w:type="dxa"/>
            <w:vAlign w:val="center"/>
          </w:tcPr>
          <w:p w14:paraId="6AAFCC4A"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4,705</w:t>
            </w:r>
          </w:p>
        </w:tc>
        <w:tc>
          <w:tcPr>
            <w:tcW w:w="1086" w:type="dxa"/>
            <w:vAlign w:val="center"/>
          </w:tcPr>
          <w:p w14:paraId="753D1902"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4,873</w:t>
            </w:r>
          </w:p>
        </w:tc>
        <w:tc>
          <w:tcPr>
            <w:tcW w:w="1085" w:type="dxa"/>
            <w:vAlign w:val="center"/>
          </w:tcPr>
          <w:p w14:paraId="43F551AB"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5,018</w:t>
            </w:r>
          </w:p>
        </w:tc>
        <w:tc>
          <w:tcPr>
            <w:tcW w:w="1086" w:type="dxa"/>
            <w:vAlign w:val="center"/>
          </w:tcPr>
          <w:p w14:paraId="354AF559"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5,136</w:t>
            </w:r>
          </w:p>
        </w:tc>
        <w:tc>
          <w:tcPr>
            <w:tcW w:w="1086" w:type="dxa"/>
            <w:vAlign w:val="center"/>
          </w:tcPr>
          <w:p w14:paraId="17B32436"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5,241</w:t>
            </w:r>
          </w:p>
        </w:tc>
      </w:tr>
      <w:tr w:rsidR="005A5BD5" w:rsidRPr="00CA3519" w14:paraId="6FFE5557" w14:textId="77777777" w:rsidTr="009B6E1B">
        <w:trPr>
          <w:trHeight w:val="397"/>
          <w:jc w:val="center"/>
        </w:trPr>
        <w:tc>
          <w:tcPr>
            <w:tcW w:w="2113" w:type="dxa"/>
            <w:vAlign w:val="center"/>
          </w:tcPr>
          <w:p w14:paraId="43121556" w14:textId="77777777" w:rsidR="005A5BD5" w:rsidRPr="00CA3519" w:rsidRDefault="005A5BD5" w:rsidP="004C2C7D">
            <w:pPr>
              <w:rPr>
                <w:rFonts w:eastAsia="Calibri"/>
                <w:sz w:val="16"/>
                <w:szCs w:val="22"/>
                <w:lang w:eastAsia="en-US"/>
              </w:rPr>
            </w:pPr>
            <w:r w:rsidRPr="00CA3519">
              <w:rPr>
                <w:rFonts w:eastAsia="Calibri"/>
                <w:sz w:val="16"/>
                <w:szCs w:val="22"/>
                <w:lang w:eastAsia="en-US"/>
              </w:rPr>
              <w:t>Oktober 1999</w:t>
            </w:r>
          </w:p>
        </w:tc>
        <w:tc>
          <w:tcPr>
            <w:tcW w:w="2113" w:type="dxa"/>
            <w:vAlign w:val="center"/>
          </w:tcPr>
          <w:p w14:paraId="27C95E62"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20.10.1999</w:t>
            </w:r>
          </w:p>
        </w:tc>
        <w:tc>
          <w:tcPr>
            <w:tcW w:w="1085" w:type="dxa"/>
            <w:vAlign w:val="center"/>
          </w:tcPr>
          <w:p w14:paraId="73369CC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3,180</w:t>
            </w:r>
          </w:p>
        </w:tc>
        <w:tc>
          <w:tcPr>
            <w:tcW w:w="1086" w:type="dxa"/>
            <w:vAlign w:val="center"/>
          </w:tcPr>
          <w:p w14:paraId="112993EE"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3,765</w:t>
            </w:r>
          </w:p>
        </w:tc>
        <w:tc>
          <w:tcPr>
            <w:tcW w:w="1085" w:type="dxa"/>
            <w:vAlign w:val="center"/>
          </w:tcPr>
          <w:p w14:paraId="031CBAE6"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4,226</w:t>
            </w:r>
          </w:p>
        </w:tc>
        <w:tc>
          <w:tcPr>
            <w:tcW w:w="1086" w:type="dxa"/>
            <w:vAlign w:val="center"/>
          </w:tcPr>
          <w:p w14:paraId="003ACE31"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4,517</w:t>
            </w:r>
          </w:p>
        </w:tc>
        <w:tc>
          <w:tcPr>
            <w:tcW w:w="1086" w:type="dxa"/>
            <w:vAlign w:val="center"/>
          </w:tcPr>
          <w:p w14:paraId="6B04EFF6"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4,738</w:t>
            </w:r>
          </w:p>
        </w:tc>
        <w:tc>
          <w:tcPr>
            <w:tcW w:w="1085" w:type="dxa"/>
            <w:vAlign w:val="center"/>
          </w:tcPr>
          <w:p w14:paraId="3776B01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4,941</w:t>
            </w:r>
          </w:p>
        </w:tc>
        <w:tc>
          <w:tcPr>
            <w:tcW w:w="1086" w:type="dxa"/>
            <w:vAlign w:val="center"/>
          </w:tcPr>
          <w:p w14:paraId="5F4F2D03"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5,114</w:t>
            </w:r>
          </w:p>
        </w:tc>
        <w:tc>
          <w:tcPr>
            <w:tcW w:w="1085" w:type="dxa"/>
            <w:vAlign w:val="center"/>
          </w:tcPr>
          <w:p w14:paraId="7B7EBC2E"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5,246</w:t>
            </w:r>
          </w:p>
        </w:tc>
        <w:tc>
          <w:tcPr>
            <w:tcW w:w="1086" w:type="dxa"/>
            <w:vAlign w:val="center"/>
          </w:tcPr>
          <w:p w14:paraId="480626B9"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5,356</w:t>
            </w:r>
          </w:p>
        </w:tc>
        <w:tc>
          <w:tcPr>
            <w:tcW w:w="1086" w:type="dxa"/>
            <w:vAlign w:val="center"/>
          </w:tcPr>
          <w:p w14:paraId="2F08645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5,450</w:t>
            </w:r>
          </w:p>
        </w:tc>
      </w:tr>
      <w:tr w:rsidR="005A5BD5" w:rsidRPr="00CA3519" w14:paraId="5A7A41F2" w14:textId="77777777" w:rsidTr="009B6E1B">
        <w:trPr>
          <w:trHeight w:val="397"/>
          <w:jc w:val="center"/>
        </w:trPr>
        <w:tc>
          <w:tcPr>
            <w:tcW w:w="2113" w:type="dxa"/>
            <w:vAlign w:val="center"/>
          </w:tcPr>
          <w:p w14:paraId="0B1CCE7D" w14:textId="77777777" w:rsidR="005A5BD5" w:rsidRPr="00CA3519" w:rsidRDefault="005A5BD5" w:rsidP="004C2C7D">
            <w:pPr>
              <w:rPr>
                <w:rFonts w:eastAsia="Calibri"/>
                <w:sz w:val="16"/>
                <w:szCs w:val="22"/>
                <w:lang w:eastAsia="en-US"/>
              </w:rPr>
            </w:pPr>
            <w:r w:rsidRPr="00CA3519">
              <w:rPr>
                <w:rFonts w:eastAsia="Calibri"/>
                <w:sz w:val="16"/>
                <w:szCs w:val="22"/>
                <w:lang w:eastAsia="en-US"/>
              </w:rPr>
              <w:t>November 1999</w:t>
            </w:r>
          </w:p>
        </w:tc>
        <w:tc>
          <w:tcPr>
            <w:tcW w:w="2113" w:type="dxa"/>
            <w:vAlign w:val="center"/>
          </w:tcPr>
          <w:p w14:paraId="6B2A49D4"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20.11.1999</w:t>
            </w:r>
          </w:p>
        </w:tc>
        <w:tc>
          <w:tcPr>
            <w:tcW w:w="1085" w:type="dxa"/>
            <w:vAlign w:val="center"/>
          </w:tcPr>
          <w:p w14:paraId="505F419A"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3,513</w:t>
            </w:r>
          </w:p>
        </w:tc>
        <w:tc>
          <w:tcPr>
            <w:tcW w:w="1086" w:type="dxa"/>
            <w:vAlign w:val="center"/>
          </w:tcPr>
          <w:p w14:paraId="716486E3"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4,071</w:t>
            </w:r>
          </w:p>
        </w:tc>
        <w:tc>
          <w:tcPr>
            <w:tcW w:w="1085" w:type="dxa"/>
            <w:vAlign w:val="center"/>
          </w:tcPr>
          <w:p w14:paraId="3897996B"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4,500</w:t>
            </w:r>
          </w:p>
        </w:tc>
        <w:tc>
          <w:tcPr>
            <w:tcW w:w="1086" w:type="dxa"/>
            <w:vAlign w:val="center"/>
          </w:tcPr>
          <w:p w14:paraId="2AE56787"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4,770</w:t>
            </w:r>
          </w:p>
        </w:tc>
        <w:tc>
          <w:tcPr>
            <w:tcW w:w="1086" w:type="dxa"/>
            <w:vAlign w:val="center"/>
          </w:tcPr>
          <w:p w14:paraId="3DC16EB9"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4,968</w:t>
            </w:r>
          </w:p>
        </w:tc>
        <w:tc>
          <w:tcPr>
            <w:tcW w:w="1085" w:type="dxa"/>
            <w:vAlign w:val="center"/>
          </w:tcPr>
          <w:p w14:paraId="40C19064"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5,145</w:t>
            </w:r>
          </w:p>
        </w:tc>
        <w:tc>
          <w:tcPr>
            <w:tcW w:w="1086" w:type="dxa"/>
            <w:vAlign w:val="center"/>
          </w:tcPr>
          <w:p w14:paraId="5CCD165B"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5,287</w:t>
            </w:r>
          </w:p>
        </w:tc>
        <w:tc>
          <w:tcPr>
            <w:tcW w:w="1085" w:type="dxa"/>
            <w:vAlign w:val="center"/>
          </w:tcPr>
          <w:p w14:paraId="42DF8C95"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5,396</w:t>
            </w:r>
          </w:p>
        </w:tc>
        <w:tc>
          <w:tcPr>
            <w:tcW w:w="1086" w:type="dxa"/>
            <w:vAlign w:val="center"/>
          </w:tcPr>
          <w:p w14:paraId="1520FCB5"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5,483</w:t>
            </w:r>
          </w:p>
        </w:tc>
        <w:tc>
          <w:tcPr>
            <w:tcW w:w="1086" w:type="dxa"/>
            <w:vAlign w:val="center"/>
          </w:tcPr>
          <w:p w14:paraId="2D8B77A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5,560</w:t>
            </w:r>
          </w:p>
        </w:tc>
      </w:tr>
      <w:tr w:rsidR="005A5BD5" w:rsidRPr="00CA3519" w14:paraId="2102B1D9" w14:textId="77777777" w:rsidTr="009B6E1B">
        <w:trPr>
          <w:trHeight w:val="397"/>
          <w:jc w:val="center"/>
        </w:trPr>
        <w:tc>
          <w:tcPr>
            <w:tcW w:w="2113" w:type="dxa"/>
            <w:vAlign w:val="center"/>
          </w:tcPr>
          <w:p w14:paraId="1F40B98E" w14:textId="77777777" w:rsidR="005A5BD5" w:rsidRPr="00CA3519" w:rsidRDefault="005A5BD5" w:rsidP="004C2C7D">
            <w:pPr>
              <w:rPr>
                <w:rFonts w:eastAsia="Calibri"/>
                <w:sz w:val="16"/>
                <w:szCs w:val="22"/>
                <w:lang w:eastAsia="en-US"/>
              </w:rPr>
            </w:pPr>
            <w:r w:rsidRPr="00CA3519">
              <w:rPr>
                <w:rFonts w:eastAsia="Calibri"/>
                <w:sz w:val="16"/>
                <w:szCs w:val="22"/>
                <w:lang w:eastAsia="en-US"/>
              </w:rPr>
              <w:t>Dezember 1999</w:t>
            </w:r>
          </w:p>
        </w:tc>
        <w:tc>
          <w:tcPr>
            <w:tcW w:w="2113" w:type="dxa"/>
            <w:vAlign w:val="center"/>
          </w:tcPr>
          <w:p w14:paraId="111B51DC"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21.12.1999</w:t>
            </w:r>
          </w:p>
        </w:tc>
        <w:tc>
          <w:tcPr>
            <w:tcW w:w="1085" w:type="dxa"/>
            <w:vAlign w:val="center"/>
          </w:tcPr>
          <w:p w14:paraId="60200D28"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3,555</w:t>
            </w:r>
          </w:p>
        </w:tc>
        <w:tc>
          <w:tcPr>
            <w:tcW w:w="1086" w:type="dxa"/>
            <w:vAlign w:val="center"/>
          </w:tcPr>
          <w:p w14:paraId="48A5A620"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4,003</w:t>
            </w:r>
          </w:p>
        </w:tc>
        <w:tc>
          <w:tcPr>
            <w:tcW w:w="1085" w:type="dxa"/>
            <w:vAlign w:val="center"/>
          </w:tcPr>
          <w:p w14:paraId="15E2F75D"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4,388</w:t>
            </w:r>
          </w:p>
        </w:tc>
        <w:tc>
          <w:tcPr>
            <w:tcW w:w="1086" w:type="dxa"/>
            <w:vAlign w:val="center"/>
          </w:tcPr>
          <w:p w14:paraId="3F38672E"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4,649</w:t>
            </w:r>
          </w:p>
        </w:tc>
        <w:tc>
          <w:tcPr>
            <w:tcW w:w="1086" w:type="dxa"/>
            <w:vAlign w:val="center"/>
          </w:tcPr>
          <w:p w14:paraId="71DB129F"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4,825</w:t>
            </w:r>
          </w:p>
        </w:tc>
        <w:tc>
          <w:tcPr>
            <w:tcW w:w="1085" w:type="dxa"/>
            <w:vAlign w:val="center"/>
          </w:tcPr>
          <w:p w14:paraId="7C663F77"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4,978</w:t>
            </w:r>
          </w:p>
        </w:tc>
        <w:tc>
          <w:tcPr>
            <w:tcW w:w="1086" w:type="dxa"/>
            <w:vAlign w:val="center"/>
          </w:tcPr>
          <w:p w14:paraId="799DB309"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5,120</w:t>
            </w:r>
          </w:p>
        </w:tc>
        <w:tc>
          <w:tcPr>
            <w:tcW w:w="1085" w:type="dxa"/>
            <w:vAlign w:val="center"/>
          </w:tcPr>
          <w:p w14:paraId="31EA5562"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5,224</w:t>
            </w:r>
          </w:p>
        </w:tc>
        <w:tc>
          <w:tcPr>
            <w:tcW w:w="1086" w:type="dxa"/>
            <w:vAlign w:val="center"/>
          </w:tcPr>
          <w:p w14:paraId="05DA66D9"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5,301</w:t>
            </w:r>
          </w:p>
        </w:tc>
        <w:tc>
          <w:tcPr>
            <w:tcW w:w="1086" w:type="dxa"/>
            <w:vAlign w:val="center"/>
          </w:tcPr>
          <w:p w14:paraId="26A848EF" w14:textId="77777777" w:rsidR="005A5BD5" w:rsidRPr="00CA3519" w:rsidRDefault="005A5BD5" w:rsidP="004C2C7D">
            <w:pPr>
              <w:jc w:val="center"/>
              <w:rPr>
                <w:rFonts w:eastAsia="Calibri"/>
                <w:sz w:val="16"/>
                <w:szCs w:val="22"/>
                <w:lang w:eastAsia="en-US"/>
              </w:rPr>
            </w:pPr>
            <w:r w:rsidRPr="00CA3519">
              <w:rPr>
                <w:rFonts w:eastAsia="Calibri"/>
                <w:sz w:val="16"/>
                <w:szCs w:val="22"/>
                <w:lang w:eastAsia="en-US"/>
              </w:rPr>
              <w:t>5,370]</w:t>
            </w:r>
          </w:p>
        </w:tc>
      </w:tr>
      <w:tr w:rsidR="005A5BD5" w:rsidRPr="00CA3519" w14:paraId="3D5C513C" w14:textId="77777777" w:rsidTr="009B6E1B">
        <w:trPr>
          <w:trHeight w:val="397"/>
          <w:jc w:val="center"/>
        </w:trPr>
        <w:tc>
          <w:tcPr>
            <w:tcW w:w="2113" w:type="dxa"/>
            <w:vAlign w:val="center"/>
          </w:tcPr>
          <w:p w14:paraId="7F6D8E12"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[Januar 2000</w:t>
            </w:r>
          </w:p>
        </w:tc>
        <w:tc>
          <w:tcPr>
            <w:tcW w:w="2113" w:type="dxa"/>
            <w:vAlign w:val="center"/>
          </w:tcPr>
          <w:p w14:paraId="28F04A3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20.01.2000</w:t>
            </w:r>
          </w:p>
        </w:tc>
        <w:tc>
          <w:tcPr>
            <w:tcW w:w="1085" w:type="dxa"/>
            <w:vAlign w:val="center"/>
          </w:tcPr>
          <w:p w14:paraId="255CF03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3,721</w:t>
            </w:r>
          </w:p>
        </w:tc>
        <w:tc>
          <w:tcPr>
            <w:tcW w:w="1086" w:type="dxa"/>
            <w:vAlign w:val="center"/>
          </w:tcPr>
          <w:p w14:paraId="797715B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4,183</w:t>
            </w:r>
          </w:p>
        </w:tc>
        <w:tc>
          <w:tcPr>
            <w:tcW w:w="1085" w:type="dxa"/>
            <w:vAlign w:val="center"/>
          </w:tcPr>
          <w:p w14:paraId="6889C54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4,574</w:t>
            </w:r>
          </w:p>
        </w:tc>
        <w:tc>
          <w:tcPr>
            <w:tcW w:w="1086" w:type="dxa"/>
            <w:vAlign w:val="center"/>
          </w:tcPr>
          <w:p w14:paraId="0861477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4,834</w:t>
            </w:r>
          </w:p>
        </w:tc>
        <w:tc>
          <w:tcPr>
            <w:tcW w:w="1086" w:type="dxa"/>
            <w:vAlign w:val="center"/>
          </w:tcPr>
          <w:p w14:paraId="16FFC64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4,997</w:t>
            </w:r>
          </w:p>
        </w:tc>
        <w:tc>
          <w:tcPr>
            <w:tcW w:w="1085" w:type="dxa"/>
            <w:vAlign w:val="center"/>
          </w:tcPr>
          <w:p w14:paraId="6D6632A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5,148</w:t>
            </w:r>
          </w:p>
        </w:tc>
        <w:tc>
          <w:tcPr>
            <w:tcW w:w="1086" w:type="dxa"/>
            <w:vAlign w:val="center"/>
          </w:tcPr>
          <w:p w14:paraId="04B359D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5,296</w:t>
            </w:r>
          </w:p>
        </w:tc>
        <w:tc>
          <w:tcPr>
            <w:tcW w:w="1085" w:type="dxa"/>
            <w:vAlign w:val="center"/>
          </w:tcPr>
          <w:p w14:paraId="6F894C5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5,413</w:t>
            </w:r>
          </w:p>
        </w:tc>
        <w:tc>
          <w:tcPr>
            <w:tcW w:w="1086" w:type="dxa"/>
            <w:vAlign w:val="center"/>
          </w:tcPr>
          <w:p w14:paraId="01418B6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5,503</w:t>
            </w:r>
          </w:p>
        </w:tc>
        <w:tc>
          <w:tcPr>
            <w:tcW w:w="1086" w:type="dxa"/>
            <w:vAlign w:val="center"/>
          </w:tcPr>
          <w:p w14:paraId="4A8DCF7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5,578</w:t>
            </w:r>
          </w:p>
        </w:tc>
      </w:tr>
      <w:tr w:rsidR="005A5BD5" w:rsidRPr="00CA3519" w14:paraId="3164BD09" w14:textId="77777777" w:rsidTr="009B6E1B">
        <w:trPr>
          <w:trHeight w:val="397"/>
          <w:jc w:val="center"/>
        </w:trPr>
        <w:tc>
          <w:tcPr>
            <w:tcW w:w="2113" w:type="dxa"/>
            <w:vAlign w:val="center"/>
          </w:tcPr>
          <w:p w14:paraId="19A543AA"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Februar 2000</w:t>
            </w:r>
          </w:p>
        </w:tc>
        <w:tc>
          <w:tcPr>
            <w:tcW w:w="2113" w:type="dxa"/>
            <w:vAlign w:val="center"/>
          </w:tcPr>
          <w:p w14:paraId="7421949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22.02.2000</w:t>
            </w:r>
          </w:p>
        </w:tc>
        <w:tc>
          <w:tcPr>
            <w:tcW w:w="1085" w:type="dxa"/>
            <w:vAlign w:val="center"/>
          </w:tcPr>
          <w:p w14:paraId="474D674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3,861</w:t>
            </w:r>
          </w:p>
        </w:tc>
        <w:tc>
          <w:tcPr>
            <w:tcW w:w="1086" w:type="dxa"/>
            <w:vAlign w:val="center"/>
          </w:tcPr>
          <w:p w14:paraId="7F7FD82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4,384</w:t>
            </w:r>
          </w:p>
        </w:tc>
        <w:tc>
          <w:tcPr>
            <w:tcW w:w="1085" w:type="dxa"/>
            <w:vAlign w:val="center"/>
          </w:tcPr>
          <w:p w14:paraId="6693FCF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4,821</w:t>
            </w:r>
          </w:p>
        </w:tc>
        <w:tc>
          <w:tcPr>
            <w:tcW w:w="1086" w:type="dxa"/>
            <w:vAlign w:val="center"/>
          </w:tcPr>
          <w:p w14:paraId="565CCE4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5,103</w:t>
            </w:r>
          </w:p>
        </w:tc>
        <w:tc>
          <w:tcPr>
            <w:tcW w:w="1086" w:type="dxa"/>
            <w:vAlign w:val="center"/>
          </w:tcPr>
          <w:p w14:paraId="416229E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5,277</w:t>
            </w:r>
          </w:p>
        </w:tc>
        <w:tc>
          <w:tcPr>
            <w:tcW w:w="1085" w:type="dxa"/>
            <w:vAlign w:val="center"/>
          </w:tcPr>
          <w:p w14:paraId="6DEE278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5,425</w:t>
            </w:r>
          </w:p>
        </w:tc>
        <w:tc>
          <w:tcPr>
            <w:tcW w:w="1086" w:type="dxa"/>
            <w:vAlign w:val="center"/>
          </w:tcPr>
          <w:p w14:paraId="64706BF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5,562</w:t>
            </w:r>
          </w:p>
        </w:tc>
        <w:tc>
          <w:tcPr>
            <w:tcW w:w="1085" w:type="dxa"/>
            <w:vAlign w:val="center"/>
          </w:tcPr>
          <w:p w14:paraId="47EAECD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5,667</w:t>
            </w:r>
          </w:p>
        </w:tc>
        <w:tc>
          <w:tcPr>
            <w:tcW w:w="1086" w:type="dxa"/>
            <w:vAlign w:val="center"/>
          </w:tcPr>
          <w:p w14:paraId="1A8C2B6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5,746</w:t>
            </w:r>
          </w:p>
        </w:tc>
        <w:tc>
          <w:tcPr>
            <w:tcW w:w="1086" w:type="dxa"/>
            <w:vAlign w:val="center"/>
          </w:tcPr>
          <w:p w14:paraId="0E6AC71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5,809</w:t>
            </w:r>
          </w:p>
        </w:tc>
      </w:tr>
      <w:tr w:rsidR="005A5BD5" w:rsidRPr="00CA3519" w14:paraId="3DA45FE5" w14:textId="77777777" w:rsidTr="009B6E1B">
        <w:trPr>
          <w:trHeight w:val="397"/>
          <w:jc w:val="center"/>
        </w:trPr>
        <w:tc>
          <w:tcPr>
            <w:tcW w:w="2113" w:type="dxa"/>
            <w:vAlign w:val="center"/>
          </w:tcPr>
          <w:p w14:paraId="00B4C988"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März 2000</w:t>
            </w:r>
          </w:p>
        </w:tc>
        <w:tc>
          <w:tcPr>
            <w:tcW w:w="2113" w:type="dxa"/>
            <w:vAlign w:val="center"/>
          </w:tcPr>
          <w:p w14:paraId="32A40FE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21.03.2000 Ausg. 2</w:t>
            </w:r>
          </w:p>
        </w:tc>
        <w:tc>
          <w:tcPr>
            <w:tcW w:w="1085" w:type="dxa"/>
            <w:vAlign w:val="center"/>
          </w:tcPr>
          <w:p w14:paraId="5B0375F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4,042</w:t>
            </w:r>
          </w:p>
        </w:tc>
        <w:tc>
          <w:tcPr>
            <w:tcW w:w="1086" w:type="dxa"/>
            <w:vAlign w:val="center"/>
          </w:tcPr>
          <w:p w14:paraId="2ED1C15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4,513</w:t>
            </w:r>
          </w:p>
        </w:tc>
        <w:tc>
          <w:tcPr>
            <w:tcW w:w="1085" w:type="dxa"/>
            <w:vAlign w:val="center"/>
          </w:tcPr>
          <w:p w14:paraId="3FF3DE2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4,900</w:t>
            </w:r>
          </w:p>
        </w:tc>
        <w:tc>
          <w:tcPr>
            <w:tcW w:w="1086" w:type="dxa"/>
            <w:vAlign w:val="center"/>
          </w:tcPr>
          <w:p w14:paraId="099E886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5,141</w:t>
            </w:r>
          </w:p>
        </w:tc>
        <w:tc>
          <w:tcPr>
            <w:tcW w:w="1086" w:type="dxa"/>
            <w:vAlign w:val="center"/>
          </w:tcPr>
          <w:p w14:paraId="21E402D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5,287</w:t>
            </w:r>
          </w:p>
        </w:tc>
        <w:tc>
          <w:tcPr>
            <w:tcW w:w="1085" w:type="dxa"/>
            <w:vAlign w:val="center"/>
          </w:tcPr>
          <w:p w14:paraId="434E55D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5,418</w:t>
            </w:r>
          </w:p>
        </w:tc>
        <w:tc>
          <w:tcPr>
            <w:tcW w:w="1086" w:type="dxa"/>
            <w:vAlign w:val="center"/>
          </w:tcPr>
          <w:p w14:paraId="2F3EE6A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5,536</w:t>
            </w:r>
          </w:p>
        </w:tc>
        <w:tc>
          <w:tcPr>
            <w:tcW w:w="1085" w:type="dxa"/>
            <w:vAlign w:val="center"/>
          </w:tcPr>
          <w:p w14:paraId="1B226EB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5,626</w:t>
            </w:r>
          </w:p>
        </w:tc>
        <w:tc>
          <w:tcPr>
            <w:tcW w:w="1086" w:type="dxa"/>
            <w:vAlign w:val="center"/>
          </w:tcPr>
          <w:p w14:paraId="12FDBC6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5,692</w:t>
            </w:r>
          </w:p>
        </w:tc>
        <w:tc>
          <w:tcPr>
            <w:tcW w:w="1086" w:type="dxa"/>
            <w:vAlign w:val="center"/>
          </w:tcPr>
          <w:p w14:paraId="2B32243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5,740</w:t>
            </w:r>
          </w:p>
        </w:tc>
      </w:tr>
      <w:tr w:rsidR="005A5BD5" w:rsidRPr="00CA3519" w14:paraId="2DF5B2DF" w14:textId="77777777" w:rsidTr="009B6E1B">
        <w:trPr>
          <w:trHeight w:val="397"/>
          <w:jc w:val="center"/>
        </w:trPr>
        <w:tc>
          <w:tcPr>
            <w:tcW w:w="2113" w:type="dxa"/>
            <w:vAlign w:val="center"/>
          </w:tcPr>
          <w:p w14:paraId="65FFAF14"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April 2000</w:t>
            </w:r>
          </w:p>
        </w:tc>
        <w:tc>
          <w:tcPr>
            <w:tcW w:w="2113" w:type="dxa"/>
            <w:vAlign w:val="center"/>
          </w:tcPr>
          <w:p w14:paraId="1CEC78C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20.04.2000 Ausg. 2</w:t>
            </w:r>
          </w:p>
        </w:tc>
        <w:tc>
          <w:tcPr>
            <w:tcW w:w="1085" w:type="dxa"/>
            <w:vAlign w:val="center"/>
          </w:tcPr>
          <w:p w14:paraId="36E1E3A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4,156</w:t>
            </w:r>
          </w:p>
        </w:tc>
        <w:tc>
          <w:tcPr>
            <w:tcW w:w="1086" w:type="dxa"/>
            <w:vAlign w:val="center"/>
          </w:tcPr>
          <w:p w14:paraId="12E6449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4,519</w:t>
            </w:r>
          </w:p>
        </w:tc>
        <w:tc>
          <w:tcPr>
            <w:tcW w:w="1085" w:type="dxa"/>
            <w:vAlign w:val="center"/>
          </w:tcPr>
          <w:p w14:paraId="26E2626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4,815</w:t>
            </w:r>
          </w:p>
        </w:tc>
        <w:tc>
          <w:tcPr>
            <w:tcW w:w="1086" w:type="dxa"/>
            <w:vAlign w:val="center"/>
          </w:tcPr>
          <w:p w14:paraId="55E59B1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4,996</w:t>
            </w:r>
          </w:p>
        </w:tc>
        <w:tc>
          <w:tcPr>
            <w:tcW w:w="1086" w:type="dxa"/>
            <w:vAlign w:val="center"/>
          </w:tcPr>
          <w:p w14:paraId="647C093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5,118</w:t>
            </w:r>
          </w:p>
        </w:tc>
        <w:tc>
          <w:tcPr>
            <w:tcW w:w="1085" w:type="dxa"/>
            <w:vAlign w:val="center"/>
          </w:tcPr>
          <w:p w14:paraId="057960F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5,240</w:t>
            </w:r>
          </w:p>
        </w:tc>
        <w:tc>
          <w:tcPr>
            <w:tcW w:w="1086" w:type="dxa"/>
            <w:vAlign w:val="center"/>
          </w:tcPr>
          <w:p w14:paraId="1C8A88A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5,351</w:t>
            </w:r>
          </w:p>
        </w:tc>
        <w:tc>
          <w:tcPr>
            <w:tcW w:w="1085" w:type="dxa"/>
            <w:vAlign w:val="center"/>
          </w:tcPr>
          <w:p w14:paraId="09A83D3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5,431</w:t>
            </w:r>
          </w:p>
        </w:tc>
        <w:tc>
          <w:tcPr>
            <w:tcW w:w="1086" w:type="dxa"/>
            <w:vAlign w:val="center"/>
          </w:tcPr>
          <w:p w14:paraId="1642223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5,481</w:t>
            </w:r>
          </w:p>
        </w:tc>
        <w:tc>
          <w:tcPr>
            <w:tcW w:w="1086" w:type="dxa"/>
            <w:vAlign w:val="center"/>
          </w:tcPr>
          <w:p w14:paraId="022704F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5,516</w:t>
            </w:r>
          </w:p>
        </w:tc>
      </w:tr>
      <w:tr w:rsidR="005A5BD5" w:rsidRPr="00CA3519" w14:paraId="2038F480" w14:textId="77777777" w:rsidTr="009B6E1B">
        <w:trPr>
          <w:trHeight w:val="397"/>
          <w:jc w:val="center"/>
        </w:trPr>
        <w:tc>
          <w:tcPr>
            <w:tcW w:w="2113" w:type="dxa"/>
            <w:vAlign w:val="center"/>
          </w:tcPr>
          <w:p w14:paraId="45DBF1A0"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Mai 2000</w:t>
            </w:r>
          </w:p>
        </w:tc>
        <w:tc>
          <w:tcPr>
            <w:tcW w:w="2113" w:type="dxa"/>
            <w:vAlign w:val="center"/>
          </w:tcPr>
          <w:p w14:paraId="21D1651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20.05.2000</w:t>
            </w:r>
          </w:p>
        </w:tc>
        <w:tc>
          <w:tcPr>
            <w:tcW w:w="1085" w:type="dxa"/>
            <w:vAlign w:val="center"/>
          </w:tcPr>
          <w:p w14:paraId="791FCE4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4,375</w:t>
            </w:r>
          </w:p>
        </w:tc>
        <w:tc>
          <w:tcPr>
            <w:tcW w:w="1086" w:type="dxa"/>
            <w:vAlign w:val="center"/>
          </w:tcPr>
          <w:p w14:paraId="5439C9C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4,690</w:t>
            </w:r>
          </w:p>
        </w:tc>
        <w:tc>
          <w:tcPr>
            <w:tcW w:w="1085" w:type="dxa"/>
            <w:vAlign w:val="center"/>
          </w:tcPr>
          <w:p w14:paraId="47FF539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4,949</w:t>
            </w:r>
          </w:p>
        </w:tc>
        <w:tc>
          <w:tcPr>
            <w:tcW w:w="1086" w:type="dxa"/>
            <w:vAlign w:val="center"/>
          </w:tcPr>
          <w:p w14:paraId="29361EA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5,118</w:t>
            </w:r>
          </w:p>
        </w:tc>
        <w:tc>
          <w:tcPr>
            <w:tcW w:w="1086" w:type="dxa"/>
            <w:vAlign w:val="center"/>
          </w:tcPr>
          <w:p w14:paraId="1C427D8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5,238</w:t>
            </w:r>
          </w:p>
        </w:tc>
        <w:tc>
          <w:tcPr>
            <w:tcW w:w="1085" w:type="dxa"/>
            <w:vAlign w:val="center"/>
          </w:tcPr>
          <w:p w14:paraId="3DD678D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5,348</w:t>
            </w:r>
          </w:p>
        </w:tc>
        <w:tc>
          <w:tcPr>
            <w:tcW w:w="1086" w:type="dxa"/>
            <w:vAlign w:val="center"/>
          </w:tcPr>
          <w:p w14:paraId="67E7817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5,442</w:t>
            </w:r>
          </w:p>
        </w:tc>
        <w:tc>
          <w:tcPr>
            <w:tcW w:w="1085" w:type="dxa"/>
            <w:vAlign w:val="center"/>
          </w:tcPr>
          <w:p w14:paraId="375D86A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5,508</w:t>
            </w:r>
          </w:p>
        </w:tc>
        <w:tc>
          <w:tcPr>
            <w:tcW w:w="1086" w:type="dxa"/>
            <w:vAlign w:val="center"/>
          </w:tcPr>
          <w:p w14:paraId="1A03436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5,551</w:t>
            </w:r>
          </w:p>
        </w:tc>
        <w:tc>
          <w:tcPr>
            <w:tcW w:w="1086" w:type="dxa"/>
            <w:vAlign w:val="center"/>
          </w:tcPr>
          <w:p w14:paraId="0A3EA47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5,580</w:t>
            </w:r>
          </w:p>
        </w:tc>
      </w:tr>
      <w:tr w:rsidR="005A5BD5" w:rsidRPr="00CA3519" w14:paraId="0ED24EED" w14:textId="77777777" w:rsidTr="009B6E1B">
        <w:trPr>
          <w:trHeight w:val="397"/>
          <w:jc w:val="center"/>
        </w:trPr>
        <w:tc>
          <w:tcPr>
            <w:tcW w:w="2113" w:type="dxa"/>
            <w:vAlign w:val="center"/>
          </w:tcPr>
          <w:p w14:paraId="4408A8F8"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Juni 2000</w:t>
            </w:r>
          </w:p>
        </w:tc>
        <w:tc>
          <w:tcPr>
            <w:tcW w:w="2113" w:type="dxa"/>
            <w:vAlign w:val="center"/>
          </w:tcPr>
          <w:p w14:paraId="1B46FD1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20.06.2000</w:t>
            </w:r>
          </w:p>
        </w:tc>
        <w:tc>
          <w:tcPr>
            <w:tcW w:w="1085" w:type="dxa"/>
            <w:vAlign w:val="center"/>
          </w:tcPr>
          <w:p w14:paraId="0D687B1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4,784</w:t>
            </w:r>
          </w:p>
        </w:tc>
        <w:tc>
          <w:tcPr>
            <w:tcW w:w="1086" w:type="dxa"/>
            <w:vAlign w:val="center"/>
          </w:tcPr>
          <w:p w14:paraId="7C47782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5,021</w:t>
            </w:r>
          </w:p>
        </w:tc>
        <w:tc>
          <w:tcPr>
            <w:tcW w:w="1085" w:type="dxa"/>
            <w:vAlign w:val="center"/>
          </w:tcPr>
          <w:p w14:paraId="5CDA271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5,211</w:t>
            </w:r>
          </w:p>
        </w:tc>
        <w:tc>
          <w:tcPr>
            <w:tcW w:w="1086" w:type="dxa"/>
            <w:vAlign w:val="center"/>
          </w:tcPr>
          <w:p w14:paraId="381BA2E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5,327</w:t>
            </w:r>
          </w:p>
        </w:tc>
        <w:tc>
          <w:tcPr>
            <w:tcW w:w="1086" w:type="dxa"/>
            <w:vAlign w:val="center"/>
          </w:tcPr>
          <w:p w14:paraId="1745858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5,405</w:t>
            </w:r>
          </w:p>
        </w:tc>
        <w:tc>
          <w:tcPr>
            <w:tcW w:w="1085" w:type="dxa"/>
            <w:vAlign w:val="center"/>
          </w:tcPr>
          <w:p w14:paraId="612097C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5,475</w:t>
            </w:r>
          </w:p>
        </w:tc>
        <w:tc>
          <w:tcPr>
            <w:tcW w:w="1086" w:type="dxa"/>
            <w:vAlign w:val="center"/>
          </w:tcPr>
          <w:p w14:paraId="3A6BCAA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5,533</w:t>
            </w:r>
          </w:p>
        </w:tc>
        <w:tc>
          <w:tcPr>
            <w:tcW w:w="1085" w:type="dxa"/>
            <w:vAlign w:val="center"/>
          </w:tcPr>
          <w:p w14:paraId="5449E08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5,573</w:t>
            </w:r>
          </w:p>
        </w:tc>
        <w:tc>
          <w:tcPr>
            <w:tcW w:w="1086" w:type="dxa"/>
            <w:vAlign w:val="center"/>
          </w:tcPr>
          <w:p w14:paraId="3136700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5,599</w:t>
            </w:r>
          </w:p>
        </w:tc>
        <w:tc>
          <w:tcPr>
            <w:tcW w:w="1086" w:type="dxa"/>
            <w:vAlign w:val="center"/>
          </w:tcPr>
          <w:p w14:paraId="1075B5F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5,619</w:t>
            </w:r>
          </w:p>
        </w:tc>
      </w:tr>
      <w:tr w:rsidR="005A5BD5" w:rsidRPr="00CA3519" w14:paraId="26B13181" w14:textId="77777777" w:rsidTr="009B6E1B">
        <w:trPr>
          <w:trHeight w:val="397"/>
          <w:jc w:val="center"/>
        </w:trPr>
        <w:tc>
          <w:tcPr>
            <w:tcW w:w="2113" w:type="dxa"/>
            <w:vAlign w:val="center"/>
          </w:tcPr>
          <w:p w14:paraId="352A822F"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Juli 2000</w:t>
            </w:r>
          </w:p>
        </w:tc>
        <w:tc>
          <w:tcPr>
            <w:tcW w:w="2113" w:type="dxa"/>
            <w:vAlign w:val="center"/>
          </w:tcPr>
          <w:p w14:paraId="3AD125B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20.07.2000</w:t>
            </w:r>
          </w:p>
        </w:tc>
        <w:tc>
          <w:tcPr>
            <w:tcW w:w="1085" w:type="dxa"/>
            <w:vAlign w:val="center"/>
          </w:tcPr>
          <w:p w14:paraId="04A15CE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4,865</w:t>
            </w:r>
          </w:p>
        </w:tc>
        <w:tc>
          <w:tcPr>
            <w:tcW w:w="1086" w:type="dxa"/>
            <w:vAlign w:val="center"/>
          </w:tcPr>
          <w:p w14:paraId="3D7638A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5,037</w:t>
            </w:r>
          </w:p>
        </w:tc>
        <w:tc>
          <w:tcPr>
            <w:tcW w:w="1085" w:type="dxa"/>
            <w:vAlign w:val="center"/>
          </w:tcPr>
          <w:p w14:paraId="7B68289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5,182</w:t>
            </w:r>
          </w:p>
        </w:tc>
        <w:tc>
          <w:tcPr>
            <w:tcW w:w="1086" w:type="dxa"/>
            <w:vAlign w:val="center"/>
          </w:tcPr>
          <w:p w14:paraId="65EB405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5,281</w:t>
            </w:r>
          </w:p>
        </w:tc>
        <w:tc>
          <w:tcPr>
            <w:tcW w:w="1086" w:type="dxa"/>
            <w:vAlign w:val="center"/>
          </w:tcPr>
          <w:p w14:paraId="0D0F344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5,355</w:t>
            </w:r>
          </w:p>
        </w:tc>
        <w:tc>
          <w:tcPr>
            <w:tcW w:w="1085" w:type="dxa"/>
            <w:vAlign w:val="center"/>
          </w:tcPr>
          <w:p w14:paraId="1B553AE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5,420</w:t>
            </w:r>
          </w:p>
        </w:tc>
        <w:tc>
          <w:tcPr>
            <w:tcW w:w="1086" w:type="dxa"/>
            <w:vAlign w:val="center"/>
          </w:tcPr>
          <w:p w14:paraId="2FC1386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5,472</w:t>
            </w:r>
          </w:p>
        </w:tc>
        <w:tc>
          <w:tcPr>
            <w:tcW w:w="1085" w:type="dxa"/>
            <w:vAlign w:val="center"/>
          </w:tcPr>
          <w:p w14:paraId="229CF59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5,506</w:t>
            </w:r>
          </w:p>
        </w:tc>
        <w:tc>
          <w:tcPr>
            <w:tcW w:w="1086" w:type="dxa"/>
            <w:vAlign w:val="center"/>
          </w:tcPr>
          <w:p w14:paraId="7A86BAE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5,533</w:t>
            </w:r>
          </w:p>
        </w:tc>
        <w:tc>
          <w:tcPr>
            <w:tcW w:w="1086" w:type="dxa"/>
            <w:vAlign w:val="center"/>
          </w:tcPr>
          <w:p w14:paraId="1DBE403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5,556</w:t>
            </w:r>
          </w:p>
        </w:tc>
      </w:tr>
      <w:tr w:rsidR="005A5BD5" w:rsidRPr="00CA3519" w14:paraId="3FC47D76" w14:textId="77777777" w:rsidTr="009B6E1B">
        <w:trPr>
          <w:trHeight w:val="397"/>
          <w:jc w:val="center"/>
        </w:trPr>
        <w:tc>
          <w:tcPr>
            <w:tcW w:w="2113" w:type="dxa"/>
            <w:vAlign w:val="center"/>
          </w:tcPr>
          <w:p w14:paraId="76C4E0F3"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August 2000</w:t>
            </w:r>
          </w:p>
        </w:tc>
        <w:tc>
          <w:tcPr>
            <w:tcW w:w="2113" w:type="dxa"/>
            <w:vAlign w:val="center"/>
          </w:tcPr>
          <w:p w14:paraId="79F6C83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22.08.2000</w:t>
            </w:r>
          </w:p>
        </w:tc>
        <w:tc>
          <w:tcPr>
            <w:tcW w:w="1085" w:type="dxa"/>
            <w:vAlign w:val="center"/>
          </w:tcPr>
          <w:p w14:paraId="0B6C665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5,003</w:t>
            </w:r>
          </w:p>
        </w:tc>
        <w:tc>
          <w:tcPr>
            <w:tcW w:w="1086" w:type="dxa"/>
            <w:vAlign w:val="center"/>
          </w:tcPr>
          <w:p w14:paraId="589DCDA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5,169</w:t>
            </w:r>
          </w:p>
        </w:tc>
        <w:tc>
          <w:tcPr>
            <w:tcW w:w="1085" w:type="dxa"/>
            <w:vAlign w:val="center"/>
          </w:tcPr>
          <w:p w14:paraId="38E82BA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5,297</w:t>
            </w:r>
          </w:p>
        </w:tc>
        <w:tc>
          <w:tcPr>
            <w:tcW w:w="1086" w:type="dxa"/>
            <w:vAlign w:val="center"/>
          </w:tcPr>
          <w:p w14:paraId="3DE0972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5,371</w:t>
            </w:r>
          </w:p>
        </w:tc>
        <w:tc>
          <w:tcPr>
            <w:tcW w:w="1086" w:type="dxa"/>
            <w:vAlign w:val="center"/>
          </w:tcPr>
          <w:p w14:paraId="6C130D4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5,414</w:t>
            </w:r>
          </w:p>
        </w:tc>
        <w:tc>
          <w:tcPr>
            <w:tcW w:w="1085" w:type="dxa"/>
            <w:vAlign w:val="center"/>
          </w:tcPr>
          <w:p w14:paraId="31F053E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5,444</w:t>
            </w:r>
          </w:p>
        </w:tc>
        <w:tc>
          <w:tcPr>
            <w:tcW w:w="1086" w:type="dxa"/>
            <w:vAlign w:val="center"/>
          </w:tcPr>
          <w:p w14:paraId="6BCF7DF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5,472</w:t>
            </w:r>
          </w:p>
        </w:tc>
        <w:tc>
          <w:tcPr>
            <w:tcW w:w="1085" w:type="dxa"/>
            <w:vAlign w:val="center"/>
          </w:tcPr>
          <w:p w14:paraId="121F42C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5,498</w:t>
            </w:r>
          </w:p>
        </w:tc>
        <w:tc>
          <w:tcPr>
            <w:tcW w:w="1086" w:type="dxa"/>
            <w:vAlign w:val="center"/>
          </w:tcPr>
          <w:p w14:paraId="5452411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5,529</w:t>
            </w:r>
          </w:p>
        </w:tc>
        <w:tc>
          <w:tcPr>
            <w:tcW w:w="1086" w:type="dxa"/>
            <w:vAlign w:val="center"/>
          </w:tcPr>
          <w:p w14:paraId="7297AC9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5,556</w:t>
            </w:r>
          </w:p>
        </w:tc>
      </w:tr>
      <w:tr w:rsidR="005A5BD5" w:rsidRPr="00CA3519" w14:paraId="362F8659" w14:textId="77777777" w:rsidTr="009B6E1B">
        <w:trPr>
          <w:trHeight w:val="397"/>
          <w:jc w:val="center"/>
        </w:trPr>
        <w:tc>
          <w:tcPr>
            <w:tcW w:w="2113" w:type="dxa"/>
            <w:vAlign w:val="center"/>
          </w:tcPr>
          <w:p w14:paraId="700DEDA8"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September 2000</w:t>
            </w:r>
          </w:p>
        </w:tc>
        <w:tc>
          <w:tcPr>
            <w:tcW w:w="2113" w:type="dxa"/>
            <w:vAlign w:val="center"/>
          </w:tcPr>
          <w:p w14:paraId="6163456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20.09.2000</w:t>
            </w:r>
          </w:p>
        </w:tc>
        <w:tc>
          <w:tcPr>
            <w:tcW w:w="1085" w:type="dxa"/>
            <w:vAlign w:val="center"/>
          </w:tcPr>
          <w:p w14:paraId="386A9EE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5,164</w:t>
            </w:r>
          </w:p>
        </w:tc>
        <w:tc>
          <w:tcPr>
            <w:tcW w:w="1086" w:type="dxa"/>
            <w:vAlign w:val="center"/>
          </w:tcPr>
          <w:p w14:paraId="6D5E712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5,284</w:t>
            </w:r>
          </w:p>
        </w:tc>
        <w:tc>
          <w:tcPr>
            <w:tcW w:w="1085" w:type="dxa"/>
            <w:vAlign w:val="center"/>
          </w:tcPr>
          <w:p w14:paraId="5B29088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5,382</w:t>
            </w:r>
          </w:p>
        </w:tc>
        <w:tc>
          <w:tcPr>
            <w:tcW w:w="1086" w:type="dxa"/>
            <w:vAlign w:val="center"/>
          </w:tcPr>
          <w:p w14:paraId="503988B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5,449</w:t>
            </w:r>
          </w:p>
        </w:tc>
        <w:tc>
          <w:tcPr>
            <w:tcW w:w="1086" w:type="dxa"/>
            <w:vAlign w:val="center"/>
          </w:tcPr>
          <w:p w14:paraId="4A3E0A7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5,490</w:t>
            </w:r>
          </w:p>
        </w:tc>
        <w:tc>
          <w:tcPr>
            <w:tcW w:w="1085" w:type="dxa"/>
            <w:vAlign w:val="center"/>
          </w:tcPr>
          <w:p w14:paraId="4923CC4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5,513</w:t>
            </w:r>
          </w:p>
        </w:tc>
        <w:tc>
          <w:tcPr>
            <w:tcW w:w="1086" w:type="dxa"/>
            <w:vAlign w:val="center"/>
          </w:tcPr>
          <w:p w14:paraId="7D61565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5,530</w:t>
            </w:r>
          </w:p>
        </w:tc>
        <w:tc>
          <w:tcPr>
            <w:tcW w:w="1085" w:type="dxa"/>
            <w:vAlign w:val="center"/>
          </w:tcPr>
          <w:p w14:paraId="1A3B87C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5,546</w:t>
            </w:r>
          </w:p>
        </w:tc>
        <w:tc>
          <w:tcPr>
            <w:tcW w:w="1086" w:type="dxa"/>
            <w:vAlign w:val="center"/>
          </w:tcPr>
          <w:p w14:paraId="78D3B9B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5,564</w:t>
            </w:r>
          </w:p>
        </w:tc>
        <w:tc>
          <w:tcPr>
            <w:tcW w:w="1086" w:type="dxa"/>
            <w:vAlign w:val="center"/>
          </w:tcPr>
          <w:p w14:paraId="6D88DA6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5,583</w:t>
            </w:r>
          </w:p>
        </w:tc>
      </w:tr>
      <w:tr w:rsidR="005A5BD5" w:rsidRPr="00CA3519" w14:paraId="63B6F2EC" w14:textId="77777777" w:rsidTr="009B6E1B">
        <w:trPr>
          <w:trHeight w:val="397"/>
          <w:jc w:val="center"/>
        </w:trPr>
        <w:tc>
          <w:tcPr>
            <w:tcW w:w="2113" w:type="dxa"/>
            <w:vAlign w:val="center"/>
          </w:tcPr>
          <w:p w14:paraId="5841D195"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lastRenderedPageBreak/>
              <w:t>Oktober 2000</w:t>
            </w:r>
          </w:p>
        </w:tc>
        <w:tc>
          <w:tcPr>
            <w:tcW w:w="2113" w:type="dxa"/>
            <w:vAlign w:val="center"/>
          </w:tcPr>
          <w:p w14:paraId="7012256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20.10.2000 + Err. 25.10.2000 Ausg. 2</w:t>
            </w:r>
          </w:p>
        </w:tc>
        <w:tc>
          <w:tcPr>
            <w:tcW w:w="1085" w:type="dxa"/>
            <w:vAlign w:val="center"/>
          </w:tcPr>
          <w:p w14:paraId="0330FBC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5,076</w:t>
            </w:r>
          </w:p>
        </w:tc>
        <w:tc>
          <w:tcPr>
            <w:tcW w:w="1086" w:type="dxa"/>
            <w:vAlign w:val="center"/>
          </w:tcPr>
          <w:p w14:paraId="0938507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5,170</w:t>
            </w:r>
          </w:p>
        </w:tc>
        <w:tc>
          <w:tcPr>
            <w:tcW w:w="1085" w:type="dxa"/>
            <w:vAlign w:val="center"/>
          </w:tcPr>
          <w:p w14:paraId="5073EE8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5,264</w:t>
            </w:r>
          </w:p>
        </w:tc>
        <w:tc>
          <w:tcPr>
            <w:tcW w:w="1086" w:type="dxa"/>
            <w:vAlign w:val="center"/>
          </w:tcPr>
          <w:p w14:paraId="0A918C5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5,349</w:t>
            </w:r>
          </w:p>
        </w:tc>
        <w:tc>
          <w:tcPr>
            <w:tcW w:w="1086" w:type="dxa"/>
            <w:vAlign w:val="center"/>
          </w:tcPr>
          <w:p w14:paraId="0CC1CD1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5,418</w:t>
            </w:r>
          </w:p>
        </w:tc>
        <w:tc>
          <w:tcPr>
            <w:tcW w:w="1085" w:type="dxa"/>
            <w:vAlign w:val="center"/>
          </w:tcPr>
          <w:p w14:paraId="01E5728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5,472</w:t>
            </w:r>
          </w:p>
        </w:tc>
        <w:tc>
          <w:tcPr>
            <w:tcW w:w="1086" w:type="dxa"/>
            <w:vAlign w:val="center"/>
          </w:tcPr>
          <w:p w14:paraId="5A684F7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5,515</w:t>
            </w:r>
          </w:p>
        </w:tc>
        <w:tc>
          <w:tcPr>
            <w:tcW w:w="1085" w:type="dxa"/>
            <w:vAlign w:val="center"/>
          </w:tcPr>
          <w:p w14:paraId="6EBE0DB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5,554</w:t>
            </w:r>
          </w:p>
        </w:tc>
        <w:tc>
          <w:tcPr>
            <w:tcW w:w="1086" w:type="dxa"/>
            <w:vAlign w:val="center"/>
          </w:tcPr>
          <w:p w14:paraId="0C21ACE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5,590</w:t>
            </w:r>
          </w:p>
        </w:tc>
        <w:tc>
          <w:tcPr>
            <w:tcW w:w="1086" w:type="dxa"/>
            <w:vAlign w:val="center"/>
          </w:tcPr>
          <w:p w14:paraId="02F3F2D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5,621</w:t>
            </w:r>
          </w:p>
        </w:tc>
      </w:tr>
      <w:tr w:rsidR="005A5BD5" w:rsidRPr="00CA3519" w14:paraId="723CB9C9" w14:textId="77777777" w:rsidTr="009B6E1B">
        <w:trPr>
          <w:trHeight w:val="397"/>
          <w:jc w:val="center"/>
        </w:trPr>
        <w:tc>
          <w:tcPr>
            <w:tcW w:w="2113" w:type="dxa"/>
            <w:vAlign w:val="center"/>
          </w:tcPr>
          <w:p w14:paraId="7C922E03"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November 2000</w:t>
            </w:r>
          </w:p>
        </w:tc>
        <w:tc>
          <w:tcPr>
            <w:tcW w:w="2113" w:type="dxa"/>
            <w:vAlign w:val="center"/>
          </w:tcPr>
          <w:p w14:paraId="0EFC179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18.11.2000</w:t>
            </w:r>
          </w:p>
        </w:tc>
        <w:tc>
          <w:tcPr>
            <w:tcW w:w="1085" w:type="dxa"/>
            <w:vAlign w:val="center"/>
          </w:tcPr>
          <w:p w14:paraId="7822928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5,120</w:t>
            </w:r>
          </w:p>
        </w:tc>
        <w:tc>
          <w:tcPr>
            <w:tcW w:w="1086" w:type="dxa"/>
            <w:vAlign w:val="center"/>
          </w:tcPr>
          <w:p w14:paraId="615B996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5,167</w:t>
            </w:r>
          </w:p>
        </w:tc>
        <w:tc>
          <w:tcPr>
            <w:tcW w:w="1085" w:type="dxa"/>
            <w:vAlign w:val="center"/>
          </w:tcPr>
          <w:p w14:paraId="121A1C4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5,217</w:t>
            </w:r>
          </w:p>
        </w:tc>
        <w:tc>
          <w:tcPr>
            <w:tcW w:w="1086" w:type="dxa"/>
            <w:vAlign w:val="center"/>
          </w:tcPr>
          <w:p w14:paraId="0EBAB6C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5,280</w:t>
            </w:r>
          </w:p>
        </w:tc>
        <w:tc>
          <w:tcPr>
            <w:tcW w:w="1086" w:type="dxa"/>
            <w:vAlign w:val="center"/>
          </w:tcPr>
          <w:p w14:paraId="2C0340A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5,347</w:t>
            </w:r>
          </w:p>
        </w:tc>
        <w:tc>
          <w:tcPr>
            <w:tcW w:w="1085" w:type="dxa"/>
            <w:vAlign w:val="center"/>
          </w:tcPr>
          <w:p w14:paraId="13D4BF6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5,414</w:t>
            </w:r>
          </w:p>
        </w:tc>
        <w:tc>
          <w:tcPr>
            <w:tcW w:w="1086" w:type="dxa"/>
            <w:vAlign w:val="center"/>
          </w:tcPr>
          <w:p w14:paraId="63C0BA9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5,469</w:t>
            </w:r>
          </w:p>
        </w:tc>
        <w:tc>
          <w:tcPr>
            <w:tcW w:w="1085" w:type="dxa"/>
            <w:vAlign w:val="center"/>
          </w:tcPr>
          <w:p w14:paraId="73C35F0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5,512</w:t>
            </w:r>
          </w:p>
        </w:tc>
        <w:tc>
          <w:tcPr>
            <w:tcW w:w="1086" w:type="dxa"/>
            <w:vAlign w:val="center"/>
          </w:tcPr>
          <w:p w14:paraId="2921EC3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5,546</w:t>
            </w:r>
          </w:p>
        </w:tc>
        <w:tc>
          <w:tcPr>
            <w:tcW w:w="1086" w:type="dxa"/>
            <w:vAlign w:val="center"/>
          </w:tcPr>
          <w:p w14:paraId="156F848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5,578</w:t>
            </w:r>
          </w:p>
        </w:tc>
      </w:tr>
      <w:tr w:rsidR="005A5BD5" w:rsidRPr="00CA3519" w14:paraId="39905163" w14:textId="77777777" w:rsidTr="009B6E1B">
        <w:trPr>
          <w:trHeight w:val="397"/>
          <w:jc w:val="center"/>
        </w:trPr>
        <w:tc>
          <w:tcPr>
            <w:tcW w:w="2113" w:type="dxa"/>
            <w:vAlign w:val="center"/>
          </w:tcPr>
          <w:p w14:paraId="1EB04670"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Dezember 2000</w:t>
            </w:r>
          </w:p>
        </w:tc>
        <w:tc>
          <w:tcPr>
            <w:tcW w:w="2113" w:type="dxa"/>
            <w:vAlign w:val="center"/>
          </w:tcPr>
          <w:p w14:paraId="6B8AF83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20.12.2000</w:t>
            </w:r>
          </w:p>
        </w:tc>
        <w:tc>
          <w:tcPr>
            <w:tcW w:w="1085" w:type="dxa"/>
            <w:vAlign w:val="center"/>
          </w:tcPr>
          <w:p w14:paraId="4D62869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4,988</w:t>
            </w:r>
          </w:p>
        </w:tc>
        <w:tc>
          <w:tcPr>
            <w:tcW w:w="1086" w:type="dxa"/>
            <w:vAlign w:val="center"/>
          </w:tcPr>
          <w:p w14:paraId="57D32D7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5,028</w:t>
            </w:r>
          </w:p>
        </w:tc>
        <w:tc>
          <w:tcPr>
            <w:tcW w:w="1085" w:type="dxa"/>
            <w:vAlign w:val="center"/>
          </w:tcPr>
          <w:p w14:paraId="5B83444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5,076</w:t>
            </w:r>
          </w:p>
        </w:tc>
        <w:tc>
          <w:tcPr>
            <w:tcW w:w="1086" w:type="dxa"/>
            <w:vAlign w:val="center"/>
          </w:tcPr>
          <w:p w14:paraId="55DF5E2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5,135</w:t>
            </w:r>
          </w:p>
        </w:tc>
        <w:tc>
          <w:tcPr>
            <w:tcW w:w="1086" w:type="dxa"/>
            <w:vAlign w:val="center"/>
          </w:tcPr>
          <w:p w14:paraId="752B58B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5,202</w:t>
            </w:r>
          </w:p>
        </w:tc>
        <w:tc>
          <w:tcPr>
            <w:tcW w:w="1085" w:type="dxa"/>
            <w:vAlign w:val="center"/>
          </w:tcPr>
          <w:p w14:paraId="1AF6D22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5,266</w:t>
            </w:r>
          </w:p>
        </w:tc>
        <w:tc>
          <w:tcPr>
            <w:tcW w:w="1086" w:type="dxa"/>
            <w:vAlign w:val="center"/>
          </w:tcPr>
          <w:p w14:paraId="09E7DC4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5,322</w:t>
            </w:r>
          </w:p>
        </w:tc>
        <w:tc>
          <w:tcPr>
            <w:tcW w:w="1085" w:type="dxa"/>
            <w:vAlign w:val="center"/>
          </w:tcPr>
          <w:p w14:paraId="1EFA9B0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5,365</w:t>
            </w:r>
          </w:p>
        </w:tc>
        <w:tc>
          <w:tcPr>
            <w:tcW w:w="1086" w:type="dxa"/>
            <w:vAlign w:val="center"/>
          </w:tcPr>
          <w:p w14:paraId="0F19884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5,406</w:t>
            </w:r>
          </w:p>
        </w:tc>
        <w:tc>
          <w:tcPr>
            <w:tcW w:w="1086" w:type="dxa"/>
            <w:vAlign w:val="center"/>
          </w:tcPr>
          <w:p w14:paraId="618EAD04" w14:textId="77777777" w:rsidR="005A5BD5" w:rsidRPr="00CA3519" w:rsidRDefault="005A5BD5" w:rsidP="004C2C7D">
            <w:pPr>
              <w:jc w:val="center"/>
              <w:rPr>
                <w:rFonts w:eastAsia="Calibri"/>
                <w:szCs w:val="22"/>
                <w:lang w:eastAsia="en-US"/>
              </w:rPr>
            </w:pPr>
            <w:r w:rsidRPr="00CA3519">
              <w:rPr>
                <w:rFonts w:eastAsia="Calibri"/>
                <w:snapToGrid w:val="0"/>
                <w:sz w:val="17"/>
                <w:szCs w:val="22"/>
                <w:lang w:eastAsia="en-US"/>
              </w:rPr>
              <w:t>5,444]</w:t>
            </w:r>
          </w:p>
        </w:tc>
      </w:tr>
      <w:tr w:rsidR="005A5BD5" w:rsidRPr="00CA3519" w14:paraId="3E658829" w14:textId="77777777" w:rsidTr="009B6E1B">
        <w:trPr>
          <w:trHeight w:val="397"/>
          <w:jc w:val="center"/>
        </w:trPr>
        <w:tc>
          <w:tcPr>
            <w:tcW w:w="2113" w:type="dxa"/>
            <w:vAlign w:val="center"/>
          </w:tcPr>
          <w:p w14:paraId="708F221F"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[Januar 2001</w:t>
            </w:r>
          </w:p>
        </w:tc>
        <w:tc>
          <w:tcPr>
            <w:tcW w:w="2113" w:type="dxa"/>
            <w:vAlign w:val="center"/>
          </w:tcPr>
          <w:p w14:paraId="3E1CF35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20.01.2001</w:t>
            </w:r>
          </w:p>
        </w:tc>
        <w:tc>
          <w:tcPr>
            <w:tcW w:w="1085" w:type="dxa"/>
            <w:vAlign w:val="center"/>
          </w:tcPr>
          <w:p w14:paraId="77AF9EE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4,637</w:t>
            </w:r>
          </w:p>
        </w:tc>
        <w:tc>
          <w:tcPr>
            <w:tcW w:w="1086" w:type="dxa"/>
            <w:vAlign w:val="center"/>
          </w:tcPr>
          <w:p w14:paraId="2770D9E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4,660</w:t>
            </w:r>
          </w:p>
        </w:tc>
        <w:tc>
          <w:tcPr>
            <w:tcW w:w="1085" w:type="dxa"/>
            <w:vAlign w:val="center"/>
          </w:tcPr>
          <w:p w14:paraId="2F63D9F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4,696</w:t>
            </w:r>
          </w:p>
        </w:tc>
        <w:tc>
          <w:tcPr>
            <w:tcW w:w="1086" w:type="dxa"/>
            <w:vAlign w:val="center"/>
          </w:tcPr>
          <w:p w14:paraId="24ADC64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4,814</w:t>
            </w:r>
          </w:p>
        </w:tc>
        <w:tc>
          <w:tcPr>
            <w:tcW w:w="1086" w:type="dxa"/>
            <w:vAlign w:val="center"/>
          </w:tcPr>
          <w:p w14:paraId="399C5AB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4,852</w:t>
            </w:r>
          </w:p>
        </w:tc>
        <w:tc>
          <w:tcPr>
            <w:tcW w:w="1085" w:type="dxa"/>
            <w:vAlign w:val="center"/>
          </w:tcPr>
          <w:p w14:paraId="3E5054C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4,941</w:t>
            </w:r>
          </w:p>
        </w:tc>
        <w:tc>
          <w:tcPr>
            <w:tcW w:w="1086" w:type="dxa"/>
            <w:vAlign w:val="center"/>
          </w:tcPr>
          <w:p w14:paraId="2AD02DC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5,024</w:t>
            </w:r>
          </w:p>
        </w:tc>
        <w:tc>
          <w:tcPr>
            <w:tcW w:w="1085" w:type="dxa"/>
            <w:vAlign w:val="center"/>
          </w:tcPr>
          <w:p w14:paraId="0F7917F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5,095</w:t>
            </w:r>
          </w:p>
        </w:tc>
        <w:tc>
          <w:tcPr>
            <w:tcW w:w="1086" w:type="dxa"/>
            <w:vAlign w:val="center"/>
          </w:tcPr>
          <w:p w14:paraId="33983A9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5,160</w:t>
            </w:r>
          </w:p>
        </w:tc>
        <w:tc>
          <w:tcPr>
            <w:tcW w:w="1086" w:type="dxa"/>
            <w:vAlign w:val="center"/>
          </w:tcPr>
          <w:p w14:paraId="720B811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5,220</w:t>
            </w:r>
          </w:p>
        </w:tc>
      </w:tr>
      <w:tr w:rsidR="005A5BD5" w:rsidRPr="00CA3519" w14:paraId="25A80C27" w14:textId="77777777" w:rsidTr="009B6E1B">
        <w:trPr>
          <w:trHeight w:val="397"/>
          <w:jc w:val="center"/>
        </w:trPr>
        <w:tc>
          <w:tcPr>
            <w:tcW w:w="2113" w:type="dxa"/>
            <w:vAlign w:val="center"/>
          </w:tcPr>
          <w:p w14:paraId="58255726"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Februar 2001</w:t>
            </w:r>
          </w:p>
        </w:tc>
        <w:tc>
          <w:tcPr>
            <w:tcW w:w="2113" w:type="dxa"/>
            <w:vAlign w:val="center"/>
          </w:tcPr>
          <w:p w14:paraId="2B8D26D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20.02.2001 Ausg. 2</w:t>
            </w:r>
          </w:p>
        </w:tc>
        <w:tc>
          <w:tcPr>
            <w:tcW w:w="1085" w:type="dxa"/>
            <w:vAlign w:val="center"/>
          </w:tcPr>
          <w:p w14:paraId="6118F93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4,436</w:t>
            </w:r>
          </w:p>
        </w:tc>
        <w:tc>
          <w:tcPr>
            <w:tcW w:w="1086" w:type="dxa"/>
            <w:vAlign w:val="center"/>
          </w:tcPr>
          <w:p w14:paraId="161DF31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4,534</w:t>
            </w:r>
          </w:p>
        </w:tc>
        <w:tc>
          <w:tcPr>
            <w:tcW w:w="1085" w:type="dxa"/>
            <w:vAlign w:val="center"/>
          </w:tcPr>
          <w:p w14:paraId="1603D56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4,628</w:t>
            </w:r>
          </w:p>
        </w:tc>
        <w:tc>
          <w:tcPr>
            <w:tcW w:w="1086" w:type="dxa"/>
            <w:vAlign w:val="center"/>
          </w:tcPr>
          <w:p w14:paraId="2C1FC48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4,714</w:t>
            </w:r>
          </w:p>
        </w:tc>
        <w:tc>
          <w:tcPr>
            <w:tcW w:w="1086" w:type="dxa"/>
            <w:vAlign w:val="center"/>
          </w:tcPr>
          <w:p w14:paraId="59C2B07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4,802</w:t>
            </w:r>
          </w:p>
        </w:tc>
        <w:tc>
          <w:tcPr>
            <w:tcW w:w="1085" w:type="dxa"/>
            <w:vAlign w:val="center"/>
          </w:tcPr>
          <w:p w14:paraId="1CF91ED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4,890</w:t>
            </w:r>
          </w:p>
        </w:tc>
        <w:tc>
          <w:tcPr>
            <w:tcW w:w="1086" w:type="dxa"/>
            <w:vAlign w:val="center"/>
          </w:tcPr>
          <w:p w14:paraId="1C204AB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4,969</w:t>
            </w:r>
          </w:p>
        </w:tc>
        <w:tc>
          <w:tcPr>
            <w:tcW w:w="1085" w:type="dxa"/>
            <w:vAlign w:val="center"/>
          </w:tcPr>
          <w:p w14:paraId="1DDEFB9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5,036</w:t>
            </w:r>
          </w:p>
        </w:tc>
        <w:tc>
          <w:tcPr>
            <w:tcW w:w="1086" w:type="dxa"/>
            <w:vAlign w:val="center"/>
          </w:tcPr>
          <w:p w14:paraId="0E6690A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5,094</w:t>
            </w:r>
          </w:p>
        </w:tc>
        <w:tc>
          <w:tcPr>
            <w:tcW w:w="1086" w:type="dxa"/>
            <w:vAlign w:val="center"/>
          </w:tcPr>
          <w:p w14:paraId="0FC8CE8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5,150</w:t>
            </w:r>
          </w:p>
        </w:tc>
      </w:tr>
      <w:tr w:rsidR="005A5BD5" w:rsidRPr="00CA3519" w14:paraId="7D458DBD" w14:textId="77777777" w:rsidTr="009B6E1B">
        <w:trPr>
          <w:trHeight w:val="397"/>
          <w:jc w:val="center"/>
        </w:trPr>
        <w:tc>
          <w:tcPr>
            <w:tcW w:w="2113" w:type="dxa"/>
            <w:vAlign w:val="center"/>
          </w:tcPr>
          <w:p w14:paraId="3AE6F85A"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März 2001</w:t>
            </w:r>
          </w:p>
        </w:tc>
        <w:tc>
          <w:tcPr>
            <w:tcW w:w="2113" w:type="dxa"/>
            <w:vAlign w:val="center"/>
          </w:tcPr>
          <w:p w14:paraId="49D279C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20.03.2001</w:t>
            </w:r>
          </w:p>
        </w:tc>
        <w:tc>
          <w:tcPr>
            <w:tcW w:w="1085" w:type="dxa"/>
            <w:vAlign w:val="center"/>
          </w:tcPr>
          <w:p w14:paraId="2A967C0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4,463</w:t>
            </w:r>
          </w:p>
        </w:tc>
        <w:tc>
          <w:tcPr>
            <w:tcW w:w="1086" w:type="dxa"/>
            <w:vAlign w:val="center"/>
          </w:tcPr>
          <w:p w14:paraId="6A21870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4,540</w:t>
            </w:r>
          </w:p>
        </w:tc>
        <w:tc>
          <w:tcPr>
            <w:tcW w:w="1085" w:type="dxa"/>
            <w:vAlign w:val="center"/>
          </w:tcPr>
          <w:p w14:paraId="23466AB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4,614</w:t>
            </w:r>
          </w:p>
        </w:tc>
        <w:tc>
          <w:tcPr>
            <w:tcW w:w="1086" w:type="dxa"/>
            <w:vAlign w:val="center"/>
          </w:tcPr>
          <w:p w14:paraId="5F77DCE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4,704</w:t>
            </w:r>
          </w:p>
        </w:tc>
        <w:tc>
          <w:tcPr>
            <w:tcW w:w="1086" w:type="dxa"/>
            <w:vAlign w:val="center"/>
          </w:tcPr>
          <w:p w14:paraId="146219C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4,788</w:t>
            </w:r>
          </w:p>
        </w:tc>
        <w:tc>
          <w:tcPr>
            <w:tcW w:w="1085" w:type="dxa"/>
            <w:vAlign w:val="center"/>
          </w:tcPr>
          <w:p w14:paraId="1284BAC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4,862</w:t>
            </w:r>
          </w:p>
        </w:tc>
        <w:tc>
          <w:tcPr>
            <w:tcW w:w="1086" w:type="dxa"/>
            <w:vAlign w:val="center"/>
          </w:tcPr>
          <w:p w14:paraId="08FED81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4,931</w:t>
            </w:r>
          </w:p>
        </w:tc>
        <w:tc>
          <w:tcPr>
            <w:tcW w:w="1085" w:type="dxa"/>
            <w:vAlign w:val="center"/>
          </w:tcPr>
          <w:p w14:paraId="33B5864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4,989</w:t>
            </w:r>
          </w:p>
        </w:tc>
        <w:tc>
          <w:tcPr>
            <w:tcW w:w="1086" w:type="dxa"/>
            <w:vAlign w:val="center"/>
          </w:tcPr>
          <w:p w14:paraId="55EC74E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5,049</w:t>
            </w:r>
          </w:p>
        </w:tc>
        <w:tc>
          <w:tcPr>
            <w:tcW w:w="1086" w:type="dxa"/>
            <w:vAlign w:val="center"/>
          </w:tcPr>
          <w:p w14:paraId="6B4CD2F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5,110</w:t>
            </w:r>
          </w:p>
        </w:tc>
      </w:tr>
      <w:tr w:rsidR="005A5BD5" w:rsidRPr="00CA3519" w14:paraId="0CAFC8A1" w14:textId="77777777" w:rsidTr="009B6E1B">
        <w:trPr>
          <w:trHeight w:val="397"/>
          <w:jc w:val="center"/>
        </w:trPr>
        <w:tc>
          <w:tcPr>
            <w:tcW w:w="2113" w:type="dxa"/>
            <w:vAlign w:val="center"/>
          </w:tcPr>
          <w:p w14:paraId="705B875D"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April 2001</w:t>
            </w:r>
          </w:p>
        </w:tc>
        <w:tc>
          <w:tcPr>
            <w:tcW w:w="2113" w:type="dxa"/>
            <w:vAlign w:val="center"/>
          </w:tcPr>
          <w:p w14:paraId="0264F6C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20.04.2001</w:t>
            </w:r>
          </w:p>
        </w:tc>
        <w:tc>
          <w:tcPr>
            <w:tcW w:w="1085" w:type="dxa"/>
            <w:vAlign w:val="center"/>
          </w:tcPr>
          <w:p w14:paraId="765C94E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4,282</w:t>
            </w:r>
          </w:p>
        </w:tc>
        <w:tc>
          <w:tcPr>
            <w:tcW w:w="1086" w:type="dxa"/>
            <w:vAlign w:val="center"/>
          </w:tcPr>
          <w:p w14:paraId="58C91C8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4,352</w:t>
            </w:r>
          </w:p>
        </w:tc>
        <w:tc>
          <w:tcPr>
            <w:tcW w:w="1085" w:type="dxa"/>
            <w:vAlign w:val="center"/>
          </w:tcPr>
          <w:p w14:paraId="3657C02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4,435</w:t>
            </w:r>
          </w:p>
        </w:tc>
        <w:tc>
          <w:tcPr>
            <w:tcW w:w="1086" w:type="dxa"/>
            <w:vAlign w:val="center"/>
          </w:tcPr>
          <w:p w14:paraId="5F738DF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4,531</w:t>
            </w:r>
          </w:p>
        </w:tc>
        <w:tc>
          <w:tcPr>
            <w:tcW w:w="1086" w:type="dxa"/>
            <w:vAlign w:val="center"/>
          </w:tcPr>
          <w:p w14:paraId="6F19B82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4,636</w:t>
            </w:r>
          </w:p>
        </w:tc>
        <w:tc>
          <w:tcPr>
            <w:tcW w:w="1085" w:type="dxa"/>
            <w:vAlign w:val="center"/>
          </w:tcPr>
          <w:p w14:paraId="48BAD3A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4,736</w:t>
            </w:r>
          </w:p>
        </w:tc>
        <w:tc>
          <w:tcPr>
            <w:tcW w:w="1086" w:type="dxa"/>
            <w:vAlign w:val="center"/>
          </w:tcPr>
          <w:p w14:paraId="4256E16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4,824</w:t>
            </w:r>
          </w:p>
        </w:tc>
        <w:tc>
          <w:tcPr>
            <w:tcW w:w="1085" w:type="dxa"/>
            <w:vAlign w:val="center"/>
          </w:tcPr>
          <w:p w14:paraId="1A12BCB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4,897</w:t>
            </w:r>
          </w:p>
        </w:tc>
        <w:tc>
          <w:tcPr>
            <w:tcW w:w="1086" w:type="dxa"/>
            <w:vAlign w:val="center"/>
          </w:tcPr>
          <w:p w14:paraId="5BDE48B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4,965</w:t>
            </w:r>
          </w:p>
        </w:tc>
        <w:tc>
          <w:tcPr>
            <w:tcW w:w="1086" w:type="dxa"/>
            <w:vAlign w:val="center"/>
          </w:tcPr>
          <w:p w14:paraId="7999647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5,034</w:t>
            </w:r>
          </w:p>
        </w:tc>
      </w:tr>
      <w:tr w:rsidR="005A5BD5" w:rsidRPr="00CA3519" w14:paraId="6DD2ED51" w14:textId="77777777" w:rsidTr="009B6E1B">
        <w:trPr>
          <w:trHeight w:val="397"/>
          <w:jc w:val="center"/>
        </w:trPr>
        <w:tc>
          <w:tcPr>
            <w:tcW w:w="2113" w:type="dxa"/>
            <w:vAlign w:val="center"/>
          </w:tcPr>
          <w:p w14:paraId="4EB08029"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Mai 2001</w:t>
            </w:r>
          </w:p>
        </w:tc>
        <w:tc>
          <w:tcPr>
            <w:tcW w:w="2113" w:type="dxa"/>
            <w:vAlign w:val="center"/>
          </w:tcPr>
          <w:p w14:paraId="64317D2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22.05.2001</w:t>
            </w:r>
          </w:p>
        </w:tc>
        <w:tc>
          <w:tcPr>
            <w:tcW w:w="1085" w:type="dxa"/>
            <w:vAlign w:val="center"/>
          </w:tcPr>
          <w:p w14:paraId="599B66A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4,511</w:t>
            </w:r>
          </w:p>
        </w:tc>
        <w:tc>
          <w:tcPr>
            <w:tcW w:w="1086" w:type="dxa"/>
            <w:vAlign w:val="center"/>
          </w:tcPr>
          <w:p w14:paraId="39BF2AC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4,576</w:t>
            </w:r>
          </w:p>
        </w:tc>
        <w:tc>
          <w:tcPr>
            <w:tcW w:w="1085" w:type="dxa"/>
            <w:vAlign w:val="center"/>
          </w:tcPr>
          <w:p w14:paraId="75D9010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4,658</w:t>
            </w:r>
          </w:p>
        </w:tc>
        <w:tc>
          <w:tcPr>
            <w:tcW w:w="1086" w:type="dxa"/>
            <w:vAlign w:val="center"/>
          </w:tcPr>
          <w:p w14:paraId="2108BF6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4,767</w:t>
            </w:r>
          </w:p>
        </w:tc>
        <w:tc>
          <w:tcPr>
            <w:tcW w:w="1086" w:type="dxa"/>
            <w:vAlign w:val="center"/>
          </w:tcPr>
          <w:p w14:paraId="67A4DC2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4,876</w:t>
            </w:r>
          </w:p>
        </w:tc>
        <w:tc>
          <w:tcPr>
            <w:tcW w:w="1085" w:type="dxa"/>
            <w:vAlign w:val="center"/>
          </w:tcPr>
          <w:p w14:paraId="3A9F251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4,971</w:t>
            </w:r>
          </w:p>
        </w:tc>
        <w:tc>
          <w:tcPr>
            <w:tcW w:w="1086" w:type="dxa"/>
            <w:vAlign w:val="center"/>
          </w:tcPr>
          <w:p w14:paraId="065F3B3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5,053</w:t>
            </w:r>
          </w:p>
        </w:tc>
        <w:tc>
          <w:tcPr>
            <w:tcW w:w="1085" w:type="dxa"/>
            <w:vAlign w:val="center"/>
          </w:tcPr>
          <w:p w14:paraId="0E6FDF5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5,125</w:t>
            </w:r>
          </w:p>
        </w:tc>
        <w:tc>
          <w:tcPr>
            <w:tcW w:w="1086" w:type="dxa"/>
            <w:vAlign w:val="center"/>
          </w:tcPr>
          <w:p w14:paraId="74D6BF3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5,191</w:t>
            </w:r>
          </w:p>
        </w:tc>
        <w:tc>
          <w:tcPr>
            <w:tcW w:w="1086" w:type="dxa"/>
            <w:vAlign w:val="center"/>
          </w:tcPr>
          <w:p w14:paraId="6D72F2A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5,255</w:t>
            </w:r>
          </w:p>
        </w:tc>
      </w:tr>
      <w:tr w:rsidR="005A5BD5" w:rsidRPr="00CA3519" w14:paraId="7F522700" w14:textId="77777777" w:rsidTr="009B6E1B">
        <w:trPr>
          <w:trHeight w:val="397"/>
          <w:jc w:val="center"/>
        </w:trPr>
        <w:tc>
          <w:tcPr>
            <w:tcW w:w="2113" w:type="dxa"/>
            <w:vAlign w:val="center"/>
          </w:tcPr>
          <w:p w14:paraId="4FE72CBE"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Juni 2001</w:t>
            </w:r>
          </w:p>
        </w:tc>
        <w:tc>
          <w:tcPr>
            <w:tcW w:w="2113" w:type="dxa"/>
            <w:vAlign w:val="center"/>
          </w:tcPr>
          <w:p w14:paraId="72AC59A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20.06.2001 Ausg. 2</w:t>
            </w:r>
          </w:p>
        </w:tc>
        <w:tc>
          <w:tcPr>
            <w:tcW w:w="1085" w:type="dxa"/>
            <w:vAlign w:val="center"/>
          </w:tcPr>
          <w:p w14:paraId="58F8335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4,328</w:t>
            </w:r>
          </w:p>
        </w:tc>
        <w:tc>
          <w:tcPr>
            <w:tcW w:w="1086" w:type="dxa"/>
            <w:vAlign w:val="center"/>
          </w:tcPr>
          <w:p w14:paraId="44D631C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4,459</w:t>
            </w:r>
          </w:p>
        </w:tc>
        <w:tc>
          <w:tcPr>
            <w:tcW w:w="1085" w:type="dxa"/>
            <w:vAlign w:val="center"/>
          </w:tcPr>
          <w:p w14:paraId="68414AD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4,603</w:t>
            </w:r>
          </w:p>
        </w:tc>
        <w:tc>
          <w:tcPr>
            <w:tcW w:w="1086" w:type="dxa"/>
            <w:vAlign w:val="center"/>
          </w:tcPr>
          <w:p w14:paraId="2BE1950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4,759</w:t>
            </w:r>
          </w:p>
        </w:tc>
        <w:tc>
          <w:tcPr>
            <w:tcW w:w="1086" w:type="dxa"/>
            <w:vAlign w:val="center"/>
          </w:tcPr>
          <w:p w14:paraId="081F868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4,903</w:t>
            </w:r>
          </w:p>
        </w:tc>
        <w:tc>
          <w:tcPr>
            <w:tcW w:w="1085" w:type="dxa"/>
            <w:vAlign w:val="center"/>
          </w:tcPr>
          <w:p w14:paraId="3C7910C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5,027</w:t>
            </w:r>
          </w:p>
        </w:tc>
        <w:tc>
          <w:tcPr>
            <w:tcW w:w="1086" w:type="dxa"/>
            <w:vAlign w:val="center"/>
          </w:tcPr>
          <w:p w14:paraId="0B86A34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5,133</w:t>
            </w:r>
          </w:p>
        </w:tc>
        <w:tc>
          <w:tcPr>
            <w:tcW w:w="1085" w:type="dxa"/>
            <w:vAlign w:val="center"/>
          </w:tcPr>
          <w:p w14:paraId="4732989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5,219</w:t>
            </w:r>
          </w:p>
        </w:tc>
        <w:tc>
          <w:tcPr>
            <w:tcW w:w="1086" w:type="dxa"/>
            <w:vAlign w:val="center"/>
          </w:tcPr>
          <w:p w14:paraId="7B156CE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5,300</w:t>
            </w:r>
          </w:p>
        </w:tc>
        <w:tc>
          <w:tcPr>
            <w:tcW w:w="1086" w:type="dxa"/>
            <w:vAlign w:val="center"/>
          </w:tcPr>
          <w:p w14:paraId="7FFF46F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5,372</w:t>
            </w:r>
          </w:p>
        </w:tc>
      </w:tr>
      <w:tr w:rsidR="005A5BD5" w:rsidRPr="00CA3519" w14:paraId="2433A3B3" w14:textId="77777777" w:rsidTr="009B6E1B">
        <w:trPr>
          <w:trHeight w:val="397"/>
          <w:jc w:val="center"/>
        </w:trPr>
        <w:tc>
          <w:tcPr>
            <w:tcW w:w="2113" w:type="dxa"/>
            <w:vAlign w:val="center"/>
          </w:tcPr>
          <w:p w14:paraId="0DAF30E6"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Juli 2001</w:t>
            </w:r>
          </w:p>
        </w:tc>
        <w:tc>
          <w:tcPr>
            <w:tcW w:w="2113" w:type="dxa"/>
            <w:vAlign w:val="center"/>
          </w:tcPr>
          <w:p w14:paraId="14F3B1D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20.07.2001 + Err. 04.08.2001</w:t>
            </w:r>
          </w:p>
        </w:tc>
        <w:tc>
          <w:tcPr>
            <w:tcW w:w="1085" w:type="dxa"/>
            <w:vAlign w:val="center"/>
          </w:tcPr>
          <w:p w14:paraId="63F92C4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4,223</w:t>
            </w:r>
          </w:p>
        </w:tc>
        <w:tc>
          <w:tcPr>
            <w:tcW w:w="1086" w:type="dxa"/>
            <w:vAlign w:val="center"/>
          </w:tcPr>
          <w:p w14:paraId="6923ECE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4,368</w:t>
            </w:r>
          </w:p>
        </w:tc>
        <w:tc>
          <w:tcPr>
            <w:tcW w:w="1085" w:type="dxa"/>
            <w:vAlign w:val="center"/>
          </w:tcPr>
          <w:p w14:paraId="2244C06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4,519</w:t>
            </w:r>
          </w:p>
        </w:tc>
        <w:tc>
          <w:tcPr>
            <w:tcW w:w="1086" w:type="dxa"/>
            <w:vAlign w:val="center"/>
          </w:tcPr>
          <w:p w14:paraId="4295D86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4,674</w:t>
            </w:r>
          </w:p>
        </w:tc>
        <w:tc>
          <w:tcPr>
            <w:tcW w:w="1086" w:type="dxa"/>
            <w:vAlign w:val="center"/>
          </w:tcPr>
          <w:p w14:paraId="099BCEF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4,823</w:t>
            </w:r>
          </w:p>
        </w:tc>
        <w:tc>
          <w:tcPr>
            <w:tcW w:w="1085" w:type="dxa"/>
            <w:vAlign w:val="center"/>
          </w:tcPr>
          <w:p w14:paraId="395FDAF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4,956</w:t>
            </w:r>
          </w:p>
        </w:tc>
        <w:tc>
          <w:tcPr>
            <w:tcW w:w="1086" w:type="dxa"/>
            <w:vAlign w:val="center"/>
          </w:tcPr>
          <w:p w14:paraId="2D60B5B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5,070</w:t>
            </w:r>
          </w:p>
        </w:tc>
        <w:tc>
          <w:tcPr>
            <w:tcW w:w="1085" w:type="dxa"/>
            <w:vAlign w:val="center"/>
          </w:tcPr>
          <w:p w14:paraId="7226E6F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5,167</w:t>
            </w:r>
          </w:p>
        </w:tc>
        <w:tc>
          <w:tcPr>
            <w:tcW w:w="1086" w:type="dxa"/>
            <w:vAlign w:val="center"/>
          </w:tcPr>
          <w:p w14:paraId="5978981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5,253</w:t>
            </w:r>
          </w:p>
        </w:tc>
        <w:tc>
          <w:tcPr>
            <w:tcW w:w="1086" w:type="dxa"/>
            <w:vAlign w:val="center"/>
          </w:tcPr>
          <w:p w14:paraId="02702B2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5,328</w:t>
            </w:r>
          </w:p>
        </w:tc>
      </w:tr>
      <w:tr w:rsidR="005A5BD5" w:rsidRPr="00CA3519" w14:paraId="7EFD9E47" w14:textId="77777777" w:rsidTr="009B6E1B">
        <w:trPr>
          <w:trHeight w:val="397"/>
          <w:jc w:val="center"/>
        </w:trPr>
        <w:tc>
          <w:tcPr>
            <w:tcW w:w="2113" w:type="dxa"/>
            <w:vAlign w:val="center"/>
          </w:tcPr>
          <w:p w14:paraId="6C1BD687"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August 2001</w:t>
            </w:r>
          </w:p>
        </w:tc>
        <w:tc>
          <w:tcPr>
            <w:tcW w:w="2113" w:type="dxa"/>
            <w:vAlign w:val="center"/>
          </w:tcPr>
          <w:p w14:paraId="0301FB5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21.08.2001</w:t>
            </w:r>
          </w:p>
        </w:tc>
        <w:tc>
          <w:tcPr>
            <w:tcW w:w="1085" w:type="dxa"/>
            <w:vAlign w:val="center"/>
          </w:tcPr>
          <w:p w14:paraId="7E14340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4,171</w:t>
            </w:r>
          </w:p>
        </w:tc>
        <w:tc>
          <w:tcPr>
            <w:tcW w:w="1086" w:type="dxa"/>
            <w:vAlign w:val="center"/>
          </w:tcPr>
          <w:p w14:paraId="681C372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4,285</w:t>
            </w:r>
          </w:p>
        </w:tc>
        <w:tc>
          <w:tcPr>
            <w:tcW w:w="1085" w:type="dxa"/>
            <w:vAlign w:val="center"/>
          </w:tcPr>
          <w:p w14:paraId="1D7C987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4,420</w:t>
            </w:r>
          </w:p>
        </w:tc>
        <w:tc>
          <w:tcPr>
            <w:tcW w:w="1086" w:type="dxa"/>
            <w:vAlign w:val="center"/>
          </w:tcPr>
          <w:p w14:paraId="4FF25AD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4,579</w:t>
            </w:r>
          </w:p>
        </w:tc>
        <w:tc>
          <w:tcPr>
            <w:tcW w:w="1086" w:type="dxa"/>
            <w:vAlign w:val="center"/>
          </w:tcPr>
          <w:p w14:paraId="1F93876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4,735</w:t>
            </w:r>
          </w:p>
        </w:tc>
        <w:tc>
          <w:tcPr>
            <w:tcW w:w="1085" w:type="dxa"/>
            <w:vAlign w:val="center"/>
          </w:tcPr>
          <w:p w14:paraId="79BE551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4,871</w:t>
            </w:r>
          </w:p>
        </w:tc>
        <w:tc>
          <w:tcPr>
            <w:tcW w:w="1086" w:type="dxa"/>
            <w:vAlign w:val="center"/>
          </w:tcPr>
          <w:p w14:paraId="15D2D83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4,989</w:t>
            </w:r>
          </w:p>
        </w:tc>
        <w:tc>
          <w:tcPr>
            <w:tcW w:w="1085" w:type="dxa"/>
            <w:vAlign w:val="center"/>
          </w:tcPr>
          <w:p w14:paraId="54BDFB9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5,088</w:t>
            </w:r>
          </w:p>
        </w:tc>
        <w:tc>
          <w:tcPr>
            <w:tcW w:w="1086" w:type="dxa"/>
            <w:vAlign w:val="center"/>
          </w:tcPr>
          <w:p w14:paraId="1768C2F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5,175</w:t>
            </w:r>
          </w:p>
        </w:tc>
        <w:tc>
          <w:tcPr>
            <w:tcW w:w="1086" w:type="dxa"/>
            <w:vAlign w:val="center"/>
          </w:tcPr>
          <w:p w14:paraId="290D518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5,250</w:t>
            </w:r>
          </w:p>
        </w:tc>
      </w:tr>
      <w:tr w:rsidR="005A5BD5" w:rsidRPr="00CA3519" w14:paraId="7C3E1443" w14:textId="77777777" w:rsidTr="009B6E1B">
        <w:trPr>
          <w:trHeight w:val="397"/>
          <w:jc w:val="center"/>
        </w:trPr>
        <w:tc>
          <w:tcPr>
            <w:tcW w:w="2113" w:type="dxa"/>
            <w:vAlign w:val="center"/>
          </w:tcPr>
          <w:p w14:paraId="62ADFBC2"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September 2001</w:t>
            </w:r>
          </w:p>
        </w:tc>
        <w:tc>
          <w:tcPr>
            <w:tcW w:w="2113" w:type="dxa"/>
            <w:vAlign w:val="center"/>
          </w:tcPr>
          <w:p w14:paraId="47A025F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20.09.2001</w:t>
            </w:r>
          </w:p>
        </w:tc>
        <w:tc>
          <w:tcPr>
            <w:tcW w:w="1085" w:type="dxa"/>
            <w:vAlign w:val="center"/>
          </w:tcPr>
          <w:p w14:paraId="65DCF1B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3,962</w:t>
            </w:r>
          </w:p>
        </w:tc>
        <w:tc>
          <w:tcPr>
            <w:tcW w:w="1086" w:type="dxa"/>
            <w:vAlign w:val="center"/>
          </w:tcPr>
          <w:p w14:paraId="683288F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4,138</w:t>
            </w:r>
          </w:p>
        </w:tc>
        <w:tc>
          <w:tcPr>
            <w:tcW w:w="1085" w:type="dxa"/>
            <w:vAlign w:val="center"/>
          </w:tcPr>
          <w:p w14:paraId="75BC88F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4,237</w:t>
            </w:r>
          </w:p>
        </w:tc>
        <w:tc>
          <w:tcPr>
            <w:tcW w:w="1086" w:type="dxa"/>
            <w:vAlign w:val="center"/>
          </w:tcPr>
          <w:p w14:paraId="5CDFA93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4,411</w:t>
            </w:r>
          </w:p>
        </w:tc>
        <w:tc>
          <w:tcPr>
            <w:tcW w:w="1086" w:type="dxa"/>
            <w:vAlign w:val="center"/>
          </w:tcPr>
          <w:p w14:paraId="0B6BD7C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4,573</w:t>
            </w:r>
          </w:p>
        </w:tc>
        <w:tc>
          <w:tcPr>
            <w:tcW w:w="1085" w:type="dxa"/>
            <w:vAlign w:val="center"/>
          </w:tcPr>
          <w:p w14:paraId="4341F8F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4,714</w:t>
            </w:r>
          </w:p>
        </w:tc>
        <w:tc>
          <w:tcPr>
            <w:tcW w:w="1086" w:type="dxa"/>
            <w:vAlign w:val="center"/>
          </w:tcPr>
          <w:p w14:paraId="54F8BF0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4,837</w:t>
            </w:r>
          </w:p>
        </w:tc>
        <w:tc>
          <w:tcPr>
            <w:tcW w:w="1085" w:type="dxa"/>
            <w:vAlign w:val="center"/>
          </w:tcPr>
          <w:p w14:paraId="65C511D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4,942</w:t>
            </w:r>
          </w:p>
        </w:tc>
        <w:tc>
          <w:tcPr>
            <w:tcW w:w="1086" w:type="dxa"/>
            <w:vAlign w:val="center"/>
          </w:tcPr>
          <w:p w14:paraId="544B061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5,037</w:t>
            </w:r>
          </w:p>
        </w:tc>
        <w:tc>
          <w:tcPr>
            <w:tcW w:w="1086" w:type="dxa"/>
            <w:vAlign w:val="center"/>
          </w:tcPr>
          <w:p w14:paraId="5D3603D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5,121</w:t>
            </w:r>
          </w:p>
        </w:tc>
      </w:tr>
      <w:tr w:rsidR="005A5BD5" w:rsidRPr="00CA3519" w14:paraId="399F9422" w14:textId="77777777" w:rsidTr="009B6E1B">
        <w:trPr>
          <w:trHeight w:val="397"/>
          <w:jc w:val="center"/>
        </w:trPr>
        <w:tc>
          <w:tcPr>
            <w:tcW w:w="2113" w:type="dxa"/>
            <w:vAlign w:val="center"/>
          </w:tcPr>
          <w:p w14:paraId="749C4147"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Oktober 2001</w:t>
            </w:r>
          </w:p>
        </w:tc>
        <w:tc>
          <w:tcPr>
            <w:tcW w:w="2113" w:type="dxa"/>
            <w:vAlign w:val="center"/>
          </w:tcPr>
          <w:p w14:paraId="2981333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20.10.2001</w:t>
            </w:r>
          </w:p>
        </w:tc>
        <w:tc>
          <w:tcPr>
            <w:tcW w:w="1085" w:type="dxa"/>
            <w:vAlign w:val="center"/>
          </w:tcPr>
          <w:p w14:paraId="5C96602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3,436</w:t>
            </w:r>
          </w:p>
        </w:tc>
        <w:tc>
          <w:tcPr>
            <w:tcW w:w="1086" w:type="dxa"/>
            <w:vAlign w:val="center"/>
          </w:tcPr>
          <w:p w14:paraId="0FF49C1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3,634</w:t>
            </w:r>
          </w:p>
        </w:tc>
        <w:tc>
          <w:tcPr>
            <w:tcW w:w="1085" w:type="dxa"/>
            <w:vAlign w:val="center"/>
          </w:tcPr>
          <w:p w14:paraId="36147D2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3,865</w:t>
            </w:r>
          </w:p>
        </w:tc>
        <w:tc>
          <w:tcPr>
            <w:tcW w:w="1086" w:type="dxa"/>
            <w:vAlign w:val="center"/>
          </w:tcPr>
          <w:p w14:paraId="4B127C3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4,118</w:t>
            </w:r>
          </w:p>
        </w:tc>
        <w:tc>
          <w:tcPr>
            <w:tcW w:w="1086" w:type="dxa"/>
            <w:vAlign w:val="center"/>
          </w:tcPr>
          <w:p w14:paraId="1F3325A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4,342</w:t>
            </w:r>
          </w:p>
        </w:tc>
        <w:tc>
          <w:tcPr>
            <w:tcW w:w="1085" w:type="dxa"/>
            <w:vAlign w:val="center"/>
          </w:tcPr>
          <w:p w14:paraId="0838B7A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4,533</w:t>
            </w:r>
          </w:p>
        </w:tc>
        <w:tc>
          <w:tcPr>
            <w:tcW w:w="1086" w:type="dxa"/>
            <w:vAlign w:val="center"/>
          </w:tcPr>
          <w:p w14:paraId="02E9A9A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4,697</w:t>
            </w:r>
          </w:p>
        </w:tc>
        <w:tc>
          <w:tcPr>
            <w:tcW w:w="1085" w:type="dxa"/>
            <w:vAlign w:val="center"/>
          </w:tcPr>
          <w:p w14:paraId="591D4EE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4,840</w:t>
            </w:r>
          </w:p>
        </w:tc>
        <w:tc>
          <w:tcPr>
            <w:tcW w:w="1086" w:type="dxa"/>
            <w:vAlign w:val="center"/>
          </w:tcPr>
          <w:p w14:paraId="5469678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4,962</w:t>
            </w:r>
          </w:p>
        </w:tc>
        <w:tc>
          <w:tcPr>
            <w:tcW w:w="1086" w:type="dxa"/>
            <w:vAlign w:val="center"/>
          </w:tcPr>
          <w:p w14:paraId="6AB4EAC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5,065</w:t>
            </w:r>
          </w:p>
        </w:tc>
      </w:tr>
      <w:tr w:rsidR="005A5BD5" w:rsidRPr="00CA3519" w14:paraId="396D00B4" w14:textId="77777777" w:rsidTr="009B6E1B">
        <w:trPr>
          <w:trHeight w:val="397"/>
          <w:jc w:val="center"/>
        </w:trPr>
        <w:tc>
          <w:tcPr>
            <w:tcW w:w="2113" w:type="dxa"/>
            <w:vAlign w:val="center"/>
          </w:tcPr>
          <w:p w14:paraId="3A02ACE6"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November 2001</w:t>
            </w:r>
          </w:p>
        </w:tc>
        <w:tc>
          <w:tcPr>
            <w:tcW w:w="2113" w:type="dxa"/>
            <w:vAlign w:val="center"/>
          </w:tcPr>
          <w:p w14:paraId="13AFD78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20.11.2001</w:t>
            </w:r>
          </w:p>
        </w:tc>
        <w:tc>
          <w:tcPr>
            <w:tcW w:w="1085" w:type="dxa"/>
            <w:vAlign w:val="center"/>
          </w:tcPr>
          <w:p w14:paraId="5BEB7BE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3,173</w:t>
            </w:r>
          </w:p>
        </w:tc>
        <w:tc>
          <w:tcPr>
            <w:tcW w:w="1086" w:type="dxa"/>
            <w:vAlign w:val="center"/>
          </w:tcPr>
          <w:p w14:paraId="73FD396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3,370</w:t>
            </w:r>
          </w:p>
        </w:tc>
        <w:tc>
          <w:tcPr>
            <w:tcW w:w="1085" w:type="dxa"/>
            <w:vAlign w:val="center"/>
          </w:tcPr>
          <w:p w14:paraId="549071F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3,611</w:t>
            </w:r>
          </w:p>
        </w:tc>
        <w:tc>
          <w:tcPr>
            <w:tcW w:w="1086" w:type="dxa"/>
            <w:vAlign w:val="center"/>
          </w:tcPr>
          <w:p w14:paraId="4470340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3,868</w:t>
            </w:r>
          </w:p>
        </w:tc>
        <w:tc>
          <w:tcPr>
            <w:tcW w:w="1086" w:type="dxa"/>
            <w:vAlign w:val="center"/>
          </w:tcPr>
          <w:p w14:paraId="1F896FC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4,075</w:t>
            </w:r>
          </w:p>
        </w:tc>
        <w:tc>
          <w:tcPr>
            <w:tcW w:w="1085" w:type="dxa"/>
            <w:vAlign w:val="center"/>
          </w:tcPr>
          <w:p w14:paraId="7690E5D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4,251</w:t>
            </w:r>
          </w:p>
        </w:tc>
        <w:tc>
          <w:tcPr>
            <w:tcW w:w="1086" w:type="dxa"/>
            <w:vAlign w:val="center"/>
          </w:tcPr>
          <w:p w14:paraId="2FCEB28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4,410</w:t>
            </w:r>
          </w:p>
        </w:tc>
        <w:tc>
          <w:tcPr>
            <w:tcW w:w="1085" w:type="dxa"/>
            <w:vAlign w:val="center"/>
          </w:tcPr>
          <w:p w14:paraId="27A32F0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4,551</w:t>
            </w:r>
          </w:p>
        </w:tc>
        <w:tc>
          <w:tcPr>
            <w:tcW w:w="1086" w:type="dxa"/>
            <w:vAlign w:val="center"/>
          </w:tcPr>
          <w:p w14:paraId="3A4FAE1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4,674</w:t>
            </w:r>
          </w:p>
        </w:tc>
        <w:tc>
          <w:tcPr>
            <w:tcW w:w="1086" w:type="dxa"/>
            <w:vAlign w:val="center"/>
          </w:tcPr>
          <w:p w14:paraId="1DD6184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4,774</w:t>
            </w:r>
          </w:p>
        </w:tc>
      </w:tr>
      <w:tr w:rsidR="005A5BD5" w:rsidRPr="00CA3519" w14:paraId="37882C30" w14:textId="77777777" w:rsidTr="009B6E1B">
        <w:trPr>
          <w:trHeight w:val="397"/>
          <w:jc w:val="center"/>
        </w:trPr>
        <w:tc>
          <w:tcPr>
            <w:tcW w:w="2113" w:type="dxa"/>
            <w:vAlign w:val="center"/>
          </w:tcPr>
          <w:p w14:paraId="25C0CEBC"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Dezember 2001</w:t>
            </w:r>
          </w:p>
        </w:tc>
        <w:tc>
          <w:tcPr>
            <w:tcW w:w="2113" w:type="dxa"/>
            <w:vAlign w:val="center"/>
          </w:tcPr>
          <w:p w14:paraId="70C7D7D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5.01.2002</w:t>
            </w:r>
          </w:p>
        </w:tc>
        <w:tc>
          <w:tcPr>
            <w:tcW w:w="1085" w:type="dxa"/>
            <w:vAlign w:val="center"/>
          </w:tcPr>
          <w:p w14:paraId="3DB123C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3,139</w:t>
            </w:r>
          </w:p>
        </w:tc>
        <w:tc>
          <w:tcPr>
            <w:tcW w:w="1086" w:type="dxa"/>
            <w:vAlign w:val="center"/>
          </w:tcPr>
          <w:p w14:paraId="4FB5A7A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3,520</w:t>
            </w:r>
          </w:p>
        </w:tc>
        <w:tc>
          <w:tcPr>
            <w:tcW w:w="1085" w:type="dxa"/>
            <w:vAlign w:val="center"/>
          </w:tcPr>
          <w:p w14:paraId="06EDE49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3,827</w:t>
            </w:r>
          </w:p>
        </w:tc>
        <w:tc>
          <w:tcPr>
            <w:tcW w:w="1086" w:type="dxa"/>
            <w:vAlign w:val="center"/>
          </w:tcPr>
          <w:p w14:paraId="6F67922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4,061</w:t>
            </w:r>
          </w:p>
        </w:tc>
        <w:tc>
          <w:tcPr>
            <w:tcW w:w="1086" w:type="dxa"/>
            <w:vAlign w:val="center"/>
          </w:tcPr>
          <w:p w14:paraId="735DDFF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4,261</w:t>
            </w:r>
          </w:p>
        </w:tc>
        <w:tc>
          <w:tcPr>
            <w:tcW w:w="1085" w:type="dxa"/>
            <w:vAlign w:val="center"/>
          </w:tcPr>
          <w:p w14:paraId="7365066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4,432</w:t>
            </w:r>
          </w:p>
        </w:tc>
        <w:tc>
          <w:tcPr>
            <w:tcW w:w="1086" w:type="dxa"/>
            <w:vAlign w:val="center"/>
          </w:tcPr>
          <w:p w14:paraId="05B28B6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4,573</w:t>
            </w:r>
          </w:p>
        </w:tc>
        <w:tc>
          <w:tcPr>
            <w:tcW w:w="1085" w:type="dxa"/>
            <w:vAlign w:val="center"/>
          </w:tcPr>
          <w:p w14:paraId="2D9A07D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4,689</w:t>
            </w:r>
          </w:p>
        </w:tc>
        <w:tc>
          <w:tcPr>
            <w:tcW w:w="1086" w:type="dxa"/>
            <w:vAlign w:val="center"/>
          </w:tcPr>
          <w:p w14:paraId="092BA9C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4,781</w:t>
            </w:r>
          </w:p>
        </w:tc>
        <w:tc>
          <w:tcPr>
            <w:tcW w:w="1086" w:type="dxa"/>
            <w:vAlign w:val="center"/>
          </w:tcPr>
          <w:p w14:paraId="6B1C4B7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4,854]</w:t>
            </w:r>
          </w:p>
        </w:tc>
      </w:tr>
      <w:tr w:rsidR="005A5BD5" w:rsidRPr="00CA3519" w14:paraId="0B8F9A2C" w14:textId="77777777" w:rsidTr="009B6E1B">
        <w:trPr>
          <w:trHeight w:val="397"/>
          <w:jc w:val="center"/>
        </w:trPr>
        <w:tc>
          <w:tcPr>
            <w:tcW w:w="2113" w:type="dxa"/>
            <w:vAlign w:val="center"/>
          </w:tcPr>
          <w:p w14:paraId="7E13EEFF"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[Januar 2002</w:t>
            </w:r>
          </w:p>
        </w:tc>
        <w:tc>
          <w:tcPr>
            <w:tcW w:w="2113" w:type="dxa"/>
            <w:vAlign w:val="center"/>
          </w:tcPr>
          <w:p w14:paraId="5DC4AA5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23.01.2002</w:t>
            </w:r>
          </w:p>
        </w:tc>
        <w:tc>
          <w:tcPr>
            <w:tcW w:w="1085" w:type="dxa"/>
            <w:vAlign w:val="center"/>
          </w:tcPr>
          <w:p w14:paraId="5CC8AA3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3,220</w:t>
            </w:r>
          </w:p>
        </w:tc>
        <w:tc>
          <w:tcPr>
            <w:tcW w:w="1086" w:type="dxa"/>
            <w:vAlign w:val="center"/>
          </w:tcPr>
          <w:p w14:paraId="1936160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3,678</w:t>
            </w:r>
          </w:p>
        </w:tc>
        <w:tc>
          <w:tcPr>
            <w:tcW w:w="1085" w:type="dxa"/>
            <w:vAlign w:val="center"/>
          </w:tcPr>
          <w:p w14:paraId="4AF810E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4,050</w:t>
            </w:r>
          </w:p>
        </w:tc>
        <w:tc>
          <w:tcPr>
            <w:tcW w:w="1086" w:type="dxa"/>
            <w:vAlign w:val="center"/>
          </w:tcPr>
          <w:p w14:paraId="29ACC87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4,312</w:t>
            </w:r>
          </w:p>
        </w:tc>
        <w:tc>
          <w:tcPr>
            <w:tcW w:w="1086" w:type="dxa"/>
            <w:vAlign w:val="center"/>
          </w:tcPr>
          <w:p w14:paraId="6492EAD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4,491</w:t>
            </w:r>
          </w:p>
        </w:tc>
        <w:tc>
          <w:tcPr>
            <w:tcW w:w="1085" w:type="dxa"/>
            <w:vAlign w:val="center"/>
          </w:tcPr>
          <w:p w14:paraId="734959F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4,640</w:t>
            </w:r>
          </w:p>
        </w:tc>
        <w:tc>
          <w:tcPr>
            <w:tcW w:w="1086" w:type="dxa"/>
            <w:vAlign w:val="center"/>
          </w:tcPr>
          <w:p w14:paraId="600CE9E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4,773</w:t>
            </w:r>
          </w:p>
        </w:tc>
        <w:tc>
          <w:tcPr>
            <w:tcW w:w="1085" w:type="dxa"/>
            <w:vAlign w:val="center"/>
          </w:tcPr>
          <w:p w14:paraId="6A759A3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4,887</w:t>
            </w:r>
          </w:p>
        </w:tc>
        <w:tc>
          <w:tcPr>
            <w:tcW w:w="1086" w:type="dxa"/>
            <w:vAlign w:val="center"/>
          </w:tcPr>
          <w:p w14:paraId="3CAAB16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4,984</w:t>
            </w:r>
          </w:p>
        </w:tc>
        <w:tc>
          <w:tcPr>
            <w:tcW w:w="1086" w:type="dxa"/>
            <w:vAlign w:val="center"/>
          </w:tcPr>
          <w:p w14:paraId="7B65CDA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5,056</w:t>
            </w:r>
          </w:p>
        </w:tc>
      </w:tr>
      <w:tr w:rsidR="005A5BD5" w:rsidRPr="00CA3519" w14:paraId="4512CFA9" w14:textId="77777777" w:rsidTr="009B6E1B">
        <w:trPr>
          <w:trHeight w:val="397"/>
          <w:jc w:val="center"/>
        </w:trPr>
        <w:tc>
          <w:tcPr>
            <w:tcW w:w="2113" w:type="dxa"/>
            <w:vAlign w:val="center"/>
          </w:tcPr>
          <w:p w14:paraId="1F1A5271"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Februar 2002</w:t>
            </w:r>
          </w:p>
        </w:tc>
        <w:tc>
          <w:tcPr>
            <w:tcW w:w="2113" w:type="dxa"/>
            <w:vAlign w:val="center"/>
          </w:tcPr>
          <w:p w14:paraId="4FD9855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20.02.2002</w:t>
            </w:r>
          </w:p>
        </w:tc>
        <w:tc>
          <w:tcPr>
            <w:tcW w:w="1085" w:type="dxa"/>
            <w:vAlign w:val="center"/>
          </w:tcPr>
          <w:p w14:paraId="66DCBDE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3,426</w:t>
            </w:r>
          </w:p>
        </w:tc>
        <w:tc>
          <w:tcPr>
            <w:tcW w:w="1086" w:type="dxa"/>
            <w:vAlign w:val="center"/>
          </w:tcPr>
          <w:p w14:paraId="3D6E57A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3,870</w:t>
            </w:r>
          </w:p>
        </w:tc>
        <w:tc>
          <w:tcPr>
            <w:tcW w:w="1085" w:type="dxa"/>
            <w:vAlign w:val="center"/>
          </w:tcPr>
          <w:p w14:paraId="4D26855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4,218</w:t>
            </w:r>
          </w:p>
        </w:tc>
        <w:tc>
          <w:tcPr>
            <w:tcW w:w="1086" w:type="dxa"/>
            <w:vAlign w:val="center"/>
          </w:tcPr>
          <w:p w14:paraId="59D6B10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4,434</w:t>
            </w:r>
          </w:p>
        </w:tc>
        <w:tc>
          <w:tcPr>
            <w:tcW w:w="1086" w:type="dxa"/>
            <w:vAlign w:val="center"/>
          </w:tcPr>
          <w:p w14:paraId="1C53140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4,591</w:t>
            </w:r>
          </w:p>
        </w:tc>
        <w:tc>
          <w:tcPr>
            <w:tcW w:w="1085" w:type="dxa"/>
            <w:vAlign w:val="center"/>
          </w:tcPr>
          <w:p w14:paraId="3A33C48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4,745</w:t>
            </w:r>
          </w:p>
        </w:tc>
        <w:tc>
          <w:tcPr>
            <w:tcW w:w="1086" w:type="dxa"/>
            <w:vAlign w:val="center"/>
          </w:tcPr>
          <w:p w14:paraId="6F08530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4,878</w:t>
            </w:r>
          </w:p>
        </w:tc>
        <w:tc>
          <w:tcPr>
            <w:tcW w:w="1085" w:type="dxa"/>
            <w:vAlign w:val="center"/>
          </w:tcPr>
          <w:p w14:paraId="2D660C6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4,974</w:t>
            </w:r>
          </w:p>
        </w:tc>
        <w:tc>
          <w:tcPr>
            <w:tcW w:w="1086" w:type="dxa"/>
            <w:vAlign w:val="center"/>
          </w:tcPr>
          <w:p w14:paraId="3EF6DC1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5,036</w:t>
            </w:r>
          </w:p>
        </w:tc>
        <w:tc>
          <w:tcPr>
            <w:tcW w:w="1086" w:type="dxa"/>
            <w:vAlign w:val="center"/>
          </w:tcPr>
          <w:p w14:paraId="1F66C7F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5,079</w:t>
            </w:r>
          </w:p>
        </w:tc>
      </w:tr>
      <w:tr w:rsidR="005A5BD5" w:rsidRPr="00CA3519" w14:paraId="4B942204" w14:textId="77777777" w:rsidTr="009B6E1B">
        <w:trPr>
          <w:trHeight w:val="397"/>
          <w:jc w:val="center"/>
        </w:trPr>
        <w:tc>
          <w:tcPr>
            <w:tcW w:w="2113" w:type="dxa"/>
            <w:vAlign w:val="center"/>
          </w:tcPr>
          <w:p w14:paraId="7DB55A50"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März 2002</w:t>
            </w:r>
          </w:p>
        </w:tc>
        <w:tc>
          <w:tcPr>
            <w:tcW w:w="2113" w:type="dxa"/>
            <w:vAlign w:val="center"/>
          </w:tcPr>
          <w:p w14:paraId="315699B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20.03.2002</w:t>
            </w:r>
          </w:p>
        </w:tc>
        <w:tc>
          <w:tcPr>
            <w:tcW w:w="1085" w:type="dxa"/>
            <w:vAlign w:val="center"/>
          </w:tcPr>
          <w:p w14:paraId="6252BAB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3,506</w:t>
            </w:r>
          </w:p>
        </w:tc>
        <w:tc>
          <w:tcPr>
            <w:tcW w:w="1086" w:type="dxa"/>
            <w:vAlign w:val="center"/>
          </w:tcPr>
          <w:p w14:paraId="1AD11CA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3,980</w:t>
            </w:r>
          </w:p>
        </w:tc>
        <w:tc>
          <w:tcPr>
            <w:tcW w:w="1085" w:type="dxa"/>
            <w:vAlign w:val="center"/>
          </w:tcPr>
          <w:p w14:paraId="6343F76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4,355</w:t>
            </w:r>
          </w:p>
        </w:tc>
        <w:tc>
          <w:tcPr>
            <w:tcW w:w="1086" w:type="dxa"/>
            <w:vAlign w:val="center"/>
          </w:tcPr>
          <w:p w14:paraId="4177C72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4,569</w:t>
            </w:r>
          </w:p>
        </w:tc>
        <w:tc>
          <w:tcPr>
            <w:tcW w:w="1086" w:type="dxa"/>
            <w:vAlign w:val="center"/>
          </w:tcPr>
          <w:p w14:paraId="2B1FB94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4,719</w:t>
            </w:r>
          </w:p>
        </w:tc>
        <w:tc>
          <w:tcPr>
            <w:tcW w:w="1085" w:type="dxa"/>
            <w:vAlign w:val="center"/>
          </w:tcPr>
          <w:p w14:paraId="7B137C4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4,876</w:t>
            </w:r>
          </w:p>
        </w:tc>
        <w:tc>
          <w:tcPr>
            <w:tcW w:w="1086" w:type="dxa"/>
            <w:vAlign w:val="center"/>
          </w:tcPr>
          <w:p w14:paraId="3594C04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5,015</w:t>
            </w:r>
          </w:p>
        </w:tc>
        <w:tc>
          <w:tcPr>
            <w:tcW w:w="1085" w:type="dxa"/>
            <w:vAlign w:val="center"/>
          </w:tcPr>
          <w:p w14:paraId="26A1856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5,109</w:t>
            </w:r>
          </w:p>
        </w:tc>
        <w:tc>
          <w:tcPr>
            <w:tcW w:w="1086" w:type="dxa"/>
            <w:vAlign w:val="center"/>
          </w:tcPr>
          <w:p w14:paraId="1D8805A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5,160</w:t>
            </w:r>
          </w:p>
        </w:tc>
        <w:tc>
          <w:tcPr>
            <w:tcW w:w="1086" w:type="dxa"/>
            <w:vAlign w:val="center"/>
          </w:tcPr>
          <w:p w14:paraId="064CCE5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5,195</w:t>
            </w:r>
          </w:p>
        </w:tc>
      </w:tr>
      <w:tr w:rsidR="005A5BD5" w:rsidRPr="00CA3519" w14:paraId="45661262" w14:textId="77777777" w:rsidTr="009B6E1B">
        <w:trPr>
          <w:trHeight w:val="397"/>
          <w:jc w:val="center"/>
        </w:trPr>
        <w:tc>
          <w:tcPr>
            <w:tcW w:w="2113" w:type="dxa"/>
            <w:vAlign w:val="center"/>
          </w:tcPr>
          <w:p w14:paraId="0CE9C175"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April 2002</w:t>
            </w:r>
          </w:p>
        </w:tc>
        <w:tc>
          <w:tcPr>
            <w:tcW w:w="2113" w:type="dxa"/>
            <w:vAlign w:val="center"/>
          </w:tcPr>
          <w:p w14:paraId="7EAF5C5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20.04.2002</w:t>
            </w:r>
          </w:p>
        </w:tc>
        <w:tc>
          <w:tcPr>
            <w:tcW w:w="1085" w:type="dxa"/>
            <w:vAlign w:val="center"/>
          </w:tcPr>
          <w:p w14:paraId="2876C10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3,753</w:t>
            </w:r>
          </w:p>
        </w:tc>
        <w:tc>
          <w:tcPr>
            <w:tcW w:w="1086" w:type="dxa"/>
            <w:vAlign w:val="center"/>
          </w:tcPr>
          <w:p w14:paraId="6ED8561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4,248</w:t>
            </w:r>
          </w:p>
        </w:tc>
        <w:tc>
          <w:tcPr>
            <w:tcW w:w="1085" w:type="dxa"/>
            <w:vAlign w:val="center"/>
          </w:tcPr>
          <w:p w14:paraId="7C6C097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4,630</w:t>
            </w:r>
          </w:p>
        </w:tc>
        <w:tc>
          <w:tcPr>
            <w:tcW w:w="1086" w:type="dxa"/>
            <w:vAlign w:val="center"/>
          </w:tcPr>
          <w:p w14:paraId="57B5364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4,831</w:t>
            </w:r>
          </w:p>
        </w:tc>
        <w:tc>
          <w:tcPr>
            <w:tcW w:w="1086" w:type="dxa"/>
            <w:vAlign w:val="center"/>
          </w:tcPr>
          <w:p w14:paraId="5DEF7C2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4,965</w:t>
            </w:r>
          </w:p>
        </w:tc>
        <w:tc>
          <w:tcPr>
            <w:tcW w:w="1085" w:type="dxa"/>
            <w:vAlign w:val="center"/>
          </w:tcPr>
          <w:p w14:paraId="477BFAB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5,100</w:t>
            </w:r>
          </w:p>
        </w:tc>
        <w:tc>
          <w:tcPr>
            <w:tcW w:w="1086" w:type="dxa"/>
            <w:vAlign w:val="center"/>
          </w:tcPr>
          <w:p w14:paraId="7A4EA1B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5,219</w:t>
            </w:r>
          </w:p>
        </w:tc>
        <w:tc>
          <w:tcPr>
            <w:tcW w:w="1085" w:type="dxa"/>
            <w:vAlign w:val="center"/>
          </w:tcPr>
          <w:p w14:paraId="359FA64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5,299</w:t>
            </w:r>
          </w:p>
        </w:tc>
        <w:tc>
          <w:tcPr>
            <w:tcW w:w="1086" w:type="dxa"/>
            <w:vAlign w:val="center"/>
          </w:tcPr>
          <w:p w14:paraId="48BACAB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5,351</w:t>
            </w:r>
          </w:p>
        </w:tc>
        <w:tc>
          <w:tcPr>
            <w:tcW w:w="1086" w:type="dxa"/>
            <w:vAlign w:val="center"/>
          </w:tcPr>
          <w:p w14:paraId="4100591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5,389</w:t>
            </w:r>
          </w:p>
        </w:tc>
      </w:tr>
      <w:tr w:rsidR="005A5BD5" w:rsidRPr="00CA3519" w14:paraId="1631BF53" w14:textId="77777777" w:rsidTr="009B6E1B">
        <w:trPr>
          <w:trHeight w:val="397"/>
          <w:jc w:val="center"/>
        </w:trPr>
        <w:tc>
          <w:tcPr>
            <w:tcW w:w="2113" w:type="dxa"/>
            <w:vAlign w:val="center"/>
          </w:tcPr>
          <w:p w14:paraId="77DC0354"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Mai 2002</w:t>
            </w:r>
          </w:p>
        </w:tc>
        <w:tc>
          <w:tcPr>
            <w:tcW w:w="2113" w:type="dxa"/>
            <w:vAlign w:val="center"/>
          </w:tcPr>
          <w:p w14:paraId="4E78A38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18.05.2002</w:t>
            </w:r>
          </w:p>
        </w:tc>
        <w:tc>
          <w:tcPr>
            <w:tcW w:w="1085" w:type="dxa"/>
            <w:vAlign w:val="center"/>
          </w:tcPr>
          <w:p w14:paraId="05264F2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3,704</w:t>
            </w:r>
          </w:p>
        </w:tc>
        <w:tc>
          <w:tcPr>
            <w:tcW w:w="1086" w:type="dxa"/>
            <w:vAlign w:val="center"/>
          </w:tcPr>
          <w:p w14:paraId="29B8691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4,179</w:t>
            </w:r>
          </w:p>
        </w:tc>
        <w:tc>
          <w:tcPr>
            <w:tcW w:w="1085" w:type="dxa"/>
            <w:vAlign w:val="center"/>
          </w:tcPr>
          <w:p w14:paraId="22A42E8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4,546</w:t>
            </w:r>
          </w:p>
        </w:tc>
        <w:tc>
          <w:tcPr>
            <w:tcW w:w="1086" w:type="dxa"/>
            <w:vAlign w:val="center"/>
          </w:tcPr>
          <w:p w14:paraId="0F990FF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4,749</w:t>
            </w:r>
          </w:p>
        </w:tc>
        <w:tc>
          <w:tcPr>
            <w:tcW w:w="1086" w:type="dxa"/>
            <w:vAlign w:val="center"/>
          </w:tcPr>
          <w:p w14:paraId="7E05347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4,896</w:t>
            </w:r>
          </w:p>
        </w:tc>
        <w:tc>
          <w:tcPr>
            <w:tcW w:w="1085" w:type="dxa"/>
            <w:vAlign w:val="center"/>
          </w:tcPr>
          <w:p w14:paraId="28B9AD1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5,039</w:t>
            </w:r>
          </w:p>
        </w:tc>
        <w:tc>
          <w:tcPr>
            <w:tcW w:w="1086" w:type="dxa"/>
            <w:vAlign w:val="center"/>
          </w:tcPr>
          <w:p w14:paraId="7633184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5,159</w:t>
            </w:r>
          </w:p>
        </w:tc>
        <w:tc>
          <w:tcPr>
            <w:tcW w:w="1085" w:type="dxa"/>
            <w:vAlign w:val="center"/>
          </w:tcPr>
          <w:p w14:paraId="21369D4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5,243</w:t>
            </w:r>
          </w:p>
        </w:tc>
        <w:tc>
          <w:tcPr>
            <w:tcW w:w="1086" w:type="dxa"/>
            <w:vAlign w:val="center"/>
          </w:tcPr>
          <w:p w14:paraId="473D809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5,300</w:t>
            </w:r>
          </w:p>
        </w:tc>
        <w:tc>
          <w:tcPr>
            <w:tcW w:w="1086" w:type="dxa"/>
            <w:vAlign w:val="center"/>
          </w:tcPr>
          <w:p w14:paraId="1D7B171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5,344</w:t>
            </w:r>
          </w:p>
        </w:tc>
      </w:tr>
      <w:tr w:rsidR="005A5BD5" w:rsidRPr="00CA3519" w14:paraId="36D0C7E6" w14:textId="77777777" w:rsidTr="009B6E1B">
        <w:trPr>
          <w:trHeight w:val="397"/>
          <w:jc w:val="center"/>
        </w:trPr>
        <w:tc>
          <w:tcPr>
            <w:tcW w:w="2113" w:type="dxa"/>
            <w:vAlign w:val="center"/>
          </w:tcPr>
          <w:p w14:paraId="0D859132"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Juni 2002</w:t>
            </w:r>
          </w:p>
        </w:tc>
        <w:tc>
          <w:tcPr>
            <w:tcW w:w="2113" w:type="dxa"/>
            <w:vAlign w:val="center"/>
          </w:tcPr>
          <w:p w14:paraId="581FEDE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20.06.2002</w:t>
            </w:r>
          </w:p>
        </w:tc>
        <w:tc>
          <w:tcPr>
            <w:tcW w:w="1085" w:type="dxa"/>
            <w:vAlign w:val="center"/>
          </w:tcPr>
          <w:p w14:paraId="5BF770D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3,868</w:t>
            </w:r>
          </w:p>
        </w:tc>
        <w:tc>
          <w:tcPr>
            <w:tcW w:w="1086" w:type="dxa"/>
            <w:vAlign w:val="center"/>
          </w:tcPr>
          <w:p w14:paraId="3EB1D15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4,286</w:t>
            </w:r>
          </w:p>
        </w:tc>
        <w:tc>
          <w:tcPr>
            <w:tcW w:w="1085" w:type="dxa"/>
            <w:vAlign w:val="center"/>
          </w:tcPr>
          <w:p w14:paraId="46B89E2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4,609</w:t>
            </w:r>
          </w:p>
        </w:tc>
        <w:tc>
          <w:tcPr>
            <w:tcW w:w="1086" w:type="dxa"/>
            <w:vAlign w:val="center"/>
          </w:tcPr>
          <w:p w14:paraId="3398ADD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4,791</w:t>
            </w:r>
          </w:p>
        </w:tc>
        <w:tc>
          <w:tcPr>
            <w:tcW w:w="1086" w:type="dxa"/>
            <w:vAlign w:val="center"/>
          </w:tcPr>
          <w:p w14:paraId="0352D3C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4,925</w:t>
            </w:r>
          </w:p>
        </w:tc>
        <w:tc>
          <w:tcPr>
            <w:tcW w:w="1085" w:type="dxa"/>
            <w:vAlign w:val="center"/>
          </w:tcPr>
          <w:p w14:paraId="1B9225C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5,063</w:t>
            </w:r>
          </w:p>
        </w:tc>
        <w:tc>
          <w:tcPr>
            <w:tcW w:w="1086" w:type="dxa"/>
            <w:vAlign w:val="center"/>
          </w:tcPr>
          <w:p w14:paraId="50BFD92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5,180</w:t>
            </w:r>
          </w:p>
        </w:tc>
        <w:tc>
          <w:tcPr>
            <w:tcW w:w="1085" w:type="dxa"/>
            <w:vAlign w:val="center"/>
          </w:tcPr>
          <w:p w14:paraId="6AFB5F5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5,263</w:t>
            </w:r>
          </w:p>
        </w:tc>
        <w:tc>
          <w:tcPr>
            <w:tcW w:w="1086" w:type="dxa"/>
            <w:vAlign w:val="center"/>
          </w:tcPr>
          <w:p w14:paraId="4884D40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5,321</w:t>
            </w:r>
          </w:p>
        </w:tc>
        <w:tc>
          <w:tcPr>
            <w:tcW w:w="1086" w:type="dxa"/>
            <w:vAlign w:val="center"/>
          </w:tcPr>
          <w:p w14:paraId="2AC731D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5,365</w:t>
            </w:r>
          </w:p>
        </w:tc>
      </w:tr>
      <w:tr w:rsidR="005A5BD5" w:rsidRPr="00CA3519" w14:paraId="065E922B" w14:textId="77777777" w:rsidTr="009B6E1B">
        <w:trPr>
          <w:trHeight w:val="397"/>
          <w:jc w:val="center"/>
        </w:trPr>
        <w:tc>
          <w:tcPr>
            <w:tcW w:w="2113" w:type="dxa"/>
            <w:vAlign w:val="center"/>
          </w:tcPr>
          <w:p w14:paraId="02918984"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lastRenderedPageBreak/>
              <w:t>Juli 2002</w:t>
            </w:r>
          </w:p>
        </w:tc>
        <w:tc>
          <w:tcPr>
            <w:tcW w:w="2113" w:type="dxa"/>
            <w:vAlign w:val="center"/>
          </w:tcPr>
          <w:p w14:paraId="245540F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20.07.2002</w:t>
            </w:r>
          </w:p>
        </w:tc>
        <w:tc>
          <w:tcPr>
            <w:tcW w:w="1085" w:type="dxa"/>
            <w:vAlign w:val="center"/>
          </w:tcPr>
          <w:p w14:paraId="75A9ACB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3,678</w:t>
            </w:r>
          </w:p>
        </w:tc>
        <w:tc>
          <w:tcPr>
            <w:tcW w:w="1086" w:type="dxa"/>
            <w:vAlign w:val="center"/>
          </w:tcPr>
          <w:p w14:paraId="0954557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4,034</w:t>
            </w:r>
          </w:p>
        </w:tc>
        <w:tc>
          <w:tcPr>
            <w:tcW w:w="1085" w:type="dxa"/>
            <w:vAlign w:val="center"/>
          </w:tcPr>
          <w:p w14:paraId="0360178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4,335</w:t>
            </w:r>
          </w:p>
        </w:tc>
        <w:tc>
          <w:tcPr>
            <w:tcW w:w="1086" w:type="dxa"/>
            <w:vAlign w:val="center"/>
          </w:tcPr>
          <w:p w14:paraId="1873EA6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4,540</w:t>
            </w:r>
          </w:p>
        </w:tc>
        <w:tc>
          <w:tcPr>
            <w:tcW w:w="1086" w:type="dxa"/>
            <w:vAlign w:val="center"/>
          </w:tcPr>
          <w:p w14:paraId="31F3CF5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4,691</w:t>
            </w:r>
          </w:p>
        </w:tc>
        <w:tc>
          <w:tcPr>
            <w:tcW w:w="1085" w:type="dxa"/>
            <w:vAlign w:val="center"/>
          </w:tcPr>
          <w:p w14:paraId="71658A8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4,840</w:t>
            </w:r>
          </w:p>
        </w:tc>
        <w:tc>
          <w:tcPr>
            <w:tcW w:w="1086" w:type="dxa"/>
            <w:vAlign w:val="center"/>
          </w:tcPr>
          <w:p w14:paraId="5F81368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4,970</w:t>
            </w:r>
          </w:p>
        </w:tc>
        <w:tc>
          <w:tcPr>
            <w:tcW w:w="1085" w:type="dxa"/>
            <w:vAlign w:val="center"/>
          </w:tcPr>
          <w:p w14:paraId="7B16149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5,065</w:t>
            </w:r>
          </w:p>
        </w:tc>
        <w:tc>
          <w:tcPr>
            <w:tcW w:w="1086" w:type="dxa"/>
            <w:vAlign w:val="center"/>
          </w:tcPr>
          <w:p w14:paraId="1920B12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5,134</w:t>
            </w:r>
          </w:p>
        </w:tc>
        <w:tc>
          <w:tcPr>
            <w:tcW w:w="1086" w:type="dxa"/>
            <w:vAlign w:val="center"/>
          </w:tcPr>
          <w:p w14:paraId="16383BE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5,185</w:t>
            </w:r>
          </w:p>
        </w:tc>
      </w:tr>
      <w:tr w:rsidR="005A5BD5" w:rsidRPr="00CA3519" w14:paraId="23AFDE8D" w14:textId="77777777" w:rsidTr="009B6E1B">
        <w:trPr>
          <w:trHeight w:val="397"/>
          <w:jc w:val="center"/>
        </w:trPr>
        <w:tc>
          <w:tcPr>
            <w:tcW w:w="2113" w:type="dxa"/>
            <w:vAlign w:val="center"/>
          </w:tcPr>
          <w:p w14:paraId="751A2428"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August 2002</w:t>
            </w:r>
          </w:p>
        </w:tc>
        <w:tc>
          <w:tcPr>
            <w:tcW w:w="2113" w:type="dxa"/>
            <w:vAlign w:val="center"/>
          </w:tcPr>
          <w:p w14:paraId="06E9F6A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20.08.2002 Ausg. 2</w:t>
            </w:r>
          </w:p>
        </w:tc>
        <w:tc>
          <w:tcPr>
            <w:tcW w:w="1085" w:type="dxa"/>
            <w:vAlign w:val="center"/>
          </w:tcPr>
          <w:p w14:paraId="58A7987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3,407</w:t>
            </w:r>
          </w:p>
        </w:tc>
        <w:tc>
          <w:tcPr>
            <w:tcW w:w="1086" w:type="dxa"/>
            <w:vAlign w:val="center"/>
          </w:tcPr>
          <w:p w14:paraId="3090F17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3,729</w:t>
            </w:r>
          </w:p>
        </w:tc>
        <w:tc>
          <w:tcPr>
            <w:tcW w:w="1085" w:type="dxa"/>
            <w:vAlign w:val="center"/>
          </w:tcPr>
          <w:p w14:paraId="438CFD3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4,012</w:t>
            </w:r>
          </w:p>
        </w:tc>
        <w:tc>
          <w:tcPr>
            <w:tcW w:w="1086" w:type="dxa"/>
            <w:vAlign w:val="center"/>
          </w:tcPr>
          <w:p w14:paraId="12DBC2D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4,235</w:t>
            </w:r>
          </w:p>
        </w:tc>
        <w:tc>
          <w:tcPr>
            <w:tcW w:w="1086" w:type="dxa"/>
            <w:vAlign w:val="center"/>
          </w:tcPr>
          <w:p w14:paraId="13CD5B2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4,416</w:t>
            </w:r>
          </w:p>
        </w:tc>
        <w:tc>
          <w:tcPr>
            <w:tcW w:w="1085" w:type="dxa"/>
            <w:vAlign w:val="center"/>
          </w:tcPr>
          <w:p w14:paraId="482E22A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4,581</w:t>
            </w:r>
          </w:p>
        </w:tc>
        <w:tc>
          <w:tcPr>
            <w:tcW w:w="1086" w:type="dxa"/>
            <w:vAlign w:val="center"/>
          </w:tcPr>
          <w:p w14:paraId="2CF56CA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4,718</w:t>
            </w:r>
          </w:p>
        </w:tc>
        <w:tc>
          <w:tcPr>
            <w:tcW w:w="1085" w:type="dxa"/>
            <w:vAlign w:val="center"/>
          </w:tcPr>
          <w:p w14:paraId="5E568E7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4,819</w:t>
            </w:r>
          </w:p>
        </w:tc>
        <w:tc>
          <w:tcPr>
            <w:tcW w:w="1086" w:type="dxa"/>
            <w:vAlign w:val="center"/>
          </w:tcPr>
          <w:p w14:paraId="39A4943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4,894</w:t>
            </w:r>
          </w:p>
        </w:tc>
        <w:tc>
          <w:tcPr>
            <w:tcW w:w="1086" w:type="dxa"/>
            <w:vAlign w:val="center"/>
          </w:tcPr>
          <w:p w14:paraId="79D60CA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4,953</w:t>
            </w:r>
          </w:p>
        </w:tc>
      </w:tr>
      <w:tr w:rsidR="005A5BD5" w:rsidRPr="00CA3519" w14:paraId="45B9FF44" w14:textId="77777777" w:rsidTr="009B6E1B">
        <w:trPr>
          <w:trHeight w:val="397"/>
          <w:jc w:val="center"/>
        </w:trPr>
        <w:tc>
          <w:tcPr>
            <w:tcW w:w="2113" w:type="dxa"/>
            <w:vAlign w:val="center"/>
          </w:tcPr>
          <w:p w14:paraId="2CF97B26"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September 2002</w:t>
            </w:r>
          </w:p>
        </w:tc>
        <w:tc>
          <w:tcPr>
            <w:tcW w:w="2113" w:type="dxa"/>
            <w:vAlign w:val="center"/>
          </w:tcPr>
          <w:p w14:paraId="79F635E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20.09.2002</w:t>
            </w:r>
          </w:p>
        </w:tc>
        <w:tc>
          <w:tcPr>
            <w:tcW w:w="1085" w:type="dxa"/>
            <w:vAlign w:val="center"/>
          </w:tcPr>
          <w:p w14:paraId="757F85C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3,287</w:t>
            </w:r>
          </w:p>
        </w:tc>
        <w:tc>
          <w:tcPr>
            <w:tcW w:w="1086" w:type="dxa"/>
            <w:vAlign w:val="center"/>
          </w:tcPr>
          <w:p w14:paraId="383B5A6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3,544</w:t>
            </w:r>
          </w:p>
        </w:tc>
        <w:tc>
          <w:tcPr>
            <w:tcW w:w="1085" w:type="dxa"/>
            <w:vAlign w:val="center"/>
          </w:tcPr>
          <w:p w14:paraId="58076BF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3,784</w:t>
            </w:r>
          </w:p>
        </w:tc>
        <w:tc>
          <w:tcPr>
            <w:tcW w:w="1086" w:type="dxa"/>
            <w:vAlign w:val="center"/>
          </w:tcPr>
          <w:p w14:paraId="2FC6DBE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4,000</w:t>
            </w:r>
          </w:p>
        </w:tc>
        <w:tc>
          <w:tcPr>
            <w:tcW w:w="1086" w:type="dxa"/>
            <w:vAlign w:val="center"/>
          </w:tcPr>
          <w:p w14:paraId="7AEFAEB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4,190</w:t>
            </w:r>
          </w:p>
        </w:tc>
        <w:tc>
          <w:tcPr>
            <w:tcW w:w="1085" w:type="dxa"/>
            <w:vAlign w:val="center"/>
          </w:tcPr>
          <w:p w14:paraId="580FB03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4,352</w:t>
            </w:r>
          </w:p>
        </w:tc>
        <w:tc>
          <w:tcPr>
            <w:tcW w:w="1086" w:type="dxa"/>
            <w:vAlign w:val="center"/>
          </w:tcPr>
          <w:p w14:paraId="6CE7740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4,484</w:t>
            </w:r>
          </w:p>
        </w:tc>
        <w:tc>
          <w:tcPr>
            <w:tcW w:w="1085" w:type="dxa"/>
            <w:vAlign w:val="center"/>
          </w:tcPr>
          <w:p w14:paraId="065C53F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4,587</w:t>
            </w:r>
          </w:p>
        </w:tc>
        <w:tc>
          <w:tcPr>
            <w:tcW w:w="1086" w:type="dxa"/>
            <w:vAlign w:val="center"/>
          </w:tcPr>
          <w:p w14:paraId="1F0F0A8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4,670</w:t>
            </w:r>
          </w:p>
        </w:tc>
        <w:tc>
          <w:tcPr>
            <w:tcW w:w="1086" w:type="dxa"/>
            <w:vAlign w:val="center"/>
          </w:tcPr>
          <w:p w14:paraId="1F13629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4,738</w:t>
            </w:r>
          </w:p>
        </w:tc>
      </w:tr>
      <w:tr w:rsidR="005A5BD5" w:rsidRPr="00CA3519" w14:paraId="2534A200" w14:textId="77777777" w:rsidTr="009B6E1B">
        <w:trPr>
          <w:trHeight w:val="397"/>
          <w:jc w:val="center"/>
        </w:trPr>
        <w:tc>
          <w:tcPr>
            <w:tcW w:w="2113" w:type="dxa"/>
            <w:vAlign w:val="center"/>
          </w:tcPr>
          <w:p w14:paraId="0B82A754"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Oktober 2002</w:t>
            </w:r>
          </w:p>
        </w:tc>
        <w:tc>
          <w:tcPr>
            <w:tcW w:w="2113" w:type="dxa"/>
            <w:vAlign w:val="center"/>
          </w:tcPr>
          <w:p w14:paraId="2E59E9E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22.10.2002 Ausg. 2</w:t>
            </w:r>
          </w:p>
        </w:tc>
        <w:tc>
          <w:tcPr>
            <w:tcW w:w="1085" w:type="dxa"/>
            <w:vAlign w:val="center"/>
          </w:tcPr>
          <w:p w14:paraId="4A6F191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3,017</w:t>
            </w:r>
          </w:p>
        </w:tc>
        <w:tc>
          <w:tcPr>
            <w:tcW w:w="1086" w:type="dxa"/>
            <w:vAlign w:val="center"/>
          </w:tcPr>
          <w:p w14:paraId="2322367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3,247</w:t>
            </w:r>
          </w:p>
        </w:tc>
        <w:tc>
          <w:tcPr>
            <w:tcW w:w="1085" w:type="dxa"/>
            <w:vAlign w:val="center"/>
          </w:tcPr>
          <w:p w14:paraId="7291168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3,473</w:t>
            </w:r>
          </w:p>
        </w:tc>
        <w:tc>
          <w:tcPr>
            <w:tcW w:w="1086" w:type="dxa"/>
            <w:vAlign w:val="center"/>
          </w:tcPr>
          <w:p w14:paraId="431B017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3,695</w:t>
            </w:r>
          </w:p>
        </w:tc>
        <w:tc>
          <w:tcPr>
            <w:tcW w:w="1086" w:type="dxa"/>
            <w:vAlign w:val="center"/>
          </w:tcPr>
          <w:p w14:paraId="7E139E1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3,901</w:t>
            </w:r>
          </w:p>
        </w:tc>
        <w:tc>
          <w:tcPr>
            <w:tcW w:w="1085" w:type="dxa"/>
            <w:vAlign w:val="center"/>
          </w:tcPr>
          <w:p w14:paraId="51A41E0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4,082</w:t>
            </w:r>
          </w:p>
        </w:tc>
        <w:tc>
          <w:tcPr>
            <w:tcW w:w="1086" w:type="dxa"/>
            <w:vAlign w:val="center"/>
          </w:tcPr>
          <w:p w14:paraId="202219A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4,236</w:t>
            </w:r>
          </w:p>
        </w:tc>
        <w:tc>
          <w:tcPr>
            <w:tcW w:w="1085" w:type="dxa"/>
            <w:vAlign w:val="center"/>
          </w:tcPr>
          <w:p w14:paraId="573F5E0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4,363</w:t>
            </w:r>
          </w:p>
        </w:tc>
        <w:tc>
          <w:tcPr>
            <w:tcW w:w="1086" w:type="dxa"/>
            <w:vAlign w:val="center"/>
          </w:tcPr>
          <w:p w14:paraId="3507397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4,466</w:t>
            </w:r>
          </w:p>
        </w:tc>
        <w:tc>
          <w:tcPr>
            <w:tcW w:w="1086" w:type="dxa"/>
            <w:vAlign w:val="center"/>
          </w:tcPr>
          <w:p w14:paraId="71354F6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4,556</w:t>
            </w:r>
          </w:p>
        </w:tc>
      </w:tr>
      <w:tr w:rsidR="005A5BD5" w:rsidRPr="00CA3519" w14:paraId="766B58EB" w14:textId="77777777" w:rsidTr="009B6E1B">
        <w:trPr>
          <w:trHeight w:val="397"/>
          <w:jc w:val="center"/>
        </w:trPr>
        <w:tc>
          <w:tcPr>
            <w:tcW w:w="2113" w:type="dxa"/>
            <w:vAlign w:val="center"/>
          </w:tcPr>
          <w:p w14:paraId="6F37A3A7"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November 2002</w:t>
            </w:r>
          </w:p>
        </w:tc>
        <w:tc>
          <w:tcPr>
            <w:tcW w:w="2113" w:type="dxa"/>
            <w:vAlign w:val="center"/>
          </w:tcPr>
          <w:p w14:paraId="448E2CB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20.11.2002</w:t>
            </w:r>
          </w:p>
        </w:tc>
        <w:tc>
          <w:tcPr>
            <w:tcW w:w="1085" w:type="dxa"/>
            <w:vAlign w:val="center"/>
          </w:tcPr>
          <w:p w14:paraId="1D56237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2,993</w:t>
            </w:r>
          </w:p>
        </w:tc>
        <w:tc>
          <w:tcPr>
            <w:tcW w:w="1086" w:type="dxa"/>
            <w:vAlign w:val="center"/>
          </w:tcPr>
          <w:p w14:paraId="0C9ACAB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3,277</w:t>
            </w:r>
          </w:p>
        </w:tc>
        <w:tc>
          <w:tcPr>
            <w:tcW w:w="1085" w:type="dxa"/>
            <w:vAlign w:val="center"/>
          </w:tcPr>
          <w:p w14:paraId="2960BE4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3,555</w:t>
            </w:r>
          </w:p>
        </w:tc>
        <w:tc>
          <w:tcPr>
            <w:tcW w:w="1086" w:type="dxa"/>
            <w:vAlign w:val="center"/>
          </w:tcPr>
          <w:p w14:paraId="7F7183A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3,824</w:t>
            </w:r>
          </w:p>
        </w:tc>
        <w:tc>
          <w:tcPr>
            <w:tcW w:w="1086" w:type="dxa"/>
            <w:vAlign w:val="center"/>
          </w:tcPr>
          <w:p w14:paraId="40D4D59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4,055</w:t>
            </w:r>
          </w:p>
        </w:tc>
        <w:tc>
          <w:tcPr>
            <w:tcW w:w="1085" w:type="dxa"/>
            <w:vAlign w:val="center"/>
          </w:tcPr>
          <w:p w14:paraId="4013E58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4,242</w:t>
            </w:r>
          </w:p>
        </w:tc>
        <w:tc>
          <w:tcPr>
            <w:tcW w:w="1086" w:type="dxa"/>
            <w:vAlign w:val="center"/>
          </w:tcPr>
          <w:p w14:paraId="5659C27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4,398</w:t>
            </w:r>
          </w:p>
        </w:tc>
        <w:tc>
          <w:tcPr>
            <w:tcW w:w="1085" w:type="dxa"/>
            <w:vAlign w:val="center"/>
          </w:tcPr>
          <w:p w14:paraId="4C8709B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4,528</w:t>
            </w:r>
          </w:p>
        </w:tc>
        <w:tc>
          <w:tcPr>
            <w:tcW w:w="1086" w:type="dxa"/>
            <w:vAlign w:val="center"/>
          </w:tcPr>
          <w:p w14:paraId="738C257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4,638</w:t>
            </w:r>
          </w:p>
        </w:tc>
        <w:tc>
          <w:tcPr>
            <w:tcW w:w="1086" w:type="dxa"/>
            <w:vAlign w:val="center"/>
          </w:tcPr>
          <w:p w14:paraId="62872A3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4,734</w:t>
            </w:r>
          </w:p>
        </w:tc>
      </w:tr>
      <w:tr w:rsidR="005A5BD5" w:rsidRPr="00CA3519" w14:paraId="1CD9D203" w14:textId="77777777" w:rsidTr="009B6E1B">
        <w:trPr>
          <w:trHeight w:val="397"/>
          <w:jc w:val="center"/>
        </w:trPr>
        <w:tc>
          <w:tcPr>
            <w:tcW w:w="2113" w:type="dxa"/>
            <w:vAlign w:val="center"/>
          </w:tcPr>
          <w:p w14:paraId="0F3F2084"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Dezember 2002</w:t>
            </w:r>
          </w:p>
        </w:tc>
        <w:tc>
          <w:tcPr>
            <w:tcW w:w="2113" w:type="dxa"/>
            <w:vAlign w:val="center"/>
          </w:tcPr>
          <w:p w14:paraId="03CF263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20.12.2002 + Err. 25.12.2002</w:t>
            </w:r>
          </w:p>
        </w:tc>
        <w:tc>
          <w:tcPr>
            <w:tcW w:w="1085" w:type="dxa"/>
            <w:vAlign w:val="center"/>
          </w:tcPr>
          <w:p w14:paraId="3CFA0A0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2,850</w:t>
            </w:r>
          </w:p>
        </w:tc>
        <w:tc>
          <w:tcPr>
            <w:tcW w:w="1086" w:type="dxa"/>
            <w:vAlign w:val="center"/>
          </w:tcPr>
          <w:p w14:paraId="5F5EDC7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3,127</w:t>
            </w:r>
          </w:p>
        </w:tc>
        <w:tc>
          <w:tcPr>
            <w:tcW w:w="1085" w:type="dxa"/>
            <w:vAlign w:val="center"/>
          </w:tcPr>
          <w:p w14:paraId="553DD1F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3,406</w:t>
            </w:r>
          </w:p>
        </w:tc>
        <w:tc>
          <w:tcPr>
            <w:tcW w:w="1086" w:type="dxa"/>
            <w:vAlign w:val="center"/>
          </w:tcPr>
          <w:p w14:paraId="3FAC1AA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3,679</w:t>
            </w:r>
          </w:p>
        </w:tc>
        <w:tc>
          <w:tcPr>
            <w:tcW w:w="1086" w:type="dxa"/>
            <w:vAlign w:val="center"/>
          </w:tcPr>
          <w:p w14:paraId="4886C45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3,910</w:t>
            </w:r>
          </w:p>
        </w:tc>
        <w:tc>
          <w:tcPr>
            <w:tcW w:w="1085" w:type="dxa"/>
            <w:vAlign w:val="center"/>
          </w:tcPr>
          <w:p w14:paraId="75282C3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4,096</w:t>
            </w:r>
          </w:p>
        </w:tc>
        <w:tc>
          <w:tcPr>
            <w:tcW w:w="1086" w:type="dxa"/>
            <w:vAlign w:val="center"/>
          </w:tcPr>
          <w:p w14:paraId="2135A45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4,253</w:t>
            </w:r>
          </w:p>
        </w:tc>
        <w:tc>
          <w:tcPr>
            <w:tcW w:w="1085" w:type="dxa"/>
            <w:vAlign w:val="center"/>
          </w:tcPr>
          <w:p w14:paraId="21EF177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4,389</w:t>
            </w:r>
          </w:p>
        </w:tc>
        <w:tc>
          <w:tcPr>
            <w:tcW w:w="1086" w:type="dxa"/>
            <w:vAlign w:val="center"/>
          </w:tcPr>
          <w:p w14:paraId="6C650DD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4,507</w:t>
            </w:r>
          </w:p>
        </w:tc>
        <w:tc>
          <w:tcPr>
            <w:tcW w:w="1086" w:type="dxa"/>
            <w:vAlign w:val="center"/>
          </w:tcPr>
          <w:p w14:paraId="7BD105D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4,608]</w:t>
            </w:r>
          </w:p>
        </w:tc>
      </w:tr>
      <w:tr w:rsidR="005A5BD5" w:rsidRPr="00CA3519" w14:paraId="79DAA846" w14:textId="77777777" w:rsidTr="009B6E1B">
        <w:trPr>
          <w:trHeight w:val="397"/>
          <w:jc w:val="center"/>
        </w:trPr>
        <w:tc>
          <w:tcPr>
            <w:tcW w:w="2113" w:type="dxa"/>
            <w:vAlign w:val="center"/>
          </w:tcPr>
          <w:p w14:paraId="6B5A8CE3"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[Januar 2003</w:t>
            </w:r>
          </w:p>
        </w:tc>
        <w:tc>
          <w:tcPr>
            <w:tcW w:w="2113" w:type="dxa"/>
            <w:vAlign w:val="center"/>
          </w:tcPr>
          <w:p w14:paraId="0BDBCB7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20.01.2003</w:t>
            </w:r>
          </w:p>
        </w:tc>
        <w:tc>
          <w:tcPr>
            <w:tcW w:w="1085" w:type="dxa"/>
            <w:vAlign w:val="center"/>
          </w:tcPr>
          <w:p w14:paraId="0A19566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2,649</w:t>
            </w:r>
          </w:p>
        </w:tc>
        <w:tc>
          <w:tcPr>
            <w:tcW w:w="1086" w:type="dxa"/>
            <w:vAlign w:val="center"/>
          </w:tcPr>
          <w:p w14:paraId="0914231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2,855</w:t>
            </w:r>
          </w:p>
        </w:tc>
        <w:tc>
          <w:tcPr>
            <w:tcW w:w="1085" w:type="dxa"/>
            <w:vAlign w:val="center"/>
          </w:tcPr>
          <w:p w14:paraId="64928D8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3,109</w:t>
            </w:r>
          </w:p>
        </w:tc>
        <w:tc>
          <w:tcPr>
            <w:tcW w:w="1086" w:type="dxa"/>
            <w:vAlign w:val="center"/>
          </w:tcPr>
          <w:p w14:paraId="654D71E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3,404</w:t>
            </w:r>
          </w:p>
        </w:tc>
        <w:tc>
          <w:tcPr>
            <w:tcW w:w="1086" w:type="dxa"/>
            <w:vAlign w:val="center"/>
          </w:tcPr>
          <w:p w14:paraId="671690C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3,651</w:t>
            </w:r>
          </w:p>
        </w:tc>
        <w:tc>
          <w:tcPr>
            <w:tcW w:w="1085" w:type="dxa"/>
            <w:vAlign w:val="center"/>
          </w:tcPr>
          <w:p w14:paraId="67BD7D3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3,842</w:t>
            </w:r>
          </w:p>
        </w:tc>
        <w:tc>
          <w:tcPr>
            <w:tcW w:w="1086" w:type="dxa"/>
            <w:vAlign w:val="center"/>
          </w:tcPr>
          <w:p w14:paraId="6B7A373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4,010</w:t>
            </w:r>
          </w:p>
        </w:tc>
        <w:tc>
          <w:tcPr>
            <w:tcW w:w="1085" w:type="dxa"/>
            <w:vAlign w:val="center"/>
          </w:tcPr>
          <w:p w14:paraId="4AA44F2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4,164</w:t>
            </w:r>
          </w:p>
        </w:tc>
        <w:tc>
          <w:tcPr>
            <w:tcW w:w="1086" w:type="dxa"/>
            <w:vAlign w:val="center"/>
          </w:tcPr>
          <w:p w14:paraId="1C7E85A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4,303</w:t>
            </w:r>
          </w:p>
        </w:tc>
        <w:tc>
          <w:tcPr>
            <w:tcW w:w="1086" w:type="dxa"/>
            <w:vAlign w:val="center"/>
          </w:tcPr>
          <w:p w14:paraId="3CD95D3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4,419</w:t>
            </w:r>
          </w:p>
        </w:tc>
      </w:tr>
      <w:tr w:rsidR="005A5BD5" w:rsidRPr="00CA3519" w14:paraId="1CAE46F7" w14:textId="77777777" w:rsidTr="009B6E1B">
        <w:trPr>
          <w:trHeight w:val="397"/>
          <w:jc w:val="center"/>
        </w:trPr>
        <w:tc>
          <w:tcPr>
            <w:tcW w:w="2113" w:type="dxa"/>
            <w:vAlign w:val="center"/>
          </w:tcPr>
          <w:p w14:paraId="547691B2"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Februar 2003</w:t>
            </w:r>
          </w:p>
        </w:tc>
        <w:tc>
          <w:tcPr>
            <w:tcW w:w="2113" w:type="dxa"/>
            <w:vAlign w:val="center"/>
          </w:tcPr>
          <w:p w14:paraId="63C034B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20.02.2003 Ausg. 3</w:t>
            </w:r>
          </w:p>
        </w:tc>
        <w:tc>
          <w:tcPr>
            <w:tcW w:w="1085" w:type="dxa"/>
            <w:vAlign w:val="center"/>
          </w:tcPr>
          <w:p w14:paraId="5FB2AB7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2,498</w:t>
            </w:r>
          </w:p>
        </w:tc>
        <w:tc>
          <w:tcPr>
            <w:tcW w:w="1086" w:type="dxa"/>
            <w:vAlign w:val="center"/>
          </w:tcPr>
          <w:p w14:paraId="6468D86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2,696</w:t>
            </w:r>
          </w:p>
        </w:tc>
        <w:tc>
          <w:tcPr>
            <w:tcW w:w="1085" w:type="dxa"/>
            <w:vAlign w:val="center"/>
          </w:tcPr>
          <w:p w14:paraId="2543085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2,925</w:t>
            </w:r>
          </w:p>
        </w:tc>
        <w:tc>
          <w:tcPr>
            <w:tcW w:w="1086" w:type="dxa"/>
            <w:vAlign w:val="center"/>
          </w:tcPr>
          <w:p w14:paraId="17A4B7E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3,185</w:t>
            </w:r>
          </w:p>
        </w:tc>
        <w:tc>
          <w:tcPr>
            <w:tcW w:w="1086" w:type="dxa"/>
            <w:vAlign w:val="center"/>
          </w:tcPr>
          <w:p w14:paraId="25308DE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3,425</w:t>
            </w:r>
          </w:p>
        </w:tc>
        <w:tc>
          <w:tcPr>
            <w:tcW w:w="1085" w:type="dxa"/>
            <w:vAlign w:val="center"/>
          </w:tcPr>
          <w:p w14:paraId="52C1E25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3,629</w:t>
            </w:r>
          </w:p>
        </w:tc>
        <w:tc>
          <w:tcPr>
            <w:tcW w:w="1086" w:type="dxa"/>
            <w:vAlign w:val="center"/>
          </w:tcPr>
          <w:p w14:paraId="731404C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3,807</w:t>
            </w:r>
          </w:p>
        </w:tc>
        <w:tc>
          <w:tcPr>
            <w:tcW w:w="1085" w:type="dxa"/>
            <w:vAlign w:val="center"/>
          </w:tcPr>
          <w:p w14:paraId="62075D5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3,961</w:t>
            </w:r>
          </w:p>
        </w:tc>
        <w:tc>
          <w:tcPr>
            <w:tcW w:w="1086" w:type="dxa"/>
            <w:vAlign w:val="center"/>
          </w:tcPr>
          <w:p w14:paraId="4F93DA5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4,095</w:t>
            </w:r>
          </w:p>
        </w:tc>
        <w:tc>
          <w:tcPr>
            <w:tcW w:w="1086" w:type="dxa"/>
            <w:vAlign w:val="center"/>
          </w:tcPr>
          <w:p w14:paraId="762C4DB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4,210</w:t>
            </w:r>
          </w:p>
        </w:tc>
      </w:tr>
      <w:tr w:rsidR="005A5BD5" w:rsidRPr="00CA3519" w14:paraId="1462C5D1" w14:textId="77777777" w:rsidTr="009B6E1B">
        <w:trPr>
          <w:trHeight w:val="397"/>
          <w:jc w:val="center"/>
        </w:trPr>
        <w:tc>
          <w:tcPr>
            <w:tcW w:w="2113" w:type="dxa"/>
            <w:vAlign w:val="center"/>
          </w:tcPr>
          <w:p w14:paraId="64E53158"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März 2003</w:t>
            </w:r>
          </w:p>
        </w:tc>
        <w:tc>
          <w:tcPr>
            <w:tcW w:w="2113" w:type="dxa"/>
            <w:vAlign w:val="center"/>
          </w:tcPr>
          <w:p w14:paraId="47A2DEF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20.03.2003 Ed 3</w:t>
            </w:r>
          </w:p>
        </w:tc>
        <w:tc>
          <w:tcPr>
            <w:tcW w:w="1085" w:type="dxa"/>
            <w:vAlign w:val="center"/>
          </w:tcPr>
          <w:p w14:paraId="4E50E6C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2,295</w:t>
            </w:r>
          </w:p>
        </w:tc>
        <w:tc>
          <w:tcPr>
            <w:tcW w:w="1086" w:type="dxa"/>
            <w:vAlign w:val="center"/>
          </w:tcPr>
          <w:p w14:paraId="10B21E7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2,477</w:t>
            </w:r>
          </w:p>
        </w:tc>
        <w:tc>
          <w:tcPr>
            <w:tcW w:w="1085" w:type="dxa"/>
            <w:vAlign w:val="center"/>
          </w:tcPr>
          <w:p w14:paraId="1C484BB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2,677</w:t>
            </w:r>
          </w:p>
        </w:tc>
        <w:tc>
          <w:tcPr>
            <w:tcW w:w="1086" w:type="dxa"/>
            <w:vAlign w:val="center"/>
          </w:tcPr>
          <w:p w14:paraId="1C8EA9E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2,909</w:t>
            </w:r>
          </w:p>
        </w:tc>
        <w:tc>
          <w:tcPr>
            <w:tcW w:w="1086" w:type="dxa"/>
            <w:vAlign w:val="center"/>
          </w:tcPr>
          <w:p w14:paraId="2819537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3,155</w:t>
            </w:r>
          </w:p>
        </w:tc>
        <w:tc>
          <w:tcPr>
            <w:tcW w:w="1085" w:type="dxa"/>
            <w:vAlign w:val="center"/>
          </w:tcPr>
          <w:p w14:paraId="6EA3034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3,383</w:t>
            </w:r>
          </w:p>
        </w:tc>
        <w:tc>
          <w:tcPr>
            <w:tcW w:w="1086" w:type="dxa"/>
            <w:vAlign w:val="center"/>
          </w:tcPr>
          <w:p w14:paraId="7EC24E0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3,581</w:t>
            </w:r>
          </w:p>
        </w:tc>
        <w:tc>
          <w:tcPr>
            <w:tcW w:w="1085" w:type="dxa"/>
            <w:vAlign w:val="center"/>
          </w:tcPr>
          <w:p w14:paraId="7F375CA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3,749</w:t>
            </w:r>
          </w:p>
        </w:tc>
        <w:tc>
          <w:tcPr>
            <w:tcW w:w="1086" w:type="dxa"/>
            <w:vAlign w:val="center"/>
          </w:tcPr>
          <w:p w14:paraId="09EA0F8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3,885</w:t>
            </w:r>
          </w:p>
        </w:tc>
        <w:tc>
          <w:tcPr>
            <w:tcW w:w="1086" w:type="dxa"/>
            <w:vAlign w:val="center"/>
          </w:tcPr>
          <w:p w14:paraId="7362123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4,000</w:t>
            </w:r>
          </w:p>
        </w:tc>
      </w:tr>
      <w:tr w:rsidR="005A5BD5" w:rsidRPr="00CA3519" w14:paraId="58306049" w14:textId="77777777" w:rsidTr="009B6E1B">
        <w:trPr>
          <w:trHeight w:val="397"/>
          <w:jc w:val="center"/>
        </w:trPr>
        <w:tc>
          <w:tcPr>
            <w:tcW w:w="2113" w:type="dxa"/>
            <w:vAlign w:val="center"/>
          </w:tcPr>
          <w:p w14:paraId="2C4BAEFB"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April 2003</w:t>
            </w:r>
          </w:p>
        </w:tc>
        <w:tc>
          <w:tcPr>
            <w:tcW w:w="2113" w:type="dxa"/>
            <w:vAlign w:val="center"/>
          </w:tcPr>
          <w:p w14:paraId="6E8494A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22.04.2003</w:t>
            </w:r>
          </w:p>
        </w:tc>
        <w:tc>
          <w:tcPr>
            <w:tcW w:w="1085" w:type="dxa"/>
            <w:vAlign w:val="center"/>
          </w:tcPr>
          <w:p w14:paraId="6F485AE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2,313</w:t>
            </w:r>
          </w:p>
        </w:tc>
        <w:tc>
          <w:tcPr>
            <w:tcW w:w="1086" w:type="dxa"/>
            <w:vAlign w:val="center"/>
          </w:tcPr>
          <w:p w14:paraId="45D3663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2,586</w:t>
            </w:r>
          </w:p>
        </w:tc>
        <w:tc>
          <w:tcPr>
            <w:tcW w:w="1085" w:type="dxa"/>
            <w:vAlign w:val="center"/>
          </w:tcPr>
          <w:p w14:paraId="5A045AC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2,857</w:t>
            </w:r>
          </w:p>
        </w:tc>
        <w:tc>
          <w:tcPr>
            <w:tcW w:w="1086" w:type="dxa"/>
            <w:vAlign w:val="center"/>
          </w:tcPr>
          <w:p w14:paraId="741AD96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3,129</w:t>
            </w:r>
          </w:p>
        </w:tc>
        <w:tc>
          <w:tcPr>
            <w:tcW w:w="1086" w:type="dxa"/>
            <w:vAlign w:val="center"/>
          </w:tcPr>
          <w:p w14:paraId="4514550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3,384</w:t>
            </w:r>
          </w:p>
        </w:tc>
        <w:tc>
          <w:tcPr>
            <w:tcW w:w="1085" w:type="dxa"/>
            <w:vAlign w:val="center"/>
          </w:tcPr>
          <w:p w14:paraId="3810034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3,605</w:t>
            </w:r>
          </w:p>
        </w:tc>
        <w:tc>
          <w:tcPr>
            <w:tcW w:w="1086" w:type="dxa"/>
            <w:vAlign w:val="center"/>
          </w:tcPr>
          <w:p w14:paraId="595AAB0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3,791</w:t>
            </w:r>
          </w:p>
        </w:tc>
        <w:tc>
          <w:tcPr>
            <w:tcW w:w="1085" w:type="dxa"/>
            <w:vAlign w:val="center"/>
          </w:tcPr>
          <w:p w14:paraId="066055D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3,948</w:t>
            </w:r>
          </w:p>
        </w:tc>
        <w:tc>
          <w:tcPr>
            <w:tcW w:w="1086" w:type="dxa"/>
            <w:vAlign w:val="center"/>
          </w:tcPr>
          <w:p w14:paraId="38CA876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4,085</w:t>
            </w:r>
          </w:p>
        </w:tc>
        <w:tc>
          <w:tcPr>
            <w:tcW w:w="1086" w:type="dxa"/>
            <w:vAlign w:val="center"/>
          </w:tcPr>
          <w:p w14:paraId="4CB85F6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4,202</w:t>
            </w:r>
          </w:p>
        </w:tc>
      </w:tr>
      <w:tr w:rsidR="005A5BD5" w:rsidRPr="00CA3519" w14:paraId="584F534B" w14:textId="77777777" w:rsidTr="009B6E1B">
        <w:trPr>
          <w:trHeight w:val="397"/>
          <w:jc w:val="center"/>
        </w:trPr>
        <w:tc>
          <w:tcPr>
            <w:tcW w:w="2113" w:type="dxa"/>
            <w:vAlign w:val="center"/>
          </w:tcPr>
          <w:p w14:paraId="52EAAC02"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Mai 2003</w:t>
            </w:r>
          </w:p>
        </w:tc>
        <w:tc>
          <w:tcPr>
            <w:tcW w:w="2113" w:type="dxa"/>
            <w:vAlign w:val="center"/>
          </w:tcPr>
          <w:p w14:paraId="0FD59A4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20.05.2003</w:t>
            </w:r>
          </w:p>
        </w:tc>
        <w:tc>
          <w:tcPr>
            <w:tcW w:w="1085" w:type="dxa"/>
            <w:vAlign w:val="center"/>
          </w:tcPr>
          <w:p w14:paraId="108B54B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2,311</w:t>
            </w:r>
          </w:p>
        </w:tc>
        <w:tc>
          <w:tcPr>
            <w:tcW w:w="1086" w:type="dxa"/>
            <w:vAlign w:val="center"/>
          </w:tcPr>
          <w:p w14:paraId="4C3D53D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2,562</w:t>
            </w:r>
          </w:p>
        </w:tc>
        <w:tc>
          <w:tcPr>
            <w:tcW w:w="1085" w:type="dxa"/>
            <w:vAlign w:val="center"/>
          </w:tcPr>
          <w:p w14:paraId="67C6E9E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2,821</w:t>
            </w:r>
          </w:p>
        </w:tc>
        <w:tc>
          <w:tcPr>
            <w:tcW w:w="1086" w:type="dxa"/>
            <w:vAlign w:val="center"/>
          </w:tcPr>
          <w:p w14:paraId="5508FC1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3,093</w:t>
            </w:r>
          </w:p>
        </w:tc>
        <w:tc>
          <w:tcPr>
            <w:tcW w:w="1086" w:type="dxa"/>
            <w:vAlign w:val="center"/>
          </w:tcPr>
          <w:p w14:paraId="54BCEEA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3,353</w:t>
            </w:r>
          </w:p>
        </w:tc>
        <w:tc>
          <w:tcPr>
            <w:tcW w:w="1085" w:type="dxa"/>
            <w:vAlign w:val="center"/>
          </w:tcPr>
          <w:p w14:paraId="6F1B674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3,574</w:t>
            </w:r>
          </w:p>
        </w:tc>
        <w:tc>
          <w:tcPr>
            <w:tcW w:w="1086" w:type="dxa"/>
            <w:vAlign w:val="center"/>
          </w:tcPr>
          <w:p w14:paraId="095547D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3,753</w:t>
            </w:r>
          </w:p>
        </w:tc>
        <w:tc>
          <w:tcPr>
            <w:tcW w:w="1085" w:type="dxa"/>
            <w:vAlign w:val="center"/>
          </w:tcPr>
          <w:p w14:paraId="27B1B62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3,911</w:t>
            </w:r>
          </w:p>
        </w:tc>
        <w:tc>
          <w:tcPr>
            <w:tcW w:w="1086" w:type="dxa"/>
            <w:vAlign w:val="center"/>
          </w:tcPr>
          <w:p w14:paraId="67A5049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4,052</w:t>
            </w:r>
          </w:p>
        </w:tc>
        <w:tc>
          <w:tcPr>
            <w:tcW w:w="1086" w:type="dxa"/>
            <w:vAlign w:val="center"/>
          </w:tcPr>
          <w:p w14:paraId="40AD6D8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4,174</w:t>
            </w:r>
          </w:p>
        </w:tc>
      </w:tr>
      <w:tr w:rsidR="005A5BD5" w:rsidRPr="00CA3519" w14:paraId="5BCBA68F" w14:textId="77777777" w:rsidTr="009B6E1B">
        <w:trPr>
          <w:trHeight w:val="397"/>
          <w:jc w:val="center"/>
        </w:trPr>
        <w:tc>
          <w:tcPr>
            <w:tcW w:w="2113" w:type="dxa"/>
            <w:vAlign w:val="center"/>
          </w:tcPr>
          <w:p w14:paraId="763B4520"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Juni 2003</w:t>
            </w:r>
          </w:p>
        </w:tc>
        <w:tc>
          <w:tcPr>
            <w:tcW w:w="2113" w:type="dxa"/>
            <w:vAlign w:val="center"/>
          </w:tcPr>
          <w:p w14:paraId="5AD7D78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20.06.2003 Ed 3</w:t>
            </w:r>
          </w:p>
        </w:tc>
        <w:tc>
          <w:tcPr>
            <w:tcW w:w="1085" w:type="dxa"/>
            <w:vAlign w:val="center"/>
          </w:tcPr>
          <w:p w14:paraId="25736BD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2,058</w:t>
            </w:r>
          </w:p>
        </w:tc>
        <w:tc>
          <w:tcPr>
            <w:tcW w:w="1086" w:type="dxa"/>
            <w:vAlign w:val="center"/>
          </w:tcPr>
          <w:p w14:paraId="57FE151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2,242</w:t>
            </w:r>
          </w:p>
        </w:tc>
        <w:tc>
          <w:tcPr>
            <w:tcW w:w="1085" w:type="dxa"/>
            <w:vAlign w:val="center"/>
          </w:tcPr>
          <w:p w14:paraId="497BED5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2,448</w:t>
            </w:r>
          </w:p>
        </w:tc>
        <w:tc>
          <w:tcPr>
            <w:tcW w:w="1086" w:type="dxa"/>
            <w:vAlign w:val="center"/>
          </w:tcPr>
          <w:p w14:paraId="324D289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2,688</w:t>
            </w:r>
          </w:p>
        </w:tc>
        <w:tc>
          <w:tcPr>
            <w:tcW w:w="1086" w:type="dxa"/>
            <w:vAlign w:val="center"/>
          </w:tcPr>
          <w:p w14:paraId="551A86E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2,937</w:t>
            </w:r>
          </w:p>
        </w:tc>
        <w:tc>
          <w:tcPr>
            <w:tcW w:w="1085" w:type="dxa"/>
            <w:vAlign w:val="center"/>
          </w:tcPr>
          <w:p w14:paraId="75B68DF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3,162</w:t>
            </w:r>
          </w:p>
        </w:tc>
        <w:tc>
          <w:tcPr>
            <w:tcW w:w="1086" w:type="dxa"/>
            <w:vAlign w:val="center"/>
          </w:tcPr>
          <w:p w14:paraId="7771C14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3,354</w:t>
            </w:r>
          </w:p>
        </w:tc>
        <w:tc>
          <w:tcPr>
            <w:tcW w:w="1085" w:type="dxa"/>
            <w:vAlign w:val="center"/>
          </w:tcPr>
          <w:p w14:paraId="620FCA2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3,525</w:t>
            </w:r>
          </w:p>
        </w:tc>
        <w:tc>
          <w:tcPr>
            <w:tcW w:w="1086" w:type="dxa"/>
            <w:vAlign w:val="center"/>
          </w:tcPr>
          <w:p w14:paraId="12CC3263"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3,675</w:t>
            </w:r>
          </w:p>
        </w:tc>
        <w:tc>
          <w:tcPr>
            <w:tcW w:w="1086" w:type="dxa"/>
            <w:vAlign w:val="center"/>
          </w:tcPr>
          <w:p w14:paraId="3EB5B41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3,807</w:t>
            </w:r>
          </w:p>
        </w:tc>
      </w:tr>
      <w:tr w:rsidR="005A5BD5" w:rsidRPr="00CA3519" w14:paraId="1DCA38D4" w14:textId="77777777" w:rsidTr="009B6E1B">
        <w:trPr>
          <w:trHeight w:val="397"/>
          <w:jc w:val="center"/>
        </w:trPr>
        <w:tc>
          <w:tcPr>
            <w:tcW w:w="2113" w:type="dxa"/>
            <w:vAlign w:val="center"/>
          </w:tcPr>
          <w:p w14:paraId="2EC1969D"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Juli 2003</w:t>
            </w:r>
          </w:p>
        </w:tc>
        <w:tc>
          <w:tcPr>
            <w:tcW w:w="2113" w:type="dxa"/>
            <w:vAlign w:val="center"/>
          </w:tcPr>
          <w:p w14:paraId="53BBD6A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22.07.2003</w:t>
            </w:r>
          </w:p>
        </w:tc>
        <w:tc>
          <w:tcPr>
            <w:tcW w:w="1085" w:type="dxa"/>
            <w:vAlign w:val="center"/>
          </w:tcPr>
          <w:p w14:paraId="6825D74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1,891</w:t>
            </w:r>
          </w:p>
        </w:tc>
        <w:tc>
          <w:tcPr>
            <w:tcW w:w="1086" w:type="dxa"/>
            <w:vAlign w:val="center"/>
          </w:tcPr>
          <w:p w14:paraId="0EC06AC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2,118</w:t>
            </w:r>
          </w:p>
        </w:tc>
        <w:tc>
          <w:tcPr>
            <w:tcW w:w="1085" w:type="dxa"/>
            <w:vAlign w:val="center"/>
          </w:tcPr>
          <w:p w14:paraId="06CD1FA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2,362</w:t>
            </w:r>
          </w:p>
        </w:tc>
        <w:tc>
          <w:tcPr>
            <w:tcW w:w="1086" w:type="dxa"/>
            <w:vAlign w:val="center"/>
          </w:tcPr>
          <w:p w14:paraId="0644D8F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2,628</w:t>
            </w:r>
          </w:p>
        </w:tc>
        <w:tc>
          <w:tcPr>
            <w:tcW w:w="1086" w:type="dxa"/>
            <w:vAlign w:val="center"/>
          </w:tcPr>
          <w:p w14:paraId="1A450AA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2,892</w:t>
            </w:r>
          </w:p>
        </w:tc>
        <w:tc>
          <w:tcPr>
            <w:tcW w:w="1085" w:type="dxa"/>
            <w:vAlign w:val="center"/>
          </w:tcPr>
          <w:p w14:paraId="65B73B2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3,125</w:t>
            </w:r>
          </w:p>
        </w:tc>
        <w:tc>
          <w:tcPr>
            <w:tcW w:w="1086" w:type="dxa"/>
            <w:vAlign w:val="center"/>
          </w:tcPr>
          <w:p w14:paraId="4164483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3,330</w:t>
            </w:r>
          </w:p>
        </w:tc>
        <w:tc>
          <w:tcPr>
            <w:tcW w:w="1085" w:type="dxa"/>
            <w:vAlign w:val="center"/>
          </w:tcPr>
          <w:p w14:paraId="3F34318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3,505</w:t>
            </w:r>
          </w:p>
        </w:tc>
        <w:tc>
          <w:tcPr>
            <w:tcW w:w="1086" w:type="dxa"/>
            <w:vAlign w:val="center"/>
          </w:tcPr>
          <w:p w14:paraId="505D4BC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3,663</w:t>
            </w:r>
          </w:p>
        </w:tc>
        <w:tc>
          <w:tcPr>
            <w:tcW w:w="1086" w:type="dxa"/>
            <w:vAlign w:val="center"/>
          </w:tcPr>
          <w:p w14:paraId="2630160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3,798</w:t>
            </w:r>
          </w:p>
        </w:tc>
      </w:tr>
      <w:tr w:rsidR="005A5BD5" w:rsidRPr="00CA3519" w14:paraId="31E48A94" w14:textId="77777777" w:rsidTr="009B6E1B">
        <w:trPr>
          <w:trHeight w:val="397"/>
          <w:jc w:val="center"/>
        </w:trPr>
        <w:tc>
          <w:tcPr>
            <w:tcW w:w="2113" w:type="dxa"/>
            <w:vAlign w:val="center"/>
          </w:tcPr>
          <w:p w14:paraId="71F2E385"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August 2003</w:t>
            </w:r>
          </w:p>
        </w:tc>
        <w:tc>
          <w:tcPr>
            <w:tcW w:w="2113" w:type="dxa"/>
            <w:vAlign w:val="center"/>
          </w:tcPr>
          <w:p w14:paraId="0E0F629A"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20.08.2003</w:t>
            </w:r>
          </w:p>
        </w:tc>
        <w:tc>
          <w:tcPr>
            <w:tcW w:w="1085" w:type="dxa"/>
            <w:vAlign w:val="center"/>
          </w:tcPr>
          <w:p w14:paraId="7F46560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2,043</w:t>
            </w:r>
          </w:p>
        </w:tc>
        <w:tc>
          <w:tcPr>
            <w:tcW w:w="1086" w:type="dxa"/>
            <w:vAlign w:val="center"/>
          </w:tcPr>
          <w:p w14:paraId="485F519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2,404</w:t>
            </w:r>
          </w:p>
        </w:tc>
        <w:tc>
          <w:tcPr>
            <w:tcW w:w="1085" w:type="dxa"/>
            <w:vAlign w:val="center"/>
          </w:tcPr>
          <w:p w14:paraId="0BC8E77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2,746</w:t>
            </w:r>
          </w:p>
        </w:tc>
        <w:tc>
          <w:tcPr>
            <w:tcW w:w="1086" w:type="dxa"/>
            <w:vAlign w:val="center"/>
          </w:tcPr>
          <w:p w14:paraId="3563A3A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3,051</w:t>
            </w:r>
          </w:p>
        </w:tc>
        <w:tc>
          <w:tcPr>
            <w:tcW w:w="1086" w:type="dxa"/>
            <w:vAlign w:val="center"/>
          </w:tcPr>
          <w:p w14:paraId="4A893F9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3,311</w:t>
            </w:r>
          </w:p>
        </w:tc>
        <w:tc>
          <w:tcPr>
            <w:tcW w:w="1085" w:type="dxa"/>
            <w:vAlign w:val="center"/>
          </w:tcPr>
          <w:p w14:paraId="0E585C9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3,525</w:t>
            </w:r>
          </w:p>
        </w:tc>
        <w:tc>
          <w:tcPr>
            <w:tcW w:w="1086" w:type="dxa"/>
            <w:vAlign w:val="center"/>
          </w:tcPr>
          <w:p w14:paraId="6EE5E30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3,703</w:t>
            </w:r>
          </w:p>
        </w:tc>
        <w:tc>
          <w:tcPr>
            <w:tcW w:w="1085" w:type="dxa"/>
            <w:vAlign w:val="center"/>
          </w:tcPr>
          <w:p w14:paraId="044458C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3,860</w:t>
            </w:r>
          </w:p>
        </w:tc>
        <w:tc>
          <w:tcPr>
            <w:tcW w:w="1086" w:type="dxa"/>
            <w:vAlign w:val="center"/>
          </w:tcPr>
          <w:p w14:paraId="4D0E388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3,996</w:t>
            </w:r>
          </w:p>
        </w:tc>
        <w:tc>
          <w:tcPr>
            <w:tcW w:w="1086" w:type="dxa"/>
            <w:vAlign w:val="center"/>
          </w:tcPr>
          <w:p w14:paraId="359BB7B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4,119</w:t>
            </w:r>
          </w:p>
        </w:tc>
      </w:tr>
      <w:tr w:rsidR="005A5BD5" w:rsidRPr="00CA3519" w14:paraId="7F85EB2E" w14:textId="77777777" w:rsidTr="009B6E1B">
        <w:trPr>
          <w:trHeight w:val="397"/>
          <w:jc w:val="center"/>
        </w:trPr>
        <w:tc>
          <w:tcPr>
            <w:tcW w:w="2113" w:type="dxa"/>
            <w:vAlign w:val="center"/>
          </w:tcPr>
          <w:p w14:paraId="27A51D18"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September 2003</w:t>
            </w:r>
          </w:p>
        </w:tc>
        <w:tc>
          <w:tcPr>
            <w:tcW w:w="2113" w:type="dxa"/>
            <w:vAlign w:val="center"/>
          </w:tcPr>
          <w:p w14:paraId="0459E69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19.09.2003</w:t>
            </w:r>
          </w:p>
        </w:tc>
        <w:tc>
          <w:tcPr>
            <w:tcW w:w="1085" w:type="dxa"/>
            <w:vAlign w:val="center"/>
          </w:tcPr>
          <w:p w14:paraId="07EF92D6"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2,142</w:t>
            </w:r>
          </w:p>
        </w:tc>
        <w:tc>
          <w:tcPr>
            <w:tcW w:w="1086" w:type="dxa"/>
            <w:vAlign w:val="center"/>
          </w:tcPr>
          <w:p w14:paraId="0CE0D1C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2,604</w:t>
            </w:r>
          </w:p>
        </w:tc>
        <w:tc>
          <w:tcPr>
            <w:tcW w:w="1085" w:type="dxa"/>
            <w:vAlign w:val="center"/>
          </w:tcPr>
          <w:p w14:paraId="27DC249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3,010</w:t>
            </w:r>
          </w:p>
        </w:tc>
        <w:tc>
          <w:tcPr>
            <w:tcW w:w="1086" w:type="dxa"/>
            <w:vAlign w:val="center"/>
          </w:tcPr>
          <w:p w14:paraId="4375A82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3,320</w:t>
            </w:r>
          </w:p>
        </w:tc>
        <w:tc>
          <w:tcPr>
            <w:tcW w:w="1086" w:type="dxa"/>
            <w:vAlign w:val="center"/>
          </w:tcPr>
          <w:p w14:paraId="13BFAE9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3,550</w:t>
            </w:r>
          </w:p>
        </w:tc>
        <w:tc>
          <w:tcPr>
            <w:tcW w:w="1085" w:type="dxa"/>
            <w:vAlign w:val="center"/>
          </w:tcPr>
          <w:p w14:paraId="3B999DF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3,737</w:t>
            </w:r>
          </w:p>
        </w:tc>
        <w:tc>
          <w:tcPr>
            <w:tcW w:w="1086" w:type="dxa"/>
            <w:vAlign w:val="center"/>
          </w:tcPr>
          <w:p w14:paraId="0F4DCEAC"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3,895</w:t>
            </w:r>
          </w:p>
        </w:tc>
        <w:tc>
          <w:tcPr>
            <w:tcW w:w="1085" w:type="dxa"/>
            <w:vAlign w:val="center"/>
          </w:tcPr>
          <w:p w14:paraId="36FE49F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4,035</w:t>
            </w:r>
          </w:p>
        </w:tc>
        <w:tc>
          <w:tcPr>
            <w:tcW w:w="1086" w:type="dxa"/>
            <w:vAlign w:val="center"/>
          </w:tcPr>
          <w:p w14:paraId="54686C6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4,155</w:t>
            </w:r>
          </w:p>
        </w:tc>
        <w:tc>
          <w:tcPr>
            <w:tcW w:w="1086" w:type="dxa"/>
            <w:vAlign w:val="center"/>
          </w:tcPr>
          <w:p w14:paraId="4512DBC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4,263</w:t>
            </w:r>
          </w:p>
        </w:tc>
      </w:tr>
      <w:tr w:rsidR="005A5BD5" w:rsidRPr="00CA3519" w14:paraId="50881BBA" w14:textId="77777777" w:rsidTr="009B6E1B">
        <w:trPr>
          <w:trHeight w:val="397"/>
          <w:jc w:val="center"/>
        </w:trPr>
        <w:tc>
          <w:tcPr>
            <w:tcW w:w="2113" w:type="dxa"/>
            <w:vAlign w:val="center"/>
          </w:tcPr>
          <w:p w14:paraId="4F9C4303"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Oktober 2003</w:t>
            </w:r>
          </w:p>
        </w:tc>
        <w:tc>
          <w:tcPr>
            <w:tcW w:w="2113" w:type="dxa"/>
            <w:vAlign w:val="center"/>
          </w:tcPr>
          <w:p w14:paraId="38C3BB4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20.10.2003 Ed 3</w:t>
            </w:r>
          </w:p>
        </w:tc>
        <w:tc>
          <w:tcPr>
            <w:tcW w:w="1085" w:type="dxa"/>
            <w:vAlign w:val="center"/>
          </w:tcPr>
          <w:p w14:paraId="47F58AC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2,063</w:t>
            </w:r>
          </w:p>
        </w:tc>
        <w:tc>
          <w:tcPr>
            <w:tcW w:w="1086" w:type="dxa"/>
            <w:vAlign w:val="center"/>
          </w:tcPr>
          <w:p w14:paraId="31DA06A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2,475</w:t>
            </w:r>
          </w:p>
        </w:tc>
        <w:tc>
          <w:tcPr>
            <w:tcW w:w="1085" w:type="dxa"/>
            <w:vAlign w:val="center"/>
          </w:tcPr>
          <w:p w14:paraId="143D1E84"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2,852</w:t>
            </w:r>
          </w:p>
        </w:tc>
        <w:tc>
          <w:tcPr>
            <w:tcW w:w="1086" w:type="dxa"/>
            <w:vAlign w:val="center"/>
          </w:tcPr>
          <w:p w14:paraId="07C8612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3,166</w:t>
            </w:r>
          </w:p>
        </w:tc>
        <w:tc>
          <w:tcPr>
            <w:tcW w:w="1086" w:type="dxa"/>
            <w:vAlign w:val="center"/>
          </w:tcPr>
          <w:p w14:paraId="2D430B2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3,420</w:t>
            </w:r>
          </w:p>
        </w:tc>
        <w:tc>
          <w:tcPr>
            <w:tcW w:w="1085" w:type="dxa"/>
            <w:vAlign w:val="center"/>
          </w:tcPr>
          <w:p w14:paraId="000F9AA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3,624</w:t>
            </w:r>
          </w:p>
        </w:tc>
        <w:tc>
          <w:tcPr>
            <w:tcW w:w="1086" w:type="dxa"/>
            <w:vAlign w:val="center"/>
          </w:tcPr>
          <w:p w14:paraId="71ADD1E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3,796</w:t>
            </w:r>
          </w:p>
        </w:tc>
        <w:tc>
          <w:tcPr>
            <w:tcW w:w="1085" w:type="dxa"/>
            <w:vAlign w:val="center"/>
          </w:tcPr>
          <w:p w14:paraId="345BBE0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3,946</w:t>
            </w:r>
          </w:p>
        </w:tc>
        <w:tc>
          <w:tcPr>
            <w:tcW w:w="1086" w:type="dxa"/>
            <w:vAlign w:val="center"/>
          </w:tcPr>
          <w:p w14:paraId="3E95F1E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4,085</w:t>
            </w:r>
          </w:p>
        </w:tc>
        <w:tc>
          <w:tcPr>
            <w:tcW w:w="1086" w:type="dxa"/>
            <w:vAlign w:val="center"/>
          </w:tcPr>
          <w:p w14:paraId="196EF3B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4,203</w:t>
            </w:r>
          </w:p>
        </w:tc>
      </w:tr>
      <w:tr w:rsidR="005A5BD5" w:rsidRPr="00CA3519" w14:paraId="47B6C51E" w14:textId="77777777" w:rsidTr="009B6E1B">
        <w:trPr>
          <w:trHeight w:val="397"/>
          <w:jc w:val="center"/>
        </w:trPr>
        <w:tc>
          <w:tcPr>
            <w:tcW w:w="2113" w:type="dxa"/>
            <w:vAlign w:val="center"/>
          </w:tcPr>
          <w:p w14:paraId="109C9886"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November 2003</w:t>
            </w:r>
          </w:p>
        </w:tc>
        <w:tc>
          <w:tcPr>
            <w:tcW w:w="2113" w:type="dxa"/>
            <w:vAlign w:val="center"/>
          </w:tcPr>
          <w:p w14:paraId="6293FA02"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20.11.2003 Ed 2</w:t>
            </w:r>
          </w:p>
        </w:tc>
        <w:tc>
          <w:tcPr>
            <w:tcW w:w="1085" w:type="dxa"/>
            <w:vAlign w:val="center"/>
          </w:tcPr>
          <w:p w14:paraId="61EB1ACE"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2,251</w:t>
            </w:r>
          </w:p>
        </w:tc>
        <w:tc>
          <w:tcPr>
            <w:tcW w:w="1086" w:type="dxa"/>
            <w:vAlign w:val="center"/>
          </w:tcPr>
          <w:p w14:paraId="1370494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2,701</w:t>
            </w:r>
          </w:p>
        </w:tc>
        <w:tc>
          <w:tcPr>
            <w:tcW w:w="1085" w:type="dxa"/>
            <w:vAlign w:val="center"/>
          </w:tcPr>
          <w:p w14:paraId="55B6CBC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3,107</w:t>
            </w:r>
          </w:p>
        </w:tc>
        <w:tc>
          <w:tcPr>
            <w:tcW w:w="1086" w:type="dxa"/>
            <w:vAlign w:val="center"/>
          </w:tcPr>
          <w:p w14:paraId="60B38B1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3,431</w:t>
            </w:r>
          </w:p>
        </w:tc>
        <w:tc>
          <w:tcPr>
            <w:tcW w:w="1086" w:type="dxa"/>
            <w:vAlign w:val="center"/>
          </w:tcPr>
          <w:p w14:paraId="62EC0BB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3,682</w:t>
            </w:r>
          </w:p>
        </w:tc>
        <w:tc>
          <w:tcPr>
            <w:tcW w:w="1085" w:type="dxa"/>
            <w:vAlign w:val="center"/>
          </w:tcPr>
          <w:p w14:paraId="1489FF7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3,872</w:t>
            </w:r>
          </w:p>
        </w:tc>
        <w:tc>
          <w:tcPr>
            <w:tcW w:w="1086" w:type="dxa"/>
            <w:vAlign w:val="center"/>
          </w:tcPr>
          <w:p w14:paraId="0D1B24F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4,027</w:t>
            </w:r>
          </w:p>
        </w:tc>
        <w:tc>
          <w:tcPr>
            <w:tcW w:w="1085" w:type="dxa"/>
            <w:vAlign w:val="center"/>
          </w:tcPr>
          <w:p w14:paraId="65670228"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4,165</w:t>
            </w:r>
          </w:p>
        </w:tc>
        <w:tc>
          <w:tcPr>
            <w:tcW w:w="1086" w:type="dxa"/>
            <w:vAlign w:val="center"/>
          </w:tcPr>
          <w:p w14:paraId="3BCAA93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4,288</w:t>
            </w:r>
          </w:p>
        </w:tc>
        <w:tc>
          <w:tcPr>
            <w:tcW w:w="1086" w:type="dxa"/>
            <w:vAlign w:val="center"/>
          </w:tcPr>
          <w:p w14:paraId="68CAD0B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4,394</w:t>
            </w:r>
          </w:p>
        </w:tc>
      </w:tr>
      <w:tr w:rsidR="005A5BD5" w:rsidRPr="00CA3519" w14:paraId="45B2C402" w14:textId="77777777" w:rsidTr="009B6E1B">
        <w:trPr>
          <w:trHeight w:val="397"/>
          <w:jc w:val="center"/>
        </w:trPr>
        <w:tc>
          <w:tcPr>
            <w:tcW w:w="2113" w:type="dxa"/>
            <w:vAlign w:val="center"/>
          </w:tcPr>
          <w:p w14:paraId="49B4DD4D" w14:textId="77777777" w:rsidR="005A5BD5" w:rsidRPr="00CA3519" w:rsidRDefault="005A5BD5" w:rsidP="004C2C7D">
            <w:pPr>
              <w:rPr>
                <w:rFonts w:eastAsia="Calibri"/>
                <w:snapToGrid w:val="0"/>
                <w:sz w:val="17"/>
                <w:szCs w:val="22"/>
                <w:lang w:eastAsia="en-US"/>
              </w:rPr>
            </w:pPr>
            <w:r w:rsidRPr="00CA3519">
              <w:rPr>
                <w:rFonts w:eastAsia="Calibri"/>
                <w:snapToGrid w:val="0"/>
                <w:sz w:val="17"/>
                <w:szCs w:val="22"/>
                <w:lang w:eastAsia="en-US"/>
              </w:rPr>
              <w:t>Dezember 2003</w:t>
            </w:r>
          </w:p>
        </w:tc>
        <w:tc>
          <w:tcPr>
            <w:tcW w:w="2113" w:type="dxa"/>
            <w:vAlign w:val="center"/>
          </w:tcPr>
          <w:p w14:paraId="3A9A9EC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19.12.2003 Ed 2</w:t>
            </w:r>
          </w:p>
        </w:tc>
        <w:tc>
          <w:tcPr>
            <w:tcW w:w="1085" w:type="dxa"/>
            <w:vAlign w:val="center"/>
          </w:tcPr>
          <w:p w14:paraId="58CAF16B"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2,283</w:t>
            </w:r>
          </w:p>
        </w:tc>
        <w:tc>
          <w:tcPr>
            <w:tcW w:w="1086" w:type="dxa"/>
            <w:vAlign w:val="center"/>
          </w:tcPr>
          <w:p w14:paraId="7C9C72A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2,745</w:t>
            </w:r>
          </w:p>
        </w:tc>
        <w:tc>
          <w:tcPr>
            <w:tcW w:w="1085" w:type="dxa"/>
            <w:vAlign w:val="center"/>
          </w:tcPr>
          <w:p w14:paraId="18E685B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3,158</w:t>
            </w:r>
          </w:p>
        </w:tc>
        <w:tc>
          <w:tcPr>
            <w:tcW w:w="1086" w:type="dxa"/>
            <w:vAlign w:val="center"/>
          </w:tcPr>
          <w:p w14:paraId="5EA5C295"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3,484</w:t>
            </w:r>
          </w:p>
        </w:tc>
        <w:tc>
          <w:tcPr>
            <w:tcW w:w="1086" w:type="dxa"/>
            <w:vAlign w:val="center"/>
          </w:tcPr>
          <w:p w14:paraId="1826B1F0"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3,734</w:t>
            </w:r>
          </w:p>
        </w:tc>
        <w:tc>
          <w:tcPr>
            <w:tcW w:w="1085" w:type="dxa"/>
            <w:vAlign w:val="center"/>
          </w:tcPr>
          <w:p w14:paraId="1F84F591"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3,924</w:t>
            </w:r>
          </w:p>
        </w:tc>
        <w:tc>
          <w:tcPr>
            <w:tcW w:w="1086" w:type="dxa"/>
            <w:vAlign w:val="center"/>
          </w:tcPr>
          <w:p w14:paraId="4ACD8A0D"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4,078</w:t>
            </w:r>
          </w:p>
        </w:tc>
        <w:tc>
          <w:tcPr>
            <w:tcW w:w="1085" w:type="dxa"/>
            <w:vAlign w:val="center"/>
          </w:tcPr>
          <w:p w14:paraId="4A35EE69"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4,220</w:t>
            </w:r>
          </w:p>
        </w:tc>
        <w:tc>
          <w:tcPr>
            <w:tcW w:w="1086" w:type="dxa"/>
            <w:vAlign w:val="center"/>
          </w:tcPr>
          <w:p w14:paraId="12081C3F"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4,345</w:t>
            </w:r>
          </w:p>
        </w:tc>
        <w:tc>
          <w:tcPr>
            <w:tcW w:w="1086" w:type="dxa"/>
            <w:vAlign w:val="center"/>
          </w:tcPr>
          <w:p w14:paraId="5C305827" w14:textId="77777777" w:rsidR="005A5BD5" w:rsidRPr="00CA3519" w:rsidRDefault="005A5BD5" w:rsidP="004C2C7D">
            <w:pPr>
              <w:jc w:val="center"/>
              <w:rPr>
                <w:rFonts w:eastAsia="Calibri"/>
                <w:snapToGrid w:val="0"/>
                <w:sz w:val="17"/>
                <w:szCs w:val="22"/>
                <w:lang w:eastAsia="en-US"/>
              </w:rPr>
            </w:pPr>
            <w:r w:rsidRPr="00CA3519">
              <w:rPr>
                <w:rFonts w:eastAsia="Calibri"/>
                <w:snapToGrid w:val="0"/>
                <w:sz w:val="17"/>
                <w:szCs w:val="22"/>
                <w:lang w:eastAsia="en-US"/>
              </w:rPr>
              <w:t>4,450]</w:t>
            </w:r>
          </w:p>
        </w:tc>
      </w:tr>
      <w:tr w:rsidR="005A5BD5" w:rsidRPr="00CA3519" w14:paraId="4862D888" w14:textId="77777777" w:rsidTr="009B6E1B">
        <w:trPr>
          <w:trHeight w:val="397"/>
          <w:jc w:val="center"/>
        </w:trPr>
        <w:tc>
          <w:tcPr>
            <w:tcW w:w="2113" w:type="dxa"/>
            <w:vAlign w:val="center"/>
          </w:tcPr>
          <w:p w14:paraId="76165385"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[Januar 2004</w:t>
            </w:r>
          </w:p>
        </w:tc>
        <w:tc>
          <w:tcPr>
            <w:tcW w:w="2113" w:type="dxa"/>
            <w:vAlign w:val="center"/>
          </w:tcPr>
          <w:p w14:paraId="518F0A8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20.01.2004 Ausg. 3</w:t>
            </w:r>
          </w:p>
        </w:tc>
        <w:tc>
          <w:tcPr>
            <w:tcW w:w="1085" w:type="dxa"/>
            <w:vAlign w:val="center"/>
          </w:tcPr>
          <w:p w14:paraId="7792D3F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2,184</w:t>
            </w:r>
          </w:p>
        </w:tc>
        <w:tc>
          <w:tcPr>
            <w:tcW w:w="1086" w:type="dxa"/>
            <w:vAlign w:val="center"/>
          </w:tcPr>
          <w:p w14:paraId="56DBD55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2,613</w:t>
            </w:r>
          </w:p>
        </w:tc>
        <w:tc>
          <w:tcPr>
            <w:tcW w:w="1085" w:type="dxa"/>
            <w:vAlign w:val="center"/>
          </w:tcPr>
          <w:p w14:paraId="4A95818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3,003</w:t>
            </w:r>
          </w:p>
        </w:tc>
        <w:tc>
          <w:tcPr>
            <w:tcW w:w="1086" w:type="dxa"/>
            <w:vAlign w:val="center"/>
          </w:tcPr>
          <w:p w14:paraId="649777C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3,329</w:t>
            </w:r>
          </w:p>
        </w:tc>
        <w:tc>
          <w:tcPr>
            <w:tcW w:w="1086" w:type="dxa"/>
            <w:vAlign w:val="center"/>
          </w:tcPr>
          <w:p w14:paraId="21DAF5A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3,587</w:t>
            </w:r>
          </w:p>
        </w:tc>
        <w:tc>
          <w:tcPr>
            <w:tcW w:w="1085" w:type="dxa"/>
            <w:vAlign w:val="center"/>
          </w:tcPr>
          <w:p w14:paraId="680F7BE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3,788</w:t>
            </w:r>
          </w:p>
        </w:tc>
        <w:tc>
          <w:tcPr>
            <w:tcW w:w="1086" w:type="dxa"/>
            <w:vAlign w:val="center"/>
          </w:tcPr>
          <w:p w14:paraId="35125F5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3,956</w:t>
            </w:r>
          </w:p>
        </w:tc>
        <w:tc>
          <w:tcPr>
            <w:tcW w:w="1085" w:type="dxa"/>
            <w:vAlign w:val="center"/>
          </w:tcPr>
          <w:p w14:paraId="1CE1169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4,106</w:t>
            </w:r>
          </w:p>
        </w:tc>
        <w:tc>
          <w:tcPr>
            <w:tcW w:w="1086" w:type="dxa"/>
            <w:vAlign w:val="center"/>
          </w:tcPr>
          <w:p w14:paraId="022CE50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4,236</w:t>
            </w:r>
          </w:p>
        </w:tc>
        <w:tc>
          <w:tcPr>
            <w:tcW w:w="1086" w:type="dxa"/>
            <w:vAlign w:val="center"/>
          </w:tcPr>
          <w:p w14:paraId="0F5B9B5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4,343</w:t>
            </w:r>
          </w:p>
        </w:tc>
      </w:tr>
      <w:tr w:rsidR="005A5BD5" w:rsidRPr="00CA3519" w14:paraId="05B7BFF0" w14:textId="77777777" w:rsidTr="009B6E1B">
        <w:trPr>
          <w:trHeight w:val="397"/>
          <w:jc w:val="center"/>
        </w:trPr>
        <w:tc>
          <w:tcPr>
            <w:tcW w:w="2113" w:type="dxa"/>
            <w:vAlign w:val="center"/>
          </w:tcPr>
          <w:p w14:paraId="1319C348"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Februar 2004</w:t>
            </w:r>
          </w:p>
        </w:tc>
        <w:tc>
          <w:tcPr>
            <w:tcW w:w="2113" w:type="dxa"/>
            <w:vAlign w:val="center"/>
          </w:tcPr>
          <w:p w14:paraId="5E656DE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20.02.2004 Ausg. 2</w:t>
            </w:r>
          </w:p>
        </w:tc>
        <w:tc>
          <w:tcPr>
            <w:tcW w:w="1085" w:type="dxa"/>
            <w:vAlign w:val="center"/>
          </w:tcPr>
          <w:p w14:paraId="743550F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2,078</w:t>
            </w:r>
          </w:p>
        </w:tc>
        <w:tc>
          <w:tcPr>
            <w:tcW w:w="1086" w:type="dxa"/>
            <w:vAlign w:val="center"/>
          </w:tcPr>
          <w:p w14:paraId="3C6EFF3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2,478</w:t>
            </w:r>
          </w:p>
        </w:tc>
        <w:tc>
          <w:tcPr>
            <w:tcW w:w="1085" w:type="dxa"/>
            <w:vAlign w:val="center"/>
          </w:tcPr>
          <w:p w14:paraId="0942074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2,850</w:t>
            </w:r>
          </w:p>
        </w:tc>
        <w:tc>
          <w:tcPr>
            <w:tcW w:w="1086" w:type="dxa"/>
            <w:vAlign w:val="center"/>
          </w:tcPr>
          <w:p w14:paraId="451CD80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3,171</w:t>
            </w:r>
          </w:p>
        </w:tc>
        <w:tc>
          <w:tcPr>
            <w:tcW w:w="1086" w:type="dxa"/>
            <w:vAlign w:val="center"/>
          </w:tcPr>
          <w:p w14:paraId="7E992E3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3,434</w:t>
            </w:r>
          </w:p>
        </w:tc>
        <w:tc>
          <w:tcPr>
            <w:tcW w:w="1085" w:type="dxa"/>
            <w:vAlign w:val="center"/>
          </w:tcPr>
          <w:p w14:paraId="558F808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3,645</w:t>
            </w:r>
          </w:p>
        </w:tc>
        <w:tc>
          <w:tcPr>
            <w:tcW w:w="1086" w:type="dxa"/>
            <w:vAlign w:val="center"/>
          </w:tcPr>
          <w:p w14:paraId="7D426E8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3,824</w:t>
            </w:r>
          </w:p>
        </w:tc>
        <w:tc>
          <w:tcPr>
            <w:tcW w:w="1085" w:type="dxa"/>
            <w:vAlign w:val="center"/>
          </w:tcPr>
          <w:p w14:paraId="7896B5F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3,981</w:t>
            </w:r>
          </w:p>
        </w:tc>
        <w:tc>
          <w:tcPr>
            <w:tcW w:w="1086" w:type="dxa"/>
            <w:vAlign w:val="center"/>
          </w:tcPr>
          <w:p w14:paraId="48D0847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4,120</w:t>
            </w:r>
          </w:p>
        </w:tc>
        <w:tc>
          <w:tcPr>
            <w:tcW w:w="1086" w:type="dxa"/>
            <w:vAlign w:val="center"/>
          </w:tcPr>
          <w:p w14:paraId="02760C0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4,235</w:t>
            </w:r>
          </w:p>
        </w:tc>
      </w:tr>
      <w:tr w:rsidR="005A5BD5" w:rsidRPr="00CA3519" w14:paraId="15C53D4E" w14:textId="77777777" w:rsidTr="009B6E1B">
        <w:trPr>
          <w:trHeight w:val="397"/>
          <w:jc w:val="center"/>
        </w:trPr>
        <w:tc>
          <w:tcPr>
            <w:tcW w:w="2113" w:type="dxa"/>
            <w:vAlign w:val="center"/>
          </w:tcPr>
          <w:p w14:paraId="754AFC6E"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März 2004</w:t>
            </w:r>
          </w:p>
        </w:tc>
        <w:tc>
          <w:tcPr>
            <w:tcW w:w="2113" w:type="dxa"/>
            <w:vAlign w:val="center"/>
          </w:tcPr>
          <w:p w14:paraId="58C2F92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22.03.2004</w:t>
            </w:r>
          </w:p>
        </w:tc>
        <w:tc>
          <w:tcPr>
            <w:tcW w:w="1085" w:type="dxa"/>
            <w:vAlign w:val="center"/>
          </w:tcPr>
          <w:p w14:paraId="4ADDC2D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2,017</w:t>
            </w:r>
          </w:p>
        </w:tc>
        <w:tc>
          <w:tcPr>
            <w:tcW w:w="1086" w:type="dxa"/>
            <w:vAlign w:val="center"/>
          </w:tcPr>
          <w:p w14:paraId="38893C6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2,369</w:t>
            </w:r>
          </w:p>
        </w:tc>
        <w:tc>
          <w:tcPr>
            <w:tcW w:w="1085" w:type="dxa"/>
            <w:vAlign w:val="center"/>
          </w:tcPr>
          <w:p w14:paraId="03DF040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2,706</w:t>
            </w:r>
          </w:p>
        </w:tc>
        <w:tc>
          <w:tcPr>
            <w:tcW w:w="1086" w:type="dxa"/>
            <w:vAlign w:val="center"/>
          </w:tcPr>
          <w:p w14:paraId="1DAA346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3,021</w:t>
            </w:r>
          </w:p>
        </w:tc>
        <w:tc>
          <w:tcPr>
            <w:tcW w:w="1086" w:type="dxa"/>
            <w:vAlign w:val="center"/>
          </w:tcPr>
          <w:p w14:paraId="25A8D4D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3,296</w:t>
            </w:r>
          </w:p>
        </w:tc>
        <w:tc>
          <w:tcPr>
            <w:tcW w:w="1085" w:type="dxa"/>
            <w:vAlign w:val="center"/>
          </w:tcPr>
          <w:p w14:paraId="58FA274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3,515</w:t>
            </w:r>
          </w:p>
        </w:tc>
        <w:tc>
          <w:tcPr>
            <w:tcW w:w="1086" w:type="dxa"/>
            <w:vAlign w:val="center"/>
          </w:tcPr>
          <w:p w14:paraId="0FC0B8B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3,701</w:t>
            </w:r>
          </w:p>
        </w:tc>
        <w:tc>
          <w:tcPr>
            <w:tcW w:w="1085" w:type="dxa"/>
            <w:vAlign w:val="center"/>
          </w:tcPr>
          <w:p w14:paraId="6F7AFE9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3,868</w:t>
            </w:r>
          </w:p>
        </w:tc>
        <w:tc>
          <w:tcPr>
            <w:tcW w:w="1086" w:type="dxa"/>
            <w:vAlign w:val="center"/>
          </w:tcPr>
          <w:p w14:paraId="5C87182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4,014</w:t>
            </w:r>
          </w:p>
        </w:tc>
        <w:tc>
          <w:tcPr>
            <w:tcW w:w="1086" w:type="dxa"/>
            <w:vAlign w:val="center"/>
          </w:tcPr>
          <w:p w14:paraId="45B6ED9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4,138</w:t>
            </w:r>
          </w:p>
        </w:tc>
      </w:tr>
      <w:tr w:rsidR="005A5BD5" w:rsidRPr="00CA3519" w14:paraId="61955A21" w14:textId="77777777" w:rsidTr="009B6E1B">
        <w:trPr>
          <w:trHeight w:val="397"/>
          <w:jc w:val="center"/>
        </w:trPr>
        <w:tc>
          <w:tcPr>
            <w:tcW w:w="2113" w:type="dxa"/>
            <w:vAlign w:val="center"/>
          </w:tcPr>
          <w:p w14:paraId="4ACD9A73"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lastRenderedPageBreak/>
              <w:t>April 2004</w:t>
            </w:r>
          </w:p>
        </w:tc>
        <w:tc>
          <w:tcPr>
            <w:tcW w:w="2113" w:type="dxa"/>
            <w:vAlign w:val="center"/>
          </w:tcPr>
          <w:p w14:paraId="4CAB01B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20.04.2004 Ausg. 3</w:t>
            </w:r>
          </w:p>
        </w:tc>
        <w:tc>
          <w:tcPr>
            <w:tcW w:w="1085" w:type="dxa"/>
            <w:vAlign w:val="center"/>
          </w:tcPr>
          <w:p w14:paraId="576CF44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1,935</w:t>
            </w:r>
          </w:p>
        </w:tc>
        <w:tc>
          <w:tcPr>
            <w:tcW w:w="1086" w:type="dxa"/>
            <w:vAlign w:val="center"/>
          </w:tcPr>
          <w:p w14:paraId="09E4809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2,251</w:t>
            </w:r>
          </w:p>
        </w:tc>
        <w:tc>
          <w:tcPr>
            <w:tcW w:w="1085" w:type="dxa"/>
            <w:vAlign w:val="center"/>
          </w:tcPr>
          <w:p w14:paraId="1E2511A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2,566</w:t>
            </w:r>
          </w:p>
        </w:tc>
        <w:tc>
          <w:tcPr>
            <w:tcW w:w="1086" w:type="dxa"/>
            <w:vAlign w:val="center"/>
          </w:tcPr>
          <w:p w14:paraId="0F23A28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2,878</w:t>
            </w:r>
          </w:p>
        </w:tc>
        <w:tc>
          <w:tcPr>
            <w:tcW w:w="1086" w:type="dxa"/>
            <w:vAlign w:val="center"/>
          </w:tcPr>
          <w:p w14:paraId="651F64A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3,159</w:t>
            </w:r>
          </w:p>
        </w:tc>
        <w:tc>
          <w:tcPr>
            <w:tcW w:w="1085" w:type="dxa"/>
            <w:vAlign w:val="center"/>
          </w:tcPr>
          <w:p w14:paraId="0065DA7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3,387</w:t>
            </w:r>
          </w:p>
        </w:tc>
        <w:tc>
          <w:tcPr>
            <w:tcW w:w="1086" w:type="dxa"/>
            <w:vAlign w:val="center"/>
          </w:tcPr>
          <w:p w14:paraId="5E7B327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3,579</w:t>
            </w:r>
          </w:p>
        </w:tc>
        <w:tc>
          <w:tcPr>
            <w:tcW w:w="1085" w:type="dxa"/>
            <w:vAlign w:val="center"/>
          </w:tcPr>
          <w:p w14:paraId="374AF4C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3,750</w:t>
            </w:r>
          </w:p>
        </w:tc>
        <w:tc>
          <w:tcPr>
            <w:tcW w:w="1086" w:type="dxa"/>
            <w:vAlign w:val="center"/>
          </w:tcPr>
          <w:p w14:paraId="519CD1A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3,901</w:t>
            </w:r>
          </w:p>
        </w:tc>
        <w:tc>
          <w:tcPr>
            <w:tcW w:w="1086" w:type="dxa"/>
            <w:vAlign w:val="center"/>
          </w:tcPr>
          <w:p w14:paraId="0823D45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4,030</w:t>
            </w:r>
          </w:p>
        </w:tc>
      </w:tr>
      <w:tr w:rsidR="005A5BD5" w:rsidRPr="00CA3519" w14:paraId="630900B9" w14:textId="77777777" w:rsidTr="009B6E1B">
        <w:trPr>
          <w:trHeight w:val="397"/>
          <w:jc w:val="center"/>
        </w:trPr>
        <w:tc>
          <w:tcPr>
            <w:tcW w:w="2113" w:type="dxa"/>
            <w:vAlign w:val="center"/>
          </w:tcPr>
          <w:p w14:paraId="39AF85FF"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Mai 2004</w:t>
            </w:r>
          </w:p>
        </w:tc>
        <w:tc>
          <w:tcPr>
            <w:tcW w:w="2113" w:type="dxa"/>
            <w:vAlign w:val="center"/>
          </w:tcPr>
          <w:p w14:paraId="1DB4519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21.05.2004</w:t>
            </w:r>
          </w:p>
        </w:tc>
        <w:tc>
          <w:tcPr>
            <w:tcW w:w="1085" w:type="dxa"/>
            <w:vAlign w:val="center"/>
          </w:tcPr>
          <w:p w14:paraId="29AAF26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2,102</w:t>
            </w:r>
          </w:p>
        </w:tc>
        <w:tc>
          <w:tcPr>
            <w:tcW w:w="1086" w:type="dxa"/>
            <w:vAlign w:val="center"/>
          </w:tcPr>
          <w:p w14:paraId="1E2276D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2,491</w:t>
            </w:r>
          </w:p>
        </w:tc>
        <w:tc>
          <w:tcPr>
            <w:tcW w:w="1085" w:type="dxa"/>
            <w:vAlign w:val="center"/>
          </w:tcPr>
          <w:p w14:paraId="2B36080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2,855</w:t>
            </w:r>
          </w:p>
        </w:tc>
        <w:tc>
          <w:tcPr>
            <w:tcW w:w="1086" w:type="dxa"/>
            <w:vAlign w:val="center"/>
          </w:tcPr>
          <w:p w14:paraId="52DD9F1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3,180</w:t>
            </w:r>
          </w:p>
        </w:tc>
        <w:tc>
          <w:tcPr>
            <w:tcW w:w="1086" w:type="dxa"/>
            <w:vAlign w:val="center"/>
          </w:tcPr>
          <w:p w14:paraId="1B2C62C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3,453</w:t>
            </w:r>
          </w:p>
        </w:tc>
        <w:tc>
          <w:tcPr>
            <w:tcW w:w="1085" w:type="dxa"/>
            <w:vAlign w:val="center"/>
          </w:tcPr>
          <w:p w14:paraId="10D68C6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3,674</w:t>
            </w:r>
          </w:p>
        </w:tc>
        <w:tc>
          <w:tcPr>
            <w:tcW w:w="1086" w:type="dxa"/>
            <w:vAlign w:val="center"/>
          </w:tcPr>
          <w:p w14:paraId="11D59EB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3,854</w:t>
            </w:r>
          </w:p>
        </w:tc>
        <w:tc>
          <w:tcPr>
            <w:tcW w:w="1085" w:type="dxa"/>
            <w:vAlign w:val="center"/>
          </w:tcPr>
          <w:p w14:paraId="4B36B50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4,012</w:t>
            </w:r>
          </w:p>
        </w:tc>
        <w:tc>
          <w:tcPr>
            <w:tcW w:w="1086" w:type="dxa"/>
            <w:vAlign w:val="center"/>
          </w:tcPr>
          <w:p w14:paraId="0CCB087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4,149</w:t>
            </w:r>
          </w:p>
        </w:tc>
        <w:tc>
          <w:tcPr>
            <w:tcW w:w="1086" w:type="dxa"/>
            <w:vAlign w:val="center"/>
          </w:tcPr>
          <w:p w14:paraId="64105E9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4,267</w:t>
            </w:r>
          </w:p>
        </w:tc>
      </w:tr>
      <w:tr w:rsidR="005A5BD5" w:rsidRPr="00CA3519" w14:paraId="01F93FE3" w14:textId="77777777" w:rsidTr="009B6E1B">
        <w:trPr>
          <w:trHeight w:val="397"/>
          <w:jc w:val="center"/>
        </w:trPr>
        <w:tc>
          <w:tcPr>
            <w:tcW w:w="2113" w:type="dxa"/>
            <w:vAlign w:val="center"/>
          </w:tcPr>
          <w:p w14:paraId="6B6D9272"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Juni 2004</w:t>
            </w:r>
          </w:p>
        </w:tc>
        <w:tc>
          <w:tcPr>
            <w:tcW w:w="2113" w:type="dxa"/>
            <w:vAlign w:val="center"/>
          </w:tcPr>
          <w:p w14:paraId="6598061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21.06.2004 Ausg. 3</w:t>
            </w:r>
          </w:p>
        </w:tc>
        <w:tc>
          <w:tcPr>
            <w:tcW w:w="1085" w:type="dxa"/>
            <w:vAlign w:val="center"/>
          </w:tcPr>
          <w:p w14:paraId="142D8E5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2,207</w:t>
            </w:r>
          </w:p>
        </w:tc>
        <w:tc>
          <w:tcPr>
            <w:tcW w:w="1086" w:type="dxa"/>
            <w:vAlign w:val="center"/>
          </w:tcPr>
          <w:p w14:paraId="32B9B8F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2,644</w:t>
            </w:r>
          </w:p>
        </w:tc>
        <w:tc>
          <w:tcPr>
            <w:tcW w:w="1085" w:type="dxa"/>
            <w:vAlign w:val="center"/>
          </w:tcPr>
          <w:p w14:paraId="19F9485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3,041</w:t>
            </w:r>
          </w:p>
        </w:tc>
        <w:tc>
          <w:tcPr>
            <w:tcW w:w="1086" w:type="dxa"/>
            <w:vAlign w:val="center"/>
          </w:tcPr>
          <w:p w14:paraId="0B58704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3,369</w:t>
            </w:r>
          </w:p>
        </w:tc>
        <w:tc>
          <w:tcPr>
            <w:tcW w:w="1086" w:type="dxa"/>
            <w:vAlign w:val="center"/>
          </w:tcPr>
          <w:p w14:paraId="5AD7D1E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3,633</w:t>
            </w:r>
          </w:p>
        </w:tc>
        <w:tc>
          <w:tcPr>
            <w:tcW w:w="1085" w:type="dxa"/>
            <w:vAlign w:val="center"/>
          </w:tcPr>
          <w:p w14:paraId="249D0FD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3,842</w:t>
            </w:r>
          </w:p>
        </w:tc>
        <w:tc>
          <w:tcPr>
            <w:tcW w:w="1086" w:type="dxa"/>
            <w:vAlign w:val="center"/>
          </w:tcPr>
          <w:p w14:paraId="3874B0E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4,015</w:t>
            </w:r>
          </w:p>
        </w:tc>
        <w:tc>
          <w:tcPr>
            <w:tcW w:w="1085" w:type="dxa"/>
            <w:vAlign w:val="center"/>
          </w:tcPr>
          <w:p w14:paraId="6FB3379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4,164</w:t>
            </w:r>
          </w:p>
        </w:tc>
        <w:tc>
          <w:tcPr>
            <w:tcW w:w="1086" w:type="dxa"/>
            <w:vAlign w:val="center"/>
          </w:tcPr>
          <w:p w14:paraId="4968024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4,295</w:t>
            </w:r>
          </w:p>
        </w:tc>
        <w:tc>
          <w:tcPr>
            <w:tcW w:w="1086" w:type="dxa"/>
            <w:vAlign w:val="center"/>
          </w:tcPr>
          <w:p w14:paraId="362D469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4,404</w:t>
            </w:r>
          </w:p>
        </w:tc>
      </w:tr>
      <w:tr w:rsidR="005A5BD5" w:rsidRPr="00CA3519" w14:paraId="0CD8F43A" w14:textId="77777777" w:rsidTr="009B6E1B">
        <w:trPr>
          <w:trHeight w:val="397"/>
          <w:jc w:val="center"/>
        </w:trPr>
        <w:tc>
          <w:tcPr>
            <w:tcW w:w="2113" w:type="dxa"/>
            <w:vAlign w:val="center"/>
          </w:tcPr>
          <w:p w14:paraId="521489B5"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Juli 2004</w:t>
            </w:r>
          </w:p>
        </w:tc>
        <w:tc>
          <w:tcPr>
            <w:tcW w:w="2113" w:type="dxa"/>
            <w:vAlign w:val="center"/>
          </w:tcPr>
          <w:p w14:paraId="78F3BEF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20.07.2004 Ausg. 3</w:t>
            </w:r>
          </w:p>
        </w:tc>
        <w:tc>
          <w:tcPr>
            <w:tcW w:w="1085" w:type="dxa"/>
            <w:vAlign w:val="center"/>
          </w:tcPr>
          <w:p w14:paraId="39F2153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2,272</w:t>
            </w:r>
          </w:p>
        </w:tc>
        <w:tc>
          <w:tcPr>
            <w:tcW w:w="1086" w:type="dxa"/>
            <w:vAlign w:val="center"/>
          </w:tcPr>
          <w:p w14:paraId="1725F41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2,712</w:t>
            </w:r>
          </w:p>
        </w:tc>
        <w:tc>
          <w:tcPr>
            <w:tcW w:w="1085" w:type="dxa"/>
            <w:vAlign w:val="center"/>
          </w:tcPr>
          <w:p w14:paraId="261301C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3,104</w:t>
            </w:r>
          </w:p>
        </w:tc>
        <w:tc>
          <w:tcPr>
            <w:tcW w:w="1086" w:type="dxa"/>
            <w:vAlign w:val="center"/>
          </w:tcPr>
          <w:p w14:paraId="423747A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3,413</w:t>
            </w:r>
          </w:p>
        </w:tc>
        <w:tc>
          <w:tcPr>
            <w:tcW w:w="1086" w:type="dxa"/>
            <w:vAlign w:val="center"/>
          </w:tcPr>
          <w:p w14:paraId="5DC53CF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3,658</w:t>
            </w:r>
          </w:p>
        </w:tc>
        <w:tc>
          <w:tcPr>
            <w:tcW w:w="1085" w:type="dxa"/>
            <w:vAlign w:val="center"/>
          </w:tcPr>
          <w:p w14:paraId="72BFD0E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3,853</w:t>
            </w:r>
          </w:p>
        </w:tc>
        <w:tc>
          <w:tcPr>
            <w:tcW w:w="1086" w:type="dxa"/>
            <w:vAlign w:val="center"/>
          </w:tcPr>
          <w:p w14:paraId="43BD0DB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4,018</w:t>
            </w:r>
          </w:p>
        </w:tc>
        <w:tc>
          <w:tcPr>
            <w:tcW w:w="1085" w:type="dxa"/>
            <w:vAlign w:val="center"/>
          </w:tcPr>
          <w:p w14:paraId="46C43ED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4,159</w:t>
            </w:r>
          </w:p>
        </w:tc>
        <w:tc>
          <w:tcPr>
            <w:tcW w:w="1086" w:type="dxa"/>
            <w:vAlign w:val="center"/>
          </w:tcPr>
          <w:p w14:paraId="71AC50C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4,283</w:t>
            </w:r>
          </w:p>
        </w:tc>
        <w:tc>
          <w:tcPr>
            <w:tcW w:w="1086" w:type="dxa"/>
            <w:vAlign w:val="center"/>
          </w:tcPr>
          <w:p w14:paraId="7AA4518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4,384</w:t>
            </w:r>
          </w:p>
        </w:tc>
      </w:tr>
      <w:tr w:rsidR="005A5BD5" w:rsidRPr="00CA3519" w14:paraId="3190CE96" w14:textId="77777777" w:rsidTr="009B6E1B">
        <w:trPr>
          <w:trHeight w:val="397"/>
          <w:jc w:val="center"/>
        </w:trPr>
        <w:tc>
          <w:tcPr>
            <w:tcW w:w="2113" w:type="dxa"/>
            <w:vAlign w:val="center"/>
          </w:tcPr>
          <w:p w14:paraId="7A1E077E"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August 2004</w:t>
            </w:r>
          </w:p>
        </w:tc>
        <w:tc>
          <w:tcPr>
            <w:tcW w:w="2113" w:type="dxa"/>
            <w:vAlign w:val="center"/>
          </w:tcPr>
          <w:p w14:paraId="6D12765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20.08.2004 Ausg. 2</w:t>
            </w:r>
          </w:p>
        </w:tc>
        <w:tc>
          <w:tcPr>
            <w:tcW w:w="1085" w:type="dxa"/>
            <w:vAlign w:val="center"/>
          </w:tcPr>
          <w:p w14:paraId="7852D45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2,238</w:t>
            </w:r>
          </w:p>
        </w:tc>
        <w:tc>
          <w:tcPr>
            <w:tcW w:w="1086" w:type="dxa"/>
            <w:vAlign w:val="center"/>
          </w:tcPr>
          <w:p w14:paraId="1CA8639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2,629</w:t>
            </w:r>
          </w:p>
        </w:tc>
        <w:tc>
          <w:tcPr>
            <w:tcW w:w="1085" w:type="dxa"/>
            <w:vAlign w:val="center"/>
          </w:tcPr>
          <w:p w14:paraId="0300B5C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2,988</w:t>
            </w:r>
          </w:p>
        </w:tc>
        <w:tc>
          <w:tcPr>
            <w:tcW w:w="1086" w:type="dxa"/>
            <w:vAlign w:val="center"/>
          </w:tcPr>
          <w:p w14:paraId="4D4A4FA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3,294</w:t>
            </w:r>
          </w:p>
        </w:tc>
        <w:tc>
          <w:tcPr>
            <w:tcW w:w="1086" w:type="dxa"/>
            <w:vAlign w:val="center"/>
          </w:tcPr>
          <w:p w14:paraId="36DFD5D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3,542</w:t>
            </w:r>
          </w:p>
        </w:tc>
        <w:tc>
          <w:tcPr>
            <w:tcW w:w="1085" w:type="dxa"/>
            <w:vAlign w:val="center"/>
          </w:tcPr>
          <w:p w14:paraId="441BDE8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3,738</w:t>
            </w:r>
          </w:p>
        </w:tc>
        <w:tc>
          <w:tcPr>
            <w:tcW w:w="1086" w:type="dxa"/>
            <w:vAlign w:val="center"/>
          </w:tcPr>
          <w:p w14:paraId="7C3545D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3,900</w:t>
            </w:r>
          </w:p>
        </w:tc>
        <w:tc>
          <w:tcPr>
            <w:tcW w:w="1085" w:type="dxa"/>
            <w:vAlign w:val="center"/>
          </w:tcPr>
          <w:p w14:paraId="22C671E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4,045</w:t>
            </w:r>
          </w:p>
        </w:tc>
        <w:tc>
          <w:tcPr>
            <w:tcW w:w="1086" w:type="dxa"/>
            <w:vAlign w:val="center"/>
          </w:tcPr>
          <w:p w14:paraId="320B6D9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4,173</w:t>
            </w:r>
          </w:p>
        </w:tc>
        <w:tc>
          <w:tcPr>
            <w:tcW w:w="1086" w:type="dxa"/>
            <w:vAlign w:val="center"/>
          </w:tcPr>
          <w:p w14:paraId="7B777A0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4,279</w:t>
            </w:r>
          </w:p>
        </w:tc>
      </w:tr>
      <w:tr w:rsidR="005A5BD5" w:rsidRPr="00CA3519" w14:paraId="3128E7CB" w14:textId="77777777" w:rsidTr="009B6E1B">
        <w:trPr>
          <w:trHeight w:val="397"/>
          <w:jc w:val="center"/>
        </w:trPr>
        <w:tc>
          <w:tcPr>
            <w:tcW w:w="2113" w:type="dxa"/>
            <w:vAlign w:val="center"/>
          </w:tcPr>
          <w:p w14:paraId="1B520FF6"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September 2004</w:t>
            </w:r>
          </w:p>
        </w:tc>
        <w:tc>
          <w:tcPr>
            <w:tcW w:w="2113" w:type="dxa"/>
            <w:vAlign w:val="center"/>
          </w:tcPr>
          <w:p w14:paraId="363AFE1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20.09.2004 Ausg. 2</w:t>
            </w:r>
          </w:p>
        </w:tc>
        <w:tc>
          <w:tcPr>
            <w:tcW w:w="1085" w:type="dxa"/>
            <w:vAlign w:val="center"/>
          </w:tcPr>
          <w:p w14:paraId="1031F11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2,211</w:t>
            </w:r>
          </w:p>
        </w:tc>
        <w:tc>
          <w:tcPr>
            <w:tcW w:w="1086" w:type="dxa"/>
            <w:vAlign w:val="center"/>
          </w:tcPr>
          <w:p w14:paraId="66FB2FE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2,556</w:t>
            </w:r>
          </w:p>
        </w:tc>
        <w:tc>
          <w:tcPr>
            <w:tcW w:w="1085" w:type="dxa"/>
            <w:vAlign w:val="center"/>
          </w:tcPr>
          <w:p w14:paraId="4D68EF3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2,880</w:t>
            </w:r>
          </w:p>
        </w:tc>
        <w:tc>
          <w:tcPr>
            <w:tcW w:w="1086" w:type="dxa"/>
            <w:vAlign w:val="center"/>
          </w:tcPr>
          <w:p w14:paraId="4DAD92A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3,171</w:t>
            </w:r>
          </w:p>
        </w:tc>
        <w:tc>
          <w:tcPr>
            <w:tcW w:w="1086" w:type="dxa"/>
            <w:vAlign w:val="center"/>
          </w:tcPr>
          <w:p w14:paraId="16DF042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3,414</w:t>
            </w:r>
          </w:p>
        </w:tc>
        <w:tc>
          <w:tcPr>
            <w:tcW w:w="1085" w:type="dxa"/>
            <w:vAlign w:val="center"/>
          </w:tcPr>
          <w:p w14:paraId="04B01C7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3,610</w:t>
            </w:r>
          </w:p>
        </w:tc>
        <w:tc>
          <w:tcPr>
            <w:tcW w:w="1086" w:type="dxa"/>
            <w:vAlign w:val="center"/>
          </w:tcPr>
          <w:p w14:paraId="7340230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3,773</w:t>
            </w:r>
          </w:p>
        </w:tc>
        <w:tc>
          <w:tcPr>
            <w:tcW w:w="1085" w:type="dxa"/>
            <w:vAlign w:val="center"/>
          </w:tcPr>
          <w:p w14:paraId="7E8D50D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3,919</w:t>
            </w:r>
          </w:p>
        </w:tc>
        <w:tc>
          <w:tcPr>
            <w:tcW w:w="1086" w:type="dxa"/>
            <w:vAlign w:val="center"/>
          </w:tcPr>
          <w:p w14:paraId="0E62F4B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4,049</w:t>
            </w:r>
          </w:p>
        </w:tc>
        <w:tc>
          <w:tcPr>
            <w:tcW w:w="1086" w:type="dxa"/>
            <w:vAlign w:val="center"/>
          </w:tcPr>
          <w:p w14:paraId="0551E0C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4,155</w:t>
            </w:r>
          </w:p>
        </w:tc>
      </w:tr>
      <w:tr w:rsidR="005A5BD5" w:rsidRPr="00CA3519" w14:paraId="2AD422EF" w14:textId="77777777" w:rsidTr="009B6E1B">
        <w:trPr>
          <w:trHeight w:val="397"/>
          <w:jc w:val="center"/>
        </w:trPr>
        <w:tc>
          <w:tcPr>
            <w:tcW w:w="2113" w:type="dxa"/>
            <w:vAlign w:val="center"/>
          </w:tcPr>
          <w:p w14:paraId="095124C0"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Oktober 2004</w:t>
            </w:r>
          </w:p>
        </w:tc>
        <w:tc>
          <w:tcPr>
            <w:tcW w:w="2113" w:type="dxa"/>
            <w:vAlign w:val="center"/>
          </w:tcPr>
          <w:p w14:paraId="08FB909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20.10.2004 Ausg. 2</w:t>
            </w:r>
          </w:p>
        </w:tc>
        <w:tc>
          <w:tcPr>
            <w:tcW w:w="1085" w:type="dxa"/>
            <w:vAlign w:val="center"/>
          </w:tcPr>
          <w:p w14:paraId="35E715E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2,264</w:t>
            </w:r>
          </w:p>
        </w:tc>
        <w:tc>
          <w:tcPr>
            <w:tcW w:w="1086" w:type="dxa"/>
            <w:vAlign w:val="center"/>
          </w:tcPr>
          <w:p w14:paraId="7D40DE7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2,586</w:t>
            </w:r>
          </w:p>
        </w:tc>
        <w:tc>
          <w:tcPr>
            <w:tcW w:w="1085" w:type="dxa"/>
            <w:vAlign w:val="center"/>
          </w:tcPr>
          <w:p w14:paraId="3CA466D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2,890</w:t>
            </w:r>
          </w:p>
        </w:tc>
        <w:tc>
          <w:tcPr>
            <w:tcW w:w="1086" w:type="dxa"/>
            <w:vAlign w:val="center"/>
          </w:tcPr>
          <w:p w14:paraId="0A0ACCB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3,150</w:t>
            </w:r>
          </w:p>
        </w:tc>
        <w:tc>
          <w:tcPr>
            <w:tcW w:w="1086" w:type="dxa"/>
            <w:vAlign w:val="center"/>
          </w:tcPr>
          <w:p w14:paraId="5B5CEE5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3,364</w:t>
            </w:r>
          </w:p>
        </w:tc>
        <w:tc>
          <w:tcPr>
            <w:tcW w:w="1085" w:type="dxa"/>
            <w:vAlign w:val="center"/>
          </w:tcPr>
          <w:p w14:paraId="173123C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3,550</w:t>
            </w:r>
          </w:p>
        </w:tc>
        <w:tc>
          <w:tcPr>
            <w:tcW w:w="1086" w:type="dxa"/>
            <w:vAlign w:val="center"/>
          </w:tcPr>
          <w:p w14:paraId="53355EE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3,712</w:t>
            </w:r>
          </w:p>
        </w:tc>
        <w:tc>
          <w:tcPr>
            <w:tcW w:w="1085" w:type="dxa"/>
            <w:vAlign w:val="center"/>
          </w:tcPr>
          <w:p w14:paraId="4186C22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3,885</w:t>
            </w:r>
          </w:p>
        </w:tc>
        <w:tc>
          <w:tcPr>
            <w:tcW w:w="1086" w:type="dxa"/>
            <w:vAlign w:val="center"/>
          </w:tcPr>
          <w:p w14:paraId="69D3EE4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3,981</w:t>
            </w:r>
          </w:p>
        </w:tc>
        <w:tc>
          <w:tcPr>
            <w:tcW w:w="1086" w:type="dxa"/>
            <w:vAlign w:val="center"/>
          </w:tcPr>
          <w:p w14:paraId="0269AB0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4,085</w:t>
            </w:r>
          </w:p>
        </w:tc>
      </w:tr>
      <w:tr w:rsidR="005A5BD5" w:rsidRPr="00CA3519" w14:paraId="3E4A7B81" w14:textId="77777777" w:rsidTr="009B6E1B">
        <w:trPr>
          <w:trHeight w:val="397"/>
          <w:jc w:val="center"/>
        </w:trPr>
        <w:tc>
          <w:tcPr>
            <w:tcW w:w="2113" w:type="dxa"/>
            <w:vAlign w:val="center"/>
          </w:tcPr>
          <w:p w14:paraId="274D056B"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November 2004</w:t>
            </w:r>
          </w:p>
        </w:tc>
        <w:tc>
          <w:tcPr>
            <w:tcW w:w="2113" w:type="dxa"/>
            <w:vAlign w:val="center"/>
          </w:tcPr>
          <w:p w14:paraId="50D5952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19.11.2004 Ausg. 3</w:t>
            </w:r>
          </w:p>
        </w:tc>
        <w:tc>
          <w:tcPr>
            <w:tcW w:w="1085" w:type="dxa"/>
            <w:vAlign w:val="center"/>
          </w:tcPr>
          <w:p w14:paraId="2CC7538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2,202</w:t>
            </w:r>
          </w:p>
        </w:tc>
        <w:tc>
          <w:tcPr>
            <w:tcW w:w="1086" w:type="dxa"/>
            <w:vAlign w:val="center"/>
          </w:tcPr>
          <w:p w14:paraId="75DD416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2,476</w:t>
            </w:r>
          </w:p>
        </w:tc>
        <w:tc>
          <w:tcPr>
            <w:tcW w:w="1085" w:type="dxa"/>
            <w:vAlign w:val="center"/>
          </w:tcPr>
          <w:p w14:paraId="44221B6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2,740</w:t>
            </w:r>
          </w:p>
        </w:tc>
        <w:tc>
          <w:tcPr>
            <w:tcW w:w="1086" w:type="dxa"/>
            <w:vAlign w:val="center"/>
          </w:tcPr>
          <w:p w14:paraId="6B8301B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2,984</w:t>
            </w:r>
          </w:p>
        </w:tc>
        <w:tc>
          <w:tcPr>
            <w:tcW w:w="1086" w:type="dxa"/>
            <w:vAlign w:val="center"/>
          </w:tcPr>
          <w:p w14:paraId="1BE65AA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3,201</w:t>
            </w:r>
          </w:p>
        </w:tc>
        <w:tc>
          <w:tcPr>
            <w:tcW w:w="1085" w:type="dxa"/>
            <w:vAlign w:val="center"/>
          </w:tcPr>
          <w:p w14:paraId="6F31362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3,398</w:t>
            </w:r>
          </w:p>
        </w:tc>
        <w:tc>
          <w:tcPr>
            <w:tcW w:w="1086" w:type="dxa"/>
            <w:vAlign w:val="center"/>
          </w:tcPr>
          <w:p w14:paraId="4DF73C7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3,569</w:t>
            </w:r>
          </w:p>
        </w:tc>
        <w:tc>
          <w:tcPr>
            <w:tcW w:w="1085" w:type="dxa"/>
            <w:vAlign w:val="center"/>
          </w:tcPr>
          <w:p w14:paraId="20D6F04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3,722</w:t>
            </w:r>
          </w:p>
        </w:tc>
        <w:tc>
          <w:tcPr>
            <w:tcW w:w="1086" w:type="dxa"/>
            <w:vAlign w:val="center"/>
          </w:tcPr>
          <w:p w14:paraId="70CDA2B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3,857</w:t>
            </w:r>
          </w:p>
        </w:tc>
        <w:tc>
          <w:tcPr>
            <w:tcW w:w="1086" w:type="dxa"/>
            <w:vAlign w:val="center"/>
          </w:tcPr>
          <w:p w14:paraId="1BE86A8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3,963</w:t>
            </w:r>
          </w:p>
        </w:tc>
      </w:tr>
      <w:tr w:rsidR="005A5BD5" w:rsidRPr="00CA3519" w14:paraId="6AF2CE4F" w14:textId="77777777" w:rsidTr="009B6E1B">
        <w:trPr>
          <w:trHeight w:val="397"/>
          <w:jc w:val="center"/>
        </w:trPr>
        <w:tc>
          <w:tcPr>
            <w:tcW w:w="2113" w:type="dxa"/>
            <w:vAlign w:val="center"/>
          </w:tcPr>
          <w:p w14:paraId="4A70D6E2"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Dezember 2004</w:t>
            </w:r>
          </w:p>
        </w:tc>
        <w:tc>
          <w:tcPr>
            <w:tcW w:w="2113" w:type="dxa"/>
            <w:vAlign w:val="center"/>
          </w:tcPr>
          <w:p w14:paraId="65F07FD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20.12.2004 Ausg. 2</w:t>
            </w:r>
          </w:p>
        </w:tc>
        <w:tc>
          <w:tcPr>
            <w:tcW w:w="1085" w:type="dxa"/>
            <w:vAlign w:val="center"/>
          </w:tcPr>
          <w:p w14:paraId="5664DF2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2,190</w:t>
            </w:r>
          </w:p>
        </w:tc>
        <w:tc>
          <w:tcPr>
            <w:tcW w:w="1086" w:type="dxa"/>
            <w:vAlign w:val="center"/>
          </w:tcPr>
          <w:p w14:paraId="76D1ADA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2,412</w:t>
            </w:r>
          </w:p>
        </w:tc>
        <w:tc>
          <w:tcPr>
            <w:tcW w:w="1085" w:type="dxa"/>
            <w:vAlign w:val="center"/>
          </w:tcPr>
          <w:p w14:paraId="65002C1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2,632</w:t>
            </w:r>
          </w:p>
        </w:tc>
        <w:tc>
          <w:tcPr>
            <w:tcW w:w="1086" w:type="dxa"/>
            <w:vAlign w:val="center"/>
          </w:tcPr>
          <w:p w14:paraId="52A79C2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2,846</w:t>
            </w:r>
          </w:p>
        </w:tc>
        <w:tc>
          <w:tcPr>
            <w:tcW w:w="1086" w:type="dxa"/>
            <w:vAlign w:val="center"/>
          </w:tcPr>
          <w:p w14:paraId="031EA0C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3,048</w:t>
            </w:r>
          </w:p>
        </w:tc>
        <w:tc>
          <w:tcPr>
            <w:tcW w:w="1085" w:type="dxa"/>
            <w:vAlign w:val="center"/>
          </w:tcPr>
          <w:p w14:paraId="490A712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3,237</w:t>
            </w:r>
          </w:p>
        </w:tc>
        <w:tc>
          <w:tcPr>
            <w:tcW w:w="1086" w:type="dxa"/>
            <w:vAlign w:val="center"/>
          </w:tcPr>
          <w:p w14:paraId="30A4630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3,405</w:t>
            </w:r>
          </w:p>
        </w:tc>
        <w:tc>
          <w:tcPr>
            <w:tcW w:w="1085" w:type="dxa"/>
            <w:vAlign w:val="center"/>
          </w:tcPr>
          <w:p w14:paraId="2D77DD4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3,558</w:t>
            </w:r>
          </w:p>
        </w:tc>
        <w:tc>
          <w:tcPr>
            <w:tcW w:w="1086" w:type="dxa"/>
            <w:vAlign w:val="center"/>
          </w:tcPr>
          <w:p w14:paraId="6A71EA6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3,689</w:t>
            </w:r>
          </w:p>
        </w:tc>
        <w:tc>
          <w:tcPr>
            <w:tcW w:w="1086" w:type="dxa"/>
            <w:vAlign w:val="center"/>
          </w:tcPr>
          <w:p w14:paraId="2F3A4EEE" w14:textId="77777777" w:rsidR="005A5BD5" w:rsidRPr="00CA3519" w:rsidRDefault="005A5BD5" w:rsidP="004C2C7D">
            <w:pPr>
              <w:autoSpaceDE w:val="0"/>
              <w:autoSpaceDN w:val="0"/>
              <w:adjustRightInd w:val="0"/>
              <w:jc w:val="center"/>
              <w:rPr>
                <w:rFonts w:eastAsia="Calibri"/>
                <w:sz w:val="20"/>
                <w:szCs w:val="22"/>
                <w:lang w:eastAsia="en-US"/>
              </w:rPr>
            </w:pPr>
            <w:r w:rsidRPr="00CA3519">
              <w:rPr>
                <w:rFonts w:eastAsia="Calibri"/>
                <w:sz w:val="17"/>
                <w:szCs w:val="17"/>
                <w:lang w:eastAsia="en-US"/>
              </w:rPr>
              <w:t>3,796]</w:t>
            </w:r>
          </w:p>
        </w:tc>
      </w:tr>
      <w:tr w:rsidR="005A5BD5" w:rsidRPr="00CA3519" w14:paraId="561C61C0" w14:textId="77777777" w:rsidTr="009B6E1B">
        <w:trPr>
          <w:trHeight w:val="397"/>
          <w:jc w:val="center"/>
        </w:trPr>
        <w:tc>
          <w:tcPr>
            <w:tcW w:w="2113" w:type="dxa"/>
            <w:vAlign w:val="center"/>
          </w:tcPr>
          <w:p w14:paraId="7FE1A255"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[Januar 2005</w:t>
            </w:r>
          </w:p>
        </w:tc>
        <w:tc>
          <w:tcPr>
            <w:tcW w:w="2113" w:type="dxa"/>
            <w:vAlign w:val="center"/>
          </w:tcPr>
          <w:p w14:paraId="0E1D9DF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20.01.2005 – Ausg. 2</w:t>
            </w:r>
          </w:p>
        </w:tc>
        <w:tc>
          <w:tcPr>
            <w:tcW w:w="1085" w:type="dxa"/>
            <w:vAlign w:val="center"/>
          </w:tcPr>
          <w:p w14:paraId="2142467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2,210</w:t>
            </w:r>
          </w:p>
        </w:tc>
        <w:tc>
          <w:tcPr>
            <w:tcW w:w="1086" w:type="dxa"/>
            <w:vAlign w:val="center"/>
          </w:tcPr>
          <w:p w14:paraId="06969B2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2,428</w:t>
            </w:r>
          </w:p>
        </w:tc>
        <w:tc>
          <w:tcPr>
            <w:tcW w:w="1085" w:type="dxa"/>
            <w:vAlign w:val="center"/>
          </w:tcPr>
          <w:p w14:paraId="5ACBD38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2,635</w:t>
            </w:r>
          </w:p>
        </w:tc>
        <w:tc>
          <w:tcPr>
            <w:tcW w:w="1086" w:type="dxa"/>
            <w:vAlign w:val="center"/>
          </w:tcPr>
          <w:p w14:paraId="587FCFF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2,826</w:t>
            </w:r>
          </w:p>
        </w:tc>
        <w:tc>
          <w:tcPr>
            <w:tcW w:w="1086" w:type="dxa"/>
            <w:vAlign w:val="center"/>
          </w:tcPr>
          <w:p w14:paraId="3A5B223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3,000</w:t>
            </w:r>
          </w:p>
        </w:tc>
        <w:tc>
          <w:tcPr>
            <w:tcW w:w="1085" w:type="dxa"/>
            <w:vAlign w:val="center"/>
          </w:tcPr>
          <w:p w14:paraId="553C2A6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3,159</w:t>
            </w:r>
          </w:p>
        </w:tc>
        <w:tc>
          <w:tcPr>
            <w:tcW w:w="1086" w:type="dxa"/>
            <w:vAlign w:val="center"/>
          </w:tcPr>
          <w:p w14:paraId="0033F23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3,307</w:t>
            </w:r>
          </w:p>
        </w:tc>
        <w:tc>
          <w:tcPr>
            <w:tcW w:w="1085" w:type="dxa"/>
            <w:vAlign w:val="center"/>
          </w:tcPr>
          <w:p w14:paraId="63DFC2F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3,439</w:t>
            </w:r>
          </w:p>
        </w:tc>
        <w:tc>
          <w:tcPr>
            <w:tcW w:w="1086" w:type="dxa"/>
            <w:vAlign w:val="center"/>
          </w:tcPr>
          <w:p w14:paraId="1A46F37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3,555</w:t>
            </w:r>
          </w:p>
        </w:tc>
        <w:tc>
          <w:tcPr>
            <w:tcW w:w="1086" w:type="dxa"/>
            <w:vAlign w:val="center"/>
          </w:tcPr>
          <w:p w14:paraId="2EF708E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3,649</w:t>
            </w:r>
          </w:p>
        </w:tc>
      </w:tr>
      <w:tr w:rsidR="005A5BD5" w:rsidRPr="00CA3519" w14:paraId="3BC76ECB" w14:textId="77777777" w:rsidTr="009B6E1B">
        <w:trPr>
          <w:trHeight w:val="397"/>
          <w:jc w:val="center"/>
        </w:trPr>
        <w:tc>
          <w:tcPr>
            <w:tcW w:w="2113" w:type="dxa"/>
            <w:vAlign w:val="center"/>
          </w:tcPr>
          <w:p w14:paraId="19DEDD91"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Februar 2005</w:t>
            </w:r>
          </w:p>
        </w:tc>
        <w:tc>
          <w:tcPr>
            <w:tcW w:w="2113" w:type="dxa"/>
            <w:vAlign w:val="center"/>
          </w:tcPr>
          <w:p w14:paraId="15E6BCD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21.02.2005</w:t>
            </w:r>
          </w:p>
        </w:tc>
        <w:tc>
          <w:tcPr>
            <w:tcW w:w="1085" w:type="dxa"/>
            <w:vAlign w:val="center"/>
          </w:tcPr>
          <w:p w14:paraId="4FE79B0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2,187</w:t>
            </w:r>
          </w:p>
        </w:tc>
        <w:tc>
          <w:tcPr>
            <w:tcW w:w="1086" w:type="dxa"/>
            <w:vAlign w:val="center"/>
          </w:tcPr>
          <w:p w14:paraId="0332953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2,407</w:t>
            </w:r>
          </w:p>
        </w:tc>
        <w:tc>
          <w:tcPr>
            <w:tcW w:w="1085" w:type="dxa"/>
            <w:vAlign w:val="center"/>
          </w:tcPr>
          <w:p w14:paraId="469216C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2,616</w:t>
            </w:r>
          </w:p>
        </w:tc>
        <w:tc>
          <w:tcPr>
            <w:tcW w:w="1086" w:type="dxa"/>
            <w:vAlign w:val="center"/>
          </w:tcPr>
          <w:p w14:paraId="6D80769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2,801</w:t>
            </w:r>
          </w:p>
        </w:tc>
        <w:tc>
          <w:tcPr>
            <w:tcW w:w="1086" w:type="dxa"/>
            <w:vAlign w:val="center"/>
          </w:tcPr>
          <w:p w14:paraId="74521C0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2,963</w:t>
            </w:r>
          </w:p>
        </w:tc>
        <w:tc>
          <w:tcPr>
            <w:tcW w:w="1085" w:type="dxa"/>
            <w:vAlign w:val="center"/>
          </w:tcPr>
          <w:p w14:paraId="0D091F2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3,110</w:t>
            </w:r>
          </w:p>
        </w:tc>
        <w:tc>
          <w:tcPr>
            <w:tcW w:w="1086" w:type="dxa"/>
            <w:vAlign w:val="center"/>
          </w:tcPr>
          <w:p w14:paraId="31FD6F2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3,241</w:t>
            </w:r>
          </w:p>
        </w:tc>
        <w:tc>
          <w:tcPr>
            <w:tcW w:w="1085" w:type="dxa"/>
            <w:vAlign w:val="center"/>
          </w:tcPr>
          <w:p w14:paraId="629D8C9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3,363</w:t>
            </w:r>
          </w:p>
        </w:tc>
        <w:tc>
          <w:tcPr>
            <w:tcW w:w="1086" w:type="dxa"/>
            <w:vAlign w:val="center"/>
          </w:tcPr>
          <w:p w14:paraId="51279F3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3,475</w:t>
            </w:r>
          </w:p>
        </w:tc>
        <w:tc>
          <w:tcPr>
            <w:tcW w:w="1086" w:type="dxa"/>
            <w:vAlign w:val="center"/>
          </w:tcPr>
          <w:p w14:paraId="78143F2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3,564</w:t>
            </w:r>
          </w:p>
        </w:tc>
      </w:tr>
      <w:tr w:rsidR="005A5BD5" w:rsidRPr="00CA3519" w14:paraId="476C43AF" w14:textId="77777777" w:rsidTr="009B6E1B">
        <w:trPr>
          <w:trHeight w:val="397"/>
          <w:jc w:val="center"/>
        </w:trPr>
        <w:tc>
          <w:tcPr>
            <w:tcW w:w="2113" w:type="dxa"/>
            <w:vAlign w:val="center"/>
          </w:tcPr>
          <w:p w14:paraId="6CF2416D"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März 2005</w:t>
            </w:r>
          </w:p>
        </w:tc>
        <w:tc>
          <w:tcPr>
            <w:tcW w:w="2113" w:type="dxa"/>
            <w:vAlign w:val="center"/>
          </w:tcPr>
          <w:p w14:paraId="24C4F11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21.03.2005</w:t>
            </w:r>
          </w:p>
        </w:tc>
        <w:tc>
          <w:tcPr>
            <w:tcW w:w="1085" w:type="dxa"/>
            <w:vAlign w:val="center"/>
          </w:tcPr>
          <w:p w14:paraId="3261571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2,201</w:t>
            </w:r>
          </w:p>
        </w:tc>
        <w:tc>
          <w:tcPr>
            <w:tcW w:w="1086" w:type="dxa"/>
            <w:vAlign w:val="center"/>
          </w:tcPr>
          <w:p w14:paraId="5B58055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2,454</w:t>
            </w:r>
          </w:p>
        </w:tc>
        <w:tc>
          <w:tcPr>
            <w:tcW w:w="1085" w:type="dxa"/>
            <w:vAlign w:val="center"/>
          </w:tcPr>
          <w:p w14:paraId="5AD1ECF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2,688</w:t>
            </w:r>
          </w:p>
        </w:tc>
        <w:tc>
          <w:tcPr>
            <w:tcW w:w="1086" w:type="dxa"/>
            <w:vAlign w:val="center"/>
          </w:tcPr>
          <w:p w14:paraId="427BA99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2,893</w:t>
            </w:r>
          </w:p>
        </w:tc>
        <w:tc>
          <w:tcPr>
            <w:tcW w:w="1086" w:type="dxa"/>
            <w:vAlign w:val="center"/>
          </w:tcPr>
          <w:p w14:paraId="1D2545F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3,070</w:t>
            </w:r>
          </w:p>
        </w:tc>
        <w:tc>
          <w:tcPr>
            <w:tcW w:w="1085" w:type="dxa"/>
            <w:vAlign w:val="center"/>
          </w:tcPr>
          <w:p w14:paraId="39F90AB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3,224</w:t>
            </w:r>
          </w:p>
        </w:tc>
        <w:tc>
          <w:tcPr>
            <w:tcW w:w="1086" w:type="dxa"/>
            <w:vAlign w:val="center"/>
          </w:tcPr>
          <w:p w14:paraId="221CD1F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3,363</w:t>
            </w:r>
          </w:p>
        </w:tc>
        <w:tc>
          <w:tcPr>
            <w:tcW w:w="1085" w:type="dxa"/>
            <w:vAlign w:val="center"/>
          </w:tcPr>
          <w:p w14:paraId="46B0CA0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3,490</w:t>
            </w:r>
          </w:p>
        </w:tc>
        <w:tc>
          <w:tcPr>
            <w:tcW w:w="1086" w:type="dxa"/>
            <w:vAlign w:val="center"/>
          </w:tcPr>
          <w:p w14:paraId="07423BD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3,603</w:t>
            </w:r>
          </w:p>
        </w:tc>
        <w:tc>
          <w:tcPr>
            <w:tcW w:w="1086" w:type="dxa"/>
            <w:vAlign w:val="center"/>
          </w:tcPr>
          <w:p w14:paraId="12FE78C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3,690</w:t>
            </w:r>
          </w:p>
        </w:tc>
      </w:tr>
      <w:tr w:rsidR="005A5BD5" w:rsidRPr="00CA3519" w14:paraId="04D2E545" w14:textId="77777777" w:rsidTr="009B6E1B">
        <w:trPr>
          <w:trHeight w:val="397"/>
          <w:jc w:val="center"/>
        </w:trPr>
        <w:tc>
          <w:tcPr>
            <w:tcW w:w="2113" w:type="dxa"/>
            <w:vAlign w:val="center"/>
          </w:tcPr>
          <w:p w14:paraId="1F6D5ECD"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April 2005</w:t>
            </w:r>
          </w:p>
        </w:tc>
        <w:tc>
          <w:tcPr>
            <w:tcW w:w="2113" w:type="dxa"/>
            <w:vAlign w:val="center"/>
          </w:tcPr>
          <w:p w14:paraId="41DAAA3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20.04.2005 – Ausg. 2</w:t>
            </w:r>
          </w:p>
        </w:tc>
        <w:tc>
          <w:tcPr>
            <w:tcW w:w="1085" w:type="dxa"/>
            <w:vAlign w:val="center"/>
          </w:tcPr>
          <w:p w14:paraId="7CC13F0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2,219</w:t>
            </w:r>
          </w:p>
        </w:tc>
        <w:tc>
          <w:tcPr>
            <w:tcW w:w="1086" w:type="dxa"/>
            <w:vAlign w:val="center"/>
          </w:tcPr>
          <w:p w14:paraId="1C9C903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2,470</w:t>
            </w:r>
          </w:p>
        </w:tc>
        <w:tc>
          <w:tcPr>
            <w:tcW w:w="1085" w:type="dxa"/>
            <w:vAlign w:val="center"/>
          </w:tcPr>
          <w:p w14:paraId="3D566F1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2,707</w:t>
            </w:r>
          </w:p>
        </w:tc>
        <w:tc>
          <w:tcPr>
            <w:tcW w:w="1086" w:type="dxa"/>
            <w:vAlign w:val="center"/>
          </w:tcPr>
          <w:p w14:paraId="37F1AE8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2,916</w:t>
            </w:r>
          </w:p>
        </w:tc>
        <w:tc>
          <w:tcPr>
            <w:tcW w:w="1086" w:type="dxa"/>
            <w:vAlign w:val="center"/>
          </w:tcPr>
          <w:p w14:paraId="4DC09E8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3,094</w:t>
            </w:r>
          </w:p>
        </w:tc>
        <w:tc>
          <w:tcPr>
            <w:tcW w:w="1085" w:type="dxa"/>
            <w:vAlign w:val="center"/>
          </w:tcPr>
          <w:p w14:paraId="718F3B3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3,251</w:t>
            </w:r>
          </w:p>
        </w:tc>
        <w:tc>
          <w:tcPr>
            <w:tcW w:w="1086" w:type="dxa"/>
            <w:vAlign w:val="center"/>
          </w:tcPr>
          <w:p w14:paraId="1EDFD5C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3,390</w:t>
            </w:r>
          </w:p>
        </w:tc>
        <w:tc>
          <w:tcPr>
            <w:tcW w:w="1085" w:type="dxa"/>
            <w:vAlign w:val="center"/>
          </w:tcPr>
          <w:p w14:paraId="0C19AFB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3,519</w:t>
            </w:r>
          </w:p>
        </w:tc>
        <w:tc>
          <w:tcPr>
            <w:tcW w:w="1086" w:type="dxa"/>
            <w:vAlign w:val="center"/>
          </w:tcPr>
          <w:p w14:paraId="50774A6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3,634</w:t>
            </w:r>
          </w:p>
        </w:tc>
        <w:tc>
          <w:tcPr>
            <w:tcW w:w="1086" w:type="dxa"/>
            <w:vAlign w:val="center"/>
          </w:tcPr>
          <w:p w14:paraId="0B6D8D5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3,726</w:t>
            </w:r>
          </w:p>
        </w:tc>
      </w:tr>
      <w:tr w:rsidR="005A5BD5" w:rsidRPr="00CA3519" w14:paraId="4A9F652C" w14:textId="77777777" w:rsidTr="009B6E1B">
        <w:trPr>
          <w:trHeight w:val="397"/>
          <w:jc w:val="center"/>
        </w:trPr>
        <w:tc>
          <w:tcPr>
            <w:tcW w:w="2113" w:type="dxa"/>
            <w:vAlign w:val="center"/>
          </w:tcPr>
          <w:p w14:paraId="29B24C2E"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Mai 2005</w:t>
            </w:r>
          </w:p>
        </w:tc>
        <w:tc>
          <w:tcPr>
            <w:tcW w:w="2113" w:type="dxa"/>
            <w:vAlign w:val="center"/>
          </w:tcPr>
          <w:p w14:paraId="3821387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20.05.2005 – Ausg. 2</w:t>
            </w:r>
          </w:p>
        </w:tc>
        <w:tc>
          <w:tcPr>
            <w:tcW w:w="1085" w:type="dxa"/>
            <w:vAlign w:val="center"/>
          </w:tcPr>
          <w:p w14:paraId="6D7FBFB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2,117</w:t>
            </w:r>
          </w:p>
        </w:tc>
        <w:tc>
          <w:tcPr>
            <w:tcW w:w="1086" w:type="dxa"/>
            <w:vAlign w:val="center"/>
          </w:tcPr>
          <w:p w14:paraId="58EB8A5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2,319</w:t>
            </w:r>
          </w:p>
        </w:tc>
        <w:tc>
          <w:tcPr>
            <w:tcW w:w="1085" w:type="dxa"/>
            <w:vAlign w:val="center"/>
          </w:tcPr>
          <w:p w14:paraId="5F269C3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2,514</w:t>
            </w:r>
          </w:p>
        </w:tc>
        <w:tc>
          <w:tcPr>
            <w:tcW w:w="1086" w:type="dxa"/>
            <w:vAlign w:val="center"/>
          </w:tcPr>
          <w:p w14:paraId="6744EDA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2,699</w:t>
            </w:r>
          </w:p>
        </w:tc>
        <w:tc>
          <w:tcPr>
            <w:tcW w:w="1086" w:type="dxa"/>
            <w:vAlign w:val="center"/>
          </w:tcPr>
          <w:p w14:paraId="5A5E3EE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2,869</w:t>
            </w:r>
          </w:p>
        </w:tc>
        <w:tc>
          <w:tcPr>
            <w:tcW w:w="1085" w:type="dxa"/>
            <w:vAlign w:val="center"/>
          </w:tcPr>
          <w:p w14:paraId="6C9F8A2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3,025</w:t>
            </w:r>
          </w:p>
        </w:tc>
        <w:tc>
          <w:tcPr>
            <w:tcW w:w="1086" w:type="dxa"/>
            <w:vAlign w:val="center"/>
          </w:tcPr>
          <w:p w14:paraId="3F8374B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3,171</w:t>
            </w:r>
          </w:p>
        </w:tc>
        <w:tc>
          <w:tcPr>
            <w:tcW w:w="1085" w:type="dxa"/>
            <w:vAlign w:val="center"/>
          </w:tcPr>
          <w:p w14:paraId="3120C6F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3,304</w:t>
            </w:r>
          </w:p>
        </w:tc>
        <w:tc>
          <w:tcPr>
            <w:tcW w:w="1086" w:type="dxa"/>
            <w:vAlign w:val="center"/>
          </w:tcPr>
          <w:p w14:paraId="517E376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3,427</w:t>
            </w:r>
          </w:p>
        </w:tc>
        <w:tc>
          <w:tcPr>
            <w:tcW w:w="1086" w:type="dxa"/>
            <w:vAlign w:val="center"/>
          </w:tcPr>
          <w:p w14:paraId="721FD79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3,526</w:t>
            </w:r>
          </w:p>
        </w:tc>
      </w:tr>
      <w:tr w:rsidR="005A5BD5" w:rsidRPr="00CA3519" w14:paraId="0316F480" w14:textId="77777777" w:rsidTr="009B6E1B">
        <w:trPr>
          <w:trHeight w:val="397"/>
          <w:jc w:val="center"/>
        </w:trPr>
        <w:tc>
          <w:tcPr>
            <w:tcW w:w="2113" w:type="dxa"/>
            <w:vAlign w:val="center"/>
          </w:tcPr>
          <w:p w14:paraId="5FF9193B"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Juni 2005</w:t>
            </w:r>
          </w:p>
        </w:tc>
        <w:tc>
          <w:tcPr>
            <w:tcW w:w="2113" w:type="dxa"/>
            <w:vAlign w:val="center"/>
          </w:tcPr>
          <w:p w14:paraId="7249DAE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20.06.2005 – Ausg. 2</w:t>
            </w:r>
          </w:p>
        </w:tc>
        <w:tc>
          <w:tcPr>
            <w:tcW w:w="1085" w:type="dxa"/>
            <w:vAlign w:val="center"/>
          </w:tcPr>
          <w:p w14:paraId="165EB98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2,054</w:t>
            </w:r>
          </w:p>
        </w:tc>
        <w:tc>
          <w:tcPr>
            <w:tcW w:w="1086" w:type="dxa"/>
            <w:vAlign w:val="center"/>
          </w:tcPr>
          <w:p w14:paraId="4B00A7D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2,203</w:t>
            </w:r>
          </w:p>
        </w:tc>
        <w:tc>
          <w:tcPr>
            <w:tcW w:w="1085" w:type="dxa"/>
            <w:vAlign w:val="center"/>
          </w:tcPr>
          <w:p w14:paraId="7333D29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2,359</w:t>
            </w:r>
          </w:p>
        </w:tc>
        <w:tc>
          <w:tcPr>
            <w:tcW w:w="1086" w:type="dxa"/>
            <w:vAlign w:val="center"/>
          </w:tcPr>
          <w:p w14:paraId="26231C3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2,523</w:t>
            </w:r>
          </w:p>
        </w:tc>
        <w:tc>
          <w:tcPr>
            <w:tcW w:w="1086" w:type="dxa"/>
            <w:vAlign w:val="center"/>
          </w:tcPr>
          <w:p w14:paraId="2BFE1B5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2,686</w:t>
            </w:r>
          </w:p>
        </w:tc>
        <w:tc>
          <w:tcPr>
            <w:tcW w:w="1085" w:type="dxa"/>
            <w:vAlign w:val="center"/>
          </w:tcPr>
          <w:p w14:paraId="4E6C66C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2,836</w:t>
            </w:r>
          </w:p>
        </w:tc>
        <w:tc>
          <w:tcPr>
            <w:tcW w:w="1086" w:type="dxa"/>
            <w:vAlign w:val="center"/>
          </w:tcPr>
          <w:p w14:paraId="2FB079C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2,976</w:t>
            </w:r>
          </w:p>
        </w:tc>
        <w:tc>
          <w:tcPr>
            <w:tcW w:w="1085" w:type="dxa"/>
            <w:vAlign w:val="center"/>
          </w:tcPr>
          <w:p w14:paraId="203D713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3,109</w:t>
            </w:r>
          </w:p>
        </w:tc>
        <w:tc>
          <w:tcPr>
            <w:tcW w:w="1086" w:type="dxa"/>
            <w:vAlign w:val="center"/>
          </w:tcPr>
          <w:p w14:paraId="702CDFE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3,228</w:t>
            </w:r>
          </w:p>
        </w:tc>
        <w:tc>
          <w:tcPr>
            <w:tcW w:w="1086" w:type="dxa"/>
            <w:vAlign w:val="center"/>
          </w:tcPr>
          <w:p w14:paraId="0495D4F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3,328</w:t>
            </w:r>
          </w:p>
        </w:tc>
      </w:tr>
      <w:tr w:rsidR="005A5BD5" w:rsidRPr="00CA3519" w14:paraId="340E13E5" w14:textId="77777777" w:rsidTr="009B6E1B">
        <w:trPr>
          <w:trHeight w:val="397"/>
          <w:jc w:val="center"/>
        </w:trPr>
        <w:tc>
          <w:tcPr>
            <w:tcW w:w="2113" w:type="dxa"/>
            <w:vAlign w:val="center"/>
          </w:tcPr>
          <w:p w14:paraId="22AE88E6"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Juli 2005</w:t>
            </w:r>
          </w:p>
        </w:tc>
        <w:tc>
          <w:tcPr>
            <w:tcW w:w="2113" w:type="dxa"/>
            <w:vAlign w:val="center"/>
          </w:tcPr>
          <w:p w14:paraId="1CC6B47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20.07.2005 – Ausg. 2</w:t>
            </w:r>
          </w:p>
        </w:tc>
        <w:tc>
          <w:tcPr>
            <w:tcW w:w="1085" w:type="dxa"/>
            <w:vAlign w:val="center"/>
          </w:tcPr>
          <w:p w14:paraId="0E0588E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2,002</w:t>
            </w:r>
          </w:p>
        </w:tc>
        <w:tc>
          <w:tcPr>
            <w:tcW w:w="1086" w:type="dxa"/>
            <w:vAlign w:val="center"/>
          </w:tcPr>
          <w:p w14:paraId="0561D9B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2,119</w:t>
            </w:r>
          </w:p>
        </w:tc>
        <w:tc>
          <w:tcPr>
            <w:tcW w:w="1085" w:type="dxa"/>
            <w:vAlign w:val="center"/>
          </w:tcPr>
          <w:p w14:paraId="15E911A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2,253</w:t>
            </w:r>
          </w:p>
        </w:tc>
        <w:tc>
          <w:tcPr>
            <w:tcW w:w="1086" w:type="dxa"/>
            <w:vAlign w:val="center"/>
          </w:tcPr>
          <w:p w14:paraId="2955F50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2,415</w:t>
            </w:r>
          </w:p>
        </w:tc>
        <w:tc>
          <w:tcPr>
            <w:tcW w:w="1086" w:type="dxa"/>
            <w:vAlign w:val="center"/>
          </w:tcPr>
          <w:p w14:paraId="61A6C9F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2,589</w:t>
            </w:r>
          </w:p>
        </w:tc>
        <w:tc>
          <w:tcPr>
            <w:tcW w:w="1085" w:type="dxa"/>
            <w:vAlign w:val="center"/>
          </w:tcPr>
          <w:p w14:paraId="569EE53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2,745</w:t>
            </w:r>
          </w:p>
        </w:tc>
        <w:tc>
          <w:tcPr>
            <w:tcW w:w="1086" w:type="dxa"/>
            <w:vAlign w:val="center"/>
          </w:tcPr>
          <w:p w14:paraId="28CB683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2,884</w:t>
            </w:r>
          </w:p>
        </w:tc>
        <w:tc>
          <w:tcPr>
            <w:tcW w:w="1085" w:type="dxa"/>
            <w:vAlign w:val="center"/>
          </w:tcPr>
          <w:p w14:paraId="1E68B5A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3,016</w:t>
            </w:r>
          </w:p>
        </w:tc>
        <w:tc>
          <w:tcPr>
            <w:tcW w:w="1086" w:type="dxa"/>
            <w:vAlign w:val="center"/>
          </w:tcPr>
          <w:p w14:paraId="320EAF8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3,138</w:t>
            </w:r>
          </w:p>
        </w:tc>
        <w:tc>
          <w:tcPr>
            <w:tcW w:w="1086" w:type="dxa"/>
            <w:vAlign w:val="center"/>
          </w:tcPr>
          <w:p w14:paraId="787177C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3,236</w:t>
            </w:r>
          </w:p>
        </w:tc>
      </w:tr>
      <w:tr w:rsidR="005A5BD5" w:rsidRPr="00CA3519" w14:paraId="06C909B6" w14:textId="77777777" w:rsidTr="009B6E1B">
        <w:trPr>
          <w:trHeight w:val="397"/>
          <w:jc w:val="center"/>
        </w:trPr>
        <w:tc>
          <w:tcPr>
            <w:tcW w:w="2113" w:type="dxa"/>
            <w:vAlign w:val="center"/>
          </w:tcPr>
          <w:p w14:paraId="1B1E0DFD"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August 2005</w:t>
            </w:r>
          </w:p>
        </w:tc>
        <w:tc>
          <w:tcPr>
            <w:tcW w:w="2113" w:type="dxa"/>
            <w:vAlign w:val="center"/>
          </w:tcPr>
          <w:p w14:paraId="6B0B558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22.08.2005</w:t>
            </w:r>
          </w:p>
        </w:tc>
        <w:tc>
          <w:tcPr>
            <w:tcW w:w="1085" w:type="dxa"/>
            <w:vAlign w:val="center"/>
          </w:tcPr>
          <w:p w14:paraId="2CDE471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2,099</w:t>
            </w:r>
          </w:p>
        </w:tc>
        <w:tc>
          <w:tcPr>
            <w:tcW w:w="1086" w:type="dxa"/>
            <w:vAlign w:val="center"/>
          </w:tcPr>
          <w:p w14:paraId="6658EAE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2,242</w:t>
            </w:r>
          </w:p>
        </w:tc>
        <w:tc>
          <w:tcPr>
            <w:tcW w:w="1085" w:type="dxa"/>
            <w:vAlign w:val="center"/>
          </w:tcPr>
          <w:p w14:paraId="7C37B12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2,393</w:t>
            </w:r>
          </w:p>
        </w:tc>
        <w:tc>
          <w:tcPr>
            <w:tcW w:w="1086" w:type="dxa"/>
            <w:vAlign w:val="center"/>
          </w:tcPr>
          <w:p w14:paraId="7F94D35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2,553</w:t>
            </w:r>
          </w:p>
        </w:tc>
        <w:tc>
          <w:tcPr>
            <w:tcW w:w="1086" w:type="dxa"/>
            <w:vAlign w:val="center"/>
          </w:tcPr>
          <w:p w14:paraId="0B7D12F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2,713</w:t>
            </w:r>
          </w:p>
        </w:tc>
        <w:tc>
          <w:tcPr>
            <w:tcW w:w="1085" w:type="dxa"/>
            <w:vAlign w:val="center"/>
          </w:tcPr>
          <w:p w14:paraId="584D5D8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2,856</w:t>
            </w:r>
          </w:p>
        </w:tc>
        <w:tc>
          <w:tcPr>
            <w:tcW w:w="1086" w:type="dxa"/>
            <w:vAlign w:val="center"/>
          </w:tcPr>
          <w:p w14:paraId="2B09EF0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2,986</w:t>
            </w:r>
          </w:p>
        </w:tc>
        <w:tc>
          <w:tcPr>
            <w:tcW w:w="1085" w:type="dxa"/>
            <w:vAlign w:val="center"/>
          </w:tcPr>
          <w:p w14:paraId="37243B2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3,116</w:t>
            </w:r>
          </w:p>
        </w:tc>
        <w:tc>
          <w:tcPr>
            <w:tcW w:w="1086" w:type="dxa"/>
            <w:vAlign w:val="center"/>
          </w:tcPr>
          <w:p w14:paraId="03FE564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3,237</w:t>
            </w:r>
          </w:p>
        </w:tc>
        <w:tc>
          <w:tcPr>
            <w:tcW w:w="1086" w:type="dxa"/>
            <w:vAlign w:val="center"/>
          </w:tcPr>
          <w:p w14:paraId="4F40DF7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3,335</w:t>
            </w:r>
          </w:p>
        </w:tc>
      </w:tr>
      <w:tr w:rsidR="005A5BD5" w:rsidRPr="00CA3519" w14:paraId="7AB4E1AE" w14:textId="77777777" w:rsidTr="009B6E1B">
        <w:trPr>
          <w:trHeight w:val="397"/>
          <w:jc w:val="center"/>
        </w:trPr>
        <w:tc>
          <w:tcPr>
            <w:tcW w:w="2113" w:type="dxa"/>
            <w:vAlign w:val="center"/>
          </w:tcPr>
          <w:p w14:paraId="698630CE"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September 2005</w:t>
            </w:r>
          </w:p>
        </w:tc>
        <w:tc>
          <w:tcPr>
            <w:tcW w:w="2113" w:type="dxa"/>
            <w:vAlign w:val="center"/>
          </w:tcPr>
          <w:p w14:paraId="5C0B36A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20.09.2005</w:t>
            </w:r>
          </w:p>
        </w:tc>
        <w:tc>
          <w:tcPr>
            <w:tcW w:w="1085" w:type="dxa"/>
            <w:vAlign w:val="center"/>
          </w:tcPr>
          <w:p w14:paraId="353DCE5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2,094</w:t>
            </w:r>
          </w:p>
        </w:tc>
        <w:tc>
          <w:tcPr>
            <w:tcW w:w="1086" w:type="dxa"/>
            <w:vAlign w:val="center"/>
          </w:tcPr>
          <w:p w14:paraId="1F218F4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2,212</w:t>
            </w:r>
          </w:p>
        </w:tc>
        <w:tc>
          <w:tcPr>
            <w:tcW w:w="1085" w:type="dxa"/>
            <w:vAlign w:val="center"/>
          </w:tcPr>
          <w:p w14:paraId="6581C4E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2,340</w:t>
            </w:r>
          </w:p>
        </w:tc>
        <w:tc>
          <w:tcPr>
            <w:tcW w:w="1086" w:type="dxa"/>
            <w:vAlign w:val="center"/>
          </w:tcPr>
          <w:p w14:paraId="3E6B70F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2,483</w:t>
            </w:r>
          </w:p>
        </w:tc>
        <w:tc>
          <w:tcPr>
            <w:tcW w:w="1086" w:type="dxa"/>
            <w:vAlign w:val="center"/>
          </w:tcPr>
          <w:p w14:paraId="3AD888A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2,629</w:t>
            </w:r>
          </w:p>
        </w:tc>
        <w:tc>
          <w:tcPr>
            <w:tcW w:w="1085" w:type="dxa"/>
            <w:vAlign w:val="center"/>
          </w:tcPr>
          <w:p w14:paraId="1FFFEE0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2,758</w:t>
            </w:r>
          </w:p>
        </w:tc>
        <w:tc>
          <w:tcPr>
            <w:tcW w:w="1086" w:type="dxa"/>
            <w:vAlign w:val="center"/>
          </w:tcPr>
          <w:p w14:paraId="385B373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2,880</w:t>
            </w:r>
          </w:p>
        </w:tc>
        <w:tc>
          <w:tcPr>
            <w:tcW w:w="1085" w:type="dxa"/>
            <w:vAlign w:val="center"/>
          </w:tcPr>
          <w:p w14:paraId="1E622D6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3,003</w:t>
            </w:r>
          </w:p>
        </w:tc>
        <w:tc>
          <w:tcPr>
            <w:tcW w:w="1086" w:type="dxa"/>
            <w:vAlign w:val="center"/>
          </w:tcPr>
          <w:p w14:paraId="3775460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3,118</w:t>
            </w:r>
          </w:p>
        </w:tc>
        <w:tc>
          <w:tcPr>
            <w:tcW w:w="1086" w:type="dxa"/>
            <w:vAlign w:val="center"/>
          </w:tcPr>
          <w:p w14:paraId="290D34F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3,210</w:t>
            </w:r>
          </w:p>
        </w:tc>
      </w:tr>
      <w:tr w:rsidR="005A5BD5" w:rsidRPr="00CA3519" w14:paraId="4AA7A6DF" w14:textId="77777777" w:rsidTr="009B6E1B">
        <w:trPr>
          <w:trHeight w:val="397"/>
          <w:jc w:val="center"/>
        </w:trPr>
        <w:tc>
          <w:tcPr>
            <w:tcW w:w="2113" w:type="dxa"/>
            <w:vAlign w:val="center"/>
          </w:tcPr>
          <w:p w14:paraId="0842D224"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Oktober 2005</w:t>
            </w:r>
          </w:p>
        </w:tc>
        <w:tc>
          <w:tcPr>
            <w:tcW w:w="2113" w:type="dxa"/>
            <w:vAlign w:val="center"/>
          </w:tcPr>
          <w:p w14:paraId="0684615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20.10.2005 – Ausg. 2</w:t>
            </w:r>
          </w:p>
        </w:tc>
        <w:tc>
          <w:tcPr>
            <w:tcW w:w="1085" w:type="dxa"/>
            <w:vAlign w:val="center"/>
          </w:tcPr>
          <w:p w14:paraId="1F97B55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2,162</w:t>
            </w:r>
          </w:p>
        </w:tc>
        <w:tc>
          <w:tcPr>
            <w:tcW w:w="1086" w:type="dxa"/>
            <w:vAlign w:val="center"/>
          </w:tcPr>
          <w:p w14:paraId="1A14261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2,294</w:t>
            </w:r>
          </w:p>
        </w:tc>
        <w:tc>
          <w:tcPr>
            <w:tcW w:w="1085" w:type="dxa"/>
            <w:vAlign w:val="center"/>
          </w:tcPr>
          <w:p w14:paraId="1207152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2,426</w:t>
            </w:r>
          </w:p>
        </w:tc>
        <w:tc>
          <w:tcPr>
            <w:tcW w:w="1086" w:type="dxa"/>
            <w:vAlign w:val="center"/>
          </w:tcPr>
          <w:p w14:paraId="34C270B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2,552</w:t>
            </w:r>
          </w:p>
        </w:tc>
        <w:tc>
          <w:tcPr>
            <w:tcW w:w="1086" w:type="dxa"/>
            <w:vAlign w:val="center"/>
          </w:tcPr>
          <w:p w14:paraId="226B4BF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2,670</w:t>
            </w:r>
          </w:p>
        </w:tc>
        <w:tc>
          <w:tcPr>
            <w:tcW w:w="1085" w:type="dxa"/>
            <w:vAlign w:val="center"/>
          </w:tcPr>
          <w:p w14:paraId="094E05A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2,778</w:t>
            </w:r>
          </w:p>
        </w:tc>
        <w:tc>
          <w:tcPr>
            <w:tcW w:w="1086" w:type="dxa"/>
            <w:vAlign w:val="center"/>
          </w:tcPr>
          <w:p w14:paraId="113B464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2,880</w:t>
            </w:r>
          </w:p>
        </w:tc>
        <w:tc>
          <w:tcPr>
            <w:tcW w:w="1085" w:type="dxa"/>
            <w:vAlign w:val="center"/>
          </w:tcPr>
          <w:p w14:paraId="2A0432F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2,990</w:t>
            </w:r>
          </w:p>
        </w:tc>
        <w:tc>
          <w:tcPr>
            <w:tcW w:w="1086" w:type="dxa"/>
            <w:vAlign w:val="center"/>
          </w:tcPr>
          <w:p w14:paraId="7E23FC6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3,093</w:t>
            </w:r>
          </w:p>
        </w:tc>
        <w:tc>
          <w:tcPr>
            <w:tcW w:w="1086" w:type="dxa"/>
            <w:vAlign w:val="center"/>
          </w:tcPr>
          <w:p w14:paraId="4596F0F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3,173</w:t>
            </w:r>
          </w:p>
        </w:tc>
      </w:tr>
      <w:tr w:rsidR="005A5BD5" w:rsidRPr="00CA3519" w14:paraId="2F4594C8" w14:textId="77777777" w:rsidTr="009B6E1B">
        <w:trPr>
          <w:trHeight w:val="397"/>
          <w:jc w:val="center"/>
        </w:trPr>
        <w:tc>
          <w:tcPr>
            <w:tcW w:w="2113" w:type="dxa"/>
            <w:vAlign w:val="center"/>
          </w:tcPr>
          <w:p w14:paraId="1CB9A31D"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November 2005</w:t>
            </w:r>
          </w:p>
        </w:tc>
        <w:tc>
          <w:tcPr>
            <w:tcW w:w="2113" w:type="dxa"/>
            <w:vAlign w:val="center"/>
          </w:tcPr>
          <w:p w14:paraId="18B34AC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21.11.2005</w:t>
            </w:r>
          </w:p>
        </w:tc>
        <w:tc>
          <w:tcPr>
            <w:tcW w:w="1085" w:type="dxa"/>
            <w:vAlign w:val="center"/>
          </w:tcPr>
          <w:p w14:paraId="31498E5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2,380</w:t>
            </w:r>
          </w:p>
        </w:tc>
        <w:tc>
          <w:tcPr>
            <w:tcW w:w="1086" w:type="dxa"/>
            <w:vAlign w:val="center"/>
          </w:tcPr>
          <w:p w14:paraId="6DE565D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2,545</w:t>
            </w:r>
          </w:p>
        </w:tc>
        <w:tc>
          <w:tcPr>
            <w:tcW w:w="1085" w:type="dxa"/>
            <w:vAlign w:val="center"/>
          </w:tcPr>
          <w:p w14:paraId="148177C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2,699</w:t>
            </w:r>
          </w:p>
        </w:tc>
        <w:tc>
          <w:tcPr>
            <w:tcW w:w="1086" w:type="dxa"/>
            <w:vAlign w:val="center"/>
          </w:tcPr>
          <w:p w14:paraId="45DBB78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2,837</w:t>
            </w:r>
          </w:p>
        </w:tc>
        <w:tc>
          <w:tcPr>
            <w:tcW w:w="1086" w:type="dxa"/>
            <w:vAlign w:val="center"/>
          </w:tcPr>
          <w:p w14:paraId="191C610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2,952</w:t>
            </w:r>
          </w:p>
        </w:tc>
        <w:tc>
          <w:tcPr>
            <w:tcW w:w="1085" w:type="dxa"/>
            <w:vAlign w:val="center"/>
          </w:tcPr>
          <w:p w14:paraId="70C4139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3,045</w:t>
            </w:r>
          </w:p>
        </w:tc>
        <w:tc>
          <w:tcPr>
            <w:tcW w:w="1086" w:type="dxa"/>
            <w:vAlign w:val="center"/>
          </w:tcPr>
          <w:p w14:paraId="2D30D9A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3,134</w:t>
            </w:r>
          </w:p>
        </w:tc>
        <w:tc>
          <w:tcPr>
            <w:tcW w:w="1085" w:type="dxa"/>
            <w:vAlign w:val="center"/>
          </w:tcPr>
          <w:p w14:paraId="461ACC4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3,229</w:t>
            </w:r>
          </w:p>
        </w:tc>
        <w:tc>
          <w:tcPr>
            <w:tcW w:w="1086" w:type="dxa"/>
            <w:vAlign w:val="center"/>
          </w:tcPr>
          <w:p w14:paraId="0D1BE69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3,322</w:t>
            </w:r>
          </w:p>
        </w:tc>
        <w:tc>
          <w:tcPr>
            <w:tcW w:w="1086" w:type="dxa"/>
            <w:vAlign w:val="center"/>
          </w:tcPr>
          <w:p w14:paraId="0269C8B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3,390</w:t>
            </w:r>
          </w:p>
        </w:tc>
      </w:tr>
      <w:tr w:rsidR="005A5BD5" w:rsidRPr="00CA3519" w14:paraId="27CB6854" w14:textId="77777777" w:rsidTr="009B6E1B">
        <w:trPr>
          <w:trHeight w:val="397"/>
          <w:jc w:val="center"/>
        </w:trPr>
        <w:tc>
          <w:tcPr>
            <w:tcW w:w="2113" w:type="dxa"/>
            <w:vAlign w:val="center"/>
          </w:tcPr>
          <w:p w14:paraId="1B698C03"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Dezember 2005</w:t>
            </w:r>
          </w:p>
        </w:tc>
        <w:tc>
          <w:tcPr>
            <w:tcW w:w="2113" w:type="dxa"/>
            <w:vAlign w:val="center"/>
          </w:tcPr>
          <w:p w14:paraId="3B2D00E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20.12.2005 – Ausg. 2</w:t>
            </w:r>
          </w:p>
        </w:tc>
        <w:tc>
          <w:tcPr>
            <w:tcW w:w="1085" w:type="dxa"/>
            <w:vAlign w:val="center"/>
          </w:tcPr>
          <w:p w14:paraId="4889093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2,608</w:t>
            </w:r>
          </w:p>
        </w:tc>
        <w:tc>
          <w:tcPr>
            <w:tcW w:w="1086" w:type="dxa"/>
            <w:vAlign w:val="center"/>
          </w:tcPr>
          <w:p w14:paraId="4C32842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2,735</w:t>
            </w:r>
          </w:p>
        </w:tc>
        <w:tc>
          <w:tcPr>
            <w:tcW w:w="1085" w:type="dxa"/>
            <w:vAlign w:val="center"/>
          </w:tcPr>
          <w:p w14:paraId="4903ABF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2,862</w:t>
            </w:r>
          </w:p>
        </w:tc>
        <w:tc>
          <w:tcPr>
            <w:tcW w:w="1086" w:type="dxa"/>
            <w:vAlign w:val="center"/>
          </w:tcPr>
          <w:p w14:paraId="2CE93BF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2,988</w:t>
            </w:r>
          </w:p>
        </w:tc>
        <w:tc>
          <w:tcPr>
            <w:tcW w:w="1086" w:type="dxa"/>
            <w:vAlign w:val="center"/>
          </w:tcPr>
          <w:p w14:paraId="0AAE114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3,096</w:t>
            </w:r>
          </w:p>
        </w:tc>
        <w:tc>
          <w:tcPr>
            <w:tcW w:w="1085" w:type="dxa"/>
            <w:vAlign w:val="center"/>
          </w:tcPr>
          <w:p w14:paraId="52DA950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3,175</w:t>
            </w:r>
          </w:p>
        </w:tc>
        <w:tc>
          <w:tcPr>
            <w:tcW w:w="1086" w:type="dxa"/>
            <w:vAlign w:val="center"/>
          </w:tcPr>
          <w:p w14:paraId="269345F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3,250</w:t>
            </w:r>
          </w:p>
        </w:tc>
        <w:tc>
          <w:tcPr>
            <w:tcW w:w="1085" w:type="dxa"/>
            <w:vAlign w:val="center"/>
          </w:tcPr>
          <w:p w14:paraId="7AF0FA0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3,335</w:t>
            </w:r>
          </w:p>
        </w:tc>
        <w:tc>
          <w:tcPr>
            <w:tcW w:w="1086" w:type="dxa"/>
            <w:vAlign w:val="center"/>
          </w:tcPr>
          <w:p w14:paraId="09B61B0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3,416</w:t>
            </w:r>
          </w:p>
        </w:tc>
        <w:tc>
          <w:tcPr>
            <w:tcW w:w="1086" w:type="dxa"/>
            <w:vAlign w:val="center"/>
          </w:tcPr>
          <w:p w14:paraId="2A37552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3,472]</w:t>
            </w:r>
          </w:p>
        </w:tc>
      </w:tr>
      <w:tr w:rsidR="005A5BD5" w:rsidRPr="00CA3519" w14:paraId="79D7D584" w14:textId="77777777" w:rsidTr="009B6E1B">
        <w:trPr>
          <w:trHeight w:val="397"/>
          <w:jc w:val="center"/>
        </w:trPr>
        <w:tc>
          <w:tcPr>
            <w:tcW w:w="2113" w:type="dxa"/>
            <w:vAlign w:val="center"/>
          </w:tcPr>
          <w:p w14:paraId="416E3535" w14:textId="77777777" w:rsidR="005A5BD5" w:rsidRPr="00CA3519" w:rsidRDefault="005A5BD5" w:rsidP="004C2C7D">
            <w:pPr>
              <w:autoSpaceDE w:val="0"/>
              <w:autoSpaceDN w:val="0"/>
              <w:adjustRightInd w:val="0"/>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lastRenderedPageBreak/>
              <w:t>[Januar 2006</w:t>
            </w:r>
          </w:p>
        </w:tc>
        <w:tc>
          <w:tcPr>
            <w:tcW w:w="2113" w:type="dxa"/>
            <w:vAlign w:val="center"/>
          </w:tcPr>
          <w:p w14:paraId="3BFC122A"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25.01.2006</w:t>
            </w:r>
          </w:p>
        </w:tc>
        <w:tc>
          <w:tcPr>
            <w:tcW w:w="1085" w:type="dxa"/>
            <w:vAlign w:val="center"/>
          </w:tcPr>
          <w:p w14:paraId="50519BEA"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2,679</w:t>
            </w:r>
          </w:p>
        </w:tc>
        <w:tc>
          <w:tcPr>
            <w:tcW w:w="1086" w:type="dxa"/>
            <w:vAlign w:val="center"/>
          </w:tcPr>
          <w:p w14:paraId="65D744DC"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2,799</w:t>
            </w:r>
          </w:p>
        </w:tc>
        <w:tc>
          <w:tcPr>
            <w:tcW w:w="1085" w:type="dxa"/>
            <w:vAlign w:val="center"/>
          </w:tcPr>
          <w:p w14:paraId="0E79987F"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2,908</w:t>
            </w:r>
          </w:p>
        </w:tc>
        <w:tc>
          <w:tcPr>
            <w:tcW w:w="1086" w:type="dxa"/>
            <w:vAlign w:val="center"/>
          </w:tcPr>
          <w:p w14:paraId="69DBFB2E"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3,000</w:t>
            </w:r>
          </w:p>
        </w:tc>
        <w:tc>
          <w:tcPr>
            <w:tcW w:w="1086" w:type="dxa"/>
            <w:vAlign w:val="center"/>
          </w:tcPr>
          <w:p w14:paraId="373FF2A5"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3,072</w:t>
            </w:r>
          </w:p>
        </w:tc>
        <w:tc>
          <w:tcPr>
            <w:tcW w:w="1085" w:type="dxa"/>
            <w:vAlign w:val="center"/>
          </w:tcPr>
          <w:p w14:paraId="2B4C831A"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3,128</w:t>
            </w:r>
          </w:p>
        </w:tc>
        <w:tc>
          <w:tcPr>
            <w:tcW w:w="1086" w:type="dxa"/>
            <w:vAlign w:val="center"/>
          </w:tcPr>
          <w:p w14:paraId="314E4A26"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3,186</w:t>
            </w:r>
          </w:p>
        </w:tc>
        <w:tc>
          <w:tcPr>
            <w:tcW w:w="1085" w:type="dxa"/>
            <w:vAlign w:val="center"/>
          </w:tcPr>
          <w:p w14:paraId="237F5525"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3,255</w:t>
            </w:r>
          </w:p>
        </w:tc>
        <w:tc>
          <w:tcPr>
            <w:tcW w:w="1086" w:type="dxa"/>
            <w:vAlign w:val="center"/>
          </w:tcPr>
          <w:p w14:paraId="66F22EE7"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3,320</w:t>
            </w:r>
          </w:p>
        </w:tc>
        <w:tc>
          <w:tcPr>
            <w:tcW w:w="1086" w:type="dxa"/>
            <w:vAlign w:val="center"/>
          </w:tcPr>
          <w:p w14:paraId="73FE322D"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3,365</w:t>
            </w:r>
          </w:p>
        </w:tc>
      </w:tr>
      <w:tr w:rsidR="005A5BD5" w:rsidRPr="00CA3519" w14:paraId="16D17BAF" w14:textId="77777777" w:rsidTr="009B6E1B">
        <w:trPr>
          <w:trHeight w:val="397"/>
          <w:jc w:val="center"/>
        </w:trPr>
        <w:tc>
          <w:tcPr>
            <w:tcW w:w="2113" w:type="dxa"/>
            <w:vAlign w:val="center"/>
          </w:tcPr>
          <w:p w14:paraId="68271BD1" w14:textId="77777777" w:rsidR="005A5BD5" w:rsidRPr="00CA3519" w:rsidRDefault="005A5BD5" w:rsidP="004C2C7D">
            <w:pPr>
              <w:autoSpaceDE w:val="0"/>
              <w:autoSpaceDN w:val="0"/>
              <w:adjustRightInd w:val="0"/>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Februar 2006</w:t>
            </w:r>
          </w:p>
        </w:tc>
        <w:tc>
          <w:tcPr>
            <w:tcW w:w="2113" w:type="dxa"/>
            <w:vAlign w:val="center"/>
          </w:tcPr>
          <w:p w14:paraId="3F630C4C"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20.02.2006 - Ausg. 2</w:t>
            </w:r>
          </w:p>
        </w:tc>
        <w:tc>
          <w:tcPr>
            <w:tcW w:w="1085" w:type="dxa"/>
            <w:vAlign w:val="center"/>
          </w:tcPr>
          <w:p w14:paraId="55DBA49D"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2,720</w:t>
            </w:r>
          </w:p>
        </w:tc>
        <w:tc>
          <w:tcPr>
            <w:tcW w:w="1086" w:type="dxa"/>
            <w:vAlign w:val="center"/>
          </w:tcPr>
          <w:p w14:paraId="6646EF2D"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2,869</w:t>
            </w:r>
          </w:p>
        </w:tc>
        <w:tc>
          <w:tcPr>
            <w:tcW w:w="1085" w:type="dxa"/>
            <w:vAlign w:val="center"/>
          </w:tcPr>
          <w:p w14:paraId="4A5290E0"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2,998</w:t>
            </w:r>
          </w:p>
        </w:tc>
        <w:tc>
          <w:tcPr>
            <w:tcW w:w="1086" w:type="dxa"/>
            <w:vAlign w:val="center"/>
          </w:tcPr>
          <w:p w14:paraId="5C8CC10F"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3,092</w:t>
            </w:r>
          </w:p>
        </w:tc>
        <w:tc>
          <w:tcPr>
            <w:tcW w:w="1086" w:type="dxa"/>
            <w:vAlign w:val="center"/>
          </w:tcPr>
          <w:p w14:paraId="1ED73491"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3,159</w:t>
            </w:r>
          </w:p>
        </w:tc>
        <w:tc>
          <w:tcPr>
            <w:tcW w:w="1085" w:type="dxa"/>
            <w:vAlign w:val="center"/>
          </w:tcPr>
          <w:p w14:paraId="41086988"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3,217</w:t>
            </w:r>
          </w:p>
        </w:tc>
        <w:tc>
          <w:tcPr>
            <w:tcW w:w="1086" w:type="dxa"/>
            <w:vAlign w:val="center"/>
          </w:tcPr>
          <w:p w14:paraId="7AC54B7D"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3,277</w:t>
            </w:r>
          </w:p>
        </w:tc>
        <w:tc>
          <w:tcPr>
            <w:tcW w:w="1085" w:type="dxa"/>
            <w:vAlign w:val="center"/>
          </w:tcPr>
          <w:p w14:paraId="7DEDE661"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3,339</w:t>
            </w:r>
          </w:p>
        </w:tc>
        <w:tc>
          <w:tcPr>
            <w:tcW w:w="1086" w:type="dxa"/>
            <w:vAlign w:val="center"/>
          </w:tcPr>
          <w:p w14:paraId="2AAC0DB4"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3,393</w:t>
            </w:r>
          </w:p>
        </w:tc>
        <w:tc>
          <w:tcPr>
            <w:tcW w:w="1086" w:type="dxa"/>
            <w:vAlign w:val="center"/>
          </w:tcPr>
          <w:p w14:paraId="25966C9D"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3,435</w:t>
            </w:r>
          </w:p>
        </w:tc>
      </w:tr>
      <w:tr w:rsidR="005A5BD5" w:rsidRPr="00CA3519" w14:paraId="781E1B91" w14:textId="77777777" w:rsidTr="009B6E1B">
        <w:trPr>
          <w:trHeight w:val="397"/>
          <w:jc w:val="center"/>
        </w:trPr>
        <w:tc>
          <w:tcPr>
            <w:tcW w:w="2113" w:type="dxa"/>
            <w:vAlign w:val="center"/>
          </w:tcPr>
          <w:p w14:paraId="7D82A856" w14:textId="77777777" w:rsidR="005A5BD5" w:rsidRPr="00CA3519" w:rsidRDefault="005A5BD5" w:rsidP="004C2C7D">
            <w:pPr>
              <w:autoSpaceDE w:val="0"/>
              <w:autoSpaceDN w:val="0"/>
              <w:adjustRightInd w:val="0"/>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März 2006</w:t>
            </w:r>
          </w:p>
        </w:tc>
        <w:tc>
          <w:tcPr>
            <w:tcW w:w="2113" w:type="dxa"/>
            <w:vAlign w:val="center"/>
          </w:tcPr>
          <w:p w14:paraId="1880DB30"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20.03.2006 - Ausg. 2</w:t>
            </w:r>
          </w:p>
        </w:tc>
        <w:tc>
          <w:tcPr>
            <w:tcW w:w="1085" w:type="dxa"/>
            <w:vAlign w:val="center"/>
          </w:tcPr>
          <w:p w14:paraId="2265824D"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2,805</w:t>
            </w:r>
          </w:p>
        </w:tc>
        <w:tc>
          <w:tcPr>
            <w:tcW w:w="1086" w:type="dxa"/>
            <w:vAlign w:val="center"/>
          </w:tcPr>
          <w:p w14:paraId="2B4490DA"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2,986</w:t>
            </w:r>
          </w:p>
        </w:tc>
        <w:tc>
          <w:tcPr>
            <w:tcW w:w="1085" w:type="dxa"/>
            <w:vAlign w:val="center"/>
          </w:tcPr>
          <w:p w14:paraId="0075BC9D"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3,134</w:t>
            </w:r>
          </w:p>
        </w:tc>
        <w:tc>
          <w:tcPr>
            <w:tcW w:w="1086" w:type="dxa"/>
            <w:vAlign w:val="center"/>
          </w:tcPr>
          <w:p w14:paraId="3FD1761A"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3,234</w:t>
            </w:r>
          </w:p>
        </w:tc>
        <w:tc>
          <w:tcPr>
            <w:tcW w:w="1086" w:type="dxa"/>
            <w:vAlign w:val="center"/>
          </w:tcPr>
          <w:p w14:paraId="61AC9D95"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3,298</w:t>
            </w:r>
          </w:p>
        </w:tc>
        <w:tc>
          <w:tcPr>
            <w:tcW w:w="1085" w:type="dxa"/>
            <w:vAlign w:val="center"/>
          </w:tcPr>
          <w:p w14:paraId="36265624"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3,354</w:t>
            </w:r>
          </w:p>
        </w:tc>
        <w:tc>
          <w:tcPr>
            <w:tcW w:w="1086" w:type="dxa"/>
            <w:vAlign w:val="center"/>
          </w:tcPr>
          <w:p w14:paraId="77C363F7"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3,416</w:t>
            </w:r>
          </w:p>
        </w:tc>
        <w:tc>
          <w:tcPr>
            <w:tcW w:w="1085" w:type="dxa"/>
            <w:vAlign w:val="center"/>
          </w:tcPr>
          <w:p w14:paraId="1DDEE01C"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3,472</w:t>
            </w:r>
          </w:p>
        </w:tc>
        <w:tc>
          <w:tcPr>
            <w:tcW w:w="1086" w:type="dxa"/>
            <w:vAlign w:val="center"/>
          </w:tcPr>
          <w:p w14:paraId="0A4862E0"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3,518</w:t>
            </w:r>
          </w:p>
        </w:tc>
        <w:tc>
          <w:tcPr>
            <w:tcW w:w="1086" w:type="dxa"/>
            <w:vAlign w:val="center"/>
          </w:tcPr>
          <w:p w14:paraId="1605D08B"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3,557</w:t>
            </w:r>
          </w:p>
        </w:tc>
      </w:tr>
      <w:tr w:rsidR="005A5BD5" w:rsidRPr="00CA3519" w14:paraId="3FF3B330" w14:textId="77777777" w:rsidTr="009B6E1B">
        <w:trPr>
          <w:trHeight w:val="397"/>
          <w:jc w:val="center"/>
        </w:trPr>
        <w:tc>
          <w:tcPr>
            <w:tcW w:w="2113" w:type="dxa"/>
            <w:vAlign w:val="center"/>
          </w:tcPr>
          <w:p w14:paraId="361476EC" w14:textId="77777777" w:rsidR="005A5BD5" w:rsidRPr="00CA3519" w:rsidRDefault="005A5BD5" w:rsidP="004C2C7D">
            <w:pPr>
              <w:autoSpaceDE w:val="0"/>
              <w:autoSpaceDN w:val="0"/>
              <w:adjustRightInd w:val="0"/>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April 2006</w:t>
            </w:r>
          </w:p>
        </w:tc>
        <w:tc>
          <w:tcPr>
            <w:tcW w:w="2113" w:type="dxa"/>
            <w:vAlign w:val="center"/>
          </w:tcPr>
          <w:p w14:paraId="4A230F47"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20.04.2006 - Ausg. 2</w:t>
            </w:r>
          </w:p>
        </w:tc>
        <w:tc>
          <w:tcPr>
            <w:tcW w:w="1085" w:type="dxa"/>
            <w:vAlign w:val="center"/>
          </w:tcPr>
          <w:p w14:paraId="3E0E04F0"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2,989</w:t>
            </w:r>
          </w:p>
        </w:tc>
        <w:tc>
          <w:tcPr>
            <w:tcW w:w="1086" w:type="dxa"/>
            <w:vAlign w:val="center"/>
          </w:tcPr>
          <w:p w14:paraId="3AE0457A"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3,199</w:t>
            </w:r>
          </w:p>
        </w:tc>
        <w:tc>
          <w:tcPr>
            <w:tcW w:w="1085" w:type="dxa"/>
            <w:vAlign w:val="center"/>
          </w:tcPr>
          <w:p w14:paraId="48D62E70"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3,370</w:t>
            </w:r>
          </w:p>
        </w:tc>
        <w:tc>
          <w:tcPr>
            <w:tcW w:w="1086" w:type="dxa"/>
            <w:vAlign w:val="center"/>
          </w:tcPr>
          <w:p w14:paraId="5BC065B6"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3,472</w:t>
            </w:r>
          </w:p>
        </w:tc>
        <w:tc>
          <w:tcPr>
            <w:tcW w:w="1086" w:type="dxa"/>
            <w:vAlign w:val="center"/>
          </w:tcPr>
          <w:p w14:paraId="7F0AEDF3"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3,534</w:t>
            </w:r>
          </w:p>
        </w:tc>
        <w:tc>
          <w:tcPr>
            <w:tcW w:w="1085" w:type="dxa"/>
            <w:vAlign w:val="center"/>
          </w:tcPr>
          <w:p w14:paraId="615786A0"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3,587</w:t>
            </w:r>
          </w:p>
        </w:tc>
        <w:tc>
          <w:tcPr>
            <w:tcW w:w="1086" w:type="dxa"/>
            <w:vAlign w:val="center"/>
          </w:tcPr>
          <w:p w14:paraId="75D491FF"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3,649</w:t>
            </w:r>
          </w:p>
        </w:tc>
        <w:tc>
          <w:tcPr>
            <w:tcW w:w="1085" w:type="dxa"/>
            <w:vAlign w:val="center"/>
          </w:tcPr>
          <w:p w14:paraId="76F1D6B9"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3,701</w:t>
            </w:r>
          </w:p>
        </w:tc>
        <w:tc>
          <w:tcPr>
            <w:tcW w:w="1086" w:type="dxa"/>
            <w:vAlign w:val="center"/>
          </w:tcPr>
          <w:p w14:paraId="36C77769"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3,743</w:t>
            </w:r>
          </w:p>
        </w:tc>
        <w:tc>
          <w:tcPr>
            <w:tcW w:w="1086" w:type="dxa"/>
            <w:vAlign w:val="center"/>
          </w:tcPr>
          <w:p w14:paraId="1D3CC8E5"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3,775</w:t>
            </w:r>
          </w:p>
        </w:tc>
      </w:tr>
      <w:tr w:rsidR="005A5BD5" w:rsidRPr="00CA3519" w14:paraId="4A667BB9" w14:textId="77777777" w:rsidTr="009B6E1B">
        <w:trPr>
          <w:trHeight w:val="397"/>
          <w:jc w:val="center"/>
        </w:trPr>
        <w:tc>
          <w:tcPr>
            <w:tcW w:w="2113" w:type="dxa"/>
            <w:vAlign w:val="center"/>
          </w:tcPr>
          <w:p w14:paraId="032E028C" w14:textId="77777777" w:rsidR="005A5BD5" w:rsidRPr="00CA3519" w:rsidRDefault="005A5BD5" w:rsidP="004C2C7D">
            <w:pPr>
              <w:autoSpaceDE w:val="0"/>
              <w:autoSpaceDN w:val="0"/>
              <w:adjustRightInd w:val="0"/>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Mai 2006</w:t>
            </w:r>
          </w:p>
        </w:tc>
        <w:tc>
          <w:tcPr>
            <w:tcW w:w="2113" w:type="dxa"/>
            <w:vAlign w:val="center"/>
          </w:tcPr>
          <w:p w14:paraId="17245AA0"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22.05.2006</w:t>
            </w:r>
          </w:p>
        </w:tc>
        <w:tc>
          <w:tcPr>
            <w:tcW w:w="1085" w:type="dxa"/>
            <w:vAlign w:val="center"/>
          </w:tcPr>
          <w:p w14:paraId="68B57495"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3,091</w:t>
            </w:r>
          </w:p>
        </w:tc>
        <w:tc>
          <w:tcPr>
            <w:tcW w:w="1086" w:type="dxa"/>
            <w:vAlign w:val="center"/>
          </w:tcPr>
          <w:p w14:paraId="14465B69"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3,333</w:t>
            </w:r>
          </w:p>
        </w:tc>
        <w:tc>
          <w:tcPr>
            <w:tcW w:w="1085" w:type="dxa"/>
            <w:vAlign w:val="center"/>
          </w:tcPr>
          <w:p w14:paraId="6A2D9878"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3,532</w:t>
            </w:r>
          </w:p>
        </w:tc>
        <w:tc>
          <w:tcPr>
            <w:tcW w:w="1086" w:type="dxa"/>
            <w:vAlign w:val="center"/>
          </w:tcPr>
          <w:p w14:paraId="723F1ED0"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3,656</w:t>
            </w:r>
          </w:p>
        </w:tc>
        <w:tc>
          <w:tcPr>
            <w:tcW w:w="1086" w:type="dxa"/>
            <w:vAlign w:val="center"/>
          </w:tcPr>
          <w:p w14:paraId="7A8E0EFD"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3,736</w:t>
            </w:r>
          </w:p>
        </w:tc>
        <w:tc>
          <w:tcPr>
            <w:tcW w:w="1085" w:type="dxa"/>
            <w:vAlign w:val="center"/>
          </w:tcPr>
          <w:p w14:paraId="36E202D0"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3,806</w:t>
            </w:r>
          </w:p>
        </w:tc>
        <w:tc>
          <w:tcPr>
            <w:tcW w:w="1086" w:type="dxa"/>
            <w:vAlign w:val="center"/>
          </w:tcPr>
          <w:p w14:paraId="1792A5A1"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3,873</w:t>
            </w:r>
          </w:p>
        </w:tc>
        <w:tc>
          <w:tcPr>
            <w:tcW w:w="1085" w:type="dxa"/>
            <w:vAlign w:val="center"/>
          </w:tcPr>
          <w:p w14:paraId="6FE8D093"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3,928</w:t>
            </w:r>
          </w:p>
        </w:tc>
        <w:tc>
          <w:tcPr>
            <w:tcW w:w="1086" w:type="dxa"/>
            <w:vAlign w:val="center"/>
          </w:tcPr>
          <w:p w14:paraId="5196955B"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3,969</w:t>
            </w:r>
          </w:p>
        </w:tc>
        <w:tc>
          <w:tcPr>
            <w:tcW w:w="1086" w:type="dxa"/>
            <w:vAlign w:val="center"/>
          </w:tcPr>
          <w:p w14:paraId="18ECAAF0"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4,003</w:t>
            </w:r>
          </w:p>
        </w:tc>
      </w:tr>
      <w:tr w:rsidR="005A5BD5" w:rsidRPr="00CA3519" w14:paraId="4A592F7A" w14:textId="77777777" w:rsidTr="009B6E1B">
        <w:trPr>
          <w:trHeight w:val="397"/>
          <w:jc w:val="center"/>
        </w:trPr>
        <w:tc>
          <w:tcPr>
            <w:tcW w:w="2113" w:type="dxa"/>
            <w:vAlign w:val="center"/>
          </w:tcPr>
          <w:p w14:paraId="58A54D6F" w14:textId="77777777" w:rsidR="005A5BD5" w:rsidRPr="00CA3519" w:rsidRDefault="005A5BD5" w:rsidP="004C2C7D">
            <w:pPr>
              <w:autoSpaceDE w:val="0"/>
              <w:autoSpaceDN w:val="0"/>
              <w:adjustRightInd w:val="0"/>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Juni 2006</w:t>
            </w:r>
          </w:p>
        </w:tc>
        <w:tc>
          <w:tcPr>
            <w:tcW w:w="2113" w:type="dxa"/>
            <w:vAlign w:val="center"/>
          </w:tcPr>
          <w:p w14:paraId="5898845F"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20.06.2006 - Ausg. 2</w:t>
            </w:r>
          </w:p>
        </w:tc>
        <w:tc>
          <w:tcPr>
            <w:tcW w:w="1085" w:type="dxa"/>
            <w:vAlign w:val="center"/>
          </w:tcPr>
          <w:p w14:paraId="6E1B23AD"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3,160</w:t>
            </w:r>
          </w:p>
        </w:tc>
        <w:tc>
          <w:tcPr>
            <w:tcW w:w="1086" w:type="dxa"/>
            <w:vAlign w:val="center"/>
          </w:tcPr>
          <w:p w14:paraId="223484A8"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3,356</w:t>
            </w:r>
          </w:p>
        </w:tc>
        <w:tc>
          <w:tcPr>
            <w:tcW w:w="1085" w:type="dxa"/>
            <w:vAlign w:val="center"/>
          </w:tcPr>
          <w:p w14:paraId="53D1EE95"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3,516</w:t>
            </w:r>
          </w:p>
        </w:tc>
        <w:tc>
          <w:tcPr>
            <w:tcW w:w="1086" w:type="dxa"/>
            <w:vAlign w:val="center"/>
          </w:tcPr>
          <w:p w14:paraId="37BAA3E5"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3,624</w:t>
            </w:r>
          </w:p>
        </w:tc>
        <w:tc>
          <w:tcPr>
            <w:tcW w:w="1086" w:type="dxa"/>
            <w:vAlign w:val="center"/>
          </w:tcPr>
          <w:p w14:paraId="0E2E52E6"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3,703</w:t>
            </w:r>
          </w:p>
        </w:tc>
        <w:tc>
          <w:tcPr>
            <w:tcW w:w="1085" w:type="dxa"/>
            <w:vAlign w:val="center"/>
          </w:tcPr>
          <w:p w14:paraId="222EF8B4"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3,776</w:t>
            </w:r>
          </w:p>
        </w:tc>
        <w:tc>
          <w:tcPr>
            <w:tcW w:w="1086" w:type="dxa"/>
            <w:vAlign w:val="center"/>
          </w:tcPr>
          <w:p w14:paraId="7F07DF3D"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3,850</w:t>
            </w:r>
          </w:p>
        </w:tc>
        <w:tc>
          <w:tcPr>
            <w:tcW w:w="1085" w:type="dxa"/>
            <w:vAlign w:val="center"/>
          </w:tcPr>
          <w:p w14:paraId="6C0C1CCC"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3,912</w:t>
            </w:r>
          </w:p>
        </w:tc>
        <w:tc>
          <w:tcPr>
            <w:tcW w:w="1086" w:type="dxa"/>
            <w:vAlign w:val="center"/>
          </w:tcPr>
          <w:p w14:paraId="27B99ED8"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3,960</w:t>
            </w:r>
          </w:p>
        </w:tc>
        <w:tc>
          <w:tcPr>
            <w:tcW w:w="1086" w:type="dxa"/>
            <w:vAlign w:val="center"/>
          </w:tcPr>
          <w:p w14:paraId="170F8B21"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3,998</w:t>
            </w:r>
          </w:p>
        </w:tc>
      </w:tr>
      <w:tr w:rsidR="005A5BD5" w:rsidRPr="00CA3519" w14:paraId="53D10F85" w14:textId="77777777" w:rsidTr="009B6E1B">
        <w:trPr>
          <w:trHeight w:val="397"/>
          <w:jc w:val="center"/>
        </w:trPr>
        <w:tc>
          <w:tcPr>
            <w:tcW w:w="2113" w:type="dxa"/>
            <w:vAlign w:val="center"/>
          </w:tcPr>
          <w:p w14:paraId="5A7F47E4" w14:textId="77777777" w:rsidR="005A5BD5" w:rsidRPr="00CA3519" w:rsidRDefault="005A5BD5" w:rsidP="004C2C7D">
            <w:pPr>
              <w:autoSpaceDE w:val="0"/>
              <w:autoSpaceDN w:val="0"/>
              <w:adjustRightInd w:val="0"/>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Juli 2006</w:t>
            </w:r>
          </w:p>
        </w:tc>
        <w:tc>
          <w:tcPr>
            <w:tcW w:w="2113" w:type="dxa"/>
            <w:vAlign w:val="center"/>
          </w:tcPr>
          <w:p w14:paraId="5FF5D73C"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20.07.2006 - Ausg. 2</w:t>
            </w:r>
          </w:p>
        </w:tc>
        <w:tc>
          <w:tcPr>
            <w:tcW w:w="1085" w:type="dxa"/>
            <w:vAlign w:val="center"/>
          </w:tcPr>
          <w:p w14:paraId="754EF7BA"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3,280</w:t>
            </w:r>
          </w:p>
        </w:tc>
        <w:tc>
          <w:tcPr>
            <w:tcW w:w="1086" w:type="dxa"/>
            <w:vAlign w:val="center"/>
          </w:tcPr>
          <w:p w14:paraId="7182A017"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3,485</w:t>
            </w:r>
          </w:p>
        </w:tc>
        <w:tc>
          <w:tcPr>
            <w:tcW w:w="1085" w:type="dxa"/>
            <w:vAlign w:val="center"/>
          </w:tcPr>
          <w:p w14:paraId="3B448692"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3,644</w:t>
            </w:r>
          </w:p>
        </w:tc>
        <w:tc>
          <w:tcPr>
            <w:tcW w:w="1086" w:type="dxa"/>
            <w:vAlign w:val="center"/>
          </w:tcPr>
          <w:p w14:paraId="4EEB5E63"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3,736</w:t>
            </w:r>
          </w:p>
        </w:tc>
        <w:tc>
          <w:tcPr>
            <w:tcW w:w="1086" w:type="dxa"/>
            <w:vAlign w:val="center"/>
          </w:tcPr>
          <w:p w14:paraId="3690E384"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3,798</w:t>
            </w:r>
          </w:p>
        </w:tc>
        <w:tc>
          <w:tcPr>
            <w:tcW w:w="1085" w:type="dxa"/>
            <w:vAlign w:val="center"/>
          </w:tcPr>
          <w:p w14:paraId="6F7519D7"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3,855</w:t>
            </w:r>
          </w:p>
        </w:tc>
        <w:tc>
          <w:tcPr>
            <w:tcW w:w="1086" w:type="dxa"/>
            <w:vAlign w:val="center"/>
          </w:tcPr>
          <w:p w14:paraId="7A6D339B"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3,914</w:t>
            </w:r>
          </w:p>
        </w:tc>
        <w:tc>
          <w:tcPr>
            <w:tcW w:w="1085" w:type="dxa"/>
            <w:vAlign w:val="center"/>
          </w:tcPr>
          <w:p w14:paraId="4A61ADBB"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3,966</w:t>
            </w:r>
          </w:p>
        </w:tc>
        <w:tc>
          <w:tcPr>
            <w:tcW w:w="1086" w:type="dxa"/>
            <w:vAlign w:val="center"/>
          </w:tcPr>
          <w:p w14:paraId="2052B27B"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4,005</w:t>
            </w:r>
          </w:p>
        </w:tc>
        <w:tc>
          <w:tcPr>
            <w:tcW w:w="1086" w:type="dxa"/>
            <w:vAlign w:val="center"/>
          </w:tcPr>
          <w:p w14:paraId="1F95E078"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4,036</w:t>
            </w:r>
          </w:p>
        </w:tc>
      </w:tr>
      <w:tr w:rsidR="005A5BD5" w:rsidRPr="00CA3519" w14:paraId="71E123CD" w14:textId="77777777" w:rsidTr="009B6E1B">
        <w:trPr>
          <w:trHeight w:val="397"/>
          <w:jc w:val="center"/>
        </w:trPr>
        <w:tc>
          <w:tcPr>
            <w:tcW w:w="2113" w:type="dxa"/>
            <w:vAlign w:val="center"/>
          </w:tcPr>
          <w:p w14:paraId="164D3670" w14:textId="77777777" w:rsidR="005A5BD5" w:rsidRPr="00CA3519" w:rsidRDefault="005A5BD5" w:rsidP="004C2C7D">
            <w:pPr>
              <w:autoSpaceDE w:val="0"/>
              <w:autoSpaceDN w:val="0"/>
              <w:adjustRightInd w:val="0"/>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August 2006</w:t>
            </w:r>
          </w:p>
        </w:tc>
        <w:tc>
          <w:tcPr>
            <w:tcW w:w="2113" w:type="dxa"/>
            <w:vAlign w:val="center"/>
          </w:tcPr>
          <w:p w14:paraId="2B2E275A"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21.08.2006</w:t>
            </w:r>
          </w:p>
        </w:tc>
        <w:tc>
          <w:tcPr>
            <w:tcW w:w="1085" w:type="dxa"/>
            <w:vAlign w:val="center"/>
          </w:tcPr>
          <w:p w14:paraId="24A8782C"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3,391</w:t>
            </w:r>
          </w:p>
        </w:tc>
        <w:tc>
          <w:tcPr>
            <w:tcW w:w="1086" w:type="dxa"/>
            <w:vAlign w:val="center"/>
          </w:tcPr>
          <w:p w14:paraId="6E16E69B"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3,545</w:t>
            </w:r>
          </w:p>
        </w:tc>
        <w:tc>
          <w:tcPr>
            <w:tcW w:w="1085" w:type="dxa"/>
            <w:vAlign w:val="center"/>
          </w:tcPr>
          <w:p w14:paraId="7F99B21B"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3,658</w:t>
            </w:r>
          </w:p>
        </w:tc>
        <w:tc>
          <w:tcPr>
            <w:tcW w:w="1086" w:type="dxa"/>
            <w:vAlign w:val="center"/>
          </w:tcPr>
          <w:p w14:paraId="4652A1EE"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3,720</w:t>
            </w:r>
          </w:p>
        </w:tc>
        <w:tc>
          <w:tcPr>
            <w:tcW w:w="1086" w:type="dxa"/>
            <w:vAlign w:val="center"/>
          </w:tcPr>
          <w:p w14:paraId="6B1B057E"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3,765</w:t>
            </w:r>
          </w:p>
        </w:tc>
        <w:tc>
          <w:tcPr>
            <w:tcW w:w="1085" w:type="dxa"/>
            <w:vAlign w:val="center"/>
          </w:tcPr>
          <w:p w14:paraId="06AEB168"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3,815</w:t>
            </w:r>
          </w:p>
        </w:tc>
        <w:tc>
          <w:tcPr>
            <w:tcW w:w="1086" w:type="dxa"/>
            <w:vAlign w:val="center"/>
          </w:tcPr>
          <w:p w14:paraId="76D8955B"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3,873</w:t>
            </w:r>
          </w:p>
        </w:tc>
        <w:tc>
          <w:tcPr>
            <w:tcW w:w="1085" w:type="dxa"/>
            <w:vAlign w:val="center"/>
          </w:tcPr>
          <w:p w14:paraId="6DE6B533"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3,920</w:t>
            </w:r>
          </w:p>
        </w:tc>
        <w:tc>
          <w:tcPr>
            <w:tcW w:w="1086" w:type="dxa"/>
            <w:vAlign w:val="center"/>
          </w:tcPr>
          <w:p w14:paraId="46C24A28"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3,958</w:t>
            </w:r>
          </w:p>
        </w:tc>
        <w:tc>
          <w:tcPr>
            <w:tcW w:w="1086" w:type="dxa"/>
            <w:vAlign w:val="center"/>
          </w:tcPr>
          <w:p w14:paraId="26A3B846"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3,988</w:t>
            </w:r>
          </w:p>
        </w:tc>
      </w:tr>
      <w:tr w:rsidR="005A5BD5" w:rsidRPr="00CA3519" w14:paraId="11D699BE" w14:textId="77777777" w:rsidTr="009B6E1B">
        <w:trPr>
          <w:trHeight w:val="397"/>
          <w:jc w:val="center"/>
        </w:trPr>
        <w:tc>
          <w:tcPr>
            <w:tcW w:w="2113" w:type="dxa"/>
            <w:vAlign w:val="center"/>
          </w:tcPr>
          <w:p w14:paraId="65276F86" w14:textId="77777777" w:rsidR="005A5BD5" w:rsidRPr="00CA3519" w:rsidRDefault="005A5BD5" w:rsidP="004C2C7D">
            <w:pPr>
              <w:autoSpaceDE w:val="0"/>
              <w:autoSpaceDN w:val="0"/>
              <w:adjustRightInd w:val="0"/>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September 2006</w:t>
            </w:r>
          </w:p>
        </w:tc>
        <w:tc>
          <w:tcPr>
            <w:tcW w:w="2113" w:type="dxa"/>
            <w:vAlign w:val="center"/>
          </w:tcPr>
          <w:p w14:paraId="34EE51DB"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20.09.2006</w:t>
            </w:r>
          </w:p>
        </w:tc>
        <w:tc>
          <w:tcPr>
            <w:tcW w:w="1085" w:type="dxa"/>
            <w:vAlign w:val="center"/>
          </w:tcPr>
          <w:p w14:paraId="35C700CC"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3,490</w:t>
            </w:r>
          </w:p>
        </w:tc>
        <w:tc>
          <w:tcPr>
            <w:tcW w:w="1086" w:type="dxa"/>
            <w:vAlign w:val="center"/>
          </w:tcPr>
          <w:p w14:paraId="2E765B77"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3,572</w:t>
            </w:r>
          </w:p>
        </w:tc>
        <w:tc>
          <w:tcPr>
            <w:tcW w:w="1085" w:type="dxa"/>
            <w:vAlign w:val="center"/>
          </w:tcPr>
          <w:p w14:paraId="0D9FB767"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3,629</w:t>
            </w:r>
          </w:p>
        </w:tc>
        <w:tc>
          <w:tcPr>
            <w:tcW w:w="1086" w:type="dxa"/>
            <w:vAlign w:val="center"/>
          </w:tcPr>
          <w:p w14:paraId="434BB5B9"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3,657</w:t>
            </w:r>
          </w:p>
        </w:tc>
        <w:tc>
          <w:tcPr>
            <w:tcW w:w="1086" w:type="dxa"/>
            <w:vAlign w:val="center"/>
          </w:tcPr>
          <w:p w14:paraId="4A8742BD"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3,680</w:t>
            </w:r>
          </w:p>
        </w:tc>
        <w:tc>
          <w:tcPr>
            <w:tcW w:w="1085" w:type="dxa"/>
            <w:vAlign w:val="center"/>
          </w:tcPr>
          <w:p w14:paraId="42181FE8"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3,719</w:t>
            </w:r>
          </w:p>
        </w:tc>
        <w:tc>
          <w:tcPr>
            <w:tcW w:w="1086" w:type="dxa"/>
            <w:vAlign w:val="center"/>
          </w:tcPr>
          <w:p w14:paraId="328CD98E"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3,764</w:t>
            </w:r>
          </w:p>
        </w:tc>
        <w:tc>
          <w:tcPr>
            <w:tcW w:w="1085" w:type="dxa"/>
            <w:vAlign w:val="center"/>
          </w:tcPr>
          <w:p w14:paraId="6082E0FE"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3,802</w:t>
            </w:r>
          </w:p>
        </w:tc>
        <w:tc>
          <w:tcPr>
            <w:tcW w:w="1086" w:type="dxa"/>
            <w:vAlign w:val="center"/>
          </w:tcPr>
          <w:p w14:paraId="17FE6A42"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3,836</w:t>
            </w:r>
          </w:p>
        </w:tc>
        <w:tc>
          <w:tcPr>
            <w:tcW w:w="1086" w:type="dxa"/>
            <w:vAlign w:val="center"/>
          </w:tcPr>
          <w:p w14:paraId="163F34BB"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3,865</w:t>
            </w:r>
          </w:p>
        </w:tc>
      </w:tr>
      <w:tr w:rsidR="005A5BD5" w:rsidRPr="00CA3519" w14:paraId="577E47A3" w14:textId="77777777" w:rsidTr="009B6E1B">
        <w:trPr>
          <w:trHeight w:val="397"/>
          <w:jc w:val="center"/>
        </w:trPr>
        <w:tc>
          <w:tcPr>
            <w:tcW w:w="2113" w:type="dxa"/>
            <w:vAlign w:val="center"/>
          </w:tcPr>
          <w:p w14:paraId="70D4BD27" w14:textId="77777777" w:rsidR="005A5BD5" w:rsidRPr="00CA3519" w:rsidRDefault="005A5BD5" w:rsidP="004C2C7D">
            <w:pPr>
              <w:autoSpaceDE w:val="0"/>
              <w:autoSpaceDN w:val="0"/>
              <w:adjustRightInd w:val="0"/>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Oktober 2006</w:t>
            </w:r>
          </w:p>
        </w:tc>
        <w:tc>
          <w:tcPr>
            <w:tcW w:w="2113" w:type="dxa"/>
            <w:vAlign w:val="center"/>
          </w:tcPr>
          <w:p w14:paraId="2C6964AD"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20.10.2006 - Ausg. 3</w:t>
            </w:r>
          </w:p>
        </w:tc>
        <w:tc>
          <w:tcPr>
            <w:tcW w:w="1085" w:type="dxa"/>
            <w:vAlign w:val="center"/>
          </w:tcPr>
          <w:p w14:paraId="6247FCB7"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3,572</w:t>
            </w:r>
          </w:p>
        </w:tc>
        <w:tc>
          <w:tcPr>
            <w:tcW w:w="1086" w:type="dxa"/>
            <w:vAlign w:val="center"/>
          </w:tcPr>
          <w:p w14:paraId="7EB6D756"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3,606</w:t>
            </w:r>
          </w:p>
        </w:tc>
        <w:tc>
          <w:tcPr>
            <w:tcW w:w="1085" w:type="dxa"/>
            <w:vAlign w:val="center"/>
          </w:tcPr>
          <w:p w14:paraId="476FFCCC"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3,625</w:t>
            </w:r>
          </w:p>
        </w:tc>
        <w:tc>
          <w:tcPr>
            <w:tcW w:w="1086" w:type="dxa"/>
            <w:vAlign w:val="center"/>
          </w:tcPr>
          <w:p w14:paraId="2E41F002"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3,632</w:t>
            </w:r>
          </w:p>
        </w:tc>
        <w:tc>
          <w:tcPr>
            <w:tcW w:w="1086" w:type="dxa"/>
            <w:vAlign w:val="center"/>
          </w:tcPr>
          <w:p w14:paraId="32A144A9"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3,641</w:t>
            </w:r>
          </w:p>
        </w:tc>
        <w:tc>
          <w:tcPr>
            <w:tcW w:w="1085" w:type="dxa"/>
            <w:vAlign w:val="center"/>
          </w:tcPr>
          <w:p w14:paraId="6FD3C941"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3,664</w:t>
            </w:r>
          </w:p>
        </w:tc>
        <w:tc>
          <w:tcPr>
            <w:tcW w:w="1086" w:type="dxa"/>
            <w:vAlign w:val="center"/>
          </w:tcPr>
          <w:p w14:paraId="2ADCB5DB"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3,693</w:t>
            </w:r>
          </w:p>
        </w:tc>
        <w:tc>
          <w:tcPr>
            <w:tcW w:w="1085" w:type="dxa"/>
            <w:vAlign w:val="center"/>
          </w:tcPr>
          <w:p w14:paraId="7039541E"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3,722</w:t>
            </w:r>
          </w:p>
        </w:tc>
        <w:tc>
          <w:tcPr>
            <w:tcW w:w="1086" w:type="dxa"/>
            <w:vAlign w:val="center"/>
          </w:tcPr>
          <w:p w14:paraId="625D00A0"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3,748</w:t>
            </w:r>
          </w:p>
        </w:tc>
        <w:tc>
          <w:tcPr>
            <w:tcW w:w="1086" w:type="dxa"/>
            <w:vAlign w:val="center"/>
          </w:tcPr>
          <w:p w14:paraId="24EDF289"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3,772</w:t>
            </w:r>
          </w:p>
        </w:tc>
      </w:tr>
      <w:tr w:rsidR="005A5BD5" w:rsidRPr="00CA3519" w14:paraId="1DF48521" w14:textId="77777777" w:rsidTr="009B6E1B">
        <w:trPr>
          <w:trHeight w:val="397"/>
          <w:jc w:val="center"/>
        </w:trPr>
        <w:tc>
          <w:tcPr>
            <w:tcW w:w="2113" w:type="dxa"/>
            <w:vAlign w:val="center"/>
          </w:tcPr>
          <w:p w14:paraId="228F1833" w14:textId="77777777" w:rsidR="005A5BD5" w:rsidRPr="00CA3519" w:rsidRDefault="005A5BD5" w:rsidP="004C2C7D">
            <w:pPr>
              <w:autoSpaceDE w:val="0"/>
              <w:autoSpaceDN w:val="0"/>
              <w:adjustRightInd w:val="0"/>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November 2006</w:t>
            </w:r>
          </w:p>
        </w:tc>
        <w:tc>
          <w:tcPr>
            <w:tcW w:w="2113" w:type="dxa"/>
            <w:vAlign w:val="center"/>
          </w:tcPr>
          <w:p w14:paraId="66A02A27"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20.11.2006 - Ausg. 3</w:t>
            </w:r>
          </w:p>
        </w:tc>
        <w:tc>
          <w:tcPr>
            <w:tcW w:w="1085" w:type="dxa"/>
            <w:vAlign w:val="center"/>
          </w:tcPr>
          <w:p w14:paraId="297DFAE7"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3,664</w:t>
            </w:r>
          </w:p>
        </w:tc>
        <w:tc>
          <w:tcPr>
            <w:tcW w:w="1086" w:type="dxa"/>
            <w:vAlign w:val="center"/>
          </w:tcPr>
          <w:p w14:paraId="610F3680"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3,691</w:t>
            </w:r>
          </w:p>
        </w:tc>
        <w:tc>
          <w:tcPr>
            <w:tcW w:w="1085" w:type="dxa"/>
            <w:vAlign w:val="center"/>
          </w:tcPr>
          <w:p w14:paraId="1FAAAA63"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3,709</w:t>
            </w:r>
          </w:p>
        </w:tc>
        <w:tc>
          <w:tcPr>
            <w:tcW w:w="1086" w:type="dxa"/>
            <w:vAlign w:val="center"/>
          </w:tcPr>
          <w:p w14:paraId="7157624B"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3,719</w:t>
            </w:r>
          </w:p>
        </w:tc>
        <w:tc>
          <w:tcPr>
            <w:tcW w:w="1086" w:type="dxa"/>
            <w:vAlign w:val="center"/>
          </w:tcPr>
          <w:p w14:paraId="4062B847"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3,730</w:t>
            </w:r>
          </w:p>
        </w:tc>
        <w:tc>
          <w:tcPr>
            <w:tcW w:w="1085" w:type="dxa"/>
            <w:vAlign w:val="center"/>
          </w:tcPr>
          <w:p w14:paraId="26445E53"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3,752</w:t>
            </w:r>
          </w:p>
        </w:tc>
        <w:tc>
          <w:tcPr>
            <w:tcW w:w="1086" w:type="dxa"/>
            <w:vAlign w:val="center"/>
          </w:tcPr>
          <w:p w14:paraId="27E36A86"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3,777</w:t>
            </w:r>
          </w:p>
        </w:tc>
        <w:tc>
          <w:tcPr>
            <w:tcW w:w="1085" w:type="dxa"/>
            <w:vAlign w:val="center"/>
          </w:tcPr>
          <w:p w14:paraId="5A7A5E63"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3,800</w:t>
            </w:r>
          </w:p>
        </w:tc>
        <w:tc>
          <w:tcPr>
            <w:tcW w:w="1086" w:type="dxa"/>
            <w:vAlign w:val="center"/>
          </w:tcPr>
          <w:p w14:paraId="2383CF4A"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3,820</w:t>
            </w:r>
          </w:p>
        </w:tc>
        <w:tc>
          <w:tcPr>
            <w:tcW w:w="1086" w:type="dxa"/>
            <w:vAlign w:val="center"/>
          </w:tcPr>
          <w:p w14:paraId="12B3FCC3"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3,840</w:t>
            </w:r>
          </w:p>
        </w:tc>
      </w:tr>
      <w:tr w:rsidR="005A5BD5" w:rsidRPr="00CA3519" w14:paraId="4B0CA41B" w14:textId="77777777" w:rsidTr="009B6E1B">
        <w:trPr>
          <w:trHeight w:val="397"/>
          <w:jc w:val="center"/>
        </w:trPr>
        <w:tc>
          <w:tcPr>
            <w:tcW w:w="2113" w:type="dxa"/>
            <w:vAlign w:val="center"/>
          </w:tcPr>
          <w:p w14:paraId="48A416FC" w14:textId="77777777" w:rsidR="005A5BD5" w:rsidRPr="00CA3519" w:rsidRDefault="005A5BD5" w:rsidP="004C2C7D">
            <w:pPr>
              <w:autoSpaceDE w:val="0"/>
              <w:autoSpaceDN w:val="0"/>
              <w:adjustRightInd w:val="0"/>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Dezember 2006</w:t>
            </w:r>
          </w:p>
        </w:tc>
        <w:tc>
          <w:tcPr>
            <w:tcW w:w="2113" w:type="dxa"/>
            <w:vAlign w:val="center"/>
          </w:tcPr>
          <w:p w14:paraId="5A128CC6"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20.12.2006 - Ausg. 2</w:t>
            </w:r>
          </w:p>
        </w:tc>
        <w:tc>
          <w:tcPr>
            <w:tcW w:w="1085" w:type="dxa"/>
            <w:vAlign w:val="center"/>
          </w:tcPr>
          <w:p w14:paraId="14AF6FDC"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3,708</w:t>
            </w:r>
          </w:p>
        </w:tc>
        <w:tc>
          <w:tcPr>
            <w:tcW w:w="1086" w:type="dxa"/>
            <w:vAlign w:val="center"/>
          </w:tcPr>
          <w:p w14:paraId="2962FBED"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3,663</w:t>
            </w:r>
          </w:p>
        </w:tc>
        <w:tc>
          <w:tcPr>
            <w:tcW w:w="1085" w:type="dxa"/>
            <w:vAlign w:val="center"/>
          </w:tcPr>
          <w:p w14:paraId="556784FE"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3,640</w:t>
            </w:r>
          </w:p>
        </w:tc>
        <w:tc>
          <w:tcPr>
            <w:tcW w:w="1086" w:type="dxa"/>
            <w:vAlign w:val="center"/>
          </w:tcPr>
          <w:p w14:paraId="7F65F290"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3,643</w:t>
            </w:r>
          </w:p>
        </w:tc>
        <w:tc>
          <w:tcPr>
            <w:tcW w:w="1086" w:type="dxa"/>
            <w:vAlign w:val="center"/>
          </w:tcPr>
          <w:p w14:paraId="05178CE8"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3,659</w:t>
            </w:r>
          </w:p>
        </w:tc>
        <w:tc>
          <w:tcPr>
            <w:tcW w:w="1085" w:type="dxa"/>
            <w:vAlign w:val="center"/>
          </w:tcPr>
          <w:p w14:paraId="738546DE"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3,675</w:t>
            </w:r>
          </w:p>
        </w:tc>
        <w:tc>
          <w:tcPr>
            <w:tcW w:w="1086" w:type="dxa"/>
            <w:vAlign w:val="center"/>
          </w:tcPr>
          <w:p w14:paraId="5AFCA164"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3,692</w:t>
            </w:r>
          </w:p>
        </w:tc>
        <w:tc>
          <w:tcPr>
            <w:tcW w:w="1085" w:type="dxa"/>
            <w:vAlign w:val="center"/>
          </w:tcPr>
          <w:p w14:paraId="28C86527"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3,710</w:t>
            </w:r>
          </w:p>
        </w:tc>
        <w:tc>
          <w:tcPr>
            <w:tcW w:w="1086" w:type="dxa"/>
            <w:vAlign w:val="center"/>
          </w:tcPr>
          <w:p w14:paraId="2ADD4B42" w14:textId="77777777" w:rsidR="005A5BD5" w:rsidRPr="00CA3519" w:rsidRDefault="005A5BD5" w:rsidP="004C2C7D">
            <w:pPr>
              <w:autoSpaceDE w:val="0"/>
              <w:autoSpaceDN w:val="0"/>
              <w:adjustRightInd w:val="0"/>
              <w:jc w:val="center"/>
              <w:rPr>
                <w:rFonts w:ascii="Palatino-Roman" w:eastAsia="Calibri" w:hAnsi="Palatino-Roman" w:cs="Palatino-Roman"/>
                <w:sz w:val="17"/>
                <w:szCs w:val="17"/>
                <w:lang w:eastAsia="en-US"/>
              </w:rPr>
            </w:pPr>
            <w:r w:rsidRPr="00CA3519">
              <w:rPr>
                <w:rFonts w:ascii="Palatino-Roman" w:eastAsia="Calibri" w:hAnsi="Palatino-Roman" w:cs="Palatino-Roman"/>
                <w:sz w:val="17"/>
                <w:szCs w:val="17"/>
                <w:lang w:eastAsia="en-US"/>
              </w:rPr>
              <w:t>3,726</w:t>
            </w:r>
          </w:p>
        </w:tc>
        <w:tc>
          <w:tcPr>
            <w:tcW w:w="1086" w:type="dxa"/>
            <w:vAlign w:val="center"/>
          </w:tcPr>
          <w:p w14:paraId="069CDE66" w14:textId="77777777" w:rsidR="005A5BD5" w:rsidRPr="00CA3519" w:rsidRDefault="005A5BD5" w:rsidP="004C2C7D">
            <w:pPr>
              <w:autoSpaceDE w:val="0"/>
              <w:autoSpaceDN w:val="0"/>
              <w:adjustRightInd w:val="0"/>
              <w:jc w:val="center"/>
              <w:rPr>
                <w:rFonts w:ascii="Palatino-Roman" w:eastAsia="Calibri" w:hAnsi="Palatino-Roman" w:cs="Palatino-Roman"/>
                <w:sz w:val="20"/>
                <w:szCs w:val="22"/>
                <w:lang w:eastAsia="en-US"/>
              </w:rPr>
            </w:pPr>
            <w:r w:rsidRPr="00CA3519">
              <w:rPr>
                <w:rFonts w:ascii="Palatino-Roman" w:eastAsia="Calibri" w:hAnsi="Palatino-Roman" w:cs="Palatino-Roman"/>
                <w:sz w:val="17"/>
                <w:szCs w:val="17"/>
                <w:lang w:eastAsia="en-US"/>
              </w:rPr>
              <w:t>3,742]</w:t>
            </w:r>
          </w:p>
        </w:tc>
      </w:tr>
      <w:tr w:rsidR="005A5BD5" w:rsidRPr="00CA3519" w14:paraId="7C33B0CA" w14:textId="77777777" w:rsidTr="009B6E1B">
        <w:trPr>
          <w:trHeight w:val="397"/>
          <w:jc w:val="center"/>
        </w:trPr>
        <w:tc>
          <w:tcPr>
            <w:tcW w:w="2113" w:type="dxa"/>
            <w:vAlign w:val="center"/>
          </w:tcPr>
          <w:p w14:paraId="3F006A5D"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[Januar 2007</w:t>
            </w:r>
          </w:p>
        </w:tc>
        <w:tc>
          <w:tcPr>
            <w:tcW w:w="2113" w:type="dxa"/>
            <w:vAlign w:val="center"/>
          </w:tcPr>
          <w:p w14:paraId="0DFD415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22.01.2007</w:t>
            </w:r>
          </w:p>
        </w:tc>
        <w:tc>
          <w:tcPr>
            <w:tcW w:w="1085" w:type="dxa"/>
            <w:vAlign w:val="center"/>
          </w:tcPr>
          <w:p w14:paraId="47C13C8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3,805</w:t>
            </w:r>
          </w:p>
        </w:tc>
        <w:tc>
          <w:tcPr>
            <w:tcW w:w="1086" w:type="dxa"/>
            <w:vAlign w:val="center"/>
          </w:tcPr>
          <w:p w14:paraId="5B3B627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3,818</w:t>
            </w:r>
          </w:p>
        </w:tc>
        <w:tc>
          <w:tcPr>
            <w:tcW w:w="1085" w:type="dxa"/>
            <w:vAlign w:val="center"/>
          </w:tcPr>
          <w:p w14:paraId="103DC9F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3,830</w:t>
            </w:r>
          </w:p>
        </w:tc>
        <w:tc>
          <w:tcPr>
            <w:tcW w:w="1086" w:type="dxa"/>
            <w:vAlign w:val="center"/>
          </w:tcPr>
          <w:p w14:paraId="2D792AC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3,841</w:t>
            </w:r>
          </w:p>
        </w:tc>
        <w:tc>
          <w:tcPr>
            <w:tcW w:w="1086" w:type="dxa"/>
            <w:vAlign w:val="center"/>
          </w:tcPr>
          <w:p w14:paraId="1C6AA9F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3,852</w:t>
            </w:r>
          </w:p>
        </w:tc>
        <w:tc>
          <w:tcPr>
            <w:tcW w:w="1085" w:type="dxa"/>
            <w:vAlign w:val="center"/>
          </w:tcPr>
          <w:p w14:paraId="430695B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3,867</w:t>
            </w:r>
          </w:p>
        </w:tc>
        <w:tc>
          <w:tcPr>
            <w:tcW w:w="1086" w:type="dxa"/>
            <w:vAlign w:val="center"/>
          </w:tcPr>
          <w:p w14:paraId="6EAA371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3,879</w:t>
            </w:r>
          </w:p>
        </w:tc>
        <w:tc>
          <w:tcPr>
            <w:tcW w:w="1085" w:type="dxa"/>
            <w:vAlign w:val="center"/>
          </w:tcPr>
          <w:p w14:paraId="130F59C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3,891</w:t>
            </w:r>
          </w:p>
        </w:tc>
        <w:tc>
          <w:tcPr>
            <w:tcW w:w="1086" w:type="dxa"/>
            <w:vAlign w:val="center"/>
          </w:tcPr>
          <w:p w14:paraId="4EF2D4D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3,906</w:t>
            </w:r>
          </w:p>
        </w:tc>
        <w:tc>
          <w:tcPr>
            <w:tcW w:w="1086" w:type="dxa"/>
            <w:vAlign w:val="center"/>
          </w:tcPr>
          <w:p w14:paraId="54DB4D5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3,920</w:t>
            </w:r>
          </w:p>
        </w:tc>
      </w:tr>
      <w:tr w:rsidR="005A5BD5" w:rsidRPr="00CA3519" w14:paraId="76F3D570" w14:textId="77777777" w:rsidTr="009B6E1B">
        <w:trPr>
          <w:trHeight w:val="397"/>
          <w:jc w:val="center"/>
        </w:trPr>
        <w:tc>
          <w:tcPr>
            <w:tcW w:w="2113" w:type="dxa"/>
            <w:vAlign w:val="center"/>
          </w:tcPr>
          <w:p w14:paraId="66122493"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Februar 2007</w:t>
            </w:r>
          </w:p>
        </w:tc>
        <w:tc>
          <w:tcPr>
            <w:tcW w:w="2113" w:type="dxa"/>
            <w:vAlign w:val="center"/>
          </w:tcPr>
          <w:p w14:paraId="61120A8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20.02.2007 - Ausg. 3</w:t>
            </w:r>
          </w:p>
        </w:tc>
        <w:tc>
          <w:tcPr>
            <w:tcW w:w="1085" w:type="dxa"/>
            <w:vAlign w:val="center"/>
          </w:tcPr>
          <w:p w14:paraId="0C2A787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3,886</w:t>
            </w:r>
          </w:p>
        </w:tc>
        <w:tc>
          <w:tcPr>
            <w:tcW w:w="1086" w:type="dxa"/>
            <w:vAlign w:val="center"/>
          </w:tcPr>
          <w:p w14:paraId="545C598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3,938</w:t>
            </w:r>
          </w:p>
        </w:tc>
        <w:tc>
          <w:tcPr>
            <w:tcW w:w="1085" w:type="dxa"/>
            <w:vAlign w:val="center"/>
          </w:tcPr>
          <w:p w14:paraId="75E26F6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3,968</w:t>
            </w:r>
          </w:p>
        </w:tc>
        <w:tc>
          <w:tcPr>
            <w:tcW w:w="1086" w:type="dxa"/>
            <w:vAlign w:val="center"/>
          </w:tcPr>
          <w:p w14:paraId="0AD8651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3,980</w:t>
            </w:r>
          </w:p>
        </w:tc>
        <w:tc>
          <w:tcPr>
            <w:tcW w:w="1086" w:type="dxa"/>
            <w:vAlign w:val="center"/>
          </w:tcPr>
          <w:p w14:paraId="2AABC0E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3,992</w:t>
            </w:r>
          </w:p>
        </w:tc>
        <w:tc>
          <w:tcPr>
            <w:tcW w:w="1085" w:type="dxa"/>
            <w:vAlign w:val="center"/>
          </w:tcPr>
          <w:p w14:paraId="1A14670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4,014</w:t>
            </w:r>
          </w:p>
        </w:tc>
        <w:tc>
          <w:tcPr>
            <w:tcW w:w="1086" w:type="dxa"/>
            <w:vAlign w:val="center"/>
          </w:tcPr>
          <w:p w14:paraId="1BC1AD8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4,037</w:t>
            </w:r>
          </w:p>
        </w:tc>
        <w:tc>
          <w:tcPr>
            <w:tcW w:w="1085" w:type="dxa"/>
            <w:vAlign w:val="center"/>
          </w:tcPr>
          <w:p w14:paraId="702B8F3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4,063</w:t>
            </w:r>
          </w:p>
        </w:tc>
        <w:tc>
          <w:tcPr>
            <w:tcW w:w="1086" w:type="dxa"/>
            <w:vAlign w:val="center"/>
          </w:tcPr>
          <w:p w14:paraId="5221925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4,085</w:t>
            </w:r>
          </w:p>
        </w:tc>
        <w:tc>
          <w:tcPr>
            <w:tcW w:w="1086" w:type="dxa"/>
            <w:vAlign w:val="center"/>
          </w:tcPr>
          <w:p w14:paraId="6CF7BBF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4,106</w:t>
            </w:r>
          </w:p>
        </w:tc>
      </w:tr>
      <w:tr w:rsidR="005A5BD5" w:rsidRPr="00CA3519" w14:paraId="1843BCB0" w14:textId="77777777" w:rsidTr="009B6E1B">
        <w:trPr>
          <w:trHeight w:val="397"/>
          <w:jc w:val="center"/>
        </w:trPr>
        <w:tc>
          <w:tcPr>
            <w:tcW w:w="2113" w:type="dxa"/>
            <w:vAlign w:val="center"/>
          </w:tcPr>
          <w:p w14:paraId="035025B3"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März 2007</w:t>
            </w:r>
          </w:p>
        </w:tc>
        <w:tc>
          <w:tcPr>
            <w:tcW w:w="2113" w:type="dxa"/>
            <w:vAlign w:val="center"/>
          </w:tcPr>
          <w:p w14:paraId="34C2E8D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20.03.2007 - Ausg. 2</w:t>
            </w:r>
          </w:p>
        </w:tc>
        <w:tc>
          <w:tcPr>
            <w:tcW w:w="1085" w:type="dxa"/>
            <w:vAlign w:val="center"/>
          </w:tcPr>
          <w:p w14:paraId="346A7AE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3,914</w:t>
            </w:r>
          </w:p>
        </w:tc>
        <w:tc>
          <w:tcPr>
            <w:tcW w:w="1086" w:type="dxa"/>
            <w:vAlign w:val="center"/>
          </w:tcPr>
          <w:p w14:paraId="73F9229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3,930</w:t>
            </w:r>
          </w:p>
        </w:tc>
        <w:tc>
          <w:tcPr>
            <w:tcW w:w="1085" w:type="dxa"/>
            <w:vAlign w:val="center"/>
          </w:tcPr>
          <w:p w14:paraId="37B0E9A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3,936</w:t>
            </w:r>
          </w:p>
        </w:tc>
        <w:tc>
          <w:tcPr>
            <w:tcW w:w="1086" w:type="dxa"/>
            <w:vAlign w:val="center"/>
          </w:tcPr>
          <w:p w14:paraId="19015E3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3,940</w:t>
            </w:r>
          </w:p>
        </w:tc>
        <w:tc>
          <w:tcPr>
            <w:tcW w:w="1086" w:type="dxa"/>
            <w:vAlign w:val="center"/>
          </w:tcPr>
          <w:p w14:paraId="6487A7E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3,953</w:t>
            </w:r>
          </w:p>
        </w:tc>
        <w:tc>
          <w:tcPr>
            <w:tcW w:w="1085" w:type="dxa"/>
            <w:vAlign w:val="center"/>
          </w:tcPr>
          <w:p w14:paraId="434095B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3,977</w:t>
            </w:r>
          </w:p>
        </w:tc>
        <w:tc>
          <w:tcPr>
            <w:tcW w:w="1086" w:type="dxa"/>
            <w:vAlign w:val="center"/>
          </w:tcPr>
          <w:p w14:paraId="1FBD718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4,004</w:t>
            </w:r>
          </w:p>
        </w:tc>
        <w:tc>
          <w:tcPr>
            <w:tcW w:w="1085" w:type="dxa"/>
            <w:vAlign w:val="center"/>
          </w:tcPr>
          <w:p w14:paraId="41B99AF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4,027</w:t>
            </w:r>
          </w:p>
        </w:tc>
        <w:tc>
          <w:tcPr>
            <w:tcW w:w="1086" w:type="dxa"/>
            <w:vAlign w:val="center"/>
          </w:tcPr>
          <w:p w14:paraId="087ADBC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4,047</w:t>
            </w:r>
          </w:p>
        </w:tc>
        <w:tc>
          <w:tcPr>
            <w:tcW w:w="1086" w:type="dxa"/>
            <w:vAlign w:val="center"/>
          </w:tcPr>
          <w:p w14:paraId="6C4E70A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4,065</w:t>
            </w:r>
          </w:p>
        </w:tc>
      </w:tr>
      <w:tr w:rsidR="005A5BD5" w:rsidRPr="00CA3519" w14:paraId="1C443CC3" w14:textId="77777777" w:rsidTr="009B6E1B">
        <w:trPr>
          <w:trHeight w:val="397"/>
          <w:jc w:val="center"/>
        </w:trPr>
        <w:tc>
          <w:tcPr>
            <w:tcW w:w="2113" w:type="dxa"/>
            <w:vAlign w:val="center"/>
          </w:tcPr>
          <w:p w14:paraId="79AA6A80"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April 2007</w:t>
            </w:r>
          </w:p>
        </w:tc>
        <w:tc>
          <w:tcPr>
            <w:tcW w:w="2113" w:type="dxa"/>
            <w:vAlign w:val="center"/>
          </w:tcPr>
          <w:p w14:paraId="19C4A40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20.04.2007 - Ausg. 2</w:t>
            </w:r>
          </w:p>
        </w:tc>
        <w:tc>
          <w:tcPr>
            <w:tcW w:w="1085" w:type="dxa"/>
            <w:vAlign w:val="center"/>
          </w:tcPr>
          <w:p w14:paraId="27D5F11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3,990</w:t>
            </w:r>
          </w:p>
        </w:tc>
        <w:tc>
          <w:tcPr>
            <w:tcW w:w="1086" w:type="dxa"/>
            <w:vAlign w:val="center"/>
          </w:tcPr>
          <w:p w14:paraId="558E066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3,969</w:t>
            </w:r>
          </w:p>
        </w:tc>
        <w:tc>
          <w:tcPr>
            <w:tcW w:w="1085" w:type="dxa"/>
            <w:vAlign w:val="center"/>
          </w:tcPr>
          <w:p w14:paraId="449930A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3,956</w:t>
            </w:r>
          </w:p>
        </w:tc>
        <w:tc>
          <w:tcPr>
            <w:tcW w:w="1086" w:type="dxa"/>
            <w:vAlign w:val="center"/>
          </w:tcPr>
          <w:p w14:paraId="43EB70B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3,953</w:t>
            </w:r>
          </w:p>
        </w:tc>
        <w:tc>
          <w:tcPr>
            <w:tcW w:w="1086" w:type="dxa"/>
            <w:vAlign w:val="center"/>
          </w:tcPr>
          <w:p w14:paraId="3A4F3F3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3,961</w:t>
            </w:r>
          </w:p>
        </w:tc>
        <w:tc>
          <w:tcPr>
            <w:tcW w:w="1085" w:type="dxa"/>
            <w:vAlign w:val="center"/>
          </w:tcPr>
          <w:p w14:paraId="0D38358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3,977</w:t>
            </w:r>
          </w:p>
        </w:tc>
        <w:tc>
          <w:tcPr>
            <w:tcW w:w="1086" w:type="dxa"/>
            <w:vAlign w:val="center"/>
          </w:tcPr>
          <w:p w14:paraId="406A907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3,997</w:t>
            </w:r>
          </w:p>
        </w:tc>
        <w:tc>
          <w:tcPr>
            <w:tcW w:w="1085" w:type="dxa"/>
            <w:vAlign w:val="center"/>
          </w:tcPr>
          <w:p w14:paraId="53356BA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4,015</w:t>
            </w:r>
          </w:p>
        </w:tc>
        <w:tc>
          <w:tcPr>
            <w:tcW w:w="1086" w:type="dxa"/>
            <w:vAlign w:val="center"/>
          </w:tcPr>
          <w:p w14:paraId="436F4BD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4,034</w:t>
            </w:r>
          </w:p>
        </w:tc>
        <w:tc>
          <w:tcPr>
            <w:tcW w:w="1086" w:type="dxa"/>
            <w:vAlign w:val="center"/>
          </w:tcPr>
          <w:p w14:paraId="1FBC779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4,050</w:t>
            </w:r>
          </w:p>
        </w:tc>
      </w:tr>
      <w:tr w:rsidR="005A5BD5" w:rsidRPr="00CA3519" w14:paraId="3E268AD2" w14:textId="77777777" w:rsidTr="009B6E1B">
        <w:trPr>
          <w:trHeight w:val="397"/>
          <w:jc w:val="center"/>
        </w:trPr>
        <w:tc>
          <w:tcPr>
            <w:tcW w:w="2113" w:type="dxa"/>
            <w:vAlign w:val="center"/>
          </w:tcPr>
          <w:p w14:paraId="00DBD012"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Mai 2007</w:t>
            </w:r>
          </w:p>
        </w:tc>
        <w:tc>
          <w:tcPr>
            <w:tcW w:w="2113" w:type="dxa"/>
            <w:vAlign w:val="center"/>
          </w:tcPr>
          <w:p w14:paraId="0BCA041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21.05.2007</w:t>
            </w:r>
          </w:p>
        </w:tc>
        <w:tc>
          <w:tcPr>
            <w:tcW w:w="1085" w:type="dxa"/>
            <w:vAlign w:val="center"/>
          </w:tcPr>
          <w:p w14:paraId="600C30D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4,134</w:t>
            </w:r>
          </w:p>
        </w:tc>
        <w:tc>
          <w:tcPr>
            <w:tcW w:w="1086" w:type="dxa"/>
            <w:vAlign w:val="center"/>
          </w:tcPr>
          <w:p w14:paraId="4EB978F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4,147</w:t>
            </w:r>
          </w:p>
        </w:tc>
        <w:tc>
          <w:tcPr>
            <w:tcW w:w="1085" w:type="dxa"/>
            <w:vAlign w:val="center"/>
          </w:tcPr>
          <w:p w14:paraId="3C624BF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4,153</w:t>
            </w:r>
          </w:p>
        </w:tc>
        <w:tc>
          <w:tcPr>
            <w:tcW w:w="1086" w:type="dxa"/>
            <w:vAlign w:val="center"/>
          </w:tcPr>
          <w:p w14:paraId="2209DB7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4,158</w:t>
            </w:r>
          </w:p>
        </w:tc>
        <w:tc>
          <w:tcPr>
            <w:tcW w:w="1086" w:type="dxa"/>
            <w:vAlign w:val="center"/>
          </w:tcPr>
          <w:p w14:paraId="6F36153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4,170</w:t>
            </w:r>
          </w:p>
        </w:tc>
        <w:tc>
          <w:tcPr>
            <w:tcW w:w="1085" w:type="dxa"/>
            <w:vAlign w:val="center"/>
          </w:tcPr>
          <w:p w14:paraId="08D7B6E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4,187</w:t>
            </w:r>
          </w:p>
        </w:tc>
        <w:tc>
          <w:tcPr>
            <w:tcW w:w="1086" w:type="dxa"/>
            <w:vAlign w:val="center"/>
          </w:tcPr>
          <w:p w14:paraId="56911F2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4,203</w:t>
            </w:r>
          </w:p>
        </w:tc>
        <w:tc>
          <w:tcPr>
            <w:tcW w:w="1085" w:type="dxa"/>
            <w:vAlign w:val="center"/>
          </w:tcPr>
          <w:p w14:paraId="1865D7F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4,222</w:t>
            </w:r>
          </w:p>
        </w:tc>
        <w:tc>
          <w:tcPr>
            <w:tcW w:w="1086" w:type="dxa"/>
            <w:vAlign w:val="center"/>
          </w:tcPr>
          <w:p w14:paraId="161AF7A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4,238</w:t>
            </w:r>
          </w:p>
        </w:tc>
        <w:tc>
          <w:tcPr>
            <w:tcW w:w="1086" w:type="dxa"/>
            <w:vAlign w:val="center"/>
          </w:tcPr>
          <w:p w14:paraId="239C4C4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4,255</w:t>
            </w:r>
          </w:p>
        </w:tc>
      </w:tr>
      <w:tr w:rsidR="005A5BD5" w:rsidRPr="00CA3519" w14:paraId="2196C8DB" w14:textId="77777777" w:rsidTr="009B6E1B">
        <w:trPr>
          <w:trHeight w:val="397"/>
          <w:jc w:val="center"/>
        </w:trPr>
        <w:tc>
          <w:tcPr>
            <w:tcW w:w="2113" w:type="dxa"/>
            <w:vAlign w:val="center"/>
          </w:tcPr>
          <w:p w14:paraId="67A86404"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Juni 2007</w:t>
            </w:r>
          </w:p>
        </w:tc>
        <w:tc>
          <w:tcPr>
            <w:tcW w:w="2113" w:type="dxa"/>
            <w:vAlign w:val="center"/>
          </w:tcPr>
          <w:p w14:paraId="4211E37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20.06.2007 - Ausg. 3</w:t>
            </w:r>
          </w:p>
        </w:tc>
        <w:tc>
          <w:tcPr>
            <w:tcW w:w="1085" w:type="dxa"/>
            <w:vAlign w:val="center"/>
          </w:tcPr>
          <w:p w14:paraId="4350294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4,259</w:t>
            </w:r>
          </w:p>
        </w:tc>
        <w:tc>
          <w:tcPr>
            <w:tcW w:w="1086" w:type="dxa"/>
            <w:vAlign w:val="center"/>
          </w:tcPr>
          <w:p w14:paraId="754CECA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4,359</w:t>
            </w:r>
          </w:p>
        </w:tc>
        <w:tc>
          <w:tcPr>
            <w:tcW w:w="1085" w:type="dxa"/>
            <w:vAlign w:val="center"/>
          </w:tcPr>
          <w:p w14:paraId="231F844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4,382</w:t>
            </w:r>
          </w:p>
        </w:tc>
        <w:tc>
          <w:tcPr>
            <w:tcW w:w="1086" w:type="dxa"/>
            <w:vAlign w:val="center"/>
          </w:tcPr>
          <w:p w14:paraId="0B2382A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4,369</w:t>
            </w:r>
          </w:p>
        </w:tc>
        <w:tc>
          <w:tcPr>
            <w:tcW w:w="1086" w:type="dxa"/>
            <w:vAlign w:val="center"/>
          </w:tcPr>
          <w:p w14:paraId="6C58CE4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4,367</w:t>
            </w:r>
          </w:p>
        </w:tc>
        <w:tc>
          <w:tcPr>
            <w:tcW w:w="1085" w:type="dxa"/>
            <w:vAlign w:val="center"/>
          </w:tcPr>
          <w:p w14:paraId="25EDA8A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4,384</w:t>
            </w:r>
          </w:p>
        </w:tc>
        <w:tc>
          <w:tcPr>
            <w:tcW w:w="1086" w:type="dxa"/>
            <w:vAlign w:val="center"/>
          </w:tcPr>
          <w:p w14:paraId="296BA6B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4,402</w:t>
            </w:r>
          </w:p>
        </w:tc>
        <w:tc>
          <w:tcPr>
            <w:tcW w:w="1085" w:type="dxa"/>
            <w:vAlign w:val="center"/>
          </w:tcPr>
          <w:p w14:paraId="21E7C67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4,417</w:t>
            </w:r>
          </w:p>
        </w:tc>
        <w:tc>
          <w:tcPr>
            <w:tcW w:w="1086" w:type="dxa"/>
            <w:vAlign w:val="center"/>
          </w:tcPr>
          <w:p w14:paraId="53B4E8F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4,428</w:t>
            </w:r>
          </w:p>
        </w:tc>
        <w:tc>
          <w:tcPr>
            <w:tcW w:w="1086" w:type="dxa"/>
            <w:vAlign w:val="center"/>
          </w:tcPr>
          <w:p w14:paraId="5E59441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4,441</w:t>
            </w:r>
          </w:p>
        </w:tc>
      </w:tr>
      <w:tr w:rsidR="005A5BD5" w:rsidRPr="00CA3519" w14:paraId="3839046E" w14:textId="77777777" w:rsidTr="009B6E1B">
        <w:trPr>
          <w:trHeight w:val="397"/>
          <w:jc w:val="center"/>
        </w:trPr>
        <w:tc>
          <w:tcPr>
            <w:tcW w:w="2113" w:type="dxa"/>
            <w:vAlign w:val="center"/>
          </w:tcPr>
          <w:p w14:paraId="30A43581"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Juli 2007</w:t>
            </w:r>
          </w:p>
        </w:tc>
        <w:tc>
          <w:tcPr>
            <w:tcW w:w="2113" w:type="dxa"/>
            <w:vAlign w:val="center"/>
          </w:tcPr>
          <w:p w14:paraId="26A5555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25.07.2007</w:t>
            </w:r>
          </w:p>
        </w:tc>
        <w:tc>
          <w:tcPr>
            <w:tcW w:w="1085" w:type="dxa"/>
            <w:vAlign w:val="center"/>
          </w:tcPr>
          <w:p w14:paraId="2FC74B9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4,350</w:t>
            </w:r>
          </w:p>
        </w:tc>
        <w:tc>
          <w:tcPr>
            <w:tcW w:w="1086" w:type="dxa"/>
            <w:vAlign w:val="center"/>
          </w:tcPr>
          <w:p w14:paraId="0BAB8BB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4,510</w:t>
            </w:r>
          </w:p>
        </w:tc>
        <w:tc>
          <w:tcPr>
            <w:tcW w:w="1085" w:type="dxa"/>
            <w:vAlign w:val="center"/>
          </w:tcPr>
          <w:p w14:paraId="4F1AC2B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4,565</w:t>
            </w:r>
          </w:p>
        </w:tc>
        <w:tc>
          <w:tcPr>
            <w:tcW w:w="1086" w:type="dxa"/>
            <w:vAlign w:val="center"/>
          </w:tcPr>
          <w:p w14:paraId="50ADCAC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4,567</w:t>
            </w:r>
          </w:p>
        </w:tc>
        <w:tc>
          <w:tcPr>
            <w:tcW w:w="1086" w:type="dxa"/>
            <w:vAlign w:val="center"/>
          </w:tcPr>
          <w:p w14:paraId="36488F9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4,576</w:t>
            </w:r>
          </w:p>
        </w:tc>
        <w:tc>
          <w:tcPr>
            <w:tcW w:w="1085" w:type="dxa"/>
            <w:vAlign w:val="center"/>
          </w:tcPr>
          <w:p w14:paraId="18B8FA7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4,599</w:t>
            </w:r>
          </w:p>
        </w:tc>
        <w:tc>
          <w:tcPr>
            <w:tcW w:w="1086" w:type="dxa"/>
            <w:vAlign w:val="center"/>
          </w:tcPr>
          <w:p w14:paraId="0B6D1E3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4,624</w:t>
            </w:r>
          </w:p>
        </w:tc>
        <w:tc>
          <w:tcPr>
            <w:tcW w:w="1085" w:type="dxa"/>
            <w:vAlign w:val="center"/>
          </w:tcPr>
          <w:p w14:paraId="742DEBC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4,646</w:t>
            </w:r>
          </w:p>
        </w:tc>
        <w:tc>
          <w:tcPr>
            <w:tcW w:w="1086" w:type="dxa"/>
            <w:vAlign w:val="center"/>
          </w:tcPr>
          <w:p w14:paraId="20BB983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4,663</w:t>
            </w:r>
          </w:p>
        </w:tc>
        <w:tc>
          <w:tcPr>
            <w:tcW w:w="1086" w:type="dxa"/>
            <w:vAlign w:val="center"/>
          </w:tcPr>
          <w:p w14:paraId="57CB95A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4,680</w:t>
            </w:r>
          </w:p>
        </w:tc>
      </w:tr>
      <w:tr w:rsidR="005A5BD5" w:rsidRPr="00CA3519" w14:paraId="7176D769" w14:textId="77777777" w:rsidTr="009B6E1B">
        <w:trPr>
          <w:trHeight w:val="397"/>
          <w:jc w:val="center"/>
        </w:trPr>
        <w:tc>
          <w:tcPr>
            <w:tcW w:w="2113" w:type="dxa"/>
            <w:vAlign w:val="center"/>
          </w:tcPr>
          <w:p w14:paraId="7E6BC4DA"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August 2007</w:t>
            </w:r>
          </w:p>
        </w:tc>
        <w:tc>
          <w:tcPr>
            <w:tcW w:w="2113" w:type="dxa"/>
            <w:vAlign w:val="center"/>
          </w:tcPr>
          <w:p w14:paraId="076BD7AF"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20.08.2007 - Ausg. 2</w:t>
            </w:r>
          </w:p>
        </w:tc>
        <w:tc>
          <w:tcPr>
            <w:tcW w:w="1085" w:type="dxa"/>
            <w:vAlign w:val="center"/>
          </w:tcPr>
          <w:p w14:paraId="4F3E0B0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4,369</w:t>
            </w:r>
          </w:p>
        </w:tc>
        <w:tc>
          <w:tcPr>
            <w:tcW w:w="1086" w:type="dxa"/>
            <w:vAlign w:val="center"/>
          </w:tcPr>
          <w:p w14:paraId="1A3AA73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4,449</w:t>
            </w:r>
          </w:p>
        </w:tc>
        <w:tc>
          <w:tcPr>
            <w:tcW w:w="1085" w:type="dxa"/>
            <w:vAlign w:val="center"/>
          </w:tcPr>
          <w:p w14:paraId="572E03B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4,468</w:t>
            </w:r>
          </w:p>
        </w:tc>
        <w:tc>
          <w:tcPr>
            <w:tcW w:w="1086" w:type="dxa"/>
            <w:vAlign w:val="center"/>
          </w:tcPr>
          <w:p w14:paraId="1B5113F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4,463</w:t>
            </w:r>
          </w:p>
        </w:tc>
        <w:tc>
          <w:tcPr>
            <w:tcW w:w="1086" w:type="dxa"/>
            <w:vAlign w:val="center"/>
          </w:tcPr>
          <w:p w14:paraId="1077C31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4,464</w:t>
            </w:r>
          </w:p>
        </w:tc>
        <w:tc>
          <w:tcPr>
            <w:tcW w:w="1085" w:type="dxa"/>
            <w:vAlign w:val="center"/>
          </w:tcPr>
          <w:p w14:paraId="5D83694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4,478</w:t>
            </w:r>
          </w:p>
        </w:tc>
        <w:tc>
          <w:tcPr>
            <w:tcW w:w="1086" w:type="dxa"/>
            <w:vAlign w:val="center"/>
          </w:tcPr>
          <w:p w14:paraId="156B67B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4,498</w:t>
            </w:r>
          </w:p>
        </w:tc>
        <w:tc>
          <w:tcPr>
            <w:tcW w:w="1085" w:type="dxa"/>
            <w:vAlign w:val="center"/>
          </w:tcPr>
          <w:p w14:paraId="5475DE6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4,517</w:t>
            </w:r>
          </w:p>
        </w:tc>
        <w:tc>
          <w:tcPr>
            <w:tcW w:w="1086" w:type="dxa"/>
            <w:vAlign w:val="center"/>
          </w:tcPr>
          <w:p w14:paraId="48E1B48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4,537</w:t>
            </w:r>
          </w:p>
        </w:tc>
        <w:tc>
          <w:tcPr>
            <w:tcW w:w="1086" w:type="dxa"/>
            <w:vAlign w:val="center"/>
          </w:tcPr>
          <w:p w14:paraId="15D6EE0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4,555</w:t>
            </w:r>
          </w:p>
        </w:tc>
      </w:tr>
      <w:tr w:rsidR="005A5BD5" w:rsidRPr="00CA3519" w14:paraId="78F0455A" w14:textId="77777777" w:rsidTr="009B6E1B">
        <w:trPr>
          <w:trHeight w:val="397"/>
          <w:jc w:val="center"/>
        </w:trPr>
        <w:tc>
          <w:tcPr>
            <w:tcW w:w="2113" w:type="dxa"/>
            <w:vAlign w:val="center"/>
          </w:tcPr>
          <w:p w14:paraId="7732D8EB"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September 2007</w:t>
            </w:r>
          </w:p>
        </w:tc>
        <w:tc>
          <w:tcPr>
            <w:tcW w:w="2113" w:type="dxa"/>
            <w:vAlign w:val="center"/>
          </w:tcPr>
          <w:p w14:paraId="74B8A04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20.09.2007 - Ausg. 2</w:t>
            </w:r>
          </w:p>
        </w:tc>
        <w:tc>
          <w:tcPr>
            <w:tcW w:w="1085" w:type="dxa"/>
            <w:vAlign w:val="center"/>
          </w:tcPr>
          <w:p w14:paraId="69EA068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4,100</w:t>
            </w:r>
          </w:p>
        </w:tc>
        <w:tc>
          <w:tcPr>
            <w:tcW w:w="1086" w:type="dxa"/>
            <w:vAlign w:val="center"/>
          </w:tcPr>
          <w:p w14:paraId="52096C8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4,073</w:t>
            </w:r>
          </w:p>
        </w:tc>
        <w:tc>
          <w:tcPr>
            <w:tcW w:w="1085" w:type="dxa"/>
            <w:vAlign w:val="center"/>
          </w:tcPr>
          <w:p w14:paraId="4E95E1D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4,107</w:t>
            </w:r>
          </w:p>
        </w:tc>
        <w:tc>
          <w:tcPr>
            <w:tcW w:w="1086" w:type="dxa"/>
            <w:vAlign w:val="center"/>
          </w:tcPr>
          <w:p w14:paraId="6706E58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4,163</w:t>
            </w:r>
          </w:p>
        </w:tc>
        <w:tc>
          <w:tcPr>
            <w:tcW w:w="1086" w:type="dxa"/>
            <w:vAlign w:val="center"/>
          </w:tcPr>
          <w:p w14:paraId="0EA04AC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4,204</w:t>
            </w:r>
          </w:p>
        </w:tc>
        <w:tc>
          <w:tcPr>
            <w:tcW w:w="1085" w:type="dxa"/>
            <w:vAlign w:val="center"/>
          </w:tcPr>
          <w:p w14:paraId="3660985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4,234</w:t>
            </w:r>
          </w:p>
        </w:tc>
        <w:tc>
          <w:tcPr>
            <w:tcW w:w="1086" w:type="dxa"/>
            <w:vAlign w:val="center"/>
          </w:tcPr>
          <w:p w14:paraId="32C2283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4,274</w:t>
            </w:r>
          </w:p>
        </w:tc>
        <w:tc>
          <w:tcPr>
            <w:tcW w:w="1085" w:type="dxa"/>
            <w:vAlign w:val="center"/>
          </w:tcPr>
          <w:p w14:paraId="5D8D863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4,320</w:t>
            </w:r>
          </w:p>
        </w:tc>
        <w:tc>
          <w:tcPr>
            <w:tcW w:w="1086" w:type="dxa"/>
            <w:vAlign w:val="center"/>
          </w:tcPr>
          <w:p w14:paraId="1961F93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4,369</w:t>
            </w:r>
          </w:p>
        </w:tc>
        <w:tc>
          <w:tcPr>
            <w:tcW w:w="1086" w:type="dxa"/>
            <w:vAlign w:val="center"/>
          </w:tcPr>
          <w:p w14:paraId="5EA19C2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4,414</w:t>
            </w:r>
          </w:p>
        </w:tc>
      </w:tr>
      <w:tr w:rsidR="005A5BD5" w:rsidRPr="00CA3519" w14:paraId="2B8CEB07" w14:textId="77777777" w:rsidTr="009B6E1B">
        <w:trPr>
          <w:trHeight w:val="397"/>
          <w:jc w:val="center"/>
        </w:trPr>
        <w:tc>
          <w:tcPr>
            <w:tcW w:w="2113" w:type="dxa"/>
            <w:vAlign w:val="center"/>
          </w:tcPr>
          <w:p w14:paraId="34A18EF3"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lastRenderedPageBreak/>
              <w:t>Oktober 2007</w:t>
            </w:r>
          </w:p>
        </w:tc>
        <w:tc>
          <w:tcPr>
            <w:tcW w:w="2113" w:type="dxa"/>
            <w:vAlign w:val="center"/>
          </w:tcPr>
          <w:p w14:paraId="34F5C07E"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19.10.2007 - Ausg. 2</w:t>
            </w:r>
          </w:p>
        </w:tc>
        <w:tc>
          <w:tcPr>
            <w:tcW w:w="1085" w:type="dxa"/>
            <w:vAlign w:val="center"/>
          </w:tcPr>
          <w:p w14:paraId="52E66EC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4,028</w:t>
            </w:r>
          </w:p>
        </w:tc>
        <w:tc>
          <w:tcPr>
            <w:tcW w:w="1086" w:type="dxa"/>
            <w:vAlign w:val="center"/>
          </w:tcPr>
          <w:p w14:paraId="6D357DD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4,115</w:t>
            </w:r>
          </w:p>
        </w:tc>
        <w:tc>
          <w:tcPr>
            <w:tcW w:w="1085" w:type="dxa"/>
            <w:vAlign w:val="center"/>
          </w:tcPr>
          <w:p w14:paraId="3828C8D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4,162</w:t>
            </w:r>
          </w:p>
        </w:tc>
        <w:tc>
          <w:tcPr>
            <w:tcW w:w="1086" w:type="dxa"/>
            <w:vAlign w:val="center"/>
          </w:tcPr>
          <w:p w14:paraId="0FADBB26"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4,189</w:t>
            </w:r>
          </w:p>
        </w:tc>
        <w:tc>
          <w:tcPr>
            <w:tcW w:w="1086" w:type="dxa"/>
            <w:vAlign w:val="center"/>
          </w:tcPr>
          <w:p w14:paraId="16F14885"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4,217</w:t>
            </w:r>
          </w:p>
        </w:tc>
        <w:tc>
          <w:tcPr>
            <w:tcW w:w="1085" w:type="dxa"/>
            <w:vAlign w:val="center"/>
          </w:tcPr>
          <w:p w14:paraId="4177D42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4,255</w:t>
            </w:r>
          </w:p>
        </w:tc>
        <w:tc>
          <w:tcPr>
            <w:tcW w:w="1086" w:type="dxa"/>
            <w:vAlign w:val="center"/>
          </w:tcPr>
          <w:p w14:paraId="2D11F09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4,298</w:t>
            </w:r>
          </w:p>
        </w:tc>
        <w:tc>
          <w:tcPr>
            <w:tcW w:w="1085" w:type="dxa"/>
            <w:vAlign w:val="center"/>
          </w:tcPr>
          <w:p w14:paraId="2446F12D"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4,350</w:t>
            </w:r>
          </w:p>
        </w:tc>
        <w:tc>
          <w:tcPr>
            <w:tcW w:w="1086" w:type="dxa"/>
            <w:vAlign w:val="center"/>
          </w:tcPr>
          <w:p w14:paraId="509F008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4,405</w:t>
            </w:r>
          </w:p>
        </w:tc>
        <w:tc>
          <w:tcPr>
            <w:tcW w:w="1086" w:type="dxa"/>
            <w:vAlign w:val="center"/>
          </w:tcPr>
          <w:p w14:paraId="7EE4D359"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4,454</w:t>
            </w:r>
          </w:p>
        </w:tc>
      </w:tr>
      <w:tr w:rsidR="005A5BD5" w:rsidRPr="00CA3519" w14:paraId="31B1E8DE" w14:textId="77777777" w:rsidTr="009B6E1B">
        <w:trPr>
          <w:trHeight w:val="397"/>
          <w:jc w:val="center"/>
        </w:trPr>
        <w:tc>
          <w:tcPr>
            <w:tcW w:w="2113" w:type="dxa"/>
            <w:vAlign w:val="center"/>
          </w:tcPr>
          <w:p w14:paraId="58214262"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November 2007</w:t>
            </w:r>
          </w:p>
        </w:tc>
        <w:tc>
          <w:tcPr>
            <w:tcW w:w="2113" w:type="dxa"/>
            <w:vAlign w:val="center"/>
          </w:tcPr>
          <w:p w14:paraId="0EFC9773"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21.11.2007</w:t>
            </w:r>
          </w:p>
        </w:tc>
        <w:tc>
          <w:tcPr>
            <w:tcW w:w="1085" w:type="dxa"/>
            <w:vAlign w:val="center"/>
          </w:tcPr>
          <w:p w14:paraId="0B4AD532"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4,073</w:t>
            </w:r>
          </w:p>
        </w:tc>
        <w:tc>
          <w:tcPr>
            <w:tcW w:w="1086" w:type="dxa"/>
            <w:vAlign w:val="center"/>
          </w:tcPr>
          <w:p w14:paraId="50E19E67"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4,104</w:t>
            </w:r>
          </w:p>
        </w:tc>
        <w:tc>
          <w:tcPr>
            <w:tcW w:w="1085" w:type="dxa"/>
            <w:vAlign w:val="center"/>
          </w:tcPr>
          <w:p w14:paraId="7A86BAF1"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4,132</w:t>
            </w:r>
          </w:p>
        </w:tc>
        <w:tc>
          <w:tcPr>
            <w:tcW w:w="1086" w:type="dxa"/>
            <w:vAlign w:val="center"/>
          </w:tcPr>
          <w:p w14:paraId="1DBEB47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4,155</w:t>
            </w:r>
          </w:p>
        </w:tc>
        <w:tc>
          <w:tcPr>
            <w:tcW w:w="1086" w:type="dxa"/>
            <w:vAlign w:val="center"/>
          </w:tcPr>
          <w:p w14:paraId="381E68CA"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4,178</w:t>
            </w:r>
          </w:p>
        </w:tc>
        <w:tc>
          <w:tcPr>
            <w:tcW w:w="1085" w:type="dxa"/>
            <w:vAlign w:val="center"/>
          </w:tcPr>
          <w:p w14:paraId="01A6D744"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4,205</w:t>
            </w:r>
          </w:p>
        </w:tc>
        <w:tc>
          <w:tcPr>
            <w:tcW w:w="1086" w:type="dxa"/>
            <w:vAlign w:val="center"/>
          </w:tcPr>
          <w:p w14:paraId="789D02EC"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4,241</w:t>
            </w:r>
          </w:p>
        </w:tc>
        <w:tc>
          <w:tcPr>
            <w:tcW w:w="1085" w:type="dxa"/>
            <w:vAlign w:val="center"/>
          </w:tcPr>
          <w:p w14:paraId="3A8612EB"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4,294</w:t>
            </w:r>
          </w:p>
        </w:tc>
        <w:tc>
          <w:tcPr>
            <w:tcW w:w="1086" w:type="dxa"/>
            <w:vAlign w:val="center"/>
          </w:tcPr>
          <w:p w14:paraId="44909810"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4,353</w:t>
            </w:r>
          </w:p>
        </w:tc>
        <w:tc>
          <w:tcPr>
            <w:tcW w:w="1086" w:type="dxa"/>
            <w:vAlign w:val="center"/>
          </w:tcPr>
          <w:p w14:paraId="7A267DB8" w14:textId="77777777" w:rsidR="005A5BD5" w:rsidRPr="00CA3519" w:rsidRDefault="005A5BD5" w:rsidP="004C2C7D">
            <w:pPr>
              <w:autoSpaceDE w:val="0"/>
              <w:autoSpaceDN w:val="0"/>
              <w:adjustRightInd w:val="0"/>
              <w:jc w:val="center"/>
              <w:rPr>
                <w:rFonts w:eastAsia="Calibri"/>
                <w:sz w:val="17"/>
                <w:szCs w:val="17"/>
                <w:lang w:eastAsia="en-US"/>
              </w:rPr>
            </w:pPr>
            <w:r w:rsidRPr="00CA3519">
              <w:rPr>
                <w:rFonts w:eastAsia="Calibri"/>
                <w:sz w:val="17"/>
                <w:szCs w:val="17"/>
                <w:lang w:eastAsia="en-US"/>
              </w:rPr>
              <w:t>4,405</w:t>
            </w:r>
          </w:p>
        </w:tc>
      </w:tr>
      <w:tr w:rsidR="005A5BD5" w:rsidRPr="00CA3519" w14:paraId="36F3E716" w14:textId="77777777" w:rsidTr="009B6E1B">
        <w:trPr>
          <w:trHeight w:val="397"/>
          <w:jc w:val="center"/>
        </w:trPr>
        <w:tc>
          <w:tcPr>
            <w:tcW w:w="2113" w:type="dxa"/>
            <w:vAlign w:val="center"/>
          </w:tcPr>
          <w:p w14:paraId="113F4B37" w14:textId="77777777" w:rsidR="005A5BD5" w:rsidRPr="00CA3519" w:rsidRDefault="005A5BD5" w:rsidP="004C2C7D">
            <w:pPr>
              <w:rPr>
                <w:rFonts w:eastAsia="Calibri"/>
                <w:sz w:val="17"/>
                <w:szCs w:val="17"/>
                <w:lang w:eastAsia="en-US"/>
              </w:rPr>
            </w:pPr>
            <w:r w:rsidRPr="00CA3519">
              <w:rPr>
                <w:rFonts w:eastAsia="Calibri"/>
                <w:sz w:val="17"/>
                <w:szCs w:val="17"/>
                <w:lang w:eastAsia="en-US"/>
              </w:rPr>
              <w:t>Dezember 2007</w:t>
            </w:r>
          </w:p>
        </w:tc>
        <w:tc>
          <w:tcPr>
            <w:tcW w:w="2113" w:type="dxa"/>
            <w:vAlign w:val="center"/>
          </w:tcPr>
          <w:p w14:paraId="44354A2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20.12.2007 - Ausg. 4</w:t>
            </w:r>
          </w:p>
        </w:tc>
        <w:tc>
          <w:tcPr>
            <w:tcW w:w="1085" w:type="dxa"/>
            <w:vAlign w:val="center"/>
          </w:tcPr>
          <w:p w14:paraId="4B6ABDD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4,006</w:t>
            </w:r>
          </w:p>
        </w:tc>
        <w:tc>
          <w:tcPr>
            <w:tcW w:w="1086" w:type="dxa"/>
            <w:vAlign w:val="center"/>
          </w:tcPr>
          <w:p w14:paraId="5900DA3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3,938</w:t>
            </w:r>
          </w:p>
        </w:tc>
        <w:tc>
          <w:tcPr>
            <w:tcW w:w="1085" w:type="dxa"/>
            <w:vAlign w:val="center"/>
          </w:tcPr>
          <w:p w14:paraId="10C10B7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3,914</w:t>
            </w:r>
          </w:p>
        </w:tc>
        <w:tc>
          <w:tcPr>
            <w:tcW w:w="1086" w:type="dxa"/>
            <w:vAlign w:val="center"/>
          </w:tcPr>
          <w:p w14:paraId="58E080C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3,951</w:t>
            </w:r>
          </w:p>
        </w:tc>
        <w:tc>
          <w:tcPr>
            <w:tcW w:w="1086" w:type="dxa"/>
            <w:vAlign w:val="center"/>
          </w:tcPr>
          <w:p w14:paraId="37B9623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4,003</w:t>
            </w:r>
          </w:p>
        </w:tc>
        <w:tc>
          <w:tcPr>
            <w:tcW w:w="1085" w:type="dxa"/>
            <w:vAlign w:val="center"/>
          </w:tcPr>
          <w:p w14:paraId="5DFA48A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4,040</w:t>
            </w:r>
          </w:p>
        </w:tc>
        <w:tc>
          <w:tcPr>
            <w:tcW w:w="1086" w:type="dxa"/>
            <w:vAlign w:val="center"/>
          </w:tcPr>
          <w:p w14:paraId="65C1F2A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4,091</w:t>
            </w:r>
          </w:p>
        </w:tc>
        <w:tc>
          <w:tcPr>
            <w:tcW w:w="1085" w:type="dxa"/>
            <w:vAlign w:val="center"/>
          </w:tcPr>
          <w:p w14:paraId="5C85DAA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4,167</w:t>
            </w:r>
          </w:p>
        </w:tc>
        <w:tc>
          <w:tcPr>
            <w:tcW w:w="1086" w:type="dxa"/>
            <w:vAlign w:val="center"/>
          </w:tcPr>
          <w:p w14:paraId="16226CE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4,259</w:t>
            </w:r>
          </w:p>
        </w:tc>
        <w:tc>
          <w:tcPr>
            <w:tcW w:w="1086" w:type="dxa"/>
            <w:vAlign w:val="center"/>
          </w:tcPr>
          <w:p w14:paraId="41B77AEE" w14:textId="77777777" w:rsidR="005A5BD5" w:rsidRPr="00CA3519" w:rsidRDefault="005A5BD5" w:rsidP="004C2C7D">
            <w:pPr>
              <w:jc w:val="center"/>
              <w:rPr>
                <w:rFonts w:eastAsia="Calibri"/>
                <w:szCs w:val="22"/>
                <w:lang w:eastAsia="en-US"/>
              </w:rPr>
            </w:pPr>
            <w:r w:rsidRPr="00CA3519">
              <w:rPr>
                <w:rFonts w:eastAsia="Calibri"/>
                <w:sz w:val="17"/>
                <w:szCs w:val="17"/>
                <w:lang w:eastAsia="en-US"/>
              </w:rPr>
              <w:t>4,343]</w:t>
            </w:r>
          </w:p>
        </w:tc>
      </w:tr>
      <w:tr w:rsidR="005A5BD5" w:rsidRPr="00CA3519" w14:paraId="3E8144BB" w14:textId="77777777" w:rsidTr="009B6E1B">
        <w:trPr>
          <w:trHeight w:val="397"/>
          <w:jc w:val="center"/>
        </w:trPr>
        <w:tc>
          <w:tcPr>
            <w:tcW w:w="2113" w:type="dxa"/>
            <w:vAlign w:val="center"/>
          </w:tcPr>
          <w:p w14:paraId="45F4FCAD"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[Januar 2008</w:t>
            </w:r>
          </w:p>
        </w:tc>
        <w:tc>
          <w:tcPr>
            <w:tcW w:w="2113" w:type="dxa"/>
            <w:vAlign w:val="center"/>
          </w:tcPr>
          <w:p w14:paraId="628E4FD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21.01.2008</w:t>
            </w:r>
          </w:p>
        </w:tc>
        <w:tc>
          <w:tcPr>
            <w:tcW w:w="1085" w:type="dxa"/>
            <w:vAlign w:val="center"/>
          </w:tcPr>
          <w:p w14:paraId="0899C08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4,065</w:t>
            </w:r>
          </w:p>
        </w:tc>
        <w:tc>
          <w:tcPr>
            <w:tcW w:w="1086" w:type="dxa"/>
            <w:vAlign w:val="center"/>
          </w:tcPr>
          <w:p w14:paraId="0D7BB13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4,047</w:t>
            </w:r>
          </w:p>
        </w:tc>
        <w:tc>
          <w:tcPr>
            <w:tcW w:w="1085" w:type="dxa"/>
            <w:vAlign w:val="center"/>
          </w:tcPr>
          <w:p w14:paraId="5D4A715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4,059</w:t>
            </w:r>
          </w:p>
        </w:tc>
        <w:tc>
          <w:tcPr>
            <w:tcW w:w="1086" w:type="dxa"/>
            <w:vAlign w:val="center"/>
          </w:tcPr>
          <w:p w14:paraId="0BEAA85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4,107</w:t>
            </w:r>
          </w:p>
        </w:tc>
        <w:tc>
          <w:tcPr>
            <w:tcW w:w="1086" w:type="dxa"/>
            <w:vAlign w:val="center"/>
          </w:tcPr>
          <w:p w14:paraId="4449D37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4,158</w:t>
            </w:r>
          </w:p>
        </w:tc>
        <w:tc>
          <w:tcPr>
            <w:tcW w:w="1085" w:type="dxa"/>
            <w:vAlign w:val="center"/>
          </w:tcPr>
          <w:p w14:paraId="5F43959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4,191</w:t>
            </w:r>
          </w:p>
        </w:tc>
        <w:tc>
          <w:tcPr>
            <w:tcW w:w="1086" w:type="dxa"/>
            <w:vAlign w:val="center"/>
          </w:tcPr>
          <w:p w14:paraId="3ECD9AC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4,238</w:t>
            </w:r>
          </w:p>
        </w:tc>
        <w:tc>
          <w:tcPr>
            <w:tcW w:w="1085" w:type="dxa"/>
            <w:vAlign w:val="center"/>
          </w:tcPr>
          <w:p w14:paraId="70B728C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4,312</w:t>
            </w:r>
          </w:p>
        </w:tc>
        <w:tc>
          <w:tcPr>
            <w:tcW w:w="1086" w:type="dxa"/>
            <w:vAlign w:val="center"/>
          </w:tcPr>
          <w:p w14:paraId="3DA4DA8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4,397</w:t>
            </w:r>
          </w:p>
        </w:tc>
        <w:tc>
          <w:tcPr>
            <w:tcW w:w="1086" w:type="dxa"/>
            <w:vAlign w:val="center"/>
          </w:tcPr>
          <w:p w14:paraId="78610EC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4,472</w:t>
            </w:r>
          </w:p>
        </w:tc>
      </w:tr>
      <w:tr w:rsidR="005A5BD5" w:rsidRPr="00CA3519" w14:paraId="7E789954" w14:textId="77777777" w:rsidTr="009B6E1B">
        <w:trPr>
          <w:trHeight w:val="397"/>
          <w:jc w:val="center"/>
        </w:trPr>
        <w:tc>
          <w:tcPr>
            <w:tcW w:w="2113" w:type="dxa"/>
            <w:vAlign w:val="center"/>
          </w:tcPr>
          <w:p w14:paraId="0036A2C3"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Februar 2008</w:t>
            </w:r>
          </w:p>
        </w:tc>
        <w:tc>
          <w:tcPr>
            <w:tcW w:w="2113" w:type="dxa"/>
            <w:vAlign w:val="center"/>
          </w:tcPr>
          <w:p w14:paraId="4B0ECAB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20.02.2008 - Ausg. 2</w:t>
            </w:r>
          </w:p>
        </w:tc>
        <w:tc>
          <w:tcPr>
            <w:tcW w:w="1085" w:type="dxa"/>
            <w:vAlign w:val="center"/>
          </w:tcPr>
          <w:p w14:paraId="11847B7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3,718</w:t>
            </w:r>
          </w:p>
        </w:tc>
        <w:tc>
          <w:tcPr>
            <w:tcW w:w="1086" w:type="dxa"/>
            <w:vAlign w:val="center"/>
          </w:tcPr>
          <w:p w14:paraId="2281856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3,621</w:t>
            </w:r>
          </w:p>
        </w:tc>
        <w:tc>
          <w:tcPr>
            <w:tcW w:w="1085" w:type="dxa"/>
            <w:vAlign w:val="center"/>
          </w:tcPr>
          <w:p w14:paraId="5DE7C65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3,603</w:t>
            </w:r>
          </w:p>
        </w:tc>
        <w:tc>
          <w:tcPr>
            <w:tcW w:w="1086" w:type="dxa"/>
            <w:vAlign w:val="center"/>
          </w:tcPr>
          <w:p w14:paraId="1FAFDB9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3,676</w:t>
            </w:r>
          </w:p>
        </w:tc>
        <w:tc>
          <w:tcPr>
            <w:tcW w:w="1086" w:type="dxa"/>
            <w:vAlign w:val="center"/>
          </w:tcPr>
          <w:p w14:paraId="38889C6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3,760</w:t>
            </w:r>
          </w:p>
        </w:tc>
        <w:tc>
          <w:tcPr>
            <w:tcW w:w="1085" w:type="dxa"/>
            <w:vAlign w:val="center"/>
          </w:tcPr>
          <w:p w14:paraId="6BE5061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3,820</w:t>
            </w:r>
          </w:p>
        </w:tc>
        <w:tc>
          <w:tcPr>
            <w:tcW w:w="1086" w:type="dxa"/>
            <w:vAlign w:val="center"/>
          </w:tcPr>
          <w:p w14:paraId="4C28798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3,894</w:t>
            </w:r>
          </w:p>
        </w:tc>
        <w:tc>
          <w:tcPr>
            <w:tcW w:w="1085" w:type="dxa"/>
            <w:vAlign w:val="center"/>
          </w:tcPr>
          <w:p w14:paraId="47CBE92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4,000</w:t>
            </w:r>
          </w:p>
        </w:tc>
        <w:tc>
          <w:tcPr>
            <w:tcW w:w="1086" w:type="dxa"/>
            <w:vAlign w:val="center"/>
          </w:tcPr>
          <w:p w14:paraId="74BCF36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4,119</w:t>
            </w:r>
          </w:p>
        </w:tc>
        <w:tc>
          <w:tcPr>
            <w:tcW w:w="1086" w:type="dxa"/>
            <w:vAlign w:val="center"/>
          </w:tcPr>
          <w:p w14:paraId="0FD1CB8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4,228</w:t>
            </w:r>
          </w:p>
        </w:tc>
      </w:tr>
      <w:tr w:rsidR="005A5BD5" w:rsidRPr="00CA3519" w14:paraId="417EB4D0" w14:textId="77777777" w:rsidTr="009B6E1B">
        <w:trPr>
          <w:trHeight w:val="397"/>
          <w:jc w:val="center"/>
        </w:trPr>
        <w:tc>
          <w:tcPr>
            <w:tcW w:w="2113" w:type="dxa"/>
            <w:vAlign w:val="center"/>
          </w:tcPr>
          <w:p w14:paraId="739F35AE"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März 2008</w:t>
            </w:r>
          </w:p>
        </w:tc>
        <w:tc>
          <w:tcPr>
            <w:tcW w:w="2113" w:type="dxa"/>
            <w:vAlign w:val="center"/>
          </w:tcPr>
          <w:p w14:paraId="3DDB525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14.03.2008 - Ausg. 2</w:t>
            </w:r>
          </w:p>
        </w:tc>
        <w:tc>
          <w:tcPr>
            <w:tcW w:w="1085" w:type="dxa"/>
            <w:vAlign w:val="center"/>
          </w:tcPr>
          <w:p w14:paraId="21F1BBE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3,605</w:t>
            </w:r>
          </w:p>
        </w:tc>
        <w:tc>
          <w:tcPr>
            <w:tcW w:w="1086" w:type="dxa"/>
            <w:vAlign w:val="center"/>
          </w:tcPr>
          <w:p w14:paraId="51C1610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3,460</w:t>
            </w:r>
          </w:p>
        </w:tc>
        <w:tc>
          <w:tcPr>
            <w:tcW w:w="1085" w:type="dxa"/>
            <w:vAlign w:val="center"/>
          </w:tcPr>
          <w:p w14:paraId="02B455E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3,430</w:t>
            </w:r>
          </w:p>
        </w:tc>
        <w:tc>
          <w:tcPr>
            <w:tcW w:w="1086" w:type="dxa"/>
            <w:vAlign w:val="center"/>
          </w:tcPr>
          <w:p w14:paraId="5B4FA11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3,529</w:t>
            </w:r>
          </w:p>
        </w:tc>
        <w:tc>
          <w:tcPr>
            <w:tcW w:w="1086" w:type="dxa"/>
            <w:vAlign w:val="center"/>
          </w:tcPr>
          <w:p w14:paraId="18E4792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3,640</w:t>
            </w:r>
          </w:p>
        </w:tc>
        <w:tc>
          <w:tcPr>
            <w:tcW w:w="1085" w:type="dxa"/>
            <w:vAlign w:val="center"/>
          </w:tcPr>
          <w:p w14:paraId="1007BC2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3,720</w:t>
            </w:r>
          </w:p>
        </w:tc>
        <w:tc>
          <w:tcPr>
            <w:tcW w:w="1086" w:type="dxa"/>
            <w:vAlign w:val="center"/>
          </w:tcPr>
          <w:p w14:paraId="13CB1EB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3,815</w:t>
            </w:r>
          </w:p>
        </w:tc>
        <w:tc>
          <w:tcPr>
            <w:tcW w:w="1085" w:type="dxa"/>
            <w:vAlign w:val="center"/>
          </w:tcPr>
          <w:p w14:paraId="7265D21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4,949</w:t>
            </w:r>
          </w:p>
        </w:tc>
        <w:tc>
          <w:tcPr>
            <w:tcW w:w="1086" w:type="dxa"/>
            <w:vAlign w:val="center"/>
          </w:tcPr>
          <w:p w14:paraId="473A332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4,098</w:t>
            </w:r>
          </w:p>
        </w:tc>
        <w:tc>
          <w:tcPr>
            <w:tcW w:w="1086" w:type="dxa"/>
            <w:vAlign w:val="center"/>
          </w:tcPr>
          <w:p w14:paraId="1EC9DF0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4,239</w:t>
            </w:r>
          </w:p>
        </w:tc>
      </w:tr>
      <w:tr w:rsidR="005A5BD5" w:rsidRPr="00CA3519" w14:paraId="757A3E86" w14:textId="77777777" w:rsidTr="009B6E1B">
        <w:trPr>
          <w:trHeight w:val="397"/>
          <w:jc w:val="center"/>
        </w:trPr>
        <w:tc>
          <w:tcPr>
            <w:tcW w:w="2113" w:type="dxa"/>
            <w:vAlign w:val="center"/>
          </w:tcPr>
          <w:p w14:paraId="34EB6728"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April 2008</w:t>
            </w:r>
          </w:p>
        </w:tc>
        <w:tc>
          <w:tcPr>
            <w:tcW w:w="2113" w:type="dxa"/>
            <w:vAlign w:val="center"/>
          </w:tcPr>
          <w:p w14:paraId="45E129F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18.04.2008 - Ausg. 2</w:t>
            </w:r>
          </w:p>
        </w:tc>
        <w:tc>
          <w:tcPr>
            <w:tcW w:w="1085" w:type="dxa"/>
            <w:vAlign w:val="center"/>
          </w:tcPr>
          <w:p w14:paraId="6A13F10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3,783</w:t>
            </w:r>
          </w:p>
        </w:tc>
        <w:tc>
          <w:tcPr>
            <w:tcW w:w="1086" w:type="dxa"/>
            <w:vAlign w:val="center"/>
          </w:tcPr>
          <w:p w14:paraId="1A125C8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3,688</w:t>
            </w:r>
          </w:p>
        </w:tc>
        <w:tc>
          <w:tcPr>
            <w:tcW w:w="1085" w:type="dxa"/>
            <w:vAlign w:val="center"/>
          </w:tcPr>
          <w:p w14:paraId="4D748FB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3,687</w:t>
            </w:r>
          </w:p>
        </w:tc>
        <w:tc>
          <w:tcPr>
            <w:tcW w:w="1086" w:type="dxa"/>
            <w:vAlign w:val="center"/>
          </w:tcPr>
          <w:p w14:paraId="0BBA562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3,774</w:t>
            </w:r>
          </w:p>
        </w:tc>
        <w:tc>
          <w:tcPr>
            <w:tcW w:w="1086" w:type="dxa"/>
            <w:vAlign w:val="center"/>
          </w:tcPr>
          <w:p w14:paraId="06887EA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3,836</w:t>
            </w:r>
          </w:p>
        </w:tc>
        <w:tc>
          <w:tcPr>
            <w:tcW w:w="1085" w:type="dxa"/>
            <w:vAlign w:val="center"/>
          </w:tcPr>
          <w:p w14:paraId="3D70582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3,852</w:t>
            </w:r>
          </w:p>
        </w:tc>
        <w:tc>
          <w:tcPr>
            <w:tcW w:w="1086" w:type="dxa"/>
            <w:vAlign w:val="center"/>
          </w:tcPr>
          <w:p w14:paraId="19F3084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3,898</w:t>
            </w:r>
          </w:p>
        </w:tc>
        <w:tc>
          <w:tcPr>
            <w:tcW w:w="1085" w:type="dxa"/>
            <w:vAlign w:val="center"/>
          </w:tcPr>
          <w:p w14:paraId="1B90FDB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4,000</w:t>
            </w:r>
          </w:p>
        </w:tc>
        <w:tc>
          <w:tcPr>
            <w:tcW w:w="1086" w:type="dxa"/>
            <w:vAlign w:val="center"/>
          </w:tcPr>
          <w:p w14:paraId="2461DCE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4,128</w:t>
            </w:r>
          </w:p>
        </w:tc>
        <w:tc>
          <w:tcPr>
            <w:tcW w:w="1086" w:type="dxa"/>
            <w:vAlign w:val="center"/>
          </w:tcPr>
          <w:p w14:paraId="59643CB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4,259</w:t>
            </w:r>
          </w:p>
        </w:tc>
      </w:tr>
      <w:tr w:rsidR="005A5BD5" w:rsidRPr="00CA3519" w14:paraId="6A58B598" w14:textId="77777777" w:rsidTr="009B6E1B">
        <w:trPr>
          <w:trHeight w:val="397"/>
          <w:jc w:val="center"/>
        </w:trPr>
        <w:tc>
          <w:tcPr>
            <w:tcW w:w="2113" w:type="dxa"/>
            <w:vAlign w:val="center"/>
          </w:tcPr>
          <w:p w14:paraId="6DBD9928"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Mai 2008</w:t>
            </w:r>
          </w:p>
        </w:tc>
        <w:tc>
          <w:tcPr>
            <w:tcW w:w="2113" w:type="dxa"/>
            <w:vAlign w:val="center"/>
          </w:tcPr>
          <w:p w14:paraId="1DA984C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20.05.2008 - Ausg. 2</w:t>
            </w:r>
          </w:p>
        </w:tc>
        <w:tc>
          <w:tcPr>
            <w:tcW w:w="1085" w:type="dxa"/>
            <w:vAlign w:val="center"/>
          </w:tcPr>
          <w:p w14:paraId="0B567EE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3,998</w:t>
            </w:r>
          </w:p>
        </w:tc>
        <w:tc>
          <w:tcPr>
            <w:tcW w:w="1086" w:type="dxa"/>
            <w:vAlign w:val="center"/>
          </w:tcPr>
          <w:p w14:paraId="104F7D3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3,945</w:t>
            </w:r>
          </w:p>
        </w:tc>
        <w:tc>
          <w:tcPr>
            <w:tcW w:w="1085" w:type="dxa"/>
            <w:vAlign w:val="center"/>
          </w:tcPr>
          <w:p w14:paraId="5483BF9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3,972</w:t>
            </w:r>
          </w:p>
        </w:tc>
        <w:tc>
          <w:tcPr>
            <w:tcW w:w="1086" w:type="dxa"/>
            <w:vAlign w:val="center"/>
          </w:tcPr>
          <w:p w14:paraId="5D5A9D9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4,061</w:t>
            </w:r>
          </w:p>
        </w:tc>
        <w:tc>
          <w:tcPr>
            <w:tcW w:w="1086" w:type="dxa"/>
            <w:vAlign w:val="center"/>
          </w:tcPr>
          <w:p w14:paraId="785C5C2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4,120</w:t>
            </w:r>
          </w:p>
        </w:tc>
        <w:tc>
          <w:tcPr>
            <w:tcW w:w="1085" w:type="dxa"/>
            <w:vAlign w:val="center"/>
          </w:tcPr>
          <w:p w14:paraId="0A4759A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4,138</w:t>
            </w:r>
          </w:p>
        </w:tc>
        <w:tc>
          <w:tcPr>
            <w:tcW w:w="1086" w:type="dxa"/>
            <w:vAlign w:val="center"/>
          </w:tcPr>
          <w:p w14:paraId="6E45F78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4,175</w:t>
            </w:r>
          </w:p>
        </w:tc>
        <w:tc>
          <w:tcPr>
            <w:tcW w:w="1085" w:type="dxa"/>
            <w:vAlign w:val="center"/>
          </w:tcPr>
          <w:p w14:paraId="0D3532C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4,242</w:t>
            </w:r>
          </w:p>
        </w:tc>
        <w:tc>
          <w:tcPr>
            <w:tcW w:w="1086" w:type="dxa"/>
            <w:vAlign w:val="center"/>
          </w:tcPr>
          <w:p w14:paraId="4CE9121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4,326</w:t>
            </w:r>
          </w:p>
        </w:tc>
        <w:tc>
          <w:tcPr>
            <w:tcW w:w="1086" w:type="dxa"/>
            <w:vAlign w:val="center"/>
          </w:tcPr>
          <w:p w14:paraId="2468FA5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4,411</w:t>
            </w:r>
          </w:p>
        </w:tc>
      </w:tr>
      <w:tr w:rsidR="005A5BD5" w:rsidRPr="00CA3519" w14:paraId="5C10F833" w14:textId="77777777" w:rsidTr="009B6E1B">
        <w:trPr>
          <w:trHeight w:val="397"/>
          <w:jc w:val="center"/>
        </w:trPr>
        <w:tc>
          <w:tcPr>
            <w:tcW w:w="2113" w:type="dxa"/>
            <w:vAlign w:val="center"/>
          </w:tcPr>
          <w:p w14:paraId="683B67D3"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Juni 2008</w:t>
            </w:r>
          </w:p>
        </w:tc>
        <w:tc>
          <w:tcPr>
            <w:tcW w:w="2113" w:type="dxa"/>
            <w:vAlign w:val="center"/>
          </w:tcPr>
          <w:p w14:paraId="4A0B012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20.06.2008 - Ausg. 2</w:t>
            </w:r>
          </w:p>
        </w:tc>
        <w:tc>
          <w:tcPr>
            <w:tcW w:w="1085" w:type="dxa"/>
            <w:vAlign w:val="center"/>
          </w:tcPr>
          <w:p w14:paraId="2338773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4,224</w:t>
            </w:r>
          </w:p>
        </w:tc>
        <w:tc>
          <w:tcPr>
            <w:tcW w:w="1086" w:type="dxa"/>
            <w:vAlign w:val="center"/>
          </w:tcPr>
          <w:p w14:paraId="4842FD8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4,330</w:t>
            </w:r>
          </w:p>
        </w:tc>
        <w:tc>
          <w:tcPr>
            <w:tcW w:w="1085" w:type="dxa"/>
            <w:vAlign w:val="center"/>
          </w:tcPr>
          <w:p w14:paraId="4D042D5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4,387</w:t>
            </w:r>
          </w:p>
        </w:tc>
        <w:tc>
          <w:tcPr>
            <w:tcW w:w="1086" w:type="dxa"/>
            <w:vAlign w:val="center"/>
          </w:tcPr>
          <w:p w14:paraId="344CE0B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4,395</w:t>
            </w:r>
          </w:p>
        </w:tc>
        <w:tc>
          <w:tcPr>
            <w:tcW w:w="1086" w:type="dxa"/>
            <w:vAlign w:val="center"/>
          </w:tcPr>
          <w:p w14:paraId="0454979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4,393</w:t>
            </w:r>
          </w:p>
        </w:tc>
        <w:tc>
          <w:tcPr>
            <w:tcW w:w="1085" w:type="dxa"/>
            <w:vAlign w:val="center"/>
          </w:tcPr>
          <w:p w14:paraId="3C48DCB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4,401</w:t>
            </w:r>
          </w:p>
        </w:tc>
        <w:tc>
          <w:tcPr>
            <w:tcW w:w="1086" w:type="dxa"/>
            <w:vAlign w:val="center"/>
          </w:tcPr>
          <w:p w14:paraId="5248364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4,433</w:t>
            </w:r>
          </w:p>
        </w:tc>
        <w:tc>
          <w:tcPr>
            <w:tcW w:w="1085" w:type="dxa"/>
            <w:vAlign w:val="center"/>
          </w:tcPr>
          <w:p w14:paraId="37579E9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4,488</w:t>
            </w:r>
          </w:p>
        </w:tc>
        <w:tc>
          <w:tcPr>
            <w:tcW w:w="1086" w:type="dxa"/>
            <w:vAlign w:val="center"/>
          </w:tcPr>
          <w:p w14:paraId="376C857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4,555</w:t>
            </w:r>
          </w:p>
        </w:tc>
        <w:tc>
          <w:tcPr>
            <w:tcW w:w="1086" w:type="dxa"/>
            <w:vAlign w:val="center"/>
          </w:tcPr>
          <w:p w14:paraId="5948E1F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4,621</w:t>
            </w:r>
          </w:p>
        </w:tc>
      </w:tr>
      <w:tr w:rsidR="005A5BD5" w:rsidRPr="00CA3519" w14:paraId="01915EE5" w14:textId="77777777" w:rsidTr="009B6E1B">
        <w:trPr>
          <w:trHeight w:val="397"/>
          <w:jc w:val="center"/>
        </w:trPr>
        <w:tc>
          <w:tcPr>
            <w:tcW w:w="2113" w:type="dxa"/>
            <w:vAlign w:val="center"/>
          </w:tcPr>
          <w:p w14:paraId="120E9CF7"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Juli 2008</w:t>
            </w:r>
          </w:p>
        </w:tc>
        <w:tc>
          <w:tcPr>
            <w:tcW w:w="2113" w:type="dxa"/>
            <w:vAlign w:val="center"/>
          </w:tcPr>
          <w:p w14:paraId="55A85A7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22.07.2008</w:t>
            </w:r>
          </w:p>
        </w:tc>
        <w:tc>
          <w:tcPr>
            <w:tcW w:w="1085" w:type="dxa"/>
            <w:vAlign w:val="center"/>
          </w:tcPr>
          <w:p w14:paraId="36A2690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4,557</w:t>
            </w:r>
          </w:p>
        </w:tc>
        <w:tc>
          <w:tcPr>
            <w:tcW w:w="1086" w:type="dxa"/>
            <w:vAlign w:val="center"/>
          </w:tcPr>
          <w:p w14:paraId="0FA52D4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4,711</w:t>
            </w:r>
          </w:p>
        </w:tc>
        <w:tc>
          <w:tcPr>
            <w:tcW w:w="1085" w:type="dxa"/>
            <w:vAlign w:val="center"/>
          </w:tcPr>
          <w:p w14:paraId="4EC6EBE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4,790</w:t>
            </w:r>
          </w:p>
        </w:tc>
        <w:tc>
          <w:tcPr>
            <w:tcW w:w="1086" w:type="dxa"/>
            <w:vAlign w:val="center"/>
          </w:tcPr>
          <w:p w14:paraId="405531C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4,795</w:t>
            </w:r>
          </w:p>
        </w:tc>
        <w:tc>
          <w:tcPr>
            <w:tcW w:w="1086" w:type="dxa"/>
            <w:vAlign w:val="center"/>
          </w:tcPr>
          <w:p w14:paraId="1F64250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4,778</w:t>
            </w:r>
          </w:p>
        </w:tc>
        <w:tc>
          <w:tcPr>
            <w:tcW w:w="1085" w:type="dxa"/>
            <w:vAlign w:val="center"/>
          </w:tcPr>
          <w:p w14:paraId="5FECF65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4,764</w:t>
            </w:r>
          </w:p>
        </w:tc>
        <w:tc>
          <w:tcPr>
            <w:tcW w:w="1086" w:type="dxa"/>
            <w:vAlign w:val="center"/>
          </w:tcPr>
          <w:p w14:paraId="20B3A3C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4,775</w:t>
            </w:r>
          </w:p>
        </w:tc>
        <w:tc>
          <w:tcPr>
            <w:tcW w:w="1085" w:type="dxa"/>
            <w:vAlign w:val="center"/>
          </w:tcPr>
          <w:p w14:paraId="269DDA6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4,805</w:t>
            </w:r>
          </w:p>
        </w:tc>
        <w:tc>
          <w:tcPr>
            <w:tcW w:w="1086" w:type="dxa"/>
            <w:vAlign w:val="center"/>
          </w:tcPr>
          <w:p w14:paraId="10D0C9E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4,848</w:t>
            </w:r>
          </w:p>
        </w:tc>
        <w:tc>
          <w:tcPr>
            <w:tcW w:w="1086" w:type="dxa"/>
            <w:vAlign w:val="center"/>
          </w:tcPr>
          <w:p w14:paraId="34DF9CD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4,892</w:t>
            </w:r>
          </w:p>
        </w:tc>
      </w:tr>
      <w:tr w:rsidR="005A5BD5" w:rsidRPr="00CA3519" w14:paraId="6FCCE3D0" w14:textId="77777777" w:rsidTr="009B6E1B">
        <w:trPr>
          <w:trHeight w:val="397"/>
          <w:jc w:val="center"/>
        </w:trPr>
        <w:tc>
          <w:tcPr>
            <w:tcW w:w="2113" w:type="dxa"/>
            <w:vAlign w:val="center"/>
          </w:tcPr>
          <w:p w14:paraId="40F228CB"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August 2008</w:t>
            </w:r>
          </w:p>
        </w:tc>
        <w:tc>
          <w:tcPr>
            <w:tcW w:w="2113" w:type="dxa"/>
            <w:vAlign w:val="center"/>
          </w:tcPr>
          <w:p w14:paraId="2513D70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20.08.2008 - Ausg. 2</w:t>
            </w:r>
          </w:p>
        </w:tc>
        <w:tc>
          <w:tcPr>
            <w:tcW w:w="1085" w:type="dxa"/>
            <w:vAlign w:val="center"/>
          </w:tcPr>
          <w:p w14:paraId="052D005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4,440</w:t>
            </w:r>
          </w:p>
        </w:tc>
        <w:tc>
          <w:tcPr>
            <w:tcW w:w="1086" w:type="dxa"/>
            <w:vAlign w:val="center"/>
          </w:tcPr>
          <w:p w14:paraId="2A72A01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4,533</w:t>
            </w:r>
          </w:p>
        </w:tc>
        <w:tc>
          <w:tcPr>
            <w:tcW w:w="1085" w:type="dxa"/>
            <w:vAlign w:val="center"/>
          </w:tcPr>
          <w:p w14:paraId="0A74325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4,601</w:t>
            </w:r>
          </w:p>
        </w:tc>
        <w:tc>
          <w:tcPr>
            <w:tcW w:w="1086" w:type="dxa"/>
            <w:vAlign w:val="center"/>
          </w:tcPr>
          <w:p w14:paraId="26BC6FA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4,631</w:t>
            </w:r>
          </w:p>
        </w:tc>
        <w:tc>
          <w:tcPr>
            <w:tcW w:w="1086" w:type="dxa"/>
            <w:vAlign w:val="center"/>
          </w:tcPr>
          <w:p w14:paraId="2615168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4,636</w:t>
            </w:r>
          </w:p>
        </w:tc>
        <w:tc>
          <w:tcPr>
            <w:tcW w:w="1085" w:type="dxa"/>
            <w:vAlign w:val="center"/>
          </w:tcPr>
          <w:p w14:paraId="120E8C0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4,633</w:t>
            </w:r>
          </w:p>
        </w:tc>
        <w:tc>
          <w:tcPr>
            <w:tcW w:w="1086" w:type="dxa"/>
            <w:vAlign w:val="center"/>
          </w:tcPr>
          <w:p w14:paraId="531F48A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4,646</w:t>
            </w:r>
          </w:p>
        </w:tc>
        <w:tc>
          <w:tcPr>
            <w:tcW w:w="1085" w:type="dxa"/>
            <w:vAlign w:val="center"/>
          </w:tcPr>
          <w:p w14:paraId="7233138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4,687</w:t>
            </w:r>
          </w:p>
        </w:tc>
        <w:tc>
          <w:tcPr>
            <w:tcW w:w="1086" w:type="dxa"/>
            <w:vAlign w:val="center"/>
          </w:tcPr>
          <w:p w14:paraId="2C80C1E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4,747</w:t>
            </w:r>
          </w:p>
        </w:tc>
        <w:tc>
          <w:tcPr>
            <w:tcW w:w="1086" w:type="dxa"/>
            <w:vAlign w:val="center"/>
          </w:tcPr>
          <w:p w14:paraId="629B02F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4,808</w:t>
            </w:r>
          </w:p>
        </w:tc>
      </w:tr>
      <w:tr w:rsidR="005A5BD5" w:rsidRPr="00CA3519" w14:paraId="0B044767" w14:textId="77777777" w:rsidTr="009B6E1B">
        <w:trPr>
          <w:trHeight w:val="397"/>
          <w:jc w:val="center"/>
        </w:trPr>
        <w:tc>
          <w:tcPr>
            <w:tcW w:w="2113" w:type="dxa"/>
            <w:vAlign w:val="center"/>
          </w:tcPr>
          <w:p w14:paraId="224CA3F7"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September 2008</w:t>
            </w:r>
          </w:p>
        </w:tc>
        <w:tc>
          <w:tcPr>
            <w:tcW w:w="2113" w:type="dxa"/>
            <w:vAlign w:val="center"/>
          </w:tcPr>
          <w:p w14:paraId="713B08E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19.09.2008 - Ausg. 2</w:t>
            </w:r>
          </w:p>
        </w:tc>
        <w:tc>
          <w:tcPr>
            <w:tcW w:w="1085" w:type="dxa"/>
            <w:vAlign w:val="center"/>
          </w:tcPr>
          <w:p w14:paraId="00D08AE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4,309</w:t>
            </w:r>
          </w:p>
        </w:tc>
        <w:tc>
          <w:tcPr>
            <w:tcW w:w="1086" w:type="dxa"/>
            <w:vAlign w:val="center"/>
          </w:tcPr>
          <w:p w14:paraId="5B6CF6B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4,250</w:t>
            </w:r>
          </w:p>
        </w:tc>
        <w:tc>
          <w:tcPr>
            <w:tcW w:w="1085" w:type="dxa"/>
            <w:vAlign w:val="center"/>
          </w:tcPr>
          <w:p w14:paraId="7E41928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4,219</w:t>
            </w:r>
          </w:p>
        </w:tc>
        <w:tc>
          <w:tcPr>
            <w:tcW w:w="1086" w:type="dxa"/>
            <w:vAlign w:val="center"/>
          </w:tcPr>
          <w:p w14:paraId="34A0799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4,231</w:t>
            </w:r>
          </w:p>
        </w:tc>
        <w:tc>
          <w:tcPr>
            <w:tcW w:w="1086" w:type="dxa"/>
            <w:vAlign w:val="center"/>
          </w:tcPr>
          <w:p w14:paraId="0B64DF8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4,267</w:t>
            </w:r>
          </w:p>
        </w:tc>
        <w:tc>
          <w:tcPr>
            <w:tcW w:w="1085" w:type="dxa"/>
            <w:vAlign w:val="center"/>
          </w:tcPr>
          <w:p w14:paraId="37E04A2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4,291</w:t>
            </w:r>
          </w:p>
        </w:tc>
        <w:tc>
          <w:tcPr>
            <w:tcW w:w="1086" w:type="dxa"/>
            <w:vAlign w:val="center"/>
          </w:tcPr>
          <w:p w14:paraId="3289D3F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4,327</w:t>
            </w:r>
          </w:p>
        </w:tc>
        <w:tc>
          <w:tcPr>
            <w:tcW w:w="1085" w:type="dxa"/>
            <w:vAlign w:val="center"/>
          </w:tcPr>
          <w:p w14:paraId="6C96B3F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4,386</w:t>
            </w:r>
          </w:p>
        </w:tc>
        <w:tc>
          <w:tcPr>
            <w:tcW w:w="1086" w:type="dxa"/>
            <w:vAlign w:val="center"/>
          </w:tcPr>
          <w:p w14:paraId="6C827B1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4,471</w:t>
            </w:r>
          </w:p>
        </w:tc>
        <w:tc>
          <w:tcPr>
            <w:tcW w:w="1086" w:type="dxa"/>
            <w:vAlign w:val="center"/>
          </w:tcPr>
          <w:p w14:paraId="64B83CE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4,551</w:t>
            </w:r>
          </w:p>
        </w:tc>
      </w:tr>
      <w:tr w:rsidR="005A5BD5" w:rsidRPr="00CA3519" w14:paraId="379A32BF" w14:textId="77777777" w:rsidTr="009B6E1B">
        <w:trPr>
          <w:trHeight w:val="397"/>
          <w:jc w:val="center"/>
        </w:trPr>
        <w:tc>
          <w:tcPr>
            <w:tcW w:w="2113" w:type="dxa"/>
            <w:vAlign w:val="center"/>
          </w:tcPr>
          <w:p w14:paraId="3E33EEB8"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Oktober 2008</w:t>
            </w:r>
          </w:p>
        </w:tc>
        <w:tc>
          <w:tcPr>
            <w:tcW w:w="2113" w:type="dxa"/>
            <w:vAlign w:val="center"/>
          </w:tcPr>
          <w:p w14:paraId="6959DA7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20.10.2008</w:t>
            </w:r>
          </w:p>
        </w:tc>
        <w:tc>
          <w:tcPr>
            <w:tcW w:w="1085" w:type="dxa"/>
            <w:vAlign w:val="center"/>
          </w:tcPr>
          <w:p w14:paraId="371DF37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3,783</w:t>
            </w:r>
          </w:p>
        </w:tc>
        <w:tc>
          <w:tcPr>
            <w:tcW w:w="1086" w:type="dxa"/>
            <w:vAlign w:val="center"/>
          </w:tcPr>
          <w:p w14:paraId="13123B4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3,866</w:t>
            </w:r>
          </w:p>
        </w:tc>
        <w:tc>
          <w:tcPr>
            <w:tcW w:w="1085" w:type="dxa"/>
            <w:vAlign w:val="center"/>
          </w:tcPr>
          <w:p w14:paraId="3D79EAB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3,967</w:t>
            </w:r>
          </w:p>
        </w:tc>
        <w:tc>
          <w:tcPr>
            <w:tcW w:w="1086" w:type="dxa"/>
            <w:vAlign w:val="center"/>
          </w:tcPr>
          <w:p w14:paraId="092E3DF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4,091</w:t>
            </w:r>
          </w:p>
        </w:tc>
        <w:tc>
          <w:tcPr>
            <w:tcW w:w="1086" w:type="dxa"/>
            <w:vAlign w:val="center"/>
          </w:tcPr>
          <w:p w14:paraId="4E0C954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4,209</w:t>
            </w:r>
          </w:p>
        </w:tc>
        <w:tc>
          <w:tcPr>
            <w:tcW w:w="1085" w:type="dxa"/>
            <w:vAlign w:val="center"/>
          </w:tcPr>
          <w:p w14:paraId="53C8CA5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4,287</w:t>
            </w:r>
          </w:p>
        </w:tc>
        <w:tc>
          <w:tcPr>
            <w:tcW w:w="1086" w:type="dxa"/>
            <w:vAlign w:val="center"/>
          </w:tcPr>
          <w:p w14:paraId="5907793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4,347</w:t>
            </w:r>
          </w:p>
        </w:tc>
        <w:tc>
          <w:tcPr>
            <w:tcW w:w="1085" w:type="dxa"/>
            <w:vAlign w:val="center"/>
          </w:tcPr>
          <w:p w14:paraId="0EC23EB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4,417</w:t>
            </w:r>
          </w:p>
        </w:tc>
        <w:tc>
          <w:tcPr>
            <w:tcW w:w="1086" w:type="dxa"/>
            <w:vAlign w:val="center"/>
          </w:tcPr>
          <w:p w14:paraId="4CED0FD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4,495</w:t>
            </w:r>
          </w:p>
        </w:tc>
        <w:tc>
          <w:tcPr>
            <w:tcW w:w="1086" w:type="dxa"/>
            <w:vAlign w:val="center"/>
          </w:tcPr>
          <w:p w14:paraId="3D8522F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4,568</w:t>
            </w:r>
          </w:p>
        </w:tc>
      </w:tr>
      <w:tr w:rsidR="005A5BD5" w:rsidRPr="00CA3519" w14:paraId="3C1AD168" w14:textId="77777777" w:rsidTr="009B6E1B">
        <w:trPr>
          <w:trHeight w:val="397"/>
          <w:jc w:val="center"/>
        </w:trPr>
        <w:tc>
          <w:tcPr>
            <w:tcW w:w="2113" w:type="dxa"/>
            <w:vAlign w:val="center"/>
          </w:tcPr>
          <w:p w14:paraId="31998FE5"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November 2008</w:t>
            </w:r>
          </w:p>
        </w:tc>
        <w:tc>
          <w:tcPr>
            <w:tcW w:w="2113" w:type="dxa"/>
            <w:vAlign w:val="center"/>
          </w:tcPr>
          <w:p w14:paraId="6B321B1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20.11.2008 - Ausg. 2</w:t>
            </w:r>
          </w:p>
        </w:tc>
        <w:tc>
          <w:tcPr>
            <w:tcW w:w="1085" w:type="dxa"/>
            <w:vAlign w:val="center"/>
          </w:tcPr>
          <w:p w14:paraId="7C46CF9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2,888</w:t>
            </w:r>
          </w:p>
        </w:tc>
        <w:tc>
          <w:tcPr>
            <w:tcW w:w="1086" w:type="dxa"/>
            <w:vAlign w:val="center"/>
          </w:tcPr>
          <w:p w14:paraId="4397E77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3,242</w:t>
            </w:r>
          </w:p>
        </w:tc>
        <w:tc>
          <w:tcPr>
            <w:tcW w:w="1085" w:type="dxa"/>
            <w:vAlign w:val="center"/>
          </w:tcPr>
          <w:p w14:paraId="3598B9C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3,530</w:t>
            </w:r>
          </w:p>
        </w:tc>
        <w:tc>
          <w:tcPr>
            <w:tcW w:w="1086" w:type="dxa"/>
            <w:vAlign w:val="center"/>
          </w:tcPr>
          <w:p w14:paraId="3F1C859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3,719</w:t>
            </w:r>
          </w:p>
        </w:tc>
        <w:tc>
          <w:tcPr>
            <w:tcW w:w="1086" w:type="dxa"/>
            <w:vAlign w:val="center"/>
          </w:tcPr>
          <w:p w14:paraId="443E2B2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3,862</w:t>
            </w:r>
          </w:p>
        </w:tc>
        <w:tc>
          <w:tcPr>
            <w:tcW w:w="1085" w:type="dxa"/>
            <w:vAlign w:val="center"/>
          </w:tcPr>
          <w:p w14:paraId="200A589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4,008</w:t>
            </w:r>
          </w:p>
        </w:tc>
        <w:tc>
          <w:tcPr>
            <w:tcW w:w="1086" w:type="dxa"/>
            <w:vAlign w:val="center"/>
          </w:tcPr>
          <w:p w14:paraId="47F4DE5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4,155</w:t>
            </w:r>
          </w:p>
        </w:tc>
        <w:tc>
          <w:tcPr>
            <w:tcW w:w="1085" w:type="dxa"/>
            <w:vAlign w:val="center"/>
          </w:tcPr>
          <w:p w14:paraId="1802686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4,289</w:t>
            </w:r>
          </w:p>
        </w:tc>
        <w:tc>
          <w:tcPr>
            <w:tcW w:w="1086" w:type="dxa"/>
            <w:vAlign w:val="center"/>
          </w:tcPr>
          <w:p w14:paraId="2F6C051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4,408</w:t>
            </w:r>
          </w:p>
        </w:tc>
        <w:tc>
          <w:tcPr>
            <w:tcW w:w="1086" w:type="dxa"/>
            <w:vAlign w:val="center"/>
          </w:tcPr>
          <w:p w14:paraId="5E0D379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4,511</w:t>
            </w:r>
          </w:p>
        </w:tc>
      </w:tr>
      <w:tr w:rsidR="005A5BD5" w:rsidRPr="00CA3519" w14:paraId="3BABAA92" w14:textId="77777777" w:rsidTr="009B6E1B">
        <w:trPr>
          <w:trHeight w:val="397"/>
          <w:jc w:val="center"/>
        </w:trPr>
        <w:tc>
          <w:tcPr>
            <w:tcW w:w="2113" w:type="dxa"/>
            <w:vAlign w:val="center"/>
          </w:tcPr>
          <w:p w14:paraId="6BE0610A" w14:textId="77777777" w:rsidR="005A5BD5" w:rsidRPr="00CA3519" w:rsidRDefault="005A5BD5" w:rsidP="004C2C7D">
            <w:pPr>
              <w:rPr>
                <w:rFonts w:eastAsia="Calibri"/>
                <w:sz w:val="17"/>
                <w:szCs w:val="17"/>
                <w:lang w:eastAsia="en-US"/>
              </w:rPr>
            </w:pPr>
            <w:r w:rsidRPr="00CA3519">
              <w:rPr>
                <w:rFonts w:eastAsia="Calibri"/>
                <w:sz w:val="17"/>
                <w:szCs w:val="17"/>
                <w:lang w:eastAsia="en-US"/>
              </w:rPr>
              <w:t>Dezember 2008</w:t>
            </w:r>
          </w:p>
        </w:tc>
        <w:tc>
          <w:tcPr>
            <w:tcW w:w="2113" w:type="dxa"/>
            <w:vAlign w:val="center"/>
          </w:tcPr>
          <w:p w14:paraId="19F7A9C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19.12.2008 - Ausg. 2</w:t>
            </w:r>
          </w:p>
        </w:tc>
        <w:tc>
          <w:tcPr>
            <w:tcW w:w="1085" w:type="dxa"/>
            <w:vAlign w:val="center"/>
          </w:tcPr>
          <w:p w14:paraId="4D3A105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2,289</w:t>
            </w:r>
          </w:p>
        </w:tc>
        <w:tc>
          <w:tcPr>
            <w:tcW w:w="1086" w:type="dxa"/>
            <w:vAlign w:val="center"/>
          </w:tcPr>
          <w:p w14:paraId="47919E8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2,860</w:t>
            </w:r>
          </w:p>
        </w:tc>
        <w:tc>
          <w:tcPr>
            <w:tcW w:w="1085" w:type="dxa"/>
            <w:vAlign w:val="center"/>
          </w:tcPr>
          <w:p w14:paraId="387BF22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3,256</w:t>
            </w:r>
          </w:p>
        </w:tc>
        <w:tc>
          <w:tcPr>
            <w:tcW w:w="1086" w:type="dxa"/>
            <w:vAlign w:val="center"/>
          </w:tcPr>
          <w:p w14:paraId="060633E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3,405</w:t>
            </w:r>
          </w:p>
        </w:tc>
        <w:tc>
          <w:tcPr>
            <w:tcW w:w="1086" w:type="dxa"/>
            <w:vAlign w:val="center"/>
          </w:tcPr>
          <w:p w14:paraId="3701644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3,476</w:t>
            </w:r>
          </w:p>
        </w:tc>
        <w:tc>
          <w:tcPr>
            <w:tcW w:w="1085" w:type="dxa"/>
            <w:vAlign w:val="center"/>
          </w:tcPr>
          <w:p w14:paraId="4B6FF4D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3,606</w:t>
            </w:r>
          </w:p>
        </w:tc>
        <w:tc>
          <w:tcPr>
            <w:tcW w:w="1086" w:type="dxa"/>
            <w:vAlign w:val="center"/>
          </w:tcPr>
          <w:p w14:paraId="210FE2A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3,760</w:t>
            </w:r>
          </w:p>
        </w:tc>
        <w:tc>
          <w:tcPr>
            <w:tcW w:w="1085" w:type="dxa"/>
            <w:vAlign w:val="center"/>
          </w:tcPr>
          <w:p w14:paraId="7976C34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3,900</w:t>
            </w:r>
          </w:p>
        </w:tc>
        <w:tc>
          <w:tcPr>
            <w:tcW w:w="1086" w:type="dxa"/>
            <w:vAlign w:val="center"/>
          </w:tcPr>
          <w:p w14:paraId="5C2E9E3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4,017</w:t>
            </w:r>
          </w:p>
        </w:tc>
        <w:tc>
          <w:tcPr>
            <w:tcW w:w="1086" w:type="dxa"/>
            <w:vAlign w:val="center"/>
          </w:tcPr>
          <w:p w14:paraId="03785D9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4,111]</w:t>
            </w:r>
          </w:p>
        </w:tc>
      </w:tr>
      <w:tr w:rsidR="005A5BD5" w:rsidRPr="00CA3519" w14:paraId="2767684A" w14:textId="77777777" w:rsidTr="009B6E1B">
        <w:trPr>
          <w:trHeight w:val="397"/>
          <w:jc w:val="center"/>
        </w:trPr>
        <w:tc>
          <w:tcPr>
            <w:tcW w:w="2113" w:type="dxa"/>
            <w:vAlign w:val="center"/>
          </w:tcPr>
          <w:p w14:paraId="43BB83C6"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[Januar 2009</w:t>
            </w:r>
          </w:p>
        </w:tc>
        <w:tc>
          <w:tcPr>
            <w:tcW w:w="2113" w:type="dxa"/>
            <w:vAlign w:val="center"/>
          </w:tcPr>
          <w:p w14:paraId="0BBB098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20.01.2009 - Ausg. 2</w:t>
            </w:r>
          </w:p>
        </w:tc>
        <w:tc>
          <w:tcPr>
            <w:tcW w:w="1085" w:type="dxa"/>
            <w:vAlign w:val="center"/>
          </w:tcPr>
          <w:p w14:paraId="2168C47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2,005</w:t>
            </w:r>
          </w:p>
        </w:tc>
        <w:tc>
          <w:tcPr>
            <w:tcW w:w="1086" w:type="dxa"/>
            <w:vAlign w:val="center"/>
          </w:tcPr>
          <w:p w14:paraId="4B4646A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2,554</w:t>
            </w:r>
          </w:p>
        </w:tc>
        <w:tc>
          <w:tcPr>
            <w:tcW w:w="1085" w:type="dxa"/>
            <w:vAlign w:val="center"/>
          </w:tcPr>
          <w:p w14:paraId="62112F5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2,981</w:t>
            </w:r>
          </w:p>
        </w:tc>
        <w:tc>
          <w:tcPr>
            <w:tcW w:w="1086" w:type="dxa"/>
            <w:vAlign w:val="center"/>
          </w:tcPr>
          <w:p w14:paraId="4851D8B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3,232</w:t>
            </w:r>
          </w:p>
        </w:tc>
        <w:tc>
          <w:tcPr>
            <w:tcW w:w="1086" w:type="dxa"/>
            <w:vAlign w:val="center"/>
          </w:tcPr>
          <w:p w14:paraId="06F3186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3,401</w:t>
            </w:r>
          </w:p>
        </w:tc>
        <w:tc>
          <w:tcPr>
            <w:tcW w:w="1085" w:type="dxa"/>
            <w:vAlign w:val="center"/>
          </w:tcPr>
          <w:p w14:paraId="36FCFFC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3,552</w:t>
            </w:r>
          </w:p>
        </w:tc>
        <w:tc>
          <w:tcPr>
            <w:tcW w:w="1086" w:type="dxa"/>
            <w:vAlign w:val="center"/>
          </w:tcPr>
          <w:p w14:paraId="22EDBB5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3,679</w:t>
            </w:r>
          </w:p>
        </w:tc>
        <w:tc>
          <w:tcPr>
            <w:tcW w:w="1085" w:type="dxa"/>
            <w:vAlign w:val="center"/>
          </w:tcPr>
          <w:p w14:paraId="1538624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3,775</w:t>
            </w:r>
          </w:p>
        </w:tc>
        <w:tc>
          <w:tcPr>
            <w:tcW w:w="1086" w:type="dxa"/>
            <w:vAlign w:val="center"/>
          </w:tcPr>
          <w:p w14:paraId="2F1F12B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3,848</w:t>
            </w:r>
          </w:p>
        </w:tc>
        <w:tc>
          <w:tcPr>
            <w:tcW w:w="1086" w:type="dxa"/>
            <w:vAlign w:val="center"/>
          </w:tcPr>
          <w:p w14:paraId="561CBC0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3,908</w:t>
            </w:r>
          </w:p>
        </w:tc>
      </w:tr>
      <w:tr w:rsidR="005A5BD5" w:rsidRPr="00CA3519" w14:paraId="3EFE47F6" w14:textId="77777777" w:rsidTr="009B6E1B">
        <w:trPr>
          <w:trHeight w:val="397"/>
          <w:jc w:val="center"/>
        </w:trPr>
        <w:tc>
          <w:tcPr>
            <w:tcW w:w="2113" w:type="dxa"/>
            <w:vAlign w:val="center"/>
          </w:tcPr>
          <w:p w14:paraId="45189462"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Februar 2009</w:t>
            </w:r>
          </w:p>
        </w:tc>
        <w:tc>
          <w:tcPr>
            <w:tcW w:w="2113" w:type="dxa"/>
            <w:vAlign w:val="center"/>
          </w:tcPr>
          <w:p w14:paraId="5B01419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20.02.2009 - Ausg. 2</w:t>
            </w:r>
          </w:p>
        </w:tc>
        <w:tc>
          <w:tcPr>
            <w:tcW w:w="1085" w:type="dxa"/>
            <w:vAlign w:val="center"/>
          </w:tcPr>
          <w:p w14:paraId="5A3E8E2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1,423</w:t>
            </w:r>
          </w:p>
        </w:tc>
        <w:tc>
          <w:tcPr>
            <w:tcW w:w="1086" w:type="dxa"/>
            <w:vAlign w:val="center"/>
          </w:tcPr>
          <w:p w14:paraId="2CE06CE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2,103</w:t>
            </w:r>
          </w:p>
        </w:tc>
        <w:tc>
          <w:tcPr>
            <w:tcW w:w="1085" w:type="dxa"/>
            <w:vAlign w:val="center"/>
          </w:tcPr>
          <w:p w14:paraId="38BD86C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2,676</w:t>
            </w:r>
          </w:p>
        </w:tc>
        <w:tc>
          <w:tcPr>
            <w:tcW w:w="1086" w:type="dxa"/>
            <w:vAlign w:val="center"/>
          </w:tcPr>
          <w:p w14:paraId="59E812A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3,097</w:t>
            </w:r>
          </w:p>
        </w:tc>
        <w:tc>
          <w:tcPr>
            <w:tcW w:w="1086" w:type="dxa"/>
            <w:vAlign w:val="center"/>
          </w:tcPr>
          <w:p w14:paraId="3720576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3,411</w:t>
            </w:r>
          </w:p>
        </w:tc>
        <w:tc>
          <w:tcPr>
            <w:tcW w:w="1085" w:type="dxa"/>
            <w:vAlign w:val="center"/>
          </w:tcPr>
          <w:p w14:paraId="6EC5CFE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3,662</w:t>
            </w:r>
          </w:p>
        </w:tc>
        <w:tc>
          <w:tcPr>
            <w:tcW w:w="1086" w:type="dxa"/>
            <w:vAlign w:val="center"/>
          </w:tcPr>
          <w:p w14:paraId="35C4ACD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3,865</w:t>
            </w:r>
          </w:p>
        </w:tc>
        <w:tc>
          <w:tcPr>
            <w:tcW w:w="1085" w:type="dxa"/>
            <w:vAlign w:val="center"/>
          </w:tcPr>
          <w:p w14:paraId="5526FC9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4,028</w:t>
            </w:r>
          </w:p>
        </w:tc>
        <w:tc>
          <w:tcPr>
            <w:tcW w:w="1086" w:type="dxa"/>
            <w:vAlign w:val="center"/>
          </w:tcPr>
          <w:p w14:paraId="53B4C97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4,158</w:t>
            </w:r>
          </w:p>
        </w:tc>
        <w:tc>
          <w:tcPr>
            <w:tcW w:w="1086" w:type="dxa"/>
            <w:vAlign w:val="center"/>
          </w:tcPr>
          <w:p w14:paraId="59A235F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4,265</w:t>
            </w:r>
          </w:p>
        </w:tc>
      </w:tr>
      <w:tr w:rsidR="005A5BD5" w:rsidRPr="00CA3519" w14:paraId="59D79451" w14:textId="77777777" w:rsidTr="009B6E1B">
        <w:trPr>
          <w:trHeight w:val="397"/>
          <w:jc w:val="center"/>
        </w:trPr>
        <w:tc>
          <w:tcPr>
            <w:tcW w:w="2113" w:type="dxa"/>
            <w:vAlign w:val="center"/>
          </w:tcPr>
          <w:p w14:paraId="3C1B776B"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März 2009</w:t>
            </w:r>
          </w:p>
        </w:tc>
        <w:tc>
          <w:tcPr>
            <w:tcW w:w="2113" w:type="dxa"/>
            <w:vAlign w:val="center"/>
          </w:tcPr>
          <w:p w14:paraId="04C10F8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20.03.2009 - Ausg. 2</w:t>
            </w:r>
          </w:p>
        </w:tc>
        <w:tc>
          <w:tcPr>
            <w:tcW w:w="1085" w:type="dxa"/>
            <w:vAlign w:val="center"/>
          </w:tcPr>
          <w:p w14:paraId="7D7E593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1,114</w:t>
            </w:r>
          </w:p>
        </w:tc>
        <w:tc>
          <w:tcPr>
            <w:tcW w:w="1086" w:type="dxa"/>
            <w:vAlign w:val="center"/>
          </w:tcPr>
          <w:p w14:paraId="7332116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1,852</w:t>
            </w:r>
          </w:p>
        </w:tc>
        <w:tc>
          <w:tcPr>
            <w:tcW w:w="1085" w:type="dxa"/>
            <w:vAlign w:val="center"/>
          </w:tcPr>
          <w:p w14:paraId="62D3C9D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2,468</w:t>
            </w:r>
          </w:p>
        </w:tc>
        <w:tc>
          <w:tcPr>
            <w:tcW w:w="1086" w:type="dxa"/>
            <w:vAlign w:val="center"/>
          </w:tcPr>
          <w:p w14:paraId="71F2C99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2,919</w:t>
            </w:r>
          </w:p>
        </w:tc>
        <w:tc>
          <w:tcPr>
            <w:tcW w:w="1086" w:type="dxa"/>
            <w:vAlign w:val="center"/>
          </w:tcPr>
          <w:p w14:paraId="0A2D990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3,250</w:t>
            </w:r>
          </w:p>
        </w:tc>
        <w:tc>
          <w:tcPr>
            <w:tcW w:w="1085" w:type="dxa"/>
            <w:vAlign w:val="center"/>
          </w:tcPr>
          <w:p w14:paraId="12555BD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3,512</w:t>
            </w:r>
          </w:p>
        </w:tc>
        <w:tc>
          <w:tcPr>
            <w:tcW w:w="1086" w:type="dxa"/>
            <w:vAlign w:val="center"/>
          </w:tcPr>
          <w:p w14:paraId="6FB22CC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3,721</w:t>
            </w:r>
          </w:p>
        </w:tc>
        <w:tc>
          <w:tcPr>
            <w:tcW w:w="1085" w:type="dxa"/>
            <w:vAlign w:val="center"/>
          </w:tcPr>
          <w:p w14:paraId="216E074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3,889</w:t>
            </w:r>
          </w:p>
        </w:tc>
        <w:tc>
          <w:tcPr>
            <w:tcW w:w="1086" w:type="dxa"/>
            <w:vAlign w:val="center"/>
          </w:tcPr>
          <w:p w14:paraId="1518D41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4,027</w:t>
            </w:r>
          </w:p>
        </w:tc>
        <w:tc>
          <w:tcPr>
            <w:tcW w:w="1086" w:type="dxa"/>
            <w:vAlign w:val="center"/>
          </w:tcPr>
          <w:p w14:paraId="748CD51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4,138</w:t>
            </w:r>
          </w:p>
        </w:tc>
      </w:tr>
      <w:tr w:rsidR="005A5BD5" w:rsidRPr="00CA3519" w14:paraId="6809E98D" w14:textId="77777777" w:rsidTr="009B6E1B">
        <w:trPr>
          <w:trHeight w:val="397"/>
          <w:jc w:val="center"/>
        </w:trPr>
        <w:tc>
          <w:tcPr>
            <w:tcW w:w="2113" w:type="dxa"/>
            <w:vAlign w:val="center"/>
          </w:tcPr>
          <w:p w14:paraId="3E61D3D9"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April 2009</w:t>
            </w:r>
          </w:p>
        </w:tc>
        <w:tc>
          <w:tcPr>
            <w:tcW w:w="2113" w:type="dxa"/>
            <w:vAlign w:val="center"/>
          </w:tcPr>
          <w:p w14:paraId="4A08FF4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20.04.2009 - Ausg. 4</w:t>
            </w:r>
          </w:p>
        </w:tc>
        <w:tc>
          <w:tcPr>
            <w:tcW w:w="1085" w:type="dxa"/>
            <w:vAlign w:val="center"/>
          </w:tcPr>
          <w:p w14:paraId="5637142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1,039</w:t>
            </w:r>
          </w:p>
        </w:tc>
        <w:tc>
          <w:tcPr>
            <w:tcW w:w="1086" w:type="dxa"/>
            <w:vAlign w:val="center"/>
          </w:tcPr>
          <w:p w14:paraId="1A0CD43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1,810</w:t>
            </w:r>
          </w:p>
        </w:tc>
        <w:tc>
          <w:tcPr>
            <w:tcW w:w="1085" w:type="dxa"/>
            <w:vAlign w:val="center"/>
          </w:tcPr>
          <w:p w14:paraId="793616B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2,449</w:t>
            </w:r>
          </w:p>
        </w:tc>
        <w:tc>
          <w:tcPr>
            <w:tcW w:w="1086" w:type="dxa"/>
            <w:vAlign w:val="center"/>
          </w:tcPr>
          <w:p w14:paraId="2B12A1C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2,913</w:t>
            </w:r>
          </w:p>
        </w:tc>
        <w:tc>
          <w:tcPr>
            <w:tcW w:w="1086" w:type="dxa"/>
            <w:vAlign w:val="center"/>
          </w:tcPr>
          <w:p w14:paraId="04D44E5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3,249</w:t>
            </w:r>
          </w:p>
        </w:tc>
        <w:tc>
          <w:tcPr>
            <w:tcW w:w="1085" w:type="dxa"/>
            <w:vAlign w:val="center"/>
          </w:tcPr>
          <w:p w14:paraId="5FCE48A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3,502</w:t>
            </w:r>
          </w:p>
        </w:tc>
        <w:tc>
          <w:tcPr>
            <w:tcW w:w="1086" w:type="dxa"/>
            <w:vAlign w:val="center"/>
          </w:tcPr>
          <w:p w14:paraId="07C621D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3,690</w:t>
            </w:r>
          </w:p>
        </w:tc>
        <w:tc>
          <w:tcPr>
            <w:tcW w:w="1085" w:type="dxa"/>
            <w:vAlign w:val="center"/>
          </w:tcPr>
          <w:p w14:paraId="570CC92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3,824</w:t>
            </w:r>
          </w:p>
        </w:tc>
        <w:tc>
          <w:tcPr>
            <w:tcW w:w="1086" w:type="dxa"/>
            <w:vAlign w:val="center"/>
          </w:tcPr>
          <w:p w14:paraId="208F03F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3,917</w:t>
            </w:r>
          </w:p>
        </w:tc>
        <w:tc>
          <w:tcPr>
            <w:tcW w:w="1086" w:type="dxa"/>
            <w:vAlign w:val="center"/>
          </w:tcPr>
          <w:p w14:paraId="2998DAA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3,994</w:t>
            </w:r>
          </w:p>
        </w:tc>
      </w:tr>
      <w:tr w:rsidR="005A5BD5" w:rsidRPr="00CA3519" w14:paraId="63CBA989" w14:textId="77777777" w:rsidTr="009B6E1B">
        <w:trPr>
          <w:trHeight w:val="397"/>
          <w:jc w:val="center"/>
        </w:trPr>
        <w:tc>
          <w:tcPr>
            <w:tcW w:w="2113" w:type="dxa"/>
            <w:vAlign w:val="center"/>
          </w:tcPr>
          <w:p w14:paraId="5F51A3BB"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Mai 2009</w:t>
            </w:r>
          </w:p>
        </w:tc>
        <w:tc>
          <w:tcPr>
            <w:tcW w:w="2113" w:type="dxa"/>
            <w:vAlign w:val="center"/>
          </w:tcPr>
          <w:p w14:paraId="5A03312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20.05.2009 - Ausg. 2</w:t>
            </w:r>
          </w:p>
        </w:tc>
        <w:tc>
          <w:tcPr>
            <w:tcW w:w="1085" w:type="dxa"/>
            <w:vAlign w:val="center"/>
          </w:tcPr>
          <w:p w14:paraId="47814E1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1,050</w:t>
            </w:r>
          </w:p>
        </w:tc>
        <w:tc>
          <w:tcPr>
            <w:tcW w:w="1086" w:type="dxa"/>
            <w:vAlign w:val="center"/>
          </w:tcPr>
          <w:p w14:paraId="469D35D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1,678</w:t>
            </w:r>
          </w:p>
        </w:tc>
        <w:tc>
          <w:tcPr>
            <w:tcW w:w="1085" w:type="dxa"/>
            <w:vAlign w:val="center"/>
          </w:tcPr>
          <w:p w14:paraId="1827A4D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2,229</w:t>
            </w:r>
          </w:p>
        </w:tc>
        <w:tc>
          <w:tcPr>
            <w:tcW w:w="1086" w:type="dxa"/>
            <w:vAlign w:val="center"/>
          </w:tcPr>
          <w:p w14:paraId="43EBB23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2,668</w:t>
            </w:r>
          </w:p>
        </w:tc>
        <w:tc>
          <w:tcPr>
            <w:tcW w:w="1086" w:type="dxa"/>
            <w:vAlign w:val="center"/>
          </w:tcPr>
          <w:p w14:paraId="4421716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3,013</w:t>
            </w:r>
          </w:p>
        </w:tc>
        <w:tc>
          <w:tcPr>
            <w:tcW w:w="1085" w:type="dxa"/>
            <w:vAlign w:val="center"/>
          </w:tcPr>
          <w:p w14:paraId="520757F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3,276</w:t>
            </w:r>
          </w:p>
        </w:tc>
        <w:tc>
          <w:tcPr>
            <w:tcW w:w="1086" w:type="dxa"/>
            <w:vAlign w:val="center"/>
          </w:tcPr>
          <w:p w14:paraId="7EC5EA9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3,476</w:t>
            </w:r>
          </w:p>
        </w:tc>
        <w:tc>
          <w:tcPr>
            <w:tcW w:w="1085" w:type="dxa"/>
            <w:vAlign w:val="center"/>
          </w:tcPr>
          <w:p w14:paraId="09C51FC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3,642</w:t>
            </w:r>
          </w:p>
        </w:tc>
        <w:tc>
          <w:tcPr>
            <w:tcW w:w="1086" w:type="dxa"/>
            <w:vAlign w:val="center"/>
          </w:tcPr>
          <w:p w14:paraId="6A612AC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3,783</w:t>
            </w:r>
          </w:p>
        </w:tc>
        <w:tc>
          <w:tcPr>
            <w:tcW w:w="1086" w:type="dxa"/>
            <w:vAlign w:val="center"/>
          </w:tcPr>
          <w:p w14:paraId="2CB2D61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3,906</w:t>
            </w:r>
          </w:p>
        </w:tc>
      </w:tr>
      <w:tr w:rsidR="005A5BD5" w:rsidRPr="00CA3519" w14:paraId="2B3786D7" w14:textId="77777777" w:rsidTr="009B6E1B">
        <w:trPr>
          <w:trHeight w:val="397"/>
          <w:jc w:val="center"/>
        </w:trPr>
        <w:tc>
          <w:tcPr>
            <w:tcW w:w="2113" w:type="dxa"/>
            <w:vAlign w:val="center"/>
          </w:tcPr>
          <w:p w14:paraId="1733D8AB"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Juni 2009</w:t>
            </w:r>
          </w:p>
        </w:tc>
        <w:tc>
          <w:tcPr>
            <w:tcW w:w="2113" w:type="dxa"/>
            <w:vAlign w:val="center"/>
          </w:tcPr>
          <w:p w14:paraId="3B0BE12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19.06.2009 - Ausg. 3</w:t>
            </w:r>
          </w:p>
        </w:tc>
        <w:tc>
          <w:tcPr>
            <w:tcW w:w="1085" w:type="dxa"/>
            <w:vAlign w:val="center"/>
          </w:tcPr>
          <w:p w14:paraId="51CA590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0,919</w:t>
            </w:r>
          </w:p>
        </w:tc>
        <w:tc>
          <w:tcPr>
            <w:tcW w:w="1086" w:type="dxa"/>
            <w:vAlign w:val="center"/>
          </w:tcPr>
          <w:p w14:paraId="5AC57D8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1,603</w:t>
            </w:r>
          </w:p>
        </w:tc>
        <w:tc>
          <w:tcPr>
            <w:tcW w:w="1085" w:type="dxa"/>
            <w:vAlign w:val="center"/>
          </w:tcPr>
          <w:p w14:paraId="656CF7F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2,204</w:t>
            </w:r>
          </w:p>
        </w:tc>
        <w:tc>
          <w:tcPr>
            <w:tcW w:w="1086" w:type="dxa"/>
            <w:vAlign w:val="center"/>
          </w:tcPr>
          <w:p w14:paraId="20725FE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2,697</w:t>
            </w:r>
          </w:p>
        </w:tc>
        <w:tc>
          <w:tcPr>
            <w:tcW w:w="1086" w:type="dxa"/>
            <w:vAlign w:val="center"/>
          </w:tcPr>
          <w:p w14:paraId="5ED512B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3,093</w:t>
            </w:r>
          </w:p>
        </w:tc>
        <w:tc>
          <w:tcPr>
            <w:tcW w:w="1085" w:type="dxa"/>
            <w:vAlign w:val="center"/>
          </w:tcPr>
          <w:p w14:paraId="2F3B66A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3,408</w:t>
            </w:r>
          </w:p>
        </w:tc>
        <w:tc>
          <w:tcPr>
            <w:tcW w:w="1086" w:type="dxa"/>
            <w:vAlign w:val="center"/>
          </w:tcPr>
          <w:p w14:paraId="14DEA1D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3,658</w:t>
            </w:r>
          </w:p>
        </w:tc>
        <w:tc>
          <w:tcPr>
            <w:tcW w:w="1085" w:type="dxa"/>
            <w:vAlign w:val="center"/>
          </w:tcPr>
          <w:p w14:paraId="3BF26D6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3,857</w:t>
            </w:r>
          </w:p>
        </w:tc>
        <w:tc>
          <w:tcPr>
            <w:tcW w:w="1086" w:type="dxa"/>
            <w:vAlign w:val="center"/>
          </w:tcPr>
          <w:p w14:paraId="5E5C9F4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4,015</w:t>
            </w:r>
          </w:p>
        </w:tc>
        <w:tc>
          <w:tcPr>
            <w:tcW w:w="1086" w:type="dxa"/>
            <w:vAlign w:val="center"/>
          </w:tcPr>
          <w:p w14:paraId="2258295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4,142</w:t>
            </w:r>
          </w:p>
        </w:tc>
      </w:tr>
      <w:tr w:rsidR="005A5BD5" w:rsidRPr="00CA3519" w14:paraId="2D6AC327" w14:textId="77777777" w:rsidTr="009B6E1B">
        <w:trPr>
          <w:trHeight w:val="397"/>
          <w:jc w:val="center"/>
        </w:trPr>
        <w:tc>
          <w:tcPr>
            <w:tcW w:w="2113" w:type="dxa"/>
            <w:vAlign w:val="center"/>
          </w:tcPr>
          <w:p w14:paraId="0C3CA679"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lastRenderedPageBreak/>
              <w:t>Juli 2009</w:t>
            </w:r>
          </w:p>
        </w:tc>
        <w:tc>
          <w:tcPr>
            <w:tcW w:w="2113" w:type="dxa"/>
            <w:vAlign w:val="center"/>
          </w:tcPr>
          <w:p w14:paraId="0DCB248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20.07.2009 - Ausg. 2</w:t>
            </w:r>
          </w:p>
        </w:tc>
        <w:tc>
          <w:tcPr>
            <w:tcW w:w="1085" w:type="dxa"/>
            <w:vAlign w:val="center"/>
          </w:tcPr>
          <w:p w14:paraId="4546490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0,830</w:t>
            </w:r>
          </w:p>
        </w:tc>
        <w:tc>
          <w:tcPr>
            <w:tcW w:w="1086" w:type="dxa"/>
            <w:vAlign w:val="center"/>
          </w:tcPr>
          <w:p w14:paraId="346D866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1,531</w:t>
            </w:r>
          </w:p>
        </w:tc>
        <w:tc>
          <w:tcPr>
            <w:tcW w:w="1085" w:type="dxa"/>
            <w:vAlign w:val="center"/>
          </w:tcPr>
          <w:p w14:paraId="68C957C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2,145</w:t>
            </w:r>
          </w:p>
        </w:tc>
        <w:tc>
          <w:tcPr>
            <w:tcW w:w="1086" w:type="dxa"/>
            <w:vAlign w:val="center"/>
          </w:tcPr>
          <w:p w14:paraId="0F3A83D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2,647</w:t>
            </w:r>
          </w:p>
        </w:tc>
        <w:tc>
          <w:tcPr>
            <w:tcW w:w="1086" w:type="dxa"/>
            <w:vAlign w:val="center"/>
          </w:tcPr>
          <w:p w14:paraId="52E1325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3,044</w:t>
            </w:r>
          </w:p>
        </w:tc>
        <w:tc>
          <w:tcPr>
            <w:tcW w:w="1085" w:type="dxa"/>
            <w:vAlign w:val="center"/>
          </w:tcPr>
          <w:p w14:paraId="2455F06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3,346</w:t>
            </w:r>
          </w:p>
        </w:tc>
        <w:tc>
          <w:tcPr>
            <w:tcW w:w="1086" w:type="dxa"/>
            <w:vAlign w:val="center"/>
          </w:tcPr>
          <w:p w14:paraId="0FF4785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3,581</w:t>
            </w:r>
          </w:p>
        </w:tc>
        <w:tc>
          <w:tcPr>
            <w:tcW w:w="1085" w:type="dxa"/>
            <w:vAlign w:val="center"/>
          </w:tcPr>
          <w:p w14:paraId="30BA2C3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3,767</w:t>
            </w:r>
          </w:p>
        </w:tc>
        <w:tc>
          <w:tcPr>
            <w:tcW w:w="1086" w:type="dxa"/>
            <w:vAlign w:val="center"/>
          </w:tcPr>
          <w:p w14:paraId="713E850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3,920</w:t>
            </w:r>
          </w:p>
        </w:tc>
        <w:tc>
          <w:tcPr>
            <w:tcW w:w="1086" w:type="dxa"/>
            <w:vAlign w:val="center"/>
          </w:tcPr>
          <w:p w14:paraId="0681677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4,048</w:t>
            </w:r>
          </w:p>
        </w:tc>
      </w:tr>
      <w:tr w:rsidR="005A5BD5" w:rsidRPr="00CA3519" w14:paraId="09E4CA53" w14:textId="77777777" w:rsidTr="009B6E1B">
        <w:trPr>
          <w:trHeight w:val="397"/>
          <w:jc w:val="center"/>
        </w:trPr>
        <w:tc>
          <w:tcPr>
            <w:tcW w:w="2113" w:type="dxa"/>
            <w:vAlign w:val="center"/>
          </w:tcPr>
          <w:p w14:paraId="73CD8C3A"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August 2009</w:t>
            </w:r>
          </w:p>
        </w:tc>
        <w:tc>
          <w:tcPr>
            <w:tcW w:w="2113" w:type="dxa"/>
            <w:vAlign w:val="center"/>
          </w:tcPr>
          <w:p w14:paraId="2F897DD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20.08.2009 - Ausg. 3</w:t>
            </w:r>
          </w:p>
        </w:tc>
        <w:tc>
          <w:tcPr>
            <w:tcW w:w="1085" w:type="dxa"/>
            <w:vAlign w:val="center"/>
          </w:tcPr>
          <w:p w14:paraId="48AD62D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0,744</w:t>
            </w:r>
          </w:p>
        </w:tc>
        <w:tc>
          <w:tcPr>
            <w:tcW w:w="1086" w:type="dxa"/>
            <w:vAlign w:val="center"/>
          </w:tcPr>
          <w:p w14:paraId="3EB4D13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1,489</w:t>
            </w:r>
          </w:p>
        </w:tc>
        <w:tc>
          <w:tcPr>
            <w:tcW w:w="1085" w:type="dxa"/>
            <w:vAlign w:val="center"/>
          </w:tcPr>
          <w:p w14:paraId="39CB8E1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2,089</w:t>
            </w:r>
          </w:p>
        </w:tc>
        <w:tc>
          <w:tcPr>
            <w:tcW w:w="1086" w:type="dxa"/>
            <w:vAlign w:val="center"/>
          </w:tcPr>
          <w:p w14:paraId="5116D10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2,543</w:t>
            </w:r>
          </w:p>
        </w:tc>
        <w:tc>
          <w:tcPr>
            <w:tcW w:w="1086" w:type="dxa"/>
            <w:vAlign w:val="center"/>
          </w:tcPr>
          <w:p w14:paraId="735E277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2,896</w:t>
            </w:r>
          </w:p>
        </w:tc>
        <w:tc>
          <w:tcPr>
            <w:tcW w:w="1085" w:type="dxa"/>
            <w:vAlign w:val="center"/>
          </w:tcPr>
          <w:p w14:paraId="7E1C572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3,187</w:t>
            </w:r>
          </w:p>
        </w:tc>
        <w:tc>
          <w:tcPr>
            <w:tcW w:w="1086" w:type="dxa"/>
            <w:vAlign w:val="center"/>
          </w:tcPr>
          <w:p w14:paraId="2048F82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3,424</w:t>
            </w:r>
          </w:p>
        </w:tc>
        <w:tc>
          <w:tcPr>
            <w:tcW w:w="1085" w:type="dxa"/>
            <w:vAlign w:val="center"/>
          </w:tcPr>
          <w:p w14:paraId="2A64701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3,622</w:t>
            </w:r>
          </w:p>
        </w:tc>
        <w:tc>
          <w:tcPr>
            <w:tcW w:w="1086" w:type="dxa"/>
            <w:vAlign w:val="center"/>
          </w:tcPr>
          <w:p w14:paraId="6A2D1B9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3,788</w:t>
            </w:r>
          </w:p>
        </w:tc>
        <w:tc>
          <w:tcPr>
            <w:tcW w:w="1086" w:type="dxa"/>
            <w:vAlign w:val="center"/>
          </w:tcPr>
          <w:p w14:paraId="5F8845A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3,923</w:t>
            </w:r>
          </w:p>
        </w:tc>
      </w:tr>
      <w:tr w:rsidR="005A5BD5" w:rsidRPr="00CA3519" w14:paraId="219D325F" w14:textId="77777777" w:rsidTr="009B6E1B">
        <w:trPr>
          <w:trHeight w:val="397"/>
          <w:jc w:val="center"/>
        </w:trPr>
        <w:tc>
          <w:tcPr>
            <w:tcW w:w="2113" w:type="dxa"/>
            <w:vAlign w:val="center"/>
          </w:tcPr>
          <w:p w14:paraId="29327D8A"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September 2009</w:t>
            </w:r>
          </w:p>
        </w:tc>
        <w:tc>
          <w:tcPr>
            <w:tcW w:w="2113" w:type="dxa"/>
            <w:vAlign w:val="center"/>
          </w:tcPr>
          <w:p w14:paraId="1106D12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21.09.2009 - Ausg. 2</w:t>
            </w:r>
          </w:p>
        </w:tc>
        <w:tc>
          <w:tcPr>
            <w:tcW w:w="1085" w:type="dxa"/>
            <w:vAlign w:val="center"/>
          </w:tcPr>
          <w:p w14:paraId="4D91A91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0,716</w:t>
            </w:r>
          </w:p>
        </w:tc>
        <w:tc>
          <w:tcPr>
            <w:tcW w:w="1086" w:type="dxa"/>
            <w:vAlign w:val="center"/>
          </w:tcPr>
          <w:p w14:paraId="6810C9D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1,489</w:t>
            </w:r>
          </w:p>
        </w:tc>
        <w:tc>
          <w:tcPr>
            <w:tcW w:w="1085" w:type="dxa"/>
            <w:vAlign w:val="center"/>
          </w:tcPr>
          <w:p w14:paraId="671C524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2,080</w:t>
            </w:r>
          </w:p>
        </w:tc>
        <w:tc>
          <w:tcPr>
            <w:tcW w:w="1086" w:type="dxa"/>
            <w:vAlign w:val="center"/>
          </w:tcPr>
          <w:p w14:paraId="448DAD2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2,497</w:t>
            </w:r>
          </w:p>
        </w:tc>
        <w:tc>
          <w:tcPr>
            <w:tcW w:w="1086" w:type="dxa"/>
            <w:vAlign w:val="center"/>
          </w:tcPr>
          <w:p w14:paraId="0A38D44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2,807</w:t>
            </w:r>
          </w:p>
        </w:tc>
        <w:tc>
          <w:tcPr>
            <w:tcW w:w="1085" w:type="dxa"/>
            <w:vAlign w:val="center"/>
          </w:tcPr>
          <w:p w14:paraId="4134DEE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3,056</w:t>
            </w:r>
          </w:p>
        </w:tc>
        <w:tc>
          <w:tcPr>
            <w:tcW w:w="1086" w:type="dxa"/>
            <w:vAlign w:val="center"/>
          </w:tcPr>
          <w:p w14:paraId="2458B48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3,272</w:t>
            </w:r>
          </w:p>
        </w:tc>
        <w:tc>
          <w:tcPr>
            <w:tcW w:w="1085" w:type="dxa"/>
            <w:vAlign w:val="center"/>
          </w:tcPr>
          <w:p w14:paraId="7A11E8F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3,472</w:t>
            </w:r>
          </w:p>
        </w:tc>
        <w:tc>
          <w:tcPr>
            <w:tcW w:w="1086" w:type="dxa"/>
            <w:vAlign w:val="center"/>
          </w:tcPr>
          <w:p w14:paraId="1C22603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3,656</w:t>
            </w:r>
          </w:p>
        </w:tc>
        <w:tc>
          <w:tcPr>
            <w:tcW w:w="1086" w:type="dxa"/>
            <w:vAlign w:val="center"/>
          </w:tcPr>
          <w:p w14:paraId="6DD1B86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3,809</w:t>
            </w:r>
          </w:p>
        </w:tc>
      </w:tr>
      <w:tr w:rsidR="005A5BD5" w:rsidRPr="00CA3519" w14:paraId="02B06786" w14:textId="77777777" w:rsidTr="009B6E1B">
        <w:trPr>
          <w:trHeight w:val="397"/>
          <w:jc w:val="center"/>
        </w:trPr>
        <w:tc>
          <w:tcPr>
            <w:tcW w:w="2113" w:type="dxa"/>
            <w:vAlign w:val="center"/>
          </w:tcPr>
          <w:p w14:paraId="26A23B42" w14:textId="77777777" w:rsidR="005A5BD5" w:rsidRPr="00CA3519" w:rsidRDefault="005A5BD5" w:rsidP="004C2C7D">
            <w:pPr>
              <w:rPr>
                <w:rFonts w:eastAsia="Calibri"/>
                <w:sz w:val="17"/>
                <w:szCs w:val="17"/>
                <w:lang w:eastAsia="en-US"/>
              </w:rPr>
            </w:pPr>
            <w:r w:rsidRPr="00CA3519">
              <w:rPr>
                <w:rFonts w:eastAsia="Calibri"/>
                <w:sz w:val="17"/>
                <w:szCs w:val="17"/>
                <w:lang w:eastAsia="en-US"/>
              </w:rPr>
              <w:t>Oktober 2009</w:t>
            </w:r>
          </w:p>
        </w:tc>
        <w:tc>
          <w:tcPr>
            <w:tcW w:w="2113" w:type="dxa"/>
            <w:vAlign w:val="center"/>
          </w:tcPr>
          <w:p w14:paraId="38C8172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20.10.2009 - Ausg. 2</w:t>
            </w:r>
          </w:p>
        </w:tc>
        <w:tc>
          <w:tcPr>
            <w:tcW w:w="1085" w:type="dxa"/>
            <w:vAlign w:val="center"/>
          </w:tcPr>
          <w:p w14:paraId="6F2D64F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0,681</w:t>
            </w:r>
          </w:p>
        </w:tc>
        <w:tc>
          <w:tcPr>
            <w:tcW w:w="1086" w:type="dxa"/>
            <w:vAlign w:val="center"/>
          </w:tcPr>
          <w:p w14:paraId="3B877F9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1,365</w:t>
            </w:r>
          </w:p>
        </w:tc>
        <w:tc>
          <w:tcPr>
            <w:tcW w:w="1085" w:type="dxa"/>
            <w:vAlign w:val="center"/>
          </w:tcPr>
          <w:p w14:paraId="5835D91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1,927</w:t>
            </w:r>
          </w:p>
        </w:tc>
        <w:tc>
          <w:tcPr>
            <w:tcW w:w="1086" w:type="dxa"/>
            <w:vAlign w:val="center"/>
          </w:tcPr>
          <w:p w14:paraId="24D5DAB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2,364</w:t>
            </w:r>
          </w:p>
        </w:tc>
        <w:tc>
          <w:tcPr>
            <w:tcW w:w="1086" w:type="dxa"/>
            <w:vAlign w:val="center"/>
          </w:tcPr>
          <w:p w14:paraId="3B33668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2,694</w:t>
            </w:r>
          </w:p>
        </w:tc>
        <w:tc>
          <w:tcPr>
            <w:tcW w:w="1085" w:type="dxa"/>
            <w:vAlign w:val="center"/>
          </w:tcPr>
          <w:p w14:paraId="3DF14C0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2,951</w:t>
            </w:r>
          </w:p>
        </w:tc>
        <w:tc>
          <w:tcPr>
            <w:tcW w:w="1086" w:type="dxa"/>
            <w:vAlign w:val="center"/>
          </w:tcPr>
          <w:p w14:paraId="6CFE22C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3,172</w:t>
            </w:r>
          </w:p>
        </w:tc>
        <w:tc>
          <w:tcPr>
            <w:tcW w:w="1085" w:type="dxa"/>
            <w:vAlign w:val="center"/>
          </w:tcPr>
          <w:p w14:paraId="6C88E04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3,390</w:t>
            </w:r>
          </w:p>
        </w:tc>
        <w:tc>
          <w:tcPr>
            <w:tcW w:w="1086" w:type="dxa"/>
            <w:vAlign w:val="center"/>
          </w:tcPr>
          <w:p w14:paraId="5A11797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3,592</w:t>
            </w:r>
          </w:p>
        </w:tc>
        <w:tc>
          <w:tcPr>
            <w:tcW w:w="1086" w:type="dxa"/>
            <w:vAlign w:val="center"/>
          </w:tcPr>
          <w:p w14:paraId="6B6E549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3,766</w:t>
            </w:r>
          </w:p>
        </w:tc>
      </w:tr>
      <w:tr w:rsidR="005A5BD5" w:rsidRPr="00CA3519" w14:paraId="05EC028B" w14:textId="77777777" w:rsidTr="009B6E1B">
        <w:trPr>
          <w:trHeight w:val="397"/>
          <w:jc w:val="center"/>
        </w:trPr>
        <w:tc>
          <w:tcPr>
            <w:tcW w:w="2113" w:type="dxa"/>
            <w:vAlign w:val="center"/>
          </w:tcPr>
          <w:p w14:paraId="44802F8F"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November 2009</w:t>
            </w:r>
          </w:p>
        </w:tc>
        <w:tc>
          <w:tcPr>
            <w:tcW w:w="2113" w:type="dxa"/>
            <w:vAlign w:val="center"/>
          </w:tcPr>
          <w:p w14:paraId="04AD5D6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20.11.2009 - Ausg. 2</w:t>
            </w:r>
          </w:p>
        </w:tc>
        <w:tc>
          <w:tcPr>
            <w:tcW w:w="1085" w:type="dxa"/>
            <w:vAlign w:val="center"/>
          </w:tcPr>
          <w:p w14:paraId="09E57B8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0,800</w:t>
            </w:r>
          </w:p>
        </w:tc>
        <w:tc>
          <w:tcPr>
            <w:tcW w:w="1086" w:type="dxa"/>
            <w:vAlign w:val="center"/>
          </w:tcPr>
          <w:p w14:paraId="43C0E9F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1,460</w:t>
            </w:r>
          </w:p>
        </w:tc>
        <w:tc>
          <w:tcPr>
            <w:tcW w:w="1085" w:type="dxa"/>
            <w:vAlign w:val="center"/>
          </w:tcPr>
          <w:p w14:paraId="5ADBC51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2,000</w:t>
            </w:r>
          </w:p>
        </w:tc>
        <w:tc>
          <w:tcPr>
            <w:tcW w:w="1086" w:type="dxa"/>
            <w:vAlign w:val="center"/>
          </w:tcPr>
          <w:p w14:paraId="3C2453C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2,415</w:t>
            </w:r>
          </w:p>
        </w:tc>
        <w:tc>
          <w:tcPr>
            <w:tcW w:w="1086" w:type="dxa"/>
            <w:vAlign w:val="center"/>
          </w:tcPr>
          <w:p w14:paraId="58AEC60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2,727</w:t>
            </w:r>
          </w:p>
        </w:tc>
        <w:tc>
          <w:tcPr>
            <w:tcW w:w="1085" w:type="dxa"/>
            <w:vAlign w:val="center"/>
          </w:tcPr>
          <w:p w14:paraId="43EF87A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2,968</w:t>
            </w:r>
          </w:p>
        </w:tc>
        <w:tc>
          <w:tcPr>
            <w:tcW w:w="1086" w:type="dxa"/>
            <w:vAlign w:val="center"/>
          </w:tcPr>
          <w:p w14:paraId="573409B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3,181</w:t>
            </w:r>
          </w:p>
        </w:tc>
        <w:tc>
          <w:tcPr>
            <w:tcW w:w="1085" w:type="dxa"/>
            <w:vAlign w:val="center"/>
          </w:tcPr>
          <w:p w14:paraId="026517C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3,400</w:t>
            </w:r>
          </w:p>
        </w:tc>
        <w:tc>
          <w:tcPr>
            <w:tcW w:w="1086" w:type="dxa"/>
            <w:vAlign w:val="center"/>
          </w:tcPr>
          <w:p w14:paraId="7B4E21E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3,610</w:t>
            </w:r>
          </w:p>
        </w:tc>
        <w:tc>
          <w:tcPr>
            <w:tcW w:w="1086" w:type="dxa"/>
            <w:vAlign w:val="center"/>
          </w:tcPr>
          <w:p w14:paraId="7F76A6D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3,790</w:t>
            </w:r>
          </w:p>
        </w:tc>
      </w:tr>
      <w:tr w:rsidR="005A5BD5" w:rsidRPr="00CA3519" w14:paraId="256AE57B" w14:textId="77777777" w:rsidTr="009B6E1B">
        <w:trPr>
          <w:trHeight w:val="397"/>
          <w:jc w:val="center"/>
        </w:trPr>
        <w:tc>
          <w:tcPr>
            <w:tcW w:w="2113" w:type="dxa"/>
            <w:vAlign w:val="center"/>
          </w:tcPr>
          <w:p w14:paraId="4A2A4006" w14:textId="77777777" w:rsidR="005A5BD5" w:rsidRPr="00CA3519" w:rsidRDefault="005A5BD5" w:rsidP="004C2C7D">
            <w:pPr>
              <w:rPr>
                <w:rFonts w:eastAsia="Calibri"/>
                <w:sz w:val="17"/>
                <w:szCs w:val="17"/>
                <w:lang w:eastAsia="en-US"/>
              </w:rPr>
            </w:pPr>
            <w:r w:rsidRPr="00CA3519">
              <w:rPr>
                <w:rFonts w:eastAsia="Calibri"/>
                <w:sz w:val="17"/>
                <w:szCs w:val="17"/>
                <w:lang w:eastAsia="en-US"/>
              </w:rPr>
              <w:t>Dezember 2009</w:t>
            </w:r>
          </w:p>
        </w:tc>
        <w:tc>
          <w:tcPr>
            <w:tcW w:w="2113" w:type="dxa"/>
            <w:vAlign w:val="center"/>
          </w:tcPr>
          <w:p w14:paraId="51E7027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21.12.2009 - Ausg. 1</w:t>
            </w:r>
          </w:p>
        </w:tc>
        <w:tc>
          <w:tcPr>
            <w:tcW w:w="1085" w:type="dxa"/>
            <w:vAlign w:val="center"/>
          </w:tcPr>
          <w:p w14:paraId="26576D3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0,760</w:t>
            </w:r>
          </w:p>
        </w:tc>
        <w:tc>
          <w:tcPr>
            <w:tcW w:w="1086" w:type="dxa"/>
            <w:vAlign w:val="center"/>
          </w:tcPr>
          <w:p w14:paraId="0305E83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1,399</w:t>
            </w:r>
          </w:p>
        </w:tc>
        <w:tc>
          <w:tcPr>
            <w:tcW w:w="1085" w:type="dxa"/>
            <w:vAlign w:val="center"/>
          </w:tcPr>
          <w:p w14:paraId="14A97A6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1,930</w:t>
            </w:r>
          </w:p>
        </w:tc>
        <w:tc>
          <w:tcPr>
            <w:tcW w:w="1086" w:type="dxa"/>
            <w:vAlign w:val="center"/>
          </w:tcPr>
          <w:p w14:paraId="44C918F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2,342</w:t>
            </w:r>
          </w:p>
        </w:tc>
        <w:tc>
          <w:tcPr>
            <w:tcW w:w="1086" w:type="dxa"/>
            <w:vAlign w:val="center"/>
          </w:tcPr>
          <w:p w14:paraId="71CF5C8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2,649</w:t>
            </w:r>
          </w:p>
        </w:tc>
        <w:tc>
          <w:tcPr>
            <w:tcW w:w="1085" w:type="dxa"/>
            <w:vAlign w:val="center"/>
          </w:tcPr>
          <w:p w14:paraId="3B1E562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2,884</w:t>
            </w:r>
          </w:p>
        </w:tc>
        <w:tc>
          <w:tcPr>
            <w:tcW w:w="1086" w:type="dxa"/>
            <w:vAlign w:val="center"/>
          </w:tcPr>
          <w:p w14:paraId="15DAFFC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3,098</w:t>
            </w:r>
          </w:p>
        </w:tc>
        <w:tc>
          <w:tcPr>
            <w:tcW w:w="1085" w:type="dxa"/>
            <w:vAlign w:val="center"/>
          </w:tcPr>
          <w:p w14:paraId="0D93AD0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3,325</w:t>
            </w:r>
          </w:p>
        </w:tc>
        <w:tc>
          <w:tcPr>
            <w:tcW w:w="1086" w:type="dxa"/>
            <w:vAlign w:val="center"/>
          </w:tcPr>
          <w:p w14:paraId="75615AF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3,545</w:t>
            </w:r>
          </w:p>
        </w:tc>
        <w:tc>
          <w:tcPr>
            <w:tcW w:w="1086" w:type="dxa"/>
            <w:vAlign w:val="center"/>
          </w:tcPr>
          <w:p w14:paraId="32EC119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3,734]</w:t>
            </w:r>
          </w:p>
        </w:tc>
      </w:tr>
      <w:tr w:rsidR="005A5BD5" w:rsidRPr="00CA3519" w14:paraId="72DFA0AF" w14:textId="77777777" w:rsidTr="009B6E1B">
        <w:trPr>
          <w:trHeight w:val="397"/>
          <w:jc w:val="center"/>
        </w:trPr>
        <w:tc>
          <w:tcPr>
            <w:tcW w:w="2113" w:type="dxa"/>
            <w:vAlign w:val="center"/>
          </w:tcPr>
          <w:p w14:paraId="10F2788D"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[Januar 2010</w:t>
            </w:r>
          </w:p>
        </w:tc>
        <w:tc>
          <w:tcPr>
            <w:tcW w:w="2113" w:type="dxa"/>
            <w:vAlign w:val="center"/>
          </w:tcPr>
          <w:p w14:paraId="41077D0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25.01.2010 - Ausg. 2</w:t>
            </w:r>
          </w:p>
        </w:tc>
        <w:tc>
          <w:tcPr>
            <w:tcW w:w="1085" w:type="dxa"/>
            <w:vAlign w:val="center"/>
          </w:tcPr>
          <w:p w14:paraId="5754848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0,774</w:t>
            </w:r>
          </w:p>
        </w:tc>
        <w:tc>
          <w:tcPr>
            <w:tcW w:w="1086" w:type="dxa"/>
            <w:vAlign w:val="center"/>
          </w:tcPr>
          <w:p w14:paraId="606C389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1,359</w:t>
            </w:r>
          </w:p>
        </w:tc>
        <w:tc>
          <w:tcPr>
            <w:tcW w:w="1085" w:type="dxa"/>
            <w:vAlign w:val="center"/>
          </w:tcPr>
          <w:p w14:paraId="32C37F4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1,887</w:t>
            </w:r>
          </w:p>
        </w:tc>
        <w:tc>
          <w:tcPr>
            <w:tcW w:w="1086" w:type="dxa"/>
            <w:vAlign w:val="center"/>
          </w:tcPr>
          <w:p w14:paraId="10F7784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2,302</w:t>
            </w:r>
          </w:p>
        </w:tc>
        <w:tc>
          <w:tcPr>
            <w:tcW w:w="1086" w:type="dxa"/>
            <w:vAlign w:val="center"/>
          </w:tcPr>
          <w:p w14:paraId="00CE045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2,625</w:t>
            </w:r>
          </w:p>
        </w:tc>
        <w:tc>
          <w:tcPr>
            <w:tcW w:w="1085" w:type="dxa"/>
            <w:vAlign w:val="center"/>
          </w:tcPr>
          <w:p w14:paraId="7A88B76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2,911</w:t>
            </w:r>
          </w:p>
        </w:tc>
        <w:tc>
          <w:tcPr>
            <w:tcW w:w="1086" w:type="dxa"/>
            <w:vAlign w:val="center"/>
          </w:tcPr>
          <w:p w14:paraId="69F0965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3,173</w:t>
            </w:r>
          </w:p>
        </w:tc>
        <w:tc>
          <w:tcPr>
            <w:tcW w:w="1085" w:type="dxa"/>
            <w:vAlign w:val="center"/>
          </w:tcPr>
          <w:p w14:paraId="4DC3E47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3,402</w:t>
            </w:r>
          </w:p>
        </w:tc>
        <w:tc>
          <w:tcPr>
            <w:tcW w:w="1086" w:type="dxa"/>
            <w:vAlign w:val="center"/>
          </w:tcPr>
          <w:p w14:paraId="6F207BC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3,600</w:t>
            </w:r>
          </w:p>
        </w:tc>
        <w:tc>
          <w:tcPr>
            <w:tcW w:w="1086" w:type="dxa"/>
            <w:vAlign w:val="center"/>
          </w:tcPr>
          <w:p w14:paraId="4C3A47C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3,764</w:t>
            </w:r>
          </w:p>
        </w:tc>
      </w:tr>
      <w:tr w:rsidR="005A5BD5" w:rsidRPr="00CA3519" w14:paraId="74824CC1" w14:textId="77777777" w:rsidTr="009B6E1B">
        <w:trPr>
          <w:trHeight w:val="397"/>
          <w:jc w:val="center"/>
        </w:trPr>
        <w:tc>
          <w:tcPr>
            <w:tcW w:w="2113" w:type="dxa"/>
            <w:vAlign w:val="center"/>
          </w:tcPr>
          <w:p w14:paraId="08245728"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Februar 2010</w:t>
            </w:r>
          </w:p>
        </w:tc>
        <w:tc>
          <w:tcPr>
            <w:tcW w:w="2113" w:type="dxa"/>
            <w:vAlign w:val="center"/>
          </w:tcPr>
          <w:p w14:paraId="75305D7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19.02.2010 - Ausg. 3</w:t>
            </w:r>
          </w:p>
        </w:tc>
        <w:tc>
          <w:tcPr>
            <w:tcW w:w="1085" w:type="dxa"/>
            <w:vAlign w:val="center"/>
          </w:tcPr>
          <w:p w14:paraId="5B7F7AF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0,695</w:t>
            </w:r>
          </w:p>
        </w:tc>
        <w:tc>
          <w:tcPr>
            <w:tcW w:w="1086" w:type="dxa"/>
            <w:vAlign w:val="center"/>
          </w:tcPr>
          <w:p w14:paraId="449C7D8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1,306</w:t>
            </w:r>
          </w:p>
        </w:tc>
        <w:tc>
          <w:tcPr>
            <w:tcW w:w="1085" w:type="dxa"/>
            <w:vAlign w:val="center"/>
          </w:tcPr>
          <w:p w14:paraId="4288F8F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1,851</w:t>
            </w:r>
          </w:p>
        </w:tc>
        <w:tc>
          <w:tcPr>
            <w:tcW w:w="1086" w:type="dxa"/>
            <w:vAlign w:val="center"/>
          </w:tcPr>
          <w:p w14:paraId="1BC4E44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2,278</w:t>
            </w:r>
          </w:p>
        </w:tc>
        <w:tc>
          <w:tcPr>
            <w:tcW w:w="1086" w:type="dxa"/>
            <w:vAlign w:val="center"/>
          </w:tcPr>
          <w:p w14:paraId="6B76D7A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2,606</w:t>
            </w:r>
          </w:p>
        </w:tc>
        <w:tc>
          <w:tcPr>
            <w:tcW w:w="1085" w:type="dxa"/>
            <w:vAlign w:val="center"/>
          </w:tcPr>
          <w:p w14:paraId="493CFE2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2,880</w:t>
            </w:r>
          </w:p>
        </w:tc>
        <w:tc>
          <w:tcPr>
            <w:tcW w:w="1086" w:type="dxa"/>
            <w:vAlign w:val="center"/>
          </w:tcPr>
          <w:p w14:paraId="43EF3D8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3,123</w:t>
            </w:r>
          </w:p>
        </w:tc>
        <w:tc>
          <w:tcPr>
            <w:tcW w:w="1085" w:type="dxa"/>
            <w:vAlign w:val="center"/>
          </w:tcPr>
          <w:p w14:paraId="4C18BE6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3,340</w:t>
            </w:r>
          </w:p>
        </w:tc>
        <w:tc>
          <w:tcPr>
            <w:tcW w:w="1086" w:type="dxa"/>
            <w:vAlign w:val="center"/>
          </w:tcPr>
          <w:p w14:paraId="6C4C9AF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3,535</w:t>
            </w:r>
          </w:p>
        </w:tc>
        <w:tc>
          <w:tcPr>
            <w:tcW w:w="1086" w:type="dxa"/>
            <w:vAlign w:val="center"/>
          </w:tcPr>
          <w:p w14:paraId="51E25FC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3,698</w:t>
            </w:r>
          </w:p>
        </w:tc>
      </w:tr>
      <w:tr w:rsidR="005A5BD5" w:rsidRPr="00CA3519" w14:paraId="1D4488EC" w14:textId="77777777" w:rsidTr="009B6E1B">
        <w:trPr>
          <w:trHeight w:val="397"/>
          <w:jc w:val="center"/>
        </w:trPr>
        <w:tc>
          <w:tcPr>
            <w:tcW w:w="2113" w:type="dxa"/>
            <w:vAlign w:val="center"/>
          </w:tcPr>
          <w:p w14:paraId="45C79008"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März 2010</w:t>
            </w:r>
          </w:p>
        </w:tc>
        <w:tc>
          <w:tcPr>
            <w:tcW w:w="2113" w:type="dxa"/>
            <w:vAlign w:val="center"/>
          </w:tcPr>
          <w:p w14:paraId="13ED6FE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22.03.2010</w:t>
            </w:r>
          </w:p>
        </w:tc>
        <w:tc>
          <w:tcPr>
            <w:tcW w:w="1085" w:type="dxa"/>
            <w:vAlign w:val="center"/>
          </w:tcPr>
          <w:p w14:paraId="16EBBBF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0,601</w:t>
            </w:r>
          </w:p>
        </w:tc>
        <w:tc>
          <w:tcPr>
            <w:tcW w:w="1086" w:type="dxa"/>
            <w:vAlign w:val="center"/>
          </w:tcPr>
          <w:p w14:paraId="6C9645D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1,140</w:t>
            </w:r>
          </w:p>
        </w:tc>
        <w:tc>
          <w:tcPr>
            <w:tcW w:w="1085" w:type="dxa"/>
            <w:vAlign w:val="center"/>
          </w:tcPr>
          <w:p w14:paraId="5C02773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1,649</w:t>
            </w:r>
          </w:p>
        </w:tc>
        <w:tc>
          <w:tcPr>
            <w:tcW w:w="1086" w:type="dxa"/>
            <w:vAlign w:val="center"/>
          </w:tcPr>
          <w:p w14:paraId="65A53E1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2,099</w:t>
            </w:r>
          </w:p>
        </w:tc>
        <w:tc>
          <w:tcPr>
            <w:tcW w:w="1086" w:type="dxa"/>
            <w:vAlign w:val="center"/>
          </w:tcPr>
          <w:p w14:paraId="0F4BFDE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2,482</w:t>
            </w:r>
          </w:p>
        </w:tc>
        <w:tc>
          <w:tcPr>
            <w:tcW w:w="1085" w:type="dxa"/>
            <w:vAlign w:val="center"/>
          </w:tcPr>
          <w:p w14:paraId="71576E7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2,795</w:t>
            </w:r>
          </w:p>
        </w:tc>
        <w:tc>
          <w:tcPr>
            <w:tcW w:w="1086" w:type="dxa"/>
            <w:vAlign w:val="center"/>
          </w:tcPr>
          <w:p w14:paraId="4234A66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3,052</w:t>
            </w:r>
          </w:p>
        </w:tc>
        <w:tc>
          <w:tcPr>
            <w:tcW w:w="1085" w:type="dxa"/>
            <w:vAlign w:val="center"/>
          </w:tcPr>
          <w:p w14:paraId="78E00CC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3,272</w:t>
            </w:r>
          </w:p>
        </w:tc>
        <w:tc>
          <w:tcPr>
            <w:tcW w:w="1086" w:type="dxa"/>
            <w:vAlign w:val="center"/>
          </w:tcPr>
          <w:p w14:paraId="46577FA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3,460</w:t>
            </w:r>
          </w:p>
        </w:tc>
        <w:tc>
          <w:tcPr>
            <w:tcW w:w="1086" w:type="dxa"/>
            <w:vAlign w:val="center"/>
          </w:tcPr>
          <w:p w14:paraId="25C8A3E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3,616</w:t>
            </w:r>
          </w:p>
        </w:tc>
      </w:tr>
      <w:tr w:rsidR="005A5BD5" w:rsidRPr="00CA3519" w14:paraId="2C80B975" w14:textId="77777777" w:rsidTr="009B6E1B">
        <w:trPr>
          <w:trHeight w:val="397"/>
          <w:jc w:val="center"/>
        </w:trPr>
        <w:tc>
          <w:tcPr>
            <w:tcW w:w="2113" w:type="dxa"/>
            <w:vAlign w:val="center"/>
          </w:tcPr>
          <w:p w14:paraId="69457B75"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April 2010</w:t>
            </w:r>
          </w:p>
        </w:tc>
        <w:tc>
          <w:tcPr>
            <w:tcW w:w="2113" w:type="dxa"/>
            <w:vAlign w:val="center"/>
          </w:tcPr>
          <w:p w14:paraId="299E1A6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19.04.2010</w:t>
            </w:r>
          </w:p>
        </w:tc>
        <w:tc>
          <w:tcPr>
            <w:tcW w:w="1085" w:type="dxa"/>
            <w:vAlign w:val="center"/>
          </w:tcPr>
          <w:p w14:paraId="3167FEF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0,638</w:t>
            </w:r>
          </w:p>
        </w:tc>
        <w:tc>
          <w:tcPr>
            <w:tcW w:w="1086" w:type="dxa"/>
            <w:vAlign w:val="center"/>
          </w:tcPr>
          <w:p w14:paraId="7DAE2FB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1,078</w:t>
            </w:r>
          </w:p>
        </w:tc>
        <w:tc>
          <w:tcPr>
            <w:tcW w:w="1085" w:type="dxa"/>
            <w:vAlign w:val="center"/>
          </w:tcPr>
          <w:p w14:paraId="1E6A3AD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1,531</w:t>
            </w:r>
          </w:p>
        </w:tc>
        <w:tc>
          <w:tcPr>
            <w:tcW w:w="1086" w:type="dxa"/>
            <w:vAlign w:val="center"/>
          </w:tcPr>
          <w:p w14:paraId="6C60AB4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1,992</w:t>
            </w:r>
          </w:p>
        </w:tc>
        <w:tc>
          <w:tcPr>
            <w:tcW w:w="1086" w:type="dxa"/>
            <w:vAlign w:val="center"/>
          </w:tcPr>
          <w:p w14:paraId="5397230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2,407</w:t>
            </w:r>
          </w:p>
        </w:tc>
        <w:tc>
          <w:tcPr>
            <w:tcW w:w="1085" w:type="dxa"/>
            <w:vAlign w:val="center"/>
          </w:tcPr>
          <w:p w14:paraId="6827766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2,727</w:t>
            </w:r>
          </w:p>
        </w:tc>
        <w:tc>
          <w:tcPr>
            <w:tcW w:w="1086" w:type="dxa"/>
            <w:vAlign w:val="center"/>
          </w:tcPr>
          <w:p w14:paraId="4CF6CD8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2,974</w:t>
            </w:r>
          </w:p>
        </w:tc>
        <w:tc>
          <w:tcPr>
            <w:tcW w:w="1085" w:type="dxa"/>
            <w:vAlign w:val="center"/>
          </w:tcPr>
          <w:p w14:paraId="333761A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3,187</w:t>
            </w:r>
          </w:p>
        </w:tc>
        <w:tc>
          <w:tcPr>
            <w:tcW w:w="1086" w:type="dxa"/>
            <w:vAlign w:val="center"/>
          </w:tcPr>
          <w:p w14:paraId="6EAAF51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3,370</w:t>
            </w:r>
          </w:p>
        </w:tc>
        <w:tc>
          <w:tcPr>
            <w:tcW w:w="1086" w:type="dxa"/>
            <w:vAlign w:val="center"/>
          </w:tcPr>
          <w:p w14:paraId="2F88C1D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3,526</w:t>
            </w:r>
          </w:p>
        </w:tc>
      </w:tr>
      <w:tr w:rsidR="005A5BD5" w:rsidRPr="00CA3519" w14:paraId="64B954E1" w14:textId="77777777" w:rsidTr="009B6E1B">
        <w:trPr>
          <w:trHeight w:val="397"/>
          <w:jc w:val="center"/>
        </w:trPr>
        <w:tc>
          <w:tcPr>
            <w:tcW w:w="2113" w:type="dxa"/>
            <w:vAlign w:val="center"/>
          </w:tcPr>
          <w:p w14:paraId="6157965E"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Mai 2010</w:t>
            </w:r>
          </w:p>
        </w:tc>
        <w:tc>
          <w:tcPr>
            <w:tcW w:w="2113" w:type="dxa"/>
            <w:vAlign w:val="center"/>
          </w:tcPr>
          <w:p w14:paraId="78307E5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20.05.2010 - Ausg. 3</w:t>
            </w:r>
          </w:p>
        </w:tc>
        <w:tc>
          <w:tcPr>
            <w:tcW w:w="1085" w:type="dxa"/>
            <w:vAlign w:val="center"/>
          </w:tcPr>
          <w:p w14:paraId="776AF86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0,618</w:t>
            </w:r>
          </w:p>
        </w:tc>
        <w:tc>
          <w:tcPr>
            <w:tcW w:w="1086" w:type="dxa"/>
            <w:vAlign w:val="center"/>
          </w:tcPr>
          <w:p w14:paraId="5DC7DDA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1,049</w:t>
            </w:r>
          </w:p>
        </w:tc>
        <w:tc>
          <w:tcPr>
            <w:tcW w:w="1085" w:type="dxa"/>
            <w:vAlign w:val="center"/>
          </w:tcPr>
          <w:p w14:paraId="579055D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1,500</w:t>
            </w:r>
          </w:p>
        </w:tc>
        <w:tc>
          <w:tcPr>
            <w:tcW w:w="1086" w:type="dxa"/>
            <w:vAlign w:val="center"/>
          </w:tcPr>
          <w:p w14:paraId="57392B8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1,970</w:t>
            </w:r>
          </w:p>
        </w:tc>
        <w:tc>
          <w:tcPr>
            <w:tcW w:w="1086" w:type="dxa"/>
            <w:vAlign w:val="center"/>
          </w:tcPr>
          <w:p w14:paraId="4748F7B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2,391</w:t>
            </w:r>
          </w:p>
        </w:tc>
        <w:tc>
          <w:tcPr>
            <w:tcW w:w="1085" w:type="dxa"/>
            <w:vAlign w:val="center"/>
          </w:tcPr>
          <w:p w14:paraId="555447D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2,707</w:t>
            </w:r>
          </w:p>
        </w:tc>
        <w:tc>
          <w:tcPr>
            <w:tcW w:w="1086" w:type="dxa"/>
            <w:vAlign w:val="center"/>
          </w:tcPr>
          <w:p w14:paraId="1D545EC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2,946</w:t>
            </w:r>
          </w:p>
        </w:tc>
        <w:tc>
          <w:tcPr>
            <w:tcW w:w="1085" w:type="dxa"/>
            <w:vAlign w:val="center"/>
          </w:tcPr>
          <w:p w14:paraId="48C45B5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3,150</w:t>
            </w:r>
          </w:p>
        </w:tc>
        <w:tc>
          <w:tcPr>
            <w:tcW w:w="1086" w:type="dxa"/>
            <w:vAlign w:val="center"/>
          </w:tcPr>
          <w:p w14:paraId="2FF2210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3,319</w:t>
            </w:r>
          </w:p>
        </w:tc>
        <w:tc>
          <w:tcPr>
            <w:tcW w:w="1086" w:type="dxa"/>
            <w:vAlign w:val="center"/>
          </w:tcPr>
          <w:p w14:paraId="76E906D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3,463</w:t>
            </w:r>
          </w:p>
        </w:tc>
      </w:tr>
      <w:tr w:rsidR="005A5BD5" w:rsidRPr="00CA3519" w14:paraId="6AE55BEC" w14:textId="77777777" w:rsidTr="009B6E1B">
        <w:trPr>
          <w:trHeight w:val="397"/>
          <w:jc w:val="center"/>
        </w:trPr>
        <w:tc>
          <w:tcPr>
            <w:tcW w:w="2113" w:type="dxa"/>
            <w:vAlign w:val="center"/>
          </w:tcPr>
          <w:p w14:paraId="34FA1AAC"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Juni 2010</w:t>
            </w:r>
          </w:p>
        </w:tc>
        <w:tc>
          <w:tcPr>
            <w:tcW w:w="2113" w:type="dxa"/>
            <w:vAlign w:val="center"/>
          </w:tcPr>
          <w:p w14:paraId="79DE17A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21.06.2010</w:t>
            </w:r>
          </w:p>
        </w:tc>
        <w:tc>
          <w:tcPr>
            <w:tcW w:w="1085" w:type="dxa"/>
            <w:vAlign w:val="center"/>
          </w:tcPr>
          <w:p w14:paraId="583DE2A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0,567</w:t>
            </w:r>
          </w:p>
        </w:tc>
        <w:tc>
          <w:tcPr>
            <w:tcW w:w="1086" w:type="dxa"/>
            <w:vAlign w:val="center"/>
          </w:tcPr>
          <w:p w14:paraId="592C955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0,943</w:t>
            </w:r>
          </w:p>
        </w:tc>
        <w:tc>
          <w:tcPr>
            <w:tcW w:w="1085" w:type="dxa"/>
            <w:vAlign w:val="center"/>
          </w:tcPr>
          <w:p w14:paraId="1E6A8D7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1,361</w:t>
            </w:r>
          </w:p>
        </w:tc>
        <w:tc>
          <w:tcPr>
            <w:tcW w:w="1086" w:type="dxa"/>
            <w:vAlign w:val="center"/>
          </w:tcPr>
          <w:p w14:paraId="78C2CE8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1,817</w:t>
            </w:r>
          </w:p>
        </w:tc>
        <w:tc>
          <w:tcPr>
            <w:tcW w:w="1086" w:type="dxa"/>
            <w:vAlign w:val="center"/>
          </w:tcPr>
          <w:p w14:paraId="647ABE6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2,234</w:t>
            </w:r>
          </w:p>
        </w:tc>
        <w:tc>
          <w:tcPr>
            <w:tcW w:w="1085" w:type="dxa"/>
            <w:vAlign w:val="center"/>
          </w:tcPr>
          <w:p w14:paraId="53E764D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2,547</w:t>
            </w:r>
          </w:p>
        </w:tc>
        <w:tc>
          <w:tcPr>
            <w:tcW w:w="1086" w:type="dxa"/>
            <w:vAlign w:val="center"/>
          </w:tcPr>
          <w:p w14:paraId="6F14436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2,784</w:t>
            </w:r>
          </w:p>
        </w:tc>
        <w:tc>
          <w:tcPr>
            <w:tcW w:w="1085" w:type="dxa"/>
            <w:vAlign w:val="center"/>
          </w:tcPr>
          <w:p w14:paraId="776AA23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2,976</w:t>
            </w:r>
          </w:p>
        </w:tc>
        <w:tc>
          <w:tcPr>
            <w:tcW w:w="1086" w:type="dxa"/>
            <w:vAlign w:val="center"/>
          </w:tcPr>
          <w:p w14:paraId="50DD925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3,133</w:t>
            </w:r>
          </w:p>
        </w:tc>
        <w:tc>
          <w:tcPr>
            <w:tcW w:w="1086" w:type="dxa"/>
            <w:vAlign w:val="center"/>
          </w:tcPr>
          <w:p w14:paraId="5F44BBC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3,263</w:t>
            </w:r>
          </w:p>
        </w:tc>
      </w:tr>
      <w:tr w:rsidR="005A5BD5" w:rsidRPr="00CA3519" w14:paraId="61E27E48" w14:textId="77777777" w:rsidTr="009B6E1B">
        <w:trPr>
          <w:trHeight w:val="397"/>
          <w:jc w:val="center"/>
        </w:trPr>
        <w:tc>
          <w:tcPr>
            <w:tcW w:w="2113" w:type="dxa"/>
            <w:vAlign w:val="center"/>
          </w:tcPr>
          <w:p w14:paraId="7C044C44"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Juli 2010</w:t>
            </w:r>
          </w:p>
        </w:tc>
        <w:tc>
          <w:tcPr>
            <w:tcW w:w="2113" w:type="dxa"/>
            <w:vAlign w:val="center"/>
          </w:tcPr>
          <w:p w14:paraId="4BEEBD5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20.07.2010 - Ausg. 2</w:t>
            </w:r>
          </w:p>
        </w:tc>
        <w:tc>
          <w:tcPr>
            <w:tcW w:w="1085" w:type="dxa"/>
            <w:vAlign w:val="center"/>
          </w:tcPr>
          <w:p w14:paraId="20E1CCE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0,678</w:t>
            </w:r>
          </w:p>
        </w:tc>
        <w:tc>
          <w:tcPr>
            <w:tcW w:w="1086" w:type="dxa"/>
            <w:vAlign w:val="center"/>
          </w:tcPr>
          <w:p w14:paraId="117F8DA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1,038</w:t>
            </w:r>
          </w:p>
        </w:tc>
        <w:tc>
          <w:tcPr>
            <w:tcW w:w="1085" w:type="dxa"/>
            <w:vAlign w:val="center"/>
          </w:tcPr>
          <w:p w14:paraId="6569BBD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1,456</w:t>
            </w:r>
          </w:p>
        </w:tc>
        <w:tc>
          <w:tcPr>
            <w:tcW w:w="1086" w:type="dxa"/>
            <w:vAlign w:val="center"/>
          </w:tcPr>
          <w:p w14:paraId="2458438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1,935</w:t>
            </w:r>
          </w:p>
        </w:tc>
        <w:tc>
          <w:tcPr>
            <w:tcW w:w="1086" w:type="dxa"/>
            <w:vAlign w:val="center"/>
          </w:tcPr>
          <w:p w14:paraId="6924829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2,370</w:t>
            </w:r>
          </w:p>
        </w:tc>
        <w:tc>
          <w:tcPr>
            <w:tcW w:w="1085" w:type="dxa"/>
            <w:vAlign w:val="center"/>
          </w:tcPr>
          <w:p w14:paraId="38B3ADA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2,691</w:t>
            </w:r>
          </w:p>
        </w:tc>
        <w:tc>
          <w:tcPr>
            <w:tcW w:w="1086" w:type="dxa"/>
            <w:vAlign w:val="center"/>
          </w:tcPr>
          <w:p w14:paraId="601AD49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2,930</w:t>
            </w:r>
          </w:p>
        </w:tc>
        <w:tc>
          <w:tcPr>
            <w:tcW w:w="1085" w:type="dxa"/>
            <w:vAlign w:val="center"/>
          </w:tcPr>
          <w:p w14:paraId="005A594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3,117</w:t>
            </w:r>
          </w:p>
        </w:tc>
        <w:tc>
          <w:tcPr>
            <w:tcW w:w="1086" w:type="dxa"/>
            <w:vAlign w:val="center"/>
          </w:tcPr>
          <w:p w14:paraId="2520E4D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3,263</w:t>
            </w:r>
          </w:p>
        </w:tc>
        <w:tc>
          <w:tcPr>
            <w:tcW w:w="1086" w:type="dxa"/>
            <w:vAlign w:val="center"/>
          </w:tcPr>
          <w:p w14:paraId="79F9093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3,382</w:t>
            </w:r>
          </w:p>
        </w:tc>
      </w:tr>
      <w:tr w:rsidR="005A5BD5" w:rsidRPr="00CA3519" w14:paraId="53955D04" w14:textId="77777777" w:rsidTr="009B6E1B">
        <w:trPr>
          <w:trHeight w:val="397"/>
          <w:jc w:val="center"/>
        </w:trPr>
        <w:tc>
          <w:tcPr>
            <w:tcW w:w="2113" w:type="dxa"/>
            <w:vAlign w:val="center"/>
          </w:tcPr>
          <w:p w14:paraId="49137622"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August 2010</w:t>
            </w:r>
          </w:p>
        </w:tc>
        <w:tc>
          <w:tcPr>
            <w:tcW w:w="2113" w:type="dxa"/>
            <w:vAlign w:val="center"/>
          </w:tcPr>
          <w:p w14:paraId="0AA7D85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20.08.2010 - Ausg. 3</w:t>
            </w:r>
          </w:p>
        </w:tc>
        <w:tc>
          <w:tcPr>
            <w:tcW w:w="1085" w:type="dxa"/>
            <w:vAlign w:val="center"/>
          </w:tcPr>
          <w:p w14:paraId="64240B6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0,718</w:t>
            </w:r>
          </w:p>
        </w:tc>
        <w:tc>
          <w:tcPr>
            <w:tcW w:w="1086" w:type="dxa"/>
            <w:vAlign w:val="center"/>
          </w:tcPr>
          <w:p w14:paraId="55D5466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1,019</w:t>
            </w:r>
          </w:p>
        </w:tc>
        <w:tc>
          <w:tcPr>
            <w:tcW w:w="1085" w:type="dxa"/>
            <w:vAlign w:val="center"/>
          </w:tcPr>
          <w:p w14:paraId="71FBBAA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1,400</w:t>
            </w:r>
          </w:p>
        </w:tc>
        <w:tc>
          <w:tcPr>
            <w:tcW w:w="1086" w:type="dxa"/>
            <w:vAlign w:val="center"/>
          </w:tcPr>
          <w:p w14:paraId="6134B0E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1,855</w:t>
            </w:r>
          </w:p>
        </w:tc>
        <w:tc>
          <w:tcPr>
            <w:tcW w:w="1086" w:type="dxa"/>
            <w:vAlign w:val="center"/>
          </w:tcPr>
          <w:p w14:paraId="3D742B2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2,264</w:t>
            </w:r>
          </w:p>
        </w:tc>
        <w:tc>
          <w:tcPr>
            <w:tcW w:w="1085" w:type="dxa"/>
            <w:vAlign w:val="center"/>
          </w:tcPr>
          <w:p w14:paraId="2CA8FDD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2,558</w:t>
            </w:r>
          </w:p>
        </w:tc>
        <w:tc>
          <w:tcPr>
            <w:tcW w:w="1086" w:type="dxa"/>
            <w:vAlign w:val="center"/>
          </w:tcPr>
          <w:p w14:paraId="6A20010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2,780</w:t>
            </w:r>
          </w:p>
        </w:tc>
        <w:tc>
          <w:tcPr>
            <w:tcW w:w="1085" w:type="dxa"/>
            <w:vAlign w:val="center"/>
          </w:tcPr>
          <w:p w14:paraId="68D4E33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2,962</w:t>
            </w:r>
          </w:p>
        </w:tc>
        <w:tc>
          <w:tcPr>
            <w:tcW w:w="1086" w:type="dxa"/>
            <w:vAlign w:val="center"/>
          </w:tcPr>
          <w:p w14:paraId="4A1D246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3,115</w:t>
            </w:r>
          </w:p>
        </w:tc>
        <w:tc>
          <w:tcPr>
            <w:tcW w:w="1086" w:type="dxa"/>
            <w:vAlign w:val="center"/>
          </w:tcPr>
          <w:p w14:paraId="5B0B179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3,241</w:t>
            </w:r>
          </w:p>
        </w:tc>
      </w:tr>
      <w:tr w:rsidR="005A5BD5" w:rsidRPr="00CA3519" w14:paraId="630F2623" w14:textId="77777777" w:rsidTr="009B6E1B">
        <w:trPr>
          <w:trHeight w:val="397"/>
          <w:jc w:val="center"/>
        </w:trPr>
        <w:tc>
          <w:tcPr>
            <w:tcW w:w="2113" w:type="dxa"/>
            <w:vAlign w:val="center"/>
          </w:tcPr>
          <w:p w14:paraId="241E35C7"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September 2010</w:t>
            </w:r>
          </w:p>
        </w:tc>
        <w:tc>
          <w:tcPr>
            <w:tcW w:w="2113" w:type="dxa"/>
            <w:vAlign w:val="center"/>
          </w:tcPr>
          <w:p w14:paraId="3601C62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20.09.2010 - Ausg. 2</w:t>
            </w:r>
          </w:p>
        </w:tc>
        <w:tc>
          <w:tcPr>
            <w:tcW w:w="1085" w:type="dxa"/>
            <w:vAlign w:val="center"/>
          </w:tcPr>
          <w:p w14:paraId="7D1C464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0,654</w:t>
            </w:r>
          </w:p>
        </w:tc>
        <w:tc>
          <w:tcPr>
            <w:tcW w:w="1086" w:type="dxa"/>
            <w:vAlign w:val="center"/>
          </w:tcPr>
          <w:p w14:paraId="40C0BF6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0,856</w:t>
            </w:r>
          </w:p>
        </w:tc>
        <w:tc>
          <w:tcPr>
            <w:tcW w:w="1085" w:type="dxa"/>
            <w:vAlign w:val="center"/>
          </w:tcPr>
          <w:p w14:paraId="3D7C83E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1,167</w:t>
            </w:r>
          </w:p>
        </w:tc>
        <w:tc>
          <w:tcPr>
            <w:tcW w:w="1086" w:type="dxa"/>
            <w:vAlign w:val="center"/>
          </w:tcPr>
          <w:p w14:paraId="6CDCFD7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1,583</w:t>
            </w:r>
          </w:p>
        </w:tc>
        <w:tc>
          <w:tcPr>
            <w:tcW w:w="1086" w:type="dxa"/>
            <w:vAlign w:val="center"/>
          </w:tcPr>
          <w:p w14:paraId="74F3F80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1,969</w:t>
            </w:r>
          </w:p>
        </w:tc>
        <w:tc>
          <w:tcPr>
            <w:tcW w:w="1085" w:type="dxa"/>
            <w:vAlign w:val="center"/>
          </w:tcPr>
          <w:p w14:paraId="4E7ED08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2,253</w:t>
            </w:r>
          </w:p>
        </w:tc>
        <w:tc>
          <w:tcPr>
            <w:tcW w:w="1086" w:type="dxa"/>
            <w:vAlign w:val="center"/>
          </w:tcPr>
          <w:p w14:paraId="7212967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2,477</w:t>
            </w:r>
          </w:p>
        </w:tc>
        <w:tc>
          <w:tcPr>
            <w:tcW w:w="1085" w:type="dxa"/>
            <w:vAlign w:val="center"/>
          </w:tcPr>
          <w:p w14:paraId="4E245C9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2,661</w:t>
            </w:r>
          </w:p>
        </w:tc>
        <w:tc>
          <w:tcPr>
            <w:tcW w:w="1086" w:type="dxa"/>
            <w:vAlign w:val="center"/>
          </w:tcPr>
          <w:p w14:paraId="6401717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2,813</w:t>
            </w:r>
          </w:p>
        </w:tc>
        <w:tc>
          <w:tcPr>
            <w:tcW w:w="1086" w:type="dxa"/>
            <w:vAlign w:val="center"/>
          </w:tcPr>
          <w:p w14:paraId="266A9CD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2,937</w:t>
            </w:r>
          </w:p>
        </w:tc>
      </w:tr>
      <w:tr w:rsidR="005A5BD5" w:rsidRPr="00CA3519" w14:paraId="3C92EC70" w14:textId="77777777" w:rsidTr="009B6E1B">
        <w:trPr>
          <w:trHeight w:val="397"/>
          <w:jc w:val="center"/>
        </w:trPr>
        <w:tc>
          <w:tcPr>
            <w:tcW w:w="2113" w:type="dxa"/>
            <w:vAlign w:val="center"/>
          </w:tcPr>
          <w:p w14:paraId="57370499" w14:textId="77777777" w:rsidR="005A5BD5" w:rsidRPr="00CA3519" w:rsidRDefault="005A5BD5" w:rsidP="004C2C7D">
            <w:pPr>
              <w:rPr>
                <w:rFonts w:eastAsia="Calibri"/>
                <w:sz w:val="17"/>
                <w:szCs w:val="17"/>
                <w:lang w:eastAsia="en-US"/>
              </w:rPr>
            </w:pPr>
            <w:r w:rsidRPr="00CA3519">
              <w:rPr>
                <w:rFonts w:eastAsia="Calibri"/>
                <w:sz w:val="17"/>
                <w:szCs w:val="17"/>
                <w:lang w:eastAsia="en-US"/>
              </w:rPr>
              <w:t>Oktober 2010</w:t>
            </w:r>
          </w:p>
        </w:tc>
        <w:tc>
          <w:tcPr>
            <w:tcW w:w="2113" w:type="dxa"/>
            <w:vAlign w:val="center"/>
          </w:tcPr>
          <w:p w14:paraId="74B8536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20.10.2010 - Ausg. 2</w:t>
            </w:r>
          </w:p>
        </w:tc>
        <w:tc>
          <w:tcPr>
            <w:tcW w:w="1085" w:type="dxa"/>
            <w:vAlign w:val="center"/>
          </w:tcPr>
          <w:p w14:paraId="5E64468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0,842</w:t>
            </w:r>
          </w:p>
        </w:tc>
        <w:tc>
          <w:tcPr>
            <w:tcW w:w="1086" w:type="dxa"/>
            <w:vAlign w:val="center"/>
          </w:tcPr>
          <w:p w14:paraId="47F24DD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1,172</w:t>
            </w:r>
          </w:p>
        </w:tc>
        <w:tc>
          <w:tcPr>
            <w:tcW w:w="1085" w:type="dxa"/>
            <w:vAlign w:val="center"/>
          </w:tcPr>
          <w:p w14:paraId="35A0C55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1,528</w:t>
            </w:r>
          </w:p>
        </w:tc>
        <w:tc>
          <w:tcPr>
            <w:tcW w:w="1086" w:type="dxa"/>
            <w:vAlign w:val="center"/>
          </w:tcPr>
          <w:p w14:paraId="73BF4FB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1,914</w:t>
            </w:r>
          </w:p>
        </w:tc>
        <w:tc>
          <w:tcPr>
            <w:tcW w:w="1086" w:type="dxa"/>
            <w:vAlign w:val="center"/>
          </w:tcPr>
          <w:p w14:paraId="0D628A7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2,259</w:t>
            </w:r>
          </w:p>
        </w:tc>
        <w:tc>
          <w:tcPr>
            <w:tcW w:w="1085" w:type="dxa"/>
            <w:vAlign w:val="center"/>
          </w:tcPr>
          <w:p w14:paraId="186675F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2,514</w:t>
            </w:r>
          </w:p>
        </w:tc>
        <w:tc>
          <w:tcPr>
            <w:tcW w:w="1086" w:type="dxa"/>
            <w:vAlign w:val="center"/>
          </w:tcPr>
          <w:p w14:paraId="2DC80E7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2,710</w:t>
            </w:r>
          </w:p>
        </w:tc>
        <w:tc>
          <w:tcPr>
            <w:tcW w:w="1085" w:type="dxa"/>
            <w:vAlign w:val="center"/>
          </w:tcPr>
          <w:p w14:paraId="6EE002F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2,886</w:t>
            </w:r>
          </w:p>
        </w:tc>
        <w:tc>
          <w:tcPr>
            <w:tcW w:w="1086" w:type="dxa"/>
            <w:vAlign w:val="center"/>
          </w:tcPr>
          <w:p w14:paraId="22DE6A6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3,045</w:t>
            </w:r>
          </w:p>
        </w:tc>
        <w:tc>
          <w:tcPr>
            <w:tcW w:w="1086" w:type="dxa"/>
            <w:vAlign w:val="center"/>
          </w:tcPr>
          <w:p w14:paraId="49A43BB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3,180</w:t>
            </w:r>
          </w:p>
        </w:tc>
      </w:tr>
      <w:tr w:rsidR="005A5BD5" w:rsidRPr="00CA3519" w14:paraId="72892AB2" w14:textId="77777777" w:rsidTr="009B6E1B">
        <w:trPr>
          <w:trHeight w:val="397"/>
          <w:jc w:val="center"/>
        </w:trPr>
        <w:tc>
          <w:tcPr>
            <w:tcW w:w="2113" w:type="dxa"/>
            <w:vAlign w:val="center"/>
          </w:tcPr>
          <w:p w14:paraId="6B85572E"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November 2010</w:t>
            </w:r>
          </w:p>
        </w:tc>
        <w:tc>
          <w:tcPr>
            <w:tcW w:w="2113" w:type="dxa"/>
            <w:vAlign w:val="center"/>
          </w:tcPr>
          <w:p w14:paraId="756E7F6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22.11.2010</w:t>
            </w:r>
          </w:p>
        </w:tc>
        <w:tc>
          <w:tcPr>
            <w:tcW w:w="1085" w:type="dxa"/>
            <w:vAlign w:val="center"/>
          </w:tcPr>
          <w:p w14:paraId="2B19E69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1,015</w:t>
            </w:r>
          </w:p>
        </w:tc>
        <w:tc>
          <w:tcPr>
            <w:tcW w:w="1086" w:type="dxa"/>
            <w:vAlign w:val="center"/>
          </w:tcPr>
          <w:p w14:paraId="1BAFD87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1,318</w:t>
            </w:r>
          </w:p>
        </w:tc>
        <w:tc>
          <w:tcPr>
            <w:tcW w:w="1085" w:type="dxa"/>
            <w:vAlign w:val="center"/>
          </w:tcPr>
          <w:p w14:paraId="440F399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1,652</w:t>
            </w:r>
          </w:p>
        </w:tc>
        <w:tc>
          <w:tcPr>
            <w:tcW w:w="1086" w:type="dxa"/>
            <w:vAlign w:val="center"/>
          </w:tcPr>
          <w:p w14:paraId="1722690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2,023</w:t>
            </w:r>
          </w:p>
        </w:tc>
        <w:tc>
          <w:tcPr>
            <w:tcW w:w="1086" w:type="dxa"/>
            <w:vAlign w:val="center"/>
          </w:tcPr>
          <w:p w14:paraId="1E24B47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2,357</w:t>
            </w:r>
          </w:p>
        </w:tc>
        <w:tc>
          <w:tcPr>
            <w:tcW w:w="1085" w:type="dxa"/>
            <w:vAlign w:val="center"/>
          </w:tcPr>
          <w:p w14:paraId="012D3C6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2,600</w:t>
            </w:r>
          </w:p>
        </w:tc>
        <w:tc>
          <w:tcPr>
            <w:tcW w:w="1086" w:type="dxa"/>
            <w:vAlign w:val="center"/>
          </w:tcPr>
          <w:p w14:paraId="3F726A0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2,789</w:t>
            </w:r>
          </w:p>
        </w:tc>
        <w:tc>
          <w:tcPr>
            <w:tcW w:w="1085" w:type="dxa"/>
            <w:vAlign w:val="center"/>
          </w:tcPr>
          <w:p w14:paraId="235B1E2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2,970</w:t>
            </w:r>
          </w:p>
        </w:tc>
        <w:tc>
          <w:tcPr>
            <w:tcW w:w="1086" w:type="dxa"/>
            <w:vAlign w:val="center"/>
          </w:tcPr>
          <w:p w14:paraId="79A0DAF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3,136</w:t>
            </w:r>
          </w:p>
        </w:tc>
        <w:tc>
          <w:tcPr>
            <w:tcW w:w="1086" w:type="dxa"/>
            <w:vAlign w:val="center"/>
          </w:tcPr>
          <w:p w14:paraId="2AFE22C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3,279</w:t>
            </w:r>
          </w:p>
        </w:tc>
      </w:tr>
      <w:tr w:rsidR="005A5BD5" w:rsidRPr="00CA3519" w14:paraId="71F7C5EA" w14:textId="77777777" w:rsidTr="009B6E1B">
        <w:trPr>
          <w:trHeight w:val="397"/>
          <w:jc w:val="center"/>
        </w:trPr>
        <w:tc>
          <w:tcPr>
            <w:tcW w:w="2113" w:type="dxa"/>
            <w:vAlign w:val="center"/>
          </w:tcPr>
          <w:p w14:paraId="1337D8EA" w14:textId="77777777" w:rsidR="005A5BD5" w:rsidRPr="00CA3519" w:rsidRDefault="005A5BD5" w:rsidP="004C2C7D">
            <w:pPr>
              <w:rPr>
                <w:rFonts w:eastAsia="Calibri"/>
                <w:sz w:val="17"/>
                <w:szCs w:val="17"/>
                <w:lang w:eastAsia="en-US"/>
              </w:rPr>
            </w:pPr>
            <w:r w:rsidRPr="00CA3519">
              <w:rPr>
                <w:rFonts w:eastAsia="Calibri"/>
                <w:sz w:val="17"/>
                <w:szCs w:val="17"/>
                <w:lang w:eastAsia="en-US"/>
              </w:rPr>
              <w:t>Dezember 2010</w:t>
            </w:r>
          </w:p>
        </w:tc>
        <w:tc>
          <w:tcPr>
            <w:tcW w:w="2113" w:type="dxa"/>
            <w:vAlign w:val="center"/>
          </w:tcPr>
          <w:p w14:paraId="6089525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20.12.2010 - Ausg. 2</w:t>
            </w:r>
          </w:p>
        </w:tc>
        <w:tc>
          <w:tcPr>
            <w:tcW w:w="1085" w:type="dxa"/>
            <w:vAlign w:val="center"/>
          </w:tcPr>
          <w:p w14:paraId="0F298CF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1,200</w:t>
            </w:r>
          </w:p>
        </w:tc>
        <w:tc>
          <w:tcPr>
            <w:tcW w:w="1086" w:type="dxa"/>
            <w:vAlign w:val="center"/>
          </w:tcPr>
          <w:p w14:paraId="48115E4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1,657</w:t>
            </w:r>
          </w:p>
        </w:tc>
        <w:tc>
          <w:tcPr>
            <w:tcW w:w="1085" w:type="dxa"/>
            <w:vAlign w:val="center"/>
          </w:tcPr>
          <w:p w14:paraId="5D5BC53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2,105</w:t>
            </w:r>
          </w:p>
        </w:tc>
        <w:tc>
          <w:tcPr>
            <w:tcW w:w="1086" w:type="dxa"/>
            <w:vAlign w:val="center"/>
          </w:tcPr>
          <w:p w14:paraId="24AA3BA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2,518</w:t>
            </w:r>
          </w:p>
        </w:tc>
        <w:tc>
          <w:tcPr>
            <w:tcW w:w="1086" w:type="dxa"/>
            <w:vAlign w:val="center"/>
          </w:tcPr>
          <w:p w14:paraId="31C0547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2,855</w:t>
            </w:r>
          </w:p>
        </w:tc>
        <w:tc>
          <w:tcPr>
            <w:tcW w:w="1085" w:type="dxa"/>
            <w:vAlign w:val="center"/>
          </w:tcPr>
          <w:p w14:paraId="3A75DD7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3,095</w:t>
            </w:r>
          </w:p>
        </w:tc>
        <w:tc>
          <w:tcPr>
            <w:tcW w:w="1086" w:type="dxa"/>
            <w:vAlign w:val="center"/>
          </w:tcPr>
          <w:p w14:paraId="56BDA51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3,282</w:t>
            </w:r>
          </w:p>
        </w:tc>
        <w:tc>
          <w:tcPr>
            <w:tcW w:w="1085" w:type="dxa"/>
            <w:vAlign w:val="center"/>
          </w:tcPr>
          <w:p w14:paraId="44748B6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3,459</w:t>
            </w:r>
          </w:p>
        </w:tc>
        <w:tc>
          <w:tcPr>
            <w:tcW w:w="1086" w:type="dxa"/>
            <w:vAlign w:val="center"/>
          </w:tcPr>
          <w:p w14:paraId="4613B80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3,617</w:t>
            </w:r>
          </w:p>
        </w:tc>
        <w:tc>
          <w:tcPr>
            <w:tcW w:w="1086" w:type="dxa"/>
            <w:vAlign w:val="center"/>
          </w:tcPr>
          <w:p w14:paraId="7D88537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3,751]</w:t>
            </w:r>
          </w:p>
        </w:tc>
      </w:tr>
      <w:tr w:rsidR="005A5BD5" w:rsidRPr="00CA3519" w14:paraId="457613B6" w14:textId="77777777" w:rsidTr="009B6E1B">
        <w:trPr>
          <w:trHeight w:val="397"/>
          <w:jc w:val="center"/>
        </w:trPr>
        <w:tc>
          <w:tcPr>
            <w:tcW w:w="2113" w:type="dxa"/>
            <w:vAlign w:val="center"/>
          </w:tcPr>
          <w:p w14:paraId="4970843D"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[Januar 2011</w:t>
            </w:r>
          </w:p>
        </w:tc>
        <w:tc>
          <w:tcPr>
            <w:tcW w:w="2113" w:type="dxa"/>
            <w:vAlign w:val="center"/>
          </w:tcPr>
          <w:p w14:paraId="7C8DF71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14.01.2011 - Ausg. 2</w:t>
            </w:r>
          </w:p>
        </w:tc>
        <w:tc>
          <w:tcPr>
            <w:tcW w:w="1085" w:type="dxa"/>
            <w:vAlign w:val="center"/>
          </w:tcPr>
          <w:p w14:paraId="6D4D32E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1,613</w:t>
            </w:r>
          </w:p>
        </w:tc>
        <w:tc>
          <w:tcPr>
            <w:tcW w:w="1086" w:type="dxa"/>
            <w:vAlign w:val="center"/>
          </w:tcPr>
          <w:p w14:paraId="45A5AF9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2,081</w:t>
            </w:r>
          </w:p>
        </w:tc>
        <w:tc>
          <w:tcPr>
            <w:tcW w:w="1085" w:type="dxa"/>
            <w:vAlign w:val="center"/>
          </w:tcPr>
          <w:p w14:paraId="004E033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2,533</w:t>
            </w:r>
          </w:p>
        </w:tc>
        <w:tc>
          <w:tcPr>
            <w:tcW w:w="1086" w:type="dxa"/>
            <w:vAlign w:val="center"/>
          </w:tcPr>
          <w:p w14:paraId="4BDDC97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2,945</w:t>
            </w:r>
          </w:p>
        </w:tc>
        <w:tc>
          <w:tcPr>
            <w:tcW w:w="1086" w:type="dxa"/>
            <w:vAlign w:val="center"/>
          </w:tcPr>
          <w:p w14:paraId="1685CEF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3,269</w:t>
            </w:r>
          </w:p>
        </w:tc>
        <w:tc>
          <w:tcPr>
            <w:tcW w:w="1085" w:type="dxa"/>
            <w:vAlign w:val="center"/>
          </w:tcPr>
          <w:p w14:paraId="2660C21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3,489</w:t>
            </w:r>
          </w:p>
        </w:tc>
        <w:tc>
          <w:tcPr>
            <w:tcW w:w="1086" w:type="dxa"/>
            <w:vAlign w:val="center"/>
          </w:tcPr>
          <w:p w14:paraId="69023A8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3,652</w:t>
            </w:r>
          </w:p>
        </w:tc>
        <w:tc>
          <w:tcPr>
            <w:tcW w:w="1085" w:type="dxa"/>
            <w:vAlign w:val="center"/>
          </w:tcPr>
          <w:p w14:paraId="158C2EE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3,790</w:t>
            </w:r>
          </w:p>
        </w:tc>
        <w:tc>
          <w:tcPr>
            <w:tcW w:w="1086" w:type="dxa"/>
            <w:vAlign w:val="center"/>
          </w:tcPr>
          <w:p w14:paraId="3DF00FF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3,913</w:t>
            </w:r>
          </w:p>
        </w:tc>
        <w:tc>
          <w:tcPr>
            <w:tcW w:w="1086" w:type="dxa"/>
            <w:vAlign w:val="center"/>
          </w:tcPr>
          <w:p w14:paraId="3DA0309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4,014</w:t>
            </w:r>
          </w:p>
        </w:tc>
      </w:tr>
      <w:tr w:rsidR="005A5BD5" w:rsidRPr="00CA3519" w14:paraId="7794C9A4" w14:textId="77777777" w:rsidTr="009B6E1B">
        <w:trPr>
          <w:trHeight w:val="397"/>
          <w:jc w:val="center"/>
        </w:trPr>
        <w:tc>
          <w:tcPr>
            <w:tcW w:w="2113" w:type="dxa"/>
            <w:vAlign w:val="center"/>
          </w:tcPr>
          <w:p w14:paraId="5DDEFFB0"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Februar 2011</w:t>
            </w:r>
          </w:p>
        </w:tc>
        <w:tc>
          <w:tcPr>
            <w:tcW w:w="2113" w:type="dxa"/>
            <w:vAlign w:val="center"/>
          </w:tcPr>
          <w:p w14:paraId="4F03E33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16.02.2011</w:t>
            </w:r>
          </w:p>
        </w:tc>
        <w:tc>
          <w:tcPr>
            <w:tcW w:w="1085" w:type="dxa"/>
            <w:vAlign w:val="center"/>
          </w:tcPr>
          <w:p w14:paraId="6330C4D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1,396</w:t>
            </w:r>
          </w:p>
        </w:tc>
        <w:tc>
          <w:tcPr>
            <w:tcW w:w="1086" w:type="dxa"/>
            <w:vAlign w:val="center"/>
          </w:tcPr>
          <w:p w14:paraId="60FC62B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2,074</w:t>
            </w:r>
          </w:p>
        </w:tc>
        <w:tc>
          <w:tcPr>
            <w:tcW w:w="1085" w:type="dxa"/>
            <w:vAlign w:val="center"/>
          </w:tcPr>
          <w:p w14:paraId="4D63F4E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2,656</w:t>
            </w:r>
          </w:p>
        </w:tc>
        <w:tc>
          <w:tcPr>
            <w:tcW w:w="1086" w:type="dxa"/>
            <w:vAlign w:val="center"/>
          </w:tcPr>
          <w:p w14:paraId="0EB7F7E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3,094</w:t>
            </w:r>
          </w:p>
        </w:tc>
        <w:tc>
          <w:tcPr>
            <w:tcW w:w="1086" w:type="dxa"/>
            <w:vAlign w:val="center"/>
          </w:tcPr>
          <w:p w14:paraId="42ADF73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3,412</w:t>
            </w:r>
          </w:p>
        </w:tc>
        <w:tc>
          <w:tcPr>
            <w:tcW w:w="1085" w:type="dxa"/>
            <w:vAlign w:val="center"/>
          </w:tcPr>
          <w:p w14:paraId="26F0D4F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3,637</w:t>
            </w:r>
          </w:p>
        </w:tc>
        <w:tc>
          <w:tcPr>
            <w:tcW w:w="1086" w:type="dxa"/>
            <w:vAlign w:val="center"/>
          </w:tcPr>
          <w:p w14:paraId="0026CA1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3,802</w:t>
            </w:r>
          </w:p>
        </w:tc>
        <w:tc>
          <w:tcPr>
            <w:tcW w:w="1085" w:type="dxa"/>
            <w:vAlign w:val="center"/>
          </w:tcPr>
          <w:p w14:paraId="6B24B83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3,934</w:t>
            </w:r>
          </w:p>
        </w:tc>
        <w:tc>
          <w:tcPr>
            <w:tcW w:w="1086" w:type="dxa"/>
            <w:vAlign w:val="center"/>
          </w:tcPr>
          <w:p w14:paraId="7ABAFAB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4,040</w:t>
            </w:r>
          </w:p>
        </w:tc>
        <w:tc>
          <w:tcPr>
            <w:tcW w:w="1086" w:type="dxa"/>
            <w:vAlign w:val="center"/>
          </w:tcPr>
          <w:p w14:paraId="7231B25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4,131</w:t>
            </w:r>
          </w:p>
        </w:tc>
      </w:tr>
      <w:tr w:rsidR="005A5BD5" w:rsidRPr="00CA3519" w14:paraId="1C16D8B4" w14:textId="77777777" w:rsidTr="009B6E1B">
        <w:trPr>
          <w:trHeight w:val="397"/>
          <w:jc w:val="center"/>
        </w:trPr>
        <w:tc>
          <w:tcPr>
            <w:tcW w:w="2113" w:type="dxa"/>
            <w:vAlign w:val="center"/>
          </w:tcPr>
          <w:p w14:paraId="22087E68"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März 2011</w:t>
            </w:r>
          </w:p>
        </w:tc>
        <w:tc>
          <w:tcPr>
            <w:tcW w:w="2113" w:type="dxa"/>
            <w:vAlign w:val="center"/>
          </w:tcPr>
          <w:p w14:paraId="3AE62FE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21.03.2011 - Ausg. 3</w:t>
            </w:r>
          </w:p>
        </w:tc>
        <w:tc>
          <w:tcPr>
            <w:tcW w:w="1085" w:type="dxa"/>
            <w:vAlign w:val="center"/>
          </w:tcPr>
          <w:p w14:paraId="2BC9704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1,564</w:t>
            </w:r>
          </w:p>
        </w:tc>
        <w:tc>
          <w:tcPr>
            <w:tcW w:w="1086" w:type="dxa"/>
            <w:vAlign w:val="center"/>
          </w:tcPr>
          <w:p w14:paraId="69E49A0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2,258</w:t>
            </w:r>
          </w:p>
        </w:tc>
        <w:tc>
          <w:tcPr>
            <w:tcW w:w="1085" w:type="dxa"/>
            <w:vAlign w:val="center"/>
          </w:tcPr>
          <w:p w14:paraId="01F5B04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2,830</w:t>
            </w:r>
          </w:p>
        </w:tc>
        <w:tc>
          <w:tcPr>
            <w:tcW w:w="1086" w:type="dxa"/>
            <w:vAlign w:val="center"/>
          </w:tcPr>
          <w:p w14:paraId="49791E7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3,236</w:t>
            </w:r>
          </w:p>
        </w:tc>
        <w:tc>
          <w:tcPr>
            <w:tcW w:w="1086" w:type="dxa"/>
            <w:vAlign w:val="center"/>
          </w:tcPr>
          <w:p w14:paraId="4692805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3,524</w:t>
            </w:r>
          </w:p>
        </w:tc>
        <w:tc>
          <w:tcPr>
            <w:tcW w:w="1085" w:type="dxa"/>
            <w:vAlign w:val="center"/>
          </w:tcPr>
          <w:p w14:paraId="7D51800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3,735</w:t>
            </w:r>
          </w:p>
        </w:tc>
        <w:tc>
          <w:tcPr>
            <w:tcW w:w="1086" w:type="dxa"/>
            <w:vAlign w:val="center"/>
          </w:tcPr>
          <w:p w14:paraId="3AA9C69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3,894</w:t>
            </w:r>
          </w:p>
        </w:tc>
        <w:tc>
          <w:tcPr>
            <w:tcW w:w="1085" w:type="dxa"/>
            <w:vAlign w:val="center"/>
          </w:tcPr>
          <w:p w14:paraId="1E34694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4,018</w:t>
            </w:r>
          </w:p>
        </w:tc>
        <w:tc>
          <w:tcPr>
            <w:tcW w:w="1086" w:type="dxa"/>
            <w:vAlign w:val="center"/>
          </w:tcPr>
          <w:p w14:paraId="5BB8454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4,199</w:t>
            </w:r>
          </w:p>
        </w:tc>
        <w:tc>
          <w:tcPr>
            <w:tcW w:w="1086" w:type="dxa"/>
            <w:vAlign w:val="center"/>
          </w:tcPr>
          <w:p w14:paraId="474779C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4,204</w:t>
            </w:r>
          </w:p>
        </w:tc>
      </w:tr>
      <w:tr w:rsidR="005A5BD5" w:rsidRPr="00CA3519" w14:paraId="32D374E4" w14:textId="77777777" w:rsidTr="009B6E1B">
        <w:trPr>
          <w:trHeight w:val="397"/>
          <w:jc w:val="center"/>
        </w:trPr>
        <w:tc>
          <w:tcPr>
            <w:tcW w:w="2113" w:type="dxa"/>
            <w:vAlign w:val="center"/>
          </w:tcPr>
          <w:p w14:paraId="338420F9"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lastRenderedPageBreak/>
              <w:t>April 2011</w:t>
            </w:r>
          </w:p>
        </w:tc>
        <w:tc>
          <w:tcPr>
            <w:tcW w:w="2113" w:type="dxa"/>
            <w:vAlign w:val="center"/>
          </w:tcPr>
          <w:p w14:paraId="6EF1B10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20.04.2011 - Ausg. 2</w:t>
            </w:r>
          </w:p>
        </w:tc>
        <w:tc>
          <w:tcPr>
            <w:tcW w:w="1085" w:type="dxa"/>
            <w:vAlign w:val="center"/>
          </w:tcPr>
          <w:p w14:paraId="4921E2D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1,544</w:t>
            </w:r>
          </w:p>
        </w:tc>
        <w:tc>
          <w:tcPr>
            <w:tcW w:w="1086" w:type="dxa"/>
            <w:vAlign w:val="center"/>
          </w:tcPr>
          <w:p w14:paraId="3409197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2,121</w:t>
            </w:r>
          </w:p>
        </w:tc>
        <w:tc>
          <w:tcPr>
            <w:tcW w:w="1085" w:type="dxa"/>
            <w:vAlign w:val="center"/>
          </w:tcPr>
          <w:p w14:paraId="5C22DA9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2,648</w:t>
            </w:r>
          </w:p>
        </w:tc>
        <w:tc>
          <w:tcPr>
            <w:tcW w:w="1086" w:type="dxa"/>
            <w:vAlign w:val="center"/>
          </w:tcPr>
          <w:p w14:paraId="4029F14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3,086</w:t>
            </w:r>
          </w:p>
        </w:tc>
        <w:tc>
          <w:tcPr>
            <w:tcW w:w="1086" w:type="dxa"/>
            <w:vAlign w:val="center"/>
          </w:tcPr>
          <w:p w14:paraId="241A4A1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3,416</w:t>
            </w:r>
          </w:p>
        </w:tc>
        <w:tc>
          <w:tcPr>
            <w:tcW w:w="1085" w:type="dxa"/>
            <w:vAlign w:val="center"/>
          </w:tcPr>
          <w:p w14:paraId="1F996CF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3,649</w:t>
            </w:r>
          </w:p>
        </w:tc>
        <w:tc>
          <w:tcPr>
            <w:tcW w:w="1086" w:type="dxa"/>
            <w:vAlign w:val="center"/>
          </w:tcPr>
          <w:p w14:paraId="5BF6D97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3,800</w:t>
            </w:r>
          </w:p>
        </w:tc>
        <w:tc>
          <w:tcPr>
            <w:tcW w:w="1085" w:type="dxa"/>
            <w:vAlign w:val="center"/>
          </w:tcPr>
          <w:p w14:paraId="28015C8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3,912</w:t>
            </w:r>
          </w:p>
        </w:tc>
        <w:tc>
          <w:tcPr>
            <w:tcW w:w="1086" w:type="dxa"/>
            <w:vAlign w:val="center"/>
          </w:tcPr>
          <w:p w14:paraId="5746BC7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4,021</w:t>
            </w:r>
          </w:p>
        </w:tc>
        <w:tc>
          <w:tcPr>
            <w:tcW w:w="1086" w:type="dxa"/>
            <w:vAlign w:val="center"/>
          </w:tcPr>
          <w:p w14:paraId="4FBA22B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4,128</w:t>
            </w:r>
          </w:p>
        </w:tc>
      </w:tr>
      <w:tr w:rsidR="005A5BD5" w:rsidRPr="00CA3519" w14:paraId="574C21A9" w14:textId="77777777" w:rsidTr="009B6E1B">
        <w:trPr>
          <w:trHeight w:val="397"/>
          <w:jc w:val="center"/>
        </w:trPr>
        <w:tc>
          <w:tcPr>
            <w:tcW w:w="2113" w:type="dxa"/>
            <w:vAlign w:val="center"/>
          </w:tcPr>
          <w:p w14:paraId="75382C8F"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Mai 2011</w:t>
            </w:r>
          </w:p>
        </w:tc>
        <w:tc>
          <w:tcPr>
            <w:tcW w:w="2113" w:type="dxa"/>
            <w:vAlign w:val="center"/>
          </w:tcPr>
          <w:p w14:paraId="0712731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20.05.2011 - Ausg. 3</w:t>
            </w:r>
          </w:p>
        </w:tc>
        <w:tc>
          <w:tcPr>
            <w:tcW w:w="1085" w:type="dxa"/>
            <w:vAlign w:val="center"/>
          </w:tcPr>
          <w:p w14:paraId="69D53C9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1,651</w:t>
            </w:r>
          </w:p>
        </w:tc>
        <w:tc>
          <w:tcPr>
            <w:tcW w:w="1086" w:type="dxa"/>
            <w:vAlign w:val="center"/>
          </w:tcPr>
          <w:p w14:paraId="3482A93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2,276</w:t>
            </w:r>
          </w:p>
        </w:tc>
        <w:tc>
          <w:tcPr>
            <w:tcW w:w="1085" w:type="dxa"/>
            <w:vAlign w:val="center"/>
          </w:tcPr>
          <w:p w14:paraId="13A2E24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2,845</w:t>
            </w:r>
          </w:p>
        </w:tc>
        <w:tc>
          <w:tcPr>
            <w:tcW w:w="1086" w:type="dxa"/>
            <w:vAlign w:val="center"/>
          </w:tcPr>
          <w:p w14:paraId="6ACF66D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3,301</w:t>
            </w:r>
          </w:p>
        </w:tc>
        <w:tc>
          <w:tcPr>
            <w:tcW w:w="1086" w:type="dxa"/>
            <w:vAlign w:val="center"/>
          </w:tcPr>
          <w:p w14:paraId="31A9A7B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3,626</w:t>
            </w:r>
          </w:p>
        </w:tc>
        <w:tc>
          <w:tcPr>
            <w:tcW w:w="1085" w:type="dxa"/>
            <w:vAlign w:val="center"/>
          </w:tcPr>
          <w:p w14:paraId="5493EE5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3,834</w:t>
            </w:r>
          </w:p>
        </w:tc>
        <w:tc>
          <w:tcPr>
            <w:tcW w:w="1086" w:type="dxa"/>
            <w:vAlign w:val="center"/>
          </w:tcPr>
          <w:p w14:paraId="4A2AADA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3,942</w:t>
            </w:r>
          </w:p>
        </w:tc>
        <w:tc>
          <w:tcPr>
            <w:tcW w:w="1085" w:type="dxa"/>
            <w:vAlign w:val="center"/>
          </w:tcPr>
          <w:p w14:paraId="625404A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4,014</w:t>
            </w:r>
          </w:p>
        </w:tc>
        <w:tc>
          <w:tcPr>
            <w:tcW w:w="1086" w:type="dxa"/>
            <w:vAlign w:val="center"/>
          </w:tcPr>
          <w:p w14:paraId="4C427A1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4,109</w:t>
            </w:r>
          </w:p>
        </w:tc>
        <w:tc>
          <w:tcPr>
            <w:tcW w:w="1086" w:type="dxa"/>
            <w:vAlign w:val="center"/>
          </w:tcPr>
          <w:p w14:paraId="2D52A9E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4,219</w:t>
            </w:r>
          </w:p>
        </w:tc>
      </w:tr>
      <w:tr w:rsidR="005A5BD5" w:rsidRPr="00CA3519" w14:paraId="05BC474E" w14:textId="77777777" w:rsidTr="009B6E1B">
        <w:trPr>
          <w:trHeight w:val="397"/>
          <w:jc w:val="center"/>
        </w:trPr>
        <w:tc>
          <w:tcPr>
            <w:tcW w:w="2113" w:type="dxa"/>
            <w:vAlign w:val="center"/>
          </w:tcPr>
          <w:p w14:paraId="1EB43314"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Juni 2011</w:t>
            </w:r>
          </w:p>
        </w:tc>
        <w:tc>
          <w:tcPr>
            <w:tcW w:w="2113" w:type="dxa"/>
            <w:vAlign w:val="center"/>
          </w:tcPr>
          <w:p w14:paraId="0218423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20.06.2011 - Ausg. 2</w:t>
            </w:r>
          </w:p>
        </w:tc>
        <w:tc>
          <w:tcPr>
            <w:tcW w:w="1085" w:type="dxa"/>
            <w:vAlign w:val="center"/>
          </w:tcPr>
          <w:p w14:paraId="77B0D11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1,617</w:t>
            </w:r>
          </w:p>
        </w:tc>
        <w:tc>
          <w:tcPr>
            <w:tcW w:w="1086" w:type="dxa"/>
            <w:vAlign w:val="center"/>
          </w:tcPr>
          <w:p w14:paraId="5551E6B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2,208</w:t>
            </w:r>
          </w:p>
        </w:tc>
        <w:tc>
          <w:tcPr>
            <w:tcW w:w="1085" w:type="dxa"/>
            <w:vAlign w:val="center"/>
          </w:tcPr>
          <w:p w14:paraId="420C4A4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2,748</w:t>
            </w:r>
          </w:p>
        </w:tc>
        <w:tc>
          <w:tcPr>
            <w:tcW w:w="1086" w:type="dxa"/>
            <w:vAlign w:val="center"/>
          </w:tcPr>
          <w:p w14:paraId="6C8B4DA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3,190</w:t>
            </w:r>
          </w:p>
        </w:tc>
        <w:tc>
          <w:tcPr>
            <w:tcW w:w="1086" w:type="dxa"/>
            <w:vAlign w:val="center"/>
          </w:tcPr>
          <w:p w14:paraId="372FE0A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3,513</w:t>
            </w:r>
          </w:p>
        </w:tc>
        <w:tc>
          <w:tcPr>
            <w:tcW w:w="1085" w:type="dxa"/>
            <w:vAlign w:val="center"/>
          </w:tcPr>
          <w:p w14:paraId="42CA5BC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3,723</w:t>
            </w:r>
          </w:p>
        </w:tc>
        <w:tc>
          <w:tcPr>
            <w:tcW w:w="1086" w:type="dxa"/>
            <w:vAlign w:val="center"/>
          </w:tcPr>
          <w:p w14:paraId="682FDDD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3,838</w:t>
            </w:r>
          </w:p>
        </w:tc>
        <w:tc>
          <w:tcPr>
            <w:tcW w:w="1085" w:type="dxa"/>
            <w:vAlign w:val="center"/>
          </w:tcPr>
          <w:p w14:paraId="0F5DBD2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3,920</w:t>
            </w:r>
          </w:p>
        </w:tc>
        <w:tc>
          <w:tcPr>
            <w:tcW w:w="1086" w:type="dxa"/>
            <w:vAlign w:val="center"/>
          </w:tcPr>
          <w:p w14:paraId="1A2E17F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4,023</w:t>
            </w:r>
          </w:p>
        </w:tc>
        <w:tc>
          <w:tcPr>
            <w:tcW w:w="1086" w:type="dxa"/>
            <w:vAlign w:val="center"/>
          </w:tcPr>
          <w:p w14:paraId="7559812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4,136</w:t>
            </w:r>
          </w:p>
        </w:tc>
      </w:tr>
      <w:tr w:rsidR="005A5BD5" w:rsidRPr="00CA3519" w14:paraId="2A00639E" w14:textId="77777777" w:rsidTr="009B6E1B">
        <w:trPr>
          <w:trHeight w:val="397"/>
          <w:jc w:val="center"/>
        </w:trPr>
        <w:tc>
          <w:tcPr>
            <w:tcW w:w="2113" w:type="dxa"/>
            <w:vAlign w:val="center"/>
          </w:tcPr>
          <w:p w14:paraId="23082D51"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Juli 2011</w:t>
            </w:r>
          </w:p>
        </w:tc>
        <w:tc>
          <w:tcPr>
            <w:tcW w:w="2113" w:type="dxa"/>
            <w:vAlign w:val="center"/>
          </w:tcPr>
          <w:p w14:paraId="0BBF35D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20.07.2011 - Ausg. 2</w:t>
            </w:r>
          </w:p>
        </w:tc>
        <w:tc>
          <w:tcPr>
            <w:tcW w:w="1085" w:type="dxa"/>
            <w:vAlign w:val="center"/>
          </w:tcPr>
          <w:p w14:paraId="4180986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1,643</w:t>
            </w:r>
          </w:p>
        </w:tc>
        <w:tc>
          <w:tcPr>
            <w:tcW w:w="1086" w:type="dxa"/>
            <w:vAlign w:val="center"/>
          </w:tcPr>
          <w:p w14:paraId="7D62619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2,222</w:t>
            </w:r>
          </w:p>
        </w:tc>
        <w:tc>
          <w:tcPr>
            <w:tcW w:w="1085" w:type="dxa"/>
            <w:vAlign w:val="center"/>
          </w:tcPr>
          <w:p w14:paraId="4247632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2,744</w:t>
            </w:r>
          </w:p>
        </w:tc>
        <w:tc>
          <w:tcPr>
            <w:tcW w:w="1086" w:type="dxa"/>
            <w:vAlign w:val="center"/>
          </w:tcPr>
          <w:p w14:paraId="47B2D18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3,166</w:t>
            </w:r>
          </w:p>
        </w:tc>
        <w:tc>
          <w:tcPr>
            <w:tcW w:w="1086" w:type="dxa"/>
            <w:vAlign w:val="center"/>
          </w:tcPr>
          <w:p w14:paraId="321C775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3,469</w:t>
            </w:r>
          </w:p>
        </w:tc>
        <w:tc>
          <w:tcPr>
            <w:tcW w:w="1085" w:type="dxa"/>
            <w:vAlign w:val="center"/>
          </w:tcPr>
          <w:p w14:paraId="091B1BE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3,668</w:t>
            </w:r>
          </w:p>
        </w:tc>
        <w:tc>
          <w:tcPr>
            <w:tcW w:w="1086" w:type="dxa"/>
            <w:vAlign w:val="center"/>
          </w:tcPr>
          <w:p w14:paraId="700A117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3,779</w:t>
            </w:r>
          </w:p>
        </w:tc>
        <w:tc>
          <w:tcPr>
            <w:tcW w:w="1085" w:type="dxa"/>
            <w:vAlign w:val="center"/>
          </w:tcPr>
          <w:p w14:paraId="4D4D8E1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3,869</w:t>
            </w:r>
          </w:p>
        </w:tc>
        <w:tc>
          <w:tcPr>
            <w:tcW w:w="1086" w:type="dxa"/>
            <w:vAlign w:val="center"/>
          </w:tcPr>
          <w:p w14:paraId="33513D0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3,978</w:t>
            </w:r>
          </w:p>
        </w:tc>
        <w:tc>
          <w:tcPr>
            <w:tcW w:w="1086" w:type="dxa"/>
            <w:vAlign w:val="center"/>
          </w:tcPr>
          <w:p w14:paraId="4E9E4D1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4,091</w:t>
            </w:r>
          </w:p>
        </w:tc>
      </w:tr>
      <w:tr w:rsidR="005A5BD5" w:rsidRPr="00CA3519" w14:paraId="432884D3" w14:textId="77777777" w:rsidTr="009B6E1B">
        <w:trPr>
          <w:trHeight w:val="397"/>
          <w:jc w:val="center"/>
        </w:trPr>
        <w:tc>
          <w:tcPr>
            <w:tcW w:w="2113" w:type="dxa"/>
            <w:vAlign w:val="center"/>
          </w:tcPr>
          <w:p w14:paraId="6BFA6C54"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August 2011</w:t>
            </w:r>
          </w:p>
        </w:tc>
        <w:tc>
          <w:tcPr>
            <w:tcW w:w="2113" w:type="dxa"/>
            <w:vAlign w:val="center"/>
          </w:tcPr>
          <w:p w14:paraId="011ABAB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22.08.2011</w:t>
            </w:r>
          </w:p>
        </w:tc>
        <w:tc>
          <w:tcPr>
            <w:tcW w:w="1085" w:type="dxa"/>
            <w:vAlign w:val="center"/>
          </w:tcPr>
          <w:p w14:paraId="797AD7F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1,558</w:t>
            </w:r>
          </w:p>
        </w:tc>
        <w:tc>
          <w:tcPr>
            <w:tcW w:w="1086" w:type="dxa"/>
            <w:vAlign w:val="center"/>
          </w:tcPr>
          <w:p w14:paraId="78BC5A3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2,275</w:t>
            </w:r>
          </w:p>
        </w:tc>
        <w:tc>
          <w:tcPr>
            <w:tcW w:w="1085" w:type="dxa"/>
            <w:vAlign w:val="center"/>
          </w:tcPr>
          <w:p w14:paraId="6CDD4DB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2,903</w:t>
            </w:r>
          </w:p>
        </w:tc>
        <w:tc>
          <w:tcPr>
            <w:tcW w:w="1086" w:type="dxa"/>
            <w:vAlign w:val="center"/>
          </w:tcPr>
          <w:p w14:paraId="00FC253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3,370</w:t>
            </w:r>
          </w:p>
        </w:tc>
        <w:tc>
          <w:tcPr>
            <w:tcW w:w="1086" w:type="dxa"/>
            <w:vAlign w:val="center"/>
          </w:tcPr>
          <w:p w14:paraId="642BF1C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3,678</w:t>
            </w:r>
          </w:p>
        </w:tc>
        <w:tc>
          <w:tcPr>
            <w:tcW w:w="1085" w:type="dxa"/>
            <w:vAlign w:val="center"/>
          </w:tcPr>
          <w:p w14:paraId="04E6B6B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3,859</w:t>
            </w:r>
          </w:p>
        </w:tc>
        <w:tc>
          <w:tcPr>
            <w:tcW w:w="1086" w:type="dxa"/>
            <w:vAlign w:val="center"/>
          </w:tcPr>
          <w:p w14:paraId="21FB2BA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3,957</w:t>
            </w:r>
          </w:p>
        </w:tc>
        <w:tc>
          <w:tcPr>
            <w:tcW w:w="1085" w:type="dxa"/>
            <w:vAlign w:val="center"/>
          </w:tcPr>
          <w:p w14:paraId="3BC62B2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4,045</w:t>
            </w:r>
          </w:p>
        </w:tc>
        <w:tc>
          <w:tcPr>
            <w:tcW w:w="1086" w:type="dxa"/>
            <w:vAlign w:val="center"/>
          </w:tcPr>
          <w:p w14:paraId="3C71C18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4,163</w:t>
            </w:r>
          </w:p>
        </w:tc>
        <w:tc>
          <w:tcPr>
            <w:tcW w:w="1086" w:type="dxa"/>
            <w:vAlign w:val="center"/>
          </w:tcPr>
          <w:p w14:paraId="7319E30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4,285</w:t>
            </w:r>
          </w:p>
        </w:tc>
      </w:tr>
      <w:tr w:rsidR="005A5BD5" w:rsidRPr="00CA3519" w14:paraId="270D008E" w14:textId="77777777" w:rsidTr="009B6E1B">
        <w:trPr>
          <w:trHeight w:val="397"/>
          <w:jc w:val="center"/>
        </w:trPr>
        <w:tc>
          <w:tcPr>
            <w:tcW w:w="2113" w:type="dxa"/>
            <w:vAlign w:val="center"/>
          </w:tcPr>
          <w:p w14:paraId="047C6C7F"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September 2011</w:t>
            </w:r>
          </w:p>
        </w:tc>
        <w:tc>
          <w:tcPr>
            <w:tcW w:w="2113" w:type="dxa"/>
            <w:vAlign w:val="center"/>
          </w:tcPr>
          <w:p w14:paraId="345AEF7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23.09.2011 - Ausg. 2</w:t>
            </w:r>
          </w:p>
        </w:tc>
        <w:tc>
          <w:tcPr>
            <w:tcW w:w="1085" w:type="dxa"/>
            <w:vAlign w:val="center"/>
          </w:tcPr>
          <w:p w14:paraId="1FA0C1C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1,108</w:t>
            </w:r>
          </w:p>
        </w:tc>
        <w:tc>
          <w:tcPr>
            <w:tcW w:w="1086" w:type="dxa"/>
            <w:vAlign w:val="center"/>
          </w:tcPr>
          <w:p w14:paraId="7537CA0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1,913</w:t>
            </w:r>
          </w:p>
        </w:tc>
        <w:tc>
          <w:tcPr>
            <w:tcW w:w="1085" w:type="dxa"/>
            <w:vAlign w:val="center"/>
          </w:tcPr>
          <w:p w14:paraId="784F939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2,602</w:t>
            </w:r>
          </w:p>
        </w:tc>
        <w:tc>
          <w:tcPr>
            <w:tcW w:w="1086" w:type="dxa"/>
            <w:vAlign w:val="center"/>
          </w:tcPr>
          <w:p w14:paraId="1FDCEDB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3,081</w:t>
            </w:r>
          </w:p>
        </w:tc>
        <w:tc>
          <w:tcPr>
            <w:tcW w:w="1086" w:type="dxa"/>
            <w:vAlign w:val="center"/>
          </w:tcPr>
          <w:p w14:paraId="7998E07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3,370</w:t>
            </w:r>
          </w:p>
        </w:tc>
        <w:tc>
          <w:tcPr>
            <w:tcW w:w="1085" w:type="dxa"/>
            <w:vAlign w:val="center"/>
          </w:tcPr>
          <w:p w14:paraId="78E93F8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3,529</w:t>
            </w:r>
          </w:p>
        </w:tc>
        <w:tc>
          <w:tcPr>
            <w:tcW w:w="1086" w:type="dxa"/>
            <w:vAlign w:val="center"/>
          </w:tcPr>
          <w:p w14:paraId="273609E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3,615</w:t>
            </w:r>
          </w:p>
        </w:tc>
        <w:tc>
          <w:tcPr>
            <w:tcW w:w="1085" w:type="dxa"/>
            <w:vAlign w:val="center"/>
          </w:tcPr>
          <w:p w14:paraId="5F27059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3,709</w:t>
            </w:r>
          </w:p>
        </w:tc>
        <w:tc>
          <w:tcPr>
            <w:tcW w:w="1086" w:type="dxa"/>
            <w:vAlign w:val="center"/>
          </w:tcPr>
          <w:p w14:paraId="770E327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3,839</w:t>
            </w:r>
          </w:p>
        </w:tc>
        <w:tc>
          <w:tcPr>
            <w:tcW w:w="1086" w:type="dxa"/>
            <w:vAlign w:val="center"/>
          </w:tcPr>
          <w:p w14:paraId="76B208E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3,971</w:t>
            </w:r>
          </w:p>
        </w:tc>
      </w:tr>
      <w:tr w:rsidR="005A5BD5" w:rsidRPr="00CA3519" w14:paraId="74CC0766" w14:textId="77777777" w:rsidTr="009B6E1B">
        <w:trPr>
          <w:trHeight w:val="397"/>
          <w:jc w:val="center"/>
        </w:trPr>
        <w:tc>
          <w:tcPr>
            <w:tcW w:w="2113" w:type="dxa"/>
            <w:vAlign w:val="center"/>
          </w:tcPr>
          <w:p w14:paraId="38DB11B1" w14:textId="77777777" w:rsidR="005A5BD5" w:rsidRPr="00CA3519" w:rsidRDefault="005A5BD5" w:rsidP="004C2C7D">
            <w:pPr>
              <w:rPr>
                <w:rFonts w:eastAsia="Calibri"/>
                <w:sz w:val="17"/>
                <w:szCs w:val="17"/>
                <w:lang w:eastAsia="en-US"/>
              </w:rPr>
            </w:pPr>
            <w:r w:rsidRPr="00CA3519">
              <w:rPr>
                <w:rFonts w:eastAsia="Calibri"/>
                <w:sz w:val="17"/>
                <w:szCs w:val="17"/>
                <w:lang w:eastAsia="en-US"/>
              </w:rPr>
              <w:t>Oktober 2011</w:t>
            </w:r>
          </w:p>
        </w:tc>
        <w:tc>
          <w:tcPr>
            <w:tcW w:w="2113" w:type="dxa"/>
            <w:vAlign w:val="center"/>
          </w:tcPr>
          <w:p w14:paraId="47427F6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20.10.2011 - Ausg. 2</w:t>
            </w:r>
          </w:p>
        </w:tc>
        <w:tc>
          <w:tcPr>
            <w:tcW w:w="1085" w:type="dxa"/>
            <w:vAlign w:val="center"/>
          </w:tcPr>
          <w:p w14:paraId="5D1F676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1,056</w:t>
            </w:r>
          </w:p>
        </w:tc>
        <w:tc>
          <w:tcPr>
            <w:tcW w:w="1086" w:type="dxa"/>
            <w:vAlign w:val="center"/>
          </w:tcPr>
          <w:p w14:paraId="18CF402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1,912</w:t>
            </w:r>
          </w:p>
        </w:tc>
        <w:tc>
          <w:tcPr>
            <w:tcW w:w="1085" w:type="dxa"/>
            <w:vAlign w:val="center"/>
          </w:tcPr>
          <w:p w14:paraId="61DCC83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2,623</w:t>
            </w:r>
          </w:p>
        </w:tc>
        <w:tc>
          <w:tcPr>
            <w:tcW w:w="1086" w:type="dxa"/>
            <w:vAlign w:val="center"/>
          </w:tcPr>
          <w:p w14:paraId="6DF9108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3,089</w:t>
            </w:r>
          </w:p>
        </w:tc>
        <w:tc>
          <w:tcPr>
            <w:tcW w:w="1086" w:type="dxa"/>
            <w:vAlign w:val="center"/>
          </w:tcPr>
          <w:p w14:paraId="06FD3B7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3,339</w:t>
            </w:r>
          </w:p>
        </w:tc>
        <w:tc>
          <w:tcPr>
            <w:tcW w:w="1085" w:type="dxa"/>
            <w:vAlign w:val="center"/>
          </w:tcPr>
          <w:p w14:paraId="3BDEB49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3,456</w:t>
            </w:r>
          </w:p>
        </w:tc>
        <w:tc>
          <w:tcPr>
            <w:tcW w:w="1086" w:type="dxa"/>
            <w:vAlign w:val="center"/>
          </w:tcPr>
          <w:p w14:paraId="69C2204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3,510</w:t>
            </w:r>
          </w:p>
        </w:tc>
        <w:tc>
          <w:tcPr>
            <w:tcW w:w="1085" w:type="dxa"/>
            <w:vAlign w:val="center"/>
          </w:tcPr>
          <w:p w14:paraId="575E0CF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3,587</w:t>
            </w:r>
          </w:p>
        </w:tc>
        <w:tc>
          <w:tcPr>
            <w:tcW w:w="1086" w:type="dxa"/>
            <w:vAlign w:val="center"/>
          </w:tcPr>
          <w:p w14:paraId="4E23C47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3,703</w:t>
            </w:r>
          </w:p>
        </w:tc>
        <w:tc>
          <w:tcPr>
            <w:tcW w:w="1086" w:type="dxa"/>
            <w:vAlign w:val="center"/>
          </w:tcPr>
          <w:p w14:paraId="4D3491D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3,825</w:t>
            </w:r>
          </w:p>
        </w:tc>
      </w:tr>
      <w:tr w:rsidR="005A5BD5" w:rsidRPr="00CA3519" w14:paraId="59D8F224" w14:textId="77777777" w:rsidTr="009B6E1B">
        <w:trPr>
          <w:trHeight w:val="397"/>
          <w:jc w:val="center"/>
        </w:trPr>
        <w:tc>
          <w:tcPr>
            <w:tcW w:w="2113" w:type="dxa"/>
            <w:vAlign w:val="center"/>
          </w:tcPr>
          <w:p w14:paraId="5244BE87"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November 2011</w:t>
            </w:r>
          </w:p>
        </w:tc>
        <w:tc>
          <w:tcPr>
            <w:tcW w:w="2113" w:type="dxa"/>
            <w:vAlign w:val="center"/>
          </w:tcPr>
          <w:p w14:paraId="324E1F3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21.11.2011</w:t>
            </w:r>
          </w:p>
        </w:tc>
        <w:tc>
          <w:tcPr>
            <w:tcW w:w="1085" w:type="dxa"/>
            <w:vAlign w:val="center"/>
          </w:tcPr>
          <w:p w14:paraId="7A10DA4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1,467</w:t>
            </w:r>
          </w:p>
        </w:tc>
        <w:tc>
          <w:tcPr>
            <w:tcW w:w="1086" w:type="dxa"/>
            <w:vAlign w:val="center"/>
          </w:tcPr>
          <w:p w14:paraId="73927FF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2,380</w:t>
            </w:r>
          </w:p>
        </w:tc>
        <w:tc>
          <w:tcPr>
            <w:tcW w:w="1085" w:type="dxa"/>
            <w:vAlign w:val="center"/>
          </w:tcPr>
          <w:p w14:paraId="56447DD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3,126</w:t>
            </w:r>
          </w:p>
        </w:tc>
        <w:tc>
          <w:tcPr>
            <w:tcW w:w="1086" w:type="dxa"/>
            <w:vAlign w:val="center"/>
          </w:tcPr>
          <w:p w14:paraId="1C9CDA8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3,593</w:t>
            </w:r>
          </w:p>
        </w:tc>
        <w:tc>
          <w:tcPr>
            <w:tcW w:w="1086" w:type="dxa"/>
            <w:vAlign w:val="center"/>
          </w:tcPr>
          <w:p w14:paraId="4879429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3,840</w:t>
            </w:r>
          </w:p>
        </w:tc>
        <w:tc>
          <w:tcPr>
            <w:tcW w:w="1085" w:type="dxa"/>
            <w:vAlign w:val="center"/>
          </w:tcPr>
          <w:p w14:paraId="6EFB8B5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3,952</w:t>
            </w:r>
          </w:p>
        </w:tc>
        <w:tc>
          <w:tcPr>
            <w:tcW w:w="1086" w:type="dxa"/>
            <w:vAlign w:val="center"/>
          </w:tcPr>
          <w:p w14:paraId="431E750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4,015</w:t>
            </w:r>
          </w:p>
        </w:tc>
        <w:tc>
          <w:tcPr>
            <w:tcW w:w="1085" w:type="dxa"/>
            <w:vAlign w:val="center"/>
          </w:tcPr>
          <w:p w14:paraId="027D871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4,100</w:t>
            </w:r>
          </w:p>
        </w:tc>
        <w:tc>
          <w:tcPr>
            <w:tcW w:w="1086" w:type="dxa"/>
            <w:vAlign w:val="center"/>
          </w:tcPr>
          <w:p w14:paraId="24B4FBA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4,224</w:t>
            </w:r>
          </w:p>
        </w:tc>
        <w:tc>
          <w:tcPr>
            <w:tcW w:w="1086" w:type="dxa"/>
            <w:vAlign w:val="center"/>
          </w:tcPr>
          <w:p w14:paraId="4E276EF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4,346</w:t>
            </w:r>
          </w:p>
        </w:tc>
      </w:tr>
      <w:tr w:rsidR="005A5BD5" w:rsidRPr="00CA3519" w14:paraId="687C5B50" w14:textId="77777777" w:rsidTr="009B6E1B">
        <w:trPr>
          <w:trHeight w:val="397"/>
          <w:jc w:val="center"/>
        </w:trPr>
        <w:tc>
          <w:tcPr>
            <w:tcW w:w="2113" w:type="dxa"/>
            <w:vAlign w:val="center"/>
          </w:tcPr>
          <w:p w14:paraId="72CE24F1" w14:textId="77777777" w:rsidR="005A5BD5" w:rsidRPr="00CA3519" w:rsidRDefault="005A5BD5" w:rsidP="004C2C7D">
            <w:pPr>
              <w:rPr>
                <w:rFonts w:eastAsia="Calibri"/>
                <w:sz w:val="17"/>
                <w:szCs w:val="17"/>
                <w:lang w:eastAsia="en-US"/>
              </w:rPr>
            </w:pPr>
            <w:r w:rsidRPr="00CA3519">
              <w:rPr>
                <w:rFonts w:eastAsia="Calibri"/>
                <w:sz w:val="17"/>
                <w:szCs w:val="17"/>
                <w:lang w:eastAsia="en-US"/>
              </w:rPr>
              <w:t>Dezember 2011</w:t>
            </w:r>
          </w:p>
        </w:tc>
        <w:tc>
          <w:tcPr>
            <w:tcW w:w="2113" w:type="dxa"/>
            <w:vAlign w:val="center"/>
          </w:tcPr>
          <w:p w14:paraId="696C37E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20.12.2011 - Ausg. 2</w:t>
            </w:r>
          </w:p>
        </w:tc>
        <w:tc>
          <w:tcPr>
            <w:tcW w:w="1085" w:type="dxa"/>
            <w:vAlign w:val="center"/>
          </w:tcPr>
          <w:p w14:paraId="77A9404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2,859</w:t>
            </w:r>
          </w:p>
        </w:tc>
        <w:tc>
          <w:tcPr>
            <w:tcW w:w="1086" w:type="dxa"/>
            <w:vAlign w:val="center"/>
          </w:tcPr>
          <w:p w14:paraId="3312E55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3,626</w:t>
            </w:r>
          </w:p>
        </w:tc>
        <w:tc>
          <w:tcPr>
            <w:tcW w:w="1085" w:type="dxa"/>
            <w:vAlign w:val="center"/>
          </w:tcPr>
          <w:p w14:paraId="76F416E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4,204</w:t>
            </w:r>
          </w:p>
        </w:tc>
        <w:tc>
          <w:tcPr>
            <w:tcW w:w="1086" w:type="dxa"/>
            <w:vAlign w:val="center"/>
          </w:tcPr>
          <w:p w14:paraId="0D1EE0B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4,488</w:t>
            </w:r>
          </w:p>
        </w:tc>
        <w:tc>
          <w:tcPr>
            <w:tcW w:w="1086" w:type="dxa"/>
            <w:vAlign w:val="center"/>
          </w:tcPr>
          <w:p w14:paraId="74A0068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4,583</w:t>
            </w:r>
          </w:p>
        </w:tc>
        <w:tc>
          <w:tcPr>
            <w:tcW w:w="1085" w:type="dxa"/>
            <w:vAlign w:val="center"/>
          </w:tcPr>
          <w:p w14:paraId="3A27436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4,617</w:t>
            </w:r>
          </w:p>
        </w:tc>
        <w:tc>
          <w:tcPr>
            <w:tcW w:w="1086" w:type="dxa"/>
            <w:vAlign w:val="center"/>
          </w:tcPr>
          <w:p w14:paraId="0F51C90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4,668</w:t>
            </w:r>
          </w:p>
        </w:tc>
        <w:tc>
          <w:tcPr>
            <w:tcW w:w="1085" w:type="dxa"/>
            <w:vAlign w:val="center"/>
          </w:tcPr>
          <w:p w14:paraId="4F998F4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4,751</w:t>
            </w:r>
          </w:p>
        </w:tc>
        <w:tc>
          <w:tcPr>
            <w:tcW w:w="1086" w:type="dxa"/>
            <w:vAlign w:val="center"/>
          </w:tcPr>
          <w:p w14:paraId="511B1F3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4,850</w:t>
            </w:r>
          </w:p>
        </w:tc>
        <w:tc>
          <w:tcPr>
            <w:tcW w:w="1086" w:type="dxa"/>
            <w:vAlign w:val="center"/>
          </w:tcPr>
          <w:p w14:paraId="18895B3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4,943]</w:t>
            </w:r>
          </w:p>
        </w:tc>
      </w:tr>
      <w:tr w:rsidR="005A5BD5" w:rsidRPr="00CA3519" w14:paraId="32800541" w14:textId="77777777" w:rsidTr="009B6E1B">
        <w:trPr>
          <w:trHeight w:val="397"/>
          <w:jc w:val="center"/>
        </w:trPr>
        <w:tc>
          <w:tcPr>
            <w:tcW w:w="2113" w:type="dxa"/>
            <w:vAlign w:val="center"/>
          </w:tcPr>
          <w:p w14:paraId="05C7F737"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[Januar 2012</w:t>
            </w:r>
          </w:p>
        </w:tc>
        <w:tc>
          <w:tcPr>
            <w:tcW w:w="2113" w:type="dxa"/>
            <w:vAlign w:val="center"/>
          </w:tcPr>
          <w:p w14:paraId="6363A2B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20.01.2012 - Ausg. 2</w:t>
            </w:r>
          </w:p>
        </w:tc>
        <w:tc>
          <w:tcPr>
            <w:tcW w:w="1085" w:type="dxa"/>
            <w:vAlign w:val="center"/>
          </w:tcPr>
          <w:p w14:paraId="006626F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1,016</w:t>
            </w:r>
          </w:p>
        </w:tc>
        <w:tc>
          <w:tcPr>
            <w:tcW w:w="1086" w:type="dxa"/>
            <w:vAlign w:val="center"/>
          </w:tcPr>
          <w:p w14:paraId="69F28FF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2,246</w:t>
            </w:r>
          </w:p>
        </w:tc>
        <w:tc>
          <w:tcPr>
            <w:tcW w:w="1085" w:type="dxa"/>
            <w:vAlign w:val="center"/>
          </w:tcPr>
          <w:p w14:paraId="1989478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3,147</w:t>
            </w:r>
          </w:p>
        </w:tc>
        <w:tc>
          <w:tcPr>
            <w:tcW w:w="1086" w:type="dxa"/>
            <w:vAlign w:val="center"/>
          </w:tcPr>
          <w:p w14:paraId="4289DDA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3,569</w:t>
            </w:r>
          </w:p>
        </w:tc>
        <w:tc>
          <w:tcPr>
            <w:tcW w:w="1086" w:type="dxa"/>
            <w:vAlign w:val="center"/>
          </w:tcPr>
          <w:p w14:paraId="3E0876A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3,708</w:t>
            </w:r>
          </w:p>
        </w:tc>
        <w:tc>
          <w:tcPr>
            <w:tcW w:w="1085" w:type="dxa"/>
            <w:vAlign w:val="center"/>
          </w:tcPr>
          <w:p w14:paraId="65BCC69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3,786</w:t>
            </w:r>
          </w:p>
        </w:tc>
        <w:tc>
          <w:tcPr>
            <w:tcW w:w="1086" w:type="dxa"/>
            <w:vAlign w:val="center"/>
          </w:tcPr>
          <w:p w14:paraId="161BC4E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3,905</w:t>
            </w:r>
          </w:p>
        </w:tc>
        <w:tc>
          <w:tcPr>
            <w:tcW w:w="1085" w:type="dxa"/>
            <w:vAlign w:val="center"/>
          </w:tcPr>
          <w:p w14:paraId="425EC72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4,053</w:t>
            </w:r>
          </w:p>
        </w:tc>
        <w:tc>
          <w:tcPr>
            <w:tcW w:w="1086" w:type="dxa"/>
            <w:vAlign w:val="center"/>
          </w:tcPr>
          <w:p w14:paraId="490A5A0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4,198</w:t>
            </w:r>
          </w:p>
        </w:tc>
        <w:tc>
          <w:tcPr>
            <w:tcW w:w="1086" w:type="dxa"/>
            <w:vAlign w:val="center"/>
          </w:tcPr>
          <w:p w14:paraId="2D2D00A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4,319</w:t>
            </w:r>
          </w:p>
        </w:tc>
      </w:tr>
      <w:tr w:rsidR="005A5BD5" w:rsidRPr="00CA3519" w14:paraId="05C18F6A" w14:textId="77777777" w:rsidTr="009B6E1B">
        <w:trPr>
          <w:trHeight w:val="397"/>
          <w:jc w:val="center"/>
        </w:trPr>
        <w:tc>
          <w:tcPr>
            <w:tcW w:w="2113" w:type="dxa"/>
            <w:vAlign w:val="center"/>
          </w:tcPr>
          <w:p w14:paraId="7456539F"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Februar 2012</w:t>
            </w:r>
          </w:p>
        </w:tc>
        <w:tc>
          <w:tcPr>
            <w:tcW w:w="2113" w:type="dxa"/>
            <w:vAlign w:val="center"/>
          </w:tcPr>
          <w:p w14:paraId="2ED2DFC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20.02.2012 - Ausg. 3</w:t>
            </w:r>
          </w:p>
        </w:tc>
        <w:tc>
          <w:tcPr>
            <w:tcW w:w="1085" w:type="dxa"/>
            <w:vAlign w:val="center"/>
          </w:tcPr>
          <w:p w14:paraId="6ADF365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0,931</w:t>
            </w:r>
          </w:p>
        </w:tc>
        <w:tc>
          <w:tcPr>
            <w:tcW w:w="1086" w:type="dxa"/>
            <w:vAlign w:val="center"/>
          </w:tcPr>
          <w:p w14:paraId="1034CD8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1,607</w:t>
            </w:r>
          </w:p>
        </w:tc>
        <w:tc>
          <w:tcPr>
            <w:tcW w:w="1085" w:type="dxa"/>
            <w:vAlign w:val="center"/>
          </w:tcPr>
          <w:p w14:paraId="54BC60F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2,187</w:t>
            </w:r>
          </w:p>
        </w:tc>
        <w:tc>
          <w:tcPr>
            <w:tcW w:w="1086" w:type="dxa"/>
            <w:vAlign w:val="center"/>
          </w:tcPr>
          <w:p w14:paraId="59E0F02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2,619</w:t>
            </w:r>
          </w:p>
        </w:tc>
        <w:tc>
          <w:tcPr>
            <w:tcW w:w="1086" w:type="dxa"/>
            <w:vAlign w:val="center"/>
          </w:tcPr>
          <w:p w14:paraId="2569A46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2,928</w:t>
            </w:r>
          </w:p>
        </w:tc>
        <w:tc>
          <w:tcPr>
            <w:tcW w:w="1085" w:type="dxa"/>
            <w:vAlign w:val="center"/>
          </w:tcPr>
          <w:p w14:paraId="60D562B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3,149</w:t>
            </w:r>
          </w:p>
        </w:tc>
        <w:tc>
          <w:tcPr>
            <w:tcW w:w="1086" w:type="dxa"/>
            <w:vAlign w:val="center"/>
          </w:tcPr>
          <w:p w14:paraId="7538785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3,325</w:t>
            </w:r>
          </w:p>
        </w:tc>
        <w:tc>
          <w:tcPr>
            <w:tcW w:w="1085" w:type="dxa"/>
            <w:vAlign w:val="center"/>
          </w:tcPr>
          <w:p w14:paraId="126CAEF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3,512</w:t>
            </w:r>
          </w:p>
        </w:tc>
        <w:tc>
          <w:tcPr>
            <w:tcW w:w="1086" w:type="dxa"/>
            <w:vAlign w:val="center"/>
          </w:tcPr>
          <w:p w14:paraId="6E81172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3,699</w:t>
            </w:r>
          </w:p>
        </w:tc>
        <w:tc>
          <w:tcPr>
            <w:tcW w:w="1086" w:type="dxa"/>
            <w:vAlign w:val="center"/>
          </w:tcPr>
          <w:p w14:paraId="6962938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3,861</w:t>
            </w:r>
          </w:p>
        </w:tc>
      </w:tr>
      <w:tr w:rsidR="005A5BD5" w:rsidRPr="00CA3519" w14:paraId="18DED6B2" w14:textId="77777777" w:rsidTr="009B6E1B">
        <w:trPr>
          <w:trHeight w:val="397"/>
          <w:jc w:val="center"/>
        </w:trPr>
        <w:tc>
          <w:tcPr>
            <w:tcW w:w="2113" w:type="dxa"/>
            <w:vAlign w:val="center"/>
          </w:tcPr>
          <w:p w14:paraId="6DA776EC"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März 2012</w:t>
            </w:r>
          </w:p>
        </w:tc>
        <w:tc>
          <w:tcPr>
            <w:tcW w:w="2113" w:type="dxa"/>
            <w:vAlign w:val="center"/>
          </w:tcPr>
          <w:p w14:paraId="4C8A3C6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20.03.2012 - Ausg. 2</w:t>
            </w:r>
          </w:p>
        </w:tc>
        <w:tc>
          <w:tcPr>
            <w:tcW w:w="1085" w:type="dxa"/>
            <w:vAlign w:val="center"/>
          </w:tcPr>
          <w:p w14:paraId="6E3B772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0,695</w:t>
            </w:r>
          </w:p>
        </w:tc>
        <w:tc>
          <w:tcPr>
            <w:tcW w:w="1086" w:type="dxa"/>
            <w:vAlign w:val="center"/>
          </w:tcPr>
          <w:p w14:paraId="7A57278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1,262</w:t>
            </w:r>
          </w:p>
        </w:tc>
        <w:tc>
          <w:tcPr>
            <w:tcW w:w="1085" w:type="dxa"/>
            <w:vAlign w:val="center"/>
          </w:tcPr>
          <w:p w14:paraId="7C94326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1,761</w:t>
            </w:r>
          </w:p>
        </w:tc>
        <w:tc>
          <w:tcPr>
            <w:tcW w:w="1086" w:type="dxa"/>
            <w:vAlign w:val="center"/>
          </w:tcPr>
          <w:p w14:paraId="5C5E2A2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2,165</w:t>
            </w:r>
          </w:p>
        </w:tc>
        <w:tc>
          <w:tcPr>
            <w:tcW w:w="1086" w:type="dxa"/>
            <w:vAlign w:val="center"/>
          </w:tcPr>
          <w:p w14:paraId="2382FAF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2,482</w:t>
            </w:r>
          </w:p>
        </w:tc>
        <w:tc>
          <w:tcPr>
            <w:tcW w:w="1085" w:type="dxa"/>
            <w:vAlign w:val="center"/>
          </w:tcPr>
          <w:p w14:paraId="72E1F04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2,732</w:t>
            </w:r>
          </w:p>
        </w:tc>
        <w:tc>
          <w:tcPr>
            <w:tcW w:w="1086" w:type="dxa"/>
            <w:vAlign w:val="center"/>
          </w:tcPr>
          <w:p w14:paraId="60CBAFE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2,949</w:t>
            </w:r>
          </w:p>
        </w:tc>
        <w:tc>
          <w:tcPr>
            <w:tcW w:w="1085" w:type="dxa"/>
            <w:vAlign w:val="center"/>
          </w:tcPr>
          <w:p w14:paraId="01272DB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3,173</w:t>
            </w:r>
          </w:p>
        </w:tc>
        <w:tc>
          <w:tcPr>
            <w:tcW w:w="1086" w:type="dxa"/>
            <w:vAlign w:val="center"/>
          </w:tcPr>
          <w:p w14:paraId="5711C3A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3,393</w:t>
            </w:r>
          </w:p>
        </w:tc>
        <w:tc>
          <w:tcPr>
            <w:tcW w:w="1086" w:type="dxa"/>
            <w:vAlign w:val="center"/>
          </w:tcPr>
          <w:p w14:paraId="5F8BFFB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3,583</w:t>
            </w:r>
          </w:p>
        </w:tc>
      </w:tr>
      <w:tr w:rsidR="005A5BD5" w:rsidRPr="00CA3519" w14:paraId="34807964" w14:textId="77777777" w:rsidTr="009B6E1B">
        <w:trPr>
          <w:trHeight w:val="397"/>
          <w:jc w:val="center"/>
        </w:trPr>
        <w:tc>
          <w:tcPr>
            <w:tcW w:w="2113" w:type="dxa"/>
            <w:vAlign w:val="center"/>
          </w:tcPr>
          <w:p w14:paraId="37DF26C2"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April 2012</w:t>
            </w:r>
          </w:p>
        </w:tc>
        <w:tc>
          <w:tcPr>
            <w:tcW w:w="2113" w:type="dxa"/>
            <w:vAlign w:val="center"/>
          </w:tcPr>
          <w:p w14:paraId="06DEADE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20.04.2012 - Ausg. 2</w:t>
            </w:r>
          </w:p>
        </w:tc>
        <w:tc>
          <w:tcPr>
            <w:tcW w:w="1085" w:type="dxa"/>
            <w:vAlign w:val="center"/>
          </w:tcPr>
          <w:p w14:paraId="27C15C9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0,577</w:t>
            </w:r>
          </w:p>
        </w:tc>
        <w:tc>
          <w:tcPr>
            <w:tcW w:w="1086" w:type="dxa"/>
            <w:vAlign w:val="center"/>
          </w:tcPr>
          <w:p w14:paraId="4008F99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1,147</w:t>
            </w:r>
          </w:p>
        </w:tc>
        <w:tc>
          <w:tcPr>
            <w:tcW w:w="1085" w:type="dxa"/>
            <w:vAlign w:val="center"/>
          </w:tcPr>
          <w:p w14:paraId="335D258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1,651</w:t>
            </w:r>
          </w:p>
        </w:tc>
        <w:tc>
          <w:tcPr>
            <w:tcW w:w="1086" w:type="dxa"/>
            <w:vAlign w:val="center"/>
          </w:tcPr>
          <w:p w14:paraId="17755A9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2,058</w:t>
            </w:r>
          </w:p>
        </w:tc>
        <w:tc>
          <w:tcPr>
            <w:tcW w:w="1086" w:type="dxa"/>
            <w:vAlign w:val="center"/>
          </w:tcPr>
          <w:p w14:paraId="0C208B8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2,379</w:t>
            </w:r>
          </w:p>
        </w:tc>
        <w:tc>
          <w:tcPr>
            <w:tcW w:w="1085" w:type="dxa"/>
            <w:vAlign w:val="center"/>
          </w:tcPr>
          <w:p w14:paraId="5795708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2,630</w:t>
            </w:r>
          </w:p>
        </w:tc>
        <w:tc>
          <w:tcPr>
            <w:tcW w:w="1086" w:type="dxa"/>
            <w:vAlign w:val="center"/>
          </w:tcPr>
          <w:p w14:paraId="1B0A53D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2,841</w:t>
            </w:r>
          </w:p>
        </w:tc>
        <w:tc>
          <w:tcPr>
            <w:tcW w:w="1085" w:type="dxa"/>
            <w:vAlign w:val="center"/>
          </w:tcPr>
          <w:p w14:paraId="763E46E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3,050</w:t>
            </w:r>
          </w:p>
        </w:tc>
        <w:tc>
          <w:tcPr>
            <w:tcW w:w="1086" w:type="dxa"/>
            <w:vAlign w:val="center"/>
          </w:tcPr>
          <w:p w14:paraId="4E33CF4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3,251</w:t>
            </w:r>
          </w:p>
        </w:tc>
        <w:tc>
          <w:tcPr>
            <w:tcW w:w="1086" w:type="dxa"/>
            <w:vAlign w:val="center"/>
          </w:tcPr>
          <w:p w14:paraId="34A4E20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3,430</w:t>
            </w:r>
          </w:p>
        </w:tc>
      </w:tr>
      <w:tr w:rsidR="005A5BD5" w:rsidRPr="00CA3519" w14:paraId="1E933D8D" w14:textId="77777777" w:rsidTr="009B6E1B">
        <w:trPr>
          <w:trHeight w:val="397"/>
          <w:jc w:val="center"/>
        </w:trPr>
        <w:tc>
          <w:tcPr>
            <w:tcW w:w="2113" w:type="dxa"/>
            <w:vAlign w:val="center"/>
          </w:tcPr>
          <w:p w14:paraId="3FBDD06A"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Mai 2012</w:t>
            </w:r>
          </w:p>
        </w:tc>
        <w:tc>
          <w:tcPr>
            <w:tcW w:w="2113" w:type="dxa"/>
            <w:vAlign w:val="center"/>
          </w:tcPr>
          <w:p w14:paraId="6FF1393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16.05.2012 - Ausg. 1</w:t>
            </w:r>
          </w:p>
        </w:tc>
        <w:tc>
          <w:tcPr>
            <w:tcW w:w="1085" w:type="dxa"/>
            <w:vAlign w:val="center"/>
          </w:tcPr>
          <w:p w14:paraId="142DC4F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0,578</w:t>
            </w:r>
          </w:p>
        </w:tc>
        <w:tc>
          <w:tcPr>
            <w:tcW w:w="1086" w:type="dxa"/>
            <w:vAlign w:val="center"/>
          </w:tcPr>
          <w:p w14:paraId="3AEAB9B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1,085</w:t>
            </w:r>
          </w:p>
        </w:tc>
        <w:tc>
          <w:tcPr>
            <w:tcW w:w="1085" w:type="dxa"/>
            <w:vAlign w:val="center"/>
          </w:tcPr>
          <w:p w14:paraId="59E33D8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1,555</w:t>
            </w:r>
          </w:p>
        </w:tc>
        <w:tc>
          <w:tcPr>
            <w:tcW w:w="1086" w:type="dxa"/>
            <w:vAlign w:val="center"/>
          </w:tcPr>
          <w:p w14:paraId="7DBB552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1,964</w:t>
            </w:r>
          </w:p>
        </w:tc>
        <w:tc>
          <w:tcPr>
            <w:tcW w:w="1086" w:type="dxa"/>
            <w:vAlign w:val="center"/>
          </w:tcPr>
          <w:p w14:paraId="16BEAA7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2,310</w:t>
            </w:r>
          </w:p>
        </w:tc>
        <w:tc>
          <w:tcPr>
            <w:tcW w:w="1085" w:type="dxa"/>
            <w:vAlign w:val="center"/>
          </w:tcPr>
          <w:p w14:paraId="2B9E3CE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2,586</w:t>
            </w:r>
          </w:p>
        </w:tc>
        <w:tc>
          <w:tcPr>
            <w:tcW w:w="1086" w:type="dxa"/>
            <w:vAlign w:val="center"/>
          </w:tcPr>
          <w:p w14:paraId="7093EB3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2,818</w:t>
            </w:r>
          </w:p>
        </w:tc>
        <w:tc>
          <w:tcPr>
            <w:tcW w:w="1085" w:type="dxa"/>
            <w:vAlign w:val="center"/>
          </w:tcPr>
          <w:p w14:paraId="75B3BA1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3,031</w:t>
            </w:r>
          </w:p>
        </w:tc>
        <w:tc>
          <w:tcPr>
            <w:tcW w:w="1086" w:type="dxa"/>
            <w:vAlign w:val="center"/>
          </w:tcPr>
          <w:p w14:paraId="0AF773E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3,224</w:t>
            </w:r>
          </w:p>
        </w:tc>
        <w:tc>
          <w:tcPr>
            <w:tcW w:w="1086" w:type="dxa"/>
            <w:vAlign w:val="center"/>
          </w:tcPr>
          <w:p w14:paraId="5226338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3,394</w:t>
            </w:r>
          </w:p>
        </w:tc>
      </w:tr>
      <w:tr w:rsidR="005A5BD5" w:rsidRPr="00CA3519" w14:paraId="2CFFF233" w14:textId="77777777" w:rsidTr="009B6E1B">
        <w:trPr>
          <w:trHeight w:val="397"/>
          <w:jc w:val="center"/>
        </w:trPr>
        <w:tc>
          <w:tcPr>
            <w:tcW w:w="2113" w:type="dxa"/>
            <w:vAlign w:val="center"/>
          </w:tcPr>
          <w:p w14:paraId="11AD0199"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Juni 2012</w:t>
            </w:r>
          </w:p>
        </w:tc>
        <w:tc>
          <w:tcPr>
            <w:tcW w:w="2113" w:type="dxa"/>
            <w:vAlign w:val="center"/>
          </w:tcPr>
          <w:p w14:paraId="352306F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14.06.2012 - Ausg. 1</w:t>
            </w:r>
          </w:p>
        </w:tc>
        <w:tc>
          <w:tcPr>
            <w:tcW w:w="1085" w:type="dxa"/>
            <w:vAlign w:val="center"/>
          </w:tcPr>
          <w:p w14:paraId="1BCF67B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0,492</w:t>
            </w:r>
          </w:p>
        </w:tc>
        <w:tc>
          <w:tcPr>
            <w:tcW w:w="1086" w:type="dxa"/>
            <w:vAlign w:val="center"/>
          </w:tcPr>
          <w:p w14:paraId="7ECB52A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0,839</w:t>
            </w:r>
          </w:p>
        </w:tc>
        <w:tc>
          <w:tcPr>
            <w:tcW w:w="1085" w:type="dxa"/>
            <w:vAlign w:val="center"/>
          </w:tcPr>
          <w:p w14:paraId="592E320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1,253</w:t>
            </w:r>
          </w:p>
        </w:tc>
        <w:tc>
          <w:tcPr>
            <w:tcW w:w="1086" w:type="dxa"/>
            <w:vAlign w:val="center"/>
          </w:tcPr>
          <w:p w14:paraId="5C41DEE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1,701</w:t>
            </w:r>
          </w:p>
        </w:tc>
        <w:tc>
          <w:tcPr>
            <w:tcW w:w="1086" w:type="dxa"/>
            <w:vAlign w:val="center"/>
          </w:tcPr>
          <w:p w14:paraId="661226A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2,093</w:t>
            </w:r>
          </w:p>
        </w:tc>
        <w:tc>
          <w:tcPr>
            <w:tcW w:w="1085" w:type="dxa"/>
            <w:vAlign w:val="center"/>
          </w:tcPr>
          <w:p w14:paraId="6160C3F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2,364</w:t>
            </w:r>
          </w:p>
        </w:tc>
        <w:tc>
          <w:tcPr>
            <w:tcW w:w="1086" w:type="dxa"/>
            <w:vAlign w:val="center"/>
          </w:tcPr>
          <w:p w14:paraId="584B57B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2,569</w:t>
            </w:r>
          </w:p>
        </w:tc>
        <w:tc>
          <w:tcPr>
            <w:tcW w:w="1085" w:type="dxa"/>
            <w:vAlign w:val="center"/>
          </w:tcPr>
          <w:p w14:paraId="5D6FDD2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2,766</w:t>
            </w:r>
          </w:p>
        </w:tc>
        <w:tc>
          <w:tcPr>
            <w:tcW w:w="1086" w:type="dxa"/>
            <w:vAlign w:val="center"/>
          </w:tcPr>
          <w:p w14:paraId="2784997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2,957</w:t>
            </w:r>
          </w:p>
        </w:tc>
        <w:tc>
          <w:tcPr>
            <w:tcW w:w="1086" w:type="dxa"/>
            <w:vAlign w:val="center"/>
          </w:tcPr>
          <w:p w14:paraId="2500DBE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3,127</w:t>
            </w:r>
          </w:p>
        </w:tc>
      </w:tr>
      <w:tr w:rsidR="005A5BD5" w:rsidRPr="00CA3519" w14:paraId="16CB2EE3" w14:textId="77777777" w:rsidTr="009B6E1B">
        <w:trPr>
          <w:trHeight w:val="397"/>
          <w:jc w:val="center"/>
        </w:trPr>
        <w:tc>
          <w:tcPr>
            <w:tcW w:w="2113" w:type="dxa"/>
            <w:vAlign w:val="center"/>
          </w:tcPr>
          <w:p w14:paraId="71FB4F7D"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Juli 2012</w:t>
            </w:r>
          </w:p>
        </w:tc>
        <w:tc>
          <w:tcPr>
            <w:tcW w:w="2113" w:type="dxa"/>
            <w:vAlign w:val="center"/>
          </w:tcPr>
          <w:p w14:paraId="51255AC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20.07.2012 - Ausg. 3</w:t>
            </w:r>
          </w:p>
        </w:tc>
        <w:tc>
          <w:tcPr>
            <w:tcW w:w="1085" w:type="dxa"/>
            <w:vAlign w:val="center"/>
          </w:tcPr>
          <w:p w14:paraId="2117912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0,426</w:t>
            </w:r>
          </w:p>
        </w:tc>
        <w:tc>
          <w:tcPr>
            <w:tcW w:w="1086" w:type="dxa"/>
            <w:vAlign w:val="center"/>
          </w:tcPr>
          <w:p w14:paraId="202771D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0,779</w:t>
            </w:r>
          </w:p>
        </w:tc>
        <w:tc>
          <w:tcPr>
            <w:tcW w:w="1085" w:type="dxa"/>
            <w:vAlign w:val="center"/>
          </w:tcPr>
          <w:p w14:paraId="2447DAB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1,200</w:t>
            </w:r>
          </w:p>
        </w:tc>
        <w:tc>
          <w:tcPr>
            <w:tcW w:w="1086" w:type="dxa"/>
            <w:vAlign w:val="center"/>
          </w:tcPr>
          <w:p w14:paraId="739E777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1,650</w:t>
            </w:r>
          </w:p>
        </w:tc>
        <w:tc>
          <w:tcPr>
            <w:tcW w:w="1086" w:type="dxa"/>
            <w:vAlign w:val="center"/>
          </w:tcPr>
          <w:p w14:paraId="215B14E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2,043</w:t>
            </w:r>
          </w:p>
        </w:tc>
        <w:tc>
          <w:tcPr>
            <w:tcW w:w="1085" w:type="dxa"/>
            <w:vAlign w:val="center"/>
          </w:tcPr>
          <w:p w14:paraId="3E3D028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2,319</w:t>
            </w:r>
          </w:p>
        </w:tc>
        <w:tc>
          <w:tcPr>
            <w:tcW w:w="1086" w:type="dxa"/>
            <w:vAlign w:val="center"/>
          </w:tcPr>
          <w:p w14:paraId="459712D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2,529</w:t>
            </w:r>
          </w:p>
        </w:tc>
        <w:tc>
          <w:tcPr>
            <w:tcW w:w="1085" w:type="dxa"/>
            <w:vAlign w:val="center"/>
          </w:tcPr>
          <w:p w14:paraId="4FBAB07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2,730</w:t>
            </w:r>
          </w:p>
        </w:tc>
        <w:tc>
          <w:tcPr>
            <w:tcW w:w="1086" w:type="dxa"/>
            <w:vAlign w:val="center"/>
          </w:tcPr>
          <w:p w14:paraId="4811012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2,922</w:t>
            </w:r>
          </w:p>
        </w:tc>
        <w:tc>
          <w:tcPr>
            <w:tcW w:w="1086" w:type="dxa"/>
            <w:vAlign w:val="center"/>
          </w:tcPr>
          <w:p w14:paraId="4F65FDE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3,095</w:t>
            </w:r>
          </w:p>
        </w:tc>
      </w:tr>
      <w:tr w:rsidR="005A5BD5" w:rsidRPr="00CA3519" w14:paraId="7F08BA05" w14:textId="77777777" w:rsidTr="009B6E1B">
        <w:trPr>
          <w:trHeight w:val="397"/>
          <w:jc w:val="center"/>
        </w:trPr>
        <w:tc>
          <w:tcPr>
            <w:tcW w:w="2113" w:type="dxa"/>
            <w:vAlign w:val="center"/>
          </w:tcPr>
          <w:p w14:paraId="0BD28060"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August 2012</w:t>
            </w:r>
          </w:p>
        </w:tc>
        <w:tc>
          <w:tcPr>
            <w:tcW w:w="2113" w:type="dxa"/>
            <w:vAlign w:val="center"/>
          </w:tcPr>
          <w:p w14:paraId="2593A86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20.08.2012 - Ausg. 2</w:t>
            </w:r>
          </w:p>
        </w:tc>
        <w:tc>
          <w:tcPr>
            <w:tcW w:w="1085" w:type="dxa"/>
            <w:vAlign w:val="center"/>
          </w:tcPr>
          <w:p w14:paraId="2CB08D3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0,067</w:t>
            </w:r>
          </w:p>
        </w:tc>
        <w:tc>
          <w:tcPr>
            <w:tcW w:w="1086" w:type="dxa"/>
            <w:vAlign w:val="center"/>
          </w:tcPr>
          <w:p w14:paraId="0C25BB3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0,331</w:t>
            </w:r>
          </w:p>
        </w:tc>
        <w:tc>
          <w:tcPr>
            <w:tcW w:w="1085" w:type="dxa"/>
            <w:vAlign w:val="center"/>
          </w:tcPr>
          <w:p w14:paraId="1E8AFC3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0,636</w:t>
            </w:r>
          </w:p>
        </w:tc>
        <w:tc>
          <w:tcPr>
            <w:tcW w:w="1086" w:type="dxa"/>
            <w:vAlign w:val="center"/>
          </w:tcPr>
          <w:p w14:paraId="54FB041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0,997</w:t>
            </w:r>
          </w:p>
        </w:tc>
        <w:tc>
          <w:tcPr>
            <w:tcW w:w="1086" w:type="dxa"/>
            <w:vAlign w:val="center"/>
          </w:tcPr>
          <w:p w14:paraId="3CD93AC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1,364</w:t>
            </w:r>
          </w:p>
        </w:tc>
        <w:tc>
          <w:tcPr>
            <w:tcW w:w="1085" w:type="dxa"/>
            <w:vAlign w:val="center"/>
          </w:tcPr>
          <w:p w14:paraId="74B0BC4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1,695</w:t>
            </w:r>
          </w:p>
        </w:tc>
        <w:tc>
          <w:tcPr>
            <w:tcW w:w="1086" w:type="dxa"/>
            <w:vAlign w:val="center"/>
          </w:tcPr>
          <w:p w14:paraId="3B33134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1,977</w:t>
            </w:r>
          </w:p>
        </w:tc>
        <w:tc>
          <w:tcPr>
            <w:tcW w:w="1085" w:type="dxa"/>
            <w:vAlign w:val="center"/>
          </w:tcPr>
          <w:p w14:paraId="3176986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2,211</w:t>
            </w:r>
          </w:p>
        </w:tc>
        <w:tc>
          <w:tcPr>
            <w:tcW w:w="1086" w:type="dxa"/>
            <w:vAlign w:val="center"/>
          </w:tcPr>
          <w:p w14:paraId="2DC08D1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2,401</w:t>
            </w:r>
          </w:p>
        </w:tc>
        <w:tc>
          <w:tcPr>
            <w:tcW w:w="1086" w:type="dxa"/>
            <w:vAlign w:val="center"/>
          </w:tcPr>
          <w:p w14:paraId="4EF0981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2,561</w:t>
            </w:r>
          </w:p>
        </w:tc>
      </w:tr>
      <w:tr w:rsidR="005A5BD5" w:rsidRPr="00CA3519" w14:paraId="6DA1B99A" w14:textId="77777777" w:rsidTr="009B6E1B">
        <w:trPr>
          <w:trHeight w:val="397"/>
          <w:jc w:val="center"/>
        </w:trPr>
        <w:tc>
          <w:tcPr>
            <w:tcW w:w="2113" w:type="dxa"/>
            <w:vAlign w:val="center"/>
          </w:tcPr>
          <w:p w14:paraId="0CD54D14"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September 2012</w:t>
            </w:r>
          </w:p>
        </w:tc>
        <w:tc>
          <w:tcPr>
            <w:tcW w:w="2113" w:type="dxa"/>
            <w:vAlign w:val="center"/>
          </w:tcPr>
          <w:p w14:paraId="6DFAA41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20.09.2012 - Ausg. 2</w:t>
            </w:r>
          </w:p>
        </w:tc>
        <w:tc>
          <w:tcPr>
            <w:tcW w:w="1085" w:type="dxa"/>
            <w:vAlign w:val="center"/>
          </w:tcPr>
          <w:p w14:paraId="437636E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0,090</w:t>
            </w:r>
          </w:p>
        </w:tc>
        <w:tc>
          <w:tcPr>
            <w:tcW w:w="1086" w:type="dxa"/>
            <w:vAlign w:val="center"/>
          </w:tcPr>
          <w:p w14:paraId="29247A3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0,354</w:t>
            </w:r>
          </w:p>
        </w:tc>
        <w:tc>
          <w:tcPr>
            <w:tcW w:w="1085" w:type="dxa"/>
            <w:vAlign w:val="center"/>
          </w:tcPr>
          <w:p w14:paraId="777111A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0,653</w:t>
            </w:r>
          </w:p>
        </w:tc>
        <w:tc>
          <w:tcPr>
            <w:tcW w:w="1086" w:type="dxa"/>
            <w:vAlign w:val="center"/>
          </w:tcPr>
          <w:p w14:paraId="47BE272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1,010</w:t>
            </w:r>
          </w:p>
        </w:tc>
        <w:tc>
          <w:tcPr>
            <w:tcW w:w="1086" w:type="dxa"/>
            <w:vAlign w:val="center"/>
          </w:tcPr>
          <w:p w14:paraId="64F1D38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1,378</w:t>
            </w:r>
          </w:p>
        </w:tc>
        <w:tc>
          <w:tcPr>
            <w:tcW w:w="1085" w:type="dxa"/>
            <w:vAlign w:val="center"/>
          </w:tcPr>
          <w:p w14:paraId="2C4C7DE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1,709</w:t>
            </w:r>
          </w:p>
        </w:tc>
        <w:tc>
          <w:tcPr>
            <w:tcW w:w="1086" w:type="dxa"/>
            <w:vAlign w:val="center"/>
          </w:tcPr>
          <w:p w14:paraId="0D8769B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1,989</w:t>
            </w:r>
          </w:p>
        </w:tc>
        <w:tc>
          <w:tcPr>
            <w:tcW w:w="1085" w:type="dxa"/>
            <w:vAlign w:val="center"/>
          </w:tcPr>
          <w:p w14:paraId="1EEFD7B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2,222</w:t>
            </w:r>
          </w:p>
        </w:tc>
        <w:tc>
          <w:tcPr>
            <w:tcW w:w="1086" w:type="dxa"/>
            <w:vAlign w:val="center"/>
          </w:tcPr>
          <w:p w14:paraId="72345F5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2,411</w:t>
            </w:r>
          </w:p>
        </w:tc>
        <w:tc>
          <w:tcPr>
            <w:tcW w:w="1086" w:type="dxa"/>
            <w:vAlign w:val="center"/>
          </w:tcPr>
          <w:p w14:paraId="5E39E20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2,571</w:t>
            </w:r>
          </w:p>
        </w:tc>
      </w:tr>
      <w:tr w:rsidR="005A5BD5" w:rsidRPr="00CA3519" w14:paraId="13EC13F8" w14:textId="77777777" w:rsidTr="009B6E1B">
        <w:trPr>
          <w:trHeight w:val="397"/>
          <w:jc w:val="center"/>
        </w:trPr>
        <w:tc>
          <w:tcPr>
            <w:tcW w:w="2113" w:type="dxa"/>
            <w:vAlign w:val="center"/>
          </w:tcPr>
          <w:p w14:paraId="705A4194" w14:textId="77777777" w:rsidR="005A5BD5" w:rsidRPr="00CA3519" w:rsidRDefault="005A5BD5" w:rsidP="004C2C7D">
            <w:pPr>
              <w:rPr>
                <w:rFonts w:eastAsia="Calibri"/>
                <w:sz w:val="17"/>
                <w:szCs w:val="17"/>
                <w:lang w:eastAsia="en-US"/>
              </w:rPr>
            </w:pPr>
            <w:r w:rsidRPr="00CA3519">
              <w:rPr>
                <w:rFonts w:eastAsia="Calibri"/>
                <w:sz w:val="17"/>
                <w:szCs w:val="17"/>
                <w:lang w:eastAsia="en-US"/>
              </w:rPr>
              <w:t>Oktober 2012</w:t>
            </w:r>
          </w:p>
        </w:tc>
        <w:tc>
          <w:tcPr>
            <w:tcW w:w="2113" w:type="dxa"/>
            <w:vAlign w:val="center"/>
          </w:tcPr>
          <w:p w14:paraId="5192B5B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24.10.2012 - Ausg. 2</w:t>
            </w:r>
          </w:p>
        </w:tc>
        <w:tc>
          <w:tcPr>
            <w:tcW w:w="1085" w:type="dxa"/>
            <w:vAlign w:val="center"/>
          </w:tcPr>
          <w:p w14:paraId="0451029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0,097</w:t>
            </w:r>
          </w:p>
        </w:tc>
        <w:tc>
          <w:tcPr>
            <w:tcW w:w="1086" w:type="dxa"/>
            <w:vAlign w:val="center"/>
          </w:tcPr>
          <w:p w14:paraId="32DC688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0,311</w:t>
            </w:r>
          </w:p>
        </w:tc>
        <w:tc>
          <w:tcPr>
            <w:tcW w:w="1085" w:type="dxa"/>
            <w:vAlign w:val="center"/>
          </w:tcPr>
          <w:p w14:paraId="4CA262C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0,580</w:t>
            </w:r>
          </w:p>
        </w:tc>
        <w:tc>
          <w:tcPr>
            <w:tcW w:w="1086" w:type="dxa"/>
            <w:vAlign w:val="center"/>
          </w:tcPr>
          <w:p w14:paraId="0CB32E9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0,933</w:t>
            </w:r>
          </w:p>
        </w:tc>
        <w:tc>
          <w:tcPr>
            <w:tcW w:w="1086" w:type="dxa"/>
            <w:vAlign w:val="center"/>
          </w:tcPr>
          <w:p w14:paraId="510E9A8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1,313</w:t>
            </w:r>
          </w:p>
        </w:tc>
        <w:tc>
          <w:tcPr>
            <w:tcW w:w="1085" w:type="dxa"/>
            <w:vAlign w:val="center"/>
          </w:tcPr>
          <w:p w14:paraId="384B718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1,660</w:t>
            </w:r>
          </w:p>
        </w:tc>
        <w:tc>
          <w:tcPr>
            <w:tcW w:w="1086" w:type="dxa"/>
            <w:vAlign w:val="center"/>
          </w:tcPr>
          <w:p w14:paraId="414E45B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1,955</w:t>
            </w:r>
          </w:p>
        </w:tc>
        <w:tc>
          <w:tcPr>
            <w:tcW w:w="1085" w:type="dxa"/>
            <w:vAlign w:val="center"/>
          </w:tcPr>
          <w:p w14:paraId="72D668B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2,198</w:t>
            </w:r>
          </w:p>
        </w:tc>
        <w:tc>
          <w:tcPr>
            <w:tcW w:w="1086" w:type="dxa"/>
            <w:vAlign w:val="center"/>
          </w:tcPr>
          <w:p w14:paraId="267CBE8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2,396</w:t>
            </w:r>
          </w:p>
        </w:tc>
        <w:tc>
          <w:tcPr>
            <w:tcW w:w="1086" w:type="dxa"/>
            <w:vAlign w:val="center"/>
          </w:tcPr>
          <w:p w14:paraId="1AA7015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2,559</w:t>
            </w:r>
          </w:p>
        </w:tc>
      </w:tr>
      <w:tr w:rsidR="005A5BD5" w:rsidRPr="00CA3519" w14:paraId="19102D8E" w14:textId="77777777" w:rsidTr="009B6E1B">
        <w:trPr>
          <w:trHeight w:val="397"/>
          <w:jc w:val="center"/>
        </w:trPr>
        <w:tc>
          <w:tcPr>
            <w:tcW w:w="2113" w:type="dxa"/>
            <w:vAlign w:val="center"/>
          </w:tcPr>
          <w:p w14:paraId="62C6D9FF"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November 2012</w:t>
            </w:r>
          </w:p>
        </w:tc>
        <w:tc>
          <w:tcPr>
            <w:tcW w:w="2113" w:type="dxa"/>
            <w:vAlign w:val="center"/>
          </w:tcPr>
          <w:p w14:paraId="01A601B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22.11.2012 - Ausg. 2</w:t>
            </w:r>
          </w:p>
        </w:tc>
        <w:tc>
          <w:tcPr>
            <w:tcW w:w="1085" w:type="dxa"/>
            <w:vAlign w:val="center"/>
          </w:tcPr>
          <w:p w14:paraId="589CFA3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0,090</w:t>
            </w:r>
          </w:p>
        </w:tc>
        <w:tc>
          <w:tcPr>
            <w:tcW w:w="1086" w:type="dxa"/>
            <w:vAlign w:val="center"/>
          </w:tcPr>
          <w:p w14:paraId="1938BC7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0,240</w:t>
            </w:r>
          </w:p>
        </w:tc>
        <w:tc>
          <w:tcPr>
            <w:tcW w:w="1085" w:type="dxa"/>
            <w:vAlign w:val="center"/>
          </w:tcPr>
          <w:p w14:paraId="30A22EE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0,473</w:t>
            </w:r>
          </w:p>
        </w:tc>
        <w:tc>
          <w:tcPr>
            <w:tcW w:w="1086" w:type="dxa"/>
            <w:vAlign w:val="center"/>
          </w:tcPr>
          <w:p w14:paraId="58EDB39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0,830</w:t>
            </w:r>
          </w:p>
        </w:tc>
        <w:tc>
          <w:tcPr>
            <w:tcW w:w="1086" w:type="dxa"/>
            <w:vAlign w:val="center"/>
          </w:tcPr>
          <w:p w14:paraId="3210CFF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1,210</w:t>
            </w:r>
          </w:p>
        </w:tc>
        <w:tc>
          <w:tcPr>
            <w:tcW w:w="1085" w:type="dxa"/>
            <w:vAlign w:val="center"/>
          </w:tcPr>
          <w:p w14:paraId="4A067A6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1,539</w:t>
            </w:r>
          </w:p>
        </w:tc>
        <w:tc>
          <w:tcPr>
            <w:tcW w:w="1086" w:type="dxa"/>
            <w:vAlign w:val="center"/>
          </w:tcPr>
          <w:p w14:paraId="759305E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1,815</w:t>
            </w:r>
          </w:p>
        </w:tc>
        <w:tc>
          <w:tcPr>
            <w:tcW w:w="1085" w:type="dxa"/>
            <w:vAlign w:val="center"/>
          </w:tcPr>
          <w:p w14:paraId="24556C9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2,048</w:t>
            </w:r>
          </w:p>
        </w:tc>
        <w:tc>
          <w:tcPr>
            <w:tcW w:w="1086" w:type="dxa"/>
            <w:vAlign w:val="center"/>
          </w:tcPr>
          <w:p w14:paraId="7C34C82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2,246</w:t>
            </w:r>
          </w:p>
        </w:tc>
        <w:tc>
          <w:tcPr>
            <w:tcW w:w="1086" w:type="dxa"/>
            <w:vAlign w:val="center"/>
          </w:tcPr>
          <w:p w14:paraId="0FF0844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2,414</w:t>
            </w:r>
          </w:p>
        </w:tc>
      </w:tr>
      <w:tr w:rsidR="005A5BD5" w:rsidRPr="00CA3519" w14:paraId="0D79C697" w14:textId="77777777" w:rsidTr="009B6E1B">
        <w:trPr>
          <w:trHeight w:val="397"/>
          <w:jc w:val="center"/>
        </w:trPr>
        <w:tc>
          <w:tcPr>
            <w:tcW w:w="2113" w:type="dxa"/>
            <w:vAlign w:val="center"/>
          </w:tcPr>
          <w:p w14:paraId="1CB0612D" w14:textId="77777777" w:rsidR="005A5BD5" w:rsidRPr="00CA3519" w:rsidRDefault="005A5BD5" w:rsidP="004C2C7D">
            <w:pPr>
              <w:rPr>
                <w:rFonts w:eastAsia="Calibri"/>
                <w:sz w:val="17"/>
                <w:szCs w:val="17"/>
                <w:lang w:eastAsia="en-US"/>
              </w:rPr>
            </w:pPr>
            <w:r w:rsidRPr="00CA3519">
              <w:rPr>
                <w:rFonts w:eastAsia="Calibri"/>
                <w:sz w:val="17"/>
                <w:szCs w:val="17"/>
                <w:lang w:eastAsia="en-US"/>
              </w:rPr>
              <w:t>Dezember 2012</w:t>
            </w:r>
          </w:p>
        </w:tc>
        <w:tc>
          <w:tcPr>
            <w:tcW w:w="2113" w:type="dxa"/>
            <w:vAlign w:val="center"/>
          </w:tcPr>
          <w:p w14:paraId="358CC4D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14.12.2012 - Ausg. 2</w:t>
            </w:r>
          </w:p>
        </w:tc>
        <w:tc>
          <w:tcPr>
            <w:tcW w:w="1085" w:type="dxa"/>
            <w:vAlign w:val="center"/>
          </w:tcPr>
          <w:p w14:paraId="7468C04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0,061</w:t>
            </w:r>
          </w:p>
        </w:tc>
        <w:tc>
          <w:tcPr>
            <w:tcW w:w="1086" w:type="dxa"/>
            <w:vAlign w:val="center"/>
          </w:tcPr>
          <w:p w14:paraId="71A6336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0,153</w:t>
            </w:r>
          </w:p>
        </w:tc>
        <w:tc>
          <w:tcPr>
            <w:tcW w:w="1085" w:type="dxa"/>
            <w:vAlign w:val="center"/>
          </w:tcPr>
          <w:p w14:paraId="100E996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0,357</w:t>
            </w:r>
          </w:p>
        </w:tc>
        <w:tc>
          <w:tcPr>
            <w:tcW w:w="1086" w:type="dxa"/>
            <w:vAlign w:val="center"/>
          </w:tcPr>
          <w:p w14:paraId="1B20246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0,707</w:t>
            </w:r>
          </w:p>
        </w:tc>
        <w:tc>
          <w:tcPr>
            <w:tcW w:w="1086" w:type="dxa"/>
            <w:vAlign w:val="center"/>
          </w:tcPr>
          <w:p w14:paraId="3B20E29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1,068</w:t>
            </w:r>
          </w:p>
        </w:tc>
        <w:tc>
          <w:tcPr>
            <w:tcW w:w="1085" w:type="dxa"/>
            <w:vAlign w:val="center"/>
          </w:tcPr>
          <w:p w14:paraId="77A1F25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1,360</w:t>
            </w:r>
          </w:p>
        </w:tc>
        <w:tc>
          <w:tcPr>
            <w:tcW w:w="1086" w:type="dxa"/>
            <w:vAlign w:val="center"/>
          </w:tcPr>
          <w:p w14:paraId="1ADB60A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1,611</w:t>
            </w:r>
          </w:p>
        </w:tc>
        <w:tc>
          <w:tcPr>
            <w:tcW w:w="1085" w:type="dxa"/>
            <w:vAlign w:val="center"/>
          </w:tcPr>
          <w:p w14:paraId="6D18C1F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1,845</w:t>
            </w:r>
          </w:p>
        </w:tc>
        <w:tc>
          <w:tcPr>
            <w:tcW w:w="1086" w:type="dxa"/>
            <w:vAlign w:val="center"/>
          </w:tcPr>
          <w:p w14:paraId="69D5D08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2,061</w:t>
            </w:r>
          </w:p>
        </w:tc>
        <w:tc>
          <w:tcPr>
            <w:tcW w:w="1086" w:type="dxa"/>
            <w:vAlign w:val="center"/>
          </w:tcPr>
          <w:p w14:paraId="4AADED6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2,253]</w:t>
            </w:r>
          </w:p>
        </w:tc>
      </w:tr>
      <w:tr w:rsidR="005A5BD5" w:rsidRPr="00CA3519" w14:paraId="62842507" w14:textId="77777777" w:rsidTr="009B6E1B">
        <w:trPr>
          <w:trHeight w:val="397"/>
          <w:jc w:val="center"/>
        </w:trPr>
        <w:tc>
          <w:tcPr>
            <w:tcW w:w="2113" w:type="dxa"/>
            <w:vAlign w:val="center"/>
          </w:tcPr>
          <w:p w14:paraId="13C4427C" w14:textId="77777777" w:rsidR="005A5BD5" w:rsidRPr="00CA3519" w:rsidRDefault="005A5BD5" w:rsidP="004C2C7D">
            <w:pPr>
              <w:rPr>
                <w:rFonts w:eastAsia="Calibri"/>
                <w:sz w:val="17"/>
                <w:szCs w:val="17"/>
                <w:lang w:eastAsia="en-US"/>
              </w:rPr>
            </w:pPr>
            <w:r w:rsidRPr="00CA3519">
              <w:rPr>
                <w:rFonts w:eastAsia="Calibri"/>
                <w:sz w:val="17"/>
                <w:szCs w:val="17"/>
                <w:lang w:eastAsia="en-US"/>
              </w:rPr>
              <w:lastRenderedPageBreak/>
              <w:t>[Januar 2013</w:t>
            </w:r>
          </w:p>
        </w:tc>
        <w:tc>
          <w:tcPr>
            <w:tcW w:w="2113" w:type="dxa"/>
            <w:vAlign w:val="center"/>
          </w:tcPr>
          <w:p w14:paraId="6B37484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21.01.2013</w:t>
            </w:r>
          </w:p>
        </w:tc>
        <w:tc>
          <w:tcPr>
            <w:tcW w:w="1085" w:type="dxa"/>
            <w:vAlign w:val="center"/>
          </w:tcPr>
          <w:p w14:paraId="42DD366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0,036</w:t>
            </w:r>
          </w:p>
        </w:tc>
        <w:tc>
          <w:tcPr>
            <w:tcW w:w="1086" w:type="dxa"/>
            <w:vAlign w:val="center"/>
          </w:tcPr>
          <w:p w14:paraId="3B7C8FB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0,131</w:t>
            </w:r>
          </w:p>
        </w:tc>
        <w:tc>
          <w:tcPr>
            <w:tcW w:w="1085" w:type="dxa"/>
            <w:vAlign w:val="center"/>
          </w:tcPr>
          <w:p w14:paraId="34A337B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0,324</w:t>
            </w:r>
          </w:p>
        </w:tc>
        <w:tc>
          <w:tcPr>
            <w:tcW w:w="1086" w:type="dxa"/>
            <w:vAlign w:val="center"/>
          </w:tcPr>
          <w:p w14:paraId="749CB96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0,638</w:t>
            </w:r>
          </w:p>
        </w:tc>
        <w:tc>
          <w:tcPr>
            <w:tcW w:w="1086" w:type="dxa"/>
            <w:vAlign w:val="center"/>
          </w:tcPr>
          <w:p w14:paraId="3B81630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0,958</w:t>
            </w:r>
          </w:p>
        </w:tc>
        <w:tc>
          <w:tcPr>
            <w:tcW w:w="1085" w:type="dxa"/>
            <w:vAlign w:val="center"/>
          </w:tcPr>
          <w:p w14:paraId="6DC20A9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1,236</w:t>
            </w:r>
          </w:p>
        </w:tc>
        <w:tc>
          <w:tcPr>
            <w:tcW w:w="1086" w:type="dxa"/>
            <w:vAlign w:val="center"/>
          </w:tcPr>
          <w:p w14:paraId="481D426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1,490</w:t>
            </w:r>
          </w:p>
        </w:tc>
        <w:tc>
          <w:tcPr>
            <w:tcW w:w="1085" w:type="dxa"/>
            <w:vAlign w:val="center"/>
          </w:tcPr>
          <w:p w14:paraId="2588897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1,741</w:t>
            </w:r>
          </w:p>
        </w:tc>
        <w:tc>
          <w:tcPr>
            <w:tcW w:w="1086" w:type="dxa"/>
            <w:vAlign w:val="center"/>
          </w:tcPr>
          <w:p w14:paraId="020D4D6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1,973</w:t>
            </w:r>
          </w:p>
        </w:tc>
        <w:tc>
          <w:tcPr>
            <w:tcW w:w="1086" w:type="dxa"/>
            <w:vAlign w:val="center"/>
          </w:tcPr>
          <w:p w14:paraId="535E44D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2,179</w:t>
            </w:r>
          </w:p>
        </w:tc>
      </w:tr>
      <w:tr w:rsidR="005A5BD5" w:rsidRPr="00CA3519" w14:paraId="1522A9BA" w14:textId="77777777" w:rsidTr="009B6E1B">
        <w:trPr>
          <w:trHeight w:val="397"/>
          <w:jc w:val="center"/>
        </w:trPr>
        <w:tc>
          <w:tcPr>
            <w:tcW w:w="2113" w:type="dxa"/>
            <w:vAlign w:val="center"/>
          </w:tcPr>
          <w:p w14:paraId="028D797A"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Februar 2013</w:t>
            </w:r>
          </w:p>
        </w:tc>
        <w:tc>
          <w:tcPr>
            <w:tcW w:w="2113" w:type="dxa"/>
            <w:vAlign w:val="center"/>
          </w:tcPr>
          <w:p w14:paraId="087A016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20.02.2013 - Ausg. 3</w:t>
            </w:r>
          </w:p>
        </w:tc>
        <w:tc>
          <w:tcPr>
            <w:tcW w:w="1085" w:type="dxa"/>
            <w:vAlign w:val="center"/>
          </w:tcPr>
          <w:p w14:paraId="4B95B71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0,161</w:t>
            </w:r>
          </w:p>
        </w:tc>
        <w:tc>
          <w:tcPr>
            <w:tcW w:w="1086" w:type="dxa"/>
            <w:vAlign w:val="center"/>
          </w:tcPr>
          <w:p w14:paraId="499D23C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0,369</w:t>
            </w:r>
          </w:p>
        </w:tc>
        <w:tc>
          <w:tcPr>
            <w:tcW w:w="1085" w:type="dxa"/>
            <w:vAlign w:val="center"/>
          </w:tcPr>
          <w:p w14:paraId="2C71F8E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0,593</w:t>
            </w:r>
          </w:p>
        </w:tc>
        <w:tc>
          <w:tcPr>
            <w:tcW w:w="1086" w:type="dxa"/>
            <w:vAlign w:val="center"/>
          </w:tcPr>
          <w:p w14:paraId="2B65D86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0,844</w:t>
            </w:r>
          </w:p>
        </w:tc>
        <w:tc>
          <w:tcPr>
            <w:tcW w:w="1086" w:type="dxa"/>
            <w:vAlign w:val="center"/>
          </w:tcPr>
          <w:p w14:paraId="7D2BF39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1,111</w:t>
            </w:r>
          </w:p>
        </w:tc>
        <w:tc>
          <w:tcPr>
            <w:tcW w:w="1085" w:type="dxa"/>
            <w:vAlign w:val="center"/>
          </w:tcPr>
          <w:p w14:paraId="1A2D7BB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1,381</w:t>
            </w:r>
          </w:p>
        </w:tc>
        <w:tc>
          <w:tcPr>
            <w:tcW w:w="1086" w:type="dxa"/>
            <w:vAlign w:val="center"/>
          </w:tcPr>
          <w:p w14:paraId="5DF0FA5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1,650</w:t>
            </w:r>
          </w:p>
        </w:tc>
        <w:tc>
          <w:tcPr>
            <w:tcW w:w="1085" w:type="dxa"/>
            <w:vAlign w:val="center"/>
          </w:tcPr>
          <w:p w14:paraId="00C1D9E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1,908</w:t>
            </w:r>
          </w:p>
        </w:tc>
        <w:tc>
          <w:tcPr>
            <w:tcW w:w="1086" w:type="dxa"/>
            <w:vAlign w:val="center"/>
          </w:tcPr>
          <w:p w14:paraId="27D0CF5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2,144</w:t>
            </w:r>
          </w:p>
        </w:tc>
        <w:tc>
          <w:tcPr>
            <w:tcW w:w="1086" w:type="dxa"/>
            <w:vAlign w:val="center"/>
          </w:tcPr>
          <w:p w14:paraId="10AE98A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2,352</w:t>
            </w:r>
          </w:p>
        </w:tc>
      </w:tr>
      <w:tr w:rsidR="005A5BD5" w:rsidRPr="00CA3519" w14:paraId="56299169" w14:textId="77777777" w:rsidTr="009B6E1B">
        <w:trPr>
          <w:trHeight w:val="397"/>
          <w:jc w:val="center"/>
        </w:trPr>
        <w:tc>
          <w:tcPr>
            <w:tcW w:w="2113" w:type="dxa"/>
            <w:vAlign w:val="center"/>
          </w:tcPr>
          <w:p w14:paraId="6DD6141B"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März 2013</w:t>
            </w:r>
          </w:p>
        </w:tc>
        <w:tc>
          <w:tcPr>
            <w:tcW w:w="2113" w:type="dxa"/>
            <w:vAlign w:val="center"/>
          </w:tcPr>
          <w:p w14:paraId="48CE359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27.03.2013</w:t>
            </w:r>
          </w:p>
        </w:tc>
        <w:tc>
          <w:tcPr>
            <w:tcW w:w="1085" w:type="dxa"/>
            <w:vAlign w:val="center"/>
          </w:tcPr>
          <w:p w14:paraId="29EB127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0,138</w:t>
            </w:r>
          </w:p>
        </w:tc>
        <w:tc>
          <w:tcPr>
            <w:tcW w:w="1086" w:type="dxa"/>
            <w:vAlign w:val="center"/>
          </w:tcPr>
          <w:p w14:paraId="3A30179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0,345</w:t>
            </w:r>
          </w:p>
        </w:tc>
        <w:tc>
          <w:tcPr>
            <w:tcW w:w="1085" w:type="dxa"/>
            <w:vAlign w:val="center"/>
          </w:tcPr>
          <w:p w14:paraId="6205530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0,569</w:t>
            </w:r>
          </w:p>
        </w:tc>
        <w:tc>
          <w:tcPr>
            <w:tcW w:w="1086" w:type="dxa"/>
            <w:vAlign w:val="center"/>
          </w:tcPr>
          <w:p w14:paraId="014EC0E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0,816</w:t>
            </w:r>
          </w:p>
        </w:tc>
        <w:tc>
          <w:tcPr>
            <w:tcW w:w="1086" w:type="dxa"/>
            <w:vAlign w:val="center"/>
          </w:tcPr>
          <w:p w14:paraId="454A5E5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1,088</w:t>
            </w:r>
          </w:p>
        </w:tc>
        <w:tc>
          <w:tcPr>
            <w:tcW w:w="1085" w:type="dxa"/>
            <w:vAlign w:val="center"/>
          </w:tcPr>
          <w:p w14:paraId="5111167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1,359</w:t>
            </w:r>
          </w:p>
        </w:tc>
        <w:tc>
          <w:tcPr>
            <w:tcW w:w="1086" w:type="dxa"/>
            <w:vAlign w:val="center"/>
          </w:tcPr>
          <w:p w14:paraId="17973AF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1,623</w:t>
            </w:r>
          </w:p>
        </w:tc>
        <w:tc>
          <w:tcPr>
            <w:tcW w:w="1085" w:type="dxa"/>
            <w:vAlign w:val="center"/>
          </w:tcPr>
          <w:p w14:paraId="1FBD822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1,881</w:t>
            </w:r>
          </w:p>
        </w:tc>
        <w:tc>
          <w:tcPr>
            <w:tcW w:w="1086" w:type="dxa"/>
            <w:vAlign w:val="center"/>
          </w:tcPr>
          <w:p w14:paraId="4437C28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2,126</w:t>
            </w:r>
          </w:p>
        </w:tc>
        <w:tc>
          <w:tcPr>
            <w:tcW w:w="1086" w:type="dxa"/>
            <w:vAlign w:val="center"/>
          </w:tcPr>
          <w:p w14:paraId="2A2E882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2,348</w:t>
            </w:r>
          </w:p>
        </w:tc>
      </w:tr>
      <w:tr w:rsidR="005A5BD5" w:rsidRPr="00CA3519" w14:paraId="437956D0" w14:textId="77777777" w:rsidTr="009B6E1B">
        <w:trPr>
          <w:trHeight w:val="397"/>
          <w:jc w:val="center"/>
        </w:trPr>
        <w:tc>
          <w:tcPr>
            <w:tcW w:w="2113" w:type="dxa"/>
            <w:vAlign w:val="center"/>
          </w:tcPr>
          <w:p w14:paraId="13BC5C2A"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April 2013</w:t>
            </w:r>
          </w:p>
        </w:tc>
        <w:tc>
          <w:tcPr>
            <w:tcW w:w="2113" w:type="dxa"/>
            <w:vAlign w:val="center"/>
          </w:tcPr>
          <w:p w14:paraId="3C2863C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22.04.2013</w:t>
            </w:r>
          </w:p>
        </w:tc>
        <w:tc>
          <w:tcPr>
            <w:tcW w:w="1085" w:type="dxa"/>
            <w:vAlign w:val="center"/>
          </w:tcPr>
          <w:p w14:paraId="74882BF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0,124</w:t>
            </w:r>
          </w:p>
        </w:tc>
        <w:tc>
          <w:tcPr>
            <w:tcW w:w="1086" w:type="dxa"/>
            <w:vAlign w:val="center"/>
          </w:tcPr>
          <w:p w14:paraId="270CAEA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0,254</w:t>
            </w:r>
          </w:p>
        </w:tc>
        <w:tc>
          <w:tcPr>
            <w:tcW w:w="1085" w:type="dxa"/>
            <w:vAlign w:val="center"/>
          </w:tcPr>
          <w:p w14:paraId="2C950E6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0,419</w:t>
            </w:r>
          </w:p>
        </w:tc>
        <w:tc>
          <w:tcPr>
            <w:tcW w:w="1086" w:type="dxa"/>
            <w:vAlign w:val="center"/>
          </w:tcPr>
          <w:p w14:paraId="6D56D8D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0,659</w:t>
            </w:r>
          </w:p>
        </w:tc>
        <w:tc>
          <w:tcPr>
            <w:tcW w:w="1086" w:type="dxa"/>
            <w:vAlign w:val="center"/>
          </w:tcPr>
          <w:p w14:paraId="37CA86C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0,941</w:t>
            </w:r>
          </w:p>
        </w:tc>
        <w:tc>
          <w:tcPr>
            <w:tcW w:w="1085" w:type="dxa"/>
            <w:vAlign w:val="center"/>
          </w:tcPr>
          <w:p w14:paraId="6FA0665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1,190</w:t>
            </w:r>
          </w:p>
        </w:tc>
        <w:tc>
          <w:tcPr>
            <w:tcW w:w="1086" w:type="dxa"/>
            <w:vAlign w:val="center"/>
          </w:tcPr>
          <w:p w14:paraId="778200D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1,411</w:t>
            </w:r>
          </w:p>
        </w:tc>
        <w:tc>
          <w:tcPr>
            <w:tcW w:w="1085" w:type="dxa"/>
            <w:vAlign w:val="center"/>
          </w:tcPr>
          <w:p w14:paraId="5167735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1,641</w:t>
            </w:r>
          </w:p>
        </w:tc>
        <w:tc>
          <w:tcPr>
            <w:tcW w:w="1086" w:type="dxa"/>
            <w:vAlign w:val="center"/>
          </w:tcPr>
          <w:p w14:paraId="08C11A8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1,891</w:t>
            </w:r>
          </w:p>
        </w:tc>
        <w:tc>
          <w:tcPr>
            <w:tcW w:w="1086" w:type="dxa"/>
            <w:vAlign w:val="center"/>
          </w:tcPr>
          <w:p w14:paraId="7323E79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2,132</w:t>
            </w:r>
          </w:p>
        </w:tc>
      </w:tr>
      <w:tr w:rsidR="005A5BD5" w:rsidRPr="00CA3519" w14:paraId="734B6F16" w14:textId="77777777" w:rsidTr="009B6E1B">
        <w:trPr>
          <w:trHeight w:val="397"/>
          <w:jc w:val="center"/>
        </w:trPr>
        <w:tc>
          <w:tcPr>
            <w:tcW w:w="2113" w:type="dxa"/>
            <w:vAlign w:val="center"/>
          </w:tcPr>
          <w:p w14:paraId="21044F3E"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Mai 2013</w:t>
            </w:r>
          </w:p>
        </w:tc>
        <w:tc>
          <w:tcPr>
            <w:tcW w:w="2113" w:type="dxa"/>
            <w:vAlign w:val="center"/>
          </w:tcPr>
          <w:p w14:paraId="3D60C3A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21.05.2013 - Ausg. 4</w:t>
            </w:r>
          </w:p>
        </w:tc>
        <w:tc>
          <w:tcPr>
            <w:tcW w:w="1085" w:type="dxa"/>
            <w:vAlign w:val="center"/>
          </w:tcPr>
          <w:p w14:paraId="443EDE7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0,070</w:t>
            </w:r>
          </w:p>
        </w:tc>
        <w:tc>
          <w:tcPr>
            <w:tcW w:w="1086" w:type="dxa"/>
            <w:vAlign w:val="center"/>
          </w:tcPr>
          <w:p w14:paraId="3AE984A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0,177</w:t>
            </w:r>
          </w:p>
        </w:tc>
        <w:tc>
          <w:tcPr>
            <w:tcW w:w="1085" w:type="dxa"/>
            <w:vAlign w:val="center"/>
          </w:tcPr>
          <w:p w14:paraId="2B92B31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0,326</w:t>
            </w:r>
          </w:p>
        </w:tc>
        <w:tc>
          <w:tcPr>
            <w:tcW w:w="1086" w:type="dxa"/>
            <w:vAlign w:val="center"/>
          </w:tcPr>
          <w:p w14:paraId="35ED4A9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0,557</w:t>
            </w:r>
          </w:p>
        </w:tc>
        <w:tc>
          <w:tcPr>
            <w:tcW w:w="1086" w:type="dxa"/>
            <w:vAlign w:val="center"/>
          </w:tcPr>
          <w:p w14:paraId="6B52E5B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0,831</w:t>
            </w:r>
          </w:p>
        </w:tc>
        <w:tc>
          <w:tcPr>
            <w:tcW w:w="1085" w:type="dxa"/>
            <w:vAlign w:val="center"/>
          </w:tcPr>
          <w:p w14:paraId="664337B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1,060</w:t>
            </w:r>
          </w:p>
        </w:tc>
        <w:tc>
          <w:tcPr>
            <w:tcW w:w="1086" w:type="dxa"/>
            <w:vAlign w:val="center"/>
          </w:tcPr>
          <w:p w14:paraId="3BBCE46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1,256</w:t>
            </w:r>
          </w:p>
        </w:tc>
        <w:tc>
          <w:tcPr>
            <w:tcW w:w="1085" w:type="dxa"/>
            <w:vAlign w:val="center"/>
          </w:tcPr>
          <w:p w14:paraId="589358D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1,476</w:t>
            </w:r>
          </w:p>
        </w:tc>
        <w:tc>
          <w:tcPr>
            <w:tcW w:w="1086" w:type="dxa"/>
            <w:vAlign w:val="center"/>
          </w:tcPr>
          <w:p w14:paraId="27C377D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1,722</w:t>
            </w:r>
          </w:p>
        </w:tc>
        <w:tc>
          <w:tcPr>
            <w:tcW w:w="1086" w:type="dxa"/>
            <w:vAlign w:val="center"/>
          </w:tcPr>
          <w:p w14:paraId="10D916C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1,959</w:t>
            </w:r>
          </w:p>
        </w:tc>
      </w:tr>
      <w:tr w:rsidR="005A5BD5" w:rsidRPr="00CA3519" w14:paraId="6FDA0A8B" w14:textId="77777777" w:rsidTr="009B6E1B">
        <w:trPr>
          <w:trHeight w:val="397"/>
          <w:jc w:val="center"/>
        </w:trPr>
        <w:tc>
          <w:tcPr>
            <w:tcW w:w="2113" w:type="dxa"/>
            <w:vAlign w:val="center"/>
          </w:tcPr>
          <w:p w14:paraId="2FF191EF"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Juni 2013</w:t>
            </w:r>
          </w:p>
        </w:tc>
        <w:tc>
          <w:tcPr>
            <w:tcW w:w="2113" w:type="dxa"/>
            <w:vAlign w:val="center"/>
          </w:tcPr>
          <w:p w14:paraId="617849E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20.06.2013 - Ausg. 2</w:t>
            </w:r>
          </w:p>
        </w:tc>
        <w:tc>
          <w:tcPr>
            <w:tcW w:w="1085" w:type="dxa"/>
            <w:vAlign w:val="center"/>
          </w:tcPr>
          <w:p w14:paraId="5EB6FE3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0,083</w:t>
            </w:r>
          </w:p>
        </w:tc>
        <w:tc>
          <w:tcPr>
            <w:tcW w:w="1086" w:type="dxa"/>
            <w:vAlign w:val="center"/>
          </w:tcPr>
          <w:p w14:paraId="2D43C77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0,214</w:t>
            </w:r>
          </w:p>
        </w:tc>
        <w:tc>
          <w:tcPr>
            <w:tcW w:w="1085" w:type="dxa"/>
            <w:vAlign w:val="center"/>
          </w:tcPr>
          <w:p w14:paraId="1C481C9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0,395</w:t>
            </w:r>
          </w:p>
        </w:tc>
        <w:tc>
          <w:tcPr>
            <w:tcW w:w="1086" w:type="dxa"/>
            <w:vAlign w:val="center"/>
          </w:tcPr>
          <w:p w14:paraId="157E7A9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0,665</w:t>
            </w:r>
          </w:p>
        </w:tc>
        <w:tc>
          <w:tcPr>
            <w:tcW w:w="1086" w:type="dxa"/>
            <w:vAlign w:val="center"/>
          </w:tcPr>
          <w:p w14:paraId="3031DE9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0,974</w:t>
            </w:r>
          </w:p>
        </w:tc>
        <w:tc>
          <w:tcPr>
            <w:tcW w:w="1085" w:type="dxa"/>
            <w:vAlign w:val="center"/>
          </w:tcPr>
          <w:p w14:paraId="04359B6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1,222</w:t>
            </w:r>
          </w:p>
        </w:tc>
        <w:tc>
          <w:tcPr>
            <w:tcW w:w="1086" w:type="dxa"/>
            <w:vAlign w:val="center"/>
          </w:tcPr>
          <w:p w14:paraId="17988A8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1,434</w:t>
            </w:r>
          </w:p>
        </w:tc>
        <w:tc>
          <w:tcPr>
            <w:tcW w:w="1085" w:type="dxa"/>
            <w:vAlign w:val="center"/>
          </w:tcPr>
          <w:p w14:paraId="52062B8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1,662</w:t>
            </w:r>
          </w:p>
        </w:tc>
        <w:tc>
          <w:tcPr>
            <w:tcW w:w="1086" w:type="dxa"/>
            <w:vAlign w:val="center"/>
          </w:tcPr>
          <w:p w14:paraId="51C11B3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1,910</w:t>
            </w:r>
          </w:p>
        </w:tc>
        <w:tc>
          <w:tcPr>
            <w:tcW w:w="1086" w:type="dxa"/>
            <w:vAlign w:val="center"/>
          </w:tcPr>
          <w:p w14:paraId="783DA46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2,143</w:t>
            </w:r>
          </w:p>
        </w:tc>
      </w:tr>
      <w:tr w:rsidR="005A5BD5" w:rsidRPr="00CA3519" w14:paraId="6846CF62" w14:textId="77777777" w:rsidTr="009B6E1B">
        <w:trPr>
          <w:trHeight w:val="397"/>
          <w:jc w:val="center"/>
        </w:trPr>
        <w:tc>
          <w:tcPr>
            <w:tcW w:w="2113" w:type="dxa"/>
            <w:vAlign w:val="center"/>
          </w:tcPr>
          <w:p w14:paraId="1AD356A2"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Juli 2013</w:t>
            </w:r>
          </w:p>
        </w:tc>
        <w:tc>
          <w:tcPr>
            <w:tcW w:w="2113" w:type="dxa"/>
            <w:vAlign w:val="center"/>
          </w:tcPr>
          <w:p w14:paraId="38AF3A2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15.07.2013</w:t>
            </w:r>
          </w:p>
        </w:tc>
        <w:tc>
          <w:tcPr>
            <w:tcW w:w="1085" w:type="dxa"/>
            <w:vAlign w:val="center"/>
          </w:tcPr>
          <w:p w14:paraId="3555BD1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0,169</w:t>
            </w:r>
          </w:p>
        </w:tc>
        <w:tc>
          <w:tcPr>
            <w:tcW w:w="1086" w:type="dxa"/>
            <w:vAlign w:val="center"/>
          </w:tcPr>
          <w:p w14:paraId="3543B83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0,401</w:t>
            </w:r>
          </w:p>
        </w:tc>
        <w:tc>
          <w:tcPr>
            <w:tcW w:w="1085" w:type="dxa"/>
            <w:vAlign w:val="center"/>
          </w:tcPr>
          <w:p w14:paraId="01FE7A1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0,678</w:t>
            </w:r>
          </w:p>
        </w:tc>
        <w:tc>
          <w:tcPr>
            <w:tcW w:w="1086" w:type="dxa"/>
            <w:vAlign w:val="center"/>
          </w:tcPr>
          <w:p w14:paraId="1A9F482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1,030</w:t>
            </w:r>
          </w:p>
        </w:tc>
        <w:tc>
          <w:tcPr>
            <w:tcW w:w="1086" w:type="dxa"/>
            <w:vAlign w:val="center"/>
          </w:tcPr>
          <w:p w14:paraId="6B9F108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1,381</w:t>
            </w:r>
          </w:p>
        </w:tc>
        <w:tc>
          <w:tcPr>
            <w:tcW w:w="1085" w:type="dxa"/>
            <w:vAlign w:val="center"/>
          </w:tcPr>
          <w:p w14:paraId="5049E32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1,635</w:t>
            </w:r>
          </w:p>
        </w:tc>
        <w:tc>
          <w:tcPr>
            <w:tcW w:w="1086" w:type="dxa"/>
            <w:vAlign w:val="center"/>
          </w:tcPr>
          <w:p w14:paraId="3D9C66C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1,837</w:t>
            </w:r>
          </w:p>
        </w:tc>
        <w:tc>
          <w:tcPr>
            <w:tcW w:w="1085" w:type="dxa"/>
            <w:vAlign w:val="center"/>
          </w:tcPr>
          <w:p w14:paraId="341E98D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2,064</w:t>
            </w:r>
          </w:p>
        </w:tc>
        <w:tc>
          <w:tcPr>
            <w:tcW w:w="1086" w:type="dxa"/>
            <w:vAlign w:val="center"/>
          </w:tcPr>
          <w:p w14:paraId="14DA0F5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2,315</w:t>
            </w:r>
          </w:p>
        </w:tc>
        <w:tc>
          <w:tcPr>
            <w:tcW w:w="1086" w:type="dxa"/>
            <w:vAlign w:val="center"/>
          </w:tcPr>
          <w:p w14:paraId="0C8BBFB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2,550</w:t>
            </w:r>
          </w:p>
        </w:tc>
      </w:tr>
      <w:tr w:rsidR="005A5BD5" w:rsidRPr="00CA3519" w14:paraId="626F2145" w14:textId="77777777" w:rsidTr="009B6E1B">
        <w:trPr>
          <w:trHeight w:val="397"/>
          <w:jc w:val="center"/>
        </w:trPr>
        <w:tc>
          <w:tcPr>
            <w:tcW w:w="2113" w:type="dxa"/>
            <w:vAlign w:val="center"/>
          </w:tcPr>
          <w:p w14:paraId="7F8EBEC3"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August 2013</w:t>
            </w:r>
          </w:p>
        </w:tc>
        <w:tc>
          <w:tcPr>
            <w:tcW w:w="2113" w:type="dxa"/>
            <w:vAlign w:val="center"/>
          </w:tcPr>
          <w:p w14:paraId="223928B7"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16.08.2013</w:t>
            </w:r>
          </w:p>
        </w:tc>
        <w:tc>
          <w:tcPr>
            <w:tcW w:w="1085" w:type="dxa"/>
            <w:vAlign w:val="center"/>
          </w:tcPr>
          <w:p w14:paraId="05DBC14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0,162</w:t>
            </w:r>
          </w:p>
        </w:tc>
        <w:tc>
          <w:tcPr>
            <w:tcW w:w="1086" w:type="dxa"/>
            <w:vAlign w:val="center"/>
          </w:tcPr>
          <w:p w14:paraId="5A92C7F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0,365</w:t>
            </w:r>
          </w:p>
        </w:tc>
        <w:tc>
          <w:tcPr>
            <w:tcW w:w="1085" w:type="dxa"/>
            <w:vAlign w:val="center"/>
          </w:tcPr>
          <w:p w14:paraId="4C0E1C4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0,624</w:t>
            </w:r>
          </w:p>
        </w:tc>
        <w:tc>
          <w:tcPr>
            <w:tcW w:w="1086" w:type="dxa"/>
            <w:vAlign w:val="center"/>
          </w:tcPr>
          <w:p w14:paraId="545FCFE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0,975</w:t>
            </w:r>
          </w:p>
        </w:tc>
        <w:tc>
          <w:tcPr>
            <w:tcW w:w="1086" w:type="dxa"/>
            <w:vAlign w:val="center"/>
          </w:tcPr>
          <w:p w14:paraId="7AB85B6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1,327</w:t>
            </w:r>
          </w:p>
        </w:tc>
        <w:tc>
          <w:tcPr>
            <w:tcW w:w="1085" w:type="dxa"/>
            <w:vAlign w:val="center"/>
          </w:tcPr>
          <w:p w14:paraId="0D98B53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1,590</w:t>
            </w:r>
          </w:p>
        </w:tc>
        <w:tc>
          <w:tcPr>
            <w:tcW w:w="1086" w:type="dxa"/>
            <w:vAlign w:val="center"/>
          </w:tcPr>
          <w:p w14:paraId="366C336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1,809</w:t>
            </w:r>
          </w:p>
        </w:tc>
        <w:tc>
          <w:tcPr>
            <w:tcW w:w="1085" w:type="dxa"/>
            <w:vAlign w:val="center"/>
          </w:tcPr>
          <w:p w14:paraId="6FFBDF8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2,053</w:t>
            </w:r>
          </w:p>
        </w:tc>
        <w:tc>
          <w:tcPr>
            <w:tcW w:w="1086" w:type="dxa"/>
            <w:vAlign w:val="center"/>
          </w:tcPr>
          <w:p w14:paraId="2CBA852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2,314</w:t>
            </w:r>
          </w:p>
        </w:tc>
        <w:tc>
          <w:tcPr>
            <w:tcW w:w="1086" w:type="dxa"/>
            <w:vAlign w:val="center"/>
          </w:tcPr>
          <w:p w14:paraId="0A93C81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2,555</w:t>
            </w:r>
          </w:p>
        </w:tc>
      </w:tr>
      <w:tr w:rsidR="005A5BD5" w:rsidRPr="00CA3519" w14:paraId="2A830B6B" w14:textId="77777777" w:rsidTr="009B6E1B">
        <w:trPr>
          <w:trHeight w:val="397"/>
          <w:jc w:val="center"/>
        </w:trPr>
        <w:tc>
          <w:tcPr>
            <w:tcW w:w="2113" w:type="dxa"/>
            <w:vAlign w:val="center"/>
          </w:tcPr>
          <w:p w14:paraId="5C5C3FE3"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September 2013</w:t>
            </w:r>
          </w:p>
        </w:tc>
        <w:tc>
          <w:tcPr>
            <w:tcW w:w="2113" w:type="dxa"/>
            <w:vAlign w:val="center"/>
          </w:tcPr>
          <w:p w14:paraId="5A0BCFE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17.09.2013</w:t>
            </w:r>
          </w:p>
        </w:tc>
        <w:tc>
          <w:tcPr>
            <w:tcW w:w="1085" w:type="dxa"/>
            <w:vAlign w:val="center"/>
          </w:tcPr>
          <w:p w14:paraId="123425C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0,210</w:t>
            </w:r>
          </w:p>
        </w:tc>
        <w:tc>
          <w:tcPr>
            <w:tcW w:w="1086" w:type="dxa"/>
            <w:vAlign w:val="center"/>
          </w:tcPr>
          <w:p w14:paraId="759A91C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0,463</w:t>
            </w:r>
          </w:p>
        </w:tc>
        <w:tc>
          <w:tcPr>
            <w:tcW w:w="1085" w:type="dxa"/>
            <w:vAlign w:val="center"/>
          </w:tcPr>
          <w:p w14:paraId="45D809A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0,771</w:t>
            </w:r>
          </w:p>
        </w:tc>
        <w:tc>
          <w:tcPr>
            <w:tcW w:w="1086" w:type="dxa"/>
            <w:vAlign w:val="center"/>
          </w:tcPr>
          <w:p w14:paraId="0BF78E6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1,168</w:t>
            </w:r>
          </w:p>
        </w:tc>
        <w:tc>
          <w:tcPr>
            <w:tcW w:w="1086" w:type="dxa"/>
            <w:vAlign w:val="center"/>
          </w:tcPr>
          <w:p w14:paraId="331F08D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1,549</w:t>
            </w:r>
          </w:p>
        </w:tc>
        <w:tc>
          <w:tcPr>
            <w:tcW w:w="1085" w:type="dxa"/>
            <w:vAlign w:val="center"/>
          </w:tcPr>
          <w:p w14:paraId="48A310D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1,828</w:t>
            </w:r>
          </w:p>
        </w:tc>
        <w:tc>
          <w:tcPr>
            <w:tcW w:w="1086" w:type="dxa"/>
            <w:vAlign w:val="center"/>
          </w:tcPr>
          <w:p w14:paraId="32CB2303"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2,060</w:t>
            </w:r>
          </w:p>
        </w:tc>
        <w:tc>
          <w:tcPr>
            <w:tcW w:w="1085" w:type="dxa"/>
            <w:vAlign w:val="center"/>
          </w:tcPr>
          <w:p w14:paraId="360B086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2,305</w:t>
            </w:r>
          </w:p>
        </w:tc>
        <w:tc>
          <w:tcPr>
            <w:tcW w:w="1086" w:type="dxa"/>
            <w:vAlign w:val="center"/>
          </w:tcPr>
          <w:p w14:paraId="604F0B5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2,558</w:t>
            </w:r>
          </w:p>
        </w:tc>
        <w:tc>
          <w:tcPr>
            <w:tcW w:w="1086" w:type="dxa"/>
            <w:vAlign w:val="center"/>
          </w:tcPr>
          <w:p w14:paraId="53742A2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2,786</w:t>
            </w:r>
          </w:p>
        </w:tc>
      </w:tr>
      <w:tr w:rsidR="005A5BD5" w:rsidRPr="00CA3519" w14:paraId="5953B9AA" w14:textId="77777777" w:rsidTr="009B6E1B">
        <w:trPr>
          <w:trHeight w:val="397"/>
          <w:jc w:val="center"/>
        </w:trPr>
        <w:tc>
          <w:tcPr>
            <w:tcW w:w="2113" w:type="dxa"/>
            <w:vAlign w:val="center"/>
          </w:tcPr>
          <w:p w14:paraId="0059C025" w14:textId="77777777" w:rsidR="005A5BD5" w:rsidRPr="00CA3519" w:rsidRDefault="005A5BD5" w:rsidP="004C2C7D">
            <w:pPr>
              <w:rPr>
                <w:rFonts w:eastAsia="Calibri"/>
                <w:sz w:val="17"/>
                <w:szCs w:val="17"/>
                <w:lang w:eastAsia="en-US"/>
              </w:rPr>
            </w:pPr>
            <w:r w:rsidRPr="00CA3519">
              <w:rPr>
                <w:rFonts w:eastAsia="Calibri"/>
                <w:sz w:val="17"/>
                <w:szCs w:val="17"/>
                <w:lang w:eastAsia="en-US"/>
              </w:rPr>
              <w:t>Oktober 2013</w:t>
            </w:r>
          </w:p>
        </w:tc>
        <w:tc>
          <w:tcPr>
            <w:tcW w:w="2113" w:type="dxa"/>
            <w:vAlign w:val="center"/>
          </w:tcPr>
          <w:p w14:paraId="0E2D0EB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16.10.2013</w:t>
            </w:r>
          </w:p>
        </w:tc>
        <w:tc>
          <w:tcPr>
            <w:tcW w:w="1085" w:type="dxa"/>
            <w:vAlign w:val="center"/>
          </w:tcPr>
          <w:p w14:paraId="719AD3C1"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0,200</w:t>
            </w:r>
          </w:p>
        </w:tc>
        <w:tc>
          <w:tcPr>
            <w:tcW w:w="1086" w:type="dxa"/>
            <w:vAlign w:val="center"/>
          </w:tcPr>
          <w:p w14:paraId="5BBA87A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0,435</w:t>
            </w:r>
          </w:p>
        </w:tc>
        <w:tc>
          <w:tcPr>
            <w:tcW w:w="1085" w:type="dxa"/>
            <w:vAlign w:val="center"/>
          </w:tcPr>
          <w:p w14:paraId="1DF41846"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0,728</w:t>
            </w:r>
          </w:p>
        </w:tc>
        <w:tc>
          <w:tcPr>
            <w:tcW w:w="1086" w:type="dxa"/>
            <w:vAlign w:val="center"/>
          </w:tcPr>
          <w:p w14:paraId="3853E4C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1,105</w:t>
            </w:r>
          </w:p>
        </w:tc>
        <w:tc>
          <w:tcPr>
            <w:tcW w:w="1086" w:type="dxa"/>
            <w:vAlign w:val="center"/>
          </w:tcPr>
          <w:p w14:paraId="057CC51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1,468</w:t>
            </w:r>
          </w:p>
        </w:tc>
        <w:tc>
          <w:tcPr>
            <w:tcW w:w="1085" w:type="dxa"/>
            <w:vAlign w:val="center"/>
          </w:tcPr>
          <w:p w14:paraId="1EA0F30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1,744</w:t>
            </w:r>
          </w:p>
        </w:tc>
        <w:tc>
          <w:tcPr>
            <w:tcW w:w="1086" w:type="dxa"/>
            <w:vAlign w:val="center"/>
          </w:tcPr>
          <w:p w14:paraId="1F98CCF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1,989</w:t>
            </w:r>
          </w:p>
        </w:tc>
        <w:tc>
          <w:tcPr>
            <w:tcW w:w="1085" w:type="dxa"/>
            <w:vAlign w:val="center"/>
          </w:tcPr>
          <w:p w14:paraId="43FC86CF"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2,244</w:t>
            </w:r>
          </w:p>
        </w:tc>
        <w:tc>
          <w:tcPr>
            <w:tcW w:w="1086" w:type="dxa"/>
            <w:vAlign w:val="center"/>
          </w:tcPr>
          <w:p w14:paraId="49CC93E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2,497</w:t>
            </w:r>
          </w:p>
        </w:tc>
        <w:tc>
          <w:tcPr>
            <w:tcW w:w="1086" w:type="dxa"/>
            <w:vAlign w:val="center"/>
          </w:tcPr>
          <w:p w14:paraId="4853FE68"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2,727</w:t>
            </w:r>
          </w:p>
        </w:tc>
      </w:tr>
      <w:tr w:rsidR="005A5BD5" w:rsidRPr="00CA3519" w14:paraId="7F746051" w14:textId="77777777" w:rsidTr="009B6E1B">
        <w:trPr>
          <w:trHeight w:val="397"/>
          <w:jc w:val="center"/>
        </w:trPr>
        <w:tc>
          <w:tcPr>
            <w:tcW w:w="2113" w:type="dxa"/>
            <w:vAlign w:val="center"/>
          </w:tcPr>
          <w:p w14:paraId="7C069F72" w14:textId="77777777" w:rsidR="005A5BD5" w:rsidRPr="00CA3519" w:rsidRDefault="005A5BD5" w:rsidP="004C2C7D">
            <w:pPr>
              <w:autoSpaceDE w:val="0"/>
              <w:autoSpaceDN w:val="0"/>
              <w:adjustRightInd w:val="0"/>
              <w:rPr>
                <w:rFonts w:eastAsia="Calibri"/>
                <w:sz w:val="17"/>
                <w:szCs w:val="17"/>
                <w:lang w:eastAsia="en-US"/>
              </w:rPr>
            </w:pPr>
            <w:r w:rsidRPr="00CA3519">
              <w:rPr>
                <w:rFonts w:eastAsia="Calibri"/>
                <w:sz w:val="17"/>
                <w:szCs w:val="17"/>
                <w:lang w:eastAsia="en-US"/>
              </w:rPr>
              <w:t>November 2013</w:t>
            </w:r>
          </w:p>
        </w:tc>
        <w:tc>
          <w:tcPr>
            <w:tcW w:w="2113" w:type="dxa"/>
            <w:vAlign w:val="center"/>
          </w:tcPr>
          <w:p w14:paraId="251FDFD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14.11.2013 - Ausg. 2</w:t>
            </w:r>
          </w:p>
        </w:tc>
        <w:tc>
          <w:tcPr>
            <w:tcW w:w="1085" w:type="dxa"/>
            <w:vAlign w:val="center"/>
          </w:tcPr>
          <w:p w14:paraId="52D9EAB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0,170</w:t>
            </w:r>
          </w:p>
        </w:tc>
        <w:tc>
          <w:tcPr>
            <w:tcW w:w="1086" w:type="dxa"/>
            <w:vAlign w:val="center"/>
          </w:tcPr>
          <w:p w14:paraId="0D0EDC4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0,375</w:t>
            </w:r>
          </w:p>
        </w:tc>
        <w:tc>
          <w:tcPr>
            <w:tcW w:w="1085" w:type="dxa"/>
            <w:vAlign w:val="center"/>
          </w:tcPr>
          <w:p w14:paraId="0E26640C"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0,638</w:t>
            </w:r>
          </w:p>
        </w:tc>
        <w:tc>
          <w:tcPr>
            <w:tcW w:w="1086" w:type="dxa"/>
            <w:vAlign w:val="center"/>
          </w:tcPr>
          <w:p w14:paraId="71D8CD5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0,980</w:t>
            </w:r>
          </w:p>
        </w:tc>
        <w:tc>
          <w:tcPr>
            <w:tcW w:w="1086" w:type="dxa"/>
            <w:vAlign w:val="center"/>
          </w:tcPr>
          <w:p w14:paraId="254975A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1,316</w:t>
            </w:r>
          </w:p>
        </w:tc>
        <w:tc>
          <w:tcPr>
            <w:tcW w:w="1085" w:type="dxa"/>
            <w:vAlign w:val="center"/>
          </w:tcPr>
          <w:p w14:paraId="0E33E17D"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1,594</w:t>
            </w:r>
          </w:p>
        </w:tc>
        <w:tc>
          <w:tcPr>
            <w:tcW w:w="1086" w:type="dxa"/>
            <w:vAlign w:val="center"/>
          </w:tcPr>
          <w:p w14:paraId="775E2D0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1,849</w:t>
            </w:r>
          </w:p>
        </w:tc>
        <w:tc>
          <w:tcPr>
            <w:tcW w:w="1085" w:type="dxa"/>
            <w:vAlign w:val="center"/>
          </w:tcPr>
          <w:p w14:paraId="72F1933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2,114</w:t>
            </w:r>
          </w:p>
        </w:tc>
        <w:tc>
          <w:tcPr>
            <w:tcW w:w="1086" w:type="dxa"/>
            <w:vAlign w:val="center"/>
          </w:tcPr>
          <w:p w14:paraId="38A8CD8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2,372</w:t>
            </w:r>
          </w:p>
        </w:tc>
        <w:tc>
          <w:tcPr>
            <w:tcW w:w="1086" w:type="dxa"/>
            <w:vAlign w:val="center"/>
          </w:tcPr>
          <w:p w14:paraId="3EE2020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2,600</w:t>
            </w:r>
          </w:p>
        </w:tc>
      </w:tr>
      <w:tr w:rsidR="005A5BD5" w:rsidRPr="00CA3519" w14:paraId="5FE0568F" w14:textId="77777777" w:rsidTr="009B6E1B">
        <w:trPr>
          <w:trHeight w:val="397"/>
          <w:jc w:val="center"/>
        </w:trPr>
        <w:tc>
          <w:tcPr>
            <w:tcW w:w="2113" w:type="dxa"/>
            <w:vAlign w:val="center"/>
          </w:tcPr>
          <w:p w14:paraId="2E9FEFD9" w14:textId="77777777" w:rsidR="005A5BD5" w:rsidRPr="00CA3519" w:rsidRDefault="005A5BD5" w:rsidP="004C2C7D">
            <w:pPr>
              <w:rPr>
                <w:rFonts w:eastAsia="Calibri"/>
                <w:sz w:val="17"/>
                <w:szCs w:val="17"/>
                <w:lang w:eastAsia="en-US"/>
              </w:rPr>
            </w:pPr>
            <w:r w:rsidRPr="00CA3519">
              <w:rPr>
                <w:rFonts w:eastAsia="Calibri"/>
                <w:sz w:val="17"/>
                <w:szCs w:val="17"/>
                <w:lang w:eastAsia="en-US"/>
              </w:rPr>
              <w:t>Dezember 2013</w:t>
            </w:r>
          </w:p>
        </w:tc>
        <w:tc>
          <w:tcPr>
            <w:tcW w:w="2113" w:type="dxa"/>
            <w:vAlign w:val="center"/>
          </w:tcPr>
          <w:p w14:paraId="48C12B6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16.12.2013 - Ausg. 2</w:t>
            </w:r>
          </w:p>
        </w:tc>
        <w:tc>
          <w:tcPr>
            <w:tcW w:w="1085" w:type="dxa"/>
            <w:vAlign w:val="center"/>
          </w:tcPr>
          <w:p w14:paraId="35A9F005"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0,145</w:t>
            </w:r>
          </w:p>
        </w:tc>
        <w:tc>
          <w:tcPr>
            <w:tcW w:w="1086" w:type="dxa"/>
            <w:vAlign w:val="center"/>
          </w:tcPr>
          <w:p w14:paraId="5369CA1B"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0,281</w:t>
            </w:r>
          </w:p>
        </w:tc>
        <w:tc>
          <w:tcPr>
            <w:tcW w:w="1085" w:type="dxa"/>
            <w:vAlign w:val="center"/>
          </w:tcPr>
          <w:p w14:paraId="1C7B42E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0,508</w:t>
            </w:r>
          </w:p>
        </w:tc>
        <w:tc>
          <w:tcPr>
            <w:tcW w:w="1086" w:type="dxa"/>
            <w:vAlign w:val="center"/>
          </w:tcPr>
          <w:p w14:paraId="3FC36520"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0,851</w:t>
            </w:r>
          </w:p>
        </w:tc>
        <w:tc>
          <w:tcPr>
            <w:tcW w:w="1086" w:type="dxa"/>
            <w:vAlign w:val="center"/>
          </w:tcPr>
          <w:p w14:paraId="460B4D19"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1,186</w:t>
            </w:r>
          </w:p>
        </w:tc>
        <w:tc>
          <w:tcPr>
            <w:tcW w:w="1085" w:type="dxa"/>
            <w:vAlign w:val="center"/>
          </w:tcPr>
          <w:p w14:paraId="3A999512"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1,453</w:t>
            </w:r>
          </w:p>
        </w:tc>
        <w:tc>
          <w:tcPr>
            <w:tcW w:w="1086" w:type="dxa"/>
            <w:vAlign w:val="center"/>
          </w:tcPr>
          <w:p w14:paraId="30F896F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1,708</w:t>
            </w:r>
          </w:p>
        </w:tc>
        <w:tc>
          <w:tcPr>
            <w:tcW w:w="1085" w:type="dxa"/>
            <w:vAlign w:val="center"/>
          </w:tcPr>
          <w:p w14:paraId="4BC4BA94"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1,985</w:t>
            </w:r>
          </w:p>
        </w:tc>
        <w:tc>
          <w:tcPr>
            <w:tcW w:w="1086" w:type="dxa"/>
            <w:vAlign w:val="center"/>
          </w:tcPr>
          <w:p w14:paraId="55369DBA"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2,261</w:t>
            </w:r>
          </w:p>
        </w:tc>
        <w:tc>
          <w:tcPr>
            <w:tcW w:w="1086" w:type="dxa"/>
            <w:vAlign w:val="center"/>
          </w:tcPr>
          <w:p w14:paraId="2B4DB9DE" w14:textId="77777777" w:rsidR="005A5BD5" w:rsidRPr="00CA3519" w:rsidRDefault="005A5BD5" w:rsidP="004C2C7D">
            <w:pPr>
              <w:jc w:val="center"/>
              <w:rPr>
                <w:rFonts w:eastAsia="Calibri"/>
                <w:sz w:val="17"/>
                <w:szCs w:val="17"/>
                <w:lang w:eastAsia="en-US"/>
              </w:rPr>
            </w:pPr>
            <w:r w:rsidRPr="00CA3519">
              <w:rPr>
                <w:rFonts w:eastAsia="Calibri"/>
                <w:sz w:val="17"/>
                <w:szCs w:val="17"/>
                <w:lang w:eastAsia="en-US"/>
              </w:rPr>
              <w:t>2,506]</w:t>
            </w:r>
          </w:p>
        </w:tc>
      </w:tr>
      <w:tr w:rsidR="009B6E1B" w:rsidRPr="00CA3519" w14:paraId="26564558" w14:textId="77777777" w:rsidTr="00BF1C11">
        <w:trPr>
          <w:trHeight w:val="397"/>
          <w:jc w:val="center"/>
        </w:trPr>
        <w:tc>
          <w:tcPr>
            <w:tcW w:w="2113" w:type="dxa"/>
            <w:vAlign w:val="center"/>
          </w:tcPr>
          <w:p w14:paraId="3C658EC8" w14:textId="77777777" w:rsidR="009B6E1B" w:rsidRPr="00CA3519" w:rsidRDefault="00BF1C11" w:rsidP="00BF1C11">
            <w:pPr>
              <w:rPr>
                <w:sz w:val="17"/>
                <w:szCs w:val="17"/>
              </w:rPr>
            </w:pPr>
            <w:r w:rsidRPr="00CA3519">
              <w:rPr>
                <w:sz w:val="17"/>
                <w:szCs w:val="17"/>
              </w:rPr>
              <w:t>[</w:t>
            </w:r>
            <w:r w:rsidR="009B6E1B" w:rsidRPr="00CA3519">
              <w:rPr>
                <w:sz w:val="17"/>
                <w:szCs w:val="17"/>
              </w:rPr>
              <w:t>Januar 2014</w:t>
            </w:r>
          </w:p>
        </w:tc>
        <w:tc>
          <w:tcPr>
            <w:tcW w:w="2113" w:type="dxa"/>
            <w:vAlign w:val="center"/>
          </w:tcPr>
          <w:p w14:paraId="1F23588A" w14:textId="77777777" w:rsidR="009B6E1B" w:rsidRPr="00CA3519" w:rsidRDefault="009B6E1B" w:rsidP="00BF1C11">
            <w:pPr>
              <w:jc w:val="center"/>
              <w:rPr>
                <w:sz w:val="17"/>
                <w:szCs w:val="17"/>
              </w:rPr>
            </w:pPr>
            <w:r w:rsidRPr="00CA3519">
              <w:rPr>
                <w:sz w:val="17"/>
                <w:szCs w:val="17"/>
              </w:rPr>
              <w:t>17.01.2014 - Ausg. 1</w:t>
            </w:r>
          </w:p>
        </w:tc>
        <w:tc>
          <w:tcPr>
            <w:tcW w:w="1085" w:type="dxa"/>
            <w:vAlign w:val="center"/>
          </w:tcPr>
          <w:p w14:paraId="2A085D5B" w14:textId="77777777" w:rsidR="009B6E1B" w:rsidRPr="00CA3519" w:rsidRDefault="009B6E1B" w:rsidP="00BF1C11">
            <w:pPr>
              <w:jc w:val="center"/>
              <w:rPr>
                <w:sz w:val="17"/>
                <w:szCs w:val="17"/>
              </w:rPr>
            </w:pPr>
            <w:r w:rsidRPr="00CA3519">
              <w:rPr>
                <w:sz w:val="17"/>
                <w:szCs w:val="17"/>
              </w:rPr>
              <w:t>0,200</w:t>
            </w:r>
          </w:p>
        </w:tc>
        <w:tc>
          <w:tcPr>
            <w:tcW w:w="1086" w:type="dxa"/>
            <w:vAlign w:val="center"/>
          </w:tcPr>
          <w:p w14:paraId="1DF240E1" w14:textId="77777777" w:rsidR="009B6E1B" w:rsidRPr="00CA3519" w:rsidRDefault="009B6E1B" w:rsidP="00BF1C11">
            <w:pPr>
              <w:jc w:val="center"/>
              <w:rPr>
                <w:sz w:val="17"/>
                <w:szCs w:val="17"/>
              </w:rPr>
            </w:pPr>
            <w:r w:rsidRPr="00CA3519">
              <w:rPr>
                <w:sz w:val="17"/>
                <w:szCs w:val="17"/>
              </w:rPr>
              <w:t>0,345</w:t>
            </w:r>
          </w:p>
        </w:tc>
        <w:tc>
          <w:tcPr>
            <w:tcW w:w="1085" w:type="dxa"/>
            <w:vAlign w:val="center"/>
          </w:tcPr>
          <w:p w14:paraId="71AFC2E3" w14:textId="77777777" w:rsidR="009B6E1B" w:rsidRPr="00CA3519" w:rsidRDefault="009B6E1B" w:rsidP="00BF1C11">
            <w:pPr>
              <w:jc w:val="center"/>
              <w:rPr>
                <w:sz w:val="17"/>
                <w:szCs w:val="17"/>
              </w:rPr>
            </w:pPr>
            <w:r w:rsidRPr="00CA3519">
              <w:rPr>
                <w:sz w:val="17"/>
                <w:szCs w:val="17"/>
              </w:rPr>
              <w:t>0,595</w:t>
            </w:r>
          </w:p>
        </w:tc>
        <w:tc>
          <w:tcPr>
            <w:tcW w:w="1086" w:type="dxa"/>
            <w:vAlign w:val="center"/>
          </w:tcPr>
          <w:p w14:paraId="7ED485C8" w14:textId="77777777" w:rsidR="009B6E1B" w:rsidRPr="00CA3519" w:rsidRDefault="009B6E1B" w:rsidP="00BF1C11">
            <w:pPr>
              <w:jc w:val="center"/>
              <w:rPr>
                <w:sz w:val="17"/>
                <w:szCs w:val="17"/>
              </w:rPr>
            </w:pPr>
            <w:r w:rsidRPr="00CA3519">
              <w:rPr>
                <w:sz w:val="17"/>
                <w:szCs w:val="17"/>
              </w:rPr>
              <w:t>0,965</w:t>
            </w:r>
          </w:p>
        </w:tc>
        <w:tc>
          <w:tcPr>
            <w:tcW w:w="1086" w:type="dxa"/>
            <w:vAlign w:val="center"/>
          </w:tcPr>
          <w:p w14:paraId="3A1D4BA8" w14:textId="77777777" w:rsidR="009B6E1B" w:rsidRPr="00CA3519" w:rsidRDefault="009B6E1B" w:rsidP="00BF1C11">
            <w:pPr>
              <w:jc w:val="center"/>
              <w:rPr>
                <w:sz w:val="17"/>
                <w:szCs w:val="17"/>
              </w:rPr>
            </w:pPr>
            <w:r w:rsidRPr="00CA3519">
              <w:rPr>
                <w:sz w:val="17"/>
                <w:szCs w:val="17"/>
              </w:rPr>
              <w:t>1,301</w:t>
            </w:r>
          </w:p>
        </w:tc>
        <w:tc>
          <w:tcPr>
            <w:tcW w:w="1085" w:type="dxa"/>
            <w:vAlign w:val="center"/>
          </w:tcPr>
          <w:p w14:paraId="10EC4B91" w14:textId="77777777" w:rsidR="009B6E1B" w:rsidRPr="00CA3519" w:rsidRDefault="009B6E1B" w:rsidP="00BF1C11">
            <w:pPr>
              <w:jc w:val="center"/>
              <w:rPr>
                <w:sz w:val="17"/>
                <w:szCs w:val="17"/>
              </w:rPr>
            </w:pPr>
            <w:r w:rsidRPr="00CA3519">
              <w:rPr>
                <w:sz w:val="17"/>
                <w:szCs w:val="17"/>
              </w:rPr>
              <w:t>1,559</w:t>
            </w:r>
          </w:p>
        </w:tc>
        <w:tc>
          <w:tcPr>
            <w:tcW w:w="1086" w:type="dxa"/>
            <w:vAlign w:val="center"/>
          </w:tcPr>
          <w:p w14:paraId="541BC3DB" w14:textId="77777777" w:rsidR="009B6E1B" w:rsidRPr="00CA3519" w:rsidRDefault="009B6E1B" w:rsidP="00BF1C11">
            <w:pPr>
              <w:jc w:val="center"/>
              <w:rPr>
                <w:sz w:val="17"/>
                <w:szCs w:val="17"/>
              </w:rPr>
            </w:pPr>
            <w:r w:rsidRPr="00CA3519">
              <w:rPr>
                <w:sz w:val="17"/>
                <w:szCs w:val="17"/>
              </w:rPr>
              <w:t>1,806</w:t>
            </w:r>
          </w:p>
        </w:tc>
        <w:tc>
          <w:tcPr>
            <w:tcW w:w="1085" w:type="dxa"/>
            <w:vAlign w:val="center"/>
          </w:tcPr>
          <w:p w14:paraId="48357BA7" w14:textId="77777777" w:rsidR="009B6E1B" w:rsidRPr="00CA3519" w:rsidRDefault="009B6E1B" w:rsidP="00BF1C11">
            <w:pPr>
              <w:jc w:val="center"/>
              <w:rPr>
                <w:sz w:val="17"/>
                <w:szCs w:val="17"/>
              </w:rPr>
            </w:pPr>
            <w:r w:rsidRPr="00CA3519">
              <w:rPr>
                <w:sz w:val="17"/>
                <w:szCs w:val="17"/>
              </w:rPr>
              <w:t>2,084</w:t>
            </w:r>
          </w:p>
        </w:tc>
        <w:tc>
          <w:tcPr>
            <w:tcW w:w="1086" w:type="dxa"/>
            <w:vAlign w:val="center"/>
          </w:tcPr>
          <w:p w14:paraId="46D5A05E" w14:textId="77777777" w:rsidR="009B6E1B" w:rsidRPr="00CA3519" w:rsidRDefault="009B6E1B" w:rsidP="00BF1C11">
            <w:pPr>
              <w:jc w:val="center"/>
              <w:rPr>
                <w:sz w:val="17"/>
                <w:szCs w:val="17"/>
              </w:rPr>
            </w:pPr>
            <w:r w:rsidRPr="00CA3519">
              <w:rPr>
                <w:sz w:val="17"/>
                <w:szCs w:val="17"/>
              </w:rPr>
              <w:t>2,363</w:t>
            </w:r>
          </w:p>
        </w:tc>
        <w:tc>
          <w:tcPr>
            <w:tcW w:w="1086" w:type="dxa"/>
            <w:vAlign w:val="center"/>
          </w:tcPr>
          <w:p w14:paraId="0C7602CE" w14:textId="77777777" w:rsidR="009B6E1B" w:rsidRPr="00CA3519" w:rsidRDefault="009B6E1B" w:rsidP="00BF1C11">
            <w:pPr>
              <w:jc w:val="center"/>
              <w:rPr>
                <w:sz w:val="17"/>
                <w:szCs w:val="17"/>
              </w:rPr>
            </w:pPr>
            <w:r w:rsidRPr="00CA3519">
              <w:rPr>
                <w:sz w:val="17"/>
                <w:szCs w:val="17"/>
              </w:rPr>
              <w:t>2,604</w:t>
            </w:r>
          </w:p>
        </w:tc>
      </w:tr>
      <w:tr w:rsidR="005D45D1" w:rsidRPr="00CA3519" w14:paraId="36F44CE4" w14:textId="77777777" w:rsidTr="005D45D1">
        <w:trPr>
          <w:trHeight w:val="397"/>
          <w:jc w:val="center"/>
        </w:trPr>
        <w:tc>
          <w:tcPr>
            <w:tcW w:w="2113" w:type="dxa"/>
            <w:vAlign w:val="center"/>
          </w:tcPr>
          <w:p w14:paraId="56AF16C3" w14:textId="77777777" w:rsidR="005D45D1" w:rsidRPr="00CA3519" w:rsidRDefault="005D45D1" w:rsidP="005D45D1">
            <w:pPr>
              <w:rPr>
                <w:sz w:val="17"/>
                <w:szCs w:val="17"/>
              </w:rPr>
            </w:pPr>
            <w:r w:rsidRPr="00CA3519">
              <w:rPr>
                <w:sz w:val="17"/>
                <w:szCs w:val="17"/>
              </w:rPr>
              <w:t>Februar 2014</w:t>
            </w:r>
          </w:p>
        </w:tc>
        <w:tc>
          <w:tcPr>
            <w:tcW w:w="2113" w:type="dxa"/>
            <w:vAlign w:val="center"/>
          </w:tcPr>
          <w:p w14:paraId="16090FDC" w14:textId="77777777" w:rsidR="005D45D1" w:rsidRPr="00CA3519" w:rsidRDefault="005D45D1" w:rsidP="005D45D1">
            <w:pPr>
              <w:jc w:val="center"/>
              <w:rPr>
                <w:sz w:val="17"/>
                <w:szCs w:val="17"/>
              </w:rPr>
            </w:pPr>
            <w:r w:rsidRPr="00CA3519">
              <w:rPr>
                <w:sz w:val="17"/>
                <w:szCs w:val="17"/>
              </w:rPr>
              <w:t>20.02.2014 - Ausg. 1</w:t>
            </w:r>
          </w:p>
        </w:tc>
        <w:tc>
          <w:tcPr>
            <w:tcW w:w="1085" w:type="dxa"/>
            <w:vAlign w:val="center"/>
          </w:tcPr>
          <w:p w14:paraId="74B2164D" w14:textId="77777777" w:rsidR="005D45D1" w:rsidRPr="00CA3519" w:rsidRDefault="005D45D1" w:rsidP="005D45D1">
            <w:pPr>
              <w:jc w:val="center"/>
              <w:rPr>
                <w:sz w:val="17"/>
                <w:szCs w:val="17"/>
              </w:rPr>
            </w:pPr>
            <w:r w:rsidRPr="00CA3519">
              <w:rPr>
                <w:sz w:val="17"/>
                <w:szCs w:val="17"/>
              </w:rPr>
              <w:t>0,178</w:t>
            </w:r>
          </w:p>
        </w:tc>
        <w:tc>
          <w:tcPr>
            <w:tcW w:w="1086" w:type="dxa"/>
            <w:vAlign w:val="center"/>
          </w:tcPr>
          <w:p w14:paraId="6F0E8EB1" w14:textId="77777777" w:rsidR="005D45D1" w:rsidRPr="00CA3519" w:rsidRDefault="005D45D1" w:rsidP="005D45D1">
            <w:pPr>
              <w:jc w:val="center"/>
              <w:rPr>
                <w:sz w:val="17"/>
                <w:szCs w:val="17"/>
              </w:rPr>
            </w:pPr>
            <w:r w:rsidRPr="00CA3519">
              <w:rPr>
                <w:sz w:val="17"/>
                <w:szCs w:val="17"/>
              </w:rPr>
              <w:t>0,309</w:t>
            </w:r>
          </w:p>
        </w:tc>
        <w:tc>
          <w:tcPr>
            <w:tcW w:w="1085" w:type="dxa"/>
            <w:vAlign w:val="center"/>
          </w:tcPr>
          <w:p w14:paraId="1C850CEC" w14:textId="77777777" w:rsidR="005D45D1" w:rsidRPr="00CA3519" w:rsidRDefault="005D45D1" w:rsidP="005D45D1">
            <w:pPr>
              <w:jc w:val="center"/>
              <w:rPr>
                <w:sz w:val="17"/>
                <w:szCs w:val="17"/>
              </w:rPr>
            </w:pPr>
            <w:r w:rsidRPr="00CA3519">
              <w:rPr>
                <w:sz w:val="17"/>
                <w:szCs w:val="17"/>
              </w:rPr>
              <w:t>0,520</w:t>
            </w:r>
          </w:p>
        </w:tc>
        <w:tc>
          <w:tcPr>
            <w:tcW w:w="1086" w:type="dxa"/>
            <w:vAlign w:val="center"/>
          </w:tcPr>
          <w:p w14:paraId="374D6D83" w14:textId="77777777" w:rsidR="005D45D1" w:rsidRPr="00CA3519" w:rsidRDefault="005D45D1" w:rsidP="005D45D1">
            <w:pPr>
              <w:jc w:val="center"/>
              <w:rPr>
                <w:sz w:val="17"/>
                <w:szCs w:val="17"/>
              </w:rPr>
            </w:pPr>
            <w:r w:rsidRPr="00CA3519">
              <w:rPr>
                <w:sz w:val="17"/>
                <w:szCs w:val="17"/>
              </w:rPr>
              <w:t>0,832</w:t>
            </w:r>
          </w:p>
        </w:tc>
        <w:tc>
          <w:tcPr>
            <w:tcW w:w="1086" w:type="dxa"/>
            <w:vAlign w:val="center"/>
          </w:tcPr>
          <w:p w14:paraId="306F01C6" w14:textId="77777777" w:rsidR="005D45D1" w:rsidRPr="00CA3519" w:rsidRDefault="005D45D1" w:rsidP="005D45D1">
            <w:pPr>
              <w:jc w:val="center"/>
              <w:rPr>
                <w:sz w:val="17"/>
                <w:szCs w:val="17"/>
              </w:rPr>
            </w:pPr>
            <w:r w:rsidRPr="00CA3519">
              <w:rPr>
                <w:sz w:val="17"/>
                <w:szCs w:val="17"/>
              </w:rPr>
              <w:t>1,148</w:t>
            </w:r>
          </w:p>
        </w:tc>
        <w:tc>
          <w:tcPr>
            <w:tcW w:w="1085" w:type="dxa"/>
            <w:vAlign w:val="center"/>
          </w:tcPr>
          <w:p w14:paraId="2DA3D1D6" w14:textId="77777777" w:rsidR="005D45D1" w:rsidRPr="00CA3519" w:rsidRDefault="005D45D1" w:rsidP="005D45D1">
            <w:pPr>
              <w:jc w:val="center"/>
              <w:rPr>
                <w:sz w:val="17"/>
                <w:szCs w:val="17"/>
              </w:rPr>
            </w:pPr>
            <w:r w:rsidRPr="00CA3519">
              <w:rPr>
                <w:sz w:val="17"/>
                <w:szCs w:val="17"/>
              </w:rPr>
              <w:t>1,416</w:t>
            </w:r>
          </w:p>
        </w:tc>
        <w:tc>
          <w:tcPr>
            <w:tcW w:w="1086" w:type="dxa"/>
            <w:vAlign w:val="center"/>
          </w:tcPr>
          <w:p w14:paraId="00B5CE78" w14:textId="77777777" w:rsidR="005D45D1" w:rsidRPr="00CA3519" w:rsidRDefault="005D45D1" w:rsidP="005D45D1">
            <w:pPr>
              <w:jc w:val="center"/>
              <w:rPr>
                <w:sz w:val="17"/>
                <w:szCs w:val="17"/>
              </w:rPr>
            </w:pPr>
            <w:r w:rsidRPr="00CA3519">
              <w:rPr>
                <w:sz w:val="17"/>
                <w:szCs w:val="17"/>
              </w:rPr>
              <w:t>1,669</w:t>
            </w:r>
          </w:p>
        </w:tc>
        <w:tc>
          <w:tcPr>
            <w:tcW w:w="1085" w:type="dxa"/>
            <w:vAlign w:val="center"/>
          </w:tcPr>
          <w:p w14:paraId="59BE8F42" w14:textId="77777777" w:rsidR="005D45D1" w:rsidRPr="00CA3519" w:rsidRDefault="005D45D1" w:rsidP="005D45D1">
            <w:pPr>
              <w:jc w:val="center"/>
              <w:rPr>
                <w:sz w:val="17"/>
                <w:szCs w:val="17"/>
              </w:rPr>
            </w:pPr>
            <w:r w:rsidRPr="00CA3519">
              <w:rPr>
                <w:sz w:val="17"/>
                <w:szCs w:val="17"/>
              </w:rPr>
              <w:t>1,930</w:t>
            </w:r>
          </w:p>
        </w:tc>
        <w:tc>
          <w:tcPr>
            <w:tcW w:w="1086" w:type="dxa"/>
            <w:vAlign w:val="center"/>
          </w:tcPr>
          <w:p w14:paraId="7E8AC39F" w14:textId="77777777" w:rsidR="005D45D1" w:rsidRPr="00CA3519" w:rsidRDefault="005D45D1" w:rsidP="005D45D1">
            <w:pPr>
              <w:jc w:val="center"/>
              <w:rPr>
                <w:sz w:val="17"/>
                <w:szCs w:val="17"/>
              </w:rPr>
            </w:pPr>
            <w:r w:rsidRPr="00CA3519">
              <w:rPr>
                <w:sz w:val="17"/>
                <w:szCs w:val="17"/>
              </w:rPr>
              <w:t>2,188</w:t>
            </w:r>
          </w:p>
        </w:tc>
        <w:tc>
          <w:tcPr>
            <w:tcW w:w="1086" w:type="dxa"/>
            <w:vAlign w:val="center"/>
          </w:tcPr>
          <w:p w14:paraId="2C7F9E9A" w14:textId="77777777" w:rsidR="005D45D1" w:rsidRPr="00CA3519" w:rsidRDefault="005D45D1" w:rsidP="005D45D1">
            <w:pPr>
              <w:jc w:val="center"/>
              <w:rPr>
                <w:sz w:val="17"/>
                <w:szCs w:val="17"/>
              </w:rPr>
            </w:pPr>
            <w:r w:rsidRPr="00CA3519">
              <w:rPr>
                <w:sz w:val="17"/>
                <w:szCs w:val="17"/>
              </w:rPr>
              <w:t>2,418</w:t>
            </w:r>
          </w:p>
        </w:tc>
      </w:tr>
      <w:tr w:rsidR="005D45D1" w:rsidRPr="00CA3519" w14:paraId="76F42122" w14:textId="77777777" w:rsidTr="005D45D1">
        <w:trPr>
          <w:trHeight w:val="397"/>
          <w:jc w:val="center"/>
        </w:trPr>
        <w:tc>
          <w:tcPr>
            <w:tcW w:w="2113" w:type="dxa"/>
            <w:vAlign w:val="center"/>
          </w:tcPr>
          <w:p w14:paraId="5536A397" w14:textId="77777777" w:rsidR="005D45D1" w:rsidRPr="00CA3519" w:rsidRDefault="005D45D1" w:rsidP="005D45D1">
            <w:pPr>
              <w:rPr>
                <w:sz w:val="17"/>
                <w:szCs w:val="17"/>
              </w:rPr>
            </w:pPr>
            <w:r w:rsidRPr="00CA3519">
              <w:rPr>
                <w:sz w:val="17"/>
                <w:szCs w:val="17"/>
              </w:rPr>
              <w:t>März 2014</w:t>
            </w:r>
          </w:p>
        </w:tc>
        <w:tc>
          <w:tcPr>
            <w:tcW w:w="2113" w:type="dxa"/>
            <w:vAlign w:val="center"/>
          </w:tcPr>
          <w:p w14:paraId="2C2EACC0" w14:textId="77777777" w:rsidR="005D45D1" w:rsidRPr="00CA3519" w:rsidRDefault="005D45D1" w:rsidP="005D45D1">
            <w:pPr>
              <w:jc w:val="center"/>
              <w:rPr>
                <w:sz w:val="17"/>
                <w:szCs w:val="17"/>
              </w:rPr>
            </w:pPr>
            <w:r w:rsidRPr="00CA3519">
              <w:rPr>
                <w:sz w:val="17"/>
                <w:szCs w:val="17"/>
              </w:rPr>
              <w:t>20.03.2014 - Ausg. 1</w:t>
            </w:r>
          </w:p>
        </w:tc>
        <w:tc>
          <w:tcPr>
            <w:tcW w:w="1085" w:type="dxa"/>
            <w:vAlign w:val="center"/>
          </w:tcPr>
          <w:p w14:paraId="15A613E0" w14:textId="77777777" w:rsidR="005D45D1" w:rsidRPr="00CA3519" w:rsidRDefault="005D45D1" w:rsidP="005D45D1">
            <w:pPr>
              <w:jc w:val="center"/>
              <w:rPr>
                <w:sz w:val="17"/>
                <w:szCs w:val="17"/>
              </w:rPr>
            </w:pPr>
            <w:r w:rsidRPr="00CA3519">
              <w:rPr>
                <w:sz w:val="17"/>
                <w:szCs w:val="17"/>
              </w:rPr>
              <w:t>0,160</w:t>
            </w:r>
          </w:p>
        </w:tc>
        <w:tc>
          <w:tcPr>
            <w:tcW w:w="1086" w:type="dxa"/>
            <w:vAlign w:val="center"/>
          </w:tcPr>
          <w:p w14:paraId="1F552EDA" w14:textId="77777777" w:rsidR="005D45D1" w:rsidRPr="00CA3519" w:rsidRDefault="005D45D1" w:rsidP="005D45D1">
            <w:pPr>
              <w:jc w:val="center"/>
              <w:rPr>
                <w:sz w:val="17"/>
                <w:szCs w:val="17"/>
              </w:rPr>
            </w:pPr>
            <w:r w:rsidRPr="00CA3519">
              <w:rPr>
                <w:sz w:val="17"/>
                <w:szCs w:val="17"/>
              </w:rPr>
              <w:t>0,284</w:t>
            </w:r>
          </w:p>
        </w:tc>
        <w:tc>
          <w:tcPr>
            <w:tcW w:w="1085" w:type="dxa"/>
            <w:vAlign w:val="center"/>
          </w:tcPr>
          <w:p w14:paraId="21F316B2" w14:textId="77777777" w:rsidR="005D45D1" w:rsidRPr="00CA3519" w:rsidRDefault="005D45D1" w:rsidP="005D45D1">
            <w:pPr>
              <w:jc w:val="center"/>
              <w:rPr>
                <w:sz w:val="17"/>
                <w:szCs w:val="17"/>
              </w:rPr>
            </w:pPr>
            <w:r w:rsidRPr="00CA3519">
              <w:rPr>
                <w:sz w:val="17"/>
                <w:szCs w:val="17"/>
              </w:rPr>
              <w:t>0,464</w:t>
            </w:r>
          </w:p>
        </w:tc>
        <w:tc>
          <w:tcPr>
            <w:tcW w:w="1086" w:type="dxa"/>
            <w:vAlign w:val="center"/>
          </w:tcPr>
          <w:p w14:paraId="05BA78AB" w14:textId="77777777" w:rsidR="005D45D1" w:rsidRPr="00CA3519" w:rsidRDefault="005D45D1" w:rsidP="005D45D1">
            <w:pPr>
              <w:jc w:val="center"/>
              <w:rPr>
                <w:sz w:val="17"/>
                <w:szCs w:val="17"/>
              </w:rPr>
            </w:pPr>
            <w:r w:rsidRPr="00CA3519">
              <w:rPr>
                <w:sz w:val="17"/>
                <w:szCs w:val="17"/>
              </w:rPr>
              <w:t>0,735</w:t>
            </w:r>
          </w:p>
        </w:tc>
        <w:tc>
          <w:tcPr>
            <w:tcW w:w="1086" w:type="dxa"/>
            <w:vAlign w:val="center"/>
          </w:tcPr>
          <w:p w14:paraId="5DB3EEF8" w14:textId="77777777" w:rsidR="005D45D1" w:rsidRPr="00CA3519" w:rsidRDefault="005D45D1" w:rsidP="005D45D1">
            <w:pPr>
              <w:jc w:val="center"/>
              <w:rPr>
                <w:sz w:val="17"/>
                <w:szCs w:val="17"/>
              </w:rPr>
            </w:pPr>
            <w:r w:rsidRPr="00CA3519">
              <w:rPr>
                <w:sz w:val="17"/>
                <w:szCs w:val="17"/>
              </w:rPr>
              <w:t>1,047</w:t>
            </w:r>
          </w:p>
        </w:tc>
        <w:tc>
          <w:tcPr>
            <w:tcW w:w="1085" w:type="dxa"/>
            <w:vAlign w:val="center"/>
          </w:tcPr>
          <w:p w14:paraId="5AE3786F" w14:textId="77777777" w:rsidR="005D45D1" w:rsidRPr="00CA3519" w:rsidRDefault="005D45D1" w:rsidP="005D45D1">
            <w:pPr>
              <w:jc w:val="center"/>
              <w:rPr>
                <w:sz w:val="17"/>
                <w:szCs w:val="17"/>
              </w:rPr>
            </w:pPr>
            <w:r w:rsidRPr="00CA3519">
              <w:rPr>
                <w:sz w:val="17"/>
                <w:szCs w:val="17"/>
              </w:rPr>
              <w:t>1,330</w:t>
            </w:r>
          </w:p>
        </w:tc>
        <w:tc>
          <w:tcPr>
            <w:tcW w:w="1086" w:type="dxa"/>
            <w:vAlign w:val="center"/>
          </w:tcPr>
          <w:p w14:paraId="63901A15" w14:textId="77777777" w:rsidR="005D45D1" w:rsidRPr="00CA3519" w:rsidRDefault="005D45D1" w:rsidP="005D45D1">
            <w:pPr>
              <w:jc w:val="center"/>
              <w:rPr>
                <w:sz w:val="17"/>
                <w:szCs w:val="17"/>
              </w:rPr>
            </w:pPr>
            <w:r w:rsidRPr="00CA3519">
              <w:rPr>
                <w:sz w:val="17"/>
                <w:szCs w:val="17"/>
              </w:rPr>
              <w:t>1,585</w:t>
            </w:r>
          </w:p>
        </w:tc>
        <w:tc>
          <w:tcPr>
            <w:tcW w:w="1085" w:type="dxa"/>
            <w:vAlign w:val="center"/>
          </w:tcPr>
          <w:p w14:paraId="2A4576B7" w14:textId="77777777" w:rsidR="005D45D1" w:rsidRPr="00CA3519" w:rsidRDefault="005D45D1" w:rsidP="005D45D1">
            <w:pPr>
              <w:jc w:val="center"/>
              <w:rPr>
                <w:sz w:val="17"/>
                <w:szCs w:val="17"/>
              </w:rPr>
            </w:pPr>
            <w:r w:rsidRPr="00CA3519">
              <w:rPr>
                <w:sz w:val="17"/>
                <w:szCs w:val="17"/>
              </w:rPr>
              <w:t>1,837</w:t>
            </w:r>
          </w:p>
        </w:tc>
        <w:tc>
          <w:tcPr>
            <w:tcW w:w="1086" w:type="dxa"/>
            <w:vAlign w:val="center"/>
          </w:tcPr>
          <w:p w14:paraId="45E81136" w14:textId="77777777" w:rsidR="005D45D1" w:rsidRPr="00CA3519" w:rsidRDefault="005D45D1" w:rsidP="005D45D1">
            <w:pPr>
              <w:jc w:val="center"/>
              <w:rPr>
                <w:sz w:val="17"/>
                <w:szCs w:val="17"/>
              </w:rPr>
            </w:pPr>
            <w:r w:rsidRPr="00CA3519">
              <w:rPr>
                <w:sz w:val="17"/>
                <w:szCs w:val="17"/>
              </w:rPr>
              <w:t>2,087</w:t>
            </w:r>
          </w:p>
        </w:tc>
        <w:tc>
          <w:tcPr>
            <w:tcW w:w="1086" w:type="dxa"/>
            <w:vAlign w:val="center"/>
          </w:tcPr>
          <w:p w14:paraId="72E93070" w14:textId="77777777" w:rsidR="005D45D1" w:rsidRPr="00CA3519" w:rsidRDefault="005D45D1" w:rsidP="005D45D1">
            <w:pPr>
              <w:jc w:val="center"/>
              <w:rPr>
                <w:sz w:val="17"/>
                <w:szCs w:val="17"/>
              </w:rPr>
            </w:pPr>
            <w:r w:rsidRPr="00CA3519">
              <w:rPr>
                <w:sz w:val="17"/>
                <w:szCs w:val="17"/>
              </w:rPr>
              <w:t>2,317</w:t>
            </w:r>
          </w:p>
        </w:tc>
      </w:tr>
      <w:tr w:rsidR="005D45D1" w:rsidRPr="00CA3519" w14:paraId="7649663F" w14:textId="77777777" w:rsidTr="005D45D1">
        <w:trPr>
          <w:trHeight w:val="397"/>
          <w:jc w:val="center"/>
        </w:trPr>
        <w:tc>
          <w:tcPr>
            <w:tcW w:w="2113" w:type="dxa"/>
            <w:vAlign w:val="center"/>
          </w:tcPr>
          <w:p w14:paraId="0EA81DA6" w14:textId="77777777" w:rsidR="005D45D1" w:rsidRPr="00CA3519" w:rsidRDefault="005D45D1" w:rsidP="005D45D1">
            <w:pPr>
              <w:rPr>
                <w:sz w:val="17"/>
                <w:szCs w:val="17"/>
              </w:rPr>
            </w:pPr>
            <w:r w:rsidRPr="00CA3519">
              <w:rPr>
                <w:sz w:val="17"/>
                <w:szCs w:val="17"/>
              </w:rPr>
              <w:t>April 2014</w:t>
            </w:r>
          </w:p>
        </w:tc>
        <w:tc>
          <w:tcPr>
            <w:tcW w:w="2113" w:type="dxa"/>
            <w:vAlign w:val="center"/>
          </w:tcPr>
          <w:p w14:paraId="62862C5D" w14:textId="77777777" w:rsidR="005D45D1" w:rsidRPr="00CA3519" w:rsidRDefault="005D45D1" w:rsidP="005D45D1">
            <w:pPr>
              <w:jc w:val="center"/>
              <w:rPr>
                <w:sz w:val="17"/>
                <w:szCs w:val="17"/>
              </w:rPr>
            </w:pPr>
            <w:r w:rsidRPr="00CA3519">
              <w:rPr>
                <w:sz w:val="17"/>
                <w:szCs w:val="17"/>
              </w:rPr>
              <w:t>17.04.2014 - Ausg. 1</w:t>
            </w:r>
          </w:p>
        </w:tc>
        <w:tc>
          <w:tcPr>
            <w:tcW w:w="1085" w:type="dxa"/>
            <w:vAlign w:val="center"/>
          </w:tcPr>
          <w:p w14:paraId="5060DB6D" w14:textId="77777777" w:rsidR="005D45D1" w:rsidRPr="00CA3519" w:rsidRDefault="005D45D1" w:rsidP="005D45D1">
            <w:pPr>
              <w:jc w:val="center"/>
              <w:rPr>
                <w:sz w:val="17"/>
                <w:szCs w:val="17"/>
              </w:rPr>
            </w:pPr>
            <w:r w:rsidRPr="00CA3519">
              <w:rPr>
                <w:sz w:val="17"/>
                <w:szCs w:val="17"/>
              </w:rPr>
              <w:t>0,198</w:t>
            </w:r>
          </w:p>
        </w:tc>
        <w:tc>
          <w:tcPr>
            <w:tcW w:w="1086" w:type="dxa"/>
            <w:vAlign w:val="center"/>
          </w:tcPr>
          <w:p w14:paraId="2ECED72A" w14:textId="77777777" w:rsidR="005D45D1" w:rsidRPr="00CA3519" w:rsidRDefault="005D45D1" w:rsidP="005D45D1">
            <w:pPr>
              <w:jc w:val="center"/>
              <w:rPr>
                <w:sz w:val="17"/>
                <w:szCs w:val="17"/>
              </w:rPr>
            </w:pPr>
            <w:r w:rsidRPr="00CA3519">
              <w:rPr>
                <w:sz w:val="17"/>
                <w:szCs w:val="17"/>
              </w:rPr>
              <w:t>0,287</w:t>
            </w:r>
          </w:p>
        </w:tc>
        <w:tc>
          <w:tcPr>
            <w:tcW w:w="1085" w:type="dxa"/>
            <w:vAlign w:val="center"/>
          </w:tcPr>
          <w:p w14:paraId="502135AE" w14:textId="77777777" w:rsidR="005D45D1" w:rsidRPr="00CA3519" w:rsidRDefault="005D45D1" w:rsidP="005D45D1">
            <w:pPr>
              <w:jc w:val="center"/>
              <w:rPr>
                <w:sz w:val="17"/>
                <w:szCs w:val="17"/>
              </w:rPr>
            </w:pPr>
            <w:r w:rsidRPr="00CA3519">
              <w:rPr>
                <w:sz w:val="17"/>
                <w:szCs w:val="17"/>
              </w:rPr>
              <w:t>0,435</w:t>
            </w:r>
          </w:p>
        </w:tc>
        <w:tc>
          <w:tcPr>
            <w:tcW w:w="1086" w:type="dxa"/>
            <w:vAlign w:val="center"/>
          </w:tcPr>
          <w:p w14:paraId="251542BB" w14:textId="77777777" w:rsidR="005D45D1" w:rsidRPr="00CA3519" w:rsidRDefault="005D45D1" w:rsidP="005D45D1">
            <w:pPr>
              <w:jc w:val="center"/>
              <w:rPr>
                <w:sz w:val="17"/>
                <w:szCs w:val="17"/>
              </w:rPr>
            </w:pPr>
            <w:r w:rsidRPr="00CA3519">
              <w:rPr>
                <w:sz w:val="17"/>
                <w:szCs w:val="17"/>
              </w:rPr>
              <w:t>0,679</w:t>
            </w:r>
          </w:p>
        </w:tc>
        <w:tc>
          <w:tcPr>
            <w:tcW w:w="1086" w:type="dxa"/>
            <w:vAlign w:val="center"/>
          </w:tcPr>
          <w:p w14:paraId="3BADD6B3" w14:textId="77777777" w:rsidR="005D45D1" w:rsidRPr="00CA3519" w:rsidRDefault="005D45D1" w:rsidP="005D45D1">
            <w:pPr>
              <w:jc w:val="center"/>
              <w:rPr>
                <w:sz w:val="17"/>
                <w:szCs w:val="17"/>
              </w:rPr>
            </w:pPr>
            <w:r w:rsidRPr="00CA3519">
              <w:rPr>
                <w:sz w:val="17"/>
                <w:szCs w:val="17"/>
              </w:rPr>
              <w:t>0,962</w:t>
            </w:r>
          </w:p>
        </w:tc>
        <w:tc>
          <w:tcPr>
            <w:tcW w:w="1085" w:type="dxa"/>
            <w:vAlign w:val="center"/>
          </w:tcPr>
          <w:p w14:paraId="171277E8" w14:textId="77777777" w:rsidR="005D45D1" w:rsidRPr="00CA3519" w:rsidRDefault="005D45D1" w:rsidP="005D45D1">
            <w:pPr>
              <w:jc w:val="center"/>
              <w:rPr>
                <w:sz w:val="17"/>
                <w:szCs w:val="17"/>
              </w:rPr>
            </w:pPr>
            <w:r w:rsidRPr="00CA3519">
              <w:rPr>
                <w:sz w:val="17"/>
                <w:szCs w:val="17"/>
              </w:rPr>
              <w:t>1,223</w:t>
            </w:r>
          </w:p>
        </w:tc>
        <w:tc>
          <w:tcPr>
            <w:tcW w:w="1086" w:type="dxa"/>
            <w:vAlign w:val="center"/>
          </w:tcPr>
          <w:p w14:paraId="3A8EC1D1" w14:textId="77777777" w:rsidR="005D45D1" w:rsidRPr="00CA3519" w:rsidRDefault="005D45D1" w:rsidP="005D45D1">
            <w:pPr>
              <w:jc w:val="center"/>
              <w:rPr>
                <w:sz w:val="17"/>
                <w:szCs w:val="17"/>
              </w:rPr>
            </w:pPr>
            <w:r w:rsidRPr="00CA3519">
              <w:rPr>
                <w:sz w:val="17"/>
                <w:szCs w:val="17"/>
              </w:rPr>
              <w:t>1,470</w:t>
            </w:r>
          </w:p>
        </w:tc>
        <w:tc>
          <w:tcPr>
            <w:tcW w:w="1085" w:type="dxa"/>
            <w:vAlign w:val="center"/>
          </w:tcPr>
          <w:p w14:paraId="11AE5428" w14:textId="77777777" w:rsidR="005D45D1" w:rsidRPr="00CA3519" w:rsidRDefault="005D45D1" w:rsidP="005D45D1">
            <w:pPr>
              <w:jc w:val="center"/>
              <w:rPr>
                <w:sz w:val="17"/>
                <w:szCs w:val="17"/>
              </w:rPr>
            </w:pPr>
            <w:r w:rsidRPr="00CA3519">
              <w:rPr>
                <w:sz w:val="17"/>
                <w:szCs w:val="17"/>
              </w:rPr>
              <w:t>1,715</w:t>
            </w:r>
          </w:p>
        </w:tc>
        <w:tc>
          <w:tcPr>
            <w:tcW w:w="1086" w:type="dxa"/>
            <w:vAlign w:val="center"/>
          </w:tcPr>
          <w:p w14:paraId="67DF4537" w14:textId="77777777" w:rsidR="005D45D1" w:rsidRPr="00CA3519" w:rsidRDefault="005D45D1" w:rsidP="005D45D1">
            <w:pPr>
              <w:jc w:val="center"/>
              <w:rPr>
                <w:sz w:val="17"/>
                <w:szCs w:val="17"/>
              </w:rPr>
            </w:pPr>
            <w:r w:rsidRPr="00CA3519">
              <w:rPr>
                <w:sz w:val="17"/>
                <w:szCs w:val="17"/>
              </w:rPr>
              <w:t>1,960</w:t>
            </w:r>
          </w:p>
        </w:tc>
        <w:tc>
          <w:tcPr>
            <w:tcW w:w="1086" w:type="dxa"/>
            <w:vAlign w:val="center"/>
          </w:tcPr>
          <w:p w14:paraId="7B6F4224" w14:textId="77777777" w:rsidR="005D45D1" w:rsidRPr="00CA3519" w:rsidRDefault="005D45D1" w:rsidP="005D45D1">
            <w:pPr>
              <w:jc w:val="center"/>
              <w:rPr>
                <w:sz w:val="17"/>
                <w:szCs w:val="17"/>
              </w:rPr>
            </w:pPr>
            <w:r w:rsidRPr="00CA3519">
              <w:rPr>
                <w:sz w:val="17"/>
                <w:szCs w:val="17"/>
              </w:rPr>
              <w:t>2,187</w:t>
            </w:r>
          </w:p>
        </w:tc>
      </w:tr>
      <w:tr w:rsidR="005D45D1" w:rsidRPr="00CA3519" w14:paraId="6DC837C3" w14:textId="77777777" w:rsidTr="005D45D1">
        <w:trPr>
          <w:trHeight w:val="397"/>
          <w:jc w:val="center"/>
        </w:trPr>
        <w:tc>
          <w:tcPr>
            <w:tcW w:w="2113" w:type="dxa"/>
            <w:vAlign w:val="center"/>
          </w:tcPr>
          <w:p w14:paraId="78E472CC" w14:textId="77777777" w:rsidR="005D45D1" w:rsidRPr="00CA3519" w:rsidRDefault="005D45D1" w:rsidP="005D45D1">
            <w:pPr>
              <w:rPr>
                <w:sz w:val="17"/>
                <w:szCs w:val="17"/>
              </w:rPr>
            </w:pPr>
            <w:r w:rsidRPr="00CA3519">
              <w:rPr>
                <w:sz w:val="17"/>
                <w:szCs w:val="17"/>
              </w:rPr>
              <w:t>Mai 2014</w:t>
            </w:r>
          </w:p>
        </w:tc>
        <w:tc>
          <w:tcPr>
            <w:tcW w:w="2113" w:type="dxa"/>
            <w:vAlign w:val="center"/>
          </w:tcPr>
          <w:p w14:paraId="6F14FC4F" w14:textId="77777777" w:rsidR="005D45D1" w:rsidRPr="00CA3519" w:rsidRDefault="005D45D1" w:rsidP="005D45D1">
            <w:pPr>
              <w:jc w:val="center"/>
              <w:rPr>
                <w:sz w:val="17"/>
                <w:szCs w:val="17"/>
              </w:rPr>
            </w:pPr>
            <w:r w:rsidRPr="00CA3519">
              <w:rPr>
                <w:sz w:val="17"/>
                <w:szCs w:val="17"/>
              </w:rPr>
              <w:t>21.05.2014 - Ausg. 1</w:t>
            </w:r>
          </w:p>
        </w:tc>
        <w:tc>
          <w:tcPr>
            <w:tcW w:w="1085" w:type="dxa"/>
            <w:vAlign w:val="center"/>
          </w:tcPr>
          <w:p w14:paraId="13205AD0" w14:textId="77777777" w:rsidR="005D45D1" w:rsidRPr="00CA3519" w:rsidRDefault="005D45D1" w:rsidP="005D45D1">
            <w:pPr>
              <w:jc w:val="center"/>
              <w:rPr>
                <w:sz w:val="17"/>
                <w:szCs w:val="17"/>
              </w:rPr>
            </w:pPr>
            <w:r w:rsidRPr="00CA3519">
              <w:rPr>
                <w:sz w:val="17"/>
                <w:szCs w:val="17"/>
              </w:rPr>
              <w:t>0,189</w:t>
            </w:r>
          </w:p>
        </w:tc>
        <w:tc>
          <w:tcPr>
            <w:tcW w:w="1086" w:type="dxa"/>
            <w:vAlign w:val="center"/>
          </w:tcPr>
          <w:p w14:paraId="5B4897A1" w14:textId="77777777" w:rsidR="005D45D1" w:rsidRPr="00CA3519" w:rsidRDefault="005D45D1" w:rsidP="005D45D1">
            <w:pPr>
              <w:jc w:val="center"/>
              <w:rPr>
                <w:sz w:val="17"/>
                <w:szCs w:val="17"/>
              </w:rPr>
            </w:pPr>
            <w:r w:rsidRPr="00CA3519">
              <w:rPr>
                <w:sz w:val="17"/>
                <w:szCs w:val="17"/>
              </w:rPr>
              <w:t>0,278</w:t>
            </w:r>
          </w:p>
        </w:tc>
        <w:tc>
          <w:tcPr>
            <w:tcW w:w="1085" w:type="dxa"/>
            <w:vAlign w:val="center"/>
          </w:tcPr>
          <w:p w14:paraId="0AEDF2ED" w14:textId="77777777" w:rsidR="005D45D1" w:rsidRPr="00CA3519" w:rsidRDefault="005D45D1" w:rsidP="005D45D1">
            <w:pPr>
              <w:jc w:val="center"/>
              <w:rPr>
                <w:sz w:val="17"/>
                <w:szCs w:val="17"/>
              </w:rPr>
            </w:pPr>
            <w:r w:rsidRPr="00CA3519">
              <w:rPr>
                <w:sz w:val="17"/>
                <w:szCs w:val="17"/>
              </w:rPr>
              <w:t>0,416</w:t>
            </w:r>
          </w:p>
        </w:tc>
        <w:tc>
          <w:tcPr>
            <w:tcW w:w="1086" w:type="dxa"/>
            <w:vAlign w:val="center"/>
          </w:tcPr>
          <w:p w14:paraId="658D361A" w14:textId="77777777" w:rsidR="005D45D1" w:rsidRPr="00CA3519" w:rsidRDefault="005D45D1" w:rsidP="005D45D1">
            <w:pPr>
              <w:jc w:val="center"/>
              <w:rPr>
                <w:sz w:val="17"/>
                <w:szCs w:val="17"/>
              </w:rPr>
            </w:pPr>
            <w:r w:rsidRPr="00CA3519">
              <w:rPr>
                <w:sz w:val="17"/>
                <w:szCs w:val="17"/>
              </w:rPr>
              <w:t>0,633</w:t>
            </w:r>
          </w:p>
        </w:tc>
        <w:tc>
          <w:tcPr>
            <w:tcW w:w="1086" w:type="dxa"/>
            <w:vAlign w:val="center"/>
          </w:tcPr>
          <w:p w14:paraId="756172A3" w14:textId="77777777" w:rsidR="005D45D1" w:rsidRPr="00CA3519" w:rsidRDefault="005D45D1" w:rsidP="005D45D1">
            <w:pPr>
              <w:jc w:val="center"/>
              <w:rPr>
                <w:sz w:val="17"/>
                <w:szCs w:val="17"/>
              </w:rPr>
            </w:pPr>
            <w:r w:rsidRPr="00CA3519">
              <w:rPr>
                <w:sz w:val="17"/>
                <w:szCs w:val="17"/>
              </w:rPr>
              <w:t>0,882</w:t>
            </w:r>
          </w:p>
        </w:tc>
        <w:tc>
          <w:tcPr>
            <w:tcW w:w="1085" w:type="dxa"/>
            <w:vAlign w:val="center"/>
          </w:tcPr>
          <w:p w14:paraId="3677C656" w14:textId="77777777" w:rsidR="005D45D1" w:rsidRPr="00CA3519" w:rsidRDefault="005D45D1" w:rsidP="005D45D1">
            <w:pPr>
              <w:jc w:val="center"/>
              <w:rPr>
                <w:sz w:val="17"/>
                <w:szCs w:val="17"/>
              </w:rPr>
            </w:pPr>
            <w:r w:rsidRPr="00CA3519">
              <w:rPr>
                <w:sz w:val="17"/>
                <w:szCs w:val="17"/>
              </w:rPr>
              <w:t>1,122</w:t>
            </w:r>
          </w:p>
        </w:tc>
        <w:tc>
          <w:tcPr>
            <w:tcW w:w="1086" w:type="dxa"/>
            <w:vAlign w:val="center"/>
          </w:tcPr>
          <w:p w14:paraId="2C00931B" w14:textId="77777777" w:rsidR="005D45D1" w:rsidRPr="00CA3519" w:rsidRDefault="005D45D1" w:rsidP="005D45D1">
            <w:pPr>
              <w:jc w:val="center"/>
              <w:rPr>
                <w:sz w:val="17"/>
                <w:szCs w:val="17"/>
              </w:rPr>
            </w:pPr>
            <w:r w:rsidRPr="00CA3519">
              <w:rPr>
                <w:sz w:val="17"/>
                <w:szCs w:val="17"/>
              </w:rPr>
              <w:t>1,359</w:t>
            </w:r>
          </w:p>
        </w:tc>
        <w:tc>
          <w:tcPr>
            <w:tcW w:w="1085" w:type="dxa"/>
            <w:vAlign w:val="center"/>
          </w:tcPr>
          <w:p w14:paraId="2D183FB0" w14:textId="77777777" w:rsidR="005D45D1" w:rsidRPr="00CA3519" w:rsidRDefault="005D45D1" w:rsidP="005D45D1">
            <w:pPr>
              <w:jc w:val="center"/>
              <w:rPr>
                <w:sz w:val="17"/>
                <w:szCs w:val="17"/>
              </w:rPr>
            </w:pPr>
            <w:r w:rsidRPr="00CA3519">
              <w:rPr>
                <w:sz w:val="17"/>
                <w:szCs w:val="17"/>
              </w:rPr>
              <w:t>1,602</w:t>
            </w:r>
          </w:p>
        </w:tc>
        <w:tc>
          <w:tcPr>
            <w:tcW w:w="1086" w:type="dxa"/>
            <w:vAlign w:val="center"/>
          </w:tcPr>
          <w:p w14:paraId="1650045A" w14:textId="77777777" w:rsidR="005D45D1" w:rsidRPr="00CA3519" w:rsidRDefault="005D45D1" w:rsidP="005D45D1">
            <w:pPr>
              <w:jc w:val="center"/>
              <w:rPr>
                <w:sz w:val="17"/>
                <w:szCs w:val="17"/>
              </w:rPr>
            </w:pPr>
            <w:r w:rsidRPr="00CA3519">
              <w:rPr>
                <w:sz w:val="17"/>
                <w:szCs w:val="17"/>
              </w:rPr>
              <w:t>1,847</w:t>
            </w:r>
          </w:p>
        </w:tc>
        <w:tc>
          <w:tcPr>
            <w:tcW w:w="1086" w:type="dxa"/>
            <w:vAlign w:val="center"/>
          </w:tcPr>
          <w:p w14:paraId="16C3BA21" w14:textId="77777777" w:rsidR="005D45D1" w:rsidRPr="00CA3519" w:rsidRDefault="005D45D1" w:rsidP="005D45D1">
            <w:pPr>
              <w:jc w:val="center"/>
              <w:rPr>
                <w:sz w:val="17"/>
                <w:szCs w:val="17"/>
              </w:rPr>
            </w:pPr>
            <w:r w:rsidRPr="00CA3519">
              <w:rPr>
                <w:sz w:val="17"/>
                <w:szCs w:val="17"/>
              </w:rPr>
              <w:t>2,068</w:t>
            </w:r>
          </w:p>
        </w:tc>
      </w:tr>
      <w:tr w:rsidR="005D45D1" w:rsidRPr="00CA3519" w14:paraId="4FE81021" w14:textId="77777777" w:rsidTr="005D45D1">
        <w:trPr>
          <w:trHeight w:val="397"/>
          <w:jc w:val="center"/>
        </w:trPr>
        <w:tc>
          <w:tcPr>
            <w:tcW w:w="2113" w:type="dxa"/>
            <w:vAlign w:val="center"/>
          </w:tcPr>
          <w:p w14:paraId="35102163" w14:textId="77777777" w:rsidR="005D45D1" w:rsidRPr="00CA3519" w:rsidRDefault="005D45D1" w:rsidP="005D45D1">
            <w:pPr>
              <w:rPr>
                <w:sz w:val="17"/>
                <w:szCs w:val="17"/>
              </w:rPr>
            </w:pPr>
            <w:r w:rsidRPr="00CA3519">
              <w:rPr>
                <w:sz w:val="17"/>
                <w:szCs w:val="17"/>
              </w:rPr>
              <w:t>Juni 2014</w:t>
            </w:r>
          </w:p>
        </w:tc>
        <w:tc>
          <w:tcPr>
            <w:tcW w:w="2113" w:type="dxa"/>
            <w:vAlign w:val="center"/>
          </w:tcPr>
          <w:p w14:paraId="46DD9C05" w14:textId="77777777" w:rsidR="005D45D1" w:rsidRPr="00CA3519" w:rsidRDefault="005D45D1" w:rsidP="005D45D1">
            <w:pPr>
              <w:jc w:val="center"/>
              <w:rPr>
                <w:sz w:val="17"/>
                <w:szCs w:val="17"/>
              </w:rPr>
            </w:pPr>
            <w:r w:rsidRPr="00CA3519">
              <w:rPr>
                <w:sz w:val="17"/>
                <w:szCs w:val="17"/>
              </w:rPr>
              <w:t>25.06.2014 - Ausg. 1</w:t>
            </w:r>
          </w:p>
        </w:tc>
        <w:tc>
          <w:tcPr>
            <w:tcW w:w="1085" w:type="dxa"/>
            <w:vAlign w:val="center"/>
          </w:tcPr>
          <w:p w14:paraId="3EB7497A" w14:textId="77777777" w:rsidR="005D45D1" w:rsidRPr="00CA3519" w:rsidRDefault="005D45D1" w:rsidP="005D45D1">
            <w:pPr>
              <w:jc w:val="center"/>
              <w:rPr>
                <w:sz w:val="17"/>
                <w:szCs w:val="17"/>
              </w:rPr>
            </w:pPr>
            <w:r w:rsidRPr="00CA3519">
              <w:rPr>
                <w:sz w:val="17"/>
                <w:szCs w:val="17"/>
              </w:rPr>
              <w:t>0,121</w:t>
            </w:r>
          </w:p>
        </w:tc>
        <w:tc>
          <w:tcPr>
            <w:tcW w:w="1086" w:type="dxa"/>
            <w:vAlign w:val="center"/>
          </w:tcPr>
          <w:p w14:paraId="188AA91C" w14:textId="77777777" w:rsidR="005D45D1" w:rsidRPr="00CA3519" w:rsidRDefault="005D45D1" w:rsidP="005D45D1">
            <w:pPr>
              <w:jc w:val="center"/>
              <w:rPr>
                <w:sz w:val="17"/>
                <w:szCs w:val="17"/>
              </w:rPr>
            </w:pPr>
            <w:r w:rsidRPr="00CA3519">
              <w:rPr>
                <w:sz w:val="17"/>
                <w:szCs w:val="17"/>
              </w:rPr>
              <w:t>0,186</w:t>
            </w:r>
          </w:p>
        </w:tc>
        <w:tc>
          <w:tcPr>
            <w:tcW w:w="1085" w:type="dxa"/>
            <w:vAlign w:val="center"/>
          </w:tcPr>
          <w:p w14:paraId="1A865E35" w14:textId="77777777" w:rsidR="005D45D1" w:rsidRPr="00CA3519" w:rsidRDefault="005D45D1" w:rsidP="005D45D1">
            <w:pPr>
              <w:jc w:val="center"/>
              <w:rPr>
                <w:sz w:val="17"/>
                <w:szCs w:val="17"/>
              </w:rPr>
            </w:pPr>
            <w:r w:rsidRPr="00CA3519">
              <w:rPr>
                <w:sz w:val="17"/>
                <w:szCs w:val="17"/>
              </w:rPr>
              <w:t>0,308</w:t>
            </w:r>
          </w:p>
        </w:tc>
        <w:tc>
          <w:tcPr>
            <w:tcW w:w="1086" w:type="dxa"/>
            <w:vAlign w:val="center"/>
          </w:tcPr>
          <w:p w14:paraId="2FD8D239" w14:textId="77777777" w:rsidR="005D45D1" w:rsidRPr="00CA3519" w:rsidRDefault="005D45D1" w:rsidP="005D45D1">
            <w:pPr>
              <w:jc w:val="center"/>
              <w:rPr>
                <w:sz w:val="17"/>
                <w:szCs w:val="17"/>
              </w:rPr>
            </w:pPr>
            <w:r w:rsidRPr="00CA3519">
              <w:rPr>
                <w:sz w:val="17"/>
                <w:szCs w:val="17"/>
              </w:rPr>
              <w:t>0,509</w:t>
            </w:r>
          </w:p>
        </w:tc>
        <w:tc>
          <w:tcPr>
            <w:tcW w:w="1086" w:type="dxa"/>
            <w:vAlign w:val="center"/>
          </w:tcPr>
          <w:p w14:paraId="2C05ACAD" w14:textId="77777777" w:rsidR="005D45D1" w:rsidRPr="00CA3519" w:rsidRDefault="005D45D1" w:rsidP="005D45D1">
            <w:pPr>
              <w:jc w:val="center"/>
              <w:rPr>
                <w:sz w:val="17"/>
                <w:szCs w:val="17"/>
              </w:rPr>
            </w:pPr>
            <w:r w:rsidRPr="00CA3519">
              <w:rPr>
                <w:sz w:val="17"/>
                <w:szCs w:val="17"/>
              </w:rPr>
              <w:t>0,748</w:t>
            </w:r>
          </w:p>
        </w:tc>
        <w:tc>
          <w:tcPr>
            <w:tcW w:w="1085" w:type="dxa"/>
            <w:vAlign w:val="center"/>
          </w:tcPr>
          <w:p w14:paraId="70BE25C3" w14:textId="77777777" w:rsidR="005D45D1" w:rsidRPr="00CA3519" w:rsidRDefault="005D45D1" w:rsidP="005D45D1">
            <w:pPr>
              <w:jc w:val="center"/>
              <w:rPr>
                <w:sz w:val="17"/>
                <w:szCs w:val="17"/>
              </w:rPr>
            </w:pPr>
            <w:r w:rsidRPr="00CA3519">
              <w:rPr>
                <w:sz w:val="17"/>
                <w:szCs w:val="17"/>
              </w:rPr>
              <w:t>0,982</w:t>
            </w:r>
          </w:p>
        </w:tc>
        <w:tc>
          <w:tcPr>
            <w:tcW w:w="1086" w:type="dxa"/>
            <w:vAlign w:val="center"/>
          </w:tcPr>
          <w:p w14:paraId="49BB9D87" w14:textId="77777777" w:rsidR="005D45D1" w:rsidRPr="00CA3519" w:rsidRDefault="005D45D1" w:rsidP="005D45D1">
            <w:pPr>
              <w:jc w:val="center"/>
              <w:rPr>
                <w:sz w:val="17"/>
                <w:szCs w:val="17"/>
              </w:rPr>
            </w:pPr>
            <w:r w:rsidRPr="00CA3519">
              <w:rPr>
                <w:sz w:val="17"/>
                <w:szCs w:val="17"/>
              </w:rPr>
              <w:t>1,216</w:t>
            </w:r>
          </w:p>
        </w:tc>
        <w:tc>
          <w:tcPr>
            <w:tcW w:w="1085" w:type="dxa"/>
            <w:vAlign w:val="center"/>
          </w:tcPr>
          <w:p w14:paraId="3D972F44" w14:textId="77777777" w:rsidR="005D45D1" w:rsidRPr="00CA3519" w:rsidRDefault="005D45D1" w:rsidP="005D45D1">
            <w:pPr>
              <w:jc w:val="center"/>
              <w:rPr>
                <w:sz w:val="17"/>
                <w:szCs w:val="17"/>
              </w:rPr>
            </w:pPr>
            <w:r w:rsidRPr="00CA3519">
              <w:rPr>
                <w:sz w:val="17"/>
                <w:szCs w:val="17"/>
              </w:rPr>
              <w:t>1,461</w:t>
            </w:r>
          </w:p>
        </w:tc>
        <w:tc>
          <w:tcPr>
            <w:tcW w:w="1086" w:type="dxa"/>
            <w:vAlign w:val="center"/>
          </w:tcPr>
          <w:p w14:paraId="6BFD1AC4" w14:textId="77777777" w:rsidR="005D45D1" w:rsidRPr="00CA3519" w:rsidRDefault="005D45D1" w:rsidP="005D45D1">
            <w:pPr>
              <w:jc w:val="center"/>
              <w:rPr>
                <w:sz w:val="17"/>
                <w:szCs w:val="17"/>
              </w:rPr>
            </w:pPr>
            <w:r w:rsidRPr="00CA3519">
              <w:rPr>
                <w:sz w:val="17"/>
                <w:szCs w:val="17"/>
              </w:rPr>
              <w:t>1,706</w:t>
            </w:r>
          </w:p>
        </w:tc>
        <w:tc>
          <w:tcPr>
            <w:tcW w:w="1086" w:type="dxa"/>
            <w:vAlign w:val="center"/>
          </w:tcPr>
          <w:p w14:paraId="67F8D3F3" w14:textId="77777777" w:rsidR="005D45D1" w:rsidRPr="00CA3519" w:rsidRDefault="005D45D1" w:rsidP="005D45D1">
            <w:pPr>
              <w:jc w:val="center"/>
              <w:rPr>
                <w:sz w:val="17"/>
                <w:szCs w:val="17"/>
              </w:rPr>
            </w:pPr>
            <w:r w:rsidRPr="00CA3519">
              <w:rPr>
                <w:sz w:val="17"/>
                <w:szCs w:val="17"/>
              </w:rPr>
              <w:t>1,928</w:t>
            </w:r>
          </w:p>
        </w:tc>
      </w:tr>
      <w:tr w:rsidR="005D45D1" w:rsidRPr="00CA3519" w14:paraId="5E96EFDE" w14:textId="77777777" w:rsidTr="005D45D1">
        <w:trPr>
          <w:trHeight w:val="397"/>
          <w:jc w:val="center"/>
        </w:trPr>
        <w:tc>
          <w:tcPr>
            <w:tcW w:w="2113" w:type="dxa"/>
            <w:vAlign w:val="center"/>
          </w:tcPr>
          <w:p w14:paraId="14BFAFB0" w14:textId="77777777" w:rsidR="005D45D1" w:rsidRPr="00CA3519" w:rsidRDefault="005D45D1" w:rsidP="005D45D1">
            <w:pPr>
              <w:rPr>
                <w:sz w:val="17"/>
                <w:szCs w:val="17"/>
              </w:rPr>
            </w:pPr>
            <w:r w:rsidRPr="00CA3519">
              <w:rPr>
                <w:sz w:val="17"/>
                <w:szCs w:val="17"/>
              </w:rPr>
              <w:t>Juli 2014</w:t>
            </w:r>
          </w:p>
        </w:tc>
        <w:tc>
          <w:tcPr>
            <w:tcW w:w="2113" w:type="dxa"/>
            <w:vAlign w:val="center"/>
          </w:tcPr>
          <w:p w14:paraId="18C3A36B" w14:textId="77777777" w:rsidR="005D45D1" w:rsidRPr="00CA3519" w:rsidRDefault="005D45D1" w:rsidP="005D45D1">
            <w:pPr>
              <w:jc w:val="center"/>
              <w:rPr>
                <w:sz w:val="17"/>
                <w:szCs w:val="17"/>
              </w:rPr>
            </w:pPr>
            <w:r w:rsidRPr="00CA3519">
              <w:rPr>
                <w:sz w:val="17"/>
                <w:szCs w:val="17"/>
              </w:rPr>
              <w:t>16.07.2014 - Ausg. 1</w:t>
            </w:r>
          </w:p>
        </w:tc>
        <w:tc>
          <w:tcPr>
            <w:tcW w:w="1085" w:type="dxa"/>
            <w:vAlign w:val="center"/>
          </w:tcPr>
          <w:p w14:paraId="2461075B" w14:textId="77777777" w:rsidR="005D45D1" w:rsidRPr="00CA3519" w:rsidRDefault="005D45D1" w:rsidP="005D45D1">
            <w:pPr>
              <w:jc w:val="center"/>
              <w:rPr>
                <w:sz w:val="17"/>
                <w:szCs w:val="17"/>
              </w:rPr>
            </w:pPr>
            <w:r w:rsidRPr="00CA3519">
              <w:rPr>
                <w:sz w:val="17"/>
                <w:szCs w:val="17"/>
              </w:rPr>
              <w:t>0,039</w:t>
            </w:r>
          </w:p>
        </w:tc>
        <w:tc>
          <w:tcPr>
            <w:tcW w:w="1086" w:type="dxa"/>
            <w:vAlign w:val="center"/>
          </w:tcPr>
          <w:p w14:paraId="3963EC79" w14:textId="77777777" w:rsidR="005D45D1" w:rsidRPr="00CA3519" w:rsidRDefault="005D45D1" w:rsidP="005D45D1">
            <w:pPr>
              <w:jc w:val="center"/>
              <w:rPr>
                <w:sz w:val="17"/>
                <w:szCs w:val="17"/>
              </w:rPr>
            </w:pPr>
            <w:r w:rsidRPr="00CA3519">
              <w:rPr>
                <w:sz w:val="17"/>
                <w:szCs w:val="17"/>
              </w:rPr>
              <w:t>0,095</w:t>
            </w:r>
          </w:p>
        </w:tc>
        <w:tc>
          <w:tcPr>
            <w:tcW w:w="1085" w:type="dxa"/>
            <w:vAlign w:val="center"/>
          </w:tcPr>
          <w:p w14:paraId="4973C38F" w14:textId="77777777" w:rsidR="005D45D1" w:rsidRPr="00CA3519" w:rsidRDefault="005D45D1" w:rsidP="005D45D1">
            <w:pPr>
              <w:jc w:val="center"/>
              <w:rPr>
                <w:sz w:val="17"/>
                <w:szCs w:val="17"/>
              </w:rPr>
            </w:pPr>
            <w:r w:rsidRPr="00CA3519">
              <w:rPr>
                <w:sz w:val="17"/>
                <w:szCs w:val="17"/>
              </w:rPr>
              <w:t>0,204</w:t>
            </w:r>
          </w:p>
        </w:tc>
        <w:tc>
          <w:tcPr>
            <w:tcW w:w="1086" w:type="dxa"/>
            <w:vAlign w:val="center"/>
          </w:tcPr>
          <w:p w14:paraId="79222A79" w14:textId="77777777" w:rsidR="005D45D1" w:rsidRPr="00CA3519" w:rsidRDefault="005D45D1" w:rsidP="005D45D1">
            <w:pPr>
              <w:jc w:val="center"/>
              <w:rPr>
                <w:sz w:val="17"/>
                <w:szCs w:val="17"/>
              </w:rPr>
            </w:pPr>
            <w:r w:rsidRPr="00CA3519">
              <w:rPr>
                <w:sz w:val="17"/>
                <w:szCs w:val="17"/>
              </w:rPr>
              <w:t>0,376</w:t>
            </w:r>
          </w:p>
        </w:tc>
        <w:tc>
          <w:tcPr>
            <w:tcW w:w="1086" w:type="dxa"/>
            <w:vAlign w:val="center"/>
          </w:tcPr>
          <w:p w14:paraId="2EC468E2" w14:textId="77777777" w:rsidR="005D45D1" w:rsidRPr="00CA3519" w:rsidRDefault="005D45D1" w:rsidP="005D45D1">
            <w:pPr>
              <w:jc w:val="center"/>
              <w:rPr>
                <w:sz w:val="17"/>
                <w:szCs w:val="17"/>
              </w:rPr>
            </w:pPr>
            <w:r w:rsidRPr="00CA3519">
              <w:rPr>
                <w:sz w:val="17"/>
                <w:szCs w:val="17"/>
              </w:rPr>
              <w:t>0,587</w:t>
            </w:r>
          </w:p>
        </w:tc>
        <w:tc>
          <w:tcPr>
            <w:tcW w:w="1085" w:type="dxa"/>
            <w:vAlign w:val="center"/>
          </w:tcPr>
          <w:p w14:paraId="3FF86292" w14:textId="77777777" w:rsidR="005D45D1" w:rsidRPr="00CA3519" w:rsidRDefault="005D45D1" w:rsidP="005D45D1">
            <w:pPr>
              <w:jc w:val="center"/>
              <w:rPr>
                <w:sz w:val="17"/>
                <w:szCs w:val="17"/>
              </w:rPr>
            </w:pPr>
            <w:r w:rsidRPr="00CA3519">
              <w:rPr>
                <w:sz w:val="17"/>
                <w:szCs w:val="17"/>
              </w:rPr>
              <w:t>0,808</w:t>
            </w:r>
          </w:p>
        </w:tc>
        <w:tc>
          <w:tcPr>
            <w:tcW w:w="1086" w:type="dxa"/>
            <w:vAlign w:val="center"/>
          </w:tcPr>
          <w:p w14:paraId="36EA44EB" w14:textId="77777777" w:rsidR="005D45D1" w:rsidRPr="00CA3519" w:rsidRDefault="005D45D1" w:rsidP="005D45D1">
            <w:pPr>
              <w:jc w:val="center"/>
              <w:rPr>
                <w:sz w:val="17"/>
                <w:szCs w:val="17"/>
              </w:rPr>
            </w:pPr>
            <w:r w:rsidRPr="00CA3519">
              <w:rPr>
                <w:sz w:val="17"/>
                <w:szCs w:val="17"/>
              </w:rPr>
              <w:t>1,040</w:t>
            </w:r>
          </w:p>
        </w:tc>
        <w:tc>
          <w:tcPr>
            <w:tcW w:w="1085" w:type="dxa"/>
            <w:vAlign w:val="center"/>
          </w:tcPr>
          <w:p w14:paraId="5462C8F5" w14:textId="77777777" w:rsidR="005D45D1" w:rsidRPr="00CA3519" w:rsidRDefault="005D45D1" w:rsidP="005D45D1">
            <w:pPr>
              <w:jc w:val="center"/>
              <w:rPr>
                <w:sz w:val="17"/>
                <w:szCs w:val="17"/>
              </w:rPr>
            </w:pPr>
            <w:r w:rsidRPr="00CA3519">
              <w:rPr>
                <w:sz w:val="17"/>
                <w:szCs w:val="17"/>
              </w:rPr>
              <w:t>1,286</w:t>
            </w:r>
          </w:p>
        </w:tc>
        <w:tc>
          <w:tcPr>
            <w:tcW w:w="1086" w:type="dxa"/>
            <w:vAlign w:val="center"/>
          </w:tcPr>
          <w:p w14:paraId="6CC433D2" w14:textId="77777777" w:rsidR="005D45D1" w:rsidRPr="00CA3519" w:rsidRDefault="005D45D1" w:rsidP="005D45D1">
            <w:pPr>
              <w:jc w:val="center"/>
              <w:rPr>
                <w:sz w:val="17"/>
                <w:szCs w:val="17"/>
              </w:rPr>
            </w:pPr>
            <w:r w:rsidRPr="00CA3519">
              <w:rPr>
                <w:sz w:val="17"/>
                <w:szCs w:val="17"/>
              </w:rPr>
              <w:t>1,533</w:t>
            </w:r>
          </w:p>
        </w:tc>
        <w:tc>
          <w:tcPr>
            <w:tcW w:w="1086" w:type="dxa"/>
            <w:vAlign w:val="center"/>
          </w:tcPr>
          <w:p w14:paraId="3E04F0CE" w14:textId="77777777" w:rsidR="005D45D1" w:rsidRPr="00CA3519" w:rsidRDefault="005D45D1" w:rsidP="005D45D1">
            <w:pPr>
              <w:jc w:val="center"/>
              <w:rPr>
                <w:sz w:val="17"/>
                <w:szCs w:val="17"/>
              </w:rPr>
            </w:pPr>
            <w:r w:rsidRPr="00CA3519">
              <w:rPr>
                <w:sz w:val="17"/>
                <w:szCs w:val="17"/>
              </w:rPr>
              <w:t>1,757</w:t>
            </w:r>
          </w:p>
        </w:tc>
      </w:tr>
      <w:tr w:rsidR="005D45D1" w:rsidRPr="00CA3519" w14:paraId="693618BD" w14:textId="77777777" w:rsidTr="005D45D1">
        <w:trPr>
          <w:trHeight w:val="397"/>
          <w:jc w:val="center"/>
        </w:trPr>
        <w:tc>
          <w:tcPr>
            <w:tcW w:w="2113" w:type="dxa"/>
            <w:vAlign w:val="center"/>
          </w:tcPr>
          <w:p w14:paraId="5F7CFA1A" w14:textId="77777777" w:rsidR="005D45D1" w:rsidRPr="00CA3519" w:rsidRDefault="005D45D1" w:rsidP="005D45D1">
            <w:pPr>
              <w:rPr>
                <w:sz w:val="17"/>
                <w:szCs w:val="17"/>
              </w:rPr>
            </w:pPr>
            <w:r w:rsidRPr="00CA3519">
              <w:rPr>
                <w:sz w:val="17"/>
                <w:szCs w:val="17"/>
              </w:rPr>
              <w:t>August 2014</w:t>
            </w:r>
          </w:p>
        </w:tc>
        <w:tc>
          <w:tcPr>
            <w:tcW w:w="2113" w:type="dxa"/>
            <w:vAlign w:val="center"/>
          </w:tcPr>
          <w:p w14:paraId="5893AB35" w14:textId="77777777" w:rsidR="005D45D1" w:rsidRPr="00CA3519" w:rsidRDefault="005D45D1" w:rsidP="005D45D1">
            <w:pPr>
              <w:jc w:val="center"/>
              <w:rPr>
                <w:sz w:val="17"/>
                <w:szCs w:val="17"/>
              </w:rPr>
            </w:pPr>
            <w:r w:rsidRPr="00CA3519">
              <w:rPr>
                <w:sz w:val="17"/>
                <w:szCs w:val="17"/>
              </w:rPr>
              <w:t>14.08.2014 - Ausg. 2</w:t>
            </w:r>
          </w:p>
        </w:tc>
        <w:tc>
          <w:tcPr>
            <w:tcW w:w="1085" w:type="dxa"/>
            <w:vAlign w:val="center"/>
          </w:tcPr>
          <w:p w14:paraId="341C0272" w14:textId="77777777" w:rsidR="005D45D1" w:rsidRPr="00CA3519" w:rsidRDefault="005D45D1" w:rsidP="005D45D1">
            <w:pPr>
              <w:jc w:val="center"/>
              <w:rPr>
                <w:sz w:val="17"/>
                <w:szCs w:val="17"/>
              </w:rPr>
            </w:pPr>
            <w:r w:rsidRPr="00CA3519">
              <w:rPr>
                <w:sz w:val="17"/>
                <w:szCs w:val="17"/>
              </w:rPr>
              <w:t>0,024</w:t>
            </w:r>
          </w:p>
        </w:tc>
        <w:tc>
          <w:tcPr>
            <w:tcW w:w="1086" w:type="dxa"/>
            <w:vAlign w:val="center"/>
          </w:tcPr>
          <w:p w14:paraId="3196A25C" w14:textId="77777777" w:rsidR="005D45D1" w:rsidRPr="00CA3519" w:rsidRDefault="005D45D1" w:rsidP="005D45D1">
            <w:pPr>
              <w:jc w:val="center"/>
              <w:rPr>
                <w:sz w:val="17"/>
                <w:szCs w:val="17"/>
              </w:rPr>
            </w:pPr>
            <w:r w:rsidRPr="00CA3519">
              <w:rPr>
                <w:sz w:val="17"/>
                <w:szCs w:val="17"/>
              </w:rPr>
              <w:t>0,068</w:t>
            </w:r>
          </w:p>
        </w:tc>
        <w:tc>
          <w:tcPr>
            <w:tcW w:w="1085" w:type="dxa"/>
            <w:vAlign w:val="center"/>
          </w:tcPr>
          <w:p w14:paraId="7ADF802E" w14:textId="77777777" w:rsidR="005D45D1" w:rsidRPr="00CA3519" w:rsidRDefault="005D45D1" w:rsidP="005D45D1">
            <w:pPr>
              <w:jc w:val="center"/>
              <w:rPr>
                <w:sz w:val="17"/>
                <w:szCs w:val="17"/>
              </w:rPr>
            </w:pPr>
            <w:r w:rsidRPr="00CA3519">
              <w:rPr>
                <w:sz w:val="17"/>
                <w:szCs w:val="17"/>
              </w:rPr>
              <w:t>0,152</w:t>
            </w:r>
          </w:p>
        </w:tc>
        <w:tc>
          <w:tcPr>
            <w:tcW w:w="1086" w:type="dxa"/>
            <w:vAlign w:val="center"/>
          </w:tcPr>
          <w:p w14:paraId="6B455FF7" w14:textId="77777777" w:rsidR="005D45D1" w:rsidRPr="00CA3519" w:rsidRDefault="005D45D1" w:rsidP="005D45D1">
            <w:pPr>
              <w:jc w:val="center"/>
              <w:rPr>
                <w:sz w:val="17"/>
                <w:szCs w:val="17"/>
              </w:rPr>
            </w:pPr>
            <w:r w:rsidRPr="00CA3519">
              <w:rPr>
                <w:sz w:val="17"/>
                <w:szCs w:val="17"/>
              </w:rPr>
              <w:t>0,299</w:t>
            </w:r>
          </w:p>
        </w:tc>
        <w:tc>
          <w:tcPr>
            <w:tcW w:w="1086" w:type="dxa"/>
            <w:vAlign w:val="center"/>
          </w:tcPr>
          <w:p w14:paraId="5F7F7F4A" w14:textId="77777777" w:rsidR="005D45D1" w:rsidRPr="00CA3519" w:rsidRDefault="005D45D1" w:rsidP="005D45D1">
            <w:pPr>
              <w:jc w:val="center"/>
              <w:rPr>
                <w:sz w:val="17"/>
                <w:szCs w:val="17"/>
              </w:rPr>
            </w:pPr>
            <w:r w:rsidRPr="00CA3519">
              <w:rPr>
                <w:sz w:val="17"/>
                <w:szCs w:val="17"/>
              </w:rPr>
              <w:t>0,479</w:t>
            </w:r>
          </w:p>
        </w:tc>
        <w:tc>
          <w:tcPr>
            <w:tcW w:w="1085" w:type="dxa"/>
            <w:vAlign w:val="center"/>
          </w:tcPr>
          <w:p w14:paraId="39431DC3" w14:textId="77777777" w:rsidR="005D45D1" w:rsidRPr="00CA3519" w:rsidRDefault="005D45D1" w:rsidP="005D45D1">
            <w:pPr>
              <w:jc w:val="center"/>
              <w:rPr>
                <w:sz w:val="17"/>
                <w:szCs w:val="17"/>
              </w:rPr>
            </w:pPr>
            <w:r w:rsidRPr="00CA3519">
              <w:rPr>
                <w:sz w:val="17"/>
                <w:szCs w:val="17"/>
              </w:rPr>
              <w:t>0,674</w:t>
            </w:r>
          </w:p>
        </w:tc>
        <w:tc>
          <w:tcPr>
            <w:tcW w:w="1086" w:type="dxa"/>
            <w:vAlign w:val="center"/>
          </w:tcPr>
          <w:p w14:paraId="5ED9A08C" w14:textId="77777777" w:rsidR="005D45D1" w:rsidRPr="00CA3519" w:rsidRDefault="005D45D1" w:rsidP="005D45D1">
            <w:pPr>
              <w:jc w:val="center"/>
              <w:rPr>
                <w:sz w:val="17"/>
                <w:szCs w:val="17"/>
              </w:rPr>
            </w:pPr>
            <w:r w:rsidRPr="00CA3519">
              <w:rPr>
                <w:sz w:val="17"/>
                <w:szCs w:val="17"/>
              </w:rPr>
              <w:t>0,889</w:t>
            </w:r>
          </w:p>
        </w:tc>
        <w:tc>
          <w:tcPr>
            <w:tcW w:w="1085" w:type="dxa"/>
            <w:vAlign w:val="center"/>
          </w:tcPr>
          <w:p w14:paraId="5DF10B7A" w14:textId="77777777" w:rsidR="005D45D1" w:rsidRPr="00CA3519" w:rsidRDefault="005D45D1" w:rsidP="005D45D1">
            <w:pPr>
              <w:jc w:val="center"/>
              <w:rPr>
                <w:sz w:val="17"/>
                <w:szCs w:val="17"/>
              </w:rPr>
            </w:pPr>
            <w:r w:rsidRPr="00CA3519">
              <w:rPr>
                <w:sz w:val="17"/>
                <w:szCs w:val="17"/>
              </w:rPr>
              <w:t>1,124</w:t>
            </w:r>
          </w:p>
        </w:tc>
        <w:tc>
          <w:tcPr>
            <w:tcW w:w="1086" w:type="dxa"/>
            <w:vAlign w:val="center"/>
          </w:tcPr>
          <w:p w14:paraId="03522163" w14:textId="77777777" w:rsidR="005D45D1" w:rsidRPr="00CA3519" w:rsidRDefault="005D45D1" w:rsidP="005D45D1">
            <w:pPr>
              <w:jc w:val="center"/>
              <w:rPr>
                <w:sz w:val="17"/>
                <w:szCs w:val="17"/>
              </w:rPr>
            </w:pPr>
            <w:r w:rsidRPr="00CA3519">
              <w:rPr>
                <w:sz w:val="17"/>
                <w:szCs w:val="17"/>
              </w:rPr>
              <w:t>1,363</w:t>
            </w:r>
          </w:p>
        </w:tc>
        <w:tc>
          <w:tcPr>
            <w:tcW w:w="1086" w:type="dxa"/>
            <w:vAlign w:val="center"/>
          </w:tcPr>
          <w:p w14:paraId="00D7932F" w14:textId="77777777" w:rsidR="005D45D1" w:rsidRPr="00CA3519" w:rsidRDefault="005D45D1" w:rsidP="005D45D1">
            <w:pPr>
              <w:jc w:val="center"/>
              <w:rPr>
                <w:sz w:val="17"/>
                <w:szCs w:val="17"/>
              </w:rPr>
            </w:pPr>
            <w:r w:rsidRPr="00CA3519">
              <w:rPr>
                <w:sz w:val="17"/>
                <w:szCs w:val="17"/>
              </w:rPr>
              <w:t>1,578</w:t>
            </w:r>
          </w:p>
        </w:tc>
      </w:tr>
      <w:tr w:rsidR="005D45D1" w:rsidRPr="00CA3519" w14:paraId="3177EC13" w14:textId="77777777" w:rsidTr="005D45D1">
        <w:trPr>
          <w:trHeight w:val="397"/>
          <w:jc w:val="center"/>
        </w:trPr>
        <w:tc>
          <w:tcPr>
            <w:tcW w:w="2113" w:type="dxa"/>
            <w:vAlign w:val="center"/>
          </w:tcPr>
          <w:p w14:paraId="5B5FF101" w14:textId="77777777" w:rsidR="005D45D1" w:rsidRPr="00CA3519" w:rsidRDefault="005D45D1" w:rsidP="005D45D1">
            <w:pPr>
              <w:rPr>
                <w:sz w:val="17"/>
                <w:szCs w:val="17"/>
              </w:rPr>
            </w:pPr>
            <w:r w:rsidRPr="00CA3519">
              <w:rPr>
                <w:sz w:val="17"/>
                <w:szCs w:val="17"/>
              </w:rPr>
              <w:t>September 2014</w:t>
            </w:r>
          </w:p>
        </w:tc>
        <w:tc>
          <w:tcPr>
            <w:tcW w:w="2113" w:type="dxa"/>
            <w:vAlign w:val="center"/>
          </w:tcPr>
          <w:p w14:paraId="0AADA51C" w14:textId="77777777" w:rsidR="005D45D1" w:rsidRPr="00CA3519" w:rsidRDefault="005D45D1" w:rsidP="005D45D1">
            <w:pPr>
              <w:jc w:val="center"/>
              <w:rPr>
                <w:sz w:val="17"/>
                <w:szCs w:val="17"/>
              </w:rPr>
            </w:pPr>
            <w:r w:rsidRPr="00CA3519">
              <w:rPr>
                <w:sz w:val="17"/>
                <w:szCs w:val="17"/>
              </w:rPr>
              <w:t>16.09.2014 - Ausg. 1</w:t>
            </w:r>
          </w:p>
        </w:tc>
        <w:tc>
          <w:tcPr>
            <w:tcW w:w="1085" w:type="dxa"/>
            <w:vAlign w:val="center"/>
          </w:tcPr>
          <w:p w14:paraId="42A3CC4F" w14:textId="77777777" w:rsidR="005D45D1" w:rsidRPr="00CA3519" w:rsidRDefault="005D45D1" w:rsidP="005D45D1">
            <w:pPr>
              <w:jc w:val="center"/>
              <w:rPr>
                <w:sz w:val="17"/>
                <w:szCs w:val="17"/>
              </w:rPr>
            </w:pPr>
            <w:r w:rsidRPr="00CA3519">
              <w:rPr>
                <w:sz w:val="17"/>
                <w:szCs w:val="17"/>
              </w:rPr>
              <w:t>-0,007</w:t>
            </w:r>
          </w:p>
        </w:tc>
        <w:tc>
          <w:tcPr>
            <w:tcW w:w="1086" w:type="dxa"/>
            <w:vAlign w:val="center"/>
          </w:tcPr>
          <w:p w14:paraId="20E1C1D3" w14:textId="77777777" w:rsidR="005D45D1" w:rsidRPr="00CA3519" w:rsidRDefault="005D45D1" w:rsidP="005D45D1">
            <w:pPr>
              <w:jc w:val="center"/>
              <w:rPr>
                <w:sz w:val="17"/>
                <w:szCs w:val="17"/>
              </w:rPr>
            </w:pPr>
            <w:r w:rsidRPr="00CA3519">
              <w:rPr>
                <w:sz w:val="17"/>
                <w:szCs w:val="17"/>
              </w:rPr>
              <w:t>0,015</w:t>
            </w:r>
          </w:p>
        </w:tc>
        <w:tc>
          <w:tcPr>
            <w:tcW w:w="1085" w:type="dxa"/>
            <w:vAlign w:val="center"/>
          </w:tcPr>
          <w:p w14:paraId="0FD58E4D" w14:textId="77777777" w:rsidR="005D45D1" w:rsidRPr="00CA3519" w:rsidRDefault="005D45D1" w:rsidP="005D45D1">
            <w:pPr>
              <w:jc w:val="center"/>
              <w:rPr>
                <w:sz w:val="17"/>
                <w:szCs w:val="17"/>
              </w:rPr>
            </w:pPr>
            <w:r w:rsidRPr="00CA3519">
              <w:rPr>
                <w:sz w:val="17"/>
                <w:szCs w:val="17"/>
              </w:rPr>
              <w:t>0,076</w:t>
            </w:r>
          </w:p>
        </w:tc>
        <w:tc>
          <w:tcPr>
            <w:tcW w:w="1086" w:type="dxa"/>
            <w:vAlign w:val="center"/>
          </w:tcPr>
          <w:p w14:paraId="0EC0E0DD" w14:textId="77777777" w:rsidR="005D45D1" w:rsidRPr="00CA3519" w:rsidRDefault="005D45D1" w:rsidP="005D45D1">
            <w:pPr>
              <w:jc w:val="center"/>
              <w:rPr>
                <w:sz w:val="17"/>
                <w:szCs w:val="17"/>
              </w:rPr>
            </w:pPr>
            <w:r w:rsidRPr="00CA3519">
              <w:rPr>
                <w:sz w:val="17"/>
                <w:szCs w:val="17"/>
              </w:rPr>
              <w:t>0,190</w:t>
            </w:r>
          </w:p>
        </w:tc>
        <w:tc>
          <w:tcPr>
            <w:tcW w:w="1086" w:type="dxa"/>
            <w:vAlign w:val="center"/>
          </w:tcPr>
          <w:p w14:paraId="187F3D4D" w14:textId="77777777" w:rsidR="005D45D1" w:rsidRPr="00CA3519" w:rsidRDefault="005D45D1" w:rsidP="005D45D1">
            <w:pPr>
              <w:jc w:val="center"/>
              <w:rPr>
                <w:sz w:val="17"/>
                <w:szCs w:val="17"/>
              </w:rPr>
            </w:pPr>
            <w:r w:rsidRPr="00CA3519">
              <w:rPr>
                <w:sz w:val="17"/>
                <w:szCs w:val="17"/>
              </w:rPr>
              <w:t>0,340</w:t>
            </w:r>
          </w:p>
        </w:tc>
        <w:tc>
          <w:tcPr>
            <w:tcW w:w="1085" w:type="dxa"/>
            <w:vAlign w:val="center"/>
          </w:tcPr>
          <w:p w14:paraId="645F8398" w14:textId="77777777" w:rsidR="005D45D1" w:rsidRPr="00CA3519" w:rsidRDefault="005D45D1" w:rsidP="005D45D1">
            <w:pPr>
              <w:jc w:val="center"/>
              <w:rPr>
                <w:sz w:val="17"/>
                <w:szCs w:val="17"/>
              </w:rPr>
            </w:pPr>
            <w:r w:rsidRPr="00CA3519">
              <w:rPr>
                <w:sz w:val="17"/>
                <w:szCs w:val="17"/>
              </w:rPr>
              <w:t>0,515</w:t>
            </w:r>
          </w:p>
        </w:tc>
        <w:tc>
          <w:tcPr>
            <w:tcW w:w="1086" w:type="dxa"/>
            <w:vAlign w:val="center"/>
          </w:tcPr>
          <w:p w14:paraId="3F484924" w14:textId="77777777" w:rsidR="005D45D1" w:rsidRPr="00CA3519" w:rsidRDefault="005D45D1" w:rsidP="005D45D1">
            <w:pPr>
              <w:jc w:val="center"/>
              <w:rPr>
                <w:sz w:val="17"/>
                <w:szCs w:val="17"/>
              </w:rPr>
            </w:pPr>
            <w:r w:rsidRPr="00CA3519">
              <w:rPr>
                <w:sz w:val="17"/>
                <w:szCs w:val="17"/>
              </w:rPr>
              <w:t>0,715</w:t>
            </w:r>
          </w:p>
        </w:tc>
        <w:tc>
          <w:tcPr>
            <w:tcW w:w="1085" w:type="dxa"/>
            <w:vAlign w:val="center"/>
          </w:tcPr>
          <w:p w14:paraId="532ACBA2" w14:textId="77777777" w:rsidR="005D45D1" w:rsidRPr="00CA3519" w:rsidRDefault="005D45D1" w:rsidP="005D45D1">
            <w:pPr>
              <w:jc w:val="center"/>
              <w:rPr>
                <w:sz w:val="17"/>
                <w:szCs w:val="17"/>
              </w:rPr>
            </w:pPr>
            <w:r w:rsidRPr="00CA3519">
              <w:rPr>
                <w:sz w:val="17"/>
                <w:szCs w:val="17"/>
              </w:rPr>
              <w:t>0,932</w:t>
            </w:r>
          </w:p>
        </w:tc>
        <w:tc>
          <w:tcPr>
            <w:tcW w:w="1086" w:type="dxa"/>
            <w:vAlign w:val="center"/>
          </w:tcPr>
          <w:p w14:paraId="2BD2F2B9" w14:textId="77777777" w:rsidR="005D45D1" w:rsidRPr="00CA3519" w:rsidRDefault="005D45D1" w:rsidP="005D45D1">
            <w:pPr>
              <w:jc w:val="center"/>
              <w:rPr>
                <w:sz w:val="17"/>
                <w:szCs w:val="17"/>
              </w:rPr>
            </w:pPr>
            <w:r w:rsidRPr="00CA3519">
              <w:rPr>
                <w:sz w:val="17"/>
                <w:szCs w:val="17"/>
              </w:rPr>
              <w:t>1,151</w:t>
            </w:r>
          </w:p>
        </w:tc>
        <w:tc>
          <w:tcPr>
            <w:tcW w:w="1086" w:type="dxa"/>
            <w:vAlign w:val="center"/>
          </w:tcPr>
          <w:p w14:paraId="56B67A1F" w14:textId="77777777" w:rsidR="005D45D1" w:rsidRPr="00CA3519" w:rsidRDefault="005D45D1" w:rsidP="005D45D1">
            <w:pPr>
              <w:jc w:val="center"/>
              <w:rPr>
                <w:sz w:val="17"/>
                <w:szCs w:val="17"/>
              </w:rPr>
            </w:pPr>
            <w:r w:rsidRPr="00CA3519">
              <w:rPr>
                <w:sz w:val="17"/>
                <w:szCs w:val="17"/>
              </w:rPr>
              <w:t>1,350</w:t>
            </w:r>
          </w:p>
        </w:tc>
      </w:tr>
      <w:tr w:rsidR="005D45D1" w:rsidRPr="00CA3519" w14:paraId="4D0DF828" w14:textId="77777777" w:rsidTr="005D45D1">
        <w:trPr>
          <w:trHeight w:val="397"/>
          <w:jc w:val="center"/>
        </w:trPr>
        <w:tc>
          <w:tcPr>
            <w:tcW w:w="2113" w:type="dxa"/>
            <w:vAlign w:val="center"/>
          </w:tcPr>
          <w:p w14:paraId="60A8758F" w14:textId="77777777" w:rsidR="005D45D1" w:rsidRPr="00CA3519" w:rsidRDefault="005D45D1" w:rsidP="005D45D1">
            <w:pPr>
              <w:rPr>
                <w:sz w:val="17"/>
                <w:szCs w:val="17"/>
              </w:rPr>
            </w:pPr>
            <w:r w:rsidRPr="00CA3519">
              <w:rPr>
                <w:sz w:val="17"/>
                <w:szCs w:val="17"/>
              </w:rPr>
              <w:lastRenderedPageBreak/>
              <w:t>Oktober 2014</w:t>
            </w:r>
          </w:p>
        </w:tc>
        <w:tc>
          <w:tcPr>
            <w:tcW w:w="2113" w:type="dxa"/>
            <w:vAlign w:val="center"/>
          </w:tcPr>
          <w:p w14:paraId="39B2D4ED" w14:textId="77777777" w:rsidR="005D45D1" w:rsidRPr="00CA3519" w:rsidRDefault="005D45D1" w:rsidP="005D45D1">
            <w:pPr>
              <w:jc w:val="center"/>
              <w:rPr>
                <w:sz w:val="17"/>
                <w:szCs w:val="17"/>
              </w:rPr>
            </w:pPr>
            <w:r w:rsidRPr="00CA3519">
              <w:rPr>
                <w:sz w:val="17"/>
                <w:szCs w:val="17"/>
              </w:rPr>
              <w:t>16.10.2014 - Ausg. 1</w:t>
            </w:r>
          </w:p>
        </w:tc>
        <w:tc>
          <w:tcPr>
            <w:tcW w:w="1085" w:type="dxa"/>
            <w:vAlign w:val="center"/>
          </w:tcPr>
          <w:p w14:paraId="1C9F6A1B" w14:textId="77777777" w:rsidR="005D45D1" w:rsidRPr="00CA3519" w:rsidRDefault="005D45D1" w:rsidP="005D45D1">
            <w:pPr>
              <w:jc w:val="center"/>
              <w:rPr>
                <w:sz w:val="17"/>
                <w:szCs w:val="17"/>
              </w:rPr>
            </w:pPr>
            <w:r w:rsidRPr="00CA3519">
              <w:rPr>
                <w:sz w:val="17"/>
                <w:szCs w:val="17"/>
              </w:rPr>
              <w:t>-0,042</w:t>
            </w:r>
          </w:p>
        </w:tc>
        <w:tc>
          <w:tcPr>
            <w:tcW w:w="1086" w:type="dxa"/>
            <w:vAlign w:val="center"/>
          </w:tcPr>
          <w:p w14:paraId="2AB657C4" w14:textId="77777777" w:rsidR="005D45D1" w:rsidRPr="00CA3519" w:rsidRDefault="005D45D1" w:rsidP="005D45D1">
            <w:pPr>
              <w:jc w:val="center"/>
              <w:rPr>
                <w:sz w:val="17"/>
                <w:szCs w:val="17"/>
              </w:rPr>
            </w:pPr>
            <w:r w:rsidRPr="00CA3519">
              <w:rPr>
                <w:sz w:val="17"/>
                <w:szCs w:val="17"/>
              </w:rPr>
              <w:t>-0,030</w:t>
            </w:r>
          </w:p>
        </w:tc>
        <w:tc>
          <w:tcPr>
            <w:tcW w:w="1085" w:type="dxa"/>
            <w:vAlign w:val="center"/>
          </w:tcPr>
          <w:p w14:paraId="3051B865" w14:textId="77777777" w:rsidR="005D45D1" w:rsidRPr="00CA3519" w:rsidRDefault="005D45D1" w:rsidP="005D45D1">
            <w:pPr>
              <w:jc w:val="center"/>
              <w:rPr>
                <w:sz w:val="17"/>
                <w:szCs w:val="17"/>
              </w:rPr>
            </w:pPr>
            <w:r w:rsidRPr="00CA3519">
              <w:rPr>
                <w:sz w:val="17"/>
                <w:szCs w:val="17"/>
              </w:rPr>
              <w:t>0,027</w:t>
            </w:r>
          </w:p>
        </w:tc>
        <w:tc>
          <w:tcPr>
            <w:tcW w:w="1086" w:type="dxa"/>
            <w:vAlign w:val="center"/>
          </w:tcPr>
          <w:p w14:paraId="4A1BCB64" w14:textId="77777777" w:rsidR="005D45D1" w:rsidRPr="00CA3519" w:rsidRDefault="005D45D1" w:rsidP="005D45D1">
            <w:pPr>
              <w:jc w:val="center"/>
              <w:rPr>
                <w:sz w:val="17"/>
                <w:szCs w:val="17"/>
              </w:rPr>
            </w:pPr>
            <w:r w:rsidRPr="00CA3519">
              <w:rPr>
                <w:sz w:val="17"/>
                <w:szCs w:val="17"/>
              </w:rPr>
              <w:t>0,143</w:t>
            </w:r>
          </w:p>
        </w:tc>
        <w:tc>
          <w:tcPr>
            <w:tcW w:w="1086" w:type="dxa"/>
            <w:vAlign w:val="center"/>
          </w:tcPr>
          <w:p w14:paraId="275686DC" w14:textId="77777777" w:rsidR="005D45D1" w:rsidRPr="00CA3519" w:rsidRDefault="005D45D1" w:rsidP="005D45D1">
            <w:pPr>
              <w:jc w:val="center"/>
              <w:rPr>
                <w:sz w:val="17"/>
                <w:szCs w:val="17"/>
              </w:rPr>
            </w:pPr>
            <w:r w:rsidRPr="00CA3519">
              <w:rPr>
                <w:sz w:val="17"/>
                <w:szCs w:val="17"/>
              </w:rPr>
              <w:t>0,300</w:t>
            </w:r>
          </w:p>
        </w:tc>
        <w:tc>
          <w:tcPr>
            <w:tcW w:w="1085" w:type="dxa"/>
            <w:vAlign w:val="center"/>
          </w:tcPr>
          <w:p w14:paraId="3D805CFF" w14:textId="77777777" w:rsidR="005D45D1" w:rsidRPr="00CA3519" w:rsidRDefault="005D45D1" w:rsidP="005D45D1">
            <w:pPr>
              <w:jc w:val="center"/>
              <w:rPr>
                <w:sz w:val="17"/>
                <w:szCs w:val="17"/>
              </w:rPr>
            </w:pPr>
            <w:r w:rsidRPr="00CA3519">
              <w:rPr>
                <w:sz w:val="17"/>
                <w:szCs w:val="17"/>
              </w:rPr>
              <w:t>0,491</w:t>
            </w:r>
          </w:p>
        </w:tc>
        <w:tc>
          <w:tcPr>
            <w:tcW w:w="1086" w:type="dxa"/>
            <w:vAlign w:val="center"/>
          </w:tcPr>
          <w:p w14:paraId="007C6986" w14:textId="77777777" w:rsidR="005D45D1" w:rsidRPr="00CA3519" w:rsidRDefault="005D45D1" w:rsidP="005D45D1">
            <w:pPr>
              <w:jc w:val="center"/>
              <w:rPr>
                <w:sz w:val="17"/>
                <w:szCs w:val="17"/>
              </w:rPr>
            </w:pPr>
            <w:r w:rsidRPr="00CA3519">
              <w:rPr>
                <w:sz w:val="17"/>
                <w:szCs w:val="17"/>
              </w:rPr>
              <w:t>0,699</w:t>
            </w:r>
          </w:p>
        </w:tc>
        <w:tc>
          <w:tcPr>
            <w:tcW w:w="1085" w:type="dxa"/>
            <w:vAlign w:val="center"/>
          </w:tcPr>
          <w:p w14:paraId="3FE8E6B6" w14:textId="77777777" w:rsidR="005D45D1" w:rsidRPr="00CA3519" w:rsidRDefault="005D45D1" w:rsidP="005D45D1">
            <w:pPr>
              <w:jc w:val="center"/>
              <w:rPr>
                <w:sz w:val="17"/>
                <w:szCs w:val="17"/>
              </w:rPr>
            </w:pPr>
            <w:r w:rsidRPr="00CA3519">
              <w:rPr>
                <w:sz w:val="17"/>
                <w:szCs w:val="17"/>
              </w:rPr>
              <w:t>0,915</w:t>
            </w:r>
          </w:p>
        </w:tc>
        <w:tc>
          <w:tcPr>
            <w:tcW w:w="1086" w:type="dxa"/>
            <w:vAlign w:val="center"/>
          </w:tcPr>
          <w:p w14:paraId="64E7B453" w14:textId="77777777" w:rsidR="005D45D1" w:rsidRPr="00CA3519" w:rsidRDefault="005D45D1" w:rsidP="005D45D1">
            <w:pPr>
              <w:jc w:val="center"/>
              <w:rPr>
                <w:sz w:val="17"/>
                <w:szCs w:val="17"/>
              </w:rPr>
            </w:pPr>
            <w:r w:rsidRPr="00CA3519">
              <w:rPr>
                <w:sz w:val="17"/>
                <w:szCs w:val="17"/>
              </w:rPr>
              <w:t>1,125</w:t>
            </w:r>
          </w:p>
        </w:tc>
        <w:tc>
          <w:tcPr>
            <w:tcW w:w="1086" w:type="dxa"/>
            <w:vAlign w:val="center"/>
          </w:tcPr>
          <w:p w14:paraId="27FDC226" w14:textId="77777777" w:rsidR="005D45D1" w:rsidRPr="00CA3519" w:rsidRDefault="005D45D1" w:rsidP="005D45D1">
            <w:pPr>
              <w:jc w:val="center"/>
              <w:rPr>
                <w:sz w:val="17"/>
                <w:szCs w:val="17"/>
              </w:rPr>
            </w:pPr>
            <w:r w:rsidRPr="00CA3519">
              <w:rPr>
                <w:sz w:val="17"/>
                <w:szCs w:val="17"/>
              </w:rPr>
              <w:t>1,313</w:t>
            </w:r>
          </w:p>
        </w:tc>
      </w:tr>
      <w:tr w:rsidR="005D45D1" w:rsidRPr="00CA3519" w14:paraId="4D26886D" w14:textId="77777777" w:rsidTr="005D45D1">
        <w:trPr>
          <w:trHeight w:val="397"/>
          <w:jc w:val="center"/>
        </w:trPr>
        <w:tc>
          <w:tcPr>
            <w:tcW w:w="2113" w:type="dxa"/>
            <w:vAlign w:val="center"/>
          </w:tcPr>
          <w:p w14:paraId="2BF5F3E5" w14:textId="77777777" w:rsidR="005D45D1" w:rsidRPr="00CA3519" w:rsidRDefault="005D45D1" w:rsidP="005D45D1">
            <w:pPr>
              <w:rPr>
                <w:sz w:val="17"/>
                <w:szCs w:val="17"/>
              </w:rPr>
            </w:pPr>
            <w:r w:rsidRPr="00CA3519">
              <w:rPr>
                <w:sz w:val="17"/>
                <w:szCs w:val="17"/>
              </w:rPr>
              <w:t>November 2014</w:t>
            </w:r>
          </w:p>
        </w:tc>
        <w:tc>
          <w:tcPr>
            <w:tcW w:w="2113" w:type="dxa"/>
            <w:vAlign w:val="center"/>
          </w:tcPr>
          <w:p w14:paraId="159A581C" w14:textId="77777777" w:rsidR="005D45D1" w:rsidRPr="00CA3519" w:rsidRDefault="005D45D1" w:rsidP="005D45D1">
            <w:pPr>
              <w:jc w:val="center"/>
              <w:rPr>
                <w:sz w:val="17"/>
                <w:szCs w:val="17"/>
              </w:rPr>
            </w:pPr>
            <w:r w:rsidRPr="00CA3519">
              <w:rPr>
                <w:sz w:val="17"/>
                <w:szCs w:val="17"/>
              </w:rPr>
              <w:t>14.11.2014 - Ausg. 2</w:t>
            </w:r>
          </w:p>
        </w:tc>
        <w:tc>
          <w:tcPr>
            <w:tcW w:w="1085" w:type="dxa"/>
            <w:vAlign w:val="center"/>
          </w:tcPr>
          <w:p w14:paraId="5D32DB53" w14:textId="77777777" w:rsidR="005D45D1" w:rsidRPr="00CA3519" w:rsidRDefault="005D45D1" w:rsidP="005D45D1">
            <w:pPr>
              <w:jc w:val="center"/>
              <w:rPr>
                <w:sz w:val="17"/>
                <w:szCs w:val="17"/>
              </w:rPr>
            </w:pPr>
            <w:r w:rsidRPr="00CA3519">
              <w:rPr>
                <w:sz w:val="17"/>
                <w:szCs w:val="17"/>
              </w:rPr>
              <w:t>-0,018</w:t>
            </w:r>
          </w:p>
        </w:tc>
        <w:tc>
          <w:tcPr>
            <w:tcW w:w="1086" w:type="dxa"/>
            <w:vAlign w:val="center"/>
          </w:tcPr>
          <w:p w14:paraId="0314DEFD" w14:textId="77777777" w:rsidR="005D45D1" w:rsidRPr="00CA3519" w:rsidRDefault="005D45D1" w:rsidP="005D45D1">
            <w:pPr>
              <w:jc w:val="center"/>
              <w:rPr>
                <w:sz w:val="17"/>
                <w:szCs w:val="17"/>
              </w:rPr>
            </w:pPr>
            <w:r w:rsidRPr="00CA3519">
              <w:rPr>
                <w:sz w:val="17"/>
                <w:szCs w:val="17"/>
              </w:rPr>
              <w:t>-0,003</w:t>
            </w:r>
          </w:p>
        </w:tc>
        <w:tc>
          <w:tcPr>
            <w:tcW w:w="1085" w:type="dxa"/>
            <w:vAlign w:val="center"/>
          </w:tcPr>
          <w:p w14:paraId="52BB4F99" w14:textId="77777777" w:rsidR="005D45D1" w:rsidRPr="00CA3519" w:rsidRDefault="005D45D1" w:rsidP="005D45D1">
            <w:pPr>
              <w:jc w:val="center"/>
              <w:rPr>
                <w:sz w:val="17"/>
                <w:szCs w:val="17"/>
              </w:rPr>
            </w:pPr>
            <w:r w:rsidRPr="00CA3519">
              <w:rPr>
                <w:sz w:val="17"/>
                <w:szCs w:val="17"/>
              </w:rPr>
              <w:t>0,048</w:t>
            </w:r>
          </w:p>
        </w:tc>
        <w:tc>
          <w:tcPr>
            <w:tcW w:w="1086" w:type="dxa"/>
            <w:vAlign w:val="center"/>
          </w:tcPr>
          <w:p w14:paraId="76E9898E" w14:textId="77777777" w:rsidR="005D45D1" w:rsidRPr="00CA3519" w:rsidRDefault="005D45D1" w:rsidP="005D45D1">
            <w:pPr>
              <w:jc w:val="center"/>
              <w:rPr>
                <w:sz w:val="17"/>
                <w:szCs w:val="17"/>
              </w:rPr>
            </w:pPr>
            <w:r w:rsidRPr="00CA3519">
              <w:rPr>
                <w:sz w:val="17"/>
                <w:szCs w:val="17"/>
              </w:rPr>
              <w:t>0,144</w:t>
            </w:r>
          </w:p>
        </w:tc>
        <w:tc>
          <w:tcPr>
            <w:tcW w:w="1086" w:type="dxa"/>
            <w:vAlign w:val="center"/>
          </w:tcPr>
          <w:p w14:paraId="784F0FC8" w14:textId="77777777" w:rsidR="005D45D1" w:rsidRPr="00CA3519" w:rsidRDefault="005D45D1" w:rsidP="005D45D1">
            <w:pPr>
              <w:jc w:val="center"/>
              <w:rPr>
                <w:sz w:val="17"/>
                <w:szCs w:val="17"/>
              </w:rPr>
            </w:pPr>
            <w:r w:rsidRPr="00CA3519">
              <w:rPr>
                <w:sz w:val="17"/>
                <w:szCs w:val="17"/>
              </w:rPr>
              <w:t>0,277</w:t>
            </w:r>
          </w:p>
        </w:tc>
        <w:tc>
          <w:tcPr>
            <w:tcW w:w="1085" w:type="dxa"/>
            <w:vAlign w:val="center"/>
          </w:tcPr>
          <w:p w14:paraId="0C1D6DF6" w14:textId="77777777" w:rsidR="005D45D1" w:rsidRPr="00CA3519" w:rsidRDefault="005D45D1" w:rsidP="005D45D1">
            <w:pPr>
              <w:jc w:val="center"/>
              <w:rPr>
                <w:sz w:val="17"/>
                <w:szCs w:val="17"/>
              </w:rPr>
            </w:pPr>
            <w:r w:rsidRPr="00CA3519">
              <w:rPr>
                <w:sz w:val="17"/>
                <w:szCs w:val="17"/>
              </w:rPr>
              <w:t>0,440</w:t>
            </w:r>
          </w:p>
        </w:tc>
        <w:tc>
          <w:tcPr>
            <w:tcW w:w="1086" w:type="dxa"/>
            <w:vAlign w:val="center"/>
          </w:tcPr>
          <w:p w14:paraId="6010250C" w14:textId="77777777" w:rsidR="005D45D1" w:rsidRPr="00CA3519" w:rsidRDefault="005D45D1" w:rsidP="005D45D1">
            <w:pPr>
              <w:jc w:val="center"/>
              <w:rPr>
                <w:sz w:val="17"/>
                <w:szCs w:val="17"/>
              </w:rPr>
            </w:pPr>
            <w:r w:rsidRPr="00CA3519">
              <w:rPr>
                <w:sz w:val="17"/>
                <w:szCs w:val="17"/>
              </w:rPr>
              <w:t>0,629</w:t>
            </w:r>
          </w:p>
        </w:tc>
        <w:tc>
          <w:tcPr>
            <w:tcW w:w="1085" w:type="dxa"/>
            <w:vAlign w:val="center"/>
          </w:tcPr>
          <w:p w14:paraId="666A1D6A" w14:textId="77777777" w:rsidR="005D45D1" w:rsidRPr="00CA3519" w:rsidRDefault="005D45D1" w:rsidP="005D45D1">
            <w:pPr>
              <w:jc w:val="center"/>
              <w:rPr>
                <w:sz w:val="17"/>
                <w:szCs w:val="17"/>
              </w:rPr>
            </w:pPr>
            <w:r w:rsidRPr="00CA3519">
              <w:rPr>
                <w:sz w:val="17"/>
                <w:szCs w:val="17"/>
              </w:rPr>
              <w:t>0,834</w:t>
            </w:r>
          </w:p>
        </w:tc>
        <w:tc>
          <w:tcPr>
            <w:tcW w:w="1086" w:type="dxa"/>
            <w:vAlign w:val="center"/>
          </w:tcPr>
          <w:p w14:paraId="0FF76678" w14:textId="77777777" w:rsidR="005D45D1" w:rsidRPr="00CA3519" w:rsidRDefault="005D45D1" w:rsidP="005D45D1">
            <w:pPr>
              <w:jc w:val="center"/>
              <w:rPr>
                <w:sz w:val="17"/>
                <w:szCs w:val="17"/>
              </w:rPr>
            </w:pPr>
            <w:r w:rsidRPr="00CA3519">
              <w:rPr>
                <w:sz w:val="17"/>
                <w:szCs w:val="17"/>
              </w:rPr>
              <w:t>1,041</w:t>
            </w:r>
          </w:p>
        </w:tc>
        <w:tc>
          <w:tcPr>
            <w:tcW w:w="1086" w:type="dxa"/>
            <w:vAlign w:val="center"/>
          </w:tcPr>
          <w:p w14:paraId="2122BFD8" w14:textId="77777777" w:rsidR="005D45D1" w:rsidRPr="00CA3519" w:rsidRDefault="005D45D1" w:rsidP="005D45D1">
            <w:pPr>
              <w:jc w:val="center"/>
              <w:rPr>
                <w:sz w:val="17"/>
                <w:szCs w:val="17"/>
              </w:rPr>
            </w:pPr>
            <w:r w:rsidRPr="00CA3519">
              <w:rPr>
                <w:sz w:val="17"/>
                <w:szCs w:val="17"/>
              </w:rPr>
              <w:t>1,228</w:t>
            </w:r>
          </w:p>
        </w:tc>
      </w:tr>
      <w:tr w:rsidR="005D45D1" w:rsidRPr="00CA3519" w14:paraId="62C5B05F" w14:textId="77777777" w:rsidTr="005D45D1">
        <w:trPr>
          <w:trHeight w:val="397"/>
          <w:jc w:val="center"/>
        </w:trPr>
        <w:tc>
          <w:tcPr>
            <w:tcW w:w="2113" w:type="dxa"/>
            <w:vAlign w:val="center"/>
          </w:tcPr>
          <w:p w14:paraId="5A4C97F6" w14:textId="77777777" w:rsidR="005D45D1" w:rsidRPr="00CA3519" w:rsidRDefault="005D45D1" w:rsidP="005D45D1">
            <w:pPr>
              <w:rPr>
                <w:sz w:val="17"/>
                <w:szCs w:val="17"/>
              </w:rPr>
            </w:pPr>
            <w:r w:rsidRPr="00CA3519">
              <w:rPr>
                <w:sz w:val="17"/>
                <w:szCs w:val="17"/>
              </w:rPr>
              <w:t>Dezember 2014</w:t>
            </w:r>
          </w:p>
        </w:tc>
        <w:tc>
          <w:tcPr>
            <w:tcW w:w="2113" w:type="dxa"/>
            <w:vAlign w:val="center"/>
          </w:tcPr>
          <w:p w14:paraId="476E9474" w14:textId="77777777" w:rsidR="005D45D1" w:rsidRPr="00CA3519" w:rsidRDefault="005D45D1" w:rsidP="005D45D1">
            <w:pPr>
              <w:jc w:val="center"/>
              <w:rPr>
                <w:sz w:val="17"/>
                <w:szCs w:val="17"/>
              </w:rPr>
            </w:pPr>
            <w:r w:rsidRPr="00CA3519">
              <w:rPr>
                <w:sz w:val="17"/>
                <w:szCs w:val="17"/>
              </w:rPr>
              <w:t>15.12.2014 - Ausg. 1</w:t>
            </w:r>
          </w:p>
        </w:tc>
        <w:tc>
          <w:tcPr>
            <w:tcW w:w="1085" w:type="dxa"/>
            <w:vAlign w:val="center"/>
          </w:tcPr>
          <w:p w14:paraId="7842090B" w14:textId="77777777" w:rsidR="005D45D1" w:rsidRPr="00CA3519" w:rsidRDefault="005D45D1" w:rsidP="005D45D1">
            <w:pPr>
              <w:jc w:val="center"/>
              <w:rPr>
                <w:sz w:val="17"/>
                <w:szCs w:val="17"/>
              </w:rPr>
            </w:pPr>
            <w:r w:rsidRPr="00CA3519">
              <w:rPr>
                <w:sz w:val="17"/>
                <w:szCs w:val="17"/>
              </w:rPr>
              <w:t>-0,019</w:t>
            </w:r>
          </w:p>
        </w:tc>
        <w:tc>
          <w:tcPr>
            <w:tcW w:w="1086" w:type="dxa"/>
            <w:vAlign w:val="center"/>
          </w:tcPr>
          <w:p w14:paraId="1861E236" w14:textId="77777777" w:rsidR="005D45D1" w:rsidRPr="00CA3519" w:rsidRDefault="005D45D1" w:rsidP="005D45D1">
            <w:pPr>
              <w:jc w:val="center"/>
              <w:rPr>
                <w:sz w:val="17"/>
                <w:szCs w:val="17"/>
              </w:rPr>
            </w:pPr>
            <w:r w:rsidRPr="00CA3519">
              <w:rPr>
                <w:sz w:val="17"/>
                <w:szCs w:val="17"/>
              </w:rPr>
              <w:t>-0,010</w:t>
            </w:r>
          </w:p>
        </w:tc>
        <w:tc>
          <w:tcPr>
            <w:tcW w:w="1085" w:type="dxa"/>
            <w:vAlign w:val="center"/>
          </w:tcPr>
          <w:p w14:paraId="7E2FE4CA" w14:textId="77777777" w:rsidR="005D45D1" w:rsidRPr="00CA3519" w:rsidRDefault="005D45D1" w:rsidP="005D45D1">
            <w:pPr>
              <w:jc w:val="center"/>
              <w:rPr>
                <w:sz w:val="17"/>
                <w:szCs w:val="17"/>
              </w:rPr>
            </w:pPr>
            <w:r w:rsidRPr="00CA3519">
              <w:rPr>
                <w:sz w:val="17"/>
                <w:szCs w:val="17"/>
              </w:rPr>
              <w:t>0,029</w:t>
            </w:r>
          </w:p>
        </w:tc>
        <w:tc>
          <w:tcPr>
            <w:tcW w:w="1086" w:type="dxa"/>
            <w:vAlign w:val="center"/>
          </w:tcPr>
          <w:p w14:paraId="0E691BE9" w14:textId="77777777" w:rsidR="005D45D1" w:rsidRPr="00CA3519" w:rsidRDefault="005D45D1" w:rsidP="005D45D1">
            <w:pPr>
              <w:jc w:val="center"/>
              <w:rPr>
                <w:sz w:val="17"/>
                <w:szCs w:val="17"/>
              </w:rPr>
            </w:pPr>
            <w:r w:rsidRPr="00CA3519">
              <w:rPr>
                <w:sz w:val="17"/>
                <w:szCs w:val="17"/>
              </w:rPr>
              <w:t>0,110</w:t>
            </w:r>
          </w:p>
        </w:tc>
        <w:tc>
          <w:tcPr>
            <w:tcW w:w="1086" w:type="dxa"/>
            <w:vAlign w:val="center"/>
          </w:tcPr>
          <w:p w14:paraId="71607D4D" w14:textId="77777777" w:rsidR="005D45D1" w:rsidRPr="00CA3519" w:rsidRDefault="005D45D1" w:rsidP="005D45D1">
            <w:pPr>
              <w:jc w:val="center"/>
              <w:rPr>
                <w:sz w:val="17"/>
                <w:szCs w:val="17"/>
              </w:rPr>
            </w:pPr>
            <w:r w:rsidRPr="00CA3519">
              <w:rPr>
                <w:sz w:val="17"/>
                <w:szCs w:val="17"/>
              </w:rPr>
              <w:t>0,223</w:t>
            </w:r>
          </w:p>
        </w:tc>
        <w:tc>
          <w:tcPr>
            <w:tcW w:w="1085" w:type="dxa"/>
            <w:vAlign w:val="center"/>
          </w:tcPr>
          <w:p w14:paraId="1DB3F400" w14:textId="77777777" w:rsidR="005D45D1" w:rsidRPr="00CA3519" w:rsidRDefault="005D45D1" w:rsidP="005D45D1">
            <w:pPr>
              <w:jc w:val="center"/>
              <w:rPr>
                <w:sz w:val="17"/>
                <w:szCs w:val="17"/>
              </w:rPr>
            </w:pPr>
            <w:r w:rsidRPr="00CA3519">
              <w:rPr>
                <w:sz w:val="17"/>
                <w:szCs w:val="17"/>
              </w:rPr>
              <w:t>0,361</w:t>
            </w:r>
          </w:p>
        </w:tc>
        <w:tc>
          <w:tcPr>
            <w:tcW w:w="1086" w:type="dxa"/>
            <w:vAlign w:val="center"/>
          </w:tcPr>
          <w:p w14:paraId="1BA475C0" w14:textId="77777777" w:rsidR="005D45D1" w:rsidRPr="00CA3519" w:rsidRDefault="005D45D1" w:rsidP="005D45D1">
            <w:pPr>
              <w:jc w:val="center"/>
              <w:rPr>
                <w:sz w:val="17"/>
                <w:szCs w:val="17"/>
              </w:rPr>
            </w:pPr>
            <w:r w:rsidRPr="00CA3519">
              <w:rPr>
                <w:sz w:val="17"/>
                <w:szCs w:val="17"/>
              </w:rPr>
              <w:t>0,521</w:t>
            </w:r>
          </w:p>
        </w:tc>
        <w:tc>
          <w:tcPr>
            <w:tcW w:w="1085" w:type="dxa"/>
            <w:vAlign w:val="center"/>
          </w:tcPr>
          <w:p w14:paraId="0F4600BF" w14:textId="77777777" w:rsidR="005D45D1" w:rsidRPr="00CA3519" w:rsidRDefault="005D45D1" w:rsidP="005D45D1">
            <w:pPr>
              <w:jc w:val="center"/>
              <w:rPr>
                <w:sz w:val="17"/>
                <w:szCs w:val="17"/>
              </w:rPr>
            </w:pPr>
            <w:r w:rsidRPr="00CA3519">
              <w:rPr>
                <w:sz w:val="17"/>
                <w:szCs w:val="17"/>
              </w:rPr>
              <w:t>0,708</w:t>
            </w:r>
          </w:p>
        </w:tc>
        <w:tc>
          <w:tcPr>
            <w:tcW w:w="1086" w:type="dxa"/>
            <w:vAlign w:val="center"/>
          </w:tcPr>
          <w:p w14:paraId="0B97697F" w14:textId="77777777" w:rsidR="005D45D1" w:rsidRPr="00CA3519" w:rsidRDefault="005D45D1" w:rsidP="005D45D1">
            <w:pPr>
              <w:jc w:val="center"/>
              <w:rPr>
                <w:sz w:val="17"/>
                <w:szCs w:val="17"/>
              </w:rPr>
            </w:pPr>
            <w:r w:rsidRPr="00CA3519">
              <w:rPr>
                <w:sz w:val="17"/>
                <w:szCs w:val="17"/>
              </w:rPr>
              <w:t>0,906</w:t>
            </w:r>
          </w:p>
        </w:tc>
        <w:tc>
          <w:tcPr>
            <w:tcW w:w="1086" w:type="dxa"/>
            <w:vAlign w:val="center"/>
          </w:tcPr>
          <w:p w14:paraId="4AB6D2E6" w14:textId="77777777" w:rsidR="005D45D1" w:rsidRPr="00CA3519" w:rsidRDefault="005D45D1" w:rsidP="005D45D1">
            <w:pPr>
              <w:jc w:val="center"/>
              <w:rPr>
                <w:sz w:val="17"/>
                <w:szCs w:val="17"/>
              </w:rPr>
            </w:pPr>
            <w:r w:rsidRPr="00CA3519">
              <w:rPr>
                <w:sz w:val="17"/>
                <w:szCs w:val="17"/>
              </w:rPr>
              <w:t>1,085</w:t>
            </w:r>
            <w:r w:rsidR="00927BC1" w:rsidRPr="00CA3519">
              <w:rPr>
                <w:sz w:val="17"/>
                <w:szCs w:val="17"/>
              </w:rPr>
              <w:t>]</w:t>
            </w:r>
          </w:p>
        </w:tc>
      </w:tr>
      <w:tr w:rsidR="00F371AA" w:rsidRPr="00CA3519" w14:paraId="56D0261F" w14:textId="77777777" w:rsidTr="007F25C5">
        <w:trPr>
          <w:trHeight w:val="397"/>
          <w:jc w:val="center"/>
        </w:trPr>
        <w:tc>
          <w:tcPr>
            <w:tcW w:w="2113" w:type="dxa"/>
            <w:vAlign w:val="center"/>
          </w:tcPr>
          <w:p w14:paraId="550C1F27" w14:textId="77777777" w:rsidR="00F371AA" w:rsidRPr="00CA3519" w:rsidRDefault="00F371AA" w:rsidP="007F25C5">
            <w:pPr>
              <w:rPr>
                <w:b/>
                <w:bCs/>
                <w:sz w:val="17"/>
                <w:szCs w:val="17"/>
              </w:rPr>
            </w:pPr>
            <w:r w:rsidRPr="00CA3519">
              <w:rPr>
                <w:sz w:val="17"/>
                <w:szCs w:val="17"/>
              </w:rPr>
              <w:t>[Januar 2015</w:t>
            </w:r>
          </w:p>
        </w:tc>
        <w:tc>
          <w:tcPr>
            <w:tcW w:w="2113" w:type="dxa"/>
            <w:vAlign w:val="center"/>
          </w:tcPr>
          <w:p w14:paraId="4D13F18F" w14:textId="77777777" w:rsidR="00F371AA" w:rsidRPr="00CA3519" w:rsidRDefault="00F371AA" w:rsidP="007F25C5">
            <w:pPr>
              <w:jc w:val="center"/>
              <w:rPr>
                <w:b/>
                <w:bCs/>
                <w:sz w:val="17"/>
                <w:szCs w:val="17"/>
              </w:rPr>
            </w:pPr>
            <w:r w:rsidRPr="00CA3519">
              <w:rPr>
                <w:sz w:val="17"/>
                <w:szCs w:val="17"/>
              </w:rPr>
              <w:t>15.01.2015 - Ausg. 1</w:t>
            </w:r>
          </w:p>
        </w:tc>
        <w:tc>
          <w:tcPr>
            <w:tcW w:w="1085" w:type="dxa"/>
            <w:vAlign w:val="center"/>
          </w:tcPr>
          <w:p w14:paraId="1126E55A" w14:textId="77777777" w:rsidR="00F371AA" w:rsidRPr="00CA3519" w:rsidRDefault="00F371AA" w:rsidP="007F25C5">
            <w:pPr>
              <w:jc w:val="center"/>
              <w:rPr>
                <w:b/>
                <w:bCs/>
                <w:sz w:val="17"/>
                <w:szCs w:val="17"/>
              </w:rPr>
            </w:pPr>
            <w:r w:rsidRPr="00CA3519">
              <w:rPr>
                <w:sz w:val="17"/>
                <w:szCs w:val="17"/>
              </w:rPr>
              <w:t>-0,057</w:t>
            </w:r>
          </w:p>
        </w:tc>
        <w:tc>
          <w:tcPr>
            <w:tcW w:w="1086" w:type="dxa"/>
            <w:vAlign w:val="center"/>
          </w:tcPr>
          <w:p w14:paraId="1C395E7A" w14:textId="77777777" w:rsidR="00F371AA" w:rsidRPr="00CA3519" w:rsidRDefault="00F371AA" w:rsidP="007F25C5">
            <w:pPr>
              <w:jc w:val="center"/>
              <w:rPr>
                <w:b/>
                <w:bCs/>
                <w:sz w:val="17"/>
                <w:szCs w:val="17"/>
              </w:rPr>
            </w:pPr>
            <w:r w:rsidRPr="00CA3519">
              <w:rPr>
                <w:sz w:val="17"/>
                <w:szCs w:val="17"/>
              </w:rPr>
              <w:t>-0,043</w:t>
            </w:r>
          </w:p>
        </w:tc>
        <w:tc>
          <w:tcPr>
            <w:tcW w:w="1085" w:type="dxa"/>
            <w:vAlign w:val="center"/>
          </w:tcPr>
          <w:p w14:paraId="5FEA2B4F" w14:textId="77777777" w:rsidR="00F371AA" w:rsidRPr="00CA3519" w:rsidRDefault="00F371AA" w:rsidP="007F25C5">
            <w:pPr>
              <w:jc w:val="center"/>
              <w:rPr>
                <w:b/>
                <w:bCs/>
                <w:sz w:val="17"/>
                <w:szCs w:val="17"/>
              </w:rPr>
            </w:pPr>
            <w:r w:rsidRPr="00CA3519">
              <w:rPr>
                <w:sz w:val="17"/>
                <w:szCs w:val="17"/>
              </w:rPr>
              <w:t>-0,010</w:t>
            </w:r>
          </w:p>
        </w:tc>
        <w:tc>
          <w:tcPr>
            <w:tcW w:w="1086" w:type="dxa"/>
            <w:vAlign w:val="center"/>
          </w:tcPr>
          <w:p w14:paraId="358C705C" w14:textId="77777777" w:rsidR="00F371AA" w:rsidRPr="00CA3519" w:rsidRDefault="00F371AA" w:rsidP="007F25C5">
            <w:pPr>
              <w:jc w:val="center"/>
              <w:rPr>
                <w:b/>
                <w:bCs/>
                <w:sz w:val="17"/>
                <w:szCs w:val="17"/>
              </w:rPr>
            </w:pPr>
            <w:r w:rsidRPr="00CA3519">
              <w:rPr>
                <w:sz w:val="17"/>
                <w:szCs w:val="17"/>
              </w:rPr>
              <w:t>0,058</w:t>
            </w:r>
          </w:p>
        </w:tc>
        <w:tc>
          <w:tcPr>
            <w:tcW w:w="1086" w:type="dxa"/>
            <w:vAlign w:val="center"/>
          </w:tcPr>
          <w:p w14:paraId="67BF3A28" w14:textId="77777777" w:rsidR="00F371AA" w:rsidRPr="00CA3519" w:rsidRDefault="00F371AA" w:rsidP="007F25C5">
            <w:pPr>
              <w:jc w:val="center"/>
              <w:rPr>
                <w:b/>
                <w:bCs/>
                <w:sz w:val="17"/>
                <w:szCs w:val="17"/>
              </w:rPr>
            </w:pPr>
            <w:r w:rsidRPr="00CA3519">
              <w:rPr>
                <w:sz w:val="17"/>
                <w:szCs w:val="17"/>
              </w:rPr>
              <w:t>0,161</w:t>
            </w:r>
          </w:p>
        </w:tc>
        <w:tc>
          <w:tcPr>
            <w:tcW w:w="1085" w:type="dxa"/>
            <w:vAlign w:val="center"/>
          </w:tcPr>
          <w:p w14:paraId="2E270E56" w14:textId="77777777" w:rsidR="00F371AA" w:rsidRPr="00CA3519" w:rsidRDefault="00F371AA" w:rsidP="007F25C5">
            <w:pPr>
              <w:jc w:val="center"/>
              <w:rPr>
                <w:b/>
                <w:bCs/>
                <w:sz w:val="17"/>
                <w:szCs w:val="17"/>
              </w:rPr>
            </w:pPr>
            <w:r w:rsidRPr="00CA3519">
              <w:rPr>
                <w:sz w:val="17"/>
                <w:szCs w:val="17"/>
              </w:rPr>
              <w:t>0,285</w:t>
            </w:r>
          </w:p>
        </w:tc>
        <w:tc>
          <w:tcPr>
            <w:tcW w:w="1086" w:type="dxa"/>
            <w:vAlign w:val="center"/>
          </w:tcPr>
          <w:p w14:paraId="2B5DD21C" w14:textId="77777777" w:rsidR="00F371AA" w:rsidRPr="00CA3519" w:rsidRDefault="00F371AA" w:rsidP="007F25C5">
            <w:pPr>
              <w:jc w:val="center"/>
              <w:rPr>
                <w:b/>
                <w:bCs/>
                <w:sz w:val="17"/>
                <w:szCs w:val="17"/>
              </w:rPr>
            </w:pPr>
            <w:r w:rsidRPr="00CA3519">
              <w:rPr>
                <w:sz w:val="17"/>
                <w:szCs w:val="17"/>
              </w:rPr>
              <w:t>0,423</w:t>
            </w:r>
          </w:p>
        </w:tc>
        <w:tc>
          <w:tcPr>
            <w:tcW w:w="1085" w:type="dxa"/>
            <w:vAlign w:val="center"/>
          </w:tcPr>
          <w:p w14:paraId="49523FFB" w14:textId="77777777" w:rsidR="00F371AA" w:rsidRPr="00CA3519" w:rsidRDefault="00F371AA" w:rsidP="007F25C5">
            <w:pPr>
              <w:jc w:val="center"/>
              <w:rPr>
                <w:b/>
                <w:bCs/>
                <w:sz w:val="17"/>
                <w:szCs w:val="17"/>
              </w:rPr>
            </w:pPr>
            <w:r w:rsidRPr="00CA3519">
              <w:rPr>
                <w:sz w:val="17"/>
                <w:szCs w:val="17"/>
              </w:rPr>
              <w:t>0,585</w:t>
            </w:r>
          </w:p>
        </w:tc>
        <w:tc>
          <w:tcPr>
            <w:tcW w:w="1086" w:type="dxa"/>
            <w:vAlign w:val="center"/>
          </w:tcPr>
          <w:p w14:paraId="736D68C8" w14:textId="77777777" w:rsidR="00F371AA" w:rsidRPr="00CA3519" w:rsidRDefault="00F371AA" w:rsidP="007F25C5">
            <w:pPr>
              <w:jc w:val="center"/>
              <w:rPr>
                <w:b/>
                <w:bCs/>
                <w:sz w:val="17"/>
                <w:szCs w:val="17"/>
              </w:rPr>
            </w:pPr>
            <w:r w:rsidRPr="00CA3519">
              <w:rPr>
                <w:sz w:val="17"/>
                <w:szCs w:val="17"/>
              </w:rPr>
              <w:t>0,755</w:t>
            </w:r>
          </w:p>
        </w:tc>
        <w:tc>
          <w:tcPr>
            <w:tcW w:w="1086" w:type="dxa"/>
            <w:vAlign w:val="center"/>
          </w:tcPr>
          <w:p w14:paraId="4759B060" w14:textId="77777777" w:rsidR="00F371AA" w:rsidRPr="00CA3519" w:rsidRDefault="00F371AA" w:rsidP="007F25C5">
            <w:pPr>
              <w:jc w:val="center"/>
              <w:rPr>
                <w:b/>
                <w:bCs/>
                <w:sz w:val="17"/>
                <w:szCs w:val="17"/>
              </w:rPr>
            </w:pPr>
            <w:r w:rsidRPr="00CA3519">
              <w:rPr>
                <w:sz w:val="17"/>
                <w:szCs w:val="17"/>
              </w:rPr>
              <w:t>0,911</w:t>
            </w:r>
          </w:p>
        </w:tc>
      </w:tr>
      <w:tr w:rsidR="00F371AA" w:rsidRPr="00CA3519" w14:paraId="4B0FA65A" w14:textId="77777777" w:rsidTr="007F25C5">
        <w:trPr>
          <w:trHeight w:val="397"/>
          <w:jc w:val="center"/>
        </w:trPr>
        <w:tc>
          <w:tcPr>
            <w:tcW w:w="2113" w:type="dxa"/>
            <w:vAlign w:val="center"/>
          </w:tcPr>
          <w:p w14:paraId="0A534589" w14:textId="77777777" w:rsidR="00F371AA" w:rsidRPr="00CA3519" w:rsidRDefault="00F371AA" w:rsidP="007F25C5">
            <w:pPr>
              <w:rPr>
                <w:sz w:val="17"/>
                <w:szCs w:val="17"/>
              </w:rPr>
            </w:pPr>
            <w:r w:rsidRPr="00CA3519">
              <w:rPr>
                <w:sz w:val="17"/>
                <w:szCs w:val="17"/>
              </w:rPr>
              <w:t>Februar 2015</w:t>
            </w:r>
          </w:p>
        </w:tc>
        <w:tc>
          <w:tcPr>
            <w:tcW w:w="2113" w:type="dxa"/>
            <w:vAlign w:val="center"/>
          </w:tcPr>
          <w:p w14:paraId="379F5D2E" w14:textId="77777777" w:rsidR="00F371AA" w:rsidRPr="00CA3519" w:rsidRDefault="00F371AA" w:rsidP="007F25C5">
            <w:pPr>
              <w:jc w:val="center"/>
              <w:rPr>
                <w:sz w:val="17"/>
                <w:szCs w:val="17"/>
              </w:rPr>
            </w:pPr>
            <w:r w:rsidRPr="00CA3519">
              <w:rPr>
                <w:sz w:val="17"/>
                <w:szCs w:val="17"/>
              </w:rPr>
              <w:t>20.02.2015 - Ausg. 2</w:t>
            </w:r>
          </w:p>
        </w:tc>
        <w:tc>
          <w:tcPr>
            <w:tcW w:w="1085" w:type="dxa"/>
            <w:vAlign w:val="center"/>
          </w:tcPr>
          <w:p w14:paraId="77C68154" w14:textId="77777777" w:rsidR="00F371AA" w:rsidRPr="00CA3519" w:rsidRDefault="00F371AA" w:rsidP="007F25C5">
            <w:pPr>
              <w:jc w:val="center"/>
              <w:rPr>
                <w:sz w:val="17"/>
                <w:szCs w:val="17"/>
              </w:rPr>
            </w:pPr>
            <w:r w:rsidRPr="00CA3519">
              <w:rPr>
                <w:sz w:val="17"/>
                <w:szCs w:val="17"/>
              </w:rPr>
              <w:t>-0,141</w:t>
            </w:r>
          </w:p>
        </w:tc>
        <w:tc>
          <w:tcPr>
            <w:tcW w:w="1086" w:type="dxa"/>
            <w:vAlign w:val="center"/>
          </w:tcPr>
          <w:p w14:paraId="155C68A2" w14:textId="77777777" w:rsidR="00F371AA" w:rsidRPr="00CA3519" w:rsidRDefault="00F371AA" w:rsidP="007F25C5">
            <w:pPr>
              <w:jc w:val="center"/>
              <w:rPr>
                <w:sz w:val="17"/>
                <w:szCs w:val="17"/>
              </w:rPr>
            </w:pPr>
            <w:r w:rsidRPr="00CA3519">
              <w:rPr>
                <w:sz w:val="17"/>
                <w:szCs w:val="17"/>
              </w:rPr>
              <w:t>-0,097</w:t>
            </w:r>
          </w:p>
        </w:tc>
        <w:tc>
          <w:tcPr>
            <w:tcW w:w="1085" w:type="dxa"/>
            <w:vAlign w:val="center"/>
          </w:tcPr>
          <w:p w14:paraId="1526BEBC" w14:textId="77777777" w:rsidR="00F371AA" w:rsidRPr="00CA3519" w:rsidRDefault="00F371AA" w:rsidP="007F25C5">
            <w:pPr>
              <w:jc w:val="center"/>
              <w:rPr>
                <w:sz w:val="17"/>
                <w:szCs w:val="17"/>
              </w:rPr>
            </w:pPr>
            <w:r w:rsidRPr="00CA3519">
              <w:rPr>
                <w:sz w:val="17"/>
                <w:szCs w:val="17"/>
              </w:rPr>
              <w:t>-0,053</w:t>
            </w:r>
          </w:p>
        </w:tc>
        <w:tc>
          <w:tcPr>
            <w:tcW w:w="1086" w:type="dxa"/>
            <w:vAlign w:val="center"/>
          </w:tcPr>
          <w:p w14:paraId="0A6FE866" w14:textId="77777777" w:rsidR="00F371AA" w:rsidRPr="00CA3519" w:rsidRDefault="00F371AA" w:rsidP="007F25C5">
            <w:pPr>
              <w:jc w:val="center"/>
              <w:rPr>
                <w:sz w:val="17"/>
                <w:szCs w:val="17"/>
              </w:rPr>
            </w:pPr>
            <w:r w:rsidRPr="00CA3519">
              <w:rPr>
                <w:sz w:val="17"/>
                <w:szCs w:val="17"/>
              </w:rPr>
              <w:t>-0,012</w:t>
            </w:r>
          </w:p>
        </w:tc>
        <w:tc>
          <w:tcPr>
            <w:tcW w:w="1086" w:type="dxa"/>
            <w:vAlign w:val="center"/>
          </w:tcPr>
          <w:p w14:paraId="02334A14" w14:textId="77777777" w:rsidR="00F371AA" w:rsidRPr="00CA3519" w:rsidRDefault="00F371AA" w:rsidP="007F25C5">
            <w:pPr>
              <w:jc w:val="center"/>
              <w:rPr>
                <w:sz w:val="17"/>
                <w:szCs w:val="17"/>
              </w:rPr>
            </w:pPr>
            <w:r w:rsidRPr="00CA3519">
              <w:rPr>
                <w:sz w:val="17"/>
                <w:szCs w:val="17"/>
              </w:rPr>
              <w:t>0,040</w:t>
            </w:r>
          </w:p>
        </w:tc>
        <w:tc>
          <w:tcPr>
            <w:tcW w:w="1085" w:type="dxa"/>
            <w:vAlign w:val="center"/>
          </w:tcPr>
          <w:p w14:paraId="04AD9D83" w14:textId="77777777" w:rsidR="00F371AA" w:rsidRPr="00CA3519" w:rsidRDefault="00F371AA" w:rsidP="007F25C5">
            <w:pPr>
              <w:jc w:val="center"/>
              <w:rPr>
                <w:sz w:val="17"/>
                <w:szCs w:val="17"/>
              </w:rPr>
            </w:pPr>
            <w:r w:rsidRPr="00CA3519">
              <w:rPr>
                <w:sz w:val="17"/>
                <w:szCs w:val="17"/>
              </w:rPr>
              <w:t>0,125</w:t>
            </w:r>
          </w:p>
        </w:tc>
        <w:tc>
          <w:tcPr>
            <w:tcW w:w="1086" w:type="dxa"/>
            <w:vAlign w:val="center"/>
          </w:tcPr>
          <w:p w14:paraId="13805F92" w14:textId="77777777" w:rsidR="00F371AA" w:rsidRPr="00CA3519" w:rsidRDefault="00F371AA" w:rsidP="007F25C5">
            <w:pPr>
              <w:jc w:val="center"/>
              <w:rPr>
                <w:sz w:val="17"/>
                <w:szCs w:val="17"/>
              </w:rPr>
            </w:pPr>
            <w:r w:rsidRPr="00CA3519">
              <w:rPr>
                <w:sz w:val="17"/>
                <w:szCs w:val="17"/>
              </w:rPr>
              <w:t>0,245</w:t>
            </w:r>
          </w:p>
        </w:tc>
        <w:tc>
          <w:tcPr>
            <w:tcW w:w="1085" w:type="dxa"/>
            <w:vAlign w:val="center"/>
          </w:tcPr>
          <w:p w14:paraId="3EDF1841" w14:textId="77777777" w:rsidR="00F371AA" w:rsidRPr="00CA3519" w:rsidRDefault="00F371AA" w:rsidP="007F25C5">
            <w:pPr>
              <w:jc w:val="center"/>
              <w:rPr>
                <w:sz w:val="17"/>
                <w:szCs w:val="17"/>
              </w:rPr>
            </w:pPr>
            <w:r w:rsidRPr="00CA3519">
              <w:rPr>
                <w:sz w:val="17"/>
                <w:szCs w:val="17"/>
              </w:rPr>
              <w:t>0,381</w:t>
            </w:r>
          </w:p>
        </w:tc>
        <w:tc>
          <w:tcPr>
            <w:tcW w:w="1086" w:type="dxa"/>
            <w:vAlign w:val="center"/>
          </w:tcPr>
          <w:p w14:paraId="0FB2575C" w14:textId="77777777" w:rsidR="00F371AA" w:rsidRPr="00CA3519" w:rsidRDefault="00F371AA" w:rsidP="007F25C5">
            <w:pPr>
              <w:jc w:val="center"/>
              <w:rPr>
                <w:sz w:val="17"/>
                <w:szCs w:val="17"/>
              </w:rPr>
            </w:pPr>
            <w:r w:rsidRPr="00CA3519">
              <w:rPr>
                <w:sz w:val="17"/>
                <w:szCs w:val="17"/>
              </w:rPr>
              <w:t>0,520</w:t>
            </w:r>
          </w:p>
        </w:tc>
        <w:tc>
          <w:tcPr>
            <w:tcW w:w="1086" w:type="dxa"/>
            <w:vAlign w:val="center"/>
          </w:tcPr>
          <w:p w14:paraId="47CE2935" w14:textId="77777777" w:rsidR="00F371AA" w:rsidRPr="00CA3519" w:rsidRDefault="00F371AA" w:rsidP="007F25C5">
            <w:pPr>
              <w:jc w:val="center"/>
              <w:rPr>
                <w:sz w:val="17"/>
                <w:szCs w:val="17"/>
              </w:rPr>
            </w:pPr>
            <w:r w:rsidRPr="00CA3519">
              <w:rPr>
                <w:sz w:val="17"/>
                <w:szCs w:val="17"/>
              </w:rPr>
              <w:t>0,648</w:t>
            </w:r>
          </w:p>
        </w:tc>
      </w:tr>
      <w:tr w:rsidR="00F371AA" w:rsidRPr="00CA3519" w14:paraId="5D43AEC3" w14:textId="77777777" w:rsidTr="007F25C5">
        <w:trPr>
          <w:trHeight w:val="397"/>
          <w:jc w:val="center"/>
        </w:trPr>
        <w:tc>
          <w:tcPr>
            <w:tcW w:w="2113" w:type="dxa"/>
            <w:vAlign w:val="center"/>
          </w:tcPr>
          <w:p w14:paraId="326DAB34" w14:textId="77777777" w:rsidR="00F371AA" w:rsidRPr="00CA3519" w:rsidRDefault="00F371AA" w:rsidP="007F25C5">
            <w:pPr>
              <w:rPr>
                <w:sz w:val="17"/>
                <w:szCs w:val="17"/>
              </w:rPr>
            </w:pPr>
            <w:r w:rsidRPr="00CA3519">
              <w:rPr>
                <w:sz w:val="17"/>
                <w:szCs w:val="17"/>
              </w:rPr>
              <w:t>März 2015</w:t>
            </w:r>
          </w:p>
        </w:tc>
        <w:tc>
          <w:tcPr>
            <w:tcW w:w="2113" w:type="dxa"/>
            <w:vAlign w:val="center"/>
          </w:tcPr>
          <w:p w14:paraId="344DC1EF" w14:textId="77777777" w:rsidR="00F371AA" w:rsidRPr="00CA3519" w:rsidRDefault="00F371AA" w:rsidP="007F25C5">
            <w:pPr>
              <w:jc w:val="center"/>
              <w:rPr>
                <w:sz w:val="17"/>
                <w:szCs w:val="17"/>
              </w:rPr>
            </w:pPr>
            <w:r w:rsidRPr="00CA3519">
              <w:rPr>
                <w:sz w:val="17"/>
                <w:szCs w:val="17"/>
              </w:rPr>
              <w:t>16.03.2015 - Ausg. 1</w:t>
            </w:r>
          </w:p>
        </w:tc>
        <w:tc>
          <w:tcPr>
            <w:tcW w:w="1085" w:type="dxa"/>
            <w:vAlign w:val="center"/>
          </w:tcPr>
          <w:p w14:paraId="2615B1B6" w14:textId="77777777" w:rsidR="00F371AA" w:rsidRPr="00CA3519" w:rsidRDefault="00F371AA" w:rsidP="007F25C5">
            <w:pPr>
              <w:jc w:val="center"/>
              <w:rPr>
                <w:sz w:val="17"/>
                <w:szCs w:val="17"/>
              </w:rPr>
            </w:pPr>
            <w:r w:rsidRPr="00CA3519">
              <w:rPr>
                <w:sz w:val="17"/>
                <w:szCs w:val="17"/>
              </w:rPr>
              <w:t>-0,131</w:t>
            </w:r>
          </w:p>
        </w:tc>
        <w:tc>
          <w:tcPr>
            <w:tcW w:w="1086" w:type="dxa"/>
            <w:vAlign w:val="center"/>
          </w:tcPr>
          <w:p w14:paraId="294F5C53" w14:textId="77777777" w:rsidR="00F371AA" w:rsidRPr="00CA3519" w:rsidRDefault="00F371AA" w:rsidP="007F25C5">
            <w:pPr>
              <w:jc w:val="center"/>
              <w:rPr>
                <w:sz w:val="17"/>
                <w:szCs w:val="17"/>
              </w:rPr>
            </w:pPr>
            <w:r w:rsidRPr="00CA3519">
              <w:rPr>
                <w:sz w:val="17"/>
                <w:szCs w:val="17"/>
              </w:rPr>
              <w:t>-0,115</w:t>
            </w:r>
          </w:p>
        </w:tc>
        <w:tc>
          <w:tcPr>
            <w:tcW w:w="1085" w:type="dxa"/>
            <w:vAlign w:val="center"/>
          </w:tcPr>
          <w:p w14:paraId="6495A162" w14:textId="77777777" w:rsidR="00F371AA" w:rsidRPr="00CA3519" w:rsidRDefault="00F371AA" w:rsidP="007F25C5">
            <w:pPr>
              <w:jc w:val="center"/>
              <w:rPr>
                <w:sz w:val="17"/>
                <w:szCs w:val="17"/>
              </w:rPr>
            </w:pPr>
            <w:r w:rsidRPr="00CA3519">
              <w:rPr>
                <w:sz w:val="17"/>
                <w:szCs w:val="17"/>
              </w:rPr>
              <w:t>-0,091</w:t>
            </w:r>
          </w:p>
        </w:tc>
        <w:tc>
          <w:tcPr>
            <w:tcW w:w="1086" w:type="dxa"/>
            <w:vAlign w:val="center"/>
          </w:tcPr>
          <w:p w14:paraId="5B5D2682" w14:textId="77777777" w:rsidR="00F371AA" w:rsidRPr="00CA3519" w:rsidRDefault="00F371AA" w:rsidP="007F25C5">
            <w:pPr>
              <w:jc w:val="center"/>
              <w:rPr>
                <w:sz w:val="17"/>
                <w:szCs w:val="17"/>
              </w:rPr>
            </w:pPr>
            <w:r w:rsidRPr="00CA3519">
              <w:rPr>
                <w:sz w:val="17"/>
                <w:szCs w:val="17"/>
              </w:rPr>
              <w:t>-0,057</w:t>
            </w:r>
          </w:p>
        </w:tc>
        <w:tc>
          <w:tcPr>
            <w:tcW w:w="1086" w:type="dxa"/>
            <w:vAlign w:val="center"/>
          </w:tcPr>
          <w:p w14:paraId="1F9B3760" w14:textId="77777777" w:rsidR="00F371AA" w:rsidRPr="00CA3519" w:rsidRDefault="00F371AA" w:rsidP="007F25C5">
            <w:pPr>
              <w:jc w:val="center"/>
              <w:rPr>
                <w:sz w:val="17"/>
                <w:szCs w:val="17"/>
              </w:rPr>
            </w:pPr>
            <w:r w:rsidRPr="00CA3519">
              <w:rPr>
                <w:sz w:val="17"/>
                <w:szCs w:val="17"/>
              </w:rPr>
              <w:t>-0,001</w:t>
            </w:r>
          </w:p>
        </w:tc>
        <w:tc>
          <w:tcPr>
            <w:tcW w:w="1085" w:type="dxa"/>
            <w:vAlign w:val="center"/>
          </w:tcPr>
          <w:p w14:paraId="20A811CD" w14:textId="77777777" w:rsidR="00F371AA" w:rsidRPr="00CA3519" w:rsidRDefault="00F371AA" w:rsidP="007F25C5">
            <w:pPr>
              <w:jc w:val="center"/>
              <w:rPr>
                <w:sz w:val="17"/>
                <w:szCs w:val="17"/>
              </w:rPr>
            </w:pPr>
            <w:r w:rsidRPr="00CA3519">
              <w:rPr>
                <w:sz w:val="17"/>
                <w:szCs w:val="17"/>
              </w:rPr>
              <w:t>0,082</w:t>
            </w:r>
          </w:p>
        </w:tc>
        <w:tc>
          <w:tcPr>
            <w:tcW w:w="1086" w:type="dxa"/>
            <w:vAlign w:val="center"/>
          </w:tcPr>
          <w:p w14:paraId="6ABFBA97" w14:textId="77777777" w:rsidR="00F371AA" w:rsidRPr="00CA3519" w:rsidRDefault="00F371AA" w:rsidP="007F25C5">
            <w:pPr>
              <w:jc w:val="center"/>
              <w:rPr>
                <w:sz w:val="17"/>
                <w:szCs w:val="17"/>
              </w:rPr>
            </w:pPr>
            <w:r w:rsidRPr="00CA3519">
              <w:rPr>
                <w:sz w:val="17"/>
                <w:szCs w:val="17"/>
              </w:rPr>
              <w:t>0,191</w:t>
            </w:r>
          </w:p>
        </w:tc>
        <w:tc>
          <w:tcPr>
            <w:tcW w:w="1085" w:type="dxa"/>
            <w:vAlign w:val="center"/>
          </w:tcPr>
          <w:p w14:paraId="586619E1" w14:textId="77777777" w:rsidR="00F371AA" w:rsidRPr="00CA3519" w:rsidRDefault="00F371AA" w:rsidP="007F25C5">
            <w:pPr>
              <w:jc w:val="center"/>
              <w:rPr>
                <w:sz w:val="17"/>
                <w:szCs w:val="17"/>
              </w:rPr>
            </w:pPr>
            <w:r w:rsidRPr="00CA3519">
              <w:rPr>
                <w:sz w:val="17"/>
                <w:szCs w:val="17"/>
              </w:rPr>
              <w:t>0,318</w:t>
            </w:r>
          </w:p>
        </w:tc>
        <w:tc>
          <w:tcPr>
            <w:tcW w:w="1086" w:type="dxa"/>
            <w:vAlign w:val="center"/>
          </w:tcPr>
          <w:p w14:paraId="5FFBC393" w14:textId="77777777" w:rsidR="00F371AA" w:rsidRPr="00CA3519" w:rsidRDefault="00F371AA" w:rsidP="007F25C5">
            <w:pPr>
              <w:jc w:val="center"/>
              <w:rPr>
                <w:sz w:val="17"/>
                <w:szCs w:val="17"/>
              </w:rPr>
            </w:pPr>
            <w:r w:rsidRPr="00CA3519">
              <w:rPr>
                <w:sz w:val="17"/>
                <w:szCs w:val="17"/>
              </w:rPr>
              <w:t>0,448</w:t>
            </w:r>
          </w:p>
        </w:tc>
        <w:tc>
          <w:tcPr>
            <w:tcW w:w="1086" w:type="dxa"/>
            <w:vAlign w:val="center"/>
          </w:tcPr>
          <w:p w14:paraId="588ABB63" w14:textId="77777777" w:rsidR="00F371AA" w:rsidRPr="00CA3519" w:rsidRDefault="00F371AA" w:rsidP="007F25C5">
            <w:pPr>
              <w:jc w:val="center"/>
              <w:rPr>
                <w:sz w:val="17"/>
                <w:szCs w:val="17"/>
              </w:rPr>
            </w:pPr>
            <w:r w:rsidRPr="00CA3519">
              <w:rPr>
                <w:sz w:val="17"/>
                <w:szCs w:val="17"/>
              </w:rPr>
              <w:t>0,573</w:t>
            </w:r>
          </w:p>
        </w:tc>
      </w:tr>
      <w:tr w:rsidR="00F371AA" w:rsidRPr="00CA3519" w14:paraId="7243931C" w14:textId="77777777" w:rsidTr="007F25C5">
        <w:trPr>
          <w:trHeight w:val="397"/>
          <w:jc w:val="center"/>
        </w:trPr>
        <w:tc>
          <w:tcPr>
            <w:tcW w:w="2113" w:type="dxa"/>
            <w:vAlign w:val="center"/>
          </w:tcPr>
          <w:p w14:paraId="08945AF7" w14:textId="77777777" w:rsidR="00F371AA" w:rsidRPr="00CA3519" w:rsidRDefault="00F371AA" w:rsidP="007F25C5">
            <w:pPr>
              <w:rPr>
                <w:sz w:val="17"/>
                <w:szCs w:val="17"/>
              </w:rPr>
            </w:pPr>
            <w:r w:rsidRPr="00CA3519">
              <w:rPr>
                <w:sz w:val="17"/>
                <w:szCs w:val="17"/>
              </w:rPr>
              <w:t>April 2015</w:t>
            </w:r>
          </w:p>
        </w:tc>
        <w:tc>
          <w:tcPr>
            <w:tcW w:w="2113" w:type="dxa"/>
            <w:vAlign w:val="center"/>
          </w:tcPr>
          <w:p w14:paraId="3E726D54" w14:textId="77777777" w:rsidR="00F371AA" w:rsidRPr="00CA3519" w:rsidRDefault="00F371AA" w:rsidP="007F25C5">
            <w:pPr>
              <w:jc w:val="center"/>
              <w:rPr>
                <w:sz w:val="17"/>
                <w:szCs w:val="17"/>
              </w:rPr>
            </w:pPr>
            <w:r w:rsidRPr="00CA3519">
              <w:rPr>
                <w:sz w:val="17"/>
                <w:szCs w:val="17"/>
              </w:rPr>
              <w:t>16.04.2015 - Ausg. 1</w:t>
            </w:r>
          </w:p>
        </w:tc>
        <w:tc>
          <w:tcPr>
            <w:tcW w:w="1085" w:type="dxa"/>
            <w:vAlign w:val="center"/>
          </w:tcPr>
          <w:p w14:paraId="46D900D0" w14:textId="77777777" w:rsidR="00F371AA" w:rsidRPr="00CA3519" w:rsidRDefault="00F371AA" w:rsidP="007F25C5">
            <w:pPr>
              <w:jc w:val="center"/>
              <w:rPr>
                <w:sz w:val="17"/>
                <w:szCs w:val="17"/>
              </w:rPr>
            </w:pPr>
            <w:r w:rsidRPr="00CA3519">
              <w:rPr>
                <w:sz w:val="17"/>
                <w:szCs w:val="17"/>
              </w:rPr>
              <w:t>-0,168</w:t>
            </w:r>
          </w:p>
        </w:tc>
        <w:tc>
          <w:tcPr>
            <w:tcW w:w="1086" w:type="dxa"/>
            <w:vAlign w:val="center"/>
          </w:tcPr>
          <w:p w14:paraId="0E01087A" w14:textId="77777777" w:rsidR="00F371AA" w:rsidRPr="00CA3519" w:rsidRDefault="00F371AA" w:rsidP="007F25C5">
            <w:pPr>
              <w:jc w:val="center"/>
              <w:rPr>
                <w:sz w:val="17"/>
                <w:szCs w:val="17"/>
              </w:rPr>
            </w:pPr>
            <w:r w:rsidRPr="00CA3519">
              <w:rPr>
                <w:sz w:val="17"/>
                <w:szCs w:val="17"/>
              </w:rPr>
              <w:t>-0,154</w:t>
            </w:r>
          </w:p>
        </w:tc>
        <w:tc>
          <w:tcPr>
            <w:tcW w:w="1085" w:type="dxa"/>
            <w:vAlign w:val="center"/>
          </w:tcPr>
          <w:p w14:paraId="58AEECC9" w14:textId="77777777" w:rsidR="00F371AA" w:rsidRPr="00CA3519" w:rsidRDefault="00F371AA" w:rsidP="007F25C5">
            <w:pPr>
              <w:jc w:val="center"/>
              <w:rPr>
                <w:sz w:val="17"/>
                <w:szCs w:val="17"/>
              </w:rPr>
            </w:pPr>
            <w:r w:rsidRPr="00CA3519">
              <w:rPr>
                <w:sz w:val="17"/>
                <w:szCs w:val="17"/>
              </w:rPr>
              <w:t>-0,133</w:t>
            </w:r>
          </w:p>
        </w:tc>
        <w:tc>
          <w:tcPr>
            <w:tcW w:w="1086" w:type="dxa"/>
            <w:vAlign w:val="center"/>
          </w:tcPr>
          <w:p w14:paraId="49BECB43" w14:textId="77777777" w:rsidR="00F371AA" w:rsidRPr="00CA3519" w:rsidRDefault="00F371AA" w:rsidP="007F25C5">
            <w:pPr>
              <w:jc w:val="center"/>
              <w:rPr>
                <w:sz w:val="17"/>
                <w:szCs w:val="17"/>
              </w:rPr>
            </w:pPr>
            <w:r w:rsidRPr="00CA3519">
              <w:rPr>
                <w:sz w:val="17"/>
                <w:szCs w:val="17"/>
              </w:rPr>
              <w:t>-0,096</w:t>
            </w:r>
          </w:p>
        </w:tc>
        <w:tc>
          <w:tcPr>
            <w:tcW w:w="1086" w:type="dxa"/>
            <w:vAlign w:val="center"/>
          </w:tcPr>
          <w:p w14:paraId="3788A6ED" w14:textId="77777777" w:rsidR="00F371AA" w:rsidRPr="00CA3519" w:rsidRDefault="00F371AA" w:rsidP="007F25C5">
            <w:pPr>
              <w:jc w:val="center"/>
              <w:rPr>
                <w:sz w:val="17"/>
                <w:szCs w:val="17"/>
              </w:rPr>
            </w:pPr>
            <w:r w:rsidRPr="00CA3519">
              <w:rPr>
                <w:sz w:val="17"/>
                <w:szCs w:val="17"/>
              </w:rPr>
              <w:t>-0,043</w:t>
            </w:r>
          </w:p>
        </w:tc>
        <w:tc>
          <w:tcPr>
            <w:tcW w:w="1085" w:type="dxa"/>
            <w:vAlign w:val="center"/>
          </w:tcPr>
          <w:p w14:paraId="1078A6EB" w14:textId="77777777" w:rsidR="00F371AA" w:rsidRPr="00CA3519" w:rsidRDefault="00F371AA" w:rsidP="007F25C5">
            <w:pPr>
              <w:jc w:val="center"/>
              <w:rPr>
                <w:sz w:val="17"/>
                <w:szCs w:val="17"/>
              </w:rPr>
            </w:pPr>
            <w:r w:rsidRPr="00CA3519">
              <w:rPr>
                <w:sz w:val="17"/>
                <w:szCs w:val="17"/>
              </w:rPr>
              <w:t>0,030</w:t>
            </w:r>
          </w:p>
        </w:tc>
        <w:tc>
          <w:tcPr>
            <w:tcW w:w="1086" w:type="dxa"/>
            <w:vAlign w:val="center"/>
          </w:tcPr>
          <w:p w14:paraId="7FA85085" w14:textId="77777777" w:rsidR="00F371AA" w:rsidRPr="00CA3519" w:rsidRDefault="00F371AA" w:rsidP="007F25C5">
            <w:pPr>
              <w:jc w:val="center"/>
              <w:rPr>
                <w:sz w:val="17"/>
                <w:szCs w:val="17"/>
              </w:rPr>
            </w:pPr>
            <w:r w:rsidRPr="00CA3519">
              <w:rPr>
                <w:sz w:val="17"/>
                <w:szCs w:val="17"/>
              </w:rPr>
              <w:t>0,121</w:t>
            </w:r>
          </w:p>
        </w:tc>
        <w:tc>
          <w:tcPr>
            <w:tcW w:w="1085" w:type="dxa"/>
            <w:vAlign w:val="center"/>
          </w:tcPr>
          <w:p w14:paraId="772605A2" w14:textId="77777777" w:rsidR="00F371AA" w:rsidRPr="00CA3519" w:rsidRDefault="00F371AA" w:rsidP="007F25C5">
            <w:pPr>
              <w:jc w:val="center"/>
              <w:rPr>
                <w:sz w:val="17"/>
                <w:szCs w:val="17"/>
              </w:rPr>
            </w:pPr>
            <w:r w:rsidRPr="00CA3519">
              <w:rPr>
                <w:sz w:val="17"/>
                <w:szCs w:val="17"/>
              </w:rPr>
              <w:t>0,220</w:t>
            </w:r>
          </w:p>
        </w:tc>
        <w:tc>
          <w:tcPr>
            <w:tcW w:w="1086" w:type="dxa"/>
            <w:vAlign w:val="center"/>
          </w:tcPr>
          <w:p w14:paraId="08B319DB" w14:textId="77777777" w:rsidR="00F371AA" w:rsidRPr="00CA3519" w:rsidRDefault="00F371AA" w:rsidP="007F25C5">
            <w:pPr>
              <w:jc w:val="center"/>
              <w:rPr>
                <w:sz w:val="17"/>
                <w:szCs w:val="17"/>
              </w:rPr>
            </w:pPr>
            <w:r w:rsidRPr="00CA3519">
              <w:rPr>
                <w:sz w:val="17"/>
                <w:szCs w:val="17"/>
              </w:rPr>
              <w:t>0,322</w:t>
            </w:r>
          </w:p>
        </w:tc>
        <w:tc>
          <w:tcPr>
            <w:tcW w:w="1086" w:type="dxa"/>
            <w:vAlign w:val="center"/>
          </w:tcPr>
          <w:p w14:paraId="59F39FBA" w14:textId="77777777" w:rsidR="00F371AA" w:rsidRPr="00CA3519" w:rsidRDefault="00F371AA" w:rsidP="007F25C5">
            <w:pPr>
              <w:jc w:val="center"/>
              <w:rPr>
                <w:sz w:val="17"/>
                <w:szCs w:val="17"/>
              </w:rPr>
            </w:pPr>
            <w:r w:rsidRPr="00CA3519">
              <w:rPr>
                <w:sz w:val="17"/>
                <w:szCs w:val="17"/>
              </w:rPr>
              <w:t>0,418</w:t>
            </w:r>
          </w:p>
        </w:tc>
      </w:tr>
      <w:tr w:rsidR="00F371AA" w:rsidRPr="00CA3519" w14:paraId="77871309" w14:textId="77777777" w:rsidTr="007F25C5">
        <w:trPr>
          <w:trHeight w:val="397"/>
          <w:jc w:val="center"/>
        </w:trPr>
        <w:tc>
          <w:tcPr>
            <w:tcW w:w="2113" w:type="dxa"/>
            <w:vAlign w:val="center"/>
          </w:tcPr>
          <w:p w14:paraId="256F92A2" w14:textId="77777777" w:rsidR="00F371AA" w:rsidRPr="00CA3519" w:rsidRDefault="00F371AA" w:rsidP="007F25C5">
            <w:pPr>
              <w:rPr>
                <w:sz w:val="17"/>
                <w:szCs w:val="17"/>
              </w:rPr>
            </w:pPr>
            <w:r w:rsidRPr="00CA3519">
              <w:rPr>
                <w:sz w:val="17"/>
                <w:szCs w:val="17"/>
              </w:rPr>
              <w:t>Mai 2015</w:t>
            </w:r>
          </w:p>
        </w:tc>
        <w:tc>
          <w:tcPr>
            <w:tcW w:w="2113" w:type="dxa"/>
            <w:vAlign w:val="center"/>
          </w:tcPr>
          <w:p w14:paraId="44591543" w14:textId="77777777" w:rsidR="00F371AA" w:rsidRPr="00CA3519" w:rsidRDefault="00F371AA" w:rsidP="007F25C5">
            <w:pPr>
              <w:jc w:val="center"/>
              <w:rPr>
                <w:sz w:val="17"/>
                <w:szCs w:val="17"/>
              </w:rPr>
            </w:pPr>
            <w:r w:rsidRPr="00CA3519">
              <w:rPr>
                <w:sz w:val="17"/>
                <w:szCs w:val="17"/>
              </w:rPr>
              <w:t>13.05.2015 - Ausg. 1</w:t>
            </w:r>
          </w:p>
        </w:tc>
        <w:tc>
          <w:tcPr>
            <w:tcW w:w="1085" w:type="dxa"/>
            <w:vAlign w:val="center"/>
          </w:tcPr>
          <w:p w14:paraId="28917EF6" w14:textId="77777777" w:rsidR="00F371AA" w:rsidRPr="00CA3519" w:rsidRDefault="00F371AA" w:rsidP="007F25C5">
            <w:pPr>
              <w:jc w:val="center"/>
              <w:rPr>
                <w:sz w:val="17"/>
                <w:szCs w:val="17"/>
              </w:rPr>
            </w:pPr>
            <w:r w:rsidRPr="00CA3519">
              <w:rPr>
                <w:sz w:val="17"/>
                <w:szCs w:val="17"/>
              </w:rPr>
              <w:t>-0,191</w:t>
            </w:r>
          </w:p>
        </w:tc>
        <w:tc>
          <w:tcPr>
            <w:tcW w:w="1086" w:type="dxa"/>
            <w:vAlign w:val="center"/>
          </w:tcPr>
          <w:p w14:paraId="70C0721D" w14:textId="77777777" w:rsidR="00F371AA" w:rsidRPr="00CA3519" w:rsidRDefault="00F371AA" w:rsidP="007F25C5">
            <w:pPr>
              <w:jc w:val="center"/>
              <w:rPr>
                <w:sz w:val="17"/>
                <w:szCs w:val="17"/>
              </w:rPr>
            </w:pPr>
            <w:r w:rsidRPr="00CA3519">
              <w:rPr>
                <w:sz w:val="17"/>
                <w:szCs w:val="17"/>
              </w:rPr>
              <w:t>-0,175</w:t>
            </w:r>
          </w:p>
        </w:tc>
        <w:tc>
          <w:tcPr>
            <w:tcW w:w="1085" w:type="dxa"/>
            <w:vAlign w:val="center"/>
          </w:tcPr>
          <w:p w14:paraId="21E6BF11" w14:textId="77777777" w:rsidR="00F371AA" w:rsidRPr="00CA3519" w:rsidRDefault="00F371AA" w:rsidP="007F25C5">
            <w:pPr>
              <w:jc w:val="center"/>
              <w:rPr>
                <w:sz w:val="17"/>
                <w:szCs w:val="17"/>
              </w:rPr>
            </w:pPr>
            <w:r w:rsidRPr="00CA3519">
              <w:rPr>
                <w:sz w:val="17"/>
                <w:szCs w:val="17"/>
              </w:rPr>
              <w:t>-0,140</w:t>
            </w:r>
          </w:p>
        </w:tc>
        <w:tc>
          <w:tcPr>
            <w:tcW w:w="1086" w:type="dxa"/>
            <w:vAlign w:val="center"/>
          </w:tcPr>
          <w:p w14:paraId="2C3CC4D2" w14:textId="77777777" w:rsidR="00F371AA" w:rsidRPr="00CA3519" w:rsidRDefault="00F371AA" w:rsidP="007F25C5">
            <w:pPr>
              <w:jc w:val="center"/>
              <w:rPr>
                <w:sz w:val="17"/>
                <w:szCs w:val="17"/>
              </w:rPr>
            </w:pPr>
            <w:r w:rsidRPr="00CA3519">
              <w:rPr>
                <w:sz w:val="17"/>
                <w:szCs w:val="17"/>
              </w:rPr>
              <w:t>-0,081</w:t>
            </w:r>
          </w:p>
        </w:tc>
        <w:tc>
          <w:tcPr>
            <w:tcW w:w="1086" w:type="dxa"/>
            <w:vAlign w:val="center"/>
          </w:tcPr>
          <w:p w14:paraId="3257775E" w14:textId="77777777" w:rsidR="00F371AA" w:rsidRPr="00CA3519" w:rsidRDefault="00F371AA" w:rsidP="007F25C5">
            <w:pPr>
              <w:jc w:val="center"/>
              <w:rPr>
                <w:sz w:val="17"/>
                <w:szCs w:val="17"/>
              </w:rPr>
            </w:pPr>
            <w:r w:rsidRPr="00CA3519">
              <w:rPr>
                <w:sz w:val="17"/>
                <w:szCs w:val="17"/>
              </w:rPr>
              <w:t>-0,005</w:t>
            </w:r>
          </w:p>
        </w:tc>
        <w:tc>
          <w:tcPr>
            <w:tcW w:w="1085" w:type="dxa"/>
            <w:vAlign w:val="center"/>
          </w:tcPr>
          <w:p w14:paraId="608B2B23" w14:textId="77777777" w:rsidR="00F371AA" w:rsidRPr="00CA3519" w:rsidRDefault="00F371AA" w:rsidP="007F25C5">
            <w:pPr>
              <w:jc w:val="center"/>
              <w:rPr>
                <w:sz w:val="17"/>
                <w:szCs w:val="17"/>
              </w:rPr>
            </w:pPr>
            <w:r w:rsidRPr="00CA3519">
              <w:rPr>
                <w:sz w:val="17"/>
                <w:szCs w:val="17"/>
              </w:rPr>
              <w:t>0,082</w:t>
            </w:r>
          </w:p>
        </w:tc>
        <w:tc>
          <w:tcPr>
            <w:tcW w:w="1086" w:type="dxa"/>
            <w:vAlign w:val="center"/>
          </w:tcPr>
          <w:p w14:paraId="5602BD53" w14:textId="77777777" w:rsidR="00F371AA" w:rsidRPr="00CA3519" w:rsidRDefault="00F371AA" w:rsidP="007F25C5">
            <w:pPr>
              <w:jc w:val="center"/>
              <w:rPr>
                <w:sz w:val="17"/>
                <w:szCs w:val="17"/>
              </w:rPr>
            </w:pPr>
            <w:r w:rsidRPr="00CA3519">
              <w:rPr>
                <w:sz w:val="17"/>
                <w:szCs w:val="17"/>
              </w:rPr>
              <w:t>0,179</w:t>
            </w:r>
          </w:p>
        </w:tc>
        <w:tc>
          <w:tcPr>
            <w:tcW w:w="1085" w:type="dxa"/>
            <w:vAlign w:val="center"/>
          </w:tcPr>
          <w:p w14:paraId="4225EA4D" w14:textId="77777777" w:rsidR="00F371AA" w:rsidRPr="00CA3519" w:rsidRDefault="00F371AA" w:rsidP="007F25C5">
            <w:pPr>
              <w:jc w:val="center"/>
              <w:rPr>
                <w:sz w:val="17"/>
                <w:szCs w:val="17"/>
              </w:rPr>
            </w:pPr>
            <w:r w:rsidRPr="00CA3519">
              <w:rPr>
                <w:sz w:val="17"/>
                <w:szCs w:val="17"/>
              </w:rPr>
              <w:t>0,286</w:t>
            </w:r>
          </w:p>
        </w:tc>
        <w:tc>
          <w:tcPr>
            <w:tcW w:w="1086" w:type="dxa"/>
            <w:vAlign w:val="center"/>
          </w:tcPr>
          <w:p w14:paraId="439A5AF2" w14:textId="77777777" w:rsidR="00F371AA" w:rsidRPr="00CA3519" w:rsidRDefault="00F371AA" w:rsidP="007F25C5">
            <w:pPr>
              <w:jc w:val="center"/>
              <w:rPr>
                <w:sz w:val="17"/>
                <w:szCs w:val="17"/>
              </w:rPr>
            </w:pPr>
            <w:r w:rsidRPr="00CA3519">
              <w:rPr>
                <w:sz w:val="17"/>
                <w:szCs w:val="17"/>
              </w:rPr>
              <w:t>0,396</w:t>
            </w:r>
          </w:p>
        </w:tc>
        <w:tc>
          <w:tcPr>
            <w:tcW w:w="1086" w:type="dxa"/>
            <w:vAlign w:val="center"/>
          </w:tcPr>
          <w:p w14:paraId="139FE0FD" w14:textId="77777777" w:rsidR="00F371AA" w:rsidRPr="00CA3519" w:rsidRDefault="00F371AA" w:rsidP="007F25C5">
            <w:pPr>
              <w:jc w:val="center"/>
              <w:rPr>
                <w:sz w:val="17"/>
                <w:szCs w:val="17"/>
              </w:rPr>
            </w:pPr>
            <w:r w:rsidRPr="00CA3519">
              <w:rPr>
                <w:sz w:val="17"/>
                <w:szCs w:val="17"/>
              </w:rPr>
              <w:t>0,502</w:t>
            </w:r>
          </w:p>
        </w:tc>
      </w:tr>
      <w:tr w:rsidR="00F371AA" w:rsidRPr="00CA3519" w14:paraId="07E5F829" w14:textId="77777777" w:rsidTr="007F25C5">
        <w:trPr>
          <w:trHeight w:val="397"/>
          <w:jc w:val="center"/>
        </w:trPr>
        <w:tc>
          <w:tcPr>
            <w:tcW w:w="2113" w:type="dxa"/>
            <w:vAlign w:val="center"/>
          </w:tcPr>
          <w:p w14:paraId="13F24B44" w14:textId="77777777" w:rsidR="00F371AA" w:rsidRPr="00CA3519" w:rsidRDefault="00F371AA" w:rsidP="007F25C5">
            <w:pPr>
              <w:rPr>
                <w:sz w:val="17"/>
                <w:szCs w:val="17"/>
              </w:rPr>
            </w:pPr>
            <w:r w:rsidRPr="00CA3519">
              <w:rPr>
                <w:sz w:val="17"/>
                <w:szCs w:val="17"/>
              </w:rPr>
              <w:t>Juni 2015</w:t>
            </w:r>
          </w:p>
        </w:tc>
        <w:tc>
          <w:tcPr>
            <w:tcW w:w="2113" w:type="dxa"/>
            <w:vAlign w:val="center"/>
          </w:tcPr>
          <w:p w14:paraId="513E2115" w14:textId="77777777" w:rsidR="00F371AA" w:rsidRPr="00CA3519" w:rsidRDefault="00F371AA" w:rsidP="007F25C5">
            <w:pPr>
              <w:jc w:val="center"/>
              <w:rPr>
                <w:sz w:val="17"/>
                <w:szCs w:val="17"/>
              </w:rPr>
            </w:pPr>
            <w:r w:rsidRPr="00CA3519">
              <w:rPr>
                <w:sz w:val="17"/>
                <w:szCs w:val="17"/>
              </w:rPr>
              <w:t>17.06.2015 - Ausg. 2</w:t>
            </w:r>
          </w:p>
        </w:tc>
        <w:tc>
          <w:tcPr>
            <w:tcW w:w="1085" w:type="dxa"/>
            <w:vAlign w:val="center"/>
          </w:tcPr>
          <w:p w14:paraId="5787F101" w14:textId="77777777" w:rsidR="00F371AA" w:rsidRPr="00CA3519" w:rsidRDefault="00F371AA" w:rsidP="007F25C5">
            <w:pPr>
              <w:jc w:val="center"/>
              <w:rPr>
                <w:sz w:val="17"/>
                <w:szCs w:val="17"/>
              </w:rPr>
            </w:pPr>
            <w:r w:rsidRPr="00CA3519">
              <w:rPr>
                <w:sz w:val="17"/>
                <w:szCs w:val="17"/>
              </w:rPr>
              <w:t>-0,180</w:t>
            </w:r>
          </w:p>
        </w:tc>
        <w:tc>
          <w:tcPr>
            <w:tcW w:w="1086" w:type="dxa"/>
            <w:vAlign w:val="center"/>
          </w:tcPr>
          <w:p w14:paraId="15358D0E" w14:textId="77777777" w:rsidR="00F371AA" w:rsidRPr="00CA3519" w:rsidRDefault="00F371AA" w:rsidP="007F25C5">
            <w:pPr>
              <w:jc w:val="center"/>
              <w:rPr>
                <w:sz w:val="17"/>
                <w:szCs w:val="17"/>
              </w:rPr>
            </w:pPr>
            <w:r w:rsidRPr="00CA3519">
              <w:rPr>
                <w:sz w:val="17"/>
                <w:szCs w:val="17"/>
              </w:rPr>
              <w:t>-0,142</w:t>
            </w:r>
          </w:p>
        </w:tc>
        <w:tc>
          <w:tcPr>
            <w:tcW w:w="1085" w:type="dxa"/>
            <w:vAlign w:val="center"/>
          </w:tcPr>
          <w:p w14:paraId="427115D2" w14:textId="77777777" w:rsidR="00F371AA" w:rsidRPr="00CA3519" w:rsidRDefault="00F371AA" w:rsidP="007F25C5">
            <w:pPr>
              <w:jc w:val="center"/>
              <w:rPr>
                <w:sz w:val="17"/>
                <w:szCs w:val="17"/>
              </w:rPr>
            </w:pPr>
            <w:r w:rsidRPr="00CA3519">
              <w:rPr>
                <w:sz w:val="17"/>
                <w:szCs w:val="17"/>
              </w:rPr>
              <w:t>-0,074</w:t>
            </w:r>
          </w:p>
        </w:tc>
        <w:tc>
          <w:tcPr>
            <w:tcW w:w="1086" w:type="dxa"/>
            <w:vAlign w:val="center"/>
          </w:tcPr>
          <w:p w14:paraId="075EFAED" w14:textId="77777777" w:rsidR="00F371AA" w:rsidRPr="00CA3519" w:rsidRDefault="00F371AA" w:rsidP="007F25C5">
            <w:pPr>
              <w:jc w:val="center"/>
              <w:rPr>
                <w:sz w:val="17"/>
                <w:szCs w:val="17"/>
              </w:rPr>
            </w:pPr>
            <w:r w:rsidRPr="00CA3519">
              <w:rPr>
                <w:sz w:val="17"/>
                <w:szCs w:val="17"/>
              </w:rPr>
              <w:t>0,040</w:t>
            </w:r>
          </w:p>
        </w:tc>
        <w:tc>
          <w:tcPr>
            <w:tcW w:w="1086" w:type="dxa"/>
            <w:vAlign w:val="center"/>
          </w:tcPr>
          <w:p w14:paraId="61CCFD35" w14:textId="77777777" w:rsidR="00F371AA" w:rsidRPr="00CA3519" w:rsidRDefault="00F371AA" w:rsidP="007F25C5">
            <w:pPr>
              <w:jc w:val="center"/>
              <w:rPr>
                <w:sz w:val="17"/>
                <w:szCs w:val="17"/>
              </w:rPr>
            </w:pPr>
            <w:r w:rsidRPr="00CA3519">
              <w:rPr>
                <w:sz w:val="17"/>
                <w:szCs w:val="17"/>
              </w:rPr>
              <w:t>0,185</w:t>
            </w:r>
          </w:p>
        </w:tc>
        <w:tc>
          <w:tcPr>
            <w:tcW w:w="1085" w:type="dxa"/>
            <w:vAlign w:val="center"/>
          </w:tcPr>
          <w:p w14:paraId="101AD36B" w14:textId="77777777" w:rsidR="00F371AA" w:rsidRPr="00CA3519" w:rsidRDefault="00F371AA" w:rsidP="007F25C5">
            <w:pPr>
              <w:jc w:val="center"/>
              <w:rPr>
                <w:sz w:val="17"/>
                <w:szCs w:val="17"/>
              </w:rPr>
            </w:pPr>
            <w:r w:rsidRPr="00CA3519">
              <w:rPr>
                <w:sz w:val="17"/>
                <w:szCs w:val="17"/>
              </w:rPr>
              <w:t>0,347</w:t>
            </w:r>
          </w:p>
        </w:tc>
        <w:tc>
          <w:tcPr>
            <w:tcW w:w="1086" w:type="dxa"/>
            <w:vAlign w:val="center"/>
          </w:tcPr>
          <w:p w14:paraId="702D5854" w14:textId="77777777" w:rsidR="00F371AA" w:rsidRPr="00CA3519" w:rsidRDefault="00F371AA" w:rsidP="007F25C5">
            <w:pPr>
              <w:jc w:val="center"/>
              <w:rPr>
                <w:sz w:val="17"/>
                <w:szCs w:val="17"/>
              </w:rPr>
            </w:pPr>
            <w:r w:rsidRPr="00CA3519">
              <w:rPr>
                <w:sz w:val="17"/>
                <w:szCs w:val="17"/>
              </w:rPr>
              <w:t>0,514</w:t>
            </w:r>
          </w:p>
        </w:tc>
        <w:tc>
          <w:tcPr>
            <w:tcW w:w="1085" w:type="dxa"/>
            <w:vAlign w:val="center"/>
          </w:tcPr>
          <w:p w14:paraId="16A29205" w14:textId="77777777" w:rsidR="00F371AA" w:rsidRPr="00CA3519" w:rsidRDefault="00F371AA" w:rsidP="007F25C5">
            <w:pPr>
              <w:jc w:val="center"/>
              <w:rPr>
                <w:sz w:val="17"/>
                <w:szCs w:val="17"/>
              </w:rPr>
            </w:pPr>
            <w:r w:rsidRPr="00CA3519">
              <w:rPr>
                <w:sz w:val="17"/>
                <w:szCs w:val="17"/>
              </w:rPr>
              <w:t>0,681</w:t>
            </w:r>
          </w:p>
        </w:tc>
        <w:tc>
          <w:tcPr>
            <w:tcW w:w="1086" w:type="dxa"/>
            <w:vAlign w:val="center"/>
          </w:tcPr>
          <w:p w14:paraId="75C874E6" w14:textId="77777777" w:rsidR="00F371AA" w:rsidRPr="00CA3519" w:rsidRDefault="00F371AA" w:rsidP="007F25C5">
            <w:pPr>
              <w:jc w:val="center"/>
              <w:rPr>
                <w:sz w:val="17"/>
                <w:szCs w:val="17"/>
              </w:rPr>
            </w:pPr>
            <w:r w:rsidRPr="00CA3519">
              <w:rPr>
                <w:sz w:val="17"/>
                <w:szCs w:val="17"/>
              </w:rPr>
              <w:t>0,838</w:t>
            </w:r>
          </w:p>
        </w:tc>
        <w:tc>
          <w:tcPr>
            <w:tcW w:w="1086" w:type="dxa"/>
            <w:vAlign w:val="center"/>
          </w:tcPr>
          <w:p w14:paraId="26398668" w14:textId="77777777" w:rsidR="00F371AA" w:rsidRPr="00CA3519" w:rsidRDefault="00F371AA" w:rsidP="007F25C5">
            <w:pPr>
              <w:jc w:val="center"/>
              <w:rPr>
                <w:sz w:val="17"/>
                <w:szCs w:val="17"/>
              </w:rPr>
            </w:pPr>
            <w:r w:rsidRPr="00CA3519">
              <w:rPr>
                <w:sz w:val="17"/>
                <w:szCs w:val="17"/>
              </w:rPr>
              <w:t>0,980</w:t>
            </w:r>
          </w:p>
        </w:tc>
      </w:tr>
      <w:tr w:rsidR="00F371AA" w:rsidRPr="00CA3519" w14:paraId="753EC599" w14:textId="77777777" w:rsidTr="007F25C5">
        <w:trPr>
          <w:trHeight w:val="397"/>
          <w:jc w:val="center"/>
        </w:trPr>
        <w:tc>
          <w:tcPr>
            <w:tcW w:w="2113" w:type="dxa"/>
            <w:vAlign w:val="center"/>
          </w:tcPr>
          <w:p w14:paraId="1C6DEF19" w14:textId="77777777" w:rsidR="00F371AA" w:rsidRPr="00CA3519" w:rsidRDefault="00F371AA" w:rsidP="007F25C5">
            <w:pPr>
              <w:rPr>
                <w:sz w:val="17"/>
                <w:szCs w:val="17"/>
              </w:rPr>
            </w:pPr>
            <w:r w:rsidRPr="00CA3519">
              <w:rPr>
                <w:sz w:val="17"/>
                <w:szCs w:val="17"/>
              </w:rPr>
              <w:t>Juli 2015</w:t>
            </w:r>
          </w:p>
        </w:tc>
        <w:tc>
          <w:tcPr>
            <w:tcW w:w="2113" w:type="dxa"/>
            <w:vAlign w:val="center"/>
          </w:tcPr>
          <w:p w14:paraId="407A6062" w14:textId="77777777" w:rsidR="00F371AA" w:rsidRPr="00CA3519" w:rsidRDefault="00F371AA" w:rsidP="007F25C5">
            <w:pPr>
              <w:jc w:val="center"/>
              <w:rPr>
                <w:sz w:val="17"/>
                <w:szCs w:val="17"/>
              </w:rPr>
            </w:pPr>
            <w:r w:rsidRPr="00CA3519">
              <w:rPr>
                <w:sz w:val="17"/>
                <w:szCs w:val="17"/>
              </w:rPr>
              <w:t>15.07.2015 - Ausg. 1</w:t>
            </w:r>
          </w:p>
        </w:tc>
        <w:tc>
          <w:tcPr>
            <w:tcW w:w="1085" w:type="dxa"/>
            <w:vAlign w:val="center"/>
          </w:tcPr>
          <w:p w14:paraId="31D06253" w14:textId="77777777" w:rsidR="00F371AA" w:rsidRPr="00CA3519" w:rsidRDefault="00F371AA" w:rsidP="007F25C5">
            <w:pPr>
              <w:jc w:val="center"/>
              <w:rPr>
                <w:sz w:val="17"/>
                <w:szCs w:val="17"/>
              </w:rPr>
            </w:pPr>
            <w:r w:rsidRPr="00CA3519">
              <w:rPr>
                <w:sz w:val="17"/>
                <w:szCs w:val="17"/>
              </w:rPr>
              <w:t>-0,167</w:t>
            </w:r>
          </w:p>
        </w:tc>
        <w:tc>
          <w:tcPr>
            <w:tcW w:w="1086" w:type="dxa"/>
            <w:vAlign w:val="center"/>
          </w:tcPr>
          <w:p w14:paraId="2258D203" w14:textId="77777777" w:rsidR="00F371AA" w:rsidRPr="00CA3519" w:rsidRDefault="00F371AA" w:rsidP="007F25C5">
            <w:pPr>
              <w:jc w:val="center"/>
              <w:rPr>
                <w:sz w:val="17"/>
                <w:szCs w:val="17"/>
              </w:rPr>
            </w:pPr>
            <w:r w:rsidRPr="00CA3519">
              <w:rPr>
                <w:sz w:val="17"/>
                <w:szCs w:val="17"/>
              </w:rPr>
              <w:t>-0,130</w:t>
            </w:r>
          </w:p>
        </w:tc>
        <w:tc>
          <w:tcPr>
            <w:tcW w:w="1085" w:type="dxa"/>
            <w:vAlign w:val="center"/>
          </w:tcPr>
          <w:p w14:paraId="447D77FC" w14:textId="77777777" w:rsidR="00F371AA" w:rsidRPr="00CA3519" w:rsidRDefault="00F371AA" w:rsidP="007F25C5">
            <w:pPr>
              <w:jc w:val="center"/>
              <w:rPr>
                <w:sz w:val="17"/>
                <w:szCs w:val="17"/>
              </w:rPr>
            </w:pPr>
            <w:r w:rsidRPr="00CA3519">
              <w:rPr>
                <w:sz w:val="17"/>
                <w:szCs w:val="17"/>
              </w:rPr>
              <w:t>-0,044</w:t>
            </w:r>
          </w:p>
        </w:tc>
        <w:tc>
          <w:tcPr>
            <w:tcW w:w="1086" w:type="dxa"/>
            <w:vAlign w:val="center"/>
          </w:tcPr>
          <w:p w14:paraId="1C70CF8C" w14:textId="77777777" w:rsidR="00F371AA" w:rsidRPr="00CA3519" w:rsidRDefault="00F371AA" w:rsidP="007F25C5">
            <w:pPr>
              <w:jc w:val="center"/>
              <w:rPr>
                <w:sz w:val="17"/>
                <w:szCs w:val="17"/>
              </w:rPr>
            </w:pPr>
            <w:r w:rsidRPr="00CA3519">
              <w:rPr>
                <w:sz w:val="17"/>
                <w:szCs w:val="17"/>
              </w:rPr>
              <w:t>0,109</w:t>
            </w:r>
          </w:p>
        </w:tc>
        <w:tc>
          <w:tcPr>
            <w:tcW w:w="1086" w:type="dxa"/>
            <w:vAlign w:val="center"/>
          </w:tcPr>
          <w:p w14:paraId="2ED6EEE6" w14:textId="77777777" w:rsidR="00F371AA" w:rsidRPr="00CA3519" w:rsidRDefault="00F371AA" w:rsidP="007F25C5">
            <w:pPr>
              <w:jc w:val="center"/>
              <w:rPr>
                <w:sz w:val="17"/>
                <w:szCs w:val="17"/>
              </w:rPr>
            </w:pPr>
            <w:r w:rsidRPr="00CA3519">
              <w:rPr>
                <w:sz w:val="17"/>
                <w:szCs w:val="17"/>
              </w:rPr>
              <w:t>0,304</w:t>
            </w:r>
          </w:p>
        </w:tc>
        <w:tc>
          <w:tcPr>
            <w:tcW w:w="1085" w:type="dxa"/>
            <w:vAlign w:val="center"/>
          </w:tcPr>
          <w:p w14:paraId="0697BA83" w14:textId="77777777" w:rsidR="00F371AA" w:rsidRPr="00CA3519" w:rsidRDefault="00F371AA" w:rsidP="007F25C5">
            <w:pPr>
              <w:jc w:val="center"/>
              <w:rPr>
                <w:sz w:val="17"/>
                <w:szCs w:val="17"/>
              </w:rPr>
            </w:pPr>
            <w:r w:rsidRPr="00CA3519">
              <w:rPr>
                <w:sz w:val="17"/>
                <w:szCs w:val="17"/>
              </w:rPr>
              <w:t>0,510</w:t>
            </w:r>
          </w:p>
        </w:tc>
        <w:tc>
          <w:tcPr>
            <w:tcW w:w="1086" w:type="dxa"/>
            <w:vAlign w:val="center"/>
          </w:tcPr>
          <w:p w14:paraId="05DAD59C" w14:textId="77777777" w:rsidR="00F371AA" w:rsidRPr="00CA3519" w:rsidRDefault="00F371AA" w:rsidP="007F25C5">
            <w:pPr>
              <w:jc w:val="center"/>
              <w:rPr>
                <w:sz w:val="17"/>
                <w:szCs w:val="17"/>
              </w:rPr>
            </w:pPr>
            <w:r w:rsidRPr="00CA3519">
              <w:rPr>
                <w:sz w:val="17"/>
                <w:szCs w:val="17"/>
              </w:rPr>
              <w:t>0,712</w:t>
            </w:r>
          </w:p>
        </w:tc>
        <w:tc>
          <w:tcPr>
            <w:tcW w:w="1085" w:type="dxa"/>
            <w:vAlign w:val="center"/>
          </w:tcPr>
          <w:p w14:paraId="374186FB" w14:textId="77777777" w:rsidR="00F371AA" w:rsidRPr="00CA3519" w:rsidRDefault="00F371AA" w:rsidP="007F25C5">
            <w:pPr>
              <w:jc w:val="center"/>
              <w:rPr>
                <w:sz w:val="17"/>
                <w:szCs w:val="17"/>
              </w:rPr>
            </w:pPr>
            <w:r w:rsidRPr="00CA3519">
              <w:rPr>
                <w:sz w:val="17"/>
                <w:szCs w:val="17"/>
              </w:rPr>
              <w:t>0,910</w:t>
            </w:r>
          </w:p>
        </w:tc>
        <w:tc>
          <w:tcPr>
            <w:tcW w:w="1086" w:type="dxa"/>
            <w:vAlign w:val="center"/>
          </w:tcPr>
          <w:p w14:paraId="67E425B2" w14:textId="77777777" w:rsidR="00F371AA" w:rsidRPr="00CA3519" w:rsidRDefault="00F371AA" w:rsidP="007F25C5">
            <w:pPr>
              <w:jc w:val="center"/>
              <w:rPr>
                <w:sz w:val="17"/>
                <w:szCs w:val="17"/>
              </w:rPr>
            </w:pPr>
            <w:r w:rsidRPr="00CA3519">
              <w:rPr>
                <w:sz w:val="17"/>
                <w:szCs w:val="17"/>
              </w:rPr>
              <w:t>1,094</w:t>
            </w:r>
          </w:p>
        </w:tc>
        <w:tc>
          <w:tcPr>
            <w:tcW w:w="1086" w:type="dxa"/>
            <w:vAlign w:val="center"/>
          </w:tcPr>
          <w:p w14:paraId="368707B0" w14:textId="77777777" w:rsidR="00F371AA" w:rsidRPr="00CA3519" w:rsidRDefault="00F371AA" w:rsidP="007F25C5">
            <w:pPr>
              <w:jc w:val="center"/>
              <w:rPr>
                <w:sz w:val="17"/>
                <w:szCs w:val="17"/>
              </w:rPr>
            </w:pPr>
            <w:r w:rsidRPr="00CA3519">
              <w:rPr>
                <w:sz w:val="17"/>
                <w:szCs w:val="17"/>
              </w:rPr>
              <w:t>1,256</w:t>
            </w:r>
          </w:p>
        </w:tc>
      </w:tr>
      <w:tr w:rsidR="00F371AA" w:rsidRPr="00CA3519" w14:paraId="63229659" w14:textId="77777777" w:rsidTr="007F25C5">
        <w:trPr>
          <w:trHeight w:val="397"/>
          <w:jc w:val="center"/>
        </w:trPr>
        <w:tc>
          <w:tcPr>
            <w:tcW w:w="2113" w:type="dxa"/>
            <w:vAlign w:val="center"/>
          </w:tcPr>
          <w:p w14:paraId="042F768C" w14:textId="77777777" w:rsidR="00F371AA" w:rsidRPr="00CA3519" w:rsidRDefault="00F371AA" w:rsidP="007F25C5">
            <w:pPr>
              <w:rPr>
                <w:sz w:val="17"/>
                <w:szCs w:val="17"/>
              </w:rPr>
            </w:pPr>
            <w:r w:rsidRPr="00CA3519">
              <w:rPr>
                <w:sz w:val="17"/>
                <w:szCs w:val="17"/>
              </w:rPr>
              <w:t>August 2015</w:t>
            </w:r>
          </w:p>
        </w:tc>
        <w:tc>
          <w:tcPr>
            <w:tcW w:w="2113" w:type="dxa"/>
            <w:vAlign w:val="center"/>
          </w:tcPr>
          <w:p w14:paraId="2BE384FE" w14:textId="77777777" w:rsidR="00F371AA" w:rsidRPr="00CA3519" w:rsidRDefault="00F371AA" w:rsidP="007F25C5">
            <w:pPr>
              <w:jc w:val="center"/>
              <w:rPr>
                <w:sz w:val="17"/>
                <w:szCs w:val="17"/>
              </w:rPr>
            </w:pPr>
            <w:r w:rsidRPr="00CA3519">
              <w:rPr>
                <w:sz w:val="17"/>
                <w:szCs w:val="17"/>
              </w:rPr>
              <w:t>14.08.2015 - Ausg. 2</w:t>
            </w:r>
          </w:p>
        </w:tc>
        <w:tc>
          <w:tcPr>
            <w:tcW w:w="1085" w:type="dxa"/>
            <w:vAlign w:val="center"/>
          </w:tcPr>
          <w:p w14:paraId="5271DD96" w14:textId="77777777" w:rsidR="00F371AA" w:rsidRPr="00CA3519" w:rsidRDefault="00F371AA" w:rsidP="007F25C5">
            <w:pPr>
              <w:jc w:val="center"/>
              <w:rPr>
                <w:sz w:val="17"/>
                <w:szCs w:val="17"/>
              </w:rPr>
            </w:pPr>
            <w:r w:rsidRPr="00CA3519">
              <w:rPr>
                <w:sz w:val="17"/>
                <w:szCs w:val="17"/>
              </w:rPr>
              <w:t>-0,189</w:t>
            </w:r>
          </w:p>
        </w:tc>
        <w:tc>
          <w:tcPr>
            <w:tcW w:w="1086" w:type="dxa"/>
            <w:vAlign w:val="center"/>
          </w:tcPr>
          <w:p w14:paraId="754EB11C" w14:textId="77777777" w:rsidR="00F371AA" w:rsidRPr="00CA3519" w:rsidRDefault="00F371AA" w:rsidP="007F25C5">
            <w:pPr>
              <w:jc w:val="center"/>
              <w:rPr>
                <w:sz w:val="17"/>
                <w:szCs w:val="17"/>
              </w:rPr>
            </w:pPr>
            <w:r w:rsidRPr="00CA3519">
              <w:rPr>
                <w:sz w:val="17"/>
                <w:szCs w:val="17"/>
              </w:rPr>
              <w:t>-0,184</w:t>
            </w:r>
          </w:p>
        </w:tc>
        <w:tc>
          <w:tcPr>
            <w:tcW w:w="1085" w:type="dxa"/>
            <w:vAlign w:val="center"/>
          </w:tcPr>
          <w:p w14:paraId="66ED7568" w14:textId="77777777" w:rsidR="00F371AA" w:rsidRPr="00CA3519" w:rsidRDefault="00F371AA" w:rsidP="007F25C5">
            <w:pPr>
              <w:jc w:val="center"/>
              <w:rPr>
                <w:sz w:val="17"/>
                <w:szCs w:val="17"/>
              </w:rPr>
            </w:pPr>
            <w:r w:rsidRPr="00CA3519">
              <w:rPr>
                <w:sz w:val="17"/>
                <w:szCs w:val="17"/>
              </w:rPr>
              <w:t>-0,121</w:t>
            </w:r>
          </w:p>
        </w:tc>
        <w:tc>
          <w:tcPr>
            <w:tcW w:w="1086" w:type="dxa"/>
            <w:vAlign w:val="center"/>
          </w:tcPr>
          <w:p w14:paraId="3EBE08E6" w14:textId="77777777" w:rsidR="00F371AA" w:rsidRPr="00CA3519" w:rsidRDefault="00F371AA" w:rsidP="007F25C5">
            <w:pPr>
              <w:jc w:val="center"/>
              <w:rPr>
                <w:sz w:val="17"/>
                <w:szCs w:val="17"/>
              </w:rPr>
            </w:pPr>
            <w:r w:rsidRPr="00CA3519">
              <w:rPr>
                <w:sz w:val="17"/>
                <w:szCs w:val="17"/>
              </w:rPr>
              <w:t>0,021</w:t>
            </w:r>
          </w:p>
        </w:tc>
        <w:tc>
          <w:tcPr>
            <w:tcW w:w="1086" w:type="dxa"/>
            <w:vAlign w:val="center"/>
          </w:tcPr>
          <w:p w14:paraId="1B682B89" w14:textId="77777777" w:rsidR="00F371AA" w:rsidRPr="00CA3519" w:rsidRDefault="00F371AA" w:rsidP="007F25C5">
            <w:pPr>
              <w:jc w:val="center"/>
              <w:rPr>
                <w:sz w:val="17"/>
                <w:szCs w:val="17"/>
              </w:rPr>
            </w:pPr>
            <w:r w:rsidRPr="00CA3519">
              <w:rPr>
                <w:sz w:val="17"/>
                <w:szCs w:val="17"/>
              </w:rPr>
              <w:t>0,194</w:t>
            </w:r>
          </w:p>
        </w:tc>
        <w:tc>
          <w:tcPr>
            <w:tcW w:w="1085" w:type="dxa"/>
            <w:vAlign w:val="center"/>
          </w:tcPr>
          <w:p w14:paraId="065AE14B" w14:textId="77777777" w:rsidR="00F371AA" w:rsidRPr="00CA3519" w:rsidRDefault="00F371AA" w:rsidP="007F25C5">
            <w:pPr>
              <w:jc w:val="center"/>
              <w:rPr>
                <w:sz w:val="17"/>
                <w:szCs w:val="17"/>
              </w:rPr>
            </w:pPr>
            <w:r w:rsidRPr="00CA3519">
              <w:rPr>
                <w:sz w:val="17"/>
                <w:szCs w:val="17"/>
              </w:rPr>
              <w:t>0,365</w:t>
            </w:r>
          </w:p>
        </w:tc>
        <w:tc>
          <w:tcPr>
            <w:tcW w:w="1086" w:type="dxa"/>
            <w:vAlign w:val="center"/>
          </w:tcPr>
          <w:p w14:paraId="6781A866" w14:textId="77777777" w:rsidR="00F371AA" w:rsidRPr="00CA3519" w:rsidRDefault="00F371AA" w:rsidP="007F25C5">
            <w:pPr>
              <w:jc w:val="center"/>
              <w:rPr>
                <w:sz w:val="17"/>
                <w:szCs w:val="17"/>
              </w:rPr>
            </w:pPr>
            <w:r w:rsidRPr="00CA3519">
              <w:rPr>
                <w:sz w:val="17"/>
                <w:szCs w:val="17"/>
              </w:rPr>
              <w:t>0,538</w:t>
            </w:r>
          </w:p>
        </w:tc>
        <w:tc>
          <w:tcPr>
            <w:tcW w:w="1085" w:type="dxa"/>
            <w:vAlign w:val="center"/>
          </w:tcPr>
          <w:p w14:paraId="74264D0F" w14:textId="77777777" w:rsidR="00F371AA" w:rsidRPr="00CA3519" w:rsidRDefault="00F371AA" w:rsidP="007F25C5">
            <w:pPr>
              <w:jc w:val="center"/>
              <w:rPr>
                <w:sz w:val="17"/>
                <w:szCs w:val="17"/>
              </w:rPr>
            </w:pPr>
            <w:r w:rsidRPr="00CA3519">
              <w:rPr>
                <w:sz w:val="17"/>
                <w:szCs w:val="17"/>
              </w:rPr>
              <w:t>0,726</w:t>
            </w:r>
          </w:p>
        </w:tc>
        <w:tc>
          <w:tcPr>
            <w:tcW w:w="1086" w:type="dxa"/>
            <w:vAlign w:val="center"/>
          </w:tcPr>
          <w:p w14:paraId="7C6729E3" w14:textId="77777777" w:rsidR="00F371AA" w:rsidRPr="00CA3519" w:rsidRDefault="00F371AA" w:rsidP="007F25C5">
            <w:pPr>
              <w:jc w:val="center"/>
              <w:rPr>
                <w:sz w:val="17"/>
                <w:szCs w:val="17"/>
              </w:rPr>
            </w:pPr>
            <w:r w:rsidRPr="00CA3519">
              <w:rPr>
                <w:sz w:val="17"/>
                <w:szCs w:val="17"/>
              </w:rPr>
              <w:t>0,912</w:t>
            </w:r>
          </w:p>
        </w:tc>
        <w:tc>
          <w:tcPr>
            <w:tcW w:w="1086" w:type="dxa"/>
            <w:vAlign w:val="center"/>
          </w:tcPr>
          <w:p w14:paraId="1CBEE9F8" w14:textId="77777777" w:rsidR="00F371AA" w:rsidRPr="00CA3519" w:rsidRDefault="00F371AA" w:rsidP="007F25C5">
            <w:pPr>
              <w:jc w:val="center"/>
              <w:rPr>
                <w:sz w:val="17"/>
                <w:szCs w:val="17"/>
              </w:rPr>
            </w:pPr>
            <w:r w:rsidRPr="00CA3519">
              <w:rPr>
                <w:sz w:val="17"/>
                <w:szCs w:val="17"/>
              </w:rPr>
              <w:t>1,083</w:t>
            </w:r>
          </w:p>
        </w:tc>
      </w:tr>
      <w:tr w:rsidR="00F371AA" w:rsidRPr="00CA3519" w14:paraId="5A66CBB9" w14:textId="77777777" w:rsidTr="007F25C5">
        <w:trPr>
          <w:trHeight w:val="397"/>
          <w:jc w:val="center"/>
        </w:trPr>
        <w:tc>
          <w:tcPr>
            <w:tcW w:w="2113" w:type="dxa"/>
            <w:vAlign w:val="center"/>
          </w:tcPr>
          <w:p w14:paraId="40EECA92" w14:textId="77777777" w:rsidR="00F371AA" w:rsidRPr="00CA3519" w:rsidRDefault="00F371AA" w:rsidP="007F25C5">
            <w:pPr>
              <w:rPr>
                <w:sz w:val="17"/>
                <w:szCs w:val="17"/>
              </w:rPr>
            </w:pPr>
            <w:r w:rsidRPr="00CA3519">
              <w:rPr>
                <w:sz w:val="17"/>
                <w:szCs w:val="17"/>
              </w:rPr>
              <w:t>September 2015</w:t>
            </w:r>
          </w:p>
        </w:tc>
        <w:tc>
          <w:tcPr>
            <w:tcW w:w="2113" w:type="dxa"/>
            <w:vAlign w:val="center"/>
          </w:tcPr>
          <w:p w14:paraId="23DE0EA5" w14:textId="77777777" w:rsidR="00F371AA" w:rsidRPr="00CA3519" w:rsidRDefault="00F371AA" w:rsidP="007F25C5">
            <w:pPr>
              <w:jc w:val="center"/>
              <w:rPr>
                <w:sz w:val="17"/>
                <w:szCs w:val="17"/>
              </w:rPr>
            </w:pPr>
            <w:r w:rsidRPr="00CA3519">
              <w:rPr>
                <w:sz w:val="17"/>
                <w:szCs w:val="17"/>
              </w:rPr>
              <w:t>15.09.2015 - Ausg. 1</w:t>
            </w:r>
          </w:p>
        </w:tc>
        <w:tc>
          <w:tcPr>
            <w:tcW w:w="1085" w:type="dxa"/>
            <w:vAlign w:val="center"/>
          </w:tcPr>
          <w:p w14:paraId="18E48DFC" w14:textId="77777777" w:rsidR="00F371AA" w:rsidRPr="00CA3519" w:rsidRDefault="00F371AA" w:rsidP="007F25C5">
            <w:pPr>
              <w:jc w:val="center"/>
              <w:rPr>
                <w:sz w:val="17"/>
                <w:szCs w:val="17"/>
              </w:rPr>
            </w:pPr>
            <w:r w:rsidRPr="00CA3519">
              <w:rPr>
                <w:sz w:val="17"/>
                <w:szCs w:val="17"/>
              </w:rPr>
              <w:t>-0,199</w:t>
            </w:r>
          </w:p>
        </w:tc>
        <w:tc>
          <w:tcPr>
            <w:tcW w:w="1086" w:type="dxa"/>
            <w:vAlign w:val="center"/>
          </w:tcPr>
          <w:p w14:paraId="1327BF50" w14:textId="77777777" w:rsidR="00F371AA" w:rsidRPr="00CA3519" w:rsidRDefault="00F371AA" w:rsidP="007F25C5">
            <w:pPr>
              <w:jc w:val="center"/>
              <w:rPr>
                <w:sz w:val="17"/>
                <w:szCs w:val="17"/>
              </w:rPr>
            </w:pPr>
            <w:r w:rsidRPr="00CA3519">
              <w:rPr>
                <w:sz w:val="17"/>
                <w:szCs w:val="17"/>
              </w:rPr>
              <w:t>-0,169</w:t>
            </w:r>
          </w:p>
        </w:tc>
        <w:tc>
          <w:tcPr>
            <w:tcW w:w="1085" w:type="dxa"/>
            <w:vAlign w:val="center"/>
          </w:tcPr>
          <w:p w14:paraId="76E30D77" w14:textId="77777777" w:rsidR="00F371AA" w:rsidRPr="00CA3519" w:rsidRDefault="00F371AA" w:rsidP="007F25C5">
            <w:pPr>
              <w:jc w:val="center"/>
              <w:rPr>
                <w:sz w:val="17"/>
                <w:szCs w:val="17"/>
              </w:rPr>
            </w:pPr>
            <w:r w:rsidRPr="00CA3519">
              <w:rPr>
                <w:sz w:val="17"/>
                <w:szCs w:val="17"/>
              </w:rPr>
              <w:t>-0,101</w:t>
            </w:r>
          </w:p>
        </w:tc>
        <w:tc>
          <w:tcPr>
            <w:tcW w:w="1086" w:type="dxa"/>
            <w:vAlign w:val="center"/>
          </w:tcPr>
          <w:p w14:paraId="7F889147" w14:textId="77777777" w:rsidR="00F371AA" w:rsidRPr="00CA3519" w:rsidRDefault="00F371AA" w:rsidP="007F25C5">
            <w:pPr>
              <w:jc w:val="center"/>
              <w:rPr>
                <w:sz w:val="17"/>
                <w:szCs w:val="17"/>
              </w:rPr>
            </w:pPr>
            <w:r w:rsidRPr="00CA3519">
              <w:rPr>
                <w:sz w:val="17"/>
                <w:szCs w:val="17"/>
              </w:rPr>
              <w:t>0,024</w:t>
            </w:r>
          </w:p>
        </w:tc>
        <w:tc>
          <w:tcPr>
            <w:tcW w:w="1086" w:type="dxa"/>
            <w:vAlign w:val="center"/>
          </w:tcPr>
          <w:p w14:paraId="353A4528" w14:textId="77777777" w:rsidR="00F371AA" w:rsidRPr="00CA3519" w:rsidRDefault="00F371AA" w:rsidP="007F25C5">
            <w:pPr>
              <w:jc w:val="center"/>
              <w:rPr>
                <w:sz w:val="17"/>
                <w:szCs w:val="17"/>
              </w:rPr>
            </w:pPr>
            <w:r w:rsidRPr="00CA3519">
              <w:rPr>
                <w:sz w:val="17"/>
                <w:szCs w:val="17"/>
              </w:rPr>
              <w:t>0,181</w:t>
            </w:r>
          </w:p>
        </w:tc>
        <w:tc>
          <w:tcPr>
            <w:tcW w:w="1085" w:type="dxa"/>
            <w:vAlign w:val="center"/>
          </w:tcPr>
          <w:p w14:paraId="177BECD2" w14:textId="77777777" w:rsidR="00F371AA" w:rsidRPr="00CA3519" w:rsidRDefault="00F371AA" w:rsidP="007F25C5">
            <w:pPr>
              <w:jc w:val="center"/>
              <w:rPr>
                <w:sz w:val="17"/>
                <w:szCs w:val="17"/>
              </w:rPr>
            </w:pPr>
            <w:r w:rsidRPr="00CA3519">
              <w:rPr>
                <w:sz w:val="17"/>
                <w:szCs w:val="17"/>
              </w:rPr>
              <w:t>0,343</w:t>
            </w:r>
          </w:p>
        </w:tc>
        <w:tc>
          <w:tcPr>
            <w:tcW w:w="1086" w:type="dxa"/>
            <w:vAlign w:val="center"/>
          </w:tcPr>
          <w:p w14:paraId="0838ED3D" w14:textId="77777777" w:rsidR="00F371AA" w:rsidRPr="00CA3519" w:rsidRDefault="00F371AA" w:rsidP="007F25C5">
            <w:pPr>
              <w:jc w:val="center"/>
              <w:rPr>
                <w:sz w:val="17"/>
                <w:szCs w:val="17"/>
              </w:rPr>
            </w:pPr>
            <w:r w:rsidRPr="00CA3519">
              <w:rPr>
                <w:sz w:val="17"/>
                <w:szCs w:val="17"/>
              </w:rPr>
              <w:t>0,514</w:t>
            </w:r>
          </w:p>
        </w:tc>
        <w:tc>
          <w:tcPr>
            <w:tcW w:w="1085" w:type="dxa"/>
            <w:vAlign w:val="center"/>
          </w:tcPr>
          <w:p w14:paraId="0AF1F270" w14:textId="77777777" w:rsidR="00F371AA" w:rsidRPr="00CA3519" w:rsidRDefault="00F371AA" w:rsidP="007F25C5">
            <w:pPr>
              <w:jc w:val="center"/>
              <w:rPr>
                <w:sz w:val="17"/>
                <w:szCs w:val="17"/>
              </w:rPr>
            </w:pPr>
            <w:r w:rsidRPr="00CA3519">
              <w:rPr>
                <w:sz w:val="17"/>
                <w:szCs w:val="17"/>
              </w:rPr>
              <w:t>0,697</w:t>
            </w:r>
          </w:p>
        </w:tc>
        <w:tc>
          <w:tcPr>
            <w:tcW w:w="1086" w:type="dxa"/>
            <w:vAlign w:val="center"/>
          </w:tcPr>
          <w:p w14:paraId="7EEE6BC8" w14:textId="77777777" w:rsidR="00F371AA" w:rsidRPr="00CA3519" w:rsidRDefault="00F371AA" w:rsidP="007F25C5">
            <w:pPr>
              <w:jc w:val="center"/>
              <w:rPr>
                <w:sz w:val="17"/>
                <w:szCs w:val="17"/>
              </w:rPr>
            </w:pPr>
            <w:r w:rsidRPr="00CA3519">
              <w:rPr>
                <w:sz w:val="17"/>
                <w:szCs w:val="17"/>
              </w:rPr>
              <w:t>0,883</w:t>
            </w:r>
          </w:p>
        </w:tc>
        <w:tc>
          <w:tcPr>
            <w:tcW w:w="1086" w:type="dxa"/>
            <w:vAlign w:val="center"/>
          </w:tcPr>
          <w:p w14:paraId="1BA9C13C" w14:textId="77777777" w:rsidR="00F371AA" w:rsidRPr="00CA3519" w:rsidRDefault="00F371AA" w:rsidP="007F25C5">
            <w:pPr>
              <w:jc w:val="center"/>
              <w:rPr>
                <w:sz w:val="17"/>
                <w:szCs w:val="17"/>
              </w:rPr>
            </w:pPr>
            <w:r w:rsidRPr="00CA3519">
              <w:rPr>
                <w:sz w:val="17"/>
                <w:szCs w:val="17"/>
              </w:rPr>
              <w:t>1,054</w:t>
            </w:r>
          </w:p>
        </w:tc>
      </w:tr>
      <w:tr w:rsidR="00F371AA" w:rsidRPr="00CA3519" w14:paraId="7694F38B" w14:textId="77777777" w:rsidTr="007F25C5">
        <w:trPr>
          <w:trHeight w:val="397"/>
          <w:jc w:val="center"/>
        </w:trPr>
        <w:tc>
          <w:tcPr>
            <w:tcW w:w="2113" w:type="dxa"/>
            <w:vAlign w:val="center"/>
          </w:tcPr>
          <w:p w14:paraId="34A26980" w14:textId="77777777" w:rsidR="00F371AA" w:rsidRPr="00CA3519" w:rsidRDefault="00F371AA" w:rsidP="007F25C5">
            <w:pPr>
              <w:rPr>
                <w:sz w:val="17"/>
                <w:szCs w:val="17"/>
              </w:rPr>
            </w:pPr>
            <w:r w:rsidRPr="00CA3519">
              <w:rPr>
                <w:sz w:val="17"/>
                <w:szCs w:val="17"/>
              </w:rPr>
              <w:t>Oktober 2015</w:t>
            </w:r>
          </w:p>
        </w:tc>
        <w:tc>
          <w:tcPr>
            <w:tcW w:w="2113" w:type="dxa"/>
            <w:vAlign w:val="center"/>
          </w:tcPr>
          <w:p w14:paraId="55B61F8D" w14:textId="77777777" w:rsidR="00F371AA" w:rsidRPr="00CA3519" w:rsidRDefault="00F371AA" w:rsidP="007F25C5">
            <w:pPr>
              <w:jc w:val="center"/>
              <w:rPr>
                <w:sz w:val="17"/>
                <w:szCs w:val="17"/>
              </w:rPr>
            </w:pPr>
            <w:r w:rsidRPr="00CA3519">
              <w:rPr>
                <w:sz w:val="17"/>
                <w:szCs w:val="17"/>
              </w:rPr>
              <w:t>16.10.2015 - Ausg. 1</w:t>
            </w:r>
          </w:p>
        </w:tc>
        <w:tc>
          <w:tcPr>
            <w:tcW w:w="1085" w:type="dxa"/>
            <w:vAlign w:val="center"/>
          </w:tcPr>
          <w:p w14:paraId="46E54C13" w14:textId="77777777" w:rsidR="00F371AA" w:rsidRPr="00CA3519" w:rsidRDefault="00F371AA" w:rsidP="007F25C5">
            <w:pPr>
              <w:jc w:val="center"/>
              <w:rPr>
                <w:sz w:val="17"/>
                <w:szCs w:val="17"/>
              </w:rPr>
            </w:pPr>
            <w:r w:rsidRPr="00CA3519">
              <w:rPr>
                <w:sz w:val="17"/>
                <w:szCs w:val="17"/>
              </w:rPr>
              <w:t>-0,198</w:t>
            </w:r>
          </w:p>
        </w:tc>
        <w:tc>
          <w:tcPr>
            <w:tcW w:w="1086" w:type="dxa"/>
            <w:vAlign w:val="center"/>
          </w:tcPr>
          <w:p w14:paraId="65A4454C" w14:textId="77777777" w:rsidR="00F371AA" w:rsidRPr="00CA3519" w:rsidRDefault="00F371AA" w:rsidP="007F25C5">
            <w:pPr>
              <w:jc w:val="center"/>
              <w:rPr>
                <w:sz w:val="17"/>
                <w:szCs w:val="17"/>
              </w:rPr>
            </w:pPr>
            <w:r w:rsidRPr="00CA3519">
              <w:rPr>
                <w:sz w:val="17"/>
                <w:szCs w:val="17"/>
              </w:rPr>
              <w:t>-0,177</w:t>
            </w:r>
          </w:p>
        </w:tc>
        <w:tc>
          <w:tcPr>
            <w:tcW w:w="1085" w:type="dxa"/>
            <w:vAlign w:val="center"/>
          </w:tcPr>
          <w:p w14:paraId="6A0370FD" w14:textId="77777777" w:rsidR="00F371AA" w:rsidRPr="00CA3519" w:rsidRDefault="00F371AA" w:rsidP="007F25C5">
            <w:pPr>
              <w:jc w:val="center"/>
              <w:rPr>
                <w:sz w:val="17"/>
                <w:szCs w:val="17"/>
              </w:rPr>
            </w:pPr>
            <w:r w:rsidRPr="00CA3519">
              <w:rPr>
                <w:sz w:val="17"/>
                <w:szCs w:val="17"/>
              </w:rPr>
              <w:t>-0,119</w:t>
            </w:r>
          </w:p>
        </w:tc>
        <w:tc>
          <w:tcPr>
            <w:tcW w:w="1086" w:type="dxa"/>
            <w:vAlign w:val="center"/>
          </w:tcPr>
          <w:p w14:paraId="211287D5" w14:textId="77777777" w:rsidR="00F371AA" w:rsidRPr="00CA3519" w:rsidRDefault="00F371AA" w:rsidP="007F25C5">
            <w:pPr>
              <w:jc w:val="center"/>
              <w:rPr>
                <w:sz w:val="17"/>
                <w:szCs w:val="17"/>
              </w:rPr>
            </w:pPr>
            <w:r w:rsidRPr="00CA3519">
              <w:rPr>
                <w:sz w:val="17"/>
                <w:szCs w:val="17"/>
              </w:rPr>
              <w:t>-0,011</w:t>
            </w:r>
          </w:p>
        </w:tc>
        <w:tc>
          <w:tcPr>
            <w:tcW w:w="1086" w:type="dxa"/>
            <w:vAlign w:val="center"/>
          </w:tcPr>
          <w:p w14:paraId="5EF1BBC3" w14:textId="77777777" w:rsidR="00F371AA" w:rsidRPr="00CA3519" w:rsidRDefault="00F371AA" w:rsidP="007F25C5">
            <w:pPr>
              <w:jc w:val="center"/>
              <w:rPr>
                <w:sz w:val="17"/>
                <w:szCs w:val="17"/>
              </w:rPr>
            </w:pPr>
            <w:r w:rsidRPr="00CA3519">
              <w:rPr>
                <w:sz w:val="17"/>
                <w:szCs w:val="17"/>
              </w:rPr>
              <w:t>0,130</w:t>
            </w:r>
          </w:p>
        </w:tc>
        <w:tc>
          <w:tcPr>
            <w:tcW w:w="1085" w:type="dxa"/>
            <w:vAlign w:val="center"/>
          </w:tcPr>
          <w:p w14:paraId="7ABD0951" w14:textId="77777777" w:rsidR="00F371AA" w:rsidRPr="00CA3519" w:rsidRDefault="00F371AA" w:rsidP="007F25C5">
            <w:pPr>
              <w:jc w:val="center"/>
              <w:rPr>
                <w:sz w:val="17"/>
                <w:szCs w:val="17"/>
              </w:rPr>
            </w:pPr>
            <w:r w:rsidRPr="00CA3519">
              <w:rPr>
                <w:sz w:val="17"/>
                <w:szCs w:val="17"/>
              </w:rPr>
              <w:t>0,283</w:t>
            </w:r>
          </w:p>
        </w:tc>
        <w:tc>
          <w:tcPr>
            <w:tcW w:w="1086" w:type="dxa"/>
            <w:vAlign w:val="center"/>
          </w:tcPr>
          <w:p w14:paraId="411B74B1" w14:textId="77777777" w:rsidR="00F371AA" w:rsidRPr="00CA3519" w:rsidRDefault="00F371AA" w:rsidP="007F25C5">
            <w:pPr>
              <w:jc w:val="center"/>
              <w:rPr>
                <w:sz w:val="17"/>
                <w:szCs w:val="17"/>
              </w:rPr>
            </w:pPr>
            <w:r w:rsidRPr="00CA3519">
              <w:rPr>
                <w:sz w:val="17"/>
                <w:szCs w:val="17"/>
              </w:rPr>
              <w:t>0,449</w:t>
            </w:r>
          </w:p>
        </w:tc>
        <w:tc>
          <w:tcPr>
            <w:tcW w:w="1085" w:type="dxa"/>
            <w:vAlign w:val="center"/>
          </w:tcPr>
          <w:p w14:paraId="55588556" w14:textId="77777777" w:rsidR="00F371AA" w:rsidRPr="00CA3519" w:rsidRDefault="00F371AA" w:rsidP="007F25C5">
            <w:pPr>
              <w:jc w:val="center"/>
              <w:rPr>
                <w:sz w:val="17"/>
                <w:szCs w:val="17"/>
              </w:rPr>
            </w:pPr>
            <w:r w:rsidRPr="00CA3519">
              <w:rPr>
                <w:sz w:val="17"/>
                <w:szCs w:val="17"/>
              </w:rPr>
              <w:t>0,627</w:t>
            </w:r>
          </w:p>
        </w:tc>
        <w:tc>
          <w:tcPr>
            <w:tcW w:w="1086" w:type="dxa"/>
            <w:vAlign w:val="center"/>
          </w:tcPr>
          <w:p w14:paraId="400028AE" w14:textId="77777777" w:rsidR="00F371AA" w:rsidRPr="00CA3519" w:rsidRDefault="00F371AA" w:rsidP="007F25C5">
            <w:pPr>
              <w:jc w:val="center"/>
              <w:rPr>
                <w:sz w:val="17"/>
                <w:szCs w:val="17"/>
              </w:rPr>
            </w:pPr>
            <w:r w:rsidRPr="00CA3519">
              <w:rPr>
                <w:sz w:val="17"/>
                <w:szCs w:val="17"/>
              </w:rPr>
              <w:t>0,814</w:t>
            </w:r>
          </w:p>
        </w:tc>
        <w:tc>
          <w:tcPr>
            <w:tcW w:w="1086" w:type="dxa"/>
            <w:vAlign w:val="center"/>
          </w:tcPr>
          <w:p w14:paraId="61257F63" w14:textId="77777777" w:rsidR="00F371AA" w:rsidRPr="00CA3519" w:rsidRDefault="00F371AA" w:rsidP="007F25C5">
            <w:pPr>
              <w:jc w:val="center"/>
              <w:rPr>
                <w:sz w:val="17"/>
                <w:szCs w:val="17"/>
              </w:rPr>
            </w:pPr>
            <w:r w:rsidRPr="00CA3519">
              <w:rPr>
                <w:sz w:val="17"/>
                <w:szCs w:val="17"/>
              </w:rPr>
              <w:t>0,986</w:t>
            </w:r>
          </w:p>
        </w:tc>
      </w:tr>
      <w:tr w:rsidR="00F371AA" w:rsidRPr="00CA3519" w14:paraId="49402613" w14:textId="77777777" w:rsidTr="007F25C5">
        <w:trPr>
          <w:trHeight w:val="397"/>
          <w:jc w:val="center"/>
        </w:trPr>
        <w:tc>
          <w:tcPr>
            <w:tcW w:w="2113" w:type="dxa"/>
            <w:vAlign w:val="center"/>
          </w:tcPr>
          <w:p w14:paraId="4B5021FE" w14:textId="77777777" w:rsidR="00F371AA" w:rsidRPr="00CA3519" w:rsidRDefault="00F371AA" w:rsidP="007F25C5">
            <w:pPr>
              <w:rPr>
                <w:sz w:val="17"/>
                <w:szCs w:val="17"/>
              </w:rPr>
            </w:pPr>
            <w:r w:rsidRPr="00CA3519">
              <w:rPr>
                <w:sz w:val="17"/>
                <w:szCs w:val="17"/>
              </w:rPr>
              <w:t>November 2015</w:t>
            </w:r>
          </w:p>
        </w:tc>
        <w:tc>
          <w:tcPr>
            <w:tcW w:w="2113" w:type="dxa"/>
            <w:vAlign w:val="center"/>
          </w:tcPr>
          <w:p w14:paraId="5C34E8E9" w14:textId="77777777" w:rsidR="00F371AA" w:rsidRPr="00CA3519" w:rsidRDefault="00F371AA" w:rsidP="007F25C5">
            <w:pPr>
              <w:jc w:val="center"/>
              <w:rPr>
                <w:sz w:val="17"/>
                <w:szCs w:val="17"/>
              </w:rPr>
            </w:pPr>
            <w:r w:rsidRPr="00CA3519">
              <w:rPr>
                <w:sz w:val="17"/>
                <w:szCs w:val="17"/>
              </w:rPr>
              <w:t>17.11.2015 - Ausg. 1</w:t>
            </w:r>
          </w:p>
        </w:tc>
        <w:tc>
          <w:tcPr>
            <w:tcW w:w="1085" w:type="dxa"/>
            <w:vAlign w:val="center"/>
          </w:tcPr>
          <w:p w14:paraId="74D8121A" w14:textId="77777777" w:rsidR="00F371AA" w:rsidRPr="00CA3519" w:rsidRDefault="00F371AA" w:rsidP="007F25C5">
            <w:pPr>
              <w:jc w:val="center"/>
              <w:rPr>
                <w:sz w:val="17"/>
                <w:szCs w:val="17"/>
              </w:rPr>
            </w:pPr>
            <w:r w:rsidRPr="00CA3519">
              <w:rPr>
                <w:sz w:val="17"/>
                <w:szCs w:val="17"/>
              </w:rPr>
              <w:t>-0,245</w:t>
            </w:r>
          </w:p>
        </w:tc>
        <w:tc>
          <w:tcPr>
            <w:tcW w:w="1086" w:type="dxa"/>
            <w:vAlign w:val="center"/>
          </w:tcPr>
          <w:p w14:paraId="203B5906" w14:textId="77777777" w:rsidR="00F371AA" w:rsidRPr="00CA3519" w:rsidRDefault="00F371AA" w:rsidP="007F25C5">
            <w:pPr>
              <w:jc w:val="center"/>
              <w:rPr>
                <w:sz w:val="17"/>
                <w:szCs w:val="17"/>
              </w:rPr>
            </w:pPr>
            <w:r w:rsidRPr="00CA3519">
              <w:rPr>
                <w:sz w:val="17"/>
                <w:szCs w:val="17"/>
              </w:rPr>
              <w:t>-0,237</w:t>
            </w:r>
          </w:p>
        </w:tc>
        <w:tc>
          <w:tcPr>
            <w:tcW w:w="1085" w:type="dxa"/>
            <w:vAlign w:val="center"/>
          </w:tcPr>
          <w:p w14:paraId="1FD2EC1C" w14:textId="77777777" w:rsidR="00F371AA" w:rsidRPr="00CA3519" w:rsidRDefault="00F371AA" w:rsidP="007F25C5">
            <w:pPr>
              <w:jc w:val="center"/>
              <w:rPr>
                <w:sz w:val="17"/>
                <w:szCs w:val="17"/>
              </w:rPr>
            </w:pPr>
            <w:r w:rsidRPr="00CA3519">
              <w:rPr>
                <w:sz w:val="17"/>
                <w:szCs w:val="17"/>
              </w:rPr>
              <w:t>-0,185</w:t>
            </w:r>
          </w:p>
        </w:tc>
        <w:tc>
          <w:tcPr>
            <w:tcW w:w="1086" w:type="dxa"/>
            <w:vAlign w:val="center"/>
          </w:tcPr>
          <w:p w14:paraId="79B8B919" w14:textId="77777777" w:rsidR="00F371AA" w:rsidRPr="00CA3519" w:rsidRDefault="00F371AA" w:rsidP="007F25C5">
            <w:pPr>
              <w:jc w:val="center"/>
              <w:rPr>
                <w:sz w:val="17"/>
                <w:szCs w:val="17"/>
              </w:rPr>
            </w:pPr>
            <w:r w:rsidRPr="00CA3519">
              <w:rPr>
                <w:sz w:val="17"/>
                <w:szCs w:val="17"/>
              </w:rPr>
              <w:t>-0,075</w:t>
            </w:r>
          </w:p>
        </w:tc>
        <w:tc>
          <w:tcPr>
            <w:tcW w:w="1086" w:type="dxa"/>
            <w:vAlign w:val="center"/>
          </w:tcPr>
          <w:p w14:paraId="3EA1E67F" w14:textId="77777777" w:rsidR="00F371AA" w:rsidRPr="00CA3519" w:rsidRDefault="00F371AA" w:rsidP="007F25C5">
            <w:pPr>
              <w:jc w:val="center"/>
              <w:rPr>
                <w:sz w:val="17"/>
                <w:szCs w:val="17"/>
              </w:rPr>
            </w:pPr>
            <w:r w:rsidRPr="00CA3519">
              <w:rPr>
                <w:sz w:val="17"/>
                <w:szCs w:val="17"/>
              </w:rPr>
              <w:t>0,066</w:t>
            </w:r>
          </w:p>
        </w:tc>
        <w:tc>
          <w:tcPr>
            <w:tcW w:w="1085" w:type="dxa"/>
            <w:vAlign w:val="center"/>
          </w:tcPr>
          <w:p w14:paraId="64147E0F" w14:textId="77777777" w:rsidR="00F371AA" w:rsidRPr="00CA3519" w:rsidRDefault="00F371AA" w:rsidP="007F25C5">
            <w:pPr>
              <w:jc w:val="center"/>
              <w:rPr>
                <w:sz w:val="17"/>
                <w:szCs w:val="17"/>
              </w:rPr>
            </w:pPr>
            <w:r w:rsidRPr="00CA3519">
              <w:rPr>
                <w:sz w:val="17"/>
                <w:szCs w:val="17"/>
              </w:rPr>
              <w:t>0,220</w:t>
            </w:r>
          </w:p>
        </w:tc>
        <w:tc>
          <w:tcPr>
            <w:tcW w:w="1086" w:type="dxa"/>
            <w:vAlign w:val="center"/>
          </w:tcPr>
          <w:p w14:paraId="0135032F" w14:textId="77777777" w:rsidR="00F371AA" w:rsidRPr="00CA3519" w:rsidRDefault="00F371AA" w:rsidP="007F25C5">
            <w:pPr>
              <w:jc w:val="center"/>
              <w:rPr>
                <w:sz w:val="17"/>
                <w:szCs w:val="17"/>
              </w:rPr>
            </w:pPr>
            <w:r w:rsidRPr="00CA3519">
              <w:rPr>
                <w:sz w:val="17"/>
                <w:szCs w:val="17"/>
              </w:rPr>
              <w:t>0,384</w:t>
            </w:r>
          </w:p>
        </w:tc>
        <w:tc>
          <w:tcPr>
            <w:tcW w:w="1085" w:type="dxa"/>
            <w:vAlign w:val="center"/>
          </w:tcPr>
          <w:p w14:paraId="69C7CD9B" w14:textId="77777777" w:rsidR="00F371AA" w:rsidRPr="00CA3519" w:rsidRDefault="00F371AA" w:rsidP="007F25C5">
            <w:pPr>
              <w:jc w:val="center"/>
              <w:rPr>
                <w:sz w:val="17"/>
                <w:szCs w:val="17"/>
              </w:rPr>
            </w:pPr>
            <w:r w:rsidRPr="00CA3519">
              <w:rPr>
                <w:sz w:val="17"/>
                <w:szCs w:val="17"/>
              </w:rPr>
              <w:t>0,561</w:t>
            </w:r>
          </w:p>
        </w:tc>
        <w:tc>
          <w:tcPr>
            <w:tcW w:w="1086" w:type="dxa"/>
            <w:vAlign w:val="center"/>
          </w:tcPr>
          <w:p w14:paraId="3127A19B" w14:textId="77777777" w:rsidR="00F371AA" w:rsidRPr="00CA3519" w:rsidRDefault="00F371AA" w:rsidP="007F25C5">
            <w:pPr>
              <w:jc w:val="center"/>
              <w:rPr>
                <w:sz w:val="17"/>
                <w:szCs w:val="17"/>
              </w:rPr>
            </w:pPr>
            <w:r w:rsidRPr="00CA3519">
              <w:rPr>
                <w:sz w:val="17"/>
                <w:szCs w:val="17"/>
              </w:rPr>
              <w:t>0,744</w:t>
            </w:r>
          </w:p>
        </w:tc>
        <w:tc>
          <w:tcPr>
            <w:tcW w:w="1086" w:type="dxa"/>
            <w:vAlign w:val="center"/>
          </w:tcPr>
          <w:p w14:paraId="586F84A2" w14:textId="77777777" w:rsidR="00F371AA" w:rsidRPr="00CA3519" w:rsidRDefault="00F371AA" w:rsidP="007F25C5">
            <w:pPr>
              <w:jc w:val="center"/>
              <w:rPr>
                <w:sz w:val="17"/>
                <w:szCs w:val="17"/>
              </w:rPr>
            </w:pPr>
            <w:r w:rsidRPr="00CA3519">
              <w:rPr>
                <w:sz w:val="17"/>
                <w:szCs w:val="17"/>
              </w:rPr>
              <w:t>0,913</w:t>
            </w:r>
          </w:p>
        </w:tc>
      </w:tr>
      <w:tr w:rsidR="00F371AA" w:rsidRPr="00CA3519" w14:paraId="481EABAE" w14:textId="77777777" w:rsidTr="007F25C5">
        <w:trPr>
          <w:trHeight w:val="397"/>
          <w:jc w:val="center"/>
        </w:trPr>
        <w:tc>
          <w:tcPr>
            <w:tcW w:w="2113" w:type="dxa"/>
            <w:vAlign w:val="center"/>
          </w:tcPr>
          <w:p w14:paraId="3D017DF8" w14:textId="77777777" w:rsidR="00F371AA" w:rsidRPr="00CA3519" w:rsidRDefault="00F371AA" w:rsidP="007F25C5">
            <w:pPr>
              <w:rPr>
                <w:sz w:val="17"/>
                <w:szCs w:val="17"/>
              </w:rPr>
            </w:pPr>
            <w:r w:rsidRPr="00CA3519">
              <w:rPr>
                <w:sz w:val="17"/>
                <w:szCs w:val="17"/>
              </w:rPr>
              <w:t>Dezember 2015</w:t>
            </w:r>
          </w:p>
        </w:tc>
        <w:tc>
          <w:tcPr>
            <w:tcW w:w="2113" w:type="dxa"/>
            <w:vAlign w:val="center"/>
          </w:tcPr>
          <w:p w14:paraId="7D4A6F7A" w14:textId="77777777" w:rsidR="00F371AA" w:rsidRPr="00CA3519" w:rsidRDefault="00F371AA" w:rsidP="007F25C5">
            <w:pPr>
              <w:jc w:val="center"/>
              <w:rPr>
                <w:sz w:val="17"/>
                <w:szCs w:val="17"/>
              </w:rPr>
            </w:pPr>
            <w:r w:rsidRPr="00CA3519">
              <w:rPr>
                <w:sz w:val="17"/>
                <w:szCs w:val="17"/>
              </w:rPr>
              <w:t>18.12.2015 - Ausg. 2</w:t>
            </w:r>
          </w:p>
        </w:tc>
        <w:tc>
          <w:tcPr>
            <w:tcW w:w="1085" w:type="dxa"/>
            <w:vAlign w:val="center"/>
          </w:tcPr>
          <w:p w14:paraId="2BA39A1A" w14:textId="77777777" w:rsidR="00F371AA" w:rsidRPr="00CA3519" w:rsidRDefault="00F371AA" w:rsidP="007F25C5">
            <w:pPr>
              <w:jc w:val="center"/>
              <w:rPr>
                <w:sz w:val="17"/>
                <w:szCs w:val="17"/>
              </w:rPr>
            </w:pPr>
            <w:r w:rsidRPr="00CA3519">
              <w:rPr>
                <w:sz w:val="17"/>
                <w:szCs w:val="17"/>
              </w:rPr>
              <w:t>-0,333</w:t>
            </w:r>
          </w:p>
        </w:tc>
        <w:tc>
          <w:tcPr>
            <w:tcW w:w="1086" w:type="dxa"/>
            <w:vAlign w:val="center"/>
          </w:tcPr>
          <w:p w14:paraId="3E5B97CF" w14:textId="77777777" w:rsidR="00F371AA" w:rsidRPr="00CA3519" w:rsidRDefault="00F371AA" w:rsidP="007F25C5">
            <w:pPr>
              <w:jc w:val="center"/>
              <w:rPr>
                <w:sz w:val="17"/>
                <w:szCs w:val="17"/>
              </w:rPr>
            </w:pPr>
            <w:r w:rsidRPr="00CA3519">
              <w:rPr>
                <w:sz w:val="17"/>
                <w:szCs w:val="17"/>
              </w:rPr>
              <w:t>-0,308</w:t>
            </w:r>
          </w:p>
        </w:tc>
        <w:tc>
          <w:tcPr>
            <w:tcW w:w="1085" w:type="dxa"/>
            <w:vAlign w:val="center"/>
          </w:tcPr>
          <w:p w14:paraId="5ADBBB29" w14:textId="77777777" w:rsidR="00F371AA" w:rsidRPr="00CA3519" w:rsidRDefault="00F371AA" w:rsidP="007F25C5">
            <w:pPr>
              <w:jc w:val="center"/>
              <w:rPr>
                <w:sz w:val="17"/>
                <w:szCs w:val="17"/>
              </w:rPr>
            </w:pPr>
            <w:r w:rsidRPr="00CA3519">
              <w:rPr>
                <w:sz w:val="17"/>
                <w:szCs w:val="17"/>
              </w:rPr>
              <w:t>-0,249</w:t>
            </w:r>
          </w:p>
        </w:tc>
        <w:tc>
          <w:tcPr>
            <w:tcW w:w="1086" w:type="dxa"/>
            <w:vAlign w:val="center"/>
          </w:tcPr>
          <w:p w14:paraId="3AA8015E" w14:textId="77777777" w:rsidR="00F371AA" w:rsidRPr="00CA3519" w:rsidRDefault="00F371AA" w:rsidP="007F25C5">
            <w:pPr>
              <w:jc w:val="center"/>
              <w:rPr>
                <w:sz w:val="17"/>
                <w:szCs w:val="17"/>
              </w:rPr>
            </w:pPr>
            <w:r w:rsidRPr="00CA3519">
              <w:rPr>
                <w:sz w:val="17"/>
                <w:szCs w:val="17"/>
              </w:rPr>
              <w:t>-0,140</w:t>
            </w:r>
          </w:p>
        </w:tc>
        <w:tc>
          <w:tcPr>
            <w:tcW w:w="1086" w:type="dxa"/>
            <w:vAlign w:val="center"/>
          </w:tcPr>
          <w:p w14:paraId="5A493516" w14:textId="77777777" w:rsidR="00F371AA" w:rsidRPr="00CA3519" w:rsidRDefault="00F371AA" w:rsidP="007F25C5">
            <w:pPr>
              <w:jc w:val="center"/>
              <w:rPr>
                <w:sz w:val="17"/>
                <w:szCs w:val="17"/>
              </w:rPr>
            </w:pPr>
            <w:r w:rsidRPr="00CA3519">
              <w:rPr>
                <w:sz w:val="17"/>
                <w:szCs w:val="17"/>
              </w:rPr>
              <w:t>0,000</w:t>
            </w:r>
          </w:p>
        </w:tc>
        <w:tc>
          <w:tcPr>
            <w:tcW w:w="1085" w:type="dxa"/>
            <w:vAlign w:val="center"/>
          </w:tcPr>
          <w:p w14:paraId="458660D6" w14:textId="77777777" w:rsidR="00F371AA" w:rsidRPr="00CA3519" w:rsidRDefault="00F371AA" w:rsidP="007F25C5">
            <w:pPr>
              <w:jc w:val="center"/>
              <w:rPr>
                <w:sz w:val="17"/>
                <w:szCs w:val="17"/>
              </w:rPr>
            </w:pPr>
            <w:r w:rsidRPr="00CA3519">
              <w:rPr>
                <w:sz w:val="17"/>
                <w:szCs w:val="17"/>
              </w:rPr>
              <w:t>0,160</w:t>
            </w:r>
          </w:p>
        </w:tc>
        <w:tc>
          <w:tcPr>
            <w:tcW w:w="1086" w:type="dxa"/>
            <w:vAlign w:val="center"/>
          </w:tcPr>
          <w:p w14:paraId="4F3DD565" w14:textId="77777777" w:rsidR="00F371AA" w:rsidRPr="00CA3519" w:rsidRDefault="00F371AA" w:rsidP="007F25C5">
            <w:pPr>
              <w:jc w:val="center"/>
              <w:rPr>
                <w:sz w:val="17"/>
                <w:szCs w:val="17"/>
              </w:rPr>
            </w:pPr>
            <w:r w:rsidRPr="00CA3519">
              <w:rPr>
                <w:sz w:val="17"/>
                <w:szCs w:val="17"/>
              </w:rPr>
              <w:t>0,335</w:t>
            </w:r>
          </w:p>
        </w:tc>
        <w:tc>
          <w:tcPr>
            <w:tcW w:w="1085" w:type="dxa"/>
            <w:vAlign w:val="center"/>
          </w:tcPr>
          <w:p w14:paraId="123073DD" w14:textId="77777777" w:rsidR="00F371AA" w:rsidRPr="00CA3519" w:rsidRDefault="00F371AA" w:rsidP="007F25C5">
            <w:pPr>
              <w:jc w:val="center"/>
              <w:rPr>
                <w:sz w:val="17"/>
                <w:szCs w:val="17"/>
              </w:rPr>
            </w:pPr>
            <w:r w:rsidRPr="00CA3519">
              <w:rPr>
                <w:sz w:val="17"/>
                <w:szCs w:val="17"/>
              </w:rPr>
              <w:t>0,527</w:t>
            </w:r>
          </w:p>
        </w:tc>
        <w:tc>
          <w:tcPr>
            <w:tcW w:w="1086" w:type="dxa"/>
            <w:vAlign w:val="center"/>
          </w:tcPr>
          <w:p w14:paraId="67D99589" w14:textId="77777777" w:rsidR="00F371AA" w:rsidRPr="00CA3519" w:rsidRDefault="00F371AA" w:rsidP="007F25C5">
            <w:pPr>
              <w:jc w:val="center"/>
              <w:rPr>
                <w:sz w:val="17"/>
                <w:szCs w:val="17"/>
              </w:rPr>
            </w:pPr>
            <w:r w:rsidRPr="00CA3519">
              <w:rPr>
                <w:sz w:val="17"/>
                <w:szCs w:val="17"/>
              </w:rPr>
              <w:t>0,725</w:t>
            </w:r>
          </w:p>
        </w:tc>
        <w:tc>
          <w:tcPr>
            <w:tcW w:w="1086" w:type="dxa"/>
            <w:vAlign w:val="center"/>
          </w:tcPr>
          <w:p w14:paraId="214AA813" w14:textId="77777777" w:rsidR="00F371AA" w:rsidRPr="00CA3519" w:rsidRDefault="00F371AA" w:rsidP="007F25C5">
            <w:pPr>
              <w:jc w:val="center"/>
              <w:rPr>
                <w:sz w:val="17"/>
                <w:szCs w:val="17"/>
              </w:rPr>
            </w:pPr>
            <w:r w:rsidRPr="00CA3519">
              <w:rPr>
                <w:sz w:val="17"/>
                <w:szCs w:val="17"/>
              </w:rPr>
              <w:t>0,900</w:t>
            </w:r>
            <w:r w:rsidR="007F25C5" w:rsidRPr="00CA3519">
              <w:rPr>
                <w:sz w:val="17"/>
                <w:szCs w:val="17"/>
              </w:rPr>
              <w:t>]</w:t>
            </w:r>
          </w:p>
        </w:tc>
      </w:tr>
      <w:tr w:rsidR="006E2521" w:rsidRPr="00CA3519" w14:paraId="0052B537"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5BAD16B0" w14:textId="77777777" w:rsidR="006E2521" w:rsidRPr="00CA3519" w:rsidRDefault="006E2521" w:rsidP="00AE2144">
            <w:pPr>
              <w:rPr>
                <w:sz w:val="17"/>
                <w:szCs w:val="17"/>
              </w:rPr>
            </w:pPr>
            <w:r w:rsidRPr="00CA3519">
              <w:rPr>
                <w:sz w:val="17"/>
                <w:szCs w:val="17"/>
              </w:rPr>
              <w:t>[Januar 2016</w:t>
            </w:r>
          </w:p>
        </w:tc>
        <w:tc>
          <w:tcPr>
            <w:tcW w:w="2113" w:type="dxa"/>
            <w:tcBorders>
              <w:top w:val="single" w:sz="4" w:space="0" w:color="auto"/>
              <w:left w:val="single" w:sz="4" w:space="0" w:color="auto"/>
              <w:bottom w:val="single" w:sz="4" w:space="0" w:color="auto"/>
              <w:right w:val="single" w:sz="4" w:space="0" w:color="auto"/>
            </w:tcBorders>
            <w:vAlign w:val="center"/>
          </w:tcPr>
          <w:p w14:paraId="1A4C4E08" w14:textId="77777777" w:rsidR="006E2521" w:rsidRPr="00CA3519" w:rsidRDefault="006E2521" w:rsidP="006E2521">
            <w:pPr>
              <w:jc w:val="center"/>
              <w:rPr>
                <w:sz w:val="17"/>
                <w:szCs w:val="17"/>
              </w:rPr>
            </w:pPr>
            <w:r w:rsidRPr="00CA3519">
              <w:rPr>
                <w:sz w:val="17"/>
                <w:szCs w:val="17"/>
              </w:rPr>
              <w:t>15.01.2016 - Ausg. 1</w:t>
            </w:r>
          </w:p>
        </w:tc>
        <w:tc>
          <w:tcPr>
            <w:tcW w:w="1085" w:type="dxa"/>
            <w:tcBorders>
              <w:top w:val="single" w:sz="4" w:space="0" w:color="auto"/>
              <w:left w:val="single" w:sz="4" w:space="0" w:color="auto"/>
              <w:bottom w:val="single" w:sz="4" w:space="0" w:color="auto"/>
              <w:right w:val="single" w:sz="4" w:space="0" w:color="auto"/>
            </w:tcBorders>
            <w:vAlign w:val="center"/>
          </w:tcPr>
          <w:p w14:paraId="7C5A588D" w14:textId="77777777" w:rsidR="006E2521" w:rsidRPr="00CA3519" w:rsidRDefault="006E2521" w:rsidP="006E2521">
            <w:pPr>
              <w:jc w:val="center"/>
              <w:rPr>
                <w:sz w:val="17"/>
                <w:szCs w:val="17"/>
              </w:rPr>
            </w:pPr>
            <w:r w:rsidRPr="00CA3519">
              <w:rPr>
                <w:sz w:val="17"/>
                <w:szCs w:val="17"/>
              </w:rPr>
              <w:t>-0,364</w:t>
            </w:r>
          </w:p>
        </w:tc>
        <w:tc>
          <w:tcPr>
            <w:tcW w:w="1086" w:type="dxa"/>
            <w:tcBorders>
              <w:top w:val="single" w:sz="4" w:space="0" w:color="auto"/>
              <w:left w:val="single" w:sz="4" w:space="0" w:color="auto"/>
              <w:bottom w:val="single" w:sz="4" w:space="0" w:color="auto"/>
              <w:right w:val="single" w:sz="4" w:space="0" w:color="auto"/>
            </w:tcBorders>
            <w:vAlign w:val="center"/>
          </w:tcPr>
          <w:p w14:paraId="31041CA6" w14:textId="77777777" w:rsidR="006E2521" w:rsidRPr="00CA3519" w:rsidRDefault="006E2521" w:rsidP="006E2521">
            <w:pPr>
              <w:jc w:val="center"/>
              <w:rPr>
                <w:sz w:val="17"/>
                <w:szCs w:val="17"/>
              </w:rPr>
            </w:pPr>
            <w:r w:rsidRPr="00CA3519">
              <w:rPr>
                <w:sz w:val="17"/>
                <w:szCs w:val="17"/>
              </w:rPr>
              <w:t>-0,319</w:t>
            </w:r>
          </w:p>
        </w:tc>
        <w:tc>
          <w:tcPr>
            <w:tcW w:w="1085" w:type="dxa"/>
            <w:tcBorders>
              <w:top w:val="single" w:sz="4" w:space="0" w:color="auto"/>
              <w:left w:val="single" w:sz="4" w:space="0" w:color="auto"/>
              <w:bottom w:val="single" w:sz="4" w:space="0" w:color="auto"/>
              <w:right w:val="single" w:sz="4" w:space="0" w:color="auto"/>
            </w:tcBorders>
            <w:vAlign w:val="center"/>
          </w:tcPr>
          <w:p w14:paraId="05CBD6DD" w14:textId="77777777" w:rsidR="006E2521" w:rsidRPr="00CA3519" w:rsidRDefault="006E2521" w:rsidP="006E2521">
            <w:pPr>
              <w:jc w:val="center"/>
              <w:rPr>
                <w:sz w:val="17"/>
                <w:szCs w:val="17"/>
              </w:rPr>
            </w:pPr>
            <w:r w:rsidRPr="00CA3519">
              <w:rPr>
                <w:sz w:val="17"/>
                <w:szCs w:val="17"/>
              </w:rPr>
              <w:t>-0,238</w:t>
            </w:r>
          </w:p>
        </w:tc>
        <w:tc>
          <w:tcPr>
            <w:tcW w:w="1086" w:type="dxa"/>
            <w:tcBorders>
              <w:top w:val="single" w:sz="4" w:space="0" w:color="auto"/>
              <w:left w:val="single" w:sz="4" w:space="0" w:color="auto"/>
              <w:bottom w:val="single" w:sz="4" w:space="0" w:color="auto"/>
              <w:right w:val="single" w:sz="4" w:space="0" w:color="auto"/>
            </w:tcBorders>
            <w:vAlign w:val="center"/>
          </w:tcPr>
          <w:p w14:paraId="77FE857E" w14:textId="77777777" w:rsidR="006E2521" w:rsidRPr="00CA3519" w:rsidRDefault="006E2521" w:rsidP="006E2521">
            <w:pPr>
              <w:jc w:val="center"/>
              <w:rPr>
                <w:sz w:val="17"/>
                <w:szCs w:val="17"/>
              </w:rPr>
            </w:pPr>
            <w:r w:rsidRPr="00CA3519">
              <w:rPr>
                <w:sz w:val="17"/>
                <w:szCs w:val="17"/>
              </w:rPr>
              <w:t>-0,111</w:t>
            </w:r>
          </w:p>
        </w:tc>
        <w:tc>
          <w:tcPr>
            <w:tcW w:w="1086" w:type="dxa"/>
            <w:tcBorders>
              <w:top w:val="single" w:sz="4" w:space="0" w:color="auto"/>
              <w:left w:val="single" w:sz="4" w:space="0" w:color="auto"/>
              <w:bottom w:val="single" w:sz="4" w:space="0" w:color="auto"/>
              <w:right w:val="single" w:sz="4" w:space="0" w:color="auto"/>
            </w:tcBorders>
            <w:vAlign w:val="center"/>
          </w:tcPr>
          <w:p w14:paraId="7A542F3A" w14:textId="77777777" w:rsidR="006E2521" w:rsidRPr="00CA3519" w:rsidRDefault="006E2521" w:rsidP="006E2521">
            <w:pPr>
              <w:jc w:val="center"/>
              <w:rPr>
                <w:sz w:val="17"/>
                <w:szCs w:val="17"/>
              </w:rPr>
            </w:pPr>
            <w:r w:rsidRPr="00CA3519">
              <w:rPr>
                <w:sz w:val="17"/>
                <w:szCs w:val="17"/>
              </w:rPr>
              <w:t>0,049</w:t>
            </w:r>
          </w:p>
        </w:tc>
        <w:tc>
          <w:tcPr>
            <w:tcW w:w="1085" w:type="dxa"/>
            <w:tcBorders>
              <w:top w:val="single" w:sz="4" w:space="0" w:color="auto"/>
              <w:left w:val="single" w:sz="4" w:space="0" w:color="auto"/>
              <w:bottom w:val="single" w:sz="4" w:space="0" w:color="auto"/>
              <w:right w:val="single" w:sz="4" w:space="0" w:color="auto"/>
            </w:tcBorders>
            <w:vAlign w:val="center"/>
          </w:tcPr>
          <w:p w14:paraId="0AA4B909" w14:textId="77777777" w:rsidR="006E2521" w:rsidRPr="00CA3519" w:rsidRDefault="006E2521" w:rsidP="006E2521">
            <w:pPr>
              <w:jc w:val="center"/>
              <w:rPr>
                <w:sz w:val="17"/>
                <w:szCs w:val="17"/>
              </w:rPr>
            </w:pPr>
            <w:r w:rsidRPr="00CA3519">
              <w:rPr>
                <w:sz w:val="17"/>
                <w:szCs w:val="17"/>
              </w:rPr>
              <w:t>0,233</w:t>
            </w:r>
          </w:p>
        </w:tc>
        <w:tc>
          <w:tcPr>
            <w:tcW w:w="1086" w:type="dxa"/>
            <w:tcBorders>
              <w:top w:val="single" w:sz="4" w:space="0" w:color="auto"/>
              <w:left w:val="single" w:sz="4" w:space="0" w:color="auto"/>
              <w:bottom w:val="single" w:sz="4" w:space="0" w:color="auto"/>
              <w:right w:val="single" w:sz="4" w:space="0" w:color="auto"/>
            </w:tcBorders>
            <w:vAlign w:val="center"/>
          </w:tcPr>
          <w:p w14:paraId="6C5B5693" w14:textId="77777777" w:rsidR="006E2521" w:rsidRPr="00CA3519" w:rsidRDefault="006E2521" w:rsidP="006E2521">
            <w:pPr>
              <w:jc w:val="center"/>
              <w:rPr>
                <w:sz w:val="17"/>
                <w:szCs w:val="17"/>
              </w:rPr>
            </w:pPr>
            <w:r w:rsidRPr="00CA3519">
              <w:rPr>
                <w:sz w:val="17"/>
                <w:szCs w:val="17"/>
              </w:rPr>
              <w:t>0,431</w:t>
            </w:r>
          </w:p>
        </w:tc>
        <w:tc>
          <w:tcPr>
            <w:tcW w:w="1085" w:type="dxa"/>
            <w:tcBorders>
              <w:top w:val="single" w:sz="4" w:space="0" w:color="auto"/>
              <w:left w:val="single" w:sz="4" w:space="0" w:color="auto"/>
              <w:bottom w:val="single" w:sz="4" w:space="0" w:color="auto"/>
              <w:right w:val="single" w:sz="4" w:space="0" w:color="auto"/>
            </w:tcBorders>
            <w:vAlign w:val="center"/>
          </w:tcPr>
          <w:p w14:paraId="07152A1C" w14:textId="77777777" w:rsidR="006E2521" w:rsidRPr="00CA3519" w:rsidRDefault="006E2521" w:rsidP="006E2521">
            <w:pPr>
              <w:jc w:val="center"/>
              <w:rPr>
                <w:sz w:val="17"/>
                <w:szCs w:val="17"/>
              </w:rPr>
            </w:pPr>
            <w:r w:rsidRPr="00CA3519">
              <w:rPr>
                <w:sz w:val="17"/>
                <w:szCs w:val="17"/>
              </w:rPr>
              <w:t>0,633</w:t>
            </w:r>
          </w:p>
        </w:tc>
        <w:tc>
          <w:tcPr>
            <w:tcW w:w="1086" w:type="dxa"/>
            <w:tcBorders>
              <w:top w:val="single" w:sz="4" w:space="0" w:color="auto"/>
              <w:left w:val="single" w:sz="4" w:space="0" w:color="auto"/>
              <w:bottom w:val="single" w:sz="4" w:space="0" w:color="auto"/>
              <w:right w:val="single" w:sz="4" w:space="0" w:color="auto"/>
            </w:tcBorders>
            <w:vAlign w:val="center"/>
          </w:tcPr>
          <w:p w14:paraId="51FD2C71" w14:textId="77777777" w:rsidR="006E2521" w:rsidRPr="00CA3519" w:rsidRDefault="006E2521" w:rsidP="006E2521">
            <w:pPr>
              <w:jc w:val="center"/>
              <w:rPr>
                <w:sz w:val="17"/>
                <w:szCs w:val="17"/>
              </w:rPr>
            </w:pPr>
            <w:r w:rsidRPr="00CA3519">
              <w:rPr>
                <w:sz w:val="17"/>
                <w:szCs w:val="17"/>
              </w:rPr>
              <w:t>0,829</w:t>
            </w:r>
          </w:p>
        </w:tc>
        <w:tc>
          <w:tcPr>
            <w:tcW w:w="1086" w:type="dxa"/>
            <w:tcBorders>
              <w:top w:val="single" w:sz="4" w:space="0" w:color="auto"/>
              <w:left w:val="single" w:sz="4" w:space="0" w:color="auto"/>
              <w:bottom w:val="single" w:sz="4" w:space="0" w:color="auto"/>
              <w:right w:val="single" w:sz="4" w:space="0" w:color="auto"/>
            </w:tcBorders>
            <w:vAlign w:val="center"/>
          </w:tcPr>
          <w:p w14:paraId="789ED4B2" w14:textId="77777777" w:rsidR="006E2521" w:rsidRPr="00CA3519" w:rsidRDefault="006E2521" w:rsidP="006E2521">
            <w:pPr>
              <w:jc w:val="center"/>
              <w:rPr>
                <w:sz w:val="17"/>
                <w:szCs w:val="17"/>
              </w:rPr>
            </w:pPr>
            <w:r w:rsidRPr="00CA3519">
              <w:rPr>
                <w:sz w:val="17"/>
                <w:szCs w:val="17"/>
              </w:rPr>
              <w:t>1,001</w:t>
            </w:r>
          </w:p>
        </w:tc>
      </w:tr>
      <w:tr w:rsidR="006E2521" w:rsidRPr="00CA3519" w14:paraId="3FDE4017"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7FFEBEE4" w14:textId="77777777" w:rsidR="006E2521" w:rsidRPr="00CA3519" w:rsidRDefault="006E2521" w:rsidP="00AE2144">
            <w:pPr>
              <w:rPr>
                <w:sz w:val="17"/>
                <w:szCs w:val="17"/>
              </w:rPr>
            </w:pPr>
            <w:r w:rsidRPr="00CA3519">
              <w:rPr>
                <w:sz w:val="17"/>
                <w:szCs w:val="17"/>
              </w:rPr>
              <w:t>Februar 2016</w:t>
            </w:r>
          </w:p>
        </w:tc>
        <w:tc>
          <w:tcPr>
            <w:tcW w:w="2113" w:type="dxa"/>
            <w:tcBorders>
              <w:top w:val="single" w:sz="4" w:space="0" w:color="auto"/>
              <w:left w:val="single" w:sz="4" w:space="0" w:color="auto"/>
              <w:bottom w:val="single" w:sz="4" w:space="0" w:color="auto"/>
              <w:right w:val="single" w:sz="4" w:space="0" w:color="auto"/>
            </w:tcBorders>
            <w:vAlign w:val="center"/>
          </w:tcPr>
          <w:p w14:paraId="6AEE2EB5" w14:textId="77777777" w:rsidR="006E2521" w:rsidRPr="00CA3519" w:rsidRDefault="006E2521" w:rsidP="006E2521">
            <w:pPr>
              <w:jc w:val="center"/>
              <w:rPr>
                <w:sz w:val="17"/>
                <w:szCs w:val="17"/>
              </w:rPr>
            </w:pPr>
            <w:r w:rsidRPr="00CA3519">
              <w:rPr>
                <w:sz w:val="17"/>
                <w:szCs w:val="17"/>
              </w:rPr>
              <w:t>24.02.2016 - Ausg. 1</w:t>
            </w:r>
          </w:p>
        </w:tc>
        <w:tc>
          <w:tcPr>
            <w:tcW w:w="1085" w:type="dxa"/>
            <w:tcBorders>
              <w:top w:val="single" w:sz="4" w:space="0" w:color="auto"/>
              <w:left w:val="single" w:sz="4" w:space="0" w:color="auto"/>
              <w:bottom w:val="single" w:sz="4" w:space="0" w:color="auto"/>
              <w:right w:val="single" w:sz="4" w:space="0" w:color="auto"/>
            </w:tcBorders>
            <w:vAlign w:val="center"/>
          </w:tcPr>
          <w:p w14:paraId="4E82C3F9" w14:textId="77777777" w:rsidR="006E2521" w:rsidRPr="00CA3519" w:rsidRDefault="006E2521" w:rsidP="006E2521">
            <w:pPr>
              <w:jc w:val="center"/>
              <w:rPr>
                <w:sz w:val="17"/>
                <w:szCs w:val="17"/>
              </w:rPr>
            </w:pPr>
            <w:r w:rsidRPr="00CA3519">
              <w:rPr>
                <w:sz w:val="17"/>
                <w:szCs w:val="17"/>
              </w:rPr>
              <w:t>-0,391</w:t>
            </w:r>
          </w:p>
        </w:tc>
        <w:tc>
          <w:tcPr>
            <w:tcW w:w="1086" w:type="dxa"/>
            <w:tcBorders>
              <w:top w:val="single" w:sz="4" w:space="0" w:color="auto"/>
              <w:left w:val="single" w:sz="4" w:space="0" w:color="auto"/>
              <w:bottom w:val="single" w:sz="4" w:space="0" w:color="auto"/>
              <w:right w:val="single" w:sz="4" w:space="0" w:color="auto"/>
            </w:tcBorders>
            <w:vAlign w:val="center"/>
          </w:tcPr>
          <w:p w14:paraId="09A508CB" w14:textId="77777777" w:rsidR="006E2521" w:rsidRPr="00CA3519" w:rsidRDefault="006E2521" w:rsidP="006E2521">
            <w:pPr>
              <w:jc w:val="center"/>
              <w:rPr>
                <w:sz w:val="17"/>
                <w:szCs w:val="17"/>
              </w:rPr>
            </w:pPr>
            <w:r w:rsidRPr="00CA3519">
              <w:rPr>
                <w:sz w:val="17"/>
                <w:szCs w:val="17"/>
              </w:rPr>
              <w:t>-0,361</w:t>
            </w:r>
          </w:p>
        </w:tc>
        <w:tc>
          <w:tcPr>
            <w:tcW w:w="1085" w:type="dxa"/>
            <w:tcBorders>
              <w:top w:val="single" w:sz="4" w:space="0" w:color="auto"/>
              <w:left w:val="single" w:sz="4" w:space="0" w:color="auto"/>
              <w:bottom w:val="single" w:sz="4" w:space="0" w:color="auto"/>
              <w:right w:val="single" w:sz="4" w:space="0" w:color="auto"/>
            </w:tcBorders>
            <w:vAlign w:val="center"/>
          </w:tcPr>
          <w:p w14:paraId="1B4F055A" w14:textId="77777777" w:rsidR="006E2521" w:rsidRPr="00CA3519" w:rsidRDefault="006E2521" w:rsidP="006E2521">
            <w:pPr>
              <w:jc w:val="center"/>
              <w:rPr>
                <w:sz w:val="17"/>
                <w:szCs w:val="17"/>
              </w:rPr>
            </w:pPr>
            <w:r w:rsidRPr="00CA3519">
              <w:rPr>
                <w:sz w:val="17"/>
                <w:szCs w:val="17"/>
              </w:rPr>
              <w:t>-0,303</w:t>
            </w:r>
          </w:p>
        </w:tc>
        <w:tc>
          <w:tcPr>
            <w:tcW w:w="1086" w:type="dxa"/>
            <w:tcBorders>
              <w:top w:val="single" w:sz="4" w:space="0" w:color="auto"/>
              <w:left w:val="single" w:sz="4" w:space="0" w:color="auto"/>
              <w:bottom w:val="single" w:sz="4" w:space="0" w:color="auto"/>
              <w:right w:val="single" w:sz="4" w:space="0" w:color="auto"/>
            </w:tcBorders>
            <w:vAlign w:val="center"/>
          </w:tcPr>
          <w:p w14:paraId="418D0A9D" w14:textId="77777777" w:rsidR="006E2521" w:rsidRPr="00CA3519" w:rsidRDefault="006E2521" w:rsidP="006E2521">
            <w:pPr>
              <w:jc w:val="center"/>
              <w:rPr>
                <w:sz w:val="17"/>
                <w:szCs w:val="17"/>
              </w:rPr>
            </w:pPr>
            <w:r w:rsidRPr="00CA3519">
              <w:rPr>
                <w:sz w:val="17"/>
                <w:szCs w:val="17"/>
              </w:rPr>
              <w:t>-0,201</w:t>
            </w:r>
          </w:p>
        </w:tc>
        <w:tc>
          <w:tcPr>
            <w:tcW w:w="1086" w:type="dxa"/>
            <w:tcBorders>
              <w:top w:val="single" w:sz="4" w:space="0" w:color="auto"/>
              <w:left w:val="single" w:sz="4" w:space="0" w:color="auto"/>
              <w:bottom w:val="single" w:sz="4" w:space="0" w:color="auto"/>
              <w:right w:val="single" w:sz="4" w:space="0" w:color="auto"/>
            </w:tcBorders>
            <w:vAlign w:val="center"/>
          </w:tcPr>
          <w:p w14:paraId="5ADCF65C" w14:textId="77777777" w:rsidR="006E2521" w:rsidRPr="00CA3519" w:rsidRDefault="006E2521" w:rsidP="006E2521">
            <w:pPr>
              <w:jc w:val="center"/>
              <w:rPr>
                <w:sz w:val="17"/>
                <w:szCs w:val="17"/>
              </w:rPr>
            </w:pPr>
            <w:r w:rsidRPr="00CA3519">
              <w:rPr>
                <w:sz w:val="17"/>
                <w:szCs w:val="17"/>
              </w:rPr>
              <w:t>-0,062</w:t>
            </w:r>
          </w:p>
        </w:tc>
        <w:tc>
          <w:tcPr>
            <w:tcW w:w="1085" w:type="dxa"/>
            <w:tcBorders>
              <w:top w:val="single" w:sz="4" w:space="0" w:color="auto"/>
              <w:left w:val="single" w:sz="4" w:space="0" w:color="auto"/>
              <w:bottom w:val="single" w:sz="4" w:space="0" w:color="auto"/>
              <w:right w:val="single" w:sz="4" w:space="0" w:color="auto"/>
            </w:tcBorders>
            <w:vAlign w:val="center"/>
          </w:tcPr>
          <w:p w14:paraId="69E412A4" w14:textId="77777777" w:rsidR="006E2521" w:rsidRPr="00CA3519" w:rsidRDefault="006E2521" w:rsidP="006E2521">
            <w:pPr>
              <w:jc w:val="center"/>
              <w:rPr>
                <w:sz w:val="17"/>
                <w:szCs w:val="17"/>
              </w:rPr>
            </w:pPr>
            <w:r w:rsidRPr="00CA3519">
              <w:rPr>
                <w:sz w:val="17"/>
                <w:szCs w:val="17"/>
              </w:rPr>
              <w:t>0,099</w:t>
            </w:r>
          </w:p>
        </w:tc>
        <w:tc>
          <w:tcPr>
            <w:tcW w:w="1086" w:type="dxa"/>
            <w:tcBorders>
              <w:top w:val="single" w:sz="4" w:space="0" w:color="auto"/>
              <w:left w:val="single" w:sz="4" w:space="0" w:color="auto"/>
              <w:bottom w:val="single" w:sz="4" w:space="0" w:color="auto"/>
              <w:right w:val="single" w:sz="4" w:space="0" w:color="auto"/>
            </w:tcBorders>
            <w:vAlign w:val="center"/>
          </w:tcPr>
          <w:p w14:paraId="6DAC1B01" w14:textId="77777777" w:rsidR="006E2521" w:rsidRPr="00CA3519" w:rsidRDefault="006E2521" w:rsidP="006E2521">
            <w:pPr>
              <w:jc w:val="center"/>
              <w:rPr>
                <w:sz w:val="17"/>
                <w:szCs w:val="17"/>
              </w:rPr>
            </w:pPr>
            <w:r w:rsidRPr="00CA3519">
              <w:rPr>
                <w:sz w:val="17"/>
                <w:szCs w:val="17"/>
              </w:rPr>
              <w:t>0,274</w:t>
            </w:r>
          </w:p>
        </w:tc>
        <w:tc>
          <w:tcPr>
            <w:tcW w:w="1085" w:type="dxa"/>
            <w:tcBorders>
              <w:top w:val="single" w:sz="4" w:space="0" w:color="auto"/>
              <w:left w:val="single" w:sz="4" w:space="0" w:color="auto"/>
              <w:bottom w:val="single" w:sz="4" w:space="0" w:color="auto"/>
              <w:right w:val="single" w:sz="4" w:space="0" w:color="auto"/>
            </w:tcBorders>
            <w:vAlign w:val="center"/>
          </w:tcPr>
          <w:p w14:paraId="7E94F81C" w14:textId="77777777" w:rsidR="006E2521" w:rsidRPr="00CA3519" w:rsidRDefault="006E2521" w:rsidP="006E2521">
            <w:pPr>
              <w:jc w:val="center"/>
              <w:rPr>
                <w:sz w:val="17"/>
                <w:szCs w:val="17"/>
              </w:rPr>
            </w:pPr>
            <w:r w:rsidRPr="00CA3519">
              <w:rPr>
                <w:sz w:val="17"/>
                <w:szCs w:val="17"/>
              </w:rPr>
              <w:t>0,461</w:t>
            </w:r>
          </w:p>
        </w:tc>
        <w:tc>
          <w:tcPr>
            <w:tcW w:w="1086" w:type="dxa"/>
            <w:tcBorders>
              <w:top w:val="single" w:sz="4" w:space="0" w:color="auto"/>
              <w:left w:val="single" w:sz="4" w:space="0" w:color="auto"/>
              <w:bottom w:val="single" w:sz="4" w:space="0" w:color="auto"/>
              <w:right w:val="single" w:sz="4" w:space="0" w:color="auto"/>
            </w:tcBorders>
            <w:vAlign w:val="center"/>
          </w:tcPr>
          <w:p w14:paraId="33FF4907" w14:textId="77777777" w:rsidR="006E2521" w:rsidRPr="00CA3519" w:rsidRDefault="006E2521" w:rsidP="006E2521">
            <w:pPr>
              <w:jc w:val="center"/>
              <w:rPr>
                <w:sz w:val="17"/>
                <w:szCs w:val="17"/>
              </w:rPr>
            </w:pPr>
            <w:r w:rsidRPr="00CA3519">
              <w:rPr>
                <w:sz w:val="17"/>
                <w:szCs w:val="17"/>
              </w:rPr>
              <w:t>0,650</w:t>
            </w:r>
          </w:p>
        </w:tc>
        <w:tc>
          <w:tcPr>
            <w:tcW w:w="1086" w:type="dxa"/>
            <w:tcBorders>
              <w:top w:val="single" w:sz="4" w:space="0" w:color="auto"/>
              <w:left w:val="single" w:sz="4" w:space="0" w:color="auto"/>
              <w:bottom w:val="single" w:sz="4" w:space="0" w:color="auto"/>
              <w:right w:val="single" w:sz="4" w:space="0" w:color="auto"/>
            </w:tcBorders>
            <w:vAlign w:val="center"/>
          </w:tcPr>
          <w:p w14:paraId="63A158F3" w14:textId="77777777" w:rsidR="006E2521" w:rsidRPr="00CA3519" w:rsidRDefault="006E2521" w:rsidP="006E2521">
            <w:pPr>
              <w:jc w:val="center"/>
              <w:rPr>
                <w:sz w:val="17"/>
                <w:szCs w:val="17"/>
              </w:rPr>
            </w:pPr>
            <w:r w:rsidRPr="00CA3519">
              <w:rPr>
                <w:sz w:val="17"/>
                <w:szCs w:val="17"/>
              </w:rPr>
              <w:t>0,823</w:t>
            </w:r>
          </w:p>
        </w:tc>
      </w:tr>
      <w:tr w:rsidR="006E2521" w:rsidRPr="00CA3519" w14:paraId="441EFC08"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4C4D75B7" w14:textId="77777777" w:rsidR="006E2521" w:rsidRPr="00CA3519" w:rsidRDefault="006E2521" w:rsidP="00AE2144">
            <w:pPr>
              <w:rPr>
                <w:sz w:val="17"/>
                <w:szCs w:val="17"/>
              </w:rPr>
            </w:pPr>
            <w:r w:rsidRPr="00CA3519">
              <w:rPr>
                <w:sz w:val="17"/>
                <w:szCs w:val="17"/>
              </w:rPr>
              <w:t>März 2016</w:t>
            </w:r>
          </w:p>
        </w:tc>
        <w:tc>
          <w:tcPr>
            <w:tcW w:w="2113" w:type="dxa"/>
            <w:tcBorders>
              <w:top w:val="single" w:sz="4" w:space="0" w:color="auto"/>
              <w:left w:val="single" w:sz="4" w:space="0" w:color="auto"/>
              <w:bottom w:val="single" w:sz="4" w:space="0" w:color="auto"/>
              <w:right w:val="single" w:sz="4" w:space="0" w:color="auto"/>
            </w:tcBorders>
            <w:vAlign w:val="center"/>
          </w:tcPr>
          <w:p w14:paraId="52A9D2A2" w14:textId="77777777" w:rsidR="006E2521" w:rsidRPr="00CA3519" w:rsidRDefault="006E2521" w:rsidP="006E2521">
            <w:pPr>
              <w:jc w:val="center"/>
              <w:rPr>
                <w:sz w:val="17"/>
                <w:szCs w:val="17"/>
              </w:rPr>
            </w:pPr>
            <w:r w:rsidRPr="00CA3519">
              <w:rPr>
                <w:sz w:val="17"/>
                <w:szCs w:val="17"/>
              </w:rPr>
              <w:t>17.03.2016 - Ausg. 2</w:t>
            </w:r>
          </w:p>
        </w:tc>
        <w:tc>
          <w:tcPr>
            <w:tcW w:w="1085" w:type="dxa"/>
            <w:tcBorders>
              <w:top w:val="single" w:sz="4" w:space="0" w:color="auto"/>
              <w:left w:val="single" w:sz="4" w:space="0" w:color="auto"/>
              <w:bottom w:val="single" w:sz="4" w:space="0" w:color="auto"/>
              <w:right w:val="single" w:sz="4" w:space="0" w:color="auto"/>
            </w:tcBorders>
            <w:vAlign w:val="center"/>
          </w:tcPr>
          <w:p w14:paraId="580272EE" w14:textId="77777777" w:rsidR="006E2521" w:rsidRPr="00CA3519" w:rsidRDefault="006E2521" w:rsidP="006E2521">
            <w:pPr>
              <w:jc w:val="center"/>
              <w:rPr>
                <w:sz w:val="17"/>
                <w:szCs w:val="17"/>
              </w:rPr>
            </w:pPr>
            <w:r w:rsidRPr="00CA3519">
              <w:rPr>
                <w:sz w:val="17"/>
                <w:szCs w:val="17"/>
              </w:rPr>
              <w:t>-0,433</w:t>
            </w:r>
          </w:p>
        </w:tc>
        <w:tc>
          <w:tcPr>
            <w:tcW w:w="1086" w:type="dxa"/>
            <w:tcBorders>
              <w:top w:val="single" w:sz="4" w:space="0" w:color="auto"/>
              <w:left w:val="single" w:sz="4" w:space="0" w:color="auto"/>
              <w:bottom w:val="single" w:sz="4" w:space="0" w:color="auto"/>
              <w:right w:val="single" w:sz="4" w:space="0" w:color="auto"/>
            </w:tcBorders>
            <w:vAlign w:val="center"/>
          </w:tcPr>
          <w:p w14:paraId="71000BBE" w14:textId="77777777" w:rsidR="006E2521" w:rsidRPr="00CA3519" w:rsidRDefault="006E2521" w:rsidP="006E2521">
            <w:pPr>
              <w:jc w:val="center"/>
              <w:rPr>
                <w:sz w:val="17"/>
                <w:szCs w:val="17"/>
              </w:rPr>
            </w:pPr>
            <w:r w:rsidRPr="00CA3519">
              <w:rPr>
                <w:sz w:val="17"/>
                <w:szCs w:val="17"/>
              </w:rPr>
              <w:t>-0,421</w:t>
            </w:r>
          </w:p>
        </w:tc>
        <w:tc>
          <w:tcPr>
            <w:tcW w:w="1085" w:type="dxa"/>
            <w:tcBorders>
              <w:top w:val="single" w:sz="4" w:space="0" w:color="auto"/>
              <w:left w:val="single" w:sz="4" w:space="0" w:color="auto"/>
              <w:bottom w:val="single" w:sz="4" w:space="0" w:color="auto"/>
              <w:right w:val="single" w:sz="4" w:space="0" w:color="auto"/>
            </w:tcBorders>
            <w:vAlign w:val="center"/>
          </w:tcPr>
          <w:p w14:paraId="29CF7ED2" w14:textId="77777777" w:rsidR="006E2521" w:rsidRPr="00CA3519" w:rsidRDefault="006E2521" w:rsidP="006E2521">
            <w:pPr>
              <w:jc w:val="center"/>
              <w:rPr>
                <w:sz w:val="17"/>
                <w:szCs w:val="17"/>
              </w:rPr>
            </w:pPr>
            <w:r w:rsidRPr="00CA3519">
              <w:rPr>
                <w:sz w:val="17"/>
                <w:szCs w:val="17"/>
              </w:rPr>
              <w:t>-0,388</w:t>
            </w:r>
          </w:p>
        </w:tc>
        <w:tc>
          <w:tcPr>
            <w:tcW w:w="1086" w:type="dxa"/>
            <w:tcBorders>
              <w:top w:val="single" w:sz="4" w:space="0" w:color="auto"/>
              <w:left w:val="single" w:sz="4" w:space="0" w:color="auto"/>
              <w:bottom w:val="single" w:sz="4" w:space="0" w:color="auto"/>
              <w:right w:val="single" w:sz="4" w:space="0" w:color="auto"/>
            </w:tcBorders>
            <w:vAlign w:val="center"/>
          </w:tcPr>
          <w:p w14:paraId="18410F70" w14:textId="77777777" w:rsidR="006E2521" w:rsidRPr="00CA3519" w:rsidRDefault="006E2521" w:rsidP="006E2521">
            <w:pPr>
              <w:jc w:val="center"/>
              <w:rPr>
                <w:sz w:val="17"/>
                <w:szCs w:val="17"/>
              </w:rPr>
            </w:pPr>
            <w:r w:rsidRPr="00CA3519">
              <w:rPr>
                <w:sz w:val="17"/>
                <w:szCs w:val="17"/>
              </w:rPr>
              <w:t>-0,318</w:t>
            </w:r>
          </w:p>
        </w:tc>
        <w:tc>
          <w:tcPr>
            <w:tcW w:w="1086" w:type="dxa"/>
            <w:tcBorders>
              <w:top w:val="single" w:sz="4" w:space="0" w:color="auto"/>
              <w:left w:val="single" w:sz="4" w:space="0" w:color="auto"/>
              <w:bottom w:val="single" w:sz="4" w:space="0" w:color="auto"/>
              <w:right w:val="single" w:sz="4" w:space="0" w:color="auto"/>
            </w:tcBorders>
            <w:vAlign w:val="center"/>
          </w:tcPr>
          <w:p w14:paraId="12FA0AAA" w14:textId="77777777" w:rsidR="006E2521" w:rsidRPr="00CA3519" w:rsidRDefault="006E2521" w:rsidP="006E2521">
            <w:pPr>
              <w:jc w:val="center"/>
              <w:rPr>
                <w:sz w:val="17"/>
                <w:szCs w:val="17"/>
              </w:rPr>
            </w:pPr>
            <w:r w:rsidRPr="00CA3519">
              <w:rPr>
                <w:sz w:val="17"/>
                <w:szCs w:val="17"/>
              </w:rPr>
              <w:t>-0,211</w:t>
            </w:r>
          </w:p>
        </w:tc>
        <w:tc>
          <w:tcPr>
            <w:tcW w:w="1085" w:type="dxa"/>
            <w:tcBorders>
              <w:top w:val="single" w:sz="4" w:space="0" w:color="auto"/>
              <w:left w:val="single" w:sz="4" w:space="0" w:color="auto"/>
              <w:bottom w:val="single" w:sz="4" w:space="0" w:color="auto"/>
              <w:right w:val="single" w:sz="4" w:space="0" w:color="auto"/>
            </w:tcBorders>
            <w:vAlign w:val="center"/>
          </w:tcPr>
          <w:p w14:paraId="1D77E078" w14:textId="77777777" w:rsidR="006E2521" w:rsidRPr="00CA3519" w:rsidRDefault="006E2521" w:rsidP="006E2521">
            <w:pPr>
              <w:jc w:val="center"/>
              <w:rPr>
                <w:sz w:val="17"/>
                <w:szCs w:val="17"/>
              </w:rPr>
            </w:pPr>
            <w:r w:rsidRPr="00CA3519">
              <w:rPr>
                <w:sz w:val="17"/>
                <w:szCs w:val="17"/>
              </w:rPr>
              <w:t>-0,075</w:t>
            </w:r>
          </w:p>
        </w:tc>
        <w:tc>
          <w:tcPr>
            <w:tcW w:w="1086" w:type="dxa"/>
            <w:tcBorders>
              <w:top w:val="single" w:sz="4" w:space="0" w:color="auto"/>
              <w:left w:val="single" w:sz="4" w:space="0" w:color="auto"/>
              <w:bottom w:val="single" w:sz="4" w:space="0" w:color="auto"/>
              <w:right w:val="single" w:sz="4" w:space="0" w:color="auto"/>
            </w:tcBorders>
            <w:vAlign w:val="center"/>
          </w:tcPr>
          <w:p w14:paraId="1AEB24BA" w14:textId="77777777" w:rsidR="006E2521" w:rsidRPr="00CA3519" w:rsidRDefault="006E2521" w:rsidP="006E2521">
            <w:pPr>
              <w:jc w:val="center"/>
              <w:rPr>
                <w:sz w:val="17"/>
                <w:szCs w:val="17"/>
              </w:rPr>
            </w:pPr>
            <w:r w:rsidRPr="00CA3519">
              <w:rPr>
                <w:sz w:val="17"/>
                <w:szCs w:val="17"/>
              </w:rPr>
              <w:t>0,085</w:t>
            </w:r>
          </w:p>
        </w:tc>
        <w:tc>
          <w:tcPr>
            <w:tcW w:w="1085" w:type="dxa"/>
            <w:tcBorders>
              <w:top w:val="single" w:sz="4" w:space="0" w:color="auto"/>
              <w:left w:val="single" w:sz="4" w:space="0" w:color="auto"/>
              <w:bottom w:val="single" w:sz="4" w:space="0" w:color="auto"/>
              <w:right w:val="single" w:sz="4" w:space="0" w:color="auto"/>
            </w:tcBorders>
            <w:vAlign w:val="center"/>
          </w:tcPr>
          <w:p w14:paraId="49ECB1D6" w14:textId="77777777" w:rsidR="006E2521" w:rsidRPr="00CA3519" w:rsidRDefault="006E2521" w:rsidP="006E2521">
            <w:pPr>
              <w:jc w:val="center"/>
              <w:rPr>
                <w:sz w:val="17"/>
                <w:szCs w:val="17"/>
              </w:rPr>
            </w:pPr>
            <w:r w:rsidRPr="00CA3519">
              <w:rPr>
                <w:sz w:val="17"/>
                <w:szCs w:val="17"/>
              </w:rPr>
              <w:t>0,264</w:t>
            </w:r>
          </w:p>
        </w:tc>
        <w:tc>
          <w:tcPr>
            <w:tcW w:w="1086" w:type="dxa"/>
            <w:tcBorders>
              <w:top w:val="single" w:sz="4" w:space="0" w:color="auto"/>
              <w:left w:val="single" w:sz="4" w:space="0" w:color="auto"/>
              <w:bottom w:val="single" w:sz="4" w:space="0" w:color="auto"/>
              <w:right w:val="single" w:sz="4" w:space="0" w:color="auto"/>
            </w:tcBorders>
            <w:vAlign w:val="center"/>
          </w:tcPr>
          <w:p w14:paraId="186F3669" w14:textId="77777777" w:rsidR="006E2521" w:rsidRPr="00CA3519" w:rsidRDefault="006E2521" w:rsidP="006E2521">
            <w:pPr>
              <w:jc w:val="center"/>
              <w:rPr>
                <w:sz w:val="17"/>
                <w:szCs w:val="17"/>
              </w:rPr>
            </w:pPr>
            <w:r w:rsidRPr="00CA3519">
              <w:rPr>
                <w:sz w:val="17"/>
                <w:szCs w:val="17"/>
              </w:rPr>
              <w:t>0,451</w:t>
            </w:r>
          </w:p>
        </w:tc>
        <w:tc>
          <w:tcPr>
            <w:tcW w:w="1086" w:type="dxa"/>
            <w:tcBorders>
              <w:top w:val="single" w:sz="4" w:space="0" w:color="auto"/>
              <w:left w:val="single" w:sz="4" w:space="0" w:color="auto"/>
              <w:bottom w:val="single" w:sz="4" w:space="0" w:color="auto"/>
              <w:right w:val="single" w:sz="4" w:space="0" w:color="auto"/>
            </w:tcBorders>
            <w:vAlign w:val="center"/>
          </w:tcPr>
          <w:p w14:paraId="7D87218C" w14:textId="77777777" w:rsidR="006E2521" w:rsidRPr="00CA3519" w:rsidRDefault="006E2521" w:rsidP="006E2521">
            <w:pPr>
              <w:jc w:val="center"/>
              <w:rPr>
                <w:sz w:val="17"/>
                <w:szCs w:val="17"/>
              </w:rPr>
            </w:pPr>
            <w:r w:rsidRPr="00CA3519">
              <w:rPr>
                <w:sz w:val="17"/>
                <w:szCs w:val="17"/>
              </w:rPr>
              <w:t>0,625</w:t>
            </w:r>
          </w:p>
        </w:tc>
      </w:tr>
      <w:tr w:rsidR="006E2521" w:rsidRPr="00CA3519" w14:paraId="12A28E90"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73B7A8A1" w14:textId="77777777" w:rsidR="006E2521" w:rsidRPr="00CA3519" w:rsidRDefault="006E2521" w:rsidP="00AE2144">
            <w:pPr>
              <w:rPr>
                <w:sz w:val="17"/>
                <w:szCs w:val="17"/>
              </w:rPr>
            </w:pPr>
            <w:r w:rsidRPr="00CA3519">
              <w:rPr>
                <w:sz w:val="17"/>
                <w:szCs w:val="17"/>
              </w:rPr>
              <w:t>April 2016</w:t>
            </w:r>
          </w:p>
        </w:tc>
        <w:tc>
          <w:tcPr>
            <w:tcW w:w="2113" w:type="dxa"/>
            <w:tcBorders>
              <w:top w:val="single" w:sz="4" w:space="0" w:color="auto"/>
              <w:left w:val="single" w:sz="4" w:space="0" w:color="auto"/>
              <w:bottom w:val="single" w:sz="4" w:space="0" w:color="auto"/>
              <w:right w:val="single" w:sz="4" w:space="0" w:color="auto"/>
            </w:tcBorders>
            <w:vAlign w:val="center"/>
          </w:tcPr>
          <w:p w14:paraId="67CD0DA4" w14:textId="77777777" w:rsidR="006E2521" w:rsidRPr="00CA3519" w:rsidRDefault="006E2521" w:rsidP="006E2521">
            <w:pPr>
              <w:jc w:val="center"/>
              <w:rPr>
                <w:sz w:val="17"/>
                <w:szCs w:val="17"/>
              </w:rPr>
            </w:pPr>
            <w:r w:rsidRPr="00CA3519">
              <w:rPr>
                <w:sz w:val="17"/>
                <w:szCs w:val="17"/>
              </w:rPr>
              <w:t>15.04.2016 - Ausg. 2</w:t>
            </w:r>
          </w:p>
        </w:tc>
        <w:tc>
          <w:tcPr>
            <w:tcW w:w="1085" w:type="dxa"/>
            <w:tcBorders>
              <w:top w:val="single" w:sz="4" w:space="0" w:color="auto"/>
              <w:left w:val="single" w:sz="4" w:space="0" w:color="auto"/>
              <w:bottom w:val="single" w:sz="4" w:space="0" w:color="auto"/>
              <w:right w:val="single" w:sz="4" w:space="0" w:color="auto"/>
            </w:tcBorders>
            <w:vAlign w:val="center"/>
          </w:tcPr>
          <w:p w14:paraId="40912ECF" w14:textId="77777777" w:rsidR="006E2521" w:rsidRPr="00CA3519" w:rsidRDefault="006E2521" w:rsidP="006E2521">
            <w:pPr>
              <w:jc w:val="center"/>
              <w:rPr>
                <w:sz w:val="17"/>
                <w:szCs w:val="17"/>
              </w:rPr>
            </w:pPr>
            <w:r w:rsidRPr="00CA3519">
              <w:rPr>
                <w:sz w:val="17"/>
                <w:szCs w:val="17"/>
              </w:rPr>
              <w:t>-0,443</w:t>
            </w:r>
          </w:p>
        </w:tc>
        <w:tc>
          <w:tcPr>
            <w:tcW w:w="1086" w:type="dxa"/>
            <w:tcBorders>
              <w:top w:val="single" w:sz="4" w:space="0" w:color="auto"/>
              <w:left w:val="single" w:sz="4" w:space="0" w:color="auto"/>
              <w:bottom w:val="single" w:sz="4" w:space="0" w:color="auto"/>
              <w:right w:val="single" w:sz="4" w:space="0" w:color="auto"/>
            </w:tcBorders>
            <w:vAlign w:val="center"/>
          </w:tcPr>
          <w:p w14:paraId="1CBD9A10" w14:textId="77777777" w:rsidR="006E2521" w:rsidRPr="00CA3519" w:rsidRDefault="006E2521" w:rsidP="006E2521">
            <w:pPr>
              <w:jc w:val="center"/>
              <w:rPr>
                <w:sz w:val="17"/>
                <w:szCs w:val="17"/>
              </w:rPr>
            </w:pPr>
            <w:r w:rsidRPr="00CA3519">
              <w:rPr>
                <w:sz w:val="17"/>
                <w:szCs w:val="17"/>
              </w:rPr>
              <w:t>-0,410</w:t>
            </w:r>
          </w:p>
        </w:tc>
        <w:tc>
          <w:tcPr>
            <w:tcW w:w="1085" w:type="dxa"/>
            <w:tcBorders>
              <w:top w:val="single" w:sz="4" w:space="0" w:color="auto"/>
              <w:left w:val="single" w:sz="4" w:space="0" w:color="auto"/>
              <w:bottom w:val="single" w:sz="4" w:space="0" w:color="auto"/>
              <w:right w:val="single" w:sz="4" w:space="0" w:color="auto"/>
            </w:tcBorders>
            <w:vAlign w:val="center"/>
          </w:tcPr>
          <w:p w14:paraId="30CC09A4" w14:textId="77777777" w:rsidR="006E2521" w:rsidRPr="00CA3519" w:rsidRDefault="006E2521" w:rsidP="006E2521">
            <w:pPr>
              <w:jc w:val="center"/>
              <w:rPr>
                <w:sz w:val="17"/>
                <w:szCs w:val="17"/>
              </w:rPr>
            </w:pPr>
            <w:r w:rsidRPr="00CA3519">
              <w:rPr>
                <w:sz w:val="17"/>
                <w:szCs w:val="17"/>
              </w:rPr>
              <w:t>-0,367</w:t>
            </w:r>
          </w:p>
        </w:tc>
        <w:tc>
          <w:tcPr>
            <w:tcW w:w="1086" w:type="dxa"/>
            <w:tcBorders>
              <w:top w:val="single" w:sz="4" w:space="0" w:color="auto"/>
              <w:left w:val="single" w:sz="4" w:space="0" w:color="auto"/>
              <w:bottom w:val="single" w:sz="4" w:space="0" w:color="auto"/>
              <w:right w:val="single" w:sz="4" w:space="0" w:color="auto"/>
            </w:tcBorders>
            <w:vAlign w:val="center"/>
          </w:tcPr>
          <w:p w14:paraId="1E9AAA67" w14:textId="77777777" w:rsidR="006E2521" w:rsidRPr="00CA3519" w:rsidRDefault="006E2521" w:rsidP="006E2521">
            <w:pPr>
              <w:jc w:val="center"/>
              <w:rPr>
                <w:sz w:val="17"/>
                <w:szCs w:val="17"/>
              </w:rPr>
            </w:pPr>
            <w:r w:rsidRPr="00CA3519">
              <w:rPr>
                <w:sz w:val="17"/>
                <w:szCs w:val="17"/>
              </w:rPr>
              <w:t>-0,304</w:t>
            </w:r>
          </w:p>
        </w:tc>
        <w:tc>
          <w:tcPr>
            <w:tcW w:w="1086" w:type="dxa"/>
            <w:tcBorders>
              <w:top w:val="single" w:sz="4" w:space="0" w:color="auto"/>
              <w:left w:val="single" w:sz="4" w:space="0" w:color="auto"/>
              <w:bottom w:val="single" w:sz="4" w:space="0" w:color="auto"/>
              <w:right w:val="single" w:sz="4" w:space="0" w:color="auto"/>
            </w:tcBorders>
            <w:vAlign w:val="center"/>
          </w:tcPr>
          <w:p w14:paraId="2E87F262" w14:textId="77777777" w:rsidR="006E2521" w:rsidRPr="00CA3519" w:rsidRDefault="006E2521" w:rsidP="006E2521">
            <w:pPr>
              <w:jc w:val="center"/>
              <w:rPr>
                <w:sz w:val="17"/>
                <w:szCs w:val="17"/>
              </w:rPr>
            </w:pPr>
            <w:r w:rsidRPr="00CA3519">
              <w:rPr>
                <w:sz w:val="17"/>
                <w:szCs w:val="17"/>
              </w:rPr>
              <w:t>-0,217</w:t>
            </w:r>
          </w:p>
        </w:tc>
        <w:tc>
          <w:tcPr>
            <w:tcW w:w="1085" w:type="dxa"/>
            <w:tcBorders>
              <w:top w:val="single" w:sz="4" w:space="0" w:color="auto"/>
              <w:left w:val="single" w:sz="4" w:space="0" w:color="auto"/>
              <w:bottom w:val="single" w:sz="4" w:space="0" w:color="auto"/>
              <w:right w:val="single" w:sz="4" w:space="0" w:color="auto"/>
            </w:tcBorders>
            <w:vAlign w:val="center"/>
          </w:tcPr>
          <w:p w14:paraId="306A5F96" w14:textId="77777777" w:rsidR="006E2521" w:rsidRPr="00CA3519" w:rsidRDefault="006E2521" w:rsidP="006E2521">
            <w:pPr>
              <w:jc w:val="center"/>
              <w:rPr>
                <w:sz w:val="17"/>
                <w:szCs w:val="17"/>
              </w:rPr>
            </w:pPr>
            <w:r w:rsidRPr="00CA3519">
              <w:rPr>
                <w:sz w:val="17"/>
                <w:szCs w:val="17"/>
              </w:rPr>
              <w:t>-0,104</w:t>
            </w:r>
          </w:p>
        </w:tc>
        <w:tc>
          <w:tcPr>
            <w:tcW w:w="1086" w:type="dxa"/>
            <w:tcBorders>
              <w:top w:val="single" w:sz="4" w:space="0" w:color="auto"/>
              <w:left w:val="single" w:sz="4" w:space="0" w:color="auto"/>
              <w:bottom w:val="single" w:sz="4" w:space="0" w:color="auto"/>
              <w:right w:val="single" w:sz="4" w:space="0" w:color="auto"/>
            </w:tcBorders>
            <w:vAlign w:val="center"/>
          </w:tcPr>
          <w:p w14:paraId="7BE1C9FE" w14:textId="77777777" w:rsidR="006E2521" w:rsidRPr="00CA3519" w:rsidRDefault="006E2521" w:rsidP="006E2521">
            <w:pPr>
              <w:jc w:val="center"/>
              <w:rPr>
                <w:sz w:val="17"/>
                <w:szCs w:val="17"/>
              </w:rPr>
            </w:pPr>
            <w:r w:rsidRPr="00CA3519">
              <w:rPr>
                <w:sz w:val="17"/>
                <w:szCs w:val="17"/>
              </w:rPr>
              <w:t>0,032</w:t>
            </w:r>
          </w:p>
        </w:tc>
        <w:tc>
          <w:tcPr>
            <w:tcW w:w="1085" w:type="dxa"/>
            <w:tcBorders>
              <w:top w:val="single" w:sz="4" w:space="0" w:color="auto"/>
              <w:left w:val="single" w:sz="4" w:space="0" w:color="auto"/>
              <w:bottom w:val="single" w:sz="4" w:space="0" w:color="auto"/>
              <w:right w:val="single" w:sz="4" w:space="0" w:color="auto"/>
            </w:tcBorders>
            <w:vAlign w:val="center"/>
          </w:tcPr>
          <w:p w14:paraId="200F0093" w14:textId="77777777" w:rsidR="006E2521" w:rsidRPr="00CA3519" w:rsidRDefault="006E2521" w:rsidP="006E2521">
            <w:pPr>
              <w:jc w:val="center"/>
              <w:rPr>
                <w:sz w:val="17"/>
                <w:szCs w:val="17"/>
              </w:rPr>
            </w:pPr>
            <w:r w:rsidRPr="00CA3519">
              <w:rPr>
                <w:sz w:val="17"/>
                <w:szCs w:val="17"/>
              </w:rPr>
              <w:t>0,195</w:t>
            </w:r>
          </w:p>
        </w:tc>
        <w:tc>
          <w:tcPr>
            <w:tcW w:w="1086" w:type="dxa"/>
            <w:tcBorders>
              <w:top w:val="single" w:sz="4" w:space="0" w:color="auto"/>
              <w:left w:val="single" w:sz="4" w:space="0" w:color="auto"/>
              <w:bottom w:val="single" w:sz="4" w:space="0" w:color="auto"/>
              <w:right w:val="single" w:sz="4" w:space="0" w:color="auto"/>
            </w:tcBorders>
            <w:vAlign w:val="center"/>
          </w:tcPr>
          <w:p w14:paraId="7A95BF12" w14:textId="77777777" w:rsidR="006E2521" w:rsidRPr="00CA3519" w:rsidRDefault="006E2521" w:rsidP="006E2521">
            <w:pPr>
              <w:jc w:val="center"/>
              <w:rPr>
                <w:sz w:val="17"/>
                <w:szCs w:val="17"/>
              </w:rPr>
            </w:pPr>
            <w:r w:rsidRPr="00CA3519">
              <w:rPr>
                <w:sz w:val="17"/>
                <w:szCs w:val="17"/>
              </w:rPr>
              <w:t>0,368</w:t>
            </w:r>
          </w:p>
        </w:tc>
        <w:tc>
          <w:tcPr>
            <w:tcW w:w="1086" w:type="dxa"/>
            <w:tcBorders>
              <w:top w:val="single" w:sz="4" w:space="0" w:color="auto"/>
              <w:left w:val="single" w:sz="4" w:space="0" w:color="auto"/>
              <w:bottom w:val="single" w:sz="4" w:space="0" w:color="auto"/>
              <w:right w:val="single" w:sz="4" w:space="0" w:color="auto"/>
            </w:tcBorders>
            <w:vAlign w:val="center"/>
          </w:tcPr>
          <w:p w14:paraId="5DD0142B" w14:textId="77777777" w:rsidR="006E2521" w:rsidRPr="00CA3519" w:rsidRDefault="006E2521" w:rsidP="006E2521">
            <w:pPr>
              <w:jc w:val="center"/>
              <w:rPr>
                <w:sz w:val="17"/>
                <w:szCs w:val="17"/>
              </w:rPr>
            </w:pPr>
            <w:r w:rsidRPr="00CA3519">
              <w:rPr>
                <w:sz w:val="17"/>
                <w:szCs w:val="17"/>
              </w:rPr>
              <w:t>0,534</w:t>
            </w:r>
          </w:p>
        </w:tc>
      </w:tr>
      <w:tr w:rsidR="006E2521" w:rsidRPr="00CA3519" w14:paraId="69E7BA81"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0143F518" w14:textId="77777777" w:rsidR="006E2521" w:rsidRPr="00CA3519" w:rsidRDefault="006E2521" w:rsidP="00AE2144">
            <w:pPr>
              <w:rPr>
                <w:sz w:val="17"/>
                <w:szCs w:val="17"/>
              </w:rPr>
            </w:pPr>
            <w:r w:rsidRPr="00CA3519">
              <w:rPr>
                <w:sz w:val="17"/>
                <w:szCs w:val="17"/>
              </w:rPr>
              <w:t>Mai 2016</w:t>
            </w:r>
          </w:p>
        </w:tc>
        <w:tc>
          <w:tcPr>
            <w:tcW w:w="2113" w:type="dxa"/>
            <w:tcBorders>
              <w:top w:val="single" w:sz="4" w:space="0" w:color="auto"/>
              <w:left w:val="single" w:sz="4" w:space="0" w:color="auto"/>
              <w:bottom w:val="single" w:sz="4" w:space="0" w:color="auto"/>
              <w:right w:val="single" w:sz="4" w:space="0" w:color="auto"/>
            </w:tcBorders>
            <w:vAlign w:val="center"/>
          </w:tcPr>
          <w:p w14:paraId="271E57D6" w14:textId="77777777" w:rsidR="006E2521" w:rsidRPr="00CA3519" w:rsidRDefault="006E2521" w:rsidP="006E2521">
            <w:pPr>
              <w:jc w:val="center"/>
              <w:rPr>
                <w:sz w:val="17"/>
                <w:szCs w:val="17"/>
              </w:rPr>
            </w:pPr>
            <w:r w:rsidRPr="00CA3519">
              <w:rPr>
                <w:sz w:val="17"/>
                <w:szCs w:val="17"/>
              </w:rPr>
              <w:t>13.05.2016 - Ausg. 1</w:t>
            </w:r>
          </w:p>
        </w:tc>
        <w:tc>
          <w:tcPr>
            <w:tcW w:w="1085" w:type="dxa"/>
            <w:tcBorders>
              <w:top w:val="single" w:sz="4" w:space="0" w:color="auto"/>
              <w:left w:val="single" w:sz="4" w:space="0" w:color="auto"/>
              <w:bottom w:val="single" w:sz="4" w:space="0" w:color="auto"/>
              <w:right w:val="single" w:sz="4" w:space="0" w:color="auto"/>
            </w:tcBorders>
            <w:vAlign w:val="center"/>
          </w:tcPr>
          <w:p w14:paraId="521C7679" w14:textId="77777777" w:rsidR="006E2521" w:rsidRPr="00CA3519" w:rsidRDefault="006E2521" w:rsidP="006E2521">
            <w:pPr>
              <w:jc w:val="center"/>
              <w:rPr>
                <w:sz w:val="17"/>
                <w:szCs w:val="17"/>
              </w:rPr>
            </w:pPr>
            <w:r w:rsidRPr="00CA3519">
              <w:rPr>
                <w:sz w:val="17"/>
                <w:szCs w:val="17"/>
              </w:rPr>
              <w:t>-0,471</w:t>
            </w:r>
          </w:p>
        </w:tc>
        <w:tc>
          <w:tcPr>
            <w:tcW w:w="1086" w:type="dxa"/>
            <w:tcBorders>
              <w:top w:val="single" w:sz="4" w:space="0" w:color="auto"/>
              <w:left w:val="single" w:sz="4" w:space="0" w:color="auto"/>
              <w:bottom w:val="single" w:sz="4" w:space="0" w:color="auto"/>
              <w:right w:val="single" w:sz="4" w:space="0" w:color="auto"/>
            </w:tcBorders>
            <w:vAlign w:val="center"/>
          </w:tcPr>
          <w:p w14:paraId="28F9DB1C" w14:textId="77777777" w:rsidR="006E2521" w:rsidRPr="00CA3519" w:rsidRDefault="006E2521" w:rsidP="006E2521">
            <w:pPr>
              <w:jc w:val="center"/>
              <w:rPr>
                <w:sz w:val="17"/>
                <w:szCs w:val="17"/>
              </w:rPr>
            </w:pPr>
            <w:r w:rsidRPr="00CA3519">
              <w:rPr>
                <w:sz w:val="17"/>
                <w:szCs w:val="17"/>
              </w:rPr>
              <w:t>-0,433</w:t>
            </w:r>
          </w:p>
        </w:tc>
        <w:tc>
          <w:tcPr>
            <w:tcW w:w="1085" w:type="dxa"/>
            <w:tcBorders>
              <w:top w:val="single" w:sz="4" w:space="0" w:color="auto"/>
              <w:left w:val="single" w:sz="4" w:space="0" w:color="auto"/>
              <w:bottom w:val="single" w:sz="4" w:space="0" w:color="auto"/>
              <w:right w:val="single" w:sz="4" w:space="0" w:color="auto"/>
            </w:tcBorders>
            <w:vAlign w:val="center"/>
          </w:tcPr>
          <w:p w14:paraId="1457868F" w14:textId="77777777" w:rsidR="006E2521" w:rsidRPr="00CA3519" w:rsidRDefault="006E2521" w:rsidP="006E2521">
            <w:pPr>
              <w:jc w:val="center"/>
              <w:rPr>
                <w:sz w:val="17"/>
                <w:szCs w:val="17"/>
              </w:rPr>
            </w:pPr>
            <w:r w:rsidRPr="00CA3519">
              <w:rPr>
                <w:sz w:val="17"/>
                <w:szCs w:val="17"/>
              </w:rPr>
              <w:t>-0,383</w:t>
            </w:r>
          </w:p>
        </w:tc>
        <w:tc>
          <w:tcPr>
            <w:tcW w:w="1086" w:type="dxa"/>
            <w:tcBorders>
              <w:top w:val="single" w:sz="4" w:space="0" w:color="auto"/>
              <w:left w:val="single" w:sz="4" w:space="0" w:color="auto"/>
              <w:bottom w:val="single" w:sz="4" w:space="0" w:color="auto"/>
              <w:right w:val="single" w:sz="4" w:space="0" w:color="auto"/>
            </w:tcBorders>
            <w:vAlign w:val="center"/>
          </w:tcPr>
          <w:p w14:paraId="7CD1D710" w14:textId="77777777" w:rsidR="006E2521" w:rsidRPr="00CA3519" w:rsidRDefault="006E2521" w:rsidP="006E2521">
            <w:pPr>
              <w:jc w:val="center"/>
              <w:rPr>
                <w:sz w:val="17"/>
                <w:szCs w:val="17"/>
              </w:rPr>
            </w:pPr>
            <w:r w:rsidRPr="00CA3519">
              <w:rPr>
                <w:sz w:val="17"/>
                <w:szCs w:val="17"/>
              </w:rPr>
              <w:t>-0,304</w:t>
            </w:r>
          </w:p>
        </w:tc>
        <w:tc>
          <w:tcPr>
            <w:tcW w:w="1086" w:type="dxa"/>
            <w:tcBorders>
              <w:top w:val="single" w:sz="4" w:space="0" w:color="auto"/>
              <w:left w:val="single" w:sz="4" w:space="0" w:color="auto"/>
              <w:bottom w:val="single" w:sz="4" w:space="0" w:color="auto"/>
              <w:right w:val="single" w:sz="4" w:space="0" w:color="auto"/>
            </w:tcBorders>
            <w:vAlign w:val="center"/>
          </w:tcPr>
          <w:p w14:paraId="19348D15" w14:textId="77777777" w:rsidR="006E2521" w:rsidRPr="00CA3519" w:rsidRDefault="006E2521" w:rsidP="006E2521">
            <w:pPr>
              <w:jc w:val="center"/>
              <w:rPr>
                <w:sz w:val="17"/>
                <w:szCs w:val="17"/>
              </w:rPr>
            </w:pPr>
            <w:r w:rsidRPr="00CA3519">
              <w:rPr>
                <w:sz w:val="17"/>
                <w:szCs w:val="17"/>
              </w:rPr>
              <w:t>-0,202</w:t>
            </w:r>
          </w:p>
        </w:tc>
        <w:tc>
          <w:tcPr>
            <w:tcW w:w="1085" w:type="dxa"/>
            <w:tcBorders>
              <w:top w:val="single" w:sz="4" w:space="0" w:color="auto"/>
              <w:left w:val="single" w:sz="4" w:space="0" w:color="auto"/>
              <w:bottom w:val="single" w:sz="4" w:space="0" w:color="auto"/>
              <w:right w:val="single" w:sz="4" w:space="0" w:color="auto"/>
            </w:tcBorders>
            <w:vAlign w:val="center"/>
          </w:tcPr>
          <w:p w14:paraId="1015134F" w14:textId="77777777" w:rsidR="006E2521" w:rsidRPr="00CA3519" w:rsidRDefault="006E2521" w:rsidP="006E2521">
            <w:pPr>
              <w:jc w:val="center"/>
              <w:rPr>
                <w:sz w:val="17"/>
                <w:szCs w:val="17"/>
              </w:rPr>
            </w:pPr>
            <w:r w:rsidRPr="00CA3519">
              <w:rPr>
                <w:sz w:val="17"/>
                <w:szCs w:val="17"/>
              </w:rPr>
              <w:t>-0,086</w:t>
            </w:r>
          </w:p>
        </w:tc>
        <w:tc>
          <w:tcPr>
            <w:tcW w:w="1086" w:type="dxa"/>
            <w:tcBorders>
              <w:top w:val="single" w:sz="4" w:space="0" w:color="auto"/>
              <w:left w:val="single" w:sz="4" w:space="0" w:color="auto"/>
              <w:bottom w:val="single" w:sz="4" w:space="0" w:color="auto"/>
              <w:right w:val="single" w:sz="4" w:space="0" w:color="auto"/>
            </w:tcBorders>
            <w:vAlign w:val="center"/>
          </w:tcPr>
          <w:p w14:paraId="1392656A" w14:textId="77777777" w:rsidR="006E2521" w:rsidRPr="00CA3519" w:rsidRDefault="006E2521" w:rsidP="006E2521">
            <w:pPr>
              <w:jc w:val="center"/>
              <w:rPr>
                <w:sz w:val="17"/>
                <w:szCs w:val="17"/>
              </w:rPr>
            </w:pPr>
            <w:r w:rsidRPr="00CA3519">
              <w:rPr>
                <w:sz w:val="17"/>
                <w:szCs w:val="17"/>
              </w:rPr>
              <w:t>0,051</w:t>
            </w:r>
          </w:p>
        </w:tc>
        <w:tc>
          <w:tcPr>
            <w:tcW w:w="1085" w:type="dxa"/>
            <w:tcBorders>
              <w:top w:val="single" w:sz="4" w:space="0" w:color="auto"/>
              <w:left w:val="single" w:sz="4" w:space="0" w:color="auto"/>
              <w:bottom w:val="single" w:sz="4" w:space="0" w:color="auto"/>
              <w:right w:val="single" w:sz="4" w:space="0" w:color="auto"/>
            </w:tcBorders>
            <w:vAlign w:val="center"/>
          </w:tcPr>
          <w:p w14:paraId="72495152" w14:textId="77777777" w:rsidR="006E2521" w:rsidRPr="00CA3519" w:rsidRDefault="006E2521" w:rsidP="006E2521">
            <w:pPr>
              <w:jc w:val="center"/>
              <w:rPr>
                <w:sz w:val="17"/>
                <w:szCs w:val="17"/>
              </w:rPr>
            </w:pPr>
            <w:r w:rsidRPr="00CA3519">
              <w:rPr>
                <w:sz w:val="17"/>
                <w:szCs w:val="17"/>
              </w:rPr>
              <w:t>0,215</w:t>
            </w:r>
          </w:p>
        </w:tc>
        <w:tc>
          <w:tcPr>
            <w:tcW w:w="1086" w:type="dxa"/>
            <w:tcBorders>
              <w:top w:val="single" w:sz="4" w:space="0" w:color="auto"/>
              <w:left w:val="single" w:sz="4" w:space="0" w:color="auto"/>
              <w:bottom w:val="single" w:sz="4" w:space="0" w:color="auto"/>
              <w:right w:val="single" w:sz="4" w:space="0" w:color="auto"/>
            </w:tcBorders>
            <w:vAlign w:val="center"/>
          </w:tcPr>
          <w:p w14:paraId="01C1B160" w14:textId="77777777" w:rsidR="006E2521" w:rsidRPr="00CA3519" w:rsidRDefault="006E2521" w:rsidP="006E2521">
            <w:pPr>
              <w:jc w:val="center"/>
              <w:rPr>
                <w:sz w:val="17"/>
                <w:szCs w:val="17"/>
              </w:rPr>
            </w:pPr>
            <w:r w:rsidRPr="00CA3519">
              <w:rPr>
                <w:sz w:val="17"/>
                <w:szCs w:val="17"/>
              </w:rPr>
              <w:t>0,395</w:t>
            </w:r>
          </w:p>
        </w:tc>
        <w:tc>
          <w:tcPr>
            <w:tcW w:w="1086" w:type="dxa"/>
            <w:tcBorders>
              <w:top w:val="single" w:sz="4" w:space="0" w:color="auto"/>
              <w:left w:val="single" w:sz="4" w:space="0" w:color="auto"/>
              <w:bottom w:val="single" w:sz="4" w:space="0" w:color="auto"/>
              <w:right w:val="single" w:sz="4" w:space="0" w:color="auto"/>
            </w:tcBorders>
            <w:vAlign w:val="center"/>
          </w:tcPr>
          <w:p w14:paraId="7EBE69A4" w14:textId="77777777" w:rsidR="006E2521" w:rsidRPr="00CA3519" w:rsidRDefault="006E2521" w:rsidP="006E2521">
            <w:pPr>
              <w:jc w:val="center"/>
              <w:rPr>
                <w:sz w:val="17"/>
                <w:szCs w:val="17"/>
              </w:rPr>
            </w:pPr>
            <w:r w:rsidRPr="00CA3519">
              <w:rPr>
                <w:sz w:val="17"/>
                <w:szCs w:val="17"/>
              </w:rPr>
              <w:t>0,568</w:t>
            </w:r>
          </w:p>
        </w:tc>
      </w:tr>
      <w:tr w:rsidR="006E2521" w:rsidRPr="00CA3519" w14:paraId="09B01D65"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79EAD66E" w14:textId="77777777" w:rsidR="006E2521" w:rsidRPr="00CA3519" w:rsidRDefault="006E2521" w:rsidP="00AE2144">
            <w:pPr>
              <w:rPr>
                <w:sz w:val="17"/>
                <w:szCs w:val="17"/>
              </w:rPr>
            </w:pPr>
            <w:r w:rsidRPr="00CA3519">
              <w:rPr>
                <w:sz w:val="17"/>
                <w:szCs w:val="17"/>
              </w:rPr>
              <w:t>Juni 2016</w:t>
            </w:r>
          </w:p>
        </w:tc>
        <w:tc>
          <w:tcPr>
            <w:tcW w:w="2113" w:type="dxa"/>
            <w:tcBorders>
              <w:top w:val="single" w:sz="4" w:space="0" w:color="auto"/>
              <w:left w:val="single" w:sz="4" w:space="0" w:color="auto"/>
              <w:bottom w:val="single" w:sz="4" w:space="0" w:color="auto"/>
              <w:right w:val="single" w:sz="4" w:space="0" w:color="auto"/>
            </w:tcBorders>
            <w:vAlign w:val="center"/>
          </w:tcPr>
          <w:p w14:paraId="4131258F" w14:textId="77777777" w:rsidR="006E2521" w:rsidRPr="00CA3519" w:rsidRDefault="006E2521" w:rsidP="006E2521">
            <w:pPr>
              <w:jc w:val="center"/>
              <w:rPr>
                <w:sz w:val="17"/>
                <w:szCs w:val="17"/>
              </w:rPr>
            </w:pPr>
            <w:r w:rsidRPr="00CA3519">
              <w:rPr>
                <w:sz w:val="17"/>
                <w:szCs w:val="17"/>
              </w:rPr>
              <w:t>16.06.2016 - Ausg. 1</w:t>
            </w:r>
          </w:p>
        </w:tc>
        <w:tc>
          <w:tcPr>
            <w:tcW w:w="1085" w:type="dxa"/>
            <w:tcBorders>
              <w:top w:val="single" w:sz="4" w:space="0" w:color="auto"/>
              <w:left w:val="single" w:sz="4" w:space="0" w:color="auto"/>
              <w:bottom w:val="single" w:sz="4" w:space="0" w:color="auto"/>
              <w:right w:val="single" w:sz="4" w:space="0" w:color="auto"/>
            </w:tcBorders>
            <w:vAlign w:val="center"/>
          </w:tcPr>
          <w:p w14:paraId="157AB27F" w14:textId="77777777" w:rsidR="006E2521" w:rsidRPr="00CA3519" w:rsidRDefault="006E2521" w:rsidP="006E2521">
            <w:pPr>
              <w:jc w:val="center"/>
              <w:rPr>
                <w:sz w:val="17"/>
                <w:szCs w:val="17"/>
              </w:rPr>
            </w:pPr>
            <w:r w:rsidRPr="00CA3519">
              <w:rPr>
                <w:sz w:val="17"/>
                <w:szCs w:val="17"/>
              </w:rPr>
              <w:t>-0,499</w:t>
            </w:r>
          </w:p>
        </w:tc>
        <w:tc>
          <w:tcPr>
            <w:tcW w:w="1086" w:type="dxa"/>
            <w:tcBorders>
              <w:top w:val="single" w:sz="4" w:space="0" w:color="auto"/>
              <w:left w:val="single" w:sz="4" w:space="0" w:color="auto"/>
              <w:bottom w:val="single" w:sz="4" w:space="0" w:color="auto"/>
              <w:right w:val="single" w:sz="4" w:space="0" w:color="auto"/>
            </w:tcBorders>
            <w:vAlign w:val="center"/>
          </w:tcPr>
          <w:p w14:paraId="1F1E79EC" w14:textId="77777777" w:rsidR="006E2521" w:rsidRPr="00CA3519" w:rsidRDefault="006E2521" w:rsidP="006E2521">
            <w:pPr>
              <w:jc w:val="center"/>
              <w:rPr>
                <w:sz w:val="17"/>
                <w:szCs w:val="17"/>
              </w:rPr>
            </w:pPr>
            <w:r w:rsidRPr="00CA3519">
              <w:rPr>
                <w:sz w:val="17"/>
                <w:szCs w:val="17"/>
              </w:rPr>
              <w:t>-0,464</w:t>
            </w:r>
          </w:p>
        </w:tc>
        <w:tc>
          <w:tcPr>
            <w:tcW w:w="1085" w:type="dxa"/>
            <w:tcBorders>
              <w:top w:val="single" w:sz="4" w:space="0" w:color="auto"/>
              <w:left w:val="single" w:sz="4" w:space="0" w:color="auto"/>
              <w:bottom w:val="single" w:sz="4" w:space="0" w:color="auto"/>
              <w:right w:val="single" w:sz="4" w:space="0" w:color="auto"/>
            </w:tcBorders>
            <w:vAlign w:val="center"/>
          </w:tcPr>
          <w:p w14:paraId="6F3806A8" w14:textId="77777777" w:rsidR="006E2521" w:rsidRPr="00CA3519" w:rsidRDefault="006E2521" w:rsidP="006E2521">
            <w:pPr>
              <w:jc w:val="center"/>
              <w:rPr>
                <w:sz w:val="17"/>
                <w:szCs w:val="17"/>
              </w:rPr>
            </w:pPr>
            <w:r w:rsidRPr="00CA3519">
              <w:rPr>
                <w:sz w:val="17"/>
                <w:szCs w:val="17"/>
              </w:rPr>
              <w:t>-0,414</w:t>
            </w:r>
          </w:p>
        </w:tc>
        <w:tc>
          <w:tcPr>
            <w:tcW w:w="1086" w:type="dxa"/>
            <w:tcBorders>
              <w:top w:val="single" w:sz="4" w:space="0" w:color="auto"/>
              <w:left w:val="single" w:sz="4" w:space="0" w:color="auto"/>
              <w:bottom w:val="single" w:sz="4" w:space="0" w:color="auto"/>
              <w:right w:val="single" w:sz="4" w:space="0" w:color="auto"/>
            </w:tcBorders>
            <w:vAlign w:val="center"/>
          </w:tcPr>
          <w:p w14:paraId="53645683" w14:textId="77777777" w:rsidR="006E2521" w:rsidRPr="00CA3519" w:rsidRDefault="006E2521" w:rsidP="006E2521">
            <w:pPr>
              <w:jc w:val="center"/>
              <w:rPr>
                <w:sz w:val="17"/>
                <w:szCs w:val="17"/>
              </w:rPr>
            </w:pPr>
            <w:r w:rsidRPr="00CA3519">
              <w:rPr>
                <w:sz w:val="17"/>
                <w:szCs w:val="17"/>
              </w:rPr>
              <w:t>-0,342</w:t>
            </w:r>
          </w:p>
        </w:tc>
        <w:tc>
          <w:tcPr>
            <w:tcW w:w="1086" w:type="dxa"/>
            <w:tcBorders>
              <w:top w:val="single" w:sz="4" w:space="0" w:color="auto"/>
              <w:left w:val="single" w:sz="4" w:space="0" w:color="auto"/>
              <w:bottom w:val="single" w:sz="4" w:space="0" w:color="auto"/>
              <w:right w:val="single" w:sz="4" w:space="0" w:color="auto"/>
            </w:tcBorders>
            <w:vAlign w:val="center"/>
          </w:tcPr>
          <w:p w14:paraId="4B57C69E" w14:textId="77777777" w:rsidR="006E2521" w:rsidRPr="00CA3519" w:rsidRDefault="006E2521" w:rsidP="006E2521">
            <w:pPr>
              <w:jc w:val="center"/>
              <w:rPr>
                <w:sz w:val="17"/>
                <w:szCs w:val="17"/>
              </w:rPr>
            </w:pPr>
            <w:r w:rsidRPr="00CA3519">
              <w:rPr>
                <w:sz w:val="17"/>
                <w:szCs w:val="17"/>
              </w:rPr>
              <w:t>-0,245</w:t>
            </w:r>
          </w:p>
        </w:tc>
        <w:tc>
          <w:tcPr>
            <w:tcW w:w="1085" w:type="dxa"/>
            <w:tcBorders>
              <w:top w:val="single" w:sz="4" w:space="0" w:color="auto"/>
              <w:left w:val="single" w:sz="4" w:space="0" w:color="auto"/>
              <w:bottom w:val="single" w:sz="4" w:space="0" w:color="auto"/>
              <w:right w:val="single" w:sz="4" w:space="0" w:color="auto"/>
            </w:tcBorders>
            <w:vAlign w:val="center"/>
          </w:tcPr>
          <w:p w14:paraId="016B6BE0" w14:textId="77777777" w:rsidR="006E2521" w:rsidRPr="00CA3519" w:rsidRDefault="006E2521" w:rsidP="006E2521">
            <w:pPr>
              <w:jc w:val="center"/>
              <w:rPr>
                <w:sz w:val="17"/>
                <w:szCs w:val="17"/>
              </w:rPr>
            </w:pPr>
            <w:r w:rsidRPr="00CA3519">
              <w:rPr>
                <w:sz w:val="17"/>
                <w:szCs w:val="17"/>
              </w:rPr>
              <w:t>-0,131</w:t>
            </w:r>
          </w:p>
        </w:tc>
        <w:tc>
          <w:tcPr>
            <w:tcW w:w="1086" w:type="dxa"/>
            <w:tcBorders>
              <w:top w:val="single" w:sz="4" w:space="0" w:color="auto"/>
              <w:left w:val="single" w:sz="4" w:space="0" w:color="auto"/>
              <w:bottom w:val="single" w:sz="4" w:space="0" w:color="auto"/>
              <w:right w:val="single" w:sz="4" w:space="0" w:color="auto"/>
            </w:tcBorders>
            <w:vAlign w:val="center"/>
          </w:tcPr>
          <w:p w14:paraId="11162700" w14:textId="77777777" w:rsidR="006E2521" w:rsidRPr="00CA3519" w:rsidRDefault="006E2521" w:rsidP="006E2521">
            <w:pPr>
              <w:jc w:val="center"/>
              <w:rPr>
                <w:sz w:val="17"/>
                <w:szCs w:val="17"/>
              </w:rPr>
            </w:pPr>
            <w:r w:rsidRPr="00CA3519">
              <w:rPr>
                <w:sz w:val="17"/>
                <w:szCs w:val="17"/>
              </w:rPr>
              <w:t>0,005</w:t>
            </w:r>
          </w:p>
        </w:tc>
        <w:tc>
          <w:tcPr>
            <w:tcW w:w="1085" w:type="dxa"/>
            <w:tcBorders>
              <w:top w:val="single" w:sz="4" w:space="0" w:color="auto"/>
              <w:left w:val="single" w:sz="4" w:space="0" w:color="auto"/>
              <w:bottom w:val="single" w:sz="4" w:space="0" w:color="auto"/>
              <w:right w:val="single" w:sz="4" w:space="0" w:color="auto"/>
            </w:tcBorders>
            <w:vAlign w:val="center"/>
          </w:tcPr>
          <w:p w14:paraId="19E2EE70" w14:textId="77777777" w:rsidR="006E2521" w:rsidRPr="00CA3519" w:rsidRDefault="006E2521" w:rsidP="006E2521">
            <w:pPr>
              <w:jc w:val="center"/>
              <w:rPr>
                <w:sz w:val="17"/>
                <w:szCs w:val="17"/>
              </w:rPr>
            </w:pPr>
            <w:r w:rsidRPr="00CA3519">
              <w:rPr>
                <w:sz w:val="17"/>
                <w:szCs w:val="17"/>
              </w:rPr>
              <w:t>0,166</w:t>
            </w:r>
          </w:p>
        </w:tc>
        <w:tc>
          <w:tcPr>
            <w:tcW w:w="1086" w:type="dxa"/>
            <w:tcBorders>
              <w:top w:val="single" w:sz="4" w:space="0" w:color="auto"/>
              <w:left w:val="single" w:sz="4" w:space="0" w:color="auto"/>
              <w:bottom w:val="single" w:sz="4" w:space="0" w:color="auto"/>
              <w:right w:val="single" w:sz="4" w:space="0" w:color="auto"/>
            </w:tcBorders>
            <w:vAlign w:val="center"/>
          </w:tcPr>
          <w:p w14:paraId="31E20FF3" w14:textId="77777777" w:rsidR="006E2521" w:rsidRPr="00CA3519" w:rsidRDefault="006E2521" w:rsidP="006E2521">
            <w:pPr>
              <w:jc w:val="center"/>
              <w:rPr>
                <w:sz w:val="17"/>
                <w:szCs w:val="17"/>
              </w:rPr>
            </w:pPr>
            <w:r w:rsidRPr="00CA3519">
              <w:rPr>
                <w:sz w:val="17"/>
                <w:szCs w:val="17"/>
              </w:rPr>
              <w:t>0,340</w:t>
            </w:r>
          </w:p>
        </w:tc>
        <w:tc>
          <w:tcPr>
            <w:tcW w:w="1086" w:type="dxa"/>
            <w:tcBorders>
              <w:top w:val="single" w:sz="4" w:space="0" w:color="auto"/>
              <w:left w:val="single" w:sz="4" w:space="0" w:color="auto"/>
              <w:bottom w:val="single" w:sz="4" w:space="0" w:color="auto"/>
              <w:right w:val="single" w:sz="4" w:space="0" w:color="auto"/>
            </w:tcBorders>
            <w:vAlign w:val="center"/>
          </w:tcPr>
          <w:p w14:paraId="488AA386" w14:textId="77777777" w:rsidR="006E2521" w:rsidRPr="00CA3519" w:rsidRDefault="006E2521" w:rsidP="006E2521">
            <w:pPr>
              <w:jc w:val="center"/>
              <w:rPr>
                <w:sz w:val="17"/>
                <w:szCs w:val="17"/>
              </w:rPr>
            </w:pPr>
            <w:r w:rsidRPr="00CA3519">
              <w:rPr>
                <w:sz w:val="17"/>
                <w:szCs w:val="17"/>
              </w:rPr>
              <w:t>0,503</w:t>
            </w:r>
          </w:p>
        </w:tc>
      </w:tr>
      <w:tr w:rsidR="006E2521" w:rsidRPr="00CA3519" w14:paraId="683F6ECA"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44644F0F" w14:textId="77777777" w:rsidR="006E2521" w:rsidRPr="00CA3519" w:rsidRDefault="006E2521" w:rsidP="00AE2144">
            <w:pPr>
              <w:rPr>
                <w:sz w:val="17"/>
                <w:szCs w:val="17"/>
              </w:rPr>
            </w:pPr>
            <w:r w:rsidRPr="00CA3519">
              <w:rPr>
                <w:sz w:val="17"/>
                <w:szCs w:val="17"/>
              </w:rPr>
              <w:lastRenderedPageBreak/>
              <w:t>Juli 2016</w:t>
            </w:r>
          </w:p>
        </w:tc>
        <w:tc>
          <w:tcPr>
            <w:tcW w:w="2113" w:type="dxa"/>
            <w:tcBorders>
              <w:top w:val="single" w:sz="4" w:space="0" w:color="auto"/>
              <w:left w:val="single" w:sz="4" w:space="0" w:color="auto"/>
              <w:bottom w:val="single" w:sz="4" w:space="0" w:color="auto"/>
              <w:right w:val="single" w:sz="4" w:space="0" w:color="auto"/>
            </w:tcBorders>
            <w:vAlign w:val="center"/>
          </w:tcPr>
          <w:p w14:paraId="5739C219" w14:textId="77777777" w:rsidR="006E2521" w:rsidRPr="00CA3519" w:rsidRDefault="006E2521" w:rsidP="006E2521">
            <w:pPr>
              <w:jc w:val="center"/>
              <w:rPr>
                <w:sz w:val="17"/>
                <w:szCs w:val="17"/>
              </w:rPr>
            </w:pPr>
            <w:r w:rsidRPr="00CA3519">
              <w:rPr>
                <w:sz w:val="17"/>
                <w:szCs w:val="17"/>
              </w:rPr>
              <w:t>13.07.2016 - Ausg. 1</w:t>
            </w:r>
          </w:p>
        </w:tc>
        <w:tc>
          <w:tcPr>
            <w:tcW w:w="1085" w:type="dxa"/>
            <w:tcBorders>
              <w:top w:val="single" w:sz="4" w:space="0" w:color="auto"/>
              <w:left w:val="single" w:sz="4" w:space="0" w:color="auto"/>
              <w:bottom w:val="single" w:sz="4" w:space="0" w:color="auto"/>
              <w:right w:val="single" w:sz="4" w:space="0" w:color="auto"/>
            </w:tcBorders>
            <w:vAlign w:val="center"/>
          </w:tcPr>
          <w:p w14:paraId="5DD81624" w14:textId="77777777" w:rsidR="006E2521" w:rsidRPr="00CA3519" w:rsidRDefault="006E2521" w:rsidP="006E2521">
            <w:pPr>
              <w:jc w:val="center"/>
              <w:rPr>
                <w:sz w:val="17"/>
                <w:szCs w:val="17"/>
              </w:rPr>
            </w:pPr>
            <w:r w:rsidRPr="00CA3519">
              <w:rPr>
                <w:sz w:val="17"/>
                <w:szCs w:val="17"/>
              </w:rPr>
              <w:t>-0,542</w:t>
            </w:r>
          </w:p>
        </w:tc>
        <w:tc>
          <w:tcPr>
            <w:tcW w:w="1086" w:type="dxa"/>
            <w:tcBorders>
              <w:top w:val="single" w:sz="4" w:space="0" w:color="auto"/>
              <w:left w:val="single" w:sz="4" w:space="0" w:color="auto"/>
              <w:bottom w:val="single" w:sz="4" w:space="0" w:color="auto"/>
              <w:right w:val="single" w:sz="4" w:space="0" w:color="auto"/>
            </w:tcBorders>
            <w:vAlign w:val="center"/>
          </w:tcPr>
          <w:p w14:paraId="45D653D8" w14:textId="77777777" w:rsidR="006E2521" w:rsidRPr="00CA3519" w:rsidRDefault="006E2521" w:rsidP="006E2521">
            <w:pPr>
              <w:jc w:val="center"/>
              <w:rPr>
                <w:sz w:val="17"/>
                <w:szCs w:val="17"/>
              </w:rPr>
            </w:pPr>
            <w:r w:rsidRPr="00CA3519">
              <w:rPr>
                <w:sz w:val="17"/>
                <w:szCs w:val="17"/>
              </w:rPr>
              <w:t>-0,523</w:t>
            </w:r>
          </w:p>
        </w:tc>
        <w:tc>
          <w:tcPr>
            <w:tcW w:w="1085" w:type="dxa"/>
            <w:tcBorders>
              <w:top w:val="single" w:sz="4" w:space="0" w:color="auto"/>
              <w:left w:val="single" w:sz="4" w:space="0" w:color="auto"/>
              <w:bottom w:val="single" w:sz="4" w:space="0" w:color="auto"/>
              <w:right w:val="single" w:sz="4" w:space="0" w:color="auto"/>
            </w:tcBorders>
            <w:vAlign w:val="center"/>
          </w:tcPr>
          <w:p w14:paraId="4A5B6D78" w14:textId="77777777" w:rsidR="006E2521" w:rsidRPr="00CA3519" w:rsidRDefault="006E2521" w:rsidP="006E2521">
            <w:pPr>
              <w:jc w:val="center"/>
              <w:rPr>
                <w:sz w:val="17"/>
                <w:szCs w:val="17"/>
              </w:rPr>
            </w:pPr>
            <w:r w:rsidRPr="00CA3519">
              <w:rPr>
                <w:sz w:val="17"/>
                <w:szCs w:val="17"/>
              </w:rPr>
              <w:t>-0,491</w:t>
            </w:r>
          </w:p>
        </w:tc>
        <w:tc>
          <w:tcPr>
            <w:tcW w:w="1086" w:type="dxa"/>
            <w:tcBorders>
              <w:top w:val="single" w:sz="4" w:space="0" w:color="auto"/>
              <w:left w:val="single" w:sz="4" w:space="0" w:color="auto"/>
              <w:bottom w:val="single" w:sz="4" w:space="0" w:color="auto"/>
              <w:right w:val="single" w:sz="4" w:space="0" w:color="auto"/>
            </w:tcBorders>
            <w:vAlign w:val="center"/>
          </w:tcPr>
          <w:p w14:paraId="308372EE" w14:textId="77777777" w:rsidR="006E2521" w:rsidRPr="00CA3519" w:rsidRDefault="006E2521" w:rsidP="006E2521">
            <w:pPr>
              <w:jc w:val="center"/>
              <w:rPr>
                <w:sz w:val="17"/>
                <w:szCs w:val="17"/>
              </w:rPr>
            </w:pPr>
            <w:r w:rsidRPr="00CA3519">
              <w:rPr>
                <w:sz w:val="17"/>
                <w:szCs w:val="17"/>
              </w:rPr>
              <w:t>-0,438</w:t>
            </w:r>
          </w:p>
        </w:tc>
        <w:tc>
          <w:tcPr>
            <w:tcW w:w="1086" w:type="dxa"/>
            <w:tcBorders>
              <w:top w:val="single" w:sz="4" w:space="0" w:color="auto"/>
              <w:left w:val="single" w:sz="4" w:space="0" w:color="auto"/>
              <w:bottom w:val="single" w:sz="4" w:space="0" w:color="auto"/>
              <w:right w:val="single" w:sz="4" w:space="0" w:color="auto"/>
            </w:tcBorders>
            <w:vAlign w:val="center"/>
          </w:tcPr>
          <w:p w14:paraId="3DDCE23D" w14:textId="77777777" w:rsidR="006E2521" w:rsidRPr="00CA3519" w:rsidRDefault="006E2521" w:rsidP="006E2521">
            <w:pPr>
              <w:jc w:val="center"/>
              <w:rPr>
                <w:sz w:val="17"/>
                <w:szCs w:val="17"/>
              </w:rPr>
            </w:pPr>
            <w:r w:rsidRPr="00CA3519">
              <w:rPr>
                <w:sz w:val="17"/>
                <w:szCs w:val="17"/>
              </w:rPr>
              <w:t>-0,361</w:t>
            </w:r>
          </w:p>
        </w:tc>
        <w:tc>
          <w:tcPr>
            <w:tcW w:w="1085" w:type="dxa"/>
            <w:tcBorders>
              <w:top w:val="single" w:sz="4" w:space="0" w:color="auto"/>
              <w:left w:val="single" w:sz="4" w:space="0" w:color="auto"/>
              <w:bottom w:val="single" w:sz="4" w:space="0" w:color="auto"/>
              <w:right w:val="single" w:sz="4" w:space="0" w:color="auto"/>
            </w:tcBorders>
            <w:vAlign w:val="center"/>
          </w:tcPr>
          <w:p w14:paraId="5DE00677" w14:textId="77777777" w:rsidR="006E2521" w:rsidRPr="00CA3519" w:rsidRDefault="006E2521" w:rsidP="006E2521">
            <w:pPr>
              <w:jc w:val="center"/>
              <w:rPr>
                <w:sz w:val="17"/>
                <w:szCs w:val="17"/>
              </w:rPr>
            </w:pPr>
            <w:r w:rsidRPr="00CA3519">
              <w:rPr>
                <w:sz w:val="17"/>
                <w:szCs w:val="17"/>
              </w:rPr>
              <w:t>-0,262</w:t>
            </w:r>
          </w:p>
        </w:tc>
        <w:tc>
          <w:tcPr>
            <w:tcW w:w="1086" w:type="dxa"/>
            <w:tcBorders>
              <w:top w:val="single" w:sz="4" w:space="0" w:color="auto"/>
              <w:left w:val="single" w:sz="4" w:space="0" w:color="auto"/>
              <w:bottom w:val="single" w:sz="4" w:space="0" w:color="auto"/>
              <w:right w:val="single" w:sz="4" w:space="0" w:color="auto"/>
            </w:tcBorders>
            <w:vAlign w:val="center"/>
          </w:tcPr>
          <w:p w14:paraId="7664E7EE" w14:textId="77777777" w:rsidR="006E2521" w:rsidRPr="00CA3519" w:rsidRDefault="006E2521" w:rsidP="006E2521">
            <w:pPr>
              <w:jc w:val="center"/>
              <w:rPr>
                <w:sz w:val="17"/>
                <w:szCs w:val="17"/>
              </w:rPr>
            </w:pPr>
            <w:r w:rsidRPr="00CA3519">
              <w:rPr>
                <w:sz w:val="17"/>
                <w:szCs w:val="17"/>
              </w:rPr>
              <w:t>-0,136</w:t>
            </w:r>
          </w:p>
        </w:tc>
        <w:tc>
          <w:tcPr>
            <w:tcW w:w="1085" w:type="dxa"/>
            <w:tcBorders>
              <w:top w:val="single" w:sz="4" w:space="0" w:color="auto"/>
              <w:left w:val="single" w:sz="4" w:space="0" w:color="auto"/>
              <w:bottom w:val="single" w:sz="4" w:space="0" w:color="auto"/>
              <w:right w:val="single" w:sz="4" w:space="0" w:color="auto"/>
            </w:tcBorders>
            <w:vAlign w:val="center"/>
          </w:tcPr>
          <w:p w14:paraId="18229A76" w14:textId="77777777" w:rsidR="006E2521" w:rsidRPr="00CA3519" w:rsidRDefault="006E2521" w:rsidP="006E2521">
            <w:pPr>
              <w:jc w:val="center"/>
              <w:rPr>
                <w:sz w:val="17"/>
                <w:szCs w:val="17"/>
              </w:rPr>
            </w:pPr>
            <w:r w:rsidRPr="00CA3519">
              <w:rPr>
                <w:sz w:val="17"/>
                <w:szCs w:val="17"/>
              </w:rPr>
              <w:t>0,021</w:t>
            </w:r>
          </w:p>
        </w:tc>
        <w:tc>
          <w:tcPr>
            <w:tcW w:w="1086" w:type="dxa"/>
            <w:tcBorders>
              <w:top w:val="single" w:sz="4" w:space="0" w:color="auto"/>
              <w:left w:val="single" w:sz="4" w:space="0" w:color="auto"/>
              <w:bottom w:val="single" w:sz="4" w:space="0" w:color="auto"/>
              <w:right w:val="single" w:sz="4" w:space="0" w:color="auto"/>
            </w:tcBorders>
            <w:vAlign w:val="center"/>
          </w:tcPr>
          <w:p w14:paraId="028C643B" w14:textId="77777777" w:rsidR="006E2521" w:rsidRPr="00CA3519" w:rsidRDefault="006E2521" w:rsidP="006E2521">
            <w:pPr>
              <w:jc w:val="center"/>
              <w:rPr>
                <w:sz w:val="17"/>
                <w:szCs w:val="17"/>
              </w:rPr>
            </w:pPr>
            <w:r w:rsidRPr="00CA3519">
              <w:rPr>
                <w:sz w:val="17"/>
                <w:szCs w:val="17"/>
              </w:rPr>
              <w:t>0,186</w:t>
            </w:r>
          </w:p>
        </w:tc>
        <w:tc>
          <w:tcPr>
            <w:tcW w:w="1086" w:type="dxa"/>
            <w:tcBorders>
              <w:top w:val="single" w:sz="4" w:space="0" w:color="auto"/>
              <w:left w:val="single" w:sz="4" w:space="0" w:color="auto"/>
              <w:bottom w:val="single" w:sz="4" w:space="0" w:color="auto"/>
              <w:right w:val="single" w:sz="4" w:space="0" w:color="auto"/>
            </w:tcBorders>
            <w:vAlign w:val="center"/>
          </w:tcPr>
          <w:p w14:paraId="5EEDEA39" w14:textId="77777777" w:rsidR="006E2521" w:rsidRPr="00CA3519" w:rsidRDefault="006E2521" w:rsidP="006E2521">
            <w:pPr>
              <w:jc w:val="center"/>
              <w:rPr>
                <w:sz w:val="17"/>
                <w:szCs w:val="17"/>
              </w:rPr>
            </w:pPr>
            <w:r w:rsidRPr="00CA3519">
              <w:rPr>
                <w:sz w:val="17"/>
                <w:szCs w:val="17"/>
              </w:rPr>
              <w:t>0,338</w:t>
            </w:r>
          </w:p>
        </w:tc>
      </w:tr>
      <w:tr w:rsidR="006E2521" w:rsidRPr="00CA3519" w14:paraId="68A1ACD3"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648A234E" w14:textId="77777777" w:rsidR="006E2521" w:rsidRPr="00CA3519" w:rsidRDefault="006E2521" w:rsidP="00AE2144">
            <w:pPr>
              <w:rPr>
                <w:sz w:val="17"/>
                <w:szCs w:val="17"/>
              </w:rPr>
            </w:pPr>
            <w:r w:rsidRPr="00CA3519">
              <w:rPr>
                <w:sz w:val="17"/>
                <w:szCs w:val="17"/>
              </w:rPr>
              <w:t>August 2016</w:t>
            </w:r>
          </w:p>
        </w:tc>
        <w:tc>
          <w:tcPr>
            <w:tcW w:w="2113" w:type="dxa"/>
            <w:tcBorders>
              <w:top w:val="single" w:sz="4" w:space="0" w:color="auto"/>
              <w:left w:val="single" w:sz="4" w:space="0" w:color="auto"/>
              <w:bottom w:val="single" w:sz="4" w:space="0" w:color="auto"/>
              <w:right w:val="single" w:sz="4" w:space="0" w:color="auto"/>
            </w:tcBorders>
            <w:vAlign w:val="center"/>
          </w:tcPr>
          <w:p w14:paraId="22796511" w14:textId="77777777" w:rsidR="006E2521" w:rsidRPr="00CA3519" w:rsidRDefault="006E2521" w:rsidP="006E2521">
            <w:pPr>
              <w:jc w:val="center"/>
              <w:rPr>
                <w:sz w:val="17"/>
                <w:szCs w:val="17"/>
              </w:rPr>
            </w:pPr>
            <w:r w:rsidRPr="00CA3519">
              <w:rPr>
                <w:sz w:val="17"/>
                <w:szCs w:val="17"/>
              </w:rPr>
              <w:t>22.08.2016 - Ausg. 1</w:t>
            </w:r>
          </w:p>
        </w:tc>
        <w:tc>
          <w:tcPr>
            <w:tcW w:w="1085" w:type="dxa"/>
            <w:tcBorders>
              <w:top w:val="single" w:sz="4" w:space="0" w:color="auto"/>
              <w:left w:val="single" w:sz="4" w:space="0" w:color="auto"/>
              <w:bottom w:val="single" w:sz="4" w:space="0" w:color="auto"/>
              <w:right w:val="single" w:sz="4" w:space="0" w:color="auto"/>
            </w:tcBorders>
            <w:vAlign w:val="center"/>
          </w:tcPr>
          <w:p w14:paraId="26270F13" w14:textId="77777777" w:rsidR="006E2521" w:rsidRPr="00CA3519" w:rsidRDefault="006E2521" w:rsidP="006E2521">
            <w:pPr>
              <w:jc w:val="center"/>
              <w:rPr>
                <w:sz w:val="17"/>
                <w:szCs w:val="17"/>
              </w:rPr>
            </w:pPr>
            <w:r w:rsidRPr="00CA3519">
              <w:rPr>
                <w:sz w:val="17"/>
                <w:szCs w:val="17"/>
              </w:rPr>
              <w:t>-0,574</w:t>
            </w:r>
          </w:p>
        </w:tc>
        <w:tc>
          <w:tcPr>
            <w:tcW w:w="1086" w:type="dxa"/>
            <w:tcBorders>
              <w:top w:val="single" w:sz="4" w:space="0" w:color="auto"/>
              <w:left w:val="single" w:sz="4" w:space="0" w:color="auto"/>
              <w:bottom w:val="single" w:sz="4" w:space="0" w:color="auto"/>
              <w:right w:val="single" w:sz="4" w:space="0" w:color="auto"/>
            </w:tcBorders>
            <w:vAlign w:val="center"/>
          </w:tcPr>
          <w:p w14:paraId="437A13D5" w14:textId="77777777" w:rsidR="006E2521" w:rsidRPr="00CA3519" w:rsidRDefault="006E2521" w:rsidP="006E2521">
            <w:pPr>
              <w:jc w:val="center"/>
              <w:rPr>
                <w:sz w:val="17"/>
                <w:szCs w:val="17"/>
              </w:rPr>
            </w:pPr>
            <w:r w:rsidRPr="00CA3519">
              <w:rPr>
                <w:sz w:val="17"/>
                <w:szCs w:val="17"/>
              </w:rPr>
              <w:t>-0,567</w:t>
            </w:r>
          </w:p>
        </w:tc>
        <w:tc>
          <w:tcPr>
            <w:tcW w:w="1085" w:type="dxa"/>
            <w:tcBorders>
              <w:top w:val="single" w:sz="4" w:space="0" w:color="auto"/>
              <w:left w:val="single" w:sz="4" w:space="0" w:color="auto"/>
              <w:bottom w:val="single" w:sz="4" w:space="0" w:color="auto"/>
              <w:right w:val="single" w:sz="4" w:space="0" w:color="auto"/>
            </w:tcBorders>
            <w:vAlign w:val="center"/>
          </w:tcPr>
          <w:p w14:paraId="3D57BA9B" w14:textId="77777777" w:rsidR="006E2521" w:rsidRPr="00CA3519" w:rsidRDefault="006E2521" w:rsidP="006E2521">
            <w:pPr>
              <w:jc w:val="center"/>
              <w:rPr>
                <w:sz w:val="17"/>
                <w:szCs w:val="17"/>
              </w:rPr>
            </w:pPr>
            <w:r w:rsidRPr="00CA3519">
              <w:rPr>
                <w:sz w:val="17"/>
                <w:szCs w:val="17"/>
              </w:rPr>
              <w:t>-0,551</w:t>
            </w:r>
          </w:p>
        </w:tc>
        <w:tc>
          <w:tcPr>
            <w:tcW w:w="1086" w:type="dxa"/>
            <w:tcBorders>
              <w:top w:val="single" w:sz="4" w:space="0" w:color="auto"/>
              <w:left w:val="single" w:sz="4" w:space="0" w:color="auto"/>
              <w:bottom w:val="single" w:sz="4" w:space="0" w:color="auto"/>
              <w:right w:val="single" w:sz="4" w:space="0" w:color="auto"/>
            </w:tcBorders>
            <w:vAlign w:val="center"/>
          </w:tcPr>
          <w:p w14:paraId="699E992F" w14:textId="77777777" w:rsidR="006E2521" w:rsidRPr="00CA3519" w:rsidRDefault="006E2521" w:rsidP="006E2521">
            <w:pPr>
              <w:jc w:val="center"/>
              <w:rPr>
                <w:sz w:val="17"/>
                <w:szCs w:val="17"/>
              </w:rPr>
            </w:pPr>
            <w:r w:rsidRPr="00CA3519">
              <w:rPr>
                <w:sz w:val="17"/>
                <w:szCs w:val="17"/>
              </w:rPr>
              <w:t>-0,521</w:t>
            </w:r>
          </w:p>
        </w:tc>
        <w:tc>
          <w:tcPr>
            <w:tcW w:w="1086" w:type="dxa"/>
            <w:tcBorders>
              <w:top w:val="single" w:sz="4" w:space="0" w:color="auto"/>
              <w:left w:val="single" w:sz="4" w:space="0" w:color="auto"/>
              <w:bottom w:val="single" w:sz="4" w:space="0" w:color="auto"/>
              <w:right w:val="single" w:sz="4" w:space="0" w:color="auto"/>
            </w:tcBorders>
            <w:vAlign w:val="center"/>
          </w:tcPr>
          <w:p w14:paraId="046787DB" w14:textId="77777777" w:rsidR="006E2521" w:rsidRPr="00CA3519" w:rsidRDefault="006E2521" w:rsidP="006E2521">
            <w:pPr>
              <w:jc w:val="center"/>
              <w:rPr>
                <w:sz w:val="17"/>
                <w:szCs w:val="17"/>
              </w:rPr>
            </w:pPr>
            <w:r w:rsidRPr="00CA3519">
              <w:rPr>
                <w:sz w:val="17"/>
                <w:szCs w:val="17"/>
              </w:rPr>
              <w:t>-0,466</w:t>
            </w:r>
          </w:p>
        </w:tc>
        <w:tc>
          <w:tcPr>
            <w:tcW w:w="1085" w:type="dxa"/>
            <w:tcBorders>
              <w:top w:val="single" w:sz="4" w:space="0" w:color="auto"/>
              <w:left w:val="single" w:sz="4" w:space="0" w:color="auto"/>
              <w:bottom w:val="single" w:sz="4" w:space="0" w:color="auto"/>
              <w:right w:val="single" w:sz="4" w:space="0" w:color="auto"/>
            </w:tcBorders>
            <w:vAlign w:val="center"/>
          </w:tcPr>
          <w:p w14:paraId="12D37FA1" w14:textId="77777777" w:rsidR="006E2521" w:rsidRPr="00CA3519" w:rsidRDefault="006E2521" w:rsidP="006E2521">
            <w:pPr>
              <w:jc w:val="center"/>
              <w:rPr>
                <w:sz w:val="17"/>
                <w:szCs w:val="17"/>
              </w:rPr>
            </w:pPr>
            <w:r w:rsidRPr="00CA3519">
              <w:rPr>
                <w:sz w:val="17"/>
                <w:szCs w:val="17"/>
              </w:rPr>
              <w:t>-0,381</w:t>
            </w:r>
          </w:p>
        </w:tc>
        <w:tc>
          <w:tcPr>
            <w:tcW w:w="1086" w:type="dxa"/>
            <w:tcBorders>
              <w:top w:val="single" w:sz="4" w:space="0" w:color="auto"/>
              <w:left w:val="single" w:sz="4" w:space="0" w:color="auto"/>
              <w:bottom w:val="single" w:sz="4" w:space="0" w:color="auto"/>
              <w:right w:val="single" w:sz="4" w:space="0" w:color="auto"/>
            </w:tcBorders>
            <w:vAlign w:val="center"/>
          </w:tcPr>
          <w:p w14:paraId="56D3F743" w14:textId="77777777" w:rsidR="006E2521" w:rsidRPr="00CA3519" w:rsidRDefault="006E2521" w:rsidP="006E2521">
            <w:pPr>
              <w:jc w:val="center"/>
              <w:rPr>
                <w:sz w:val="17"/>
                <w:szCs w:val="17"/>
              </w:rPr>
            </w:pPr>
            <w:r w:rsidRPr="00CA3519">
              <w:rPr>
                <w:sz w:val="17"/>
                <w:szCs w:val="17"/>
              </w:rPr>
              <w:t>-0,259</w:t>
            </w:r>
          </w:p>
        </w:tc>
        <w:tc>
          <w:tcPr>
            <w:tcW w:w="1085" w:type="dxa"/>
            <w:tcBorders>
              <w:top w:val="single" w:sz="4" w:space="0" w:color="auto"/>
              <w:left w:val="single" w:sz="4" w:space="0" w:color="auto"/>
              <w:bottom w:val="single" w:sz="4" w:space="0" w:color="auto"/>
              <w:right w:val="single" w:sz="4" w:space="0" w:color="auto"/>
            </w:tcBorders>
            <w:vAlign w:val="center"/>
          </w:tcPr>
          <w:p w14:paraId="1CC1B2E3" w14:textId="77777777" w:rsidR="006E2521" w:rsidRPr="00CA3519" w:rsidRDefault="006E2521" w:rsidP="006E2521">
            <w:pPr>
              <w:jc w:val="center"/>
              <w:rPr>
                <w:sz w:val="17"/>
                <w:szCs w:val="17"/>
              </w:rPr>
            </w:pPr>
            <w:r w:rsidRPr="00CA3519">
              <w:rPr>
                <w:sz w:val="17"/>
                <w:szCs w:val="17"/>
              </w:rPr>
              <w:t>-0,105</w:t>
            </w:r>
          </w:p>
        </w:tc>
        <w:tc>
          <w:tcPr>
            <w:tcW w:w="1086" w:type="dxa"/>
            <w:tcBorders>
              <w:top w:val="single" w:sz="4" w:space="0" w:color="auto"/>
              <w:left w:val="single" w:sz="4" w:space="0" w:color="auto"/>
              <w:bottom w:val="single" w:sz="4" w:space="0" w:color="auto"/>
              <w:right w:val="single" w:sz="4" w:space="0" w:color="auto"/>
            </w:tcBorders>
            <w:vAlign w:val="center"/>
          </w:tcPr>
          <w:p w14:paraId="4DF8775F" w14:textId="77777777" w:rsidR="006E2521" w:rsidRPr="00CA3519" w:rsidRDefault="006E2521" w:rsidP="006E2521">
            <w:pPr>
              <w:jc w:val="center"/>
              <w:rPr>
                <w:sz w:val="17"/>
                <w:szCs w:val="17"/>
              </w:rPr>
            </w:pPr>
            <w:r w:rsidRPr="00CA3519">
              <w:rPr>
                <w:sz w:val="17"/>
                <w:szCs w:val="17"/>
              </w:rPr>
              <w:t>0,058</w:t>
            </w:r>
          </w:p>
        </w:tc>
        <w:tc>
          <w:tcPr>
            <w:tcW w:w="1086" w:type="dxa"/>
            <w:tcBorders>
              <w:top w:val="single" w:sz="4" w:space="0" w:color="auto"/>
              <w:left w:val="single" w:sz="4" w:space="0" w:color="auto"/>
              <w:bottom w:val="single" w:sz="4" w:space="0" w:color="auto"/>
              <w:right w:val="single" w:sz="4" w:space="0" w:color="auto"/>
            </w:tcBorders>
            <w:vAlign w:val="center"/>
          </w:tcPr>
          <w:p w14:paraId="5008473C" w14:textId="77777777" w:rsidR="006E2521" w:rsidRPr="00CA3519" w:rsidRDefault="006E2521" w:rsidP="006E2521">
            <w:pPr>
              <w:jc w:val="center"/>
              <w:rPr>
                <w:sz w:val="17"/>
                <w:szCs w:val="17"/>
              </w:rPr>
            </w:pPr>
            <w:r w:rsidRPr="00CA3519">
              <w:rPr>
                <w:sz w:val="17"/>
                <w:szCs w:val="17"/>
              </w:rPr>
              <w:t>0,204</w:t>
            </w:r>
          </w:p>
        </w:tc>
      </w:tr>
      <w:tr w:rsidR="006E2521" w:rsidRPr="00CA3519" w14:paraId="6F734485"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1D70074D" w14:textId="77777777" w:rsidR="006E2521" w:rsidRPr="00CA3519" w:rsidRDefault="006E2521" w:rsidP="00AE2144">
            <w:pPr>
              <w:rPr>
                <w:sz w:val="17"/>
                <w:szCs w:val="17"/>
              </w:rPr>
            </w:pPr>
            <w:r w:rsidRPr="00CA3519">
              <w:rPr>
                <w:sz w:val="17"/>
                <w:szCs w:val="17"/>
              </w:rPr>
              <w:t>September 2016</w:t>
            </w:r>
          </w:p>
        </w:tc>
        <w:tc>
          <w:tcPr>
            <w:tcW w:w="2113" w:type="dxa"/>
            <w:tcBorders>
              <w:top w:val="single" w:sz="4" w:space="0" w:color="auto"/>
              <w:left w:val="single" w:sz="4" w:space="0" w:color="auto"/>
              <w:bottom w:val="single" w:sz="4" w:space="0" w:color="auto"/>
              <w:right w:val="single" w:sz="4" w:space="0" w:color="auto"/>
            </w:tcBorders>
            <w:vAlign w:val="center"/>
          </w:tcPr>
          <w:p w14:paraId="6DD4D6FB" w14:textId="77777777" w:rsidR="006E2521" w:rsidRPr="00CA3519" w:rsidRDefault="006E2521" w:rsidP="006E2521">
            <w:pPr>
              <w:jc w:val="center"/>
              <w:rPr>
                <w:sz w:val="17"/>
                <w:szCs w:val="17"/>
              </w:rPr>
            </w:pPr>
            <w:r w:rsidRPr="00CA3519">
              <w:rPr>
                <w:sz w:val="17"/>
                <w:szCs w:val="17"/>
              </w:rPr>
              <w:t>19.09.2016 - Ausg. 1</w:t>
            </w:r>
          </w:p>
        </w:tc>
        <w:tc>
          <w:tcPr>
            <w:tcW w:w="1085" w:type="dxa"/>
            <w:tcBorders>
              <w:top w:val="single" w:sz="4" w:space="0" w:color="auto"/>
              <w:left w:val="single" w:sz="4" w:space="0" w:color="auto"/>
              <w:bottom w:val="single" w:sz="4" w:space="0" w:color="auto"/>
              <w:right w:val="single" w:sz="4" w:space="0" w:color="auto"/>
            </w:tcBorders>
            <w:vAlign w:val="center"/>
          </w:tcPr>
          <w:p w14:paraId="19485C5D" w14:textId="77777777" w:rsidR="006E2521" w:rsidRPr="00CA3519" w:rsidRDefault="006E2521" w:rsidP="006E2521">
            <w:pPr>
              <w:jc w:val="center"/>
              <w:rPr>
                <w:sz w:val="17"/>
                <w:szCs w:val="17"/>
              </w:rPr>
            </w:pPr>
            <w:r w:rsidRPr="00CA3519">
              <w:rPr>
                <w:sz w:val="17"/>
                <w:szCs w:val="17"/>
              </w:rPr>
              <w:t>-0,585</w:t>
            </w:r>
          </w:p>
        </w:tc>
        <w:tc>
          <w:tcPr>
            <w:tcW w:w="1086" w:type="dxa"/>
            <w:tcBorders>
              <w:top w:val="single" w:sz="4" w:space="0" w:color="auto"/>
              <w:left w:val="single" w:sz="4" w:space="0" w:color="auto"/>
              <w:bottom w:val="single" w:sz="4" w:space="0" w:color="auto"/>
              <w:right w:val="single" w:sz="4" w:space="0" w:color="auto"/>
            </w:tcBorders>
            <w:vAlign w:val="center"/>
          </w:tcPr>
          <w:p w14:paraId="080C14F6" w14:textId="77777777" w:rsidR="006E2521" w:rsidRPr="00CA3519" w:rsidRDefault="006E2521" w:rsidP="006E2521">
            <w:pPr>
              <w:jc w:val="center"/>
              <w:rPr>
                <w:sz w:val="17"/>
                <w:szCs w:val="17"/>
              </w:rPr>
            </w:pPr>
            <w:r w:rsidRPr="00CA3519">
              <w:rPr>
                <w:sz w:val="17"/>
                <w:szCs w:val="17"/>
              </w:rPr>
              <w:t>-0,584</w:t>
            </w:r>
          </w:p>
        </w:tc>
        <w:tc>
          <w:tcPr>
            <w:tcW w:w="1085" w:type="dxa"/>
            <w:tcBorders>
              <w:top w:val="single" w:sz="4" w:space="0" w:color="auto"/>
              <w:left w:val="single" w:sz="4" w:space="0" w:color="auto"/>
              <w:bottom w:val="single" w:sz="4" w:space="0" w:color="auto"/>
              <w:right w:val="single" w:sz="4" w:space="0" w:color="auto"/>
            </w:tcBorders>
            <w:vAlign w:val="center"/>
          </w:tcPr>
          <w:p w14:paraId="528CC52F" w14:textId="77777777" w:rsidR="006E2521" w:rsidRPr="00CA3519" w:rsidRDefault="006E2521" w:rsidP="006E2521">
            <w:pPr>
              <w:jc w:val="center"/>
              <w:rPr>
                <w:sz w:val="17"/>
                <w:szCs w:val="17"/>
              </w:rPr>
            </w:pPr>
            <w:r w:rsidRPr="00CA3519">
              <w:rPr>
                <w:sz w:val="17"/>
                <w:szCs w:val="17"/>
              </w:rPr>
              <w:t>-0,566</w:t>
            </w:r>
          </w:p>
        </w:tc>
        <w:tc>
          <w:tcPr>
            <w:tcW w:w="1086" w:type="dxa"/>
            <w:tcBorders>
              <w:top w:val="single" w:sz="4" w:space="0" w:color="auto"/>
              <w:left w:val="single" w:sz="4" w:space="0" w:color="auto"/>
              <w:bottom w:val="single" w:sz="4" w:space="0" w:color="auto"/>
              <w:right w:val="single" w:sz="4" w:space="0" w:color="auto"/>
            </w:tcBorders>
            <w:vAlign w:val="center"/>
          </w:tcPr>
          <w:p w14:paraId="7D756F2B" w14:textId="77777777" w:rsidR="006E2521" w:rsidRPr="00CA3519" w:rsidRDefault="006E2521" w:rsidP="006E2521">
            <w:pPr>
              <w:jc w:val="center"/>
              <w:rPr>
                <w:sz w:val="17"/>
                <w:szCs w:val="17"/>
              </w:rPr>
            </w:pPr>
            <w:r w:rsidRPr="00CA3519">
              <w:rPr>
                <w:sz w:val="17"/>
                <w:szCs w:val="17"/>
              </w:rPr>
              <w:t>-0,525</w:t>
            </w:r>
          </w:p>
        </w:tc>
        <w:tc>
          <w:tcPr>
            <w:tcW w:w="1086" w:type="dxa"/>
            <w:tcBorders>
              <w:top w:val="single" w:sz="4" w:space="0" w:color="auto"/>
              <w:left w:val="single" w:sz="4" w:space="0" w:color="auto"/>
              <w:bottom w:val="single" w:sz="4" w:space="0" w:color="auto"/>
              <w:right w:val="single" w:sz="4" w:space="0" w:color="auto"/>
            </w:tcBorders>
            <w:vAlign w:val="center"/>
          </w:tcPr>
          <w:p w14:paraId="1D36AF52" w14:textId="77777777" w:rsidR="006E2521" w:rsidRPr="00CA3519" w:rsidRDefault="006E2521" w:rsidP="006E2521">
            <w:pPr>
              <w:jc w:val="center"/>
              <w:rPr>
                <w:sz w:val="17"/>
                <w:szCs w:val="17"/>
              </w:rPr>
            </w:pPr>
            <w:r w:rsidRPr="00CA3519">
              <w:rPr>
                <w:sz w:val="17"/>
                <w:szCs w:val="17"/>
              </w:rPr>
              <w:t>-0,463</w:t>
            </w:r>
          </w:p>
        </w:tc>
        <w:tc>
          <w:tcPr>
            <w:tcW w:w="1085" w:type="dxa"/>
            <w:tcBorders>
              <w:top w:val="single" w:sz="4" w:space="0" w:color="auto"/>
              <w:left w:val="single" w:sz="4" w:space="0" w:color="auto"/>
              <w:bottom w:val="single" w:sz="4" w:space="0" w:color="auto"/>
              <w:right w:val="single" w:sz="4" w:space="0" w:color="auto"/>
            </w:tcBorders>
            <w:vAlign w:val="center"/>
          </w:tcPr>
          <w:p w14:paraId="55F0A971" w14:textId="77777777" w:rsidR="006E2521" w:rsidRPr="00CA3519" w:rsidRDefault="006E2521" w:rsidP="006E2521">
            <w:pPr>
              <w:jc w:val="center"/>
              <w:rPr>
                <w:sz w:val="17"/>
                <w:szCs w:val="17"/>
              </w:rPr>
            </w:pPr>
            <w:r w:rsidRPr="00CA3519">
              <w:rPr>
                <w:sz w:val="17"/>
                <w:szCs w:val="17"/>
              </w:rPr>
              <w:t>-0,391</w:t>
            </w:r>
          </w:p>
        </w:tc>
        <w:tc>
          <w:tcPr>
            <w:tcW w:w="1086" w:type="dxa"/>
            <w:tcBorders>
              <w:top w:val="single" w:sz="4" w:space="0" w:color="auto"/>
              <w:left w:val="single" w:sz="4" w:space="0" w:color="auto"/>
              <w:bottom w:val="single" w:sz="4" w:space="0" w:color="auto"/>
              <w:right w:val="single" w:sz="4" w:space="0" w:color="auto"/>
            </w:tcBorders>
            <w:vAlign w:val="center"/>
          </w:tcPr>
          <w:p w14:paraId="0CA126ED" w14:textId="77777777" w:rsidR="006E2521" w:rsidRPr="00CA3519" w:rsidRDefault="006E2521" w:rsidP="006E2521">
            <w:pPr>
              <w:jc w:val="center"/>
              <w:rPr>
                <w:sz w:val="17"/>
                <w:szCs w:val="17"/>
              </w:rPr>
            </w:pPr>
            <w:r w:rsidRPr="00CA3519">
              <w:rPr>
                <w:sz w:val="17"/>
                <w:szCs w:val="17"/>
              </w:rPr>
              <w:t>-0,287</w:t>
            </w:r>
          </w:p>
        </w:tc>
        <w:tc>
          <w:tcPr>
            <w:tcW w:w="1085" w:type="dxa"/>
            <w:tcBorders>
              <w:top w:val="single" w:sz="4" w:space="0" w:color="auto"/>
              <w:left w:val="single" w:sz="4" w:space="0" w:color="auto"/>
              <w:bottom w:val="single" w:sz="4" w:space="0" w:color="auto"/>
              <w:right w:val="single" w:sz="4" w:space="0" w:color="auto"/>
            </w:tcBorders>
            <w:vAlign w:val="center"/>
          </w:tcPr>
          <w:p w14:paraId="1D5F0188" w14:textId="77777777" w:rsidR="006E2521" w:rsidRPr="00CA3519" w:rsidRDefault="006E2521" w:rsidP="006E2521">
            <w:pPr>
              <w:jc w:val="center"/>
              <w:rPr>
                <w:sz w:val="17"/>
                <w:szCs w:val="17"/>
              </w:rPr>
            </w:pPr>
            <w:r w:rsidRPr="00CA3519">
              <w:rPr>
                <w:sz w:val="17"/>
                <w:szCs w:val="17"/>
              </w:rPr>
              <w:t>-0,140</w:t>
            </w:r>
          </w:p>
        </w:tc>
        <w:tc>
          <w:tcPr>
            <w:tcW w:w="1086" w:type="dxa"/>
            <w:tcBorders>
              <w:top w:val="single" w:sz="4" w:space="0" w:color="auto"/>
              <w:left w:val="single" w:sz="4" w:space="0" w:color="auto"/>
              <w:bottom w:val="single" w:sz="4" w:space="0" w:color="auto"/>
              <w:right w:val="single" w:sz="4" w:space="0" w:color="auto"/>
            </w:tcBorders>
            <w:vAlign w:val="center"/>
          </w:tcPr>
          <w:p w14:paraId="60CA710E" w14:textId="77777777" w:rsidR="006E2521" w:rsidRPr="00CA3519" w:rsidRDefault="006E2521" w:rsidP="006E2521">
            <w:pPr>
              <w:jc w:val="center"/>
              <w:rPr>
                <w:sz w:val="17"/>
                <w:szCs w:val="17"/>
              </w:rPr>
            </w:pPr>
            <w:r w:rsidRPr="00CA3519">
              <w:rPr>
                <w:sz w:val="17"/>
                <w:szCs w:val="17"/>
              </w:rPr>
              <w:t>0,022</w:t>
            </w:r>
          </w:p>
        </w:tc>
        <w:tc>
          <w:tcPr>
            <w:tcW w:w="1086" w:type="dxa"/>
            <w:tcBorders>
              <w:top w:val="single" w:sz="4" w:space="0" w:color="auto"/>
              <w:left w:val="single" w:sz="4" w:space="0" w:color="auto"/>
              <w:bottom w:val="single" w:sz="4" w:space="0" w:color="auto"/>
              <w:right w:val="single" w:sz="4" w:space="0" w:color="auto"/>
            </w:tcBorders>
            <w:vAlign w:val="center"/>
          </w:tcPr>
          <w:p w14:paraId="51601E32" w14:textId="77777777" w:rsidR="006E2521" w:rsidRPr="00CA3519" w:rsidRDefault="006E2521" w:rsidP="006E2521">
            <w:pPr>
              <w:jc w:val="center"/>
              <w:rPr>
                <w:sz w:val="17"/>
                <w:szCs w:val="17"/>
              </w:rPr>
            </w:pPr>
            <w:r w:rsidRPr="00CA3519">
              <w:rPr>
                <w:sz w:val="17"/>
                <w:szCs w:val="17"/>
              </w:rPr>
              <w:t>0,169</w:t>
            </w:r>
          </w:p>
        </w:tc>
      </w:tr>
      <w:tr w:rsidR="006E2521" w:rsidRPr="00CA3519" w14:paraId="16B11F13"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341892C9" w14:textId="77777777" w:rsidR="006E2521" w:rsidRPr="00CA3519" w:rsidRDefault="006E2521" w:rsidP="00AE2144">
            <w:pPr>
              <w:rPr>
                <w:sz w:val="17"/>
                <w:szCs w:val="17"/>
              </w:rPr>
            </w:pPr>
            <w:r w:rsidRPr="00CA3519">
              <w:rPr>
                <w:sz w:val="17"/>
                <w:szCs w:val="17"/>
              </w:rPr>
              <w:t>Oktober 2016</w:t>
            </w:r>
          </w:p>
        </w:tc>
        <w:tc>
          <w:tcPr>
            <w:tcW w:w="2113" w:type="dxa"/>
            <w:tcBorders>
              <w:top w:val="single" w:sz="4" w:space="0" w:color="auto"/>
              <w:left w:val="single" w:sz="4" w:space="0" w:color="auto"/>
              <w:bottom w:val="single" w:sz="4" w:space="0" w:color="auto"/>
              <w:right w:val="single" w:sz="4" w:space="0" w:color="auto"/>
            </w:tcBorders>
            <w:vAlign w:val="center"/>
          </w:tcPr>
          <w:p w14:paraId="2DC3F539" w14:textId="77777777" w:rsidR="006E2521" w:rsidRPr="00CA3519" w:rsidRDefault="006E2521" w:rsidP="006E2521">
            <w:pPr>
              <w:jc w:val="center"/>
              <w:rPr>
                <w:sz w:val="17"/>
                <w:szCs w:val="17"/>
              </w:rPr>
            </w:pPr>
            <w:r w:rsidRPr="00CA3519">
              <w:rPr>
                <w:sz w:val="17"/>
                <w:szCs w:val="17"/>
              </w:rPr>
              <w:t>13.10.2016 - Ausg. 1</w:t>
            </w:r>
          </w:p>
        </w:tc>
        <w:tc>
          <w:tcPr>
            <w:tcW w:w="1085" w:type="dxa"/>
            <w:tcBorders>
              <w:top w:val="single" w:sz="4" w:space="0" w:color="auto"/>
              <w:left w:val="single" w:sz="4" w:space="0" w:color="auto"/>
              <w:bottom w:val="single" w:sz="4" w:space="0" w:color="auto"/>
              <w:right w:val="single" w:sz="4" w:space="0" w:color="auto"/>
            </w:tcBorders>
            <w:vAlign w:val="center"/>
          </w:tcPr>
          <w:p w14:paraId="51A35B21" w14:textId="77777777" w:rsidR="006E2521" w:rsidRPr="00CA3519" w:rsidRDefault="006E2521" w:rsidP="006E2521">
            <w:pPr>
              <w:jc w:val="center"/>
              <w:rPr>
                <w:sz w:val="17"/>
                <w:szCs w:val="17"/>
              </w:rPr>
            </w:pPr>
            <w:r w:rsidRPr="00CA3519">
              <w:rPr>
                <w:sz w:val="17"/>
                <w:szCs w:val="17"/>
              </w:rPr>
              <w:t>-0,627</w:t>
            </w:r>
          </w:p>
        </w:tc>
        <w:tc>
          <w:tcPr>
            <w:tcW w:w="1086" w:type="dxa"/>
            <w:tcBorders>
              <w:top w:val="single" w:sz="4" w:space="0" w:color="auto"/>
              <w:left w:val="single" w:sz="4" w:space="0" w:color="auto"/>
              <w:bottom w:val="single" w:sz="4" w:space="0" w:color="auto"/>
              <w:right w:val="single" w:sz="4" w:space="0" w:color="auto"/>
            </w:tcBorders>
            <w:vAlign w:val="center"/>
          </w:tcPr>
          <w:p w14:paraId="02EBEF83" w14:textId="77777777" w:rsidR="006E2521" w:rsidRPr="00CA3519" w:rsidRDefault="006E2521" w:rsidP="006E2521">
            <w:pPr>
              <w:jc w:val="center"/>
              <w:rPr>
                <w:sz w:val="17"/>
                <w:szCs w:val="17"/>
              </w:rPr>
            </w:pPr>
            <w:r w:rsidRPr="00CA3519">
              <w:rPr>
                <w:sz w:val="17"/>
                <w:szCs w:val="17"/>
              </w:rPr>
              <w:t>-0,594</w:t>
            </w:r>
          </w:p>
        </w:tc>
        <w:tc>
          <w:tcPr>
            <w:tcW w:w="1085" w:type="dxa"/>
            <w:tcBorders>
              <w:top w:val="single" w:sz="4" w:space="0" w:color="auto"/>
              <w:left w:val="single" w:sz="4" w:space="0" w:color="auto"/>
              <w:bottom w:val="single" w:sz="4" w:space="0" w:color="auto"/>
              <w:right w:val="single" w:sz="4" w:space="0" w:color="auto"/>
            </w:tcBorders>
            <w:vAlign w:val="center"/>
          </w:tcPr>
          <w:p w14:paraId="305024FF" w14:textId="77777777" w:rsidR="006E2521" w:rsidRPr="00CA3519" w:rsidRDefault="006E2521" w:rsidP="006E2521">
            <w:pPr>
              <w:jc w:val="center"/>
              <w:rPr>
                <w:sz w:val="17"/>
                <w:szCs w:val="17"/>
              </w:rPr>
            </w:pPr>
            <w:r w:rsidRPr="00CA3519">
              <w:rPr>
                <w:sz w:val="17"/>
                <w:szCs w:val="17"/>
              </w:rPr>
              <w:t>-0,558</w:t>
            </w:r>
          </w:p>
        </w:tc>
        <w:tc>
          <w:tcPr>
            <w:tcW w:w="1086" w:type="dxa"/>
            <w:tcBorders>
              <w:top w:val="single" w:sz="4" w:space="0" w:color="auto"/>
              <w:left w:val="single" w:sz="4" w:space="0" w:color="auto"/>
              <w:bottom w:val="single" w:sz="4" w:space="0" w:color="auto"/>
              <w:right w:val="single" w:sz="4" w:space="0" w:color="auto"/>
            </w:tcBorders>
            <w:vAlign w:val="center"/>
          </w:tcPr>
          <w:p w14:paraId="0DA80B28" w14:textId="77777777" w:rsidR="006E2521" w:rsidRPr="00CA3519" w:rsidRDefault="006E2521" w:rsidP="006E2521">
            <w:pPr>
              <w:jc w:val="center"/>
              <w:rPr>
                <w:sz w:val="17"/>
                <w:szCs w:val="17"/>
              </w:rPr>
            </w:pPr>
            <w:r w:rsidRPr="00CA3519">
              <w:rPr>
                <w:sz w:val="17"/>
                <w:szCs w:val="17"/>
              </w:rPr>
              <w:t>-0,509</w:t>
            </w:r>
          </w:p>
        </w:tc>
        <w:tc>
          <w:tcPr>
            <w:tcW w:w="1086" w:type="dxa"/>
            <w:tcBorders>
              <w:top w:val="single" w:sz="4" w:space="0" w:color="auto"/>
              <w:left w:val="single" w:sz="4" w:space="0" w:color="auto"/>
              <w:bottom w:val="single" w:sz="4" w:space="0" w:color="auto"/>
              <w:right w:val="single" w:sz="4" w:space="0" w:color="auto"/>
            </w:tcBorders>
            <w:vAlign w:val="center"/>
          </w:tcPr>
          <w:p w14:paraId="02C0B0B6" w14:textId="77777777" w:rsidR="006E2521" w:rsidRPr="00CA3519" w:rsidRDefault="006E2521" w:rsidP="006E2521">
            <w:pPr>
              <w:jc w:val="center"/>
              <w:rPr>
                <w:sz w:val="17"/>
                <w:szCs w:val="17"/>
              </w:rPr>
            </w:pPr>
            <w:r w:rsidRPr="00CA3519">
              <w:rPr>
                <w:sz w:val="17"/>
                <w:szCs w:val="17"/>
              </w:rPr>
              <w:t>-0,446</w:t>
            </w:r>
          </w:p>
        </w:tc>
        <w:tc>
          <w:tcPr>
            <w:tcW w:w="1085" w:type="dxa"/>
            <w:tcBorders>
              <w:top w:val="single" w:sz="4" w:space="0" w:color="auto"/>
              <w:left w:val="single" w:sz="4" w:space="0" w:color="auto"/>
              <w:bottom w:val="single" w:sz="4" w:space="0" w:color="auto"/>
              <w:right w:val="single" w:sz="4" w:space="0" w:color="auto"/>
            </w:tcBorders>
            <w:vAlign w:val="center"/>
          </w:tcPr>
          <w:p w14:paraId="3547EBEB" w14:textId="77777777" w:rsidR="006E2521" w:rsidRPr="00CA3519" w:rsidRDefault="006E2521" w:rsidP="006E2521">
            <w:pPr>
              <w:jc w:val="center"/>
              <w:rPr>
                <w:sz w:val="17"/>
                <w:szCs w:val="17"/>
              </w:rPr>
            </w:pPr>
            <w:r w:rsidRPr="00CA3519">
              <w:rPr>
                <w:sz w:val="17"/>
                <w:szCs w:val="17"/>
              </w:rPr>
              <w:t>-0,369</w:t>
            </w:r>
          </w:p>
        </w:tc>
        <w:tc>
          <w:tcPr>
            <w:tcW w:w="1086" w:type="dxa"/>
            <w:tcBorders>
              <w:top w:val="single" w:sz="4" w:space="0" w:color="auto"/>
              <w:left w:val="single" w:sz="4" w:space="0" w:color="auto"/>
              <w:bottom w:val="single" w:sz="4" w:space="0" w:color="auto"/>
              <w:right w:val="single" w:sz="4" w:space="0" w:color="auto"/>
            </w:tcBorders>
            <w:vAlign w:val="center"/>
          </w:tcPr>
          <w:p w14:paraId="233259E3" w14:textId="77777777" w:rsidR="006E2521" w:rsidRPr="00CA3519" w:rsidRDefault="006E2521" w:rsidP="006E2521">
            <w:pPr>
              <w:jc w:val="center"/>
              <w:rPr>
                <w:sz w:val="17"/>
                <w:szCs w:val="17"/>
              </w:rPr>
            </w:pPr>
            <w:r w:rsidRPr="00CA3519">
              <w:rPr>
                <w:sz w:val="17"/>
                <w:szCs w:val="17"/>
              </w:rPr>
              <w:t>-0,255</w:t>
            </w:r>
          </w:p>
        </w:tc>
        <w:tc>
          <w:tcPr>
            <w:tcW w:w="1085" w:type="dxa"/>
            <w:tcBorders>
              <w:top w:val="single" w:sz="4" w:space="0" w:color="auto"/>
              <w:left w:val="single" w:sz="4" w:space="0" w:color="auto"/>
              <w:bottom w:val="single" w:sz="4" w:space="0" w:color="auto"/>
              <w:right w:val="single" w:sz="4" w:space="0" w:color="auto"/>
            </w:tcBorders>
            <w:vAlign w:val="center"/>
          </w:tcPr>
          <w:p w14:paraId="5DAF16D4" w14:textId="77777777" w:rsidR="006E2521" w:rsidRPr="00CA3519" w:rsidRDefault="006E2521" w:rsidP="006E2521">
            <w:pPr>
              <w:jc w:val="center"/>
              <w:rPr>
                <w:sz w:val="17"/>
                <w:szCs w:val="17"/>
              </w:rPr>
            </w:pPr>
            <w:r w:rsidRPr="00CA3519">
              <w:rPr>
                <w:sz w:val="17"/>
                <w:szCs w:val="17"/>
              </w:rPr>
              <w:t>-0,096</w:t>
            </w:r>
          </w:p>
        </w:tc>
        <w:tc>
          <w:tcPr>
            <w:tcW w:w="1086" w:type="dxa"/>
            <w:tcBorders>
              <w:top w:val="single" w:sz="4" w:space="0" w:color="auto"/>
              <w:left w:val="single" w:sz="4" w:space="0" w:color="auto"/>
              <w:bottom w:val="single" w:sz="4" w:space="0" w:color="auto"/>
              <w:right w:val="single" w:sz="4" w:space="0" w:color="auto"/>
            </w:tcBorders>
            <w:vAlign w:val="center"/>
          </w:tcPr>
          <w:p w14:paraId="210BBA27" w14:textId="77777777" w:rsidR="006E2521" w:rsidRPr="00CA3519" w:rsidRDefault="006E2521" w:rsidP="006E2521">
            <w:pPr>
              <w:jc w:val="center"/>
              <w:rPr>
                <w:sz w:val="17"/>
                <w:szCs w:val="17"/>
              </w:rPr>
            </w:pPr>
            <w:r w:rsidRPr="00CA3519">
              <w:rPr>
                <w:sz w:val="17"/>
                <w:szCs w:val="17"/>
              </w:rPr>
              <w:t>0,076</w:t>
            </w:r>
          </w:p>
        </w:tc>
        <w:tc>
          <w:tcPr>
            <w:tcW w:w="1086" w:type="dxa"/>
            <w:tcBorders>
              <w:top w:val="single" w:sz="4" w:space="0" w:color="auto"/>
              <w:left w:val="single" w:sz="4" w:space="0" w:color="auto"/>
              <w:bottom w:val="single" w:sz="4" w:space="0" w:color="auto"/>
              <w:right w:val="single" w:sz="4" w:space="0" w:color="auto"/>
            </w:tcBorders>
            <w:vAlign w:val="center"/>
          </w:tcPr>
          <w:p w14:paraId="59F13CAA" w14:textId="77777777" w:rsidR="006E2521" w:rsidRPr="00CA3519" w:rsidRDefault="006E2521" w:rsidP="006E2521">
            <w:pPr>
              <w:jc w:val="center"/>
              <w:rPr>
                <w:sz w:val="17"/>
                <w:szCs w:val="17"/>
              </w:rPr>
            </w:pPr>
            <w:r w:rsidRPr="00CA3519">
              <w:rPr>
                <w:sz w:val="17"/>
                <w:szCs w:val="17"/>
              </w:rPr>
              <w:t>0,231</w:t>
            </w:r>
          </w:p>
        </w:tc>
      </w:tr>
      <w:tr w:rsidR="006E2521" w:rsidRPr="00CA3519" w14:paraId="4A2858CD"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2401E329" w14:textId="77777777" w:rsidR="006E2521" w:rsidRPr="00CA3519" w:rsidRDefault="006E2521" w:rsidP="00AE2144">
            <w:pPr>
              <w:rPr>
                <w:sz w:val="17"/>
                <w:szCs w:val="17"/>
              </w:rPr>
            </w:pPr>
            <w:r w:rsidRPr="00CA3519">
              <w:rPr>
                <w:sz w:val="17"/>
                <w:szCs w:val="17"/>
              </w:rPr>
              <w:t>November 2016</w:t>
            </w:r>
          </w:p>
        </w:tc>
        <w:tc>
          <w:tcPr>
            <w:tcW w:w="2113" w:type="dxa"/>
            <w:tcBorders>
              <w:top w:val="single" w:sz="4" w:space="0" w:color="auto"/>
              <w:left w:val="single" w:sz="4" w:space="0" w:color="auto"/>
              <w:bottom w:val="single" w:sz="4" w:space="0" w:color="auto"/>
              <w:right w:val="single" w:sz="4" w:space="0" w:color="auto"/>
            </w:tcBorders>
            <w:vAlign w:val="center"/>
          </w:tcPr>
          <w:p w14:paraId="77746BC4" w14:textId="77777777" w:rsidR="006E2521" w:rsidRPr="00CA3519" w:rsidRDefault="006E2521" w:rsidP="006E2521">
            <w:pPr>
              <w:jc w:val="center"/>
              <w:rPr>
                <w:sz w:val="17"/>
                <w:szCs w:val="17"/>
              </w:rPr>
            </w:pPr>
            <w:r w:rsidRPr="00CA3519">
              <w:rPr>
                <w:sz w:val="17"/>
                <w:szCs w:val="17"/>
              </w:rPr>
              <w:t>18.11.2016 - Ausg. 2</w:t>
            </w:r>
          </w:p>
        </w:tc>
        <w:tc>
          <w:tcPr>
            <w:tcW w:w="1085" w:type="dxa"/>
            <w:tcBorders>
              <w:top w:val="single" w:sz="4" w:space="0" w:color="auto"/>
              <w:left w:val="single" w:sz="4" w:space="0" w:color="auto"/>
              <w:bottom w:val="single" w:sz="4" w:space="0" w:color="auto"/>
              <w:right w:val="single" w:sz="4" w:space="0" w:color="auto"/>
            </w:tcBorders>
            <w:vAlign w:val="center"/>
          </w:tcPr>
          <w:p w14:paraId="4857302B" w14:textId="77777777" w:rsidR="006E2521" w:rsidRPr="00CA3519" w:rsidRDefault="006E2521" w:rsidP="006E2521">
            <w:pPr>
              <w:jc w:val="center"/>
              <w:rPr>
                <w:sz w:val="17"/>
                <w:szCs w:val="17"/>
              </w:rPr>
            </w:pPr>
            <w:r w:rsidRPr="00CA3519">
              <w:rPr>
                <w:sz w:val="17"/>
                <w:szCs w:val="17"/>
              </w:rPr>
              <w:t>-0,672</w:t>
            </w:r>
          </w:p>
        </w:tc>
        <w:tc>
          <w:tcPr>
            <w:tcW w:w="1086" w:type="dxa"/>
            <w:tcBorders>
              <w:top w:val="single" w:sz="4" w:space="0" w:color="auto"/>
              <w:left w:val="single" w:sz="4" w:space="0" w:color="auto"/>
              <w:bottom w:val="single" w:sz="4" w:space="0" w:color="auto"/>
              <w:right w:val="single" w:sz="4" w:space="0" w:color="auto"/>
            </w:tcBorders>
            <w:vAlign w:val="center"/>
          </w:tcPr>
          <w:p w14:paraId="53DFC619" w14:textId="77777777" w:rsidR="006E2521" w:rsidRPr="00CA3519" w:rsidRDefault="006E2521" w:rsidP="006E2521">
            <w:pPr>
              <w:jc w:val="center"/>
              <w:rPr>
                <w:sz w:val="17"/>
                <w:szCs w:val="17"/>
              </w:rPr>
            </w:pPr>
            <w:r w:rsidRPr="00CA3519">
              <w:rPr>
                <w:sz w:val="17"/>
                <w:szCs w:val="17"/>
              </w:rPr>
              <w:t>-0,605</w:t>
            </w:r>
          </w:p>
        </w:tc>
        <w:tc>
          <w:tcPr>
            <w:tcW w:w="1085" w:type="dxa"/>
            <w:tcBorders>
              <w:top w:val="single" w:sz="4" w:space="0" w:color="auto"/>
              <w:left w:val="single" w:sz="4" w:space="0" w:color="auto"/>
              <w:bottom w:val="single" w:sz="4" w:space="0" w:color="auto"/>
              <w:right w:val="single" w:sz="4" w:space="0" w:color="auto"/>
            </w:tcBorders>
            <w:vAlign w:val="center"/>
          </w:tcPr>
          <w:p w14:paraId="4ABF9D2D" w14:textId="77777777" w:rsidR="006E2521" w:rsidRPr="00CA3519" w:rsidRDefault="006E2521" w:rsidP="006E2521">
            <w:pPr>
              <w:jc w:val="center"/>
              <w:rPr>
                <w:sz w:val="17"/>
                <w:szCs w:val="17"/>
              </w:rPr>
            </w:pPr>
            <w:r w:rsidRPr="00CA3519">
              <w:rPr>
                <w:sz w:val="17"/>
                <w:szCs w:val="17"/>
              </w:rPr>
              <w:t>-0,535</w:t>
            </w:r>
          </w:p>
        </w:tc>
        <w:tc>
          <w:tcPr>
            <w:tcW w:w="1086" w:type="dxa"/>
            <w:tcBorders>
              <w:top w:val="single" w:sz="4" w:space="0" w:color="auto"/>
              <w:left w:val="single" w:sz="4" w:space="0" w:color="auto"/>
              <w:bottom w:val="single" w:sz="4" w:space="0" w:color="auto"/>
              <w:right w:val="single" w:sz="4" w:space="0" w:color="auto"/>
            </w:tcBorders>
            <w:vAlign w:val="center"/>
          </w:tcPr>
          <w:p w14:paraId="33FD96FF" w14:textId="77777777" w:rsidR="006E2521" w:rsidRPr="00CA3519" w:rsidRDefault="006E2521" w:rsidP="006E2521">
            <w:pPr>
              <w:jc w:val="center"/>
              <w:rPr>
                <w:sz w:val="17"/>
                <w:szCs w:val="17"/>
              </w:rPr>
            </w:pPr>
            <w:r w:rsidRPr="00CA3519">
              <w:rPr>
                <w:sz w:val="17"/>
                <w:szCs w:val="17"/>
              </w:rPr>
              <w:t>-0,450</w:t>
            </w:r>
          </w:p>
        </w:tc>
        <w:tc>
          <w:tcPr>
            <w:tcW w:w="1086" w:type="dxa"/>
            <w:tcBorders>
              <w:top w:val="single" w:sz="4" w:space="0" w:color="auto"/>
              <w:left w:val="single" w:sz="4" w:space="0" w:color="auto"/>
              <w:bottom w:val="single" w:sz="4" w:space="0" w:color="auto"/>
              <w:right w:val="single" w:sz="4" w:space="0" w:color="auto"/>
            </w:tcBorders>
            <w:vAlign w:val="center"/>
          </w:tcPr>
          <w:p w14:paraId="229691B3" w14:textId="77777777" w:rsidR="006E2521" w:rsidRPr="00CA3519" w:rsidRDefault="006E2521" w:rsidP="006E2521">
            <w:pPr>
              <w:jc w:val="center"/>
              <w:rPr>
                <w:sz w:val="17"/>
                <w:szCs w:val="17"/>
              </w:rPr>
            </w:pPr>
            <w:r w:rsidRPr="00CA3519">
              <w:rPr>
                <w:sz w:val="17"/>
                <w:szCs w:val="17"/>
              </w:rPr>
              <w:t>-0,363</w:t>
            </w:r>
          </w:p>
        </w:tc>
        <w:tc>
          <w:tcPr>
            <w:tcW w:w="1085" w:type="dxa"/>
            <w:tcBorders>
              <w:top w:val="single" w:sz="4" w:space="0" w:color="auto"/>
              <w:left w:val="single" w:sz="4" w:space="0" w:color="auto"/>
              <w:bottom w:val="single" w:sz="4" w:space="0" w:color="auto"/>
              <w:right w:val="single" w:sz="4" w:space="0" w:color="auto"/>
            </w:tcBorders>
            <w:vAlign w:val="center"/>
          </w:tcPr>
          <w:p w14:paraId="05604A6F" w14:textId="77777777" w:rsidR="006E2521" w:rsidRPr="00CA3519" w:rsidRDefault="006E2521" w:rsidP="006E2521">
            <w:pPr>
              <w:jc w:val="center"/>
              <w:rPr>
                <w:sz w:val="17"/>
                <w:szCs w:val="17"/>
              </w:rPr>
            </w:pPr>
            <w:r w:rsidRPr="00CA3519">
              <w:rPr>
                <w:sz w:val="17"/>
                <w:szCs w:val="17"/>
              </w:rPr>
              <w:t>-0,267</w:t>
            </w:r>
          </w:p>
        </w:tc>
        <w:tc>
          <w:tcPr>
            <w:tcW w:w="1086" w:type="dxa"/>
            <w:tcBorders>
              <w:top w:val="single" w:sz="4" w:space="0" w:color="auto"/>
              <w:left w:val="single" w:sz="4" w:space="0" w:color="auto"/>
              <w:bottom w:val="single" w:sz="4" w:space="0" w:color="auto"/>
              <w:right w:val="single" w:sz="4" w:space="0" w:color="auto"/>
            </w:tcBorders>
            <w:vAlign w:val="center"/>
          </w:tcPr>
          <w:p w14:paraId="5A1445F6" w14:textId="77777777" w:rsidR="006E2521" w:rsidRPr="00CA3519" w:rsidRDefault="006E2521" w:rsidP="006E2521">
            <w:pPr>
              <w:jc w:val="center"/>
              <w:rPr>
                <w:sz w:val="17"/>
                <w:szCs w:val="17"/>
              </w:rPr>
            </w:pPr>
            <w:r w:rsidRPr="00CA3519">
              <w:rPr>
                <w:sz w:val="17"/>
                <w:szCs w:val="17"/>
              </w:rPr>
              <w:t>-0,132</w:t>
            </w:r>
          </w:p>
        </w:tc>
        <w:tc>
          <w:tcPr>
            <w:tcW w:w="1085" w:type="dxa"/>
            <w:tcBorders>
              <w:top w:val="single" w:sz="4" w:space="0" w:color="auto"/>
              <w:left w:val="single" w:sz="4" w:space="0" w:color="auto"/>
              <w:bottom w:val="single" w:sz="4" w:space="0" w:color="auto"/>
              <w:right w:val="single" w:sz="4" w:space="0" w:color="auto"/>
            </w:tcBorders>
            <w:vAlign w:val="center"/>
          </w:tcPr>
          <w:p w14:paraId="56CCCCB3" w14:textId="77777777" w:rsidR="006E2521" w:rsidRPr="00CA3519" w:rsidRDefault="006E2521" w:rsidP="006E2521">
            <w:pPr>
              <w:jc w:val="center"/>
              <w:rPr>
                <w:sz w:val="17"/>
                <w:szCs w:val="17"/>
              </w:rPr>
            </w:pPr>
            <w:r w:rsidRPr="00CA3519">
              <w:rPr>
                <w:sz w:val="17"/>
                <w:szCs w:val="17"/>
              </w:rPr>
              <w:t>0,044</w:t>
            </w:r>
          </w:p>
        </w:tc>
        <w:tc>
          <w:tcPr>
            <w:tcW w:w="1086" w:type="dxa"/>
            <w:tcBorders>
              <w:top w:val="single" w:sz="4" w:space="0" w:color="auto"/>
              <w:left w:val="single" w:sz="4" w:space="0" w:color="auto"/>
              <w:bottom w:val="single" w:sz="4" w:space="0" w:color="auto"/>
              <w:right w:val="single" w:sz="4" w:space="0" w:color="auto"/>
            </w:tcBorders>
            <w:vAlign w:val="center"/>
          </w:tcPr>
          <w:p w14:paraId="09D5E32B" w14:textId="77777777" w:rsidR="006E2521" w:rsidRPr="00CA3519" w:rsidRDefault="006E2521" w:rsidP="006E2521">
            <w:pPr>
              <w:jc w:val="center"/>
              <w:rPr>
                <w:sz w:val="17"/>
                <w:szCs w:val="17"/>
              </w:rPr>
            </w:pPr>
            <w:r w:rsidRPr="00CA3519">
              <w:rPr>
                <w:sz w:val="17"/>
                <w:szCs w:val="17"/>
              </w:rPr>
              <w:t>0,230</w:t>
            </w:r>
          </w:p>
        </w:tc>
        <w:tc>
          <w:tcPr>
            <w:tcW w:w="1086" w:type="dxa"/>
            <w:tcBorders>
              <w:top w:val="single" w:sz="4" w:space="0" w:color="auto"/>
              <w:left w:val="single" w:sz="4" w:space="0" w:color="auto"/>
              <w:bottom w:val="single" w:sz="4" w:space="0" w:color="auto"/>
              <w:right w:val="single" w:sz="4" w:space="0" w:color="auto"/>
            </w:tcBorders>
            <w:vAlign w:val="center"/>
          </w:tcPr>
          <w:p w14:paraId="6D78B0ED" w14:textId="77777777" w:rsidR="006E2521" w:rsidRPr="00CA3519" w:rsidRDefault="006E2521" w:rsidP="006E2521">
            <w:pPr>
              <w:jc w:val="center"/>
              <w:rPr>
                <w:sz w:val="17"/>
                <w:szCs w:val="17"/>
              </w:rPr>
            </w:pPr>
            <w:r w:rsidRPr="00CA3519">
              <w:rPr>
                <w:sz w:val="17"/>
                <w:szCs w:val="17"/>
              </w:rPr>
              <w:t>0,392</w:t>
            </w:r>
          </w:p>
        </w:tc>
      </w:tr>
      <w:tr w:rsidR="006E2521" w:rsidRPr="00CA3519" w14:paraId="6297DB49"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08E38F1C" w14:textId="77777777" w:rsidR="006E2521" w:rsidRPr="00CA3519" w:rsidRDefault="006E2521" w:rsidP="00AE2144">
            <w:pPr>
              <w:rPr>
                <w:sz w:val="17"/>
                <w:szCs w:val="17"/>
              </w:rPr>
            </w:pPr>
            <w:r w:rsidRPr="00CA3519">
              <w:rPr>
                <w:sz w:val="17"/>
                <w:szCs w:val="17"/>
              </w:rPr>
              <w:t>Dezember 2016</w:t>
            </w:r>
          </w:p>
        </w:tc>
        <w:tc>
          <w:tcPr>
            <w:tcW w:w="2113" w:type="dxa"/>
            <w:tcBorders>
              <w:top w:val="single" w:sz="4" w:space="0" w:color="auto"/>
              <w:left w:val="single" w:sz="4" w:space="0" w:color="auto"/>
              <w:bottom w:val="single" w:sz="4" w:space="0" w:color="auto"/>
              <w:right w:val="single" w:sz="4" w:space="0" w:color="auto"/>
            </w:tcBorders>
            <w:vAlign w:val="center"/>
          </w:tcPr>
          <w:p w14:paraId="1CF5E876" w14:textId="77777777" w:rsidR="006E2521" w:rsidRPr="00CA3519" w:rsidRDefault="006E2521" w:rsidP="006E2521">
            <w:pPr>
              <w:jc w:val="center"/>
              <w:rPr>
                <w:sz w:val="17"/>
                <w:szCs w:val="17"/>
              </w:rPr>
            </w:pPr>
            <w:r w:rsidRPr="00CA3519">
              <w:rPr>
                <w:sz w:val="17"/>
                <w:szCs w:val="17"/>
              </w:rPr>
              <w:t>14.12.2016 - Ausg. 3</w:t>
            </w:r>
          </w:p>
        </w:tc>
        <w:tc>
          <w:tcPr>
            <w:tcW w:w="1085" w:type="dxa"/>
            <w:tcBorders>
              <w:top w:val="single" w:sz="4" w:space="0" w:color="auto"/>
              <w:left w:val="single" w:sz="4" w:space="0" w:color="auto"/>
              <w:bottom w:val="single" w:sz="4" w:space="0" w:color="auto"/>
              <w:right w:val="single" w:sz="4" w:space="0" w:color="auto"/>
            </w:tcBorders>
            <w:vAlign w:val="center"/>
          </w:tcPr>
          <w:p w14:paraId="20E3AEB1" w14:textId="77777777" w:rsidR="006E2521" w:rsidRPr="00CA3519" w:rsidRDefault="006E2521" w:rsidP="006E2521">
            <w:pPr>
              <w:jc w:val="center"/>
              <w:rPr>
                <w:sz w:val="17"/>
                <w:szCs w:val="17"/>
              </w:rPr>
            </w:pPr>
            <w:r w:rsidRPr="00CA3519">
              <w:rPr>
                <w:sz w:val="17"/>
                <w:szCs w:val="17"/>
              </w:rPr>
              <w:t>-0,686</w:t>
            </w:r>
          </w:p>
        </w:tc>
        <w:tc>
          <w:tcPr>
            <w:tcW w:w="1086" w:type="dxa"/>
            <w:tcBorders>
              <w:top w:val="single" w:sz="4" w:space="0" w:color="auto"/>
              <w:left w:val="single" w:sz="4" w:space="0" w:color="auto"/>
              <w:bottom w:val="single" w:sz="4" w:space="0" w:color="auto"/>
              <w:right w:val="single" w:sz="4" w:space="0" w:color="auto"/>
            </w:tcBorders>
            <w:vAlign w:val="center"/>
          </w:tcPr>
          <w:p w14:paraId="59B17C23" w14:textId="77777777" w:rsidR="006E2521" w:rsidRPr="00CA3519" w:rsidRDefault="006E2521" w:rsidP="006E2521">
            <w:pPr>
              <w:jc w:val="center"/>
              <w:rPr>
                <w:sz w:val="17"/>
                <w:szCs w:val="17"/>
              </w:rPr>
            </w:pPr>
            <w:r w:rsidRPr="00CA3519">
              <w:rPr>
                <w:sz w:val="17"/>
                <w:szCs w:val="17"/>
              </w:rPr>
              <w:t>-0,584</w:t>
            </w:r>
          </w:p>
        </w:tc>
        <w:tc>
          <w:tcPr>
            <w:tcW w:w="1085" w:type="dxa"/>
            <w:tcBorders>
              <w:top w:val="single" w:sz="4" w:space="0" w:color="auto"/>
              <w:left w:val="single" w:sz="4" w:space="0" w:color="auto"/>
              <w:bottom w:val="single" w:sz="4" w:space="0" w:color="auto"/>
              <w:right w:val="single" w:sz="4" w:space="0" w:color="auto"/>
            </w:tcBorders>
            <w:vAlign w:val="center"/>
          </w:tcPr>
          <w:p w14:paraId="08F441A1" w14:textId="77777777" w:rsidR="006E2521" w:rsidRPr="00CA3519" w:rsidRDefault="006E2521" w:rsidP="006E2521">
            <w:pPr>
              <w:jc w:val="center"/>
              <w:rPr>
                <w:sz w:val="17"/>
                <w:szCs w:val="17"/>
              </w:rPr>
            </w:pPr>
            <w:r w:rsidRPr="00CA3519">
              <w:rPr>
                <w:sz w:val="17"/>
                <w:szCs w:val="17"/>
              </w:rPr>
              <w:t>-0,478</w:t>
            </w:r>
          </w:p>
        </w:tc>
        <w:tc>
          <w:tcPr>
            <w:tcW w:w="1086" w:type="dxa"/>
            <w:tcBorders>
              <w:top w:val="single" w:sz="4" w:space="0" w:color="auto"/>
              <w:left w:val="single" w:sz="4" w:space="0" w:color="auto"/>
              <w:bottom w:val="single" w:sz="4" w:space="0" w:color="auto"/>
              <w:right w:val="single" w:sz="4" w:space="0" w:color="auto"/>
            </w:tcBorders>
            <w:vAlign w:val="center"/>
          </w:tcPr>
          <w:p w14:paraId="1D867B15" w14:textId="77777777" w:rsidR="006E2521" w:rsidRPr="00CA3519" w:rsidRDefault="006E2521" w:rsidP="006E2521">
            <w:pPr>
              <w:jc w:val="center"/>
              <w:rPr>
                <w:sz w:val="17"/>
                <w:szCs w:val="17"/>
              </w:rPr>
            </w:pPr>
            <w:r w:rsidRPr="00CA3519">
              <w:rPr>
                <w:sz w:val="17"/>
                <w:szCs w:val="17"/>
              </w:rPr>
              <w:t>-0,366</w:t>
            </w:r>
          </w:p>
        </w:tc>
        <w:tc>
          <w:tcPr>
            <w:tcW w:w="1086" w:type="dxa"/>
            <w:tcBorders>
              <w:top w:val="single" w:sz="4" w:space="0" w:color="auto"/>
              <w:left w:val="single" w:sz="4" w:space="0" w:color="auto"/>
              <w:bottom w:val="single" w:sz="4" w:space="0" w:color="auto"/>
              <w:right w:val="single" w:sz="4" w:space="0" w:color="auto"/>
            </w:tcBorders>
            <w:vAlign w:val="center"/>
          </w:tcPr>
          <w:p w14:paraId="4B2C93F1" w14:textId="77777777" w:rsidR="006E2521" w:rsidRPr="00CA3519" w:rsidRDefault="006E2521" w:rsidP="006E2521">
            <w:pPr>
              <w:jc w:val="center"/>
              <w:rPr>
                <w:sz w:val="17"/>
                <w:szCs w:val="17"/>
              </w:rPr>
            </w:pPr>
            <w:r w:rsidRPr="00CA3519">
              <w:rPr>
                <w:sz w:val="17"/>
                <w:szCs w:val="17"/>
              </w:rPr>
              <w:t>-0,237</w:t>
            </w:r>
          </w:p>
        </w:tc>
        <w:tc>
          <w:tcPr>
            <w:tcW w:w="1085" w:type="dxa"/>
            <w:tcBorders>
              <w:top w:val="single" w:sz="4" w:space="0" w:color="auto"/>
              <w:left w:val="single" w:sz="4" w:space="0" w:color="auto"/>
              <w:bottom w:val="single" w:sz="4" w:space="0" w:color="auto"/>
              <w:right w:val="single" w:sz="4" w:space="0" w:color="auto"/>
            </w:tcBorders>
            <w:vAlign w:val="center"/>
          </w:tcPr>
          <w:p w14:paraId="0834710D" w14:textId="77777777" w:rsidR="006E2521" w:rsidRPr="00CA3519" w:rsidRDefault="006E2521" w:rsidP="006E2521">
            <w:pPr>
              <w:jc w:val="center"/>
              <w:rPr>
                <w:sz w:val="17"/>
                <w:szCs w:val="17"/>
              </w:rPr>
            </w:pPr>
            <w:r w:rsidRPr="00CA3519">
              <w:rPr>
                <w:sz w:val="17"/>
                <w:szCs w:val="17"/>
              </w:rPr>
              <w:t>-0,082</w:t>
            </w:r>
          </w:p>
        </w:tc>
        <w:tc>
          <w:tcPr>
            <w:tcW w:w="1086" w:type="dxa"/>
            <w:tcBorders>
              <w:top w:val="single" w:sz="4" w:space="0" w:color="auto"/>
              <w:left w:val="single" w:sz="4" w:space="0" w:color="auto"/>
              <w:bottom w:val="single" w:sz="4" w:space="0" w:color="auto"/>
              <w:right w:val="single" w:sz="4" w:space="0" w:color="auto"/>
            </w:tcBorders>
            <w:vAlign w:val="center"/>
          </w:tcPr>
          <w:p w14:paraId="5EE1B3CC" w14:textId="77777777" w:rsidR="006E2521" w:rsidRPr="00CA3519" w:rsidRDefault="006E2521" w:rsidP="006E2521">
            <w:pPr>
              <w:jc w:val="center"/>
              <w:rPr>
                <w:sz w:val="17"/>
                <w:szCs w:val="17"/>
              </w:rPr>
            </w:pPr>
            <w:r w:rsidRPr="00CA3519">
              <w:rPr>
                <w:sz w:val="17"/>
                <w:szCs w:val="17"/>
              </w:rPr>
              <w:t>0,111</w:t>
            </w:r>
          </w:p>
        </w:tc>
        <w:tc>
          <w:tcPr>
            <w:tcW w:w="1085" w:type="dxa"/>
            <w:tcBorders>
              <w:top w:val="single" w:sz="4" w:space="0" w:color="auto"/>
              <w:left w:val="single" w:sz="4" w:space="0" w:color="auto"/>
              <w:bottom w:val="single" w:sz="4" w:space="0" w:color="auto"/>
              <w:right w:val="single" w:sz="4" w:space="0" w:color="auto"/>
            </w:tcBorders>
            <w:vAlign w:val="center"/>
          </w:tcPr>
          <w:p w14:paraId="13BB7C2B" w14:textId="77777777" w:rsidR="006E2521" w:rsidRPr="00CA3519" w:rsidRDefault="006E2521" w:rsidP="006E2521">
            <w:pPr>
              <w:jc w:val="center"/>
              <w:rPr>
                <w:sz w:val="17"/>
                <w:szCs w:val="17"/>
              </w:rPr>
            </w:pPr>
            <w:r w:rsidRPr="00CA3519">
              <w:rPr>
                <w:sz w:val="17"/>
                <w:szCs w:val="17"/>
              </w:rPr>
              <w:t>0,334</w:t>
            </w:r>
          </w:p>
        </w:tc>
        <w:tc>
          <w:tcPr>
            <w:tcW w:w="1086" w:type="dxa"/>
            <w:tcBorders>
              <w:top w:val="single" w:sz="4" w:space="0" w:color="auto"/>
              <w:left w:val="single" w:sz="4" w:space="0" w:color="auto"/>
              <w:bottom w:val="single" w:sz="4" w:space="0" w:color="auto"/>
              <w:right w:val="single" w:sz="4" w:space="0" w:color="auto"/>
            </w:tcBorders>
            <w:vAlign w:val="center"/>
          </w:tcPr>
          <w:p w14:paraId="1A97360B" w14:textId="77777777" w:rsidR="006E2521" w:rsidRPr="00CA3519" w:rsidRDefault="006E2521" w:rsidP="006E2521">
            <w:pPr>
              <w:jc w:val="center"/>
              <w:rPr>
                <w:sz w:val="17"/>
                <w:szCs w:val="17"/>
              </w:rPr>
            </w:pPr>
            <w:r w:rsidRPr="00CA3519">
              <w:rPr>
                <w:sz w:val="17"/>
                <w:szCs w:val="17"/>
              </w:rPr>
              <w:t>0,553</w:t>
            </w:r>
          </w:p>
        </w:tc>
        <w:tc>
          <w:tcPr>
            <w:tcW w:w="1086" w:type="dxa"/>
            <w:tcBorders>
              <w:top w:val="single" w:sz="4" w:space="0" w:color="auto"/>
              <w:left w:val="single" w:sz="4" w:space="0" w:color="auto"/>
              <w:bottom w:val="single" w:sz="4" w:space="0" w:color="auto"/>
              <w:right w:val="single" w:sz="4" w:space="0" w:color="auto"/>
            </w:tcBorders>
            <w:vAlign w:val="center"/>
          </w:tcPr>
          <w:p w14:paraId="36011538" w14:textId="77777777" w:rsidR="006E2521" w:rsidRPr="00CA3519" w:rsidRDefault="006E2521" w:rsidP="006E2521">
            <w:pPr>
              <w:jc w:val="center"/>
              <w:rPr>
                <w:sz w:val="17"/>
                <w:szCs w:val="17"/>
              </w:rPr>
            </w:pPr>
            <w:r w:rsidRPr="00CA3519">
              <w:rPr>
                <w:sz w:val="17"/>
                <w:szCs w:val="17"/>
              </w:rPr>
              <w:t>0,732]</w:t>
            </w:r>
          </w:p>
        </w:tc>
      </w:tr>
      <w:tr w:rsidR="00AA6324" w:rsidRPr="00CA3519" w14:paraId="77833BAC"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76C46678" w14:textId="77777777" w:rsidR="00AA6324" w:rsidRPr="00CA3519" w:rsidRDefault="00AA6324" w:rsidP="00AA6324">
            <w:pPr>
              <w:rPr>
                <w:sz w:val="17"/>
                <w:szCs w:val="17"/>
              </w:rPr>
            </w:pPr>
            <w:r w:rsidRPr="00CA3519">
              <w:rPr>
                <w:sz w:val="17"/>
                <w:szCs w:val="17"/>
              </w:rPr>
              <w:t xml:space="preserve">[Januar 2017 </w:t>
            </w:r>
          </w:p>
        </w:tc>
        <w:tc>
          <w:tcPr>
            <w:tcW w:w="2113" w:type="dxa"/>
            <w:tcBorders>
              <w:top w:val="single" w:sz="4" w:space="0" w:color="auto"/>
              <w:left w:val="single" w:sz="4" w:space="0" w:color="auto"/>
              <w:bottom w:val="single" w:sz="4" w:space="0" w:color="auto"/>
              <w:right w:val="single" w:sz="4" w:space="0" w:color="auto"/>
            </w:tcBorders>
            <w:vAlign w:val="center"/>
          </w:tcPr>
          <w:p w14:paraId="679BF976" w14:textId="77777777" w:rsidR="00AA6324" w:rsidRPr="00CA3519" w:rsidRDefault="00AA6324" w:rsidP="007E1C5E">
            <w:pPr>
              <w:jc w:val="center"/>
              <w:rPr>
                <w:sz w:val="17"/>
                <w:szCs w:val="17"/>
              </w:rPr>
            </w:pPr>
            <w:r w:rsidRPr="00CA3519">
              <w:rPr>
                <w:sz w:val="17"/>
                <w:szCs w:val="17"/>
              </w:rPr>
              <w:t>18.01.2017 - Ausg. 1</w:t>
            </w:r>
          </w:p>
        </w:tc>
        <w:tc>
          <w:tcPr>
            <w:tcW w:w="1085" w:type="dxa"/>
            <w:tcBorders>
              <w:top w:val="single" w:sz="4" w:space="0" w:color="auto"/>
              <w:left w:val="single" w:sz="4" w:space="0" w:color="auto"/>
              <w:bottom w:val="single" w:sz="4" w:space="0" w:color="auto"/>
              <w:right w:val="single" w:sz="4" w:space="0" w:color="auto"/>
            </w:tcBorders>
            <w:vAlign w:val="center"/>
          </w:tcPr>
          <w:p w14:paraId="65BE050C" w14:textId="77777777" w:rsidR="00AA6324" w:rsidRPr="00CA3519" w:rsidRDefault="00AA6324" w:rsidP="00AA6324">
            <w:pPr>
              <w:jc w:val="center"/>
              <w:rPr>
                <w:sz w:val="17"/>
                <w:szCs w:val="17"/>
              </w:rPr>
            </w:pPr>
            <w:r w:rsidRPr="00CA3519">
              <w:rPr>
                <w:sz w:val="17"/>
                <w:szCs w:val="17"/>
              </w:rPr>
              <w:t>- 0,720</w:t>
            </w:r>
          </w:p>
        </w:tc>
        <w:tc>
          <w:tcPr>
            <w:tcW w:w="1086" w:type="dxa"/>
            <w:tcBorders>
              <w:top w:val="single" w:sz="4" w:space="0" w:color="auto"/>
              <w:left w:val="single" w:sz="4" w:space="0" w:color="auto"/>
              <w:bottom w:val="single" w:sz="4" w:space="0" w:color="auto"/>
              <w:right w:val="single" w:sz="4" w:space="0" w:color="auto"/>
            </w:tcBorders>
            <w:vAlign w:val="center"/>
          </w:tcPr>
          <w:p w14:paraId="45D48DC0" w14:textId="77777777" w:rsidR="00AA6324" w:rsidRPr="00CA3519" w:rsidRDefault="00AA6324" w:rsidP="00AA6324">
            <w:pPr>
              <w:jc w:val="center"/>
              <w:rPr>
                <w:sz w:val="17"/>
                <w:szCs w:val="17"/>
              </w:rPr>
            </w:pPr>
            <w:r w:rsidRPr="00CA3519">
              <w:rPr>
                <w:sz w:val="17"/>
                <w:szCs w:val="17"/>
              </w:rPr>
              <w:t>- 0,649</w:t>
            </w:r>
          </w:p>
        </w:tc>
        <w:tc>
          <w:tcPr>
            <w:tcW w:w="1085" w:type="dxa"/>
            <w:tcBorders>
              <w:top w:val="single" w:sz="4" w:space="0" w:color="auto"/>
              <w:left w:val="single" w:sz="4" w:space="0" w:color="auto"/>
              <w:bottom w:val="single" w:sz="4" w:space="0" w:color="auto"/>
              <w:right w:val="single" w:sz="4" w:space="0" w:color="auto"/>
            </w:tcBorders>
            <w:vAlign w:val="center"/>
          </w:tcPr>
          <w:p w14:paraId="064EEA47" w14:textId="77777777" w:rsidR="00AA6324" w:rsidRPr="00CA3519" w:rsidRDefault="00AA6324" w:rsidP="00AA6324">
            <w:pPr>
              <w:jc w:val="center"/>
              <w:rPr>
                <w:sz w:val="17"/>
                <w:szCs w:val="17"/>
              </w:rPr>
            </w:pPr>
            <w:r w:rsidRPr="00CA3519">
              <w:rPr>
                <w:sz w:val="17"/>
                <w:szCs w:val="17"/>
              </w:rPr>
              <w:t>- 0,572</w:t>
            </w:r>
          </w:p>
        </w:tc>
        <w:tc>
          <w:tcPr>
            <w:tcW w:w="1086" w:type="dxa"/>
            <w:tcBorders>
              <w:top w:val="single" w:sz="4" w:space="0" w:color="auto"/>
              <w:left w:val="single" w:sz="4" w:space="0" w:color="auto"/>
              <w:bottom w:val="single" w:sz="4" w:space="0" w:color="auto"/>
              <w:right w:val="single" w:sz="4" w:space="0" w:color="auto"/>
            </w:tcBorders>
            <w:vAlign w:val="center"/>
          </w:tcPr>
          <w:p w14:paraId="1C7E4C02" w14:textId="77777777" w:rsidR="00AA6324" w:rsidRPr="00CA3519" w:rsidRDefault="00AA6324" w:rsidP="00AA6324">
            <w:pPr>
              <w:jc w:val="center"/>
              <w:rPr>
                <w:sz w:val="17"/>
                <w:szCs w:val="17"/>
              </w:rPr>
            </w:pPr>
            <w:r w:rsidRPr="00CA3519">
              <w:rPr>
                <w:sz w:val="17"/>
                <w:szCs w:val="17"/>
              </w:rPr>
              <w:t>- 0,476</w:t>
            </w:r>
          </w:p>
        </w:tc>
        <w:tc>
          <w:tcPr>
            <w:tcW w:w="1086" w:type="dxa"/>
            <w:tcBorders>
              <w:top w:val="single" w:sz="4" w:space="0" w:color="auto"/>
              <w:left w:val="single" w:sz="4" w:space="0" w:color="auto"/>
              <w:bottom w:val="single" w:sz="4" w:space="0" w:color="auto"/>
              <w:right w:val="single" w:sz="4" w:space="0" w:color="auto"/>
            </w:tcBorders>
            <w:vAlign w:val="center"/>
          </w:tcPr>
          <w:p w14:paraId="3436B4A1" w14:textId="77777777" w:rsidR="00AA6324" w:rsidRPr="00CA3519" w:rsidRDefault="00AA6324" w:rsidP="00AA6324">
            <w:pPr>
              <w:jc w:val="center"/>
              <w:rPr>
                <w:sz w:val="17"/>
                <w:szCs w:val="17"/>
              </w:rPr>
            </w:pPr>
            <w:r w:rsidRPr="00CA3519">
              <w:rPr>
                <w:sz w:val="17"/>
                <w:szCs w:val="17"/>
              </w:rPr>
              <w:t>- 0,317</w:t>
            </w:r>
          </w:p>
        </w:tc>
        <w:tc>
          <w:tcPr>
            <w:tcW w:w="1085" w:type="dxa"/>
            <w:tcBorders>
              <w:top w:val="single" w:sz="4" w:space="0" w:color="auto"/>
              <w:left w:val="single" w:sz="4" w:space="0" w:color="auto"/>
              <w:bottom w:val="single" w:sz="4" w:space="0" w:color="auto"/>
              <w:right w:val="single" w:sz="4" w:space="0" w:color="auto"/>
            </w:tcBorders>
            <w:vAlign w:val="center"/>
          </w:tcPr>
          <w:p w14:paraId="31BC5E67" w14:textId="77777777" w:rsidR="00AA6324" w:rsidRPr="00CA3519" w:rsidRDefault="00AA6324" w:rsidP="00AA6324">
            <w:pPr>
              <w:jc w:val="center"/>
              <w:rPr>
                <w:sz w:val="17"/>
                <w:szCs w:val="17"/>
              </w:rPr>
            </w:pPr>
            <w:r w:rsidRPr="00CA3519">
              <w:rPr>
                <w:sz w:val="17"/>
                <w:szCs w:val="17"/>
              </w:rPr>
              <w:t>- 0,091</w:t>
            </w:r>
          </w:p>
        </w:tc>
        <w:tc>
          <w:tcPr>
            <w:tcW w:w="1086" w:type="dxa"/>
            <w:tcBorders>
              <w:top w:val="single" w:sz="4" w:space="0" w:color="auto"/>
              <w:left w:val="single" w:sz="4" w:space="0" w:color="auto"/>
              <w:bottom w:val="single" w:sz="4" w:space="0" w:color="auto"/>
              <w:right w:val="single" w:sz="4" w:space="0" w:color="auto"/>
            </w:tcBorders>
            <w:vAlign w:val="center"/>
          </w:tcPr>
          <w:p w14:paraId="227E6E0F" w14:textId="77777777" w:rsidR="00AA6324" w:rsidRPr="00CA3519" w:rsidRDefault="00AA6324" w:rsidP="00AA6324">
            <w:pPr>
              <w:jc w:val="center"/>
              <w:rPr>
                <w:sz w:val="17"/>
                <w:szCs w:val="17"/>
              </w:rPr>
            </w:pPr>
            <w:r w:rsidRPr="00CA3519">
              <w:rPr>
                <w:sz w:val="17"/>
                <w:szCs w:val="17"/>
              </w:rPr>
              <w:t>0,149</w:t>
            </w:r>
          </w:p>
        </w:tc>
        <w:tc>
          <w:tcPr>
            <w:tcW w:w="1085" w:type="dxa"/>
            <w:tcBorders>
              <w:top w:val="single" w:sz="4" w:space="0" w:color="auto"/>
              <w:left w:val="single" w:sz="4" w:space="0" w:color="auto"/>
              <w:bottom w:val="single" w:sz="4" w:space="0" w:color="auto"/>
              <w:right w:val="single" w:sz="4" w:space="0" w:color="auto"/>
            </w:tcBorders>
            <w:vAlign w:val="center"/>
          </w:tcPr>
          <w:p w14:paraId="67510AB7" w14:textId="77777777" w:rsidR="00AA6324" w:rsidRPr="00CA3519" w:rsidRDefault="00AA6324" w:rsidP="00AA6324">
            <w:pPr>
              <w:ind w:left="-113"/>
              <w:jc w:val="center"/>
              <w:rPr>
                <w:sz w:val="17"/>
                <w:szCs w:val="17"/>
              </w:rPr>
            </w:pPr>
            <w:r w:rsidRPr="00CA3519">
              <w:rPr>
                <w:sz w:val="17"/>
                <w:szCs w:val="17"/>
              </w:rPr>
              <w:t>0,356</w:t>
            </w:r>
          </w:p>
        </w:tc>
        <w:tc>
          <w:tcPr>
            <w:tcW w:w="1086" w:type="dxa"/>
            <w:tcBorders>
              <w:top w:val="single" w:sz="4" w:space="0" w:color="auto"/>
              <w:left w:val="single" w:sz="4" w:space="0" w:color="auto"/>
              <w:bottom w:val="single" w:sz="4" w:space="0" w:color="auto"/>
              <w:right w:val="single" w:sz="4" w:space="0" w:color="auto"/>
            </w:tcBorders>
            <w:vAlign w:val="center"/>
          </w:tcPr>
          <w:p w14:paraId="2B150372" w14:textId="77777777" w:rsidR="00AA6324" w:rsidRPr="00CA3519" w:rsidRDefault="00AA6324" w:rsidP="00AA6324">
            <w:pPr>
              <w:ind w:left="-16"/>
              <w:jc w:val="center"/>
              <w:rPr>
                <w:sz w:val="17"/>
                <w:szCs w:val="17"/>
              </w:rPr>
            </w:pPr>
            <w:r w:rsidRPr="00CA3519">
              <w:rPr>
                <w:sz w:val="17"/>
                <w:szCs w:val="17"/>
              </w:rPr>
              <w:t>0,531</w:t>
            </w:r>
          </w:p>
        </w:tc>
        <w:tc>
          <w:tcPr>
            <w:tcW w:w="1086" w:type="dxa"/>
            <w:tcBorders>
              <w:top w:val="single" w:sz="4" w:space="0" w:color="auto"/>
              <w:left w:val="single" w:sz="4" w:space="0" w:color="auto"/>
              <w:bottom w:val="single" w:sz="4" w:space="0" w:color="auto"/>
              <w:right w:val="single" w:sz="4" w:space="0" w:color="auto"/>
            </w:tcBorders>
            <w:vAlign w:val="center"/>
          </w:tcPr>
          <w:p w14:paraId="6031F4A5" w14:textId="77777777" w:rsidR="00AA6324" w:rsidRPr="00CA3519" w:rsidRDefault="00AA6324" w:rsidP="00AA6324">
            <w:pPr>
              <w:ind w:left="-29" w:right="-41"/>
              <w:jc w:val="center"/>
              <w:rPr>
                <w:sz w:val="17"/>
                <w:szCs w:val="17"/>
              </w:rPr>
            </w:pPr>
            <w:r w:rsidRPr="00CA3519">
              <w:rPr>
                <w:sz w:val="17"/>
                <w:szCs w:val="17"/>
              </w:rPr>
              <w:t>0,673</w:t>
            </w:r>
          </w:p>
        </w:tc>
      </w:tr>
      <w:tr w:rsidR="00AA6324" w:rsidRPr="00CA3519" w14:paraId="3892FD9B"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00953E9B" w14:textId="77777777" w:rsidR="00AA6324" w:rsidRPr="00CA3519" w:rsidRDefault="00AA6324" w:rsidP="00AA6324">
            <w:pPr>
              <w:rPr>
                <w:sz w:val="17"/>
                <w:szCs w:val="17"/>
              </w:rPr>
            </w:pPr>
            <w:r w:rsidRPr="00CA3519">
              <w:rPr>
                <w:sz w:val="17"/>
                <w:szCs w:val="17"/>
              </w:rPr>
              <w:t xml:space="preserve">Februar 2017 </w:t>
            </w:r>
          </w:p>
        </w:tc>
        <w:tc>
          <w:tcPr>
            <w:tcW w:w="2113" w:type="dxa"/>
            <w:tcBorders>
              <w:top w:val="single" w:sz="4" w:space="0" w:color="auto"/>
              <w:left w:val="single" w:sz="4" w:space="0" w:color="auto"/>
              <w:bottom w:val="single" w:sz="4" w:space="0" w:color="auto"/>
              <w:right w:val="single" w:sz="4" w:space="0" w:color="auto"/>
            </w:tcBorders>
            <w:vAlign w:val="center"/>
          </w:tcPr>
          <w:p w14:paraId="788F835E" w14:textId="77777777" w:rsidR="00AA6324" w:rsidRPr="00CA3519" w:rsidRDefault="00AA6324" w:rsidP="007E1C5E">
            <w:pPr>
              <w:jc w:val="center"/>
              <w:rPr>
                <w:sz w:val="17"/>
                <w:szCs w:val="17"/>
              </w:rPr>
            </w:pPr>
            <w:r w:rsidRPr="00CA3519">
              <w:rPr>
                <w:sz w:val="17"/>
                <w:szCs w:val="17"/>
              </w:rPr>
              <w:t>15.02.2017 - Ausg. 1</w:t>
            </w:r>
          </w:p>
        </w:tc>
        <w:tc>
          <w:tcPr>
            <w:tcW w:w="1085" w:type="dxa"/>
            <w:tcBorders>
              <w:top w:val="single" w:sz="4" w:space="0" w:color="auto"/>
              <w:left w:val="single" w:sz="4" w:space="0" w:color="auto"/>
              <w:bottom w:val="single" w:sz="4" w:space="0" w:color="auto"/>
              <w:right w:val="single" w:sz="4" w:space="0" w:color="auto"/>
            </w:tcBorders>
            <w:vAlign w:val="center"/>
          </w:tcPr>
          <w:p w14:paraId="34AF9CCB" w14:textId="77777777" w:rsidR="00AA6324" w:rsidRPr="00CA3519" w:rsidRDefault="00AA6324" w:rsidP="00AA6324">
            <w:pPr>
              <w:jc w:val="center"/>
              <w:rPr>
                <w:sz w:val="17"/>
                <w:szCs w:val="17"/>
              </w:rPr>
            </w:pPr>
            <w:r w:rsidRPr="00CA3519">
              <w:rPr>
                <w:sz w:val="17"/>
                <w:szCs w:val="17"/>
              </w:rPr>
              <w:t>- 0,607</w:t>
            </w:r>
          </w:p>
        </w:tc>
        <w:tc>
          <w:tcPr>
            <w:tcW w:w="1086" w:type="dxa"/>
            <w:tcBorders>
              <w:top w:val="single" w:sz="4" w:space="0" w:color="auto"/>
              <w:left w:val="single" w:sz="4" w:space="0" w:color="auto"/>
              <w:bottom w:val="single" w:sz="4" w:space="0" w:color="auto"/>
              <w:right w:val="single" w:sz="4" w:space="0" w:color="auto"/>
            </w:tcBorders>
            <w:vAlign w:val="center"/>
          </w:tcPr>
          <w:p w14:paraId="501EEF7D" w14:textId="77777777" w:rsidR="00AA6324" w:rsidRPr="00CA3519" w:rsidRDefault="00AA6324" w:rsidP="00AA6324">
            <w:pPr>
              <w:jc w:val="center"/>
              <w:rPr>
                <w:sz w:val="17"/>
                <w:szCs w:val="17"/>
              </w:rPr>
            </w:pPr>
            <w:r w:rsidRPr="00CA3519">
              <w:rPr>
                <w:sz w:val="17"/>
                <w:szCs w:val="17"/>
              </w:rPr>
              <w:t>- 0,561</w:t>
            </w:r>
          </w:p>
        </w:tc>
        <w:tc>
          <w:tcPr>
            <w:tcW w:w="1085" w:type="dxa"/>
            <w:tcBorders>
              <w:top w:val="single" w:sz="4" w:space="0" w:color="auto"/>
              <w:left w:val="single" w:sz="4" w:space="0" w:color="auto"/>
              <w:bottom w:val="single" w:sz="4" w:space="0" w:color="auto"/>
              <w:right w:val="single" w:sz="4" w:space="0" w:color="auto"/>
            </w:tcBorders>
            <w:vAlign w:val="center"/>
          </w:tcPr>
          <w:p w14:paraId="4DD65CC9" w14:textId="77777777" w:rsidR="00AA6324" w:rsidRPr="00CA3519" w:rsidRDefault="00AA6324" w:rsidP="00AA6324">
            <w:pPr>
              <w:jc w:val="center"/>
              <w:rPr>
                <w:sz w:val="17"/>
                <w:szCs w:val="17"/>
              </w:rPr>
            </w:pPr>
            <w:r w:rsidRPr="00CA3519">
              <w:rPr>
                <w:sz w:val="17"/>
                <w:szCs w:val="17"/>
              </w:rPr>
              <w:t>- 0,490</w:t>
            </w:r>
          </w:p>
        </w:tc>
        <w:tc>
          <w:tcPr>
            <w:tcW w:w="1086" w:type="dxa"/>
            <w:tcBorders>
              <w:top w:val="single" w:sz="4" w:space="0" w:color="auto"/>
              <w:left w:val="single" w:sz="4" w:space="0" w:color="auto"/>
              <w:bottom w:val="single" w:sz="4" w:space="0" w:color="auto"/>
              <w:right w:val="single" w:sz="4" w:space="0" w:color="auto"/>
            </w:tcBorders>
            <w:vAlign w:val="center"/>
          </w:tcPr>
          <w:p w14:paraId="33B264B6" w14:textId="77777777" w:rsidR="00AA6324" w:rsidRPr="00CA3519" w:rsidRDefault="00AA6324" w:rsidP="00AA6324">
            <w:pPr>
              <w:jc w:val="center"/>
              <w:rPr>
                <w:sz w:val="17"/>
                <w:szCs w:val="17"/>
              </w:rPr>
            </w:pPr>
            <w:r w:rsidRPr="00CA3519">
              <w:rPr>
                <w:sz w:val="17"/>
                <w:szCs w:val="17"/>
              </w:rPr>
              <w:t>- 0,377</w:t>
            </w:r>
          </w:p>
        </w:tc>
        <w:tc>
          <w:tcPr>
            <w:tcW w:w="1086" w:type="dxa"/>
            <w:tcBorders>
              <w:top w:val="single" w:sz="4" w:space="0" w:color="auto"/>
              <w:left w:val="single" w:sz="4" w:space="0" w:color="auto"/>
              <w:bottom w:val="single" w:sz="4" w:space="0" w:color="auto"/>
              <w:right w:val="single" w:sz="4" w:space="0" w:color="auto"/>
            </w:tcBorders>
            <w:vAlign w:val="center"/>
          </w:tcPr>
          <w:p w14:paraId="5DCE5DDA" w14:textId="77777777" w:rsidR="00AA6324" w:rsidRPr="00CA3519" w:rsidRDefault="00AA6324" w:rsidP="00AA6324">
            <w:pPr>
              <w:jc w:val="center"/>
              <w:rPr>
                <w:sz w:val="17"/>
                <w:szCs w:val="17"/>
              </w:rPr>
            </w:pPr>
            <w:r w:rsidRPr="00CA3519">
              <w:rPr>
                <w:sz w:val="17"/>
                <w:szCs w:val="17"/>
              </w:rPr>
              <w:t>- 0,207</w:t>
            </w:r>
          </w:p>
        </w:tc>
        <w:tc>
          <w:tcPr>
            <w:tcW w:w="1085" w:type="dxa"/>
            <w:tcBorders>
              <w:top w:val="single" w:sz="4" w:space="0" w:color="auto"/>
              <w:left w:val="single" w:sz="4" w:space="0" w:color="auto"/>
              <w:bottom w:val="single" w:sz="4" w:space="0" w:color="auto"/>
              <w:right w:val="single" w:sz="4" w:space="0" w:color="auto"/>
            </w:tcBorders>
            <w:vAlign w:val="center"/>
          </w:tcPr>
          <w:p w14:paraId="50F355D3" w14:textId="77777777" w:rsidR="00AA6324" w:rsidRPr="00CA3519" w:rsidRDefault="00AA6324" w:rsidP="00AA6324">
            <w:pPr>
              <w:jc w:val="center"/>
              <w:rPr>
                <w:sz w:val="17"/>
                <w:szCs w:val="17"/>
              </w:rPr>
            </w:pPr>
            <w:r w:rsidRPr="00CA3519">
              <w:rPr>
                <w:sz w:val="17"/>
                <w:szCs w:val="17"/>
              </w:rPr>
              <w:t>0,012</w:t>
            </w:r>
          </w:p>
        </w:tc>
        <w:tc>
          <w:tcPr>
            <w:tcW w:w="1086" w:type="dxa"/>
            <w:tcBorders>
              <w:top w:val="single" w:sz="4" w:space="0" w:color="auto"/>
              <w:left w:val="single" w:sz="4" w:space="0" w:color="auto"/>
              <w:bottom w:val="single" w:sz="4" w:space="0" w:color="auto"/>
              <w:right w:val="single" w:sz="4" w:space="0" w:color="auto"/>
            </w:tcBorders>
            <w:vAlign w:val="center"/>
          </w:tcPr>
          <w:p w14:paraId="2230737E" w14:textId="77777777" w:rsidR="00AA6324" w:rsidRPr="00CA3519" w:rsidRDefault="00AA6324" w:rsidP="00AA6324">
            <w:pPr>
              <w:jc w:val="center"/>
              <w:rPr>
                <w:sz w:val="17"/>
                <w:szCs w:val="17"/>
              </w:rPr>
            </w:pPr>
            <w:r w:rsidRPr="00CA3519">
              <w:rPr>
                <w:sz w:val="17"/>
                <w:szCs w:val="17"/>
              </w:rPr>
              <w:t>0,248</w:t>
            </w:r>
          </w:p>
        </w:tc>
        <w:tc>
          <w:tcPr>
            <w:tcW w:w="1085" w:type="dxa"/>
            <w:tcBorders>
              <w:top w:val="single" w:sz="4" w:space="0" w:color="auto"/>
              <w:left w:val="single" w:sz="4" w:space="0" w:color="auto"/>
              <w:bottom w:val="single" w:sz="4" w:space="0" w:color="auto"/>
              <w:right w:val="single" w:sz="4" w:space="0" w:color="auto"/>
            </w:tcBorders>
            <w:vAlign w:val="center"/>
          </w:tcPr>
          <w:p w14:paraId="37CB7B92" w14:textId="77777777" w:rsidR="00AA6324" w:rsidRPr="00CA3519" w:rsidRDefault="00AA6324" w:rsidP="00AA6324">
            <w:pPr>
              <w:jc w:val="center"/>
              <w:rPr>
                <w:sz w:val="17"/>
                <w:szCs w:val="17"/>
              </w:rPr>
            </w:pPr>
            <w:r w:rsidRPr="00CA3519">
              <w:rPr>
                <w:sz w:val="17"/>
                <w:szCs w:val="17"/>
              </w:rPr>
              <w:t>0,471</w:t>
            </w:r>
          </w:p>
        </w:tc>
        <w:tc>
          <w:tcPr>
            <w:tcW w:w="1086" w:type="dxa"/>
            <w:tcBorders>
              <w:top w:val="single" w:sz="4" w:space="0" w:color="auto"/>
              <w:left w:val="single" w:sz="4" w:space="0" w:color="auto"/>
              <w:bottom w:val="single" w:sz="4" w:space="0" w:color="auto"/>
              <w:right w:val="single" w:sz="4" w:space="0" w:color="auto"/>
            </w:tcBorders>
            <w:vAlign w:val="center"/>
          </w:tcPr>
          <w:p w14:paraId="14505EDE" w14:textId="77777777" w:rsidR="00AA6324" w:rsidRPr="00CA3519" w:rsidRDefault="00AA6324" w:rsidP="00AA6324">
            <w:pPr>
              <w:jc w:val="center"/>
              <w:rPr>
                <w:sz w:val="17"/>
                <w:szCs w:val="17"/>
              </w:rPr>
            </w:pPr>
            <w:r w:rsidRPr="00CA3519">
              <w:rPr>
                <w:sz w:val="17"/>
                <w:szCs w:val="17"/>
              </w:rPr>
              <w:t>0,674</w:t>
            </w:r>
          </w:p>
        </w:tc>
        <w:tc>
          <w:tcPr>
            <w:tcW w:w="1086" w:type="dxa"/>
            <w:tcBorders>
              <w:top w:val="single" w:sz="4" w:space="0" w:color="auto"/>
              <w:left w:val="single" w:sz="4" w:space="0" w:color="auto"/>
              <w:bottom w:val="single" w:sz="4" w:space="0" w:color="auto"/>
              <w:right w:val="single" w:sz="4" w:space="0" w:color="auto"/>
            </w:tcBorders>
            <w:vAlign w:val="center"/>
          </w:tcPr>
          <w:p w14:paraId="6A54216B" w14:textId="77777777" w:rsidR="00AA6324" w:rsidRPr="00CA3519" w:rsidRDefault="00AA6324" w:rsidP="00AA6324">
            <w:pPr>
              <w:ind w:right="-41"/>
              <w:jc w:val="center"/>
              <w:rPr>
                <w:sz w:val="17"/>
                <w:szCs w:val="17"/>
              </w:rPr>
            </w:pPr>
            <w:r w:rsidRPr="00CA3519">
              <w:rPr>
                <w:sz w:val="17"/>
                <w:szCs w:val="17"/>
              </w:rPr>
              <w:t>0,844</w:t>
            </w:r>
          </w:p>
        </w:tc>
      </w:tr>
      <w:tr w:rsidR="00AA6324" w:rsidRPr="00CA3519" w14:paraId="622B5D3C"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7A18072F" w14:textId="77777777" w:rsidR="00AA6324" w:rsidRPr="00CA3519" w:rsidRDefault="00AA6324" w:rsidP="00AA6324">
            <w:pPr>
              <w:rPr>
                <w:sz w:val="17"/>
                <w:szCs w:val="17"/>
              </w:rPr>
            </w:pPr>
            <w:r w:rsidRPr="00CA3519">
              <w:rPr>
                <w:sz w:val="17"/>
                <w:szCs w:val="17"/>
              </w:rPr>
              <w:t xml:space="preserve">März 2017 </w:t>
            </w:r>
          </w:p>
        </w:tc>
        <w:tc>
          <w:tcPr>
            <w:tcW w:w="2113" w:type="dxa"/>
            <w:tcBorders>
              <w:top w:val="single" w:sz="4" w:space="0" w:color="auto"/>
              <w:left w:val="single" w:sz="4" w:space="0" w:color="auto"/>
              <w:bottom w:val="single" w:sz="4" w:space="0" w:color="auto"/>
              <w:right w:val="single" w:sz="4" w:space="0" w:color="auto"/>
            </w:tcBorders>
            <w:vAlign w:val="center"/>
          </w:tcPr>
          <w:p w14:paraId="06D89B27" w14:textId="77777777" w:rsidR="00AA6324" w:rsidRPr="00CA3519" w:rsidRDefault="00AA6324" w:rsidP="007E1C5E">
            <w:pPr>
              <w:jc w:val="center"/>
              <w:rPr>
                <w:sz w:val="17"/>
                <w:szCs w:val="17"/>
              </w:rPr>
            </w:pPr>
            <w:r w:rsidRPr="00CA3519">
              <w:rPr>
                <w:sz w:val="17"/>
                <w:szCs w:val="17"/>
              </w:rPr>
              <w:t>16.03.2017 - Ausg. 1</w:t>
            </w:r>
          </w:p>
        </w:tc>
        <w:tc>
          <w:tcPr>
            <w:tcW w:w="1085" w:type="dxa"/>
            <w:tcBorders>
              <w:top w:val="single" w:sz="4" w:space="0" w:color="auto"/>
              <w:left w:val="single" w:sz="4" w:space="0" w:color="auto"/>
              <w:bottom w:val="single" w:sz="4" w:space="0" w:color="auto"/>
              <w:right w:val="single" w:sz="4" w:space="0" w:color="auto"/>
            </w:tcBorders>
            <w:vAlign w:val="center"/>
          </w:tcPr>
          <w:p w14:paraId="3EC4CB0F" w14:textId="77777777" w:rsidR="00AA6324" w:rsidRPr="00CA3519" w:rsidRDefault="00AA6324" w:rsidP="00AA6324">
            <w:pPr>
              <w:jc w:val="center"/>
              <w:rPr>
                <w:sz w:val="17"/>
                <w:szCs w:val="17"/>
              </w:rPr>
            </w:pPr>
            <w:r w:rsidRPr="00CA3519">
              <w:rPr>
                <w:sz w:val="17"/>
                <w:szCs w:val="17"/>
              </w:rPr>
              <w:t>- 0,622</w:t>
            </w:r>
          </w:p>
        </w:tc>
        <w:tc>
          <w:tcPr>
            <w:tcW w:w="1086" w:type="dxa"/>
            <w:tcBorders>
              <w:top w:val="single" w:sz="4" w:space="0" w:color="auto"/>
              <w:left w:val="single" w:sz="4" w:space="0" w:color="auto"/>
              <w:bottom w:val="single" w:sz="4" w:space="0" w:color="auto"/>
              <w:right w:val="single" w:sz="4" w:space="0" w:color="auto"/>
            </w:tcBorders>
            <w:vAlign w:val="center"/>
          </w:tcPr>
          <w:p w14:paraId="1EAED884" w14:textId="77777777" w:rsidR="00AA6324" w:rsidRPr="00CA3519" w:rsidRDefault="00AA6324" w:rsidP="00AA6324">
            <w:pPr>
              <w:jc w:val="center"/>
              <w:rPr>
                <w:sz w:val="17"/>
                <w:szCs w:val="17"/>
              </w:rPr>
            </w:pPr>
            <w:r w:rsidRPr="00CA3519">
              <w:rPr>
                <w:sz w:val="17"/>
                <w:szCs w:val="17"/>
              </w:rPr>
              <w:t>- 0,580</w:t>
            </w:r>
          </w:p>
        </w:tc>
        <w:tc>
          <w:tcPr>
            <w:tcW w:w="1085" w:type="dxa"/>
            <w:tcBorders>
              <w:top w:val="single" w:sz="4" w:space="0" w:color="auto"/>
              <w:left w:val="single" w:sz="4" w:space="0" w:color="auto"/>
              <w:bottom w:val="single" w:sz="4" w:space="0" w:color="auto"/>
              <w:right w:val="single" w:sz="4" w:space="0" w:color="auto"/>
            </w:tcBorders>
            <w:vAlign w:val="center"/>
          </w:tcPr>
          <w:p w14:paraId="34B5002B" w14:textId="77777777" w:rsidR="00AA6324" w:rsidRPr="00CA3519" w:rsidRDefault="00AA6324" w:rsidP="00AA6324">
            <w:pPr>
              <w:jc w:val="center"/>
              <w:rPr>
                <w:sz w:val="17"/>
                <w:szCs w:val="17"/>
              </w:rPr>
            </w:pPr>
            <w:r w:rsidRPr="00CA3519">
              <w:rPr>
                <w:sz w:val="17"/>
                <w:szCs w:val="17"/>
              </w:rPr>
              <w:t>- 0,525</w:t>
            </w:r>
          </w:p>
        </w:tc>
        <w:tc>
          <w:tcPr>
            <w:tcW w:w="1086" w:type="dxa"/>
            <w:tcBorders>
              <w:top w:val="single" w:sz="4" w:space="0" w:color="auto"/>
              <w:left w:val="single" w:sz="4" w:space="0" w:color="auto"/>
              <w:bottom w:val="single" w:sz="4" w:space="0" w:color="auto"/>
              <w:right w:val="single" w:sz="4" w:space="0" w:color="auto"/>
            </w:tcBorders>
            <w:vAlign w:val="center"/>
          </w:tcPr>
          <w:p w14:paraId="1ED43EA6" w14:textId="77777777" w:rsidR="00AA6324" w:rsidRPr="00CA3519" w:rsidRDefault="00AA6324" w:rsidP="00AA6324">
            <w:pPr>
              <w:jc w:val="center"/>
              <w:rPr>
                <w:sz w:val="17"/>
                <w:szCs w:val="17"/>
              </w:rPr>
            </w:pPr>
            <w:r w:rsidRPr="00CA3519">
              <w:rPr>
                <w:sz w:val="17"/>
                <w:szCs w:val="17"/>
              </w:rPr>
              <w:t>- 0,432</w:t>
            </w:r>
          </w:p>
        </w:tc>
        <w:tc>
          <w:tcPr>
            <w:tcW w:w="1086" w:type="dxa"/>
            <w:tcBorders>
              <w:top w:val="single" w:sz="4" w:space="0" w:color="auto"/>
              <w:left w:val="single" w:sz="4" w:space="0" w:color="auto"/>
              <w:bottom w:val="single" w:sz="4" w:space="0" w:color="auto"/>
              <w:right w:val="single" w:sz="4" w:space="0" w:color="auto"/>
            </w:tcBorders>
            <w:vAlign w:val="center"/>
          </w:tcPr>
          <w:p w14:paraId="4F7435A7" w14:textId="77777777" w:rsidR="00AA6324" w:rsidRPr="00CA3519" w:rsidRDefault="00AA6324" w:rsidP="00AA6324">
            <w:pPr>
              <w:jc w:val="center"/>
              <w:rPr>
                <w:sz w:val="17"/>
                <w:szCs w:val="17"/>
              </w:rPr>
            </w:pPr>
            <w:r w:rsidRPr="00CA3519">
              <w:rPr>
                <w:sz w:val="17"/>
                <w:szCs w:val="17"/>
              </w:rPr>
              <w:t>- 0,272</w:t>
            </w:r>
          </w:p>
        </w:tc>
        <w:tc>
          <w:tcPr>
            <w:tcW w:w="1085" w:type="dxa"/>
            <w:tcBorders>
              <w:top w:val="single" w:sz="4" w:space="0" w:color="auto"/>
              <w:left w:val="single" w:sz="4" w:space="0" w:color="auto"/>
              <w:bottom w:val="single" w:sz="4" w:space="0" w:color="auto"/>
              <w:right w:val="single" w:sz="4" w:space="0" w:color="auto"/>
            </w:tcBorders>
            <w:vAlign w:val="center"/>
          </w:tcPr>
          <w:p w14:paraId="383B2F38" w14:textId="77777777" w:rsidR="00AA6324" w:rsidRPr="00CA3519" w:rsidRDefault="00AA6324" w:rsidP="00AA6324">
            <w:pPr>
              <w:jc w:val="center"/>
              <w:rPr>
                <w:sz w:val="17"/>
                <w:szCs w:val="17"/>
              </w:rPr>
            </w:pPr>
            <w:r w:rsidRPr="00CA3519">
              <w:rPr>
                <w:sz w:val="17"/>
                <w:szCs w:val="17"/>
              </w:rPr>
              <w:t>- 0,051</w:t>
            </w:r>
          </w:p>
        </w:tc>
        <w:tc>
          <w:tcPr>
            <w:tcW w:w="1086" w:type="dxa"/>
            <w:tcBorders>
              <w:top w:val="single" w:sz="4" w:space="0" w:color="auto"/>
              <w:left w:val="single" w:sz="4" w:space="0" w:color="auto"/>
              <w:bottom w:val="single" w:sz="4" w:space="0" w:color="auto"/>
              <w:right w:val="single" w:sz="4" w:space="0" w:color="auto"/>
            </w:tcBorders>
            <w:vAlign w:val="center"/>
          </w:tcPr>
          <w:p w14:paraId="518F523B" w14:textId="77777777" w:rsidR="00AA6324" w:rsidRPr="00CA3519" w:rsidRDefault="00AA6324" w:rsidP="00AA6324">
            <w:pPr>
              <w:jc w:val="center"/>
              <w:rPr>
                <w:sz w:val="17"/>
                <w:szCs w:val="17"/>
              </w:rPr>
            </w:pPr>
            <w:r w:rsidRPr="00CA3519">
              <w:rPr>
                <w:sz w:val="17"/>
                <w:szCs w:val="17"/>
              </w:rPr>
              <w:t>0,186</w:t>
            </w:r>
          </w:p>
        </w:tc>
        <w:tc>
          <w:tcPr>
            <w:tcW w:w="1085" w:type="dxa"/>
            <w:tcBorders>
              <w:top w:val="single" w:sz="4" w:space="0" w:color="auto"/>
              <w:left w:val="single" w:sz="4" w:space="0" w:color="auto"/>
              <w:bottom w:val="single" w:sz="4" w:space="0" w:color="auto"/>
              <w:right w:val="single" w:sz="4" w:space="0" w:color="auto"/>
            </w:tcBorders>
            <w:vAlign w:val="center"/>
          </w:tcPr>
          <w:p w14:paraId="025287F1" w14:textId="77777777" w:rsidR="00AA6324" w:rsidRPr="00CA3519" w:rsidRDefault="00AA6324" w:rsidP="00AA6324">
            <w:pPr>
              <w:jc w:val="center"/>
              <w:rPr>
                <w:sz w:val="17"/>
                <w:szCs w:val="17"/>
              </w:rPr>
            </w:pPr>
            <w:r w:rsidRPr="00CA3519">
              <w:rPr>
                <w:sz w:val="17"/>
                <w:szCs w:val="17"/>
              </w:rPr>
              <w:t>0,410</w:t>
            </w:r>
          </w:p>
        </w:tc>
        <w:tc>
          <w:tcPr>
            <w:tcW w:w="1086" w:type="dxa"/>
            <w:tcBorders>
              <w:top w:val="single" w:sz="4" w:space="0" w:color="auto"/>
              <w:left w:val="single" w:sz="4" w:space="0" w:color="auto"/>
              <w:bottom w:val="single" w:sz="4" w:space="0" w:color="auto"/>
              <w:right w:val="single" w:sz="4" w:space="0" w:color="auto"/>
            </w:tcBorders>
            <w:vAlign w:val="center"/>
          </w:tcPr>
          <w:p w14:paraId="3335C83F" w14:textId="77777777" w:rsidR="00AA6324" w:rsidRPr="00CA3519" w:rsidRDefault="00AA6324" w:rsidP="00AA6324">
            <w:pPr>
              <w:jc w:val="center"/>
              <w:rPr>
                <w:sz w:val="17"/>
                <w:szCs w:val="17"/>
              </w:rPr>
            </w:pPr>
            <w:r w:rsidRPr="00CA3519">
              <w:rPr>
                <w:sz w:val="17"/>
                <w:szCs w:val="17"/>
              </w:rPr>
              <w:t>0,608</w:t>
            </w:r>
          </w:p>
        </w:tc>
        <w:tc>
          <w:tcPr>
            <w:tcW w:w="1086" w:type="dxa"/>
            <w:tcBorders>
              <w:top w:val="single" w:sz="4" w:space="0" w:color="auto"/>
              <w:left w:val="single" w:sz="4" w:space="0" w:color="auto"/>
              <w:bottom w:val="single" w:sz="4" w:space="0" w:color="auto"/>
              <w:right w:val="single" w:sz="4" w:space="0" w:color="auto"/>
            </w:tcBorders>
            <w:vAlign w:val="center"/>
          </w:tcPr>
          <w:p w14:paraId="314FEC5C" w14:textId="77777777" w:rsidR="00AA6324" w:rsidRPr="00CA3519" w:rsidRDefault="00AA6324" w:rsidP="00AA6324">
            <w:pPr>
              <w:ind w:right="-41"/>
              <w:jc w:val="center"/>
              <w:rPr>
                <w:sz w:val="17"/>
                <w:szCs w:val="17"/>
              </w:rPr>
            </w:pPr>
            <w:r w:rsidRPr="00CA3519">
              <w:rPr>
                <w:sz w:val="17"/>
                <w:szCs w:val="17"/>
              </w:rPr>
              <w:t>0,774</w:t>
            </w:r>
          </w:p>
        </w:tc>
      </w:tr>
      <w:tr w:rsidR="00AA6324" w:rsidRPr="00CA3519" w14:paraId="164A467D"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34A4C281" w14:textId="77777777" w:rsidR="00AA6324" w:rsidRPr="00CA3519" w:rsidRDefault="00AA6324" w:rsidP="00AA6324">
            <w:pPr>
              <w:rPr>
                <w:sz w:val="17"/>
                <w:szCs w:val="17"/>
              </w:rPr>
            </w:pPr>
            <w:r w:rsidRPr="00CA3519">
              <w:rPr>
                <w:sz w:val="17"/>
                <w:szCs w:val="17"/>
              </w:rPr>
              <w:t xml:space="preserve">April 2017 </w:t>
            </w:r>
          </w:p>
        </w:tc>
        <w:tc>
          <w:tcPr>
            <w:tcW w:w="2113" w:type="dxa"/>
            <w:tcBorders>
              <w:top w:val="single" w:sz="4" w:space="0" w:color="auto"/>
              <w:left w:val="single" w:sz="4" w:space="0" w:color="auto"/>
              <w:bottom w:val="single" w:sz="4" w:space="0" w:color="auto"/>
              <w:right w:val="single" w:sz="4" w:space="0" w:color="auto"/>
            </w:tcBorders>
            <w:vAlign w:val="center"/>
          </w:tcPr>
          <w:p w14:paraId="2FC6A46F" w14:textId="77777777" w:rsidR="00AA6324" w:rsidRPr="00CA3519" w:rsidRDefault="00AA6324" w:rsidP="007E1C5E">
            <w:pPr>
              <w:jc w:val="center"/>
              <w:rPr>
                <w:sz w:val="17"/>
                <w:szCs w:val="17"/>
              </w:rPr>
            </w:pPr>
            <w:r w:rsidRPr="00CA3519">
              <w:rPr>
                <w:sz w:val="17"/>
                <w:szCs w:val="17"/>
              </w:rPr>
              <w:t>14.04.2017 - Ausg. 1</w:t>
            </w:r>
          </w:p>
        </w:tc>
        <w:tc>
          <w:tcPr>
            <w:tcW w:w="1085" w:type="dxa"/>
            <w:tcBorders>
              <w:top w:val="single" w:sz="4" w:space="0" w:color="auto"/>
              <w:left w:val="single" w:sz="4" w:space="0" w:color="auto"/>
              <w:bottom w:val="single" w:sz="4" w:space="0" w:color="auto"/>
              <w:right w:val="single" w:sz="4" w:space="0" w:color="auto"/>
            </w:tcBorders>
            <w:vAlign w:val="center"/>
          </w:tcPr>
          <w:p w14:paraId="729EFA6E" w14:textId="77777777" w:rsidR="00AA6324" w:rsidRPr="00CA3519" w:rsidRDefault="00AA6324" w:rsidP="00AA6324">
            <w:pPr>
              <w:jc w:val="center"/>
              <w:rPr>
                <w:sz w:val="17"/>
                <w:szCs w:val="17"/>
              </w:rPr>
            </w:pPr>
            <w:r w:rsidRPr="00CA3519">
              <w:rPr>
                <w:sz w:val="17"/>
                <w:szCs w:val="17"/>
              </w:rPr>
              <w:t>- 0,608</w:t>
            </w:r>
          </w:p>
        </w:tc>
        <w:tc>
          <w:tcPr>
            <w:tcW w:w="1086" w:type="dxa"/>
            <w:tcBorders>
              <w:top w:val="single" w:sz="4" w:space="0" w:color="auto"/>
              <w:left w:val="single" w:sz="4" w:space="0" w:color="auto"/>
              <w:bottom w:val="single" w:sz="4" w:space="0" w:color="auto"/>
              <w:right w:val="single" w:sz="4" w:space="0" w:color="auto"/>
            </w:tcBorders>
            <w:vAlign w:val="center"/>
          </w:tcPr>
          <w:p w14:paraId="57FA526F" w14:textId="77777777" w:rsidR="00AA6324" w:rsidRPr="00CA3519" w:rsidRDefault="00AA6324" w:rsidP="00AA6324">
            <w:pPr>
              <w:jc w:val="center"/>
              <w:rPr>
                <w:sz w:val="17"/>
                <w:szCs w:val="17"/>
              </w:rPr>
            </w:pPr>
            <w:r w:rsidRPr="00CA3519">
              <w:rPr>
                <w:sz w:val="17"/>
                <w:szCs w:val="17"/>
              </w:rPr>
              <w:t>- 0,553</w:t>
            </w:r>
          </w:p>
        </w:tc>
        <w:tc>
          <w:tcPr>
            <w:tcW w:w="1085" w:type="dxa"/>
            <w:tcBorders>
              <w:top w:val="single" w:sz="4" w:space="0" w:color="auto"/>
              <w:left w:val="single" w:sz="4" w:space="0" w:color="auto"/>
              <w:bottom w:val="single" w:sz="4" w:space="0" w:color="auto"/>
              <w:right w:val="single" w:sz="4" w:space="0" w:color="auto"/>
            </w:tcBorders>
            <w:vAlign w:val="center"/>
          </w:tcPr>
          <w:p w14:paraId="39394B8F" w14:textId="77777777" w:rsidR="00AA6324" w:rsidRPr="00CA3519" w:rsidRDefault="00AA6324" w:rsidP="00AA6324">
            <w:pPr>
              <w:jc w:val="center"/>
              <w:rPr>
                <w:sz w:val="17"/>
                <w:szCs w:val="17"/>
              </w:rPr>
            </w:pPr>
            <w:r w:rsidRPr="00CA3519">
              <w:rPr>
                <w:sz w:val="17"/>
                <w:szCs w:val="17"/>
              </w:rPr>
              <w:t>- 0,476</w:t>
            </w:r>
          </w:p>
        </w:tc>
        <w:tc>
          <w:tcPr>
            <w:tcW w:w="1086" w:type="dxa"/>
            <w:tcBorders>
              <w:top w:val="single" w:sz="4" w:space="0" w:color="auto"/>
              <w:left w:val="single" w:sz="4" w:space="0" w:color="auto"/>
              <w:bottom w:val="single" w:sz="4" w:space="0" w:color="auto"/>
              <w:right w:val="single" w:sz="4" w:space="0" w:color="auto"/>
            </w:tcBorders>
            <w:vAlign w:val="center"/>
          </w:tcPr>
          <w:p w14:paraId="6614819E" w14:textId="77777777" w:rsidR="00AA6324" w:rsidRPr="00CA3519" w:rsidRDefault="00AA6324" w:rsidP="00AA6324">
            <w:pPr>
              <w:jc w:val="center"/>
              <w:rPr>
                <w:sz w:val="17"/>
                <w:szCs w:val="17"/>
              </w:rPr>
            </w:pPr>
            <w:r w:rsidRPr="00CA3519">
              <w:rPr>
                <w:sz w:val="17"/>
                <w:szCs w:val="17"/>
              </w:rPr>
              <w:t>- 0,354</w:t>
            </w:r>
          </w:p>
        </w:tc>
        <w:tc>
          <w:tcPr>
            <w:tcW w:w="1086" w:type="dxa"/>
            <w:tcBorders>
              <w:top w:val="single" w:sz="4" w:space="0" w:color="auto"/>
              <w:left w:val="single" w:sz="4" w:space="0" w:color="auto"/>
              <w:bottom w:val="single" w:sz="4" w:space="0" w:color="auto"/>
              <w:right w:val="single" w:sz="4" w:space="0" w:color="auto"/>
            </w:tcBorders>
            <w:vAlign w:val="center"/>
          </w:tcPr>
          <w:p w14:paraId="3BBD6DFB" w14:textId="77777777" w:rsidR="00AA6324" w:rsidRPr="00CA3519" w:rsidRDefault="00AA6324" w:rsidP="00AA6324">
            <w:pPr>
              <w:jc w:val="center"/>
              <w:rPr>
                <w:sz w:val="17"/>
                <w:szCs w:val="17"/>
              </w:rPr>
            </w:pPr>
            <w:r w:rsidRPr="00CA3519">
              <w:rPr>
                <w:sz w:val="17"/>
                <w:szCs w:val="17"/>
              </w:rPr>
              <w:t>- 0,177</w:t>
            </w:r>
          </w:p>
        </w:tc>
        <w:tc>
          <w:tcPr>
            <w:tcW w:w="1085" w:type="dxa"/>
            <w:tcBorders>
              <w:top w:val="single" w:sz="4" w:space="0" w:color="auto"/>
              <w:left w:val="single" w:sz="4" w:space="0" w:color="auto"/>
              <w:bottom w:val="single" w:sz="4" w:space="0" w:color="auto"/>
              <w:right w:val="single" w:sz="4" w:space="0" w:color="auto"/>
            </w:tcBorders>
            <w:vAlign w:val="center"/>
          </w:tcPr>
          <w:p w14:paraId="6D30F904" w14:textId="77777777" w:rsidR="00AA6324" w:rsidRPr="00CA3519" w:rsidRDefault="00AA6324" w:rsidP="00AA6324">
            <w:pPr>
              <w:jc w:val="center"/>
              <w:rPr>
                <w:sz w:val="17"/>
                <w:szCs w:val="17"/>
              </w:rPr>
            </w:pPr>
            <w:r w:rsidRPr="00CA3519">
              <w:rPr>
                <w:sz w:val="17"/>
                <w:szCs w:val="17"/>
              </w:rPr>
              <w:t>0,037</w:t>
            </w:r>
          </w:p>
        </w:tc>
        <w:tc>
          <w:tcPr>
            <w:tcW w:w="1086" w:type="dxa"/>
            <w:tcBorders>
              <w:top w:val="single" w:sz="4" w:space="0" w:color="auto"/>
              <w:left w:val="single" w:sz="4" w:space="0" w:color="auto"/>
              <w:bottom w:val="single" w:sz="4" w:space="0" w:color="auto"/>
              <w:right w:val="single" w:sz="4" w:space="0" w:color="auto"/>
            </w:tcBorders>
            <w:vAlign w:val="center"/>
          </w:tcPr>
          <w:p w14:paraId="0ACE0F8F" w14:textId="77777777" w:rsidR="00AA6324" w:rsidRPr="00CA3519" w:rsidRDefault="00AA6324" w:rsidP="00AA6324">
            <w:pPr>
              <w:jc w:val="center"/>
              <w:rPr>
                <w:sz w:val="17"/>
                <w:szCs w:val="17"/>
              </w:rPr>
            </w:pPr>
            <w:r w:rsidRPr="00CA3519">
              <w:rPr>
                <w:sz w:val="17"/>
                <w:szCs w:val="17"/>
              </w:rPr>
              <w:t>0,270</w:t>
            </w:r>
          </w:p>
        </w:tc>
        <w:tc>
          <w:tcPr>
            <w:tcW w:w="1085" w:type="dxa"/>
            <w:tcBorders>
              <w:top w:val="single" w:sz="4" w:space="0" w:color="auto"/>
              <w:left w:val="single" w:sz="4" w:space="0" w:color="auto"/>
              <w:bottom w:val="single" w:sz="4" w:space="0" w:color="auto"/>
              <w:right w:val="single" w:sz="4" w:space="0" w:color="auto"/>
            </w:tcBorders>
            <w:vAlign w:val="center"/>
          </w:tcPr>
          <w:p w14:paraId="1E37933A" w14:textId="77777777" w:rsidR="00AA6324" w:rsidRPr="00CA3519" w:rsidRDefault="00AA6324" w:rsidP="00AA6324">
            <w:pPr>
              <w:jc w:val="center"/>
              <w:rPr>
                <w:sz w:val="17"/>
                <w:szCs w:val="17"/>
              </w:rPr>
            </w:pPr>
            <w:r w:rsidRPr="00CA3519">
              <w:rPr>
                <w:sz w:val="17"/>
                <w:szCs w:val="17"/>
              </w:rPr>
              <w:t>0,490</w:t>
            </w:r>
          </w:p>
        </w:tc>
        <w:tc>
          <w:tcPr>
            <w:tcW w:w="1086" w:type="dxa"/>
            <w:tcBorders>
              <w:top w:val="single" w:sz="4" w:space="0" w:color="auto"/>
              <w:left w:val="single" w:sz="4" w:space="0" w:color="auto"/>
              <w:bottom w:val="single" w:sz="4" w:space="0" w:color="auto"/>
              <w:right w:val="single" w:sz="4" w:space="0" w:color="auto"/>
            </w:tcBorders>
            <w:vAlign w:val="center"/>
          </w:tcPr>
          <w:p w14:paraId="5517ED56" w14:textId="77777777" w:rsidR="00AA6324" w:rsidRPr="00CA3519" w:rsidRDefault="00AA6324" w:rsidP="00AA6324">
            <w:pPr>
              <w:jc w:val="center"/>
              <w:rPr>
                <w:sz w:val="17"/>
                <w:szCs w:val="17"/>
              </w:rPr>
            </w:pPr>
            <w:r w:rsidRPr="00CA3519">
              <w:rPr>
                <w:sz w:val="17"/>
                <w:szCs w:val="17"/>
              </w:rPr>
              <w:t>0,682</w:t>
            </w:r>
          </w:p>
        </w:tc>
        <w:tc>
          <w:tcPr>
            <w:tcW w:w="1086" w:type="dxa"/>
            <w:tcBorders>
              <w:top w:val="single" w:sz="4" w:space="0" w:color="auto"/>
              <w:left w:val="single" w:sz="4" w:space="0" w:color="auto"/>
              <w:bottom w:val="single" w:sz="4" w:space="0" w:color="auto"/>
              <w:right w:val="single" w:sz="4" w:space="0" w:color="auto"/>
            </w:tcBorders>
            <w:vAlign w:val="center"/>
          </w:tcPr>
          <w:p w14:paraId="11F8F135" w14:textId="77777777" w:rsidR="00AA6324" w:rsidRPr="00CA3519" w:rsidRDefault="00AA6324" w:rsidP="00AA6324">
            <w:pPr>
              <w:ind w:right="-41"/>
              <w:jc w:val="center"/>
              <w:rPr>
                <w:sz w:val="17"/>
                <w:szCs w:val="17"/>
              </w:rPr>
            </w:pPr>
            <w:r w:rsidRPr="00CA3519">
              <w:rPr>
                <w:sz w:val="17"/>
                <w:szCs w:val="17"/>
              </w:rPr>
              <w:t>0,842</w:t>
            </w:r>
          </w:p>
        </w:tc>
      </w:tr>
      <w:tr w:rsidR="00AA6324" w:rsidRPr="00CA3519" w14:paraId="3767059B"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3A7EE0C8" w14:textId="77777777" w:rsidR="00AA6324" w:rsidRPr="00CA3519" w:rsidRDefault="00AA6324" w:rsidP="00AA6324">
            <w:pPr>
              <w:rPr>
                <w:sz w:val="17"/>
                <w:szCs w:val="17"/>
              </w:rPr>
            </w:pPr>
            <w:r w:rsidRPr="00CA3519">
              <w:rPr>
                <w:sz w:val="17"/>
                <w:szCs w:val="17"/>
              </w:rPr>
              <w:t xml:space="preserve">Mai 2017 </w:t>
            </w:r>
          </w:p>
        </w:tc>
        <w:tc>
          <w:tcPr>
            <w:tcW w:w="2113" w:type="dxa"/>
            <w:tcBorders>
              <w:top w:val="single" w:sz="4" w:space="0" w:color="auto"/>
              <w:left w:val="single" w:sz="4" w:space="0" w:color="auto"/>
              <w:bottom w:val="single" w:sz="4" w:space="0" w:color="auto"/>
              <w:right w:val="single" w:sz="4" w:space="0" w:color="auto"/>
            </w:tcBorders>
            <w:vAlign w:val="center"/>
          </w:tcPr>
          <w:p w14:paraId="30823B6A" w14:textId="77777777" w:rsidR="00AA6324" w:rsidRPr="00CA3519" w:rsidRDefault="00AA6324" w:rsidP="007E1C5E">
            <w:pPr>
              <w:jc w:val="center"/>
              <w:rPr>
                <w:sz w:val="17"/>
                <w:szCs w:val="17"/>
              </w:rPr>
            </w:pPr>
            <w:r w:rsidRPr="00CA3519">
              <w:rPr>
                <w:sz w:val="17"/>
                <w:szCs w:val="17"/>
              </w:rPr>
              <w:t>22.05.2017 - Ausg. 1</w:t>
            </w:r>
          </w:p>
        </w:tc>
        <w:tc>
          <w:tcPr>
            <w:tcW w:w="1085" w:type="dxa"/>
            <w:tcBorders>
              <w:top w:val="single" w:sz="4" w:space="0" w:color="auto"/>
              <w:left w:val="single" w:sz="4" w:space="0" w:color="auto"/>
              <w:bottom w:val="single" w:sz="4" w:space="0" w:color="auto"/>
              <w:right w:val="single" w:sz="4" w:space="0" w:color="auto"/>
            </w:tcBorders>
            <w:vAlign w:val="center"/>
          </w:tcPr>
          <w:p w14:paraId="0F2E146C" w14:textId="77777777" w:rsidR="00AA6324" w:rsidRPr="00CA3519" w:rsidRDefault="00AA6324" w:rsidP="00AA6324">
            <w:pPr>
              <w:jc w:val="center"/>
              <w:rPr>
                <w:sz w:val="17"/>
                <w:szCs w:val="17"/>
              </w:rPr>
            </w:pPr>
            <w:r w:rsidRPr="00CA3519">
              <w:rPr>
                <w:sz w:val="17"/>
                <w:szCs w:val="17"/>
              </w:rPr>
              <w:t>- 0,574</w:t>
            </w:r>
          </w:p>
        </w:tc>
        <w:tc>
          <w:tcPr>
            <w:tcW w:w="1086" w:type="dxa"/>
            <w:tcBorders>
              <w:top w:val="single" w:sz="4" w:space="0" w:color="auto"/>
              <w:left w:val="single" w:sz="4" w:space="0" w:color="auto"/>
              <w:bottom w:val="single" w:sz="4" w:space="0" w:color="auto"/>
              <w:right w:val="single" w:sz="4" w:space="0" w:color="auto"/>
            </w:tcBorders>
            <w:vAlign w:val="center"/>
          </w:tcPr>
          <w:p w14:paraId="75D22E93" w14:textId="77777777" w:rsidR="00AA6324" w:rsidRPr="00CA3519" w:rsidRDefault="00AA6324" w:rsidP="00AA6324">
            <w:pPr>
              <w:jc w:val="center"/>
              <w:rPr>
                <w:sz w:val="17"/>
                <w:szCs w:val="17"/>
              </w:rPr>
            </w:pPr>
            <w:r w:rsidRPr="00CA3519">
              <w:rPr>
                <w:sz w:val="17"/>
                <w:szCs w:val="17"/>
              </w:rPr>
              <w:t>- 0,556</w:t>
            </w:r>
          </w:p>
        </w:tc>
        <w:tc>
          <w:tcPr>
            <w:tcW w:w="1085" w:type="dxa"/>
            <w:tcBorders>
              <w:top w:val="single" w:sz="4" w:space="0" w:color="auto"/>
              <w:left w:val="single" w:sz="4" w:space="0" w:color="auto"/>
              <w:bottom w:val="single" w:sz="4" w:space="0" w:color="auto"/>
              <w:right w:val="single" w:sz="4" w:space="0" w:color="auto"/>
            </w:tcBorders>
            <w:vAlign w:val="center"/>
          </w:tcPr>
          <w:p w14:paraId="1B51B836" w14:textId="77777777" w:rsidR="00AA6324" w:rsidRPr="00CA3519" w:rsidRDefault="00AA6324" w:rsidP="00AA6324">
            <w:pPr>
              <w:jc w:val="center"/>
              <w:rPr>
                <w:sz w:val="17"/>
                <w:szCs w:val="17"/>
              </w:rPr>
            </w:pPr>
            <w:r w:rsidRPr="00CA3519">
              <w:rPr>
                <w:sz w:val="17"/>
                <w:szCs w:val="17"/>
              </w:rPr>
              <w:t>- 0,509</w:t>
            </w:r>
          </w:p>
        </w:tc>
        <w:tc>
          <w:tcPr>
            <w:tcW w:w="1086" w:type="dxa"/>
            <w:tcBorders>
              <w:top w:val="single" w:sz="4" w:space="0" w:color="auto"/>
              <w:left w:val="single" w:sz="4" w:space="0" w:color="auto"/>
              <w:bottom w:val="single" w:sz="4" w:space="0" w:color="auto"/>
              <w:right w:val="single" w:sz="4" w:space="0" w:color="auto"/>
            </w:tcBorders>
            <w:vAlign w:val="center"/>
          </w:tcPr>
          <w:p w14:paraId="2914BE5E" w14:textId="77777777" w:rsidR="00AA6324" w:rsidRPr="00CA3519" w:rsidRDefault="00AA6324" w:rsidP="00AA6324">
            <w:pPr>
              <w:jc w:val="center"/>
              <w:rPr>
                <w:sz w:val="17"/>
                <w:szCs w:val="17"/>
              </w:rPr>
            </w:pPr>
            <w:r w:rsidRPr="00CA3519">
              <w:rPr>
                <w:sz w:val="17"/>
                <w:szCs w:val="17"/>
              </w:rPr>
              <w:t>- 0,401</w:t>
            </w:r>
          </w:p>
        </w:tc>
        <w:tc>
          <w:tcPr>
            <w:tcW w:w="1086" w:type="dxa"/>
            <w:tcBorders>
              <w:top w:val="single" w:sz="4" w:space="0" w:color="auto"/>
              <w:left w:val="single" w:sz="4" w:space="0" w:color="auto"/>
              <w:bottom w:val="single" w:sz="4" w:space="0" w:color="auto"/>
              <w:right w:val="single" w:sz="4" w:space="0" w:color="auto"/>
            </w:tcBorders>
            <w:vAlign w:val="center"/>
          </w:tcPr>
          <w:p w14:paraId="1BD7F252" w14:textId="77777777" w:rsidR="00AA6324" w:rsidRPr="00CA3519" w:rsidRDefault="00AA6324" w:rsidP="00AA6324">
            <w:pPr>
              <w:jc w:val="center"/>
              <w:rPr>
                <w:sz w:val="17"/>
                <w:szCs w:val="17"/>
              </w:rPr>
            </w:pPr>
            <w:r w:rsidRPr="00CA3519">
              <w:rPr>
                <w:sz w:val="17"/>
                <w:szCs w:val="17"/>
              </w:rPr>
              <w:t>- 0,232</w:t>
            </w:r>
          </w:p>
        </w:tc>
        <w:tc>
          <w:tcPr>
            <w:tcW w:w="1085" w:type="dxa"/>
            <w:tcBorders>
              <w:top w:val="single" w:sz="4" w:space="0" w:color="auto"/>
              <w:left w:val="single" w:sz="4" w:space="0" w:color="auto"/>
              <w:bottom w:val="single" w:sz="4" w:space="0" w:color="auto"/>
              <w:right w:val="single" w:sz="4" w:space="0" w:color="auto"/>
            </w:tcBorders>
            <w:vAlign w:val="center"/>
          </w:tcPr>
          <w:p w14:paraId="4677E2EB" w14:textId="77777777" w:rsidR="00AA6324" w:rsidRPr="00CA3519" w:rsidRDefault="00AA6324" w:rsidP="00AA6324">
            <w:pPr>
              <w:jc w:val="center"/>
              <w:rPr>
                <w:sz w:val="17"/>
                <w:szCs w:val="17"/>
              </w:rPr>
            </w:pPr>
            <w:r w:rsidRPr="00CA3519">
              <w:rPr>
                <w:sz w:val="17"/>
                <w:szCs w:val="17"/>
              </w:rPr>
              <w:t>- 0,023</w:t>
            </w:r>
          </w:p>
        </w:tc>
        <w:tc>
          <w:tcPr>
            <w:tcW w:w="1086" w:type="dxa"/>
            <w:tcBorders>
              <w:top w:val="single" w:sz="4" w:space="0" w:color="auto"/>
              <w:left w:val="single" w:sz="4" w:space="0" w:color="auto"/>
              <w:bottom w:val="single" w:sz="4" w:space="0" w:color="auto"/>
              <w:right w:val="single" w:sz="4" w:space="0" w:color="auto"/>
            </w:tcBorders>
            <w:vAlign w:val="center"/>
          </w:tcPr>
          <w:p w14:paraId="004934E1" w14:textId="77777777" w:rsidR="00AA6324" w:rsidRPr="00CA3519" w:rsidRDefault="00AA6324" w:rsidP="00AA6324">
            <w:pPr>
              <w:jc w:val="center"/>
              <w:rPr>
                <w:sz w:val="17"/>
                <w:szCs w:val="17"/>
              </w:rPr>
            </w:pPr>
            <w:r w:rsidRPr="00CA3519">
              <w:rPr>
                <w:sz w:val="17"/>
                <w:szCs w:val="17"/>
              </w:rPr>
              <w:t>0,204</w:t>
            </w:r>
          </w:p>
        </w:tc>
        <w:tc>
          <w:tcPr>
            <w:tcW w:w="1085" w:type="dxa"/>
            <w:tcBorders>
              <w:top w:val="single" w:sz="4" w:space="0" w:color="auto"/>
              <w:left w:val="single" w:sz="4" w:space="0" w:color="auto"/>
              <w:bottom w:val="single" w:sz="4" w:space="0" w:color="auto"/>
              <w:right w:val="single" w:sz="4" w:space="0" w:color="auto"/>
            </w:tcBorders>
            <w:vAlign w:val="center"/>
          </w:tcPr>
          <w:p w14:paraId="137E579C" w14:textId="77777777" w:rsidR="00AA6324" w:rsidRPr="00CA3519" w:rsidRDefault="00AA6324" w:rsidP="00AA6324">
            <w:pPr>
              <w:jc w:val="center"/>
              <w:rPr>
                <w:sz w:val="17"/>
                <w:szCs w:val="17"/>
              </w:rPr>
            </w:pPr>
            <w:r w:rsidRPr="00CA3519">
              <w:rPr>
                <w:sz w:val="17"/>
                <w:szCs w:val="17"/>
              </w:rPr>
              <w:t>0,421</w:t>
            </w:r>
          </w:p>
        </w:tc>
        <w:tc>
          <w:tcPr>
            <w:tcW w:w="1086" w:type="dxa"/>
            <w:tcBorders>
              <w:top w:val="single" w:sz="4" w:space="0" w:color="auto"/>
              <w:left w:val="single" w:sz="4" w:space="0" w:color="auto"/>
              <w:bottom w:val="single" w:sz="4" w:space="0" w:color="auto"/>
              <w:right w:val="single" w:sz="4" w:space="0" w:color="auto"/>
            </w:tcBorders>
            <w:vAlign w:val="center"/>
          </w:tcPr>
          <w:p w14:paraId="70F3B42B" w14:textId="77777777" w:rsidR="00AA6324" w:rsidRPr="00CA3519" w:rsidRDefault="00AA6324" w:rsidP="00AA6324">
            <w:pPr>
              <w:jc w:val="center"/>
              <w:rPr>
                <w:sz w:val="17"/>
                <w:szCs w:val="17"/>
              </w:rPr>
            </w:pPr>
            <w:r w:rsidRPr="00CA3519">
              <w:rPr>
                <w:sz w:val="17"/>
                <w:szCs w:val="17"/>
              </w:rPr>
              <w:t>0,611</w:t>
            </w:r>
          </w:p>
        </w:tc>
        <w:tc>
          <w:tcPr>
            <w:tcW w:w="1086" w:type="dxa"/>
            <w:tcBorders>
              <w:top w:val="single" w:sz="4" w:space="0" w:color="auto"/>
              <w:left w:val="single" w:sz="4" w:space="0" w:color="auto"/>
              <w:bottom w:val="single" w:sz="4" w:space="0" w:color="auto"/>
              <w:right w:val="single" w:sz="4" w:space="0" w:color="auto"/>
            </w:tcBorders>
            <w:vAlign w:val="center"/>
          </w:tcPr>
          <w:p w14:paraId="5053BC2E" w14:textId="77777777" w:rsidR="00AA6324" w:rsidRPr="00CA3519" w:rsidRDefault="00AA6324" w:rsidP="00AA6324">
            <w:pPr>
              <w:ind w:right="-41"/>
              <w:jc w:val="center"/>
              <w:rPr>
                <w:sz w:val="17"/>
                <w:szCs w:val="17"/>
              </w:rPr>
            </w:pPr>
            <w:r w:rsidRPr="00CA3519">
              <w:rPr>
                <w:sz w:val="17"/>
                <w:szCs w:val="17"/>
              </w:rPr>
              <w:t>0,766</w:t>
            </w:r>
          </w:p>
        </w:tc>
      </w:tr>
      <w:tr w:rsidR="00AA6324" w:rsidRPr="00CA3519" w14:paraId="14D24C90"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064EDD6F" w14:textId="77777777" w:rsidR="00AA6324" w:rsidRPr="00CA3519" w:rsidRDefault="00AA6324" w:rsidP="00AA6324">
            <w:pPr>
              <w:rPr>
                <w:sz w:val="17"/>
                <w:szCs w:val="17"/>
              </w:rPr>
            </w:pPr>
            <w:r w:rsidRPr="00CA3519">
              <w:rPr>
                <w:sz w:val="17"/>
                <w:szCs w:val="17"/>
              </w:rPr>
              <w:t xml:space="preserve">Juni 2017 </w:t>
            </w:r>
          </w:p>
        </w:tc>
        <w:tc>
          <w:tcPr>
            <w:tcW w:w="2113" w:type="dxa"/>
            <w:tcBorders>
              <w:top w:val="single" w:sz="4" w:space="0" w:color="auto"/>
              <w:left w:val="single" w:sz="4" w:space="0" w:color="auto"/>
              <w:bottom w:val="single" w:sz="4" w:space="0" w:color="auto"/>
              <w:right w:val="single" w:sz="4" w:space="0" w:color="auto"/>
            </w:tcBorders>
            <w:vAlign w:val="center"/>
          </w:tcPr>
          <w:p w14:paraId="1A91A1CD" w14:textId="77777777" w:rsidR="00AA6324" w:rsidRPr="00CA3519" w:rsidRDefault="00AA6324" w:rsidP="007E1C5E">
            <w:pPr>
              <w:jc w:val="center"/>
              <w:rPr>
                <w:sz w:val="17"/>
                <w:szCs w:val="17"/>
              </w:rPr>
            </w:pPr>
            <w:r w:rsidRPr="00CA3519">
              <w:rPr>
                <w:sz w:val="17"/>
                <w:szCs w:val="17"/>
              </w:rPr>
              <w:t>14.06.2017 - Ausg. 1</w:t>
            </w:r>
          </w:p>
        </w:tc>
        <w:tc>
          <w:tcPr>
            <w:tcW w:w="1085" w:type="dxa"/>
            <w:tcBorders>
              <w:top w:val="single" w:sz="4" w:space="0" w:color="auto"/>
              <w:left w:val="single" w:sz="4" w:space="0" w:color="auto"/>
              <w:bottom w:val="single" w:sz="4" w:space="0" w:color="auto"/>
              <w:right w:val="single" w:sz="4" w:space="0" w:color="auto"/>
            </w:tcBorders>
            <w:vAlign w:val="center"/>
          </w:tcPr>
          <w:p w14:paraId="5FF8EAF8" w14:textId="77777777" w:rsidR="00AA6324" w:rsidRPr="00CA3519" w:rsidRDefault="00AA6324" w:rsidP="00AA6324">
            <w:pPr>
              <w:jc w:val="center"/>
              <w:rPr>
                <w:sz w:val="17"/>
                <w:szCs w:val="17"/>
              </w:rPr>
            </w:pPr>
            <w:r w:rsidRPr="00CA3519">
              <w:rPr>
                <w:sz w:val="17"/>
                <w:szCs w:val="17"/>
              </w:rPr>
              <w:t>- 0,561</w:t>
            </w:r>
          </w:p>
        </w:tc>
        <w:tc>
          <w:tcPr>
            <w:tcW w:w="1086" w:type="dxa"/>
            <w:tcBorders>
              <w:top w:val="single" w:sz="4" w:space="0" w:color="auto"/>
              <w:left w:val="single" w:sz="4" w:space="0" w:color="auto"/>
              <w:bottom w:val="single" w:sz="4" w:space="0" w:color="auto"/>
              <w:right w:val="single" w:sz="4" w:space="0" w:color="auto"/>
            </w:tcBorders>
            <w:vAlign w:val="center"/>
          </w:tcPr>
          <w:p w14:paraId="6B5B2074" w14:textId="77777777" w:rsidR="00AA6324" w:rsidRPr="00CA3519" w:rsidRDefault="00AA6324" w:rsidP="00AA6324">
            <w:pPr>
              <w:jc w:val="center"/>
              <w:rPr>
                <w:sz w:val="17"/>
                <w:szCs w:val="17"/>
              </w:rPr>
            </w:pPr>
            <w:r w:rsidRPr="00CA3519">
              <w:rPr>
                <w:sz w:val="17"/>
                <w:szCs w:val="17"/>
              </w:rPr>
              <w:t>- 0,545</w:t>
            </w:r>
          </w:p>
        </w:tc>
        <w:tc>
          <w:tcPr>
            <w:tcW w:w="1085" w:type="dxa"/>
            <w:tcBorders>
              <w:top w:val="single" w:sz="4" w:space="0" w:color="auto"/>
              <w:left w:val="single" w:sz="4" w:space="0" w:color="auto"/>
              <w:bottom w:val="single" w:sz="4" w:space="0" w:color="auto"/>
              <w:right w:val="single" w:sz="4" w:space="0" w:color="auto"/>
            </w:tcBorders>
            <w:vAlign w:val="center"/>
          </w:tcPr>
          <w:p w14:paraId="21F905B8" w14:textId="77777777" w:rsidR="00AA6324" w:rsidRPr="00CA3519" w:rsidRDefault="00AA6324" w:rsidP="00AA6324">
            <w:pPr>
              <w:jc w:val="center"/>
              <w:rPr>
                <w:sz w:val="17"/>
                <w:szCs w:val="17"/>
              </w:rPr>
            </w:pPr>
            <w:r w:rsidRPr="00CA3519">
              <w:rPr>
                <w:sz w:val="17"/>
                <w:szCs w:val="17"/>
              </w:rPr>
              <w:t>- 0,500</w:t>
            </w:r>
          </w:p>
        </w:tc>
        <w:tc>
          <w:tcPr>
            <w:tcW w:w="1086" w:type="dxa"/>
            <w:tcBorders>
              <w:top w:val="single" w:sz="4" w:space="0" w:color="auto"/>
              <w:left w:val="single" w:sz="4" w:space="0" w:color="auto"/>
              <w:bottom w:val="single" w:sz="4" w:space="0" w:color="auto"/>
              <w:right w:val="single" w:sz="4" w:space="0" w:color="auto"/>
            </w:tcBorders>
            <w:vAlign w:val="center"/>
          </w:tcPr>
          <w:p w14:paraId="695D15D2" w14:textId="77777777" w:rsidR="00AA6324" w:rsidRPr="00CA3519" w:rsidRDefault="00AA6324" w:rsidP="00AA6324">
            <w:pPr>
              <w:jc w:val="center"/>
              <w:rPr>
                <w:sz w:val="17"/>
                <w:szCs w:val="17"/>
              </w:rPr>
            </w:pPr>
            <w:r w:rsidRPr="00CA3519">
              <w:rPr>
                <w:sz w:val="17"/>
                <w:szCs w:val="17"/>
              </w:rPr>
              <w:t>- 0,404</w:t>
            </w:r>
          </w:p>
        </w:tc>
        <w:tc>
          <w:tcPr>
            <w:tcW w:w="1086" w:type="dxa"/>
            <w:tcBorders>
              <w:top w:val="single" w:sz="4" w:space="0" w:color="auto"/>
              <w:left w:val="single" w:sz="4" w:space="0" w:color="auto"/>
              <w:bottom w:val="single" w:sz="4" w:space="0" w:color="auto"/>
              <w:right w:val="single" w:sz="4" w:space="0" w:color="auto"/>
            </w:tcBorders>
            <w:vAlign w:val="center"/>
          </w:tcPr>
          <w:p w14:paraId="331AF90C" w14:textId="77777777" w:rsidR="00AA6324" w:rsidRPr="00CA3519" w:rsidRDefault="00AA6324" w:rsidP="00AA6324">
            <w:pPr>
              <w:jc w:val="center"/>
              <w:rPr>
                <w:sz w:val="17"/>
                <w:szCs w:val="17"/>
              </w:rPr>
            </w:pPr>
            <w:r w:rsidRPr="00CA3519">
              <w:rPr>
                <w:sz w:val="17"/>
                <w:szCs w:val="17"/>
              </w:rPr>
              <w:t>- 0,252</w:t>
            </w:r>
          </w:p>
        </w:tc>
        <w:tc>
          <w:tcPr>
            <w:tcW w:w="1085" w:type="dxa"/>
            <w:tcBorders>
              <w:top w:val="single" w:sz="4" w:space="0" w:color="auto"/>
              <w:left w:val="single" w:sz="4" w:space="0" w:color="auto"/>
              <w:bottom w:val="single" w:sz="4" w:space="0" w:color="auto"/>
              <w:right w:val="single" w:sz="4" w:space="0" w:color="auto"/>
            </w:tcBorders>
            <w:vAlign w:val="center"/>
          </w:tcPr>
          <w:p w14:paraId="2CD12072" w14:textId="77777777" w:rsidR="00AA6324" w:rsidRPr="00CA3519" w:rsidRDefault="00AA6324" w:rsidP="00AA6324">
            <w:pPr>
              <w:jc w:val="center"/>
              <w:rPr>
                <w:sz w:val="17"/>
                <w:szCs w:val="17"/>
              </w:rPr>
            </w:pPr>
            <w:r w:rsidRPr="00CA3519">
              <w:rPr>
                <w:sz w:val="17"/>
                <w:szCs w:val="17"/>
              </w:rPr>
              <w:t>- 0,052</w:t>
            </w:r>
          </w:p>
        </w:tc>
        <w:tc>
          <w:tcPr>
            <w:tcW w:w="1086" w:type="dxa"/>
            <w:tcBorders>
              <w:top w:val="single" w:sz="4" w:space="0" w:color="auto"/>
              <w:left w:val="single" w:sz="4" w:space="0" w:color="auto"/>
              <w:bottom w:val="single" w:sz="4" w:space="0" w:color="auto"/>
              <w:right w:val="single" w:sz="4" w:space="0" w:color="auto"/>
            </w:tcBorders>
            <w:vAlign w:val="center"/>
          </w:tcPr>
          <w:p w14:paraId="6DD67C25" w14:textId="77777777" w:rsidR="00AA6324" w:rsidRPr="00CA3519" w:rsidRDefault="00AA6324" w:rsidP="00AA6324">
            <w:pPr>
              <w:jc w:val="center"/>
              <w:rPr>
                <w:sz w:val="17"/>
                <w:szCs w:val="17"/>
              </w:rPr>
            </w:pPr>
            <w:r w:rsidRPr="00CA3519">
              <w:rPr>
                <w:sz w:val="17"/>
                <w:szCs w:val="17"/>
              </w:rPr>
              <w:t>0,170</w:t>
            </w:r>
          </w:p>
        </w:tc>
        <w:tc>
          <w:tcPr>
            <w:tcW w:w="1085" w:type="dxa"/>
            <w:tcBorders>
              <w:top w:val="single" w:sz="4" w:space="0" w:color="auto"/>
              <w:left w:val="single" w:sz="4" w:space="0" w:color="auto"/>
              <w:bottom w:val="single" w:sz="4" w:space="0" w:color="auto"/>
              <w:right w:val="single" w:sz="4" w:space="0" w:color="auto"/>
            </w:tcBorders>
            <w:vAlign w:val="center"/>
          </w:tcPr>
          <w:p w14:paraId="58658343" w14:textId="77777777" w:rsidR="00AA6324" w:rsidRPr="00CA3519" w:rsidRDefault="00AA6324" w:rsidP="00AA6324">
            <w:pPr>
              <w:jc w:val="center"/>
              <w:rPr>
                <w:sz w:val="17"/>
                <w:szCs w:val="17"/>
              </w:rPr>
            </w:pPr>
            <w:r w:rsidRPr="00CA3519">
              <w:rPr>
                <w:sz w:val="17"/>
                <w:szCs w:val="17"/>
              </w:rPr>
              <w:t>0,382</w:t>
            </w:r>
          </w:p>
        </w:tc>
        <w:tc>
          <w:tcPr>
            <w:tcW w:w="1086" w:type="dxa"/>
            <w:tcBorders>
              <w:top w:val="single" w:sz="4" w:space="0" w:color="auto"/>
              <w:left w:val="single" w:sz="4" w:space="0" w:color="auto"/>
              <w:bottom w:val="single" w:sz="4" w:space="0" w:color="auto"/>
              <w:right w:val="single" w:sz="4" w:space="0" w:color="auto"/>
            </w:tcBorders>
            <w:vAlign w:val="center"/>
          </w:tcPr>
          <w:p w14:paraId="496989DD" w14:textId="77777777" w:rsidR="00AA6324" w:rsidRPr="00CA3519" w:rsidRDefault="00AA6324" w:rsidP="00AA6324">
            <w:pPr>
              <w:jc w:val="center"/>
              <w:rPr>
                <w:sz w:val="17"/>
                <w:szCs w:val="17"/>
              </w:rPr>
            </w:pPr>
            <w:r w:rsidRPr="00CA3519">
              <w:rPr>
                <w:sz w:val="17"/>
                <w:szCs w:val="17"/>
              </w:rPr>
              <w:t>0,566</w:t>
            </w:r>
          </w:p>
        </w:tc>
        <w:tc>
          <w:tcPr>
            <w:tcW w:w="1086" w:type="dxa"/>
            <w:tcBorders>
              <w:top w:val="single" w:sz="4" w:space="0" w:color="auto"/>
              <w:left w:val="single" w:sz="4" w:space="0" w:color="auto"/>
              <w:bottom w:val="single" w:sz="4" w:space="0" w:color="auto"/>
              <w:right w:val="single" w:sz="4" w:space="0" w:color="auto"/>
            </w:tcBorders>
            <w:vAlign w:val="center"/>
          </w:tcPr>
          <w:p w14:paraId="70DACC08" w14:textId="77777777" w:rsidR="00AA6324" w:rsidRPr="00CA3519" w:rsidRDefault="00AA6324" w:rsidP="00AA6324">
            <w:pPr>
              <w:ind w:right="-41"/>
              <w:jc w:val="center"/>
              <w:rPr>
                <w:sz w:val="17"/>
                <w:szCs w:val="17"/>
              </w:rPr>
            </w:pPr>
            <w:r w:rsidRPr="00CA3519">
              <w:rPr>
                <w:sz w:val="17"/>
                <w:szCs w:val="17"/>
              </w:rPr>
              <w:t>0,717</w:t>
            </w:r>
          </w:p>
        </w:tc>
      </w:tr>
      <w:tr w:rsidR="00AA6324" w:rsidRPr="00CA3519" w14:paraId="33CF185A"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62CFFB50" w14:textId="77777777" w:rsidR="00AA6324" w:rsidRPr="00CA3519" w:rsidRDefault="00AA6324" w:rsidP="00AA6324">
            <w:pPr>
              <w:rPr>
                <w:sz w:val="17"/>
                <w:szCs w:val="17"/>
              </w:rPr>
            </w:pPr>
            <w:r w:rsidRPr="00CA3519">
              <w:rPr>
                <w:sz w:val="17"/>
                <w:szCs w:val="17"/>
              </w:rPr>
              <w:t xml:space="preserve">Juli 2017 </w:t>
            </w:r>
          </w:p>
        </w:tc>
        <w:tc>
          <w:tcPr>
            <w:tcW w:w="2113" w:type="dxa"/>
            <w:tcBorders>
              <w:top w:val="single" w:sz="4" w:space="0" w:color="auto"/>
              <w:left w:val="single" w:sz="4" w:space="0" w:color="auto"/>
              <w:bottom w:val="single" w:sz="4" w:space="0" w:color="auto"/>
              <w:right w:val="single" w:sz="4" w:space="0" w:color="auto"/>
            </w:tcBorders>
            <w:vAlign w:val="center"/>
          </w:tcPr>
          <w:p w14:paraId="5FE92572" w14:textId="77777777" w:rsidR="00AA6324" w:rsidRPr="00CA3519" w:rsidRDefault="00AA6324" w:rsidP="007E1C5E">
            <w:pPr>
              <w:jc w:val="center"/>
              <w:rPr>
                <w:sz w:val="17"/>
                <w:szCs w:val="17"/>
              </w:rPr>
            </w:pPr>
            <w:r w:rsidRPr="00CA3519">
              <w:rPr>
                <w:sz w:val="17"/>
                <w:szCs w:val="17"/>
              </w:rPr>
              <w:t>14.07.2017 - Ausg. 1</w:t>
            </w:r>
          </w:p>
        </w:tc>
        <w:tc>
          <w:tcPr>
            <w:tcW w:w="1085" w:type="dxa"/>
            <w:tcBorders>
              <w:top w:val="single" w:sz="4" w:space="0" w:color="auto"/>
              <w:left w:val="single" w:sz="4" w:space="0" w:color="auto"/>
              <w:bottom w:val="single" w:sz="4" w:space="0" w:color="auto"/>
              <w:right w:val="single" w:sz="4" w:space="0" w:color="auto"/>
            </w:tcBorders>
            <w:vAlign w:val="center"/>
          </w:tcPr>
          <w:p w14:paraId="0E4E6A26" w14:textId="77777777" w:rsidR="00AA6324" w:rsidRPr="00CA3519" w:rsidRDefault="00AA6324" w:rsidP="00AA6324">
            <w:pPr>
              <w:jc w:val="center"/>
              <w:rPr>
                <w:sz w:val="17"/>
                <w:szCs w:val="17"/>
              </w:rPr>
            </w:pPr>
            <w:r w:rsidRPr="00CA3519">
              <w:rPr>
                <w:sz w:val="17"/>
                <w:szCs w:val="17"/>
              </w:rPr>
              <w:t>- 0,581</w:t>
            </w:r>
          </w:p>
        </w:tc>
        <w:tc>
          <w:tcPr>
            <w:tcW w:w="1086" w:type="dxa"/>
            <w:tcBorders>
              <w:top w:val="single" w:sz="4" w:space="0" w:color="auto"/>
              <w:left w:val="single" w:sz="4" w:space="0" w:color="auto"/>
              <w:bottom w:val="single" w:sz="4" w:space="0" w:color="auto"/>
              <w:right w:val="single" w:sz="4" w:space="0" w:color="auto"/>
            </w:tcBorders>
            <w:vAlign w:val="center"/>
          </w:tcPr>
          <w:p w14:paraId="714ADE36" w14:textId="77777777" w:rsidR="00AA6324" w:rsidRPr="00CA3519" w:rsidRDefault="00AA6324" w:rsidP="00AA6324">
            <w:pPr>
              <w:jc w:val="center"/>
              <w:rPr>
                <w:sz w:val="17"/>
                <w:szCs w:val="17"/>
              </w:rPr>
            </w:pPr>
            <w:r w:rsidRPr="00CA3519">
              <w:rPr>
                <w:sz w:val="17"/>
                <w:szCs w:val="17"/>
              </w:rPr>
              <w:t>- 0,540</w:t>
            </w:r>
          </w:p>
        </w:tc>
        <w:tc>
          <w:tcPr>
            <w:tcW w:w="1085" w:type="dxa"/>
            <w:tcBorders>
              <w:top w:val="single" w:sz="4" w:space="0" w:color="auto"/>
              <w:left w:val="single" w:sz="4" w:space="0" w:color="auto"/>
              <w:bottom w:val="single" w:sz="4" w:space="0" w:color="auto"/>
              <w:right w:val="single" w:sz="4" w:space="0" w:color="auto"/>
            </w:tcBorders>
            <w:vAlign w:val="center"/>
          </w:tcPr>
          <w:p w14:paraId="603BB67A" w14:textId="77777777" w:rsidR="00AA6324" w:rsidRPr="00CA3519" w:rsidRDefault="00AA6324" w:rsidP="00AA6324">
            <w:pPr>
              <w:jc w:val="center"/>
              <w:rPr>
                <w:sz w:val="17"/>
                <w:szCs w:val="17"/>
              </w:rPr>
            </w:pPr>
            <w:r w:rsidRPr="00CA3519">
              <w:rPr>
                <w:sz w:val="17"/>
                <w:szCs w:val="17"/>
              </w:rPr>
              <w:t>- 0,475</w:t>
            </w:r>
          </w:p>
        </w:tc>
        <w:tc>
          <w:tcPr>
            <w:tcW w:w="1086" w:type="dxa"/>
            <w:tcBorders>
              <w:top w:val="single" w:sz="4" w:space="0" w:color="auto"/>
              <w:left w:val="single" w:sz="4" w:space="0" w:color="auto"/>
              <w:bottom w:val="single" w:sz="4" w:space="0" w:color="auto"/>
              <w:right w:val="single" w:sz="4" w:space="0" w:color="auto"/>
            </w:tcBorders>
            <w:vAlign w:val="center"/>
          </w:tcPr>
          <w:p w14:paraId="6DD43FB5" w14:textId="77777777" w:rsidR="00AA6324" w:rsidRPr="00CA3519" w:rsidRDefault="00AA6324" w:rsidP="00AA6324">
            <w:pPr>
              <w:jc w:val="center"/>
              <w:rPr>
                <w:sz w:val="17"/>
                <w:szCs w:val="17"/>
              </w:rPr>
            </w:pPr>
            <w:r w:rsidRPr="00CA3519">
              <w:rPr>
                <w:sz w:val="17"/>
                <w:szCs w:val="17"/>
              </w:rPr>
              <w:t>- 0,367</w:t>
            </w:r>
          </w:p>
        </w:tc>
        <w:tc>
          <w:tcPr>
            <w:tcW w:w="1086" w:type="dxa"/>
            <w:tcBorders>
              <w:top w:val="single" w:sz="4" w:space="0" w:color="auto"/>
              <w:left w:val="single" w:sz="4" w:space="0" w:color="auto"/>
              <w:bottom w:val="single" w:sz="4" w:space="0" w:color="auto"/>
              <w:right w:val="single" w:sz="4" w:space="0" w:color="auto"/>
            </w:tcBorders>
            <w:vAlign w:val="center"/>
          </w:tcPr>
          <w:p w14:paraId="029CF759" w14:textId="77777777" w:rsidR="00AA6324" w:rsidRPr="00CA3519" w:rsidRDefault="00AA6324" w:rsidP="00AA6324">
            <w:pPr>
              <w:jc w:val="center"/>
              <w:rPr>
                <w:sz w:val="17"/>
                <w:szCs w:val="17"/>
              </w:rPr>
            </w:pPr>
            <w:r w:rsidRPr="00CA3519">
              <w:rPr>
                <w:sz w:val="17"/>
                <w:szCs w:val="17"/>
              </w:rPr>
              <w:t>- 0,213</w:t>
            </w:r>
          </w:p>
        </w:tc>
        <w:tc>
          <w:tcPr>
            <w:tcW w:w="1085" w:type="dxa"/>
            <w:tcBorders>
              <w:top w:val="single" w:sz="4" w:space="0" w:color="auto"/>
              <w:left w:val="single" w:sz="4" w:space="0" w:color="auto"/>
              <w:bottom w:val="single" w:sz="4" w:space="0" w:color="auto"/>
              <w:right w:val="single" w:sz="4" w:space="0" w:color="auto"/>
            </w:tcBorders>
            <w:vAlign w:val="center"/>
          </w:tcPr>
          <w:p w14:paraId="5AC9B6B8" w14:textId="77777777" w:rsidR="00AA6324" w:rsidRPr="00CA3519" w:rsidRDefault="00AA6324" w:rsidP="00AA6324">
            <w:pPr>
              <w:jc w:val="center"/>
              <w:rPr>
                <w:sz w:val="17"/>
                <w:szCs w:val="17"/>
              </w:rPr>
            </w:pPr>
            <w:r w:rsidRPr="00CA3519">
              <w:rPr>
                <w:sz w:val="17"/>
                <w:szCs w:val="17"/>
              </w:rPr>
              <w:t>- 0,017</w:t>
            </w:r>
          </w:p>
        </w:tc>
        <w:tc>
          <w:tcPr>
            <w:tcW w:w="1086" w:type="dxa"/>
            <w:tcBorders>
              <w:top w:val="single" w:sz="4" w:space="0" w:color="auto"/>
              <w:left w:val="single" w:sz="4" w:space="0" w:color="auto"/>
              <w:bottom w:val="single" w:sz="4" w:space="0" w:color="auto"/>
              <w:right w:val="single" w:sz="4" w:space="0" w:color="auto"/>
            </w:tcBorders>
            <w:vAlign w:val="center"/>
          </w:tcPr>
          <w:p w14:paraId="0773A331" w14:textId="77777777" w:rsidR="00AA6324" w:rsidRPr="00CA3519" w:rsidRDefault="00AA6324" w:rsidP="00AA6324">
            <w:pPr>
              <w:jc w:val="center"/>
              <w:rPr>
                <w:sz w:val="17"/>
                <w:szCs w:val="17"/>
              </w:rPr>
            </w:pPr>
            <w:r w:rsidRPr="00CA3519">
              <w:rPr>
                <w:sz w:val="17"/>
                <w:szCs w:val="17"/>
              </w:rPr>
              <w:t>0,196</w:t>
            </w:r>
          </w:p>
        </w:tc>
        <w:tc>
          <w:tcPr>
            <w:tcW w:w="1085" w:type="dxa"/>
            <w:tcBorders>
              <w:top w:val="single" w:sz="4" w:space="0" w:color="auto"/>
              <w:left w:val="single" w:sz="4" w:space="0" w:color="auto"/>
              <w:bottom w:val="single" w:sz="4" w:space="0" w:color="auto"/>
              <w:right w:val="single" w:sz="4" w:space="0" w:color="auto"/>
            </w:tcBorders>
            <w:vAlign w:val="center"/>
          </w:tcPr>
          <w:p w14:paraId="7A4839F5" w14:textId="77777777" w:rsidR="00AA6324" w:rsidRPr="00CA3519" w:rsidRDefault="00AA6324" w:rsidP="00AA6324">
            <w:pPr>
              <w:jc w:val="center"/>
              <w:rPr>
                <w:sz w:val="17"/>
                <w:szCs w:val="17"/>
              </w:rPr>
            </w:pPr>
            <w:r w:rsidRPr="00CA3519">
              <w:rPr>
                <w:sz w:val="17"/>
                <w:szCs w:val="17"/>
              </w:rPr>
              <w:t>0,393</w:t>
            </w:r>
          </w:p>
        </w:tc>
        <w:tc>
          <w:tcPr>
            <w:tcW w:w="1086" w:type="dxa"/>
            <w:tcBorders>
              <w:top w:val="single" w:sz="4" w:space="0" w:color="auto"/>
              <w:left w:val="single" w:sz="4" w:space="0" w:color="auto"/>
              <w:bottom w:val="single" w:sz="4" w:space="0" w:color="auto"/>
              <w:right w:val="single" w:sz="4" w:space="0" w:color="auto"/>
            </w:tcBorders>
            <w:vAlign w:val="center"/>
          </w:tcPr>
          <w:p w14:paraId="3FE45DD2" w14:textId="77777777" w:rsidR="00AA6324" w:rsidRPr="00CA3519" w:rsidRDefault="00AA6324" w:rsidP="00AA6324">
            <w:pPr>
              <w:jc w:val="center"/>
              <w:rPr>
                <w:sz w:val="17"/>
                <w:szCs w:val="17"/>
              </w:rPr>
            </w:pPr>
            <w:r w:rsidRPr="00CA3519">
              <w:rPr>
                <w:sz w:val="17"/>
                <w:szCs w:val="17"/>
              </w:rPr>
              <w:t>0,560</w:t>
            </w:r>
          </w:p>
        </w:tc>
        <w:tc>
          <w:tcPr>
            <w:tcW w:w="1086" w:type="dxa"/>
            <w:tcBorders>
              <w:top w:val="single" w:sz="4" w:space="0" w:color="auto"/>
              <w:left w:val="single" w:sz="4" w:space="0" w:color="auto"/>
              <w:bottom w:val="single" w:sz="4" w:space="0" w:color="auto"/>
              <w:right w:val="single" w:sz="4" w:space="0" w:color="auto"/>
            </w:tcBorders>
            <w:vAlign w:val="center"/>
          </w:tcPr>
          <w:p w14:paraId="36F017D5" w14:textId="77777777" w:rsidR="00AA6324" w:rsidRPr="00CA3519" w:rsidRDefault="00AA6324" w:rsidP="00AA6324">
            <w:pPr>
              <w:ind w:right="-41"/>
              <w:jc w:val="center"/>
              <w:rPr>
                <w:sz w:val="17"/>
                <w:szCs w:val="17"/>
              </w:rPr>
            </w:pPr>
            <w:r w:rsidRPr="00CA3519">
              <w:rPr>
                <w:sz w:val="17"/>
                <w:szCs w:val="17"/>
              </w:rPr>
              <w:t>0,695</w:t>
            </w:r>
          </w:p>
        </w:tc>
      </w:tr>
      <w:tr w:rsidR="00AA6324" w:rsidRPr="00CA3519" w14:paraId="5EBBD780"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2AE60399" w14:textId="77777777" w:rsidR="00AA6324" w:rsidRPr="00CA3519" w:rsidRDefault="00AA6324" w:rsidP="00AA6324">
            <w:pPr>
              <w:rPr>
                <w:sz w:val="17"/>
                <w:szCs w:val="17"/>
              </w:rPr>
            </w:pPr>
            <w:r w:rsidRPr="00CA3519">
              <w:rPr>
                <w:sz w:val="17"/>
                <w:szCs w:val="17"/>
              </w:rPr>
              <w:t xml:space="preserve">August 2017 </w:t>
            </w:r>
          </w:p>
        </w:tc>
        <w:tc>
          <w:tcPr>
            <w:tcW w:w="2113" w:type="dxa"/>
            <w:tcBorders>
              <w:top w:val="single" w:sz="4" w:space="0" w:color="auto"/>
              <w:left w:val="single" w:sz="4" w:space="0" w:color="auto"/>
              <w:bottom w:val="single" w:sz="4" w:space="0" w:color="auto"/>
              <w:right w:val="single" w:sz="4" w:space="0" w:color="auto"/>
            </w:tcBorders>
            <w:vAlign w:val="center"/>
          </w:tcPr>
          <w:p w14:paraId="5524C252" w14:textId="77777777" w:rsidR="00AA6324" w:rsidRPr="00CA3519" w:rsidRDefault="00AA6324" w:rsidP="007E1C5E">
            <w:pPr>
              <w:jc w:val="center"/>
              <w:rPr>
                <w:sz w:val="17"/>
                <w:szCs w:val="17"/>
              </w:rPr>
            </w:pPr>
            <w:r w:rsidRPr="00CA3519">
              <w:rPr>
                <w:sz w:val="17"/>
                <w:szCs w:val="17"/>
              </w:rPr>
              <w:t>18.08.2017 - Ausg. 2</w:t>
            </w:r>
          </w:p>
        </w:tc>
        <w:tc>
          <w:tcPr>
            <w:tcW w:w="1085" w:type="dxa"/>
            <w:tcBorders>
              <w:top w:val="single" w:sz="4" w:space="0" w:color="auto"/>
              <w:left w:val="single" w:sz="4" w:space="0" w:color="auto"/>
              <w:bottom w:val="single" w:sz="4" w:space="0" w:color="auto"/>
              <w:right w:val="single" w:sz="4" w:space="0" w:color="auto"/>
            </w:tcBorders>
            <w:vAlign w:val="center"/>
          </w:tcPr>
          <w:p w14:paraId="7E3FB766" w14:textId="77777777" w:rsidR="00AA6324" w:rsidRPr="00CA3519" w:rsidRDefault="00AA6324" w:rsidP="00AA6324">
            <w:pPr>
              <w:jc w:val="center"/>
              <w:rPr>
                <w:sz w:val="17"/>
                <w:szCs w:val="17"/>
              </w:rPr>
            </w:pPr>
            <w:r w:rsidRPr="00CA3519">
              <w:rPr>
                <w:sz w:val="17"/>
                <w:szCs w:val="17"/>
              </w:rPr>
              <w:t>- 0,553</w:t>
            </w:r>
          </w:p>
        </w:tc>
        <w:tc>
          <w:tcPr>
            <w:tcW w:w="1086" w:type="dxa"/>
            <w:tcBorders>
              <w:top w:val="single" w:sz="4" w:space="0" w:color="auto"/>
              <w:left w:val="single" w:sz="4" w:space="0" w:color="auto"/>
              <w:bottom w:val="single" w:sz="4" w:space="0" w:color="auto"/>
              <w:right w:val="single" w:sz="4" w:space="0" w:color="auto"/>
            </w:tcBorders>
            <w:vAlign w:val="center"/>
          </w:tcPr>
          <w:p w14:paraId="6D6BCEAB" w14:textId="77777777" w:rsidR="00AA6324" w:rsidRPr="00CA3519" w:rsidRDefault="00AA6324" w:rsidP="00AA6324">
            <w:pPr>
              <w:jc w:val="center"/>
              <w:rPr>
                <w:sz w:val="17"/>
                <w:szCs w:val="17"/>
              </w:rPr>
            </w:pPr>
            <w:r w:rsidRPr="00CA3519">
              <w:rPr>
                <w:sz w:val="17"/>
                <w:szCs w:val="17"/>
              </w:rPr>
              <w:t>- 0,511</w:t>
            </w:r>
          </w:p>
        </w:tc>
        <w:tc>
          <w:tcPr>
            <w:tcW w:w="1085" w:type="dxa"/>
            <w:tcBorders>
              <w:top w:val="single" w:sz="4" w:space="0" w:color="auto"/>
              <w:left w:val="single" w:sz="4" w:space="0" w:color="auto"/>
              <w:bottom w:val="single" w:sz="4" w:space="0" w:color="auto"/>
              <w:right w:val="single" w:sz="4" w:space="0" w:color="auto"/>
            </w:tcBorders>
            <w:vAlign w:val="center"/>
          </w:tcPr>
          <w:p w14:paraId="5BE477D2" w14:textId="77777777" w:rsidR="00AA6324" w:rsidRPr="00CA3519" w:rsidRDefault="00AA6324" w:rsidP="00AA6324">
            <w:pPr>
              <w:jc w:val="center"/>
              <w:rPr>
                <w:sz w:val="17"/>
                <w:szCs w:val="17"/>
              </w:rPr>
            </w:pPr>
            <w:r w:rsidRPr="00CA3519">
              <w:rPr>
                <w:sz w:val="17"/>
                <w:szCs w:val="17"/>
              </w:rPr>
              <w:t>- 0,438</w:t>
            </w:r>
          </w:p>
        </w:tc>
        <w:tc>
          <w:tcPr>
            <w:tcW w:w="1086" w:type="dxa"/>
            <w:tcBorders>
              <w:top w:val="single" w:sz="4" w:space="0" w:color="auto"/>
              <w:left w:val="single" w:sz="4" w:space="0" w:color="auto"/>
              <w:bottom w:val="single" w:sz="4" w:space="0" w:color="auto"/>
              <w:right w:val="single" w:sz="4" w:space="0" w:color="auto"/>
            </w:tcBorders>
            <w:vAlign w:val="center"/>
          </w:tcPr>
          <w:p w14:paraId="66D59D50" w14:textId="77777777" w:rsidR="00AA6324" w:rsidRPr="00CA3519" w:rsidRDefault="00AA6324" w:rsidP="00AA6324">
            <w:pPr>
              <w:jc w:val="center"/>
              <w:rPr>
                <w:sz w:val="17"/>
                <w:szCs w:val="17"/>
              </w:rPr>
            </w:pPr>
            <w:r w:rsidRPr="00CA3519">
              <w:rPr>
                <w:sz w:val="17"/>
                <w:szCs w:val="17"/>
              </w:rPr>
              <w:t>- 0,311</w:t>
            </w:r>
          </w:p>
        </w:tc>
        <w:tc>
          <w:tcPr>
            <w:tcW w:w="1086" w:type="dxa"/>
            <w:tcBorders>
              <w:top w:val="single" w:sz="4" w:space="0" w:color="auto"/>
              <w:left w:val="single" w:sz="4" w:space="0" w:color="auto"/>
              <w:bottom w:val="single" w:sz="4" w:space="0" w:color="auto"/>
              <w:right w:val="single" w:sz="4" w:space="0" w:color="auto"/>
            </w:tcBorders>
            <w:vAlign w:val="center"/>
          </w:tcPr>
          <w:p w14:paraId="2C00E0BA" w14:textId="77777777" w:rsidR="00AA6324" w:rsidRPr="00CA3519" w:rsidRDefault="00AA6324" w:rsidP="00AA6324">
            <w:pPr>
              <w:jc w:val="center"/>
              <w:rPr>
                <w:sz w:val="17"/>
                <w:szCs w:val="17"/>
              </w:rPr>
            </w:pPr>
            <w:r w:rsidRPr="00CA3519">
              <w:rPr>
                <w:sz w:val="17"/>
                <w:szCs w:val="17"/>
              </w:rPr>
              <w:t>- 0,130</w:t>
            </w:r>
          </w:p>
        </w:tc>
        <w:tc>
          <w:tcPr>
            <w:tcW w:w="1085" w:type="dxa"/>
            <w:tcBorders>
              <w:top w:val="single" w:sz="4" w:space="0" w:color="auto"/>
              <w:left w:val="single" w:sz="4" w:space="0" w:color="auto"/>
              <w:bottom w:val="single" w:sz="4" w:space="0" w:color="auto"/>
              <w:right w:val="single" w:sz="4" w:space="0" w:color="auto"/>
            </w:tcBorders>
            <w:vAlign w:val="center"/>
          </w:tcPr>
          <w:p w14:paraId="38BA112B" w14:textId="77777777" w:rsidR="00AA6324" w:rsidRPr="00CA3519" w:rsidRDefault="00AA6324" w:rsidP="00AA6324">
            <w:pPr>
              <w:jc w:val="center"/>
              <w:rPr>
                <w:sz w:val="17"/>
                <w:szCs w:val="17"/>
              </w:rPr>
            </w:pPr>
            <w:r w:rsidRPr="00CA3519">
              <w:rPr>
                <w:sz w:val="17"/>
                <w:szCs w:val="17"/>
              </w:rPr>
              <w:t>0,093</w:t>
            </w:r>
          </w:p>
        </w:tc>
        <w:tc>
          <w:tcPr>
            <w:tcW w:w="1086" w:type="dxa"/>
            <w:tcBorders>
              <w:top w:val="single" w:sz="4" w:space="0" w:color="auto"/>
              <w:left w:val="single" w:sz="4" w:space="0" w:color="auto"/>
              <w:bottom w:val="single" w:sz="4" w:space="0" w:color="auto"/>
              <w:right w:val="single" w:sz="4" w:space="0" w:color="auto"/>
            </w:tcBorders>
            <w:vAlign w:val="center"/>
          </w:tcPr>
          <w:p w14:paraId="5531710B" w14:textId="77777777" w:rsidR="00AA6324" w:rsidRPr="00CA3519" w:rsidRDefault="00AA6324" w:rsidP="00AA6324">
            <w:pPr>
              <w:jc w:val="center"/>
              <w:rPr>
                <w:sz w:val="17"/>
                <w:szCs w:val="17"/>
              </w:rPr>
            </w:pPr>
            <w:r w:rsidRPr="00CA3519">
              <w:rPr>
                <w:sz w:val="17"/>
                <w:szCs w:val="17"/>
              </w:rPr>
              <w:t>0,327</w:t>
            </w:r>
          </w:p>
        </w:tc>
        <w:tc>
          <w:tcPr>
            <w:tcW w:w="1085" w:type="dxa"/>
            <w:tcBorders>
              <w:top w:val="single" w:sz="4" w:space="0" w:color="auto"/>
              <w:left w:val="single" w:sz="4" w:space="0" w:color="auto"/>
              <w:bottom w:val="single" w:sz="4" w:space="0" w:color="auto"/>
              <w:right w:val="single" w:sz="4" w:space="0" w:color="auto"/>
            </w:tcBorders>
            <w:vAlign w:val="center"/>
          </w:tcPr>
          <w:p w14:paraId="64CA8557" w14:textId="77777777" w:rsidR="00AA6324" w:rsidRPr="00CA3519" w:rsidRDefault="00AA6324" w:rsidP="00AA6324">
            <w:pPr>
              <w:jc w:val="center"/>
              <w:rPr>
                <w:sz w:val="17"/>
                <w:szCs w:val="17"/>
              </w:rPr>
            </w:pPr>
            <w:r w:rsidRPr="00CA3519">
              <w:rPr>
                <w:sz w:val="17"/>
                <w:szCs w:val="17"/>
              </w:rPr>
              <w:t>0,530</w:t>
            </w:r>
          </w:p>
        </w:tc>
        <w:tc>
          <w:tcPr>
            <w:tcW w:w="1086" w:type="dxa"/>
            <w:tcBorders>
              <w:top w:val="single" w:sz="4" w:space="0" w:color="auto"/>
              <w:left w:val="single" w:sz="4" w:space="0" w:color="auto"/>
              <w:bottom w:val="single" w:sz="4" w:space="0" w:color="auto"/>
              <w:right w:val="single" w:sz="4" w:space="0" w:color="auto"/>
            </w:tcBorders>
            <w:vAlign w:val="center"/>
          </w:tcPr>
          <w:p w14:paraId="486A4C59" w14:textId="77777777" w:rsidR="00AA6324" w:rsidRPr="00CA3519" w:rsidRDefault="00AA6324" w:rsidP="00AA6324">
            <w:pPr>
              <w:jc w:val="center"/>
              <w:rPr>
                <w:sz w:val="17"/>
                <w:szCs w:val="17"/>
              </w:rPr>
            </w:pPr>
            <w:r w:rsidRPr="00CA3519">
              <w:rPr>
                <w:sz w:val="17"/>
                <w:szCs w:val="17"/>
              </w:rPr>
              <w:t>0,694</w:t>
            </w:r>
          </w:p>
        </w:tc>
        <w:tc>
          <w:tcPr>
            <w:tcW w:w="1086" w:type="dxa"/>
            <w:tcBorders>
              <w:top w:val="single" w:sz="4" w:space="0" w:color="auto"/>
              <w:left w:val="single" w:sz="4" w:space="0" w:color="auto"/>
              <w:bottom w:val="single" w:sz="4" w:space="0" w:color="auto"/>
              <w:right w:val="single" w:sz="4" w:space="0" w:color="auto"/>
            </w:tcBorders>
            <w:vAlign w:val="center"/>
          </w:tcPr>
          <w:p w14:paraId="30FFC1D5" w14:textId="77777777" w:rsidR="00AA6324" w:rsidRPr="00CA3519" w:rsidRDefault="00AA6324" w:rsidP="00AA6324">
            <w:pPr>
              <w:ind w:right="-41"/>
              <w:jc w:val="center"/>
              <w:rPr>
                <w:sz w:val="17"/>
                <w:szCs w:val="17"/>
              </w:rPr>
            </w:pPr>
            <w:r w:rsidRPr="00CA3519">
              <w:rPr>
                <w:sz w:val="17"/>
                <w:szCs w:val="17"/>
              </w:rPr>
              <w:t>0,823</w:t>
            </w:r>
          </w:p>
        </w:tc>
      </w:tr>
      <w:tr w:rsidR="00AA6324" w:rsidRPr="00CA3519" w14:paraId="74F94268"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67474282" w14:textId="77777777" w:rsidR="00AA6324" w:rsidRPr="00CA3519" w:rsidRDefault="00AA6324" w:rsidP="00AA6324">
            <w:pPr>
              <w:rPr>
                <w:sz w:val="17"/>
                <w:szCs w:val="17"/>
              </w:rPr>
            </w:pPr>
            <w:r w:rsidRPr="00CA3519">
              <w:rPr>
                <w:sz w:val="17"/>
                <w:szCs w:val="17"/>
              </w:rPr>
              <w:t>Septem</w:t>
            </w:r>
            <w:r w:rsidRPr="00CA3519">
              <w:rPr>
                <w:sz w:val="17"/>
                <w:szCs w:val="17"/>
              </w:rPr>
              <w:softHyphen/>
              <w:t xml:space="preserve">ber 2017 </w:t>
            </w:r>
          </w:p>
        </w:tc>
        <w:tc>
          <w:tcPr>
            <w:tcW w:w="2113" w:type="dxa"/>
            <w:tcBorders>
              <w:top w:val="single" w:sz="4" w:space="0" w:color="auto"/>
              <w:left w:val="single" w:sz="4" w:space="0" w:color="auto"/>
              <w:bottom w:val="single" w:sz="4" w:space="0" w:color="auto"/>
              <w:right w:val="single" w:sz="4" w:space="0" w:color="auto"/>
            </w:tcBorders>
            <w:vAlign w:val="center"/>
          </w:tcPr>
          <w:p w14:paraId="33CF5C7B" w14:textId="77777777" w:rsidR="00AA6324" w:rsidRPr="00CA3519" w:rsidRDefault="00AA6324" w:rsidP="007E1C5E">
            <w:pPr>
              <w:jc w:val="center"/>
              <w:rPr>
                <w:sz w:val="17"/>
                <w:szCs w:val="17"/>
              </w:rPr>
            </w:pPr>
            <w:r w:rsidRPr="00CA3519">
              <w:rPr>
                <w:sz w:val="17"/>
                <w:szCs w:val="17"/>
              </w:rPr>
              <w:t>13.09.2017 - Ausg. 1</w:t>
            </w:r>
          </w:p>
        </w:tc>
        <w:tc>
          <w:tcPr>
            <w:tcW w:w="1085" w:type="dxa"/>
            <w:tcBorders>
              <w:top w:val="single" w:sz="4" w:space="0" w:color="auto"/>
              <w:left w:val="single" w:sz="4" w:space="0" w:color="auto"/>
              <w:bottom w:val="single" w:sz="4" w:space="0" w:color="auto"/>
              <w:right w:val="single" w:sz="4" w:space="0" w:color="auto"/>
            </w:tcBorders>
            <w:vAlign w:val="center"/>
          </w:tcPr>
          <w:p w14:paraId="351B99B3" w14:textId="77777777" w:rsidR="00AA6324" w:rsidRPr="00CA3519" w:rsidRDefault="00AA6324" w:rsidP="00AA6324">
            <w:pPr>
              <w:jc w:val="center"/>
              <w:rPr>
                <w:sz w:val="17"/>
                <w:szCs w:val="17"/>
              </w:rPr>
            </w:pPr>
            <w:r w:rsidRPr="00CA3519">
              <w:rPr>
                <w:sz w:val="17"/>
                <w:szCs w:val="17"/>
              </w:rPr>
              <w:t>- 0,569</w:t>
            </w:r>
          </w:p>
        </w:tc>
        <w:tc>
          <w:tcPr>
            <w:tcW w:w="1086" w:type="dxa"/>
            <w:tcBorders>
              <w:top w:val="single" w:sz="4" w:space="0" w:color="auto"/>
              <w:left w:val="single" w:sz="4" w:space="0" w:color="auto"/>
              <w:bottom w:val="single" w:sz="4" w:space="0" w:color="auto"/>
              <w:right w:val="single" w:sz="4" w:space="0" w:color="auto"/>
            </w:tcBorders>
            <w:vAlign w:val="center"/>
          </w:tcPr>
          <w:p w14:paraId="7EE438A6" w14:textId="77777777" w:rsidR="00AA6324" w:rsidRPr="00CA3519" w:rsidRDefault="00AA6324" w:rsidP="00AA6324">
            <w:pPr>
              <w:jc w:val="center"/>
              <w:rPr>
                <w:sz w:val="17"/>
                <w:szCs w:val="17"/>
              </w:rPr>
            </w:pPr>
            <w:r w:rsidRPr="00CA3519">
              <w:rPr>
                <w:sz w:val="17"/>
                <w:szCs w:val="17"/>
              </w:rPr>
              <w:t>- 0,561</w:t>
            </w:r>
          </w:p>
        </w:tc>
        <w:tc>
          <w:tcPr>
            <w:tcW w:w="1085" w:type="dxa"/>
            <w:tcBorders>
              <w:top w:val="single" w:sz="4" w:space="0" w:color="auto"/>
              <w:left w:val="single" w:sz="4" w:space="0" w:color="auto"/>
              <w:bottom w:val="single" w:sz="4" w:space="0" w:color="auto"/>
              <w:right w:val="single" w:sz="4" w:space="0" w:color="auto"/>
            </w:tcBorders>
            <w:vAlign w:val="center"/>
          </w:tcPr>
          <w:p w14:paraId="145E233B" w14:textId="77777777" w:rsidR="00AA6324" w:rsidRPr="00CA3519" w:rsidRDefault="00AA6324" w:rsidP="00AA6324">
            <w:pPr>
              <w:jc w:val="center"/>
              <w:rPr>
                <w:sz w:val="17"/>
                <w:szCs w:val="17"/>
              </w:rPr>
            </w:pPr>
            <w:r w:rsidRPr="00CA3519">
              <w:rPr>
                <w:sz w:val="17"/>
                <w:szCs w:val="17"/>
              </w:rPr>
              <w:t>- 0,520</w:t>
            </w:r>
          </w:p>
        </w:tc>
        <w:tc>
          <w:tcPr>
            <w:tcW w:w="1086" w:type="dxa"/>
            <w:tcBorders>
              <w:top w:val="single" w:sz="4" w:space="0" w:color="auto"/>
              <w:left w:val="single" w:sz="4" w:space="0" w:color="auto"/>
              <w:bottom w:val="single" w:sz="4" w:space="0" w:color="auto"/>
              <w:right w:val="single" w:sz="4" w:space="0" w:color="auto"/>
            </w:tcBorders>
            <w:vAlign w:val="center"/>
          </w:tcPr>
          <w:p w14:paraId="7A7A49B3" w14:textId="77777777" w:rsidR="00AA6324" w:rsidRPr="00CA3519" w:rsidRDefault="00AA6324" w:rsidP="00AA6324">
            <w:pPr>
              <w:jc w:val="center"/>
              <w:rPr>
                <w:sz w:val="17"/>
                <w:szCs w:val="17"/>
              </w:rPr>
            </w:pPr>
            <w:r w:rsidRPr="00CA3519">
              <w:rPr>
                <w:sz w:val="17"/>
                <w:szCs w:val="17"/>
              </w:rPr>
              <w:t>- 0,413</w:t>
            </w:r>
          </w:p>
        </w:tc>
        <w:tc>
          <w:tcPr>
            <w:tcW w:w="1086" w:type="dxa"/>
            <w:tcBorders>
              <w:top w:val="single" w:sz="4" w:space="0" w:color="auto"/>
              <w:left w:val="single" w:sz="4" w:space="0" w:color="auto"/>
              <w:bottom w:val="single" w:sz="4" w:space="0" w:color="auto"/>
              <w:right w:val="single" w:sz="4" w:space="0" w:color="auto"/>
            </w:tcBorders>
            <w:vAlign w:val="center"/>
          </w:tcPr>
          <w:p w14:paraId="406A4BDE" w14:textId="77777777" w:rsidR="00AA6324" w:rsidRPr="00CA3519" w:rsidRDefault="00AA6324" w:rsidP="00AA6324">
            <w:pPr>
              <w:jc w:val="center"/>
              <w:rPr>
                <w:sz w:val="17"/>
                <w:szCs w:val="17"/>
              </w:rPr>
            </w:pPr>
            <w:r w:rsidRPr="00CA3519">
              <w:rPr>
                <w:sz w:val="17"/>
                <w:szCs w:val="17"/>
              </w:rPr>
              <w:t>- 0,244</w:t>
            </w:r>
          </w:p>
        </w:tc>
        <w:tc>
          <w:tcPr>
            <w:tcW w:w="1085" w:type="dxa"/>
            <w:tcBorders>
              <w:top w:val="single" w:sz="4" w:space="0" w:color="auto"/>
              <w:left w:val="single" w:sz="4" w:space="0" w:color="auto"/>
              <w:bottom w:val="single" w:sz="4" w:space="0" w:color="auto"/>
              <w:right w:val="single" w:sz="4" w:space="0" w:color="auto"/>
            </w:tcBorders>
            <w:vAlign w:val="center"/>
          </w:tcPr>
          <w:p w14:paraId="48ED5698" w14:textId="77777777" w:rsidR="00AA6324" w:rsidRPr="00CA3519" w:rsidRDefault="00AA6324" w:rsidP="00AA6324">
            <w:pPr>
              <w:jc w:val="center"/>
              <w:rPr>
                <w:sz w:val="17"/>
                <w:szCs w:val="17"/>
              </w:rPr>
            </w:pPr>
            <w:r w:rsidRPr="00CA3519">
              <w:rPr>
                <w:sz w:val="17"/>
                <w:szCs w:val="17"/>
              </w:rPr>
              <w:t>- 0,016</w:t>
            </w:r>
          </w:p>
        </w:tc>
        <w:tc>
          <w:tcPr>
            <w:tcW w:w="1086" w:type="dxa"/>
            <w:tcBorders>
              <w:top w:val="single" w:sz="4" w:space="0" w:color="auto"/>
              <w:left w:val="single" w:sz="4" w:space="0" w:color="auto"/>
              <w:bottom w:val="single" w:sz="4" w:space="0" w:color="auto"/>
              <w:right w:val="single" w:sz="4" w:space="0" w:color="auto"/>
            </w:tcBorders>
            <w:vAlign w:val="center"/>
          </w:tcPr>
          <w:p w14:paraId="541FE1FB" w14:textId="77777777" w:rsidR="00AA6324" w:rsidRPr="00CA3519" w:rsidRDefault="00AA6324" w:rsidP="00AA6324">
            <w:pPr>
              <w:jc w:val="center"/>
              <w:rPr>
                <w:sz w:val="17"/>
                <w:szCs w:val="17"/>
              </w:rPr>
            </w:pPr>
            <w:r w:rsidRPr="00CA3519">
              <w:rPr>
                <w:sz w:val="17"/>
                <w:szCs w:val="17"/>
              </w:rPr>
              <w:t>0,224</w:t>
            </w:r>
          </w:p>
        </w:tc>
        <w:tc>
          <w:tcPr>
            <w:tcW w:w="1085" w:type="dxa"/>
            <w:tcBorders>
              <w:top w:val="single" w:sz="4" w:space="0" w:color="auto"/>
              <w:left w:val="single" w:sz="4" w:space="0" w:color="auto"/>
              <w:bottom w:val="single" w:sz="4" w:space="0" w:color="auto"/>
              <w:right w:val="single" w:sz="4" w:space="0" w:color="auto"/>
            </w:tcBorders>
            <w:vAlign w:val="center"/>
          </w:tcPr>
          <w:p w14:paraId="662D2F13" w14:textId="77777777" w:rsidR="00AA6324" w:rsidRPr="00CA3519" w:rsidRDefault="00AA6324" w:rsidP="00AA6324">
            <w:pPr>
              <w:jc w:val="center"/>
              <w:rPr>
                <w:sz w:val="17"/>
                <w:szCs w:val="17"/>
              </w:rPr>
            </w:pPr>
            <w:r w:rsidRPr="00CA3519">
              <w:rPr>
                <w:sz w:val="17"/>
                <w:szCs w:val="17"/>
              </w:rPr>
              <w:t>0,429</w:t>
            </w:r>
          </w:p>
        </w:tc>
        <w:tc>
          <w:tcPr>
            <w:tcW w:w="1086" w:type="dxa"/>
            <w:tcBorders>
              <w:top w:val="single" w:sz="4" w:space="0" w:color="auto"/>
              <w:left w:val="single" w:sz="4" w:space="0" w:color="auto"/>
              <w:bottom w:val="single" w:sz="4" w:space="0" w:color="auto"/>
              <w:right w:val="single" w:sz="4" w:space="0" w:color="auto"/>
            </w:tcBorders>
            <w:vAlign w:val="center"/>
          </w:tcPr>
          <w:p w14:paraId="6E73E462" w14:textId="77777777" w:rsidR="00AA6324" w:rsidRPr="00CA3519" w:rsidRDefault="00AA6324" w:rsidP="00AA6324">
            <w:pPr>
              <w:jc w:val="center"/>
              <w:rPr>
                <w:sz w:val="17"/>
                <w:szCs w:val="17"/>
              </w:rPr>
            </w:pPr>
            <w:r w:rsidRPr="00CA3519">
              <w:rPr>
                <w:sz w:val="17"/>
                <w:szCs w:val="17"/>
              </w:rPr>
              <w:t>0,591</w:t>
            </w:r>
          </w:p>
        </w:tc>
        <w:tc>
          <w:tcPr>
            <w:tcW w:w="1086" w:type="dxa"/>
            <w:tcBorders>
              <w:top w:val="single" w:sz="4" w:space="0" w:color="auto"/>
              <w:left w:val="single" w:sz="4" w:space="0" w:color="auto"/>
              <w:bottom w:val="single" w:sz="4" w:space="0" w:color="auto"/>
              <w:right w:val="single" w:sz="4" w:space="0" w:color="auto"/>
            </w:tcBorders>
            <w:vAlign w:val="center"/>
          </w:tcPr>
          <w:p w14:paraId="6F0D86CC" w14:textId="77777777" w:rsidR="00AA6324" w:rsidRPr="00CA3519" w:rsidRDefault="00AA6324" w:rsidP="00AA6324">
            <w:pPr>
              <w:ind w:right="-41"/>
              <w:jc w:val="center"/>
              <w:rPr>
                <w:sz w:val="17"/>
                <w:szCs w:val="17"/>
              </w:rPr>
            </w:pPr>
            <w:r w:rsidRPr="00CA3519">
              <w:rPr>
                <w:sz w:val="17"/>
                <w:szCs w:val="17"/>
              </w:rPr>
              <w:t>0,719</w:t>
            </w:r>
          </w:p>
        </w:tc>
      </w:tr>
      <w:tr w:rsidR="00AA6324" w:rsidRPr="00CA3519" w14:paraId="546C5343"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19758B31" w14:textId="77777777" w:rsidR="00AA6324" w:rsidRPr="00CA3519" w:rsidRDefault="00AA6324" w:rsidP="00AA6324">
            <w:pPr>
              <w:rPr>
                <w:sz w:val="17"/>
                <w:szCs w:val="17"/>
              </w:rPr>
            </w:pPr>
            <w:r w:rsidRPr="00CA3519">
              <w:rPr>
                <w:sz w:val="17"/>
                <w:szCs w:val="17"/>
              </w:rPr>
              <w:t>Oktober 2017</w:t>
            </w:r>
          </w:p>
        </w:tc>
        <w:tc>
          <w:tcPr>
            <w:tcW w:w="2113" w:type="dxa"/>
            <w:tcBorders>
              <w:top w:val="single" w:sz="4" w:space="0" w:color="auto"/>
              <w:left w:val="single" w:sz="4" w:space="0" w:color="auto"/>
              <w:bottom w:val="single" w:sz="4" w:space="0" w:color="auto"/>
              <w:right w:val="single" w:sz="4" w:space="0" w:color="auto"/>
            </w:tcBorders>
            <w:vAlign w:val="center"/>
          </w:tcPr>
          <w:p w14:paraId="4D699092" w14:textId="77777777" w:rsidR="00AA6324" w:rsidRPr="00CA3519" w:rsidRDefault="00AA6324" w:rsidP="007E1C5E">
            <w:pPr>
              <w:jc w:val="center"/>
              <w:rPr>
                <w:sz w:val="17"/>
                <w:szCs w:val="17"/>
              </w:rPr>
            </w:pPr>
            <w:r w:rsidRPr="00CA3519">
              <w:rPr>
                <w:sz w:val="17"/>
                <w:szCs w:val="17"/>
              </w:rPr>
              <w:t>20.10.2017 - Ausg. 2</w:t>
            </w:r>
          </w:p>
        </w:tc>
        <w:tc>
          <w:tcPr>
            <w:tcW w:w="1085" w:type="dxa"/>
            <w:tcBorders>
              <w:top w:val="single" w:sz="4" w:space="0" w:color="auto"/>
              <w:left w:val="single" w:sz="4" w:space="0" w:color="auto"/>
              <w:bottom w:val="single" w:sz="4" w:space="0" w:color="auto"/>
              <w:right w:val="single" w:sz="4" w:space="0" w:color="auto"/>
            </w:tcBorders>
            <w:vAlign w:val="center"/>
          </w:tcPr>
          <w:p w14:paraId="65DC0C99" w14:textId="77777777" w:rsidR="00AA6324" w:rsidRPr="00CA3519" w:rsidRDefault="00AA6324" w:rsidP="00AA6324">
            <w:pPr>
              <w:jc w:val="center"/>
              <w:rPr>
                <w:sz w:val="17"/>
                <w:szCs w:val="17"/>
              </w:rPr>
            </w:pPr>
            <w:r w:rsidRPr="00CA3519">
              <w:rPr>
                <w:sz w:val="17"/>
                <w:szCs w:val="17"/>
              </w:rPr>
              <w:t>- 0,578</w:t>
            </w:r>
          </w:p>
        </w:tc>
        <w:tc>
          <w:tcPr>
            <w:tcW w:w="1086" w:type="dxa"/>
            <w:tcBorders>
              <w:top w:val="single" w:sz="4" w:space="0" w:color="auto"/>
              <w:left w:val="single" w:sz="4" w:space="0" w:color="auto"/>
              <w:bottom w:val="single" w:sz="4" w:space="0" w:color="auto"/>
              <w:right w:val="single" w:sz="4" w:space="0" w:color="auto"/>
            </w:tcBorders>
            <w:vAlign w:val="center"/>
          </w:tcPr>
          <w:p w14:paraId="45DC4870" w14:textId="77777777" w:rsidR="00AA6324" w:rsidRPr="00CA3519" w:rsidRDefault="00AA6324" w:rsidP="00AA6324">
            <w:pPr>
              <w:jc w:val="center"/>
              <w:rPr>
                <w:sz w:val="17"/>
                <w:szCs w:val="17"/>
              </w:rPr>
            </w:pPr>
            <w:r w:rsidRPr="00CA3519">
              <w:rPr>
                <w:sz w:val="17"/>
                <w:szCs w:val="17"/>
              </w:rPr>
              <w:t>- 0,553</w:t>
            </w:r>
          </w:p>
        </w:tc>
        <w:tc>
          <w:tcPr>
            <w:tcW w:w="1085" w:type="dxa"/>
            <w:tcBorders>
              <w:top w:val="single" w:sz="4" w:space="0" w:color="auto"/>
              <w:left w:val="single" w:sz="4" w:space="0" w:color="auto"/>
              <w:bottom w:val="single" w:sz="4" w:space="0" w:color="auto"/>
              <w:right w:val="single" w:sz="4" w:space="0" w:color="auto"/>
            </w:tcBorders>
            <w:vAlign w:val="center"/>
          </w:tcPr>
          <w:p w14:paraId="2ED3B805" w14:textId="77777777" w:rsidR="00AA6324" w:rsidRPr="00CA3519" w:rsidRDefault="00AA6324" w:rsidP="00AA6324">
            <w:pPr>
              <w:jc w:val="center"/>
              <w:rPr>
                <w:sz w:val="17"/>
                <w:szCs w:val="17"/>
              </w:rPr>
            </w:pPr>
            <w:r w:rsidRPr="00CA3519">
              <w:rPr>
                <w:sz w:val="17"/>
                <w:szCs w:val="17"/>
              </w:rPr>
              <w:t>- 0,497</w:t>
            </w:r>
          </w:p>
        </w:tc>
        <w:tc>
          <w:tcPr>
            <w:tcW w:w="1086" w:type="dxa"/>
            <w:tcBorders>
              <w:top w:val="single" w:sz="4" w:space="0" w:color="auto"/>
              <w:left w:val="single" w:sz="4" w:space="0" w:color="auto"/>
              <w:bottom w:val="single" w:sz="4" w:space="0" w:color="auto"/>
              <w:right w:val="single" w:sz="4" w:space="0" w:color="auto"/>
            </w:tcBorders>
            <w:vAlign w:val="center"/>
          </w:tcPr>
          <w:p w14:paraId="0B476EA9" w14:textId="77777777" w:rsidR="00AA6324" w:rsidRPr="00CA3519" w:rsidRDefault="00AA6324" w:rsidP="00AA6324">
            <w:pPr>
              <w:jc w:val="center"/>
              <w:rPr>
                <w:sz w:val="17"/>
                <w:szCs w:val="17"/>
              </w:rPr>
            </w:pPr>
            <w:r w:rsidRPr="00CA3519">
              <w:rPr>
                <w:sz w:val="17"/>
                <w:szCs w:val="17"/>
              </w:rPr>
              <w:t>- 0,383</w:t>
            </w:r>
          </w:p>
        </w:tc>
        <w:tc>
          <w:tcPr>
            <w:tcW w:w="1086" w:type="dxa"/>
            <w:tcBorders>
              <w:top w:val="single" w:sz="4" w:space="0" w:color="auto"/>
              <w:left w:val="single" w:sz="4" w:space="0" w:color="auto"/>
              <w:bottom w:val="single" w:sz="4" w:space="0" w:color="auto"/>
              <w:right w:val="single" w:sz="4" w:space="0" w:color="auto"/>
            </w:tcBorders>
            <w:vAlign w:val="center"/>
          </w:tcPr>
          <w:p w14:paraId="4E6D10E0" w14:textId="77777777" w:rsidR="00AA6324" w:rsidRPr="00CA3519" w:rsidRDefault="00AA6324" w:rsidP="00AA6324">
            <w:pPr>
              <w:jc w:val="center"/>
              <w:rPr>
                <w:sz w:val="17"/>
                <w:szCs w:val="17"/>
              </w:rPr>
            </w:pPr>
            <w:r w:rsidRPr="00CA3519">
              <w:rPr>
                <w:sz w:val="17"/>
                <w:szCs w:val="17"/>
              </w:rPr>
              <w:t>- 0,210</w:t>
            </w:r>
          </w:p>
        </w:tc>
        <w:tc>
          <w:tcPr>
            <w:tcW w:w="1085" w:type="dxa"/>
            <w:tcBorders>
              <w:top w:val="single" w:sz="4" w:space="0" w:color="auto"/>
              <w:left w:val="single" w:sz="4" w:space="0" w:color="auto"/>
              <w:bottom w:val="single" w:sz="4" w:space="0" w:color="auto"/>
              <w:right w:val="single" w:sz="4" w:space="0" w:color="auto"/>
            </w:tcBorders>
            <w:vAlign w:val="center"/>
          </w:tcPr>
          <w:p w14:paraId="492D4627" w14:textId="77777777" w:rsidR="00AA6324" w:rsidRPr="00CA3519" w:rsidRDefault="00AA6324" w:rsidP="00AA6324">
            <w:pPr>
              <w:jc w:val="center"/>
              <w:rPr>
                <w:sz w:val="17"/>
                <w:szCs w:val="17"/>
              </w:rPr>
            </w:pPr>
            <w:r w:rsidRPr="00CA3519">
              <w:rPr>
                <w:sz w:val="17"/>
                <w:szCs w:val="17"/>
              </w:rPr>
              <w:t>0,013</w:t>
            </w:r>
          </w:p>
        </w:tc>
        <w:tc>
          <w:tcPr>
            <w:tcW w:w="1086" w:type="dxa"/>
            <w:tcBorders>
              <w:top w:val="single" w:sz="4" w:space="0" w:color="auto"/>
              <w:left w:val="single" w:sz="4" w:space="0" w:color="auto"/>
              <w:bottom w:val="single" w:sz="4" w:space="0" w:color="auto"/>
              <w:right w:val="single" w:sz="4" w:space="0" w:color="auto"/>
            </w:tcBorders>
            <w:vAlign w:val="center"/>
          </w:tcPr>
          <w:p w14:paraId="68E92BC5" w14:textId="77777777" w:rsidR="00AA6324" w:rsidRPr="00CA3519" w:rsidRDefault="00AA6324" w:rsidP="00AA6324">
            <w:pPr>
              <w:jc w:val="center"/>
              <w:rPr>
                <w:sz w:val="17"/>
                <w:szCs w:val="17"/>
              </w:rPr>
            </w:pPr>
            <w:r w:rsidRPr="00CA3519">
              <w:rPr>
                <w:sz w:val="17"/>
                <w:szCs w:val="17"/>
              </w:rPr>
              <w:t>0,246</w:t>
            </w:r>
          </w:p>
        </w:tc>
        <w:tc>
          <w:tcPr>
            <w:tcW w:w="1085" w:type="dxa"/>
            <w:tcBorders>
              <w:top w:val="single" w:sz="4" w:space="0" w:color="auto"/>
              <w:left w:val="single" w:sz="4" w:space="0" w:color="auto"/>
              <w:bottom w:val="single" w:sz="4" w:space="0" w:color="auto"/>
              <w:right w:val="single" w:sz="4" w:space="0" w:color="auto"/>
            </w:tcBorders>
            <w:vAlign w:val="center"/>
          </w:tcPr>
          <w:p w14:paraId="54410A18" w14:textId="77777777" w:rsidR="00AA6324" w:rsidRPr="00CA3519" w:rsidRDefault="00AA6324" w:rsidP="00AA6324">
            <w:pPr>
              <w:jc w:val="center"/>
              <w:rPr>
                <w:sz w:val="17"/>
                <w:szCs w:val="17"/>
              </w:rPr>
            </w:pPr>
            <w:r w:rsidRPr="00CA3519">
              <w:rPr>
                <w:sz w:val="17"/>
                <w:szCs w:val="17"/>
              </w:rPr>
              <w:t>0,451</w:t>
            </w:r>
          </w:p>
        </w:tc>
        <w:tc>
          <w:tcPr>
            <w:tcW w:w="1086" w:type="dxa"/>
            <w:tcBorders>
              <w:top w:val="single" w:sz="4" w:space="0" w:color="auto"/>
              <w:left w:val="single" w:sz="4" w:space="0" w:color="auto"/>
              <w:bottom w:val="single" w:sz="4" w:space="0" w:color="auto"/>
              <w:right w:val="single" w:sz="4" w:space="0" w:color="auto"/>
            </w:tcBorders>
            <w:vAlign w:val="center"/>
          </w:tcPr>
          <w:p w14:paraId="5E2D1947" w14:textId="77777777" w:rsidR="00AA6324" w:rsidRPr="00CA3519" w:rsidRDefault="00AA6324" w:rsidP="00AA6324">
            <w:pPr>
              <w:jc w:val="center"/>
              <w:rPr>
                <w:sz w:val="17"/>
                <w:szCs w:val="17"/>
              </w:rPr>
            </w:pPr>
            <w:r w:rsidRPr="00CA3519">
              <w:rPr>
                <w:sz w:val="17"/>
                <w:szCs w:val="17"/>
              </w:rPr>
              <w:t>0,617</w:t>
            </w:r>
          </w:p>
        </w:tc>
        <w:tc>
          <w:tcPr>
            <w:tcW w:w="1086" w:type="dxa"/>
            <w:tcBorders>
              <w:top w:val="single" w:sz="4" w:space="0" w:color="auto"/>
              <w:left w:val="single" w:sz="4" w:space="0" w:color="auto"/>
              <w:bottom w:val="single" w:sz="4" w:space="0" w:color="auto"/>
              <w:right w:val="single" w:sz="4" w:space="0" w:color="auto"/>
            </w:tcBorders>
            <w:vAlign w:val="center"/>
          </w:tcPr>
          <w:p w14:paraId="032F9B7A" w14:textId="77777777" w:rsidR="00AA6324" w:rsidRPr="00CA3519" w:rsidRDefault="00AA6324" w:rsidP="00AA6324">
            <w:pPr>
              <w:ind w:right="-41"/>
              <w:jc w:val="center"/>
              <w:rPr>
                <w:sz w:val="17"/>
                <w:szCs w:val="17"/>
              </w:rPr>
            </w:pPr>
            <w:r w:rsidRPr="00CA3519">
              <w:rPr>
                <w:sz w:val="17"/>
                <w:szCs w:val="17"/>
              </w:rPr>
              <w:t>0,748</w:t>
            </w:r>
          </w:p>
        </w:tc>
      </w:tr>
      <w:tr w:rsidR="00AA6324" w:rsidRPr="00CA3519" w14:paraId="278773C9"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5AC3172B" w14:textId="77777777" w:rsidR="00AA6324" w:rsidRPr="00CA3519" w:rsidRDefault="00AA6324" w:rsidP="00AA6324">
            <w:pPr>
              <w:rPr>
                <w:sz w:val="17"/>
                <w:szCs w:val="17"/>
              </w:rPr>
            </w:pPr>
            <w:r w:rsidRPr="00CA3519">
              <w:rPr>
                <w:sz w:val="17"/>
                <w:szCs w:val="17"/>
              </w:rPr>
              <w:t xml:space="preserve">November 2017 </w:t>
            </w:r>
          </w:p>
        </w:tc>
        <w:tc>
          <w:tcPr>
            <w:tcW w:w="2113" w:type="dxa"/>
            <w:tcBorders>
              <w:top w:val="single" w:sz="4" w:space="0" w:color="auto"/>
              <w:left w:val="single" w:sz="4" w:space="0" w:color="auto"/>
              <w:bottom w:val="single" w:sz="4" w:space="0" w:color="auto"/>
              <w:right w:val="single" w:sz="4" w:space="0" w:color="auto"/>
            </w:tcBorders>
            <w:vAlign w:val="center"/>
          </w:tcPr>
          <w:p w14:paraId="095CB7B3" w14:textId="77777777" w:rsidR="00AA6324" w:rsidRPr="00CA3519" w:rsidRDefault="00AA6324" w:rsidP="007E1C5E">
            <w:pPr>
              <w:jc w:val="center"/>
              <w:rPr>
                <w:sz w:val="17"/>
                <w:szCs w:val="17"/>
              </w:rPr>
            </w:pPr>
            <w:r w:rsidRPr="00CA3519">
              <w:rPr>
                <w:sz w:val="17"/>
                <w:szCs w:val="17"/>
              </w:rPr>
              <w:t>17.11.2017 - Ausg. 1</w:t>
            </w:r>
          </w:p>
        </w:tc>
        <w:tc>
          <w:tcPr>
            <w:tcW w:w="1085" w:type="dxa"/>
            <w:tcBorders>
              <w:top w:val="single" w:sz="4" w:space="0" w:color="auto"/>
              <w:left w:val="single" w:sz="4" w:space="0" w:color="auto"/>
              <w:bottom w:val="single" w:sz="4" w:space="0" w:color="auto"/>
              <w:right w:val="single" w:sz="4" w:space="0" w:color="auto"/>
            </w:tcBorders>
            <w:vAlign w:val="center"/>
          </w:tcPr>
          <w:p w14:paraId="44FFF0CB" w14:textId="77777777" w:rsidR="00AA6324" w:rsidRPr="00CA3519" w:rsidRDefault="00AA6324" w:rsidP="008653A6">
            <w:pPr>
              <w:jc w:val="center"/>
              <w:rPr>
                <w:sz w:val="17"/>
                <w:szCs w:val="17"/>
              </w:rPr>
            </w:pPr>
            <w:r w:rsidRPr="00CA3519">
              <w:rPr>
                <w:sz w:val="17"/>
                <w:szCs w:val="17"/>
              </w:rPr>
              <w:t>- 0,603</w:t>
            </w:r>
          </w:p>
        </w:tc>
        <w:tc>
          <w:tcPr>
            <w:tcW w:w="1086" w:type="dxa"/>
            <w:tcBorders>
              <w:top w:val="single" w:sz="4" w:space="0" w:color="auto"/>
              <w:left w:val="single" w:sz="4" w:space="0" w:color="auto"/>
              <w:bottom w:val="single" w:sz="4" w:space="0" w:color="auto"/>
              <w:right w:val="single" w:sz="4" w:space="0" w:color="auto"/>
            </w:tcBorders>
            <w:vAlign w:val="center"/>
          </w:tcPr>
          <w:p w14:paraId="29C58060" w14:textId="77777777" w:rsidR="00AA6324" w:rsidRPr="00CA3519" w:rsidRDefault="00AA6324" w:rsidP="00AA6324">
            <w:pPr>
              <w:jc w:val="center"/>
              <w:rPr>
                <w:sz w:val="17"/>
                <w:szCs w:val="17"/>
              </w:rPr>
            </w:pPr>
            <w:r w:rsidRPr="00CA3519">
              <w:rPr>
                <w:sz w:val="17"/>
                <w:szCs w:val="17"/>
              </w:rPr>
              <w:t>- 0,593</w:t>
            </w:r>
          </w:p>
        </w:tc>
        <w:tc>
          <w:tcPr>
            <w:tcW w:w="1085" w:type="dxa"/>
            <w:tcBorders>
              <w:top w:val="single" w:sz="4" w:space="0" w:color="auto"/>
              <w:left w:val="single" w:sz="4" w:space="0" w:color="auto"/>
              <w:bottom w:val="single" w:sz="4" w:space="0" w:color="auto"/>
              <w:right w:val="single" w:sz="4" w:space="0" w:color="auto"/>
            </w:tcBorders>
            <w:vAlign w:val="center"/>
          </w:tcPr>
          <w:p w14:paraId="18DABA8B" w14:textId="77777777" w:rsidR="00AA6324" w:rsidRPr="00CA3519" w:rsidRDefault="00AA6324" w:rsidP="00AA6324">
            <w:pPr>
              <w:jc w:val="center"/>
              <w:rPr>
                <w:sz w:val="17"/>
                <w:szCs w:val="17"/>
              </w:rPr>
            </w:pPr>
            <w:r w:rsidRPr="00CA3519">
              <w:rPr>
                <w:sz w:val="17"/>
                <w:szCs w:val="17"/>
              </w:rPr>
              <w:t>- 0,537</w:t>
            </w:r>
          </w:p>
        </w:tc>
        <w:tc>
          <w:tcPr>
            <w:tcW w:w="1086" w:type="dxa"/>
            <w:tcBorders>
              <w:top w:val="single" w:sz="4" w:space="0" w:color="auto"/>
              <w:left w:val="single" w:sz="4" w:space="0" w:color="auto"/>
              <w:bottom w:val="single" w:sz="4" w:space="0" w:color="auto"/>
              <w:right w:val="single" w:sz="4" w:space="0" w:color="auto"/>
            </w:tcBorders>
            <w:vAlign w:val="center"/>
          </w:tcPr>
          <w:p w14:paraId="1A332DE8" w14:textId="77777777" w:rsidR="00AA6324" w:rsidRPr="00CA3519" w:rsidRDefault="00AA6324" w:rsidP="00AA6324">
            <w:pPr>
              <w:jc w:val="center"/>
              <w:rPr>
                <w:sz w:val="17"/>
                <w:szCs w:val="17"/>
              </w:rPr>
            </w:pPr>
            <w:r w:rsidRPr="00CA3519">
              <w:rPr>
                <w:sz w:val="17"/>
                <w:szCs w:val="17"/>
              </w:rPr>
              <w:t>- 0,410</w:t>
            </w:r>
          </w:p>
        </w:tc>
        <w:tc>
          <w:tcPr>
            <w:tcW w:w="1086" w:type="dxa"/>
            <w:tcBorders>
              <w:top w:val="single" w:sz="4" w:space="0" w:color="auto"/>
              <w:left w:val="single" w:sz="4" w:space="0" w:color="auto"/>
              <w:bottom w:val="single" w:sz="4" w:space="0" w:color="auto"/>
              <w:right w:val="single" w:sz="4" w:space="0" w:color="auto"/>
            </w:tcBorders>
            <w:vAlign w:val="center"/>
          </w:tcPr>
          <w:p w14:paraId="3874D4BB" w14:textId="77777777" w:rsidR="00AA6324" w:rsidRPr="00CA3519" w:rsidRDefault="00AA6324" w:rsidP="00AA6324">
            <w:pPr>
              <w:jc w:val="center"/>
              <w:rPr>
                <w:sz w:val="17"/>
                <w:szCs w:val="17"/>
              </w:rPr>
            </w:pPr>
            <w:r w:rsidRPr="00CA3519">
              <w:rPr>
                <w:sz w:val="17"/>
                <w:szCs w:val="17"/>
              </w:rPr>
              <w:t>- 0,226</w:t>
            </w:r>
          </w:p>
        </w:tc>
        <w:tc>
          <w:tcPr>
            <w:tcW w:w="1085" w:type="dxa"/>
            <w:tcBorders>
              <w:top w:val="single" w:sz="4" w:space="0" w:color="auto"/>
              <w:left w:val="single" w:sz="4" w:space="0" w:color="auto"/>
              <w:bottom w:val="single" w:sz="4" w:space="0" w:color="auto"/>
              <w:right w:val="single" w:sz="4" w:space="0" w:color="auto"/>
            </w:tcBorders>
            <w:vAlign w:val="center"/>
          </w:tcPr>
          <w:p w14:paraId="7511CD4B" w14:textId="77777777" w:rsidR="00AA6324" w:rsidRPr="00CA3519" w:rsidRDefault="00AA6324" w:rsidP="00AA6324">
            <w:pPr>
              <w:jc w:val="center"/>
              <w:rPr>
                <w:sz w:val="17"/>
                <w:szCs w:val="17"/>
              </w:rPr>
            </w:pPr>
            <w:r w:rsidRPr="00CA3519">
              <w:rPr>
                <w:sz w:val="17"/>
                <w:szCs w:val="17"/>
              </w:rPr>
              <w:t>- 0,010</w:t>
            </w:r>
          </w:p>
        </w:tc>
        <w:tc>
          <w:tcPr>
            <w:tcW w:w="1086" w:type="dxa"/>
            <w:tcBorders>
              <w:top w:val="single" w:sz="4" w:space="0" w:color="auto"/>
              <w:left w:val="single" w:sz="4" w:space="0" w:color="auto"/>
              <w:bottom w:val="single" w:sz="4" w:space="0" w:color="auto"/>
              <w:right w:val="single" w:sz="4" w:space="0" w:color="auto"/>
            </w:tcBorders>
            <w:vAlign w:val="center"/>
          </w:tcPr>
          <w:p w14:paraId="46FD9B66" w14:textId="77777777" w:rsidR="00AA6324" w:rsidRPr="00CA3519" w:rsidRDefault="00AA6324" w:rsidP="00AA6324">
            <w:pPr>
              <w:jc w:val="center"/>
              <w:rPr>
                <w:sz w:val="17"/>
                <w:szCs w:val="17"/>
              </w:rPr>
            </w:pPr>
            <w:r w:rsidRPr="00CA3519">
              <w:rPr>
                <w:sz w:val="17"/>
                <w:szCs w:val="17"/>
              </w:rPr>
              <w:t>0,209</w:t>
            </w:r>
          </w:p>
        </w:tc>
        <w:tc>
          <w:tcPr>
            <w:tcW w:w="1085" w:type="dxa"/>
            <w:tcBorders>
              <w:top w:val="single" w:sz="4" w:space="0" w:color="auto"/>
              <w:left w:val="single" w:sz="4" w:space="0" w:color="auto"/>
              <w:bottom w:val="single" w:sz="4" w:space="0" w:color="auto"/>
              <w:right w:val="single" w:sz="4" w:space="0" w:color="auto"/>
            </w:tcBorders>
            <w:vAlign w:val="center"/>
          </w:tcPr>
          <w:p w14:paraId="0A3F7A4A" w14:textId="77777777" w:rsidR="00AA6324" w:rsidRPr="00CA3519" w:rsidRDefault="00AA6324" w:rsidP="00AA6324">
            <w:pPr>
              <w:jc w:val="center"/>
              <w:rPr>
                <w:sz w:val="17"/>
                <w:szCs w:val="17"/>
              </w:rPr>
            </w:pPr>
            <w:r w:rsidRPr="00CA3519">
              <w:rPr>
                <w:sz w:val="17"/>
                <w:szCs w:val="17"/>
              </w:rPr>
              <w:t>0,403</w:t>
            </w:r>
          </w:p>
        </w:tc>
        <w:tc>
          <w:tcPr>
            <w:tcW w:w="1086" w:type="dxa"/>
            <w:tcBorders>
              <w:top w:val="single" w:sz="4" w:space="0" w:color="auto"/>
              <w:left w:val="single" w:sz="4" w:space="0" w:color="auto"/>
              <w:bottom w:val="single" w:sz="4" w:space="0" w:color="auto"/>
              <w:right w:val="single" w:sz="4" w:space="0" w:color="auto"/>
            </w:tcBorders>
            <w:vAlign w:val="center"/>
          </w:tcPr>
          <w:p w14:paraId="40432161" w14:textId="77777777" w:rsidR="00AA6324" w:rsidRPr="00CA3519" w:rsidRDefault="00AA6324" w:rsidP="00AA6324">
            <w:pPr>
              <w:jc w:val="center"/>
              <w:rPr>
                <w:sz w:val="17"/>
                <w:szCs w:val="17"/>
              </w:rPr>
            </w:pPr>
            <w:r w:rsidRPr="00CA3519">
              <w:rPr>
                <w:sz w:val="17"/>
                <w:szCs w:val="17"/>
              </w:rPr>
              <w:t>0,566</w:t>
            </w:r>
          </w:p>
        </w:tc>
        <w:tc>
          <w:tcPr>
            <w:tcW w:w="1086" w:type="dxa"/>
            <w:tcBorders>
              <w:top w:val="single" w:sz="4" w:space="0" w:color="auto"/>
              <w:left w:val="single" w:sz="4" w:space="0" w:color="auto"/>
              <w:bottom w:val="single" w:sz="4" w:space="0" w:color="auto"/>
              <w:right w:val="single" w:sz="4" w:space="0" w:color="auto"/>
            </w:tcBorders>
            <w:vAlign w:val="center"/>
          </w:tcPr>
          <w:p w14:paraId="6A645E6D" w14:textId="77777777" w:rsidR="00AA6324" w:rsidRPr="00CA3519" w:rsidRDefault="00AA6324" w:rsidP="00AA6324">
            <w:pPr>
              <w:ind w:right="-41"/>
              <w:jc w:val="center"/>
              <w:rPr>
                <w:sz w:val="17"/>
                <w:szCs w:val="17"/>
              </w:rPr>
            </w:pPr>
            <w:r w:rsidRPr="00CA3519">
              <w:rPr>
                <w:sz w:val="17"/>
                <w:szCs w:val="17"/>
              </w:rPr>
              <w:t>0,696</w:t>
            </w:r>
          </w:p>
        </w:tc>
      </w:tr>
      <w:tr w:rsidR="00AA6324" w:rsidRPr="00CA3519" w14:paraId="60549495"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1271A6FC" w14:textId="77777777" w:rsidR="00AA6324" w:rsidRPr="00CA3519" w:rsidRDefault="00AA6324" w:rsidP="00AA6324">
            <w:pPr>
              <w:rPr>
                <w:sz w:val="17"/>
                <w:szCs w:val="17"/>
              </w:rPr>
            </w:pPr>
            <w:r w:rsidRPr="00CA3519">
              <w:rPr>
                <w:sz w:val="17"/>
                <w:szCs w:val="17"/>
              </w:rPr>
              <w:t>Dezem</w:t>
            </w:r>
            <w:r w:rsidRPr="00CA3519">
              <w:rPr>
                <w:sz w:val="17"/>
                <w:szCs w:val="17"/>
              </w:rPr>
              <w:softHyphen/>
              <w:t xml:space="preserve">ber 2017 </w:t>
            </w:r>
          </w:p>
        </w:tc>
        <w:tc>
          <w:tcPr>
            <w:tcW w:w="2113" w:type="dxa"/>
            <w:tcBorders>
              <w:top w:val="single" w:sz="4" w:space="0" w:color="auto"/>
              <w:left w:val="single" w:sz="4" w:space="0" w:color="auto"/>
              <w:bottom w:val="single" w:sz="4" w:space="0" w:color="auto"/>
              <w:right w:val="single" w:sz="4" w:space="0" w:color="auto"/>
            </w:tcBorders>
            <w:vAlign w:val="center"/>
          </w:tcPr>
          <w:p w14:paraId="2D1FD788" w14:textId="77777777" w:rsidR="00AA6324" w:rsidRPr="00CA3519" w:rsidRDefault="00AA6324" w:rsidP="007E1C5E">
            <w:pPr>
              <w:jc w:val="center"/>
              <w:rPr>
                <w:sz w:val="17"/>
                <w:szCs w:val="17"/>
              </w:rPr>
            </w:pPr>
            <w:r w:rsidRPr="00CA3519">
              <w:rPr>
                <w:sz w:val="17"/>
                <w:szCs w:val="17"/>
              </w:rPr>
              <w:t>18.12.2017 - Ausg. 1</w:t>
            </w:r>
          </w:p>
        </w:tc>
        <w:tc>
          <w:tcPr>
            <w:tcW w:w="1085" w:type="dxa"/>
            <w:tcBorders>
              <w:top w:val="single" w:sz="4" w:space="0" w:color="auto"/>
              <w:left w:val="single" w:sz="4" w:space="0" w:color="auto"/>
              <w:bottom w:val="single" w:sz="4" w:space="0" w:color="auto"/>
              <w:right w:val="single" w:sz="4" w:space="0" w:color="auto"/>
            </w:tcBorders>
            <w:vAlign w:val="center"/>
          </w:tcPr>
          <w:p w14:paraId="399C48E9" w14:textId="77777777" w:rsidR="00AA6324" w:rsidRPr="00CA3519" w:rsidRDefault="00AA6324" w:rsidP="008653A6">
            <w:pPr>
              <w:jc w:val="center"/>
              <w:rPr>
                <w:sz w:val="17"/>
                <w:szCs w:val="17"/>
              </w:rPr>
            </w:pPr>
            <w:r w:rsidRPr="00CA3519">
              <w:rPr>
                <w:sz w:val="17"/>
                <w:szCs w:val="17"/>
              </w:rPr>
              <w:t>- 0,642</w:t>
            </w:r>
          </w:p>
        </w:tc>
        <w:tc>
          <w:tcPr>
            <w:tcW w:w="1086" w:type="dxa"/>
            <w:tcBorders>
              <w:top w:val="single" w:sz="4" w:space="0" w:color="auto"/>
              <w:left w:val="single" w:sz="4" w:space="0" w:color="auto"/>
              <w:bottom w:val="single" w:sz="4" w:space="0" w:color="auto"/>
              <w:right w:val="single" w:sz="4" w:space="0" w:color="auto"/>
            </w:tcBorders>
            <w:vAlign w:val="center"/>
          </w:tcPr>
          <w:p w14:paraId="3BA5D794" w14:textId="77777777" w:rsidR="00AA6324" w:rsidRPr="00CA3519" w:rsidRDefault="00AA6324" w:rsidP="00AA6324">
            <w:pPr>
              <w:jc w:val="center"/>
              <w:rPr>
                <w:sz w:val="17"/>
                <w:szCs w:val="17"/>
              </w:rPr>
            </w:pPr>
            <w:r w:rsidRPr="00CA3519">
              <w:rPr>
                <w:sz w:val="17"/>
                <w:szCs w:val="17"/>
              </w:rPr>
              <w:t>- 0,613</w:t>
            </w:r>
          </w:p>
        </w:tc>
        <w:tc>
          <w:tcPr>
            <w:tcW w:w="1085" w:type="dxa"/>
            <w:tcBorders>
              <w:top w:val="single" w:sz="4" w:space="0" w:color="auto"/>
              <w:left w:val="single" w:sz="4" w:space="0" w:color="auto"/>
              <w:bottom w:val="single" w:sz="4" w:space="0" w:color="auto"/>
              <w:right w:val="single" w:sz="4" w:space="0" w:color="auto"/>
            </w:tcBorders>
            <w:vAlign w:val="center"/>
          </w:tcPr>
          <w:p w14:paraId="644C26CC" w14:textId="77777777" w:rsidR="00AA6324" w:rsidRPr="00CA3519" w:rsidRDefault="00AA6324" w:rsidP="00AA6324">
            <w:pPr>
              <w:jc w:val="center"/>
              <w:rPr>
                <w:sz w:val="17"/>
                <w:szCs w:val="17"/>
              </w:rPr>
            </w:pPr>
            <w:r w:rsidRPr="00CA3519">
              <w:rPr>
                <w:sz w:val="17"/>
                <w:szCs w:val="17"/>
              </w:rPr>
              <w:t>- 0,550</w:t>
            </w:r>
          </w:p>
        </w:tc>
        <w:tc>
          <w:tcPr>
            <w:tcW w:w="1086" w:type="dxa"/>
            <w:tcBorders>
              <w:top w:val="single" w:sz="4" w:space="0" w:color="auto"/>
              <w:left w:val="single" w:sz="4" w:space="0" w:color="auto"/>
              <w:bottom w:val="single" w:sz="4" w:space="0" w:color="auto"/>
              <w:right w:val="single" w:sz="4" w:space="0" w:color="auto"/>
            </w:tcBorders>
            <w:vAlign w:val="center"/>
          </w:tcPr>
          <w:p w14:paraId="58795EBD" w14:textId="77777777" w:rsidR="00AA6324" w:rsidRPr="00CA3519" w:rsidRDefault="00AA6324" w:rsidP="00AA6324">
            <w:pPr>
              <w:jc w:val="center"/>
              <w:rPr>
                <w:sz w:val="17"/>
                <w:szCs w:val="17"/>
              </w:rPr>
            </w:pPr>
            <w:r w:rsidRPr="00CA3519">
              <w:rPr>
                <w:sz w:val="17"/>
                <w:szCs w:val="17"/>
              </w:rPr>
              <w:t>- 0,427</w:t>
            </w:r>
          </w:p>
        </w:tc>
        <w:tc>
          <w:tcPr>
            <w:tcW w:w="1086" w:type="dxa"/>
            <w:tcBorders>
              <w:top w:val="single" w:sz="4" w:space="0" w:color="auto"/>
              <w:left w:val="single" w:sz="4" w:space="0" w:color="auto"/>
              <w:bottom w:val="single" w:sz="4" w:space="0" w:color="auto"/>
              <w:right w:val="single" w:sz="4" w:space="0" w:color="auto"/>
            </w:tcBorders>
            <w:vAlign w:val="center"/>
          </w:tcPr>
          <w:p w14:paraId="43345173" w14:textId="77777777" w:rsidR="00AA6324" w:rsidRPr="00CA3519" w:rsidRDefault="00AA6324" w:rsidP="00AA6324">
            <w:pPr>
              <w:jc w:val="center"/>
              <w:rPr>
                <w:sz w:val="17"/>
                <w:szCs w:val="17"/>
              </w:rPr>
            </w:pPr>
            <w:r w:rsidRPr="00CA3519">
              <w:rPr>
                <w:sz w:val="17"/>
                <w:szCs w:val="17"/>
              </w:rPr>
              <w:t>- 0,254</w:t>
            </w:r>
          </w:p>
        </w:tc>
        <w:tc>
          <w:tcPr>
            <w:tcW w:w="1085" w:type="dxa"/>
            <w:tcBorders>
              <w:top w:val="single" w:sz="4" w:space="0" w:color="auto"/>
              <w:left w:val="single" w:sz="4" w:space="0" w:color="auto"/>
              <w:bottom w:val="single" w:sz="4" w:space="0" w:color="auto"/>
              <w:right w:val="single" w:sz="4" w:space="0" w:color="auto"/>
            </w:tcBorders>
            <w:vAlign w:val="center"/>
          </w:tcPr>
          <w:p w14:paraId="49258BFB" w14:textId="77777777" w:rsidR="00AA6324" w:rsidRPr="00CA3519" w:rsidRDefault="00AA6324" w:rsidP="00AA6324">
            <w:pPr>
              <w:jc w:val="center"/>
              <w:rPr>
                <w:sz w:val="17"/>
                <w:szCs w:val="17"/>
              </w:rPr>
            </w:pPr>
            <w:r w:rsidRPr="00CA3519">
              <w:rPr>
                <w:sz w:val="17"/>
                <w:szCs w:val="17"/>
              </w:rPr>
              <w:t>- 0,054</w:t>
            </w:r>
          </w:p>
        </w:tc>
        <w:tc>
          <w:tcPr>
            <w:tcW w:w="1086" w:type="dxa"/>
            <w:tcBorders>
              <w:top w:val="single" w:sz="4" w:space="0" w:color="auto"/>
              <w:left w:val="single" w:sz="4" w:space="0" w:color="auto"/>
              <w:bottom w:val="single" w:sz="4" w:space="0" w:color="auto"/>
              <w:right w:val="single" w:sz="4" w:space="0" w:color="auto"/>
            </w:tcBorders>
            <w:vAlign w:val="center"/>
          </w:tcPr>
          <w:p w14:paraId="407808E8" w14:textId="77777777" w:rsidR="00AA6324" w:rsidRPr="00CA3519" w:rsidRDefault="00AA6324" w:rsidP="00AA6324">
            <w:pPr>
              <w:jc w:val="center"/>
              <w:rPr>
                <w:sz w:val="17"/>
                <w:szCs w:val="17"/>
              </w:rPr>
            </w:pPr>
            <w:r w:rsidRPr="00CA3519">
              <w:rPr>
                <w:sz w:val="17"/>
                <w:szCs w:val="17"/>
              </w:rPr>
              <w:t>0,147</w:t>
            </w:r>
          </w:p>
        </w:tc>
        <w:tc>
          <w:tcPr>
            <w:tcW w:w="1085" w:type="dxa"/>
            <w:tcBorders>
              <w:top w:val="single" w:sz="4" w:space="0" w:color="auto"/>
              <w:left w:val="single" w:sz="4" w:space="0" w:color="auto"/>
              <w:bottom w:val="single" w:sz="4" w:space="0" w:color="auto"/>
              <w:right w:val="single" w:sz="4" w:space="0" w:color="auto"/>
            </w:tcBorders>
            <w:vAlign w:val="center"/>
          </w:tcPr>
          <w:p w14:paraId="57FA7543" w14:textId="77777777" w:rsidR="00AA6324" w:rsidRPr="00CA3519" w:rsidRDefault="00AA6324" w:rsidP="00AA6324">
            <w:pPr>
              <w:jc w:val="center"/>
              <w:rPr>
                <w:sz w:val="17"/>
                <w:szCs w:val="17"/>
              </w:rPr>
            </w:pPr>
            <w:r w:rsidRPr="00CA3519">
              <w:rPr>
                <w:sz w:val="17"/>
                <w:szCs w:val="17"/>
              </w:rPr>
              <w:t>0,330</w:t>
            </w:r>
          </w:p>
        </w:tc>
        <w:tc>
          <w:tcPr>
            <w:tcW w:w="1086" w:type="dxa"/>
            <w:tcBorders>
              <w:top w:val="single" w:sz="4" w:space="0" w:color="auto"/>
              <w:left w:val="single" w:sz="4" w:space="0" w:color="auto"/>
              <w:bottom w:val="single" w:sz="4" w:space="0" w:color="auto"/>
              <w:right w:val="single" w:sz="4" w:space="0" w:color="auto"/>
            </w:tcBorders>
            <w:vAlign w:val="center"/>
          </w:tcPr>
          <w:p w14:paraId="3E716208" w14:textId="77777777" w:rsidR="00AA6324" w:rsidRPr="00CA3519" w:rsidRDefault="00AA6324" w:rsidP="00AA6324">
            <w:pPr>
              <w:jc w:val="center"/>
              <w:rPr>
                <w:sz w:val="17"/>
                <w:szCs w:val="17"/>
              </w:rPr>
            </w:pPr>
            <w:r w:rsidRPr="00CA3519">
              <w:rPr>
                <w:sz w:val="17"/>
                <w:szCs w:val="17"/>
              </w:rPr>
              <w:t>0,485</w:t>
            </w:r>
          </w:p>
        </w:tc>
        <w:tc>
          <w:tcPr>
            <w:tcW w:w="1086" w:type="dxa"/>
            <w:tcBorders>
              <w:top w:val="single" w:sz="4" w:space="0" w:color="auto"/>
              <w:left w:val="single" w:sz="4" w:space="0" w:color="auto"/>
              <w:bottom w:val="single" w:sz="4" w:space="0" w:color="auto"/>
              <w:right w:val="single" w:sz="4" w:space="0" w:color="auto"/>
            </w:tcBorders>
            <w:vAlign w:val="center"/>
          </w:tcPr>
          <w:p w14:paraId="1ECAACD1" w14:textId="77777777" w:rsidR="00AA6324" w:rsidRPr="00CA3519" w:rsidRDefault="00AA6324" w:rsidP="00AA6324">
            <w:pPr>
              <w:ind w:right="-41"/>
              <w:jc w:val="center"/>
              <w:rPr>
                <w:sz w:val="17"/>
                <w:szCs w:val="17"/>
              </w:rPr>
            </w:pPr>
            <w:r w:rsidRPr="00CA3519">
              <w:rPr>
                <w:sz w:val="17"/>
                <w:szCs w:val="17"/>
              </w:rPr>
              <w:t>0,609]</w:t>
            </w:r>
          </w:p>
        </w:tc>
      </w:tr>
      <w:tr w:rsidR="008653A6" w:rsidRPr="00CA3519" w14:paraId="46519862"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27D4FCFC" w14:textId="77777777" w:rsidR="008653A6" w:rsidRPr="00CA3519" w:rsidRDefault="007320E8" w:rsidP="008653A6">
            <w:pPr>
              <w:rPr>
                <w:sz w:val="17"/>
                <w:szCs w:val="17"/>
              </w:rPr>
            </w:pPr>
            <w:r w:rsidRPr="00CA3519">
              <w:rPr>
                <w:sz w:val="17"/>
                <w:szCs w:val="17"/>
              </w:rPr>
              <w:t>[</w:t>
            </w:r>
            <w:r w:rsidR="008653A6" w:rsidRPr="00CA3519">
              <w:rPr>
                <w:sz w:val="17"/>
                <w:szCs w:val="17"/>
              </w:rPr>
              <w:t xml:space="preserve">Januar 2018 </w:t>
            </w:r>
          </w:p>
        </w:tc>
        <w:tc>
          <w:tcPr>
            <w:tcW w:w="2113" w:type="dxa"/>
            <w:tcBorders>
              <w:top w:val="single" w:sz="4" w:space="0" w:color="auto"/>
              <w:left w:val="single" w:sz="4" w:space="0" w:color="auto"/>
              <w:bottom w:val="single" w:sz="4" w:space="0" w:color="auto"/>
              <w:right w:val="single" w:sz="4" w:space="0" w:color="auto"/>
            </w:tcBorders>
            <w:vAlign w:val="center"/>
          </w:tcPr>
          <w:p w14:paraId="30FA15C2" w14:textId="77777777" w:rsidR="008653A6" w:rsidRPr="00CA3519" w:rsidRDefault="008653A6" w:rsidP="007E1C5E">
            <w:pPr>
              <w:jc w:val="center"/>
              <w:rPr>
                <w:sz w:val="17"/>
                <w:szCs w:val="17"/>
              </w:rPr>
            </w:pPr>
            <w:r w:rsidRPr="00CA3519">
              <w:rPr>
                <w:sz w:val="17"/>
                <w:szCs w:val="17"/>
              </w:rPr>
              <w:t>17.01.2018 - Ausg. 1</w:t>
            </w:r>
          </w:p>
        </w:tc>
        <w:tc>
          <w:tcPr>
            <w:tcW w:w="1085" w:type="dxa"/>
            <w:tcBorders>
              <w:top w:val="single" w:sz="4" w:space="0" w:color="auto"/>
              <w:left w:val="single" w:sz="4" w:space="0" w:color="auto"/>
              <w:bottom w:val="single" w:sz="4" w:space="0" w:color="auto"/>
              <w:right w:val="single" w:sz="4" w:space="0" w:color="auto"/>
            </w:tcBorders>
            <w:vAlign w:val="center"/>
          </w:tcPr>
          <w:p w14:paraId="05216E86" w14:textId="77777777" w:rsidR="008653A6" w:rsidRPr="00CA3519" w:rsidRDefault="008653A6" w:rsidP="008653A6">
            <w:pPr>
              <w:jc w:val="center"/>
              <w:rPr>
                <w:sz w:val="17"/>
                <w:szCs w:val="17"/>
              </w:rPr>
            </w:pPr>
            <w:r w:rsidRPr="00CA3519">
              <w:rPr>
                <w:sz w:val="17"/>
                <w:szCs w:val="17"/>
              </w:rPr>
              <w:t>- 0,612</w:t>
            </w:r>
          </w:p>
        </w:tc>
        <w:tc>
          <w:tcPr>
            <w:tcW w:w="1086" w:type="dxa"/>
            <w:tcBorders>
              <w:top w:val="single" w:sz="4" w:space="0" w:color="auto"/>
              <w:left w:val="single" w:sz="4" w:space="0" w:color="auto"/>
              <w:bottom w:val="single" w:sz="4" w:space="0" w:color="auto"/>
              <w:right w:val="single" w:sz="4" w:space="0" w:color="auto"/>
            </w:tcBorders>
            <w:vAlign w:val="center"/>
          </w:tcPr>
          <w:p w14:paraId="6E99C33F" w14:textId="77777777" w:rsidR="008653A6" w:rsidRPr="00CA3519" w:rsidRDefault="008653A6" w:rsidP="008653A6">
            <w:pPr>
              <w:jc w:val="center"/>
              <w:rPr>
                <w:sz w:val="17"/>
                <w:szCs w:val="17"/>
              </w:rPr>
            </w:pPr>
            <w:r w:rsidRPr="00CA3519">
              <w:rPr>
                <w:sz w:val="17"/>
                <w:szCs w:val="17"/>
              </w:rPr>
              <w:t>- 0,549</w:t>
            </w:r>
          </w:p>
        </w:tc>
        <w:tc>
          <w:tcPr>
            <w:tcW w:w="1085" w:type="dxa"/>
            <w:tcBorders>
              <w:top w:val="single" w:sz="4" w:space="0" w:color="auto"/>
              <w:left w:val="single" w:sz="4" w:space="0" w:color="auto"/>
              <w:bottom w:val="single" w:sz="4" w:space="0" w:color="auto"/>
              <w:right w:val="single" w:sz="4" w:space="0" w:color="auto"/>
            </w:tcBorders>
            <w:vAlign w:val="center"/>
          </w:tcPr>
          <w:p w14:paraId="1BE44D69" w14:textId="77777777" w:rsidR="008653A6" w:rsidRPr="00CA3519" w:rsidRDefault="008653A6" w:rsidP="008653A6">
            <w:pPr>
              <w:jc w:val="center"/>
              <w:rPr>
                <w:sz w:val="17"/>
                <w:szCs w:val="17"/>
              </w:rPr>
            </w:pPr>
            <w:r w:rsidRPr="00CA3519">
              <w:rPr>
                <w:sz w:val="17"/>
                <w:szCs w:val="17"/>
              </w:rPr>
              <w:t>- 0,459</w:t>
            </w:r>
          </w:p>
        </w:tc>
        <w:tc>
          <w:tcPr>
            <w:tcW w:w="1086" w:type="dxa"/>
            <w:tcBorders>
              <w:top w:val="single" w:sz="4" w:space="0" w:color="auto"/>
              <w:left w:val="single" w:sz="4" w:space="0" w:color="auto"/>
              <w:bottom w:val="single" w:sz="4" w:space="0" w:color="auto"/>
              <w:right w:val="single" w:sz="4" w:space="0" w:color="auto"/>
            </w:tcBorders>
            <w:vAlign w:val="center"/>
          </w:tcPr>
          <w:p w14:paraId="207A82FF" w14:textId="77777777" w:rsidR="008653A6" w:rsidRPr="00CA3519" w:rsidRDefault="008653A6" w:rsidP="008653A6">
            <w:pPr>
              <w:jc w:val="center"/>
              <w:rPr>
                <w:sz w:val="17"/>
                <w:szCs w:val="17"/>
              </w:rPr>
            </w:pPr>
            <w:r w:rsidRPr="00CA3519">
              <w:rPr>
                <w:sz w:val="17"/>
                <w:szCs w:val="17"/>
              </w:rPr>
              <w:t>- 0,330</w:t>
            </w:r>
          </w:p>
        </w:tc>
        <w:tc>
          <w:tcPr>
            <w:tcW w:w="1086" w:type="dxa"/>
            <w:tcBorders>
              <w:top w:val="single" w:sz="4" w:space="0" w:color="auto"/>
              <w:left w:val="single" w:sz="4" w:space="0" w:color="auto"/>
              <w:bottom w:val="single" w:sz="4" w:space="0" w:color="auto"/>
              <w:right w:val="single" w:sz="4" w:space="0" w:color="auto"/>
            </w:tcBorders>
            <w:vAlign w:val="center"/>
          </w:tcPr>
          <w:p w14:paraId="17003FEA" w14:textId="77777777" w:rsidR="008653A6" w:rsidRPr="00CA3519" w:rsidRDefault="008653A6" w:rsidP="008653A6">
            <w:pPr>
              <w:jc w:val="center"/>
              <w:rPr>
                <w:sz w:val="17"/>
                <w:szCs w:val="17"/>
              </w:rPr>
            </w:pPr>
            <w:r w:rsidRPr="00CA3519">
              <w:rPr>
                <w:sz w:val="17"/>
                <w:szCs w:val="17"/>
              </w:rPr>
              <w:t>- 0,167</w:t>
            </w:r>
          </w:p>
        </w:tc>
        <w:tc>
          <w:tcPr>
            <w:tcW w:w="1085" w:type="dxa"/>
            <w:tcBorders>
              <w:top w:val="single" w:sz="4" w:space="0" w:color="auto"/>
              <w:left w:val="single" w:sz="4" w:space="0" w:color="auto"/>
              <w:bottom w:val="single" w:sz="4" w:space="0" w:color="auto"/>
              <w:right w:val="single" w:sz="4" w:space="0" w:color="auto"/>
            </w:tcBorders>
            <w:vAlign w:val="center"/>
          </w:tcPr>
          <w:p w14:paraId="7FA0AE39" w14:textId="77777777" w:rsidR="008653A6" w:rsidRPr="00CA3519" w:rsidRDefault="008653A6" w:rsidP="008653A6">
            <w:pPr>
              <w:jc w:val="center"/>
              <w:rPr>
                <w:sz w:val="17"/>
                <w:szCs w:val="17"/>
              </w:rPr>
            </w:pPr>
            <w:r w:rsidRPr="00CA3519">
              <w:rPr>
                <w:sz w:val="17"/>
                <w:szCs w:val="17"/>
              </w:rPr>
              <w:t>0,014</w:t>
            </w:r>
          </w:p>
        </w:tc>
        <w:tc>
          <w:tcPr>
            <w:tcW w:w="1086" w:type="dxa"/>
            <w:tcBorders>
              <w:top w:val="single" w:sz="4" w:space="0" w:color="auto"/>
              <w:left w:val="single" w:sz="4" w:space="0" w:color="auto"/>
              <w:bottom w:val="single" w:sz="4" w:space="0" w:color="auto"/>
              <w:right w:val="single" w:sz="4" w:space="0" w:color="auto"/>
            </w:tcBorders>
            <w:vAlign w:val="center"/>
          </w:tcPr>
          <w:p w14:paraId="5248C614" w14:textId="77777777" w:rsidR="008653A6" w:rsidRPr="00CA3519" w:rsidRDefault="008653A6" w:rsidP="008653A6">
            <w:pPr>
              <w:jc w:val="center"/>
              <w:rPr>
                <w:sz w:val="17"/>
                <w:szCs w:val="17"/>
              </w:rPr>
            </w:pPr>
            <w:r w:rsidRPr="00CA3519">
              <w:rPr>
                <w:sz w:val="17"/>
                <w:szCs w:val="17"/>
              </w:rPr>
              <w:t>0,197</w:t>
            </w:r>
          </w:p>
        </w:tc>
        <w:tc>
          <w:tcPr>
            <w:tcW w:w="1085" w:type="dxa"/>
            <w:tcBorders>
              <w:top w:val="single" w:sz="4" w:space="0" w:color="auto"/>
              <w:left w:val="single" w:sz="4" w:space="0" w:color="auto"/>
              <w:bottom w:val="single" w:sz="4" w:space="0" w:color="auto"/>
              <w:right w:val="single" w:sz="4" w:space="0" w:color="auto"/>
            </w:tcBorders>
            <w:vAlign w:val="center"/>
          </w:tcPr>
          <w:p w14:paraId="4CE3D364" w14:textId="77777777" w:rsidR="008653A6" w:rsidRPr="00CA3519" w:rsidRDefault="008653A6" w:rsidP="008653A6">
            <w:pPr>
              <w:jc w:val="center"/>
              <w:rPr>
                <w:sz w:val="17"/>
                <w:szCs w:val="17"/>
              </w:rPr>
            </w:pPr>
            <w:r w:rsidRPr="00CA3519">
              <w:rPr>
                <w:sz w:val="17"/>
                <w:szCs w:val="17"/>
              </w:rPr>
              <w:t>0,369</w:t>
            </w:r>
          </w:p>
        </w:tc>
        <w:tc>
          <w:tcPr>
            <w:tcW w:w="1086" w:type="dxa"/>
            <w:tcBorders>
              <w:top w:val="single" w:sz="4" w:space="0" w:color="auto"/>
              <w:left w:val="single" w:sz="4" w:space="0" w:color="auto"/>
              <w:bottom w:val="single" w:sz="4" w:space="0" w:color="auto"/>
              <w:right w:val="single" w:sz="4" w:space="0" w:color="auto"/>
            </w:tcBorders>
            <w:vAlign w:val="center"/>
          </w:tcPr>
          <w:p w14:paraId="5B319345" w14:textId="77777777" w:rsidR="008653A6" w:rsidRPr="00CA3519" w:rsidRDefault="008653A6" w:rsidP="008653A6">
            <w:pPr>
              <w:jc w:val="center"/>
              <w:rPr>
                <w:sz w:val="17"/>
                <w:szCs w:val="17"/>
              </w:rPr>
            </w:pPr>
            <w:r w:rsidRPr="00CA3519">
              <w:rPr>
                <w:sz w:val="17"/>
                <w:szCs w:val="17"/>
              </w:rPr>
              <w:t>0,518</w:t>
            </w:r>
          </w:p>
        </w:tc>
        <w:tc>
          <w:tcPr>
            <w:tcW w:w="1086" w:type="dxa"/>
            <w:tcBorders>
              <w:top w:val="single" w:sz="4" w:space="0" w:color="auto"/>
              <w:left w:val="single" w:sz="4" w:space="0" w:color="auto"/>
              <w:bottom w:val="single" w:sz="4" w:space="0" w:color="auto"/>
              <w:right w:val="single" w:sz="4" w:space="0" w:color="auto"/>
            </w:tcBorders>
            <w:vAlign w:val="center"/>
          </w:tcPr>
          <w:p w14:paraId="17EBA625" w14:textId="77777777" w:rsidR="008653A6" w:rsidRPr="00CA3519" w:rsidRDefault="008653A6" w:rsidP="008653A6">
            <w:pPr>
              <w:ind w:left="-29" w:right="-41"/>
              <w:jc w:val="center"/>
              <w:rPr>
                <w:sz w:val="17"/>
                <w:szCs w:val="17"/>
              </w:rPr>
            </w:pPr>
            <w:r w:rsidRPr="00CA3519">
              <w:rPr>
                <w:sz w:val="17"/>
                <w:szCs w:val="17"/>
              </w:rPr>
              <w:t>0,638</w:t>
            </w:r>
          </w:p>
        </w:tc>
      </w:tr>
      <w:tr w:rsidR="008653A6" w:rsidRPr="00CA3519" w14:paraId="74DE92FE"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434FB142" w14:textId="77777777" w:rsidR="008653A6" w:rsidRPr="00CA3519" w:rsidRDefault="008653A6" w:rsidP="008653A6">
            <w:pPr>
              <w:rPr>
                <w:sz w:val="17"/>
                <w:szCs w:val="17"/>
              </w:rPr>
            </w:pPr>
            <w:r w:rsidRPr="00CA3519">
              <w:rPr>
                <w:sz w:val="17"/>
                <w:szCs w:val="17"/>
              </w:rPr>
              <w:t xml:space="preserve">Februar 2018 </w:t>
            </w:r>
          </w:p>
        </w:tc>
        <w:tc>
          <w:tcPr>
            <w:tcW w:w="2113" w:type="dxa"/>
            <w:tcBorders>
              <w:top w:val="single" w:sz="4" w:space="0" w:color="auto"/>
              <w:left w:val="single" w:sz="4" w:space="0" w:color="auto"/>
              <w:bottom w:val="single" w:sz="4" w:space="0" w:color="auto"/>
              <w:right w:val="single" w:sz="4" w:space="0" w:color="auto"/>
            </w:tcBorders>
            <w:vAlign w:val="center"/>
          </w:tcPr>
          <w:p w14:paraId="634FF9A8" w14:textId="77777777" w:rsidR="008653A6" w:rsidRPr="00CA3519" w:rsidRDefault="008653A6" w:rsidP="007E1C5E">
            <w:pPr>
              <w:jc w:val="center"/>
              <w:rPr>
                <w:sz w:val="17"/>
                <w:szCs w:val="17"/>
              </w:rPr>
            </w:pPr>
            <w:r w:rsidRPr="00CA3519">
              <w:rPr>
                <w:sz w:val="17"/>
                <w:szCs w:val="17"/>
              </w:rPr>
              <w:t>15.02.2018 - Ausg. 1</w:t>
            </w:r>
          </w:p>
        </w:tc>
        <w:tc>
          <w:tcPr>
            <w:tcW w:w="1085" w:type="dxa"/>
            <w:tcBorders>
              <w:top w:val="single" w:sz="4" w:space="0" w:color="auto"/>
              <w:left w:val="single" w:sz="4" w:space="0" w:color="auto"/>
              <w:bottom w:val="single" w:sz="4" w:space="0" w:color="auto"/>
              <w:right w:val="single" w:sz="4" w:space="0" w:color="auto"/>
            </w:tcBorders>
            <w:vAlign w:val="center"/>
          </w:tcPr>
          <w:p w14:paraId="0E298337" w14:textId="77777777" w:rsidR="008653A6" w:rsidRPr="00CA3519" w:rsidRDefault="008653A6" w:rsidP="008653A6">
            <w:pPr>
              <w:jc w:val="center"/>
              <w:rPr>
                <w:sz w:val="17"/>
                <w:szCs w:val="17"/>
              </w:rPr>
            </w:pPr>
            <w:r w:rsidRPr="00CA3519">
              <w:rPr>
                <w:sz w:val="17"/>
                <w:szCs w:val="17"/>
              </w:rPr>
              <w:t>- 0,543</w:t>
            </w:r>
          </w:p>
        </w:tc>
        <w:tc>
          <w:tcPr>
            <w:tcW w:w="1086" w:type="dxa"/>
            <w:tcBorders>
              <w:top w:val="single" w:sz="4" w:space="0" w:color="auto"/>
              <w:left w:val="single" w:sz="4" w:space="0" w:color="auto"/>
              <w:bottom w:val="single" w:sz="4" w:space="0" w:color="auto"/>
              <w:right w:val="single" w:sz="4" w:space="0" w:color="auto"/>
            </w:tcBorders>
            <w:vAlign w:val="center"/>
          </w:tcPr>
          <w:p w14:paraId="699B9F02" w14:textId="77777777" w:rsidR="008653A6" w:rsidRPr="00CA3519" w:rsidRDefault="008653A6" w:rsidP="008653A6">
            <w:pPr>
              <w:jc w:val="center"/>
              <w:rPr>
                <w:sz w:val="17"/>
                <w:szCs w:val="17"/>
              </w:rPr>
            </w:pPr>
            <w:r w:rsidRPr="00CA3519">
              <w:rPr>
                <w:sz w:val="17"/>
                <w:szCs w:val="17"/>
              </w:rPr>
              <w:t>- 0,430</w:t>
            </w:r>
          </w:p>
        </w:tc>
        <w:tc>
          <w:tcPr>
            <w:tcW w:w="1085" w:type="dxa"/>
            <w:tcBorders>
              <w:top w:val="single" w:sz="4" w:space="0" w:color="auto"/>
              <w:left w:val="single" w:sz="4" w:space="0" w:color="auto"/>
              <w:bottom w:val="single" w:sz="4" w:space="0" w:color="auto"/>
              <w:right w:val="single" w:sz="4" w:space="0" w:color="auto"/>
            </w:tcBorders>
            <w:vAlign w:val="center"/>
          </w:tcPr>
          <w:p w14:paraId="122FFB40" w14:textId="77777777" w:rsidR="008653A6" w:rsidRPr="00CA3519" w:rsidRDefault="008653A6" w:rsidP="008653A6">
            <w:pPr>
              <w:jc w:val="center"/>
              <w:rPr>
                <w:sz w:val="17"/>
                <w:szCs w:val="17"/>
              </w:rPr>
            </w:pPr>
            <w:r w:rsidRPr="00CA3519">
              <w:rPr>
                <w:sz w:val="17"/>
                <w:szCs w:val="17"/>
              </w:rPr>
              <w:t>- 0,304</w:t>
            </w:r>
          </w:p>
        </w:tc>
        <w:tc>
          <w:tcPr>
            <w:tcW w:w="1086" w:type="dxa"/>
            <w:tcBorders>
              <w:top w:val="single" w:sz="4" w:space="0" w:color="auto"/>
              <w:left w:val="single" w:sz="4" w:space="0" w:color="auto"/>
              <w:bottom w:val="single" w:sz="4" w:space="0" w:color="auto"/>
              <w:right w:val="single" w:sz="4" w:space="0" w:color="auto"/>
            </w:tcBorders>
            <w:vAlign w:val="center"/>
          </w:tcPr>
          <w:p w14:paraId="55C692D3" w14:textId="77777777" w:rsidR="008653A6" w:rsidRPr="00CA3519" w:rsidRDefault="008653A6" w:rsidP="008653A6">
            <w:pPr>
              <w:jc w:val="center"/>
              <w:rPr>
                <w:sz w:val="17"/>
                <w:szCs w:val="17"/>
              </w:rPr>
            </w:pPr>
            <w:r w:rsidRPr="00CA3519">
              <w:rPr>
                <w:sz w:val="17"/>
                <w:szCs w:val="17"/>
              </w:rPr>
              <w:t>- 0,156</w:t>
            </w:r>
          </w:p>
        </w:tc>
        <w:tc>
          <w:tcPr>
            <w:tcW w:w="1086" w:type="dxa"/>
            <w:tcBorders>
              <w:top w:val="single" w:sz="4" w:space="0" w:color="auto"/>
              <w:left w:val="single" w:sz="4" w:space="0" w:color="auto"/>
              <w:bottom w:val="single" w:sz="4" w:space="0" w:color="auto"/>
              <w:right w:val="single" w:sz="4" w:space="0" w:color="auto"/>
            </w:tcBorders>
            <w:vAlign w:val="center"/>
          </w:tcPr>
          <w:p w14:paraId="3DFB9AEB" w14:textId="77777777" w:rsidR="008653A6" w:rsidRPr="00CA3519" w:rsidRDefault="008653A6" w:rsidP="008653A6">
            <w:pPr>
              <w:jc w:val="center"/>
              <w:rPr>
                <w:sz w:val="17"/>
                <w:szCs w:val="17"/>
              </w:rPr>
            </w:pPr>
            <w:r w:rsidRPr="00CA3519">
              <w:rPr>
                <w:sz w:val="17"/>
                <w:szCs w:val="17"/>
              </w:rPr>
              <w:t>0,026</w:t>
            </w:r>
          </w:p>
        </w:tc>
        <w:tc>
          <w:tcPr>
            <w:tcW w:w="1085" w:type="dxa"/>
            <w:tcBorders>
              <w:top w:val="single" w:sz="4" w:space="0" w:color="auto"/>
              <w:left w:val="single" w:sz="4" w:space="0" w:color="auto"/>
              <w:bottom w:val="single" w:sz="4" w:space="0" w:color="auto"/>
              <w:right w:val="single" w:sz="4" w:space="0" w:color="auto"/>
            </w:tcBorders>
            <w:vAlign w:val="center"/>
          </w:tcPr>
          <w:p w14:paraId="78730348" w14:textId="77777777" w:rsidR="008653A6" w:rsidRPr="00CA3519" w:rsidRDefault="008653A6" w:rsidP="008653A6">
            <w:pPr>
              <w:jc w:val="center"/>
              <w:rPr>
                <w:sz w:val="17"/>
                <w:szCs w:val="17"/>
              </w:rPr>
            </w:pPr>
            <w:r w:rsidRPr="00CA3519">
              <w:rPr>
                <w:sz w:val="17"/>
                <w:szCs w:val="17"/>
              </w:rPr>
              <w:t>0,230</w:t>
            </w:r>
          </w:p>
        </w:tc>
        <w:tc>
          <w:tcPr>
            <w:tcW w:w="1086" w:type="dxa"/>
            <w:tcBorders>
              <w:top w:val="single" w:sz="4" w:space="0" w:color="auto"/>
              <w:left w:val="single" w:sz="4" w:space="0" w:color="auto"/>
              <w:bottom w:val="single" w:sz="4" w:space="0" w:color="auto"/>
              <w:right w:val="single" w:sz="4" w:space="0" w:color="auto"/>
            </w:tcBorders>
            <w:vAlign w:val="center"/>
          </w:tcPr>
          <w:p w14:paraId="6F51E028" w14:textId="77777777" w:rsidR="008653A6" w:rsidRPr="00CA3519" w:rsidRDefault="008653A6" w:rsidP="008653A6">
            <w:pPr>
              <w:jc w:val="center"/>
              <w:rPr>
                <w:sz w:val="17"/>
                <w:szCs w:val="17"/>
              </w:rPr>
            </w:pPr>
            <w:r w:rsidRPr="00CA3519">
              <w:rPr>
                <w:sz w:val="17"/>
                <w:szCs w:val="17"/>
              </w:rPr>
              <w:t>0,432</w:t>
            </w:r>
          </w:p>
        </w:tc>
        <w:tc>
          <w:tcPr>
            <w:tcW w:w="1085" w:type="dxa"/>
            <w:tcBorders>
              <w:top w:val="single" w:sz="4" w:space="0" w:color="auto"/>
              <w:left w:val="single" w:sz="4" w:space="0" w:color="auto"/>
              <w:bottom w:val="single" w:sz="4" w:space="0" w:color="auto"/>
              <w:right w:val="single" w:sz="4" w:space="0" w:color="auto"/>
            </w:tcBorders>
            <w:vAlign w:val="center"/>
          </w:tcPr>
          <w:p w14:paraId="33115A3D" w14:textId="77777777" w:rsidR="008653A6" w:rsidRPr="00CA3519" w:rsidRDefault="008653A6" w:rsidP="008653A6">
            <w:pPr>
              <w:jc w:val="center"/>
              <w:rPr>
                <w:sz w:val="17"/>
                <w:szCs w:val="17"/>
              </w:rPr>
            </w:pPr>
            <w:r w:rsidRPr="00CA3519">
              <w:rPr>
                <w:sz w:val="17"/>
                <w:szCs w:val="17"/>
              </w:rPr>
              <w:t>0,603</w:t>
            </w:r>
          </w:p>
        </w:tc>
        <w:tc>
          <w:tcPr>
            <w:tcW w:w="1086" w:type="dxa"/>
            <w:tcBorders>
              <w:top w:val="single" w:sz="4" w:space="0" w:color="auto"/>
              <w:left w:val="single" w:sz="4" w:space="0" w:color="auto"/>
              <w:bottom w:val="single" w:sz="4" w:space="0" w:color="auto"/>
              <w:right w:val="single" w:sz="4" w:space="0" w:color="auto"/>
            </w:tcBorders>
            <w:vAlign w:val="center"/>
          </w:tcPr>
          <w:p w14:paraId="3BBFABCE" w14:textId="77777777" w:rsidR="008653A6" w:rsidRPr="00CA3519" w:rsidRDefault="008653A6" w:rsidP="008653A6">
            <w:pPr>
              <w:jc w:val="center"/>
              <w:rPr>
                <w:sz w:val="17"/>
                <w:szCs w:val="17"/>
              </w:rPr>
            </w:pPr>
            <w:r w:rsidRPr="00CA3519">
              <w:rPr>
                <w:sz w:val="17"/>
                <w:szCs w:val="17"/>
              </w:rPr>
              <w:t>0,743</w:t>
            </w:r>
          </w:p>
        </w:tc>
        <w:tc>
          <w:tcPr>
            <w:tcW w:w="1086" w:type="dxa"/>
            <w:tcBorders>
              <w:top w:val="single" w:sz="4" w:space="0" w:color="auto"/>
              <w:left w:val="single" w:sz="4" w:space="0" w:color="auto"/>
              <w:bottom w:val="single" w:sz="4" w:space="0" w:color="auto"/>
              <w:right w:val="single" w:sz="4" w:space="0" w:color="auto"/>
            </w:tcBorders>
            <w:vAlign w:val="center"/>
          </w:tcPr>
          <w:p w14:paraId="432EC8EA" w14:textId="77777777" w:rsidR="008653A6" w:rsidRPr="00CA3519" w:rsidRDefault="008653A6" w:rsidP="008653A6">
            <w:pPr>
              <w:ind w:left="-29" w:right="-41"/>
              <w:jc w:val="center"/>
              <w:rPr>
                <w:sz w:val="17"/>
                <w:szCs w:val="17"/>
              </w:rPr>
            </w:pPr>
            <w:r w:rsidRPr="00CA3519">
              <w:rPr>
                <w:sz w:val="17"/>
                <w:szCs w:val="17"/>
              </w:rPr>
              <w:t>0,853</w:t>
            </w:r>
          </w:p>
        </w:tc>
      </w:tr>
      <w:tr w:rsidR="008653A6" w:rsidRPr="00CA3519" w14:paraId="07FED597"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19BA203F" w14:textId="77777777" w:rsidR="008653A6" w:rsidRPr="00CA3519" w:rsidRDefault="008653A6" w:rsidP="008653A6">
            <w:pPr>
              <w:rPr>
                <w:sz w:val="17"/>
                <w:szCs w:val="17"/>
              </w:rPr>
            </w:pPr>
            <w:r w:rsidRPr="00CA3519">
              <w:rPr>
                <w:sz w:val="17"/>
                <w:szCs w:val="17"/>
              </w:rPr>
              <w:t xml:space="preserve">März 2018 </w:t>
            </w:r>
          </w:p>
        </w:tc>
        <w:tc>
          <w:tcPr>
            <w:tcW w:w="2113" w:type="dxa"/>
            <w:tcBorders>
              <w:top w:val="single" w:sz="4" w:space="0" w:color="auto"/>
              <w:left w:val="single" w:sz="4" w:space="0" w:color="auto"/>
              <w:bottom w:val="single" w:sz="4" w:space="0" w:color="auto"/>
              <w:right w:val="single" w:sz="4" w:space="0" w:color="auto"/>
            </w:tcBorders>
            <w:vAlign w:val="center"/>
          </w:tcPr>
          <w:p w14:paraId="1473E209" w14:textId="77777777" w:rsidR="008653A6" w:rsidRPr="00CA3519" w:rsidRDefault="008653A6" w:rsidP="007E1C5E">
            <w:pPr>
              <w:jc w:val="center"/>
              <w:rPr>
                <w:sz w:val="17"/>
                <w:szCs w:val="17"/>
              </w:rPr>
            </w:pPr>
            <w:r w:rsidRPr="00CA3519">
              <w:rPr>
                <w:sz w:val="17"/>
                <w:szCs w:val="17"/>
              </w:rPr>
              <w:t>15.03.2018 - Ausg. 1</w:t>
            </w:r>
          </w:p>
        </w:tc>
        <w:tc>
          <w:tcPr>
            <w:tcW w:w="1085" w:type="dxa"/>
            <w:tcBorders>
              <w:top w:val="single" w:sz="4" w:space="0" w:color="auto"/>
              <w:left w:val="single" w:sz="4" w:space="0" w:color="auto"/>
              <w:bottom w:val="single" w:sz="4" w:space="0" w:color="auto"/>
              <w:right w:val="single" w:sz="4" w:space="0" w:color="auto"/>
            </w:tcBorders>
            <w:vAlign w:val="center"/>
          </w:tcPr>
          <w:p w14:paraId="3CB3423F" w14:textId="77777777" w:rsidR="008653A6" w:rsidRPr="00CA3519" w:rsidRDefault="008653A6" w:rsidP="008653A6">
            <w:pPr>
              <w:jc w:val="center"/>
              <w:rPr>
                <w:sz w:val="17"/>
                <w:szCs w:val="17"/>
              </w:rPr>
            </w:pPr>
            <w:r w:rsidRPr="00CA3519">
              <w:rPr>
                <w:sz w:val="17"/>
                <w:szCs w:val="17"/>
              </w:rPr>
              <w:t>- 0,562</w:t>
            </w:r>
          </w:p>
        </w:tc>
        <w:tc>
          <w:tcPr>
            <w:tcW w:w="1086" w:type="dxa"/>
            <w:tcBorders>
              <w:top w:val="single" w:sz="4" w:space="0" w:color="auto"/>
              <w:left w:val="single" w:sz="4" w:space="0" w:color="auto"/>
              <w:bottom w:val="single" w:sz="4" w:space="0" w:color="auto"/>
              <w:right w:val="single" w:sz="4" w:space="0" w:color="auto"/>
            </w:tcBorders>
            <w:vAlign w:val="center"/>
          </w:tcPr>
          <w:p w14:paraId="44012F99" w14:textId="77777777" w:rsidR="008653A6" w:rsidRPr="00CA3519" w:rsidRDefault="008653A6" w:rsidP="008653A6">
            <w:pPr>
              <w:jc w:val="center"/>
              <w:rPr>
                <w:sz w:val="17"/>
                <w:szCs w:val="17"/>
              </w:rPr>
            </w:pPr>
            <w:r w:rsidRPr="00CA3519">
              <w:rPr>
                <w:sz w:val="17"/>
                <w:szCs w:val="17"/>
              </w:rPr>
              <w:t>- 0,441</w:t>
            </w:r>
          </w:p>
        </w:tc>
        <w:tc>
          <w:tcPr>
            <w:tcW w:w="1085" w:type="dxa"/>
            <w:tcBorders>
              <w:top w:val="single" w:sz="4" w:space="0" w:color="auto"/>
              <w:left w:val="single" w:sz="4" w:space="0" w:color="auto"/>
              <w:bottom w:val="single" w:sz="4" w:space="0" w:color="auto"/>
              <w:right w:val="single" w:sz="4" w:space="0" w:color="auto"/>
            </w:tcBorders>
            <w:vAlign w:val="center"/>
          </w:tcPr>
          <w:p w14:paraId="7C8BC9B5" w14:textId="77777777" w:rsidR="008653A6" w:rsidRPr="00CA3519" w:rsidRDefault="008653A6" w:rsidP="008653A6">
            <w:pPr>
              <w:jc w:val="center"/>
              <w:rPr>
                <w:sz w:val="17"/>
                <w:szCs w:val="17"/>
              </w:rPr>
            </w:pPr>
            <w:r w:rsidRPr="00CA3519">
              <w:rPr>
                <w:sz w:val="17"/>
                <w:szCs w:val="17"/>
              </w:rPr>
              <w:t>- 0,298</w:t>
            </w:r>
          </w:p>
        </w:tc>
        <w:tc>
          <w:tcPr>
            <w:tcW w:w="1086" w:type="dxa"/>
            <w:tcBorders>
              <w:top w:val="single" w:sz="4" w:space="0" w:color="auto"/>
              <w:left w:val="single" w:sz="4" w:space="0" w:color="auto"/>
              <w:bottom w:val="single" w:sz="4" w:space="0" w:color="auto"/>
              <w:right w:val="single" w:sz="4" w:space="0" w:color="auto"/>
            </w:tcBorders>
            <w:vAlign w:val="center"/>
          </w:tcPr>
          <w:p w14:paraId="19C62FC0" w14:textId="77777777" w:rsidR="008653A6" w:rsidRPr="00CA3519" w:rsidRDefault="008653A6" w:rsidP="008653A6">
            <w:pPr>
              <w:jc w:val="center"/>
              <w:rPr>
                <w:sz w:val="17"/>
                <w:szCs w:val="17"/>
              </w:rPr>
            </w:pPr>
            <w:r w:rsidRPr="00CA3519">
              <w:rPr>
                <w:sz w:val="17"/>
                <w:szCs w:val="17"/>
              </w:rPr>
              <w:t>- 0,119</w:t>
            </w:r>
          </w:p>
        </w:tc>
        <w:tc>
          <w:tcPr>
            <w:tcW w:w="1086" w:type="dxa"/>
            <w:tcBorders>
              <w:top w:val="single" w:sz="4" w:space="0" w:color="auto"/>
              <w:left w:val="single" w:sz="4" w:space="0" w:color="auto"/>
              <w:bottom w:val="single" w:sz="4" w:space="0" w:color="auto"/>
              <w:right w:val="single" w:sz="4" w:space="0" w:color="auto"/>
            </w:tcBorders>
            <w:vAlign w:val="center"/>
          </w:tcPr>
          <w:p w14:paraId="63228A20" w14:textId="77777777" w:rsidR="008653A6" w:rsidRPr="00CA3519" w:rsidRDefault="008653A6" w:rsidP="008653A6">
            <w:pPr>
              <w:jc w:val="center"/>
              <w:rPr>
                <w:sz w:val="17"/>
                <w:szCs w:val="17"/>
              </w:rPr>
            </w:pPr>
            <w:r w:rsidRPr="00CA3519">
              <w:rPr>
                <w:sz w:val="17"/>
                <w:szCs w:val="17"/>
              </w:rPr>
              <w:t>0,093</w:t>
            </w:r>
          </w:p>
        </w:tc>
        <w:tc>
          <w:tcPr>
            <w:tcW w:w="1085" w:type="dxa"/>
            <w:tcBorders>
              <w:top w:val="single" w:sz="4" w:space="0" w:color="auto"/>
              <w:left w:val="single" w:sz="4" w:space="0" w:color="auto"/>
              <w:bottom w:val="single" w:sz="4" w:space="0" w:color="auto"/>
              <w:right w:val="single" w:sz="4" w:space="0" w:color="auto"/>
            </w:tcBorders>
            <w:vAlign w:val="center"/>
          </w:tcPr>
          <w:p w14:paraId="3F19E25D" w14:textId="77777777" w:rsidR="008653A6" w:rsidRPr="00CA3519" w:rsidRDefault="008653A6" w:rsidP="008653A6">
            <w:pPr>
              <w:jc w:val="center"/>
              <w:rPr>
                <w:sz w:val="17"/>
                <w:szCs w:val="17"/>
              </w:rPr>
            </w:pPr>
            <w:r w:rsidRPr="00CA3519">
              <w:rPr>
                <w:sz w:val="17"/>
                <w:szCs w:val="17"/>
              </w:rPr>
              <w:t>0,319</w:t>
            </w:r>
          </w:p>
        </w:tc>
        <w:tc>
          <w:tcPr>
            <w:tcW w:w="1086" w:type="dxa"/>
            <w:tcBorders>
              <w:top w:val="single" w:sz="4" w:space="0" w:color="auto"/>
              <w:left w:val="single" w:sz="4" w:space="0" w:color="auto"/>
              <w:bottom w:val="single" w:sz="4" w:space="0" w:color="auto"/>
              <w:right w:val="single" w:sz="4" w:space="0" w:color="auto"/>
            </w:tcBorders>
            <w:vAlign w:val="center"/>
          </w:tcPr>
          <w:p w14:paraId="5F0DE379" w14:textId="77777777" w:rsidR="008653A6" w:rsidRPr="00CA3519" w:rsidRDefault="008653A6" w:rsidP="008653A6">
            <w:pPr>
              <w:jc w:val="center"/>
              <w:rPr>
                <w:sz w:val="17"/>
                <w:szCs w:val="17"/>
              </w:rPr>
            </w:pPr>
            <w:r w:rsidRPr="00CA3519">
              <w:rPr>
                <w:sz w:val="17"/>
                <w:szCs w:val="17"/>
              </w:rPr>
              <w:t>0,529</w:t>
            </w:r>
          </w:p>
        </w:tc>
        <w:tc>
          <w:tcPr>
            <w:tcW w:w="1085" w:type="dxa"/>
            <w:tcBorders>
              <w:top w:val="single" w:sz="4" w:space="0" w:color="auto"/>
              <w:left w:val="single" w:sz="4" w:space="0" w:color="auto"/>
              <w:bottom w:val="single" w:sz="4" w:space="0" w:color="auto"/>
              <w:right w:val="single" w:sz="4" w:space="0" w:color="auto"/>
            </w:tcBorders>
            <w:vAlign w:val="center"/>
          </w:tcPr>
          <w:p w14:paraId="32DC830E" w14:textId="77777777" w:rsidR="008653A6" w:rsidRPr="00CA3519" w:rsidRDefault="008653A6" w:rsidP="008653A6">
            <w:pPr>
              <w:jc w:val="center"/>
              <w:rPr>
                <w:sz w:val="17"/>
                <w:szCs w:val="17"/>
              </w:rPr>
            </w:pPr>
            <w:r w:rsidRPr="00CA3519">
              <w:rPr>
                <w:sz w:val="17"/>
                <w:szCs w:val="17"/>
              </w:rPr>
              <w:t>0,704</w:t>
            </w:r>
          </w:p>
        </w:tc>
        <w:tc>
          <w:tcPr>
            <w:tcW w:w="1086" w:type="dxa"/>
            <w:tcBorders>
              <w:top w:val="single" w:sz="4" w:space="0" w:color="auto"/>
              <w:left w:val="single" w:sz="4" w:space="0" w:color="auto"/>
              <w:bottom w:val="single" w:sz="4" w:space="0" w:color="auto"/>
              <w:right w:val="single" w:sz="4" w:space="0" w:color="auto"/>
            </w:tcBorders>
            <w:vAlign w:val="center"/>
          </w:tcPr>
          <w:p w14:paraId="509C91B8" w14:textId="77777777" w:rsidR="008653A6" w:rsidRPr="00CA3519" w:rsidRDefault="008653A6" w:rsidP="008653A6">
            <w:pPr>
              <w:jc w:val="center"/>
              <w:rPr>
                <w:sz w:val="17"/>
                <w:szCs w:val="17"/>
              </w:rPr>
            </w:pPr>
            <w:r w:rsidRPr="00CA3519">
              <w:rPr>
                <w:sz w:val="17"/>
                <w:szCs w:val="17"/>
              </w:rPr>
              <w:t>0,840</w:t>
            </w:r>
          </w:p>
        </w:tc>
        <w:tc>
          <w:tcPr>
            <w:tcW w:w="1086" w:type="dxa"/>
            <w:tcBorders>
              <w:top w:val="single" w:sz="4" w:space="0" w:color="auto"/>
              <w:left w:val="single" w:sz="4" w:space="0" w:color="auto"/>
              <w:bottom w:val="single" w:sz="4" w:space="0" w:color="auto"/>
              <w:right w:val="single" w:sz="4" w:space="0" w:color="auto"/>
            </w:tcBorders>
            <w:vAlign w:val="center"/>
          </w:tcPr>
          <w:p w14:paraId="218F0D52" w14:textId="77777777" w:rsidR="008653A6" w:rsidRPr="00CA3519" w:rsidRDefault="008653A6" w:rsidP="008653A6">
            <w:pPr>
              <w:ind w:left="-29" w:right="-41"/>
              <w:jc w:val="center"/>
              <w:rPr>
                <w:sz w:val="17"/>
                <w:szCs w:val="17"/>
              </w:rPr>
            </w:pPr>
            <w:r w:rsidRPr="00CA3519">
              <w:rPr>
                <w:sz w:val="17"/>
                <w:szCs w:val="17"/>
              </w:rPr>
              <w:t>0,946</w:t>
            </w:r>
          </w:p>
        </w:tc>
      </w:tr>
      <w:tr w:rsidR="008653A6" w:rsidRPr="00CA3519" w14:paraId="1F5F3E24"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5654AA51" w14:textId="77777777" w:rsidR="008653A6" w:rsidRPr="00CA3519" w:rsidRDefault="008653A6" w:rsidP="008653A6">
            <w:pPr>
              <w:rPr>
                <w:sz w:val="17"/>
                <w:szCs w:val="17"/>
              </w:rPr>
            </w:pPr>
            <w:r w:rsidRPr="00CA3519">
              <w:rPr>
                <w:sz w:val="17"/>
                <w:szCs w:val="17"/>
              </w:rPr>
              <w:lastRenderedPageBreak/>
              <w:t xml:space="preserve">April 2018 </w:t>
            </w:r>
          </w:p>
        </w:tc>
        <w:tc>
          <w:tcPr>
            <w:tcW w:w="2113" w:type="dxa"/>
            <w:tcBorders>
              <w:top w:val="single" w:sz="4" w:space="0" w:color="auto"/>
              <w:left w:val="single" w:sz="4" w:space="0" w:color="auto"/>
              <w:bottom w:val="single" w:sz="4" w:space="0" w:color="auto"/>
              <w:right w:val="single" w:sz="4" w:space="0" w:color="auto"/>
            </w:tcBorders>
            <w:vAlign w:val="center"/>
          </w:tcPr>
          <w:p w14:paraId="0916C291" w14:textId="77777777" w:rsidR="008653A6" w:rsidRPr="00CA3519" w:rsidRDefault="008653A6" w:rsidP="007E1C5E">
            <w:pPr>
              <w:jc w:val="center"/>
              <w:rPr>
                <w:sz w:val="17"/>
                <w:szCs w:val="17"/>
              </w:rPr>
            </w:pPr>
            <w:r w:rsidRPr="00CA3519">
              <w:rPr>
                <w:sz w:val="17"/>
                <w:szCs w:val="17"/>
              </w:rPr>
              <w:t>18.04.2018 - Ausg. 1</w:t>
            </w:r>
          </w:p>
        </w:tc>
        <w:tc>
          <w:tcPr>
            <w:tcW w:w="1085" w:type="dxa"/>
            <w:tcBorders>
              <w:top w:val="single" w:sz="4" w:space="0" w:color="auto"/>
              <w:left w:val="single" w:sz="4" w:space="0" w:color="auto"/>
              <w:bottom w:val="single" w:sz="4" w:space="0" w:color="auto"/>
              <w:right w:val="single" w:sz="4" w:space="0" w:color="auto"/>
            </w:tcBorders>
            <w:vAlign w:val="center"/>
          </w:tcPr>
          <w:p w14:paraId="4932DFAF" w14:textId="77777777" w:rsidR="008653A6" w:rsidRPr="00CA3519" w:rsidRDefault="008653A6" w:rsidP="008653A6">
            <w:pPr>
              <w:jc w:val="center"/>
              <w:rPr>
                <w:sz w:val="17"/>
                <w:szCs w:val="17"/>
              </w:rPr>
            </w:pPr>
            <w:r w:rsidRPr="00CA3519">
              <w:rPr>
                <w:sz w:val="17"/>
                <w:szCs w:val="17"/>
              </w:rPr>
              <w:t>- 0,564</w:t>
            </w:r>
          </w:p>
        </w:tc>
        <w:tc>
          <w:tcPr>
            <w:tcW w:w="1086" w:type="dxa"/>
            <w:tcBorders>
              <w:top w:val="single" w:sz="4" w:space="0" w:color="auto"/>
              <w:left w:val="single" w:sz="4" w:space="0" w:color="auto"/>
              <w:bottom w:val="single" w:sz="4" w:space="0" w:color="auto"/>
              <w:right w:val="single" w:sz="4" w:space="0" w:color="auto"/>
            </w:tcBorders>
            <w:vAlign w:val="center"/>
          </w:tcPr>
          <w:p w14:paraId="3FBC2074" w14:textId="77777777" w:rsidR="008653A6" w:rsidRPr="00CA3519" w:rsidRDefault="008653A6" w:rsidP="008653A6">
            <w:pPr>
              <w:jc w:val="center"/>
              <w:rPr>
                <w:sz w:val="17"/>
                <w:szCs w:val="17"/>
              </w:rPr>
            </w:pPr>
            <w:r w:rsidRPr="00CA3519">
              <w:rPr>
                <w:sz w:val="17"/>
                <w:szCs w:val="17"/>
              </w:rPr>
              <w:t>- 0,478</w:t>
            </w:r>
          </w:p>
        </w:tc>
        <w:tc>
          <w:tcPr>
            <w:tcW w:w="1085" w:type="dxa"/>
            <w:tcBorders>
              <w:top w:val="single" w:sz="4" w:space="0" w:color="auto"/>
              <w:left w:val="single" w:sz="4" w:space="0" w:color="auto"/>
              <w:bottom w:val="single" w:sz="4" w:space="0" w:color="auto"/>
              <w:right w:val="single" w:sz="4" w:space="0" w:color="auto"/>
            </w:tcBorders>
            <w:vAlign w:val="center"/>
          </w:tcPr>
          <w:p w14:paraId="2F35E0DA" w14:textId="77777777" w:rsidR="008653A6" w:rsidRPr="00CA3519" w:rsidRDefault="008653A6" w:rsidP="008653A6">
            <w:pPr>
              <w:jc w:val="center"/>
              <w:rPr>
                <w:sz w:val="17"/>
                <w:szCs w:val="17"/>
              </w:rPr>
            </w:pPr>
            <w:r w:rsidRPr="00CA3519">
              <w:rPr>
                <w:sz w:val="17"/>
                <w:szCs w:val="17"/>
              </w:rPr>
              <w:t>- 0,358</w:t>
            </w:r>
          </w:p>
        </w:tc>
        <w:tc>
          <w:tcPr>
            <w:tcW w:w="1086" w:type="dxa"/>
            <w:tcBorders>
              <w:top w:val="single" w:sz="4" w:space="0" w:color="auto"/>
              <w:left w:val="single" w:sz="4" w:space="0" w:color="auto"/>
              <w:bottom w:val="single" w:sz="4" w:space="0" w:color="auto"/>
              <w:right w:val="single" w:sz="4" w:space="0" w:color="auto"/>
            </w:tcBorders>
            <w:vAlign w:val="center"/>
          </w:tcPr>
          <w:p w14:paraId="40FFD573" w14:textId="77777777" w:rsidR="008653A6" w:rsidRPr="00CA3519" w:rsidRDefault="008653A6" w:rsidP="008653A6">
            <w:pPr>
              <w:jc w:val="center"/>
              <w:rPr>
                <w:sz w:val="17"/>
                <w:szCs w:val="17"/>
              </w:rPr>
            </w:pPr>
            <w:r w:rsidRPr="00CA3519">
              <w:rPr>
                <w:sz w:val="17"/>
                <w:szCs w:val="17"/>
              </w:rPr>
              <w:t>- 0,194</w:t>
            </w:r>
          </w:p>
        </w:tc>
        <w:tc>
          <w:tcPr>
            <w:tcW w:w="1086" w:type="dxa"/>
            <w:tcBorders>
              <w:top w:val="single" w:sz="4" w:space="0" w:color="auto"/>
              <w:left w:val="single" w:sz="4" w:space="0" w:color="auto"/>
              <w:bottom w:val="single" w:sz="4" w:space="0" w:color="auto"/>
              <w:right w:val="single" w:sz="4" w:space="0" w:color="auto"/>
            </w:tcBorders>
            <w:vAlign w:val="center"/>
          </w:tcPr>
          <w:p w14:paraId="31AC76D8" w14:textId="77777777" w:rsidR="008653A6" w:rsidRPr="00CA3519" w:rsidRDefault="008653A6" w:rsidP="008653A6">
            <w:pPr>
              <w:jc w:val="center"/>
              <w:rPr>
                <w:sz w:val="17"/>
                <w:szCs w:val="17"/>
              </w:rPr>
            </w:pPr>
            <w:r w:rsidRPr="00CA3519">
              <w:rPr>
                <w:sz w:val="17"/>
                <w:szCs w:val="17"/>
              </w:rPr>
              <w:t>0,003</w:t>
            </w:r>
          </w:p>
        </w:tc>
        <w:tc>
          <w:tcPr>
            <w:tcW w:w="1085" w:type="dxa"/>
            <w:tcBorders>
              <w:top w:val="single" w:sz="4" w:space="0" w:color="auto"/>
              <w:left w:val="single" w:sz="4" w:space="0" w:color="auto"/>
              <w:bottom w:val="single" w:sz="4" w:space="0" w:color="auto"/>
              <w:right w:val="single" w:sz="4" w:space="0" w:color="auto"/>
            </w:tcBorders>
            <w:vAlign w:val="center"/>
          </w:tcPr>
          <w:p w14:paraId="4057FCAF" w14:textId="77777777" w:rsidR="008653A6" w:rsidRPr="00CA3519" w:rsidRDefault="008653A6" w:rsidP="008653A6">
            <w:pPr>
              <w:jc w:val="center"/>
              <w:rPr>
                <w:sz w:val="17"/>
                <w:szCs w:val="17"/>
              </w:rPr>
            </w:pPr>
            <w:r w:rsidRPr="00CA3519">
              <w:rPr>
                <w:sz w:val="17"/>
                <w:szCs w:val="17"/>
              </w:rPr>
              <w:t>0,212</w:t>
            </w:r>
          </w:p>
        </w:tc>
        <w:tc>
          <w:tcPr>
            <w:tcW w:w="1086" w:type="dxa"/>
            <w:tcBorders>
              <w:top w:val="single" w:sz="4" w:space="0" w:color="auto"/>
              <w:left w:val="single" w:sz="4" w:space="0" w:color="auto"/>
              <w:bottom w:val="single" w:sz="4" w:space="0" w:color="auto"/>
              <w:right w:val="single" w:sz="4" w:space="0" w:color="auto"/>
            </w:tcBorders>
            <w:vAlign w:val="center"/>
          </w:tcPr>
          <w:p w14:paraId="0A85929B" w14:textId="77777777" w:rsidR="008653A6" w:rsidRPr="00CA3519" w:rsidRDefault="008653A6" w:rsidP="008653A6">
            <w:pPr>
              <w:jc w:val="center"/>
              <w:rPr>
                <w:sz w:val="17"/>
                <w:szCs w:val="17"/>
              </w:rPr>
            </w:pPr>
            <w:r w:rsidRPr="00CA3519">
              <w:rPr>
                <w:sz w:val="17"/>
                <w:szCs w:val="17"/>
              </w:rPr>
              <w:t>0,407</w:t>
            </w:r>
          </w:p>
        </w:tc>
        <w:tc>
          <w:tcPr>
            <w:tcW w:w="1085" w:type="dxa"/>
            <w:tcBorders>
              <w:top w:val="single" w:sz="4" w:space="0" w:color="auto"/>
              <w:left w:val="single" w:sz="4" w:space="0" w:color="auto"/>
              <w:bottom w:val="single" w:sz="4" w:space="0" w:color="auto"/>
              <w:right w:val="single" w:sz="4" w:space="0" w:color="auto"/>
            </w:tcBorders>
            <w:vAlign w:val="center"/>
          </w:tcPr>
          <w:p w14:paraId="4155ED4B" w14:textId="77777777" w:rsidR="008653A6" w:rsidRPr="00CA3519" w:rsidRDefault="008653A6" w:rsidP="008653A6">
            <w:pPr>
              <w:jc w:val="center"/>
              <w:rPr>
                <w:sz w:val="17"/>
                <w:szCs w:val="17"/>
              </w:rPr>
            </w:pPr>
            <w:r w:rsidRPr="00CA3519">
              <w:rPr>
                <w:sz w:val="17"/>
                <w:szCs w:val="17"/>
              </w:rPr>
              <w:t>0,570</w:t>
            </w:r>
          </w:p>
        </w:tc>
        <w:tc>
          <w:tcPr>
            <w:tcW w:w="1086" w:type="dxa"/>
            <w:tcBorders>
              <w:top w:val="single" w:sz="4" w:space="0" w:color="auto"/>
              <w:left w:val="single" w:sz="4" w:space="0" w:color="auto"/>
              <w:bottom w:val="single" w:sz="4" w:space="0" w:color="auto"/>
              <w:right w:val="single" w:sz="4" w:space="0" w:color="auto"/>
            </w:tcBorders>
            <w:vAlign w:val="center"/>
          </w:tcPr>
          <w:p w14:paraId="187D3DCD" w14:textId="77777777" w:rsidR="008653A6" w:rsidRPr="00CA3519" w:rsidRDefault="008653A6" w:rsidP="008653A6">
            <w:pPr>
              <w:ind w:left="-16"/>
              <w:jc w:val="center"/>
              <w:rPr>
                <w:sz w:val="17"/>
                <w:szCs w:val="17"/>
              </w:rPr>
            </w:pPr>
            <w:r w:rsidRPr="00CA3519">
              <w:rPr>
                <w:sz w:val="17"/>
                <w:szCs w:val="17"/>
              </w:rPr>
              <w:t>0,702</w:t>
            </w:r>
          </w:p>
        </w:tc>
        <w:tc>
          <w:tcPr>
            <w:tcW w:w="1086" w:type="dxa"/>
            <w:tcBorders>
              <w:top w:val="single" w:sz="4" w:space="0" w:color="auto"/>
              <w:left w:val="single" w:sz="4" w:space="0" w:color="auto"/>
              <w:bottom w:val="single" w:sz="4" w:space="0" w:color="auto"/>
              <w:right w:val="single" w:sz="4" w:space="0" w:color="auto"/>
            </w:tcBorders>
            <w:vAlign w:val="center"/>
          </w:tcPr>
          <w:p w14:paraId="17B89600" w14:textId="77777777" w:rsidR="008653A6" w:rsidRPr="00CA3519" w:rsidRDefault="008653A6" w:rsidP="008653A6">
            <w:pPr>
              <w:jc w:val="center"/>
              <w:rPr>
                <w:sz w:val="17"/>
                <w:szCs w:val="17"/>
              </w:rPr>
            </w:pPr>
            <w:r w:rsidRPr="00CA3519">
              <w:rPr>
                <w:sz w:val="17"/>
                <w:szCs w:val="17"/>
              </w:rPr>
              <w:t>0,806</w:t>
            </w:r>
          </w:p>
        </w:tc>
      </w:tr>
      <w:tr w:rsidR="008653A6" w:rsidRPr="00CA3519" w14:paraId="564BEAE8"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23DFB123" w14:textId="77777777" w:rsidR="008653A6" w:rsidRPr="00CA3519" w:rsidRDefault="008653A6" w:rsidP="008653A6">
            <w:pPr>
              <w:rPr>
                <w:sz w:val="17"/>
                <w:szCs w:val="17"/>
              </w:rPr>
            </w:pPr>
            <w:r w:rsidRPr="00CA3519">
              <w:rPr>
                <w:sz w:val="17"/>
                <w:szCs w:val="17"/>
              </w:rPr>
              <w:t xml:space="preserve">Mai 2018 </w:t>
            </w:r>
          </w:p>
        </w:tc>
        <w:tc>
          <w:tcPr>
            <w:tcW w:w="2113" w:type="dxa"/>
            <w:tcBorders>
              <w:top w:val="single" w:sz="4" w:space="0" w:color="auto"/>
              <w:left w:val="single" w:sz="4" w:space="0" w:color="auto"/>
              <w:bottom w:val="single" w:sz="4" w:space="0" w:color="auto"/>
              <w:right w:val="single" w:sz="4" w:space="0" w:color="auto"/>
            </w:tcBorders>
            <w:vAlign w:val="center"/>
          </w:tcPr>
          <w:p w14:paraId="579B5F2F" w14:textId="77777777" w:rsidR="008653A6" w:rsidRPr="00CA3519" w:rsidRDefault="008653A6" w:rsidP="007E1C5E">
            <w:pPr>
              <w:jc w:val="center"/>
              <w:rPr>
                <w:sz w:val="17"/>
                <w:szCs w:val="17"/>
              </w:rPr>
            </w:pPr>
            <w:r w:rsidRPr="00CA3519">
              <w:rPr>
                <w:sz w:val="17"/>
                <w:szCs w:val="17"/>
              </w:rPr>
              <w:t>17.05.2018 - Ausg. 1</w:t>
            </w:r>
          </w:p>
        </w:tc>
        <w:tc>
          <w:tcPr>
            <w:tcW w:w="1085" w:type="dxa"/>
            <w:tcBorders>
              <w:top w:val="single" w:sz="4" w:space="0" w:color="auto"/>
              <w:left w:val="single" w:sz="4" w:space="0" w:color="auto"/>
              <w:bottom w:val="single" w:sz="4" w:space="0" w:color="auto"/>
              <w:right w:val="single" w:sz="4" w:space="0" w:color="auto"/>
            </w:tcBorders>
            <w:vAlign w:val="center"/>
          </w:tcPr>
          <w:p w14:paraId="7E9F753F" w14:textId="77777777" w:rsidR="008653A6" w:rsidRPr="00CA3519" w:rsidRDefault="008653A6" w:rsidP="008653A6">
            <w:pPr>
              <w:jc w:val="center"/>
              <w:rPr>
                <w:sz w:val="17"/>
                <w:szCs w:val="17"/>
              </w:rPr>
            </w:pPr>
            <w:r w:rsidRPr="00CA3519">
              <w:rPr>
                <w:sz w:val="17"/>
                <w:szCs w:val="17"/>
              </w:rPr>
              <w:t>- 0,547</w:t>
            </w:r>
          </w:p>
        </w:tc>
        <w:tc>
          <w:tcPr>
            <w:tcW w:w="1086" w:type="dxa"/>
            <w:tcBorders>
              <w:top w:val="single" w:sz="4" w:space="0" w:color="auto"/>
              <w:left w:val="single" w:sz="4" w:space="0" w:color="auto"/>
              <w:bottom w:val="single" w:sz="4" w:space="0" w:color="auto"/>
              <w:right w:val="single" w:sz="4" w:space="0" w:color="auto"/>
            </w:tcBorders>
            <w:vAlign w:val="center"/>
          </w:tcPr>
          <w:p w14:paraId="4661F6A9" w14:textId="77777777" w:rsidR="008653A6" w:rsidRPr="00CA3519" w:rsidRDefault="008653A6" w:rsidP="008653A6">
            <w:pPr>
              <w:jc w:val="center"/>
              <w:rPr>
                <w:sz w:val="17"/>
                <w:szCs w:val="17"/>
              </w:rPr>
            </w:pPr>
            <w:r w:rsidRPr="00CA3519">
              <w:rPr>
                <w:sz w:val="17"/>
                <w:szCs w:val="17"/>
              </w:rPr>
              <w:t>- 0,473</w:t>
            </w:r>
          </w:p>
        </w:tc>
        <w:tc>
          <w:tcPr>
            <w:tcW w:w="1085" w:type="dxa"/>
            <w:tcBorders>
              <w:top w:val="single" w:sz="4" w:space="0" w:color="auto"/>
              <w:left w:val="single" w:sz="4" w:space="0" w:color="auto"/>
              <w:bottom w:val="single" w:sz="4" w:space="0" w:color="auto"/>
              <w:right w:val="single" w:sz="4" w:space="0" w:color="auto"/>
            </w:tcBorders>
            <w:vAlign w:val="center"/>
          </w:tcPr>
          <w:p w14:paraId="37408624" w14:textId="77777777" w:rsidR="008653A6" w:rsidRPr="00CA3519" w:rsidRDefault="008653A6" w:rsidP="008653A6">
            <w:pPr>
              <w:jc w:val="center"/>
              <w:rPr>
                <w:sz w:val="17"/>
                <w:szCs w:val="17"/>
              </w:rPr>
            </w:pPr>
            <w:r w:rsidRPr="00CA3519">
              <w:rPr>
                <w:sz w:val="17"/>
                <w:szCs w:val="17"/>
              </w:rPr>
              <w:t>- 0,357</w:t>
            </w:r>
          </w:p>
        </w:tc>
        <w:tc>
          <w:tcPr>
            <w:tcW w:w="1086" w:type="dxa"/>
            <w:tcBorders>
              <w:top w:val="single" w:sz="4" w:space="0" w:color="auto"/>
              <w:left w:val="single" w:sz="4" w:space="0" w:color="auto"/>
              <w:bottom w:val="single" w:sz="4" w:space="0" w:color="auto"/>
              <w:right w:val="single" w:sz="4" w:space="0" w:color="auto"/>
            </w:tcBorders>
            <w:vAlign w:val="center"/>
          </w:tcPr>
          <w:p w14:paraId="4166D743" w14:textId="77777777" w:rsidR="008653A6" w:rsidRPr="00CA3519" w:rsidRDefault="008653A6" w:rsidP="008653A6">
            <w:pPr>
              <w:jc w:val="center"/>
              <w:rPr>
                <w:sz w:val="17"/>
                <w:szCs w:val="17"/>
              </w:rPr>
            </w:pPr>
            <w:r w:rsidRPr="00CA3519">
              <w:rPr>
                <w:sz w:val="17"/>
                <w:szCs w:val="17"/>
              </w:rPr>
              <w:t>- 0,187</w:t>
            </w:r>
          </w:p>
        </w:tc>
        <w:tc>
          <w:tcPr>
            <w:tcW w:w="1086" w:type="dxa"/>
            <w:tcBorders>
              <w:top w:val="single" w:sz="4" w:space="0" w:color="auto"/>
              <w:left w:val="single" w:sz="4" w:space="0" w:color="auto"/>
              <w:bottom w:val="single" w:sz="4" w:space="0" w:color="auto"/>
              <w:right w:val="single" w:sz="4" w:space="0" w:color="auto"/>
            </w:tcBorders>
            <w:vAlign w:val="center"/>
          </w:tcPr>
          <w:p w14:paraId="215D0A6C" w14:textId="77777777" w:rsidR="008653A6" w:rsidRPr="00CA3519" w:rsidRDefault="008653A6" w:rsidP="008653A6">
            <w:pPr>
              <w:jc w:val="center"/>
              <w:rPr>
                <w:sz w:val="17"/>
                <w:szCs w:val="17"/>
              </w:rPr>
            </w:pPr>
            <w:r w:rsidRPr="00CA3519">
              <w:rPr>
                <w:sz w:val="17"/>
                <w:szCs w:val="17"/>
              </w:rPr>
              <w:t>0,018</w:t>
            </w:r>
          </w:p>
        </w:tc>
        <w:tc>
          <w:tcPr>
            <w:tcW w:w="1085" w:type="dxa"/>
            <w:tcBorders>
              <w:top w:val="single" w:sz="4" w:space="0" w:color="auto"/>
              <w:left w:val="single" w:sz="4" w:space="0" w:color="auto"/>
              <w:bottom w:val="single" w:sz="4" w:space="0" w:color="auto"/>
              <w:right w:val="single" w:sz="4" w:space="0" w:color="auto"/>
            </w:tcBorders>
            <w:vAlign w:val="center"/>
          </w:tcPr>
          <w:p w14:paraId="096585FD" w14:textId="77777777" w:rsidR="008653A6" w:rsidRPr="00CA3519" w:rsidRDefault="008653A6" w:rsidP="008653A6">
            <w:pPr>
              <w:jc w:val="center"/>
              <w:rPr>
                <w:sz w:val="17"/>
                <w:szCs w:val="17"/>
              </w:rPr>
            </w:pPr>
            <w:r w:rsidRPr="00CA3519">
              <w:rPr>
                <w:sz w:val="17"/>
                <w:szCs w:val="17"/>
              </w:rPr>
              <w:t>0,232</w:t>
            </w:r>
          </w:p>
        </w:tc>
        <w:tc>
          <w:tcPr>
            <w:tcW w:w="1086" w:type="dxa"/>
            <w:tcBorders>
              <w:top w:val="single" w:sz="4" w:space="0" w:color="auto"/>
              <w:left w:val="single" w:sz="4" w:space="0" w:color="auto"/>
              <w:bottom w:val="single" w:sz="4" w:space="0" w:color="auto"/>
              <w:right w:val="single" w:sz="4" w:space="0" w:color="auto"/>
            </w:tcBorders>
            <w:vAlign w:val="center"/>
          </w:tcPr>
          <w:p w14:paraId="16D1E998" w14:textId="77777777" w:rsidR="008653A6" w:rsidRPr="00CA3519" w:rsidRDefault="008653A6" w:rsidP="008653A6">
            <w:pPr>
              <w:jc w:val="center"/>
              <w:rPr>
                <w:sz w:val="17"/>
                <w:szCs w:val="17"/>
              </w:rPr>
            </w:pPr>
            <w:r w:rsidRPr="00CA3519">
              <w:rPr>
                <w:sz w:val="17"/>
                <w:szCs w:val="17"/>
              </w:rPr>
              <w:t>0,426</w:t>
            </w:r>
          </w:p>
        </w:tc>
        <w:tc>
          <w:tcPr>
            <w:tcW w:w="1085" w:type="dxa"/>
            <w:tcBorders>
              <w:top w:val="single" w:sz="4" w:space="0" w:color="auto"/>
              <w:left w:val="single" w:sz="4" w:space="0" w:color="auto"/>
              <w:bottom w:val="single" w:sz="4" w:space="0" w:color="auto"/>
              <w:right w:val="single" w:sz="4" w:space="0" w:color="auto"/>
            </w:tcBorders>
            <w:vAlign w:val="center"/>
          </w:tcPr>
          <w:p w14:paraId="0DFB25EB" w14:textId="77777777" w:rsidR="008653A6" w:rsidRPr="00CA3519" w:rsidRDefault="008653A6" w:rsidP="008653A6">
            <w:pPr>
              <w:jc w:val="center"/>
              <w:rPr>
                <w:sz w:val="17"/>
                <w:szCs w:val="17"/>
              </w:rPr>
            </w:pPr>
            <w:r w:rsidRPr="00CA3519">
              <w:rPr>
                <w:sz w:val="17"/>
                <w:szCs w:val="17"/>
              </w:rPr>
              <w:t>0,584</w:t>
            </w:r>
          </w:p>
        </w:tc>
        <w:tc>
          <w:tcPr>
            <w:tcW w:w="1086" w:type="dxa"/>
            <w:tcBorders>
              <w:top w:val="single" w:sz="4" w:space="0" w:color="auto"/>
              <w:left w:val="single" w:sz="4" w:space="0" w:color="auto"/>
              <w:bottom w:val="single" w:sz="4" w:space="0" w:color="auto"/>
              <w:right w:val="single" w:sz="4" w:space="0" w:color="auto"/>
            </w:tcBorders>
            <w:vAlign w:val="center"/>
          </w:tcPr>
          <w:p w14:paraId="76EA5699" w14:textId="77777777" w:rsidR="008653A6" w:rsidRPr="00CA3519" w:rsidRDefault="008653A6" w:rsidP="008653A6">
            <w:pPr>
              <w:ind w:left="-16"/>
              <w:jc w:val="center"/>
              <w:rPr>
                <w:sz w:val="17"/>
                <w:szCs w:val="17"/>
              </w:rPr>
            </w:pPr>
            <w:r w:rsidRPr="00CA3519">
              <w:rPr>
                <w:sz w:val="17"/>
                <w:szCs w:val="17"/>
              </w:rPr>
              <w:t>0,709</w:t>
            </w:r>
          </w:p>
        </w:tc>
        <w:tc>
          <w:tcPr>
            <w:tcW w:w="1086" w:type="dxa"/>
            <w:tcBorders>
              <w:top w:val="single" w:sz="4" w:space="0" w:color="auto"/>
              <w:left w:val="single" w:sz="4" w:space="0" w:color="auto"/>
              <w:bottom w:val="single" w:sz="4" w:space="0" w:color="auto"/>
              <w:right w:val="single" w:sz="4" w:space="0" w:color="auto"/>
            </w:tcBorders>
            <w:vAlign w:val="center"/>
          </w:tcPr>
          <w:p w14:paraId="17092E8F" w14:textId="77777777" w:rsidR="008653A6" w:rsidRPr="00CA3519" w:rsidRDefault="008653A6" w:rsidP="008653A6">
            <w:pPr>
              <w:jc w:val="center"/>
              <w:rPr>
                <w:sz w:val="17"/>
                <w:szCs w:val="17"/>
              </w:rPr>
            </w:pPr>
            <w:r w:rsidRPr="00CA3519">
              <w:rPr>
                <w:sz w:val="17"/>
                <w:szCs w:val="17"/>
              </w:rPr>
              <w:t>0,807</w:t>
            </w:r>
          </w:p>
        </w:tc>
      </w:tr>
      <w:tr w:rsidR="008653A6" w:rsidRPr="00CA3519" w14:paraId="0A61E63C"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397FA0A5" w14:textId="77777777" w:rsidR="008653A6" w:rsidRPr="00CA3519" w:rsidRDefault="008653A6" w:rsidP="008653A6">
            <w:pPr>
              <w:rPr>
                <w:sz w:val="17"/>
                <w:szCs w:val="17"/>
              </w:rPr>
            </w:pPr>
            <w:r w:rsidRPr="00CA3519">
              <w:rPr>
                <w:sz w:val="17"/>
                <w:szCs w:val="17"/>
              </w:rPr>
              <w:t xml:space="preserve">Juni 2018 </w:t>
            </w:r>
          </w:p>
        </w:tc>
        <w:tc>
          <w:tcPr>
            <w:tcW w:w="2113" w:type="dxa"/>
            <w:tcBorders>
              <w:top w:val="single" w:sz="4" w:space="0" w:color="auto"/>
              <w:left w:val="single" w:sz="4" w:space="0" w:color="auto"/>
              <w:bottom w:val="single" w:sz="4" w:space="0" w:color="auto"/>
              <w:right w:val="single" w:sz="4" w:space="0" w:color="auto"/>
            </w:tcBorders>
            <w:vAlign w:val="center"/>
          </w:tcPr>
          <w:p w14:paraId="7042B607" w14:textId="77777777" w:rsidR="008653A6" w:rsidRPr="00CA3519" w:rsidRDefault="008653A6" w:rsidP="007E1C5E">
            <w:pPr>
              <w:jc w:val="center"/>
              <w:rPr>
                <w:sz w:val="17"/>
                <w:szCs w:val="17"/>
              </w:rPr>
            </w:pPr>
            <w:r w:rsidRPr="00CA3519">
              <w:rPr>
                <w:sz w:val="17"/>
                <w:szCs w:val="17"/>
              </w:rPr>
              <w:t>19.06.2018 - Ausg. 1</w:t>
            </w:r>
          </w:p>
        </w:tc>
        <w:tc>
          <w:tcPr>
            <w:tcW w:w="1085" w:type="dxa"/>
            <w:tcBorders>
              <w:top w:val="single" w:sz="4" w:space="0" w:color="auto"/>
              <w:left w:val="single" w:sz="4" w:space="0" w:color="auto"/>
              <w:bottom w:val="single" w:sz="4" w:space="0" w:color="auto"/>
              <w:right w:val="single" w:sz="4" w:space="0" w:color="auto"/>
            </w:tcBorders>
            <w:vAlign w:val="center"/>
          </w:tcPr>
          <w:p w14:paraId="4A4E0D73" w14:textId="77777777" w:rsidR="008653A6" w:rsidRPr="00CA3519" w:rsidRDefault="008653A6" w:rsidP="008653A6">
            <w:pPr>
              <w:jc w:val="center"/>
              <w:rPr>
                <w:sz w:val="17"/>
                <w:szCs w:val="17"/>
              </w:rPr>
            </w:pPr>
            <w:r w:rsidRPr="00CA3519">
              <w:rPr>
                <w:sz w:val="17"/>
                <w:szCs w:val="17"/>
              </w:rPr>
              <w:t>- 0,565</w:t>
            </w:r>
          </w:p>
        </w:tc>
        <w:tc>
          <w:tcPr>
            <w:tcW w:w="1086" w:type="dxa"/>
            <w:tcBorders>
              <w:top w:val="single" w:sz="4" w:space="0" w:color="auto"/>
              <w:left w:val="single" w:sz="4" w:space="0" w:color="auto"/>
              <w:bottom w:val="single" w:sz="4" w:space="0" w:color="auto"/>
              <w:right w:val="single" w:sz="4" w:space="0" w:color="auto"/>
            </w:tcBorders>
            <w:vAlign w:val="center"/>
          </w:tcPr>
          <w:p w14:paraId="2F66C5A0" w14:textId="77777777" w:rsidR="008653A6" w:rsidRPr="00CA3519" w:rsidRDefault="008653A6" w:rsidP="008653A6">
            <w:pPr>
              <w:jc w:val="center"/>
              <w:rPr>
                <w:sz w:val="17"/>
                <w:szCs w:val="17"/>
              </w:rPr>
            </w:pPr>
            <w:r w:rsidRPr="00CA3519">
              <w:rPr>
                <w:sz w:val="17"/>
                <w:szCs w:val="17"/>
              </w:rPr>
              <w:t>- 0,507</w:t>
            </w:r>
          </w:p>
        </w:tc>
        <w:tc>
          <w:tcPr>
            <w:tcW w:w="1085" w:type="dxa"/>
            <w:tcBorders>
              <w:top w:val="single" w:sz="4" w:space="0" w:color="auto"/>
              <w:left w:val="single" w:sz="4" w:space="0" w:color="auto"/>
              <w:bottom w:val="single" w:sz="4" w:space="0" w:color="auto"/>
              <w:right w:val="single" w:sz="4" w:space="0" w:color="auto"/>
            </w:tcBorders>
            <w:vAlign w:val="center"/>
          </w:tcPr>
          <w:p w14:paraId="14B86498" w14:textId="77777777" w:rsidR="008653A6" w:rsidRPr="00CA3519" w:rsidRDefault="008653A6" w:rsidP="008653A6">
            <w:pPr>
              <w:jc w:val="center"/>
              <w:rPr>
                <w:sz w:val="17"/>
                <w:szCs w:val="17"/>
              </w:rPr>
            </w:pPr>
            <w:r w:rsidRPr="00CA3519">
              <w:rPr>
                <w:sz w:val="17"/>
                <w:szCs w:val="17"/>
              </w:rPr>
              <w:t>- 0,404</w:t>
            </w:r>
          </w:p>
        </w:tc>
        <w:tc>
          <w:tcPr>
            <w:tcW w:w="1086" w:type="dxa"/>
            <w:tcBorders>
              <w:top w:val="single" w:sz="4" w:space="0" w:color="auto"/>
              <w:left w:val="single" w:sz="4" w:space="0" w:color="auto"/>
              <w:bottom w:val="single" w:sz="4" w:space="0" w:color="auto"/>
              <w:right w:val="single" w:sz="4" w:space="0" w:color="auto"/>
            </w:tcBorders>
            <w:vAlign w:val="center"/>
          </w:tcPr>
          <w:p w14:paraId="00F7CA0E" w14:textId="77777777" w:rsidR="008653A6" w:rsidRPr="00CA3519" w:rsidRDefault="008653A6" w:rsidP="008653A6">
            <w:pPr>
              <w:jc w:val="center"/>
              <w:rPr>
                <w:sz w:val="17"/>
                <w:szCs w:val="17"/>
              </w:rPr>
            </w:pPr>
            <w:r w:rsidRPr="00CA3519">
              <w:rPr>
                <w:sz w:val="17"/>
                <w:szCs w:val="17"/>
              </w:rPr>
              <w:t>- 0,239</w:t>
            </w:r>
          </w:p>
        </w:tc>
        <w:tc>
          <w:tcPr>
            <w:tcW w:w="1086" w:type="dxa"/>
            <w:tcBorders>
              <w:top w:val="single" w:sz="4" w:space="0" w:color="auto"/>
              <w:left w:val="single" w:sz="4" w:space="0" w:color="auto"/>
              <w:bottom w:val="single" w:sz="4" w:space="0" w:color="auto"/>
              <w:right w:val="single" w:sz="4" w:space="0" w:color="auto"/>
            </w:tcBorders>
            <w:vAlign w:val="center"/>
          </w:tcPr>
          <w:p w14:paraId="3D0F1C5B" w14:textId="77777777" w:rsidR="008653A6" w:rsidRPr="00CA3519" w:rsidRDefault="008653A6" w:rsidP="008653A6">
            <w:pPr>
              <w:jc w:val="center"/>
              <w:rPr>
                <w:sz w:val="17"/>
                <w:szCs w:val="17"/>
              </w:rPr>
            </w:pPr>
            <w:r w:rsidRPr="00CA3519">
              <w:rPr>
                <w:sz w:val="17"/>
                <w:szCs w:val="17"/>
              </w:rPr>
              <w:t>- 0,022</w:t>
            </w:r>
          </w:p>
        </w:tc>
        <w:tc>
          <w:tcPr>
            <w:tcW w:w="1085" w:type="dxa"/>
            <w:tcBorders>
              <w:top w:val="single" w:sz="4" w:space="0" w:color="auto"/>
              <w:left w:val="single" w:sz="4" w:space="0" w:color="auto"/>
              <w:bottom w:val="single" w:sz="4" w:space="0" w:color="auto"/>
              <w:right w:val="single" w:sz="4" w:space="0" w:color="auto"/>
            </w:tcBorders>
            <w:vAlign w:val="center"/>
          </w:tcPr>
          <w:p w14:paraId="07BF9B6A" w14:textId="77777777" w:rsidR="008653A6" w:rsidRPr="00CA3519" w:rsidRDefault="008653A6" w:rsidP="008653A6">
            <w:pPr>
              <w:jc w:val="center"/>
              <w:rPr>
                <w:sz w:val="17"/>
                <w:szCs w:val="17"/>
              </w:rPr>
            </w:pPr>
            <w:r w:rsidRPr="00CA3519">
              <w:rPr>
                <w:sz w:val="17"/>
                <w:szCs w:val="17"/>
              </w:rPr>
              <w:t>0,214</w:t>
            </w:r>
          </w:p>
        </w:tc>
        <w:tc>
          <w:tcPr>
            <w:tcW w:w="1086" w:type="dxa"/>
            <w:tcBorders>
              <w:top w:val="single" w:sz="4" w:space="0" w:color="auto"/>
              <w:left w:val="single" w:sz="4" w:space="0" w:color="auto"/>
              <w:bottom w:val="single" w:sz="4" w:space="0" w:color="auto"/>
              <w:right w:val="single" w:sz="4" w:space="0" w:color="auto"/>
            </w:tcBorders>
            <w:vAlign w:val="center"/>
          </w:tcPr>
          <w:p w14:paraId="5CB9F3F8" w14:textId="77777777" w:rsidR="008653A6" w:rsidRPr="00CA3519" w:rsidRDefault="008653A6" w:rsidP="008653A6">
            <w:pPr>
              <w:jc w:val="center"/>
              <w:rPr>
                <w:sz w:val="17"/>
                <w:szCs w:val="17"/>
              </w:rPr>
            </w:pPr>
            <w:r w:rsidRPr="00CA3519">
              <w:rPr>
                <w:sz w:val="17"/>
                <w:szCs w:val="17"/>
              </w:rPr>
              <w:t>0,424</w:t>
            </w:r>
          </w:p>
        </w:tc>
        <w:tc>
          <w:tcPr>
            <w:tcW w:w="1085" w:type="dxa"/>
            <w:tcBorders>
              <w:top w:val="single" w:sz="4" w:space="0" w:color="auto"/>
              <w:left w:val="single" w:sz="4" w:space="0" w:color="auto"/>
              <w:bottom w:val="single" w:sz="4" w:space="0" w:color="auto"/>
              <w:right w:val="single" w:sz="4" w:space="0" w:color="auto"/>
            </w:tcBorders>
            <w:vAlign w:val="center"/>
          </w:tcPr>
          <w:p w14:paraId="64D14F5A" w14:textId="77777777" w:rsidR="008653A6" w:rsidRPr="00CA3519" w:rsidRDefault="008653A6" w:rsidP="008653A6">
            <w:pPr>
              <w:jc w:val="center"/>
              <w:rPr>
                <w:sz w:val="17"/>
                <w:szCs w:val="17"/>
              </w:rPr>
            </w:pPr>
            <w:r w:rsidRPr="00CA3519">
              <w:rPr>
                <w:sz w:val="17"/>
                <w:szCs w:val="17"/>
              </w:rPr>
              <w:t>0,592</w:t>
            </w:r>
          </w:p>
        </w:tc>
        <w:tc>
          <w:tcPr>
            <w:tcW w:w="1086" w:type="dxa"/>
            <w:tcBorders>
              <w:top w:val="single" w:sz="4" w:space="0" w:color="auto"/>
              <w:left w:val="single" w:sz="4" w:space="0" w:color="auto"/>
              <w:bottom w:val="single" w:sz="4" w:space="0" w:color="auto"/>
              <w:right w:val="single" w:sz="4" w:space="0" w:color="auto"/>
            </w:tcBorders>
            <w:vAlign w:val="center"/>
          </w:tcPr>
          <w:p w14:paraId="4CDE1CDE" w14:textId="77777777" w:rsidR="008653A6" w:rsidRPr="00CA3519" w:rsidRDefault="008653A6" w:rsidP="008653A6">
            <w:pPr>
              <w:ind w:left="-16"/>
              <w:jc w:val="center"/>
              <w:rPr>
                <w:sz w:val="17"/>
                <w:szCs w:val="17"/>
              </w:rPr>
            </w:pPr>
            <w:r w:rsidRPr="00CA3519">
              <w:rPr>
                <w:sz w:val="17"/>
                <w:szCs w:val="17"/>
              </w:rPr>
              <w:t>0,722</w:t>
            </w:r>
          </w:p>
        </w:tc>
        <w:tc>
          <w:tcPr>
            <w:tcW w:w="1086" w:type="dxa"/>
            <w:tcBorders>
              <w:top w:val="single" w:sz="4" w:space="0" w:color="auto"/>
              <w:left w:val="single" w:sz="4" w:space="0" w:color="auto"/>
              <w:bottom w:val="single" w:sz="4" w:space="0" w:color="auto"/>
              <w:right w:val="single" w:sz="4" w:space="0" w:color="auto"/>
            </w:tcBorders>
            <w:vAlign w:val="center"/>
          </w:tcPr>
          <w:p w14:paraId="00063D14" w14:textId="77777777" w:rsidR="008653A6" w:rsidRPr="00CA3519" w:rsidRDefault="008653A6" w:rsidP="008653A6">
            <w:pPr>
              <w:jc w:val="center"/>
              <w:rPr>
                <w:sz w:val="17"/>
                <w:szCs w:val="17"/>
              </w:rPr>
            </w:pPr>
            <w:r w:rsidRPr="00CA3519">
              <w:rPr>
                <w:sz w:val="17"/>
                <w:szCs w:val="17"/>
              </w:rPr>
              <w:t>0,823</w:t>
            </w:r>
          </w:p>
        </w:tc>
      </w:tr>
      <w:tr w:rsidR="008653A6" w:rsidRPr="00CA3519" w14:paraId="467617A6"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68CA4797" w14:textId="77777777" w:rsidR="008653A6" w:rsidRPr="00CA3519" w:rsidRDefault="008653A6" w:rsidP="008653A6">
            <w:pPr>
              <w:rPr>
                <w:sz w:val="17"/>
                <w:szCs w:val="17"/>
              </w:rPr>
            </w:pPr>
            <w:r w:rsidRPr="00CA3519">
              <w:rPr>
                <w:sz w:val="17"/>
                <w:szCs w:val="17"/>
              </w:rPr>
              <w:t xml:space="preserve">Juli 2018 </w:t>
            </w:r>
          </w:p>
        </w:tc>
        <w:tc>
          <w:tcPr>
            <w:tcW w:w="2113" w:type="dxa"/>
            <w:tcBorders>
              <w:top w:val="single" w:sz="4" w:space="0" w:color="auto"/>
              <w:left w:val="single" w:sz="4" w:space="0" w:color="auto"/>
              <w:bottom w:val="single" w:sz="4" w:space="0" w:color="auto"/>
              <w:right w:val="single" w:sz="4" w:space="0" w:color="auto"/>
            </w:tcBorders>
            <w:vAlign w:val="center"/>
          </w:tcPr>
          <w:p w14:paraId="33295167" w14:textId="77777777" w:rsidR="008653A6" w:rsidRPr="00CA3519" w:rsidRDefault="008653A6" w:rsidP="007E1C5E">
            <w:pPr>
              <w:jc w:val="center"/>
              <w:rPr>
                <w:sz w:val="17"/>
                <w:szCs w:val="17"/>
              </w:rPr>
            </w:pPr>
            <w:r w:rsidRPr="00CA3519">
              <w:rPr>
                <w:sz w:val="17"/>
                <w:szCs w:val="17"/>
              </w:rPr>
              <w:t>19.07.2018 - Ausg. 1</w:t>
            </w:r>
          </w:p>
        </w:tc>
        <w:tc>
          <w:tcPr>
            <w:tcW w:w="1085" w:type="dxa"/>
            <w:tcBorders>
              <w:top w:val="single" w:sz="4" w:space="0" w:color="auto"/>
              <w:left w:val="single" w:sz="4" w:space="0" w:color="auto"/>
              <w:bottom w:val="single" w:sz="4" w:space="0" w:color="auto"/>
              <w:right w:val="single" w:sz="4" w:space="0" w:color="auto"/>
            </w:tcBorders>
            <w:vAlign w:val="center"/>
          </w:tcPr>
          <w:p w14:paraId="5324B31C" w14:textId="77777777" w:rsidR="008653A6" w:rsidRPr="00CA3519" w:rsidRDefault="008653A6" w:rsidP="008653A6">
            <w:pPr>
              <w:jc w:val="center"/>
              <w:rPr>
                <w:sz w:val="17"/>
                <w:szCs w:val="17"/>
              </w:rPr>
            </w:pPr>
            <w:r w:rsidRPr="00CA3519">
              <w:rPr>
                <w:sz w:val="17"/>
                <w:szCs w:val="17"/>
              </w:rPr>
              <w:t>- 0,565</w:t>
            </w:r>
          </w:p>
        </w:tc>
        <w:tc>
          <w:tcPr>
            <w:tcW w:w="1086" w:type="dxa"/>
            <w:tcBorders>
              <w:top w:val="single" w:sz="4" w:space="0" w:color="auto"/>
              <w:left w:val="single" w:sz="4" w:space="0" w:color="auto"/>
              <w:bottom w:val="single" w:sz="4" w:space="0" w:color="auto"/>
              <w:right w:val="single" w:sz="4" w:space="0" w:color="auto"/>
            </w:tcBorders>
            <w:vAlign w:val="center"/>
          </w:tcPr>
          <w:p w14:paraId="41F81915" w14:textId="77777777" w:rsidR="008653A6" w:rsidRPr="00CA3519" w:rsidRDefault="008653A6" w:rsidP="008653A6">
            <w:pPr>
              <w:jc w:val="center"/>
              <w:rPr>
                <w:sz w:val="17"/>
                <w:szCs w:val="17"/>
              </w:rPr>
            </w:pPr>
            <w:r w:rsidRPr="00CA3519">
              <w:rPr>
                <w:sz w:val="17"/>
                <w:szCs w:val="17"/>
              </w:rPr>
              <w:t>- 0,546</w:t>
            </w:r>
          </w:p>
        </w:tc>
        <w:tc>
          <w:tcPr>
            <w:tcW w:w="1085" w:type="dxa"/>
            <w:tcBorders>
              <w:top w:val="single" w:sz="4" w:space="0" w:color="auto"/>
              <w:left w:val="single" w:sz="4" w:space="0" w:color="auto"/>
              <w:bottom w:val="single" w:sz="4" w:space="0" w:color="auto"/>
              <w:right w:val="single" w:sz="4" w:space="0" w:color="auto"/>
            </w:tcBorders>
            <w:vAlign w:val="center"/>
          </w:tcPr>
          <w:p w14:paraId="65E70149" w14:textId="77777777" w:rsidR="008653A6" w:rsidRPr="00CA3519" w:rsidRDefault="008653A6" w:rsidP="008653A6">
            <w:pPr>
              <w:jc w:val="center"/>
              <w:rPr>
                <w:sz w:val="17"/>
                <w:szCs w:val="17"/>
              </w:rPr>
            </w:pPr>
            <w:r w:rsidRPr="00CA3519">
              <w:rPr>
                <w:sz w:val="17"/>
                <w:szCs w:val="17"/>
              </w:rPr>
              <w:t>- 0,474</w:t>
            </w:r>
          </w:p>
        </w:tc>
        <w:tc>
          <w:tcPr>
            <w:tcW w:w="1086" w:type="dxa"/>
            <w:tcBorders>
              <w:top w:val="single" w:sz="4" w:space="0" w:color="auto"/>
              <w:left w:val="single" w:sz="4" w:space="0" w:color="auto"/>
              <w:bottom w:val="single" w:sz="4" w:space="0" w:color="auto"/>
              <w:right w:val="single" w:sz="4" w:space="0" w:color="auto"/>
            </w:tcBorders>
            <w:vAlign w:val="center"/>
          </w:tcPr>
          <w:p w14:paraId="6A29325F" w14:textId="77777777" w:rsidR="008653A6" w:rsidRPr="00CA3519" w:rsidRDefault="008653A6" w:rsidP="008653A6">
            <w:pPr>
              <w:jc w:val="center"/>
              <w:rPr>
                <w:sz w:val="17"/>
                <w:szCs w:val="17"/>
              </w:rPr>
            </w:pPr>
            <w:r w:rsidRPr="00CA3519">
              <w:rPr>
                <w:sz w:val="17"/>
                <w:szCs w:val="17"/>
              </w:rPr>
              <w:t>- 0,328</w:t>
            </w:r>
          </w:p>
        </w:tc>
        <w:tc>
          <w:tcPr>
            <w:tcW w:w="1086" w:type="dxa"/>
            <w:tcBorders>
              <w:top w:val="single" w:sz="4" w:space="0" w:color="auto"/>
              <w:left w:val="single" w:sz="4" w:space="0" w:color="auto"/>
              <w:bottom w:val="single" w:sz="4" w:space="0" w:color="auto"/>
              <w:right w:val="single" w:sz="4" w:space="0" w:color="auto"/>
            </w:tcBorders>
            <w:vAlign w:val="center"/>
          </w:tcPr>
          <w:p w14:paraId="497E5315" w14:textId="77777777" w:rsidR="008653A6" w:rsidRPr="00CA3519" w:rsidRDefault="008653A6" w:rsidP="008653A6">
            <w:pPr>
              <w:jc w:val="center"/>
              <w:rPr>
                <w:sz w:val="17"/>
                <w:szCs w:val="17"/>
              </w:rPr>
            </w:pPr>
            <w:r w:rsidRPr="00CA3519">
              <w:rPr>
                <w:sz w:val="17"/>
                <w:szCs w:val="17"/>
              </w:rPr>
              <w:t>- 0,119</w:t>
            </w:r>
          </w:p>
        </w:tc>
        <w:tc>
          <w:tcPr>
            <w:tcW w:w="1085" w:type="dxa"/>
            <w:tcBorders>
              <w:top w:val="single" w:sz="4" w:space="0" w:color="auto"/>
              <w:left w:val="single" w:sz="4" w:space="0" w:color="auto"/>
              <w:bottom w:val="single" w:sz="4" w:space="0" w:color="auto"/>
              <w:right w:val="single" w:sz="4" w:space="0" w:color="auto"/>
            </w:tcBorders>
            <w:vAlign w:val="center"/>
          </w:tcPr>
          <w:p w14:paraId="0E462E0A" w14:textId="77777777" w:rsidR="008653A6" w:rsidRPr="00CA3519" w:rsidRDefault="008653A6" w:rsidP="008653A6">
            <w:pPr>
              <w:jc w:val="center"/>
              <w:rPr>
                <w:sz w:val="17"/>
                <w:szCs w:val="17"/>
              </w:rPr>
            </w:pPr>
            <w:r w:rsidRPr="00CA3519">
              <w:rPr>
                <w:sz w:val="17"/>
                <w:szCs w:val="17"/>
              </w:rPr>
              <w:t>0,112</w:t>
            </w:r>
          </w:p>
        </w:tc>
        <w:tc>
          <w:tcPr>
            <w:tcW w:w="1086" w:type="dxa"/>
            <w:tcBorders>
              <w:top w:val="single" w:sz="4" w:space="0" w:color="auto"/>
              <w:left w:val="single" w:sz="4" w:space="0" w:color="auto"/>
              <w:bottom w:val="single" w:sz="4" w:space="0" w:color="auto"/>
              <w:right w:val="single" w:sz="4" w:space="0" w:color="auto"/>
            </w:tcBorders>
            <w:vAlign w:val="center"/>
          </w:tcPr>
          <w:p w14:paraId="3560EE34" w14:textId="77777777" w:rsidR="008653A6" w:rsidRPr="00CA3519" w:rsidRDefault="008653A6" w:rsidP="008653A6">
            <w:pPr>
              <w:jc w:val="center"/>
              <w:rPr>
                <w:sz w:val="17"/>
                <w:szCs w:val="17"/>
              </w:rPr>
            </w:pPr>
            <w:r w:rsidRPr="00CA3519">
              <w:rPr>
                <w:sz w:val="17"/>
                <w:szCs w:val="17"/>
              </w:rPr>
              <w:t>0,325</w:t>
            </w:r>
          </w:p>
        </w:tc>
        <w:tc>
          <w:tcPr>
            <w:tcW w:w="1085" w:type="dxa"/>
            <w:tcBorders>
              <w:top w:val="single" w:sz="4" w:space="0" w:color="auto"/>
              <w:left w:val="single" w:sz="4" w:space="0" w:color="auto"/>
              <w:bottom w:val="single" w:sz="4" w:space="0" w:color="auto"/>
              <w:right w:val="single" w:sz="4" w:space="0" w:color="auto"/>
            </w:tcBorders>
            <w:vAlign w:val="center"/>
          </w:tcPr>
          <w:p w14:paraId="629F200C" w14:textId="77777777" w:rsidR="008653A6" w:rsidRPr="00CA3519" w:rsidRDefault="008653A6" w:rsidP="008653A6">
            <w:pPr>
              <w:jc w:val="center"/>
              <w:rPr>
                <w:sz w:val="17"/>
                <w:szCs w:val="17"/>
              </w:rPr>
            </w:pPr>
            <w:r w:rsidRPr="00CA3519">
              <w:rPr>
                <w:sz w:val="17"/>
                <w:szCs w:val="17"/>
              </w:rPr>
              <w:t>0,494</w:t>
            </w:r>
          </w:p>
        </w:tc>
        <w:tc>
          <w:tcPr>
            <w:tcW w:w="1086" w:type="dxa"/>
            <w:tcBorders>
              <w:top w:val="single" w:sz="4" w:space="0" w:color="auto"/>
              <w:left w:val="single" w:sz="4" w:space="0" w:color="auto"/>
              <w:bottom w:val="single" w:sz="4" w:space="0" w:color="auto"/>
              <w:right w:val="single" w:sz="4" w:space="0" w:color="auto"/>
            </w:tcBorders>
            <w:vAlign w:val="center"/>
          </w:tcPr>
          <w:p w14:paraId="0D9D606D" w14:textId="77777777" w:rsidR="008653A6" w:rsidRPr="00CA3519" w:rsidRDefault="008653A6" w:rsidP="008653A6">
            <w:pPr>
              <w:ind w:left="-16"/>
              <w:jc w:val="center"/>
              <w:rPr>
                <w:sz w:val="17"/>
                <w:szCs w:val="17"/>
              </w:rPr>
            </w:pPr>
            <w:r w:rsidRPr="00CA3519">
              <w:rPr>
                <w:sz w:val="17"/>
                <w:szCs w:val="17"/>
              </w:rPr>
              <w:t>0,631</w:t>
            </w:r>
          </w:p>
        </w:tc>
        <w:tc>
          <w:tcPr>
            <w:tcW w:w="1086" w:type="dxa"/>
            <w:tcBorders>
              <w:top w:val="single" w:sz="4" w:space="0" w:color="auto"/>
              <w:left w:val="single" w:sz="4" w:space="0" w:color="auto"/>
              <w:bottom w:val="single" w:sz="4" w:space="0" w:color="auto"/>
              <w:right w:val="single" w:sz="4" w:space="0" w:color="auto"/>
            </w:tcBorders>
            <w:vAlign w:val="center"/>
          </w:tcPr>
          <w:p w14:paraId="6988F6EF" w14:textId="77777777" w:rsidR="008653A6" w:rsidRPr="00CA3519" w:rsidRDefault="008653A6" w:rsidP="008653A6">
            <w:pPr>
              <w:jc w:val="center"/>
              <w:rPr>
                <w:sz w:val="17"/>
                <w:szCs w:val="17"/>
              </w:rPr>
            </w:pPr>
            <w:r w:rsidRPr="00CA3519">
              <w:rPr>
                <w:sz w:val="17"/>
                <w:szCs w:val="17"/>
              </w:rPr>
              <w:t>0,742</w:t>
            </w:r>
          </w:p>
        </w:tc>
      </w:tr>
      <w:tr w:rsidR="008653A6" w:rsidRPr="00CA3519" w14:paraId="5EB5513F"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3B761991" w14:textId="77777777" w:rsidR="008653A6" w:rsidRPr="00CA3519" w:rsidRDefault="008653A6" w:rsidP="008653A6">
            <w:pPr>
              <w:rPr>
                <w:sz w:val="17"/>
                <w:szCs w:val="17"/>
              </w:rPr>
            </w:pPr>
            <w:r w:rsidRPr="00CA3519">
              <w:rPr>
                <w:sz w:val="17"/>
                <w:szCs w:val="17"/>
              </w:rPr>
              <w:t xml:space="preserve">August 2018 </w:t>
            </w:r>
          </w:p>
        </w:tc>
        <w:tc>
          <w:tcPr>
            <w:tcW w:w="2113" w:type="dxa"/>
            <w:tcBorders>
              <w:top w:val="single" w:sz="4" w:space="0" w:color="auto"/>
              <w:left w:val="single" w:sz="4" w:space="0" w:color="auto"/>
              <w:bottom w:val="single" w:sz="4" w:space="0" w:color="auto"/>
              <w:right w:val="single" w:sz="4" w:space="0" w:color="auto"/>
            </w:tcBorders>
            <w:vAlign w:val="center"/>
          </w:tcPr>
          <w:p w14:paraId="3CBF967C" w14:textId="77777777" w:rsidR="008653A6" w:rsidRPr="00CA3519" w:rsidRDefault="008653A6" w:rsidP="007E1C5E">
            <w:pPr>
              <w:jc w:val="center"/>
              <w:rPr>
                <w:sz w:val="17"/>
                <w:szCs w:val="17"/>
              </w:rPr>
            </w:pPr>
            <w:r w:rsidRPr="00CA3519">
              <w:rPr>
                <w:sz w:val="17"/>
                <w:szCs w:val="17"/>
              </w:rPr>
              <w:t>17.08.2018 - Ausg. 1</w:t>
            </w:r>
          </w:p>
        </w:tc>
        <w:tc>
          <w:tcPr>
            <w:tcW w:w="1085" w:type="dxa"/>
            <w:tcBorders>
              <w:top w:val="single" w:sz="4" w:space="0" w:color="auto"/>
              <w:left w:val="single" w:sz="4" w:space="0" w:color="auto"/>
              <w:bottom w:val="single" w:sz="4" w:space="0" w:color="auto"/>
              <w:right w:val="single" w:sz="4" w:space="0" w:color="auto"/>
            </w:tcBorders>
            <w:vAlign w:val="center"/>
          </w:tcPr>
          <w:p w14:paraId="1CFCDF7A" w14:textId="77777777" w:rsidR="008653A6" w:rsidRPr="00CA3519" w:rsidRDefault="008653A6" w:rsidP="008653A6">
            <w:pPr>
              <w:jc w:val="center"/>
              <w:rPr>
                <w:sz w:val="17"/>
                <w:szCs w:val="17"/>
              </w:rPr>
            </w:pPr>
            <w:r w:rsidRPr="00CA3519">
              <w:rPr>
                <w:sz w:val="17"/>
                <w:szCs w:val="17"/>
              </w:rPr>
              <w:t>- 0,547</w:t>
            </w:r>
          </w:p>
        </w:tc>
        <w:tc>
          <w:tcPr>
            <w:tcW w:w="1086" w:type="dxa"/>
            <w:tcBorders>
              <w:top w:val="single" w:sz="4" w:space="0" w:color="auto"/>
              <w:left w:val="single" w:sz="4" w:space="0" w:color="auto"/>
              <w:bottom w:val="single" w:sz="4" w:space="0" w:color="auto"/>
              <w:right w:val="single" w:sz="4" w:space="0" w:color="auto"/>
            </w:tcBorders>
            <w:vAlign w:val="center"/>
          </w:tcPr>
          <w:p w14:paraId="2C16094A" w14:textId="77777777" w:rsidR="008653A6" w:rsidRPr="00CA3519" w:rsidRDefault="008653A6" w:rsidP="008653A6">
            <w:pPr>
              <w:jc w:val="center"/>
              <w:rPr>
                <w:sz w:val="17"/>
                <w:szCs w:val="17"/>
              </w:rPr>
            </w:pPr>
            <w:r w:rsidRPr="00CA3519">
              <w:rPr>
                <w:sz w:val="17"/>
                <w:szCs w:val="17"/>
              </w:rPr>
              <w:t>- 0,491</w:t>
            </w:r>
          </w:p>
        </w:tc>
        <w:tc>
          <w:tcPr>
            <w:tcW w:w="1085" w:type="dxa"/>
            <w:tcBorders>
              <w:top w:val="single" w:sz="4" w:space="0" w:color="auto"/>
              <w:left w:val="single" w:sz="4" w:space="0" w:color="auto"/>
              <w:bottom w:val="single" w:sz="4" w:space="0" w:color="auto"/>
              <w:right w:val="single" w:sz="4" w:space="0" w:color="auto"/>
            </w:tcBorders>
            <w:vAlign w:val="center"/>
          </w:tcPr>
          <w:p w14:paraId="646F17AC" w14:textId="77777777" w:rsidR="008653A6" w:rsidRPr="00CA3519" w:rsidRDefault="008653A6" w:rsidP="008653A6">
            <w:pPr>
              <w:jc w:val="center"/>
              <w:rPr>
                <w:sz w:val="17"/>
                <w:szCs w:val="17"/>
              </w:rPr>
            </w:pPr>
            <w:r w:rsidRPr="00CA3519">
              <w:rPr>
                <w:sz w:val="17"/>
                <w:szCs w:val="17"/>
              </w:rPr>
              <w:t>- 0,413</w:t>
            </w:r>
          </w:p>
        </w:tc>
        <w:tc>
          <w:tcPr>
            <w:tcW w:w="1086" w:type="dxa"/>
            <w:tcBorders>
              <w:top w:val="single" w:sz="4" w:space="0" w:color="auto"/>
              <w:left w:val="single" w:sz="4" w:space="0" w:color="auto"/>
              <w:bottom w:val="single" w:sz="4" w:space="0" w:color="auto"/>
              <w:right w:val="single" w:sz="4" w:space="0" w:color="auto"/>
            </w:tcBorders>
            <w:vAlign w:val="center"/>
          </w:tcPr>
          <w:p w14:paraId="14EC1FBE" w14:textId="77777777" w:rsidR="008653A6" w:rsidRPr="00CA3519" w:rsidRDefault="008653A6" w:rsidP="008653A6">
            <w:pPr>
              <w:jc w:val="center"/>
              <w:rPr>
                <w:sz w:val="17"/>
                <w:szCs w:val="17"/>
              </w:rPr>
            </w:pPr>
            <w:r w:rsidRPr="00CA3519">
              <w:rPr>
                <w:sz w:val="17"/>
                <w:szCs w:val="17"/>
              </w:rPr>
              <w:t>- 0,291</w:t>
            </w:r>
          </w:p>
        </w:tc>
        <w:tc>
          <w:tcPr>
            <w:tcW w:w="1086" w:type="dxa"/>
            <w:tcBorders>
              <w:top w:val="single" w:sz="4" w:space="0" w:color="auto"/>
              <w:left w:val="single" w:sz="4" w:space="0" w:color="auto"/>
              <w:bottom w:val="single" w:sz="4" w:space="0" w:color="auto"/>
              <w:right w:val="single" w:sz="4" w:space="0" w:color="auto"/>
            </w:tcBorders>
            <w:vAlign w:val="center"/>
          </w:tcPr>
          <w:p w14:paraId="418A71F9" w14:textId="77777777" w:rsidR="008653A6" w:rsidRPr="00CA3519" w:rsidRDefault="008653A6" w:rsidP="008653A6">
            <w:pPr>
              <w:jc w:val="center"/>
              <w:rPr>
                <w:sz w:val="17"/>
                <w:szCs w:val="17"/>
              </w:rPr>
            </w:pPr>
            <w:r w:rsidRPr="00CA3519">
              <w:rPr>
                <w:sz w:val="17"/>
                <w:szCs w:val="17"/>
              </w:rPr>
              <w:t>- 0,111</w:t>
            </w:r>
          </w:p>
        </w:tc>
        <w:tc>
          <w:tcPr>
            <w:tcW w:w="1085" w:type="dxa"/>
            <w:tcBorders>
              <w:top w:val="single" w:sz="4" w:space="0" w:color="auto"/>
              <w:left w:val="single" w:sz="4" w:space="0" w:color="auto"/>
              <w:bottom w:val="single" w:sz="4" w:space="0" w:color="auto"/>
              <w:right w:val="single" w:sz="4" w:space="0" w:color="auto"/>
            </w:tcBorders>
            <w:vAlign w:val="center"/>
          </w:tcPr>
          <w:p w14:paraId="77432EE7" w14:textId="77777777" w:rsidR="008653A6" w:rsidRPr="00CA3519" w:rsidRDefault="008653A6" w:rsidP="008653A6">
            <w:pPr>
              <w:jc w:val="center"/>
              <w:rPr>
                <w:sz w:val="17"/>
                <w:szCs w:val="17"/>
              </w:rPr>
            </w:pPr>
            <w:r w:rsidRPr="00CA3519">
              <w:rPr>
                <w:sz w:val="17"/>
                <w:szCs w:val="17"/>
              </w:rPr>
              <w:t>0,114</w:t>
            </w:r>
          </w:p>
        </w:tc>
        <w:tc>
          <w:tcPr>
            <w:tcW w:w="1086" w:type="dxa"/>
            <w:tcBorders>
              <w:top w:val="single" w:sz="4" w:space="0" w:color="auto"/>
              <w:left w:val="single" w:sz="4" w:space="0" w:color="auto"/>
              <w:bottom w:val="single" w:sz="4" w:space="0" w:color="auto"/>
              <w:right w:val="single" w:sz="4" w:space="0" w:color="auto"/>
            </w:tcBorders>
            <w:vAlign w:val="center"/>
          </w:tcPr>
          <w:p w14:paraId="676B3EC3" w14:textId="77777777" w:rsidR="008653A6" w:rsidRPr="00CA3519" w:rsidRDefault="008653A6" w:rsidP="008653A6">
            <w:pPr>
              <w:jc w:val="center"/>
              <w:rPr>
                <w:sz w:val="17"/>
                <w:szCs w:val="17"/>
              </w:rPr>
            </w:pPr>
            <w:r w:rsidRPr="00CA3519">
              <w:rPr>
                <w:sz w:val="17"/>
                <w:szCs w:val="17"/>
              </w:rPr>
              <w:t>0,317</w:t>
            </w:r>
          </w:p>
        </w:tc>
        <w:tc>
          <w:tcPr>
            <w:tcW w:w="1085" w:type="dxa"/>
            <w:tcBorders>
              <w:top w:val="single" w:sz="4" w:space="0" w:color="auto"/>
              <w:left w:val="single" w:sz="4" w:space="0" w:color="auto"/>
              <w:bottom w:val="single" w:sz="4" w:space="0" w:color="auto"/>
              <w:right w:val="single" w:sz="4" w:space="0" w:color="auto"/>
            </w:tcBorders>
            <w:vAlign w:val="center"/>
          </w:tcPr>
          <w:p w14:paraId="1853BFF2" w14:textId="77777777" w:rsidR="008653A6" w:rsidRPr="00CA3519" w:rsidRDefault="008653A6" w:rsidP="008653A6">
            <w:pPr>
              <w:jc w:val="center"/>
              <w:rPr>
                <w:sz w:val="17"/>
                <w:szCs w:val="17"/>
              </w:rPr>
            </w:pPr>
            <w:r w:rsidRPr="00CA3519">
              <w:rPr>
                <w:sz w:val="17"/>
                <w:szCs w:val="17"/>
              </w:rPr>
              <w:t>0,476</w:t>
            </w:r>
          </w:p>
        </w:tc>
        <w:tc>
          <w:tcPr>
            <w:tcW w:w="1086" w:type="dxa"/>
            <w:tcBorders>
              <w:top w:val="single" w:sz="4" w:space="0" w:color="auto"/>
              <w:left w:val="single" w:sz="4" w:space="0" w:color="auto"/>
              <w:bottom w:val="single" w:sz="4" w:space="0" w:color="auto"/>
              <w:right w:val="single" w:sz="4" w:space="0" w:color="auto"/>
            </w:tcBorders>
            <w:vAlign w:val="center"/>
          </w:tcPr>
          <w:p w14:paraId="5FF7591D" w14:textId="77777777" w:rsidR="008653A6" w:rsidRPr="00CA3519" w:rsidRDefault="008653A6" w:rsidP="008653A6">
            <w:pPr>
              <w:ind w:left="-16"/>
              <w:jc w:val="center"/>
              <w:rPr>
                <w:sz w:val="17"/>
                <w:szCs w:val="17"/>
              </w:rPr>
            </w:pPr>
            <w:r w:rsidRPr="00CA3519">
              <w:rPr>
                <w:sz w:val="17"/>
                <w:szCs w:val="17"/>
              </w:rPr>
              <w:t>0,631</w:t>
            </w:r>
          </w:p>
        </w:tc>
        <w:tc>
          <w:tcPr>
            <w:tcW w:w="1086" w:type="dxa"/>
            <w:tcBorders>
              <w:top w:val="single" w:sz="4" w:space="0" w:color="auto"/>
              <w:left w:val="single" w:sz="4" w:space="0" w:color="auto"/>
              <w:bottom w:val="single" w:sz="4" w:space="0" w:color="auto"/>
              <w:right w:val="single" w:sz="4" w:space="0" w:color="auto"/>
            </w:tcBorders>
            <w:vAlign w:val="center"/>
          </w:tcPr>
          <w:p w14:paraId="2F22A233" w14:textId="77777777" w:rsidR="008653A6" w:rsidRPr="00CA3519" w:rsidRDefault="008653A6" w:rsidP="008653A6">
            <w:pPr>
              <w:jc w:val="center"/>
              <w:rPr>
                <w:sz w:val="17"/>
                <w:szCs w:val="17"/>
              </w:rPr>
            </w:pPr>
            <w:r w:rsidRPr="00CA3519">
              <w:rPr>
                <w:sz w:val="17"/>
                <w:szCs w:val="17"/>
              </w:rPr>
              <w:t>0,712</w:t>
            </w:r>
          </w:p>
        </w:tc>
      </w:tr>
      <w:tr w:rsidR="008653A6" w:rsidRPr="00CA3519" w14:paraId="46E60D16"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6CFACC1B" w14:textId="77777777" w:rsidR="008653A6" w:rsidRPr="00CA3519" w:rsidRDefault="008653A6" w:rsidP="008653A6">
            <w:pPr>
              <w:rPr>
                <w:sz w:val="17"/>
                <w:szCs w:val="17"/>
              </w:rPr>
            </w:pPr>
            <w:r w:rsidRPr="00CA3519">
              <w:rPr>
                <w:sz w:val="17"/>
                <w:szCs w:val="17"/>
              </w:rPr>
              <w:t xml:space="preserve">September 2018 </w:t>
            </w:r>
          </w:p>
        </w:tc>
        <w:tc>
          <w:tcPr>
            <w:tcW w:w="2113" w:type="dxa"/>
            <w:tcBorders>
              <w:top w:val="single" w:sz="4" w:space="0" w:color="auto"/>
              <w:left w:val="single" w:sz="4" w:space="0" w:color="auto"/>
              <w:bottom w:val="single" w:sz="4" w:space="0" w:color="auto"/>
              <w:right w:val="single" w:sz="4" w:space="0" w:color="auto"/>
            </w:tcBorders>
            <w:vAlign w:val="center"/>
          </w:tcPr>
          <w:p w14:paraId="6C750910" w14:textId="77777777" w:rsidR="008653A6" w:rsidRPr="00CA3519" w:rsidRDefault="008653A6" w:rsidP="007E1C5E">
            <w:pPr>
              <w:jc w:val="center"/>
              <w:rPr>
                <w:sz w:val="17"/>
                <w:szCs w:val="17"/>
              </w:rPr>
            </w:pPr>
            <w:r w:rsidRPr="00CA3519">
              <w:rPr>
                <w:sz w:val="17"/>
                <w:szCs w:val="17"/>
              </w:rPr>
              <w:t>14.09.2018 - Ausg. 1</w:t>
            </w:r>
          </w:p>
        </w:tc>
        <w:tc>
          <w:tcPr>
            <w:tcW w:w="1085" w:type="dxa"/>
            <w:tcBorders>
              <w:top w:val="single" w:sz="4" w:space="0" w:color="auto"/>
              <w:left w:val="single" w:sz="4" w:space="0" w:color="auto"/>
              <w:bottom w:val="single" w:sz="4" w:space="0" w:color="auto"/>
              <w:right w:val="single" w:sz="4" w:space="0" w:color="auto"/>
            </w:tcBorders>
            <w:vAlign w:val="center"/>
          </w:tcPr>
          <w:p w14:paraId="60E9A252" w14:textId="77777777" w:rsidR="008653A6" w:rsidRPr="00CA3519" w:rsidRDefault="008653A6" w:rsidP="008653A6">
            <w:pPr>
              <w:jc w:val="center"/>
              <w:rPr>
                <w:sz w:val="17"/>
                <w:szCs w:val="17"/>
              </w:rPr>
            </w:pPr>
            <w:r w:rsidRPr="00CA3519">
              <w:rPr>
                <w:sz w:val="17"/>
                <w:szCs w:val="17"/>
              </w:rPr>
              <w:t>- 0,540</w:t>
            </w:r>
          </w:p>
        </w:tc>
        <w:tc>
          <w:tcPr>
            <w:tcW w:w="1086" w:type="dxa"/>
            <w:tcBorders>
              <w:top w:val="single" w:sz="4" w:space="0" w:color="auto"/>
              <w:left w:val="single" w:sz="4" w:space="0" w:color="auto"/>
              <w:bottom w:val="single" w:sz="4" w:space="0" w:color="auto"/>
              <w:right w:val="single" w:sz="4" w:space="0" w:color="auto"/>
            </w:tcBorders>
            <w:vAlign w:val="center"/>
          </w:tcPr>
          <w:p w14:paraId="7E051933" w14:textId="77777777" w:rsidR="008653A6" w:rsidRPr="00CA3519" w:rsidRDefault="008653A6" w:rsidP="008653A6">
            <w:pPr>
              <w:jc w:val="center"/>
              <w:rPr>
                <w:sz w:val="17"/>
                <w:szCs w:val="17"/>
              </w:rPr>
            </w:pPr>
            <w:r w:rsidRPr="00CA3519">
              <w:rPr>
                <w:sz w:val="17"/>
                <w:szCs w:val="17"/>
              </w:rPr>
              <w:t>- 0,487</w:t>
            </w:r>
          </w:p>
        </w:tc>
        <w:tc>
          <w:tcPr>
            <w:tcW w:w="1085" w:type="dxa"/>
            <w:tcBorders>
              <w:top w:val="single" w:sz="4" w:space="0" w:color="auto"/>
              <w:left w:val="single" w:sz="4" w:space="0" w:color="auto"/>
              <w:bottom w:val="single" w:sz="4" w:space="0" w:color="auto"/>
              <w:right w:val="single" w:sz="4" w:space="0" w:color="auto"/>
            </w:tcBorders>
            <w:vAlign w:val="center"/>
          </w:tcPr>
          <w:p w14:paraId="24A4AB92" w14:textId="77777777" w:rsidR="008653A6" w:rsidRPr="00CA3519" w:rsidRDefault="008653A6" w:rsidP="008653A6">
            <w:pPr>
              <w:jc w:val="center"/>
              <w:rPr>
                <w:sz w:val="17"/>
                <w:szCs w:val="17"/>
              </w:rPr>
            </w:pPr>
            <w:r w:rsidRPr="00CA3519">
              <w:rPr>
                <w:sz w:val="17"/>
                <w:szCs w:val="17"/>
              </w:rPr>
              <w:t>- 0,410</w:t>
            </w:r>
          </w:p>
        </w:tc>
        <w:tc>
          <w:tcPr>
            <w:tcW w:w="1086" w:type="dxa"/>
            <w:tcBorders>
              <w:top w:val="single" w:sz="4" w:space="0" w:color="auto"/>
              <w:left w:val="single" w:sz="4" w:space="0" w:color="auto"/>
              <w:bottom w:val="single" w:sz="4" w:space="0" w:color="auto"/>
              <w:right w:val="single" w:sz="4" w:space="0" w:color="auto"/>
            </w:tcBorders>
            <w:vAlign w:val="center"/>
          </w:tcPr>
          <w:p w14:paraId="5C56C532" w14:textId="77777777" w:rsidR="008653A6" w:rsidRPr="00CA3519" w:rsidRDefault="008653A6" w:rsidP="008653A6">
            <w:pPr>
              <w:jc w:val="center"/>
              <w:rPr>
                <w:sz w:val="17"/>
                <w:szCs w:val="17"/>
              </w:rPr>
            </w:pPr>
            <w:r w:rsidRPr="00CA3519">
              <w:rPr>
                <w:sz w:val="17"/>
                <w:szCs w:val="17"/>
              </w:rPr>
              <w:t>- 0,285</w:t>
            </w:r>
          </w:p>
        </w:tc>
        <w:tc>
          <w:tcPr>
            <w:tcW w:w="1086" w:type="dxa"/>
            <w:tcBorders>
              <w:top w:val="single" w:sz="4" w:space="0" w:color="auto"/>
              <w:left w:val="single" w:sz="4" w:space="0" w:color="auto"/>
              <w:bottom w:val="single" w:sz="4" w:space="0" w:color="auto"/>
              <w:right w:val="single" w:sz="4" w:space="0" w:color="auto"/>
            </w:tcBorders>
            <w:vAlign w:val="center"/>
          </w:tcPr>
          <w:p w14:paraId="07D8021C" w14:textId="77777777" w:rsidR="008653A6" w:rsidRPr="00CA3519" w:rsidRDefault="008653A6" w:rsidP="008653A6">
            <w:pPr>
              <w:jc w:val="center"/>
              <w:rPr>
                <w:sz w:val="17"/>
                <w:szCs w:val="17"/>
              </w:rPr>
            </w:pPr>
            <w:r w:rsidRPr="00CA3519">
              <w:rPr>
                <w:sz w:val="17"/>
                <w:szCs w:val="17"/>
              </w:rPr>
              <w:t>- 0,100</w:t>
            </w:r>
          </w:p>
        </w:tc>
        <w:tc>
          <w:tcPr>
            <w:tcW w:w="1085" w:type="dxa"/>
            <w:tcBorders>
              <w:top w:val="single" w:sz="4" w:space="0" w:color="auto"/>
              <w:left w:val="single" w:sz="4" w:space="0" w:color="auto"/>
              <w:bottom w:val="single" w:sz="4" w:space="0" w:color="auto"/>
              <w:right w:val="single" w:sz="4" w:space="0" w:color="auto"/>
            </w:tcBorders>
            <w:vAlign w:val="center"/>
          </w:tcPr>
          <w:p w14:paraId="04D591B7" w14:textId="77777777" w:rsidR="008653A6" w:rsidRPr="00CA3519" w:rsidRDefault="008653A6" w:rsidP="008653A6">
            <w:pPr>
              <w:jc w:val="center"/>
              <w:rPr>
                <w:sz w:val="17"/>
                <w:szCs w:val="17"/>
              </w:rPr>
            </w:pPr>
            <w:r w:rsidRPr="00CA3519">
              <w:rPr>
                <w:sz w:val="17"/>
                <w:szCs w:val="17"/>
              </w:rPr>
              <w:t>0,125</w:t>
            </w:r>
          </w:p>
        </w:tc>
        <w:tc>
          <w:tcPr>
            <w:tcW w:w="1086" w:type="dxa"/>
            <w:tcBorders>
              <w:top w:val="single" w:sz="4" w:space="0" w:color="auto"/>
              <w:left w:val="single" w:sz="4" w:space="0" w:color="auto"/>
              <w:bottom w:val="single" w:sz="4" w:space="0" w:color="auto"/>
              <w:right w:val="single" w:sz="4" w:space="0" w:color="auto"/>
            </w:tcBorders>
            <w:vAlign w:val="center"/>
          </w:tcPr>
          <w:p w14:paraId="1043CD09" w14:textId="77777777" w:rsidR="008653A6" w:rsidRPr="00CA3519" w:rsidRDefault="008653A6" w:rsidP="008653A6">
            <w:pPr>
              <w:jc w:val="center"/>
              <w:rPr>
                <w:sz w:val="17"/>
                <w:szCs w:val="17"/>
              </w:rPr>
            </w:pPr>
            <w:r w:rsidRPr="00CA3519">
              <w:rPr>
                <w:sz w:val="17"/>
                <w:szCs w:val="17"/>
              </w:rPr>
              <w:t>0,325</w:t>
            </w:r>
          </w:p>
        </w:tc>
        <w:tc>
          <w:tcPr>
            <w:tcW w:w="1085" w:type="dxa"/>
            <w:tcBorders>
              <w:top w:val="single" w:sz="4" w:space="0" w:color="auto"/>
              <w:left w:val="single" w:sz="4" w:space="0" w:color="auto"/>
              <w:bottom w:val="single" w:sz="4" w:space="0" w:color="auto"/>
              <w:right w:val="single" w:sz="4" w:space="0" w:color="auto"/>
            </w:tcBorders>
            <w:vAlign w:val="center"/>
          </w:tcPr>
          <w:p w14:paraId="141D848D" w14:textId="77777777" w:rsidR="008653A6" w:rsidRPr="00CA3519" w:rsidRDefault="008653A6" w:rsidP="008653A6">
            <w:pPr>
              <w:jc w:val="center"/>
              <w:rPr>
                <w:sz w:val="17"/>
                <w:szCs w:val="17"/>
              </w:rPr>
            </w:pPr>
            <w:r w:rsidRPr="00CA3519">
              <w:rPr>
                <w:sz w:val="17"/>
                <w:szCs w:val="17"/>
              </w:rPr>
              <w:t>0,486</w:t>
            </w:r>
          </w:p>
        </w:tc>
        <w:tc>
          <w:tcPr>
            <w:tcW w:w="1086" w:type="dxa"/>
            <w:tcBorders>
              <w:top w:val="single" w:sz="4" w:space="0" w:color="auto"/>
              <w:left w:val="single" w:sz="4" w:space="0" w:color="auto"/>
              <w:bottom w:val="single" w:sz="4" w:space="0" w:color="auto"/>
              <w:right w:val="single" w:sz="4" w:space="0" w:color="auto"/>
            </w:tcBorders>
            <w:vAlign w:val="center"/>
          </w:tcPr>
          <w:p w14:paraId="4B72C421" w14:textId="77777777" w:rsidR="008653A6" w:rsidRPr="00CA3519" w:rsidRDefault="008653A6" w:rsidP="008653A6">
            <w:pPr>
              <w:ind w:left="-16"/>
              <w:jc w:val="center"/>
              <w:rPr>
                <w:sz w:val="17"/>
                <w:szCs w:val="17"/>
              </w:rPr>
            </w:pPr>
            <w:r w:rsidRPr="00CA3519">
              <w:rPr>
                <w:sz w:val="17"/>
                <w:szCs w:val="17"/>
              </w:rPr>
              <w:t>0,614</w:t>
            </w:r>
          </w:p>
        </w:tc>
        <w:tc>
          <w:tcPr>
            <w:tcW w:w="1086" w:type="dxa"/>
            <w:tcBorders>
              <w:top w:val="single" w:sz="4" w:space="0" w:color="auto"/>
              <w:left w:val="single" w:sz="4" w:space="0" w:color="auto"/>
              <w:bottom w:val="single" w:sz="4" w:space="0" w:color="auto"/>
              <w:right w:val="single" w:sz="4" w:space="0" w:color="auto"/>
            </w:tcBorders>
            <w:vAlign w:val="center"/>
          </w:tcPr>
          <w:p w14:paraId="0CDAF497" w14:textId="77777777" w:rsidR="008653A6" w:rsidRPr="00CA3519" w:rsidRDefault="008653A6" w:rsidP="008653A6">
            <w:pPr>
              <w:jc w:val="center"/>
              <w:rPr>
                <w:sz w:val="17"/>
                <w:szCs w:val="17"/>
              </w:rPr>
            </w:pPr>
            <w:r w:rsidRPr="00CA3519">
              <w:rPr>
                <w:sz w:val="17"/>
                <w:szCs w:val="17"/>
              </w:rPr>
              <w:t>0,725</w:t>
            </w:r>
          </w:p>
        </w:tc>
      </w:tr>
      <w:tr w:rsidR="008653A6" w:rsidRPr="00CA3519" w14:paraId="3C305902"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0290E2BB" w14:textId="77777777" w:rsidR="008653A6" w:rsidRPr="00CA3519" w:rsidRDefault="008653A6" w:rsidP="008653A6">
            <w:pPr>
              <w:rPr>
                <w:sz w:val="17"/>
                <w:szCs w:val="17"/>
              </w:rPr>
            </w:pPr>
            <w:r w:rsidRPr="00CA3519">
              <w:rPr>
                <w:sz w:val="17"/>
                <w:szCs w:val="17"/>
              </w:rPr>
              <w:t>Oktober 2018</w:t>
            </w:r>
          </w:p>
        </w:tc>
        <w:tc>
          <w:tcPr>
            <w:tcW w:w="2113" w:type="dxa"/>
            <w:tcBorders>
              <w:top w:val="single" w:sz="4" w:space="0" w:color="auto"/>
              <w:left w:val="single" w:sz="4" w:space="0" w:color="auto"/>
              <w:bottom w:val="single" w:sz="4" w:space="0" w:color="auto"/>
              <w:right w:val="single" w:sz="4" w:space="0" w:color="auto"/>
            </w:tcBorders>
            <w:vAlign w:val="center"/>
          </w:tcPr>
          <w:p w14:paraId="0B56DC54" w14:textId="77777777" w:rsidR="008653A6" w:rsidRPr="00CA3519" w:rsidRDefault="008653A6" w:rsidP="007E1C5E">
            <w:pPr>
              <w:jc w:val="center"/>
              <w:rPr>
                <w:sz w:val="17"/>
                <w:szCs w:val="17"/>
              </w:rPr>
            </w:pPr>
            <w:r w:rsidRPr="00CA3519">
              <w:rPr>
                <w:sz w:val="17"/>
                <w:szCs w:val="17"/>
              </w:rPr>
              <w:t>17.10.2018 - Ausg. 1</w:t>
            </w:r>
          </w:p>
        </w:tc>
        <w:tc>
          <w:tcPr>
            <w:tcW w:w="1085" w:type="dxa"/>
            <w:tcBorders>
              <w:top w:val="single" w:sz="4" w:space="0" w:color="auto"/>
              <w:left w:val="single" w:sz="4" w:space="0" w:color="auto"/>
              <w:bottom w:val="single" w:sz="4" w:space="0" w:color="auto"/>
              <w:right w:val="single" w:sz="4" w:space="0" w:color="auto"/>
            </w:tcBorders>
            <w:vAlign w:val="center"/>
          </w:tcPr>
          <w:p w14:paraId="1E4F456E" w14:textId="77777777" w:rsidR="008653A6" w:rsidRPr="00CA3519" w:rsidRDefault="008653A6" w:rsidP="008653A6">
            <w:pPr>
              <w:jc w:val="center"/>
              <w:rPr>
                <w:sz w:val="17"/>
                <w:szCs w:val="17"/>
              </w:rPr>
            </w:pPr>
            <w:r w:rsidRPr="00CA3519">
              <w:rPr>
                <w:sz w:val="17"/>
                <w:szCs w:val="17"/>
              </w:rPr>
              <w:t>- 0,540</w:t>
            </w:r>
          </w:p>
        </w:tc>
        <w:tc>
          <w:tcPr>
            <w:tcW w:w="1086" w:type="dxa"/>
            <w:tcBorders>
              <w:top w:val="single" w:sz="4" w:space="0" w:color="auto"/>
              <w:left w:val="single" w:sz="4" w:space="0" w:color="auto"/>
              <w:bottom w:val="single" w:sz="4" w:space="0" w:color="auto"/>
              <w:right w:val="single" w:sz="4" w:space="0" w:color="auto"/>
            </w:tcBorders>
            <w:vAlign w:val="center"/>
          </w:tcPr>
          <w:p w14:paraId="62275F4C" w14:textId="77777777" w:rsidR="008653A6" w:rsidRPr="00CA3519" w:rsidRDefault="008653A6" w:rsidP="008653A6">
            <w:pPr>
              <w:jc w:val="center"/>
              <w:rPr>
                <w:sz w:val="17"/>
                <w:szCs w:val="17"/>
              </w:rPr>
            </w:pPr>
            <w:r w:rsidRPr="00CA3519">
              <w:rPr>
                <w:sz w:val="17"/>
                <w:szCs w:val="17"/>
              </w:rPr>
              <w:t>- 0,442</w:t>
            </w:r>
          </w:p>
        </w:tc>
        <w:tc>
          <w:tcPr>
            <w:tcW w:w="1085" w:type="dxa"/>
            <w:tcBorders>
              <w:top w:val="single" w:sz="4" w:space="0" w:color="auto"/>
              <w:left w:val="single" w:sz="4" w:space="0" w:color="auto"/>
              <w:bottom w:val="single" w:sz="4" w:space="0" w:color="auto"/>
              <w:right w:val="single" w:sz="4" w:space="0" w:color="auto"/>
            </w:tcBorders>
            <w:vAlign w:val="center"/>
          </w:tcPr>
          <w:p w14:paraId="1B7FC91B" w14:textId="77777777" w:rsidR="008653A6" w:rsidRPr="00CA3519" w:rsidRDefault="008653A6" w:rsidP="008653A6">
            <w:pPr>
              <w:jc w:val="center"/>
              <w:rPr>
                <w:sz w:val="17"/>
                <w:szCs w:val="17"/>
              </w:rPr>
            </w:pPr>
            <w:r w:rsidRPr="00CA3519">
              <w:rPr>
                <w:sz w:val="17"/>
                <w:szCs w:val="17"/>
              </w:rPr>
              <w:t>- 0,324</w:t>
            </w:r>
          </w:p>
        </w:tc>
        <w:tc>
          <w:tcPr>
            <w:tcW w:w="1086" w:type="dxa"/>
            <w:tcBorders>
              <w:top w:val="single" w:sz="4" w:space="0" w:color="auto"/>
              <w:left w:val="single" w:sz="4" w:space="0" w:color="auto"/>
              <w:bottom w:val="single" w:sz="4" w:space="0" w:color="auto"/>
              <w:right w:val="single" w:sz="4" w:space="0" w:color="auto"/>
            </w:tcBorders>
            <w:vAlign w:val="center"/>
          </w:tcPr>
          <w:p w14:paraId="1052CE8E" w14:textId="77777777" w:rsidR="008653A6" w:rsidRPr="00CA3519" w:rsidRDefault="008653A6" w:rsidP="008653A6">
            <w:pPr>
              <w:jc w:val="center"/>
              <w:rPr>
                <w:sz w:val="17"/>
                <w:szCs w:val="17"/>
              </w:rPr>
            </w:pPr>
            <w:r w:rsidRPr="00CA3519">
              <w:rPr>
                <w:sz w:val="17"/>
                <w:szCs w:val="17"/>
              </w:rPr>
              <w:t>- 0,168</w:t>
            </w:r>
          </w:p>
        </w:tc>
        <w:tc>
          <w:tcPr>
            <w:tcW w:w="1086" w:type="dxa"/>
            <w:tcBorders>
              <w:top w:val="single" w:sz="4" w:space="0" w:color="auto"/>
              <w:left w:val="single" w:sz="4" w:space="0" w:color="auto"/>
              <w:bottom w:val="single" w:sz="4" w:space="0" w:color="auto"/>
              <w:right w:val="single" w:sz="4" w:space="0" w:color="auto"/>
            </w:tcBorders>
            <w:vAlign w:val="center"/>
          </w:tcPr>
          <w:p w14:paraId="53CAC479" w14:textId="77777777" w:rsidR="008653A6" w:rsidRPr="00CA3519" w:rsidRDefault="008653A6" w:rsidP="008653A6">
            <w:pPr>
              <w:jc w:val="center"/>
              <w:rPr>
                <w:sz w:val="17"/>
                <w:szCs w:val="17"/>
              </w:rPr>
            </w:pPr>
            <w:r w:rsidRPr="00CA3519">
              <w:rPr>
                <w:sz w:val="17"/>
                <w:szCs w:val="17"/>
              </w:rPr>
              <w:t>0,034</w:t>
            </w:r>
          </w:p>
        </w:tc>
        <w:tc>
          <w:tcPr>
            <w:tcW w:w="1085" w:type="dxa"/>
            <w:tcBorders>
              <w:top w:val="single" w:sz="4" w:space="0" w:color="auto"/>
              <w:left w:val="single" w:sz="4" w:space="0" w:color="auto"/>
              <w:bottom w:val="single" w:sz="4" w:space="0" w:color="auto"/>
              <w:right w:val="single" w:sz="4" w:space="0" w:color="auto"/>
            </w:tcBorders>
            <w:vAlign w:val="center"/>
          </w:tcPr>
          <w:p w14:paraId="24E03A37" w14:textId="77777777" w:rsidR="008653A6" w:rsidRPr="00CA3519" w:rsidRDefault="008653A6" w:rsidP="008653A6">
            <w:pPr>
              <w:jc w:val="center"/>
              <w:rPr>
                <w:sz w:val="17"/>
                <w:szCs w:val="17"/>
              </w:rPr>
            </w:pPr>
            <w:r w:rsidRPr="00CA3519">
              <w:rPr>
                <w:sz w:val="17"/>
                <w:szCs w:val="17"/>
              </w:rPr>
              <w:t>0,260</w:t>
            </w:r>
          </w:p>
        </w:tc>
        <w:tc>
          <w:tcPr>
            <w:tcW w:w="1086" w:type="dxa"/>
            <w:tcBorders>
              <w:top w:val="single" w:sz="4" w:space="0" w:color="auto"/>
              <w:left w:val="single" w:sz="4" w:space="0" w:color="auto"/>
              <w:bottom w:val="single" w:sz="4" w:space="0" w:color="auto"/>
              <w:right w:val="single" w:sz="4" w:space="0" w:color="auto"/>
            </w:tcBorders>
            <w:vAlign w:val="center"/>
          </w:tcPr>
          <w:p w14:paraId="492604CE" w14:textId="77777777" w:rsidR="008653A6" w:rsidRPr="00CA3519" w:rsidRDefault="008653A6" w:rsidP="008653A6">
            <w:pPr>
              <w:jc w:val="center"/>
              <w:rPr>
                <w:sz w:val="17"/>
                <w:szCs w:val="17"/>
              </w:rPr>
            </w:pPr>
            <w:r w:rsidRPr="00CA3519">
              <w:rPr>
                <w:sz w:val="17"/>
                <w:szCs w:val="17"/>
              </w:rPr>
              <w:t>0,455</w:t>
            </w:r>
          </w:p>
        </w:tc>
        <w:tc>
          <w:tcPr>
            <w:tcW w:w="1085" w:type="dxa"/>
            <w:tcBorders>
              <w:top w:val="single" w:sz="4" w:space="0" w:color="auto"/>
              <w:left w:val="single" w:sz="4" w:space="0" w:color="auto"/>
              <w:bottom w:val="single" w:sz="4" w:space="0" w:color="auto"/>
              <w:right w:val="single" w:sz="4" w:space="0" w:color="auto"/>
            </w:tcBorders>
            <w:vAlign w:val="center"/>
          </w:tcPr>
          <w:p w14:paraId="52932ED9" w14:textId="77777777" w:rsidR="008653A6" w:rsidRPr="00CA3519" w:rsidRDefault="008653A6" w:rsidP="008653A6">
            <w:pPr>
              <w:jc w:val="center"/>
              <w:rPr>
                <w:sz w:val="17"/>
                <w:szCs w:val="17"/>
              </w:rPr>
            </w:pPr>
            <w:r w:rsidRPr="00CA3519">
              <w:rPr>
                <w:sz w:val="17"/>
                <w:szCs w:val="17"/>
              </w:rPr>
              <w:t>0,613</w:t>
            </w:r>
          </w:p>
        </w:tc>
        <w:tc>
          <w:tcPr>
            <w:tcW w:w="1086" w:type="dxa"/>
            <w:tcBorders>
              <w:top w:val="single" w:sz="4" w:space="0" w:color="auto"/>
              <w:left w:val="single" w:sz="4" w:space="0" w:color="auto"/>
              <w:bottom w:val="single" w:sz="4" w:space="0" w:color="auto"/>
              <w:right w:val="single" w:sz="4" w:space="0" w:color="auto"/>
            </w:tcBorders>
            <w:vAlign w:val="center"/>
          </w:tcPr>
          <w:p w14:paraId="737916C4" w14:textId="77777777" w:rsidR="008653A6" w:rsidRPr="00CA3519" w:rsidRDefault="008653A6" w:rsidP="008653A6">
            <w:pPr>
              <w:ind w:left="-16"/>
              <w:jc w:val="center"/>
              <w:rPr>
                <w:sz w:val="17"/>
                <w:szCs w:val="17"/>
              </w:rPr>
            </w:pPr>
            <w:r w:rsidRPr="00CA3519">
              <w:rPr>
                <w:sz w:val="17"/>
                <w:szCs w:val="17"/>
              </w:rPr>
              <w:t>0,739</w:t>
            </w:r>
          </w:p>
        </w:tc>
        <w:tc>
          <w:tcPr>
            <w:tcW w:w="1086" w:type="dxa"/>
            <w:tcBorders>
              <w:top w:val="single" w:sz="4" w:space="0" w:color="auto"/>
              <w:left w:val="single" w:sz="4" w:space="0" w:color="auto"/>
              <w:bottom w:val="single" w:sz="4" w:space="0" w:color="auto"/>
              <w:right w:val="single" w:sz="4" w:space="0" w:color="auto"/>
            </w:tcBorders>
            <w:vAlign w:val="center"/>
          </w:tcPr>
          <w:p w14:paraId="076B588A" w14:textId="77777777" w:rsidR="008653A6" w:rsidRPr="00CA3519" w:rsidRDefault="008653A6" w:rsidP="008653A6">
            <w:pPr>
              <w:ind w:left="-29" w:right="-41"/>
              <w:jc w:val="center"/>
              <w:rPr>
                <w:sz w:val="17"/>
                <w:szCs w:val="17"/>
              </w:rPr>
            </w:pPr>
            <w:r w:rsidRPr="00CA3519">
              <w:rPr>
                <w:sz w:val="17"/>
                <w:szCs w:val="17"/>
              </w:rPr>
              <w:t>0,846</w:t>
            </w:r>
          </w:p>
        </w:tc>
      </w:tr>
      <w:tr w:rsidR="008653A6" w:rsidRPr="00CA3519" w14:paraId="59B76C41"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25D38861" w14:textId="77777777" w:rsidR="008653A6" w:rsidRPr="00CA3519" w:rsidRDefault="008653A6" w:rsidP="008653A6">
            <w:pPr>
              <w:rPr>
                <w:sz w:val="17"/>
                <w:szCs w:val="17"/>
              </w:rPr>
            </w:pPr>
            <w:r w:rsidRPr="00CA3519">
              <w:rPr>
                <w:sz w:val="17"/>
                <w:szCs w:val="17"/>
              </w:rPr>
              <w:t xml:space="preserve">November 2018 </w:t>
            </w:r>
          </w:p>
        </w:tc>
        <w:tc>
          <w:tcPr>
            <w:tcW w:w="2113" w:type="dxa"/>
            <w:tcBorders>
              <w:top w:val="single" w:sz="4" w:space="0" w:color="auto"/>
              <w:left w:val="single" w:sz="4" w:space="0" w:color="auto"/>
              <w:bottom w:val="single" w:sz="4" w:space="0" w:color="auto"/>
              <w:right w:val="single" w:sz="4" w:space="0" w:color="auto"/>
            </w:tcBorders>
            <w:vAlign w:val="center"/>
          </w:tcPr>
          <w:p w14:paraId="3F23C53C" w14:textId="77777777" w:rsidR="008653A6" w:rsidRPr="00CA3519" w:rsidRDefault="008653A6" w:rsidP="007E1C5E">
            <w:pPr>
              <w:jc w:val="center"/>
              <w:rPr>
                <w:sz w:val="17"/>
                <w:szCs w:val="17"/>
              </w:rPr>
            </w:pPr>
            <w:r w:rsidRPr="00CA3519">
              <w:rPr>
                <w:sz w:val="17"/>
                <w:szCs w:val="17"/>
              </w:rPr>
              <w:t>21.11.2018 - Ausg. 1</w:t>
            </w:r>
          </w:p>
        </w:tc>
        <w:tc>
          <w:tcPr>
            <w:tcW w:w="1085" w:type="dxa"/>
            <w:tcBorders>
              <w:top w:val="single" w:sz="4" w:space="0" w:color="auto"/>
              <w:left w:val="single" w:sz="4" w:space="0" w:color="auto"/>
              <w:bottom w:val="single" w:sz="4" w:space="0" w:color="auto"/>
              <w:right w:val="single" w:sz="4" w:space="0" w:color="auto"/>
            </w:tcBorders>
            <w:vAlign w:val="center"/>
          </w:tcPr>
          <w:p w14:paraId="5A525A06" w14:textId="77777777" w:rsidR="008653A6" w:rsidRPr="00CA3519" w:rsidRDefault="008653A6" w:rsidP="008653A6">
            <w:pPr>
              <w:jc w:val="center"/>
              <w:rPr>
                <w:sz w:val="17"/>
                <w:szCs w:val="17"/>
              </w:rPr>
            </w:pPr>
            <w:r w:rsidRPr="00CA3519">
              <w:rPr>
                <w:sz w:val="17"/>
                <w:szCs w:val="17"/>
              </w:rPr>
              <w:t>- 0,613</w:t>
            </w:r>
          </w:p>
        </w:tc>
        <w:tc>
          <w:tcPr>
            <w:tcW w:w="1086" w:type="dxa"/>
            <w:tcBorders>
              <w:top w:val="single" w:sz="4" w:space="0" w:color="auto"/>
              <w:left w:val="single" w:sz="4" w:space="0" w:color="auto"/>
              <w:bottom w:val="single" w:sz="4" w:space="0" w:color="auto"/>
              <w:right w:val="single" w:sz="4" w:space="0" w:color="auto"/>
            </w:tcBorders>
            <w:vAlign w:val="center"/>
          </w:tcPr>
          <w:p w14:paraId="2454801B" w14:textId="77777777" w:rsidR="008653A6" w:rsidRPr="00CA3519" w:rsidRDefault="008653A6" w:rsidP="008653A6">
            <w:pPr>
              <w:jc w:val="center"/>
              <w:rPr>
                <w:sz w:val="17"/>
                <w:szCs w:val="17"/>
              </w:rPr>
            </w:pPr>
            <w:r w:rsidRPr="00CA3519">
              <w:rPr>
                <w:sz w:val="17"/>
                <w:szCs w:val="17"/>
              </w:rPr>
              <w:t>- 0,500</w:t>
            </w:r>
          </w:p>
        </w:tc>
        <w:tc>
          <w:tcPr>
            <w:tcW w:w="1085" w:type="dxa"/>
            <w:tcBorders>
              <w:top w:val="single" w:sz="4" w:space="0" w:color="auto"/>
              <w:left w:val="single" w:sz="4" w:space="0" w:color="auto"/>
              <w:bottom w:val="single" w:sz="4" w:space="0" w:color="auto"/>
              <w:right w:val="single" w:sz="4" w:space="0" w:color="auto"/>
            </w:tcBorders>
            <w:vAlign w:val="center"/>
          </w:tcPr>
          <w:p w14:paraId="58C3632C" w14:textId="77777777" w:rsidR="008653A6" w:rsidRPr="00CA3519" w:rsidRDefault="008653A6" w:rsidP="008653A6">
            <w:pPr>
              <w:jc w:val="center"/>
              <w:rPr>
                <w:sz w:val="17"/>
                <w:szCs w:val="17"/>
              </w:rPr>
            </w:pPr>
            <w:r w:rsidRPr="00CA3519">
              <w:rPr>
                <w:sz w:val="17"/>
                <w:szCs w:val="17"/>
              </w:rPr>
              <w:t>- 0,358</w:t>
            </w:r>
          </w:p>
        </w:tc>
        <w:tc>
          <w:tcPr>
            <w:tcW w:w="1086" w:type="dxa"/>
            <w:tcBorders>
              <w:top w:val="single" w:sz="4" w:space="0" w:color="auto"/>
              <w:left w:val="single" w:sz="4" w:space="0" w:color="auto"/>
              <w:bottom w:val="single" w:sz="4" w:space="0" w:color="auto"/>
              <w:right w:val="single" w:sz="4" w:space="0" w:color="auto"/>
            </w:tcBorders>
            <w:vAlign w:val="center"/>
          </w:tcPr>
          <w:p w14:paraId="5AC0873E" w14:textId="77777777" w:rsidR="008653A6" w:rsidRPr="00CA3519" w:rsidRDefault="008653A6" w:rsidP="008653A6">
            <w:pPr>
              <w:jc w:val="center"/>
              <w:rPr>
                <w:sz w:val="17"/>
                <w:szCs w:val="17"/>
              </w:rPr>
            </w:pPr>
            <w:r w:rsidRPr="00CA3519">
              <w:rPr>
                <w:sz w:val="17"/>
                <w:szCs w:val="17"/>
              </w:rPr>
              <w:t>- 0,172</w:t>
            </w:r>
          </w:p>
        </w:tc>
        <w:tc>
          <w:tcPr>
            <w:tcW w:w="1086" w:type="dxa"/>
            <w:tcBorders>
              <w:top w:val="single" w:sz="4" w:space="0" w:color="auto"/>
              <w:left w:val="single" w:sz="4" w:space="0" w:color="auto"/>
              <w:bottom w:val="single" w:sz="4" w:space="0" w:color="auto"/>
              <w:right w:val="single" w:sz="4" w:space="0" w:color="auto"/>
            </w:tcBorders>
            <w:vAlign w:val="center"/>
          </w:tcPr>
          <w:p w14:paraId="271143D2" w14:textId="77777777" w:rsidR="008653A6" w:rsidRPr="00CA3519" w:rsidRDefault="008653A6" w:rsidP="008653A6">
            <w:pPr>
              <w:jc w:val="center"/>
              <w:rPr>
                <w:sz w:val="17"/>
                <w:szCs w:val="17"/>
              </w:rPr>
            </w:pPr>
            <w:r w:rsidRPr="00CA3519">
              <w:rPr>
                <w:sz w:val="17"/>
                <w:szCs w:val="17"/>
              </w:rPr>
              <w:t>0,048</w:t>
            </w:r>
          </w:p>
        </w:tc>
        <w:tc>
          <w:tcPr>
            <w:tcW w:w="1085" w:type="dxa"/>
            <w:tcBorders>
              <w:top w:val="single" w:sz="4" w:space="0" w:color="auto"/>
              <w:left w:val="single" w:sz="4" w:space="0" w:color="auto"/>
              <w:bottom w:val="single" w:sz="4" w:space="0" w:color="auto"/>
              <w:right w:val="single" w:sz="4" w:space="0" w:color="auto"/>
            </w:tcBorders>
            <w:vAlign w:val="center"/>
          </w:tcPr>
          <w:p w14:paraId="5C639126" w14:textId="77777777" w:rsidR="008653A6" w:rsidRPr="00CA3519" w:rsidRDefault="008653A6" w:rsidP="008653A6">
            <w:pPr>
              <w:jc w:val="center"/>
              <w:rPr>
                <w:sz w:val="17"/>
                <w:szCs w:val="17"/>
              </w:rPr>
            </w:pPr>
            <w:r w:rsidRPr="00CA3519">
              <w:rPr>
                <w:sz w:val="17"/>
                <w:szCs w:val="17"/>
              </w:rPr>
              <w:t>0,271</w:t>
            </w:r>
          </w:p>
        </w:tc>
        <w:tc>
          <w:tcPr>
            <w:tcW w:w="1086" w:type="dxa"/>
            <w:tcBorders>
              <w:top w:val="single" w:sz="4" w:space="0" w:color="auto"/>
              <w:left w:val="single" w:sz="4" w:space="0" w:color="auto"/>
              <w:bottom w:val="single" w:sz="4" w:space="0" w:color="auto"/>
              <w:right w:val="single" w:sz="4" w:space="0" w:color="auto"/>
            </w:tcBorders>
            <w:vAlign w:val="center"/>
          </w:tcPr>
          <w:p w14:paraId="72C4520B" w14:textId="77777777" w:rsidR="008653A6" w:rsidRPr="00CA3519" w:rsidRDefault="008653A6" w:rsidP="008653A6">
            <w:pPr>
              <w:jc w:val="center"/>
              <w:rPr>
                <w:sz w:val="17"/>
                <w:szCs w:val="17"/>
              </w:rPr>
            </w:pPr>
            <w:r w:rsidRPr="00CA3519">
              <w:rPr>
                <w:sz w:val="17"/>
                <w:szCs w:val="17"/>
              </w:rPr>
              <w:t>0,466</w:t>
            </w:r>
          </w:p>
        </w:tc>
        <w:tc>
          <w:tcPr>
            <w:tcW w:w="1085" w:type="dxa"/>
            <w:tcBorders>
              <w:top w:val="single" w:sz="4" w:space="0" w:color="auto"/>
              <w:left w:val="single" w:sz="4" w:space="0" w:color="auto"/>
              <w:bottom w:val="single" w:sz="4" w:space="0" w:color="auto"/>
              <w:right w:val="single" w:sz="4" w:space="0" w:color="auto"/>
            </w:tcBorders>
            <w:vAlign w:val="center"/>
          </w:tcPr>
          <w:p w14:paraId="708C57C5" w14:textId="77777777" w:rsidR="008653A6" w:rsidRPr="00CA3519" w:rsidRDefault="008653A6" w:rsidP="008653A6">
            <w:pPr>
              <w:jc w:val="center"/>
              <w:rPr>
                <w:sz w:val="17"/>
                <w:szCs w:val="17"/>
              </w:rPr>
            </w:pPr>
            <w:r w:rsidRPr="00CA3519">
              <w:rPr>
                <w:sz w:val="17"/>
                <w:szCs w:val="17"/>
              </w:rPr>
              <w:t>0,629</w:t>
            </w:r>
          </w:p>
        </w:tc>
        <w:tc>
          <w:tcPr>
            <w:tcW w:w="1086" w:type="dxa"/>
            <w:tcBorders>
              <w:top w:val="single" w:sz="4" w:space="0" w:color="auto"/>
              <w:left w:val="single" w:sz="4" w:space="0" w:color="auto"/>
              <w:bottom w:val="single" w:sz="4" w:space="0" w:color="auto"/>
              <w:right w:val="single" w:sz="4" w:space="0" w:color="auto"/>
            </w:tcBorders>
            <w:vAlign w:val="center"/>
          </w:tcPr>
          <w:p w14:paraId="5310106F" w14:textId="77777777" w:rsidR="008653A6" w:rsidRPr="00CA3519" w:rsidRDefault="008653A6" w:rsidP="008653A6">
            <w:pPr>
              <w:ind w:left="-16"/>
              <w:jc w:val="center"/>
              <w:rPr>
                <w:sz w:val="17"/>
                <w:szCs w:val="17"/>
              </w:rPr>
            </w:pPr>
            <w:r w:rsidRPr="00CA3519">
              <w:rPr>
                <w:sz w:val="17"/>
                <w:szCs w:val="17"/>
              </w:rPr>
              <w:t>0,763</w:t>
            </w:r>
          </w:p>
        </w:tc>
        <w:tc>
          <w:tcPr>
            <w:tcW w:w="1086" w:type="dxa"/>
            <w:tcBorders>
              <w:top w:val="single" w:sz="4" w:space="0" w:color="auto"/>
              <w:left w:val="single" w:sz="4" w:space="0" w:color="auto"/>
              <w:bottom w:val="single" w:sz="4" w:space="0" w:color="auto"/>
              <w:right w:val="single" w:sz="4" w:space="0" w:color="auto"/>
            </w:tcBorders>
            <w:vAlign w:val="center"/>
          </w:tcPr>
          <w:p w14:paraId="2A535382" w14:textId="77777777" w:rsidR="008653A6" w:rsidRPr="00CA3519" w:rsidRDefault="008653A6" w:rsidP="008653A6">
            <w:pPr>
              <w:ind w:left="-29" w:right="-41"/>
              <w:jc w:val="center"/>
              <w:rPr>
                <w:sz w:val="17"/>
                <w:szCs w:val="17"/>
              </w:rPr>
            </w:pPr>
            <w:r w:rsidRPr="00CA3519">
              <w:rPr>
                <w:sz w:val="17"/>
                <w:szCs w:val="17"/>
              </w:rPr>
              <w:t>0,878</w:t>
            </w:r>
          </w:p>
        </w:tc>
      </w:tr>
      <w:tr w:rsidR="008653A6" w:rsidRPr="00CA3519" w14:paraId="1B15472B" w14:textId="77777777" w:rsidTr="006E2521">
        <w:trPr>
          <w:trHeight w:val="397"/>
          <w:jc w:val="center"/>
        </w:trPr>
        <w:tc>
          <w:tcPr>
            <w:tcW w:w="2113" w:type="dxa"/>
            <w:tcBorders>
              <w:top w:val="single" w:sz="4" w:space="0" w:color="auto"/>
              <w:left w:val="single" w:sz="4" w:space="0" w:color="auto"/>
              <w:bottom w:val="single" w:sz="4" w:space="0" w:color="auto"/>
              <w:right w:val="single" w:sz="4" w:space="0" w:color="auto"/>
            </w:tcBorders>
            <w:vAlign w:val="center"/>
          </w:tcPr>
          <w:p w14:paraId="6CC0E522" w14:textId="77777777" w:rsidR="008653A6" w:rsidRPr="00CA3519" w:rsidRDefault="008653A6" w:rsidP="008653A6">
            <w:pPr>
              <w:rPr>
                <w:sz w:val="17"/>
                <w:szCs w:val="17"/>
              </w:rPr>
            </w:pPr>
            <w:r w:rsidRPr="00CA3519">
              <w:rPr>
                <w:sz w:val="17"/>
                <w:szCs w:val="17"/>
              </w:rPr>
              <w:t xml:space="preserve">Dezember 2018 </w:t>
            </w:r>
          </w:p>
        </w:tc>
        <w:tc>
          <w:tcPr>
            <w:tcW w:w="2113" w:type="dxa"/>
            <w:tcBorders>
              <w:top w:val="single" w:sz="4" w:space="0" w:color="auto"/>
              <w:left w:val="single" w:sz="4" w:space="0" w:color="auto"/>
              <w:bottom w:val="single" w:sz="4" w:space="0" w:color="auto"/>
              <w:right w:val="single" w:sz="4" w:space="0" w:color="auto"/>
            </w:tcBorders>
            <w:vAlign w:val="center"/>
          </w:tcPr>
          <w:p w14:paraId="3F233C4B" w14:textId="77777777" w:rsidR="008653A6" w:rsidRPr="00CA3519" w:rsidRDefault="008653A6" w:rsidP="007E1C5E">
            <w:pPr>
              <w:jc w:val="center"/>
              <w:rPr>
                <w:sz w:val="17"/>
                <w:szCs w:val="17"/>
              </w:rPr>
            </w:pPr>
            <w:r w:rsidRPr="00CA3519">
              <w:rPr>
                <w:sz w:val="17"/>
                <w:szCs w:val="17"/>
              </w:rPr>
              <w:t>19.12.2018 - Ausg. 1</w:t>
            </w:r>
          </w:p>
        </w:tc>
        <w:tc>
          <w:tcPr>
            <w:tcW w:w="1085" w:type="dxa"/>
            <w:tcBorders>
              <w:top w:val="single" w:sz="4" w:space="0" w:color="auto"/>
              <w:left w:val="single" w:sz="4" w:space="0" w:color="auto"/>
              <w:bottom w:val="single" w:sz="4" w:space="0" w:color="auto"/>
              <w:right w:val="single" w:sz="4" w:space="0" w:color="auto"/>
            </w:tcBorders>
            <w:vAlign w:val="center"/>
          </w:tcPr>
          <w:p w14:paraId="45CCD54C" w14:textId="77777777" w:rsidR="008653A6" w:rsidRPr="00CA3519" w:rsidRDefault="008653A6" w:rsidP="008653A6">
            <w:pPr>
              <w:jc w:val="center"/>
              <w:rPr>
                <w:sz w:val="17"/>
                <w:szCs w:val="17"/>
              </w:rPr>
            </w:pPr>
            <w:r w:rsidRPr="00CA3519">
              <w:rPr>
                <w:sz w:val="17"/>
                <w:szCs w:val="17"/>
              </w:rPr>
              <w:t>- 0,577</w:t>
            </w:r>
          </w:p>
        </w:tc>
        <w:tc>
          <w:tcPr>
            <w:tcW w:w="1086" w:type="dxa"/>
            <w:tcBorders>
              <w:top w:val="single" w:sz="4" w:space="0" w:color="auto"/>
              <w:left w:val="single" w:sz="4" w:space="0" w:color="auto"/>
              <w:bottom w:val="single" w:sz="4" w:space="0" w:color="auto"/>
              <w:right w:val="single" w:sz="4" w:space="0" w:color="auto"/>
            </w:tcBorders>
            <w:vAlign w:val="center"/>
          </w:tcPr>
          <w:p w14:paraId="5E1FAC75" w14:textId="77777777" w:rsidR="008653A6" w:rsidRPr="00CA3519" w:rsidRDefault="008653A6" w:rsidP="008653A6">
            <w:pPr>
              <w:jc w:val="center"/>
              <w:rPr>
                <w:sz w:val="17"/>
                <w:szCs w:val="17"/>
              </w:rPr>
            </w:pPr>
            <w:r w:rsidRPr="00CA3519">
              <w:rPr>
                <w:sz w:val="17"/>
                <w:szCs w:val="17"/>
              </w:rPr>
              <w:t>- 0,500</w:t>
            </w:r>
          </w:p>
        </w:tc>
        <w:tc>
          <w:tcPr>
            <w:tcW w:w="1085" w:type="dxa"/>
            <w:tcBorders>
              <w:top w:val="single" w:sz="4" w:space="0" w:color="auto"/>
              <w:left w:val="single" w:sz="4" w:space="0" w:color="auto"/>
              <w:bottom w:val="single" w:sz="4" w:space="0" w:color="auto"/>
              <w:right w:val="single" w:sz="4" w:space="0" w:color="auto"/>
            </w:tcBorders>
            <w:vAlign w:val="center"/>
          </w:tcPr>
          <w:p w14:paraId="0027FB45" w14:textId="77777777" w:rsidR="008653A6" w:rsidRPr="00CA3519" w:rsidRDefault="008653A6" w:rsidP="008653A6">
            <w:pPr>
              <w:jc w:val="center"/>
              <w:rPr>
                <w:sz w:val="17"/>
                <w:szCs w:val="17"/>
              </w:rPr>
            </w:pPr>
            <w:r w:rsidRPr="00CA3519">
              <w:rPr>
                <w:sz w:val="17"/>
                <w:szCs w:val="17"/>
              </w:rPr>
              <w:t>- 0,394</w:t>
            </w:r>
          </w:p>
        </w:tc>
        <w:tc>
          <w:tcPr>
            <w:tcW w:w="1086" w:type="dxa"/>
            <w:tcBorders>
              <w:top w:val="single" w:sz="4" w:space="0" w:color="auto"/>
              <w:left w:val="single" w:sz="4" w:space="0" w:color="auto"/>
              <w:bottom w:val="single" w:sz="4" w:space="0" w:color="auto"/>
              <w:right w:val="single" w:sz="4" w:space="0" w:color="auto"/>
            </w:tcBorders>
            <w:vAlign w:val="center"/>
          </w:tcPr>
          <w:p w14:paraId="18DF35B9" w14:textId="77777777" w:rsidR="008653A6" w:rsidRPr="00CA3519" w:rsidRDefault="008653A6" w:rsidP="008653A6">
            <w:pPr>
              <w:jc w:val="center"/>
              <w:rPr>
                <w:sz w:val="17"/>
                <w:szCs w:val="17"/>
              </w:rPr>
            </w:pPr>
            <w:r w:rsidRPr="00CA3519">
              <w:rPr>
                <w:sz w:val="17"/>
                <w:szCs w:val="17"/>
              </w:rPr>
              <w:t>- 0,235</w:t>
            </w:r>
          </w:p>
        </w:tc>
        <w:tc>
          <w:tcPr>
            <w:tcW w:w="1086" w:type="dxa"/>
            <w:tcBorders>
              <w:top w:val="single" w:sz="4" w:space="0" w:color="auto"/>
              <w:left w:val="single" w:sz="4" w:space="0" w:color="auto"/>
              <w:bottom w:val="single" w:sz="4" w:space="0" w:color="auto"/>
              <w:right w:val="single" w:sz="4" w:space="0" w:color="auto"/>
            </w:tcBorders>
            <w:vAlign w:val="center"/>
          </w:tcPr>
          <w:p w14:paraId="461CC1C4" w14:textId="77777777" w:rsidR="008653A6" w:rsidRPr="00CA3519" w:rsidRDefault="008653A6" w:rsidP="008653A6">
            <w:pPr>
              <w:jc w:val="center"/>
              <w:rPr>
                <w:sz w:val="17"/>
                <w:szCs w:val="17"/>
              </w:rPr>
            </w:pPr>
            <w:r w:rsidRPr="00CA3519">
              <w:rPr>
                <w:sz w:val="17"/>
                <w:szCs w:val="17"/>
              </w:rPr>
              <w:t>- 0,015</w:t>
            </w:r>
          </w:p>
        </w:tc>
        <w:tc>
          <w:tcPr>
            <w:tcW w:w="1085" w:type="dxa"/>
            <w:tcBorders>
              <w:top w:val="single" w:sz="4" w:space="0" w:color="auto"/>
              <w:left w:val="single" w:sz="4" w:space="0" w:color="auto"/>
              <w:bottom w:val="single" w:sz="4" w:space="0" w:color="auto"/>
              <w:right w:val="single" w:sz="4" w:space="0" w:color="auto"/>
            </w:tcBorders>
            <w:vAlign w:val="center"/>
          </w:tcPr>
          <w:p w14:paraId="58424FF4" w14:textId="77777777" w:rsidR="008653A6" w:rsidRPr="00CA3519" w:rsidRDefault="008653A6" w:rsidP="008653A6">
            <w:pPr>
              <w:jc w:val="center"/>
              <w:rPr>
                <w:sz w:val="17"/>
                <w:szCs w:val="17"/>
              </w:rPr>
            </w:pPr>
            <w:r w:rsidRPr="00CA3519">
              <w:rPr>
                <w:sz w:val="17"/>
                <w:szCs w:val="17"/>
              </w:rPr>
              <w:t>0,230</w:t>
            </w:r>
          </w:p>
        </w:tc>
        <w:tc>
          <w:tcPr>
            <w:tcW w:w="1086" w:type="dxa"/>
            <w:tcBorders>
              <w:top w:val="single" w:sz="4" w:space="0" w:color="auto"/>
              <w:left w:val="single" w:sz="4" w:space="0" w:color="auto"/>
              <w:bottom w:val="single" w:sz="4" w:space="0" w:color="auto"/>
              <w:right w:val="single" w:sz="4" w:space="0" w:color="auto"/>
            </w:tcBorders>
            <w:vAlign w:val="center"/>
          </w:tcPr>
          <w:p w14:paraId="03022833" w14:textId="77777777" w:rsidR="008653A6" w:rsidRPr="00CA3519" w:rsidRDefault="008653A6" w:rsidP="008653A6">
            <w:pPr>
              <w:jc w:val="center"/>
              <w:rPr>
                <w:sz w:val="17"/>
                <w:szCs w:val="17"/>
              </w:rPr>
            </w:pPr>
            <w:r w:rsidRPr="00CA3519">
              <w:rPr>
                <w:sz w:val="17"/>
                <w:szCs w:val="17"/>
              </w:rPr>
              <w:t>0,433</w:t>
            </w:r>
          </w:p>
        </w:tc>
        <w:tc>
          <w:tcPr>
            <w:tcW w:w="1085" w:type="dxa"/>
            <w:tcBorders>
              <w:top w:val="single" w:sz="4" w:space="0" w:color="auto"/>
              <w:left w:val="single" w:sz="4" w:space="0" w:color="auto"/>
              <w:bottom w:val="single" w:sz="4" w:space="0" w:color="auto"/>
              <w:right w:val="single" w:sz="4" w:space="0" w:color="auto"/>
            </w:tcBorders>
            <w:vAlign w:val="center"/>
          </w:tcPr>
          <w:p w14:paraId="04CCD6DE" w14:textId="77777777" w:rsidR="008653A6" w:rsidRPr="00CA3519" w:rsidRDefault="008653A6" w:rsidP="008653A6">
            <w:pPr>
              <w:jc w:val="center"/>
              <w:rPr>
                <w:sz w:val="17"/>
                <w:szCs w:val="17"/>
              </w:rPr>
            </w:pPr>
            <w:r w:rsidRPr="00CA3519">
              <w:rPr>
                <w:sz w:val="17"/>
                <w:szCs w:val="17"/>
              </w:rPr>
              <w:t>0,592</w:t>
            </w:r>
          </w:p>
        </w:tc>
        <w:tc>
          <w:tcPr>
            <w:tcW w:w="1086" w:type="dxa"/>
            <w:tcBorders>
              <w:top w:val="single" w:sz="4" w:space="0" w:color="auto"/>
              <w:left w:val="single" w:sz="4" w:space="0" w:color="auto"/>
              <w:bottom w:val="single" w:sz="4" w:space="0" w:color="auto"/>
              <w:right w:val="single" w:sz="4" w:space="0" w:color="auto"/>
            </w:tcBorders>
            <w:vAlign w:val="center"/>
          </w:tcPr>
          <w:p w14:paraId="415BA7D1" w14:textId="77777777" w:rsidR="008653A6" w:rsidRPr="00CA3519" w:rsidRDefault="008653A6" w:rsidP="008653A6">
            <w:pPr>
              <w:ind w:left="-16"/>
              <w:jc w:val="center"/>
              <w:rPr>
                <w:sz w:val="17"/>
                <w:szCs w:val="17"/>
              </w:rPr>
            </w:pPr>
            <w:r w:rsidRPr="00CA3519">
              <w:rPr>
                <w:sz w:val="17"/>
                <w:szCs w:val="17"/>
              </w:rPr>
              <w:t>0,723</w:t>
            </w:r>
          </w:p>
        </w:tc>
        <w:tc>
          <w:tcPr>
            <w:tcW w:w="1086" w:type="dxa"/>
            <w:tcBorders>
              <w:top w:val="single" w:sz="4" w:space="0" w:color="auto"/>
              <w:left w:val="single" w:sz="4" w:space="0" w:color="auto"/>
              <w:bottom w:val="single" w:sz="4" w:space="0" w:color="auto"/>
              <w:right w:val="single" w:sz="4" w:space="0" w:color="auto"/>
            </w:tcBorders>
            <w:vAlign w:val="center"/>
          </w:tcPr>
          <w:p w14:paraId="7441CAFD" w14:textId="77777777" w:rsidR="008653A6" w:rsidRPr="00CA3519" w:rsidRDefault="008653A6" w:rsidP="008653A6">
            <w:pPr>
              <w:ind w:left="-29" w:right="-41"/>
              <w:jc w:val="center"/>
              <w:rPr>
                <w:sz w:val="17"/>
                <w:szCs w:val="17"/>
              </w:rPr>
            </w:pPr>
            <w:r w:rsidRPr="00CA3519">
              <w:rPr>
                <w:sz w:val="17"/>
                <w:szCs w:val="17"/>
              </w:rPr>
              <w:t>0,834</w:t>
            </w:r>
            <w:r w:rsidR="007320E8" w:rsidRPr="00CA3519">
              <w:rPr>
                <w:sz w:val="17"/>
                <w:szCs w:val="17"/>
              </w:rPr>
              <w:t>]</w:t>
            </w:r>
          </w:p>
        </w:tc>
      </w:tr>
      <w:tr w:rsidR="0095299A" w:rsidRPr="00CA3519" w14:paraId="5B5C6AEE" w14:textId="77777777" w:rsidTr="00E0064C">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6A37D0F4" w14:textId="371CE766" w:rsidR="0095299A" w:rsidRPr="00CA3519" w:rsidRDefault="0095299A" w:rsidP="0095299A">
            <w:pPr>
              <w:rPr>
                <w:sz w:val="17"/>
                <w:szCs w:val="17"/>
              </w:rPr>
            </w:pPr>
            <w:r>
              <w:rPr>
                <w:sz w:val="17"/>
                <w:szCs w:val="17"/>
              </w:rPr>
              <w:t>[</w:t>
            </w:r>
            <w:r w:rsidRPr="0095299A">
              <w:rPr>
                <w:sz w:val="17"/>
                <w:szCs w:val="17"/>
              </w:rPr>
              <w:t>Januar 2019</w:t>
            </w:r>
          </w:p>
        </w:tc>
        <w:tc>
          <w:tcPr>
            <w:tcW w:w="2113" w:type="dxa"/>
            <w:tcBorders>
              <w:top w:val="single" w:sz="4" w:space="0" w:color="auto"/>
              <w:bottom w:val="single" w:sz="4" w:space="0" w:color="auto"/>
              <w:right w:val="single" w:sz="6" w:space="0" w:color="000000"/>
            </w:tcBorders>
          </w:tcPr>
          <w:p w14:paraId="7A58087D" w14:textId="5803BE46" w:rsidR="0095299A" w:rsidRPr="00CA3519" w:rsidRDefault="0095299A" w:rsidP="0095299A">
            <w:pPr>
              <w:jc w:val="center"/>
              <w:rPr>
                <w:sz w:val="17"/>
                <w:szCs w:val="17"/>
              </w:rPr>
            </w:pPr>
            <w:r w:rsidRPr="0095299A">
              <w:rPr>
                <w:sz w:val="17"/>
                <w:szCs w:val="17"/>
              </w:rPr>
              <w:t>16.01.2019 - Ausg. 1</w:t>
            </w:r>
          </w:p>
        </w:tc>
        <w:tc>
          <w:tcPr>
            <w:tcW w:w="1085" w:type="dxa"/>
            <w:tcBorders>
              <w:top w:val="single" w:sz="4" w:space="0" w:color="auto"/>
              <w:bottom w:val="single" w:sz="4" w:space="0" w:color="auto"/>
              <w:right w:val="single" w:sz="6" w:space="0" w:color="000000"/>
            </w:tcBorders>
          </w:tcPr>
          <w:p w14:paraId="1E4A9A2D" w14:textId="22A75913" w:rsidR="0095299A" w:rsidRPr="00CA3519" w:rsidRDefault="0095299A" w:rsidP="0095299A">
            <w:pPr>
              <w:jc w:val="center"/>
              <w:rPr>
                <w:sz w:val="17"/>
                <w:szCs w:val="17"/>
              </w:rPr>
            </w:pPr>
            <w:r w:rsidRPr="0095299A">
              <w:rPr>
                <w:sz w:val="17"/>
                <w:szCs w:val="17"/>
              </w:rPr>
              <w:t>-0,583</w:t>
            </w:r>
          </w:p>
        </w:tc>
        <w:tc>
          <w:tcPr>
            <w:tcW w:w="1086" w:type="dxa"/>
            <w:tcBorders>
              <w:top w:val="single" w:sz="4" w:space="0" w:color="auto"/>
              <w:bottom w:val="single" w:sz="4" w:space="0" w:color="auto"/>
              <w:right w:val="single" w:sz="6" w:space="0" w:color="000000"/>
            </w:tcBorders>
          </w:tcPr>
          <w:p w14:paraId="2F096014" w14:textId="0910F8FC" w:rsidR="0095299A" w:rsidRPr="00CA3519" w:rsidRDefault="0095299A" w:rsidP="0095299A">
            <w:pPr>
              <w:jc w:val="center"/>
              <w:rPr>
                <w:sz w:val="17"/>
                <w:szCs w:val="17"/>
              </w:rPr>
            </w:pPr>
            <w:r w:rsidRPr="0095299A">
              <w:rPr>
                <w:sz w:val="17"/>
                <w:szCs w:val="17"/>
              </w:rPr>
              <w:t>-0,494</w:t>
            </w:r>
          </w:p>
        </w:tc>
        <w:tc>
          <w:tcPr>
            <w:tcW w:w="1085" w:type="dxa"/>
            <w:tcBorders>
              <w:top w:val="single" w:sz="4" w:space="0" w:color="auto"/>
              <w:bottom w:val="single" w:sz="4" w:space="0" w:color="auto"/>
              <w:right w:val="single" w:sz="6" w:space="0" w:color="000000"/>
            </w:tcBorders>
          </w:tcPr>
          <w:p w14:paraId="15B7ADCB" w14:textId="6B2C8F2C" w:rsidR="0095299A" w:rsidRPr="00CA3519" w:rsidRDefault="0095299A" w:rsidP="0095299A">
            <w:pPr>
              <w:jc w:val="center"/>
              <w:rPr>
                <w:sz w:val="17"/>
                <w:szCs w:val="17"/>
              </w:rPr>
            </w:pPr>
            <w:r w:rsidRPr="0095299A">
              <w:rPr>
                <w:sz w:val="17"/>
                <w:szCs w:val="17"/>
              </w:rPr>
              <w:t>-0,389</w:t>
            </w:r>
          </w:p>
        </w:tc>
        <w:tc>
          <w:tcPr>
            <w:tcW w:w="1086" w:type="dxa"/>
            <w:tcBorders>
              <w:top w:val="single" w:sz="4" w:space="0" w:color="auto"/>
              <w:bottom w:val="single" w:sz="4" w:space="0" w:color="auto"/>
              <w:right w:val="single" w:sz="6" w:space="0" w:color="000000"/>
            </w:tcBorders>
          </w:tcPr>
          <w:p w14:paraId="42930602" w14:textId="277D6A98" w:rsidR="0095299A" w:rsidRPr="00CA3519" w:rsidRDefault="0095299A" w:rsidP="0095299A">
            <w:pPr>
              <w:jc w:val="center"/>
              <w:rPr>
                <w:sz w:val="17"/>
                <w:szCs w:val="17"/>
              </w:rPr>
            </w:pPr>
            <w:r w:rsidRPr="0095299A">
              <w:rPr>
                <w:sz w:val="17"/>
                <w:szCs w:val="17"/>
              </w:rPr>
              <w:t>-0,249</w:t>
            </w:r>
          </w:p>
        </w:tc>
        <w:tc>
          <w:tcPr>
            <w:tcW w:w="1086" w:type="dxa"/>
            <w:tcBorders>
              <w:top w:val="single" w:sz="4" w:space="0" w:color="auto"/>
              <w:bottom w:val="single" w:sz="4" w:space="0" w:color="auto"/>
              <w:right w:val="single" w:sz="6" w:space="0" w:color="000000"/>
            </w:tcBorders>
          </w:tcPr>
          <w:p w14:paraId="1D5A5C96" w14:textId="116F1A5F" w:rsidR="0095299A" w:rsidRPr="00CA3519" w:rsidRDefault="0095299A" w:rsidP="0095299A">
            <w:pPr>
              <w:jc w:val="center"/>
              <w:rPr>
                <w:sz w:val="17"/>
                <w:szCs w:val="17"/>
              </w:rPr>
            </w:pPr>
            <w:r w:rsidRPr="0095299A">
              <w:rPr>
                <w:sz w:val="17"/>
                <w:szCs w:val="17"/>
              </w:rPr>
              <w:t>-0,033</w:t>
            </w:r>
          </w:p>
        </w:tc>
        <w:tc>
          <w:tcPr>
            <w:tcW w:w="1085" w:type="dxa"/>
            <w:tcBorders>
              <w:top w:val="single" w:sz="4" w:space="0" w:color="auto"/>
              <w:bottom w:val="single" w:sz="4" w:space="0" w:color="auto"/>
              <w:right w:val="single" w:sz="6" w:space="0" w:color="000000"/>
            </w:tcBorders>
          </w:tcPr>
          <w:p w14:paraId="2E9EA283" w14:textId="6E53571F" w:rsidR="0095299A" w:rsidRPr="00CA3519" w:rsidRDefault="0095299A" w:rsidP="0095299A">
            <w:pPr>
              <w:jc w:val="center"/>
              <w:rPr>
                <w:sz w:val="17"/>
                <w:szCs w:val="17"/>
              </w:rPr>
            </w:pPr>
            <w:r w:rsidRPr="0095299A">
              <w:rPr>
                <w:sz w:val="17"/>
                <w:szCs w:val="17"/>
              </w:rPr>
              <w:t>0,214</w:t>
            </w:r>
          </w:p>
        </w:tc>
        <w:tc>
          <w:tcPr>
            <w:tcW w:w="1086" w:type="dxa"/>
            <w:tcBorders>
              <w:top w:val="single" w:sz="4" w:space="0" w:color="auto"/>
              <w:bottom w:val="single" w:sz="4" w:space="0" w:color="auto"/>
              <w:right w:val="single" w:sz="6" w:space="0" w:color="000000"/>
            </w:tcBorders>
          </w:tcPr>
          <w:p w14:paraId="16CD4206" w14:textId="0E422B56" w:rsidR="0095299A" w:rsidRPr="00CA3519" w:rsidRDefault="0095299A" w:rsidP="0095299A">
            <w:pPr>
              <w:jc w:val="center"/>
              <w:rPr>
                <w:sz w:val="17"/>
                <w:szCs w:val="17"/>
              </w:rPr>
            </w:pPr>
            <w:r w:rsidRPr="0095299A">
              <w:rPr>
                <w:sz w:val="17"/>
                <w:szCs w:val="17"/>
              </w:rPr>
              <w:t>0,413</w:t>
            </w:r>
          </w:p>
        </w:tc>
        <w:tc>
          <w:tcPr>
            <w:tcW w:w="1085" w:type="dxa"/>
            <w:tcBorders>
              <w:top w:val="single" w:sz="4" w:space="0" w:color="auto"/>
              <w:bottom w:val="single" w:sz="4" w:space="0" w:color="auto"/>
              <w:right w:val="single" w:sz="6" w:space="0" w:color="000000"/>
            </w:tcBorders>
          </w:tcPr>
          <w:p w14:paraId="5B6AB020" w14:textId="1B854B73" w:rsidR="0095299A" w:rsidRPr="00CA3519" w:rsidRDefault="0095299A" w:rsidP="0095299A">
            <w:pPr>
              <w:jc w:val="center"/>
              <w:rPr>
                <w:sz w:val="17"/>
                <w:szCs w:val="17"/>
              </w:rPr>
            </w:pPr>
            <w:r w:rsidRPr="0095299A">
              <w:rPr>
                <w:sz w:val="17"/>
                <w:szCs w:val="17"/>
              </w:rPr>
              <w:t>0,568</w:t>
            </w:r>
          </w:p>
        </w:tc>
        <w:tc>
          <w:tcPr>
            <w:tcW w:w="1086" w:type="dxa"/>
            <w:tcBorders>
              <w:top w:val="single" w:sz="4" w:space="0" w:color="auto"/>
              <w:bottom w:val="single" w:sz="4" w:space="0" w:color="auto"/>
              <w:right w:val="single" w:sz="6" w:space="0" w:color="000000"/>
            </w:tcBorders>
          </w:tcPr>
          <w:p w14:paraId="26F3B490" w14:textId="63AC4002" w:rsidR="0095299A" w:rsidRPr="00CA3519" w:rsidRDefault="0095299A" w:rsidP="0095299A">
            <w:pPr>
              <w:ind w:left="-16"/>
              <w:jc w:val="center"/>
              <w:rPr>
                <w:sz w:val="17"/>
                <w:szCs w:val="17"/>
              </w:rPr>
            </w:pPr>
            <w:r w:rsidRPr="0095299A">
              <w:rPr>
                <w:sz w:val="17"/>
                <w:szCs w:val="17"/>
              </w:rPr>
              <w:t>0,691</w:t>
            </w:r>
          </w:p>
        </w:tc>
        <w:tc>
          <w:tcPr>
            <w:tcW w:w="1086" w:type="dxa"/>
            <w:tcBorders>
              <w:top w:val="single" w:sz="4" w:space="0" w:color="auto"/>
              <w:bottom w:val="single" w:sz="4" w:space="0" w:color="auto"/>
              <w:right w:val="single" w:sz="6" w:space="0" w:color="000000"/>
            </w:tcBorders>
          </w:tcPr>
          <w:p w14:paraId="6E62B23B" w14:textId="622086A2" w:rsidR="0095299A" w:rsidRPr="00CA3519" w:rsidRDefault="0095299A" w:rsidP="0095299A">
            <w:pPr>
              <w:ind w:left="-29" w:right="-41"/>
              <w:jc w:val="center"/>
              <w:rPr>
                <w:sz w:val="17"/>
                <w:szCs w:val="17"/>
              </w:rPr>
            </w:pPr>
            <w:r w:rsidRPr="0095299A">
              <w:rPr>
                <w:sz w:val="17"/>
                <w:szCs w:val="17"/>
              </w:rPr>
              <w:t>0,796</w:t>
            </w:r>
          </w:p>
        </w:tc>
      </w:tr>
      <w:tr w:rsidR="0095299A" w:rsidRPr="00CA3519" w14:paraId="6D29F75C" w14:textId="77777777" w:rsidTr="00E0064C">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4DDB93E2" w14:textId="14D9E300" w:rsidR="0095299A" w:rsidRPr="00CA3519" w:rsidRDefault="0095299A" w:rsidP="0095299A">
            <w:pPr>
              <w:rPr>
                <w:sz w:val="17"/>
                <w:szCs w:val="17"/>
              </w:rPr>
            </w:pPr>
            <w:r w:rsidRPr="0095299A">
              <w:rPr>
                <w:sz w:val="17"/>
                <w:szCs w:val="17"/>
              </w:rPr>
              <w:t>Februar 2019</w:t>
            </w:r>
          </w:p>
        </w:tc>
        <w:tc>
          <w:tcPr>
            <w:tcW w:w="2113" w:type="dxa"/>
            <w:tcBorders>
              <w:top w:val="single" w:sz="4" w:space="0" w:color="auto"/>
              <w:bottom w:val="single" w:sz="4" w:space="0" w:color="auto"/>
              <w:right w:val="single" w:sz="6" w:space="0" w:color="000000"/>
            </w:tcBorders>
          </w:tcPr>
          <w:p w14:paraId="7BC52289" w14:textId="05E62AEE" w:rsidR="0095299A" w:rsidRPr="00CA3519" w:rsidRDefault="0095299A" w:rsidP="0095299A">
            <w:pPr>
              <w:jc w:val="center"/>
              <w:rPr>
                <w:sz w:val="17"/>
                <w:szCs w:val="17"/>
              </w:rPr>
            </w:pPr>
            <w:r w:rsidRPr="0095299A">
              <w:rPr>
                <w:sz w:val="17"/>
                <w:szCs w:val="17"/>
              </w:rPr>
              <w:t>14.02.2019 - Ausg. 1</w:t>
            </w:r>
          </w:p>
        </w:tc>
        <w:tc>
          <w:tcPr>
            <w:tcW w:w="1085" w:type="dxa"/>
            <w:tcBorders>
              <w:top w:val="single" w:sz="4" w:space="0" w:color="auto"/>
              <w:bottom w:val="single" w:sz="4" w:space="0" w:color="auto"/>
              <w:right w:val="single" w:sz="6" w:space="0" w:color="000000"/>
            </w:tcBorders>
          </w:tcPr>
          <w:p w14:paraId="54CACF04" w14:textId="6A099B37" w:rsidR="0095299A" w:rsidRPr="00CA3519" w:rsidRDefault="0095299A" w:rsidP="0095299A">
            <w:pPr>
              <w:jc w:val="center"/>
              <w:rPr>
                <w:sz w:val="17"/>
                <w:szCs w:val="17"/>
              </w:rPr>
            </w:pPr>
            <w:r w:rsidRPr="0095299A">
              <w:rPr>
                <w:sz w:val="17"/>
                <w:szCs w:val="17"/>
              </w:rPr>
              <w:t>-0,528</w:t>
            </w:r>
          </w:p>
        </w:tc>
        <w:tc>
          <w:tcPr>
            <w:tcW w:w="1086" w:type="dxa"/>
            <w:tcBorders>
              <w:top w:val="single" w:sz="4" w:space="0" w:color="auto"/>
              <w:bottom w:val="single" w:sz="4" w:space="0" w:color="auto"/>
              <w:right w:val="single" w:sz="6" w:space="0" w:color="000000"/>
            </w:tcBorders>
          </w:tcPr>
          <w:p w14:paraId="0374A001" w14:textId="0D947403" w:rsidR="0095299A" w:rsidRPr="00CA3519" w:rsidRDefault="0095299A" w:rsidP="0095299A">
            <w:pPr>
              <w:jc w:val="center"/>
              <w:rPr>
                <w:sz w:val="17"/>
                <w:szCs w:val="17"/>
              </w:rPr>
            </w:pPr>
            <w:r w:rsidRPr="0095299A">
              <w:rPr>
                <w:sz w:val="17"/>
                <w:szCs w:val="17"/>
              </w:rPr>
              <w:t>-0,488</w:t>
            </w:r>
          </w:p>
        </w:tc>
        <w:tc>
          <w:tcPr>
            <w:tcW w:w="1085" w:type="dxa"/>
            <w:tcBorders>
              <w:top w:val="single" w:sz="4" w:space="0" w:color="auto"/>
              <w:bottom w:val="single" w:sz="4" w:space="0" w:color="auto"/>
              <w:right w:val="single" w:sz="6" w:space="0" w:color="000000"/>
            </w:tcBorders>
          </w:tcPr>
          <w:p w14:paraId="2C2AE7C8" w14:textId="13334134" w:rsidR="0095299A" w:rsidRPr="00CA3519" w:rsidRDefault="0095299A" w:rsidP="0095299A">
            <w:pPr>
              <w:jc w:val="center"/>
              <w:rPr>
                <w:sz w:val="17"/>
                <w:szCs w:val="17"/>
              </w:rPr>
            </w:pPr>
            <w:r w:rsidRPr="0095299A">
              <w:rPr>
                <w:sz w:val="17"/>
                <w:szCs w:val="17"/>
              </w:rPr>
              <w:t>-0,411</w:t>
            </w:r>
          </w:p>
        </w:tc>
        <w:tc>
          <w:tcPr>
            <w:tcW w:w="1086" w:type="dxa"/>
            <w:tcBorders>
              <w:top w:val="single" w:sz="4" w:space="0" w:color="auto"/>
              <w:bottom w:val="single" w:sz="4" w:space="0" w:color="auto"/>
              <w:right w:val="single" w:sz="6" w:space="0" w:color="000000"/>
            </w:tcBorders>
          </w:tcPr>
          <w:p w14:paraId="050ABDF3" w14:textId="30591E84" w:rsidR="0095299A" w:rsidRPr="00CA3519" w:rsidRDefault="0095299A" w:rsidP="0095299A">
            <w:pPr>
              <w:jc w:val="center"/>
              <w:rPr>
                <w:sz w:val="17"/>
                <w:szCs w:val="17"/>
              </w:rPr>
            </w:pPr>
            <w:r w:rsidRPr="0095299A">
              <w:rPr>
                <w:sz w:val="17"/>
                <w:szCs w:val="17"/>
              </w:rPr>
              <w:t>-0,260</w:t>
            </w:r>
          </w:p>
        </w:tc>
        <w:tc>
          <w:tcPr>
            <w:tcW w:w="1086" w:type="dxa"/>
            <w:tcBorders>
              <w:top w:val="single" w:sz="4" w:space="0" w:color="auto"/>
              <w:bottom w:val="single" w:sz="4" w:space="0" w:color="auto"/>
              <w:right w:val="single" w:sz="6" w:space="0" w:color="000000"/>
            </w:tcBorders>
          </w:tcPr>
          <w:p w14:paraId="0825C209" w14:textId="65F47163" w:rsidR="0095299A" w:rsidRPr="00CA3519" w:rsidRDefault="0095299A" w:rsidP="0095299A">
            <w:pPr>
              <w:jc w:val="center"/>
              <w:rPr>
                <w:sz w:val="17"/>
                <w:szCs w:val="17"/>
              </w:rPr>
            </w:pPr>
            <w:r w:rsidRPr="0095299A">
              <w:rPr>
                <w:sz w:val="17"/>
                <w:szCs w:val="17"/>
              </w:rPr>
              <w:t>-0,064</w:t>
            </w:r>
          </w:p>
        </w:tc>
        <w:tc>
          <w:tcPr>
            <w:tcW w:w="1085" w:type="dxa"/>
            <w:tcBorders>
              <w:top w:val="single" w:sz="4" w:space="0" w:color="auto"/>
              <w:bottom w:val="single" w:sz="4" w:space="0" w:color="auto"/>
              <w:right w:val="single" w:sz="6" w:space="0" w:color="000000"/>
            </w:tcBorders>
          </w:tcPr>
          <w:p w14:paraId="2B9193EF" w14:textId="6DAECF15" w:rsidR="0095299A" w:rsidRPr="00CA3519" w:rsidRDefault="0095299A" w:rsidP="0095299A">
            <w:pPr>
              <w:jc w:val="center"/>
              <w:rPr>
                <w:sz w:val="17"/>
                <w:szCs w:val="17"/>
              </w:rPr>
            </w:pPr>
            <w:r w:rsidRPr="0095299A">
              <w:rPr>
                <w:sz w:val="17"/>
                <w:szCs w:val="17"/>
              </w:rPr>
              <w:t>0,121</w:t>
            </w:r>
          </w:p>
        </w:tc>
        <w:tc>
          <w:tcPr>
            <w:tcW w:w="1086" w:type="dxa"/>
            <w:tcBorders>
              <w:top w:val="single" w:sz="4" w:space="0" w:color="auto"/>
              <w:bottom w:val="single" w:sz="4" w:space="0" w:color="auto"/>
              <w:right w:val="single" w:sz="6" w:space="0" w:color="000000"/>
            </w:tcBorders>
          </w:tcPr>
          <w:p w14:paraId="0AE5084D" w14:textId="664B5CF3" w:rsidR="0095299A" w:rsidRPr="00CA3519" w:rsidRDefault="0095299A" w:rsidP="0095299A">
            <w:pPr>
              <w:jc w:val="center"/>
              <w:rPr>
                <w:sz w:val="17"/>
                <w:szCs w:val="17"/>
              </w:rPr>
            </w:pPr>
            <w:r w:rsidRPr="0095299A">
              <w:rPr>
                <w:sz w:val="17"/>
                <w:szCs w:val="17"/>
              </w:rPr>
              <w:t>0,278</w:t>
            </w:r>
          </w:p>
        </w:tc>
        <w:tc>
          <w:tcPr>
            <w:tcW w:w="1085" w:type="dxa"/>
            <w:tcBorders>
              <w:top w:val="single" w:sz="4" w:space="0" w:color="auto"/>
              <w:bottom w:val="single" w:sz="4" w:space="0" w:color="auto"/>
              <w:right w:val="single" w:sz="6" w:space="0" w:color="000000"/>
            </w:tcBorders>
          </w:tcPr>
          <w:p w14:paraId="0F7C2899" w14:textId="7439CE16" w:rsidR="0095299A" w:rsidRPr="00CA3519" w:rsidRDefault="0095299A" w:rsidP="0095299A">
            <w:pPr>
              <w:jc w:val="center"/>
              <w:rPr>
                <w:sz w:val="17"/>
                <w:szCs w:val="17"/>
              </w:rPr>
            </w:pPr>
            <w:r w:rsidRPr="0095299A">
              <w:rPr>
                <w:sz w:val="17"/>
                <w:szCs w:val="17"/>
              </w:rPr>
              <w:t>0,431</w:t>
            </w:r>
          </w:p>
        </w:tc>
        <w:tc>
          <w:tcPr>
            <w:tcW w:w="1086" w:type="dxa"/>
            <w:tcBorders>
              <w:top w:val="single" w:sz="4" w:space="0" w:color="auto"/>
              <w:bottom w:val="single" w:sz="4" w:space="0" w:color="auto"/>
              <w:right w:val="single" w:sz="6" w:space="0" w:color="000000"/>
            </w:tcBorders>
          </w:tcPr>
          <w:p w14:paraId="292E3905" w14:textId="68A40CD6" w:rsidR="0095299A" w:rsidRPr="00CA3519" w:rsidRDefault="0095299A" w:rsidP="0095299A">
            <w:pPr>
              <w:ind w:left="-16"/>
              <w:jc w:val="center"/>
              <w:rPr>
                <w:sz w:val="17"/>
                <w:szCs w:val="17"/>
              </w:rPr>
            </w:pPr>
            <w:r w:rsidRPr="0095299A">
              <w:rPr>
                <w:sz w:val="17"/>
                <w:szCs w:val="17"/>
              </w:rPr>
              <w:t>0,585</w:t>
            </w:r>
          </w:p>
        </w:tc>
        <w:tc>
          <w:tcPr>
            <w:tcW w:w="1086" w:type="dxa"/>
            <w:tcBorders>
              <w:top w:val="single" w:sz="4" w:space="0" w:color="auto"/>
              <w:bottom w:val="single" w:sz="4" w:space="0" w:color="auto"/>
              <w:right w:val="single" w:sz="6" w:space="0" w:color="000000"/>
            </w:tcBorders>
          </w:tcPr>
          <w:p w14:paraId="6D4E3A92" w14:textId="788D6ED7" w:rsidR="0095299A" w:rsidRPr="00CA3519" w:rsidRDefault="0095299A" w:rsidP="0095299A">
            <w:pPr>
              <w:ind w:left="-29" w:right="-41"/>
              <w:jc w:val="center"/>
              <w:rPr>
                <w:sz w:val="17"/>
                <w:szCs w:val="17"/>
              </w:rPr>
            </w:pPr>
            <w:r w:rsidRPr="0095299A">
              <w:rPr>
                <w:sz w:val="17"/>
                <w:szCs w:val="17"/>
              </w:rPr>
              <w:t>0,727</w:t>
            </w:r>
          </w:p>
        </w:tc>
      </w:tr>
      <w:tr w:rsidR="0095299A" w:rsidRPr="00CA3519" w14:paraId="62646EAD" w14:textId="77777777" w:rsidTr="00E0064C">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7B1B91B7" w14:textId="64E22D08" w:rsidR="0095299A" w:rsidRPr="00CA3519" w:rsidRDefault="0095299A" w:rsidP="0095299A">
            <w:pPr>
              <w:rPr>
                <w:sz w:val="17"/>
                <w:szCs w:val="17"/>
              </w:rPr>
            </w:pPr>
            <w:r w:rsidRPr="0095299A">
              <w:rPr>
                <w:sz w:val="17"/>
                <w:szCs w:val="17"/>
              </w:rPr>
              <w:t>März 2019</w:t>
            </w:r>
          </w:p>
        </w:tc>
        <w:tc>
          <w:tcPr>
            <w:tcW w:w="2113" w:type="dxa"/>
            <w:tcBorders>
              <w:top w:val="single" w:sz="4" w:space="0" w:color="auto"/>
              <w:bottom w:val="single" w:sz="4" w:space="0" w:color="auto"/>
              <w:right w:val="single" w:sz="6" w:space="0" w:color="000000"/>
            </w:tcBorders>
          </w:tcPr>
          <w:p w14:paraId="6BB20C31" w14:textId="53E680B8" w:rsidR="0095299A" w:rsidRPr="00CA3519" w:rsidRDefault="0095299A" w:rsidP="0095299A">
            <w:pPr>
              <w:jc w:val="center"/>
              <w:rPr>
                <w:sz w:val="17"/>
                <w:szCs w:val="17"/>
              </w:rPr>
            </w:pPr>
            <w:r w:rsidRPr="0095299A">
              <w:rPr>
                <w:sz w:val="17"/>
                <w:szCs w:val="17"/>
              </w:rPr>
              <w:t>18.03.2019 - Ausg. 1</w:t>
            </w:r>
          </w:p>
        </w:tc>
        <w:tc>
          <w:tcPr>
            <w:tcW w:w="1085" w:type="dxa"/>
            <w:tcBorders>
              <w:top w:val="single" w:sz="4" w:space="0" w:color="auto"/>
              <w:bottom w:val="single" w:sz="4" w:space="0" w:color="auto"/>
              <w:right w:val="single" w:sz="6" w:space="0" w:color="000000"/>
            </w:tcBorders>
          </w:tcPr>
          <w:p w14:paraId="288AB79A" w14:textId="4CE4F380" w:rsidR="0095299A" w:rsidRPr="00CA3519" w:rsidRDefault="0095299A" w:rsidP="0095299A">
            <w:pPr>
              <w:jc w:val="center"/>
              <w:rPr>
                <w:sz w:val="17"/>
                <w:szCs w:val="17"/>
              </w:rPr>
            </w:pPr>
            <w:r w:rsidRPr="0095299A">
              <w:rPr>
                <w:sz w:val="17"/>
                <w:szCs w:val="17"/>
              </w:rPr>
              <w:t>-0,522</w:t>
            </w:r>
          </w:p>
        </w:tc>
        <w:tc>
          <w:tcPr>
            <w:tcW w:w="1086" w:type="dxa"/>
            <w:tcBorders>
              <w:top w:val="single" w:sz="4" w:space="0" w:color="auto"/>
              <w:bottom w:val="single" w:sz="4" w:space="0" w:color="auto"/>
              <w:right w:val="single" w:sz="6" w:space="0" w:color="000000"/>
            </w:tcBorders>
          </w:tcPr>
          <w:p w14:paraId="6CB255E6" w14:textId="065E5B7B" w:rsidR="0095299A" w:rsidRPr="00CA3519" w:rsidRDefault="0095299A" w:rsidP="0095299A">
            <w:pPr>
              <w:jc w:val="center"/>
              <w:rPr>
                <w:sz w:val="17"/>
                <w:szCs w:val="17"/>
              </w:rPr>
            </w:pPr>
            <w:r w:rsidRPr="0095299A">
              <w:rPr>
                <w:sz w:val="17"/>
                <w:szCs w:val="17"/>
              </w:rPr>
              <w:t>-0,476</w:t>
            </w:r>
          </w:p>
        </w:tc>
        <w:tc>
          <w:tcPr>
            <w:tcW w:w="1085" w:type="dxa"/>
            <w:tcBorders>
              <w:top w:val="single" w:sz="4" w:space="0" w:color="auto"/>
              <w:bottom w:val="single" w:sz="4" w:space="0" w:color="auto"/>
              <w:right w:val="single" w:sz="6" w:space="0" w:color="000000"/>
            </w:tcBorders>
          </w:tcPr>
          <w:p w14:paraId="10965949" w14:textId="6CE83953" w:rsidR="0095299A" w:rsidRPr="00CA3519" w:rsidRDefault="0095299A" w:rsidP="0095299A">
            <w:pPr>
              <w:jc w:val="center"/>
              <w:rPr>
                <w:sz w:val="17"/>
                <w:szCs w:val="17"/>
              </w:rPr>
            </w:pPr>
            <w:r w:rsidRPr="0095299A">
              <w:rPr>
                <w:sz w:val="17"/>
                <w:szCs w:val="17"/>
              </w:rPr>
              <w:t>-0,400</w:t>
            </w:r>
          </w:p>
        </w:tc>
        <w:tc>
          <w:tcPr>
            <w:tcW w:w="1086" w:type="dxa"/>
            <w:tcBorders>
              <w:top w:val="single" w:sz="4" w:space="0" w:color="auto"/>
              <w:bottom w:val="single" w:sz="4" w:space="0" w:color="auto"/>
              <w:right w:val="single" w:sz="6" w:space="0" w:color="000000"/>
            </w:tcBorders>
          </w:tcPr>
          <w:p w14:paraId="72EBFB64" w14:textId="23EC1579" w:rsidR="0095299A" w:rsidRPr="00CA3519" w:rsidRDefault="0095299A" w:rsidP="0095299A">
            <w:pPr>
              <w:jc w:val="center"/>
              <w:rPr>
                <w:sz w:val="17"/>
                <w:szCs w:val="17"/>
              </w:rPr>
            </w:pPr>
            <w:r w:rsidRPr="0095299A">
              <w:rPr>
                <w:sz w:val="17"/>
                <w:szCs w:val="17"/>
              </w:rPr>
              <w:t>-0,265</w:t>
            </w:r>
          </w:p>
        </w:tc>
        <w:tc>
          <w:tcPr>
            <w:tcW w:w="1086" w:type="dxa"/>
            <w:tcBorders>
              <w:top w:val="single" w:sz="4" w:space="0" w:color="auto"/>
              <w:bottom w:val="single" w:sz="4" w:space="0" w:color="auto"/>
              <w:right w:val="single" w:sz="6" w:space="0" w:color="000000"/>
            </w:tcBorders>
          </w:tcPr>
          <w:p w14:paraId="62181C2B" w14:textId="33008139" w:rsidR="0095299A" w:rsidRPr="00CA3519" w:rsidRDefault="0095299A" w:rsidP="0095299A">
            <w:pPr>
              <w:jc w:val="center"/>
              <w:rPr>
                <w:sz w:val="17"/>
                <w:szCs w:val="17"/>
              </w:rPr>
            </w:pPr>
            <w:r w:rsidRPr="0095299A">
              <w:rPr>
                <w:sz w:val="17"/>
                <w:szCs w:val="17"/>
              </w:rPr>
              <w:t>-0,102</w:t>
            </w:r>
          </w:p>
        </w:tc>
        <w:tc>
          <w:tcPr>
            <w:tcW w:w="1085" w:type="dxa"/>
            <w:tcBorders>
              <w:top w:val="single" w:sz="4" w:space="0" w:color="auto"/>
              <w:bottom w:val="single" w:sz="4" w:space="0" w:color="auto"/>
              <w:right w:val="single" w:sz="6" w:space="0" w:color="000000"/>
            </w:tcBorders>
          </w:tcPr>
          <w:p w14:paraId="51FD8CBD" w14:textId="356A3F60" w:rsidR="0095299A" w:rsidRPr="00CA3519" w:rsidRDefault="0095299A" w:rsidP="0095299A">
            <w:pPr>
              <w:jc w:val="center"/>
              <w:rPr>
                <w:sz w:val="17"/>
                <w:szCs w:val="17"/>
              </w:rPr>
            </w:pPr>
            <w:r w:rsidRPr="0095299A">
              <w:rPr>
                <w:sz w:val="17"/>
                <w:szCs w:val="17"/>
              </w:rPr>
              <w:t>0,044</w:t>
            </w:r>
          </w:p>
        </w:tc>
        <w:tc>
          <w:tcPr>
            <w:tcW w:w="1086" w:type="dxa"/>
            <w:tcBorders>
              <w:top w:val="single" w:sz="4" w:space="0" w:color="auto"/>
              <w:bottom w:val="single" w:sz="4" w:space="0" w:color="auto"/>
              <w:right w:val="single" w:sz="6" w:space="0" w:color="000000"/>
            </w:tcBorders>
          </w:tcPr>
          <w:p w14:paraId="070D16D0" w14:textId="480E0D48" w:rsidR="0095299A" w:rsidRPr="00CA3519" w:rsidRDefault="0095299A" w:rsidP="0095299A">
            <w:pPr>
              <w:jc w:val="center"/>
              <w:rPr>
                <w:sz w:val="17"/>
                <w:szCs w:val="17"/>
              </w:rPr>
            </w:pPr>
            <w:r w:rsidRPr="0095299A">
              <w:rPr>
                <w:sz w:val="17"/>
                <w:szCs w:val="17"/>
              </w:rPr>
              <w:t>0,177</w:t>
            </w:r>
          </w:p>
        </w:tc>
        <w:tc>
          <w:tcPr>
            <w:tcW w:w="1085" w:type="dxa"/>
            <w:tcBorders>
              <w:top w:val="single" w:sz="4" w:space="0" w:color="auto"/>
              <w:bottom w:val="single" w:sz="4" w:space="0" w:color="auto"/>
              <w:right w:val="single" w:sz="6" w:space="0" w:color="000000"/>
            </w:tcBorders>
          </w:tcPr>
          <w:p w14:paraId="1C30EF79" w14:textId="5E2060F7" w:rsidR="0095299A" w:rsidRPr="00CA3519" w:rsidRDefault="0095299A" w:rsidP="0095299A">
            <w:pPr>
              <w:jc w:val="center"/>
              <w:rPr>
                <w:sz w:val="17"/>
                <w:szCs w:val="17"/>
              </w:rPr>
            </w:pPr>
            <w:r w:rsidRPr="0095299A">
              <w:rPr>
                <w:sz w:val="17"/>
                <w:szCs w:val="17"/>
              </w:rPr>
              <w:t>0,324</w:t>
            </w:r>
          </w:p>
        </w:tc>
        <w:tc>
          <w:tcPr>
            <w:tcW w:w="1086" w:type="dxa"/>
            <w:tcBorders>
              <w:top w:val="single" w:sz="4" w:space="0" w:color="auto"/>
              <w:bottom w:val="single" w:sz="4" w:space="0" w:color="auto"/>
              <w:right w:val="single" w:sz="6" w:space="0" w:color="000000"/>
            </w:tcBorders>
          </w:tcPr>
          <w:p w14:paraId="1C5FBA7E" w14:textId="1B34CD75" w:rsidR="0095299A" w:rsidRPr="00CA3519" w:rsidRDefault="0095299A" w:rsidP="0095299A">
            <w:pPr>
              <w:ind w:left="-16"/>
              <w:jc w:val="center"/>
              <w:rPr>
                <w:sz w:val="17"/>
                <w:szCs w:val="17"/>
              </w:rPr>
            </w:pPr>
            <w:r w:rsidRPr="0095299A">
              <w:rPr>
                <w:sz w:val="17"/>
                <w:szCs w:val="17"/>
              </w:rPr>
              <w:t>0,477</w:t>
            </w:r>
          </w:p>
        </w:tc>
        <w:tc>
          <w:tcPr>
            <w:tcW w:w="1086" w:type="dxa"/>
            <w:tcBorders>
              <w:top w:val="single" w:sz="4" w:space="0" w:color="auto"/>
              <w:bottom w:val="single" w:sz="4" w:space="0" w:color="auto"/>
              <w:right w:val="single" w:sz="6" w:space="0" w:color="000000"/>
            </w:tcBorders>
          </w:tcPr>
          <w:p w14:paraId="1F823CD5" w14:textId="53BAC04B" w:rsidR="0095299A" w:rsidRPr="00CA3519" w:rsidRDefault="0095299A" w:rsidP="0095299A">
            <w:pPr>
              <w:ind w:left="-29" w:right="-41"/>
              <w:jc w:val="center"/>
              <w:rPr>
                <w:sz w:val="17"/>
                <w:szCs w:val="17"/>
              </w:rPr>
            </w:pPr>
            <w:r w:rsidRPr="0095299A">
              <w:rPr>
                <w:sz w:val="17"/>
                <w:szCs w:val="17"/>
              </w:rPr>
              <w:t>0,622</w:t>
            </w:r>
          </w:p>
        </w:tc>
      </w:tr>
      <w:tr w:rsidR="0095299A" w:rsidRPr="00CA3519" w14:paraId="587DB3FC" w14:textId="77777777" w:rsidTr="00E0064C">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79E7C5CF" w14:textId="3E6FDF54" w:rsidR="0095299A" w:rsidRPr="00CA3519" w:rsidRDefault="0095299A" w:rsidP="0095299A">
            <w:pPr>
              <w:rPr>
                <w:sz w:val="17"/>
                <w:szCs w:val="17"/>
              </w:rPr>
            </w:pPr>
            <w:r w:rsidRPr="0095299A">
              <w:rPr>
                <w:sz w:val="17"/>
                <w:szCs w:val="17"/>
              </w:rPr>
              <w:t>April 2019</w:t>
            </w:r>
          </w:p>
        </w:tc>
        <w:tc>
          <w:tcPr>
            <w:tcW w:w="2113" w:type="dxa"/>
            <w:tcBorders>
              <w:top w:val="single" w:sz="4" w:space="0" w:color="auto"/>
              <w:bottom w:val="single" w:sz="4" w:space="0" w:color="auto"/>
              <w:right w:val="single" w:sz="6" w:space="0" w:color="000000"/>
            </w:tcBorders>
          </w:tcPr>
          <w:p w14:paraId="4B9C8997" w14:textId="64D76A70" w:rsidR="0095299A" w:rsidRPr="00CA3519" w:rsidRDefault="0095299A" w:rsidP="0095299A">
            <w:pPr>
              <w:jc w:val="center"/>
              <w:rPr>
                <w:sz w:val="17"/>
                <w:szCs w:val="17"/>
              </w:rPr>
            </w:pPr>
            <w:r w:rsidRPr="0095299A">
              <w:rPr>
                <w:sz w:val="17"/>
                <w:szCs w:val="17"/>
              </w:rPr>
              <w:t>23.04.2019 - Ausg. 1</w:t>
            </w:r>
          </w:p>
        </w:tc>
        <w:tc>
          <w:tcPr>
            <w:tcW w:w="1085" w:type="dxa"/>
            <w:tcBorders>
              <w:top w:val="single" w:sz="4" w:space="0" w:color="auto"/>
              <w:bottom w:val="single" w:sz="4" w:space="0" w:color="auto"/>
              <w:right w:val="single" w:sz="6" w:space="0" w:color="000000"/>
            </w:tcBorders>
          </w:tcPr>
          <w:p w14:paraId="4F573534" w14:textId="371B2B1F" w:rsidR="0095299A" w:rsidRPr="00CA3519" w:rsidRDefault="0095299A" w:rsidP="0095299A">
            <w:pPr>
              <w:jc w:val="center"/>
              <w:rPr>
                <w:sz w:val="17"/>
                <w:szCs w:val="17"/>
              </w:rPr>
            </w:pPr>
            <w:r w:rsidRPr="0095299A">
              <w:rPr>
                <w:sz w:val="17"/>
                <w:szCs w:val="17"/>
              </w:rPr>
              <w:t>-0,523</w:t>
            </w:r>
          </w:p>
        </w:tc>
        <w:tc>
          <w:tcPr>
            <w:tcW w:w="1086" w:type="dxa"/>
            <w:tcBorders>
              <w:top w:val="single" w:sz="4" w:space="0" w:color="auto"/>
              <w:bottom w:val="single" w:sz="4" w:space="0" w:color="auto"/>
              <w:right w:val="single" w:sz="6" w:space="0" w:color="000000"/>
            </w:tcBorders>
          </w:tcPr>
          <w:p w14:paraId="5FA0F371" w14:textId="28521556" w:rsidR="0095299A" w:rsidRPr="00CA3519" w:rsidRDefault="0095299A" w:rsidP="0095299A">
            <w:pPr>
              <w:jc w:val="center"/>
              <w:rPr>
                <w:sz w:val="17"/>
                <w:szCs w:val="17"/>
              </w:rPr>
            </w:pPr>
            <w:r w:rsidRPr="0095299A">
              <w:rPr>
                <w:sz w:val="17"/>
                <w:szCs w:val="17"/>
              </w:rPr>
              <w:t>-0,501</w:t>
            </w:r>
          </w:p>
        </w:tc>
        <w:tc>
          <w:tcPr>
            <w:tcW w:w="1085" w:type="dxa"/>
            <w:tcBorders>
              <w:top w:val="single" w:sz="4" w:space="0" w:color="auto"/>
              <w:bottom w:val="single" w:sz="4" w:space="0" w:color="auto"/>
              <w:right w:val="single" w:sz="6" w:space="0" w:color="000000"/>
            </w:tcBorders>
          </w:tcPr>
          <w:p w14:paraId="3CA810F0" w14:textId="70094C3F" w:rsidR="0095299A" w:rsidRPr="00CA3519" w:rsidRDefault="0095299A" w:rsidP="0095299A">
            <w:pPr>
              <w:jc w:val="center"/>
              <w:rPr>
                <w:sz w:val="17"/>
                <w:szCs w:val="17"/>
              </w:rPr>
            </w:pPr>
            <w:r w:rsidRPr="0095299A">
              <w:rPr>
                <w:sz w:val="17"/>
                <w:szCs w:val="17"/>
              </w:rPr>
              <w:t>-0,444</w:t>
            </w:r>
          </w:p>
        </w:tc>
        <w:tc>
          <w:tcPr>
            <w:tcW w:w="1086" w:type="dxa"/>
            <w:tcBorders>
              <w:top w:val="single" w:sz="4" w:space="0" w:color="auto"/>
              <w:bottom w:val="single" w:sz="4" w:space="0" w:color="auto"/>
              <w:right w:val="single" w:sz="6" w:space="0" w:color="000000"/>
            </w:tcBorders>
          </w:tcPr>
          <w:p w14:paraId="169EADB1" w14:textId="2FBEFC15" w:rsidR="0095299A" w:rsidRPr="00CA3519" w:rsidRDefault="0095299A" w:rsidP="0095299A">
            <w:pPr>
              <w:jc w:val="center"/>
              <w:rPr>
                <w:sz w:val="17"/>
                <w:szCs w:val="17"/>
              </w:rPr>
            </w:pPr>
            <w:r w:rsidRPr="0095299A">
              <w:rPr>
                <w:sz w:val="17"/>
                <w:szCs w:val="17"/>
              </w:rPr>
              <w:t>-0,331</w:t>
            </w:r>
          </w:p>
        </w:tc>
        <w:tc>
          <w:tcPr>
            <w:tcW w:w="1086" w:type="dxa"/>
            <w:tcBorders>
              <w:top w:val="single" w:sz="4" w:space="0" w:color="auto"/>
              <w:bottom w:val="single" w:sz="4" w:space="0" w:color="auto"/>
              <w:right w:val="single" w:sz="6" w:space="0" w:color="000000"/>
            </w:tcBorders>
          </w:tcPr>
          <w:p w14:paraId="607A255B" w14:textId="4CD97A62" w:rsidR="0095299A" w:rsidRPr="00CA3519" w:rsidRDefault="0095299A" w:rsidP="0095299A">
            <w:pPr>
              <w:jc w:val="center"/>
              <w:rPr>
                <w:sz w:val="17"/>
                <w:szCs w:val="17"/>
              </w:rPr>
            </w:pPr>
            <w:r w:rsidRPr="0095299A">
              <w:rPr>
                <w:sz w:val="17"/>
                <w:szCs w:val="17"/>
              </w:rPr>
              <w:t>-0,194</w:t>
            </w:r>
          </w:p>
        </w:tc>
        <w:tc>
          <w:tcPr>
            <w:tcW w:w="1085" w:type="dxa"/>
            <w:tcBorders>
              <w:top w:val="single" w:sz="4" w:space="0" w:color="auto"/>
              <w:bottom w:val="single" w:sz="4" w:space="0" w:color="auto"/>
              <w:right w:val="single" w:sz="6" w:space="0" w:color="000000"/>
            </w:tcBorders>
          </w:tcPr>
          <w:p w14:paraId="48F80DE4" w14:textId="4E38E9C0" w:rsidR="0095299A" w:rsidRPr="00CA3519" w:rsidRDefault="0095299A" w:rsidP="0095299A">
            <w:pPr>
              <w:jc w:val="center"/>
              <w:rPr>
                <w:sz w:val="17"/>
                <w:szCs w:val="17"/>
              </w:rPr>
            </w:pPr>
            <w:r w:rsidRPr="0095299A">
              <w:rPr>
                <w:sz w:val="17"/>
                <w:szCs w:val="17"/>
              </w:rPr>
              <w:t>-0,071</w:t>
            </w:r>
          </w:p>
        </w:tc>
        <w:tc>
          <w:tcPr>
            <w:tcW w:w="1086" w:type="dxa"/>
            <w:tcBorders>
              <w:top w:val="single" w:sz="4" w:space="0" w:color="auto"/>
              <w:bottom w:val="single" w:sz="4" w:space="0" w:color="auto"/>
              <w:right w:val="single" w:sz="6" w:space="0" w:color="000000"/>
            </w:tcBorders>
          </w:tcPr>
          <w:p w14:paraId="6F39CB00" w14:textId="786C5705" w:rsidR="0095299A" w:rsidRPr="00CA3519" w:rsidRDefault="0095299A" w:rsidP="0095299A">
            <w:pPr>
              <w:jc w:val="center"/>
              <w:rPr>
                <w:sz w:val="17"/>
                <w:szCs w:val="17"/>
              </w:rPr>
            </w:pPr>
            <w:r w:rsidRPr="0095299A">
              <w:rPr>
                <w:sz w:val="17"/>
                <w:szCs w:val="17"/>
              </w:rPr>
              <w:t>0,043</w:t>
            </w:r>
          </w:p>
        </w:tc>
        <w:tc>
          <w:tcPr>
            <w:tcW w:w="1085" w:type="dxa"/>
            <w:tcBorders>
              <w:top w:val="single" w:sz="4" w:space="0" w:color="auto"/>
              <w:bottom w:val="single" w:sz="4" w:space="0" w:color="auto"/>
              <w:right w:val="single" w:sz="6" w:space="0" w:color="000000"/>
            </w:tcBorders>
          </w:tcPr>
          <w:p w14:paraId="172DC3C7" w14:textId="6F5346B6" w:rsidR="0095299A" w:rsidRPr="00CA3519" w:rsidRDefault="0095299A" w:rsidP="0095299A">
            <w:pPr>
              <w:jc w:val="center"/>
              <w:rPr>
                <w:sz w:val="17"/>
                <w:szCs w:val="17"/>
              </w:rPr>
            </w:pPr>
            <w:r w:rsidRPr="0095299A">
              <w:rPr>
                <w:sz w:val="17"/>
                <w:szCs w:val="17"/>
              </w:rPr>
              <w:t>0,173</w:t>
            </w:r>
          </w:p>
        </w:tc>
        <w:tc>
          <w:tcPr>
            <w:tcW w:w="1086" w:type="dxa"/>
            <w:tcBorders>
              <w:top w:val="single" w:sz="4" w:space="0" w:color="auto"/>
              <w:bottom w:val="single" w:sz="4" w:space="0" w:color="auto"/>
              <w:right w:val="single" w:sz="6" w:space="0" w:color="000000"/>
            </w:tcBorders>
          </w:tcPr>
          <w:p w14:paraId="51BC57AC" w14:textId="68CCA389" w:rsidR="0095299A" w:rsidRPr="00CA3519" w:rsidRDefault="0095299A" w:rsidP="0095299A">
            <w:pPr>
              <w:ind w:left="-16"/>
              <w:jc w:val="center"/>
              <w:rPr>
                <w:sz w:val="17"/>
                <w:szCs w:val="17"/>
              </w:rPr>
            </w:pPr>
            <w:r w:rsidRPr="0095299A">
              <w:rPr>
                <w:sz w:val="17"/>
                <w:szCs w:val="17"/>
              </w:rPr>
              <w:t>0,315</w:t>
            </w:r>
          </w:p>
        </w:tc>
        <w:tc>
          <w:tcPr>
            <w:tcW w:w="1086" w:type="dxa"/>
            <w:tcBorders>
              <w:top w:val="single" w:sz="4" w:space="0" w:color="auto"/>
              <w:bottom w:val="single" w:sz="4" w:space="0" w:color="auto"/>
              <w:right w:val="single" w:sz="6" w:space="0" w:color="000000"/>
            </w:tcBorders>
          </w:tcPr>
          <w:p w14:paraId="417C4C08" w14:textId="0DAA9C82" w:rsidR="0095299A" w:rsidRPr="00CA3519" w:rsidRDefault="0095299A" w:rsidP="0095299A">
            <w:pPr>
              <w:ind w:left="-29" w:right="-41"/>
              <w:jc w:val="center"/>
              <w:rPr>
                <w:sz w:val="17"/>
                <w:szCs w:val="17"/>
              </w:rPr>
            </w:pPr>
            <w:r w:rsidRPr="0095299A">
              <w:rPr>
                <w:sz w:val="17"/>
                <w:szCs w:val="17"/>
              </w:rPr>
              <w:t>0,448</w:t>
            </w:r>
          </w:p>
        </w:tc>
      </w:tr>
      <w:tr w:rsidR="0095299A" w:rsidRPr="00CA3519" w14:paraId="365660A0" w14:textId="77777777" w:rsidTr="00E0064C">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3747F834" w14:textId="6542E39E" w:rsidR="0095299A" w:rsidRPr="00CA3519" w:rsidRDefault="0095299A" w:rsidP="0095299A">
            <w:pPr>
              <w:rPr>
                <w:sz w:val="17"/>
                <w:szCs w:val="17"/>
              </w:rPr>
            </w:pPr>
            <w:r w:rsidRPr="0095299A">
              <w:rPr>
                <w:sz w:val="17"/>
                <w:szCs w:val="17"/>
              </w:rPr>
              <w:t>Mai 2019</w:t>
            </w:r>
          </w:p>
        </w:tc>
        <w:tc>
          <w:tcPr>
            <w:tcW w:w="2113" w:type="dxa"/>
            <w:tcBorders>
              <w:top w:val="single" w:sz="4" w:space="0" w:color="auto"/>
              <w:bottom w:val="single" w:sz="4" w:space="0" w:color="auto"/>
              <w:right w:val="single" w:sz="6" w:space="0" w:color="000000"/>
            </w:tcBorders>
          </w:tcPr>
          <w:p w14:paraId="5F09B6A9" w14:textId="52230DAC" w:rsidR="0095299A" w:rsidRPr="00CA3519" w:rsidRDefault="0095299A" w:rsidP="0095299A">
            <w:pPr>
              <w:jc w:val="center"/>
              <w:rPr>
                <w:sz w:val="17"/>
                <w:szCs w:val="17"/>
              </w:rPr>
            </w:pPr>
            <w:r w:rsidRPr="0095299A">
              <w:rPr>
                <w:sz w:val="17"/>
                <w:szCs w:val="17"/>
              </w:rPr>
              <w:t>17.05.2019 - Ausg. 1</w:t>
            </w:r>
          </w:p>
        </w:tc>
        <w:tc>
          <w:tcPr>
            <w:tcW w:w="1085" w:type="dxa"/>
            <w:tcBorders>
              <w:top w:val="single" w:sz="4" w:space="0" w:color="auto"/>
              <w:bottom w:val="single" w:sz="4" w:space="0" w:color="auto"/>
              <w:right w:val="single" w:sz="6" w:space="0" w:color="000000"/>
            </w:tcBorders>
          </w:tcPr>
          <w:p w14:paraId="12B14E15" w14:textId="25D06131" w:rsidR="0095299A" w:rsidRPr="00CA3519" w:rsidRDefault="0095299A" w:rsidP="0095299A">
            <w:pPr>
              <w:jc w:val="center"/>
              <w:rPr>
                <w:sz w:val="17"/>
                <w:szCs w:val="17"/>
              </w:rPr>
            </w:pPr>
            <w:r w:rsidRPr="0095299A">
              <w:rPr>
                <w:sz w:val="17"/>
                <w:szCs w:val="17"/>
              </w:rPr>
              <w:t>-0,546</w:t>
            </w:r>
          </w:p>
        </w:tc>
        <w:tc>
          <w:tcPr>
            <w:tcW w:w="1086" w:type="dxa"/>
            <w:tcBorders>
              <w:top w:val="single" w:sz="4" w:space="0" w:color="auto"/>
              <w:bottom w:val="single" w:sz="4" w:space="0" w:color="auto"/>
              <w:right w:val="single" w:sz="6" w:space="0" w:color="000000"/>
            </w:tcBorders>
          </w:tcPr>
          <w:p w14:paraId="370D498E" w14:textId="462D693F" w:rsidR="0095299A" w:rsidRPr="00CA3519" w:rsidRDefault="0095299A" w:rsidP="0095299A">
            <w:pPr>
              <w:jc w:val="center"/>
              <w:rPr>
                <w:sz w:val="17"/>
                <w:szCs w:val="17"/>
              </w:rPr>
            </w:pPr>
            <w:r w:rsidRPr="0095299A">
              <w:rPr>
                <w:sz w:val="17"/>
                <w:szCs w:val="17"/>
              </w:rPr>
              <w:t>-0,516</w:t>
            </w:r>
          </w:p>
        </w:tc>
        <w:tc>
          <w:tcPr>
            <w:tcW w:w="1085" w:type="dxa"/>
            <w:tcBorders>
              <w:top w:val="single" w:sz="4" w:space="0" w:color="auto"/>
              <w:bottom w:val="single" w:sz="4" w:space="0" w:color="auto"/>
              <w:right w:val="single" w:sz="6" w:space="0" w:color="000000"/>
            </w:tcBorders>
          </w:tcPr>
          <w:p w14:paraId="13CBA2D5" w14:textId="572B648F" w:rsidR="0095299A" w:rsidRPr="00CA3519" w:rsidRDefault="0095299A" w:rsidP="0095299A">
            <w:pPr>
              <w:jc w:val="center"/>
              <w:rPr>
                <w:sz w:val="17"/>
                <w:szCs w:val="17"/>
              </w:rPr>
            </w:pPr>
            <w:r w:rsidRPr="0095299A">
              <w:rPr>
                <w:sz w:val="17"/>
                <w:szCs w:val="17"/>
              </w:rPr>
              <w:t>-0,453</w:t>
            </w:r>
          </w:p>
        </w:tc>
        <w:tc>
          <w:tcPr>
            <w:tcW w:w="1086" w:type="dxa"/>
            <w:tcBorders>
              <w:top w:val="single" w:sz="4" w:space="0" w:color="auto"/>
              <w:bottom w:val="single" w:sz="4" w:space="0" w:color="auto"/>
              <w:right w:val="single" w:sz="6" w:space="0" w:color="000000"/>
            </w:tcBorders>
          </w:tcPr>
          <w:p w14:paraId="06327B7B" w14:textId="36BDB783" w:rsidR="0095299A" w:rsidRPr="00CA3519" w:rsidRDefault="0095299A" w:rsidP="0095299A">
            <w:pPr>
              <w:jc w:val="center"/>
              <w:rPr>
                <w:sz w:val="17"/>
                <w:szCs w:val="17"/>
              </w:rPr>
            </w:pPr>
            <w:r w:rsidRPr="0095299A">
              <w:rPr>
                <w:sz w:val="17"/>
                <w:szCs w:val="17"/>
              </w:rPr>
              <w:t>-0,345</w:t>
            </w:r>
          </w:p>
        </w:tc>
        <w:tc>
          <w:tcPr>
            <w:tcW w:w="1086" w:type="dxa"/>
            <w:tcBorders>
              <w:top w:val="single" w:sz="4" w:space="0" w:color="auto"/>
              <w:bottom w:val="single" w:sz="4" w:space="0" w:color="auto"/>
              <w:right w:val="single" w:sz="6" w:space="0" w:color="000000"/>
            </w:tcBorders>
          </w:tcPr>
          <w:p w14:paraId="59B7D6B4" w14:textId="2735F635" w:rsidR="0095299A" w:rsidRPr="00CA3519" w:rsidRDefault="0095299A" w:rsidP="0095299A">
            <w:pPr>
              <w:jc w:val="center"/>
              <w:rPr>
                <w:sz w:val="17"/>
                <w:szCs w:val="17"/>
              </w:rPr>
            </w:pPr>
            <w:r w:rsidRPr="0095299A">
              <w:rPr>
                <w:sz w:val="17"/>
                <w:szCs w:val="17"/>
              </w:rPr>
              <w:t>-0,214</w:t>
            </w:r>
          </w:p>
        </w:tc>
        <w:tc>
          <w:tcPr>
            <w:tcW w:w="1085" w:type="dxa"/>
            <w:tcBorders>
              <w:top w:val="single" w:sz="4" w:space="0" w:color="auto"/>
              <w:bottom w:val="single" w:sz="4" w:space="0" w:color="auto"/>
              <w:right w:val="single" w:sz="6" w:space="0" w:color="000000"/>
            </w:tcBorders>
          </w:tcPr>
          <w:p w14:paraId="7CB499FE" w14:textId="5C330C05" w:rsidR="0095299A" w:rsidRPr="00CA3519" w:rsidRDefault="0095299A" w:rsidP="0095299A">
            <w:pPr>
              <w:jc w:val="center"/>
              <w:rPr>
                <w:sz w:val="17"/>
                <w:szCs w:val="17"/>
              </w:rPr>
            </w:pPr>
            <w:r w:rsidRPr="0095299A">
              <w:rPr>
                <w:sz w:val="17"/>
                <w:szCs w:val="17"/>
              </w:rPr>
              <w:t>-0,088</w:t>
            </w:r>
          </w:p>
        </w:tc>
        <w:tc>
          <w:tcPr>
            <w:tcW w:w="1086" w:type="dxa"/>
            <w:tcBorders>
              <w:top w:val="single" w:sz="4" w:space="0" w:color="auto"/>
              <w:bottom w:val="single" w:sz="4" w:space="0" w:color="auto"/>
              <w:right w:val="single" w:sz="6" w:space="0" w:color="000000"/>
            </w:tcBorders>
          </w:tcPr>
          <w:p w14:paraId="3784A6FA" w14:textId="2D610192" w:rsidR="0095299A" w:rsidRPr="00CA3519" w:rsidRDefault="0095299A" w:rsidP="0095299A">
            <w:pPr>
              <w:jc w:val="center"/>
              <w:rPr>
                <w:sz w:val="17"/>
                <w:szCs w:val="17"/>
              </w:rPr>
            </w:pPr>
            <w:r w:rsidRPr="0095299A">
              <w:rPr>
                <w:sz w:val="17"/>
                <w:szCs w:val="17"/>
              </w:rPr>
              <w:t>0,036</w:t>
            </w:r>
          </w:p>
        </w:tc>
        <w:tc>
          <w:tcPr>
            <w:tcW w:w="1085" w:type="dxa"/>
            <w:tcBorders>
              <w:top w:val="single" w:sz="4" w:space="0" w:color="auto"/>
              <w:bottom w:val="single" w:sz="4" w:space="0" w:color="auto"/>
              <w:right w:val="single" w:sz="6" w:space="0" w:color="000000"/>
            </w:tcBorders>
          </w:tcPr>
          <w:p w14:paraId="7706887A" w14:textId="7D860B23" w:rsidR="0095299A" w:rsidRPr="00CA3519" w:rsidRDefault="0095299A" w:rsidP="0095299A">
            <w:pPr>
              <w:jc w:val="center"/>
              <w:rPr>
                <w:sz w:val="17"/>
                <w:szCs w:val="17"/>
              </w:rPr>
            </w:pPr>
            <w:r w:rsidRPr="0095299A">
              <w:rPr>
                <w:sz w:val="17"/>
                <w:szCs w:val="17"/>
              </w:rPr>
              <w:t>0,172</w:t>
            </w:r>
          </w:p>
        </w:tc>
        <w:tc>
          <w:tcPr>
            <w:tcW w:w="1086" w:type="dxa"/>
            <w:tcBorders>
              <w:top w:val="single" w:sz="4" w:space="0" w:color="auto"/>
              <w:bottom w:val="single" w:sz="4" w:space="0" w:color="auto"/>
              <w:right w:val="single" w:sz="6" w:space="0" w:color="000000"/>
            </w:tcBorders>
          </w:tcPr>
          <w:p w14:paraId="50AEB159" w14:textId="1A663A66" w:rsidR="0095299A" w:rsidRPr="00CA3519" w:rsidRDefault="0095299A" w:rsidP="0095299A">
            <w:pPr>
              <w:ind w:left="-16"/>
              <w:jc w:val="center"/>
              <w:rPr>
                <w:sz w:val="17"/>
                <w:szCs w:val="17"/>
              </w:rPr>
            </w:pPr>
            <w:r w:rsidRPr="0095299A">
              <w:rPr>
                <w:sz w:val="17"/>
                <w:szCs w:val="17"/>
              </w:rPr>
              <w:t>0,312</w:t>
            </w:r>
          </w:p>
        </w:tc>
        <w:tc>
          <w:tcPr>
            <w:tcW w:w="1086" w:type="dxa"/>
            <w:tcBorders>
              <w:top w:val="single" w:sz="4" w:space="0" w:color="auto"/>
              <w:bottom w:val="single" w:sz="4" w:space="0" w:color="auto"/>
              <w:right w:val="single" w:sz="6" w:space="0" w:color="000000"/>
            </w:tcBorders>
          </w:tcPr>
          <w:p w14:paraId="58D67514" w14:textId="5EDB181F" w:rsidR="0095299A" w:rsidRPr="00CA3519" w:rsidRDefault="0095299A" w:rsidP="0095299A">
            <w:pPr>
              <w:ind w:left="-29" w:right="-41"/>
              <w:jc w:val="center"/>
              <w:rPr>
                <w:sz w:val="17"/>
                <w:szCs w:val="17"/>
              </w:rPr>
            </w:pPr>
            <w:r w:rsidRPr="0095299A">
              <w:rPr>
                <w:sz w:val="17"/>
                <w:szCs w:val="17"/>
              </w:rPr>
              <w:t>0,443</w:t>
            </w:r>
          </w:p>
        </w:tc>
      </w:tr>
      <w:tr w:rsidR="0095299A" w:rsidRPr="00CA3519" w14:paraId="7499837C" w14:textId="77777777" w:rsidTr="00E0064C">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185ACC9B" w14:textId="16393887" w:rsidR="0095299A" w:rsidRPr="00CA3519" w:rsidRDefault="0095299A" w:rsidP="0095299A">
            <w:pPr>
              <w:rPr>
                <w:sz w:val="17"/>
                <w:szCs w:val="17"/>
              </w:rPr>
            </w:pPr>
            <w:r w:rsidRPr="0095299A">
              <w:rPr>
                <w:sz w:val="17"/>
                <w:szCs w:val="17"/>
              </w:rPr>
              <w:t>Juni 2019</w:t>
            </w:r>
          </w:p>
        </w:tc>
        <w:tc>
          <w:tcPr>
            <w:tcW w:w="2113" w:type="dxa"/>
            <w:tcBorders>
              <w:top w:val="single" w:sz="4" w:space="0" w:color="auto"/>
              <w:bottom w:val="single" w:sz="4" w:space="0" w:color="auto"/>
              <w:right w:val="single" w:sz="6" w:space="0" w:color="000000"/>
            </w:tcBorders>
          </w:tcPr>
          <w:p w14:paraId="6E681698" w14:textId="2C3A4FA9" w:rsidR="0095299A" w:rsidRPr="00CA3519" w:rsidRDefault="0095299A" w:rsidP="0095299A">
            <w:pPr>
              <w:jc w:val="center"/>
              <w:rPr>
                <w:sz w:val="17"/>
                <w:szCs w:val="17"/>
              </w:rPr>
            </w:pPr>
            <w:r w:rsidRPr="0095299A">
              <w:rPr>
                <w:sz w:val="17"/>
                <w:szCs w:val="17"/>
              </w:rPr>
              <w:t>14.06.2019 - Ausg. 1</w:t>
            </w:r>
          </w:p>
        </w:tc>
        <w:tc>
          <w:tcPr>
            <w:tcW w:w="1085" w:type="dxa"/>
            <w:tcBorders>
              <w:top w:val="single" w:sz="4" w:space="0" w:color="auto"/>
              <w:bottom w:val="single" w:sz="4" w:space="0" w:color="auto"/>
              <w:right w:val="single" w:sz="6" w:space="0" w:color="000000"/>
            </w:tcBorders>
          </w:tcPr>
          <w:p w14:paraId="2A37BF94" w14:textId="540EDE36" w:rsidR="0095299A" w:rsidRPr="00CA3519" w:rsidRDefault="0095299A" w:rsidP="0095299A">
            <w:pPr>
              <w:jc w:val="center"/>
              <w:rPr>
                <w:sz w:val="17"/>
                <w:szCs w:val="17"/>
              </w:rPr>
            </w:pPr>
            <w:r w:rsidRPr="0095299A">
              <w:rPr>
                <w:sz w:val="17"/>
                <w:szCs w:val="17"/>
              </w:rPr>
              <w:t>-0,557</w:t>
            </w:r>
          </w:p>
        </w:tc>
        <w:tc>
          <w:tcPr>
            <w:tcW w:w="1086" w:type="dxa"/>
            <w:tcBorders>
              <w:top w:val="single" w:sz="4" w:space="0" w:color="auto"/>
              <w:bottom w:val="single" w:sz="4" w:space="0" w:color="auto"/>
              <w:right w:val="single" w:sz="6" w:space="0" w:color="000000"/>
            </w:tcBorders>
          </w:tcPr>
          <w:p w14:paraId="37BD5C12" w14:textId="596F92F6" w:rsidR="0095299A" w:rsidRPr="00CA3519" w:rsidRDefault="0095299A" w:rsidP="0095299A">
            <w:pPr>
              <w:jc w:val="center"/>
              <w:rPr>
                <w:sz w:val="17"/>
                <w:szCs w:val="17"/>
              </w:rPr>
            </w:pPr>
            <w:r w:rsidRPr="0095299A">
              <w:rPr>
                <w:sz w:val="17"/>
                <w:szCs w:val="17"/>
              </w:rPr>
              <w:t>-0,553</w:t>
            </w:r>
          </w:p>
        </w:tc>
        <w:tc>
          <w:tcPr>
            <w:tcW w:w="1085" w:type="dxa"/>
            <w:tcBorders>
              <w:top w:val="single" w:sz="4" w:space="0" w:color="auto"/>
              <w:bottom w:val="single" w:sz="4" w:space="0" w:color="auto"/>
              <w:right w:val="single" w:sz="6" w:space="0" w:color="000000"/>
            </w:tcBorders>
          </w:tcPr>
          <w:p w14:paraId="7681E711" w14:textId="2865BCF0" w:rsidR="0095299A" w:rsidRPr="00CA3519" w:rsidRDefault="0095299A" w:rsidP="0095299A">
            <w:pPr>
              <w:jc w:val="center"/>
              <w:rPr>
                <w:sz w:val="17"/>
                <w:szCs w:val="17"/>
              </w:rPr>
            </w:pPr>
            <w:r w:rsidRPr="0095299A">
              <w:rPr>
                <w:sz w:val="17"/>
                <w:szCs w:val="17"/>
              </w:rPr>
              <w:t>-0,509</w:t>
            </w:r>
          </w:p>
        </w:tc>
        <w:tc>
          <w:tcPr>
            <w:tcW w:w="1086" w:type="dxa"/>
            <w:tcBorders>
              <w:top w:val="single" w:sz="4" w:space="0" w:color="auto"/>
              <w:bottom w:val="single" w:sz="4" w:space="0" w:color="auto"/>
              <w:right w:val="single" w:sz="6" w:space="0" w:color="000000"/>
            </w:tcBorders>
          </w:tcPr>
          <w:p w14:paraId="708A70C8" w14:textId="620E074C" w:rsidR="0095299A" w:rsidRPr="00CA3519" w:rsidRDefault="0095299A" w:rsidP="0095299A">
            <w:pPr>
              <w:jc w:val="center"/>
              <w:rPr>
                <w:sz w:val="17"/>
                <w:szCs w:val="17"/>
              </w:rPr>
            </w:pPr>
            <w:r w:rsidRPr="0095299A">
              <w:rPr>
                <w:sz w:val="17"/>
                <w:szCs w:val="17"/>
              </w:rPr>
              <w:t>-0,409</w:t>
            </w:r>
          </w:p>
        </w:tc>
        <w:tc>
          <w:tcPr>
            <w:tcW w:w="1086" w:type="dxa"/>
            <w:tcBorders>
              <w:top w:val="single" w:sz="4" w:space="0" w:color="auto"/>
              <w:bottom w:val="single" w:sz="4" w:space="0" w:color="auto"/>
              <w:right w:val="single" w:sz="6" w:space="0" w:color="000000"/>
            </w:tcBorders>
          </w:tcPr>
          <w:p w14:paraId="0A15A15F" w14:textId="4F3ACCB8" w:rsidR="0095299A" w:rsidRPr="00CA3519" w:rsidRDefault="0095299A" w:rsidP="0095299A">
            <w:pPr>
              <w:jc w:val="center"/>
              <w:rPr>
                <w:sz w:val="17"/>
                <w:szCs w:val="17"/>
              </w:rPr>
            </w:pPr>
            <w:r w:rsidRPr="0095299A">
              <w:rPr>
                <w:sz w:val="17"/>
                <w:szCs w:val="17"/>
              </w:rPr>
              <w:t>-0,284</w:t>
            </w:r>
          </w:p>
        </w:tc>
        <w:tc>
          <w:tcPr>
            <w:tcW w:w="1085" w:type="dxa"/>
            <w:tcBorders>
              <w:top w:val="single" w:sz="4" w:space="0" w:color="auto"/>
              <w:bottom w:val="single" w:sz="4" w:space="0" w:color="auto"/>
              <w:right w:val="single" w:sz="6" w:space="0" w:color="000000"/>
            </w:tcBorders>
          </w:tcPr>
          <w:p w14:paraId="7ADC5E99" w14:textId="1DCC8E14" w:rsidR="0095299A" w:rsidRPr="00CA3519" w:rsidRDefault="0095299A" w:rsidP="0095299A">
            <w:pPr>
              <w:jc w:val="center"/>
              <w:rPr>
                <w:sz w:val="17"/>
                <w:szCs w:val="17"/>
              </w:rPr>
            </w:pPr>
            <w:r w:rsidRPr="0095299A">
              <w:rPr>
                <w:sz w:val="17"/>
                <w:szCs w:val="17"/>
              </w:rPr>
              <w:t>-0,169</w:t>
            </w:r>
          </w:p>
        </w:tc>
        <w:tc>
          <w:tcPr>
            <w:tcW w:w="1086" w:type="dxa"/>
            <w:tcBorders>
              <w:top w:val="single" w:sz="4" w:space="0" w:color="auto"/>
              <w:bottom w:val="single" w:sz="4" w:space="0" w:color="auto"/>
              <w:right w:val="single" w:sz="6" w:space="0" w:color="000000"/>
            </w:tcBorders>
          </w:tcPr>
          <w:p w14:paraId="73261069" w14:textId="4B7369EF" w:rsidR="0095299A" w:rsidRPr="00CA3519" w:rsidRDefault="0095299A" w:rsidP="0095299A">
            <w:pPr>
              <w:jc w:val="center"/>
              <w:rPr>
                <w:sz w:val="17"/>
                <w:szCs w:val="17"/>
              </w:rPr>
            </w:pPr>
            <w:r w:rsidRPr="0095299A">
              <w:rPr>
                <w:sz w:val="17"/>
                <w:szCs w:val="17"/>
              </w:rPr>
              <w:t>-0,053</w:t>
            </w:r>
          </w:p>
        </w:tc>
        <w:tc>
          <w:tcPr>
            <w:tcW w:w="1085" w:type="dxa"/>
            <w:tcBorders>
              <w:top w:val="single" w:sz="4" w:space="0" w:color="auto"/>
              <w:bottom w:val="single" w:sz="4" w:space="0" w:color="auto"/>
              <w:right w:val="single" w:sz="6" w:space="0" w:color="000000"/>
            </w:tcBorders>
          </w:tcPr>
          <w:p w14:paraId="16507DAA" w14:textId="25B3D968" w:rsidR="0095299A" w:rsidRPr="00CA3519" w:rsidRDefault="0095299A" w:rsidP="0095299A">
            <w:pPr>
              <w:jc w:val="center"/>
              <w:rPr>
                <w:sz w:val="17"/>
                <w:szCs w:val="17"/>
              </w:rPr>
            </w:pPr>
            <w:r w:rsidRPr="0095299A">
              <w:rPr>
                <w:sz w:val="17"/>
                <w:szCs w:val="17"/>
              </w:rPr>
              <w:t>0,077</w:t>
            </w:r>
          </w:p>
        </w:tc>
        <w:tc>
          <w:tcPr>
            <w:tcW w:w="1086" w:type="dxa"/>
            <w:tcBorders>
              <w:top w:val="single" w:sz="4" w:space="0" w:color="auto"/>
              <w:bottom w:val="single" w:sz="4" w:space="0" w:color="auto"/>
              <w:right w:val="single" w:sz="6" w:space="0" w:color="000000"/>
            </w:tcBorders>
          </w:tcPr>
          <w:p w14:paraId="28F19D6E" w14:textId="7FA82D9D" w:rsidR="0095299A" w:rsidRPr="00CA3519" w:rsidRDefault="0095299A" w:rsidP="0095299A">
            <w:pPr>
              <w:ind w:left="-16"/>
              <w:jc w:val="center"/>
              <w:rPr>
                <w:sz w:val="17"/>
                <w:szCs w:val="17"/>
              </w:rPr>
            </w:pPr>
            <w:r w:rsidRPr="0095299A">
              <w:rPr>
                <w:sz w:val="17"/>
                <w:szCs w:val="17"/>
              </w:rPr>
              <w:t>0,210</w:t>
            </w:r>
          </w:p>
        </w:tc>
        <w:tc>
          <w:tcPr>
            <w:tcW w:w="1086" w:type="dxa"/>
            <w:tcBorders>
              <w:top w:val="single" w:sz="4" w:space="0" w:color="auto"/>
              <w:bottom w:val="single" w:sz="4" w:space="0" w:color="auto"/>
              <w:right w:val="single" w:sz="6" w:space="0" w:color="000000"/>
            </w:tcBorders>
          </w:tcPr>
          <w:p w14:paraId="5831410D" w14:textId="71EAE122" w:rsidR="0095299A" w:rsidRPr="00CA3519" w:rsidRDefault="0095299A" w:rsidP="0095299A">
            <w:pPr>
              <w:ind w:left="-29" w:right="-41"/>
              <w:jc w:val="center"/>
              <w:rPr>
                <w:sz w:val="17"/>
                <w:szCs w:val="17"/>
              </w:rPr>
            </w:pPr>
            <w:r w:rsidRPr="0095299A">
              <w:rPr>
                <w:sz w:val="17"/>
                <w:szCs w:val="17"/>
              </w:rPr>
              <w:t>0,336</w:t>
            </w:r>
          </w:p>
        </w:tc>
      </w:tr>
      <w:tr w:rsidR="0095299A" w:rsidRPr="00CA3519" w14:paraId="48FE4EC7" w14:textId="77777777" w:rsidTr="00E0064C">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5A46EE95" w14:textId="5ACBD45B" w:rsidR="0095299A" w:rsidRPr="00CA3519" w:rsidRDefault="0095299A" w:rsidP="0095299A">
            <w:pPr>
              <w:rPr>
                <w:sz w:val="17"/>
                <w:szCs w:val="17"/>
              </w:rPr>
            </w:pPr>
            <w:r w:rsidRPr="0095299A">
              <w:rPr>
                <w:sz w:val="17"/>
                <w:szCs w:val="17"/>
              </w:rPr>
              <w:t>Juli 2019</w:t>
            </w:r>
          </w:p>
        </w:tc>
        <w:tc>
          <w:tcPr>
            <w:tcW w:w="2113" w:type="dxa"/>
            <w:tcBorders>
              <w:top w:val="single" w:sz="4" w:space="0" w:color="auto"/>
              <w:bottom w:val="single" w:sz="4" w:space="0" w:color="auto"/>
              <w:right w:val="single" w:sz="6" w:space="0" w:color="000000"/>
            </w:tcBorders>
          </w:tcPr>
          <w:p w14:paraId="6E3BABAF" w14:textId="589E7C67" w:rsidR="0095299A" w:rsidRPr="00CA3519" w:rsidRDefault="0095299A" w:rsidP="0095299A">
            <w:pPr>
              <w:jc w:val="center"/>
              <w:rPr>
                <w:sz w:val="17"/>
                <w:szCs w:val="17"/>
              </w:rPr>
            </w:pPr>
            <w:r w:rsidRPr="0095299A">
              <w:rPr>
                <w:sz w:val="17"/>
                <w:szCs w:val="17"/>
              </w:rPr>
              <w:t>17.07.2019 - Ausg. 1</w:t>
            </w:r>
          </w:p>
        </w:tc>
        <w:tc>
          <w:tcPr>
            <w:tcW w:w="1085" w:type="dxa"/>
            <w:tcBorders>
              <w:top w:val="single" w:sz="4" w:space="0" w:color="auto"/>
              <w:bottom w:val="single" w:sz="4" w:space="0" w:color="auto"/>
              <w:right w:val="single" w:sz="6" w:space="0" w:color="000000"/>
            </w:tcBorders>
          </w:tcPr>
          <w:p w14:paraId="02364573" w14:textId="531750FC" w:rsidR="0095299A" w:rsidRPr="00CA3519" w:rsidRDefault="0095299A" w:rsidP="0095299A">
            <w:pPr>
              <w:jc w:val="center"/>
              <w:rPr>
                <w:sz w:val="17"/>
                <w:szCs w:val="17"/>
              </w:rPr>
            </w:pPr>
            <w:r w:rsidRPr="0095299A">
              <w:rPr>
                <w:sz w:val="17"/>
                <w:szCs w:val="17"/>
              </w:rPr>
              <w:t>-0,589</w:t>
            </w:r>
          </w:p>
        </w:tc>
        <w:tc>
          <w:tcPr>
            <w:tcW w:w="1086" w:type="dxa"/>
            <w:tcBorders>
              <w:top w:val="single" w:sz="4" w:space="0" w:color="auto"/>
              <w:bottom w:val="single" w:sz="4" w:space="0" w:color="auto"/>
              <w:right w:val="single" w:sz="6" w:space="0" w:color="000000"/>
            </w:tcBorders>
          </w:tcPr>
          <w:p w14:paraId="7712FD67" w14:textId="408ABE05" w:rsidR="0095299A" w:rsidRPr="00CA3519" w:rsidRDefault="0095299A" w:rsidP="0095299A">
            <w:pPr>
              <w:jc w:val="center"/>
              <w:rPr>
                <w:sz w:val="17"/>
                <w:szCs w:val="17"/>
              </w:rPr>
            </w:pPr>
            <w:r w:rsidRPr="0095299A">
              <w:rPr>
                <w:sz w:val="17"/>
                <w:szCs w:val="17"/>
              </w:rPr>
              <w:t>-0,639</w:t>
            </w:r>
          </w:p>
        </w:tc>
        <w:tc>
          <w:tcPr>
            <w:tcW w:w="1085" w:type="dxa"/>
            <w:tcBorders>
              <w:top w:val="single" w:sz="4" w:space="0" w:color="auto"/>
              <w:bottom w:val="single" w:sz="4" w:space="0" w:color="auto"/>
              <w:right w:val="single" w:sz="6" w:space="0" w:color="000000"/>
            </w:tcBorders>
          </w:tcPr>
          <w:p w14:paraId="2E905434" w14:textId="25A8A3EE" w:rsidR="0095299A" w:rsidRPr="00CA3519" w:rsidRDefault="0095299A" w:rsidP="0095299A">
            <w:pPr>
              <w:jc w:val="center"/>
              <w:rPr>
                <w:sz w:val="17"/>
                <w:szCs w:val="17"/>
              </w:rPr>
            </w:pPr>
            <w:r w:rsidRPr="0095299A">
              <w:rPr>
                <w:sz w:val="17"/>
                <w:szCs w:val="17"/>
              </w:rPr>
              <w:t>-0,635</w:t>
            </w:r>
          </w:p>
        </w:tc>
        <w:tc>
          <w:tcPr>
            <w:tcW w:w="1086" w:type="dxa"/>
            <w:tcBorders>
              <w:top w:val="single" w:sz="4" w:space="0" w:color="auto"/>
              <w:bottom w:val="single" w:sz="4" w:space="0" w:color="auto"/>
              <w:right w:val="single" w:sz="6" w:space="0" w:color="000000"/>
            </w:tcBorders>
          </w:tcPr>
          <w:p w14:paraId="71FB1C24" w14:textId="51A59A55" w:rsidR="0095299A" w:rsidRPr="00CA3519" w:rsidRDefault="0095299A" w:rsidP="0095299A">
            <w:pPr>
              <w:jc w:val="center"/>
              <w:rPr>
                <w:sz w:val="17"/>
                <w:szCs w:val="17"/>
              </w:rPr>
            </w:pPr>
            <w:r w:rsidRPr="0095299A">
              <w:rPr>
                <w:sz w:val="17"/>
                <w:szCs w:val="17"/>
              </w:rPr>
              <w:t>-0,555</w:t>
            </w:r>
          </w:p>
        </w:tc>
        <w:tc>
          <w:tcPr>
            <w:tcW w:w="1086" w:type="dxa"/>
            <w:tcBorders>
              <w:top w:val="single" w:sz="4" w:space="0" w:color="auto"/>
              <w:bottom w:val="single" w:sz="4" w:space="0" w:color="auto"/>
              <w:right w:val="single" w:sz="6" w:space="0" w:color="000000"/>
            </w:tcBorders>
          </w:tcPr>
          <w:p w14:paraId="49737555" w14:textId="591E838C" w:rsidR="0095299A" w:rsidRPr="00CA3519" w:rsidRDefault="0095299A" w:rsidP="0095299A">
            <w:pPr>
              <w:jc w:val="center"/>
              <w:rPr>
                <w:sz w:val="17"/>
                <w:szCs w:val="17"/>
              </w:rPr>
            </w:pPr>
            <w:r w:rsidRPr="0095299A">
              <w:rPr>
                <w:sz w:val="17"/>
                <w:szCs w:val="17"/>
              </w:rPr>
              <w:t>-0,443</w:t>
            </w:r>
          </w:p>
        </w:tc>
        <w:tc>
          <w:tcPr>
            <w:tcW w:w="1085" w:type="dxa"/>
            <w:tcBorders>
              <w:top w:val="single" w:sz="4" w:space="0" w:color="auto"/>
              <w:bottom w:val="single" w:sz="4" w:space="0" w:color="auto"/>
              <w:right w:val="single" w:sz="6" w:space="0" w:color="000000"/>
            </w:tcBorders>
          </w:tcPr>
          <w:p w14:paraId="6D691937" w14:textId="02A97571" w:rsidR="0095299A" w:rsidRPr="00CA3519" w:rsidRDefault="0095299A" w:rsidP="0095299A">
            <w:pPr>
              <w:jc w:val="center"/>
              <w:rPr>
                <w:sz w:val="17"/>
                <w:szCs w:val="17"/>
              </w:rPr>
            </w:pPr>
            <w:r w:rsidRPr="0095299A">
              <w:rPr>
                <w:sz w:val="17"/>
                <w:szCs w:val="17"/>
              </w:rPr>
              <w:t>-0,341</w:t>
            </w:r>
          </w:p>
        </w:tc>
        <w:tc>
          <w:tcPr>
            <w:tcW w:w="1086" w:type="dxa"/>
            <w:tcBorders>
              <w:top w:val="single" w:sz="4" w:space="0" w:color="auto"/>
              <w:bottom w:val="single" w:sz="4" w:space="0" w:color="auto"/>
              <w:right w:val="single" w:sz="6" w:space="0" w:color="000000"/>
            </w:tcBorders>
          </w:tcPr>
          <w:p w14:paraId="73F93CED" w14:textId="3A0B32E3" w:rsidR="0095299A" w:rsidRPr="00CA3519" w:rsidRDefault="0095299A" w:rsidP="0095299A">
            <w:pPr>
              <w:jc w:val="center"/>
              <w:rPr>
                <w:sz w:val="17"/>
                <w:szCs w:val="17"/>
              </w:rPr>
            </w:pPr>
            <w:r w:rsidRPr="0095299A">
              <w:rPr>
                <w:sz w:val="17"/>
                <w:szCs w:val="17"/>
              </w:rPr>
              <w:t>-0,241</w:t>
            </w:r>
          </w:p>
        </w:tc>
        <w:tc>
          <w:tcPr>
            <w:tcW w:w="1085" w:type="dxa"/>
            <w:tcBorders>
              <w:top w:val="single" w:sz="4" w:space="0" w:color="auto"/>
              <w:bottom w:val="single" w:sz="4" w:space="0" w:color="auto"/>
              <w:right w:val="single" w:sz="6" w:space="0" w:color="000000"/>
            </w:tcBorders>
          </w:tcPr>
          <w:p w14:paraId="3BA34A4E" w14:textId="5AAC0934" w:rsidR="0095299A" w:rsidRPr="00CA3519" w:rsidRDefault="0095299A" w:rsidP="0095299A">
            <w:pPr>
              <w:jc w:val="center"/>
              <w:rPr>
                <w:sz w:val="17"/>
                <w:szCs w:val="17"/>
              </w:rPr>
            </w:pPr>
            <w:r w:rsidRPr="0095299A">
              <w:rPr>
                <w:sz w:val="17"/>
                <w:szCs w:val="17"/>
              </w:rPr>
              <w:t>-0,134</w:t>
            </w:r>
          </w:p>
        </w:tc>
        <w:tc>
          <w:tcPr>
            <w:tcW w:w="1086" w:type="dxa"/>
            <w:tcBorders>
              <w:top w:val="single" w:sz="4" w:space="0" w:color="auto"/>
              <w:bottom w:val="single" w:sz="4" w:space="0" w:color="auto"/>
              <w:right w:val="single" w:sz="6" w:space="0" w:color="000000"/>
            </w:tcBorders>
          </w:tcPr>
          <w:p w14:paraId="02667612" w14:textId="14E9FF76" w:rsidR="0095299A" w:rsidRPr="00CA3519" w:rsidRDefault="0095299A" w:rsidP="0095299A">
            <w:pPr>
              <w:ind w:left="-16"/>
              <w:jc w:val="center"/>
              <w:rPr>
                <w:sz w:val="17"/>
                <w:szCs w:val="17"/>
              </w:rPr>
            </w:pPr>
            <w:r w:rsidRPr="0095299A">
              <w:rPr>
                <w:sz w:val="17"/>
                <w:szCs w:val="17"/>
              </w:rPr>
              <w:t>-0,025</w:t>
            </w:r>
          </w:p>
        </w:tc>
        <w:tc>
          <w:tcPr>
            <w:tcW w:w="1086" w:type="dxa"/>
            <w:tcBorders>
              <w:top w:val="single" w:sz="4" w:space="0" w:color="auto"/>
              <w:bottom w:val="single" w:sz="4" w:space="0" w:color="auto"/>
              <w:right w:val="single" w:sz="6" w:space="0" w:color="000000"/>
            </w:tcBorders>
          </w:tcPr>
          <w:p w14:paraId="2FCC3AF3" w14:textId="6FFA1719" w:rsidR="0095299A" w:rsidRPr="00CA3519" w:rsidRDefault="0095299A" w:rsidP="0095299A">
            <w:pPr>
              <w:ind w:left="-29" w:right="-41"/>
              <w:jc w:val="center"/>
              <w:rPr>
                <w:sz w:val="17"/>
                <w:szCs w:val="17"/>
              </w:rPr>
            </w:pPr>
            <w:r w:rsidRPr="0095299A">
              <w:rPr>
                <w:sz w:val="17"/>
                <w:szCs w:val="17"/>
              </w:rPr>
              <w:t>0,076</w:t>
            </w:r>
          </w:p>
        </w:tc>
      </w:tr>
      <w:tr w:rsidR="0095299A" w:rsidRPr="00CA3519" w14:paraId="19493DFF" w14:textId="77777777" w:rsidTr="00E0064C">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4018CD9F" w14:textId="685513FD" w:rsidR="0095299A" w:rsidRPr="00CA3519" w:rsidRDefault="0095299A" w:rsidP="0095299A">
            <w:pPr>
              <w:rPr>
                <w:sz w:val="17"/>
                <w:szCs w:val="17"/>
              </w:rPr>
            </w:pPr>
            <w:r w:rsidRPr="0095299A">
              <w:rPr>
                <w:sz w:val="17"/>
                <w:szCs w:val="17"/>
              </w:rPr>
              <w:t>August 2019</w:t>
            </w:r>
          </w:p>
        </w:tc>
        <w:tc>
          <w:tcPr>
            <w:tcW w:w="2113" w:type="dxa"/>
            <w:tcBorders>
              <w:top w:val="single" w:sz="4" w:space="0" w:color="auto"/>
              <w:bottom w:val="single" w:sz="4" w:space="0" w:color="auto"/>
              <w:right w:val="single" w:sz="6" w:space="0" w:color="000000"/>
            </w:tcBorders>
          </w:tcPr>
          <w:p w14:paraId="12951226" w14:textId="22ECBF22" w:rsidR="0095299A" w:rsidRPr="00CA3519" w:rsidRDefault="0095299A" w:rsidP="0095299A">
            <w:pPr>
              <w:jc w:val="center"/>
              <w:rPr>
                <w:sz w:val="17"/>
                <w:szCs w:val="17"/>
              </w:rPr>
            </w:pPr>
            <w:r w:rsidRPr="0095299A">
              <w:rPr>
                <w:sz w:val="17"/>
                <w:szCs w:val="17"/>
              </w:rPr>
              <w:t>16.08.2019 - Ausg. 1</w:t>
            </w:r>
          </w:p>
        </w:tc>
        <w:tc>
          <w:tcPr>
            <w:tcW w:w="1085" w:type="dxa"/>
            <w:tcBorders>
              <w:top w:val="single" w:sz="4" w:space="0" w:color="auto"/>
              <w:bottom w:val="single" w:sz="4" w:space="0" w:color="auto"/>
              <w:right w:val="single" w:sz="6" w:space="0" w:color="000000"/>
            </w:tcBorders>
          </w:tcPr>
          <w:p w14:paraId="7BE5F6EB" w14:textId="6F6D363E" w:rsidR="0095299A" w:rsidRPr="00CA3519" w:rsidRDefault="0095299A" w:rsidP="0095299A">
            <w:pPr>
              <w:jc w:val="center"/>
              <w:rPr>
                <w:sz w:val="17"/>
                <w:szCs w:val="17"/>
              </w:rPr>
            </w:pPr>
            <w:r w:rsidRPr="0095299A">
              <w:rPr>
                <w:sz w:val="17"/>
                <w:szCs w:val="17"/>
              </w:rPr>
              <w:t>-0,641</w:t>
            </w:r>
          </w:p>
        </w:tc>
        <w:tc>
          <w:tcPr>
            <w:tcW w:w="1086" w:type="dxa"/>
            <w:tcBorders>
              <w:top w:val="single" w:sz="4" w:space="0" w:color="auto"/>
              <w:bottom w:val="single" w:sz="4" w:space="0" w:color="auto"/>
              <w:right w:val="single" w:sz="6" w:space="0" w:color="000000"/>
            </w:tcBorders>
          </w:tcPr>
          <w:p w14:paraId="403EA1A3" w14:textId="4BC6DFE2" w:rsidR="0095299A" w:rsidRPr="00CA3519" w:rsidRDefault="0095299A" w:rsidP="0095299A">
            <w:pPr>
              <w:jc w:val="center"/>
              <w:rPr>
                <w:sz w:val="17"/>
                <w:szCs w:val="17"/>
              </w:rPr>
            </w:pPr>
            <w:r w:rsidRPr="0095299A">
              <w:rPr>
                <w:sz w:val="17"/>
                <w:szCs w:val="17"/>
              </w:rPr>
              <w:t>-0,690</w:t>
            </w:r>
          </w:p>
        </w:tc>
        <w:tc>
          <w:tcPr>
            <w:tcW w:w="1085" w:type="dxa"/>
            <w:tcBorders>
              <w:top w:val="single" w:sz="4" w:space="0" w:color="auto"/>
              <w:bottom w:val="single" w:sz="4" w:space="0" w:color="auto"/>
              <w:right w:val="single" w:sz="6" w:space="0" w:color="000000"/>
            </w:tcBorders>
          </w:tcPr>
          <w:p w14:paraId="3DCBC541" w14:textId="2787C894" w:rsidR="0095299A" w:rsidRPr="00CA3519" w:rsidRDefault="0095299A" w:rsidP="0095299A">
            <w:pPr>
              <w:jc w:val="center"/>
              <w:rPr>
                <w:sz w:val="17"/>
                <w:szCs w:val="17"/>
              </w:rPr>
            </w:pPr>
            <w:r w:rsidRPr="0095299A">
              <w:rPr>
                <w:sz w:val="17"/>
                <w:szCs w:val="17"/>
              </w:rPr>
              <w:t>-0,691</w:t>
            </w:r>
          </w:p>
        </w:tc>
        <w:tc>
          <w:tcPr>
            <w:tcW w:w="1086" w:type="dxa"/>
            <w:tcBorders>
              <w:top w:val="single" w:sz="4" w:space="0" w:color="auto"/>
              <w:bottom w:val="single" w:sz="4" w:space="0" w:color="auto"/>
              <w:right w:val="single" w:sz="6" w:space="0" w:color="000000"/>
            </w:tcBorders>
          </w:tcPr>
          <w:p w14:paraId="4D5B1CB0" w14:textId="1F26A9B0" w:rsidR="0095299A" w:rsidRPr="00CA3519" w:rsidRDefault="0095299A" w:rsidP="0095299A">
            <w:pPr>
              <w:jc w:val="center"/>
              <w:rPr>
                <w:sz w:val="17"/>
                <w:szCs w:val="17"/>
              </w:rPr>
            </w:pPr>
            <w:r w:rsidRPr="0095299A">
              <w:rPr>
                <w:sz w:val="17"/>
                <w:szCs w:val="17"/>
              </w:rPr>
              <w:t>-0,627</w:t>
            </w:r>
          </w:p>
        </w:tc>
        <w:tc>
          <w:tcPr>
            <w:tcW w:w="1086" w:type="dxa"/>
            <w:tcBorders>
              <w:top w:val="single" w:sz="4" w:space="0" w:color="auto"/>
              <w:bottom w:val="single" w:sz="4" w:space="0" w:color="auto"/>
              <w:right w:val="single" w:sz="6" w:space="0" w:color="000000"/>
            </w:tcBorders>
          </w:tcPr>
          <w:p w14:paraId="3B68701E" w14:textId="29488933" w:rsidR="0095299A" w:rsidRPr="00CA3519" w:rsidRDefault="0095299A" w:rsidP="0095299A">
            <w:pPr>
              <w:jc w:val="center"/>
              <w:rPr>
                <w:sz w:val="17"/>
                <w:szCs w:val="17"/>
              </w:rPr>
            </w:pPr>
            <w:r w:rsidRPr="0095299A">
              <w:rPr>
                <w:sz w:val="17"/>
                <w:szCs w:val="17"/>
              </w:rPr>
              <w:t>-0,535</w:t>
            </w:r>
          </w:p>
        </w:tc>
        <w:tc>
          <w:tcPr>
            <w:tcW w:w="1085" w:type="dxa"/>
            <w:tcBorders>
              <w:top w:val="single" w:sz="4" w:space="0" w:color="auto"/>
              <w:bottom w:val="single" w:sz="4" w:space="0" w:color="auto"/>
              <w:right w:val="single" w:sz="6" w:space="0" w:color="000000"/>
            </w:tcBorders>
          </w:tcPr>
          <w:p w14:paraId="30A2031E" w14:textId="5EC42F36" w:rsidR="0095299A" w:rsidRPr="00CA3519" w:rsidRDefault="0095299A" w:rsidP="0095299A">
            <w:pPr>
              <w:jc w:val="center"/>
              <w:rPr>
                <w:sz w:val="17"/>
                <w:szCs w:val="17"/>
              </w:rPr>
            </w:pPr>
            <w:r w:rsidRPr="0095299A">
              <w:rPr>
                <w:sz w:val="17"/>
                <w:szCs w:val="17"/>
              </w:rPr>
              <w:t>-0,444</w:t>
            </w:r>
          </w:p>
        </w:tc>
        <w:tc>
          <w:tcPr>
            <w:tcW w:w="1086" w:type="dxa"/>
            <w:tcBorders>
              <w:top w:val="single" w:sz="4" w:space="0" w:color="auto"/>
              <w:bottom w:val="single" w:sz="4" w:space="0" w:color="auto"/>
              <w:right w:val="single" w:sz="6" w:space="0" w:color="000000"/>
            </w:tcBorders>
          </w:tcPr>
          <w:p w14:paraId="525E7608" w14:textId="2754019C" w:rsidR="0095299A" w:rsidRPr="00CA3519" w:rsidRDefault="0095299A" w:rsidP="0095299A">
            <w:pPr>
              <w:jc w:val="center"/>
              <w:rPr>
                <w:sz w:val="17"/>
                <w:szCs w:val="17"/>
              </w:rPr>
            </w:pPr>
            <w:r w:rsidRPr="0095299A">
              <w:rPr>
                <w:sz w:val="17"/>
                <w:szCs w:val="17"/>
              </w:rPr>
              <w:t>-0,350</w:t>
            </w:r>
          </w:p>
        </w:tc>
        <w:tc>
          <w:tcPr>
            <w:tcW w:w="1085" w:type="dxa"/>
            <w:tcBorders>
              <w:top w:val="single" w:sz="4" w:space="0" w:color="auto"/>
              <w:bottom w:val="single" w:sz="4" w:space="0" w:color="auto"/>
              <w:right w:val="single" w:sz="6" w:space="0" w:color="000000"/>
            </w:tcBorders>
          </w:tcPr>
          <w:p w14:paraId="0CE2EC79" w14:textId="5CCE9317" w:rsidR="0095299A" w:rsidRPr="00CA3519" w:rsidRDefault="0095299A" w:rsidP="0095299A">
            <w:pPr>
              <w:jc w:val="center"/>
              <w:rPr>
                <w:sz w:val="17"/>
                <w:szCs w:val="17"/>
              </w:rPr>
            </w:pPr>
            <w:r w:rsidRPr="0095299A">
              <w:rPr>
                <w:sz w:val="17"/>
                <w:szCs w:val="17"/>
              </w:rPr>
              <w:t>-0,250</w:t>
            </w:r>
          </w:p>
        </w:tc>
        <w:tc>
          <w:tcPr>
            <w:tcW w:w="1086" w:type="dxa"/>
            <w:tcBorders>
              <w:top w:val="single" w:sz="4" w:space="0" w:color="auto"/>
              <w:bottom w:val="single" w:sz="4" w:space="0" w:color="auto"/>
              <w:right w:val="single" w:sz="6" w:space="0" w:color="000000"/>
            </w:tcBorders>
          </w:tcPr>
          <w:p w14:paraId="78969015" w14:textId="7BEDB5E3" w:rsidR="0095299A" w:rsidRPr="00CA3519" w:rsidRDefault="0095299A" w:rsidP="0095299A">
            <w:pPr>
              <w:ind w:left="-16"/>
              <w:jc w:val="center"/>
              <w:rPr>
                <w:sz w:val="17"/>
                <w:szCs w:val="17"/>
              </w:rPr>
            </w:pPr>
            <w:r w:rsidRPr="0095299A">
              <w:rPr>
                <w:sz w:val="17"/>
                <w:szCs w:val="17"/>
              </w:rPr>
              <w:t>-0,149</w:t>
            </w:r>
          </w:p>
        </w:tc>
        <w:tc>
          <w:tcPr>
            <w:tcW w:w="1086" w:type="dxa"/>
            <w:tcBorders>
              <w:top w:val="single" w:sz="4" w:space="0" w:color="auto"/>
              <w:bottom w:val="single" w:sz="4" w:space="0" w:color="auto"/>
              <w:right w:val="single" w:sz="6" w:space="0" w:color="000000"/>
            </w:tcBorders>
          </w:tcPr>
          <w:p w14:paraId="43226353" w14:textId="6967D22E" w:rsidR="0095299A" w:rsidRPr="00CA3519" w:rsidRDefault="0095299A" w:rsidP="0095299A">
            <w:pPr>
              <w:ind w:left="-29" w:right="-41"/>
              <w:jc w:val="center"/>
              <w:rPr>
                <w:sz w:val="17"/>
                <w:szCs w:val="17"/>
              </w:rPr>
            </w:pPr>
            <w:r w:rsidRPr="0095299A">
              <w:rPr>
                <w:sz w:val="17"/>
                <w:szCs w:val="17"/>
              </w:rPr>
              <w:t>-0,057</w:t>
            </w:r>
          </w:p>
        </w:tc>
      </w:tr>
      <w:tr w:rsidR="0095299A" w:rsidRPr="00CA3519" w14:paraId="16E3CB69" w14:textId="77777777" w:rsidTr="00E0064C">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0C7726EC" w14:textId="4EF70D58" w:rsidR="0095299A" w:rsidRPr="00CA3519" w:rsidRDefault="0095299A" w:rsidP="0095299A">
            <w:pPr>
              <w:rPr>
                <w:sz w:val="17"/>
                <w:szCs w:val="17"/>
              </w:rPr>
            </w:pPr>
            <w:r w:rsidRPr="0095299A">
              <w:rPr>
                <w:sz w:val="17"/>
                <w:szCs w:val="17"/>
              </w:rPr>
              <w:t>September 2019</w:t>
            </w:r>
          </w:p>
        </w:tc>
        <w:tc>
          <w:tcPr>
            <w:tcW w:w="2113" w:type="dxa"/>
            <w:tcBorders>
              <w:top w:val="single" w:sz="4" w:space="0" w:color="auto"/>
              <w:bottom w:val="single" w:sz="4" w:space="0" w:color="auto"/>
              <w:right w:val="single" w:sz="6" w:space="0" w:color="000000"/>
            </w:tcBorders>
          </w:tcPr>
          <w:p w14:paraId="521CE4D4" w14:textId="76C7D29D" w:rsidR="0095299A" w:rsidRPr="00CA3519" w:rsidRDefault="0095299A" w:rsidP="0095299A">
            <w:pPr>
              <w:jc w:val="center"/>
              <w:rPr>
                <w:sz w:val="17"/>
                <w:szCs w:val="17"/>
              </w:rPr>
            </w:pPr>
            <w:r w:rsidRPr="0095299A">
              <w:rPr>
                <w:sz w:val="17"/>
                <w:szCs w:val="17"/>
              </w:rPr>
              <w:t>13.09.2019 - Ausg. 2</w:t>
            </w:r>
          </w:p>
        </w:tc>
        <w:tc>
          <w:tcPr>
            <w:tcW w:w="1085" w:type="dxa"/>
            <w:tcBorders>
              <w:top w:val="single" w:sz="4" w:space="0" w:color="auto"/>
              <w:bottom w:val="single" w:sz="4" w:space="0" w:color="auto"/>
              <w:right w:val="single" w:sz="6" w:space="0" w:color="000000"/>
            </w:tcBorders>
          </w:tcPr>
          <w:p w14:paraId="39838297" w14:textId="6AE7D595" w:rsidR="0095299A" w:rsidRPr="00CA3519" w:rsidRDefault="0095299A" w:rsidP="0095299A">
            <w:pPr>
              <w:jc w:val="center"/>
              <w:rPr>
                <w:sz w:val="17"/>
                <w:szCs w:val="17"/>
              </w:rPr>
            </w:pPr>
            <w:r w:rsidRPr="0095299A">
              <w:rPr>
                <w:sz w:val="17"/>
                <w:szCs w:val="17"/>
              </w:rPr>
              <w:t>-0,740</w:t>
            </w:r>
          </w:p>
        </w:tc>
        <w:tc>
          <w:tcPr>
            <w:tcW w:w="1086" w:type="dxa"/>
            <w:tcBorders>
              <w:top w:val="single" w:sz="4" w:space="0" w:color="auto"/>
              <w:bottom w:val="single" w:sz="4" w:space="0" w:color="auto"/>
              <w:right w:val="single" w:sz="6" w:space="0" w:color="000000"/>
            </w:tcBorders>
          </w:tcPr>
          <w:p w14:paraId="0535B213" w14:textId="5AF99B68" w:rsidR="0095299A" w:rsidRPr="00CA3519" w:rsidRDefault="0095299A" w:rsidP="0095299A">
            <w:pPr>
              <w:jc w:val="center"/>
              <w:rPr>
                <w:sz w:val="17"/>
                <w:szCs w:val="17"/>
              </w:rPr>
            </w:pPr>
            <w:r w:rsidRPr="0095299A">
              <w:rPr>
                <w:sz w:val="17"/>
                <w:szCs w:val="17"/>
              </w:rPr>
              <w:t>-0,794</w:t>
            </w:r>
          </w:p>
        </w:tc>
        <w:tc>
          <w:tcPr>
            <w:tcW w:w="1085" w:type="dxa"/>
            <w:tcBorders>
              <w:top w:val="single" w:sz="4" w:space="0" w:color="auto"/>
              <w:bottom w:val="single" w:sz="4" w:space="0" w:color="auto"/>
              <w:right w:val="single" w:sz="6" w:space="0" w:color="000000"/>
            </w:tcBorders>
          </w:tcPr>
          <w:p w14:paraId="77FD46DC" w14:textId="34CBBC60" w:rsidR="0095299A" w:rsidRPr="00CA3519" w:rsidRDefault="0095299A" w:rsidP="0095299A">
            <w:pPr>
              <w:jc w:val="center"/>
              <w:rPr>
                <w:sz w:val="17"/>
                <w:szCs w:val="17"/>
              </w:rPr>
            </w:pPr>
            <w:r w:rsidRPr="0095299A">
              <w:rPr>
                <w:sz w:val="17"/>
                <w:szCs w:val="17"/>
              </w:rPr>
              <w:t>-0,797</w:t>
            </w:r>
          </w:p>
        </w:tc>
        <w:tc>
          <w:tcPr>
            <w:tcW w:w="1086" w:type="dxa"/>
            <w:tcBorders>
              <w:top w:val="single" w:sz="4" w:space="0" w:color="auto"/>
              <w:bottom w:val="single" w:sz="4" w:space="0" w:color="auto"/>
              <w:right w:val="single" w:sz="6" w:space="0" w:color="000000"/>
            </w:tcBorders>
          </w:tcPr>
          <w:p w14:paraId="4A945C75" w14:textId="07066F51" w:rsidR="0095299A" w:rsidRPr="00CA3519" w:rsidRDefault="0095299A" w:rsidP="0095299A">
            <w:pPr>
              <w:jc w:val="center"/>
              <w:rPr>
                <w:sz w:val="17"/>
                <w:szCs w:val="17"/>
              </w:rPr>
            </w:pPr>
            <w:r w:rsidRPr="0095299A">
              <w:rPr>
                <w:sz w:val="17"/>
                <w:szCs w:val="17"/>
              </w:rPr>
              <w:t>-0,739</w:t>
            </w:r>
          </w:p>
        </w:tc>
        <w:tc>
          <w:tcPr>
            <w:tcW w:w="1086" w:type="dxa"/>
            <w:tcBorders>
              <w:top w:val="single" w:sz="4" w:space="0" w:color="auto"/>
              <w:bottom w:val="single" w:sz="4" w:space="0" w:color="auto"/>
              <w:right w:val="single" w:sz="6" w:space="0" w:color="000000"/>
            </w:tcBorders>
          </w:tcPr>
          <w:p w14:paraId="38ABDC21" w14:textId="1CE931FF" w:rsidR="0095299A" w:rsidRPr="00CA3519" w:rsidRDefault="0095299A" w:rsidP="0095299A">
            <w:pPr>
              <w:jc w:val="center"/>
              <w:rPr>
                <w:sz w:val="17"/>
                <w:szCs w:val="17"/>
              </w:rPr>
            </w:pPr>
            <w:r w:rsidRPr="0095299A">
              <w:rPr>
                <w:sz w:val="17"/>
                <w:szCs w:val="17"/>
              </w:rPr>
              <w:t>-0,667</w:t>
            </w:r>
          </w:p>
        </w:tc>
        <w:tc>
          <w:tcPr>
            <w:tcW w:w="1085" w:type="dxa"/>
            <w:tcBorders>
              <w:top w:val="single" w:sz="4" w:space="0" w:color="auto"/>
              <w:bottom w:val="single" w:sz="4" w:space="0" w:color="auto"/>
              <w:right w:val="single" w:sz="6" w:space="0" w:color="000000"/>
            </w:tcBorders>
          </w:tcPr>
          <w:p w14:paraId="3428BFD8" w14:textId="392FC6A0" w:rsidR="0095299A" w:rsidRPr="00CA3519" w:rsidRDefault="0095299A" w:rsidP="0095299A">
            <w:pPr>
              <w:jc w:val="center"/>
              <w:rPr>
                <w:sz w:val="17"/>
                <w:szCs w:val="17"/>
              </w:rPr>
            </w:pPr>
            <w:r w:rsidRPr="0095299A">
              <w:rPr>
                <w:sz w:val="17"/>
                <w:szCs w:val="17"/>
              </w:rPr>
              <w:t>-0,605</w:t>
            </w:r>
          </w:p>
        </w:tc>
        <w:tc>
          <w:tcPr>
            <w:tcW w:w="1086" w:type="dxa"/>
            <w:tcBorders>
              <w:top w:val="single" w:sz="4" w:space="0" w:color="auto"/>
              <w:bottom w:val="single" w:sz="4" w:space="0" w:color="auto"/>
              <w:right w:val="single" w:sz="6" w:space="0" w:color="000000"/>
            </w:tcBorders>
          </w:tcPr>
          <w:p w14:paraId="1A54A3DA" w14:textId="78E3AA6F" w:rsidR="0095299A" w:rsidRPr="00CA3519" w:rsidRDefault="0095299A" w:rsidP="0095299A">
            <w:pPr>
              <w:jc w:val="center"/>
              <w:rPr>
                <w:sz w:val="17"/>
                <w:szCs w:val="17"/>
              </w:rPr>
            </w:pPr>
            <w:r w:rsidRPr="0095299A">
              <w:rPr>
                <w:sz w:val="17"/>
                <w:szCs w:val="17"/>
              </w:rPr>
              <w:t>-0,539</w:t>
            </w:r>
          </w:p>
        </w:tc>
        <w:tc>
          <w:tcPr>
            <w:tcW w:w="1085" w:type="dxa"/>
            <w:tcBorders>
              <w:top w:val="single" w:sz="4" w:space="0" w:color="auto"/>
              <w:bottom w:val="single" w:sz="4" w:space="0" w:color="auto"/>
              <w:right w:val="single" w:sz="6" w:space="0" w:color="000000"/>
            </w:tcBorders>
          </w:tcPr>
          <w:p w14:paraId="3C1EA8A1" w14:textId="510E5B03" w:rsidR="0095299A" w:rsidRPr="00CA3519" w:rsidRDefault="0095299A" w:rsidP="0095299A">
            <w:pPr>
              <w:jc w:val="center"/>
              <w:rPr>
                <w:sz w:val="17"/>
                <w:szCs w:val="17"/>
              </w:rPr>
            </w:pPr>
            <w:r w:rsidRPr="0095299A">
              <w:rPr>
                <w:sz w:val="17"/>
                <w:szCs w:val="17"/>
              </w:rPr>
              <w:t>-0,460</w:t>
            </w:r>
          </w:p>
        </w:tc>
        <w:tc>
          <w:tcPr>
            <w:tcW w:w="1086" w:type="dxa"/>
            <w:tcBorders>
              <w:top w:val="single" w:sz="4" w:space="0" w:color="auto"/>
              <w:bottom w:val="single" w:sz="4" w:space="0" w:color="auto"/>
              <w:right w:val="single" w:sz="6" w:space="0" w:color="000000"/>
            </w:tcBorders>
          </w:tcPr>
          <w:p w14:paraId="7F37F86F" w14:textId="2EC65124" w:rsidR="0095299A" w:rsidRPr="00CA3519" w:rsidRDefault="0095299A" w:rsidP="0095299A">
            <w:pPr>
              <w:ind w:left="-16"/>
              <w:jc w:val="center"/>
              <w:rPr>
                <w:sz w:val="17"/>
                <w:szCs w:val="17"/>
              </w:rPr>
            </w:pPr>
            <w:r w:rsidRPr="0095299A">
              <w:rPr>
                <w:sz w:val="17"/>
                <w:szCs w:val="17"/>
              </w:rPr>
              <w:t>-0,377</w:t>
            </w:r>
          </w:p>
        </w:tc>
        <w:tc>
          <w:tcPr>
            <w:tcW w:w="1086" w:type="dxa"/>
            <w:tcBorders>
              <w:top w:val="single" w:sz="4" w:space="0" w:color="auto"/>
              <w:bottom w:val="single" w:sz="4" w:space="0" w:color="auto"/>
              <w:right w:val="single" w:sz="6" w:space="0" w:color="000000"/>
            </w:tcBorders>
          </w:tcPr>
          <w:p w14:paraId="2142B343" w14:textId="09239DC2" w:rsidR="0095299A" w:rsidRPr="00CA3519" w:rsidRDefault="0095299A" w:rsidP="0095299A">
            <w:pPr>
              <w:ind w:left="-29" w:right="-41"/>
              <w:jc w:val="center"/>
              <w:rPr>
                <w:sz w:val="17"/>
                <w:szCs w:val="17"/>
              </w:rPr>
            </w:pPr>
            <w:r w:rsidRPr="0095299A">
              <w:rPr>
                <w:sz w:val="17"/>
                <w:szCs w:val="17"/>
              </w:rPr>
              <w:t>-0,296</w:t>
            </w:r>
          </w:p>
        </w:tc>
      </w:tr>
      <w:tr w:rsidR="0095299A" w:rsidRPr="00CA3519" w14:paraId="1A43F4AC" w14:textId="77777777" w:rsidTr="00E0064C">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66A6F601" w14:textId="3667E07D" w:rsidR="0095299A" w:rsidRPr="00CA3519" w:rsidRDefault="0095299A" w:rsidP="0095299A">
            <w:pPr>
              <w:rPr>
                <w:sz w:val="17"/>
                <w:szCs w:val="17"/>
              </w:rPr>
            </w:pPr>
            <w:r w:rsidRPr="0095299A">
              <w:rPr>
                <w:sz w:val="17"/>
                <w:szCs w:val="17"/>
              </w:rPr>
              <w:t>Oktober 2019</w:t>
            </w:r>
          </w:p>
        </w:tc>
        <w:tc>
          <w:tcPr>
            <w:tcW w:w="2113" w:type="dxa"/>
            <w:tcBorders>
              <w:top w:val="single" w:sz="4" w:space="0" w:color="auto"/>
              <w:bottom w:val="single" w:sz="4" w:space="0" w:color="auto"/>
              <w:right w:val="single" w:sz="6" w:space="0" w:color="000000"/>
            </w:tcBorders>
          </w:tcPr>
          <w:p w14:paraId="2E3867B8" w14:textId="4A1BDA0D" w:rsidR="0095299A" w:rsidRPr="00CA3519" w:rsidRDefault="0095299A" w:rsidP="0095299A">
            <w:pPr>
              <w:jc w:val="center"/>
              <w:rPr>
                <w:sz w:val="17"/>
                <w:szCs w:val="17"/>
              </w:rPr>
            </w:pPr>
            <w:r w:rsidRPr="0095299A">
              <w:rPr>
                <w:sz w:val="17"/>
                <w:szCs w:val="17"/>
              </w:rPr>
              <w:t>22.10.2019 - Ausg. 2</w:t>
            </w:r>
          </w:p>
        </w:tc>
        <w:tc>
          <w:tcPr>
            <w:tcW w:w="1085" w:type="dxa"/>
            <w:tcBorders>
              <w:top w:val="single" w:sz="4" w:space="0" w:color="auto"/>
              <w:bottom w:val="single" w:sz="4" w:space="0" w:color="auto"/>
              <w:right w:val="single" w:sz="6" w:space="0" w:color="000000"/>
            </w:tcBorders>
          </w:tcPr>
          <w:p w14:paraId="44EFD223" w14:textId="2988F8DE" w:rsidR="0095299A" w:rsidRPr="00CA3519" w:rsidRDefault="0095299A" w:rsidP="0095299A">
            <w:pPr>
              <w:jc w:val="center"/>
              <w:rPr>
                <w:sz w:val="17"/>
                <w:szCs w:val="17"/>
              </w:rPr>
            </w:pPr>
            <w:r w:rsidRPr="0095299A">
              <w:rPr>
                <w:sz w:val="17"/>
                <w:szCs w:val="17"/>
              </w:rPr>
              <w:t>-0,629</w:t>
            </w:r>
          </w:p>
        </w:tc>
        <w:tc>
          <w:tcPr>
            <w:tcW w:w="1086" w:type="dxa"/>
            <w:tcBorders>
              <w:top w:val="single" w:sz="4" w:space="0" w:color="auto"/>
              <w:bottom w:val="single" w:sz="4" w:space="0" w:color="auto"/>
              <w:right w:val="single" w:sz="6" w:space="0" w:color="000000"/>
            </w:tcBorders>
          </w:tcPr>
          <w:p w14:paraId="3F5D6FD1" w14:textId="06C035D1" w:rsidR="0095299A" w:rsidRPr="00CA3519" w:rsidRDefault="0095299A" w:rsidP="0095299A">
            <w:pPr>
              <w:jc w:val="center"/>
              <w:rPr>
                <w:sz w:val="17"/>
                <w:szCs w:val="17"/>
              </w:rPr>
            </w:pPr>
            <w:r w:rsidRPr="0095299A">
              <w:rPr>
                <w:sz w:val="17"/>
                <w:szCs w:val="17"/>
              </w:rPr>
              <w:t>-0,687</w:t>
            </w:r>
          </w:p>
        </w:tc>
        <w:tc>
          <w:tcPr>
            <w:tcW w:w="1085" w:type="dxa"/>
            <w:tcBorders>
              <w:top w:val="single" w:sz="4" w:space="0" w:color="auto"/>
              <w:bottom w:val="single" w:sz="4" w:space="0" w:color="auto"/>
              <w:right w:val="single" w:sz="6" w:space="0" w:color="000000"/>
            </w:tcBorders>
          </w:tcPr>
          <w:p w14:paraId="7E977C5D" w14:textId="16DD4C40" w:rsidR="0095299A" w:rsidRPr="00CA3519" w:rsidRDefault="0095299A" w:rsidP="0095299A">
            <w:pPr>
              <w:jc w:val="center"/>
              <w:rPr>
                <w:sz w:val="17"/>
                <w:szCs w:val="17"/>
              </w:rPr>
            </w:pPr>
            <w:r w:rsidRPr="0095299A">
              <w:rPr>
                <w:sz w:val="17"/>
                <w:szCs w:val="17"/>
              </w:rPr>
              <w:t>-0,690</w:t>
            </w:r>
          </w:p>
        </w:tc>
        <w:tc>
          <w:tcPr>
            <w:tcW w:w="1086" w:type="dxa"/>
            <w:tcBorders>
              <w:top w:val="single" w:sz="4" w:space="0" w:color="auto"/>
              <w:bottom w:val="single" w:sz="4" w:space="0" w:color="auto"/>
              <w:right w:val="single" w:sz="6" w:space="0" w:color="000000"/>
            </w:tcBorders>
          </w:tcPr>
          <w:p w14:paraId="148AFB04" w14:textId="42C2E501" w:rsidR="0095299A" w:rsidRPr="00CA3519" w:rsidRDefault="0095299A" w:rsidP="0095299A">
            <w:pPr>
              <w:jc w:val="center"/>
              <w:rPr>
                <w:sz w:val="17"/>
                <w:szCs w:val="17"/>
              </w:rPr>
            </w:pPr>
            <w:r w:rsidRPr="0095299A">
              <w:rPr>
                <w:sz w:val="17"/>
                <w:szCs w:val="17"/>
              </w:rPr>
              <w:t>-0,631</w:t>
            </w:r>
          </w:p>
        </w:tc>
        <w:tc>
          <w:tcPr>
            <w:tcW w:w="1086" w:type="dxa"/>
            <w:tcBorders>
              <w:top w:val="single" w:sz="4" w:space="0" w:color="auto"/>
              <w:bottom w:val="single" w:sz="4" w:space="0" w:color="auto"/>
              <w:right w:val="single" w:sz="6" w:space="0" w:color="000000"/>
            </w:tcBorders>
          </w:tcPr>
          <w:p w14:paraId="32CC8C6A" w14:textId="49D82237" w:rsidR="0095299A" w:rsidRPr="00CA3519" w:rsidRDefault="0095299A" w:rsidP="0095299A">
            <w:pPr>
              <w:jc w:val="center"/>
              <w:rPr>
                <w:sz w:val="17"/>
                <w:szCs w:val="17"/>
              </w:rPr>
            </w:pPr>
            <w:r w:rsidRPr="0095299A">
              <w:rPr>
                <w:sz w:val="17"/>
                <w:szCs w:val="17"/>
              </w:rPr>
              <w:t>-0,558</w:t>
            </w:r>
          </w:p>
        </w:tc>
        <w:tc>
          <w:tcPr>
            <w:tcW w:w="1085" w:type="dxa"/>
            <w:tcBorders>
              <w:top w:val="single" w:sz="4" w:space="0" w:color="auto"/>
              <w:bottom w:val="single" w:sz="4" w:space="0" w:color="auto"/>
              <w:right w:val="single" w:sz="6" w:space="0" w:color="000000"/>
            </w:tcBorders>
          </w:tcPr>
          <w:p w14:paraId="6C338EAE" w14:textId="03A5836F" w:rsidR="0095299A" w:rsidRPr="00CA3519" w:rsidRDefault="0095299A" w:rsidP="0095299A">
            <w:pPr>
              <w:jc w:val="center"/>
              <w:rPr>
                <w:sz w:val="17"/>
                <w:szCs w:val="17"/>
              </w:rPr>
            </w:pPr>
            <w:r w:rsidRPr="0095299A">
              <w:rPr>
                <w:sz w:val="17"/>
                <w:szCs w:val="17"/>
              </w:rPr>
              <w:t>-0,497</w:t>
            </w:r>
          </w:p>
        </w:tc>
        <w:tc>
          <w:tcPr>
            <w:tcW w:w="1086" w:type="dxa"/>
            <w:tcBorders>
              <w:top w:val="single" w:sz="4" w:space="0" w:color="auto"/>
              <w:bottom w:val="single" w:sz="4" w:space="0" w:color="auto"/>
              <w:right w:val="single" w:sz="6" w:space="0" w:color="000000"/>
            </w:tcBorders>
          </w:tcPr>
          <w:p w14:paraId="10F590B1" w14:textId="7FAFD891" w:rsidR="0095299A" w:rsidRPr="00CA3519" w:rsidRDefault="0095299A" w:rsidP="0095299A">
            <w:pPr>
              <w:jc w:val="center"/>
              <w:rPr>
                <w:sz w:val="17"/>
                <w:szCs w:val="17"/>
              </w:rPr>
            </w:pPr>
            <w:r w:rsidRPr="0095299A">
              <w:rPr>
                <w:sz w:val="17"/>
                <w:szCs w:val="17"/>
              </w:rPr>
              <w:t>-0,430</w:t>
            </w:r>
          </w:p>
        </w:tc>
        <w:tc>
          <w:tcPr>
            <w:tcW w:w="1085" w:type="dxa"/>
            <w:tcBorders>
              <w:top w:val="single" w:sz="4" w:space="0" w:color="auto"/>
              <w:bottom w:val="single" w:sz="4" w:space="0" w:color="auto"/>
              <w:right w:val="single" w:sz="6" w:space="0" w:color="000000"/>
            </w:tcBorders>
          </w:tcPr>
          <w:p w14:paraId="37BC83EF" w14:textId="18142911" w:rsidR="0095299A" w:rsidRPr="00CA3519" w:rsidRDefault="0095299A" w:rsidP="0095299A">
            <w:pPr>
              <w:jc w:val="center"/>
              <w:rPr>
                <w:sz w:val="17"/>
                <w:szCs w:val="17"/>
              </w:rPr>
            </w:pPr>
            <w:r w:rsidRPr="0095299A">
              <w:rPr>
                <w:sz w:val="17"/>
                <w:szCs w:val="17"/>
              </w:rPr>
              <w:t>-0,358</w:t>
            </w:r>
          </w:p>
        </w:tc>
        <w:tc>
          <w:tcPr>
            <w:tcW w:w="1086" w:type="dxa"/>
            <w:tcBorders>
              <w:top w:val="single" w:sz="4" w:space="0" w:color="auto"/>
              <w:bottom w:val="single" w:sz="4" w:space="0" w:color="auto"/>
              <w:right w:val="single" w:sz="6" w:space="0" w:color="000000"/>
            </w:tcBorders>
          </w:tcPr>
          <w:p w14:paraId="561E330D" w14:textId="5878245A" w:rsidR="0095299A" w:rsidRPr="00CA3519" w:rsidRDefault="0095299A" w:rsidP="0095299A">
            <w:pPr>
              <w:ind w:left="-16"/>
              <w:jc w:val="center"/>
              <w:rPr>
                <w:sz w:val="17"/>
                <w:szCs w:val="17"/>
              </w:rPr>
            </w:pPr>
            <w:r w:rsidRPr="0095299A">
              <w:rPr>
                <w:sz w:val="17"/>
                <w:szCs w:val="17"/>
              </w:rPr>
              <w:t>-0,282</w:t>
            </w:r>
          </w:p>
        </w:tc>
        <w:tc>
          <w:tcPr>
            <w:tcW w:w="1086" w:type="dxa"/>
            <w:tcBorders>
              <w:top w:val="single" w:sz="4" w:space="0" w:color="auto"/>
              <w:bottom w:val="single" w:sz="4" w:space="0" w:color="auto"/>
              <w:right w:val="single" w:sz="6" w:space="0" w:color="000000"/>
            </w:tcBorders>
          </w:tcPr>
          <w:p w14:paraId="5F9961A6" w14:textId="14176CDC" w:rsidR="0095299A" w:rsidRPr="00CA3519" w:rsidRDefault="0095299A" w:rsidP="0095299A">
            <w:pPr>
              <w:ind w:left="-29" w:right="-41"/>
              <w:jc w:val="center"/>
              <w:rPr>
                <w:sz w:val="17"/>
                <w:szCs w:val="17"/>
              </w:rPr>
            </w:pPr>
            <w:r w:rsidRPr="0095299A">
              <w:rPr>
                <w:sz w:val="17"/>
                <w:szCs w:val="17"/>
              </w:rPr>
              <w:t>-0,211</w:t>
            </w:r>
          </w:p>
        </w:tc>
      </w:tr>
      <w:tr w:rsidR="0095299A" w:rsidRPr="00CA3519" w14:paraId="7FE5FF1C" w14:textId="77777777" w:rsidTr="00E0064C">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08465CF6" w14:textId="61B7F76E" w:rsidR="0095299A" w:rsidRPr="00CA3519" w:rsidRDefault="0095299A" w:rsidP="0095299A">
            <w:pPr>
              <w:rPr>
                <w:sz w:val="17"/>
                <w:szCs w:val="17"/>
              </w:rPr>
            </w:pPr>
            <w:r w:rsidRPr="0095299A">
              <w:rPr>
                <w:sz w:val="17"/>
                <w:szCs w:val="17"/>
              </w:rPr>
              <w:t>November 2019</w:t>
            </w:r>
          </w:p>
        </w:tc>
        <w:tc>
          <w:tcPr>
            <w:tcW w:w="2113" w:type="dxa"/>
            <w:tcBorders>
              <w:top w:val="single" w:sz="4" w:space="0" w:color="auto"/>
              <w:bottom w:val="single" w:sz="4" w:space="0" w:color="auto"/>
              <w:right w:val="single" w:sz="6" w:space="0" w:color="000000"/>
            </w:tcBorders>
          </w:tcPr>
          <w:p w14:paraId="0E6910B4" w14:textId="699C2A0C" w:rsidR="0095299A" w:rsidRPr="00CA3519" w:rsidRDefault="0095299A" w:rsidP="0095299A">
            <w:pPr>
              <w:jc w:val="center"/>
              <w:rPr>
                <w:sz w:val="17"/>
                <w:szCs w:val="17"/>
              </w:rPr>
            </w:pPr>
            <w:r w:rsidRPr="0095299A">
              <w:rPr>
                <w:sz w:val="17"/>
                <w:szCs w:val="17"/>
              </w:rPr>
              <w:t>18.11.2019 - Ausg. 1</w:t>
            </w:r>
          </w:p>
        </w:tc>
        <w:tc>
          <w:tcPr>
            <w:tcW w:w="1085" w:type="dxa"/>
            <w:tcBorders>
              <w:top w:val="single" w:sz="4" w:space="0" w:color="auto"/>
              <w:bottom w:val="single" w:sz="4" w:space="0" w:color="auto"/>
              <w:right w:val="single" w:sz="6" w:space="0" w:color="000000"/>
            </w:tcBorders>
          </w:tcPr>
          <w:p w14:paraId="6FB279DE" w14:textId="27060E90" w:rsidR="0095299A" w:rsidRPr="00CA3519" w:rsidRDefault="0095299A" w:rsidP="0095299A">
            <w:pPr>
              <w:jc w:val="center"/>
              <w:rPr>
                <w:sz w:val="17"/>
                <w:szCs w:val="17"/>
              </w:rPr>
            </w:pPr>
            <w:r w:rsidRPr="0095299A">
              <w:rPr>
                <w:sz w:val="17"/>
                <w:szCs w:val="17"/>
              </w:rPr>
              <w:t>-0,611</w:t>
            </w:r>
          </w:p>
        </w:tc>
        <w:tc>
          <w:tcPr>
            <w:tcW w:w="1086" w:type="dxa"/>
            <w:tcBorders>
              <w:top w:val="single" w:sz="4" w:space="0" w:color="auto"/>
              <w:bottom w:val="single" w:sz="4" w:space="0" w:color="auto"/>
              <w:right w:val="single" w:sz="6" w:space="0" w:color="000000"/>
            </w:tcBorders>
          </w:tcPr>
          <w:p w14:paraId="2CFA277F" w14:textId="2E697BFC" w:rsidR="0095299A" w:rsidRPr="00CA3519" w:rsidRDefault="0095299A" w:rsidP="0095299A">
            <w:pPr>
              <w:jc w:val="center"/>
              <w:rPr>
                <w:sz w:val="17"/>
                <w:szCs w:val="17"/>
              </w:rPr>
            </w:pPr>
            <w:r w:rsidRPr="0095299A">
              <w:rPr>
                <w:sz w:val="17"/>
                <w:szCs w:val="17"/>
              </w:rPr>
              <w:t>-0,634</w:t>
            </w:r>
          </w:p>
        </w:tc>
        <w:tc>
          <w:tcPr>
            <w:tcW w:w="1085" w:type="dxa"/>
            <w:tcBorders>
              <w:top w:val="single" w:sz="4" w:space="0" w:color="auto"/>
              <w:bottom w:val="single" w:sz="4" w:space="0" w:color="auto"/>
              <w:right w:val="single" w:sz="6" w:space="0" w:color="000000"/>
            </w:tcBorders>
          </w:tcPr>
          <w:p w14:paraId="13C9F1B4" w14:textId="1FC64BF0" w:rsidR="0095299A" w:rsidRPr="00CA3519" w:rsidRDefault="0095299A" w:rsidP="0095299A">
            <w:pPr>
              <w:jc w:val="center"/>
              <w:rPr>
                <w:sz w:val="17"/>
                <w:szCs w:val="17"/>
              </w:rPr>
            </w:pPr>
            <w:r w:rsidRPr="0095299A">
              <w:rPr>
                <w:sz w:val="17"/>
                <w:szCs w:val="17"/>
              </w:rPr>
              <w:t>-0,607</w:t>
            </w:r>
          </w:p>
        </w:tc>
        <w:tc>
          <w:tcPr>
            <w:tcW w:w="1086" w:type="dxa"/>
            <w:tcBorders>
              <w:top w:val="single" w:sz="4" w:space="0" w:color="auto"/>
              <w:bottom w:val="single" w:sz="4" w:space="0" w:color="auto"/>
              <w:right w:val="single" w:sz="6" w:space="0" w:color="000000"/>
            </w:tcBorders>
          </w:tcPr>
          <w:p w14:paraId="454A5391" w14:textId="155C046A" w:rsidR="0095299A" w:rsidRPr="00CA3519" w:rsidRDefault="0095299A" w:rsidP="0095299A">
            <w:pPr>
              <w:jc w:val="center"/>
              <w:rPr>
                <w:sz w:val="17"/>
                <w:szCs w:val="17"/>
              </w:rPr>
            </w:pPr>
            <w:r w:rsidRPr="0095299A">
              <w:rPr>
                <w:sz w:val="17"/>
                <w:szCs w:val="17"/>
              </w:rPr>
              <w:t>-0,529</w:t>
            </w:r>
          </w:p>
        </w:tc>
        <w:tc>
          <w:tcPr>
            <w:tcW w:w="1086" w:type="dxa"/>
            <w:tcBorders>
              <w:top w:val="single" w:sz="4" w:space="0" w:color="auto"/>
              <w:bottom w:val="single" w:sz="4" w:space="0" w:color="auto"/>
              <w:right w:val="single" w:sz="6" w:space="0" w:color="000000"/>
            </w:tcBorders>
          </w:tcPr>
          <w:p w14:paraId="4F74BEF6" w14:textId="06222244" w:rsidR="0095299A" w:rsidRPr="00CA3519" w:rsidRDefault="0095299A" w:rsidP="0095299A">
            <w:pPr>
              <w:jc w:val="center"/>
              <w:rPr>
                <w:sz w:val="17"/>
                <w:szCs w:val="17"/>
              </w:rPr>
            </w:pPr>
            <w:r w:rsidRPr="0095299A">
              <w:rPr>
                <w:sz w:val="17"/>
                <w:szCs w:val="17"/>
              </w:rPr>
              <w:t>-0,441</w:t>
            </w:r>
          </w:p>
        </w:tc>
        <w:tc>
          <w:tcPr>
            <w:tcW w:w="1085" w:type="dxa"/>
            <w:tcBorders>
              <w:top w:val="single" w:sz="4" w:space="0" w:color="auto"/>
              <w:bottom w:val="single" w:sz="4" w:space="0" w:color="auto"/>
              <w:right w:val="single" w:sz="6" w:space="0" w:color="000000"/>
            </w:tcBorders>
          </w:tcPr>
          <w:p w14:paraId="4CCEC2AD" w14:textId="66893051" w:rsidR="0095299A" w:rsidRPr="00CA3519" w:rsidRDefault="0095299A" w:rsidP="0095299A">
            <w:pPr>
              <w:jc w:val="center"/>
              <w:rPr>
                <w:sz w:val="17"/>
                <w:szCs w:val="17"/>
              </w:rPr>
            </w:pPr>
            <w:r w:rsidRPr="0095299A">
              <w:rPr>
                <w:sz w:val="17"/>
                <w:szCs w:val="17"/>
              </w:rPr>
              <w:t>-0,367</w:t>
            </w:r>
          </w:p>
        </w:tc>
        <w:tc>
          <w:tcPr>
            <w:tcW w:w="1086" w:type="dxa"/>
            <w:tcBorders>
              <w:top w:val="single" w:sz="4" w:space="0" w:color="auto"/>
              <w:bottom w:val="single" w:sz="4" w:space="0" w:color="auto"/>
              <w:right w:val="single" w:sz="6" w:space="0" w:color="000000"/>
            </w:tcBorders>
          </w:tcPr>
          <w:p w14:paraId="330F427C" w14:textId="380F744F" w:rsidR="0095299A" w:rsidRPr="00CA3519" w:rsidRDefault="0095299A" w:rsidP="0095299A">
            <w:pPr>
              <w:jc w:val="center"/>
              <w:rPr>
                <w:sz w:val="17"/>
                <w:szCs w:val="17"/>
              </w:rPr>
            </w:pPr>
            <w:r w:rsidRPr="0095299A">
              <w:rPr>
                <w:sz w:val="17"/>
                <w:szCs w:val="17"/>
              </w:rPr>
              <w:t>-0,291</w:t>
            </w:r>
          </w:p>
        </w:tc>
        <w:tc>
          <w:tcPr>
            <w:tcW w:w="1085" w:type="dxa"/>
            <w:tcBorders>
              <w:top w:val="single" w:sz="4" w:space="0" w:color="auto"/>
              <w:bottom w:val="single" w:sz="4" w:space="0" w:color="auto"/>
              <w:right w:val="single" w:sz="6" w:space="0" w:color="000000"/>
            </w:tcBorders>
          </w:tcPr>
          <w:p w14:paraId="6B766E81" w14:textId="43EDCF38" w:rsidR="0095299A" w:rsidRPr="00CA3519" w:rsidRDefault="0095299A" w:rsidP="0095299A">
            <w:pPr>
              <w:jc w:val="center"/>
              <w:rPr>
                <w:sz w:val="17"/>
                <w:szCs w:val="17"/>
              </w:rPr>
            </w:pPr>
            <w:r w:rsidRPr="0095299A">
              <w:rPr>
                <w:sz w:val="17"/>
                <w:szCs w:val="17"/>
              </w:rPr>
              <w:t>-0,212</w:t>
            </w:r>
          </w:p>
        </w:tc>
        <w:tc>
          <w:tcPr>
            <w:tcW w:w="1086" w:type="dxa"/>
            <w:tcBorders>
              <w:top w:val="single" w:sz="4" w:space="0" w:color="auto"/>
              <w:bottom w:val="single" w:sz="4" w:space="0" w:color="auto"/>
              <w:right w:val="single" w:sz="6" w:space="0" w:color="000000"/>
            </w:tcBorders>
          </w:tcPr>
          <w:p w14:paraId="397A3470" w14:textId="15336CFD" w:rsidR="0095299A" w:rsidRPr="00CA3519" w:rsidRDefault="0095299A" w:rsidP="0095299A">
            <w:pPr>
              <w:ind w:left="-16"/>
              <w:jc w:val="center"/>
              <w:rPr>
                <w:sz w:val="17"/>
                <w:szCs w:val="17"/>
              </w:rPr>
            </w:pPr>
            <w:r w:rsidRPr="0095299A">
              <w:rPr>
                <w:sz w:val="17"/>
                <w:szCs w:val="17"/>
              </w:rPr>
              <w:t>-0,134</w:t>
            </w:r>
          </w:p>
        </w:tc>
        <w:tc>
          <w:tcPr>
            <w:tcW w:w="1086" w:type="dxa"/>
            <w:tcBorders>
              <w:top w:val="single" w:sz="4" w:space="0" w:color="auto"/>
              <w:bottom w:val="single" w:sz="4" w:space="0" w:color="auto"/>
              <w:right w:val="single" w:sz="6" w:space="0" w:color="000000"/>
            </w:tcBorders>
          </w:tcPr>
          <w:p w14:paraId="203A83FB" w14:textId="70E8F0FC" w:rsidR="0095299A" w:rsidRPr="00CA3519" w:rsidRDefault="0095299A" w:rsidP="0095299A">
            <w:pPr>
              <w:ind w:left="-29" w:right="-41"/>
              <w:jc w:val="center"/>
              <w:rPr>
                <w:sz w:val="17"/>
                <w:szCs w:val="17"/>
              </w:rPr>
            </w:pPr>
            <w:r w:rsidRPr="0095299A">
              <w:rPr>
                <w:sz w:val="17"/>
                <w:szCs w:val="17"/>
              </w:rPr>
              <w:t>-0,065</w:t>
            </w:r>
          </w:p>
        </w:tc>
      </w:tr>
      <w:tr w:rsidR="0095299A" w:rsidRPr="00CA3519" w14:paraId="6AEBE25A" w14:textId="77777777" w:rsidTr="00E0064C">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654A8912" w14:textId="3371F3E6" w:rsidR="0095299A" w:rsidRPr="00CA3519" w:rsidRDefault="0095299A" w:rsidP="0095299A">
            <w:pPr>
              <w:rPr>
                <w:sz w:val="17"/>
                <w:szCs w:val="17"/>
              </w:rPr>
            </w:pPr>
            <w:r w:rsidRPr="0095299A">
              <w:rPr>
                <w:sz w:val="17"/>
                <w:szCs w:val="17"/>
              </w:rPr>
              <w:t>Dezember 2019</w:t>
            </w:r>
          </w:p>
        </w:tc>
        <w:tc>
          <w:tcPr>
            <w:tcW w:w="2113" w:type="dxa"/>
            <w:tcBorders>
              <w:top w:val="single" w:sz="4" w:space="0" w:color="auto"/>
              <w:bottom w:val="single" w:sz="4" w:space="0" w:color="auto"/>
              <w:right w:val="single" w:sz="6" w:space="0" w:color="000000"/>
            </w:tcBorders>
          </w:tcPr>
          <w:p w14:paraId="777974AB" w14:textId="35A69E3D" w:rsidR="0095299A" w:rsidRPr="00CA3519" w:rsidRDefault="0095299A" w:rsidP="0095299A">
            <w:pPr>
              <w:jc w:val="center"/>
              <w:rPr>
                <w:sz w:val="17"/>
                <w:szCs w:val="17"/>
              </w:rPr>
            </w:pPr>
            <w:r w:rsidRPr="0095299A">
              <w:rPr>
                <w:sz w:val="17"/>
                <w:szCs w:val="17"/>
              </w:rPr>
              <w:t>16.12.2019 - Ausg. 2</w:t>
            </w:r>
          </w:p>
        </w:tc>
        <w:tc>
          <w:tcPr>
            <w:tcW w:w="1085" w:type="dxa"/>
            <w:tcBorders>
              <w:top w:val="single" w:sz="4" w:space="0" w:color="auto"/>
              <w:bottom w:val="single" w:sz="4" w:space="0" w:color="auto"/>
              <w:right w:val="single" w:sz="6" w:space="0" w:color="000000"/>
            </w:tcBorders>
          </w:tcPr>
          <w:p w14:paraId="097DAB00" w14:textId="54116246" w:rsidR="0095299A" w:rsidRPr="00CA3519" w:rsidRDefault="0095299A" w:rsidP="0095299A">
            <w:pPr>
              <w:jc w:val="center"/>
              <w:rPr>
                <w:sz w:val="17"/>
                <w:szCs w:val="17"/>
              </w:rPr>
            </w:pPr>
            <w:r w:rsidRPr="0095299A">
              <w:rPr>
                <w:sz w:val="17"/>
                <w:szCs w:val="17"/>
              </w:rPr>
              <w:t>-0,583</w:t>
            </w:r>
          </w:p>
        </w:tc>
        <w:tc>
          <w:tcPr>
            <w:tcW w:w="1086" w:type="dxa"/>
            <w:tcBorders>
              <w:top w:val="single" w:sz="4" w:space="0" w:color="auto"/>
              <w:bottom w:val="single" w:sz="4" w:space="0" w:color="auto"/>
              <w:right w:val="single" w:sz="6" w:space="0" w:color="000000"/>
            </w:tcBorders>
          </w:tcPr>
          <w:p w14:paraId="3515E19D" w14:textId="39F408A6" w:rsidR="0095299A" w:rsidRPr="00CA3519" w:rsidRDefault="0095299A" w:rsidP="0095299A">
            <w:pPr>
              <w:jc w:val="center"/>
              <w:rPr>
                <w:sz w:val="17"/>
                <w:szCs w:val="17"/>
              </w:rPr>
            </w:pPr>
            <w:r w:rsidRPr="0095299A">
              <w:rPr>
                <w:sz w:val="17"/>
                <w:szCs w:val="17"/>
              </w:rPr>
              <w:t>-0,613</w:t>
            </w:r>
          </w:p>
        </w:tc>
        <w:tc>
          <w:tcPr>
            <w:tcW w:w="1085" w:type="dxa"/>
            <w:tcBorders>
              <w:top w:val="single" w:sz="4" w:space="0" w:color="auto"/>
              <w:bottom w:val="single" w:sz="4" w:space="0" w:color="auto"/>
              <w:right w:val="single" w:sz="6" w:space="0" w:color="000000"/>
            </w:tcBorders>
          </w:tcPr>
          <w:p w14:paraId="237D09DF" w14:textId="61FC8D63" w:rsidR="0095299A" w:rsidRPr="00CA3519" w:rsidRDefault="0095299A" w:rsidP="0095299A">
            <w:pPr>
              <w:jc w:val="center"/>
              <w:rPr>
                <w:sz w:val="17"/>
                <w:szCs w:val="17"/>
              </w:rPr>
            </w:pPr>
            <w:r w:rsidRPr="0095299A">
              <w:rPr>
                <w:sz w:val="17"/>
                <w:szCs w:val="17"/>
              </w:rPr>
              <w:t>-0,578</w:t>
            </w:r>
          </w:p>
        </w:tc>
        <w:tc>
          <w:tcPr>
            <w:tcW w:w="1086" w:type="dxa"/>
            <w:tcBorders>
              <w:top w:val="single" w:sz="4" w:space="0" w:color="auto"/>
              <w:bottom w:val="single" w:sz="4" w:space="0" w:color="auto"/>
              <w:right w:val="single" w:sz="6" w:space="0" w:color="000000"/>
            </w:tcBorders>
          </w:tcPr>
          <w:p w14:paraId="0EF06E95" w14:textId="30C8FAF0" w:rsidR="0095299A" w:rsidRPr="00CA3519" w:rsidRDefault="0095299A" w:rsidP="0095299A">
            <w:pPr>
              <w:jc w:val="center"/>
              <w:rPr>
                <w:sz w:val="17"/>
                <w:szCs w:val="17"/>
              </w:rPr>
            </w:pPr>
            <w:r w:rsidRPr="0095299A">
              <w:rPr>
                <w:sz w:val="17"/>
                <w:szCs w:val="17"/>
              </w:rPr>
              <w:t>-0,487</w:t>
            </w:r>
          </w:p>
        </w:tc>
        <w:tc>
          <w:tcPr>
            <w:tcW w:w="1086" w:type="dxa"/>
            <w:tcBorders>
              <w:top w:val="single" w:sz="4" w:space="0" w:color="auto"/>
              <w:bottom w:val="single" w:sz="4" w:space="0" w:color="auto"/>
              <w:right w:val="single" w:sz="6" w:space="0" w:color="000000"/>
            </w:tcBorders>
          </w:tcPr>
          <w:p w14:paraId="38CEF0F1" w14:textId="294F9936" w:rsidR="0095299A" w:rsidRPr="00CA3519" w:rsidRDefault="0095299A" w:rsidP="0095299A">
            <w:pPr>
              <w:jc w:val="center"/>
              <w:rPr>
                <w:sz w:val="17"/>
                <w:szCs w:val="17"/>
              </w:rPr>
            </w:pPr>
            <w:r w:rsidRPr="0095299A">
              <w:rPr>
                <w:sz w:val="17"/>
                <w:szCs w:val="17"/>
              </w:rPr>
              <w:t>-0,390</w:t>
            </w:r>
          </w:p>
        </w:tc>
        <w:tc>
          <w:tcPr>
            <w:tcW w:w="1085" w:type="dxa"/>
            <w:tcBorders>
              <w:top w:val="single" w:sz="4" w:space="0" w:color="auto"/>
              <w:bottom w:val="single" w:sz="4" w:space="0" w:color="auto"/>
              <w:right w:val="single" w:sz="6" w:space="0" w:color="000000"/>
            </w:tcBorders>
          </w:tcPr>
          <w:p w14:paraId="75FE2AD5" w14:textId="6DB58627" w:rsidR="0095299A" w:rsidRPr="00CA3519" w:rsidRDefault="0095299A" w:rsidP="0095299A">
            <w:pPr>
              <w:jc w:val="center"/>
              <w:rPr>
                <w:sz w:val="17"/>
                <w:szCs w:val="17"/>
              </w:rPr>
            </w:pPr>
            <w:r w:rsidRPr="0095299A">
              <w:rPr>
                <w:sz w:val="17"/>
                <w:szCs w:val="17"/>
              </w:rPr>
              <w:t>-0,311</w:t>
            </w:r>
          </w:p>
        </w:tc>
        <w:tc>
          <w:tcPr>
            <w:tcW w:w="1086" w:type="dxa"/>
            <w:tcBorders>
              <w:top w:val="single" w:sz="4" w:space="0" w:color="auto"/>
              <w:bottom w:val="single" w:sz="4" w:space="0" w:color="auto"/>
              <w:right w:val="single" w:sz="6" w:space="0" w:color="000000"/>
            </w:tcBorders>
          </w:tcPr>
          <w:p w14:paraId="32BE330D" w14:textId="67E888B1" w:rsidR="0095299A" w:rsidRPr="00CA3519" w:rsidRDefault="0095299A" w:rsidP="0095299A">
            <w:pPr>
              <w:jc w:val="center"/>
              <w:rPr>
                <w:sz w:val="17"/>
                <w:szCs w:val="17"/>
              </w:rPr>
            </w:pPr>
            <w:r w:rsidRPr="0095299A">
              <w:rPr>
                <w:sz w:val="17"/>
                <w:szCs w:val="17"/>
              </w:rPr>
              <w:t>-0,234</w:t>
            </w:r>
          </w:p>
        </w:tc>
        <w:tc>
          <w:tcPr>
            <w:tcW w:w="1085" w:type="dxa"/>
            <w:tcBorders>
              <w:top w:val="single" w:sz="4" w:space="0" w:color="auto"/>
              <w:bottom w:val="single" w:sz="4" w:space="0" w:color="auto"/>
              <w:right w:val="single" w:sz="6" w:space="0" w:color="000000"/>
            </w:tcBorders>
          </w:tcPr>
          <w:p w14:paraId="45B9555C" w14:textId="5ED0D853" w:rsidR="0095299A" w:rsidRPr="00CA3519" w:rsidRDefault="0095299A" w:rsidP="0095299A">
            <w:pPr>
              <w:jc w:val="center"/>
              <w:rPr>
                <w:sz w:val="17"/>
                <w:szCs w:val="17"/>
              </w:rPr>
            </w:pPr>
            <w:r w:rsidRPr="0095299A">
              <w:rPr>
                <w:sz w:val="17"/>
                <w:szCs w:val="17"/>
              </w:rPr>
              <w:t>-0,155</w:t>
            </w:r>
          </w:p>
        </w:tc>
        <w:tc>
          <w:tcPr>
            <w:tcW w:w="1086" w:type="dxa"/>
            <w:tcBorders>
              <w:top w:val="single" w:sz="4" w:space="0" w:color="auto"/>
              <w:bottom w:val="single" w:sz="4" w:space="0" w:color="auto"/>
              <w:right w:val="single" w:sz="6" w:space="0" w:color="000000"/>
            </w:tcBorders>
          </w:tcPr>
          <w:p w14:paraId="720C89E1" w14:textId="0D07C2D2" w:rsidR="0095299A" w:rsidRPr="00CA3519" w:rsidRDefault="0095299A" w:rsidP="0095299A">
            <w:pPr>
              <w:ind w:left="-16"/>
              <w:jc w:val="center"/>
              <w:rPr>
                <w:sz w:val="17"/>
                <w:szCs w:val="17"/>
              </w:rPr>
            </w:pPr>
            <w:r w:rsidRPr="0095299A">
              <w:rPr>
                <w:sz w:val="17"/>
                <w:szCs w:val="17"/>
              </w:rPr>
              <w:t>-0,079</w:t>
            </w:r>
          </w:p>
        </w:tc>
        <w:tc>
          <w:tcPr>
            <w:tcW w:w="1086" w:type="dxa"/>
            <w:tcBorders>
              <w:top w:val="single" w:sz="4" w:space="0" w:color="auto"/>
              <w:bottom w:val="single" w:sz="4" w:space="0" w:color="auto"/>
              <w:right w:val="single" w:sz="6" w:space="0" w:color="000000"/>
            </w:tcBorders>
          </w:tcPr>
          <w:p w14:paraId="6612664F" w14:textId="3A0D9BC0" w:rsidR="0095299A" w:rsidRPr="00CA3519" w:rsidRDefault="0095299A" w:rsidP="0095299A">
            <w:pPr>
              <w:jc w:val="center"/>
              <w:rPr>
                <w:sz w:val="17"/>
                <w:szCs w:val="17"/>
              </w:rPr>
            </w:pPr>
            <w:r w:rsidRPr="0095299A">
              <w:rPr>
                <w:sz w:val="17"/>
                <w:szCs w:val="17"/>
              </w:rPr>
              <w:t>-0,008</w:t>
            </w:r>
            <w:r>
              <w:rPr>
                <w:sz w:val="17"/>
                <w:szCs w:val="17"/>
              </w:rPr>
              <w:t>]</w:t>
            </w:r>
          </w:p>
        </w:tc>
      </w:tr>
      <w:tr w:rsidR="004F03F2" w:rsidRPr="006020CB" w14:paraId="02D0AD9E" w14:textId="77777777" w:rsidTr="004F03F2">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37D1B8B6" w14:textId="77777777" w:rsidR="004F03F2" w:rsidRPr="004F03F2" w:rsidRDefault="004F03F2" w:rsidP="00535671">
            <w:pPr>
              <w:rPr>
                <w:sz w:val="17"/>
                <w:szCs w:val="17"/>
              </w:rPr>
            </w:pPr>
            <w:r w:rsidRPr="004F03F2">
              <w:rPr>
                <w:sz w:val="17"/>
                <w:szCs w:val="17"/>
              </w:rPr>
              <w:lastRenderedPageBreak/>
              <w:t>Januar 2020</w:t>
            </w:r>
          </w:p>
        </w:tc>
        <w:tc>
          <w:tcPr>
            <w:tcW w:w="2113" w:type="dxa"/>
            <w:tcBorders>
              <w:top w:val="single" w:sz="4" w:space="0" w:color="auto"/>
              <w:left w:val="single" w:sz="4" w:space="0" w:color="auto"/>
              <w:bottom w:val="single" w:sz="4" w:space="0" w:color="auto"/>
              <w:right w:val="single" w:sz="6" w:space="0" w:color="000000"/>
            </w:tcBorders>
          </w:tcPr>
          <w:p w14:paraId="03A8006D" w14:textId="77777777" w:rsidR="004F03F2" w:rsidRPr="004F03F2" w:rsidRDefault="004F03F2" w:rsidP="00535671">
            <w:pPr>
              <w:jc w:val="center"/>
              <w:rPr>
                <w:sz w:val="17"/>
                <w:szCs w:val="17"/>
              </w:rPr>
            </w:pPr>
            <w:r w:rsidRPr="004F03F2">
              <w:rPr>
                <w:sz w:val="17"/>
                <w:szCs w:val="17"/>
              </w:rPr>
              <w:t>16.01.2020 - Ausg. 1</w:t>
            </w:r>
          </w:p>
        </w:tc>
        <w:tc>
          <w:tcPr>
            <w:tcW w:w="1085" w:type="dxa"/>
            <w:tcBorders>
              <w:top w:val="single" w:sz="4" w:space="0" w:color="auto"/>
              <w:left w:val="single" w:sz="4" w:space="0" w:color="auto"/>
              <w:bottom w:val="single" w:sz="4" w:space="0" w:color="auto"/>
              <w:right w:val="single" w:sz="6" w:space="0" w:color="000000"/>
            </w:tcBorders>
          </w:tcPr>
          <w:p w14:paraId="5F25150F" w14:textId="77777777" w:rsidR="004F03F2" w:rsidRPr="004F03F2" w:rsidRDefault="004F03F2" w:rsidP="00535671">
            <w:pPr>
              <w:jc w:val="center"/>
              <w:rPr>
                <w:sz w:val="17"/>
                <w:szCs w:val="17"/>
              </w:rPr>
            </w:pPr>
            <w:r w:rsidRPr="004F03F2">
              <w:rPr>
                <w:sz w:val="17"/>
                <w:szCs w:val="17"/>
              </w:rPr>
              <w:t>-0,593</w:t>
            </w:r>
          </w:p>
        </w:tc>
        <w:tc>
          <w:tcPr>
            <w:tcW w:w="1086" w:type="dxa"/>
            <w:tcBorders>
              <w:top w:val="single" w:sz="4" w:space="0" w:color="auto"/>
              <w:left w:val="single" w:sz="4" w:space="0" w:color="auto"/>
              <w:bottom w:val="single" w:sz="4" w:space="0" w:color="auto"/>
              <w:right w:val="single" w:sz="6" w:space="0" w:color="000000"/>
            </w:tcBorders>
          </w:tcPr>
          <w:p w14:paraId="2CA5DAE2" w14:textId="77777777" w:rsidR="004F03F2" w:rsidRPr="004F03F2" w:rsidRDefault="004F03F2" w:rsidP="00535671">
            <w:pPr>
              <w:jc w:val="center"/>
              <w:rPr>
                <w:sz w:val="17"/>
                <w:szCs w:val="17"/>
              </w:rPr>
            </w:pPr>
            <w:r w:rsidRPr="004F03F2">
              <w:rPr>
                <w:sz w:val="17"/>
                <w:szCs w:val="17"/>
              </w:rPr>
              <w:t>-0,619</w:t>
            </w:r>
          </w:p>
        </w:tc>
        <w:tc>
          <w:tcPr>
            <w:tcW w:w="1085" w:type="dxa"/>
            <w:tcBorders>
              <w:top w:val="single" w:sz="4" w:space="0" w:color="auto"/>
              <w:left w:val="single" w:sz="4" w:space="0" w:color="auto"/>
              <w:bottom w:val="single" w:sz="4" w:space="0" w:color="auto"/>
              <w:right w:val="single" w:sz="6" w:space="0" w:color="000000"/>
            </w:tcBorders>
          </w:tcPr>
          <w:p w14:paraId="71CAE24C" w14:textId="77777777" w:rsidR="004F03F2" w:rsidRPr="004F03F2" w:rsidRDefault="004F03F2" w:rsidP="00535671">
            <w:pPr>
              <w:jc w:val="center"/>
              <w:rPr>
                <w:sz w:val="17"/>
                <w:szCs w:val="17"/>
              </w:rPr>
            </w:pPr>
            <w:r w:rsidRPr="004F03F2">
              <w:rPr>
                <w:sz w:val="17"/>
                <w:szCs w:val="17"/>
              </w:rPr>
              <w:t>-0,576</w:t>
            </w:r>
          </w:p>
        </w:tc>
        <w:tc>
          <w:tcPr>
            <w:tcW w:w="1086" w:type="dxa"/>
            <w:tcBorders>
              <w:top w:val="single" w:sz="4" w:space="0" w:color="auto"/>
              <w:left w:val="single" w:sz="4" w:space="0" w:color="auto"/>
              <w:bottom w:val="single" w:sz="4" w:space="0" w:color="auto"/>
              <w:right w:val="single" w:sz="6" w:space="0" w:color="000000"/>
            </w:tcBorders>
          </w:tcPr>
          <w:p w14:paraId="0F58616B" w14:textId="77777777" w:rsidR="004F03F2" w:rsidRPr="004F03F2" w:rsidRDefault="004F03F2" w:rsidP="00535671">
            <w:pPr>
              <w:jc w:val="center"/>
              <w:rPr>
                <w:sz w:val="17"/>
                <w:szCs w:val="17"/>
              </w:rPr>
            </w:pPr>
            <w:r w:rsidRPr="004F03F2">
              <w:rPr>
                <w:sz w:val="17"/>
                <w:szCs w:val="17"/>
              </w:rPr>
              <w:t>-0,475</w:t>
            </w:r>
          </w:p>
        </w:tc>
        <w:tc>
          <w:tcPr>
            <w:tcW w:w="1086" w:type="dxa"/>
            <w:tcBorders>
              <w:top w:val="single" w:sz="4" w:space="0" w:color="auto"/>
              <w:left w:val="single" w:sz="4" w:space="0" w:color="auto"/>
              <w:bottom w:val="single" w:sz="4" w:space="0" w:color="auto"/>
              <w:right w:val="single" w:sz="6" w:space="0" w:color="000000"/>
            </w:tcBorders>
          </w:tcPr>
          <w:p w14:paraId="4C9DF740" w14:textId="77777777" w:rsidR="004F03F2" w:rsidRPr="004F03F2" w:rsidRDefault="004F03F2" w:rsidP="00535671">
            <w:pPr>
              <w:jc w:val="center"/>
              <w:rPr>
                <w:sz w:val="17"/>
                <w:szCs w:val="17"/>
              </w:rPr>
            </w:pPr>
            <w:r w:rsidRPr="004F03F2">
              <w:rPr>
                <w:sz w:val="17"/>
                <w:szCs w:val="17"/>
              </w:rPr>
              <w:t>-0,371</w:t>
            </w:r>
          </w:p>
        </w:tc>
        <w:tc>
          <w:tcPr>
            <w:tcW w:w="1085" w:type="dxa"/>
            <w:tcBorders>
              <w:top w:val="single" w:sz="4" w:space="0" w:color="auto"/>
              <w:left w:val="single" w:sz="4" w:space="0" w:color="auto"/>
              <w:bottom w:val="single" w:sz="4" w:space="0" w:color="auto"/>
              <w:right w:val="single" w:sz="6" w:space="0" w:color="000000"/>
            </w:tcBorders>
          </w:tcPr>
          <w:p w14:paraId="632320A0" w14:textId="77777777" w:rsidR="004F03F2" w:rsidRPr="004F03F2" w:rsidRDefault="004F03F2" w:rsidP="00535671">
            <w:pPr>
              <w:jc w:val="center"/>
              <w:rPr>
                <w:sz w:val="17"/>
                <w:szCs w:val="17"/>
              </w:rPr>
            </w:pPr>
            <w:r w:rsidRPr="004F03F2">
              <w:rPr>
                <w:sz w:val="17"/>
                <w:szCs w:val="17"/>
              </w:rPr>
              <w:t>-0,286</w:t>
            </w:r>
          </w:p>
        </w:tc>
        <w:tc>
          <w:tcPr>
            <w:tcW w:w="1086" w:type="dxa"/>
            <w:tcBorders>
              <w:top w:val="single" w:sz="4" w:space="0" w:color="auto"/>
              <w:left w:val="single" w:sz="4" w:space="0" w:color="auto"/>
              <w:bottom w:val="single" w:sz="4" w:space="0" w:color="auto"/>
              <w:right w:val="single" w:sz="6" w:space="0" w:color="000000"/>
            </w:tcBorders>
          </w:tcPr>
          <w:p w14:paraId="55A773D0" w14:textId="77777777" w:rsidR="004F03F2" w:rsidRPr="004F03F2" w:rsidRDefault="004F03F2" w:rsidP="00535671">
            <w:pPr>
              <w:jc w:val="center"/>
              <w:rPr>
                <w:sz w:val="17"/>
                <w:szCs w:val="17"/>
              </w:rPr>
            </w:pPr>
            <w:r w:rsidRPr="004F03F2">
              <w:rPr>
                <w:sz w:val="17"/>
                <w:szCs w:val="17"/>
              </w:rPr>
              <w:t>-0,200</w:t>
            </w:r>
          </w:p>
        </w:tc>
        <w:tc>
          <w:tcPr>
            <w:tcW w:w="1085" w:type="dxa"/>
            <w:tcBorders>
              <w:top w:val="single" w:sz="4" w:space="0" w:color="auto"/>
              <w:left w:val="single" w:sz="4" w:space="0" w:color="auto"/>
              <w:bottom w:val="single" w:sz="4" w:space="0" w:color="auto"/>
              <w:right w:val="single" w:sz="6" w:space="0" w:color="000000"/>
            </w:tcBorders>
          </w:tcPr>
          <w:p w14:paraId="1412DCAA" w14:textId="77777777" w:rsidR="004F03F2" w:rsidRPr="004F03F2" w:rsidRDefault="004F03F2" w:rsidP="00535671">
            <w:pPr>
              <w:jc w:val="center"/>
              <w:rPr>
                <w:sz w:val="17"/>
                <w:szCs w:val="17"/>
              </w:rPr>
            </w:pPr>
            <w:r w:rsidRPr="004F03F2">
              <w:rPr>
                <w:sz w:val="17"/>
                <w:szCs w:val="17"/>
              </w:rPr>
              <w:t>-0,111</w:t>
            </w:r>
          </w:p>
        </w:tc>
        <w:tc>
          <w:tcPr>
            <w:tcW w:w="1086" w:type="dxa"/>
            <w:tcBorders>
              <w:top w:val="single" w:sz="4" w:space="0" w:color="auto"/>
              <w:left w:val="single" w:sz="4" w:space="0" w:color="auto"/>
              <w:bottom w:val="single" w:sz="4" w:space="0" w:color="auto"/>
              <w:right w:val="single" w:sz="6" w:space="0" w:color="000000"/>
            </w:tcBorders>
          </w:tcPr>
          <w:p w14:paraId="32A82107" w14:textId="77777777" w:rsidR="004F03F2" w:rsidRPr="004F03F2" w:rsidRDefault="004F03F2" w:rsidP="004F03F2">
            <w:pPr>
              <w:ind w:left="-16"/>
              <w:jc w:val="center"/>
              <w:rPr>
                <w:sz w:val="17"/>
                <w:szCs w:val="17"/>
              </w:rPr>
            </w:pPr>
            <w:r w:rsidRPr="004F03F2">
              <w:rPr>
                <w:sz w:val="17"/>
                <w:szCs w:val="17"/>
              </w:rPr>
              <w:t>-0,026</w:t>
            </w:r>
          </w:p>
        </w:tc>
        <w:tc>
          <w:tcPr>
            <w:tcW w:w="1086" w:type="dxa"/>
            <w:tcBorders>
              <w:top w:val="single" w:sz="4" w:space="0" w:color="auto"/>
              <w:left w:val="single" w:sz="4" w:space="0" w:color="auto"/>
              <w:bottom w:val="single" w:sz="4" w:space="0" w:color="auto"/>
              <w:right w:val="single" w:sz="6" w:space="0" w:color="000000"/>
            </w:tcBorders>
          </w:tcPr>
          <w:p w14:paraId="7707D704" w14:textId="77777777" w:rsidR="004F03F2" w:rsidRPr="004F03F2" w:rsidRDefault="004F03F2" w:rsidP="00535671">
            <w:pPr>
              <w:jc w:val="center"/>
              <w:rPr>
                <w:sz w:val="17"/>
                <w:szCs w:val="17"/>
              </w:rPr>
            </w:pPr>
            <w:r w:rsidRPr="004F03F2">
              <w:rPr>
                <w:sz w:val="17"/>
                <w:szCs w:val="17"/>
              </w:rPr>
              <w:t>0,049</w:t>
            </w:r>
          </w:p>
        </w:tc>
      </w:tr>
      <w:tr w:rsidR="004F03F2" w:rsidRPr="006020CB" w14:paraId="0F7C3113" w14:textId="77777777" w:rsidTr="004F03F2">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1AA12EF0" w14:textId="77777777" w:rsidR="004F03F2" w:rsidRPr="004F03F2" w:rsidRDefault="004F03F2" w:rsidP="00535671">
            <w:pPr>
              <w:rPr>
                <w:sz w:val="17"/>
                <w:szCs w:val="17"/>
              </w:rPr>
            </w:pPr>
            <w:r w:rsidRPr="004F03F2">
              <w:rPr>
                <w:sz w:val="17"/>
                <w:szCs w:val="17"/>
              </w:rPr>
              <w:t>Februar 2020</w:t>
            </w:r>
          </w:p>
        </w:tc>
        <w:tc>
          <w:tcPr>
            <w:tcW w:w="2113" w:type="dxa"/>
            <w:tcBorders>
              <w:top w:val="single" w:sz="4" w:space="0" w:color="auto"/>
              <w:left w:val="single" w:sz="4" w:space="0" w:color="auto"/>
              <w:bottom w:val="single" w:sz="4" w:space="0" w:color="auto"/>
              <w:right w:val="single" w:sz="6" w:space="0" w:color="000000"/>
            </w:tcBorders>
          </w:tcPr>
          <w:p w14:paraId="34926AEF" w14:textId="77777777" w:rsidR="004F03F2" w:rsidRPr="004F03F2" w:rsidRDefault="004F03F2" w:rsidP="00535671">
            <w:pPr>
              <w:jc w:val="center"/>
              <w:rPr>
                <w:sz w:val="17"/>
                <w:szCs w:val="17"/>
              </w:rPr>
            </w:pPr>
            <w:r w:rsidRPr="004F03F2">
              <w:rPr>
                <w:sz w:val="17"/>
                <w:szCs w:val="17"/>
              </w:rPr>
              <w:t>18.02.2020 - Ausg. 1</w:t>
            </w:r>
          </w:p>
        </w:tc>
        <w:tc>
          <w:tcPr>
            <w:tcW w:w="1085" w:type="dxa"/>
            <w:tcBorders>
              <w:top w:val="single" w:sz="4" w:space="0" w:color="auto"/>
              <w:left w:val="single" w:sz="4" w:space="0" w:color="auto"/>
              <w:bottom w:val="single" w:sz="4" w:space="0" w:color="auto"/>
              <w:right w:val="single" w:sz="6" w:space="0" w:color="000000"/>
            </w:tcBorders>
          </w:tcPr>
          <w:p w14:paraId="701D10B6" w14:textId="77777777" w:rsidR="004F03F2" w:rsidRPr="004F03F2" w:rsidRDefault="004F03F2" w:rsidP="00535671">
            <w:pPr>
              <w:jc w:val="center"/>
              <w:rPr>
                <w:sz w:val="17"/>
                <w:szCs w:val="17"/>
              </w:rPr>
            </w:pPr>
            <w:r w:rsidRPr="004F03F2">
              <w:rPr>
                <w:sz w:val="17"/>
                <w:szCs w:val="17"/>
              </w:rPr>
              <w:t>-0,574</w:t>
            </w:r>
          </w:p>
        </w:tc>
        <w:tc>
          <w:tcPr>
            <w:tcW w:w="1086" w:type="dxa"/>
            <w:tcBorders>
              <w:top w:val="single" w:sz="4" w:space="0" w:color="auto"/>
              <w:left w:val="single" w:sz="4" w:space="0" w:color="auto"/>
              <w:bottom w:val="single" w:sz="4" w:space="0" w:color="auto"/>
              <w:right w:val="single" w:sz="6" w:space="0" w:color="000000"/>
            </w:tcBorders>
          </w:tcPr>
          <w:p w14:paraId="261717AC" w14:textId="77777777" w:rsidR="004F03F2" w:rsidRPr="004F03F2" w:rsidRDefault="004F03F2" w:rsidP="00535671">
            <w:pPr>
              <w:jc w:val="center"/>
              <w:rPr>
                <w:sz w:val="17"/>
                <w:szCs w:val="17"/>
              </w:rPr>
            </w:pPr>
            <w:r w:rsidRPr="004F03F2">
              <w:rPr>
                <w:sz w:val="17"/>
                <w:szCs w:val="17"/>
              </w:rPr>
              <w:t>-0,601</w:t>
            </w:r>
          </w:p>
        </w:tc>
        <w:tc>
          <w:tcPr>
            <w:tcW w:w="1085" w:type="dxa"/>
            <w:tcBorders>
              <w:top w:val="single" w:sz="4" w:space="0" w:color="auto"/>
              <w:left w:val="single" w:sz="4" w:space="0" w:color="auto"/>
              <w:bottom w:val="single" w:sz="4" w:space="0" w:color="auto"/>
              <w:right w:val="single" w:sz="6" w:space="0" w:color="000000"/>
            </w:tcBorders>
          </w:tcPr>
          <w:p w14:paraId="5EF3D735" w14:textId="77777777" w:rsidR="004F03F2" w:rsidRPr="004F03F2" w:rsidRDefault="004F03F2" w:rsidP="00535671">
            <w:pPr>
              <w:jc w:val="center"/>
              <w:rPr>
                <w:sz w:val="17"/>
                <w:szCs w:val="17"/>
              </w:rPr>
            </w:pPr>
            <w:r w:rsidRPr="004F03F2">
              <w:rPr>
                <w:sz w:val="17"/>
                <w:szCs w:val="17"/>
              </w:rPr>
              <w:t>-0,566</w:t>
            </w:r>
          </w:p>
        </w:tc>
        <w:tc>
          <w:tcPr>
            <w:tcW w:w="1086" w:type="dxa"/>
            <w:tcBorders>
              <w:top w:val="single" w:sz="4" w:space="0" w:color="auto"/>
              <w:left w:val="single" w:sz="4" w:space="0" w:color="auto"/>
              <w:bottom w:val="single" w:sz="4" w:space="0" w:color="auto"/>
              <w:right w:val="single" w:sz="6" w:space="0" w:color="000000"/>
            </w:tcBorders>
          </w:tcPr>
          <w:p w14:paraId="4B93EF29" w14:textId="77777777" w:rsidR="004F03F2" w:rsidRPr="004F03F2" w:rsidRDefault="004F03F2" w:rsidP="00535671">
            <w:pPr>
              <w:jc w:val="center"/>
              <w:rPr>
                <w:sz w:val="17"/>
                <w:szCs w:val="17"/>
              </w:rPr>
            </w:pPr>
            <w:r w:rsidRPr="004F03F2">
              <w:rPr>
                <w:sz w:val="17"/>
                <w:szCs w:val="17"/>
              </w:rPr>
              <w:t>-0,489</w:t>
            </w:r>
          </w:p>
        </w:tc>
        <w:tc>
          <w:tcPr>
            <w:tcW w:w="1086" w:type="dxa"/>
            <w:tcBorders>
              <w:top w:val="single" w:sz="4" w:space="0" w:color="auto"/>
              <w:left w:val="single" w:sz="4" w:space="0" w:color="auto"/>
              <w:bottom w:val="single" w:sz="4" w:space="0" w:color="auto"/>
              <w:right w:val="single" w:sz="6" w:space="0" w:color="000000"/>
            </w:tcBorders>
          </w:tcPr>
          <w:p w14:paraId="054AC8BF" w14:textId="77777777" w:rsidR="004F03F2" w:rsidRPr="004F03F2" w:rsidRDefault="004F03F2" w:rsidP="00535671">
            <w:pPr>
              <w:jc w:val="center"/>
              <w:rPr>
                <w:sz w:val="17"/>
                <w:szCs w:val="17"/>
              </w:rPr>
            </w:pPr>
            <w:r w:rsidRPr="004F03F2">
              <w:rPr>
                <w:sz w:val="17"/>
                <w:szCs w:val="17"/>
              </w:rPr>
              <w:t>-0,411</w:t>
            </w:r>
          </w:p>
        </w:tc>
        <w:tc>
          <w:tcPr>
            <w:tcW w:w="1085" w:type="dxa"/>
            <w:tcBorders>
              <w:top w:val="single" w:sz="4" w:space="0" w:color="auto"/>
              <w:left w:val="single" w:sz="4" w:space="0" w:color="auto"/>
              <w:bottom w:val="single" w:sz="4" w:space="0" w:color="auto"/>
              <w:right w:val="single" w:sz="6" w:space="0" w:color="000000"/>
            </w:tcBorders>
          </w:tcPr>
          <w:p w14:paraId="2103FA7D" w14:textId="77777777" w:rsidR="004F03F2" w:rsidRPr="004F03F2" w:rsidRDefault="004F03F2" w:rsidP="00535671">
            <w:pPr>
              <w:jc w:val="center"/>
              <w:rPr>
                <w:sz w:val="17"/>
                <w:szCs w:val="17"/>
              </w:rPr>
            </w:pPr>
            <w:r w:rsidRPr="004F03F2">
              <w:rPr>
                <w:sz w:val="17"/>
                <w:szCs w:val="17"/>
              </w:rPr>
              <w:t>-0,340</w:t>
            </w:r>
          </w:p>
        </w:tc>
        <w:tc>
          <w:tcPr>
            <w:tcW w:w="1086" w:type="dxa"/>
            <w:tcBorders>
              <w:top w:val="single" w:sz="4" w:space="0" w:color="auto"/>
              <w:left w:val="single" w:sz="4" w:space="0" w:color="auto"/>
              <w:bottom w:val="single" w:sz="4" w:space="0" w:color="auto"/>
              <w:right w:val="single" w:sz="6" w:space="0" w:color="000000"/>
            </w:tcBorders>
          </w:tcPr>
          <w:p w14:paraId="30AD629B" w14:textId="77777777" w:rsidR="004F03F2" w:rsidRPr="004F03F2" w:rsidRDefault="004F03F2" w:rsidP="00535671">
            <w:pPr>
              <w:jc w:val="center"/>
              <w:rPr>
                <w:sz w:val="17"/>
                <w:szCs w:val="17"/>
              </w:rPr>
            </w:pPr>
            <w:r w:rsidRPr="004F03F2">
              <w:rPr>
                <w:sz w:val="17"/>
                <w:szCs w:val="17"/>
              </w:rPr>
              <w:t>-0,263</w:t>
            </w:r>
          </w:p>
        </w:tc>
        <w:tc>
          <w:tcPr>
            <w:tcW w:w="1085" w:type="dxa"/>
            <w:tcBorders>
              <w:top w:val="single" w:sz="4" w:space="0" w:color="auto"/>
              <w:left w:val="single" w:sz="4" w:space="0" w:color="auto"/>
              <w:bottom w:val="single" w:sz="4" w:space="0" w:color="auto"/>
              <w:right w:val="single" w:sz="6" w:space="0" w:color="000000"/>
            </w:tcBorders>
          </w:tcPr>
          <w:p w14:paraId="06AC9BF2" w14:textId="77777777" w:rsidR="004F03F2" w:rsidRPr="004F03F2" w:rsidRDefault="004F03F2" w:rsidP="00535671">
            <w:pPr>
              <w:jc w:val="center"/>
              <w:rPr>
                <w:sz w:val="17"/>
                <w:szCs w:val="17"/>
              </w:rPr>
            </w:pPr>
            <w:r w:rsidRPr="004F03F2">
              <w:rPr>
                <w:sz w:val="17"/>
                <w:szCs w:val="17"/>
              </w:rPr>
              <w:t>-0,181</w:t>
            </w:r>
          </w:p>
        </w:tc>
        <w:tc>
          <w:tcPr>
            <w:tcW w:w="1086" w:type="dxa"/>
            <w:tcBorders>
              <w:top w:val="single" w:sz="4" w:space="0" w:color="auto"/>
              <w:left w:val="single" w:sz="4" w:space="0" w:color="auto"/>
              <w:bottom w:val="single" w:sz="4" w:space="0" w:color="auto"/>
              <w:right w:val="single" w:sz="6" w:space="0" w:color="000000"/>
            </w:tcBorders>
          </w:tcPr>
          <w:p w14:paraId="26E738E8" w14:textId="77777777" w:rsidR="004F03F2" w:rsidRPr="004F03F2" w:rsidRDefault="004F03F2" w:rsidP="004F03F2">
            <w:pPr>
              <w:ind w:left="-16"/>
              <w:jc w:val="center"/>
              <w:rPr>
                <w:sz w:val="17"/>
                <w:szCs w:val="17"/>
              </w:rPr>
            </w:pPr>
            <w:r w:rsidRPr="004F03F2">
              <w:rPr>
                <w:sz w:val="17"/>
                <w:szCs w:val="17"/>
              </w:rPr>
              <w:t>-0,102</w:t>
            </w:r>
          </w:p>
        </w:tc>
        <w:tc>
          <w:tcPr>
            <w:tcW w:w="1086" w:type="dxa"/>
            <w:tcBorders>
              <w:top w:val="single" w:sz="4" w:space="0" w:color="auto"/>
              <w:left w:val="single" w:sz="4" w:space="0" w:color="auto"/>
              <w:bottom w:val="single" w:sz="4" w:space="0" w:color="auto"/>
              <w:right w:val="single" w:sz="6" w:space="0" w:color="000000"/>
            </w:tcBorders>
          </w:tcPr>
          <w:p w14:paraId="0F7ED348" w14:textId="77777777" w:rsidR="004F03F2" w:rsidRPr="004F03F2" w:rsidRDefault="004F03F2" w:rsidP="00535671">
            <w:pPr>
              <w:jc w:val="center"/>
              <w:rPr>
                <w:sz w:val="17"/>
                <w:szCs w:val="17"/>
              </w:rPr>
            </w:pPr>
            <w:r w:rsidRPr="004F03F2">
              <w:rPr>
                <w:sz w:val="17"/>
                <w:szCs w:val="17"/>
              </w:rPr>
              <w:t>-0,030</w:t>
            </w:r>
          </w:p>
        </w:tc>
      </w:tr>
      <w:tr w:rsidR="004F03F2" w:rsidRPr="006020CB" w14:paraId="4A480CE0" w14:textId="77777777" w:rsidTr="004F03F2">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2A73570F" w14:textId="77777777" w:rsidR="004F03F2" w:rsidRPr="004F03F2" w:rsidRDefault="004F03F2" w:rsidP="00535671">
            <w:pPr>
              <w:rPr>
                <w:sz w:val="17"/>
                <w:szCs w:val="17"/>
              </w:rPr>
            </w:pPr>
            <w:r w:rsidRPr="004F03F2">
              <w:rPr>
                <w:sz w:val="17"/>
                <w:szCs w:val="17"/>
              </w:rPr>
              <w:t>März 2020</w:t>
            </w:r>
          </w:p>
        </w:tc>
        <w:tc>
          <w:tcPr>
            <w:tcW w:w="2113" w:type="dxa"/>
            <w:tcBorders>
              <w:top w:val="single" w:sz="4" w:space="0" w:color="auto"/>
              <w:left w:val="single" w:sz="4" w:space="0" w:color="auto"/>
              <w:bottom w:val="single" w:sz="4" w:space="0" w:color="auto"/>
              <w:right w:val="single" w:sz="6" w:space="0" w:color="000000"/>
            </w:tcBorders>
          </w:tcPr>
          <w:p w14:paraId="25DF93EC" w14:textId="77777777" w:rsidR="004F03F2" w:rsidRPr="004F03F2" w:rsidRDefault="004F03F2" w:rsidP="00535671">
            <w:pPr>
              <w:jc w:val="center"/>
              <w:rPr>
                <w:sz w:val="17"/>
                <w:szCs w:val="17"/>
              </w:rPr>
            </w:pPr>
            <w:r w:rsidRPr="004F03F2">
              <w:rPr>
                <w:sz w:val="17"/>
                <w:szCs w:val="17"/>
              </w:rPr>
              <w:t>23.03.2020 - Ausg. 1</w:t>
            </w:r>
          </w:p>
        </w:tc>
        <w:tc>
          <w:tcPr>
            <w:tcW w:w="1085" w:type="dxa"/>
            <w:tcBorders>
              <w:top w:val="single" w:sz="4" w:space="0" w:color="auto"/>
              <w:left w:val="single" w:sz="4" w:space="0" w:color="auto"/>
              <w:bottom w:val="single" w:sz="4" w:space="0" w:color="auto"/>
              <w:right w:val="single" w:sz="6" w:space="0" w:color="000000"/>
            </w:tcBorders>
          </w:tcPr>
          <w:p w14:paraId="0D3A846D" w14:textId="77777777" w:rsidR="004F03F2" w:rsidRPr="004F03F2" w:rsidRDefault="004F03F2" w:rsidP="00535671">
            <w:pPr>
              <w:jc w:val="center"/>
              <w:rPr>
                <w:sz w:val="17"/>
                <w:szCs w:val="17"/>
              </w:rPr>
            </w:pPr>
            <w:r w:rsidRPr="004F03F2">
              <w:rPr>
                <w:sz w:val="17"/>
                <w:szCs w:val="17"/>
              </w:rPr>
              <w:t>-0,613</w:t>
            </w:r>
          </w:p>
        </w:tc>
        <w:tc>
          <w:tcPr>
            <w:tcW w:w="1086" w:type="dxa"/>
            <w:tcBorders>
              <w:top w:val="single" w:sz="4" w:space="0" w:color="auto"/>
              <w:left w:val="single" w:sz="4" w:space="0" w:color="auto"/>
              <w:bottom w:val="single" w:sz="4" w:space="0" w:color="auto"/>
              <w:right w:val="single" w:sz="6" w:space="0" w:color="000000"/>
            </w:tcBorders>
          </w:tcPr>
          <w:p w14:paraId="18F70C36" w14:textId="77777777" w:rsidR="004F03F2" w:rsidRPr="004F03F2" w:rsidRDefault="004F03F2" w:rsidP="00535671">
            <w:pPr>
              <w:jc w:val="center"/>
              <w:rPr>
                <w:sz w:val="17"/>
                <w:szCs w:val="17"/>
              </w:rPr>
            </w:pPr>
            <w:r w:rsidRPr="004F03F2">
              <w:rPr>
                <w:sz w:val="17"/>
                <w:szCs w:val="17"/>
              </w:rPr>
              <w:t>-0,648</w:t>
            </w:r>
          </w:p>
        </w:tc>
        <w:tc>
          <w:tcPr>
            <w:tcW w:w="1085" w:type="dxa"/>
            <w:tcBorders>
              <w:top w:val="single" w:sz="4" w:space="0" w:color="auto"/>
              <w:left w:val="single" w:sz="4" w:space="0" w:color="auto"/>
              <w:bottom w:val="single" w:sz="4" w:space="0" w:color="auto"/>
              <w:right w:val="single" w:sz="6" w:space="0" w:color="000000"/>
            </w:tcBorders>
          </w:tcPr>
          <w:p w14:paraId="589C3973" w14:textId="77777777" w:rsidR="004F03F2" w:rsidRPr="004F03F2" w:rsidRDefault="004F03F2" w:rsidP="00535671">
            <w:pPr>
              <w:jc w:val="center"/>
              <w:rPr>
                <w:sz w:val="17"/>
                <w:szCs w:val="17"/>
              </w:rPr>
            </w:pPr>
            <w:r w:rsidRPr="004F03F2">
              <w:rPr>
                <w:sz w:val="17"/>
                <w:szCs w:val="17"/>
              </w:rPr>
              <w:t>-0,644</w:t>
            </w:r>
          </w:p>
        </w:tc>
        <w:tc>
          <w:tcPr>
            <w:tcW w:w="1086" w:type="dxa"/>
            <w:tcBorders>
              <w:top w:val="single" w:sz="4" w:space="0" w:color="auto"/>
              <w:left w:val="single" w:sz="4" w:space="0" w:color="auto"/>
              <w:bottom w:val="single" w:sz="4" w:space="0" w:color="auto"/>
              <w:right w:val="single" w:sz="6" w:space="0" w:color="000000"/>
            </w:tcBorders>
          </w:tcPr>
          <w:p w14:paraId="7C54D5B4" w14:textId="77777777" w:rsidR="004F03F2" w:rsidRPr="004F03F2" w:rsidRDefault="004F03F2" w:rsidP="00535671">
            <w:pPr>
              <w:jc w:val="center"/>
              <w:rPr>
                <w:sz w:val="17"/>
                <w:szCs w:val="17"/>
              </w:rPr>
            </w:pPr>
            <w:r w:rsidRPr="004F03F2">
              <w:rPr>
                <w:sz w:val="17"/>
                <w:szCs w:val="17"/>
              </w:rPr>
              <w:t>-0,595</w:t>
            </w:r>
          </w:p>
        </w:tc>
        <w:tc>
          <w:tcPr>
            <w:tcW w:w="1086" w:type="dxa"/>
            <w:tcBorders>
              <w:top w:val="single" w:sz="4" w:space="0" w:color="auto"/>
              <w:left w:val="single" w:sz="4" w:space="0" w:color="auto"/>
              <w:bottom w:val="single" w:sz="4" w:space="0" w:color="auto"/>
              <w:right w:val="single" w:sz="6" w:space="0" w:color="000000"/>
            </w:tcBorders>
          </w:tcPr>
          <w:p w14:paraId="5D974DEE" w14:textId="77777777" w:rsidR="004F03F2" w:rsidRPr="004F03F2" w:rsidRDefault="004F03F2" w:rsidP="00535671">
            <w:pPr>
              <w:jc w:val="center"/>
              <w:rPr>
                <w:sz w:val="17"/>
                <w:szCs w:val="17"/>
              </w:rPr>
            </w:pPr>
            <w:r w:rsidRPr="004F03F2">
              <w:rPr>
                <w:sz w:val="17"/>
                <w:szCs w:val="17"/>
              </w:rPr>
              <w:t>-0,525</w:t>
            </w:r>
          </w:p>
        </w:tc>
        <w:tc>
          <w:tcPr>
            <w:tcW w:w="1085" w:type="dxa"/>
            <w:tcBorders>
              <w:top w:val="single" w:sz="4" w:space="0" w:color="auto"/>
              <w:left w:val="single" w:sz="4" w:space="0" w:color="auto"/>
              <w:bottom w:val="single" w:sz="4" w:space="0" w:color="auto"/>
              <w:right w:val="single" w:sz="6" w:space="0" w:color="000000"/>
            </w:tcBorders>
          </w:tcPr>
          <w:p w14:paraId="109580E6" w14:textId="77777777" w:rsidR="004F03F2" w:rsidRPr="004F03F2" w:rsidRDefault="004F03F2" w:rsidP="00535671">
            <w:pPr>
              <w:jc w:val="center"/>
              <w:rPr>
                <w:sz w:val="17"/>
                <w:szCs w:val="17"/>
              </w:rPr>
            </w:pPr>
            <w:r w:rsidRPr="004F03F2">
              <w:rPr>
                <w:sz w:val="17"/>
                <w:szCs w:val="17"/>
              </w:rPr>
              <w:t>-0,459</w:t>
            </w:r>
          </w:p>
        </w:tc>
        <w:tc>
          <w:tcPr>
            <w:tcW w:w="1086" w:type="dxa"/>
            <w:tcBorders>
              <w:top w:val="single" w:sz="4" w:space="0" w:color="auto"/>
              <w:left w:val="single" w:sz="4" w:space="0" w:color="auto"/>
              <w:bottom w:val="single" w:sz="4" w:space="0" w:color="auto"/>
              <w:right w:val="single" w:sz="6" w:space="0" w:color="000000"/>
            </w:tcBorders>
          </w:tcPr>
          <w:p w14:paraId="527EBE70" w14:textId="77777777" w:rsidR="004F03F2" w:rsidRPr="004F03F2" w:rsidRDefault="004F03F2" w:rsidP="00535671">
            <w:pPr>
              <w:jc w:val="center"/>
              <w:rPr>
                <w:sz w:val="17"/>
                <w:szCs w:val="17"/>
              </w:rPr>
            </w:pPr>
            <w:r w:rsidRPr="004F03F2">
              <w:rPr>
                <w:sz w:val="17"/>
                <w:szCs w:val="17"/>
              </w:rPr>
              <w:t>-0,396</w:t>
            </w:r>
          </w:p>
        </w:tc>
        <w:tc>
          <w:tcPr>
            <w:tcW w:w="1085" w:type="dxa"/>
            <w:tcBorders>
              <w:top w:val="single" w:sz="4" w:space="0" w:color="auto"/>
              <w:left w:val="single" w:sz="4" w:space="0" w:color="auto"/>
              <w:bottom w:val="single" w:sz="4" w:space="0" w:color="auto"/>
              <w:right w:val="single" w:sz="6" w:space="0" w:color="000000"/>
            </w:tcBorders>
          </w:tcPr>
          <w:p w14:paraId="635CA215" w14:textId="77777777" w:rsidR="004F03F2" w:rsidRPr="004F03F2" w:rsidRDefault="004F03F2" w:rsidP="00535671">
            <w:pPr>
              <w:jc w:val="center"/>
              <w:rPr>
                <w:sz w:val="17"/>
                <w:szCs w:val="17"/>
              </w:rPr>
            </w:pPr>
            <w:r w:rsidRPr="004F03F2">
              <w:rPr>
                <w:sz w:val="17"/>
                <w:szCs w:val="17"/>
              </w:rPr>
              <w:t>-0,333</w:t>
            </w:r>
          </w:p>
        </w:tc>
        <w:tc>
          <w:tcPr>
            <w:tcW w:w="1086" w:type="dxa"/>
            <w:tcBorders>
              <w:top w:val="single" w:sz="4" w:space="0" w:color="auto"/>
              <w:left w:val="single" w:sz="4" w:space="0" w:color="auto"/>
              <w:bottom w:val="single" w:sz="4" w:space="0" w:color="auto"/>
              <w:right w:val="single" w:sz="6" w:space="0" w:color="000000"/>
            </w:tcBorders>
          </w:tcPr>
          <w:p w14:paraId="73C2DFD6" w14:textId="77777777" w:rsidR="004F03F2" w:rsidRPr="004F03F2" w:rsidRDefault="004F03F2" w:rsidP="004F03F2">
            <w:pPr>
              <w:ind w:left="-16"/>
              <w:jc w:val="center"/>
              <w:rPr>
                <w:sz w:val="17"/>
                <w:szCs w:val="17"/>
              </w:rPr>
            </w:pPr>
            <w:r w:rsidRPr="004F03F2">
              <w:rPr>
                <w:sz w:val="17"/>
                <w:szCs w:val="17"/>
              </w:rPr>
              <w:t>-0,265</w:t>
            </w:r>
          </w:p>
        </w:tc>
        <w:tc>
          <w:tcPr>
            <w:tcW w:w="1086" w:type="dxa"/>
            <w:tcBorders>
              <w:top w:val="single" w:sz="4" w:space="0" w:color="auto"/>
              <w:left w:val="single" w:sz="4" w:space="0" w:color="auto"/>
              <w:bottom w:val="single" w:sz="4" w:space="0" w:color="auto"/>
              <w:right w:val="single" w:sz="6" w:space="0" w:color="000000"/>
            </w:tcBorders>
          </w:tcPr>
          <w:p w14:paraId="1611F747" w14:textId="77777777" w:rsidR="004F03F2" w:rsidRPr="004F03F2" w:rsidRDefault="004F03F2" w:rsidP="00535671">
            <w:pPr>
              <w:jc w:val="center"/>
              <w:rPr>
                <w:sz w:val="17"/>
                <w:szCs w:val="17"/>
              </w:rPr>
            </w:pPr>
            <w:r w:rsidRPr="004F03F2">
              <w:rPr>
                <w:sz w:val="17"/>
                <w:szCs w:val="17"/>
              </w:rPr>
              <w:t>-0,196</w:t>
            </w:r>
          </w:p>
        </w:tc>
      </w:tr>
      <w:tr w:rsidR="004F03F2" w:rsidRPr="006020CB" w14:paraId="01E75AEA" w14:textId="77777777" w:rsidTr="004F03F2">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4922BC0D" w14:textId="77777777" w:rsidR="004F03F2" w:rsidRPr="004F03F2" w:rsidRDefault="004F03F2" w:rsidP="00535671">
            <w:pPr>
              <w:rPr>
                <w:sz w:val="17"/>
                <w:szCs w:val="17"/>
              </w:rPr>
            </w:pPr>
            <w:r w:rsidRPr="004F03F2">
              <w:rPr>
                <w:sz w:val="17"/>
                <w:szCs w:val="17"/>
              </w:rPr>
              <w:t>April 2020</w:t>
            </w:r>
          </w:p>
        </w:tc>
        <w:tc>
          <w:tcPr>
            <w:tcW w:w="2113" w:type="dxa"/>
            <w:tcBorders>
              <w:top w:val="single" w:sz="4" w:space="0" w:color="auto"/>
              <w:left w:val="single" w:sz="4" w:space="0" w:color="auto"/>
              <w:bottom w:val="single" w:sz="4" w:space="0" w:color="auto"/>
              <w:right w:val="single" w:sz="6" w:space="0" w:color="000000"/>
            </w:tcBorders>
          </w:tcPr>
          <w:p w14:paraId="54950DEC" w14:textId="77777777" w:rsidR="004F03F2" w:rsidRPr="004F03F2" w:rsidRDefault="004F03F2" w:rsidP="00535671">
            <w:pPr>
              <w:jc w:val="center"/>
              <w:rPr>
                <w:sz w:val="17"/>
                <w:szCs w:val="17"/>
              </w:rPr>
            </w:pPr>
            <w:r w:rsidRPr="004F03F2">
              <w:rPr>
                <w:sz w:val="17"/>
                <w:szCs w:val="17"/>
              </w:rPr>
              <w:t>17.04.2020 - Ausg. 1</w:t>
            </w:r>
          </w:p>
        </w:tc>
        <w:tc>
          <w:tcPr>
            <w:tcW w:w="1085" w:type="dxa"/>
            <w:tcBorders>
              <w:top w:val="single" w:sz="4" w:space="0" w:color="auto"/>
              <w:left w:val="single" w:sz="4" w:space="0" w:color="auto"/>
              <w:bottom w:val="single" w:sz="4" w:space="0" w:color="auto"/>
              <w:right w:val="single" w:sz="6" w:space="0" w:color="000000"/>
            </w:tcBorders>
          </w:tcPr>
          <w:p w14:paraId="7543F058" w14:textId="77777777" w:rsidR="004F03F2" w:rsidRPr="004F03F2" w:rsidRDefault="004F03F2" w:rsidP="00535671">
            <w:pPr>
              <w:jc w:val="center"/>
              <w:rPr>
                <w:sz w:val="17"/>
                <w:szCs w:val="17"/>
              </w:rPr>
            </w:pPr>
            <w:r w:rsidRPr="004F03F2">
              <w:rPr>
                <w:sz w:val="17"/>
                <w:szCs w:val="17"/>
              </w:rPr>
              <w:t>-0,556</w:t>
            </w:r>
          </w:p>
        </w:tc>
        <w:tc>
          <w:tcPr>
            <w:tcW w:w="1086" w:type="dxa"/>
            <w:tcBorders>
              <w:top w:val="single" w:sz="4" w:space="0" w:color="auto"/>
              <w:left w:val="single" w:sz="4" w:space="0" w:color="auto"/>
              <w:bottom w:val="single" w:sz="4" w:space="0" w:color="auto"/>
              <w:right w:val="single" w:sz="6" w:space="0" w:color="000000"/>
            </w:tcBorders>
          </w:tcPr>
          <w:p w14:paraId="4A686976" w14:textId="77777777" w:rsidR="004F03F2" w:rsidRPr="004F03F2" w:rsidRDefault="004F03F2" w:rsidP="00535671">
            <w:pPr>
              <w:jc w:val="center"/>
              <w:rPr>
                <w:sz w:val="17"/>
                <w:szCs w:val="17"/>
              </w:rPr>
            </w:pPr>
            <w:r w:rsidRPr="004F03F2">
              <w:rPr>
                <w:sz w:val="17"/>
                <w:szCs w:val="17"/>
              </w:rPr>
              <w:t>-0,510</w:t>
            </w:r>
          </w:p>
        </w:tc>
        <w:tc>
          <w:tcPr>
            <w:tcW w:w="1085" w:type="dxa"/>
            <w:tcBorders>
              <w:top w:val="single" w:sz="4" w:space="0" w:color="auto"/>
              <w:left w:val="single" w:sz="4" w:space="0" w:color="auto"/>
              <w:bottom w:val="single" w:sz="4" w:space="0" w:color="auto"/>
              <w:right w:val="single" w:sz="6" w:space="0" w:color="000000"/>
            </w:tcBorders>
          </w:tcPr>
          <w:p w14:paraId="22A2B9B2" w14:textId="77777777" w:rsidR="004F03F2" w:rsidRPr="004F03F2" w:rsidRDefault="004F03F2" w:rsidP="00535671">
            <w:pPr>
              <w:jc w:val="center"/>
              <w:rPr>
                <w:sz w:val="17"/>
                <w:szCs w:val="17"/>
              </w:rPr>
            </w:pPr>
            <w:r w:rsidRPr="004F03F2">
              <w:rPr>
                <w:sz w:val="17"/>
                <w:szCs w:val="17"/>
              </w:rPr>
              <w:t>-0,449</w:t>
            </w:r>
          </w:p>
        </w:tc>
        <w:tc>
          <w:tcPr>
            <w:tcW w:w="1086" w:type="dxa"/>
            <w:tcBorders>
              <w:top w:val="single" w:sz="4" w:space="0" w:color="auto"/>
              <w:left w:val="single" w:sz="4" w:space="0" w:color="auto"/>
              <w:bottom w:val="single" w:sz="4" w:space="0" w:color="auto"/>
              <w:right w:val="single" w:sz="6" w:space="0" w:color="000000"/>
            </w:tcBorders>
          </w:tcPr>
          <w:p w14:paraId="57BAB5BC" w14:textId="77777777" w:rsidR="004F03F2" w:rsidRPr="004F03F2" w:rsidRDefault="004F03F2" w:rsidP="00535671">
            <w:pPr>
              <w:jc w:val="center"/>
              <w:rPr>
                <w:sz w:val="17"/>
                <w:szCs w:val="17"/>
              </w:rPr>
            </w:pPr>
            <w:r w:rsidRPr="004F03F2">
              <w:rPr>
                <w:sz w:val="17"/>
                <w:szCs w:val="17"/>
              </w:rPr>
              <w:t>-0,350</w:t>
            </w:r>
          </w:p>
        </w:tc>
        <w:tc>
          <w:tcPr>
            <w:tcW w:w="1086" w:type="dxa"/>
            <w:tcBorders>
              <w:top w:val="single" w:sz="4" w:space="0" w:color="auto"/>
              <w:left w:val="single" w:sz="4" w:space="0" w:color="auto"/>
              <w:bottom w:val="single" w:sz="4" w:space="0" w:color="auto"/>
              <w:right w:val="single" w:sz="6" w:space="0" w:color="000000"/>
            </w:tcBorders>
          </w:tcPr>
          <w:p w14:paraId="30DABF7F" w14:textId="77777777" w:rsidR="004F03F2" w:rsidRPr="004F03F2" w:rsidRDefault="004F03F2" w:rsidP="00535671">
            <w:pPr>
              <w:jc w:val="center"/>
              <w:rPr>
                <w:sz w:val="17"/>
                <w:szCs w:val="17"/>
              </w:rPr>
            </w:pPr>
            <w:r w:rsidRPr="004F03F2">
              <w:rPr>
                <w:sz w:val="17"/>
                <w:szCs w:val="17"/>
              </w:rPr>
              <w:t>-0,239</w:t>
            </w:r>
          </w:p>
        </w:tc>
        <w:tc>
          <w:tcPr>
            <w:tcW w:w="1085" w:type="dxa"/>
            <w:tcBorders>
              <w:top w:val="single" w:sz="4" w:space="0" w:color="auto"/>
              <w:left w:val="single" w:sz="4" w:space="0" w:color="auto"/>
              <w:bottom w:val="single" w:sz="4" w:space="0" w:color="auto"/>
              <w:right w:val="single" w:sz="6" w:space="0" w:color="000000"/>
            </w:tcBorders>
          </w:tcPr>
          <w:p w14:paraId="52F12894" w14:textId="77777777" w:rsidR="004F03F2" w:rsidRPr="004F03F2" w:rsidRDefault="004F03F2" w:rsidP="00535671">
            <w:pPr>
              <w:jc w:val="center"/>
              <w:rPr>
                <w:sz w:val="17"/>
                <w:szCs w:val="17"/>
              </w:rPr>
            </w:pPr>
            <w:r w:rsidRPr="004F03F2">
              <w:rPr>
                <w:sz w:val="17"/>
                <w:szCs w:val="17"/>
              </w:rPr>
              <w:t>-0,150</w:t>
            </w:r>
          </w:p>
        </w:tc>
        <w:tc>
          <w:tcPr>
            <w:tcW w:w="1086" w:type="dxa"/>
            <w:tcBorders>
              <w:top w:val="single" w:sz="4" w:space="0" w:color="auto"/>
              <w:left w:val="single" w:sz="4" w:space="0" w:color="auto"/>
              <w:bottom w:val="single" w:sz="4" w:space="0" w:color="auto"/>
              <w:right w:val="single" w:sz="6" w:space="0" w:color="000000"/>
            </w:tcBorders>
          </w:tcPr>
          <w:p w14:paraId="08AE8D83" w14:textId="77777777" w:rsidR="004F03F2" w:rsidRPr="004F03F2" w:rsidRDefault="004F03F2" w:rsidP="00535671">
            <w:pPr>
              <w:jc w:val="center"/>
              <w:rPr>
                <w:sz w:val="17"/>
                <w:szCs w:val="17"/>
              </w:rPr>
            </w:pPr>
            <w:r w:rsidRPr="004F03F2">
              <w:rPr>
                <w:sz w:val="17"/>
                <w:szCs w:val="17"/>
              </w:rPr>
              <w:t>-0,083</w:t>
            </w:r>
          </w:p>
        </w:tc>
        <w:tc>
          <w:tcPr>
            <w:tcW w:w="1085" w:type="dxa"/>
            <w:tcBorders>
              <w:top w:val="single" w:sz="4" w:space="0" w:color="auto"/>
              <w:left w:val="single" w:sz="4" w:space="0" w:color="auto"/>
              <w:bottom w:val="single" w:sz="4" w:space="0" w:color="auto"/>
              <w:right w:val="single" w:sz="6" w:space="0" w:color="000000"/>
            </w:tcBorders>
          </w:tcPr>
          <w:p w14:paraId="2B77829A" w14:textId="77777777" w:rsidR="004F03F2" w:rsidRPr="004F03F2" w:rsidRDefault="004F03F2" w:rsidP="00535671">
            <w:pPr>
              <w:jc w:val="center"/>
              <w:rPr>
                <w:sz w:val="17"/>
                <w:szCs w:val="17"/>
              </w:rPr>
            </w:pPr>
            <w:r w:rsidRPr="004F03F2">
              <w:rPr>
                <w:sz w:val="17"/>
                <w:szCs w:val="17"/>
              </w:rPr>
              <w:t>-0,026</w:t>
            </w:r>
          </w:p>
        </w:tc>
        <w:tc>
          <w:tcPr>
            <w:tcW w:w="1086" w:type="dxa"/>
            <w:tcBorders>
              <w:top w:val="single" w:sz="4" w:space="0" w:color="auto"/>
              <w:left w:val="single" w:sz="4" w:space="0" w:color="auto"/>
              <w:bottom w:val="single" w:sz="4" w:space="0" w:color="auto"/>
              <w:right w:val="single" w:sz="6" w:space="0" w:color="000000"/>
            </w:tcBorders>
          </w:tcPr>
          <w:p w14:paraId="22DA27A3" w14:textId="77777777" w:rsidR="004F03F2" w:rsidRPr="004F03F2" w:rsidRDefault="004F03F2" w:rsidP="004F03F2">
            <w:pPr>
              <w:ind w:left="-16"/>
              <w:jc w:val="center"/>
              <w:rPr>
                <w:sz w:val="17"/>
                <w:szCs w:val="17"/>
              </w:rPr>
            </w:pPr>
            <w:r w:rsidRPr="004F03F2">
              <w:rPr>
                <w:sz w:val="17"/>
                <w:szCs w:val="17"/>
              </w:rPr>
              <w:t>0,030</w:t>
            </w:r>
          </w:p>
        </w:tc>
        <w:tc>
          <w:tcPr>
            <w:tcW w:w="1086" w:type="dxa"/>
            <w:tcBorders>
              <w:top w:val="single" w:sz="4" w:space="0" w:color="auto"/>
              <w:left w:val="single" w:sz="4" w:space="0" w:color="auto"/>
              <w:bottom w:val="single" w:sz="4" w:space="0" w:color="auto"/>
              <w:right w:val="single" w:sz="6" w:space="0" w:color="000000"/>
            </w:tcBorders>
          </w:tcPr>
          <w:p w14:paraId="262F5BF4" w14:textId="77777777" w:rsidR="004F03F2" w:rsidRPr="004F03F2" w:rsidRDefault="004F03F2" w:rsidP="00535671">
            <w:pPr>
              <w:jc w:val="center"/>
              <w:rPr>
                <w:sz w:val="17"/>
                <w:szCs w:val="17"/>
              </w:rPr>
            </w:pPr>
            <w:r w:rsidRPr="004F03F2">
              <w:rPr>
                <w:sz w:val="17"/>
                <w:szCs w:val="17"/>
              </w:rPr>
              <w:t>0,090</w:t>
            </w:r>
          </w:p>
        </w:tc>
      </w:tr>
      <w:tr w:rsidR="004F03F2" w:rsidRPr="006020CB" w14:paraId="5A2F12E8" w14:textId="77777777" w:rsidTr="004F03F2">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23976A1F" w14:textId="77777777" w:rsidR="004F03F2" w:rsidRPr="004F03F2" w:rsidRDefault="004F03F2" w:rsidP="00535671">
            <w:pPr>
              <w:rPr>
                <w:sz w:val="17"/>
                <w:szCs w:val="17"/>
              </w:rPr>
            </w:pPr>
            <w:r w:rsidRPr="004F03F2">
              <w:rPr>
                <w:sz w:val="17"/>
                <w:szCs w:val="17"/>
              </w:rPr>
              <w:t>Mai 2020</w:t>
            </w:r>
          </w:p>
        </w:tc>
        <w:tc>
          <w:tcPr>
            <w:tcW w:w="2113" w:type="dxa"/>
            <w:tcBorders>
              <w:top w:val="single" w:sz="4" w:space="0" w:color="auto"/>
              <w:left w:val="single" w:sz="4" w:space="0" w:color="auto"/>
              <w:bottom w:val="single" w:sz="4" w:space="0" w:color="auto"/>
              <w:right w:val="single" w:sz="6" w:space="0" w:color="000000"/>
            </w:tcBorders>
          </w:tcPr>
          <w:p w14:paraId="02CEFA10" w14:textId="77777777" w:rsidR="004F03F2" w:rsidRPr="004F03F2" w:rsidRDefault="004F03F2" w:rsidP="00535671">
            <w:pPr>
              <w:jc w:val="center"/>
              <w:rPr>
                <w:sz w:val="17"/>
                <w:szCs w:val="17"/>
              </w:rPr>
            </w:pPr>
            <w:r w:rsidRPr="004F03F2">
              <w:rPr>
                <w:sz w:val="17"/>
                <w:szCs w:val="17"/>
              </w:rPr>
              <w:t>18.05.2020 - Ausg. 1</w:t>
            </w:r>
          </w:p>
        </w:tc>
        <w:tc>
          <w:tcPr>
            <w:tcW w:w="1085" w:type="dxa"/>
            <w:tcBorders>
              <w:top w:val="single" w:sz="4" w:space="0" w:color="auto"/>
              <w:left w:val="single" w:sz="4" w:space="0" w:color="auto"/>
              <w:bottom w:val="single" w:sz="4" w:space="0" w:color="auto"/>
              <w:right w:val="single" w:sz="6" w:space="0" w:color="000000"/>
            </w:tcBorders>
          </w:tcPr>
          <w:p w14:paraId="595BF747" w14:textId="77777777" w:rsidR="004F03F2" w:rsidRPr="004F03F2" w:rsidRDefault="004F03F2" w:rsidP="00535671">
            <w:pPr>
              <w:jc w:val="center"/>
              <w:rPr>
                <w:sz w:val="17"/>
                <w:szCs w:val="17"/>
              </w:rPr>
            </w:pPr>
            <w:r w:rsidRPr="004F03F2">
              <w:rPr>
                <w:sz w:val="17"/>
                <w:szCs w:val="17"/>
              </w:rPr>
              <w:t>-0,436</w:t>
            </w:r>
          </w:p>
        </w:tc>
        <w:tc>
          <w:tcPr>
            <w:tcW w:w="1086" w:type="dxa"/>
            <w:tcBorders>
              <w:top w:val="single" w:sz="4" w:space="0" w:color="auto"/>
              <w:left w:val="single" w:sz="4" w:space="0" w:color="auto"/>
              <w:bottom w:val="single" w:sz="4" w:space="0" w:color="auto"/>
              <w:right w:val="single" w:sz="6" w:space="0" w:color="000000"/>
            </w:tcBorders>
          </w:tcPr>
          <w:p w14:paraId="382A32DE" w14:textId="77777777" w:rsidR="004F03F2" w:rsidRPr="004F03F2" w:rsidRDefault="004F03F2" w:rsidP="00535671">
            <w:pPr>
              <w:jc w:val="center"/>
              <w:rPr>
                <w:sz w:val="17"/>
                <w:szCs w:val="17"/>
              </w:rPr>
            </w:pPr>
            <w:r w:rsidRPr="004F03F2">
              <w:rPr>
                <w:sz w:val="17"/>
                <w:szCs w:val="17"/>
              </w:rPr>
              <w:t>-0,461</w:t>
            </w:r>
          </w:p>
        </w:tc>
        <w:tc>
          <w:tcPr>
            <w:tcW w:w="1085" w:type="dxa"/>
            <w:tcBorders>
              <w:top w:val="single" w:sz="4" w:space="0" w:color="auto"/>
              <w:left w:val="single" w:sz="4" w:space="0" w:color="auto"/>
              <w:bottom w:val="single" w:sz="4" w:space="0" w:color="auto"/>
              <w:right w:val="single" w:sz="6" w:space="0" w:color="000000"/>
            </w:tcBorders>
          </w:tcPr>
          <w:p w14:paraId="45EE317C" w14:textId="77777777" w:rsidR="004F03F2" w:rsidRPr="004F03F2" w:rsidRDefault="004F03F2" w:rsidP="00535671">
            <w:pPr>
              <w:jc w:val="center"/>
              <w:rPr>
                <w:sz w:val="17"/>
                <w:szCs w:val="17"/>
              </w:rPr>
            </w:pPr>
            <w:r w:rsidRPr="004F03F2">
              <w:rPr>
                <w:sz w:val="17"/>
                <w:szCs w:val="17"/>
              </w:rPr>
              <w:t>-0,450</w:t>
            </w:r>
          </w:p>
        </w:tc>
        <w:tc>
          <w:tcPr>
            <w:tcW w:w="1086" w:type="dxa"/>
            <w:tcBorders>
              <w:top w:val="single" w:sz="4" w:space="0" w:color="auto"/>
              <w:left w:val="single" w:sz="4" w:space="0" w:color="auto"/>
              <w:bottom w:val="single" w:sz="4" w:space="0" w:color="auto"/>
              <w:right w:val="single" w:sz="6" w:space="0" w:color="000000"/>
            </w:tcBorders>
          </w:tcPr>
          <w:p w14:paraId="5DED3CC9" w14:textId="77777777" w:rsidR="004F03F2" w:rsidRPr="004F03F2" w:rsidRDefault="004F03F2" w:rsidP="00535671">
            <w:pPr>
              <w:jc w:val="center"/>
              <w:rPr>
                <w:sz w:val="17"/>
                <w:szCs w:val="17"/>
              </w:rPr>
            </w:pPr>
            <w:r w:rsidRPr="004F03F2">
              <w:rPr>
                <w:sz w:val="17"/>
                <w:szCs w:val="17"/>
              </w:rPr>
              <w:t>-0,380</w:t>
            </w:r>
          </w:p>
        </w:tc>
        <w:tc>
          <w:tcPr>
            <w:tcW w:w="1086" w:type="dxa"/>
            <w:tcBorders>
              <w:top w:val="single" w:sz="4" w:space="0" w:color="auto"/>
              <w:left w:val="single" w:sz="4" w:space="0" w:color="auto"/>
              <w:bottom w:val="single" w:sz="4" w:space="0" w:color="auto"/>
              <w:right w:val="single" w:sz="6" w:space="0" w:color="000000"/>
            </w:tcBorders>
          </w:tcPr>
          <w:p w14:paraId="7141C395" w14:textId="77777777" w:rsidR="004F03F2" w:rsidRPr="004F03F2" w:rsidRDefault="004F03F2" w:rsidP="00535671">
            <w:pPr>
              <w:jc w:val="center"/>
              <w:rPr>
                <w:sz w:val="17"/>
                <w:szCs w:val="17"/>
              </w:rPr>
            </w:pPr>
            <w:r w:rsidRPr="004F03F2">
              <w:rPr>
                <w:sz w:val="17"/>
                <w:szCs w:val="17"/>
              </w:rPr>
              <w:t>-0,276</w:t>
            </w:r>
          </w:p>
        </w:tc>
        <w:tc>
          <w:tcPr>
            <w:tcW w:w="1085" w:type="dxa"/>
            <w:tcBorders>
              <w:top w:val="single" w:sz="4" w:space="0" w:color="auto"/>
              <w:left w:val="single" w:sz="4" w:space="0" w:color="auto"/>
              <w:bottom w:val="single" w:sz="4" w:space="0" w:color="auto"/>
              <w:right w:val="single" w:sz="6" w:space="0" w:color="000000"/>
            </w:tcBorders>
          </w:tcPr>
          <w:p w14:paraId="02F91FCC" w14:textId="77777777" w:rsidR="004F03F2" w:rsidRPr="004F03F2" w:rsidRDefault="004F03F2" w:rsidP="00535671">
            <w:pPr>
              <w:jc w:val="center"/>
              <w:rPr>
                <w:sz w:val="17"/>
                <w:szCs w:val="17"/>
              </w:rPr>
            </w:pPr>
            <w:r w:rsidRPr="004F03F2">
              <w:rPr>
                <w:sz w:val="17"/>
                <w:szCs w:val="17"/>
              </w:rPr>
              <w:t>-0,187</w:t>
            </w:r>
          </w:p>
        </w:tc>
        <w:tc>
          <w:tcPr>
            <w:tcW w:w="1086" w:type="dxa"/>
            <w:tcBorders>
              <w:top w:val="single" w:sz="4" w:space="0" w:color="auto"/>
              <w:left w:val="single" w:sz="4" w:space="0" w:color="auto"/>
              <w:bottom w:val="single" w:sz="4" w:space="0" w:color="auto"/>
              <w:right w:val="single" w:sz="6" w:space="0" w:color="000000"/>
            </w:tcBorders>
          </w:tcPr>
          <w:p w14:paraId="2A45818B" w14:textId="77777777" w:rsidR="004F03F2" w:rsidRPr="004F03F2" w:rsidRDefault="004F03F2" w:rsidP="00535671">
            <w:pPr>
              <w:jc w:val="center"/>
              <w:rPr>
                <w:sz w:val="17"/>
                <w:szCs w:val="17"/>
              </w:rPr>
            </w:pPr>
            <w:r w:rsidRPr="004F03F2">
              <w:rPr>
                <w:sz w:val="17"/>
                <w:szCs w:val="17"/>
              </w:rPr>
              <w:t>-0,117</w:t>
            </w:r>
          </w:p>
        </w:tc>
        <w:tc>
          <w:tcPr>
            <w:tcW w:w="1085" w:type="dxa"/>
            <w:tcBorders>
              <w:top w:val="single" w:sz="4" w:space="0" w:color="auto"/>
              <w:left w:val="single" w:sz="4" w:space="0" w:color="auto"/>
              <w:bottom w:val="single" w:sz="4" w:space="0" w:color="auto"/>
              <w:right w:val="single" w:sz="6" w:space="0" w:color="000000"/>
            </w:tcBorders>
          </w:tcPr>
          <w:p w14:paraId="47878053" w14:textId="77777777" w:rsidR="004F03F2" w:rsidRPr="004F03F2" w:rsidRDefault="004F03F2" w:rsidP="00535671">
            <w:pPr>
              <w:jc w:val="center"/>
              <w:rPr>
                <w:sz w:val="17"/>
                <w:szCs w:val="17"/>
              </w:rPr>
            </w:pPr>
            <w:r w:rsidRPr="004F03F2">
              <w:rPr>
                <w:sz w:val="17"/>
                <w:szCs w:val="17"/>
              </w:rPr>
              <w:t>-0,053</w:t>
            </w:r>
          </w:p>
        </w:tc>
        <w:tc>
          <w:tcPr>
            <w:tcW w:w="1086" w:type="dxa"/>
            <w:tcBorders>
              <w:top w:val="single" w:sz="4" w:space="0" w:color="auto"/>
              <w:left w:val="single" w:sz="4" w:space="0" w:color="auto"/>
              <w:bottom w:val="single" w:sz="4" w:space="0" w:color="auto"/>
              <w:right w:val="single" w:sz="6" w:space="0" w:color="000000"/>
            </w:tcBorders>
          </w:tcPr>
          <w:p w14:paraId="3452BDEE" w14:textId="77777777" w:rsidR="004F03F2" w:rsidRPr="004F03F2" w:rsidRDefault="004F03F2" w:rsidP="004F03F2">
            <w:pPr>
              <w:ind w:left="-16"/>
              <w:jc w:val="center"/>
              <w:rPr>
                <w:sz w:val="17"/>
                <w:szCs w:val="17"/>
              </w:rPr>
            </w:pPr>
            <w:r w:rsidRPr="004F03F2">
              <w:rPr>
                <w:sz w:val="17"/>
                <w:szCs w:val="17"/>
              </w:rPr>
              <w:t>0,018</w:t>
            </w:r>
          </w:p>
        </w:tc>
        <w:tc>
          <w:tcPr>
            <w:tcW w:w="1086" w:type="dxa"/>
            <w:tcBorders>
              <w:top w:val="single" w:sz="4" w:space="0" w:color="auto"/>
              <w:left w:val="single" w:sz="4" w:space="0" w:color="auto"/>
              <w:bottom w:val="single" w:sz="4" w:space="0" w:color="auto"/>
              <w:right w:val="single" w:sz="6" w:space="0" w:color="000000"/>
            </w:tcBorders>
          </w:tcPr>
          <w:p w14:paraId="654D1BC4" w14:textId="77777777" w:rsidR="004F03F2" w:rsidRPr="004F03F2" w:rsidRDefault="004F03F2" w:rsidP="00535671">
            <w:pPr>
              <w:jc w:val="center"/>
              <w:rPr>
                <w:sz w:val="17"/>
                <w:szCs w:val="17"/>
              </w:rPr>
            </w:pPr>
            <w:r w:rsidRPr="004F03F2">
              <w:rPr>
                <w:sz w:val="17"/>
                <w:szCs w:val="17"/>
              </w:rPr>
              <w:t>0,091</w:t>
            </w:r>
          </w:p>
        </w:tc>
      </w:tr>
      <w:tr w:rsidR="004F03F2" w:rsidRPr="006020CB" w14:paraId="37C92EA8" w14:textId="77777777" w:rsidTr="004F03F2">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5AF52CEA" w14:textId="77777777" w:rsidR="004F03F2" w:rsidRPr="004F03F2" w:rsidRDefault="004F03F2" w:rsidP="00535671">
            <w:pPr>
              <w:rPr>
                <w:sz w:val="17"/>
                <w:szCs w:val="17"/>
              </w:rPr>
            </w:pPr>
            <w:r w:rsidRPr="004F03F2">
              <w:rPr>
                <w:sz w:val="17"/>
                <w:szCs w:val="17"/>
              </w:rPr>
              <w:t>Juni 2020</w:t>
            </w:r>
          </w:p>
        </w:tc>
        <w:tc>
          <w:tcPr>
            <w:tcW w:w="2113" w:type="dxa"/>
            <w:tcBorders>
              <w:top w:val="single" w:sz="4" w:space="0" w:color="auto"/>
              <w:left w:val="single" w:sz="4" w:space="0" w:color="auto"/>
              <w:bottom w:val="single" w:sz="4" w:space="0" w:color="auto"/>
              <w:right w:val="single" w:sz="6" w:space="0" w:color="000000"/>
            </w:tcBorders>
          </w:tcPr>
          <w:p w14:paraId="0AC8F6A9" w14:textId="77777777" w:rsidR="004F03F2" w:rsidRPr="004F03F2" w:rsidRDefault="004F03F2" w:rsidP="00535671">
            <w:pPr>
              <w:jc w:val="center"/>
              <w:rPr>
                <w:sz w:val="17"/>
                <w:szCs w:val="17"/>
              </w:rPr>
            </w:pPr>
            <w:r w:rsidRPr="004F03F2">
              <w:rPr>
                <w:sz w:val="17"/>
                <w:szCs w:val="17"/>
              </w:rPr>
              <w:t>15.06.2020 - Ausg. 1</w:t>
            </w:r>
          </w:p>
        </w:tc>
        <w:tc>
          <w:tcPr>
            <w:tcW w:w="1085" w:type="dxa"/>
            <w:tcBorders>
              <w:top w:val="single" w:sz="4" w:space="0" w:color="auto"/>
              <w:left w:val="single" w:sz="4" w:space="0" w:color="auto"/>
              <w:bottom w:val="single" w:sz="4" w:space="0" w:color="auto"/>
              <w:right w:val="single" w:sz="6" w:space="0" w:color="000000"/>
            </w:tcBorders>
          </w:tcPr>
          <w:p w14:paraId="5AAB6937" w14:textId="77777777" w:rsidR="004F03F2" w:rsidRPr="004F03F2" w:rsidRDefault="004F03F2" w:rsidP="00535671">
            <w:pPr>
              <w:jc w:val="center"/>
              <w:rPr>
                <w:sz w:val="17"/>
                <w:szCs w:val="17"/>
              </w:rPr>
            </w:pPr>
            <w:r w:rsidRPr="004F03F2">
              <w:rPr>
                <w:sz w:val="17"/>
                <w:szCs w:val="17"/>
              </w:rPr>
              <w:t>-0,497</w:t>
            </w:r>
          </w:p>
        </w:tc>
        <w:tc>
          <w:tcPr>
            <w:tcW w:w="1086" w:type="dxa"/>
            <w:tcBorders>
              <w:top w:val="single" w:sz="4" w:space="0" w:color="auto"/>
              <w:left w:val="single" w:sz="4" w:space="0" w:color="auto"/>
              <w:bottom w:val="single" w:sz="4" w:space="0" w:color="auto"/>
              <w:right w:val="single" w:sz="6" w:space="0" w:color="000000"/>
            </w:tcBorders>
          </w:tcPr>
          <w:p w14:paraId="7CF0492E" w14:textId="77777777" w:rsidR="004F03F2" w:rsidRPr="004F03F2" w:rsidRDefault="004F03F2" w:rsidP="00535671">
            <w:pPr>
              <w:jc w:val="center"/>
              <w:rPr>
                <w:sz w:val="17"/>
                <w:szCs w:val="17"/>
              </w:rPr>
            </w:pPr>
            <w:r w:rsidRPr="004F03F2">
              <w:rPr>
                <w:sz w:val="17"/>
                <w:szCs w:val="17"/>
              </w:rPr>
              <w:t>-0,516</w:t>
            </w:r>
          </w:p>
        </w:tc>
        <w:tc>
          <w:tcPr>
            <w:tcW w:w="1085" w:type="dxa"/>
            <w:tcBorders>
              <w:top w:val="single" w:sz="4" w:space="0" w:color="auto"/>
              <w:left w:val="single" w:sz="4" w:space="0" w:color="auto"/>
              <w:bottom w:val="single" w:sz="4" w:space="0" w:color="auto"/>
              <w:right w:val="single" w:sz="6" w:space="0" w:color="000000"/>
            </w:tcBorders>
          </w:tcPr>
          <w:p w14:paraId="293460A0" w14:textId="77777777" w:rsidR="004F03F2" w:rsidRPr="004F03F2" w:rsidRDefault="004F03F2" w:rsidP="00535671">
            <w:pPr>
              <w:jc w:val="center"/>
              <w:rPr>
                <w:sz w:val="17"/>
                <w:szCs w:val="17"/>
              </w:rPr>
            </w:pPr>
            <w:r w:rsidRPr="004F03F2">
              <w:rPr>
                <w:sz w:val="17"/>
                <w:szCs w:val="17"/>
              </w:rPr>
              <w:t>-0,503</w:t>
            </w:r>
          </w:p>
        </w:tc>
        <w:tc>
          <w:tcPr>
            <w:tcW w:w="1086" w:type="dxa"/>
            <w:tcBorders>
              <w:top w:val="single" w:sz="4" w:space="0" w:color="auto"/>
              <w:left w:val="single" w:sz="4" w:space="0" w:color="auto"/>
              <w:bottom w:val="single" w:sz="4" w:space="0" w:color="auto"/>
              <w:right w:val="single" w:sz="6" w:space="0" w:color="000000"/>
            </w:tcBorders>
          </w:tcPr>
          <w:p w14:paraId="596B97CA" w14:textId="77777777" w:rsidR="004F03F2" w:rsidRPr="004F03F2" w:rsidRDefault="004F03F2" w:rsidP="00535671">
            <w:pPr>
              <w:jc w:val="center"/>
              <w:rPr>
                <w:sz w:val="17"/>
                <w:szCs w:val="17"/>
              </w:rPr>
            </w:pPr>
            <w:r w:rsidRPr="004F03F2">
              <w:rPr>
                <w:sz w:val="17"/>
                <w:szCs w:val="17"/>
              </w:rPr>
              <w:t>-0,435</w:t>
            </w:r>
          </w:p>
        </w:tc>
        <w:tc>
          <w:tcPr>
            <w:tcW w:w="1086" w:type="dxa"/>
            <w:tcBorders>
              <w:top w:val="single" w:sz="4" w:space="0" w:color="auto"/>
              <w:left w:val="single" w:sz="4" w:space="0" w:color="auto"/>
              <w:bottom w:val="single" w:sz="4" w:space="0" w:color="auto"/>
              <w:right w:val="single" w:sz="6" w:space="0" w:color="000000"/>
            </w:tcBorders>
          </w:tcPr>
          <w:p w14:paraId="0FAB0D08" w14:textId="77777777" w:rsidR="004F03F2" w:rsidRPr="004F03F2" w:rsidRDefault="004F03F2" w:rsidP="00535671">
            <w:pPr>
              <w:jc w:val="center"/>
              <w:rPr>
                <w:sz w:val="17"/>
                <w:szCs w:val="17"/>
              </w:rPr>
            </w:pPr>
            <w:r w:rsidRPr="004F03F2">
              <w:rPr>
                <w:sz w:val="17"/>
                <w:szCs w:val="17"/>
              </w:rPr>
              <w:t>-0,339</w:t>
            </w:r>
          </w:p>
        </w:tc>
        <w:tc>
          <w:tcPr>
            <w:tcW w:w="1085" w:type="dxa"/>
            <w:tcBorders>
              <w:top w:val="single" w:sz="4" w:space="0" w:color="auto"/>
              <w:left w:val="single" w:sz="4" w:space="0" w:color="auto"/>
              <w:bottom w:val="single" w:sz="4" w:space="0" w:color="auto"/>
              <w:right w:val="single" w:sz="6" w:space="0" w:color="000000"/>
            </w:tcBorders>
          </w:tcPr>
          <w:p w14:paraId="301FADEB" w14:textId="77777777" w:rsidR="004F03F2" w:rsidRPr="004F03F2" w:rsidRDefault="004F03F2" w:rsidP="00535671">
            <w:pPr>
              <w:jc w:val="center"/>
              <w:rPr>
                <w:sz w:val="17"/>
                <w:szCs w:val="17"/>
              </w:rPr>
            </w:pPr>
            <w:r w:rsidRPr="004F03F2">
              <w:rPr>
                <w:sz w:val="17"/>
                <w:szCs w:val="17"/>
              </w:rPr>
              <w:t>-0,255</w:t>
            </w:r>
          </w:p>
        </w:tc>
        <w:tc>
          <w:tcPr>
            <w:tcW w:w="1086" w:type="dxa"/>
            <w:tcBorders>
              <w:top w:val="single" w:sz="4" w:space="0" w:color="auto"/>
              <w:left w:val="single" w:sz="4" w:space="0" w:color="auto"/>
              <w:bottom w:val="single" w:sz="4" w:space="0" w:color="auto"/>
              <w:right w:val="single" w:sz="6" w:space="0" w:color="000000"/>
            </w:tcBorders>
          </w:tcPr>
          <w:p w14:paraId="4A5FEB2F" w14:textId="77777777" w:rsidR="004F03F2" w:rsidRPr="004F03F2" w:rsidRDefault="004F03F2" w:rsidP="00535671">
            <w:pPr>
              <w:jc w:val="center"/>
              <w:rPr>
                <w:sz w:val="17"/>
                <w:szCs w:val="17"/>
              </w:rPr>
            </w:pPr>
            <w:r w:rsidRPr="004F03F2">
              <w:rPr>
                <w:sz w:val="17"/>
                <w:szCs w:val="17"/>
              </w:rPr>
              <w:t>-0,181</w:t>
            </w:r>
          </w:p>
        </w:tc>
        <w:tc>
          <w:tcPr>
            <w:tcW w:w="1085" w:type="dxa"/>
            <w:tcBorders>
              <w:top w:val="single" w:sz="4" w:space="0" w:color="auto"/>
              <w:left w:val="single" w:sz="4" w:space="0" w:color="auto"/>
              <w:bottom w:val="single" w:sz="4" w:space="0" w:color="auto"/>
              <w:right w:val="single" w:sz="6" w:space="0" w:color="000000"/>
            </w:tcBorders>
          </w:tcPr>
          <w:p w14:paraId="5CCE499B" w14:textId="77777777" w:rsidR="004F03F2" w:rsidRPr="004F03F2" w:rsidRDefault="004F03F2" w:rsidP="00535671">
            <w:pPr>
              <w:jc w:val="center"/>
              <w:rPr>
                <w:sz w:val="17"/>
                <w:szCs w:val="17"/>
              </w:rPr>
            </w:pPr>
            <w:r w:rsidRPr="004F03F2">
              <w:rPr>
                <w:sz w:val="17"/>
                <w:szCs w:val="17"/>
              </w:rPr>
              <w:t>-0,113</w:t>
            </w:r>
          </w:p>
        </w:tc>
        <w:tc>
          <w:tcPr>
            <w:tcW w:w="1086" w:type="dxa"/>
            <w:tcBorders>
              <w:top w:val="single" w:sz="4" w:space="0" w:color="auto"/>
              <w:left w:val="single" w:sz="4" w:space="0" w:color="auto"/>
              <w:bottom w:val="single" w:sz="4" w:space="0" w:color="auto"/>
              <w:right w:val="single" w:sz="6" w:space="0" w:color="000000"/>
            </w:tcBorders>
          </w:tcPr>
          <w:p w14:paraId="70EAAFD9" w14:textId="77777777" w:rsidR="004F03F2" w:rsidRPr="004F03F2" w:rsidRDefault="004F03F2" w:rsidP="004F03F2">
            <w:pPr>
              <w:ind w:left="-16"/>
              <w:jc w:val="center"/>
              <w:rPr>
                <w:sz w:val="17"/>
                <w:szCs w:val="17"/>
              </w:rPr>
            </w:pPr>
            <w:r w:rsidRPr="004F03F2">
              <w:rPr>
                <w:sz w:val="17"/>
                <w:szCs w:val="17"/>
              </w:rPr>
              <w:t>-0,040</w:t>
            </w:r>
          </w:p>
        </w:tc>
        <w:tc>
          <w:tcPr>
            <w:tcW w:w="1086" w:type="dxa"/>
            <w:tcBorders>
              <w:top w:val="single" w:sz="4" w:space="0" w:color="auto"/>
              <w:left w:val="single" w:sz="4" w:space="0" w:color="auto"/>
              <w:bottom w:val="single" w:sz="4" w:space="0" w:color="auto"/>
              <w:right w:val="single" w:sz="6" w:space="0" w:color="000000"/>
            </w:tcBorders>
          </w:tcPr>
          <w:p w14:paraId="7669114A" w14:textId="77777777" w:rsidR="004F03F2" w:rsidRPr="004F03F2" w:rsidRDefault="004F03F2" w:rsidP="00535671">
            <w:pPr>
              <w:jc w:val="center"/>
              <w:rPr>
                <w:sz w:val="17"/>
                <w:szCs w:val="17"/>
              </w:rPr>
            </w:pPr>
            <w:r w:rsidRPr="004F03F2">
              <w:rPr>
                <w:sz w:val="17"/>
                <w:szCs w:val="17"/>
              </w:rPr>
              <w:t>0,033</w:t>
            </w:r>
          </w:p>
        </w:tc>
      </w:tr>
      <w:tr w:rsidR="004F03F2" w:rsidRPr="006020CB" w14:paraId="540CF83A" w14:textId="77777777" w:rsidTr="004F03F2">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3C0FB6BA" w14:textId="77777777" w:rsidR="004F03F2" w:rsidRPr="004F03F2" w:rsidRDefault="004F03F2" w:rsidP="00535671">
            <w:pPr>
              <w:rPr>
                <w:sz w:val="17"/>
                <w:szCs w:val="17"/>
              </w:rPr>
            </w:pPr>
            <w:r w:rsidRPr="004F03F2">
              <w:rPr>
                <w:sz w:val="17"/>
                <w:szCs w:val="17"/>
              </w:rPr>
              <w:t>Juli 2020</w:t>
            </w:r>
          </w:p>
        </w:tc>
        <w:tc>
          <w:tcPr>
            <w:tcW w:w="2113" w:type="dxa"/>
            <w:tcBorders>
              <w:top w:val="single" w:sz="4" w:space="0" w:color="auto"/>
              <w:left w:val="single" w:sz="4" w:space="0" w:color="auto"/>
              <w:bottom w:val="single" w:sz="4" w:space="0" w:color="auto"/>
              <w:right w:val="single" w:sz="6" w:space="0" w:color="000000"/>
            </w:tcBorders>
          </w:tcPr>
          <w:p w14:paraId="41E1D34A" w14:textId="77777777" w:rsidR="004F03F2" w:rsidRPr="004F03F2" w:rsidRDefault="004F03F2" w:rsidP="00535671">
            <w:pPr>
              <w:jc w:val="center"/>
              <w:rPr>
                <w:sz w:val="17"/>
                <w:szCs w:val="17"/>
              </w:rPr>
            </w:pPr>
            <w:r w:rsidRPr="004F03F2">
              <w:rPr>
                <w:sz w:val="17"/>
                <w:szCs w:val="17"/>
              </w:rPr>
              <w:t>17.07.2020 - Ausg. 1</w:t>
            </w:r>
          </w:p>
        </w:tc>
        <w:tc>
          <w:tcPr>
            <w:tcW w:w="1085" w:type="dxa"/>
            <w:tcBorders>
              <w:top w:val="single" w:sz="4" w:space="0" w:color="auto"/>
              <w:left w:val="single" w:sz="4" w:space="0" w:color="auto"/>
              <w:bottom w:val="single" w:sz="4" w:space="0" w:color="auto"/>
              <w:right w:val="single" w:sz="6" w:space="0" w:color="000000"/>
            </w:tcBorders>
          </w:tcPr>
          <w:p w14:paraId="0F738FEF" w14:textId="77777777" w:rsidR="004F03F2" w:rsidRPr="004F03F2" w:rsidRDefault="004F03F2" w:rsidP="00535671">
            <w:pPr>
              <w:jc w:val="center"/>
              <w:rPr>
                <w:sz w:val="17"/>
                <w:szCs w:val="17"/>
              </w:rPr>
            </w:pPr>
            <w:r w:rsidRPr="004F03F2">
              <w:rPr>
                <w:sz w:val="17"/>
                <w:szCs w:val="17"/>
              </w:rPr>
              <w:t>-0,526</w:t>
            </w:r>
          </w:p>
        </w:tc>
        <w:tc>
          <w:tcPr>
            <w:tcW w:w="1086" w:type="dxa"/>
            <w:tcBorders>
              <w:top w:val="single" w:sz="4" w:space="0" w:color="auto"/>
              <w:left w:val="single" w:sz="4" w:space="0" w:color="auto"/>
              <w:bottom w:val="single" w:sz="4" w:space="0" w:color="auto"/>
              <w:right w:val="single" w:sz="6" w:space="0" w:color="000000"/>
            </w:tcBorders>
          </w:tcPr>
          <w:p w14:paraId="5F657354" w14:textId="77777777" w:rsidR="004F03F2" w:rsidRPr="004F03F2" w:rsidRDefault="004F03F2" w:rsidP="00535671">
            <w:pPr>
              <w:jc w:val="center"/>
              <w:rPr>
                <w:sz w:val="17"/>
                <w:szCs w:val="17"/>
              </w:rPr>
            </w:pPr>
            <w:r w:rsidRPr="004F03F2">
              <w:rPr>
                <w:sz w:val="17"/>
                <w:szCs w:val="17"/>
              </w:rPr>
              <w:t>-0,567</w:t>
            </w:r>
          </w:p>
        </w:tc>
        <w:tc>
          <w:tcPr>
            <w:tcW w:w="1085" w:type="dxa"/>
            <w:tcBorders>
              <w:top w:val="single" w:sz="4" w:space="0" w:color="auto"/>
              <w:left w:val="single" w:sz="4" w:space="0" w:color="auto"/>
              <w:bottom w:val="single" w:sz="4" w:space="0" w:color="auto"/>
              <w:right w:val="single" w:sz="6" w:space="0" w:color="000000"/>
            </w:tcBorders>
          </w:tcPr>
          <w:p w14:paraId="52063D7F" w14:textId="77777777" w:rsidR="004F03F2" w:rsidRPr="004F03F2" w:rsidRDefault="004F03F2" w:rsidP="00535671">
            <w:pPr>
              <w:jc w:val="center"/>
              <w:rPr>
                <w:sz w:val="17"/>
                <w:szCs w:val="17"/>
              </w:rPr>
            </w:pPr>
            <w:r w:rsidRPr="004F03F2">
              <w:rPr>
                <w:sz w:val="17"/>
                <w:szCs w:val="17"/>
              </w:rPr>
              <w:t>-0,575</w:t>
            </w:r>
          </w:p>
        </w:tc>
        <w:tc>
          <w:tcPr>
            <w:tcW w:w="1086" w:type="dxa"/>
            <w:tcBorders>
              <w:top w:val="single" w:sz="4" w:space="0" w:color="auto"/>
              <w:left w:val="single" w:sz="4" w:space="0" w:color="auto"/>
              <w:bottom w:val="single" w:sz="4" w:space="0" w:color="auto"/>
              <w:right w:val="single" w:sz="6" w:space="0" w:color="000000"/>
            </w:tcBorders>
          </w:tcPr>
          <w:p w14:paraId="54722520" w14:textId="77777777" w:rsidR="004F03F2" w:rsidRPr="004F03F2" w:rsidRDefault="004F03F2" w:rsidP="00535671">
            <w:pPr>
              <w:jc w:val="center"/>
              <w:rPr>
                <w:sz w:val="17"/>
                <w:szCs w:val="17"/>
              </w:rPr>
            </w:pPr>
            <w:r w:rsidRPr="004F03F2">
              <w:rPr>
                <w:sz w:val="17"/>
                <w:szCs w:val="17"/>
              </w:rPr>
              <w:t>-0,529</w:t>
            </w:r>
          </w:p>
        </w:tc>
        <w:tc>
          <w:tcPr>
            <w:tcW w:w="1086" w:type="dxa"/>
            <w:tcBorders>
              <w:top w:val="single" w:sz="4" w:space="0" w:color="auto"/>
              <w:left w:val="single" w:sz="4" w:space="0" w:color="auto"/>
              <w:bottom w:val="single" w:sz="4" w:space="0" w:color="auto"/>
              <w:right w:val="single" w:sz="6" w:space="0" w:color="000000"/>
            </w:tcBorders>
          </w:tcPr>
          <w:p w14:paraId="3A071D5C" w14:textId="77777777" w:rsidR="004F03F2" w:rsidRPr="004F03F2" w:rsidRDefault="004F03F2" w:rsidP="00535671">
            <w:pPr>
              <w:jc w:val="center"/>
              <w:rPr>
                <w:sz w:val="17"/>
                <w:szCs w:val="17"/>
              </w:rPr>
            </w:pPr>
            <w:r w:rsidRPr="004F03F2">
              <w:rPr>
                <w:sz w:val="17"/>
                <w:szCs w:val="17"/>
              </w:rPr>
              <w:t>-0,455</w:t>
            </w:r>
          </w:p>
        </w:tc>
        <w:tc>
          <w:tcPr>
            <w:tcW w:w="1085" w:type="dxa"/>
            <w:tcBorders>
              <w:top w:val="single" w:sz="4" w:space="0" w:color="auto"/>
              <w:left w:val="single" w:sz="4" w:space="0" w:color="auto"/>
              <w:bottom w:val="single" w:sz="4" w:space="0" w:color="auto"/>
              <w:right w:val="single" w:sz="6" w:space="0" w:color="000000"/>
            </w:tcBorders>
          </w:tcPr>
          <w:p w14:paraId="3DFE1901" w14:textId="77777777" w:rsidR="004F03F2" w:rsidRPr="004F03F2" w:rsidRDefault="004F03F2" w:rsidP="00535671">
            <w:pPr>
              <w:jc w:val="center"/>
              <w:rPr>
                <w:sz w:val="17"/>
                <w:szCs w:val="17"/>
              </w:rPr>
            </w:pPr>
            <w:r w:rsidRPr="004F03F2">
              <w:rPr>
                <w:sz w:val="17"/>
                <w:szCs w:val="17"/>
              </w:rPr>
              <w:t>-0,383</w:t>
            </w:r>
          </w:p>
        </w:tc>
        <w:tc>
          <w:tcPr>
            <w:tcW w:w="1086" w:type="dxa"/>
            <w:tcBorders>
              <w:top w:val="single" w:sz="4" w:space="0" w:color="auto"/>
              <w:left w:val="single" w:sz="4" w:space="0" w:color="auto"/>
              <w:bottom w:val="single" w:sz="4" w:space="0" w:color="auto"/>
              <w:right w:val="single" w:sz="6" w:space="0" w:color="000000"/>
            </w:tcBorders>
          </w:tcPr>
          <w:p w14:paraId="5812193F" w14:textId="77777777" w:rsidR="004F03F2" w:rsidRPr="004F03F2" w:rsidRDefault="004F03F2" w:rsidP="00535671">
            <w:pPr>
              <w:jc w:val="center"/>
              <w:rPr>
                <w:sz w:val="17"/>
                <w:szCs w:val="17"/>
              </w:rPr>
            </w:pPr>
            <w:r w:rsidRPr="004F03F2">
              <w:rPr>
                <w:sz w:val="17"/>
                <w:szCs w:val="17"/>
              </w:rPr>
              <w:t>-0,312</w:t>
            </w:r>
          </w:p>
        </w:tc>
        <w:tc>
          <w:tcPr>
            <w:tcW w:w="1085" w:type="dxa"/>
            <w:tcBorders>
              <w:top w:val="single" w:sz="4" w:space="0" w:color="auto"/>
              <w:left w:val="single" w:sz="4" w:space="0" w:color="auto"/>
              <w:bottom w:val="single" w:sz="4" w:space="0" w:color="auto"/>
              <w:right w:val="single" w:sz="6" w:space="0" w:color="000000"/>
            </w:tcBorders>
          </w:tcPr>
          <w:p w14:paraId="495F7694" w14:textId="77777777" w:rsidR="004F03F2" w:rsidRPr="004F03F2" w:rsidRDefault="004F03F2" w:rsidP="00535671">
            <w:pPr>
              <w:jc w:val="center"/>
              <w:rPr>
                <w:sz w:val="17"/>
                <w:szCs w:val="17"/>
              </w:rPr>
            </w:pPr>
            <w:r w:rsidRPr="004F03F2">
              <w:rPr>
                <w:sz w:val="17"/>
                <w:szCs w:val="17"/>
              </w:rPr>
              <w:t>-0,241</w:t>
            </w:r>
          </w:p>
        </w:tc>
        <w:tc>
          <w:tcPr>
            <w:tcW w:w="1086" w:type="dxa"/>
            <w:tcBorders>
              <w:top w:val="single" w:sz="4" w:space="0" w:color="auto"/>
              <w:left w:val="single" w:sz="4" w:space="0" w:color="auto"/>
              <w:bottom w:val="single" w:sz="4" w:space="0" w:color="auto"/>
              <w:right w:val="single" w:sz="6" w:space="0" w:color="000000"/>
            </w:tcBorders>
          </w:tcPr>
          <w:p w14:paraId="6E54ECCC" w14:textId="77777777" w:rsidR="004F03F2" w:rsidRPr="004F03F2" w:rsidRDefault="004F03F2" w:rsidP="004F03F2">
            <w:pPr>
              <w:ind w:left="-16"/>
              <w:jc w:val="center"/>
              <w:rPr>
                <w:sz w:val="17"/>
                <w:szCs w:val="17"/>
              </w:rPr>
            </w:pPr>
            <w:r w:rsidRPr="004F03F2">
              <w:rPr>
                <w:sz w:val="17"/>
                <w:szCs w:val="17"/>
              </w:rPr>
              <w:t>-0,168</w:t>
            </w:r>
          </w:p>
        </w:tc>
        <w:tc>
          <w:tcPr>
            <w:tcW w:w="1086" w:type="dxa"/>
            <w:tcBorders>
              <w:top w:val="single" w:sz="4" w:space="0" w:color="auto"/>
              <w:left w:val="single" w:sz="4" w:space="0" w:color="auto"/>
              <w:bottom w:val="single" w:sz="4" w:space="0" w:color="auto"/>
              <w:right w:val="single" w:sz="6" w:space="0" w:color="000000"/>
            </w:tcBorders>
          </w:tcPr>
          <w:p w14:paraId="4B0D3091" w14:textId="77777777" w:rsidR="004F03F2" w:rsidRPr="004F03F2" w:rsidRDefault="004F03F2" w:rsidP="00535671">
            <w:pPr>
              <w:jc w:val="center"/>
              <w:rPr>
                <w:sz w:val="17"/>
                <w:szCs w:val="17"/>
              </w:rPr>
            </w:pPr>
            <w:r w:rsidRPr="004F03F2">
              <w:rPr>
                <w:sz w:val="17"/>
                <w:szCs w:val="17"/>
              </w:rPr>
              <w:t>-0,096</w:t>
            </w:r>
          </w:p>
        </w:tc>
      </w:tr>
      <w:tr w:rsidR="004F03F2" w:rsidRPr="006020CB" w14:paraId="7DA0F59C" w14:textId="77777777" w:rsidTr="004F03F2">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109BA2D6" w14:textId="77777777" w:rsidR="004F03F2" w:rsidRPr="004F03F2" w:rsidRDefault="004F03F2" w:rsidP="00535671">
            <w:pPr>
              <w:rPr>
                <w:sz w:val="17"/>
                <w:szCs w:val="17"/>
              </w:rPr>
            </w:pPr>
            <w:r w:rsidRPr="004F03F2">
              <w:rPr>
                <w:sz w:val="17"/>
                <w:szCs w:val="17"/>
              </w:rPr>
              <w:t>August 2020</w:t>
            </w:r>
          </w:p>
        </w:tc>
        <w:tc>
          <w:tcPr>
            <w:tcW w:w="2113" w:type="dxa"/>
            <w:tcBorders>
              <w:top w:val="single" w:sz="4" w:space="0" w:color="auto"/>
              <w:left w:val="single" w:sz="4" w:space="0" w:color="auto"/>
              <w:bottom w:val="single" w:sz="4" w:space="0" w:color="auto"/>
              <w:right w:val="single" w:sz="6" w:space="0" w:color="000000"/>
            </w:tcBorders>
          </w:tcPr>
          <w:p w14:paraId="3DC2B672" w14:textId="77777777" w:rsidR="004F03F2" w:rsidRPr="004F03F2" w:rsidRDefault="004F03F2" w:rsidP="00535671">
            <w:pPr>
              <w:jc w:val="center"/>
              <w:rPr>
                <w:sz w:val="17"/>
                <w:szCs w:val="17"/>
              </w:rPr>
            </w:pPr>
            <w:r w:rsidRPr="004F03F2">
              <w:rPr>
                <w:sz w:val="17"/>
                <w:szCs w:val="17"/>
              </w:rPr>
              <w:t>13.08.2020 - Ausg. 1</w:t>
            </w:r>
          </w:p>
        </w:tc>
        <w:tc>
          <w:tcPr>
            <w:tcW w:w="1085" w:type="dxa"/>
            <w:tcBorders>
              <w:top w:val="single" w:sz="4" w:space="0" w:color="auto"/>
              <w:left w:val="single" w:sz="4" w:space="0" w:color="auto"/>
              <w:bottom w:val="single" w:sz="4" w:space="0" w:color="auto"/>
              <w:right w:val="single" w:sz="6" w:space="0" w:color="000000"/>
            </w:tcBorders>
          </w:tcPr>
          <w:p w14:paraId="71DE10EC" w14:textId="77777777" w:rsidR="004F03F2" w:rsidRPr="004F03F2" w:rsidRDefault="004F03F2" w:rsidP="00535671">
            <w:pPr>
              <w:jc w:val="center"/>
              <w:rPr>
                <w:sz w:val="17"/>
                <w:szCs w:val="17"/>
              </w:rPr>
            </w:pPr>
            <w:r w:rsidRPr="004F03F2">
              <w:rPr>
                <w:sz w:val="17"/>
                <w:szCs w:val="17"/>
              </w:rPr>
              <w:t>-0,563</w:t>
            </w:r>
          </w:p>
        </w:tc>
        <w:tc>
          <w:tcPr>
            <w:tcW w:w="1086" w:type="dxa"/>
            <w:tcBorders>
              <w:top w:val="single" w:sz="4" w:space="0" w:color="auto"/>
              <w:left w:val="single" w:sz="4" w:space="0" w:color="auto"/>
              <w:bottom w:val="single" w:sz="4" w:space="0" w:color="auto"/>
              <w:right w:val="single" w:sz="6" w:space="0" w:color="000000"/>
            </w:tcBorders>
          </w:tcPr>
          <w:p w14:paraId="6F3C21F2" w14:textId="77777777" w:rsidR="004F03F2" w:rsidRPr="004F03F2" w:rsidRDefault="004F03F2" w:rsidP="00535671">
            <w:pPr>
              <w:jc w:val="center"/>
              <w:rPr>
                <w:sz w:val="17"/>
                <w:szCs w:val="17"/>
              </w:rPr>
            </w:pPr>
            <w:r w:rsidRPr="004F03F2">
              <w:rPr>
                <w:sz w:val="17"/>
                <w:szCs w:val="17"/>
              </w:rPr>
              <w:t>-0,608</w:t>
            </w:r>
          </w:p>
        </w:tc>
        <w:tc>
          <w:tcPr>
            <w:tcW w:w="1085" w:type="dxa"/>
            <w:tcBorders>
              <w:top w:val="single" w:sz="4" w:space="0" w:color="auto"/>
              <w:left w:val="single" w:sz="4" w:space="0" w:color="auto"/>
              <w:bottom w:val="single" w:sz="4" w:space="0" w:color="auto"/>
              <w:right w:val="single" w:sz="6" w:space="0" w:color="000000"/>
            </w:tcBorders>
          </w:tcPr>
          <w:p w14:paraId="70EF36A0" w14:textId="77777777" w:rsidR="004F03F2" w:rsidRPr="004F03F2" w:rsidRDefault="004F03F2" w:rsidP="00535671">
            <w:pPr>
              <w:jc w:val="center"/>
              <w:rPr>
                <w:sz w:val="17"/>
                <w:szCs w:val="17"/>
              </w:rPr>
            </w:pPr>
            <w:r w:rsidRPr="004F03F2">
              <w:rPr>
                <w:sz w:val="17"/>
                <w:szCs w:val="17"/>
              </w:rPr>
              <w:t>-0,622</w:t>
            </w:r>
          </w:p>
        </w:tc>
        <w:tc>
          <w:tcPr>
            <w:tcW w:w="1086" w:type="dxa"/>
            <w:tcBorders>
              <w:top w:val="single" w:sz="4" w:space="0" w:color="auto"/>
              <w:left w:val="single" w:sz="4" w:space="0" w:color="auto"/>
              <w:bottom w:val="single" w:sz="4" w:space="0" w:color="auto"/>
              <w:right w:val="single" w:sz="6" w:space="0" w:color="000000"/>
            </w:tcBorders>
          </w:tcPr>
          <w:p w14:paraId="240F7FC1" w14:textId="77777777" w:rsidR="004F03F2" w:rsidRPr="004F03F2" w:rsidRDefault="004F03F2" w:rsidP="00535671">
            <w:pPr>
              <w:jc w:val="center"/>
              <w:rPr>
                <w:sz w:val="17"/>
                <w:szCs w:val="17"/>
              </w:rPr>
            </w:pPr>
            <w:r w:rsidRPr="004F03F2">
              <w:rPr>
                <w:sz w:val="17"/>
                <w:szCs w:val="17"/>
              </w:rPr>
              <w:t>-0,589</w:t>
            </w:r>
          </w:p>
        </w:tc>
        <w:tc>
          <w:tcPr>
            <w:tcW w:w="1086" w:type="dxa"/>
            <w:tcBorders>
              <w:top w:val="single" w:sz="4" w:space="0" w:color="auto"/>
              <w:left w:val="single" w:sz="4" w:space="0" w:color="auto"/>
              <w:bottom w:val="single" w:sz="4" w:space="0" w:color="auto"/>
              <w:right w:val="single" w:sz="6" w:space="0" w:color="000000"/>
            </w:tcBorders>
          </w:tcPr>
          <w:p w14:paraId="01A4CAAF" w14:textId="77777777" w:rsidR="004F03F2" w:rsidRPr="004F03F2" w:rsidRDefault="004F03F2" w:rsidP="00535671">
            <w:pPr>
              <w:jc w:val="center"/>
              <w:rPr>
                <w:sz w:val="17"/>
                <w:szCs w:val="17"/>
              </w:rPr>
            </w:pPr>
            <w:r w:rsidRPr="004F03F2">
              <w:rPr>
                <w:sz w:val="17"/>
                <w:szCs w:val="17"/>
              </w:rPr>
              <w:t>-0,531</w:t>
            </w:r>
          </w:p>
        </w:tc>
        <w:tc>
          <w:tcPr>
            <w:tcW w:w="1085" w:type="dxa"/>
            <w:tcBorders>
              <w:top w:val="single" w:sz="4" w:space="0" w:color="auto"/>
              <w:left w:val="single" w:sz="4" w:space="0" w:color="auto"/>
              <w:bottom w:val="single" w:sz="4" w:space="0" w:color="auto"/>
              <w:right w:val="single" w:sz="6" w:space="0" w:color="000000"/>
            </w:tcBorders>
          </w:tcPr>
          <w:p w14:paraId="2A005E90" w14:textId="77777777" w:rsidR="004F03F2" w:rsidRPr="004F03F2" w:rsidRDefault="004F03F2" w:rsidP="00535671">
            <w:pPr>
              <w:jc w:val="center"/>
              <w:rPr>
                <w:sz w:val="17"/>
                <w:szCs w:val="17"/>
              </w:rPr>
            </w:pPr>
            <w:r w:rsidRPr="004F03F2">
              <w:rPr>
                <w:sz w:val="17"/>
                <w:szCs w:val="17"/>
              </w:rPr>
              <w:t>-0,468</w:t>
            </w:r>
          </w:p>
        </w:tc>
        <w:tc>
          <w:tcPr>
            <w:tcW w:w="1086" w:type="dxa"/>
            <w:tcBorders>
              <w:top w:val="single" w:sz="4" w:space="0" w:color="auto"/>
              <w:left w:val="single" w:sz="4" w:space="0" w:color="auto"/>
              <w:bottom w:val="single" w:sz="4" w:space="0" w:color="auto"/>
              <w:right w:val="single" w:sz="6" w:space="0" w:color="000000"/>
            </w:tcBorders>
          </w:tcPr>
          <w:p w14:paraId="6B387C9F" w14:textId="77777777" w:rsidR="004F03F2" w:rsidRPr="004F03F2" w:rsidRDefault="004F03F2" w:rsidP="00535671">
            <w:pPr>
              <w:jc w:val="center"/>
              <w:rPr>
                <w:sz w:val="17"/>
                <w:szCs w:val="17"/>
              </w:rPr>
            </w:pPr>
            <w:r w:rsidRPr="004F03F2">
              <w:rPr>
                <w:sz w:val="17"/>
                <w:szCs w:val="17"/>
              </w:rPr>
              <w:t>-0,402</w:t>
            </w:r>
          </w:p>
        </w:tc>
        <w:tc>
          <w:tcPr>
            <w:tcW w:w="1085" w:type="dxa"/>
            <w:tcBorders>
              <w:top w:val="single" w:sz="4" w:space="0" w:color="auto"/>
              <w:left w:val="single" w:sz="4" w:space="0" w:color="auto"/>
              <w:bottom w:val="single" w:sz="4" w:space="0" w:color="auto"/>
              <w:right w:val="single" w:sz="6" w:space="0" w:color="000000"/>
            </w:tcBorders>
          </w:tcPr>
          <w:p w14:paraId="7111E1F2" w14:textId="77777777" w:rsidR="004F03F2" w:rsidRPr="004F03F2" w:rsidRDefault="004F03F2" w:rsidP="00535671">
            <w:pPr>
              <w:jc w:val="center"/>
              <w:rPr>
                <w:sz w:val="17"/>
                <w:szCs w:val="17"/>
              </w:rPr>
            </w:pPr>
            <w:r w:rsidRPr="004F03F2">
              <w:rPr>
                <w:sz w:val="17"/>
                <w:szCs w:val="17"/>
              </w:rPr>
              <w:t>-0,335</w:t>
            </w:r>
          </w:p>
        </w:tc>
        <w:tc>
          <w:tcPr>
            <w:tcW w:w="1086" w:type="dxa"/>
            <w:tcBorders>
              <w:top w:val="single" w:sz="4" w:space="0" w:color="auto"/>
              <w:left w:val="single" w:sz="4" w:space="0" w:color="auto"/>
              <w:bottom w:val="single" w:sz="4" w:space="0" w:color="auto"/>
              <w:right w:val="single" w:sz="6" w:space="0" w:color="000000"/>
            </w:tcBorders>
          </w:tcPr>
          <w:p w14:paraId="56160503" w14:textId="77777777" w:rsidR="004F03F2" w:rsidRPr="004F03F2" w:rsidRDefault="004F03F2" w:rsidP="004F03F2">
            <w:pPr>
              <w:ind w:left="-16"/>
              <w:jc w:val="center"/>
              <w:rPr>
                <w:sz w:val="17"/>
                <w:szCs w:val="17"/>
              </w:rPr>
            </w:pPr>
            <w:r w:rsidRPr="004F03F2">
              <w:rPr>
                <w:sz w:val="17"/>
                <w:szCs w:val="17"/>
              </w:rPr>
              <w:t>-0,264</w:t>
            </w:r>
          </w:p>
        </w:tc>
        <w:tc>
          <w:tcPr>
            <w:tcW w:w="1086" w:type="dxa"/>
            <w:tcBorders>
              <w:top w:val="single" w:sz="4" w:space="0" w:color="auto"/>
              <w:left w:val="single" w:sz="4" w:space="0" w:color="auto"/>
              <w:bottom w:val="single" w:sz="4" w:space="0" w:color="auto"/>
              <w:right w:val="single" w:sz="6" w:space="0" w:color="000000"/>
            </w:tcBorders>
          </w:tcPr>
          <w:p w14:paraId="25CB26EC" w14:textId="77777777" w:rsidR="004F03F2" w:rsidRPr="004F03F2" w:rsidRDefault="004F03F2" w:rsidP="00535671">
            <w:pPr>
              <w:jc w:val="center"/>
              <w:rPr>
                <w:sz w:val="17"/>
                <w:szCs w:val="17"/>
              </w:rPr>
            </w:pPr>
            <w:r w:rsidRPr="004F03F2">
              <w:rPr>
                <w:sz w:val="17"/>
                <w:szCs w:val="17"/>
              </w:rPr>
              <w:t>-0,198</w:t>
            </w:r>
          </w:p>
        </w:tc>
      </w:tr>
      <w:tr w:rsidR="004F03F2" w:rsidRPr="006020CB" w14:paraId="5F2B04EB" w14:textId="77777777" w:rsidTr="004F03F2">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22FB659F" w14:textId="77777777" w:rsidR="004F03F2" w:rsidRPr="004F03F2" w:rsidRDefault="004F03F2" w:rsidP="00535671">
            <w:pPr>
              <w:rPr>
                <w:sz w:val="17"/>
                <w:szCs w:val="17"/>
              </w:rPr>
            </w:pPr>
            <w:r w:rsidRPr="004F03F2">
              <w:rPr>
                <w:sz w:val="17"/>
                <w:szCs w:val="17"/>
              </w:rPr>
              <w:t>September 2020</w:t>
            </w:r>
          </w:p>
        </w:tc>
        <w:tc>
          <w:tcPr>
            <w:tcW w:w="2113" w:type="dxa"/>
            <w:tcBorders>
              <w:top w:val="single" w:sz="4" w:space="0" w:color="auto"/>
              <w:left w:val="single" w:sz="4" w:space="0" w:color="auto"/>
              <w:bottom w:val="single" w:sz="4" w:space="0" w:color="auto"/>
              <w:right w:val="single" w:sz="6" w:space="0" w:color="000000"/>
            </w:tcBorders>
          </w:tcPr>
          <w:p w14:paraId="217659A8" w14:textId="77777777" w:rsidR="004F03F2" w:rsidRPr="004F03F2" w:rsidRDefault="004F03F2" w:rsidP="00535671">
            <w:pPr>
              <w:jc w:val="center"/>
              <w:rPr>
                <w:sz w:val="17"/>
                <w:szCs w:val="17"/>
              </w:rPr>
            </w:pPr>
            <w:r w:rsidRPr="004F03F2">
              <w:rPr>
                <w:sz w:val="17"/>
                <w:szCs w:val="17"/>
              </w:rPr>
              <w:t>17.09.2020 - Ausg. 1</w:t>
            </w:r>
          </w:p>
        </w:tc>
        <w:tc>
          <w:tcPr>
            <w:tcW w:w="1085" w:type="dxa"/>
            <w:tcBorders>
              <w:top w:val="single" w:sz="4" w:space="0" w:color="auto"/>
              <w:left w:val="single" w:sz="4" w:space="0" w:color="auto"/>
              <w:bottom w:val="single" w:sz="4" w:space="0" w:color="auto"/>
              <w:right w:val="single" w:sz="6" w:space="0" w:color="000000"/>
            </w:tcBorders>
          </w:tcPr>
          <w:p w14:paraId="545A5427" w14:textId="77777777" w:rsidR="004F03F2" w:rsidRPr="004F03F2" w:rsidRDefault="004F03F2" w:rsidP="00535671">
            <w:pPr>
              <w:jc w:val="center"/>
              <w:rPr>
                <w:sz w:val="17"/>
                <w:szCs w:val="17"/>
              </w:rPr>
            </w:pPr>
            <w:r w:rsidRPr="004F03F2">
              <w:rPr>
                <w:sz w:val="17"/>
                <w:szCs w:val="17"/>
              </w:rPr>
              <w:t>-0,562</w:t>
            </w:r>
          </w:p>
        </w:tc>
        <w:tc>
          <w:tcPr>
            <w:tcW w:w="1086" w:type="dxa"/>
            <w:tcBorders>
              <w:top w:val="single" w:sz="4" w:space="0" w:color="auto"/>
              <w:left w:val="single" w:sz="4" w:space="0" w:color="auto"/>
              <w:bottom w:val="single" w:sz="4" w:space="0" w:color="auto"/>
              <w:right w:val="single" w:sz="6" w:space="0" w:color="000000"/>
            </w:tcBorders>
          </w:tcPr>
          <w:p w14:paraId="285B3902" w14:textId="77777777" w:rsidR="004F03F2" w:rsidRPr="004F03F2" w:rsidRDefault="004F03F2" w:rsidP="00535671">
            <w:pPr>
              <w:jc w:val="center"/>
              <w:rPr>
                <w:sz w:val="17"/>
                <w:szCs w:val="17"/>
              </w:rPr>
            </w:pPr>
            <w:r w:rsidRPr="004F03F2">
              <w:rPr>
                <w:sz w:val="17"/>
                <w:szCs w:val="17"/>
              </w:rPr>
              <w:t>-0,609</w:t>
            </w:r>
          </w:p>
        </w:tc>
        <w:tc>
          <w:tcPr>
            <w:tcW w:w="1085" w:type="dxa"/>
            <w:tcBorders>
              <w:top w:val="single" w:sz="4" w:space="0" w:color="auto"/>
              <w:left w:val="single" w:sz="4" w:space="0" w:color="auto"/>
              <w:bottom w:val="single" w:sz="4" w:space="0" w:color="auto"/>
              <w:right w:val="single" w:sz="6" w:space="0" w:color="000000"/>
            </w:tcBorders>
          </w:tcPr>
          <w:p w14:paraId="4EA6B73A" w14:textId="77777777" w:rsidR="004F03F2" w:rsidRPr="004F03F2" w:rsidRDefault="004F03F2" w:rsidP="00535671">
            <w:pPr>
              <w:jc w:val="center"/>
              <w:rPr>
                <w:sz w:val="17"/>
                <w:szCs w:val="17"/>
              </w:rPr>
            </w:pPr>
            <w:r w:rsidRPr="004F03F2">
              <w:rPr>
                <w:sz w:val="17"/>
                <w:szCs w:val="17"/>
              </w:rPr>
              <w:t>-0,627</w:t>
            </w:r>
          </w:p>
        </w:tc>
        <w:tc>
          <w:tcPr>
            <w:tcW w:w="1086" w:type="dxa"/>
            <w:tcBorders>
              <w:top w:val="single" w:sz="4" w:space="0" w:color="auto"/>
              <w:left w:val="single" w:sz="4" w:space="0" w:color="auto"/>
              <w:bottom w:val="single" w:sz="4" w:space="0" w:color="auto"/>
              <w:right w:val="single" w:sz="6" w:space="0" w:color="000000"/>
            </w:tcBorders>
          </w:tcPr>
          <w:p w14:paraId="6CCFFA11" w14:textId="77777777" w:rsidR="004F03F2" w:rsidRPr="004F03F2" w:rsidRDefault="004F03F2" w:rsidP="00535671">
            <w:pPr>
              <w:jc w:val="center"/>
              <w:rPr>
                <w:sz w:val="17"/>
                <w:szCs w:val="17"/>
              </w:rPr>
            </w:pPr>
            <w:r w:rsidRPr="004F03F2">
              <w:rPr>
                <w:sz w:val="17"/>
                <w:szCs w:val="17"/>
              </w:rPr>
              <w:t>-0,600</w:t>
            </w:r>
          </w:p>
        </w:tc>
        <w:tc>
          <w:tcPr>
            <w:tcW w:w="1086" w:type="dxa"/>
            <w:tcBorders>
              <w:top w:val="single" w:sz="4" w:space="0" w:color="auto"/>
              <w:left w:val="single" w:sz="4" w:space="0" w:color="auto"/>
              <w:bottom w:val="single" w:sz="4" w:space="0" w:color="auto"/>
              <w:right w:val="single" w:sz="6" w:space="0" w:color="000000"/>
            </w:tcBorders>
          </w:tcPr>
          <w:p w14:paraId="01B961C1" w14:textId="77777777" w:rsidR="004F03F2" w:rsidRPr="004F03F2" w:rsidRDefault="004F03F2" w:rsidP="00535671">
            <w:pPr>
              <w:jc w:val="center"/>
              <w:rPr>
                <w:sz w:val="17"/>
                <w:szCs w:val="17"/>
              </w:rPr>
            </w:pPr>
            <w:r w:rsidRPr="004F03F2">
              <w:rPr>
                <w:sz w:val="17"/>
                <w:szCs w:val="17"/>
              </w:rPr>
              <w:t>-0,544</w:t>
            </w:r>
          </w:p>
        </w:tc>
        <w:tc>
          <w:tcPr>
            <w:tcW w:w="1085" w:type="dxa"/>
            <w:tcBorders>
              <w:top w:val="single" w:sz="4" w:space="0" w:color="auto"/>
              <w:left w:val="single" w:sz="4" w:space="0" w:color="auto"/>
              <w:bottom w:val="single" w:sz="4" w:space="0" w:color="auto"/>
              <w:right w:val="single" w:sz="6" w:space="0" w:color="000000"/>
            </w:tcBorders>
          </w:tcPr>
          <w:p w14:paraId="3FE7DB17" w14:textId="77777777" w:rsidR="004F03F2" w:rsidRPr="004F03F2" w:rsidRDefault="004F03F2" w:rsidP="00535671">
            <w:pPr>
              <w:jc w:val="center"/>
              <w:rPr>
                <w:sz w:val="17"/>
                <w:szCs w:val="17"/>
              </w:rPr>
            </w:pPr>
            <w:r w:rsidRPr="004F03F2">
              <w:rPr>
                <w:sz w:val="17"/>
                <w:szCs w:val="17"/>
              </w:rPr>
              <w:t>-0,481</w:t>
            </w:r>
          </w:p>
        </w:tc>
        <w:tc>
          <w:tcPr>
            <w:tcW w:w="1086" w:type="dxa"/>
            <w:tcBorders>
              <w:top w:val="single" w:sz="4" w:space="0" w:color="auto"/>
              <w:left w:val="single" w:sz="4" w:space="0" w:color="auto"/>
              <w:bottom w:val="single" w:sz="4" w:space="0" w:color="auto"/>
              <w:right w:val="single" w:sz="6" w:space="0" w:color="000000"/>
            </w:tcBorders>
          </w:tcPr>
          <w:p w14:paraId="3CCCE11E" w14:textId="77777777" w:rsidR="004F03F2" w:rsidRPr="004F03F2" w:rsidRDefault="004F03F2" w:rsidP="00535671">
            <w:pPr>
              <w:jc w:val="center"/>
              <w:rPr>
                <w:sz w:val="17"/>
                <w:szCs w:val="17"/>
              </w:rPr>
            </w:pPr>
            <w:r w:rsidRPr="004F03F2">
              <w:rPr>
                <w:sz w:val="17"/>
                <w:szCs w:val="17"/>
              </w:rPr>
              <w:t>-0,410</w:t>
            </w:r>
          </w:p>
        </w:tc>
        <w:tc>
          <w:tcPr>
            <w:tcW w:w="1085" w:type="dxa"/>
            <w:tcBorders>
              <w:top w:val="single" w:sz="4" w:space="0" w:color="auto"/>
              <w:left w:val="single" w:sz="4" w:space="0" w:color="auto"/>
              <w:bottom w:val="single" w:sz="4" w:space="0" w:color="auto"/>
              <w:right w:val="single" w:sz="6" w:space="0" w:color="000000"/>
            </w:tcBorders>
          </w:tcPr>
          <w:p w14:paraId="1AE50BA0" w14:textId="77777777" w:rsidR="004F03F2" w:rsidRPr="004F03F2" w:rsidRDefault="004F03F2" w:rsidP="00535671">
            <w:pPr>
              <w:jc w:val="center"/>
              <w:rPr>
                <w:sz w:val="17"/>
                <w:szCs w:val="17"/>
              </w:rPr>
            </w:pPr>
            <w:r w:rsidRPr="004F03F2">
              <w:rPr>
                <w:sz w:val="17"/>
                <w:szCs w:val="17"/>
              </w:rPr>
              <w:t>-0,335</w:t>
            </w:r>
          </w:p>
        </w:tc>
        <w:tc>
          <w:tcPr>
            <w:tcW w:w="1086" w:type="dxa"/>
            <w:tcBorders>
              <w:top w:val="single" w:sz="4" w:space="0" w:color="auto"/>
              <w:left w:val="single" w:sz="4" w:space="0" w:color="auto"/>
              <w:bottom w:val="single" w:sz="4" w:space="0" w:color="auto"/>
              <w:right w:val="single" w:sz="6" w:space="0" w:color="000000"/>
            </w:tcBorders>
          </w:tcPr>
          <w:p w14:paraId="5FFBB6CA" w14:textId="77777777" w:rsidR="004F03F2" w:rsidRPr="004F03F2" w:rsidRDefault="004F03F2" w:rsidP="004F03F2">
            <w:pPr>
              <w:ind w:left="-16"/>
              <w:jc w:val="center"/>
              <w:rPr>
                <w:sz w:val="17"/>
                <w:szCs w:val="17"/>
              </w:rPr>
            </w:pPr>
            <w:r w:rsidRPr="004F03F2">
              <w:rPr>
                <w:sz w:val="17"/>
                <w:szCs w:val="17"/>
              </w:rPr>
              <w:t>-0,259</w:t>
            </w:r>
          </w:p>
        </w:tc>
        <w:tc>
          <w:tcPr>
            <w:tcW w:w="1086" w:type="dxa"/>
            <w:tcBorders>
              <w:top w:val="single" w:sz="4" w:space="0" w:color="auto"/>
              <w:left w:val="single" w:sz="4" w:space="0" w:color="auto"/>
              <w:bottom w:val="single" w:sz="4" w:space="0" w:color="auto"/>
              <w:right w:val="single" w:sz="6" w:space="0" w:color="000000"/>
            </w:tcBorders>
          </w:tcPr>
          <w:p w14:paraId="56A05007" w14:textId="77777777" w:rsidR="004F03F2" w:rsidRPr="004F03F2" w:rsidRDefault="004F03F2" w:rsidP="00535671">
            <w:pPr>
              <w:jc w:val="center"/>
              <w:rPr>
                <w:sz w:val="17"/>
                <w:szCs w:val="17"/>
              </w:rPr>
            </w:pPr>
            <w:r w:rsidRPr="004F03F2">
              <w:rPr>
                <w:sz w:val="17"/>
                <w:szCs w:val="17"/>
              </w:rPr>
              <w:t>-0,185</w:t>
            </w:r>
          </w:p>
        </w:tc>
      </w:tr>
      <w:tr w:rsidR="004F03F2" w:rsidRPr="006020CB" w14:paraId="64D0EE28" w14:textId="77777777" w:rsidTr="004F03F2">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10688630" w14:textId="77777777" w:rsidR="004F03F2" w:rsidRPr="004F03F2" w:rsidRDefault="004F03F2" w:rsidP="00535671">
            <w:pPr>
              <w:rPr>
                <w:sz w:val="17"/>
                <w:szCs w:val="17"/>
              </w:rPr>
            </w:pPr>
            <w:r w:rsidRPr="004F03F2">
              <w:rPr>
                <w:sz w:val="17"/>
                <w:szCs w:val="17"/>
              </w:rPr>
              <w:t>Oktober 2020</w:t>
            </w:r>
          </w:p>
        </w:tc>
        <w:tc>
          <w:tcPr>
            <w:tcW w:w="2113" w:type="dxa"/>
            <w:tcBorders>
              <w:top w:val="single" w:sz="4" w:space="0" w:color="auto"/>
              <w:left w:val="single" w:sz="4" w:space="0" w:color="auto"/>
              <w:bottom w:val="single" w:sz="4" w:space="0" w:color="auto"/>
              <w:right w:val="single" w:sz="6" w:space="0" w:color="000000"/>
            </w:tcBorders>
          </w:tcPr>
          <w:p w14:paraId="14F0989C" w14:textId="77777777" w:rsidR="004F03F2" w:rsidRPr="004F03F2" w:rsidRDefault="004F03F2" w:rsidP="00535671">
            <w:pPr>
              <w:jc w:val="center"/>
              <w:rPr>
                <w:sz w:val="17"/>
                <w:szCs w:val="17"/>
              </w:rPr>
            </w:pPr>
            <w:r w:rsidRPr="004F03F2">
              <w:rPr>
                <w:sz w:val="17"/>
                <w:szCs w:val="17"/>
              </w:rPr>
              <w:t>15.10.2020 - Ausg. 1</w:t>
            </w:r>
          </w:p>
        </w:tc>
        <w:tc>
          <w:tcPr>
            <w:tcW w:w="1085" w:type="dxa"/>
            <w:tcBorders>
              <w:top w:val="single" w:sz="4" w:space="0" w:color="auto"/>
              <w:left w:val="single" w:sz="4" w:space="0" w:color="auto"/>
              <w:bottom w:val="single" w:sz="4" w:space="0" w:color="auto"/>
              <w:right w:val="single" w:sz="6" w:space="0" w:color="000000"/>
            </w:tcBorders>
          </w:tcPr>
          <w:p w14:paraId="6D1B62D9" w14:textId="77777777" w:rsidR="004F03F2" w:rsidRPr="004F03F2" w:rsidRDefault="004F03F2" w:rsidP="00535671">
            <w:pPr>
              <w:jc w:val="center"/>
              <w:rPr>
                <w:sz w:val="17"/>
                <w:szCs w:val="17"/>
              </w:rPr>
            </w:pPr>
            <w:r w:rsidRPr="004F03F2">
              <w:rPr>
                <w:sz w:val="17"/>
                <w:szCs w:val="17"/>
              </w:rPr>
              <w:t>-0,587</w:t>
            </w:r>
          </w:p>
        </w:tc>
        <w:tc>
          <w:tcPr>
            <w:tcW w:w="1086" w:type="dxa"/>
            <w:tcBorders>
              <w:top w:val="single" w:sz="4" w:space="0" w:color="auto"/>
              <w:left w:val="single" w:sz="4" w:space="0" w:color="auto"/>
              <w:bottom w:val="single" w:sz="4" w:space="0" w:color="auto"/>
              <w:right w:val="single" w:sz="6" w:space="0" w:color="000000"/>
            </w:tcBorders>
          </w:tcPr>
          <w:p w14:paraId="4EAC184A" w14:textId="77777777" w:rsidR="004F03F2" w:rsidRPr="004F03F2" w:rsidRDefault="004F03F2" w:rsidP="00535671">
            <w:pPr>
              <w:jc w:val="center"/>
              <w:rPr>
                <w:sz w:val="17"/>
                <w:szCs w:val="17"/>
              </w:rPr>
            </w:pPr>
            <w:r w:rsidRPr="004F03F2">
              <w:rPr>
                <w:sz w:val="17"/>
                <w:szCs w:val="17"/>
              </w:rPr>
              <w:t>-0,646</w:t>
            </w:r>
          </w:p>
        </w:tc>
        <w:tc>
          <w:tcPr>
            <w:tcW w:w="1085" w:type="dxa"/>
            <w:tcBorders>
              <w:top w:val="single" w:sz="4" w:space="0" w:color="auto"/>
              <w:left w:val="single" w:sz="4" w:space="0" w:color="auto"/>
              <w:bottom w:val="single" w:sz="4" w:space="0" w:color="auto"/>
              <w:right w:val="single" w:sz="6" w:space="0" w:color="000000"/>
            </w:tcBorders>
          </w:tcPr>
          <w:p w14:paraId="3B2CB9A8" w14:textId="77777777" w:rsidR="004F03F2" w:rsidRPr="004F03F2" w:rsidRDefault="004F03F2" w:rsidP="00535671">
            <w:pPr>
              <w:jc w:val="center"/>
              <w:rPr>
                <w:sz w:val="17"/>
                <w:szCs w:val="17"/>
              </w:rPr>
            </w:pPr>
            <w:r w:rsidRPr="004F03F2">
              <w:rPr>
                <w:sz w:val="17"/>
                <w:szCs w:val="17"/>
              </w:rPr>
              <w:t>-0,671</w:t>
            </w:r>
          </w:p>
        </w:tc>
        <w:tc>
          <w:tcPr>
            <w:tcW w:w="1086" w:type="dxa"/>
            <w:tcBorders>
              <w:top w:val="single" w:sz="4" w:space="0" w:color="auto"/>
              <w:left w:val="single" w:sz="4" w:space="0" w:color="auto"/>
              <w:bottom w:val="single" w:sz="4" w:space="0" w:color="auto"/>
              <w:right w:val="single" w:sz="6" w:space="0" w:color="000000"/>
            </w:tcBorders>
          </w:tcPr>
          <w:p w14:paraId="3DDB35A7" w14:textId="77777777" w:rsidR="004F03F2" w:rsidRPr="004F03F2" w:rsidRDefault="004F03F2" w:rsidP="00535671">
            <w:pPr>
              <w:jc w:val="center"/>
              <w:rPr>
                <w:sz w:val="17"/>
                <w:szCs w:val="17"/>
              </w:rPr>
            </w:pPr>
            <w:r w:rsidRPr="004F03F2">
              <w:rPr>
                <w:sz w:val="17"/>
                <w:szCs w:val="17"/>
              </w:rPr>
              <w:t>-0,646</w:t>
            </w:r>
          </w:p>
        </w:tc>
        <w:tc>
          <w:tcPr>
            <w:tcW w:w="1086" w:type="dxa"/>
            <w:tcBorders>
              <w:top w:val="single" w:sz="4" w:space="0" w:color="auto"/>
              <w:left w:val="single" w:sz="4" w:space="0" w:color="auto"/>
              <w:bottom w:val="single" w:sz="4" w:space="0" w:color="auto"/>
              <w:right w:val="single" w:sz="6" w:space="0" w:color="000000"/>
            </w:tcBorders>
          </w:tcPr>
          <w:p w14:paraId="1DA6166C" w14:textId="77777777" w:rsidR="004F03F2" w:rsidRPr="004F03F2" w:rsidRDefault="004F03F2" w:rsidP="00535671">
            <w:pPr>
              <w:jc w:val="center"/>
              <w:rPr>
                <w:sz w:val="17"/>
                <w:szCs w:val="17"/>
              </w:rPr>
            </w:pPr>
            <w:r w:rsidRPr="004F03F2">
              <w:rPr>
                <w:sz w:val="17"/>
                <w:szCs w:val="17"/>
              </w:rPr>
              <w:t>-0,597</w:t>
            </w:r>
          </w:p>
        </w:tc>
        <w:tc>
          <w:tcPr>
            <w:tcW w:w="1085" w:type="dxa"/>
            <w:tcBorders>
              <w:top w:val="single" w:sz="4" w:space="0" w:color="auto"/>
              <w:left w:val="single" w:sz="4" w:space="0" w:color="auto"/>
              <w:bottom w:val="single" w:sz="4" w:space="0" w:color="auto"/>
              <w:right w:val="single" w:sz="6" w:space="0" w:color="000000"/>
            </w:tcBorders>
          </w:tcPr>
          <w:p w14:paraId="07B6DD0B" w14:textId="77777777" w:rsidR="004F03F2" w:rsidRPr="004F03F2" w:rsidRDefault="004F03F2" w:rsidP="00535671">
            <w:pPr>
              <w:jc w:val="center"/>
              <w:rPr>
                <w:sz w:val="17"/>
                <w:szCs w:val="17"/>
              </w:rPr>
            </w:pPr>
            <w:r w:rsidRPr="004F03F2">
              <w:rPr>
                <w:sz w:val="17"/>
                <w:szCs w:val="17"/>
              </w:rPr>
              <w:t>-0,541</w:t>
            </w:r>
          </w:p>
        </w:tc>
        <w:tc>
          <w:tcPr>
            <w:tcW w:w="1086" w:type="dxa"/>
            <w:tcBorders>
              <w:top w:val="single" w:sz="4" w:space="0" w:color="auto"/>
              <w:left w:val="single" w:sz="4" w:space="0" w:color="auto"/>
              <w:bottom w:val="single" w:sz="4" w:space="0" w:color="auto"/>
              <w:right w:val="single" w:sz="6" w:space="0" w:color="000000"/>
            </w:tcBorders>
          </w:tcPr>
          <w:p w14:paraId="0D4A9E21" w14:textId="77777777" w:rsidR="004F03F2" w:rsidRPr="004F03F2" w:rsidRDefault="004F03F2" w:rsidP="00535671">
            <w:pPr>
              <w:jc w:val="center"/>
              <w:rPr>
                <w:sz w:val="17"/>
                <w:szCs w:val="17"/>
              </w:rPr>
            </w:pPr>
            <w:r w:rsidRPr="004F03F2">
              <w:rPr>
                <w:sz w:val="17"/>
                <w:szCs w:val="17"/>
              </w:rPr>
              <w:t>-0,479</w:t>
            </w:r>
          </w:p>
        </w:tc>
        <w:tc>
          <w:tcPr>
            <w:tcW w:w="1085" w:type="dxa"/>
            <w:tcBorders>
              <w:top w:val="single" w:sz="4" w:space="0" w:color="auto"/>
              <w:left w:val="single" w:sz="4" w:space="0" w:color="auto"/>
              <w:bottom w:val="single" w:sz="4" w:space="0" w:color="auto"/>
              <w:right w:val="single" w:sz="6" w:space="0" w:color="000000"/>
            </w:tcBorders>
          </w:tcPr>
          <w:p w14:paraId="02A11522" w14:textId="77777777" w:rsidR="004F03F2" w:rsidRPr="004F03F2" w:rsidRDefault="004F03F2" w:rsidP="00535671">
            <w:pPr>
              <w:jc w:val="center"/>
              <w:rPr>
                <w:sz w:val="17"/>
                <w:szCs w:val="17"/>
              </w:rPr>
            </w:pPr>
            <w:r w:rsidRPr="004F03F2">
              <w:rPr>
                <w:sz w:val="17"/>
                <w:szCs w:val="17"/>
              </w:rPr>
              <w:t>-0,408</w:t>
            </w:r>
          </w:p>
        </w:tc>
        <w:tc>
          <w:tcPr>
            <w:tcW w:w="1086" w:type="dxa"/>
            <w:tcBorders>
              <w:top w:val="single" w:sz="4" w:space="0" w:color="auto"/>
              <w:left w:val="single" w:sz="4" w:space="0" w:color="auto"/>
              <w:bottom w:val="single" w:sz="4" w:space="0" w:color="auto"/>
              <w:right w:val="single" w:sz="6" w:space="0" w:color="000000"/>
            </w:tcBorders>
          </w:tcPr>
          <w:p w14:paraId="78B47537" w14:textId="77777777" w:rsidR="004F03F2" w:rsidRPr="004F03F2" w:rsidRDefault="004F03F2" w:rsidP="004F03F2">
            <w:pPr>
              <w:ind w:left="-16"/>
              <w:jc w:val="center"/>
              <w:rPr>
                <w:sz w:val="17"/>
                <w:szCs w:val="17"/>
              </w:rPr>
            </w:pPr>
            <w:r w:rsidRPr="004F03F2">
              <w:rPr>
                <w:sz w:val="17"/>
                <w:szCs w:val="17"/>
              </w:rPr>
              <w:t>-0,334</w:t>
            </w:r>
          </w:p>
        </w:tc>
        <w:tc>
          <w:tcPr>
            <w:tcW w:w="1086" w:type="dxa"/>
            <w:tcBorders>
              <w:top w:val="single" w:sz="4" w:space="0" w:color="auto"/>
              <w:left w:val="single" w:sz="4" w:space="0" w:color="auto"/>
              <w:bottom w:val="single" w:sz="4" w:space="0" w:color="auto"/>
              <w:right w:val="single" w:sz="6" w:space="0" w:color="000000"/>
            </w:tcBorders>
          </w:tcPr>
          <w:p w14:paraId="3E01C435" w14:textId="77777777" w:rsidR="004F03F2" w:rsidRPr="004F03F2" w:rsidRDefault="004F03F2" w:rsidP="00535671">
            <w:pPr>
              <w:jc w:val="center"/>
              <w:rPr>
                <w:sz w:val="17"/>
                <w:szCs w:val="17"/>
              </w:rPr>
            </w:pPr>
            <w:r w:rsidRPr="004F03F2">
              <w:rPr>
                <w:sz w:val="17"/>
                <w:szCs w:val="17"/>
              </w:rPr>
              <w:t>-0,261</w:t>
            </w:r>
          </w:p>
        </w:tc>
      </w:tr>
      <w:tr w:rsidR="004F03F2" w:rsidRPr="006020CB" w14:paraId="04FD7D5C" w14:textId="77777777" w:rsidTr="004F03F2">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3E4D6A9E" w14:textId="77777777" w:rsidR="004F03F2" w:rsidRPr="004F03F2" w:rsidRDefault="004F03F2" w:rsidP="00535671">
            <w:pPr>
              <w:rPr>
                <w:sz w:val="17"/>
                <w:szCs w:val="17"/>
              </w:rPr>
            </w:pPr>
            <w:r w:rsidRPr="004F03F2">
              <w:rPr>
                <w:sz w:val="17"/>
                <w:szCs w:val="17"/>
              </w:rPr>
              <w:t>November 2020</w:t>
            </w:r>
          </w:p>
        </w:tc>
        <w:tc>
          <w:tcPr>
            <w:tcW w:w="2113" w:type="dxa"/>
            <w:tcBorders>
              <w:top w:val="single" w:sz="4" w:space="0" w:color="auto"/>
              <w:left w:val="single" w:sz="4" w:space="0" w:color="auto"/>
              <w:bottom w:val="single" w:sz="4" w:space="0" w:color="auto"/>
              <w:right w:val="single" w:sz="6" w:space="0" w:color="000000"/>
            </w:tcBorders>
          </w:tcPr>
          <w:p w14:paraId="3B00136E" w14:textId="77777777" w:rsidR="004F03F2" w:rsidRPr="004F03F2" w:rsidRDefault="004F03F2" w:rsidP="00535671">
            <w:pPr>
              <w:jc w:val="center"/>
              <w:rPr>
                <w:sz w:val="17"/>
                <w:szCs w:val="17"/>
              </w:rPr>
            </w:pPr>
            <w:r w:rsidRPr="004F03F2">
              <w:rPr>
                <w:sz w:val="17"/>
                <w:szCs w:val="17"/>
              </w:rPr>
              <w:t>20.11.2020 - Ausg. 1</w:t>
            </w:r>
          </w:p>
        </w:tc>
        <w:tc>
          <w:tcPr>
            <w:tcW w:w="1085" w:type="dxa"/>
            <w:tcBorders>
              <w:top w:val="single" w:sz="4" w:space="0" w:color="auto"/>
              <w:left w:val="single" w:sz="4" w:space="0" w:color="auto"/>
              <w:bottom w:val="single" w:sz="4" w:space="0" w:color="auto"/>
              <w:right w:val="single" w:sz="6" w:space="0" w:color="000000"/>
            </w:tcBorders>
          </w:tcPr>
          <w:p w14:paraId="0CF6293F" w14:textId="77777777" w:rsidR="004F03F2" w:rsidRPr="004F03F2" w:rsidRDefault="004F03F2" w:rsidP="00535671">
            <w:pPr>
              <w:jc w:val="center"/>
              <w:rPr>
                <w:sz w:val="17"/>
                <w:szCs w:val="17"/>
              </w:rPr>
            </w:pPr>
            <w:r w:rsidRPr="004F03F2">
              <w:rPr>
                <w:sz w:val="17"/>
                <w:szCs w:val="17"/>
              </w:rPr>
              <w:t>-0,624</w:t>
            </w:r>
          </w:p>
        </w:tc>
        <w:tc>
          <w:tcPr>
            <w:tcW w:w="1086" w:type="dxa"/>
            <w:tcBorders>
              <w:top w:val="single" w:sz="4" w:space="0" w:color="auto"/>
              <w:left w:val="single" w:sz="4" w:space="0" w:color="auto"/>
              <w:bottom w:val="single" w:sz="4" w:space="0" w:color="auto"/>
              <w:right w:val="single" w:sz="6" w:space="0" w:color="000000"/>
            </w:tcBorders>
          </w:tcPr>
          <w:p w14:paraId="5A9917E6" w14:textId="77777777" w:rsidR="004F03F2" w:rsidRPr="004F03F2" w:rsidRDefault="004F03F2" w:rsidP="00535671">
            <w:pPr>
              <w:jc w:val="center"/>
              <w:rPr>
                <w:sz w:val="17"/>
                <w:szCs w:val="17"/>
              </w:rPr>
            </w:pPr>
            <w:r w:rsidRPr="004F03F2">
              <w:rPr>
                <w:sz w:val="17"/>
                <w:szCs w:val="17"/>
              </w:rPr>
              <w:t>-0,705</w:t>
            </w:r>
          </w:p>
        </w:tc>
        <w:tc>
          <w:tcPr>
            <w:tcW w:w="1085" w:type="dxa"/>
            <w:tcBorders>
              <w:top w:val="single" w:sz="4" w:space="0" w:color="auto"/>
              <w:left w:val="single" w:sz="4" w:space="0" w:color="auto"/>
              <w:bottom w:val="single" w:sz="4" w:space="0" w:color="auto"/>
              <w:right w:val="single" w:sz="6" w:space="0" w:color="000000"/>
            </w:tcBorders>
          </w:tcPr>
          <w:p w14:paraId="3E36AD5E" w14:textId="77777777" w:rsidR="004F03F2" w:rsidRPr="004F03F2" w:rsidRDefault="004F03F2" w:rsidP="00535671">
            <w:pPr>
              <w:jc w:val="center"/>
              <w:rPr>
                <w:sz w:val="17"/>
                <w:szCs w:val="17"/>
              </w:rPr>
            </w:pPr>
            <w:r w:rsidRPr="004F03F2">
              <w:rPr>
                <w:sz w:val="17"/>
                <w:szCs w:val="17"/>
              </w:rPr>
              <w:t>-0,738</w:t>
            </w:r>
          </w:p>
        </w:tc>
        <w:tc>
          <w:tcPr>
            <w:tcW w:w="1086" w:type="dxa"/>
            <w:tcBorders>
              <w:top w:val="single" w:sz="4" w:space="0" w:color="auto"/>
              <w:left w:val="single" w:sz="4" w:space="0" w:color="auto"/>
              <w:bottom w:val="single" w:sz="4" w:space="0" w:color="auto"/>
              <w:right w:val="single" w:sz="6" w:space="0" w:color="000000"/>
            </w:tcBorders>
          </w:tcPr>
          <w:p w14:paraId="52A5CEAE" w14:textId="77777777" w:rsidR="004F03F2" w:rsidRPr="004F03F2" w:rsidRDefault="004F03F2" w:rsidP="00535671">
            <w:pPr>
              <w:jc w:val="center"/>
              <w:rPr>
                <w:sz w:val="17"/>
                <w:szCs w:val="17"/>
              </w:rPr>
            </w:pPr>
            <w:r w:rsidRPr="004F03F2">
              <w:rPr>
                <w:sz w:val="17"/>
                <w:szCs w:val="17"/>
              </w:rPr>
              <w:t>-0,713</w:t>
            </w:r>
          </w:p>
        </w:tc>
        <w:tc>
          <w:tcPr>
            <w:tcW w:w="1086" w:type="dxa"/>
            <w:tcBorders>
              <w:top w:val="single" w:sz="4" w:space="0" w:color="auto"/>
              <w:left w:val="single" w:sz="4" w:space="0" w:color="auto"/>
              <w:bottom w:val="single" w:sz="4" w:space="0" w:color="auto"/>
              <w:right w:val="single" w:sz="6" w:space="0" w:color="000000"/>
            </w:tcBorders>
          </w:tcPr>
          <w:p w14:paraId="3DF6D9C1" w14:textId="77777777" w:rsidR="004F03F2" w:rsidRPr="004F03F2" w:rsidRDefault="004F03F2" w:rsidP="00535671">
            <w:pPr>
              <w:jc w:val="center"/>
              <w:rPr>
                <w:sz w:val="17"/>
                <w:szCs w:val="17"/>
              </w:rPr>
            </w:pPr>
            <w:r w:rsidRPr="004F03F2">
              <w:rPr>
                <w:sz w:val="17"/>
                <w:szCs w:val="17"/>
              </w:rPr>
              <w:t>-0,660</w:t>
            </w:r>
          </w:p>
        </w:tc>
        <w:tc>
          <w:tcPr>
            <w:tcW w:w="1085" w:type="dxa"/>
            <w:tcBorders>
              <w:top w:val="single" w:sz="4" w:space="0" w:color="auto"/>
              <w:left w:val="single" w:sz="4" w:space="0" w:color="auto"/>
              <w:bottom w:val="single" w:sz="4" w:space="0" w:color="auto"/>
              <w:right w:val="single" w:sz="6" w:space="0" w:color="000000"/>
            </w:tcBorders>
          </w:tcPr>
          <w:p w14:paraId="420C9435" w14:textId="77777777" w:rsidR="004F03F2" w:rsidRPr="004F03F2" w:rsidRDefault="004F03F2" w:rsidP="00535671">
            <w:pPr>
              <w:jc w:val="center"/>
              <w:rPr>
                <w:sz w:val="17"/>
                <w:szCs w:val="17"/>
              </w:rPr>
            </w:pPr>
            <w:r w:rsidRPr="004F03F2">
              <w:rPr>
                <w:sz w:val="17"/>
                <w:szCs w:val="17"/>
              </w:rPr>
              <w:t>-0,605</w:t>
            </w:r>
          </w:p>
        </w:tc>
        <w:tc>
          <w:tcPr>
            <w:tcW w:w="1086" w:type="dxa"/>
            <w:tcBorders>
              <w:top w:val="single" w:sz="4" w:space="0" w:color="auto"/>
              <w:left w:val="single" w:sz="4" w:space="0" w:color="auto"/>
              <w:bottom w:val="single" w:sz="4" w:space="0" w:color="auto"/>
              <w:right w:val="single" w:sz="6" w:space="0" w:color="000000"/>
            </w:tcBorders>
          </w:tcPr>
          <w:p w14:paraId="779E9FF3" w14:textId="77777777" w:rsidR="004F03F2" w:rsidRPr="004F03F2" w:rsidRDefault="004F03F2" w:rsidP="00535671">
            <w:pPr>
              <w:jc w:val="center"/>
              <w:rPr>
                <w:sz w:val="17"/>
                <w:szCs w:val="17"/>
              </w:rPr>
            </w:pPr>
            <w:r w:rsidRPr="004F03F2">
              <w:rPr>
                <w:sz w:val="17"/>
                <w:szCs w:val="17"/>
              </w:rPr>
              <w:t>-0,545</w:t>
            </w:r>
          </w:p>
        </w:tc>
        <w:tc>
          <w:tcPr>
            <w:tcW w:w="1085" w:type="dxa"/>
            <w:tcBorders>
              <w:top w:val="single" w:sz="4" w:space="0" w:color="auto"/>
              <w:left w:val="single" w:sz="4" w:space="0" w:color="auto"/>
              <w:bottom w:val="single" w:sz="4" w:space="0" w:color="auto"/>
              <w:right w:val="single" w:sz="6" w:space="0" w:color="000000"/>
            </w:tcBorders>
          </w:tcPr>
          <w:p w14:paraId="1B6B204B" w14:textId="77777777" w:rsidR="004F03F2" w:rsidRPr="004F03F2" w:rsidRDefault="004F03F2" w:rsidP="00535671">
            <w:pPr>
              <w:jc w:val="center"/>
              <w:rPr>
                <w:sz w:val="17"/>
                <w:szCs w:val="17"/>
              </w:rPr>
            </w:pPr>
            <w:r w:rsidRPr="004F03F2">
              <w:rPr>
                <w:sz w:val="17"/>
                <w:szCs w:val="17"/>
              </w:rPr>
              <w:t>-0,481</w:t>
            </w:r>
          </w:p>
        </w:tc>
        <w:tc>
          <w:tcPr>
            <w:tcW w:w="1086" w:type="dxa"/>
            <w:tcBorders>
              <w:top w:val="single" w:sz="4" w:space="0" w:color="auto"/>
              <w:left w:val="single" w:sz="4" w:space="0" w:color="auto"/>
              <w:bottom w:val="single" w:sz="4" w:space="0" w:color="auto"/>
              <w:right w:val="single" w:sz="6" w:space="0" w:color="000000"/>
            </w:tcBorders>
          </w:tcPr>
          <w:p w14:paraId="77C2B030" w14:textId="77777777" w:rsidR="004F03F2" w:rsidRPr="004F03F2" w:rsidRDefault="004F03F2" w:rsidP="004F03F2">
            <w:pPr>
              <w:ind w:left="-16"/>
              <w:jc w:val="center"/>
              <w:rPr>
                <w:sz w:val="17"/>
                <w:szCs w:val="17"/>
              </w:rPr>
            </w:pPr>
            <w:r w:rsidRPr="004F03F2">
              <w:rPr>
                <w:sz w:val="17"/>
                <w:szCs w:val="17"/>
              </w:rPr>
              <w:t>-0,411</w:t>
            </w:r>
          </w:p>
        </w:tc>
        <w:tc>
          <w:tcPr>
            <w:tcW w:w="1086" w:type="dxa"/>
            <w:tcBorders>
              <w:top w:val="single" w:sz="4" w:space="0" w:color="auto"/>
              <w:left w:val="single" w:sz="4" w:space="0" w:color="auto"/>
              <w:bottom w:val="single" w:sz="4" w:space="0" w:color="auto"/>
              <w:right w:val="single" w:sz="6" w:space="0" w:color="000000"/>
            </w:tcBorders>
          </w:tcPr>
          <w:p w14:paraId="02EE2491" w14:textId="77777777" w:rsidR="004F03F2" w:rsidRPr="004F03F2" w:rsidRDefault="004F03F2" w:rsidP="00535671">
            <w:pPr>
              <w:jc w:val="center"/>
              <w:rPr>
                <w:sz w:val="17"/>
                <w:szCs w:val="17"/>
              </w:rPr>
            </w:pPr>
            <w:r w:rsidRPr="004F03F2">
              <w:rPr>
                <w:sz w:val="17"/>
                <w:szCs w:val="17"/>
              </w:rPr>
              <w:t>-0,343</w:t>
            </w:r>
          </w:p>
        </w:tc>
      </w:tr>
      <w:tr w:rsidR="004F03F2" w:rsidRPr="006020CB" w14:paraId="490E5941" w14:textId="77777777" w:rsidTr="004F03F2">
        <w:trPr>
          <w:trHeight w:val="397"/>
          <w:jc w:val="center"/>
        </w:trPr>
        <w:tc>
          <w:tcPr>
            <w:tcW w:w="2113" w:type="dxa"/>
            <w:tcBorders>
              <w:top w:val="single" w:sz="4" w:space="0" w:color="auto"/>
              <w:left w:val="single" w:sz="6" w:space="0" w:color="000000"/>
              <w:bottom w:val="single" w:sz="4" w:space="0" w:color="auto"/>
              <w:right w:val="single" w:sz="6" w:space="0" w:color="000000"/>
            </w:tcBorders>
          </w:tcPr>
          <w:p w14:paraId="0BBEEC1F" w14:textId="77777777" w:rsidR="004F03F2" w:rsidRPr="004F03F2" w:rsidRDefault="004F03F2" w:rsidP="00535671">
            <w:pPr>
              <w:rPr>
                <w:sz w:val="17"/>
                <w:szCs w:val="17"/>
              </w:rPr>
            </w:pPr>
            <w:r w:rsidRPr="004F03F2">
              <w:rPr>
                <w:sz w:val="17"/>
                <w:szCs w:val="17"/>
              </w:rPr>
              <w:t>Dezember 2020</w:t>
            </w:r>
          </w:p>
        </w:tc>
        <w:tc>
          <w:tcPr>
            <w:tcW w:w="2113" w:type="dxa"/>
            <w:tcBorders>
              <w:top w:val="single" w:sz="4" w:space="0" w:color="auto"/>
              <w:left w:val="single" w:sz="4" w:space="0" w:color="auto"/>
              <w:bottom w:val="single" w:sz="4" w:space="0" w:color="auto"/>
              <w:right w:val="single" w:sz="6" w:space="0" w:color="000000"/>
            </w:tcBorders>
          </w:tcPr>
          <w:p w14:paraId="3675267D" w14:textId="77777777" w:rsidR="004F03F2" w:rsidRPr="004F03F2" w:rsidRDefault="004F03F2" w:rsidP="00535671">
            <w:pPr>
              <w:jc w:val="center"/>
              <w:rPr>
                <w:sz w:val="17"/>
                <w:szCs w:val="17"/>
              </w:rPr>
            </w:pPr>
            <w:r w:rsidRPr="004F03F2">
              <w:rPr>
                <w:sz w:val="17"/>
                <w:szCs w:val="17"/>
              </w:rPr>
              <w:t>18.12.2020 - Ausg. 1</w:t>
            </w:r>
          </w:p>
        </w:tc>
        <w:tc>
          <w:tcPr>
            <w:tcW w:w="1085" w:type="dxa"/>
            <w:tcBorders>
              <w:top w:val="single" w:sz="4" w:space="0" w:color="auto"/>
              <w:left w:val="single" w:sz="4" w:space="0" w:color="auto"/>
              <w:bottom w:val="single" w:sz="4" w:space="0" w:color="auto"/>
              <w:right w:val="single" w:sz="6" w:space="0" w:color="000000"/>
            </w:tcBorders>
          </w:tcPr>
          <w:p w14:paraId="47524DB3" w14:textId="77777777" w:rsidR="004F03F2" w:rsidRPr="004F03F2" w:rsidRDefault="004F03F2" w:rsidP="00535671">
            <w:pPr>
              <w:jc w:val="center"/>
              <w:rPr>
                <w:sz w:val="17"/>
                <w:szCs w:val="17"/>
              </w:rPr>
            </w:pPr>
            <w:r w:rsidRPr="004F03F2">
              <w:rPr>
                <w:sz w:val="17"/>
                <w:szCs w:val="17"/>
              </w:rPr>
              <w:t>-0,631</w:t>
            </w:r>
          </w:p>
        </w:tc>
        <w:tc>
          <w:tcPr>
            <w:tcW w:w="1086" w:type="dxa"/>
            <w:tcBorders>
              <w:top w:val="single" w:sz="4" w:space="0" w:color="auto"/>
              <w:left w:val="single" w:sz="4" w:space="0" w:color="auto"/>
              <w:bottom w:val="single" w:sz="4" w:space="0" w:color="auto"/>
              <w:right w:val="single" w:sz="6" w:space="0" w:color="000000"/>
            </w:tcBorders>
          </w:tcPr>
          <w:p w14:paraId="3B7B9921" w14:textId="77777777" w:rsidR="004F03F2" w:rsidRPr="004F03F2" w:rsidRDefault="004F03F2" w:rsidP="00535671">
            <w:pPr>
              <w:jc w:val="center"/>
              <w:rPr>
                <w:sz w:val="17"/>
                <w:szCs w:val="17"/>
              </w:rPr>
            </w:pPr>
            <w:r w:rsidRPr="004F03F2">
              <w:rPr>
                <w:sz w:val="17"/>
                <w:szCs w:val="17"/>
              </w:rPr>
              <w:t>-0,700</w:t>
            </w:r>
          </w:p>
        </w:tc>
        <w:tc>
          <w:tcPr>
            <w:tcW w:w="1085" w:type="dxa"/>
            <w:tcBorders>
              <w:top w:val="single" w:sz="4" w:space="0" w:color="auto"/>
              <w:left w:val="single" w:sz="4" w:space="0" w:color="auto"/>
              <w:bottom w:val="single" w:sz="4" w:space="0" w:color="auto"/>
              <w:right w:val="single" w:sz="6" w:space="0" w:color="000000"/>
            </w:tcBorders>
          </w:tcPr>
          <w:p w14:paraId="0FAE5D4F" w14:textId="77777777" w:rsidR="004F03F2" w:rsidRPr="004F03F2" w:rsidRDefault="004F03F2" w:rsidP="00535671">
            <w:pPr>
              <w:jc w:val="center"/>
              <w:rPr>
                <w:sz w:val="17"/>
                <w:szCs w:val="17"/>
              </w:rPr>
            </w:pPr>
            <w:r w:rsidRPr="004F03F2">
              <w:rPr>
                <w:sz w:val="17"/>
                <w:szCs w:val="17"/>
              </w:rPr>
              <w:t>-0,725</w:t>
            </w:r>
          </w:p>
        </w:tc>
        <w:tc>
          <w:tcPr>
            <w:tcW w:w="1086" w:type="dxa"/>
            <w:tcBorders>
              <w:top w:val="single" w:sz="4" w:space="0" w:color="auto"/>
              <w:left w:val="single" w:sz="4" w:space="0" w:color="auto"/>
              <w:bottom w:val="single" w:sz="4" w:space="0" w:color="auto"/>
              <w:right w:val="single" w:sz="6" w:space="0" w:color="000000"/>
            </w:tcBorders>
          </w:tcPr>
          <w:p w14:paraId="2F3E5CC4" w14:textId="77777777" w:rsidR="004F03F2" w:rsidRPr="004F03F2" w:rsidRDefault="004F03F2" w:rsidP="00535671">
            <w:pPr>
              <w:jc w:val="center"/>
              <w:rPr>
                <w:sz w:val="17"/>
                <w:szCs w:val="17"/>
              </w:rPr>
            </w:pPr>
            <w:r w:rsidRPr="004F03F2">
              <w:rPr>
                <w:sz w:val="17"/>
                <w:szCs w:val="17"/>
              </w:rPr>
              <w:t>-0,692</w:t>
            </w:r>
          </w:p>
        </w:tc>
        <w:tc>
          <w:tcPr>
            <w:tcW w:w="1086" w:type="dxa"/>
            <w:tcBorders>
              <w:top w:val="single" w:sz="4" w:space="0" w:color="auto"/>
              <w:left w:val="single" w:sz="4" w:space="0" w:color="auto"/>
              <w:bottom w:val="single" w:sz="4" w:space="0" w:color="auto"/>
              <w:right w:val="single" w:sz="6" w:space="0" w:color="000000"/>
            </w:tcBorders>
          </w:tcPr>
          <w:p w14:paraId="0679A678" w14:textId="77777777" w:rsidR="004F03F2" w:rsidRPr="004F03F2" w:rsidRDefault="004F03F2" w:rsidP="00535671">
            <w:pPr>
              <w:jc w:val="center"/>
              <w:rPr>
                <w:sz w:val="17"/>
                <w:szCs w:val="17"/>
              </w:rPr>
            </w:pPr>
            <w:r w:rsidRPr="004F03F2">
              <w:rPr>
                <w:sz w:val="17"/>
                <w:szCs w:val="17"/>
              </w:rPr>
              <w:t>-0,644</w:t>
            </w:r>
          </w:p>
        </w:tc>
        <w:tc>
          <w:tcPr>
            <w:tcW w:w="1085" w:type="dxa"/>
            <w:tcBorders>
              <w:top w:val="single" w:sz="4" w:space="0" w:color="auto"/>
              <w:left w:val="single" w:sz="4" w:space="0" w:color="auto"/>
              <w:bottom w:val="single" w:sz="4" w:space="0" w:color="auto"/>
              <w:right w:val="single" w:sz="6" w:space="0" w:color="000000"/>
            </w:tcBorders>
          </w:tcPr>
          <w:p w14:paraId="03F40637" w14:textId="77777777" w:rsidR="004F03F2" w:rsidRPr="004F03F2" w:rsidRDefault="004F03F2" w:rsidP="00535671">
            <w:pPr>
              <w:jc w:val="center"/>
              <w:rPr>
                <w:sz w:val="17"/>
                <w:szCs w:val="17"/>
              </w:rPr>
            </w:pPr>
            <w:r w:rsidRPr="004F03F2">
              <w:rPr>
                <w:sz w:val="17"/>
                <w:szCs w:val="17"/>
              </w:rPr>
              <w:t>-0,596</w:t>
            </w:r>
          </w:p>
        </w:tc>
        <w:tc>
          <w:tcPr>
            <w:tcW w:w="1086" w:type="dxa"/>
            <w:tcBorders>
              <w:top w:val="single" w:sz="4" w:space="0" w:color="auto"/>
              <w:left w:val="single" w:sz="4" w:space="0" w:color="auto"/>
              <w:bottom w:val="single" w:sz="4" w:space="0" w:color="auto"/>
              <w:right w:val="single" w:sz="6" w:space="0" w:color="000000"/>
            </w:tcBorders>
          </w:tcPr>
          <w:p w14:paraId="439F1D6F" w14:textId="77777777" w:rsidR="004F03F2" w:rsidRPr="004F03F2" w:rsidRDefault="004F03F2" w:rsidP="00535671">
            <w:pPr>
              <w:jc w:val="center"/>
              <w:rPr>
                <w:sz w:val="17"/>
                <w:szCs w:val="17"/>
              </w:rPr>
            </w:pPr>
            <w:r w:rsidRPr="004F03F2">
              <w:rPr>
                <w:sz w:val="17"/>
                <w:szCs w:val="17"/>
              </w:rPr>
              <w:t>-0,545</w:t>
            </w:r>
          </w:p>
        </w:tc>
        <w:tc>
          <w:tcPr>
            <w:tcW w:w="1085" w:type="dxa"/>
            <w:tcBorders>
              <w:top w:val="single" w:sz="4" w:space="0" w:color="auto"/>
              <w:left w:val="single" w:sz="4" w:space="0" w:color="auto"/>
              <w:bottom w:val="single" w:sz="4" w:space="0" w:color="auto"/>
              <w:right w:val="single" w:sz="6" w:space="0" w:color="000000"/>
            </w:tcBorders>
          </w:tcPr>
          <w:p w14:paraId="4A3900AB" w14:textId="77777777" w:rsidR="004F03F2" w:rsidRPr="004F03F2" w:rsidRDefault="004F03F2" w:rsidP="00535671">
            <w:pPr>
              <w:jc w:val="center"/>
              <w:rPr>
                <w:sz w:val="17"/>
                <w:szCs w:val="17"/>
              </w:rPr>
            </w:pPr>
            <w:r w:rsidRPr="004F03F2">
              <w:rPr>
                <w:sz w:val="17"/>
                <w:szCs w:val="17"/>
              </w:rPr>
              <w:t>-0,482</w:t>
            </w:r>
          </w:p>
        </w:tc>
        <w:tc>
          <w:tcPr>
            <w:tcW w:w="1086" w:type="dxa"/>
            <w:tcBorders>
              <w:top w:val="single" w:sz="4" w:space="0" w:color="auto"/>
              <w:left w:val="single" w:sz="4" w:space="0" w:color="auto"/>
              <w:bottom w:val="single" w:sz="4" w:space="0" w:color="auto"/>
              <w:right w:val="single" w:sz="6" w:space="0" w:color="000000"/>
            </w:tcBorders>
          </w:tcPr>
          <w:p w14:paraId="07DB75B1" w14:textId="77777777" w:rsidR="004F03F2" w:rsidRPr="004F03F2" w:rsidRDefault="004F03F2" w:rsidP="004F03F2">
            <w:pPr>
              <w:ind w:left="-16"/>
              <w:jc w:val="center"/>
              <w:rPr>
                <w:sz w:val="17"/>
                <w:szCs w:val="17"/>
              </w:rPr>
            </w:pPr>
            <w:r w:rsidRPr="004F03F2">
              <w:rPr>
                <w:sz w:val="17"/>
                <w:szCs w:val="17"/>
              </w:rPr>
              <w:t>-0,410</w:t>
            </w:r>
          </w:p>
        </w:tc>
        <w:tc>
          <w:tcPr>
            <w:tcW w:w="1086" w:type="dxa"/>
            <w:tcBorders>
              <w:top w:val="single" w:sz="4" w:space="0" w:color="auto"/>
              <w:left w:val="single" w:sz="4" w:space="0" w:color="auto"/>
              <w:bottom w:val="single" w:sz="4" w:space="0" w:color="auto"/>
              <w:right w:val="single" w:sz="6" w:space="0" w:color="000000"/>
            </w:tcBorders>
          </w:tcPr>
          <w:p w14:paraId="093ECB6A" w14:textId="77777777" w:rsidR="004F03F2" w:rsidRPr="004F03F2" w:rsidRDefault="004F03F2" w:rsidP="00535671">
            <w:pPr>
              <w:jc w:val="center"/>
              <w:rPr>
                <w:sz w:val="17"/>
                <w:szCs w:val="17"/>
              </w:rPr>
            </w:pPr>
            <w:r w:rsidRPr="004F03F2">
              <w:rPr>
                <w:sz w:val="17"/>
                <w:szCs w:val="17"/>
              </w:rPr>
              <w:t>-0,342</w:t>
            </w:r>
          </w:p>
        </w:tc>
      </w:tr>
    </w:tbl>
    <w:p w14:paraId="1A580ED2" w14:textId="213DDCC9" w:rsidR="00ED5A3B" w:rsidRDefault="00ED5A3B" w:rsidP="008653A6">
      <w:pPr>
        <w:jc w:val="center"/>
        <w:rPr>
          <w:rFonts w:eastAsia="Calibri"/>
          <w:szCs w:val="22"/>
          <w:lang w:eastAsia="en-US"/>
        </w:rPr>
      </w:pPr>
    </w:p>
    <w:p w14:paraId="5D4BD5CC" w14:textId="77777777" w:rsidR="00ED5A3B" w:rsidRDefault="00ED5A3B">
      <w:pPr>
        <w:rPr>
          <w:rFonts w:eastAsia="Calibri"/>
          <w:szCs w:val="22"/>
          <w:lang w:eastAsia="en-US"/>
        </w:rPr>
      </w:pPr>
      <w:r>
        <w:rPr>
          <w:rFonts w:eastAsia="Calibri"/>
          <w:szCs w:val="22"/>
          <w:lang w:eastAsia="en-US"/>
        </w:rPr>
        <w:br w:type="page"/>
      </w:r>
    </w:p>
    <w:p w14:paraId="261225B8" w14:textId="77777777" w:rsidR="005A5BD5" w:rsidRPr="00CA3519" w:rsidRDefault="005A5BD5" w:rsidP="008653A6">
      <w:pPr>
        <w:jc w:val="center"/>
        <w:rPr>
          <w:rFonts w:eastAsia="Calibri"/>
          <w:szCs w:val="22"/>
          <w:lang w:eastAsia="en-US"/>
        </w:rPr>
        <w:sectPr w:rsidR="005A5BD5" w:rsidRPr="00CA3519" w:rsidSect="003426CA">
          <w:pgSz w:w="16838" w:h="11906" w:orient="landscape"/>
          <w:pgMar w:top="1418" w:right="1418" w:bottom="1418" w:left="1418" w:header="709" w:footer="709" w:gutter="0"/>
          <w:cols w:space="708"/>
          <w:docGrid w:linePitch="360"/>
        </w:sectPr>
      </w:pPr>
    </w:p>
    <w:p w14:paraId="49959124" w14:textId="77777777" w:rsidR="00ED5A3B" w:rsidRDefault="00ED5A3B">
      <w:pPr>
        <w:rPr>
          <w:rFonts w:eastAsia="Calibri"/>
          <w:szCs w:val="22"/>
          <w:lang w:eastAsia="en-US"/>
        </w:rPr>
      </w:pPr>
    </w:p>
    <w:tbl>
      <w:tblPr>
        <w:tblpPr w:leftFromText="141" w:rightFromText="141" w:horzAnchor="margin" w:tblpXSpec="center" w:tblpY="480"/>
        <w:tblW w:w="15301" w:type="dxa"/>
        <w:tblLayout w:type="fixed"/>
        <w:tblCellMar>
          <w:left w:w="0" w:type="dxa"/>
          <w:right w:w="0" w:type="dxa"/>
        </w:tblCellMar>
        <w:tblLook w:val="04A0" w:firstRow="1" w:lastRow="0" w:firstColumn="1" w:lastColumn="0" w:noHBand="0" w:noVBand="1"/>
      </w:tblPr>
      <w:tblGrid>
        <w:gridCol w:w="1706"/>
        <w:gridCol w:w="2262"/>
        <w:gridCol w:w="1134"/>
        <w:gridCol w:w="1134"/>
        <w:gridCol w:w="1134"/>
        <w:gridCol w:w="1134"/>
        <w:gridCol w:w="1134"/>
        <w:gridCol w:w="1134"/>
        <w:gridCol w:w="1134"/>
        <w:gridCol w:w="1134"/>
        <w:gridCol w:w="1134"/>
        <w:gridCol w:w="1127"/>
      </w:tblGrid>
      <w:tr w:rsidR="00ED5A3B" w:rsidRPr="0061121D" w14:paraId="02723A03" w14:textId="77777777" w:rsidTr="005668C4">
        <w:trPr>
          <w:trHeight w:val="540"/>
        </w:trPr>
        <w:tc>
          <w:tcPr>
            <w:tcW w:w="1706" w:type="dxa"/>
            <w:tcBorders>
              <w:top w:val="single" w:sz="6" w:space="0" w:color="000000"/>
              <w:left w:val="single" w:sz="6" w:space="0" w:color="000000"/>
              <w:bottom w:val="single" w:sz="4" w:space="0" w:color="auto"/>
              <w:right w:val="single" w:sz="6" w:space="0" w:color="000000"/>
            </w:tcBorders>
            <w:tcMar>
              <w:top w:w="45" w:type="dxa"/>
              <w:left w:w="45" w:type="dxa"/>
              <w:bottom w:w="45" w:type="dxa"/>
              <w:right w:w="45" w:type="dxa"/>
            </w:tcMar>
            <w:hideMark/>
          </w:tcPr>
          <w:p w14:paraId="1D607AAC" w14:textId="77777777" w:rsidR="00ED5A3B" w:rsidRPr="00B841A4" w:rsidRDefault="00ED5A3B" w:rsidP="005668C4">
            <w:pPr>
              <w:jc w:val="center"/>
              <w:rPr>
                <w:b/>
                <w:bCs/>
                <w:sz w:val="22"/>
                <w:szCs w:val="22"/>
              </w:rPr>
            </w:pPr>
            <w:r w:rsidRPr="00B841A4">
              <w:rPr>
                <w:b/>
                <w:bCs/>
                <w:sz w:val="22"/>
              </w:rPr>
              <w:t>ZEITRAUM</w:t>
            </w:r>
          </w:p>
        </w:tc>
        <w:tc>
          <w:tcPr>
            <w:tcW w:w="2262" w:type="dxa"/>
            <w:tcBorders>
              <w:top w:val="single" w:sz="6" w:space="0" w:color="000000"/>
              <w:bottom w:val="single" w:sz="4" w:space="0" w:color="auto"/>
              <w:right w:val="single" w:sz="6" w:space="0" w:color="000000"/>
            </w:tcBorders>
            <w:tcMar>
              <w:top w:w="45" w:type="dxa"/>
              <w:left w:w="45" w:type="dxa"/>
              <w:bottom w:w="45" w:type="dxa"/>
              <w:right w:w="45" w:type="dxa"/>
            </w:tcMar>
            <w:hideMark/>
          </w:tcPr>
          <w:p w14:paraId="194EDA93" w14:textId="77777777" w:rsidR="00ED5A3B" w:rsidRPr="00B841A4" w:rsidRDefault="00ED5A3B" w:rsidP="005668C4">
            <w:pPr>
              <w:jc w:val="center"/>
              <w:rPr>
                <w:b/>
                <w:bCs/>
                <w:iCs/>
                <w:sz w:val="22"/>
                <w:szCs w:val="22"/>
              </w:rPr>
            </w:pPr>
            <w:r w:rsidRPr="00B841A4">
              <w:rPr>
                <w:b/>
                <w:bCs/>
                <w:sz w:val="22"/>
              </w:rPr>
              <w:t>BELGISCHES STAATSBLATT</w:t>
            </w:r>
          </w:p>
        </w:tc>
        <w:tc>
          <w:tcPr>
            <w:tcW w:w="1134" w:type="dxa"/>
            <w:tcBorders>
              <w:top w:val="single" w:sz="6" w:space="0" w:color="000000"/>
              <w:bottom w:val="single" w:sz="4" w:space="0" w:color="auto"/>
              <w:right w:val="single" w:sz="6" w:space="0" w:color="000000"/>
            </w:tcBorders>
            <w:tcMar>
              <w:top w:w="45" w:type="dxa"/>
              <w:left w:w="45" w:type="dxa"/>
              <w:bottom w:w="45" w:type="dxa"/>
              <w:right w:w="45" w:type="dxa"/>
            </w:tcMar>
            <w:hideMark/>
          </w:tcPr>
          <w:p w14:paraId="0123F4D3" w14:textId="77777777" w:rsidR="00ED5A3B" w:rsidRPr="00B841A4" w:rsidRDefault="00ED5A3B" w:rsidP="005668C4">
            <w:pPr>
              <w:jc w:val="center"/>
              <w:rPr>
                <w:b/>
                <w:bCs/>
                <w:sz w:val="22"/>
                <w:szCs w:val="22"/>
              </w:rPr>
            </w:pPr>
            <w:r w:rsidRPr="00B841A4">
              <w:rPr>
                <w:b/>
                <w:bCs/>
                <w:sz w:val="22"/>
              </w:rPr>
              <w:t>INDEX A</w:t>
            </w:r>
          </w:p>
        </w:tc>
        <w:tc>
          <w:tcPr>
            <w:tcW w:w="1134" w:type="dxa"/>
            <w:tcBorders>
              <w:top w:val="single" w:sz="6" w:space="0" w:color="000000"/>
              <w:bottom w:val="single" w:sz="4" w:space="0" w:color="auto"/>
              <w:right w:val="single" w:sz="6" w:space="0" w:color="000000"/>
            </w:tcBorders>
            <w:tcMar>
              <w:top w:w="45" w:type="dxa"/>
              <w:left w:w="45" w:type="dxa"/>
              <w:bottom w:w="45" w:type="dxa"/>
              <w:right w:w="45" w:type="dxa"/>
            </w:tcMar>
            <w:hideMark/>
          </w:tcPr>
          <w:p w14:paraId="5B73F7B3" w14:textId="77777777" w:rsidR="00ED5A3B" w:rsidRPr="00B841A4" w:rsidRDefault="00ED5A3B" w:rsidP="005668C4">
            <w:pPr>
              <w:jc w:val="center"/>
              <w:rPr>
                <w:b/>
                <w:bCs/>
                <w:sz w:val="22"/>
                <w:szCs w:val="22"/>
              </w:rPr>
            </w:pPr>
            <w:r w:rsidRPr="00B841A4">
              <w:rPr>
                <w:b/>
                <w:bCs/>
                <w:sz w:val="22"/>
              </w:rPr>
              <w:t>INDEX B</w:t>
            </w:r>
          </w:p>
        </w:tc>
        <w:tc>
          <w:tcPr>
            <w:tcW w:w="1134" w:type="dxa"/>
            <w:tcBorders>
              <w:top w:val="single" w:sz="6" w:space="0" w:color="000000"/>
              <w:bottom w:val="single" w:sz="4" w:space="0" w:color="auto"/>
              <w:right w:val="single" w:sz="6" w:space="0" w:color="000000"/>
            </w:tcBorders>
            <w:tcMar>
              <w:top w:w="45" w:type="dxa"/>
              <w:left w:w="45" w:type="dxa"/>
              <w:bottom w:w="45" w:type="dxa"/>
              <w:right w:w="45" w:type="dxa"/>
            </w:tcMar>
            <w:hideMark/>
          </w:tcPr>
          <w:p w14:paraId="0AF27EF3" w14:textId="77777777" w:rsidR="00ED5A3B" w:rsidRPr="00B841A4" w:rsidRDefault="00ED5A3B" w:rsidP="005668C4">
            <w:pPr>
              <w:jc w:val="center"/>
              <w:rPr>
                <w:b/>
                <w:bCs/>
                <w:sz w:val="22"/>
                <w:szCs w:val="22"/>
              </w:rPr>
            </w:pPr>
            <w:r w:rsidRPr="00B841A4">
              <w:rPr>
                <w:b/>
                <w:bCs/>
                <w:sz w:val="22"/>
              </w:rPr>
              <w:t>INDEX C</w:t>
            </w:r>
          </w:p>
        </w:tc>
        <w:tc>
          <w:tcPr>
            <w:tcW w:w="1134" w:type="dxa"/>
            <w:tcBorders>
              <w:top w:val="single" w:sz="6" w:space="0" w:color="000000"/>
              <w:bottom w:val="single" w:sz="4" w:space="0" w:color="auto"/>
              <w:right w:val="single" w:sz="6" w:space="0" w:color="000000"/>
            </w:tcBorders>
            <w:tcMar>
              <w:top w:w="45" w:type="dxa"/>
              <w:left w:w="45" w:type="dxa"/>
              <w:bottom w:w="45" w:type="dxa"/>
              <w:right w:w="45" w:type="dxa"/>
            </w:tcMar>
            <w:hideMark/>
          </w:tcPr>
          <w:p w14:paraId="13FCE4F4" w14:textId="77777777" w:rsidR="00ED5A3B" w:rsidRPr="00B841A4" w:rsidRDefault="00ED5A3B" w:rsidP="005668C4">
            <w:pPr>
              <w:jc w:val="center"/>
              <w:rPr>
                <w:b/>
                <w:bCs/>
                <w:sz w:val="22"/>
                <w:szCs w:val="22"/>
              </w:rPr>
            </w:pPr>
            <w:r w:rsidRPr="00B841A4">
              <w:rPr>
                <w:b/>
                <w:bCs/>
                <w:sz w:val="22"/>
              </w:rPr>
              <w:t>INDEX D</w:t>
            </w:r>
          </w:p>
        </w:tc>
        <w:tc>
          <w:tcPr>
            <w:tcW w:w="1134" w:type="dxa"/>
            <w:tcBorders>
              <w:top w:val="single" w:sz="6" w:space="0" w:color="000000"/>
              <w:bottom w:val="single" w:sz="4" w:space="0" w:color="auto"/>
              <w:right w:val="single" w:sz="6" w:space="0" w:color="000000"/>
            </w:tcBorders>
            <w:tcMar>
              <w:top w:w="45" w:type="dxa"/>
              <w:left w:w="45" w:type="dxa"/>
              <w:bottom w:w="45" w:type="dxa"/>
              <w:right w:w="45" w:type="dxa"/>
            </w:tcMar>
            <w:hideMark/>
          </w:tcPr>
          <w:p w14:paraId="67E832B7" w14:textId="77777777" w:rsidR="00ED5A3B" w:rsidRPr="00B841A4" w:rsidRDefault="00ED5A3B" w:rsidP="005668C4">
            <w:pPr>
              <w:jc w:val="center"/>
              <w:rPr>
                <w:b/>
                <w:bCs/>
                <w:sz w:val="22"/>
                <w:szCs w:val="22"/>
              </w:rPr>
            </w:pPr>
            <w:r w:rsidRPr="00B841A4">
              <w:rPr>
                <w:b/>
                <w:bCs/>
                <w:sz w:val="22"/>
              </w:rPr>
              <w:t>INDEX E</w:t>
            </w:r>
          </w:p>
        </w:tc>
        <w:tc>
          <w:tcPr>
            <w:tcW w:w="1134" w:type="dxa"/>
            <w:tcBorders>
              <w:top w:val="single" w:sz="6" w:space="0" w:color="000000"/>
              <w:bottom w:val="single" w:sz="4" w:space="0" w:color="auto"/>
              <w:right w:val="single" w:sz="6" w:space="0" w:color="000000"/>
            </w:tcBorders>
            <w:tcMar>
              <w:top w:w="45" w:type="dxa"/>
              <w:left w:w="45" w:type="dxa"/>
              <w:bottom w:w="45" w:type="dxa"/>
              <w:right w:w="45" w:type="dxa"/>
            </w:tcMar>
            <w:hideMark/>
          </w:tcPr>
          <w:p w14:paraId="51EE7AA9" w14:textId="77777777" w:rsidR="00ED5A3B" w:rsidRPr="00B841A4" w:rsidRDefault="00ED5A3B" w:rsidP="005668C4">
            <w:pPr>
              <w:jc w:val="center"/>
              <w:rPr>
                <w:b/>
                <w:bCs/>
                <w:sz w:val="22"/>
                <w:szCs w:val="22"/>
              </w:rPr>
            </w:pPr>
            <w:r w:rsidRPr="00B841A4">
              <w:rPr>
                <w:b/>
                <w:bCs/>
                <w:sz w:val="22"/>
              </w:rPr>
              <w:t>INDEX F</w:t>
            </w:r>
          </w:p>
        </w:tc>
        <w:tc>
          <w:tcPr>
            <w:tcW w:w="1134" w:type="dxa"/>
            <w:tcBorders>
              <w:top w:val="single" w:sz="6" w:space="0" w:color="000000"/>
              <w:bottom w:val="single" w:sz="4" w:space="0" w:color="auto"/>
              <w:right w:val="single" w:sz="6" w:space="0" w:color="000000"/>
            </w:tcBorders>
            <w:tcMar>
              <w:top w:w="45" w:type="dxa"/>
              <w:left w:w="45" w:type="dxa"/>
              <w:bottom w:w="45" w:type="dxa"/>
              <w:right w:w="45" w:type="dxa"/>
            </w:tcMar>
            <w:hideMark/>
          </w:tcPr>
          <w:p w14:paraId="44E4799D" w14:textId="77777777" w:rsidR="00ED5A3B" w:rsidRPr="00B841A4" w:rsidRDefault="00ED5A3B" w:rsidP="005668C4">
            <w:pPr>
              <w:jc w:val="center"/>
              <w:rPr>
                <w:b/>
                <w:bCs/>
                <w:sz w:val="22"/>
                <w:szCs w:val="22"/>
              </w:rPr>
            </w:pPr>
            <w:r w:rsidRPr="00B841A4">
              <w:rPr>
                <w:b/>
                <w:bCs/>
                <w:sz w:val="22"/>
              </w:rPr>
              <w:t>INDEX G</w:t>
            </w:r>
          </w:p>
        </w:tc>
        <w:tc>
          <w:tcPr>
            <w:tcW w:w="1134" w:type="dxa"/>
            <w:tcBorders>
              <w:top w:val="single" w:sz="6" w:space="0" w:color="000000"/>
              <w:bottom w:val="single" w:sz="4" w:space="0" w:color="auto"/>
              <w:right w:val="single" w:sz="6" w:space="0" w:color="000000"/>
            </w:tcBorders>
            <w:tcMar>
              <w:top w:w="45" w:type="dxa"/>
              <w:left w:w="45" w:type="dxa"/>
              <w:bottom w:w="45" w:type="dxa"/>
              <w:right w:w="45" w:type="dxa"/>
            </w:tcMar>
            <w:hideMark/>
          </w:tcPr>
          <w:p w14:paraId="0C1A5C2C" w14:textId="77777777" w:rsidR="00ED5A3B" w:rsidRPr="00B841A4" w:rsidRDefault="00ED5A3B" w:rsidP="005668C4">
            <w:pPr>
              <w:jc w:val="center"/>
              <w:rPr>
                <w:b/>
                <w:bCs/>
                <w:sz w:val="22"/>
                <w:szCs w:val="22"/>
              </w:rPr>
            </w:pPr>
            <w:r w:rsidRPr="00B841A4">
              <w:rPr>
                <w:b/>
                <w:bCs/>
                <w:sz w:val="22"/>
              </w:rPr>
              <w:t>INDEX H</w:t>
            </w:r>
          </w:p>
        </w:tc>
        <w:tc>
          <w:tcPr>
            <w:tcW w:w="1134" w:type="dxa"/>
            <w:tcBorders>
              <w:top w:val="single" w:sz="6" w:space="0" w:color="000000"/>
              <w:bottom w:val="single" w:sz="4" w:space="0" w:color="auto"/>
              <w:right w:val="single" w:sz="6" w:space="0" w:color="000000"/>
            </w:tcBorders>
            <w:tcMar>
              <w:top w:w="45" w:type="dxa"/>
              <w:left w:w="45" w:type="dxa"/>
              <w:bottom w:w="45" w:type="dxa"/>
              <w:right w:w="45" w:type="dxa"/>
            </w:tcMar>
            <w:hideMark/>
          </w:tcPr>
          <w:p w14:paraId="6A4EB92E" w14:textId="77777777" w:rsidR="00ED5A3B" w:rsidRPr="00B841A4" w:rsidRDefault="00ED5A3B" w:rsidP="005668C4">
            <w:pPr>
              <w:jc w:val="center"/>
              <w:rPr>
                <w:b/>
                <w:bCs/>
                <w:sz w:val="22"/>
                <w:szCs w:val="22"/>
              </w:rPr>
            </w:pPr>
            <w:r w:rsidRPr="00B841A4">
              <w:rPr>
                <w:b/>
                <w:bCs/>
                <w:sz w:val="22"/>
              </w:rPr>
              <w:t>INDEX I</w:t>
            </w:r>
          </w:p>
        </w:tc>
        <w:tc>
          <w:tcPr>
            <w:tcW w:w="1127" w:type="dxa"/>
            <w:tcBorders>
              <w:top w:val="single" w:sz="6" w:space="0" w:color="000000"/>
              <w:bottom w:val="single" w:sz="4" w:space="0" w:color="auto"/>
              <w:right w:val="single" w:sz="6" w:space="0" w:color="000000"/>
            </w:tcBorders>
            <w:tcMar>
              <w:top w:w="45" w:type="dxa"/>
              <w:left w:w="45" w:type="dxa"/>
              <w:bottom w:w="45" w:type="dxa"/>
              <w:right w:w="45" w:type="dxa"/>
            </w:tcMar>
            <w:hideMark/>
          </w:tcPr>
          <w:p w14:paraId="69231890" w14:textId="77777777" w:rsidR="00ED5A3B" w:rsidRPr="00B841A4" w:rsidRDefault="00ED5A3B" w:rsidP="005668C4">
            <w:pPr>
              <w:jc w:val="center"/>
              <w:rPr>
                <w:b/>
                <w:bCs/>
                <w:sz w:val="22"/>
                <w:szCs w:val="22"/>
              </w:rPr>
            </w:pPr>
            <w:r w:rsidRPr="00B841A4">
              <w:rPr>
                <w:b/>
                <w:bCs/>
                <w:sz w:val="22"/>
              </w:rPr>
              <w:t>INDEX J</w:t>
            </w:r>
          </w:p>
        </w:tc>
      </w:tr>
      <w:tr w:rsidR="00ED5A3B" w:rsidRPr="0061121D" w14:paraId="600313C4" w14:textId="77777777" w:rsidTr="005668C4">
        <w:trPr>
          <w:trHeight w:val="280"/>
        </w:trPr>
        <w:tc>
          <w:tcPr>
            <w:tcW w:w="1706" w:type="dxa"/>
            <w:tcBorders>
              <w:top w:val="single" w:sz="4" w:space="0" w:color="auto"/>
              <w:left w:val="single" w:sz="6" w:space="0" w:color="000000"/>
              <w:bottom w:val="single" w:sz="4" w:space="0" w:color="auto"/>
              <w:right w:val="single" w:sz="6" w:space="0" w:color="000000"/>
            </w:tcBorders>
            <w:tcMar>
              <w:top w:w="45" w:type="dxa"/>
              <w:left w:w="45" w:type="dxa"/>
              <w:bottom w:w="45" w:type="dxa"/>
              <w:right w:w="45" w:type="dxa"/>
            </w:tcMar>
          </w:tcPr>
          <w:p w14:paraId="73283591" w14:textId="77777777" w:rsidR="00ED5A3B" w:rsidRPr="0061121D" w:rsidRDefault="00ED5A3B" w:rsidP="005668C4">
            <w:pPr>
              <w:rPr>
                <w:sz w:val="22"/>
                <w:szCs w:val="22"/>
              </w:rPr>
            </w:pPr>
            <w:r>
              <w:rPr>
                <w:sz w:val="22"/>
              </w:rPr>
              <w:t>Januar 2021</w:t>
            </w:r>
          </w:p>
        </w:tc>
        <w:tc>
          <w:tcPr>
            <w:tcW w:w="2262" w:type="dxa"/>
            <w:tcBorders>
              <w:top w:val="single" w:sz="4" w:space="0" w:color="auto"/>
              <w:bottom w:val="single" w:sz="4" w:space="0" w:color="auto"/>
              <w:right w:val="single" w:sz="6" w:space="0" w:color="000000"/>
            </w:tcBorders>
            <w:tcMar>
              <w:top w:w="45" w:type="dxa"/>
              <w:left w:w="45" w:type="dxa"/>
              <w:bottom w:w="45" w:type="dxa"/>
              <w:right w:w="45" w:type="dxa"/>
            </w:tcMar>
          </w:tcPr>
          <w:p w14:paraId="689BE985" w14:textId="77777777" w:rsidR="00ED5A3B" w:rsidRPr="0061121D" w:rsidRDefault="00ED5A3B" w:rsidP="005668C4">
            <w:pPr>
              <w:jc w:val="center"/>
              <w:rPr>
                <w:sz w:val="22"/>
                <w:szCs w:val="22"/>
              </w:rPr>
            </w:pPr>
            <w:r>
              <w:rPr>
                <w:sz w:val="22"/>
              </w:rPr>
              <w:t>15.01.2021 Ausg. 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05A8F2C" w14:textId="77777777" w:rsidR="00ED5A3B" w:rsidRPr="0061121D" w:rsidRDefault="00ED5A3B" w:rsidP="005668C4">
            <w:pPr>
              <w:jc w:val="center"/>
              <w:rPr>
                <w:sz w:val="22"/>
                <w:szCs w:val="22"/>
              </w:rPr>
            </w:pPr>
            <w:r>
              <w:rPr>
                <w:sz w:val="22"/>
              </w:rPr>
              <w:t>-0,652</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6D336E7D" w14:textId="77777777" w:rsidR="00ED5A3B" w:rsidRPr="0061121D" w:rsidRDefault="00ED5A3B" w:rsidP="005668C4">
            <w:pPr>
              <w:jc w:val="center"/>
              <w:rPr>
                <w:sz w:val="22"/>
                <w:szCs w:val="22"/>
              </w:rPr>
            </w:pPr>
            <w:r>
              <w:rPr>
                <w:sz w:val="22"/>
              </w:rPr>
              <w:t>-0,715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692293A4" w14:textId="77777777" w:rsidR="00ED5A3B" w:rsidRPr="0061121D" w:rsidRDefault="00ED5A3B" w:rsidP="005668C4">
            <w:pPr>
              <w:jc w:val="center"/>
              <w:rPr>
                <w:sz w:val="22"/>
                <w:szCs w:val="22"/>
              </w:rPr>
            </w:pPr>
            <w:r>
              <w:rPr>
                <w:sz w:val="22"/>
              </w:rPr>
              <w:t>-0,735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6E86D982" w14:textId="77777777" w:rsidR="00ED5A3B" w:rsidRPr="0061121D" w:rsidRDefault="00ED5A3B" w:rsidP="005668C4">
            <w:pPr>
              <w:jc w:val="center"/>
              <w:rPr>
                <w:sz w:val="22"/>
                <w:szCs w:val="22"/>
              </w:rPr>
            </w:pPr>
            <w:r>
              <w:rPr>
                <w:sz w:val="22"/>
              </w:rPr>
              <w:t>-0,710</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65355C0" w14:textId="77777777" w:rsidR="00ED5A3B" w:rsidRPr="0061121D" w:rsidRDefault="00ED5A3B" w:rsidP="005668C4">
            <w:pPr>
              <w:jc w:val="center"/>
              <w:rPr>
                <w:sz w:val="22"/>
                <w:szCs w:val="22"/>
              </w:rPr>
            </w:pPr>
            <w:r>
              <w:rPr>
                <w:sz w:val="22"/>
              </w:rPr>
              <w:t>-0,665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60D749B" w14:textId="77777777" w:rsidR="00ED5A3B" w:rsidRPr="0061121D" w:rsidRDefault="00ED5A3B" w:rsidP="005668C4">
            <w:pPr>
              <w:jc w:val="center"/>
              <w:rPr>
                <w:sz w:val="22"/>
                <w:szCs w:val="22"/>
              </w:rPr>
            </w:pPr>
            <w:r>
              <w:rPr>
                <w:sz w:val="22"/>
              </w:rPr>
              <w:t>-0,619</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D3F0738" w14:textId="77777777" w:rsidR="00ED5A3B" w:rsidRPr="0061121D" w:rsidRDefault="00ED5A3B" w:rsidP="005668C4">
            <w:pPr>
              <w:jc w:val="center"/>
              <w:rPr>
                <w:sz w:val="22"/>
                <w:szCs w:val="22"/>
              </w:rPr>
            </w:pPr>
            <w:r>
              <w:rPr>
                <w:sz w:val="22"/>
              </w:rPr>
              <w:t>-0,565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604CFEE" w14:textId="77777777" w:rsidR="00ED5A3B" w:rsidRPr="0061121D" w:rsidRDefault="00ED5A3B" w:rsidP="005668C4">
            <w:pPr>
              <w:jc w:val="center"/>
              <w:rPr>
                <w:sz w:val="22"/>
                <w:szCs w:val="22"/>
              </w:rPr>
            </w:pPr>
            <w:r>
              <w:rPr>
                <w:sz w:val="22"/>
              </w:rPr>
              <w:t>-0,500</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1A9961C" w14:textId="77777777" w:rsidR="00ED5A3B" w:rsidRPr="0061121D" w:rsidRDefault="00ED5A3B" w:rsidP="005668C4">
            <w:pPr>
              <w:jc w:val="center"/>
              <w:rPr>
                <w:sz w:val="22"/>
                <w:szCs w:val="22"/>
              </w:rPr>
            </w:pPr>
            <w:r>
              <w:rPr>
                <w:sz w:val="22"/>
              </w:rPr>
              <w:t>-0,429</w:t>
            </w:r>
          </w:p>
        </w:tc>
        <w:tc>
          <w:tcPr>
            <w:tcW w:w="1127" w:type="dxa"/>
            <w:tcBorders>
              <w:top w:val="single" w:sz="4" w:space="0" w:color="auto"/>
              <w:bottom w:val="single" w:sz="4" w:space="0" w:color="auto"/>
              <w:right w:val="single" w:sz="6" w:space="0" w:color="000000"/>
            </w:tcBorders>
            <w:tcMar>
              <w:top w:w="45" w:type="dxa"/>
              <w:left w:w="45" w:type="dxa"/>
              <w:bottom w:w="45" w:type="dxa"/>
              <w:right w:w="45" w:type="dxa"/>
            </w:tcMar>
          </w:tcPr>
          <w:p w14:paraId="61F06FEF" w14:textId="77777777" w:rsidR="00ED5A3B" w:rsidRPr="0061121D" w:rsidRDefault="00ED5A3B" w:rsidP="005668C4">
            <w:pPr>
              <w:jc w:val="center"/>
              <w:rPr>
                <w:sz w:val="22"/>
                <w:szCs w:val="22"/>
              </w:rPr>
            </w:pPr>
            <w:r>
              <w:rPr>
                <w:sz w:val="22"/>
              </w:rPr>
              <w:t>-0,359</w:t>
            </w:r>
          </w:p>
        </w:tc>
      </w:tr>
      <w:tr w:rsidR="00ED5A3B" w:rsidRPr="0061121D" w14:paraId="01BF02E6" w14:textId="77777777" w:rsidTr="005668C4">
        <w:trPr>
          <w:trHeight w:val="280"/>
        </w:trPr>
        <w:tc>
          <w:tcPr>
            <w:tcW w:w="1706" w:type="dxa"/>
            <w:tcBorders>
              <w:top w:val="single" w:sz="4" w:space="0" w:color="auto"/>
              <w:left w:val="single" w:sz="6" w:space="0" w:color="000000"/>
              <w:bottom w:val="single" w:sz="4" w:space="0" w:color="auto"/>
              <w:right w:val="single" w:sz="6" w:space="0" w:color="000000"/>
            </w:tcBorders>
            <w:tcMar>
              <w:top w:w="45" w:type="dxa"/>
              <w:left w:w="45" w:type="dxa"/>
              <w:bottom w:w="45" w:type="dxa"/>
              <w:right w:w="45" w:type="dxa"/>
            </w:tcMar>
          </w:tcPr>
          <w:p w14:paraId="711A39BD" w14:textId="77777777" w:rsidR="00ED5A3B" w:rsidRPr="0061121D" w:rsidRDefault="00ED5A3B" w:rsidP="005668C4">
            <w:pPr>
              <w:rPr>
                <w:sz w:val="22"/>
                <w:szCs w:val="22"/>
              </w:rPr>
            </w:pPr>
            <w:r>
              <w:rPr>
                <w:sz w:val="22"/>
              </w:rPr>
              <w:t>Februar 2021</w:t>
            </w:r>
          </w:p>
        </w:tc>
        <w:tc>
          <w:tcPr>
            <w:tcW w:w="2262" w:type="dxa"/>
            <w:tcBorders>
              <w:top w:val="single" w:sz="4" w:space="0" w:color="auto"/>
              <w:bottom w:val="single" w:sz="4" w:space="0" w:color="auto"/>
              <w:right w:val="single" w:sz="6" w:space="0" w:color="000000"/>
            </w:tcBorders>
            <w:tcMar>
              <w:top w:w="45" w:type="dxa"/>
              <w:left w:w="45" w:type="dxa"/>
              <w:bottom w:w="45" w:type="dxa"/>
              <w:right w:w="45" w:type="dxa"/>
            </w:tcMar>
          </w:tcPr>
          <w:p w14:paraId="16260B50" w14:textId="77777777" w:rsidR="00ED5A3B" w:rsidRPr="0061121D" w:rsidRDefault="00ED5A3B" w:rsidP="005668C4">
            <w:pPr>
              <w:jc w:val="center"/>
              <w:rPr>
                <w:sz w:val="22"/>
                <w:szCs w:val="22"/>
              </w:rPr>
            </w:pPr>
            <w:r>
              <w:rPr>
                <w:sz w:val="22"/>
              </w:rPr>
              <w:t>17.02.2021 Ausg. 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C8CB515" w14:textId="77777777" w:rsidR="00ED5A3B" w:rsidRPr="0061121D" w:rsidRDefault="00ED5A3B" w:rsidP="005668C4">
            <w:pPr>
              <w:jc w:val="center"/>
              <w:rPr>
                <w:sz w:val="22"/>
                <w:szCs w:val="22"/>
              </w:rPr>
            </w:pPr>
            <w:r>
              <w:rPr>
                <w:sz w:val="22"/>
              </w:rPr>
              <w:t>-0,628</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D0BC93C" w14:textId="77777777" w:rsidR="00ED5A3B" w:rsidRPr="0061121D" w:rsidRDefault="00ED5A3B" w:rsidP="005668C4">
            <w:pPr>
              <w:jc w:val="center"/>
              <w:rPr>
                <w:sz w:val="22"/>
                <w:szCs w:val="22"/>
              </w:rPr>
            </w:pPr>
            <w:r>
              <w:rPr>
                <w:sz w:val="22"/>
              </w:rPr>
              <w:t>-0,676</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5833DE22" w14:textId="77777777" w:rsidR="00ED5A3B" w:rsidRPr="0061121D" w:rsidRDefault="00ED5A3B" w:rsidP="005668C4">
            <w:pPr>
              <w:jc w:val="center"/>
              <w:rPr>
                <w:sz w:val="22"/>
                <w:szCs w:val="22"/>
              </w:rPr>
            </w:pPr>
            <w:r>
              <w:rPr>
                <w:sz w:val="22"/>
              </w:rPr>
              <w:t>-0,692</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58DDA84D" w14:textId="77777777" w:rsidR="00ED5A3B" w:rsidRPr="0061121D" w:rsidRDefault="00ED5A3B" w:rsidP="005668C4">
            <w:pPr>
              <w:jc w:val="center"/>
              <w:rPr>
                <w:sz w:val="22"/>
                <w:szCs w:val="22"/>
              </w:rPr>
            </w:pPr>
            <w:r>
              <w:rPr>
                <w:sz w:val="22"/>
              </w:rPr>
              <w:t>-0,664</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A8E65AB" w14:textId="77777777" w:rsidR="00ED5A3B" w:rsidRPr="0061121D" w:rsidRDefault="00ED5A3B" w:rsidP="005668C4">
            <w:pPr>
              <w:jc w:val="center"/>
              <w:rPr>
                <w:sz w:val="22"/>
                <w:szCs w:val="22"/>
              </w:rPr>
            </w:pPr>
            <w:r>
              <w:rPr>
                <w:sz w:val="22"/>
              </w:rPr>
              <w:t>-0,617</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53DF26D7" w14:textId="77777777" w:rsidR="00ED5A3B" w:rsidRPr="0061121D" w:rsidRDefault="00ED5A3B" w:rsidP="005668C4">
            <w:pPr>
              <w:jc w:val="center"/>
              <w:rPr>
                <w:sz w:val="22"/>
                <w:szCs w:val="22"/>
              </w:rPr>
            </w:pPr>
            <w:r>
              <w:rPr>
                <w:sz w:val="22"/>
              </w:rPr>
              <w:t>-0,562</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2E1D827" w14:textId="77777777" w:rsidR="00ED5A3B" w:rsidRPr="0061121D" w:rsidRDefault="00ED5A3B" w:rsidP="005668C4">
            <w:pPr>
              <w:jc w:val="center"/>
              <w:rPr>
                <w:sz w:val="22"/>
                <w:szCs w:val="22"/>
              </w:rPr>
            </w:pPr>
            <w:r>
              <w:rPr>
                <w:sz w:val="22"/>
              </w:rPr>
              <w:t>-0,504</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1D2E260A" w14:textId="77777777" w:rsidR="00ED5A3B" w:rsidRPr="0061121D" w:rsidRDefault="00ED5A3B" w:rsidP="005668C4">
            <w:pPr>
              <w:jc w:val="center"/>
              <w:rPr>
                <w:sz w:val="22"/>
                <w:szCs w:val="22"/>
              </w:rPr>
            </w:pPr>
            <w:r>
              <w:rPr>
                <w:sz w:val="22"/>
              </w:rPr>
              <w:t>-0,433</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E760742" w14:textId="77777777" w:rsidR="00ED5A3B" w:rsidRPr="0061121D" w:rsidRDefault="00ED5A3B" w:rsidP="005668C4">
            <w:pPr>
              <w:jc w:val="center"/>
              <w:rPr>
                <w:sz w:val="22"/>
                <w:szCs w:val="22"/>
              </w:rPr>
            </w:pPr>
            <w:r>
              <w:rPr>
                <w:sz w:val="22"/>
              </w:rPr>
              <w:t>-0,357</w:t>
            </w:r>
          </w:p>
        </w:tc>
        <w:tc>
          <w:tcPr>
            <w:tcW w:w="1127" w:type="dxa"/>
            <w:tcBorders>
              <w:top w:val="single" w:sz="4" w:space="0" w:color="auto"/>
              <w:bottom w:val="single" w:sz="4" w:space="0" w:color="auto"/>
              <w:right w:val="single" w:sz="6" w:space="0" w:color="000000"/>
            </w:tcBorders>
            <w:tcMar>
              <w:top w:w="45" w:type="dxa"/>
              <w:left w:w="45" w:type="dxa"/>
              <w:bottom w:w="45" w:type="dxa"/>
              <w:right w:w="45" w:type="dxa"/>
            </w:tcMar>
          </w:tcPr>
          <w:p w14:paraId="6101163D" w14:textId="77777777" w:rsidR="00ED5A3B" w:rsidRPr="0061121D" w:rsidRDefault="00ED5A3B" w:rsidP="005668C4">
            <w:pPr>
              <w:jc w:val="center"/>
              <w:rPr>
                <w:sz w:val="22"/>
                <w:szCs w:val="22"/>
              </w:rPr>
            </w:pPr>
            <w:r>
              <w:rPr>
                <w:sz w:val="22"/>
              </w:rPr>
              <w:t>-0,281</w:t>
            </w:r>
          </w:p>
        </w:tc>
      </w:tr>
      <w:tr w:rsidR="00ED5A3B" w:rsidRPr="0061121D" w14:paraId="02D1E871" w14:textId="77777777" w:rsidTr="005668C4">
        <w:trPr>
          <w:trHeight w:val="280"/>
        </w:trPr>
        <w:tc>
          <w:tcPr>
            <w:tcW w:w="1706" w:type="dxa"/>
            <w:tcBorders>
              <w:top w:val="single" w:sz="4" w:space="0" w:color="auto"/>
              <w:left w:val="single" w:sz="6" w:space="0" w:color="000000"/>
              <w:bottom w:val="single" w:sz="4" w:space="0" w:color="auto"/>
              <w:right w:val="single" w:sz="6" w:space="0" w:color="000000"/>
            </w:tcBorders>
            <w:tcMar>
              <w:top w:w="45" w:type="dxa"/>
              <w:left w:w="45" w:type="dxa"/>
              <w:bottom w:w="45" w:type="dxa"/>
              <w:right w:w="45" w:type="dxa"/>
            </w:tcMar>
          </w:tcPr>
          <w:p w14:paraId="17DED1C7" w14:textId="77777777" w:rsidR="00ED5A3B" w:rsidRPr="0061121D" w:rsidRDefault="00ED5A3B" w:rsidP="005668C4">
            <w:pPr>
              <w:rPr>
                <w:sz w:val="22"/>
                <w:szCs w:val="22"/>
              </w:rPr>
            </w:pPr>
            <w:r>
              <w:rPr>
                <w:sz w:val="22"/>
              </w:rPr>
              <w:t>März 2021</w:t>
            </w:r>
          </w:p>
        </w:tc>
        <w:tc>
          <w:tcPr>
            <w:tcW w:w="2262" w:type="dxa"/>
            <w:tcBorders>
              <w:top w:val="single" w:sz="4" w:space="0" w:color="auto"/>
              <w:bottom w:val="single" w:sz="4" w:space="0" w:color="auto"/>
              <w:right w:val="single" w:sz="6" w:space="0" w:color="000000"/>
            </w:tcBorders>
            <w:tcMar>
              <w:top w:w="45" w:type="dxa"/>
              <w:left w:w="45" w:type="dxa"/>
              <w:bottom w:w="45" w:type="dxa"/>
              <w:right w:w="45" w:type="dxa"/>
            </w:tcMar>
          </w:tcPr>
          <w:p w14:paraId="5A2276D1" w14:textId="77777777" w:rsidR="00ED5A3B" w:rsidRPr="0061121D" w:rsidRDefault="00ED5A3B" w:rsidP="005668C4">
            <w:pPr>
              <w:jc w:val="center"/>
              <w:rPr>
                <w:sz w:val="22"/>
                <w:szCs w:val="22"/>
              </w:rPr>
            </w:pPr>
            <w:r>
              <w:rPr>
                <w:sz w:val="22"/>
              </w:rPr>
              <w:t>16.03.2021 Ausg. 2</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77351141" w14:textId="77777777" w:rsidR="00ED5A3B" w:rsidRPr="0061121D" w:rsidRDefault="00ED5A3B" w:rsidP="005668C4">
            <w:pPr>
              <w:jc w:val="center"/>
              <w:rPr>
                <w:sz w:val="22"/>
                <w:szCs w:val="22"/>
              </w:rPr>
            </w:pPr>
            <w:r>
              <w:rPr>
                <w:sz w:val="22"/>
              </w:rPr>
              <w:t>-0,612</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9E3E8F1" w14:textId="77777777" w:rsidR="00ED5A3B" w:rsidRPr="0061121D" w:rsidRDefault="00ED5A3B" w:rsidP="005668C4">
            <w:pPr>
              <w:jc w:val="center"/>
              <w:rPr>
                <w:sz w:val="22"/>
                <w:szCs w:val="22"/>
              </w:rPr>
            </w:pPr>
            <w:r>
              <w:rPr>
                <w:sz w:val="22"/>
              </w:rPr>
              <w:t>-0,628</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76C48FB" w14:textId="77777777" w:rsidR="00ED5A3B" w:rsidRPr="0061121D" w:rsidRDefault="00ED5A3B" w:rsidP="005668C4">
            <w:pPr>
              <w:jc w:val="center"/>
              <w:rPr>
                <w:sz w:val="22"/>
                <w:szCs w:val="22"/>
              </w:rPr>
            </w:pPr>
            <w:r>
              <w:rPr>
                <w:sz w:val="22"/>
              </w:rPr>
              <w:t>-0,628</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2038A073" w14:textId="77777777" w:rsidR="00ED5A3B" w:rsidRPr="0061121D" w:rsidRDefault="00ED5A3B" w:rsidP="005668C4">
            <w:pPr>
              <w:jc w:val="center"/>
              <w:rPr>
                <w:sz w:val="22"/>
                <w:szCs w:val="22"/>
              </w:rPr>
            </w:pPr>
            <w:r>
              <w:rPr>
                <w:sz w:val="22"/>
              </w:rPr>
              <w:t>-0,587</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7701865" w14:textId="77777777" w:rsidR="00ED5A3B" w:rsidRPr="0061121D" w:rsidRDefault="00ED5A3B" w:rsidP="005668C4">
            <w:pPr>
              <w:jc w:val="center"/>
              <w:rPr>
                <w:sz w:val="22"/>
                <w:szCs w:val="22"/>
              </w:rPr>
            </w:pPr>
            <w:r>
              <w:rPr>
                <w:sz w:val="22"/>
              </w:rPr>
              <w:t>-0,514</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6264B281" w14:textId="77777777" w:rsidR="00ED5A3B" w:rsidRPr="0061121D" w:rsidRDefault="00ED5A3B" w:rsidP="005668C4">
            <w:pPr>
              <w:jc w:val="center"/>
              <w:rPr>
                <w:sz w:val="22"/>
                <w:szCs w:val="22"/>
              </w:rPr>
            </w:pPr>
            <w:r>
              <w:rPr>
                <w:sz w:val="22"/>
              </w:rPr>
              <w:t>-0,433</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C20FA92" w14:textId="77777777" w:rsidR="00ED5A3B" w:rsidRPr="0061121D" w:rsidRDefault="00ED5A3B" w:rsidP="005668C4">
            <w:pPr>
              <w:jc w:val="center"/>
              <w:rPr>
                <w:sz w:val="22"/>
                <w:szCs w:val="22"/>
              </w:rPr>
            </w:pPr>
            <w:r>
              <w:rPr>
                <w:sz w:val="22"/>
              </w:rPr>
              <w:t>-0,351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2839889C" w14:textId="77777777" w:rsidR="00ED5A3B" w:rsidRPr="0061121D" w:rsidRDefault="00ED5A3B" w:rsidP="005668C4">
            <w:pPr>
              <w:jc w:val="center"/>
              <w:rPr>
                <w:sz w:val="22"/>
                <w:szCs w:val="22"/>
              </w:rPr>
            </w:pPr>
            <w:r>
              <w:rPr>
                <w:sz w:val="22"/>
              </w:rPr>
              <w:t>-0,264</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23A8CC8" w14:textId="77777777" w:rsidR="00ED5A3B" w:rsidRPr="0061121D" w:rsidRDefault="00ED5A3B" w:rsidP="005668C4">
            <w:pPr>
              <w:jc w:val="center"/>
              <w:rPr>
                <w:sz w:val="22"/>
                <w:szCs w:val="22"/>
              </w:rPr>
            </w:pPr>
            <w:r>
              <w:rPr>
                <w:sz w:val="22"/>
              </w:rPr>
              <w:t>-0,171</w:t>
            </w:r>
          </w:p>
        </w:tc>
        <w:tc>
          <w:tcPr>
            <w:tcW w:w="1127" w:type="dxa"/>
            <w:tcBorders>
              <w:top w:val="single" w:sz="4" w:space="0" w:color="auto"/>
              <w:bottom w:val="single" w:sz="4" w:space="0" w:color="auto"/>
              <w:right w:val="single" w:sz="6" w:space="0" w:color="000000"/>
            </w:tcBorders>
            <w:tcMar>
              <w:top w:w="45" w:type="dxa"/>
              <w:left w:w="45" w:type="dxa"/>
              <w:bottom w:w="45" w:type="dxa"/>
              <w:right w:w="45" w:type="dxa"/>
            </w:tcMar>
          </w:tcPr>
          <w:p w14:paraId="5B37B2C4" w14:textId="77777777" w:rsidR="00ED5A3B" w:rsidRPr="0061121D" w:rsidRDefault="00ED5A3B" w:rsidP="005668C4">
            <w:pPr>
              <w:jc w:val="center"/>
              <w:rPr>
                <w:sz w:val="22"/>
                <w:szCs w:val="22"/>
              </w:rPr>
            </w:pPr>
            <w:r>
              <w:rPr>
                <w:sz w:val="22"/>
              </w:rPr>
              <w:t>-0,081</w:t>
            </w:r>
          </w:p>
        </w:tc>
      </w:tr>
      <w:tr w:rsidR="00ED5A3B" w:rsidRPr="0061121D" w14:paraId="7CBFFB51" w14:textId="77777777" w:rsidTr="005668C4">
        <w:trPr>
          <w:trHeight w:val="280"/>
        </w:trPr>
        <w:tc>
          <w:tcPr>
            <w:tcW w:w="1706" w:type="dxa"/>
            <w:tcBorders>
              <w:top w:val="single" w:sz="4" w:space="0" w:color="auto"/>
              <w:left w:val="single" w:sz="6" w:space="0" w:color="000000"/>
              <w:bottom w:val="single" w:sz="4" w:space="0" w:color="auto"/>
              <w:right w:val="single" w:sz="6" w:space="0" w:color="000000"/>
            </w:tcBorders>
            <w:tcMar>
              <w:top w:w="45" w:type="dxa"/>
              <w:left w:w="45" w:type="dxa"/>
              <w:bottom w:w="45" w:type="dxa"/>
              <w:right w:w="45" w:type="dxa"/>
            </w:tcMar>
          </w:tcPr>
          <w:p w14:paraId="49CEE55B" w14:textId="77777777" w:rsidR="00ED5A3B" w:rsidRPr="0061121D" w:rsidRDefault="00ED5A3B" w:rsidP="005668C4">
            <w:pPr>
              <w:rPr>
                <w:sz w:val="22"/>
                <w:szCs w:val="22"/>
              </w:rPr>
            </w:pPr>
            <w:r>
              <w:rPr>
                <w:sz w:val="22"/>
              </w:rPr>
              <w:t>April 2021</w:t>
            </w:r>
          </w:p>
        </w:tc>
        <w:tc>
          <w:tcPr>
            <w:tcW w:w="2262" w:type="dxa"/>
            <w:tcBorders>
              <w:top w:val="single" w:sz="4" w:space="0" w:color="auto"/>
              <w:bottom w:val="single" w:sz="4" w:space="0" w:color="auto"/>
              <w:right w:val="single" w:sz="6" w:space="0" w:color="000000"/>
            </w:tcBorders>
            <w:tcMar>
              <w:top w:w="45" w:type="dxa"/>
              <w:left w:w="45" w:type="dxa"/>
              <w:bottom w:w="45" w:type="dxa"/>
              <w:right w:w="45" w:type="dxa"/>
            </w:tcMar>
          </w:tcPr>
          <w:p w14:paraId="2141B7A5" w14:textId="77777777" w:rsidR="00ED5A3B" w:rsidRPr="0061121D" w:rsidRDefault="00ED5A3B" w:rsidP="005668C4">
            <w:pPr>
              <w:jc w:val="center"/>
              <w:rPr>
                <w:sz w:val="22"/>
                <w:szCs w:val="22"/>
              </w:rPr>
            </w:pPr>
            <w:r>
              <w:rPr>
                <w:sz w:val="22"/>
              </w:rPr>
              <w:t>14.04.2021 Ausg. 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712EE86A" w14:textId="77777777" w:rsidR="00ED5A3B" w:rsidRPr="0061121D" w:rsidRDefault="00ED5A3B" w:rsidP="005668C4">
            <w:pPr>
              <w:jc w:val="center"/>
              <w:rPr>
                <w:sz w:val="22"/>
                <w:szCs w:val="22"/>
              </w:rPr>
            </w:pPr>
            <w:r>
              <w:rPr>
                <w:sz w:val="22"/>
              </w:rPr>
              <w:t>-0,621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2F97228B" w14:textId="77777777" w:rsidR="00ED5A3B" w:rsidRPr="0061121D" w:rsidRDefault="00ED5A3B" w:rsidP="005668C4">
            <w:pPr>
              <w:jc w:val="center"/>
              <w:rPr>
                <w:sz w:val="22"/>
                <w:szCs w:val="22"/>
              </w:rPr>
            </w:pPr>
            <w:r>
              <w:rPr>
                <w:sz w:val="22"/>
              </w:rPr>
              <w:t>-0,652</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54150809" w14:textId="77777777" w:rsidR="00ED5A3B" w:rsidRPr="0061121D" w:rsidRDefault="00ED5A3B" w:rsidP="005668C4">
            <w:pPr>
              <w:jc w:val="center"/>
              <w:rPr>
                <w:sz w:val="22"/>
                <w:szCs w:val="22"/>
              </w:rPr>
            </w:pPr>
            <w:r>
              <w:rPr>
                <w:sz w:val="22"/>
              </w:rPr>
              <w:t>-0,655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5E21D6E" w14:textId="77777777" w:rsidR="00ED5A3B" w:rsidRPr="0061121D" w:rsidRDefault="00ED5A3B" w:rsidP="005668C4">
            <w:pPr>
              <w:jc w:val="center"/>
              <w:rPr>
                <w:sz w:val="22"/>
                <w:szCs w:val="22"/>
              </w:rPr>
            </w:pPr>
            <w:r>
              <w:rPr>
                <w:sz w:val="22"/>
              </w:rPr>
              <w:t>-0,612</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E8FEED7" w14:textId="77777777" w:rsidR="00ED5A3B" w:rsidRPr="0061121D" w:rsidRDefault="00ED5A3B" w:rsidP="005668C4">
            <w:pPr>
              <w:jc w:val="center"/>
              <w:rPr>
                <w:sz w:val="22"/>
                <w:szCs w:val="22"/>
              </w:rPr>
            </w:pPr>
            <w:r>
              <w:rPr>
                <w:sz w:val="22"/>
              </w:rPr>
              <w:t>-0,535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2CA5478" w14:textId="77777777" w:rsidR="00ED5A3B" w:rsidRPr="0061121D" w:rsidRDefault="00ED5A3B" w:rsidP="005668C4">
            <w:pPr>
              <w:jc w:val="center"/>
              <w:rPr>
                <w:sz w:val="22"/>
                <w:szCs w:val="22"/>
              </w:rPr>
            </w:pPr>
            <w:r>
              <w:rPr>
                <w:sz w:val="22"/>
              </w:rPr>
              <w:t>-0,450</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6717596E" w14:textId="77777777" w:rsidR="00ED5A3B" w:rsidRPr="0061121D" w:rsidRDefault="00ED5A3B" w:rsidP="005668C4">
            <w:pPr>
              <w:jc w:val="center"/>
              <w:rPr>
                <w:sz w:val="22"/>
                <w:szCs w:val="22"/>
              </w:rPr>
            </w:pPr>
            <w:r>
              <w:rPr>
                <w:sz w:val="22"/>
              </w:rPr>
              <w:t>-0,360</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5CEC900" w14:textId="77777777" w:rsidR="00ED5A3B" w:rsidRPr="0061121D" w:rsidRDefault="00ED5A3B" w:rsidP="005668C4">
            <w:pPr>
              <w:jc w:val="center"/>
              <w:rPr>
                <w:sz w:val="22"/>
                <w:szCs w:val="22"/>
              </w:rPr>
            </w:pPr>
            <w:r>
              <w:rPr>
                <w:sz w:val="22"/>
              </w:rPr>
              <w:t>-0,262</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6901B806" w14:textId="77777777" w:rsidR="00ED5A3B" w:rsidRPr="0061121D" w:rsidRDefault="00ED5A3B" w:rsidP="005668C4">
            <w:pPr>
              <w:jc w:val="center"/>
              <w:rPr>
                <w:sz w:val="22"/>
                <w:szCs w:val="22"/>
              </w:rPr>
            </w:pPr>
            <w:r>
              <w:rPr>
                <w:sz w:val="22"/>
              </w:rPr>
              <w:t>-0,159</w:t>
            </w:r>
          </w:p>
        </w:tc>
        <w:tc>
          <w:tcPr>
            <w:tcW w:w="1127" w:type="dxa"/>
            <w:tcBorders>
              <w:top w:val="single" w:sz="4" w:space="0" w:color="auto"/>
              <w:bottom w:val="single" w:sz="4" w:space="0" w:color="auto"/>
              <w:right w:val="single" w:sz="6" w:space="0" w:color="000000"/>
            </w:tcBorders>
            <w:tcMar>
              <w:top w:w="45" w:type="dxa"/>
              <w:left w:w="45" w:type="dxa"/>
              <w:bottom w:w="45" w:type="dxa"/>
              <w:right w:w="45" w:type="dxa"/>
            </w:tcMar>
          </w:tcPr>
          <w:p w14:paraId="01FDB2C6" w14:textId="77777777" w:rsidR="00ED5A3B" w:rsidRPr="0061121D" w:rsidRDefault="00ED5A3B" w:rsidP="005668C4">
            <w:pPr>
              <w:jc w:val="center"/>
              <w:rPr>
                <w:sz w:val="22"/>
                <w:szCs w:val="22"/>
              </w:rPr>
            </w:pPr>
            <w:r>
              <w:rPr>
                <w:sz w:val="22"/>
              </w:rPr>
              <w:t>-0,060</w:t>
            </w:r>
          </w:p>
        </w:tc>
      </w:tr>
      <w:tr w:rsidR="00ED5A3B" w:rsidRPr="0061121D" w14:paraId="2E36C17D" w14:textId="77777777" w:rsidTr="005668C4">
        <w:trPr>
          <w:trHeight w:val="280"/>
        </w:trPr>
        <w:tc>
          <w:tcPr>
            <w:tcW w:w="1706" w:type="dxa"/>
            <w:tcBorders>
              <w:top w:val="single" w:sz="4" w:space="0" w:color="auto"/>
              <w:left w:val="single" w:sz="6" w:space="0" w:color="000000"/>
              <w:bottom w:val="single" w:sz="4" w:space="0" w:color="auto"/>
              <w:right w:val="single" w:sz="6" w:space="0" w:color="000000"/>
            </w:tcBorders>
            <w:tcMar>
              <w:top w:w="45" w:type="dxa"/>
              <w:left w:w="45" w:type="dxa"/>
              <w:bottom w:w="45" w:type="dxa"/>
              <w:right w:w="45" w:type="dxa"/>
            </w:tcMar>
          </w:tcPr>
          <w:p w14:paraId="6C1944C4" w14:textId="77777777" w:rsidR="00ED5A3B" w:rsidRPr="0061121D" w:rsidRDefault="00ED5A3B" w:rsidP="005668C4">
            <w:pPr>
              <w:rPr>
                <w:sz w:val="22"/>
                <w:szCs w:val="22"/>
              </w:rPr>
            </w:pPr>
            <w:r>
              <w:rPr>
                <w:sz w:val="22"/>
              </w:rPr>
              <w:t>Mai 2021</w:t>
            </w:r>
          </w:p>
        </w:tc>
        <w:tc>
          <w:tcPr>
            <w:tcW w:w="2262" w:type="dxa"/>
            <w:tcBorders>
              <w:top w:val="single" w:sz="4" w:space="0" w:color="auto"/>
              <w:bottom w:val="single" w:sz="4" w:space="0" w:color="auto"/>
              <w:right w:val="single" w:sz="6" w:space="0" w:color="000000"/>
            </w:tcBorders>
            <w:tcMar>
              <w:top w:w="45" w:type="dxa"/>
              <w:left w:w="45" w:type="dxa"/>
              <w:bottom w:w="45" w:type="dxa"/>
              <w:right w:w="45" w:type="dxa"/>
            </w:tcMar>
          </w:tcPr>
          <w:p w14:paraId="20700B2A" w14:textId="77777777" w:rsidR="00ED5A3B" w:rsidRPr="0061121D" w:rsidRDefault="00ED5A3B" w:rsidP="005668C4">
            <w:pPr>
              <w:jc w:val="center"/>
              <w:rPr>
                <w:sz w:val="22"/>
                <w:szCs w:val="22"/>
              </w:rPr>
            </w:pPr>
            <w:r>
              <w:rPr>
                <w:sz w:val="22"/>
              </w:rPr>
              <w:t>19.05.2021 Ausg. 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5691CC2" w14:textId="77777777" w:rsidR="00ED5A3B" w:rsidRPr="0061121D" w:rsidRDefault="00ED5A3B" w:rsidP="005668C4">
            <w:pPr>
              <w:jc w:val="center"/>
              <w:rPr>
                <w:sz w:val="22"/>
                <w:szCs w:val="22"/>
              </w:rPr>
            </w:pPr>
            <w:r>
              <w:rPr>
                <w:sz w:val="22"/>
              </w:rPr>
              <w:t>-0,620</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2C80F16E" w14:textId="77777777" w:rsidR="00ED5A3B" w:rsidRPr="0061121D" w:rsidRDefault="00ED5A3B" w:rsidP="005668C4">
            <w:pPr>
              <w:jc w:val="center"/>
              <w:rPr>
                <w:sz w:val="22"/>
                <w:szCs w:val="22"/>
              </w:rPr>
            </w:pPr>
            <w:r>
              <w:rPr>
                <w:sz w:val="22"/>
              </w:rPr>
              <w:t>-0,631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69BAD037" w14:textId="77777777" w:rsidR="00ED5A3B" w:rsidRPr="0061121D" w:rsidRDefault="00ED5A3B" w:rsidP="005668C4">
            <w:pPr>
              <w:jc w:val="center"/>
              <w:rPr>
                <w:sz w:val="22"/>
                <w:szCs w:val="22"/>
              </w:rPr>
            </w:pPr>
            <w:r>
              <w:rPr>
                <w:sz w:val="22"/>
              </w:rPr>
              <w:t>-0,619</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ED2C438" w14:textId="77777777" w:rsidR="00ED5A3B" w:rsidRPr="0061121D" w:rsidRDefault="00ED5A3B" w:rsidP="005668C4">
            <w:pPr>
              <w:jc w:val="center"/>
              <w:rPr>
                <w:sz w:val="22"/>
                <w:szCs w:val="22"/>
              </w:rPr>
            </w:pPr>
            <w:r>
              <w:rPr>
                <w:sz w:val="22"/>
              </w:rPr>
              <w:t>-0,561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6BE63F3" w14:textId="77777777" w:rsidR="00ED5A3B" w:rsidRPr="0061121D" w:rsidRDefault="00ED5A3B" w:rsidP="005668C4">
            <w:pPr>
              <w:jc w:val="center"/>
              <w:rPr>
                <w:sz w:val="22"/>
                <w:szCs w:val="22"/>
              </w:rPr>
            </w:pPr>
            <w:r>
              <w:rPr>
                <w:sz w:val="22"/>
              </w:rPr>
              <w:t>-0,472</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10D1F51" w14:textId="77777777" w:rsidR="00ED5A3B" w:rsidRPr="0061121D" w:rsidRDefault="00ED5A3B" w:rsidP="005668C4">
            <w:pPr>
              <w:jc w:val="center"/>
              <w:rPr>
                <w:sz w:val="22"/>
                <w:szCs w:val="22"/>
              </w:rPr>
            </w:pPr>
            <w:r>
              <w:rPr>
                <w:sz w:val="22"/>
              </w:rPr>
              <w:t>-0,379</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2F774F8D" w14:textId="77777777" w:rsidR="00ED5A3B" w:rsidRPr="0061121D" w:rsidRDefault="00ED5A3B" w:rsidP="005668C4">
            <w:pPr>
              <w:jc w:val="center"/>
              <w:rPr>
                <w:sz w:val="22"/>
                <w:szCs w:val="22"/>
              </w:rPr>
            </w:pPr>
            <w:r>
              <w:rPr>
                <w:sz w:val="22"/>
              </w:rPr>
              <w:t>-0,286</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F33A7FF" w14:textId="77777777" w:rsidR="00ED5A3B" w:rsidRPr="0061121D" w:rsidRDefault="00ED5A3B" w:rsidP="005668C4">
            <w:pPr>
              <w:jc w:val="center"/>
              <w:rPr>
                <w:sz w:val="22"/>
                <w:szCs w:val="22"/>
              </w:rPr>
            </w:pPr>
            <w:r>
              <w:rPr>
                <w:sz w:val="22"/>
              </w:rPr>
              <w:t>-0,183</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BC097F6" w14:textId="77777777" w:rsidR="00ED5A3B" w:rsidRPr="0061121D" w:rsidRDefault="00ED5A3B" w:rsidP="005668C4">
            <w:pPr>
              <w:jc w:val="center"/>
              <w:rPr>
                <w:sz w:val="22"/>
                <w:szCs w:val="22"/>
              </w:rPr>
            </w:pPr>
            <w:r>
              <w:rPr>
                <w:sz w:val="22"/>
              </w:rPr>
              <w:t>-0,073</w:t>
            </w:r>
          </w:p>
        </w:tc>
        <w:tc>
          <w:tcPr>
            <w:tcW w:w="1127" w:type="dxa"/>
            <w:tcBorders>
              <w:top w:val="single" w:sz="4" w:space="0" w:color="auto"/>
              <w:bottom w:val="single" w:sz="4" w:space="0" w:color="auto"/>
              <w:right w:val="single" w:sz="6" w:space="0" w:color="000000"/>
            </w:tcBorders>
            <w:tcMar>
              <w:top w:w="45" w:type="dxa"/>
              <w:left w:w="45" w:type="dxa"/>
              <w:bottom w:w="45" w:type="dxa"/>
              <w:right w:w="45" w:type="dxa"/>
            </w:tcMar>
          </w:tcPr>
          <w:p w14:paraId="3692864B" w14:textId="77777777" w:rsidR="00ED5A3B" w:rsidRPr="0061121D" w:rsidRDefault="00ED5A3B" w:rsidP="005668C4">
            <w:pPr>
              <w:jc w:val="center"/>
              <w:rPr>
                <w:sz w:val="22"/>
                <w:szCs w:val="22"/>
              </w:rPr>
            </w:pPr>
            <w:r>
              <w:rPr>
                <w:sz w:val="22"/>
              </w:rPr>
              <w:t>-0,032</w:t>
            </w:r>
          </w:p>
        </w:tc>
      </w:tr>
      <w:tr w:rsidR="00ED5A3B" w:rsidRPr="0061121D" w14:paraId="5769CA56" w14:textId="77777777" w:rsidTr="005668C4">
        <w:trPr>
          <w:trHeight w:val="280"/>
        </w:trPr>
        <w:tc>
          <w:tcPr>
            <w:tcW w:w="1706" w:type="dxa"/>
            <w:tcBorders>
              <w:top w:val="single" w:sz="4" w:space="0" w:color="auto"/>
              <w:left w:val="single" w:sz="6" w:space="0" w:color="000000"/>
              <w:bottom w:val="single" w:sz="4" w:space="0" w:color="auto"/>
              <w:right w:val="single" w:sz="6" w:space="0" w:color="000000"/>
            </w:tcBorders>
            <w:tcMar>
              <w:top w:w="45" w:type="dxa"/>
              <w:left w:w="45" w:type="dxa"/>
              <w:bottom w:w="45" w:type="dxa"/>
              <w:right w:w="45" w:type="dxa"/>
            </w:tcMar>
          </w:tcPr>
          <w:p w14:paraId="05A9B4E0" w14:textId="77777777" w:rsidR="00ED5A3B" w:rsidRPr="0061121D" w:rsidRDefault="00ED5A3B" w:rsidP="005668C4">
            <w:pPr>
              <w:rPr>
                <w:sz w:val="22"/>
                <w:szCs w:val="22"/>
              </w:rPr>
            </w:pPr>
            <w:r>
              <w:rPr>
                <w:sz w:val="22"/>
              </w:rPr>
              <w:t>Juni 2021</w:t>
            </w:r>
          </w:p>
        </w:tc>
        <w:tc>
          <w:tcPr>
            <w:tcW w:w="2262" w:type="dxa"/>
            <w:tcBorders>
              <w:top w:val="single" w:sz="4" w:space="0" w:color="auto"/>
              <w:bottom w:val="single" w:sz="4" w:space="0" w:color="auto"/>
              <w:right w:val="single" w:sz="6" w:space="0" w:color="000000"/>
            </w:tcBorders>
            <w:tcMar>
              <w:top w:w="45" w:type="dxa"/>
              <w:left w:w="45" w:type="dxa"/>
              <w:bottom w:w="45" w:type="dxa"/>
              <w:right w:w="45" w:type="dxa"/>
            </w:tcMar>
          </w:tcPr>
          <w:p w14:paraId="5A8CAE65" w14:textId="77777777" w:rsidR="00ED5A3B" w:rsidRPr="0061121D" w:rsidRDefault="00ED5A3B" w:rsidP="005668C4">
            <w:pPr>
              <w:jc w:val="center"/>
              <w:rPr>
                <w:sz w:val="22"/>
                <w:szCs w:val="22"/>
              </w:rPr>
            </w:pPr>
            <w:r>
              <w:rPr>
                <w:sz w:val="22"/>
              </w:rPr>
              <w:t>15.06.2021 Ausg. 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620B3B4C" w14:textId="77777777" w:rsidR="00ED5A3B" w:rsidRPr="0061121D" w:rsidRDefault="00ED5A3B" w:rsidP="005668C4">
            <w:pPr>
              <w:jc w:val="center"/>
              <w:rPr>
                <w:sz w:val="22"/>
                <w:szCs w:val="22"/>
              </w:rPr>
            </w:pPr>
            <w:r>
              <w:rPr>
                <w:sz w:val="22"/>
              </w:rPr>
              <w:t>-0,645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63EEADF2" w14:textId="77777777" w:rsidR="00ED5A3B" w:rsidRPr="0061121D" w:rsidRDefault="00ED5A3B" w:rsidP="005668C4">
            <w:pPr>
              <w:jc w:val="center"/>
              <w:rPr>
                <w:sz w:val="22"/>
                <w:szCs w:val="22"/>
              </w:rPr>
            </w:pPr>
            <w:r>
              <w:rPr>
                <w:sz w:val="22"/>
              </w:rPr>
              <w:t>-0,640</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569406DD" w14:textId="77777777" w:rsidR="00ED5A3B" w:rsidRPr="0061121D" w:rsidRDefault="00ED5A3B" w:rsidP="005668C4">
            <w:pPr>
              <w:jc w:val="center"/>
              <w:rPr>
                <w:sz w:val="22"/>
                <w:szCs w:val="22"/>
              </w:rPr>
            </w:pPr>
            <w:r>
              <w:rPr>
                <w:sz w:val="22"/>
              </w:rPr>
              <w:t>-0,607</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7D81FFC" w14:textId="77777777" w:rsidR="00ED5A3B" w:rsidRPr="0061121D" w:rsidRDefault="00ED5A3B" w:rsidP="005668C4">
            <w:pPr>
              <w:jc w:val="center"/>
              <w:rPr>
                <w:sz w:val="22"/>
                <w:szCs w:val="22"/>
              </w:rPr>
            </w:pPr>
            <w:r>
              <w:rPr>
                <w:sz w:val="22"/>
              </w:rPr>
              <w:t>-0,528</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94FB5E8" w14:textId="77777777" w:rsidR="00ED5A3B" w:rsidRPr="0061121D" w:rsidRDefault="00ED5A3B" w:rsidP="005668C4">
            <w:pPr>
              <w:jc w:val="center"/>
              <w:rPr>
                <w:sz w:val="22"/>
                <w:szCs w:val="22"/>
              </w:rPr>
            </w:pPr>
            <w:r>
              <w:rPr>
                <w:sz w:val="22"/>
              </w:rPr>
              <w:t>-0,421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520230F7" w14:textId="77777777" w:rsidR="00ED5A3B" w:rsidRPr="0061121D" w:rsidRDefault="00ED5A3B" w:rsidP="005668C4">
            <w:pPr>
              <w:jc w:val="center"/>
              <w:rPr>
                <w:sz w:val="22"/>
                <w:szCs w:val="22"/>
              </w:rPr>
            </w:pPr>
            <w:r>
              <w:rPr>
                <w:sz w:val="22"/>
              </w:rPr>
              <w:t>-0,316</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91D4999" w14:textId="77777777" w:rsidR="00ED5A3B" w:rsidRPr="0061121D" w:rsidRDefault="00ED5A3B" w:rsidP="005668C4">
            <w:pPr>
              <w:jc w:val="center"/>
              <w:rPr>
                <w:sz w:val="22"/>
                <w:szCs w:val="22"/>
              </w:rPr>
            </w:pPr>
            <w:r>
              <w:rPr>
                <w:sz w:val="22"/>
              </w:rPr>
              <w:t>-0,211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39D5291" w14:textId="77777777" w:rsidR="00ED5A3B" w:rsidRPr="0061121D" w:rsidRDefault="00ED5A3B" w:rsidP="005668C4">
            <w:pPr>
              <w:jc w:val="center"/>
              <w:rPr>
                <w:sz w:val="22"/>
                <w:szCs w:val="22"/>
              </w:rPr>
            </w:pPr>
            <w:r>
              <w:rPr>
                <w:sz w:val="22"/>
              </w:rPr>
              <w:t>-0,097</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575524D" w14:textId="77777777" w:rsidR="00ED5A3B" w:rsidRPr="0061121D" w:rsidRDefault="00ED5A3B" w:rsidP="005668C4">
            <w:pPr>
              <w:jc w:val="center"/>
              <w:rPr>
                <w:sz w:val="22"/>
                <w:szCs w:val="22"/>
              </w:rPr>
            </w:pPr>
            <w:r>
              <w:rPr>
                <w:sz w:val="22"/>
              </w:rPr>
              <w:t>0,020</w:t>
            </w:r>
          </w:p>
        </w:tc>
        <w:tc>
          <w:tcPr>
            <w:tcW w:w="1127" w:type="dxa"/>
            <w:tcBorders>
              <w:top w:val="single" w:sz="4" w:space="0" w:color="auto"/>
              <w:bottom w:val="single" w:sz="4" w:space="0" w:color="auto"/>
              <w:right w:val="single" w:sz="6" w:space="0" w:color="000000"/>
            </w:tcBorders>
            <w:tcMar>
              <w:top w:w="45" w:type="dxa"/>
              <w:left w:w="45" w:type="dxa"/>
              <w:bottom w:w="45" w:type="dxa"/>
              <w:right w:w="45" w:type="dxa"/>
            </w:tcMar>
          </w:tcPr>
          <w:p w14:paraId="70E334B4" w14:textId="77777777" w:rsidR="00ED5A3B" w:rsidRPr="0061121D" w:rsidRDefault="00ED5A3B" w:rsidP="005668C4">
            <w:pPr>
              <w:jc w:val="center"/>
              <w:rPr>
                <w:sz w:val="22"/>
                <w:szCs w:val="22"/>
              </w:rPr>
            </w:pPr>
            <w:r>
              <w:rPr>
                <w:sz w:val="22"/>
              </w:rPr>
              <w:t>0,127</w:t>
            </w:r>
          </w:p>
        </w:tc>
      </w:tr>
      <w:tr w:rsidR="00ED5A3B" w:rsidRPr="0061121D" w14:paraId="56508360" w14:textId="77777777" w:rsidTr="005668C4">
        <w:trPr>
          <w:trHeight w:val="280"/>
        </w:trPr>
        <w:tc>
          <w:tcPr>
            <w:tcW w:w="1706" w:type="dxa"/>
            <w:tcBorders>
              <w:top w:val="single" w:sz="4" w:space="0" w:color="auto"/>
              <w:left w:val="single" w:sz="6" w:space="0" w:color="000000"/>
              <w:bottom w:val="single" w:sz="4" w:space="0" w:color="auto"/>
              <w:right w:val="single" w:sz="6" w:space="0" w:color="000000"/>
            </w:tcBorders>
            <w:tcMar>
              <w:top w:w="45" w:type="dxa"/>
              <w:left w:w="45" w:type="dxa"/>
              <w:bottom w:w="45" w:type="dxa"/>
              <w:right w:w="45" w:type="dxa"/>
            </w:tcMar>
          </w:tcPr>
          <w:p w14:paraId="10842348" w14:textId="77777777" w:rsidR="00ED5A3B" w:rsidRPr="0061121D" w:rsidRDefault="00ED5A3B" w:rsidP="005668C4">
            <w:pPr>
              <w:rPr>
                <w:sz w:val="22"/>
                <w:szCs w:val="22"/>
              </w:rPr>
            </w:pPr>
            <w:r>
              <w:rPr>
                <w:sz w:val="22"/>
              </w:rPr>
              <w:t>Juli 2021</w:t>
            </w:r>
          </w:p>
        </w:tc>
        <w:tc>
          <w:tcPr>
            <w:tcW w:w="2262" w:type="dxa"/>
            <w:tcBorders>
              <w:top w:val="single" w:sz="4" w:space="0" w:color="auto"/>
              <w:bottom w:val="single" w:sz="4" w:space="0" w:color="auto"/>
              <w:right w:val="single" w:sz="6" w:space="0" w:color="000000"/>
            </w:tcBorders>
            <w:tcMar>
              <w:top w:w="45" w:type="dxa"/>
              <w:left w:w="45" w:type="dxa"/>
              <w:bottom w:w="45" w:type="dxa"/>
              <w:right w:w="45" w:type="dxa"/>
            </w:tcMar>
          </w:tcPr>
          <w:p w14:paraId="384A330F" w14:textId="77777777" w:rsidR="00ED5A3B" w:rsidRPr="0061121D" w:rsidRDefault="00ED5A3B" w:rsidP="005668C4">
            <w:pPr>
              <w:jc w:val="center"/>
              <w:rPr>
                <w:sz w:val="22"/>
                <w:szCs w:val="22"/>
              </w:rPr>
            </w:pPr>
            <w:r>
              <w:rPr>
                <w:sz w:val="22"/>
              </w:rPr>
              <w:t>16.07.2021 Ausg. 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11959F3E" w14:textId="77777777" w:rsidR="00ED5A3B" w:rsidRPr="0061121D" w:rsidRDefault="00ED5A3B" w:rsidP="005668C4">
            <w:pPr>
              <w:jc w:val="center"/>
              <w:rPr>
                <w:sz w:val="22"/>
                <w:szCs w:val="22"/>
              </w:rPr>
            </w:pPr>
            <w:r>
              <w:rPr>
                <w:sz w:val="22"/>
              </w:rPr>
              <w:t>-0,646</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40ACA5E" w14:textId="77777777" w:rsidR="00ED5A3B" w:rsidRPr="0061121D" w:rsidRDefault="00ED5A3B" w:rsidP="005668C4">
            <w:pPr>
              <w:jc w:val="center"/>
              <w:rPr>
                <w:sz w:val="22"/>
                <w:szCs w:val="22"/>
              </w:rPr>
            </w:pPr>
            <w:r>
              <w:rPr>
                <w:sz w:val="22"/>
              </w:rPr>
              <w:t>-0,650</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1D023E82" w14:textId="77777777" w:rsidR="00ED5A3B" w:rsidRPr="0061121D" w:rsidRDefault="00ED5A3B" w:rsidP="005668C4">
            <w:pPr>
              <w:jc w:val="center"/>
              <w:rPr>
                <w:sz w:val="22"/>
                <w:szCs w:val="22"/>
              </w:rPr>
            </w:pPr>
            <w:r>
              <w:rPr>
                <w:sz w:val="22"/>
              </w:rPr>
              <w:t>-0,625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7A24CA34" w14:textId="77777777" w:rsidR="00ED5A3B" w:rsidRPr="0061121D" w:rsidRDefault="00ED5A3B" w:rsidP="005668C4">
            <w:pPr>
              <w:jc w:val="center"/>
              <w:rPr>
                <w:sz w:val="22"/>
                <w:szCs w:val="22"/>
              </w:rPr>
            </w:pPr>
            <w:r>
              <w:rPr>
                <w:sz w:val="22"/>
              </w:rPr>
              <w:t>-0,553</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706E29F1" w14:textId="77777777" w:rsidR="00ED5A3B" w:rsidRPr="0061121D" w:rsidRDefault="00ED5A3B" w:rsidP="005668C4">
            <w:pPr>
              <w:jc w:val="center"/>
              <w:rPr>
                <w:sz w:val="22"/>
                <w:szCs w:val="22"/>
              </w:rPr>
            </w:pPr>
            <w:r>
              <w:rPr>
                <w:sz w:val="22"/>
              </w:rPr>
              <w:t>-0,455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D4C08E6" w14:textId="77777777" w:rsidR="00ED5A3B" w:rsidRPr="0061121D" w:rsidRDefault="00ED5A3B" w:rsidP="005668C4">
            <w:pPr>
              <w:jc w:val="center"/>
              <w:rPr>
                <w:sz w:val="22"/>
                <w:szCs w:val="22"/>
              </w:rPr>
            </w:pPr>
            <w:r>
              <w:rPr>
                <w:sz w:val="22"/>
              </w:rPr>
              <w:t>-0,362</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78FE2D41" w14:textId="77777777" w:rsidR="00ED5A3B" w:rsidRPr="0061121D" w:rsidRDefault="00ED5A3B" w:rsidP="005668C4">
            <w:pPr>
              <w:jc w:val="center"/>
              <w:rPr>
                <w:sz w:val="22"/>
                <w:szCs w:val="22"/>
              </w:rPr>
            </w:pPr>
            <w:r>
              <w:rPr>
                <w:sz w:val="22"/>
              </w:rPr>
              <w:t>-0,266</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A1AFE50" w14:textId="77777777" w:rsidR="00ED5A3B" w:rsidRPr="0061121D" w:rsidRDefault="00ED5A3B" w:rsidP="005668C4">
            <w:pPr>
              <w:jc w:val="center"/>
              <w:rPr>
                <w:sz w:val="22"/>
                <w:szCs w:val="22"/>
              </w:rPr>
            </w:pPr>
            <w:r>
              <w:rPr>
                <w:sz w:val="22"/>
              </w:rPr>
              <w:t>-0,159</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89B2BE4" w14:textId="77777777" w:rsidR="00ED5A3B" w:rsidRPr="0061121D" w:rsidRDefault="00ED5A3B" w:rsidP="005668C4">
            <w:pPr>
              <w:jc w:val="center"/>
              <w:rPr>
                <w:sz w:val="22"/>
                <w:szCs w:val="22"/>
              </w:rPr>
            </w:pPr>
            <w:r>
              <w:rPr>
                <w:sz w:val="22"/>
              </w:rPr>
              <w:t>-0,045</w:t>
            </w:r>
          </w:p>
        </w:tc>
        <w:tc>
          <w:tcPr>
            <w:tcW w:w="1127" w:type="dxa"/>
            <w:tcBorders>
              <w:top w:val="single" w:sz="4" w:space="0" w:color="auto"/>
              <w:bottom w:val="single" w:sz="4" w:space="0" w:color="auto"/>
              <w:right w:val="single" w:sz="6" w:space="0" w:color="000000"/>
            </w:tcBorders>
            <w:tcMar>
              <w:top w:w="45" w:type="dxa"/>
              <w:left w:w="45" w:type="dxa"/>
              <w:bottom w:w="45" w:type="dxa"/>
              <w:right w:w="45" w:type="dxa"/>
            </w:tcMar>
          </w:tcPr>
          <w:p w14:paraId="43EF81BA" w14:textId="77777777" w:rsidR="00ED5A3B" w:rsidRPr="0061121D" w:rsidRDefault="00ED5A3B" w:rsidP="005668C4">
            <w:pPr>
              <w:jc w:val="center"/>
              <w:rPr>
                <w:sz w:val="22"/>
                <w:szCs w:val="22"/>
              </w:rPr>
            </w:pPr>
            <w:r>
              <w:rPr>
                <w:sz w:val="22"/>
              </w:rPr>
              <w:t>0,061</w:t>
            </w:r>
          </w:p>
        </w:tc>
      </w:tr>
      <w:tr w:rsidR="00ED5A3B" w:rsidRPr="0061121D" w14:paraId="3F10F0D5" w14:textId="77777777" w:rsidTr="005668C4">
        <w:trPr>
          <w:trHeight w:val="280"/>
        </w:trPr>
        <w:tc>
          <w:tcPr>
            <w:tcW w:w="1706" w:type="dxa"/>
            <w:tcBorders>
              <w:top w:val="single" w:sz="4" w:space="0" w:color="auto"/>
              <w:left w:val="single" w:sz="6" w:space="0" w:color="000000"/>
              <w:bottom w:val="single" w:sz="4" w:space="0" w:color="auto"/>
              <w:right w:val="single" w:sz="6" w:space="0" w:color="000000"/>
            </w:tcBorders>
            <w:tcMar>
              <w:top w:w="45" w:type="dxa"/>
              <w:left w:w="45" w:type="dxa"/>
              <w:bottom w:w="45" w:type="dxa"/>
              <w:right w:w="45" w:type="dxa"/>
            </w:tcMar>
          </w:tcPr>
          <w:p w14:paraId="69CCECAA" w14:textId="77777777" w:rsidR="00ED5A3B" w:rsidRPr="0061121D" w:rsidRDefault="00ED5A3B" w:rsidP="005668C4">
            <w:pPr>
              <w:rPr>
                <w:sz w:val="22"/>
                <w:szCs w:val="22"/>
              </w:rPr>
            </w:pPr>
            <w:r>
              <w:rPr>
                <w:sz w:val="22"/>
              </w:rPr>
              <w:t>August 2021</w:t>
            </w:r>
          </w:p>
        </w:tc>
        <w:tc>
          <w:tcPr>
            <w:tcW w:w="2262" w:type="dxa"/>
            <w:tcBorders>
              <w:top w:val="single" w:sz="4" w:space="0" w:color="auto"/>
              <w:bottom w:val="single" w:sz="4" w:space="0" w:color="auto"/>
              <w:right w:val="single" w:sz="6" w:space="0" w:color="000000"/>
            </w:tcBorders>
            <w:tcMar>
              <w:top w:w="45" w:type="dxa"/>
              <w:left w:w="45" w:type="dxa"/>
              <w:bottom w:w="45" w:type="dxa"/>
              <w:right w:w="45" w:type="dxa"/>
            </w:tcMar>
          </w:tcPr>
          <w:p w14:paraId="75A01A15" w14:textId="77777777" w:rsidR="00ED5A3B" w:rsidRPr="0061121D" w:rsidRDefault="00ED5A3B" w:rsidP="005668C4">
            <w:pPr>
              <w:jc w:val="center"/>
              <w:rPr>
                <w:sz w:val="22"/>
                <w:szCs w:val="22"/>
              </w:rPr>
            </w:pPr>
            <w:r>
              <w:rPr>
                <w:sz w:val="22"/>
              </w:rPr>
              <w:t>19.08.2021 Ausg. 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1A15A027" w14:textId="77777777" w:rsidR="00ED5A3B" w:rsidRPr="0061121D" w:rsidRDefault="00ED5A3B" w:rsidP="005668C4">
            <w:pPr>
              <w:jc w:val="center"/>
              <w:rPr>
                <w:sz w:val="22"/>
                <w:szCs w:val="22"/>
              </w:rPr>
            </w:pPr>
            <w:r>
              <w:rPr>
                <w:sz w:val="22"/>
              </w:rPr>
              <w:t>-0,640</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AADA9D8" w14:textId="77777777" w:rsidR="00ED5A3B" w:rsidRPr="0061121D" w:rsidRDefault="00ED5A3B" w:rsidP="005668C4">
            <w:pPr>
              <w:jc w:val="center"/>
              <w:rPr>
                <w:sz w:val="22"/>
                <w:szCs w:val="22"/>
              </w:rPr>
            </w:pPr>
            <w:r>
              <w:rPr>
                <w:sz w:val="22"/>
              </w:rPr>
              <w:t>-0,699</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359ADB9" w14:textId="77777777" w:rsidR="00ED5A3B" w:rsidRPr="0061121D" w:rsidRDefault="00ED5A3B" w:rsidP="005668C4">
            <w:pPr>
              <w:jc w:val="center"/>
              <w:rPr>
                <w:sz w:val="22"/>
                <w:szCs w:val="22"/>
              </w:rPr>
            </w:pPr>
            <w:r>
              <w:rPr>
                <w:sz w:val="22"/>
              </w:rPr>
              <w:t>-0,718</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226A350D" w14:textId="77777777" w:rsidR="00ED5A3B" w:rsidRPr="0061121D" w:rsidRDefault="00ED5A3B" w:rsidP="005668C4">
            <w:pPr>
              <w:jc w:val="center"/>
              <w:rPr>
                <w:sz w:val="22"/>
                <w:szCs w:val="22"/>
              </w:rPr>
            </w:pPr>
            <w:r>
              <w:rPr>
                <w:sz w:val="22"/>
              </w:rPr>
              <w:t>-0,670</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5F81F8F4" w14:textId="77777777" w:rsidR="00ED5A3B" w:rsidRPr="0061121D" w:rsidRDefault="00ED5A3B" w:rsidP="005668C4">
            <w:pPr>
              <w:jc w:val="center"/>
              <w:rPr>
                <w:sz w:val="22"/>
                <w:szCs w:val="22"/>
              </w:rPr>
            </w:pPr>
            <w:r>
              <w:rPr>
                <w:sz w:val="22"/>
              </w:rPr>
              <w:t>-0,593</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1838A28D" w14:textId="77777777" w:rsidR="00ED5A3B" w:rsidRPr="0061121D" w:rsidRDefault="00ED5A3B" w:rsidP="005668C4">
            <w:pPr>
              <w:jc w:val="center"/>
              <w:rPr>
                <w:sz w:val="22"/>
                <w:szCs w:val="22"/>
              </w:rPr>
            </w:pPr>
            <w:r>
              <w:rPr>
                <w:sz w:val="22"/>
              </w:rPr>
              <w:t>-0,516</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FC0C301" w14:textId="77777777" w:rsidR="00ED5A3B" w:rsidRPr="0061121D" w:rsidRDefault="00ED5A3B" w:rsidP="005668C4">
            <w:pPr>
              <w:jc w:val="center"/>
              <w:rPr>
                <w:sz w:val="22"/>
                <w:szCs w:val="22"/>
              </w:rPr>
            </w:pPr>
            <w:r>
              <w:rPr>
                <w:sz w:val="22"/>
              </w:rPr>
              <w:t>-0,432</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105D7A7" w14:textId="77777777" w:rsidR="00ED5A3B" w:rsidRPr="0061121D" w:rsidRDefault="00ED5A3B" w:rsidP="005668C4">
            <w:pPr>
              <w:jc w:val="center"/>
              <w:rPr>
                <w:sz w:val="22"/>
                <w:szCs w:val="22"/>
              </w:rPr>
            </w:pPr>
            <w:r>
              <w:rPr>
                <w:sz w:val="22"/>
              </w:rPr>
              <w:t>-0,331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82EF6C9" w14:textId="77777777" w:rsidR="00ED5A3B" w:rsidRPr="0061121D" w:rsidRDefault="00ED5A3B" w:rsidP="005668C4">
            <w:pPr>
              <w:jc w:val="center"/>
              <w:rPr>
                <w:sz w:val="22"/>
                <w:szCs w:val="22"/>
              </w:rPr>
            </w:pPr>
            <w:r>
              <w:rPr>
                <w:sz w:val="22"/>
              </w:rPr>
              <w:t>-0,224</w:t>
            </w:r>
          </w:p>
        </w:tc>
        <w:tc>
          <w:tcPr>
            <w:tcW w:w="1127" w:type="dxa"/>
            <w:tcBorders>
              <w:top w:val="single" w:sz="4" w:space="0" w:color="auto"/>
              <w:bottom w:val="single" w:sz="4" w:space="0" w:color="auto"/>
              <w:right w:val="single" w:sz="6" w:space="0" w:color="000000"/>
            </w:tcBorders>
            <w:tcMar>
              <w:top w:w="45" w:type="dxa"/>
              <w:left w:w="45" w:type="dxa"/>
              <w:bottom w:w="45" w:type="dxa"/>
              <w:right w:w="45" w:type="dxa"/>
            </w:tcMar>
          </w:tcPr>
          <w:p w14:paraId="4CBE640C" w14:textId="77777777" w:rsidR="00ED5A3B" w:rsidRPr="0061121D" w:rsidRDefault="00ED5A3B" w:rsidP="005668C4">
            <w:pPr>
              <w:jc w:val="center"/>
              <w:rPr>
                <w:sz w:val="22"/>
                <w:szCs w:val="22"/>
              </w:rPr>
            </w:pPr>
            <w:r>
              <w:rPr>
                <w:sz w:val="22"/>
              </w:rPr>
              <w:t>-0,121</w:t>
            </w:r>
          </w:p>
        </w:tc>
      </w:tr>
      <w:tr w:rsidR="00ED5A3B" w:rsidRPr="0061121D" w14:paraId="45F1380E" w14:textId="77777777" w:rsidTr="005668C4">
        <w:trPr>
          <w:trHeight w:val="280"/>
        </w:trPr>
        <w:tc>
          <w:tcPr>
            <w:tcW w:w="1706" w:type="dxa"/>
            <w:tcBorders>
              <w:top w:val="single" w:sz="4" w:space="0" w:color="auto"/>
              <w:left w:val="single" w:sz="6" w:space="0" w:color="000000"/>
              <w:bottom w:val="single" w:sz="4" w:space="0" w:color="auto"/>
              <w:right w:val="single" w:sz="6" w:space="0" w:color="000000"/>
            </w:tcBorders>
            <w:tcMar>
              <w:top w:w="45" w:type="dxa"/>
              <w:left w:w="45" w:type="dxa"/>
              <w:bottom w:w="45" w:type="dxa"/>
              <w:right w:w="45" w:type="dxa"/>
            </w:tcMar>
          </w:tcPr>
          <w:p w14:paraId="07F3F85E" w14:textId="77777777" w:rsidR="00ED5A3B" w:rsidRPr="0061121D" w:rsidRDefault="00ED5A3B" w:rsidP="005668C4">
            <w:pPr>
              <w:rPr>
                <w:sz w:val="22"/>
                <w:szCs w:val="22"/>
              </w:rPr>
            </w:pPr>
            <w:r>
              <w:rPr>
                <w:sz w:val="22"/>
              </w:rPr>
              <w:t>September 2021</w:t>
            </w:r>
          </w:p>
        </w:tc>
        <w:tc>
          <w:tcPr>
            <w:tcW w:w="2262" w:type="dxa"/>
            <w:tcBorders>
              <w:top w:val="single" w:sz="4" w:space="0" w:color="auto"/>
              <w:bottom w:val="single" w:sz="4" w:space="0" w:color="auto"/>
              <w:right w:val="single" w:sz="6" w:space="0" w:color="000000"/>
            </w:tcBorders>
            <w:tcMar>
              <w:top w:w="45" w:type="dxa"/>
              <w:left w:w="45" w:type="dxa"/>
              <w:bottom w:w="45" w:type="dxa"/>
              <w:right w:w="45" w:type="dxa"/>
            </w:tcMar>
          </w:tcPr>
          <w:p w14:paraId="358BF196" w14:textId="77777777" w:rsidR="00ED5A3B" w:rsidRPr="0061121D" w:rsidRDefault="00ED5A3B" w:rsidP="005668C4">
            <w:pPr>
              <w:jc w:val="center"/>
              <w:rPr>
                <w:sz w:val="22"/>
                <w:szCs w:val="22"/>
              </w:rPr>
            </w:pPr>
            <w:r>
              <w:rPr>
                <w:sz w:val="22"/>
              </w:rPr>
              <w:t>17.09.2021 Ausg. 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54BFCD40" w14:textId="77777777" w:rsidR="00ED5A3B" w:rsidRPr="0061121D" w:rsidRDefault="00ED5A3B" w:rsidP="005668C4">
            <w:pPr>
              <w:jc w:val="center"/>
              <w:rPr>
                <w:sz w:val="22"/>
                <w:szCs w:val="22"/>
              </w:rPr>
            </w:pPr>
            <w:r>
              <w:rPr>
                <w:sz w:val="22"/>
              </w:rPr>
              <w:t>-0,647</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5D31EE35" w14:textId="77777777" w:rsidR="00ED5A3B" w:rsidRPr="0061121D" w:rsidRDefault="00ED5A3B" w:rsidP="005668C4">
            <w:pPr>
              <w:jc w:val="center"/>
              <w:rPr>
                <w:sz w:val="22"/>
                <w:szCs w:val="22"/>
              </w:rPr>
            </w:pPr>
            <w:r>
              <w:rPr>
                <w:sz w:val="22"/>
              </w:rPr>
              <w:t>-0,706</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5F8C5EEA" w14:textId="77777777" w:rsidR="00ED5A3B" w:rsidRPr="0061121D" w:rsidRDefault="00ED5A3B" w:rsidP="005668C4">
            <w:pPr>
              <w:jc w:val="center"/>
              <w:rPr>
                <w:sz w:val="22"/>
                <w:szCs w:val="22"/>
              </w:rPr>
            </w:pPr>
            <w:r>
              <w:rPr>
                <w:sz w:val="22"/>
              </w:rPr>
              <w:t>-0,717</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272213EC" w14:textId="77777777" w:rsidR="00ED5A3B" w:rsidRPr="0061121D" w:rsidRDefault="00ED5A3B" w:rsidP="005668C4">
            <w:pPr>
              <w:jc w:val="center"/>
              <w:rPr>
                <w:sz w:val="22"/>
                <w:szCs w:val="22"/>
              </w:rPr>
            </w:pPr>
            <w:r>
              <w:rPr>
                <w:sz w:val="22"/>
              </w:rPr>
              <w:t>-0,661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61630133" w14:textId="77777777" w:rsidR="00ED5A3B" w:rsidRPr="0061121D" w:rsidRDefault="00ED5A3B" w:rsidP="005668C4">
            <w:pPr>
              <w:jc w:val="center"/>
              <w:rPr>
                <w:sz w:val="22"/>
                <w:szCs w:val="22"/>
              </w:rPr>
            </w:pPr>
            <w:r>
              <w:rPr>
                <w:sz w:val="22"/>
              </w:rPr>
              <w:t>-0,583</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2E31F1C5" w14:textId="77777777" w:rsidR="00ED5A3B" w:rsidRPr="0061121D" w:rsidRDefault="00ED5A3B" w:rsidP="005668C4">
            <w:pPr>
              <w:jc w:val="center"/>
              <w:rPr>
                <w:sz w:val="22"/>
                <w:szCs w:val="22"/>
              </w:rPr>
            </w:pPr>
            <w:r>
              <w:rPr>
                <w:sz w:val="22"/>
              </w:rPr>
              <w:t>-0,507</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D14F027" w14:textId="77777777" w:rsidR="00ED5A3B" w:rsidRPr="0061121D" w:rsidRDefault="00ED5A3B" w:rsidP="005668C4">
            <w:pPr>
              <w:jc w:val="center"/>
              <w:rPr>
                <w:sz w:val="22"/>
                <w:szCs w:val="22"/>
              </w:rPr>
            </w:pPr>
            <w:r>
              <w:rPr>
                <w:sz w:val="22"/>
              </w:rPr>
              <w:t>-0,424</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74DDCFD" w14:textId="77777777" w:rsidR="00ED5A3B" w:rsidRPr="0061121D" w:rsidRDefault="00ED5A3B" w:rsidP="005668C4">
            <w:pPr>
              <w:jc w:val="center"/>
              <w:rPr>
                <w:sz w:val="22"/>
                <w:szCs w:val="22"/>
              </w:rPr>
            </w:pPr>
            <w:r>
              <w:rPr>
                <w:sz w:val="22"/>
              </w:rPr>
              <w:t>-0,324</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123A110" w14:textId="77777777" w:rsidR="00ED5A3B" w:rsidRPr="0061121D" w:rsidRDefault="00ED5A3B" w:rsidP="005668C4">
            <w:pPr>
              <w:jc w:val="center"/>
              <w:rPr>
                <w:sz w:val="22"/>
                <w:szCs w:val="22"/>
              </w:rPr>
            </w:pPr>
            <w:r>
              <w:rPr>
                <w:sz w:val="22"/>
              </w:rPr>
              <w:t>-0,213</w:t>
            </w:r>
          </w:p>
        </w:tc>
        <w:tc>
          <w:tcPr>
            <w:tcW w:w="1127" w:type="dxa"/>
            <w:tcBorders>
              <w:top w:val="single" w:sz="4" w:space="0" w:color="auto"/>
              <w:bottom w:val="single" w:sz="4" w:space="0" w:color="auto"/>
              <w:right w:val="single" w:sz="6" w:space="0" w:color="000000"/>
            </w:tcBorders>
            <w:tcMar>
              <w:top w:w="45" w:type="dxa"/>
              <w:left w:w="45" w:type="dxa"/>
              <w:bottom w:w="45" w:type="dxa"/>
              <w:right w:w="45" w:type="dxa"/>
            </w:tcMar>
          </w:tcPr>
          <w:p w14:paraId="0EE6C3C6" w14:textId="77777777" w:rsidR="00ED5A3B" w:rsidRPr="0061121D" w:rsidRDefault="00ED5A3B" w:rsidP="005668C4">
            <w:pPr>
              <w:jc w:val="center"/>
              <w:rPr>
                <w:sz w:val="22"/>
                <w:szCs w:val="22"/>
              </w:rPr>
            </w:pPr>
            <w:r>
              <w:rPr>
                <w:sz w:val="22"/>
              </w:rPr>
              <w:t>-0,110</w:t>
            </w:r>
          </w:p>
        </w:tc>
      </w:tr>
      <w:tr w:rsidR="00ED5A3B" w:rsidRPr="0061121D" w14:paraId="6931D914" w14:textId="77777777" w:rsidTr="005668C4">
        <w:trPr>
          <w:trHeight w:val="280"/>
        </w:trPr>
        <w:tc>
          <w:tcPr>
            <w:tcW w:w="1706" w:type="dxa"/>
            <w:tcBorders>
              <w:top w:val="single" w:sz="4" w:space="0" w:color="auto"/>
              <w:left w:val="single" w:sz="6" w:space="0" w:color="000000"/>
              <w:bottom w:val="single" w:sz="4" w:space="0" w:color="auto"/>
              <w:right w:val="single" w:sz="6" w:space="0" w:color="000000"/>
            </w:tcBorders>
            <w:tcMar>
              <w:top w:w="45" w:type="dxa"/>
              <w:left w:w="45" w:type="dxa"/>
              <w:bottom w:w="45" w:type="dxa"/>
              <w:right w:w="45" w:type="dxa"/>
            </w:tcMar>
          </w:tcPr>
          <w:p w14:paraId="5200429B" w14:textId="77777777" w:rsidR="00ED5A3B" w:rsidRPr="0061121D" w:rsidRDefault="00ED5A3B" w:rsidP="005668C4">
            <w:pPr>
              <w:rPr>
                <w:sz w:val="22"/>
                <w:szCs w:val="22"/>
              </w:rPr>
            </w:pPr>
            <w:r>
              <w:rPr>
                <w:sz w:val="22"/>
              </w:rPr>
              <w:t>Oktober 2021</w:t>
            </w:r>
          </w:p>
        </w:tc>
        <w:tc>
          <w:tcPr>
            <w:tcW w:w="2262" w:type="dxa"/>
            <w:tcBorders>
              <w:top w:val="single" w:sz="4" w:space="0" w:color="auto"/>
              <w:bottom w:val="single" w:sz="4" w:space="0" w:color="auto"/>
              <w:right w:val="single" w:sz="6" w:space="0" w:color="000000"/>
            </w:tcBorders>
            <w:tcMar>
              <w:top w:w="45" w:type="dxa"/>
              <w:left w:w="45" w:type="dxa"/>
              <w:bottom w:w="45" w:type="dxa"/>
              <w:right w:w="45" w:type="dxa"/>
            </w:tcMar>
          </w:tcPr>
          <w:p w14:paraId="6F08261F" w14:textId="77777777" w:rsidR="00ED5A3B" w:rsidRPr="0061121D" w:rsidRDefault="00ED5A3B" w:rsidP="005668C4">
            <w:pPr>
              <w:jc w:val="center"/>
              <w:rPr>
                <w:sz w:val="22"/>
                <w:szCs w:val="22"/>
              </w:rPr>
            </w:pPr>
            <w:r>
              <w:rPr>
                <w:sz w:val="22"/>
              </w:rPr>
              <w:t>20.10.2021 Ausg. 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26AB7018" w14:textId="77777777" w:rsidR="00ED5A3B" w:rsidRPr="0061121D" w:rsidRDefault="00ED5A3B" w:rsidP="005668C4">
            <w:pPr>
              <w:jc w:val="center"/>
              <w:rPr>
                <w:sz w:val="22"/>
                <w:szCs w:val="22"/>
              </w:rPr>
            </w:pPr>
            <w:r>
              <w:rPr>
                <w:sz w:val="22"/>
              </w:rPr>
              <w:t>-0,649</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19F813E0" w14:textId="77777777" w:rsidR="00ED5A3B" w:rsidRPr="0061121D" w:rsidRDefault="00ED5A3B" w:rsidP="005668C4">
            <w:pPr>
              <w:jc w:val="center"/>
              <w:rPr>
                <w:sz w:val="22"/>
                <w:szCs w:val="22"/>
              </w:rPr>
            </w:pPr>
            <w:r>
              <w:rPr>
                <w:sz w:val="22"/>
              </w:rPr>
              <w:t>-0,684</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5D1F32F8" w14:textId="77777777" w:rsidR="00ED5A3B" w:rsidRPr="0061121D" w:rsidRDefault="00ED5A3B" w:rsidP="005668C4">
            <w:pPr>
              <w:jc w:val="center"/>
              <w:rPr>
                <w:sz w:val="22"/>
                <w:szCs w:val="22"/>
              </w:rPr>
            </w:pPr>
            <w:r>
              <w:rPr>
                <w:sz w:val="22"/>
              </w:rPr>
              <w:t>-0,668</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10F32F96" w14:textId="77777777" w:rsidR="00ED5A3B" w:rsidRPr="0061121D" w:rsidRDefault="00ED5A3B" w:rsidP="005668C4">
            <w:pPr>
              <w:jc w:val="center"/>
              <w:rPr>
                <w:sz w:val="22"/>
                <w:szCs w:val="22"/>
              </w:rPr>
            </w:pPr>
            <w:r>
              <w:rPr>
                <w:sz w:val="22"/>
              </w:rPr>
              <w:t>-0,585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5C7538A6" w14:textId="77777777" w:rsidR="00ED5A3B" w:rsidRPr="0061121D" w:rsidRDefault="00ED5A3B" w:rsidP="005668C4">
            <w:pPr>
              <w:jc w:val="center"/>
              <w:rPr>
                <w:sz w:val="22"/>
                <w:szCs w:val="22"/>
              </w:rPr>
            </w:pPr>
            <w:r>
              <w:rPr>
                <w:sz w:val="22"/>
              </w:rPr>
              <w:t>-0,483</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180B2A20" w14:textId="77777777" w:rsidR="00ED5A3B" w:rsidRPr="0061121D" w:rsidRDefault="00ED5A3B" w:rsidP="005668C4">
            <w:pPr>
              <w:jc w:val="center"/>
              <w:rPr>
                <w:sz w:val="22"/>
                <w:szCs w:val="22"/>
              </w:rPr>
            </w:pPr>
            <w:r>
              <w:rPr>
                <w:sz w:val="22"/>
              </w:rPr>
              <w:t>-0,393</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7F5BBDBA" w14:textId="77777777" w:rsidR="00ED5A3B" w:rsidRPr="0061121D" w:rsidRDefault="00ED5A3B" w:rsidP="005668C4">
            <w:pPr>
              <w:jc w:val="center"/>
              <w:rPr>
                <w:sz w:val="22"/>
                <w:szCs w:val="22"/>
              </w:rPr>
            </w:pPr>
            <w:r>
              <w:rPr>
                <w:sz w:val="22"/>
              </w:rPr>
              <w:t>-0,295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7D8A79EF" w14:textId="77777777" w:rsidR="00ED5A3B" w:rsidRPr="0061121D" w:rsidRDefault="00ED5A3B" w:rsidP="005668C4">
            <w:pPr>
              <w:jc w:val="center"/>
              <w:rPr>
                <w:sz w:val="22"/>
                <w:szCs w:val="22"/>
              </w:rPr>
            </w:pPr>
            <w:r>
              <w:rPr>
                <w:sz w:val="22"/>
              </w:rPr>
              <w:t>-0,181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4474BF48" w14:textId="77777777" w:rsidR="00ED5A3B" w:rsidRPr="0061121D" w:rsidRDefault="00ED5A3B" w:rsidP="005668C4">
            <w:pPr>
              <w:jc w:val="center"/>
              <w:rPr>
                <w:sz w:val="22"/>
                <w:szCs w:val="22"/>
              </w:rPr>
            </w:pPr>
            <w:r>
              <w:rPr>
                <w:sz w:val="22"/>
              </w:rPr>
              <w:t>-0,060</w:t>
            </w:r>
          </w:p>
        </w:tc>
        <w:tc>
          <w:tcPr>
            <w:tcW w:w="1127" w:type="dxa"/>
            <w:tcBorders>
              <w:top w:val="single" w:sz="4" w:space="0" w:color="auto"/>
              <w:bottom w:val="single" w:sz="4" w:space="0" w:color="auto"/>
              <w:right w:val="single" w:sz="6" w:space="0" w:color="000000"/>
            </w:tcBorders>
            <w:tcMar>
              <w:top w:w="45" w:type="dxa"/>
              <w:left w:w="45" w:type="dxa"/>
              <w:bottom w:w="45" w:type="dxa"/>
              <w:right w:w="45" w:type="dxa"/>
            </w:tcMar>
          </w:tcPr>
          <w:p w14:paraId="4DDB17EE" w14:textId="77777777" w:rsidR="00ED5A3B" w:rsidRPr="0061121D" w:rsidRDefault="00ED5A3B" w:rsidP="005668C4">
            <w:pPr>
              <w:jc w:val="center"/>
              <w:rPr>
                <w:sz w:val="22"/>
                <w:szCs w:val="22"/>
              </w:rPr>
            </w:pPr>
            <w:r>
              <w:rPr>
                <w:sz w:val="22"/>
              </w:rPr>
              <w:t>0,050</w:t>
            </w:r>
          </w:p>
        </w:tc>
      </w:tr>
      <w:tr w:rsidR="00ED5A3B" w:rsidRPr="0061121D" w14:paraId="10DA8C9B" w14:textId="77777777" w:rsidTr="005668C4">
        <w:trPr>
          <w:trHeight w:val="280"/>
        </w:trPr>
        <w:tc>
          <w:tcPr>
            <w:tcW w:w="1706" w:type="dxa"/>
            <w:tcBorders>
              <w:top w:val="single" w:sz="4" w:space="0" w:color="auto"/>
              <w:left w:val="single" w:sz="6" w:space="0" w:color="000000"/>
              <w:bottom w:val="single" w:sz="4" w:space="0" w:color="auto"/>
              <w:right w:val="single" w:sz="6" w:space="0" w:color="000000"/>
            </w:tcBorders>
            <w:tcMar>
              <w:top w:w="45" w:type="dxa"/>
              <w:left w:w="45" w:type="dxa"/>
              <w:bottom w:w="45" w:type="dxa"/>
              <w:right w:w="45" w:type="dxa"/>
            </w:tcMar>
          </w:tcPr>
          <w:p w14:paraId="3861C961" w14:textId="77777777" w:rsidR="00ED5A3B" w:rsidRPr="0061121D" w:rsidRDefault="00ED5A3B" w:rsidP="005668C4">
            <w:pPr>
              <w:rPr>
                <w:sz w:val="22"/>
                <w:szCs w:val="22"/>
              </w:rPr>
            </w:pPr>
            <w:r>
              <w:rPr>
                <w:sz w:val="22"/>
              </w:rPr>
              <w:t>November 2021</w:t>
            </w:r>
          </w:p>
        </w:tc>
        <w:tc>
          <w:tcPr>
            <w:tcW w:w="2262" w:type="dxa"/>
            <w:tcBorders>
              <w:top w:val="single" w:sz="4" w:space="0" w:color="auto"/>
              <w:bottom w:val="single" w:sz="4" w:space="0" w:color="auto"/>
              <w:right w:val="single" w:sz="6" w:space="0" w:color="000000"/>
            </w:tcBorders>
            <w:tcMar>
              <w:top w:w="45" w:type="dxa"/>
              <w:left w:w="45" w:type="dxa"/>
              <w:bottom w:w="45" w:type="dxa"/>
              <w:right w:w="45" w:type="dxa"/>
            </w:tcMar>
          </w:tcPr>
          <w:p w14:paraId="1A776469" w14:textId="77777777" w:rsidR="00ED5A3B" w:rsidRPr="0061121D" w:rsidRDefault="00ED5A3B" w:rsidP="005668C4">
            <w:pPr>
              <w:jc w:val="center"/>
              <w:rPr>
                <w:sz w:val="22"/>
                <w:szCs w:val="22"/>
              </w:rPr>
            </w:pPr>
            <w:r>
              <w:rPr>
                <w:sz w:val="22"/>
              </w:rPr>
              <w:t>20.11.2021 Ausg. 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7153BF46" w14:textId="77777777" w:rsidR="00ED5A3B" w:rsidRPr="0061121D" w:rsidRDefault="00ED5A3B" w:rsidP="005668C4">
            <w:pPr>
              <w:jc w:val="center"/>
              <w:rPr>
                <w:sz w:val="22"/>
                <w:szCs w:val="22"/>
              </w:rPr>
            </w:pPr>
            <w:r>
              <w:rPr>
                <w:sz w:val="22"/>
              </w:rPr>
              <w:t>-0,657</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4DDC3EF" w14:textId="77777777" w:rsidR="00ED5A3B" w:rsidRPr="0061121D" w:rsidRDefault="00ED5A3B" w:rsidP="005668C4">
            <w:pPr>
              <w:jc w:val="center"/>
              <w:rPr>
                <w:sz w:val="22"/>
                <w:szCs w:val="22"/>
              </w:rPr>
            </w:pPr>
            <w:r>
              <w:rPr>
                <w:sz w:val="22"/>
              </w:rPr>
              <w:t>-0,667</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AB28A0E" w14:textId="77777777" w:rsidR="00ED5A3B" w:rsidRPr="0061121D" w:rsidRDefault="00ED5A3B" w:rsidP="005668C4">
            <w:pPr>
              <w:jc w:val="center"/>
              <w:rPr>
                <w:sz w:val="22"/>
                <w:szCs w:val="22"/>
              </w:rPr>
            </w:pPr>
            <w:r>
              <w:rPr>
                <w:sz w:val="22"/>
              </w:rPr>
              <w:t>-0,619</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6E6719F1" w14:textId="77777777" w:rsidR="00ED5A3B" w:rsidRPr="0061121D" w:rsidRDefault="00ED5A3B" w:rsidP="005668C4">
            <w:pPr>
              <w:jc w:val="center"/>
              <w:rPr>
                <w:sz w:val="22"/>
                <w:szCs w:val="22"/>
              </w:rPr>
            </w:pPr>
            <w:r>
              <w:rPr>
                <w:sz w:val="22"/>
              </w:rPr>
              <w:t>-0,498</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45B311C" w14:textId="77777777" w:rsidR="00ED5A3B" w:rsidRPr="0061121D" w:rsidRDefault="00ED5A3B" w:rsidP="005668C4">
            <w:pPr>
              <w:jc w:val="center"/>
              <w:rPr>
                <w:sz w:val="22"/>
                <w:szCs w:val="22"/>
              </w:rPr>
            </w:pPr>
            <w:r>
              <w:rPr>
                <w:sz w:val="22"/>
              </w:rPr>
              <w:t>-0,375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977AAB5" w14:textId="77777777" w:rsidR="00ED5A3B" w:rsidRPr="0061121D" w:rsidRDefault="00ED5A3B" w:rsidP="005668C4">
            <w:pPr>
              <w:jc w:val="center"/>
              <w:rPr>
                <w:sz w:val="22"/>
                <w:szCs w:val="22"/>
              </w:rPr>
            </w:pPr>
            <w:r>
              <w:rPr>
                <w:sz w:val="22"/>
              </w:rPr>
              <w:t>-0,280</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EDCA9AF" w14:textId="77777777" w:rsidR="00ED5A3B" w:rsidRPr="0061121D" w:rsidRDefault="00ED5A3B" w:rsidP="005668C4">
            <w:pPr>
              <w:jc w:val="center"/>
              <w:rPr>
                <w:sz w:val="22"/>
                <w:szCs w:val="22"/>
              </w:rPr>
            </w:pPr>
            <w:r>
              <w:rPr>
                <w:sz w:val="22"/>
              </w:rPr>
              <w:t>-0,185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26686CD" w14:textId="77777777" w:rsidR="00ED5A3B" w:rsidRPr="0061121D" w:rsidRDefault="00ED5A3B" w:rsidP="005668C4">
            <w:pPr>
              <w:jc w:val="center"/>
              <w:rPr>
                <w:sz w:val="22"/>
                <w:szCs w:val="22"/>
              </w:rPr>
            </w:pPr>
            <w:r>
              <w:rPr>
                <w:sz w:val="22"/>
              </w:rPr>
              <w:t>-0,072</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224E335A" w14:textId="77777777" w:rsidR="00ED5A3B" w:rsidRPr="0061121D" w:rsidRDefault="00ED5A3B" w:rsidP="005668C4">
            <w:pPr>
              <w:jc w:val="center"/>
              <w:rPr>
                <w:sz w:val="22"/>
                <w:szCs w:val="22"/>
              </w:rPr>
            </w:pPr>
            <w:r>
              <w:rPr>
                <w:sz w:val="22"/>
              </w:rPr>
              <w:t>0,046</w:t>
            </w:r>
          </w:p>
        </w:tc>
        <w:tc>
          <w:tcPr>
            <w:tcW w:w="1127" w:type="dxa"/>
            <w:tcBorders>
              <w:top w:val="single" w:sz="4" w:space="0" w:color="auto"/>
              <w:bottom w:val="single" w:sz="4" w:space="0" w:color="auto"/>
              <w:right w:val="single" w:sz="6" w:space="0" w:color="000000"/>
            </w:tcBorders>
            <w:tcMar>
              <w:top w:w="45" w:type="dxa"/>
              <w:left w:w="45" w:type="dxa"/>
              <w:bottom w:w="45" w:type="dxa"/>
              <w:right w:w="45" w:type="dxa"/>
            </w:tcMar>
          </w:tcPr>
          <w:p w14:paraId="2D14C51C" w14:textId="77777777" w:rsidR="00ED5A3B" w:rsidRPr="0061121D" w:rsidRDefault="00ED5A3B" w:rsidP="005668C4">
            <w:pPr>
              <w:jc w:val="center"/>
              <w:rPr>
                <w:sz w:val="22"/>
                <w:szCs w:val="22"/>
              </w:rPr>
            </w:pPr>
            <w:r>
              <w:rPr>
                <w:sz w:val="22"/>
              </w:rPr>
              <w:t>0,152</w:t>
            </w:r>
          </w:p>
        </w:tc>
      </w:tr>
      <w:tr w:rsidR="00ED5A3B" w:rsidRPr="0061121D" w14:paraId="04569C24" w14:textId="77777777" w:rsidTr="005668C4">
        <w:trPr>
          <w:trHeight w:val="280"/>
        </w:trPr>
        <w:tc>
          <w:tcPr>
            <w:tcW w:w="1706" w:type="dxa"/>
            <w:tcBorders>
              <w:top w:val="single" w:sz="4" w:space="0" w:color="auto"/>
              <w:left w:val="single" w:sz="6" w:space="0" w:color="000000"/>
              <w:bottom w:val="single" w:sz="4" w:space="0" w:color="auto"/>
              <w:right w:val="single" w:sz="6" w:space="0" w:color="000000"/>
            </w:tcBorders>
            <w:tcMar>
              <w:top w:w="45" w:type="dxa"/>
              <w:left w:w="45" w:type="dxa"/>
              <w:bottom w:w="45" w:type="dxa"/>
              <w:right w:w="45" w:type="dxa"/>
            </w:tcMar>
          </w:tcPr>
          <w:p w14:paraId="2B50CA16" w14:textId="77777777" w:rsidR="00ED5A3B" w:rsidRPr="0061121D" w:rsidRDefault="00ED5A3B" w:rsidP="005668C4">
            <w:pPr>
              <w:rPr>
                <w:sz w:val="22"/>
                <w:szCs w:val="22"/>
              </w:rPr>
            </w:pPr>
            <w:r>
              <w:rPr>
                <w:sz w:val="22"/>
              </w:rPr>
              <w:t>Dezember 2021</w:t>
            </w:r>
          </w:p>
        </w:tc>
        <w:tc>
          <w:tcPr>
            <w:tcW w:w="2262" w:type="dxa"/>
            <w:tcBorders>
              <w:top w:val="single" w:sz="4" w:space="0" w:color="auto"/>
              <w:bottom w:val="single" w:sz="4" w:space="0" w:color="auto"/>
              <w:right w:val="single" w:sz="6" w:space="0" w:color="000000"/>
            </w:tcBorders>
            <w:tcMar>
              <w:top w:w="45" w:type="dxa"/>
              <w:left w:w="45" w:type="dxa"/>
              <w:bottom w:w="45" w:type="dxa"/>
              <w:right w:w="45" w:type="dxa"/>
            </w:tcMar>
          </w:tcPr>
          <w:p w14:paraId="5565752C" w14:textId="77777777" w:rsidR="00ED5A3B" w:rsidRPr="0061121D" w:rsidRDefault="00ED5A3B" w:rsidP="005668C4">
            <w:pPr>
              <w:jc w:val="center"/>
              <w:rPr>
                <w:sz w:val="22"/>
                <w:szCs w:val="22"/>
              </w:rPr>
            </w:pPr>
            <w:r>
              <w:rPr>
                <w:sz w:val="22"/>
              </w:rPr>
              <w:t>17.12.2021 Ausg. 1</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04D0841" w14:textId="77777777" w:rsidR="00ED5A3B" w:rsidRPr="0061121D" w:rsidRDefault="00ED5A3B" w:rsidP="005668C4">
            <w:pPr>
              <w:jc w:val="center"/>
              <w:rPr>
                <w:sz w:val="22"/>
                <w:szCs w:val="22"/>
              </w:rPr>
            </w:pPr>
            <w:r>
              <w:rPr>
                <w:sz w:val="22"/>
              </w:rPr>
              <w:t>-0,735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16427557" w14:textId="77777777" w:rsidR="00ED5A3B" w:rsidRPr="0061121D" w:rsidRDefault="00ED5A3B" w:rsidP="005668C4">
            <w:pPr>
              <w:jc w:val="center"/>
              <w:rPr>
                <w:sz w:val="22"/>
                <w:szCs w:val="22"/>
              </w:rPr>
            </w:pPr>
            <w:r>
              <w:rPr>
                <w:sz w:val="22"/>
              </w:rPr>
              <w:t>-0,740</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0E9C4846" w14:textId="77777777" w:rsidR="00ED5A3B" w:rsidRPr="0061121D" w:rsidRDefault="00ED5A3B" w:rsidP="005668C4">
            <w:pPr>
              <w:jc w:val="center"/>
              <w:rPr>
                <w:sz w:val="22"/>
                <w:szCs w:val="22"/>
              </w:rPr>
            </w:pPr>
            <w:r>
              <w:rPr>
                <w:sz w:val="22"/>
              </w:rPr>
              <w:t>-0,689</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1C8D6BB7" w14:textId="77777777" w:rsidR="00ED5A3B" w:rsidRPr="0061121D" w:rsidRDefault="00ED5A3B" w:rsidP="005668C4">
            <w:pPr>
              <w:jc w:val="center"/>
              <w:rPr>
                <w:sz w:val="22"/>
                <w:szCs w:val="22"/>
              </w:rPr>
            </w:pPr>
            <w:r>
              <w:rPr>
                <w:sz w:val="22"/>
              </w:rPr>
              <w:t>-0,577</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786A0D7D" w14:textId="77777777" w:rsidR="00ED5A3B" w:rsidRPr="0061121D" w:rsidRDefault="00ED5A3B" w:rsidP="005668C4">
            <w:pPr>
              <w:jc w:val="center"/>
              <w:rPr>
                <w:sz w:val="22"/>
                <w:szCs w:val="22"/>
              </w:rPr>
            </w:pPr>
            <w:r>
              <w:rPr>
                <w:sz w:val="22"/>
              </w:rPr>
              <w:t>-0,468</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17947597" w14:textId="77777777" w:rsidR="00ED5A3B" w:rsidRPr="0061121D" w:rsidRDefault="00ED5A3B" w:rsidP="005668C4">
            <w:pPr>
              <w:jc w:val="center"/>
              <w:rPr>
                <w:sz w:val="22"/>
                <w:szCs w:val="22"/>
              </w:rPr>
            </w:pPr>
            <w:r>
              <w:rPr>
                <w:sz w:val="22"/>
              </w:rPr>
              <w:t>-0,386</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356FDB07" w14:textId="77777777" w:rsidR="00ED5A3B" w:rsidRPr="0061121D" w:rsidRDefault="00ED5A3B" w:rsidP="005668C4">
            <w:pPr>
              <w:jc w:val="center"/>
              <w:rPr>
                <w:sz w:val="22"/>
                <w:szCs w:val="22"/>
              </w:rPr>
            </w:pPr>
            <w:r>
              <w:rPr>
                <w:sz w:val="22"/>
              </w:rPr>
              <w:t>-0,295</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1F3265B9" w14:textId="77777777" w:rsidR="00ED5A3B" w:rsidRPr="0061121D" w:rsidRDefault="00ED5A3B" w:rsidP="005668C4">
            <w:pPr>
              <w:jc w:val="center"/>
              <w:rPr>
                <w:sz w:val="22"/>
                <w:szCs w:val="22"/>
              </w:rPr>
            </w:pPr>
            <w:r>
              <w:rPr>
                <w:sz w:val="22"/>
              </w:rPr>
              <w:t>-0,182</w:t>
            </w:r>
          </w:p>
        </w:tc>
        <w:tc>
          <w:tcPr>
            <w:tcW w:w="1134" w:type="dxa"/>
            <w:tcBorders>
              <w:top w:val="single" w:sz="4" w:space="0" w:color="auto"/>
              <w:bottom w:val="single" w:sz="4" w:space="0" w:color="auto"/>
              <w:right w:val="single" w:sz="6" w:space="0" w:color="000000"/>
            </w:tcBorders>
            <w:tcMar>
              <w:top w:w="45" w:type="dxa"/>
              <w:left w:w="45" w:type="dxa"/>
              <w:bottom w:w="45" w:type="dxa"/>
              <w:right w:w="45" w:type="dxa"/>
            </w:tcMar>
          </w:tcPr>
          <w:p w14:paraId="6B753D4D" w14:textId="77777777" w:rsidR="00ED5A3B" w:rsidRPr="0061121D" w:rsidRDefault="00ED5A3B" w:rsidP="005668C4">
            <w:pPr>
              <w:jc w:val="center"/>
              <w:rPr>
                <w:sz w:val="22"/>
                <w:szCs w:val="22"/>
              </w:rPr>
            </w:pPr>
            <w:r>
              <w:rPr>
                <w:sz w:val="22"/>
              </w:rPr>
              <w:t>-0,067</w:t>
            </w:r>
          </w:p>
        </w:tc>
        <w:tc>
          <w:tcPr>
            <w:tcW w:w="1127" w:type="dxa"/>
            <w:tcBorders>
              <w:top w:val="single" w:sz="4" w:space="0" w:color="auto"/>
              <w:bottom w:val="single" w:sz="4" w:space="0" w:color="auto"/>
              <w:right w:val="single" w:sz="6" w:space="0" w:color="000000"/>
            </w:tcBorders>
            <w:tcMar>
              <w:top w:w="45" w:type="dxa"/>
              <w:left w:w="45" w:type="dxa"/>
              <w:bottom w:w="45" w:type="dxa"/>
              <w:right w:w="45" w:type="dxa"/>
            </w:tcMar>
          </w:tcPr>
          <w:p w14:paraId="0BBD9DAD" w14:textId="77777777" w:rsidR="00ED5A3B" w:rsidRPr="0061121D" w:rsidRDefault="00ED5A3B" w:rsidP="005668C4">
            <w:pPr>
              <w:jc w:val="center"/>
              <w:rPr>
                <w:sz w:val="22"/>
                <w:szCs w:val="22"/>
              </w:rPr>
            </w:pPr>
            <w:r>
              <w:rPr>
                <w:sz w:val="22"/>
              </w:rPr>
              <w:t>0,040</w:t>
            </w:r>
          </w:p>
        </w:tc>
      </w:tr>
    </w:tbl>
    <w:p w14:paraId="307AEE5A" w14:textId="77777777" w:rsidR="00ED5A3B" w:rsidRDefault="00ED5A3B">
      <w:pPr>
        <w:rPr>
          <w:rFonts w:eastAsia="Calibri"/>
          <w:szCs w:val="22"/>
          <w:lang w:eastAsia="en-US"/>
        </w:rPr>
      </w:pPr>
    </w:p>
    <w:p w14:paraId="7716CC62" w14:textId="0BFBC1F4" w:rsidR="001D5508" w:rsidRDefault="001D5508">
      <w:pPr>
        <w:rPr>
          <w:rFonts w:eastAsia="Calibri"/>
          <w:szCs w:val="22"/>
          <w:lang w:eastAsia="en-US"/>
        </w:rPr>
      </w:pPr>
      <w:r>
        <w:rPr>
          <w:rFonts w:eastAsia="Calibri"/>
          <w:szCs w:val="22"/>
          <w:lang w:eastAsia="en-US"/>
        </w:rPr>
        <w:br w:type="page"/>
      </w:r>
    </w:p>
    <w:p w14:paraId="79BB5BEB" w14:textId="77777777" w:rsidR="00842BDA" w:rsidRPr="00616C13" w:rsidRDefault="00842BDA" w:rsidP="00842BDA">
      <w:pPr>
        <w:jc w:val="both"/>
      </w:pPr>
    </w:p>
    <w:tbl>
      <w:tblPr>
        <w:tblStyle w:val="Grilledutableau"/>
        <w:tblW w:w="15168" w:type="dxa"/>
        <w:tblInd w:w="-572" w:type="dxa"/>
        <w:tblLook w:val="04A0" w:firstRow="1" w:lastRow="0" w:firstColumn="1" w:lastColumn="0" w:noHBand="0" w:noVBand="1"/>
      </w:tblPr>
      <w:tblGrid>
        <w:gridCol w:w="1588"/>
        <w:gridCol w:w="2039"/>
        <w:gridCol w:w="1174"/>
        <w:gridCol w:w="1162"/>
        <w:gridCol w:w="1162"/>
        <w:gridCol w:w="1174"/>
        <w:gridCol w:w="1149"/>
        <w:gridCol w:w="1137"/>
        <w:gridCol w:w="1174"/>
        <w:gridCol w:w="1174"/>
        <w:gridCol w:w="1115"/>
        <w:gridCol w:w="1120"/>
      </w:tblGrid>
      <w:tr w:rsidR="00842BDA" w:rsidRPr="00616C13" w14:paraId="5627B720" w14:textId="77777777" w:rsidTr="00621F55">
        <w:tc>
          <w:tcPr>
            <w:tcW w:w="1560" w:type="dxa"/>
            <w:hideMark/>
          </w:tcPr>
          <w:p w14:paraId="23C243BA" w14:textId="77777777" w:rsidR="00842BDA" w:rsidRPr="00616C13" w:rsidRDefault="00842BDA" w:rsidP="00621F55">
            <w:pPr>
              <w:spacing w:beforeLines="34" w:before="81" w:after="34"/>
              <w:jc w:val="center"/>
              <w:rPr>
                <w:b/>
                <w:bCs/>
                <w:sz w:val="21"/>
                <w:szCs w:val="21"/>
              </w:rPr>
            </w:pPr>
            <w:r w:rsidRPr="00616C13">
              <w:rPr>
                <w:b/>
                <w:sz w:val="21"/>
              </w:rPr>
              <w:t>ZEITRAUM</w:t>
            </w:r>
          </w:p>
        </w:tc>
        <w:tc>
          <w:tcPr>
            <w:tcW w:w="2047" w:type="dxa"/>
            <w:hideMark/>
          </w:tcPr>
          <w:p w14:paraId="6EAD0C10" w14:textId="77777777" w:rsidR="00842BDA" w:rsidRPr="00616C13" w:rsidRDefault="00842BDA" w:rsidP="00621F55">
            <w:pPr>
              <w:spacing w:beforeLines="34" w:before="81" w:after="34"/>
              <w:jc w:val="center"/>
              <w:rPr>
                <w:b/>
                <w:bCs/>
                <w:sz w:val="21"/>
                <w:szCs w:val="21"/>
              </w:rPr>
            </w:pPr>
            <w:r w:rsidRPr="00616C13">
              <w:rPr>
                <w:b/>
                <w:sz w:val="21"/>
              </w:rPr>
              <w:t>BELGISCHES STAATSBLATT</w:t>
            </w:r>
          </w:p>
        </w:tc>
        <w:tc>
          <w:tcPr>
            <w:tcW w:w="1176" w:type="dxa"/>
            <w:hideMark/>
          </w:tcPr>
          <w:p w14:paraId="7FB4A550" w14:textId="77777777" w:rsidR="00842BDA" w:rsidRPr="00616C13" w:rsidRDefault="00842BDA" w:rsidP="00621F55">
            <w:pPr>
              <w:spacing w:beforeLines="34" w:before="81" w:after="34"/>
              <w:jc w:val="center"/>
              <w:rPr>
                <w:b/>
                <w:bCs/>
                <w:sz w:val="21"/>
                <w:szCs w:val="21"/>
              </w:rPr>
            </w:pPr>
            <w:r w:rsidRPr="00616C13">
              <w:rPr>
                <w:b/>
                <w:sz w:val="21"/>
              </w:rPr>
              <w:t>INDEX A</w:t>
            </w:r>
          </w:p>
        </w:tc>
        <w:tc>
          <w:tcPr>
            <w:tcW w:w="1164" w:type="dxa"/>
            <w:hideMark/>
          </w:tcPr>
          <w:p w14:paraId="5036F6A8" w14:textId="77777777" w:rsidR="00842BDA" w:rsidRPr="00616C13" w:rsidRDefault="00842BDA" w:rsidP="00621F55">
            <w:pPr>
              <w:spacing w:beforeLines="34" w:before="81" w:after="34"/>
              <w:jc w:val="center"/>
              <w:rPr>
                <w:b/>
                <w:bCs/>
                <w:sz w:val="21"/>
                <w:szCs w:val="21"/>
              </w:rPr>
            </w:pPr>
            <w:r w:rsidRPr="00616C13">
              <w:rPr>
                <w:b/>
                <w:sz w:val="21"/>
              </w:rPr>
              <w:t>INDEX B</w:t>
            </w:r>
          </w:p>
        </w:tc>
        <w:tc>
          <w:tcPr>
            <w:tcW w:w="1164" w:type="dxa"/>
            <w:hideMark/>
          </w:tcPr>
          <w:p w14:paraId="67A169F7" w14:textId="77777777" w:rsidR="00842BDA" w:rsidRPr="00616C13" w:rsidRDefault="00842BDA" w:rsidP="00621F55">
            <w:pPr>
              <w:spacing w:beforeLines="34" w:before="81" w:after="34"/>
              <w:jc w:val="center"/>
              <w:rPr>
                <w:b/>
                <w:bCs/>
                <w:sz w:val="21"/>
                <w:szCs w:val="21"/>
              </w:rPr>
            </w:pPr>
            <w:r w:rsidRPr="00616C13">
              <w:rPr>
                <w:b/>
                <w:sz w:val="21"/>
              </w:rPr>
              <w:t>INDEX C</w:t>
            </w:r>
          </w:p>
        </w:tc>
        <w:tc>
          <w:tcPr>
            <w:tcW w:w="1176" w:type="dxa"/>
            <w:hideMark/>
          </w:tcPr>
          <w:p w14:paraId="366B07E4" w14:textId="77777777" w:rsidR="00842BDA" w:rsidRPr="00616C13" w:rsidRDefault="00842BDA" w:rsidP="00621F55">
            <w:pPr>
              <w:spacing w:beforeLines="34" w:before="81" w:after="34"/>
              <w:jc w:val="center"/>
              <w:rPr>
                <w:b/>
                <w:bCs/>
                <w:sz w:val="21"/>
                <w:szCs w:val="21"/>
              </w:rPr>
            </w:pPr>
            <w:r w:rsidRPr="00616C13">
              <w:rPr>
                <w:b/>
                <w:sz w:val="21"/>
              </w:rPr>
              <w:t>INDEX D</w:t>
            </w:r>
          </w:p>
        </w:tc>
        <w:tc>
          <w:tcPr>
            <w:tcW w:w="1151" w:type="dxa"/>
            <w:hideMark/>
          </w:tcPr>
          <w:p w14:paraId="431A8387" w14:textId="77777777" w:rsidR="00842BDA" w:rsidRPr="00616C13" w:rsidRDefault="00842BDA" w:rsidP="00621F55">
            <w:pPr>
              <w:spacing w:beforeLines="34" w:before="81" w:after="34"/>
              <w:jc w:val="center"/>
              <w:rPr>
                <w:b/>
                <w:bCs/>
                <w:sz w:val="21"/>
                <w:szCs w:val="21"/>
              </w:rPr>
            </w:pPr>
            <w:r w:rsidRPr="00616C13">
              <w:rPr>
                <w:b/>
                <w:sz w:val="21"/>
              </w:rPr>
              <w:t>INDEX E</w:t>
            </w:r>
          </w:p>
        </w:tc>
        <w:tc>
          <w:tcPr>
            <w:tcW w:w="1139" w:type="dxa"/>
            <w:hideMark/>
          </w:tcPr>
          <w:p w14:paraId="6B34B9BE" w14:textId="77777777" w:rsidR="00842BDA" w:rsidRPr="00616C13" w:rsidRDefault="00842BDA" w:rsidP="00621F55">
            <w:pPr>
              <w:spacing w:beforeLines="34" w:before="81" w:after="34"/>
              <w:jc w:val="center"/>
              <w:rPr>
                <w:b/>
                <w:bCs/>
                <w:sz w:val="21"/>
                <w:szCs w:val="21"/>
              </w:rPr>
            </w:pPr>
            <w:r w:rsidRPr="00616C13">
              <w:rPr>
                <w:b/>
                <w:sz w:val="21"/>
              </w:rPr>
              <w:t>INDEX F</w:t>
            </w:r>
          </w:p>
        </w:tc>
        <w:tc>
          <w:tcPr>
            <w:tcW w:w="1176" w:type="dxa"/>
            <w:hideMark/>
          </w:tcPr>
          <w:p w14:paraId="60C696D9" w14:textId="77777777" w:rsidR="00842BDA" w:rsidRPr="00616C13" w:rsidRDefault="00842BDA" w:rsidP="00621F55">
            <w:pPr>
              <w:spacing w:beforeLines="34" w:before="81" w:after="34"/>
              <w:jc w:val="center"/>
              <w:rPr>
                <w:b/>
                <w:bCs/>
                <w:sz w:val="21"/>
                <w:szCs w:val="21"/>
              </w:rPr>
            </w:pPr>
            <w:r w:rsidRPr="00616C13">
              <w:rPr>
                <w:b/>
                <w:sz w:val="21"/>
              </w:rPr>
              <w:t>INDEX G</w:t>
            </w:r>
          </w:p>
        </w:tc>
        <w:tc>
          <w:tcPr>
            <w:tcW w:w="1176" w:type="dxa"/>
            <w:hideMark/>
          </w:tcPr>
          <w:p w14:paraId="3D95E12B" w14:textId="77777777" w:rsidR="00842BDA" w:rsidRPr="00616C13" w:rsidRDefault="00842BDA" w:rsidP="00621F55">
            <w:pPr>
              <w:spacing w:beforeLines="34" w:before="81" w:after="34"/>
              <w:jc w:val="center"/>
              <w:rPr>
                <w:b/>
                <w:bCs/>
                <w:sz w:val="21"/>
                <w:szCs w:val="21"/>
              </w:rPr>
            </w:pPr>
            <w:r w:rsidRPr="00616C13">
              <w:rPr>
                <w:b/>
                <w:sz w:val="21"/>
              </w:rPr>
              <w:t>INDEX H</w:t>
            </w:r>
          </w:p>
        </w:tc>
        <w:tc>
          <w:tcPr>
            <w:tcW w:w="1117" w:type="dxa"/>
            <w:hideMark/>
          </w:tcPr>
          <w:p w14:paraId="39EBFC66" w14:textId="77777777" w:rsidR="00842BDA" w:rsidRPr="00616C13" w:rsidRDefault="00842BDA" w:rsidP="00621F55">
            <w:pPr>
              <w:spacing w:beforeLines="34" w:before="81" w:after="34"/>
              <w:jc w:val="center"/>
              <w:rPr>
                <w:b/>
                <w:bCs/>
                <w:sz w:val="21"/>
                <w:szCs w:val="21"/>
              </w:rPr>
            </w:pPr>
            <w:r w:rsidRPr="00616C13">
              <w:rPr>
                <w:b/>
                <w:sz w:val="21"/>
              </w:rPr>
              <w:t>INDEX I</w:t>
            </w:r>
          </w:p>
        </w:tc>
        <w:tc>
          <w:tcPr>
            <w:tcW w:w="1122" w:type="dxa"/>
            <w:hideMark/>
          </w:tcPr>
          <w:p w14:paraId="2D3E9D5D" w14:textId="77777777" w:rsidR="00842BDA" w:rsidRPr="00616C13" w:rsidRDefault="00842BDA" w:rsidP="00621F55">
            <w:pPr>
              <w:spacing w:beforeLines="34" w:before="81" w:after="34"/>
              <w:jc w:val="center"/>
              <w:rPr>
                <w:b/>
                <w:bCs/>
                <w:sz w:val="21"/>
                <w:szCs w:val="21"/>
              </w:rPr>
            </w:pPr>
            <w:r w:rsidRPr="00616C13">
              <w:rPr>
                <w:b/>
                <w:sz w:val="21"/>
              </w:rPr>
              <w:t>INDEX J</w:t>
            </w:r>
          </w:p>
        </w:tc>
      </w:tr>
      <w:tr w:rsidR="00842BDA" w:rsidRPr="00616C13" w14:paraId="06D17C6E" w14:textId="77777777" w:rsidTr="00621F55">
        <w:tc>
          <w:tcPr>
            <w:tcW w:w="1560" w:type="dxa"/>
            <w:hideMark/>
          </w:tcPr>
          <w:p w14:paraId="4CA92542" w14:textId="77777777" w:rsidR="00842BDA" w:rsidRPr="00616C13" w:rsidRDefault="00842BDA" w:rsidP="00621F55">
            <w:pPr>
              <w:spacing w:beforeLines="34" w:before="81" w:after="34"/>
              <w:rPr>
                <w:sz w:val="21"/>
                <w:szCs w:val="21"/>
              </w:rPr>
            </w:pPr>
            <w:r w:rsidRPr="00616C13">
              <w:rPr>
                <w:sz w:val="21"/>
              </w:rPr>
              <w:t xml:space="preserve">Januar 2022 </w:t>
            </w:r>
          </w:p>
        </w:tc>
        <w:tc>
          <w:tcPr>
            <w:tcW w:w="2047" w:type="dxa"/>
            <w:hideMark/>
          </w:tcPr>
          <w:p w14:paraId="10073EA1" w14:textId="77777777" w:rsidR="00842BDA" w:rsidRPr="00616C13" w:rsidRDefault="00842BDA" w:rsidP="00621F55">
            <w:pPr>
              <w:spacing w:beforeLines="34" w:before="81" w:after="34"/>
              <w:rPr>
                <w:sz w:val="21"/>
                <w:szCs w:val="21"/>
              </w:rPr>
            </w:pPr>
            <w:r w:rsidRPr="00616C13">
              <w:rPr>
                <w:sz w:val="21"/>
              </w:rPr>
              <w:t xml:space="preserve">21.01.2022 - Ausg. 1 </w:t>
            </w:r>
          </w:p>
        </w:tc>
        <w:tc>
          <w:tcPr>
            <w:tcW w:w="1176" w:type="dxa"/>
            <w:hideMark/>
          </w:tcPr>
          <w:p w14:paraId="00FA5E50" w14:textId="77777777" w:rsidR="00842BDA" w:rsidRPr="00616C13" w:rsidRDefault="00842BDA" w:rsidP="00621F55">
            <w:pPr>
              <w:spacing w:beforeLines="34" w:before="81" w:after="34"/>
              <w:jc w:val="center"/>
              <w:rPr>
                <w:sz w:val="21"/>
                <w:szCs w:val="21"/>
              </w:rPr>
            </w:pPr>
            <w:r w:rsidRPr="00616C13">
              <w:rPr>
                <w:sz w:val="21"/>
              </w:rPr>
              <w:t>-0,649</w:t>
            </w:r>
          </w:p>
        </w:tc>
        <w:tc>
          <w:tcPr>
            <w:tcW w:w="1164" w:type="dxa"/>
            <w:hideMark/>
          </w:tcPr>
          <w:p w14:paraId="2000E2E7" w14:textId="77777777" w:rsidR="00842BDA" w:rsidRPr="00616C13" w:rsidRDefault="00842BDA" w:rsidP="00621F55">
            <w:pPr>
              <w:spacing w:beforeLines="34" w:before="81" w:after="34"/>
              <w:jc w:val="center"/>
              <w:rPr>
                <w:sz w:val="21"/>
                <w:szCs w:val="21"/>
              </w:rPr>
            </w:pPr>
            <w:r w:rsidRPr="00616C13">
              <w:rPr>
                <w:sz w:val="21"/>
              </w:rPr>
              <w:t>-0,648</w:t>
            </w:r>
          </w:p>
        </w:tc>
        <w:tc>
          <w:tcPr>
            <w:tcW w:w="1164" w:type="dxa"/>
            <w:hideMark/>
          </w:tcPr>
          <w:p w14:paraId="5D0D8877" w14:textId="77777777" w:rsidR="00842BDA" w:rsidRPr="00616C13" w:rsidRDefault="00842BDA" w:rsidP="00621F55">
            <w:pPr>
              <w:spacing w:beforeLines="34" w:before="81" w:after="34"/>
              <w:jc w:val="center"/>
              <w:rPr>
                <w:sz w:val="21"/>
                <w:szCs w:val="21"/>
              </w:rPr>
            </w:pPr>
            <w:r w:rsidRPr="00616C13">
              <w:rPr>
                <w:sz w:val="21"/>
              </w:rPr>
              <w:t>-0,593</w:t>
            </w:r>
          </w:p>
        </w:tc>
        <w:tc>
          <w:tcPr>
            <w:tcW w:w="1176" w:type="dxa"/>
            <w:hideMark/>
          </w:tcPr>
          <w:p w14:paraId="6B392CAF" w14:textId="77777777" w:rsidR="00842BDA" w:rsidRPr="00616C13" w:rsidRDefault="00842BDA" w:rsidP="00621F55">
            <w:pPr>
              <w:spacing w:beforeLines="34" w:before="81" w:after="34"/>
              <w:jc w:val="center"/>
              <w:rPr>
                <w:sz w:val="21"/>
                <w:szCs w:val="21"/>
              </w:rPr>
            </w:pPr>
            <w:r w:rsidRPr="00616C13">
              <w:rPr>
                <w:sz w:val="21"/>
              </w:rPr>
              <w:t>-0,489</w:t>
            </w:r>
          </w:p>
        </w:tc>
        <w:tc>
          <w:tcPr>
            <w:tcW w:w="1151" w:type="dxa"/>
            <w:hideMark/>
          </w:tcPr>
          <w:p w14:paraId="0B7429DE" w14:textId="77777777" w:rsidR="00842BDA" w:rsidRPr="00616C13" w:rsidRDefault="00842BDA" w:rsidP="00621F55">
            <w:pPr>
              <w:spacing w:beforeLines="34" w:before="81" w:after="34"/>
              <w:jc w:val="center"/>
              <w:rPr>
                <w:sz w:val="21"/>
                <w:szCs w:val="21"/>
              </w:rPr>
            </w:pPr>
            <w:r w:rsidRPr="00616C13">
              <w:rPr>
                <w:sz w:val="21"/>
              </w:rPr>
              <w:t>-0,393</w:t>
            </w:r>
          </w:p>
        </w:tc>
        <w:tc>
          <w:tcPr>
            <w:tcW w:w="1139" w:type="dxa"/>
            <w:hideMark/>
          </w:tcPr>
          <w:p w14:paraId="0276D988" w14:textId="77777777" w:rsidR="00842BDA" w:rsidRPr="00616C13" w:rsidRDefault="00842BDA" w:rsidP="00621F55">
            <w:pPr>
              <w:spacing w:beforeLines="34" w:before="81" w:after="34"/>
              <w:jc w:val="center"/>
              <w:rPr>
                <w:sz w:val="21"/>
                <w:szCs w:val="21"/>
              </w:rPr>
            </w:pPr>
            <w:r w:rsidRPr="00616C13">
              <w:rPr>
                <w:sz w:val="21"/>
              </w:rPr>
              <w:t>-0,316</w:t>
            </w:r>
          </w:p>
        </w:tc>
        <w:tc>
          <w:tcPr>
            <w:tcW w:w="1176" w:type="dxa"/>
            <w:hideMark/>
          </w:tcPr>
          <w:p w14:paraId="2483EC82" w14:textId="77777777" w:rsidR="00842BDA" w:rsidRPr="00616C13" w:rsidRDefault="00842BDA" w:rsidP="00621F55">
            <w:pPr>
              <w:spacing w:beforeLines="34" w:before="81" w:after="34"/>
              <w:jc w:val="center"/>
              <w:rPr>
                <w:sz w:val="21"/>
                <w:szCs w:val="21"/>
              </w:rPr>
            </w:pPr>
            <w:r w:rsidRPr="00616C13">
              <w:rPr>
                <w:sz w:val="21"/>
              </w:rPr>
              <w:t>-0,225</w:t>
            </w:r>
          </w:p>
        </w:tc>
        <w:tc>
          <w:tcPr>
            <w:tcW w:w="1176" w:type="dxa"/>
            <w:hideMark/>
          </w:tcPr>
          <w:p w14:paraId="7414F03F" w14:textId="77777777" w:rsidR="00842BDA" w:rsidRPr="00616C13" w:rsidRDefault="00842BDA" w:rsidP="00621F55">
            <w:pPr>
              <w:spacing w:beforeLines="34" w:before="81" w:after="34"/>
              <w:jc w:val="center"/>
              <w:rPr>
                <w:sz w:val="21"/>
                <w:szCs w:val="21"/>
              </w:rPr>
            </w:pPr>
            <w:r w:rsidRPr="00616C13">
              <w:rPr>
                <w:sz w:val="21"/>
              </w:rPr>
              <w:t>-0,109</w:t>
            </w:r>
          </w:p>
        </w:tc>
        <w:tc>
          <w:tcPr>
            <w:tcW w:w="1117" w:type="dxa"/>
            <w:hideMark/>
          </w:tcPr>
          <w:p w14:paraId="62519A7E" w14:textId="77777777" w:rsidR="00842BDA" w:rsidRPr="00616C13" w:rsidRDefault="00842BDA" w:rsidP="00621F55">
            <w:pPr>
              <w:spacing w:beforeLines="34" w:before="81" w:after="34"/>
              <w:jc w:val="center"/>
              <w:rPr>
                <w:sz w:val="21"/>
                <w:szCs w:val="21"/>
              </w:rPr>
            </w:pPr>
            <w:r w:rsidRPr="00616C13">
              <w:rPr>
                <w:sz w:val="21"/>
              </w:rPr>
              <w:t>0,011</w:t>
            </w:r>
          </w:p>
        </w:tc>
        <w:tc>
          <w:tcPr>
            <w:tcW w:w="1122" w:type="dxa"/>
            <w:hideMark/>
          </w:tcPr>
          <w:p w14:paraId="6FA0CC7B" w14:textId="77777777" w:rsidR="00842BDA" w:rsidRPr="00616C13" w:rsidRDefault="00842BDA" w:rsidP="00621F55">
            <w:pPr>
              <w:spacing w:beforeLines="34" w:before="81" w:after="34"/>
              <w:jc w:val="center"/>
              <w:rPr>
                <w:sz w:val="21"/>
                <w:szCs w:val="21"/>
              </w:rPr>
            </w:pPr>
            <w:r w:rsidRPr="00616C13">
              <w:rPr>
                <w:sz w:val="21"/>
              </w:rPr>
              <w:t>0,123</w:t>
            </w:r>
          </w:p>
        </w:tc>
      </w:tr>
      <w:tr w:rsidR="00842BDA" w:rsidRPr="00616C13" w14:paraId="77D6D44E" w14:textId="77777777" w:rsidTr="00621F55">
        <w:tc>
          <w:tcPr>
            <w:tcW w:w="1560" w:type="dxa"/>
            <w:hideMark/>
          </w:tcPr>
          <w:p w14:paraId="2D9F313F" w14:textId="77777777" w:rsidR="00842BDA" w:rsidRPr="00616C13" w:rsidRDefault="00842BDA" w:rsidP="00621F55">
            <w:pPr>
              <w:spacing w:beforeLines="34" w:before="81" w:after="34"/>
              <w:rPr>
                <w:sz w:val="21"/>
                <w:szCs w:val="21"/>
              </w:rPr>
            </w:pPr>
            <w:r w:rsidRPr="00616C13">
              <w:rPr>
                <w:sz w:val="21"/>
              </w:rPr>
              <w:t xml:space="preserve">Februar 2022 </w:t>
            </w:r>
          </w:p>
        </w:tc>
        <w:tc>
          <w:tcPr>
            <w:tcW w:w="2047" w:type="dxa"/>
            <w:hideMark/>
          </w:tcPr>
          <w:p w14:paraId="4F311AF2" w14:textId="77777777" w:rsidR="00842BDA" w:rsidRPr="00616C13" w:rsidRDefault="00842BDA" w:rsidP="00621F55">
            <w:pPr>
              <w:spacing w:beforeLines="34" w:before="81" w:after="34"/>
              <w:rPr>
                <w:sz w:val="21"/>
                <w:szCs w:val="21"/>
              </w:rPr>
            </w:pPr>
            <w:r w:rsidRPr="00616C13">
              <w:rPr>
                <w:sz w:val="21"/>
              </w:rPr>
              <w:t xml:space="preserve">18.02.2022 - Ausg. 1 </w:t>
            </w:r>
          </w:p>
        </w:tc>
        <w:tc>
          <w:tcPr>
            <w:tcW w:w="1176" w:type="dxa"/>
            <w:hideMark/>
          </w:tcPr>
          <w:p w14:paraId="29E3A6AF" w14:textId="77777777" w:rsidR="00842BDA" w:rsidRPr="00616C13" w:rsidRDefault="00842BDA" w:rsidP="00621F55">
            <w:pPr>
              <w:spacing w:beforeLines="34" w:before="81" w:after="34"/>
              <w:jc w:val="center"/>
              <w:rPr>
                <w:sz w:val="21"/>
                <w:szCs w:val="21"/>
              </w:rPr>
            </w:pPr>
            <w:r w:rsidRPr="00616C13">
              <w:rPr>
                <w:sz w:val="21"/>
              </w:rPr>
              <w:t>-0,621</w:t>
            </w:r>
          </w:p>
        </w:tc>
        <w:tc>
          <w:tcPr>
            <w:tcW w:w="1164" w:type="dxa"/>
            <w:hideMark/>
          </w:tcPr>
          <w:p w14:paraId="1D7E4937" w14:textId="77777777" w:rsidR="00842BDA" w:rsidRPr="00616C13" w:rsidRDefault="00842BDA" w:rsidP="00621F55">
            <w:pPr>
              <w:spacing w:beforeLines="34" w:before="81" w:after="34"/>
              <w:jc w:val="center"/>
              <w:rPr>
                <w:sz w:val="21"/>
                <w:szCs w:val="21"/>
              </w:rPr>
            </w:pPr>
            <w:r w:rsidRPr="00616C13">
              <w:rPr>
                <w:sz w:val="21"/>
              </w:rPr>
              <w:t>-0,530</w:t>
            </w:r>
          </w:p>
        </w:tc>
        <w:tc>
          <w:tcPr>
            <w:tcW w:w="1164" w:type="dxa"/>
            <w:hideMark/>
          </w:tcPr>
          <w:p w14:paraId="10CB7AF5" w14:textId="77777777" w:rsidR="00842BDA" w:rsidRPr="00616C13" w:rsidRDefault="00842BDA" w:rsidP="00621F55">
            <w:pPr>
              <w:spacing w:beforeLines="34" w:before="81" w:after="34"/>
              <w:jc w:val="center"/>
              <w:rPr>
                <w:sz w:val="21"/>
                <w:szCs w:val="21"/>
              </w:rPr>
            </w:pPr>
            <w:r w:rsidRPr="00616C13">
              <w:rPr>
                <w:sz w:val="21"/>
              </w:rPr>
              <w:t>-0,392</w:t>
            </w:r>
          </w:p>
        </w:tc>
        <w:tc>
          <w:tcPr>
            <w:tcW w:w="1176" w:type="dxa"/>
            <w:hideMark/>
          </w:tcPr>
          <w:p w14:paraId="6938B06A" w14:textId="77777777" w:rsidR="00842BDA" w:rsidRPr="00616C13" w:rsidRDefault="00842BDA" w:rsidP="00621F55">
            <w:pPr>
              <w:spacing w:beforeLines="34" w:before="81" w:after="34"/>
              <w:jc w:val="center"/>
              <w:rPr>
                <w:sz w:val="21"/>
                <w:szCs w:val="21"/>
              </w:rPr>
            </w:pPr>
            <w:r w:rsidRPr="00616C13">
              <w:rPr>
                <w:sz w:val="21"/>
              </w:rPr>
              <w:t>-0,232</w:t>
            </w:r>
          </w:p>
        </w:tc>
        <w:tc>
          <w:tcPr>
            <w:tcW w:w="1151" w:type="dxa"/>
            <w:hideMark/>
          </w:tcPr>
          <w:p w14:paraId="3ED4C12D" w14:textId="77777777" w:rsidR="00842BDA" w:rsidRPr="00616C13" w:rsidRDefault="00842BDA" w:rsidP="00621F55">
            <w:pPr>
              <w:spacing w:beforeLines="34" w:before="81" w:after="34"/>
              <w:jc w:val="center"/>
              <w:rPr>
                <w:sz w:val="21"/>
                <w:szCs w:val="21"/>
              </w:rPr>
            </w:pPr>
            <w:r w:rsidRPr="00616C13">
              <w:rPr>
                <w:sz w:val="21"/>
              </w:rPr>
              <w:t>-0,112</w:t>
            </w:r>
          </w:p>
        </w:tc>
        <w:tc>
          <w:tcPr>
            <w:tcW w:w="1139" w:type="dxa"/>
            <w:hideMark/>
          </w:tcPr>
          <w:p w14:paraId="0303C00E" w14:textId="77777777" w:rsidR="00842BDA" w:rsidRPr="00616C13" w:rsidRDefault="00842BDA" w:rsidP="00621F55">
            <w:pPr>
              <w:spacing w:beforeLines="34" w:before="81" w:after="34"/>
              <w:jc w:val="center"/>
              <w:rPr>
                <w:sz w:val="21"/>
                <w:szCs w:val="21"/>
              </w:rPr>
            </w:pPr>
            <w:r w:rsidRPr="00616C13">
              <w:rPr>
                <w:sz w:val="21"/>
              </w:rPr>
              <w:t>-0,037</w:t>
            </w:r>
          </w:p>
        </w:tc>
        <w:tc>
          <w:tcPr>
            <w:tcW w:w="1176" w:type="dxa"/>
            <w:hideMark/>
          </w:tcPr>
          <w:p w14:paraId="41EB915B" w14:textId="77777777" w:rsidR="00842BDA" w:rsidRPr="00616C13" w:rsidRDefault="00842BDA" w:rsidP="00621F55">
            <w:pPr>
              <w:spacing w:beforeLines="34" w:before="81" w:after="34"/>
              <w:jc w:val="center"/>
              <w:rPr>
                <w:sz w:val="21"/>
                <w:szCs w:val="21"/>
              </w:rPr>
            </w:pPr>
            <w:r w:rsidRPr="00616C13">
              <w:rPr>
                <w:sz w:val="21"/>
              </w:rPr>
              <w:t>0,050</w:t>
            </w:r>
          </w:p>
        </w:tc>
        <w:tc>
          <w:tcPr>
            <w:tcW w:w="1176" w:type="dxa"/>
            <w:hideMark/>
          </w:tcPr>
          <w:p w14:paraId="053439B7" w14:textId="77777777" w:rsidR="00842BDA" w:rsidRPr="00616C13" w:rsidRDefault="00842BDA" w:rsidP="00621F55">
            <w:pPr>
              <w:spacing w:beforeLines="34" w:before="81" w:after="34"/>
              <w:jc w:val="center"/>
              <w:rPr>
                <w:sz w:val="21"/>
                <w:szCs w:val="21"/>
              </w:rPr>
            </w:pPr>
            <w:r w:rsidRPr="00616C13">
              <w:rPr>
                <w:sz w:val="21"/>
              </w:rPr>
              <w:t>0,160</w:t>
            </w:r>
          </w:p>
        </w:tc>
        <w:tc>
          <w:tcPr>
            <w:tcW w:w="1117" w:type="dxa"/>
            <w:hideMark/>
          </w:tcPr>
          <w:p w14:paraId="3F96C9F1" w14:textId="77777777" w:rsidR="00842BDA" w:rsidRPr="00616C13" w:rsidRDefault="00842BDA" w:rsidP="00621F55">
            <w:pPr>
              <w:spacing w:beforeLines="34" w:before="81" w:after="34"/>
              <w:jc w:val="center"/>
              <w:rPr>
                <w:sz w:val="21"/>
                <w:szCs w:val="21"/>
              </w:rPr>
            </w:pPr>
            <w:r w:rsidRPr="00616C13">
              <w:rPr>
                <w:sz w:val="21"/>
              </w:rPr>
              <w:t>0,277</w:t>
            </w:r>
          </w:p>
        </w:tc>
        <w:tc>
          <w:tcPr>
            <w:tcW w:w="1122" w:type="dxa"/>
            <w:hideMark/>
          </w:tcPr>
          <w:p w14:paraId="16CDFFB1" w14:textId="77777777" w:rsidR="00842BDA" w:rsidRPr="00616C13" w:rsidRDefault="00842BDA" w:rsidP="00621F55">
            <w:pPr>
              <w:spacing w:beforeLines="34" w:before="81" w:after="34"/>
              <w:jc w:val="center"/>
              <w:rPr>
                <w:sz w:val="21"/>
                <w:szCs w:val="21"/>
              </w:rPr>
            </w:pPr>
            <w:r w:rsidRPr="00616C13">
              <w:rPr>
                <w:sz w:val="21"/>
              </w:rPr>
              <w:t>0,381</w:t>
            </w:r>
          </w:p>
        </w:tc>
      </w:tr>
      <w:tr w:rsidR="00842BDA" w:rsidRPr="00616C13" w14:paraId="778212B1" w14:textId="77777777" w:rsidTr="00621F55">
        <w:tc>
          <w:tcPr>
            <w:tcW w:w="1560" w:type="dxa"/>
            <w:hideMark/>
          </w:tcPr>
          <w:p w14:paraId="079BBE95" w14:textId="77777777" w:rsidR="00842BDA" w:rsidRPr="00616C13" w:rsidRDefault="00842BDA" w:rsidP="00621F55">
            <w:pPr>
              <w:spacing w:beforeLines="34" w:before="81" w:after="34"/>
              <w:rPr>
                <w:sz w:val="21"/>
                <w:szCs w:val="21"/>
              </w:rPr>
            </w:pPr>
            <w:r w:rsidRPr="00616C13">
              <w:rPr>
                <w:sz w:val="21"/>
              </w:rPr>
              <w:t xml:space="preserve">März 2022 </w:t>
            </w:r>
          </w:p>
        </w:tc>
        <w:tc>
          <w:tcPr>
            <w:tcW w:w="2047" w:type="dxa"/>
            <w:hideMark/>
          </w:tcPr>
          <w:p w14:paraId="7CEB128C" w14:textId="77777777" w:rsidR="00842BDA" w:rsidRPr="00616C13" w:rsidRDefault="00842BDA" w:rsidP="00621F55">
            <w:pPr>
              <w:spacing w:beforeLines="34" w:before="81" w:after="34"/>
              <w:rPr>
                <w:sz w:val="21"/>
                <w:szCs w:val="21"/>
              </w:rPr>
            </w:pPr>
            <w:r w:rsidRPr="00616C13">
              <w:rPr>
                <w:sz w:val="21"/>
              </w:rPr>
              <w:t xml:space="preserve">18.03.2022 - Ausg. 1 </w:t>
            </w:r>
          </w:p>
        </w:tc>
        <w:tc>
          <w:tcPr>
            <w:tcW w:w="1176" w:type="dxa"/>
            <w:hideMark/>
          </w:tcPr>
          <w:p w14:paraId="61337C71" w14:textId="77777777" w:rsidR="00842BDA" w:rsidRPr="00616C13" w:rsidRDefault="00842BDA" w:rsidP="00621F55">
            <w:pPr>
              <w:spacing w:beforeLines="34" w:before="81" w:after="34"/>
              <w:jc w:val="center"/>
              <w:rPr>
                <w:sz w:val="21"/>
                <w:szCs w:val="21"/>
              </w:rPr>
            </w:pPr>
            <w:r w:rsidRPr="00616C13">
              <w:rPr>
                <w:sz w:val="21"/>
              </w:rPr>
              <w:t>-0,621</w:t>
            </w:r>
          </w:p>
        </w:tc>
        <w:tc>
          <w:tcPr>
            <w:tcW w:w="1164" w:type="dxa"/>
            <w:hideMark/>
          </w:tcPr>
          <w:p w14:paraId="0F39F75C" w14:textId="77777777" w:rsidR="00842BDA" w:rsidRPr="00616C13" w:rsidRDefault="00842BDA" w:rsidP="00621F55">
            <w:pPr>
              <w:spacing w:beforeLines="34" w:before="81" w:after="34"/>
              <w:jc w:val="center"/>
              <w:rPr>
                <w:sz w:val="21"/>
                <w:szCs w:val="21"/>
              </w:rPr>
            </w:pPr>
            <w:r w:rsidRPr="00616C13">
              <w:rPr>
                <w:sz w:val="21"/>
              </w:rPr>
              <w:t>-0,417</w:t>
            </w:r>
          </w:p>
        </w:tc>
        <w:tc>
          <w:tcPr>
            <w:tcW w:w="1164" w:type="dxa"/>
            <w:hideMark/>
          </w:tcPr>
          <w:p w14:paraId="3DD34503" w14:textId="77777777" w:rsidR="00842BDA" w:rsidRPr="00616C13" w:rsidRDefault="00842BDA" w:rsidP="00621F55">
            <w:pPr>
              <w:spacing w:beforeLines="34" w:before="81" w:after="34"/>
              <w:jc w:val="center"/>
              <w:rPr>
                <w:sz w:val="21"/>
                <w:szCs w:val="21"/>
              </w:rPr>
            </w:pPr>
            <w:r w:rsidRPr="00616C13">
              <w:rPr>
                <w:sz w:val="21"/>
              </w:rPr>
              <w:t>-0,221</w:t>
            </w:r>
          </w:p>
        </w:tc>
        <w:tc>
          <w:tcPr>
            <w:tcW w:w="1176" w:type="dxa"/>
            <w:hideMark/>
          </w:tcPr>
          <w:p w14:paraId="6D0B4D98" w14:textId="77777777" w:rsidR="00842BDA" w:rsidRPr="00616C13" w:rsidRDefault="00842BDA" w:rsidP="00621F55">
            <w:pPr>
              <w:spacing w:beforeLines="34" w:before="81" w:after="34"/>
              <w:jc w:val="center"/>
              <w:rPr>
                <w:sz w:val="21"/>
                <w:szCs w:val="21"/>
              </w:rPr>
            </w:pPr>
            <w:r w:rsidRPr="00616C13">
              <w:rPr>
                <w:sz w:val="21"/>
              </w:rPr>
              <w:t>-0,050</w:t>
            </w:r>
          </w:p>
        </w:tc>
        <w:tc>
          <w:tcPr>
            <w:tcW w:w="1151" w:type="dxa"/>
            <w:hideMark/>
          </w:tcPr>
          <w:p w14:paraId="65ACA153" w14:textId="77777777" w:rsidR="00842BDA" w:rsidRPr="00616C13" w:rsidRDefault="00842BDA" w:rsidP="00621F55">
            <w:pPr>
              <w:spacing w:beforeLines="34" w:before="81" w:after="34"/>
              <w:jc w:val="center"/>
              <w:rPr>
                <w:sz w:val="21"/>
                <w:szCs w:val="21"/>
              </w:rPr>
            </w:pPr>
            <w:r w:rsidRPr="00616C13">
              <w:rPr>
                <w:sz w:val="21"/>
              </w:rPr>
              <w:t>0,079</w:t>
            </w:r>
          </w:p>
        </w:tc>
        <w:tc>
          <w:tcPr>
            <w:tcW w:w="1139" w:type="dxa"/>
            <w:hideMark/>
          </w:tcPr>
          <w:p w14:paraId="2AB5D694" w14:textId="77777777" w:rsidR="00842BDA" w:rsidRPr="00616C13" w:rsidRDefault="00842BDA" w:rsidP="00621F55">
            <w:pPr>
              <w:spacing w:beforeLines="34" w:before="81" w:after="34"/>
              <w:jc w:val="center"/>
              <w:rPr>
                <w:sz w:val="21"/>
                <w:szCs w:val="21"/>
              </w:rPr>
            </w:pPr>
            <w:r w:rsidRPr="00616C13">
              <w:rPr>
                <w:sz w:val="21"/>
              </w:rPr>
              <w:t>0,178</w:t>
            </w:r>
          </w:p>
        </w:tc>
        <w:tc>
          <w:tcPr>
            <w:tcW w:w="1176" w:type="dxa"/>
            <w:hideMark/>
          </w:tcPr>
          <w:p w14:paraId="1CF5B50C" w14:textId="77777777" w:rsidR="00842BDA" w:rsidRPr="00616C13" w:rsidRDefault="00842BDA" w:rsidP="00621F55">
            <w:pPr>
              <w:spacing w:beforeLines="34" w:before="81" w:after="34"/>
              <w:jc w:val="center"/>
              <w:rPr>
                <w:sz w:val="21"/>
                <w:szCs w:val="21"/>
              </w:rPr>
            </w:pPr>
            <w:r w:rsidRPr="00616C13">
              <w:rPr>
                <w:sz w:val="21"/>
              </w:rPr>
              <w:t>0,285</w:t>
            </w:r>
          </w:p>
        </w:tc>
        <w:tc>
          <w:tcPr>
            <w:tcW w:w="1176" w:type="dxa"/>
            <w:hideMark/>
          </w:tcPr>
          <w:p w14:paraId="192F5990" w14:textId="77777777" w:rsidR="00842BDA" w:rsidRPr="00616C13" w:rsidRDefault="00842BDA" w:rsidP="00621F55">
            <w:pPr>
              <w:spacing w:beforeLines="34" w:before="81" w:after="34"/>
              <w:jc w:val="center"/>
              <w:rPr>
                <w:sz w:val="21"/>
                <w:szCs w:val="21"/>
              </w:rPr>
            </w:pPr>
            <w:r w:rsidRPr="00616C13">
              <w:rPr>
                <w:sz w:val="21"/>
              </w:rPr>
              <w:t>0,406</w:t>
            </w:r>
          </w:p>
        </w:tc>
        <w:tc>
          <w:tcPr>
            <w:tcW w:w="1117" w:type="dxa"/>
            <w:hideMark/>
          </w:tcPr>
          <w:p w14:paraId="488BB8BC" w14:textId="77777777" w:rsidR="00842BDA" w:rsidRPr="00616C13" w:rsidRDefault="00842BDA" w:rsidP="00621F55">
            <w:pPr>
              <w:spacing w:beforeLines="34" w:before="81" w:after="34"/>
              <w:jc w:val="center"/>
              <w:rPr>
                <w:sz w:val="21"/>
                <w:szCs w:val="21"/>
              </w:rPr>
            </w:pPr>
            <w:r w:rsidRPr="00616C13">
              <w:rPr>
                <w:sz w:val="21"/>
              </w:rPr>
              <w:t>0,525</w:t>
            </w:r>
          </w:p>
        </w:tc>
        <w:tc>
          <w:tcPr>
            <w:tcW w:w="1122" w:type="dxa"/>
            <w:hideMark/>
          </w:tcPr>
          <w:p w14:paraId="333AF2D1" w14:textId="77777777" w:rsidR="00842BDA" w:rsidRPr="00616C13" w:rsidRDefault="00842BDA" w:rsidP="00621F55">
            <w:pPr>
              <w:spacing w:beforeLines="34" w:before="81" w:after="34"/>
              <w:jc w:val="center"/>
              <w:rPr>
                <w:sz w:val="21"/>
                <w:szCs w:val="21"/>
              </w:rPr>
            </w:pPr>
            <w:r w:rsidRPr="00616C13">
              <w:rPr>
                <w:sz w:val="21"/>
              </w:rPr>
              <w:t>0,631</w:t>
            </w:r>
          </w:p>
        </w:tc>
      </w:tr>
      <w:tr w:rsidR="00842BDA" w:rsidRPr="00616C13" w14:paraId="3C102F86" w14:textId="77777777" w:rsidTr="00621F55">
        <w:tc>
          <w:tcPr>
            <w:tcW w:w="1560" w:type="dxa"/>
            <w:hideMark/>
          </w:tcPr>
          <w:p w14:paraId="5413F72D" w14:textId="77777777" w:rsidR="00842BDA" w:rsidRPr="00616C13" w:rsidRDefault="00842BDA" w:rsidP="00621F55">
            <w:pPr>
              <w:spacing w:beforeLines="34" w:before="81" w:after="34"/>
              <w:rPr>
                <w:sz w:val="21"/>
                <w:szCs w:val="21"/>
              </w:rPr>
            </w:pPr>
            <w:r w:rsidRPr="00616C13">
              <w:rPr>
                <w:sz w:val="21"/>
              </w:rPr>
              <w:t xml:space="preserve">April 2022 </w:t>
            </w:r>
          </w:p>
        </w:tc>
        <w:tc>
          <w:tcPr>
            <w:tcW w:w="2047" w:type="dxa"/>
            <w:hideMark/>
          </w:tcPr>
          <w:p w14:paraId="1CFE6253" w14:textId="77777777" w:rsidR="00842BDA" w:rsidRPr="00616C13" w:rsidRDefault="00842BDA" w:rsidP="00621F55">
            <w:pPr>
              <w:spacing w:beforeLines="34" w:before="81" w:after="34"/>
              <w:rPr>
                <w:sz w:val="21"/>
                <w:szCs w:val="21"/>
              </w:rPr>
            </w:pPr>
            <w:r w:rsidRPr="00616C13">
              <w:rPr>
                <w:sz w:val="21"/>
              </w:rPr>
              <w:t xml:space="preserve">21.04.2022 - Ausg. 1 </w:t>
            </w:r>
          </w:p>
        </w:tc>
        <w:tc>
          <w:tcPr>
            <w:tcW w:w="1176" w:type="dxa"/>
            <w:hideMark/>
          </w:tcPr>
          <w:p w14:paraId="660ECFFC" w14:textId="77777777" w:rsidR="00842BDA" w:rsidRPr="00616C13" w:rsidRDefault="00842BDA" w:rsidP="00621F55">
            <w:pPr>
              <w:spacing w:beforeLines="34" w:before="81" w:after="34"/>
              <w:jc w:val="center"/>
              <w:rPr>
                <w:sz w:val="21"/>
                <w:szCs w:val="21"/>
              </w:rPr>
            </w:pPr>
            <w:r w:rsidRPr="00616C13">
              <w:rPr>
                <w:sz w:val="21"/>
              </w:rPr>
              <w:t>-0,499</w:t>
            </w:r>
          </w:p>
        </w:tc>
        <w:tc>
          <w:tcPr>
            <w:tcW w:w="1164" w:type="dxa"/>
            <w:hideMark/>
          </w:tcPr>
          <w:p w14:paraId="614DDB79" w14:textId="77777777" w:rsidR="00842BDA" w:rsidRPr="00616C13" w:rsidRDefault="00842BDA" w:rsidP="00621F55">
            <w:pPr>
              <w:spacing w:beforeLines="34" w:before="81" w:after="34"/>
              <w:jc w:val="center"/>
              <w:rPr>
                <w:sz w:val="21"/>
                <w:szCs w:val="21"/>
              </w:rPr>
            </w:pPr>
            <w:r w:rsidRPr="00616C13">
              <w:rPr>
                <w:sz w:val="21"/>
              </w:rPr>
              <w:t>-0,144</w:t>
            </w:r>
          </w:p>
        </w:tc>
        <w:tc>
          <w:tcPr>
            <w:tcW w:w="1164" w:type="dxa"/>
            <w:hideMark/>
          </w:tcPr>
          <w:p w14:paraId="02E9A480" w14:textId="77777777" w:rsidR="00842BDA" w:rsidRPr="00616C13" w:rsidRDefault="00842BDA" w:rsidP="00621F55">
            <w:pPr>
              <w:spacing w:beforeLines="34" w:before="81" w:after="34"/>
              <w:jc w:val="center"/>
              <w:rPr>
                <w:sz w:val="21"/>
                <w:szCs w:val="21"/>
              </w:rPr>
            </w:pPr>
            <w:r w:rsidRPr="00616C13">
              <w:rPr>
                <w:sz w:val="21"/>
              </w:rPr>
              <w:t>0,141</w:t>
            </w:r>
          </w:p>
        </w:tc>
        <w:tc>
          <w:tcPr>
            <w:tcW w:w="1176" w:type="dxa"/>
            <w:hideMark/>
          </w:tcPr>
          <w:p w14:paraId="5858796C" w14:textId="77777777" w:rsidR="00842BDA" w:rsidRPr="00616C13" w:rsidRDefault="00842BDA" w:rsidP="00621F55">
            <w:pPr>
              <w:spacing w:beforeLines="34" w:before="81" w:after="34"/>
              <w:jc w:val="center"/>
              <w:rPr>
                <w:sz w:val="21"/>
                <w:szCs w:val="21"/>
              </w:rPr>
            </w:pPr>
            <w:r w:rsidRPr="00616C13">
              <w:rPr>
                <w:sz w:val="21"/>
              </w:rPr>
              <w:t>0,328</w:t>
            </w:r>
          </w:p>
        </w:tc>
        <w:tc>
          <w:tcPr>
            <w:tcW w:w="1151" w:type="dxa"/>
            <w:hideMark/>
          </w:tcPr>
          <w:p w14:paraId="5537038B" w14:textId="77777777" w:rsidR="00842BDA" w:rsidRPr="00616C13" w:rsidRDefault="00842BDA" w:rsidP="00621F55">
            <w:pPr>
              <w:spacing w:beforeLines="34" w:before="81" w:after="34"/>
              <w:jc w:val="center"/>
              <w:rPr>
                <w:sz w:val="21"/>
                <w:szCs w:val="21"/>
              </w:rPr>
            </w:pPr>
            <w:r w:rsidRPr="00616C13">
              <w:rPr>
                <w:sz w:val="21"/>
              </w:rPr>
              <w:t>0,446</w:t>
            </w:r>
          </w:p>
        </w:tc>
        <w:tc>
          <w:tcPr>
            <w:tcW w:w="1139" w:type="dxa"/>
            <w:hideMark/>
          </w:tcPr>
          <w:p w14:paraId="3A8FDE23" w14:textId="77777777" w:rsidR="00842BDA" w:rsidRPr="00616C13" w:rsidRDefault="00842BDA" w:rsidP="00621F55">
            <w:pPr>
              <w:spacing w:beforeLines="34" w:before="81" w:after="34"/>
              <w:jc w:val="center"/>
              <w:rPr>
                <w:sz w:val="21"/>
                <w:szCs w:val="21"/>
              </w:rPr>
            </w:pPr>
            <w:r w:rsidRPr="00616C13">
              <w:rPr>
                <w:sz w:val="21"/>
              </w:rPr>
              <w:t>0,539</w:t>
            </w:r>
          </w:p>
        </w:tc>
        <w:tc>
          <w:tcPr>
            <w:tcW w:w="1176" w:type="dxa"/>
            <w:hideMark/>
          </w:tcPr>
          <w:p w14:paraId="3C49BB1C" w14:textId="77777777" w:rsidR="00842BDA" w:rsidRPr="00616C13" w:rsidRDefault="00842BDA" w:rsidP="00621F55">
            <w:pPr>
              <w:spacing w:beforeLines="34" w:before="81" w:after="34"/>
              <w:jc w:val="center"/>
              <w:rPr>
                <w:sz w:val="21"/>
                <w:szCs w:val="21"/>
              </w:rPr>
            </w:pPr>
            <w:r w:rsidRPr="00616C13">
              <w:rPr>
                <w:sz w:val="21"/>
              </w:rPr>
              <w:t>0,641</w:t>
            </w:r>
          </w:p>
        </w:tc>
        <w:tc>
          <w:tcPr>
            <w:tcW w:w="1176" w:type="dxa"/>
            <w:hideMark/>
          </w:tcPr>
          <w:p w14:paraId="739BE534" w14:textId="77777777" w:rsidR="00842BDA" w:rsidRPr="00616C13" w:rsidRDefault="00842BDA" w:rsidP="00621F55">
            <w:pPr>
              <w:spacing w:beforeLines="34" w:before="81" w:after="34"/>
              <w:jc w:val="center"/>
              <w:rPr>
                <w:sz w:val="21"/>
                <w:szCs w:val="21"/>
              </w:rPr>
            </w:pPr>
            <w:r w:rsidRPr="00616C13">
              <w:rPr>
                <w:sz w:val="21"/>
              </w:rPr>
              <w:t>0,757</w:t>
            </w:r>
          </w:p>
        </w:tc>
        <w:tc>
          <w:tcPr>
            <w:tcW w:w="1117" w:type="dxa"/>
            <w:hideMark/>
          </w:tcPr>
          <w:p w14:paraId="3EB4F965" w14:textId="77777777" w:rsidR="00842BDA" w:rsidRPr="00616C13" w:rsidRDefault="00842BDA" w:rsidP="00621F55">
            <w:pPr>
              <w:spacing w:beforeLines="34" w:before="81" w:after="34"/>
              <w:jc w:val="center"/>
              <w:rPr>
                <w:sz w:val="21"/>
                <w:szCs w:val="21"/>
              </w:rPr>
            </w:pPr>
            <w:r w:rsidRPr="00616C13">
              <w:rPr>
                <w:sz w:val="21"/>
              </w:rPr>
              <w:t>0,872</w:t>
            </w:r>
          </w:p>
        </w:tc>
        <w:tc>
          <w:tcPr>
            <w:tcW w:w="1122" w:type="dxa"/>
            <w:hideMark/>
          </w:tcPr>
          <w:p w14:paraId="3FD07B1F" w14:textId="77777777" w:rsidR="00842BDA" w:rsidRPr="00616C13" w:rsidRDefault="00842BDA" w:rsidP="00621F55">
            <w:pPr>
              <w:spacing w:beforeLines="34" w:before="81" w:after="34"/>
              <w:jc w:val="center"/>
              <w:rPr>
                <w:sz w:val="21"/>
                <w:szCs w:val="21"/>
              </w:rPr>
            </w:pPr>
            <w:r w:rsidRPr="00616C13">
              <w:rPr>
                <w:sz w:val="21"/>
              </w:rPr>
              <w:t>0,977</w:t>
            </w:r>
          </w:p>
        </w:tc>
      </w:tr>
      <w:tr w:rsidR="00842BDA" w:rsidRPr="00616C13" w14:paraId="1BDB6A5E" w14:textId="77777777" w:rsidTr="00621F55">
        <w:tc>
          <w:tcPr>
            <w:tcW w:w="1560" w:type="dxa"/>
            <w:hideMark/>
          </w:tcPr>
          <w:p w14:paraId="53FC0AA9" w14:textId="77777777" w:rsidR="00842BDA" w:rsidRPr="00616C13" w:rsidRDefault="00842BDA" w:rsidP="00621F55">
            <w:pPr>
              <w:spacing w:beforeLines="34" w:before="81" w:after="34"/>
              <w:rPr>
                <w:sz w:val="21"/>
                <w:szCs w:val="21"/>
              </w:rPr>
            </w:pPr>
            <w:r w:rsidRPr="00616C13">
              <w:rPr>
                <w:sz w:val="21"/>
              </w:rPr>
              <w:t xml:space="preserve">Mai 2022 </w:t>
            </w:r>
          </w:p>
        </w:tc>
        <w:tc>
          <w:tcPr>
            <w:tcW w:w="2047" w:type="dxa"/>
            <w:hideMark/>
          </w:tcPr>
          <w:p w14:paraId="0731CD37" w14:textId="77777777" w:rsidR="00842BDA" w:rsidRPr="00616C13" w:rsidRDefault="00842BDA" w:rsidP="00621F55">
            <w:pPr>
              <w:spacing w:beforeLines="34" w:before="81" w:after="34"/>
              <w:rPr>
                <w:sz w:val="21"/>
                <w:szCs w:val="21"/>
              </w:rPr>
            </w:pPr>
            <w:r w:rsidRPr="00616C13">
              <w:rPr>
                <w:sz w:val="21"/>
              </w:rPr>
              <w:t xml:space="preserve">19.05.2022 - Ausg. 1 </w:t>
            </w:r>
          </w:p>
        </w:tc>
        <w:tc>
          <w:tcPr>
            <w:tcW w:w="1176" w:type="dxa"/>
            <w:hideMark/>
          </w:tcPr>
          <w:p w14:paraId="1C9A65F7" w14:textId="77777777" w:rsidR="00842BDA" w:rsidRPr="00616C13" w:rsidRDefault="00842BDA" w:rsidP="00621F55">
            <w:pPr>
              <w:spacing w:beforeLines="34" w:before="81" w:after="34"/>
              <w:jc w:val="center"/>
              <w:rPr>
                <w:sz w:val="21"/>
                <w:szCs w:val="21"/>
              </w:rPr>
            </w:pPr>
            <w:r w:rsidRPr="00616C13">
              <w:rPr>
                <w:sz w:val="21"/>
              </w:rPr>
              <w:t>-0,234</w:t>
            </w:r>
          </w:p>
        </w:tc>
        <w:tc>
          <w:tcPr>
            <w:tcW w:w="1164" w:type="dxa"/>
            <w:hideMark/>
          </w:tcPr>
          <w:p w14:paraId="6A4663EF" w14:textId="77777777" w:rsidR="00842BDA" w:rsidRPr="00616C13" w:rsidRDefault="00842BDA" w:rsidP="00621F55">
            <w:pPr>
              <w:spacing w:beforeLines="34" w:before="81" w:after="34"/>
              <w:jc w:val="center"/>
              <w:rPr>
                <w:sz w:val="21"/>
                <w:szCs w:val="21"/>
              </w:rPr>
            </w:pPr>
            <w:r w:rsidRPr="00616C13">
              <w:rPr>
                <w:sz w:val="21"/>
              </w:rPr>
              <w:t>0,154</w:t>
            </w:r>
          </w:p>
        </w:tc>
        <w:tc>
          <w:tcPr>
            <w:tcW w:w="1164" w:type="dxa"/>
            <w:hideMark/>
          </w:tcPr>
          <w:p w14:paraId="2974B24D" w14:textId="77777777" w:rsidR="00842BDA" w:rsidRPr="00616C13" w:rsidRDefault="00842BDA" w:rsidP="00621F55">
            <w:pPr>
              <w:spacing w:beforeLines="34" w:before="81" w:after="34"/>
              <w:jc w:val="center"/>
              <w:rPr>
                <w:sz w:val="21"/>
                <w:szCs w:val="21"/>
              </w:rPr>
            </w:pPr>
            <w:r w:rsidRPr="00616C13">
              <w:rPr>
                <w:sz w:val="21"/>
              </w:rPr>
              <w:t>0,481</w:t>
            </w:r>
          </w:p>
        </w:tc>
        <w:tc>
          <w:tcPr>
            <w:tcW w:w="1176" w:type="dxa"/>
            <w:hideMark/>
          </w:tcPr>
          <w:p w14:paraId="7CE8EBB7" w14:textId="77777777" w:rsidR="00842BDA" w:rsidRPr="00616C13" w:rsidRDefault="00842BDA" w:rsidP="00621F55">
            <w:pPr>
              <w:spacing w:beforeLines="34" w:before="81" w:after="34"/>
              <w:jc w:val="center"/>
              <w:rPr>
                <w:sz w:val="21"/>
                <w:szCs w:val="21"/>
              </w:rPr>
            </w:pPr>
            <w:r w:rsidRPr="00616C13">
              <w:rPr>
                <w:sz w:val="21"/>
              </w:rPr>
              <w:t>0,700</w:t>
            </w:r>
          </w:p>
        </w:tc>
        <w:tc>
          <w:tcPr>
            <w:tcW w:w="1151" w:type="dxa"/>
            <w:hideMark/>
          </w:tcPr>
          <w:p w14:paraId="0EA7D115" w14:textId="77777777" w:rsidR="00842BDA" w:rsidRPr="00616C13" w:rsidRDefault="00842BDA" w:rsidP="00621F55">
            <w:pPr>
              <w:spacing w:beforeLines="34" w:before="81" w:after="34"/>
              <w:jc w:val="center"/>
              <w:rPr>
                <w:sz w:val="21"/>
                <w:szCs w:val="21"/>
              </w:rPr>
            </w:pPr>
            <w:r w:rsidRPr="00616C13">
              <w:rPr>
                <w:sz w:val="21"/>
              </w:rPr>
              <w:t>0,838</w:t>
            </w:r>
          </w:p>
        </w:tc>
        <w:tc>
          <w:tcPr>
            <w:tcW w:w="1139" w:type="dxa"/>
            <w:hideMark/>
          </w:tcPr>
          <w:p w14:paraId="570CC102" w14:textId="77777777" w:rsidR="00842BDA" w:rsidRPr="00616C13" w:rsidRDefault="00842BDA" w:rsidP="00621F55">
            <w:pPr>
              <w:spacing w:beforeLines="34" w:before="81" w:after="34"/>
              <w:jc w:val="center"/>
              <w:rPr>
                <w:sz w:val="21"/>
                <w:szCs w:val="21"/>
              </w:rPr>
            </w:pPr>
            <w:r w:rsidRPr="00616C13">
              <w:rPr>
                <w:sz w:val="21"/>
              </w:rPr>
              <w:t>0,950</w:t>
            </w:r>
          </w:p>
        </w:tc>
        <w:tc>
          <w:tcPr>
            <w:tcW w:w="1176" w:type="dxa"/>
            <w:hideMark/>
          </w:tcPr>
          <w:p w14:paraId="1F555447" w14:textId="77777777" w:rsidR="00842BDA" w:rsidRPr="00616C13" w:rsidRDefault="00842BDA" w:rsidP="00621F55">
            <w:pPr>
              <w:spacing w:beforeLines="34" w:before="81" w:after="34"/>
              <w:jc w:val="center"/>
              <w:rPr>
                <w:sz w:val="21"/>
                <w:szCs w:val="21"/>
              </w:rPr>
            </w:pPr>
            <w:r w:rsidRPr="00616C13">
              <w:rPr>
                <w:sz w:val="21"/>
              </w:rPr>
              <w:t>1,063</w:t>
            </w:r>
          </w:p>
        </w:tc>
        <w:tc>
          <w:tcPr>
            <w:tcW w:w="1176" w:type="dxa"/>
            <w:hideMark/>
          </w:tcPr>
          <w:p w14:paraId="278EE683" w14:textId="77777777" w:rsidR="00842BDA" w:rsidRPr="00616C13" w:rsidRDefault="00842BDA" w:rsidP="00621F55">
            <w:pPr>
              <w:spacing w:beforeLines="34" w:before="81" w:after="34"/>
              <w:jc w:val="center"/>
              <w:rPr>
                <w:sz w:val="21"/>
                <w:szCs w:val="21"/>
              </w:rPr>
            </w:pPr>
            <w:r w:rsidRPr="00616C13">
              <w:rPr>
                <w:sz w:val="21"/>
              </w:rPr>
              <w:t>1,187</w:t>
            </w:r>
          </w:p>
        </w:tc>
        <w:tc>
          <w:tcPr>
            <w:tcW w:w="1117" w:type="dxa"/>
            <w:hideMark/>
          </w:tcPr>
          <w:p w14:paraId="302DE457" w14:textId="77777777" w:rsidR="00842BDA" w:rsidRPr="00616C13" w:rsidRDefault="00842BDA" w:rsidP="00621F55">
            <w:pPr>
              <w:spacing w:beforeLines="34" w:before="81" w:after="34"/>
              <w:jc w:val="center"/>
              <w:rPr>
                <w:sz w:val="21"/>
                <w:szCs w:val="21"/>
              </w:rPr>
            </w:pPr>
            <w:r w:rsidRPr="00616C13">
              <w:rPr>
                <w:sz w:val="21"/>
              </w:rPr>
              <w:t>1,315</w:t>
            </w:r>
          </w:p>
        </w:tc>
        <w:tc>
          <w:tcPr>
            <w:tcW w:w="1122" w:type="dxa"/>
            <w:hideMark/>
          </w:tcPr>
          <w:p w14:paraId="6B9DB2A6" w14:textId="77777777" w:rsidR="00842BDA" w:rsidRPr="00616C13" w:rsidRDefault="00842BDA" w:rsidP="00621F55">
            <w:pPr>
              <w:spacing w:beforeLines="34" w:before="81" w:after="34"/>
              <w:jc w:val="center"/>
              <w:rPr>
                <w:sz w:val="21"/>
                <w:szCs w:val="21"/>
              </w:rPr>
            </w:pPr>
            <w:r w:rsidRPr="00616C13">
              <w:rPr>
                <w:sz w:val="21"/>
              </w:rPr>
              <w:t>1,431</w:t>
            </w:r>
          </w:p>
        </w:tc>
      </w:tr>
      <w:tr w:rsidR="00842BDA" w:rsidRPr="00616C13" w14:paraId="31507210" w14:textId="77777777" w:rsidTr="00621F55">
        <w:tc>
          <w:tcPr>
            <w:tcW w:w="1560" w:type="dxa"/>
            <w:hideMark/>
          </w:tcPr>
          <w:p w14:paraId="4B8C4687" w14:textId="77777777" w:rsidR="00842BDA" w:rsidRPr="00616C13" w:rsidRDefault="00842BDA" w:rsidP="00621F55">
            <w:pPr>
              <w:spacing w:beforeLines="34" w:before="81" w:after="34"/>
              <w:rPr>
                <w:sz w:val="21"/>
                <w:szCs w:val="21"/>
              </w:rPr>
            </w:pPr>
            <w:r w:rsidRPr="00616C13">
              <w:rPr>
                <w:sz w:val="21"/>
              </w:rPr>
              <w:t xml:space="preserve">Juni 2022 </w:t>
            </w:r>
          </w:p>
        </w:tc>
        <w:tc>
          <w:tcPr>
            <w:tcW w:w="2047" w:type="dxa"/>
            <w:hideMark/>
          </w:tcPr>
          <w:p w14:paraId="5F7A9397" w14:textId="77777777" w:rsidR="00842BDA" w:rsidRPr="00616C13" w:rsidRDefault="00842BDA" w:rsidP="00621F55">
            <w:pPr>
              <w:spacing w:beforeLines="34" w:before="81" w:after="34"/>
              <w:rPr>
                <w:sz w:val="21"/>
                <w:szCs w:val="21"/>
              </w:rPr>
            </w:pPr>
            <w:r w:rsidRPr="00616C13">
              <w:rPr>
                <w:sz w:val="21"/>
              </w:rPr>
              <w:t xml:space="preserve">17.06.2022 - Ausg. 1 </w:t>
            </w:r>
          </w:p>
        </w:tc>
        <w:tc>
          <w:tcPr>
            <w:tcW w:w="1176" w:type="dxa"/>
            <w:hideMark/>
          </w:tcPr>
          <w:p w14:paraId="7C7CECEE" w14:textId="77777777" w:rsidR="00842BDA" w:rsidRPr="00616C13" w:rsidRDefault="00842BDA" w:rsidP="00621F55">
            <w:pPr>
              <w:spacing w:beforeLines="34" w:before="81" w:after="34"/>
              <w:jc w:val="center"/>
              <w:rPr>
                <w:sz w:val="21"/>
                <w:szCs w:val="21"/>
              </w:rPr>
            </w:pPr>
            <w:r w:rsidRPr="00616C13">
              <w:rPr>
                <w:sz w:val="21"/>
              </w:rPr>
              <w:t>0,111</w:t>
            </w:r>
          </w:p>
        </w:tc>
        <w:tc>
          <w:tcPr>
            <w:tcW w:w="1164" w:type="dxa"/>
            <w:hideMark/>
          </w:tcPr>
          <w:p w14:paraId="5F9A67EF" w14:textId="77777777" w:rsidR="00842BDA" w:rsidRPr="00616C13" w:rsidRDefault="00842BDA" w:rsidP="00621F55">
            <w:pPr>
              <w:spacing w:beforeLines="34" w:before="81" w:after="34"/>
              <w:jc w:val="center"/>
              <w:rPr>
                <w:sz w:val="21"/>
                <w:szCs w:val="21"/>
              </w:rPr>
            </w:pPr>
            <w:r w:rsidRPr="00616C13">
              <w:rPr>
                <w:sz w:val="21"/>
              </w:rPr>
              <w:t>0,446</w:t>
            </w:r>
          </w:p>
        </w:tc>
        <w:tc>
          <w:tcPr>
            <w:tcW w:w="1164" w:type="dxa"/>
            <w:hideMark/>
          </w:tcPr>
          <w:p w14:paraId="4192373B" w14:textId="77777777" w:rsidR="00842BDA" w:rsidRPr="00616C13" w:rsidRDefault="00842BDA" w:rsidP="00621F55">
            <w:pPr>
              <w:spacing w:beforeLines="34" w:before="81" w:after="34"/>
              <w:jc w:val="center"/>
              <w:rPr>
                <w:sz w:val="21"/>
                <w:szCs w:val="21"/>
              </w:rPr>
            </w:pPr>
            <w:r w:rsidRPr="00616C13">
              <w:rPr>
                <w:sz w:val="21"/>
              </w:rPr>
              <w:t>0,728</w:t>
            </w:r>
          </w:p>
        </w:tc>
        <w:tc>
          <w:tcPr>
            <w:tcW w:w="1176" w:type="dxa"/>
            <w:hideMark/>
          </w:tcPr>
          <w:p w14:paraId="215DB27E" w14:textId="77777777" w:rsidR="00842BDA" w:rsidRPr="00616C13" w:rsidRDefault="00842BDA" w:rsidP="00621F55">
            <w:pPr>
              <w:spacing w:beforeLines="34" w:before="81" w:after="34"/>
              <w:jc w:val="center"/>
              <w:rPr>
                <w:sz w:val="21"/>
                <w:szCs w:val="21"/>
              </w:rPr>
            </w:pPr>
            <w:r w:rsidRPr="00616C13">
              <w:rPr>
                <w:sz w:val="21"/>
              </w:rPr>
              <w:t>0,912</w:t>
            </w:r>
          </w:p>
        </w:tc>
        <w:tc>
          <w:tcPr>
            <w:tcW w:w="1151" w:type="dxa"/>
            <w:hideMark/>
          </w:tcPr>
          <w:p w14:paraId="2295605F" w14:textId="77777777" w:rsidR="00842BDA" w:rsidRPr="00616C13" w:rsidRDefault="00842BDA" w:rsidP="00621F55">
            <w:pPr>
              <w:spacing w:beforeLines="34" w:before="81" w:after="34"/>
              <w:jc w:val="center"/>
              <w:rPr>
                <w:sz w:val="21"/>
                <w:szCs w:val="21"/>
              </w:rPr>
            </w:pPr>
            <w:r w:rsidRPr="00616C13">
              <w:rPr>
                <w:sz w:val="21"/>
              </w:rPr>
              <w:t>1,035</w:t>
            </w:r>
          </w:p>
        </w:tc>
        <w:tc>
          <w:tcPr>
            <w:tcW w:w="1139" w:type="dxa"/>
            <w:hideMark/>
          </w:tcPr>
          <w:p w14:paraId="579ED2C2" w14:textId="77777777" w:rsidR="00842BDA" w:rsidRPr="00616C13" w:rsidRDefault="00842BDA" w:rsidP="00621F55">
            <w:pPr>
              <w:spacing w:beforeLines="34" w:before="81" w:after="34"/>
              <w:jc w:val="center"/>
              <w:rPr>
                <w:sz w:val="21"/>
                <w:szCs w:val="21"/>
              </w:rPr>
            </w:pPr>
            <w:r w:rsidRPr="00616C13">
              <w:rPr>
                <w:sz w:val="21"/>
              </w:rPr>
              <w:t>1,148</w:t>
            </w:r>
          </w:p>
        </w:tc>
        <w:tc>
          <w:tcPr>
            <w:tcW w:w="1176" w:type="dxa"/>
            <w:hideMark/>
          </w:tcPr>
          <w:p w14:paraId="030849CD" w14:textId="77777777" w:rsidR="00842BDA" w:rsidRPr="00616C13" w:rsidRDefault="00842BDA" w:rsidP="00621F55">
            <w:pPr>
              <w:spacing w:beforeLines="34" w:before="81" w:after="34"/>
              <w:jc w:val="center"/>
              <w:rPr>
                <w:sz w:val="21"/>
                <w:szCs w:val="21"/>
              </w:rPr>
            </w:pPr>
            <w:r w:rsidRPr="00616C13">
              <w:rPr>
                <w:sz w:val="21"/>
              </w:rPr>
              <w:t>1,273</w:t>
            </w:r>
          </w:p>
        </w:tc>
        <w:tc>
          <w:tcPr>
            <w:tcW w:w="1176" w:type="dxa"/>
            <w:hideMark/>
          </w:tcPr>
          <w:p w14:paraId="7003F178" w14:textId="77777777" w:rsidR="00842BDA" w:rsidRPr="00616C13" w:rsidRDefault="00842BDA" w:rsidP="00621F55">
            <w:pPr>
              <w:spacing w:beforeLines="34" w:before="81" w:after="34"/>
              <w:jc w:val="center"/>
              <w:rPr>
                <w:sz w:val="21"/>
                <w:szCs w:val="21"/>
              </w:rPr>
            </w:pPr>
            <w:r w:rsidRPr="00616C13">
              <w:rPr>
                <w:sz w:val="21"/>
              </w:rPr>
              <w:t>1,410</w:t>
            </w:r>
          </w:p>
        </w:tc>
        <w:tc>
          <w:tcPr>
            <w:tcW w:w="1117" w:type="dxa"/>
            <w:hideMark/>
          </w:tcPr>
          <w:p w14:paraId="62538B0B" w14:textId="77777777" w:rsidR="00842BDA" w:rsidRPr="00616C13" w:rsidRDefault="00842BDA" w:rsidP="00621F55">
            <w:pPr>
              <w:spacing w:beforeLines="34" w:before="81" w:after="34"/>
              <w:jc w:val="center"/>
              <w:rPr>
                <w:sz w:val="21"/>
                <w:szCs w:val="21"/>
              </w:rPr>
            </w:pPr>
            <w:r w:rsidRPr="00616C13">
              <w:rPr>
                <w:sz w:val="21"/>
              </w:rPr>
              <w:t>1,553</w:t>
            </w:r>
          </w:p>
        </w:tc>
        <w:tc>
          <w:tcPr>
            <w:tcW w:w="1122" w:type="dxa"/>
            <w:hideMark/>
          </w:tcPr>
          <w:p w14:paraId="3A0A1EE8" w14:textId="77777777" w:rsidR="00842BDA" w:rsidRPr="00616C13" w:rsidRDefault="00842BDA" w:rsidP="00621F55">
            <w:pPr>
              <w:spacing w:beforeLines="34" w:before="81" w:after="34"/>
              <w:jc w:val="center"/>
              <w:rPr>
                <w:sz w:val="21"/>
                <w:szCs w:val="21"/>
              </w:rPr>
            </w:pPr>
            <w:r w:rsidRPr="00616C13">
              <w:rPr>
                <w:sz w:val="21"/>
              </w:rPr>
              <w:t>1,681</w:t>
            </w:r>
          </w:p>
        </w:tc>
      </w:tr>
      <w:tr w:rsidR="00842BDA" w:rsidRPr="00616C13" w14:paraId="1CEC6683" w14:textId="77777777" w:rsidTr="00621F55">
        <w:tc>
          <w:tcPr>
            <w:tcW w:w="1560" w:type="dxa"/>
            <w:hideMark/>
          </w:tcPr>
          <w:p w14:paraId="7634AA19" w14:textId="77777777" w:rsidR="00842BDA" w:rsidRPr="00616C13" w:rsidRDefault="00842BDA" w:rsidP="00621F55">
            <w:pPr>
              <w:spacing w:beforeLines="34" w:before="81" w:after="34"/>
              <w:rPr>
                <w:sz w:val="21"/>
                <w:szCs w:val="21"/>
              </w:rPr>
            </w:pPr>
            <w:r w:rsidRPr="00616C13">
              <w:rPr>
                <w:sz w:val="21"/>
              </w:rPr>
              <w:t xml:space="preserve">Juli 2022 </w:t>
            </w:r>
          </w:p>
        </w:tc>
        <w:tc>
          <w:tcPr>
            <w:tcW w:w="2047" w:type="dxa"/>
            <w:hideMark/>
          </w:tcPr>
          <w:p w14:paraId="5D6E7C90" w14:textId="77777777" w:rsidR="00842BDA" w:rsidRPr="00616C13" w:rsidRDefault="00842BDA" w:rsidP="00621F55">
            <w:pPr>
              <w:spacing w:beforeLines="34" w:before="81" w:after="34"/>
              <w:rPr>
                <w:sz w:val="21"/>
                <w:szCs w:val="21"/>
              </w:rPr>
            </w:pPr>
            <w:r w:rsidRPr="00616C13">
              <w:rPr>
                <w:sz w:val="21"/>
              </w:rPr>
              <w:t xml:space="preserve">14.07.2022 - Ausg. 1 </w:t>
            </w:r>
          </w:p>
        </w:tc>
        <w:tc>
          <w:tcPr>
            <w:tcW w:w="1176" w:type="dxa"/>
            <w:hideMark/>
          </w:tcPr>
          <w:p w14:paraId="72AD8756" w14:textId="77777777" w:rsidR="00842BDA" w:rsidRPr="00616C13" w:rsidRDefault="00842BDA" w:rsidP="00621F55">
            <w:pPr>
              <w:spacing w:beforeLines="34" w:before="81" w:after="34"/>
              <w:jc w:val="center"/>
              <w:rPr>
                <w:sz w:val="21"/>
                <w:szCs w:val="21"/>
              </w:rPr>
            </w:pPr>
            <w:r w:rsidRPr="00616C13">
              <w:rPr>
                <w:sz w:val="21"/>
              </w:rPr>
              <w:t>0,496</w:t>
            </w:r>
          </w:p>
        </w:tc>
        <w:tc>
          <w:tcPr>
            <w:tcW w:w="1164" w:type="dxa"/>
            <w:hideMark/>
          </w:tcPr>
          <w:p w14:paraId="062DE515" w14:textId="77777777" w:rsidR="00842BDA" w:rsidRPr="00616C13" w:rsidRDefault="00842BDA" w:rsidP="00621F55">
            <w:pPr>
              <w:spacing w:beforeLines="34" w:before="81" w:after="34"/>
              <w:jc w:val="center"/>
              <w:rPr>
                <w:sz w:val="21"/>
                <w:szCs w:val="21"/>
              </w:rPr>
            </w:pPr>
            <w:r w:rsidRPr="00616C13">
              <w:rPr>
                <w:sz w:val="21"/>
              </w:rPr>
              <w:t>0,909</w:t>
            </w:r>
          </w:p>
        </w:tc>
        <w:tc>
          <w:tcPr>
            <w:tcW w:w="1164" w:type="dxa"/>
            <w:hideMark/>
          </w:tcPr>
          <w:p w14:paraId="29BA0D67" w14:textId="77777777" w:rsidR="00842BDA" w:rsidRPr="00616C13" w:rsidRDefault="00842BDA" w:rsidP="00621F55">
            <w:pPr>
              <w:spacing w:beforeLines="34" w:before="81" w:after="34"/>
              <w:jc w:val="center"/>
              <w:rPr>
                <w:sz w:val="21"/>
                <w:szCs w:val="21"/>
              </w:rPr>
            </w:pPr>
            <w:r w:rsidRPr="00616C13">
              <w:rPr>
                <w:sz w:val="21"/>
              </w:rPr>
              <w:t>1,234</w:t>
            </w:r>
          </w:p>
        </w:tc>
        <w:tc>
          <w:tcPr>
            <w:tcW w:w="1176" w:type="dxa"/>
            <w:hideMark/>
          </w:tcPr>
          <w:p w14:paraId="61A0F9CA" w14:textId="77777777" w:rsidR="00842BDA" w:rsidRPr="00616C13" w:rsidRDefault="00842BDA" w:rsidP="00621F55">
            <w:pPr>
              <w:spacing w:beforeLines="34" w:before="81" w:after="34"/>
              <w:jc w:val="center"/>
              <w:rPr>
                <w:sz w:val="21"/>
                <w:szCs w:val="21"/>
              </w:rPr>
            </w:pPr>
            <w:r w:rsidRPr="00616C13">
              <w:rPr>
                <w:sz w:val="21"/>
              </w:rPr>
              <w:t>1,415</w:t>
            </w:r>
          </w:p>
        </w:tc>
        <w:tc>
          <w:tcPr>
            <w:tcW w:w="1151" w:type="dxa"/>
            <w:hideMark/>
          </w:tcPr>
          <w:p w14:paraId="779B9E42" w14:textId="77777777" w:rsidR="00842BDA" w:rsidRPr="00616C13" w:rsidRDefault="00842BDA" w:rsidP="00621F55">
            <w:pPr>
              <w:spacing w:beforeLines="34" w:before="81" w:after="34"/>
              <w:jc w:val="center"/>
              <w:rPr>
                <w:sz w:val="21"/>
                <w:szCs w:val="21"/>
              </w:rPr>
            </w:pPr>
            <w:r w:rsidRPr="00616C13">
              <w:rPr>
                <w:sz w:val="21"/>
              </w:rPr>
              <w:t>1,521</w:t>
            </w:r>
          </w:p>
        </w:tc>
        <w:tc>
          <w:tcPr>
            <w:tcW w:w="1139" w:type="dxa"/>
            <w:hideMark/>
          </w:tcPr>
          <w:p w14:paraId="28134F0D" w14:textId="77777777" w:rsidR="00842BDA" w:rsidRPr="00616C13" w:rsidRDefault="00842BDA" w:rsidP="00621F55">
            <w:pPr>
              <w:spacing w:beforeLines="34" w:before="81" w:after="34"/>
              <w:jc w:val="center"/>
              <w:rPr>
                <w:sz w:val="21"/>
                <w:szCs w:val="21"/>
              </w:rPr>
            </w:pPr>
            <w:r w:rsidRPr="00616C13">
              <w:rPr>
                <w:sz w:val="21"/>
              </w:rPr>
              <w:t>1,631</w:t>
            </w:r>
          </w:p>
        </w:tc>
        <w:tc>
          <w:tcPr>
            <w:tcW w:w="1176" w:type="dxa"/>
            <w:hideMark/>
          </w:tcPr>
          <w:p w14:paraId="07CC6FFB" w14:textId="77777777" w:rsidR="00842BDA" w:rsidRPr="00616C13" w:rsidRDefault="00842BDA" w:rsidP="00621F55">
            <w:pPr>
              <w:spacing w:beforeLines="34" w:before="81" w:after="34"/>
              <w:jc w:val="center"/>
              <w:rPr>
                <w:sz w:val="21"/>
                <w:szCs w:val="21"/>
              </w:rPr>
            </w:pPr>
            <w:r w:rsidRPr="00616C13">
              <w:rPr>
                <w:sz w:val="21"/>
              </w:rPr>
              <w:t>1,760</w:t>
            </w:r>
          </w:p>
        </w:tc>
        <w:tc>
          <w:tcPr>
            <w:tcW w:w="1176" w:type="dxa"/>
            <w:hideMark/>
          </w:tcPr>
          <w:p w14:paraId="48F0A3E2" w14:textId="77777777" w:rsidR="00842BDA" w:rsidRPr="00616C13" w:rsidRDefault="00842BDA" w:rsidP="00621F55">
            <w:pPr>
              <w:spacing w:beforeLines="34" w:before="81" w:after="34"/>
              <w:jc w:val="center"/>
              <w:rPr>
                <w:sz w:val="21"/>
                <w:szCs w:val="21"/>
              </w:rPr>
            </w:pPr>
            <w:r w:rsidRPr="00616C13">
              <w:rPr>
                <w:sz w:val="21"/>
              </w:rPr>
              <w:t>1,904</w:t>
            </w:r>
          </w:p>
        </w:tc>
        <w:tc>
          <w:tcPr>
            <w:tcW w:w="1117" w:type="dxa"/>
            <w:hideMark/>
          </w:tcPr>
          <w:p w14:paraId="52CBFBAD" w14:textId="77777777" w:rsidR="00842BDA" w:rsidRPr="00616C13" w:rsidRDefault="00842BDA" w:rsidP="00621F55">
            <w:pPr>
              <w:spacing w:beforeLines="34" w:before="81" w:after="34"/>
              <w:jc w:val="center"/>
              <w:rPr>
                <w:sz w:val="21"/>
                <w:szCs w:val="21"/>
              </w:rPr>
            </w:pPr>
            <w:r w:rsidRPr="00616C13">
              <w:rPr>
                <w:sz w:val="21"/>
              </w:rPr>
              <w:t>2,045</w:t>
            </w:r>
          </w:p>
        </w:tc>
        <w:tc>
          <w:tcPr>
            <w:tcW w:w="1122" w:type="dxa"/>
            <w:hideMark/>
          </w:tcPr>
          <w:p w14:paraId="76830F3C" w14:textId="77777777" w:rsidR="00842BDA" w:rsidRPr="00616C13" w:rsidRDefault="00842BDA" w:rsidP="00621F55">
            <w:pPr>
              <w:spacing w:beforeLines="34" w:before="81" w:after="34"/>
              <w:jc w:val="center"/>
              <w:rPr>
                <w:sz w:val="21"/>
                <w:szCs w:val="21"/>
              </w:rPr>
            </w:pPr>
            <w:r w:rsidRPr="00616C13">
              <w:rPr>
                <w:sz w:val="21"/>
              </w:rPr>
              <w:t>2,169</w:t>
            </w:r>
          </w:p>
        </w:tc>
      </w:tr>
      <w:tr w:rsidR="00842BDA" w:rsidRPr="00616C13" w14:paraId="71E53578" w14:textId="77777777" w:rsidTr="00621F55">
        <w:tc>
          <w:tcPr>
            <w:tcW w:w="1560" w:type="dxa"/>
            <w:hideMark/>
          </w:tcPr>
          <w:p w14:paraId="342570DA" w14:textId="77777777" w:rsidR="00842BDA" w:rsidRPr="00616C13" w:rsidRDefault="00842BDA" w:rsidP="00621F55">
            <w:pPr>
              <w:spacing w:beforeLines="34" w:before="81" w:after="34"/>
              <w:rPr>
                <w:sz w:val="21"/>
                <w:szCs w:val="21"/>
              </w:rPr>
            </w:pPr>
            <w:r w:rsidRPr="00616C13">
              <w:rPr>
                <w:sz w:val="21"/>
              </w:rPr>
              <w:t xml:space="preserve">August 2022 </w:t>
            </w:r>
          </w:p>
        </w:tc>
        <w:tc>
          <w:tcPr>
            <w:tcW w:w="2047" w:type="dxa"/>
            <w:hideMark/>
          </w:tcPr>
          <w:p w14:paraId="1B673D0E" w14:textId="77777777" w:rsidR="00842BDA" w:rsidRPr="00616C13" w:rsidRDefault="00842BDA" w:rsidP="00621F55">
            <w:pPr>
              <w:spacing w:beforeLines="34" w:before="81" w:after="34"/>
              <w:rPr>
                <w:sz w:val="21"/>
                <w:szCs w:val="21"/>
              </w:rPr>
            </w:pPr>
            <w:r w:rsidRPr="00616C13">
              <w:rPr>
                <w:sz w:val="21"/>
              </w:rPr>
              <w:t xml:space="preserve">18.08.2022 - Ausg. 2 </w:t>
            </w:r>
          </w:p>
        </w:tc>
        <w:tc>
          <w:tcPr>
            <w:tcW w:w="1176" w:type="dxa"/>
            <w:hideMark/>
          </w:tcPr>
          <w:p w14:paraId="629DFE1A" w14:textId="77777777" w:rsidR="00842BDA" w:rsidRPr="00616C13" w:rsidRDefault="00842BDA" w:rsidP="00621F55">
            <w:pPr>
              <w:spacing w:beforeLines="34" w:before="81" w:after="34"/>
              <w:jc w:val="center"/>
              <w:rPr>
                <w:sz w:val="21"/>
                <w:szCs w:val="21"/>
              </w:rPr>
            </w:pPr>
            <w:r w:rsidRPr="00616C13">
              <w:rPr>
                <w:sz w:val="21"/>
              </w:rPr>
              <w:t>0,507</w:t>
            </w:r>
          </w:p>
        </w:tc>
        <w:tc>
          <w:tcPr>
            <w:tcW w:w="1164" w:type="dxa"/>
            <w:hideMark/>
          </w:tcPr>
          <w:p w14:paraId="622A183D" w14:textId="77777777" w:rsidR="00842BDA" w:rsidRPr="00616C13" w:rsidRDefault="00842BDA" w:rsidP="00621F55">
            <w:pPr>
              <w:spacing w:beforeLines="34" w:before="81" w:after="34"/>
              <w:jc w:val="center"/>
              <w:rPr>
                <w:sz w:val="21"/>
                <w:szCs w:val="21"/>
              </w:rPr>
            </w:pPr>
            <w:r w:rsidRPr="00616C13">
              <w:rPr>
                <w:sz w:val="21"/>
              </w:rPr>
              <w:t>0,557</w:t>
            </w:r>
          </w:p>
        </w:tc>
        <w:tc>
          <w:tcPr>
            <w:tcW w:w="1164" w:type="dxa"/>
            <w:hideMark/>
          </w:tcPr>
          <w:p w14:paraId="03F0D27A" w14:textId="77777777" w:rsidR="00842BDA" w:rsidRPr="00616C13" w:rsidRDefault="00842BDA" w:rsidP="00621F55">
            <w:pPr>
              <w:spacing w:beforeLines="34" w:before="81" w:after="34"/>
              <w:jc w:val="center"/>
              <w:rPr>
                <w:sz w:val="21"/>
                <w:szCs w:val="21"/>
              </w:rPr>
            </w:pPr>
            <w:r w:rsidRPr="00616C13">
              <w:rPr>
                <w:sz w:val="21"/>
              </w:rPr>
              <w:t>0,650</w:t>
            </w:r>
          </w:p>
        </w:tc>
        <w:tc>
          <w:tcPr>
            <w:tcW w:w="1176" w:type="dxa"/>
            <w:hideMark/>
          </w:tcPr>
          <w:p w14:paraId="48C73E87" w14:textId="77777777" w:rsidR="00842BDA" w:rsidRPr="00616C13" w:rsidRDefault="00842BDA" w:rsidP="00621F55">
            <w:pPr>
              <w:spacing w:beforeLines="34" w:before="81" w:after="34"/>
              <w:jc w:val="center"/>
              <w:rPr>
                <w:sz w:val="21"/>
                <w:szCs w:val="21"/>
              </w:rPr>
            </w:pPr>
            <w:r w:rsidRPr="00616C13">
              <w:rPr>
                <w:sz w:val="21"/>
              </w:rPr>
              <w:t>0,801</w:t>
            </w:r>
          </w:p>
        </w:tc>
        <w:tc>
          <w:tcPr>
            <w:tcW w:w="1151" w:type="dxa"/>
            <w:hideMark/>
          </w:tcPr>
          <w:p w14:paraId="1EB6A154" w14:textId="77777777" w:rsidR="00842BDA" w:rsidRPr="00616C13" w:rsidRDefault="00842BDA" w:rsidP="00621F55">
            <w:pPr>
              <w:spacing w:beforeLines="34" w:before="81" w:after="34"/>
              <w:jc w:val="center"/>
              <w:rPr>
                <w:sz w:val="21"/>
                <w:szCs w:val="21"/>
              </w:rPr>
            </w:pPr>
            <w:r w:rsidRPr="00616C13">
              <w:rPr>
                <w:sz w:val="21"/>
              </w:rPr>
              <w:t>0,965</w:t>
            </w:r>
          </w:p>
        </w:tc>
        <w:tc>
          <w:tcPr>
            <w:tcW w:w="1139" w:type="dxa"/>
            <w:hideMark/>
          </w:tcPr>
          <w:p w14:paraId="5F57D6A6" w14:textId="77777777" w:rsidR="00842BDA" w:rsidRPr="00616C13" w:rsidRDefault="00842BDA" w:rsidP="00621F55">
            <w:pPr>
              <w:spacing w:beforeLines="34" w:before="81" w:after="34"/>
              <w:jc w:val="center"/>
              <w:rPr>
                <w:sz w:val="21"/>
                <w:szCs w:val="21"/>
              </w:rPr>
            </w:pPr>
            <w:r w:rsidRPr="00616C13">
              <w:rPr>
                <w:sz w:val="21"/>
              </w:rPr>
              <w:t>1,095</w:t>
            </w:r>
          </w:p>
        </w:tc>
        <w:tc>
          <w:tcPr>
            <w:tcW w:w="1176" w:type="dxa"/>
            <w:hideMark/>
          </w:tcPr>
          <w:p w14:paraId="47D294EB" w14:textId="77777777" w:rsidR="00842BDA" w:rsidRPr="00616C13" w:rsidRDefault="00842BDA" w:rsidP="00621F55">
            <w:pPr>
              <w:spacing w:beforeLines="34" w:before="81" w:after="34"/>
              <w:jc w:val="center"/>
              <w:rPr>
                <w:sz w:val="21"/>
                <w:szCs w:val="21"/>
              </w:rPr>
            </w:pPr>
            <w:r w:rsidRPr="00616C13">
              <w:rPr>
                <w:sz w:val="21"/>
              </w:rPr>
              <w:t>1,219</w:t>
            </w:r>
          </w:p>
        </w:tc>
        <w:tc>
          <w:tcPr>
            <w:tcW w:w="1176" w:type="dxa"/>
            <w:hideMark/>
          </w:tcPr>
          <w:p w14:paraId="74A7C373" w14:textId="77777777" w:rsidR="00842BDA" w:rsidRPr="00616C13" w:rsidRDefault="00842BDA" w:rsidP="00621F55">
            <w:pPr>
              <w:spacing w:beforeLines="34" w:before="81" w:after="34"/>
              <w:jc w:val="center"/>
              <w:rPr>
                <w:sz w:val="21"/>
                <w:szCs w:val="21"/>
              </w:rPr>
            </w:pPr>
            <w:r w:rsidRPr="00616C13">
              <w:rPr>
                <w:sz w:val="21"/>
              </w:rPr>
              <w:t>1,355</w:t>
            </w:r>
          </w:p>
        </w:tc>
        <w:tc>
          <w:tcPr>
            <w:tcW w:w="1117" w:type="dxa"/>
            <w:hideMark/>
          </w:tcPr>
          <w:p w14:paraId="630208F0" w14:textId="77777777" w:rsidR="00842BDA" w:rsidRPr="00616C13" w:rsidRDefault="00842BDA" w:rsidP="00621F55">
            <w:pPr>
              <w:spacing w:beforeLines="34" w:before="81" w:after="34"/>
              <w:jc w:val="center"/>
              <w:rPr>
                <w:sz w:val="21"/>
                <w:szCs w:val="21"/>
              </w:rPr>
            </w:pPr>
            <w:r w:rsidRPr="00616C13">
              <w:rPr>
                <w:sz w:val="21"/>
              </w:rPr>
              <w:t>1,500</w:t>
            </w:r>
          </w:p>
        </w:tc>
        <w:tc>
          <w:tcPr>
            <w:tcW w:w="1122" w:type="dxa"/>
            <w:hideMark/>
          </w:tcPr>
          <w:p w14:paraId="601DCA42" w14:textId="77777777" w:rsidR="00842BDA" w:rsidRPr="00616C13" w:rsidRDefault="00842BDA" w:rsidP="00621F55">
            <w:pPr>
              <w:spacing w:beforeLines="34" w:before="81" w:after="34"/>
              <w:jc w:val="center"/>
              <w:rPr>
                <w:sz w:val="21"/>
                <w:szCs w:val="21"/>
              </w:rPr>
            </w:pPr>
            <w:r w:rsidRPr="00616C13">
              <w:rPr>
                <w:sz w:val="21"/>
              </w:rPr>
              <w:t>1,633</w:t>
            </w:r>
          </w:p>
        </w:tc>
      </w:tr>
      <w:tr w:rsidR="00842BDA" w:rsidRPr="00616C13" w14:paraId="47DAE070" w14:textId="77777777" w:rsidTr="00621F55">
        <w:tc>
          <w:tcPr>
            <w:tcW w:w="1560" w:type="dxa"/>
            <w:hideMark/>
          </w:tcPr>
          <w:p w14:paraId="0141213A" w14:textId="77777777" w:rsidR="00842BDA" w:rsidRPr="00616C13" w:rsidRDefault="00842BDA" w:rsidP="00621F55">
            <w:pPr>
              <w:spacing w:beforeLines="34" w:before="81" w:after="34"/>
              <w:rPr>
                <w:sz w:val="21"/>
                <w:szCs w:val="21"/>
              </w:rPr>
            </w:pPr>
            <w:r w:rsidRPr="00616C13">
              <w:rPr>
                <w:sz w:val="21"/>
              </w:rPr>
              <w:t xml:space="preserve">September 2022 </w:t>
            </w:r>
          </w:p>
        </w:tc>
        <w:tc>
          <w:tcPr>
            <w:tcW w:w="2047" w:type="dxa"/>
            <w:hideMark/>
          </w:tcPr>
          <w:p w14:paraId="3AA45F73" w14:textId="77777777" w:rsidR="00842BDA" w:rsidRPr="00616C13" w:rsidRDefault="00842BDA" w:rsidP="00621F55">
            <w:pPr>
              <w:spacing w:beforeLines="34" w:before="81" w:after="34"/>
              <w:rPr>
                <w:sz w:val="21"/>
                <w:szCs w:val="21"/>
              </w:rPr>
            </w:pPr>
            <w:r w:rsidRPr="00616C13">
              <w:rPr>
                <w:sz w:val="21"/>
              </w:rPr>
              <w:t xml:space="preserve">26.09.2022 - Ausg. 1 </w:t>
            </w:r>
          </w:p>
        </w:tc>
        <w:tc>
          <w:tcPr>
            <w:tcW w:w="1176" w:type="dxa"/>
            <w:hideMark/>
          </w:tcPr>
          <w:p w14:paraId="4EEE8D27" w14:textId="77777777" w:rsidR="00842BDA" w:rsidRPr="00616C13" w:rsidRDefault="00842BDA" w:rsidP="00621F55">
            <w:pPr>
              <w:spacing w:beforeLines="34" w:before="81" w:after="34"/>
              <w:jc w:val="center"/>
              <w:rPr>
                <w:sz w:val="21"/>
                <w:szCs w:val="21"/>
              </w:rPr>
            </w:pPr>
            <w:r w:rsidRPr="00616C13">
              <w:rPr>
                <w:sz w:val="21"/>
              </w:rPr>
              <w:t>0,703</w:t>
            </w:r>
          </w:p>
        </w:tc>
        <w:tc>
          <w:tcPr>
            <w:tcW w:w="1164" w:type="dxa"/>
            <w:hideMark/>
          </w:tcPr>
          <w:p w14:paraId="30A9F653" w14:textId="77777777" w:rsidR="00842BDA" w:rsidRPr="00616C13" w:rsidRDefault="00842BDA" w:rsidP="00621F55">
            <w:pPr>
              <w:spacing w:beforeLines="34" w:before="81" w:after="34"/>
              <w:jc w:val="center"/>
              <w:rPr>
                <w:sz w:val="21"/>
                <w:szCs w:val="21"/>
              </w:rPr>
            </w:pPr>
            <w:r w:rsidRPr="00616C13">
              <w:rPr>
                <w:sz w:val="21"/>
              </w:rPr>
              <w:t>0,942</w:t>
            </w:r>
          </w:p>
        </w:tc>
        <w:tc>
          <w:tcPr>
            <w:tcW w:w="1164" w:type="dxa"/>
            <w:hideMark/>
          </w:tcPr>
          <w:p w14:paraId="035B89E0" w14:textId="77777777" w:rsidR="00842BDA" w:rsidRPr="00616C13" w:rsidRDefault="00842BDA" w:rsidP="00621F55">
            <w:pPr>
              <w:spacing w:beforeLines="34" w:before="81" w:after="34"/>
              <w:jc w:val="center"/>
              <w:rPr>
                <w:sz w:val="21"/>
                <w:szCs w:val="21"/>
              </w:rPr>
            </w:pPr>
            <w:r w:rsidRPr="00616C13">
              <w:rPr>
                <w:sz w:val="21"/>
              </w:rPr>
              <w:t>1,143</w:t>
            </w:r>
          </w:p>
        </w:tc>
        <w:tc>
          <w:tcPr>
            <w:tcW w:w="1176" w:type="dxa"/>
            <w:hideMark/>
          </w:tcPr>
          <w:p w14:paraId="69C500EF" w14:textId="77777777" w:rsidR="00842BDA" w:rsidRPr="00616C13" w:rsidRDefault="00842BDA" w:rsidP="00621F55">
            <w:pPr>
              <w:spacing w:beforeLines="34" w:before="81" w:after="34"/>
              <w:jc w:val="center"/>
              <w:rPr>
                <w:sz w:val="21"/>
                <w:szCs w:val="21"/>
              </w:rPr>
            </w:pPr>
            <w:r w:rsidRPr="00616C13">
              <w:rPr>
                <w:sz w:val="21"/>
              </w:rPr>
              <w:t>1,287</w:t>
            </w:r>
          </w:p>
        </w:tc>
        <w:tc>
          <w:tcPr>
            <w:tcW w:w="1151" w:type="dxa"/>
            <w:hideMark/>
          </w:tcPr>
          <w:p w14:paraId="45C1B142" w14:textId="77777777" w:rsidR="00842BDA" w:rsidRPr="00616C13" w:rsidRDefault="00842BDA" w:rsidP="00621F55">
            <w:pPr>
              <w:spacing w:beforeLines="34" w:before="81" w:after="34"/>
              <w:jc w:val="center"/>
              <w:rPr>
                <w:sz w:val="21"/>
                <w:szCs w:val="21"/>
              </w:rPr>
            </w:pPr>
            <w:r w:rsidRPr="00616C13">
              <w:rPr>
                <w:sz w:val="21"/>
              </w:rPr>
              <w:t>1,396</w:t>
            </w:r>
          </w:p>
        </w:tc>
        <w:tc>
          <w:tcPr>
            <w:tcW w:w="1139" w:type="dxa"/>
            <w:hideMark/>
          </w:tcPr>
          <w:p w14:paraId="32BA020D" w14:textId="77777777" w:rsidR="00842BDA" w:rsidRPr="00616C13" w:rsidRDefault="00842BDA" w:rsidP="00621F55">
            <w:pPr>
              <w:spacing w:beforeLines="34" w:before="81" w:after="34"/>
              <w:jc w:val="center"/>
              <w:rPr>
                <w:sz w:val="21"/>
                <w:szCs w:val="21"/>
              </w:rPr>
            </w:pPr>
            <w:r w:rsidRPr="00616C13">
              <w:rPr>
                <w:sz w:val="21"/>
              </w:rPr>
              <w:t>1,497</w:t>
            </w:r>
          </w:p>
        </w:tc>
        <w:tc>
          <w:tcPr>
            <w:tcW w:w="1176" w:type="dxa"/>
            <w:hideMark/>
          </w:tcPr>
          <w:p w14:paraId="24ED74BB" w14:textId="77777777" w:rsidR="00842BDA" w:rsidRPr="00616C13" w:rsidRDefault="00842BDA" w:rsidP="00621F55">
            <w:pPr>
              <w:spacing w:beforeLines="34" w:before="81" w:after="34"/>
              <w:jc w:val="center"/>
              <w:rPr>
                <w:sz w:val="21"/>
                <w:szCs w:val="21"/>
              </w:rPr>
            </w:pPr>
            <w:r w:rsidRPr="00616C13">
              <w:rPr>
                <w:sz w:val="21"/>
              </w:rPr>
              <w:t>1,605</w:t>
            </w:r>
          </w:p>
        </w:tc>
        <w:tc>
          <w:tcPr>
            <w:tcW w:w="1176" w:type="dxa"/>
            <w:hideMark/>
          </w:tcPr>
          <w:p w14:paraId="44A3F2C4" w14:textId="77777777" w:rsidR="00842BDA" w:rsidRPr="00616C13" w:rsidRDefault="00842BDA" w:rsidP="00621F55">
            <w:pPr>
              <w:spacing w:beforeLines="34" w:before="81" w:after="34"/>
              <w:jc w:val="center"/>
              <w:rPr>
                <w:sz w:val="21"/>
                <w:szCs w:val="21"/>
              </w:rPr>
            </w:pPr>
            <w:r w:rsidRPr="00616C13">
              <w:rPr>
                <w:sz w:val="21"/>
              </w:rPr>
              <w:t>1,737</w:t>
            </w:r>
          </w:p>
        </w:tc>
        <w:tc>
          <w:tcPr>
            <w:tcW w:w="1117" w:type="dxa"/>
            <w:hideMark/>
          </w:tcPr>
          <w:p w14:paraId="60A511F5" w14:textId="77777777" w:rsidR="00842BDA" w:rsidRPr="00616C13" w:rsidRDefault="00842BDA" w:rsidP="00621F55">
            <w:pPr>
              <w:spacing w:beforeLines="34" w:before="81" w:after="34"/>
              <w:jc w:val="center"/>
              <w:rPr>
                <w:sz w:val="21"/>
                <w:szCs w:val="21"/>
              </w:rPr>
            </w:pPr>
            <w:r w:rsidRPr="00616C13">
              <w:rPr>
                <w:sz w:val="21"/>
              </w:rPr>
              <w:t>1,873</w:t>
            </w:r>
          </w:p>
        </w:tc>
        <w:tc>
          <w:tcPr>
            <w:tcW w:w="1122" w:type="dxa"/>
            <w:hideMark/>
          </w:tcPr>
          <w:p w14:paraId="37AECC28" w14:textId="77777777" w:rsidR="00842BDA" w:rsidRPr="00616C13" w:rsidRDefault="00842BDA" w:rsidP="00621F55">
            <w:pPr>
              <w:spacing w:beforeLines="34" w:before="81" w:after="34"/>
              <w:jc w:val="center"/>
              <w:rPr>
                <w:sz w:val="21"/>
                <w:szCs w:val="21"/>
              </w:rPr>
            </w:pPr>
            <w:r w:rsidRPr="00616C13">
              <w:rPr>
                <w:sz w:val="21"/>
              </w:rPr>
              <w:t>1,999</w:t>
            </w:r>
          </w:p>
        </w:tc>
      </w:tr>
      <w:tr w:rsidR="00842BDA" w:rsidRPr="00616C13" w14:paraId="6BF9C0D0" w14:textId="77777777" w:rsidTr="00621F55">
        <w:tc>
          <w:tcPr>
            <w:tcW w:w="1560" w:type="dxa"/>
            <w:hideMark/>
          </w:tcPr>
          <w:p w14:paraId="32E11496" w14:textId="77777777" w:rsidR="00842BDA" w:rsidRPr="00616C13" w:rsidRDefault="00842BDA" w:rsidP="00621F55">
            <w:pPr>
              <w:spacing w:beforeLines="34" w:before="81" w:after="34"/>
              <w:rPr>
                <w:sz w:val="21"/>
                <w:szCs w:val="21"/>
              </w:rPr>
            </w:pPr>
            <w:r w:rsidRPr="00616C13">
              <w:rPr>
                <w:sz w:val="21"/>
              </w:rPr>
              <w:t xml:space="preserve">Oktober 2022 </w:t>
            </w:r>
          </w:p>
        </w:tc>
        <w:tc>
          <w:tcPr>
            <w:tcW w:w="2047" w:type="dxa"/>
            <w:hideMark/>
          </w:tcPr>
          <w:p w14:paraId="7FDF878B" w14:textId="77777777" w:rsidR="00842BDA" w:rsidRPr="00616C13" w:rsidRDefault="00842BDA" w:rsidP="00621F55">
            <w:pPr>
              <w:spacing w:beforeLines="34" w:before="81" w:after="34"/>
              <w:rPr>
                <w:sz w:val="21"/>
                <w:szCs w:val="21"/>
              </w:rPr>
            </w:pPr>
            <w:r w:rsidRPr="00616C13">
              <w:rPr>
                <w:sz w:val="21"/>
              </w:rPr>
              <w:t xml:space="preserve">17.10.2022 - Ausg. 1 </w:t>
            </w:r>
          </w:p>
        </w:tc>
        <w:tc>
          <w:tcPr>
            <w:tcW w:w="1176" w:type="dxa"/>
            <w:hideMark/>
          </w:tcPr>
          <w:p w14:paraId="3D5FE385" w14:textId="77777777" w:rsidR="00842BDA" w:rsidRPr="00616C13" w:rsidRDefault="00842BDA" w:rsidP="00621F55">
            <w:pPr>
              <w:spacing w:beforeLines="34" w:before="81" w:after="34"/>
              <w:jc w:val="center"/>
              <w:rPr>
                <w:sz w:val="21"/>
                <w:szCs w:val="21"/>
              </w:rPr>
            </w:pPr>
            <w:r w:rsidRPr="00616C13">
              <w:rPr>
                <w:sz w:val="21"/>
              </w:rPr>
              <w:t>1,806</w:t>
            </w:r>
          </w:p>
        </w:tc>
        <w:tc>
          <w:tcPr>
            <w:tcW w:w="1164" w:type="dxa"/>
            <w:hideMark/>
          </w:tcPr>
          <w:p w14:paraId="22A84141" w14:textId="77777777" w:rsidR="00842BDA" w:rsidRPr="00616C13" w:rsidRDefault="00842BDA" w:rsidP="00621F55">
            <w:pPr>
              <w:spacing w:beforeLines="34" w:before="81" w:after="34"/>
              <w:jc w:val="center"/>
              <w:rPr>
                <w:sz w:val="21"/>
                <w:szCs w:val="21"/>
              </w:rPr>
            </w:pPr>
            <w:r w:rsidRPr="00616C13">
              <w:rPr>
                <w:sz w:val="21"/>
              </w:rPr>
              <w:t>1,790</w:t>
            </w:r>
          </w:p>
        </w:tc>
        <w:tc>
          <w:tcPr>
            <w:tcW w:w="1164" w:type="dxa"/>
            <w:hideMark/>
          </w:tcPr>
          <w:p w14:paraId="2BDC2F95" w14:textId="77777777" w:rsidR="00842BDA" w:rsidRPr="00616C13" w:rsidRDefault="00842BDA" w:rsidP="00621F55">
            <w:pPr>
              <w:spacing w:beforeLines="34" w:before="81" w:after="34"/>
              <w:jc w:val="center"/>
              <w:rPr>
                <w:sz w:val="21"/>
                <w:szCs w:val="21"/>
              </w:rPr>
            </w:pPr>
            <w:r w:rsidRPr="00616C13">
              <w:rPr>
                <w:sz w:val="21"/>
              </w:rPr>
              <w:t>1,845</w:t>
            </w:r>
          </w:p>
        </w:tc>
        <w:tc>
          <w:tcPr>
            <w:tcW w:w="1176" w:type="dxa"/>
            <w:hideMark/>
          </w:tcPr>
          <w:p w14:paraId="391A4038" w14:textId="77777777" w:rsidR="00842BDA" w:rsidRPr="00616C13" w:rsidRDefault="00842BDA" w:rsidP="00621F55">
            <w:pPr>
              <w:spacing w:beforeLines="34" w:before="81" w:after="34"/>
              <w:jc w:val="center"/>
              <w:rPr>
                <w:sz w:val="21"/>
                <w:szCs w:val="21"/>
              </w:rPr>
            </w:pPr>
            <w:r w:rsidRPr="00616C13">
              <w:rPr>
                <w:sz w:val="21"/>
              </w:rPr>
              <w:t>1,985</w:t>
            </w:r>
          </w:p>
        </w:tc>
        <w:tc>
          <w:tcPr>
            <w:tcW w:w="1151" w:type="dxa"/>
            <w:hideMark/>
          </w:tcPr>
          <w:p w14:paraId="3F1E7D0F" w14:textId="77777777" w:rsidR="00842BDA" w:rsidRPr="00616C13" w:rsidRDefault="00842BDA" w:rsidP="00621F55">
            <w:pPr>
              <w:spacing w:beforeLines="34" w:before="81" w:after="34"/>
              <w:jc w:val="center"/>
              <w:rPr>
                <w:sz w:val="21"/>
                <w:szCs w:val="21"/>
              </w:rPr>
            </w:pPr>
            <w:r w:rsidRPr="00616C13">
              <w:rPr>
                <w:sz w:val="21"/>
              </w:rPr>
              <w:t>2,120</w:t>
            </w:r>
          </w:p>
        </w:tc>
        <w:tc>
          <w:tcPr>
            <w:tcW w:w="1139" w:type="dxa"/>
            <w:hideMark/>
          </w:tcPr>
          <w:p w14:paraId="0FB084B0" w14:textId="77777777" w:rsidR="00842BDA" w:rsidRPr="00616C13" w:rsidRDefault="00842BDA" w:rsidP="00621F55">
            <w:pPr>
              <w:spacing w:beforeLines="34" w:before="81" w:after="34"/>
              <w:jc w:val="center"/>
              <w:rPr>
                <w:sz w:val="21"/>
                <w:szCs w:val="21"/>
              </w:rPr>
            </w:pPr>
            <w:r w:rsidRPr="00616C13">
              <w:rPr>
                <w:sz w:val="21"/>
              </w:rPr>
              <w:t>2,202</w:t>
            </w:r>
          </w:p>
        </w:tc>
        <w:tc>
          <w:tcPr>
            <w:tcW w:w="1176" w:type="dxa"/>
            <w:hideMark/>
          </w:tcPr>
          <w:p w14:paraId="01DF1E6C" w14:textId="77777777" w:rsidR="00842BDA" w:rsidRPr="00616C13" w:rsidRDefault="00842BDA" w:rsidP="00621F55">
            <w:pPr>
              <w:spacing w:beforeLines="34" w:before="81" w:after="34"/>
              <w:jc w:val="center"/>
              <w:rPr>
                <w:sz w:val="21"/>
                <w:szCs w:val="21"/>
              </w:rPr>
            </w:pPr>
            <w:r w:rsidRPr="00616C13">
              <w:rPr>
                <w:sz w:val="21"/>
              </w:rPr>
              <w:t>2,279</w:t>
            </w:r>
          </w:p>
        </w:tc>
        <w:tc>
          <w:tcPr>
            <w:tcW w:w="1176" w:type="dxa"/>
            <w:hideMark/>
          </w:tcPr>
          <w:p w14:paraId="679EB779" w14:textId="77777777" w:rsidR="00842BDA" w:rsidRPr="00616C13" w:rsidRDefault="00842BDA" w:rsidP="00621F55">
            <w:pPr>
              <w:spacing w:beforeLines="34" w:before="81" w:after="34"/>
              <w:jc w:val="center"/>
              <w:rPr>
                <w:sz w:val="21"/>
                <w:szCs w:val="21"/>
              </w:rPr>
            </w:pPr>
            <w:r w:rsidRPr="00616C13">
              <w:rPr>
                <w:sz w:val="21"/>
              </w:rPr>
              <w:t>2,385</w:t>
            </w:r>
          </w:p>
        </w:tc>
        <w:tc>
          <w:tcPr>
            <w:tcW w:w="1117" w:type="dxa"/>
            <w:hideMark/>
          </w:tcPr>
          <w:p w14:paraId="4EF19D89" w14:textId="77777777" w:rsidR="00842BDA" w:rsidRPr="00616C13" w:rsidRDefault="00842BDA" w:rsidP="00621F55">
            <w:pPr>
              <w:spacing w:beforeLines="34" w:before="81" w:after="34"/>
              <w:jc w:val="center"/>
              <w:rPr>
                <w:sz w:val="21"/>
                <w:szCs w:val="21"/>
              </w:rPr>
            </w:pPr>
            <w:r w:rsidRPr="00616C13">
              <w:rPr>
                <w:sz w:val="21"/>
              </w:rPr>
              <w:t>2,501</w:t>
            </w:r>
          </w:p>
        </w:tc>
        <w:tc>
          <w:tcPr>
            <w:tcW w:w="1122" w:type="dxa"/>
            <w:hideMark/>
          </w:tcPr>
          <w:p w14:paraId="263575ED" w14:textId="77777777" w:rsidR="00842BDA" w:rsidRPr="00616C13" w:rsidRDefault="00842BDA" w:rsidP="00621F55">
            <w:pPr>
              <w:spacing w:beforeLines="34" w:before="81" w:after="34"/>
              <w:jc w:val="center"/>
              <w:rPr>
                <w:sz w:val="21"/>
                <w:szCs w:val="21"/>
              </w:rPr>
            </w:pPr>
            <w:r w:rsidRPr="00616C13">
              <w:rPr>
                <w:sz w:val="21"/>
              </w:rPr>
              <w:t>2,608</w:t>
            </w:r>
          </w:p>
        </w:tc>
      </w:tr>
      <w:tr w:rsidR="00842BDA" w:rsidRPr="00616C13" w14:paraId="606C9ABF" w14:textId="77777777" w:rsidTr="00621F55">
        <w:tc>
          <w:tcPr>
            <w:tcW w:w="1560" w:type="dxa"/>
            <w:hideMark/>
          </w:tcPr>
          <w:p w14:paraId="6766E2D9" w14:textId="77777777" w:rsidR="00842BDA" w:rsidRPr="00616C13" w:rsidRDefault="00842BDA" w:rsidP="00621F55">
            <w:pPr>
              <w:spacing w:beforeLines="34" w:before="81" w:after="34"/>
              <w:rPr>
                <w:sz w:val="21"/>
                <w:szCs w:val="21"/>
              </w:rPr>
            </w:pPr>
            <w:r w:rsidRPr="00616C13">
              <w:rPr>
                <w:sz w:val="21"/>
              </w:rPr>
              <w:t xml:space="preserve">November 2022 </w:t>
            </w:r>
          </w:p>
        </w:tc>
        <w:tc>
          <w:tcPr>
            <w:tcW w:w="2047" w:type="dxa"/>
            <w:hideMark/>
          </w:tcPr>
          <w:p w14:paraId="71197F43" w14:textId="77777777" w:rsidR="00842BDA" w:rsidRPr="00616C13" w:rsidRDefault="00842BDA" w:rsidP="00621F55">
            <w:pPr>
              <w:spacing w:beforeLines="34" w:before="81" w:after="34"/>
              <w:rPr>
                <w:sz w:val="21"/>
                <w:szCs w:val="21"/>
              </w:rPr>
            </w:pPr>
            <w:r w:rsidRPr="00616C13">
              <w:rPr>
                <w:sz w:val="21"/>
              </w:rPr>
              <w:t xml:space="preserve">21.11.2022 - Ausg. 1 </w:t>
            </w:r>
          </w:p>
        </w:tc>
        <w:tc>
          <w:tcPr>
            <w:tcW w:w="1176" w:type="dxa"/>
            <w:hideMark/>
          </w:tcPr>
          <w:p w14:paraId="7A3424C6" w14:textId="77777777" w:rsidR="00842BDA" w:rsidRPr="00616C13" w:rsidRDefault="00842BDA" w:rsidP="00621F55">
            <w:pPr>
              <w:spacing w:beforeLines="34" w:before="81" w:after="34"/>
              <w:jc w:val="center"/>
              <w:rPr>
                <w:sz w:val="21"/>
                <w:szCs w:val="21"/>
              </w:rPr>
            </w:pPr>
            <w:r w:rsidRPr="00616C13">
              <w:rPr>
                <w:sz w:val="21"/>
              </w:rPr>
              <w:t>2,162</w:t>
            </w:r>
          </w:p>
        </w:tc>
        <w:tc>
          <w:tcPr>
            <w:tcW w:w="1164" w:type="dxa"/>
            <w:hideMark/>
          </w:tcPr>
          <w:p w14:paraId="3D73AE73" w14:textId="77777777" w:rsidR="00842BDA" w:rsidRPr="00616C13" w:rsidRDefault="00842BDA" w:rsidP="00621F55">
            <w:pPr>
              <w:spacing w:beforeLines="34" w:before="81" w:after="34"/>
              <w:jc w:val="center"/>
              <w:rPr>
                <w:sz w:val="21"/>
                <w:szCs w:val="21"/>
              </w:rPr>
            </w:pPr>
            <w:r w:rsidRPr="00616C13">
              <w:rPr>
                <w:sz w:val="21"/>
              </w:rPr>
              <w:t>2,114</w:t>
            </w:r>
          </w:p>
        </w:tc>
        <w:tc>
          <w:tcPr>
            <w:tcW w:w="1164" w:type="dxa"/>
            <w:hideMark/>
          </w:tcPr>
          <w:p w14:paraId="19F8489F" w14:textId="77777777" w:rsidR="00842BDA" w:rsidRPr="00616C13" w:rsidRDefault="00842BDA" w:rsidP="00621F55">
            <w:pPr>
              <w:spacing w:beforeLines="34" w:before="81" w:after="34"/>
              <w:jc w:val="center"/>
              <w:rPr>
                <w:sz w:val="21"/>
                <w:szCs w:val="21"/>
              </w:rPr>
            </w:pPr>
            <w:r w:rsidRPr="00616C13">
              <w:rPr>
                <w:sz w:val="21"/>
              </w:rPr>
              <w:t>2,151</w:t>
            </w:r>
          </w:p>
        </w:tc>
        <w:tc>
          <w:tcPr>
            <w:tcW w:w="1176" w:type="dxa"/>
            <w:hideMark/>
          </w:tcPr>
          <w:p w14:paraId="6506C33E" w14:textId="77777777" w:rsidR="00842BDA" w:rsidRPr="00616C13" w:rsidRDefault="00842BDA" w:rsidP="00621F55">
            <w:pPr>
              <w:spacing w:beforeLines="34" w:before="81" w:after="34"/>
              <w:jc w:val="center"/>
              <w:rPr>
                <w:sz w:val="21"/>
                <w:szCs w:val="21"/>
              </w:rPr>
            </w:pPr>
            <w:r w:rsidRPr="00616C13">
              <w:rPr>
                <w:sz w:val="21"/>
              </w:rPr>
              <w:t>2,287</w:t>
            </w:r>
          </w:p>
        </w:tc>
        <w:tc>
          <w:tcPr>
            <w:tcW w:w="1151" w:type="dxa"/>
            <w:hideMark/>
          </w:tcPr>
          <w:p w14:paraId="4F7D064D" w14:textId="77777777" w:rsidR="00842BDA" w:rsidRPr="00616C13" w:rsidRDefault="00842BDA" w:rsidP="00621F55">
            <w:pPr>
              <w:spacing w:beforeLines="34" w:before="81" w:after="34"/>
              <w:jc w:val="center"/>
              <w:rPr>
                <w:sz w:val="21"/>
                <w:szCs w:val="21"/>
              </w:rPr>
            </w:pPr>
            <w:r w:rsidRPr="00616C13">
              <w:rPr>
                <w:sz w:val="21"/>
              </w:rPr>
              <w:t>2,425</w:t>
            </w:r>
          </w:p>
        </w:tc>
        <w:tc>
          <w:tcPr>
            <w:tcW w:w="1139" w:type="dxa"/>
            <w:hideMark/>
          </w:tcPr>
          <w:p w14:paraId="0A679D94" w14:textId="77777777" w:rsidR="00842BDA" w:rsidRPr="00616C13" w:rsidRDefault="00842BDA" w:rsidP="00621F55">
            <w:pPr>
              <w:spacing w:beforeLines="34" w:before="81" w:after="34"/>
              <w:jc w:val="center"/>
              <w:rPr>
                <w:sz w:val="21"/>
                <w:szCs w:val="21"/>
              </w:rPr>
            </w:pPr>
            <w:r w:rsidRPr="00616C13">
              <w:rPr>
                <w:sz w:val="21"/>
              </w:rPr>
              <w:t>2,514</w:t>
            </w:r>
          </w:p>
        </w:tc>
        <w:tc>
          <w:tcPr>
            <w:tcW w:w="1176" w:type="dxa"/>
            <w:hideMark/>
          </w:tcPr>
          <w:p w14:paraId="4414F5EE" w14:textId="77777777" w:rsidR="00842BDA" w:rsidRPr="00616C13" w:rsidRDefault="00842BDA" w:rsidP="00621F55">
            <w:pPr>
              <w:spacing w:beforeLines="34" w:before="81" w:after="34"/>
              <w:jc w:val="center"/>
              <w:rPr>
                <w:sz w:val="21"/>
                <w:szCs w:val="21"/>
              </w:rPr>
            </w:pPr>
            <w:r w:rsidRPr="00616C13">
              <w:rPr>
                <w:sz w:val="21"/>
              </w:rPr>
              <w:t>2,596</w:t>
            </w:r>
          </w:p>
        </w:tc>
        <w:tc>
          <w:tcPr>
            <w:tcW w:w="1176" w:type="dxa"/>
            <w:hideMark/>
          </w:tcPr>
          <w:p w14:paraId="732B8A05" w14:textId="77777777" w:rsidR="00842BDA" w:rsidRPr="00616C13" w:rsidRDefault="00842BDA" w:rsidP="00621F55">
            <w:pPr>
              <w:spacing w:beforeLines="34" w:before="81" w:after="34"/>
              <w:jc w:val="center"/>
              <w:rPr>
                <w:sz w:val="21"/>
                <w:szCs w:val="21"/>
              </w:rPr>
            </w:pPr>
            <w:r w:rsidRPr="00616C13">
              <w:rPr>
                <w:sz w:val="21"/>
              </w:rPr>
              <w:t>2,698</w:t>
            </w:r>
          </w:p>
        </w:tc>
        <w:tc>
          <w:tcPr>
            <w:tcW w:w="1117" w:type="dxa"/>
            <w:hideMark/>
          </w:tcPr>
          <w:p w14:paraId="685AC47F" w14:textId="77777777" w:rsidR="00842BDA" w:rsidRPr="00616C13" w:rsidRDefault="00842BDA" w:rsidP="00621F55">
            <w:pPr>
              <w:spacing w:beforeLines="34" w:before="81" w:after="34"/>
              <w:jc w:val="center"/>
              <w:rPr>
                <w:sz w:val="21"/>
                <w:szCs w:val="21"/>
              </w:rPr>
            </w:pPr>
            <w:r w:rsidRPr="00616C13">
              <w:rPr>
                <w:sz w:val="21"/>
              </w:rPr>
              <w:t>2,806</w:t>
            </w:r>
          </w:p>
        </w:tc>
        <w:tc>
          <w:tcPr>
            <w:tcW w:w="1122" w:type="dxa"/>
            <w:hideMark/>
          </w:tcPr>
          <w:p w14:paraId="7D311E84" w14:textId="77777777" w:rsidR="00842BDA" w:rsidRPr="00616C13" w:rsidRDefault="00842BDA" w:rsidP="00621F55">
            <w:pPr>
              <w:spacing w:beforeLines="34" w:before="81" w:after="34"/>
              <w:jc w:val="center"/>
              <w:rPr>
                <w:sz w:val="21"/>
                <w:szCs w:val="21"/>
              </w:rPr>
            </w:pPr>
            <w:r w:rsidRPr="00616C13">
              <w:rPr>
                <w:sz w:val="21"/>
              </w:rPr>
              <w:t>2,907</w:t>
            </w:r>
          </w:p>
        </w:tc>
      </w:tr>
      <w:tr w:rsidR="00842BDA" w:rsidRPr="00616C13" w14:paraId="3993BD23" w14:textId="77777777" w:rsidTr="00621F55">
        <w:tc>
          <w:tcPr>
            <w:tcW w:w="1560" w:type="dxa"/>
            <w:hideMark/>
          </w:tcPr>
          <w:p w14:paraId="417987B3" w14:textId="77777777" w:rsidR="00842BDA" w:rsidRPr="00616C13" w:rsidRDefault="00842BDA" w:rsidP="00621F55">
            <w:pPr>
              <w:spacing w:beforeLines="34" w:before="81" w:after="34"/>
              <w:rPr>
                <w:sz w:val="21"/>
                <w:szCs w:val="21"/>
              </w:rPr>
            </w:pPr>
            <w:r w:rsidRPr="00616C13">
              <w:rPr>
                <w:sz w:val="21"/>
              </w:rPr>
              <w:t xml:space="preserve">Dezember 2022 </w:t>
            </w:r>
          </w:p>
        </w:tc>
        <w:tc>
          <w:tcPr>
            <w:tcW w:w="2047" w:type="dxa"/>
            <w:hideMark/>
          </w:tcPr>
          <w:p w14:paraId="6E57B099" w14:textId="77777777" w:rsidR="00842BDA" w:rsidRPr="00616C13" w:rsidRDefault="00842BDA" w:rsidP="00621F55">
            <w:pPr>
              <w:spacing w:beforeLines="34" w:before="81" w:after="34"/>
              <w:rPr>
                <w:sz w:val="21"/>
                <w:szCs w:val="21"/>
              </w:rPr>
            </w:pPr>
            <w:r w:rsidRPr="00616C13">
              <w:rPr>
                <w:sz w:val="21"/>
              </w:rPr>
              <w:t xml:space="preserve">23.12.2022 - Ausg. 1 </w:t>
            </w:r>
          </w:p>
        </w:tc>
        <w:tc>
          <w:tcPr>
            <w:tcW w:w="1176" w:type="dxa"/>
            <w:hideMark/>
          </w:tcPr>
          <w:p w14:paraId="351EBDDE" w14:textId="77777777" w:rsidR="00842BDA" w:rsidRPr="00616C13" w:rsidRDefault="00842BDA" w:rsidP="00621F55">
            <w:pPr>
              <w:spacing w:beforeLines="34" w:before="81" w:after="34"/>
              <w:jc w:val="center"/>
              <w:rPr>
                <w:sz w:val="21"/>
                <w:szCs w:val="21"/>
              </w:rPr>
            </w:pPr>
            <w:r w:rsidRPr="00616C13">
              <w:rPr>
                <w:sz w:val="21"/>
              </w:rPr>
              <w:t>2,354</w:t>
            </w:r>
          </w:p>
        </w:tc>
        <w:tc>
          <w:tcPr>
            <w:tcW w:w="1164" w:type="dxa"/>
            <w:hideMark/>
          </w:tcPr>
          <w:p w14:paraId="7766B0DB" w14:textId="77777777" w:rsidR="00842BDA" w:rsidRPr="00616C13" w:rsidRDefault="00842BDA" w:rsidP="00621F55">
            <w:pPr>
              <w:spacing w:beforeLines="34" w:before="81" w:after="34"/>
              <w:jc w:val="center"/>
              <w:rPr>
                <w:sz w:val="21"/>
                <w:szCs w:val="21"/>
              </w:rPr>
            </w:pPr>
            <w:r w:rsidRPr="00616C13">
              <w:rPr>
                <w:sz w:val="21"/>
              </w:rPr>
              <w:t>2,132</w:t>
            </w:r>
          </w:p>
        </w:tc>
        <w:tc>
          <w:tcPr>
            <w:tcW w:w="1164" w:type="dxa"/>
            <w:hideMark/>
          </w:tcPr>
          <w:p w14:paraId="399BBF24" w14:textId="77777777" w:rsidR="00842BDA" w:rsidRPr="00616C13" w:rsidRDefault="00842BDA" w:rsidP="00621F55">
            <w:pPr>
              <w:spacing w:beforeLines="34" w:before="81" w:after="34"/>
              <w:jc w:val="center"/>
              <w:rPr>
                <w:sz w:val="21"/>
                <w:szCs w:val="21"/>
              </w:rPr>
            </w:pPr>
            <w:r w:rsidRPr="00616C13">
              <w:rPr>
                <w:sz w:val="21"/>
              </w:rPr>
              <w:t>2,051</w:t>
            </w:r>
          </w:p>
        </w:tc>
        <w:tc>
          <w:tcPr>
            <w:tcW w:w="1176" w:type="dxa"/>
            <w:hideMark/>
          </w:tcPr>
          <w:p w14:paraId="27008C0A" w14:textId="77777777" w:rsidR="00842BDA" w:rsidRPr="00616C13" w:rsidRDefault="00842BDA" w:rsidP="00621F55">
            <w:pPr>
              <w:spacing w:beforeLines="34" w:before="81" w:after="34"/>
              <w:jc w:val="center"/>
              <w:rPr>
                <w:sz w:val="21"/>
                <w:szCs w:val="21"/>
              </w:rPr>
            </w:pPr>
            <w:r w:rsidRPr="00616C13">
              <w:rPr>
                <w:sz w:val="21"/>
              </w:rPr>
              <w:t>2,120</w:t>
            </w:r>
          </w:p>
        </w:tc>
        <w:tc>
          <w:tcPr>
            <w:tcW w:w="1151" w:type="dxa"/>
            <w:hideMark/>
          </w:tcPr>
          <w:p w14:paraId="5B092BCE" w14:textId="77777777" w:rsidR="00842BDA" w:rsidRPr="00616C13" w:rsidRDefault="00842BDA" w:rsidP="00621F55">
            <w:pPr>
              <w:spacing w:beforeLines="34" w:before="81" w:after="34"/>
              <w:jc w:val="center"/>
              <w:rPr>
                <w:sz w:val="21"/>
                <w:szCs w:val="21"/>
              </w:rPr>
            </w:pPr>
            <w:r w:rsidRPr="00616C13">
              <w:rPr>
                <w:sz w:val="21"/>
              </w:rPr>
              <w:t>2,201</w:t>
            </w:r>
          </w:p>
        </w:tc>
        <w:tc>
          <w:tcPr>
            <w:tcW w:w="1139" w:type="dxa"/>
            <w:hideMark/>
          </w:tcPr>
          <w:p w14:paraId="09E26551" w14:textId="77777777" w:rsidR="00842BDA" w:rsidRPr="00616C13" w:rsidRDefault="00842BDA" w:rsidP="00621F55">
            <w:pPr>
              <w:spacing w:beforeLines="34" w:before="81" w:after="34"/>
              <w:jc w:val="center"/>
              <w:rPr>
                <w:sz w:val="21"/>
                <w:szCs w:val="21"/>
              </w:rPr>
            </w:pPr>
            <w:r w:rsidRPr="00616C13">
              <w:rPr>
                <w:sz w:val="21"/>
              </w:rPr>
              <w:t>2,239</w:t>
            </w:r>
          </w:p>
        </w:tc>
        <w:tc>
          <w:tcPr>
            <w:tcW w:w="1176" w:type="dxa"/>
            <w:hideMark/>
          </w:tcPr>
          <w:p w14:paraId="4D5581FB" w14:textId="77777777" w:rsidR="00842BDA" w:rsidRPr="00616C13" w:rsidRDefault="00842BDA" w:rsidP="00621F55">
            <w:pPr>
              <w:spacing w:beforeLines="34" w:before="81" w:after="34"/>
              <w:jc w:val="center"/>
              <w:rPr>
                <w:sz w:val="21"/>
                <w:szCs w:val="21"/>
              </w:rPr>
            </w:pPr>
            <w:r w:rsidRPr="00616C13">
              <w:rPr>
                <w:sz w:val="21"/>
              </w:rPr>
              <w:t>2,284</w:t>
            </w:r>
          </w:p>
        </w:tc>
        <w:tc>
          <w:tcPr>
            <w:tcW w:w="1176" w:type="dxa"/>
            <w:hideMark/>
          </w:tcPr>
          <w:p w14:paraId="646864CE" w14:textId="77777777" w:rsidR="00842BDA" w:rsidRPr="00616C13" w:rsidRDefault="00842BDA" w:rsidP="00621F55">
            <w:pPr>
              <w:spacing w:beforeLines="34" w:before="81" w:after="34"/>
              <w:jc w:val="center"/>
              <w:rPr>
                <w:sz w:val="21"/>
                <w:szCs w:val="21"/>
              </w:rPr>
            </w:pPr>
            <w:r w:rsidRPr="00616C13">
              <w:rPr>
                <w:sz w:val="21"/>
              </w:rPr>
              <w:t>2,359</w:t>
            </w:r>
          </w:p>
        </w:tc>
        <w:tc>
          <w:tcPr>
            <w:tcW w:w="1117" w:type="dxa"/>
            <w:hideMark/>
          </w:tcPr>
          <w:p w14:paraId="13F01EE3" w14:textId="77777777" w:rsidR="00842BDA" w:rsidRPr="00616C13" w:rsidRDefault="00842BDA" w:rsidP="00621F55">
            <w:pPr>
              <w:spacing w:beforeLines="34" w:before="81" w:after="34"/>
              <w:jc w:val="center"/>
              <w:rPr>
                <w:sz w:val="21"/>
                <w:szCs w:val="21"/>
              </w:rPr>
            </w:pPr>
            <w:r w:rsidRPr="00616C13">
              <w:rPr>
                <w:sz w:val="21"/>
              </w:rPr>
              <w:t>2,448</w:t>
            </w:r>
          </w:p>
        </w:tc>
        <w:tc>
          <w:tcPr>
            <w:tcW w:w="1122" w:type="dxa"/>
            <w:hideMark/>
          </w:tcPr>
          <w:p w14:paraId="7DDD9B17" w14:textId="77777777" w:rsidR="00842BDA" w:rsidRPr="00616C13" w:rsidRDefault="00842BDA" w:rsidP="00621F55">
            <w:pPr>
              <w:spacing w:beforeLines="34" w:before="81" w:after="34"/>
              <w:jc w:val="center"/>
              <w:rPr>
                <w:sz w:val="21"/>
                <w:szCs w:val="21"/>
              </w:rPr>
            </w:pPr>
            <w:r w:rsidRPr="00616C13">
              <w:rPr>
                <w:sz w:val="21"/>
              </w:rPr>
              <w:t>2,529</w:t>
            </w:r>
          </w:p>
        </w:tc>
      </w:tr>
    </w:tbl>
    <w:p w14:paraId="73CBC440" w14:textId="77777777" w:rsidR="00842BDA" w:rsidRPr="00616C13" w:rsidRDefault="00842BDA" w:rsidP="00842BDA">
      <w:pPr>
        <w:rPr>
          <w:sz w:val="20"/>
        </w:rPr>
      </w:pPr>
    </w:p>
    <w:p w14:paraId="66CCA036" w14:textId="77777777" w:rsidR="00914FBF" w:rsidRDefault="00914FBF">
      <w:pPr>
        <w:rPr>
          <w:rFonts w:eastAsia="Calibri"/>
          <w:szCs w:val="22"/>
          <w:lang w:eastAsia="en-US"/>
        </w:rPr>
      </w:pPr>
      <w:r>
        <w:rPr>
          <w:rFonts w:eastAsia="Calibri"/>
          <w:szCs w:val="22"/>
          <w:lang w:eastAsia="en-US"/>
        </w:rPr>
        <w:br w:type="page"/>
      </w:r>
    </w:p>
    <w:tbl>
      <w:tblPr>
        <w:tblStyle w:val="Grilledutableau"/>
        <w:tblW w:w="15090" w:type="dxa"/>
        <w:tblInd w:w="-551" w:type="dxa"/>
        <w:tblLook w:val="04A0" w:firstRow="1" w:lastRow="0" w:firstColumn="1" w:lastColumn="0" w:noHBand="0" w:noVBand="1"/>
      </w:tblPr>
      <w:tblGrid>
        <w:gridCol w:w="2128"/>
        <w:gridCol w:w="2114"/>
        <w:gridCol w:w="1064"/>
        <w:gridCol w:w="1105"/>
        <w:gridCol w:w="1078"/>
        <w:gridCol w:w="1078"/>
        <w:gridCol w:w="1106"/>
        <w:gridCol w:w="1078"/>
        <w:gridCol w:w="1092"/>
        <w:gridCol w:w="1063"/>
        <w:gridCol w:w="1092"/>
        <w:gridCol w:w="1092"/>
      </w:tblGrid>
      <w:tr w:rsidR="00914FBF" w:rsidRPr="00914FBF" w14:paraId="4E143F70" w14:textId="77777777" w:rsidTr="00F678E3">
        <w:tc>
          <w:tcPr>
            <w:tcW w:w="2128" w:type="dxa"/>
            <w:vAlign w:val="center"/>
            <w:hideMark/>
          </w:tcPr>
          <w:p w14:paraId="393D3572" w14:textId="77777777" w:rsidR="00914FBF" w:rsidRPr="00914FBF" w:rsidRDefault="00914FBF" w:rsidP="00F678E3">
            <w:pPr>
              <w:spacing w:after="160" w:line="259" w:lineRule="auto"/>
              <w:jc w:val="center"/>
              <w:rPr>
                <w:rFonts w:eastAsia="Calibri"/>
                <w:b/>
                <w:bCs/>
                <w:sz w:val="20"/>
                <w:szCs w:val="20"/>
              </w:rPr>
            </w:pPr>
            <w:r w:rsidRPr="00914FBF">
              <w:rPr>
                <w:rFonts w:eastAsia="Calibri"/>
                <w:b/>
                <w:bCs/>
                <w:sz w:val="20"/>
                <w:szCs w:val="20"/>
              </w:rPr>
              <w:lastRenderedPageBreak/>
              <w:t>ZEITRAUM</w:t>
            </w:r>
          </w:p>
        </w:tc>
        <w:tc>
          <w:tcPr>
            <w:tcW w:w="2114" w:type="dxa"/>
            <w:vAlign w:val="center"/>
            <w:hideMark/>
          </w:tcPr>
          <w:p w14:paraId="7C3821A4" w14:textId="77777777" w:rsidR="00914FBF" w:rsidRPr="00914FBF" w:rsidRDefault="00914FBF" w:rsidP="00F678E3">
            <w:pPr>
              <w:spacing w:after="160" w:line="259" w:lineRule="auto"/>
              <w:jc w:val="center"/>
              <w:rPr>
                <w:rFonts w:eastAsia="Calibri"/>
                <w:b/>
                <w:bCs/>
                <w:sz w:val="20"/>
                <w:szCs w:val="20"/>
              </w:rPr>
            </w:pPr>
            <w:r w:rsidRPr="00914FBF">
              <w:rPr>
                <w:rFonts w:eastAsia="Calibri"/>
                <w:b/>
                <w:bCs/>
                <w:sz w:val="20"/>
                <w:szCs w:val="20"/>
              </w:rPr>
              <w:t>BELGISCHES STAATSBLATT</w:t>
            </w:r>
          </w:p>
        </w:tc>
        <w:tc>
          <w:tcPr>
            <w:tcW w:w="1064" w:type="dxa"/>
            <w:vAlign w:val="center"/>
            <w:hideMark/>
          </w:tcPr>
          <w:p w14:paraId="106F7882" w14:textId="77777777" w:rsidR="00914FBF" w:rsidRPr="00914FBF" w:rsidRDefault="00914FBF" w:rsidP="00F678E3">
            <w:pPr>
              <w:spacing w:after="160" w:line="259" w:lineRule="auto"/>
              <w:jc w:val="center"/>
              <w:rPr>
                <w:rFonts w:eastAsia="Calibri"/>
                <w:b/>
                <w:bCs/>
                <w:sz w:val="20"/>
                <w:szCs w:val="20"/>
              </w:rPr>
            </w:pPr>
            <w:r w:rsidRPr="00914FBF">
              <w:rPr>
                <w:rFonts w:eastAsia="Calibri"/>
                <w:b/>
                <w:bCs/>
                <w:sz w:val="20"/>
                <w:szCs w:val="20"/>
              </w:rPr>
              <w:t>INDEX A</w:t>
            </w:r>
          </w:p>
        </w:tc>
        <w:tc>
          <w:tcPr>
            <w:tcW w:w="1105" w:type="dxa"/>
            <w:vAlign w:val="center"/>
            <w:hideMark/>
          </w:tcPr>
          <w:p w14:paraId="1F6EC44F" w14:textId="77777777" w:rsidR="00914FBF" w:rsidRPr="00914FBF" w:rsidRDefault="00914FBF" w:rsidP="00F678E3">
            <w:pPr>
              <w:spacing w:after="160" w:line="259" w:lineRule="auto"/>
              <w:jc w:val="center"/>
              <w:rPr>
                <w:rFonts w:eastAsia="Calibri"/>
                <w:b/>
                <w:bCs/>
                <w:sz w:val="20"/>
                <w:szCs w:val="20"/>
              </w:rPr>
            </w:pPr>
            <w:r w:rsidRPr="00914FBF">
              <w:rPr>
                <w:rFonts w:eastAsia="Calibri"/>
                <w:b/>
                <w:bCs/>
                <w:sz w:val="20"/>
                <w:szCs w:val="20"/>
              </w:rPr>
              <w:t>INDEX B</w:t>
            </w:r>
          </w:p>
        </w:tc>
        <w:tc>
          <w:tcPr>
            <w:tcW w:w="1078" w:type="dxa"/>
            <w:vAlign w:val="center"/>
            <w:hideMark/>
          </w:tcPr>
          <w:p w14:paraId="776DBD33" w14:textId="77777777" w:rsidR="00914FBF" w:rsidRPr="00914FBF" w:rsidRDefault="00914FBF" w:rsidP="00F678E3">
            <w:pPr>
              <w:spacing w:after="160" w:line="259" w:lineRule="auto"/>
              <w:jc w:val="center"/>
              <w:rPr>
                <w:rFonts w:eastAsia="Calibri"/>
                <w:b/>
                <w:bCs/>
                <w:sz w:val="20"/>
                <w:szCs w:val="20"/>
              </w:rPr>
            </w:pPr>
            <w:r w:rsidRPr="00914FBF">
              <w:rPr>
                <w:rFonts w:eastAsia="Calibri"/>
                <w:b/>
                <w:bCs/>
                <w:sz w:val="20"/>
                <w:szCs w:val="20"/>
              </w:rPr>
              <w:t>INDEX C</w:t>
            </w:r>
          </w:p>
        </w:tc>
        <w:tc>
          <w:tcPr>
            <w:tcW w:w="1078" w:type="dxa"/>
            <w:vAlign w:val="center"/>
            <w:hideMark/>
          </w:tcPr>
          <w:p w14:paraId="480037B3" w14:textId="77777777" w:rsidR="00914FBF" w:rsidRPr="00914FBF" w:rsidRDefault="00914FBF" w:rsidP="00F678E3">
            <w:pPr>
              <w:spacing w:after="160" w:line="259" w:lineRule="auto"/>
              <w:jc w:val="center"/>
              <w:rPr>
                <w:rFonts w:eastAsia="Calibri"/>
                <w:b/>
                <w:bCs/>
                <w:sz w:val="20"/>
                <w:szCs w:val="20"/>
              </w:rPr>
            </w:pPr>
            <w:r w:rsidRPr="00914FBF">
              <w:rPr>
                <w:rFonts w:eastAsia="Calibri"/>
                <w:b/>
                <w:bCs/>
                <w:sz w:val="20"/>
                <w:szCs w:val="20"/>
              </w:rPr>
              <w:t>INDEX D</w:t>
            </w:r>
          </w:p>
        </w:tc>
        <w:tc>
          <w:tcPr>
            <w:tcW w:w="1106" w:type="dxa"/>
            <w:vAlign w:val="center"/>
            <w:hideMark/>
          </w:tcPr>
          <w:p w14:paraId="4B65B6B4" w14:textId="77777777" w:rsidR="00914FBF" w:rsidRPr="00914FBF" w:rsidRDefault="00914FBF" w:rsidP="00F678E3">
            <w:pPr>
              <w:spacing w:after="160" w:line="259" w:lineRule="auto"/>
              <w:jc w:val="center"/>
              <w:rPr>
                <w:rFonts w:eastAsia="Calibri"/>
                <w:b/>
                <w:bCs/>
                <w:sz w:val="20"/>
                <w:szCs w:val="20"/>
              </w:rPr>
            </w:pPr>
            <w:r w:rsidRPr="00914FBF">
              <w:rPr>
                <w:rFonts w:eastAsia="Calibri"/>
                <w:b/>
                <w:bCs/>
                <w:sz w:val="20"/>
                <w:szCs w:val="20"/>
              </w:rPr>
              <w:t>INDEX E</w:t>
            </w:r>
          </w:p>
        </w:tc>
        <w:tc>
          <w:tcPr>
            <w:tcW w:w="1078" w:type="dxa"/>
            <w:vAlign w:val="center"/>
            <w:hideMark/>
          </w:tcPr>
          <w:p w14:paraId="181EE7B7" w14:textId="77777777" w:rsidR="00914FBF" w:rsidRPr="00914FBF" w:rsidRDefault="00914FBF" w:rsidP="00F678E3">
            <w:pPr>
              <w:spacing w:after="160" w:line="259" w:lineRule="auto"/>
              <w:jc w:val="center"/>
              <w:rPr>
                <w:rFonts w:eastAsia="Calibri"/>
                <w:b/>
                <w:bCs/>
                <w:sz w:val="20"/>
                <w:szCs w:val="20"/>
              </w:rPr>
            </w:pPr>
            <w:r w:rsidRPr="00914FBF">
              <w:rPr>
                <w:rFonts w:eastAsia="Calibri"/>
                <w:b/>
                <w:bCs/>
                <w:sz w:val="20"/>
                <w:szCs w:val="20"/>
              </w:rPr>
              <w:t>INDEX F</w:t>
            </w:r>
          </w:p>
        </w:tc>
        <w:tc>
          <w:tcPr>
            <w:tcW w:w="1092" w:type="dxa"/>
            <w:vAlign w:val="center"/>
            <w:hideMark/>
          </w:tcPr>
          <w:p w14:paraId="74AC2687" w14:textId="77777777" w:rsidR="00914FBF" w:rsidRPr="00914FBF" w:rsidRDefault="00914FBF" w:rsidP="00F678E3">
            <w:pPr>
              <w:spacing w:after="160" w:line="259" w:lineRule="auto"/>
              <w:jc w:val="center"/>
              <w:rPr>
                <w:rFonts w:eastAsia="Calibri"/>
                <w:b/>
                <w:bCs/>
                <w:sz w:val="20"/>
                <w:szCs w:val="20"/>
              </w:rPr>
            </w:pPr>
            <w:r w:rsidRPr="00914FBF">
              <w:rPr>
                <w:rFonts w:eastAsia="Calibri"/>
                <w:b/>
                <w:bCs/>
                <w:sz w:val="20"/>
                <w:szCs w:val="20"/>
              </w:rPr>
              <w:t>INDEX G</w:t>
            </w:r>
          </w:p>
        </w:tc>
        <w:tc>
          <w:tcPr>
            <w:tcW w:w="1063" w:type="dxa"/>
            <w:vAlign w:val="center"/>
            <w:hideMark/>
          </w:tcPr>
          <w:p w14:paraId="0B4EFB16" w14:textId="77777777" w:rsidR="00914FBF" w:rsidRPr="00914FBF" w:rsidRDefault="00914FBF" w:rsidP="00F678E3">
            <w:pPr>
              <w:spacing w:after="160" w:line="259" w:lineRule="auto"/>
              <w:jc w:val="center"/>
              <w:rPr>
                <w:rFonts w:eastAsia="Calibri"/>
                <w:b/>
                <w:bCs/>
                <w:sz w:val="20"/>
                <w:szCs w:val="20"/>
              </w:rPr>
            </w:pPr>
            <w:r w:rsidRPr="00914FBF">
              <w:rPr>
                <w:rFonts w:eastAsia="Calibri"/>
                <w:b/>
                <w:bCs/>
                <w:sz w:val="20"/>
                <w:szCs w:val="20"/>
              </w:rPr>
              <w:t>INDEX H</w:t>
            </w:r>
          </w:p>
        </w:tc>
        <w:tc>
          <w:tcPr>
            <w:tcW w:w="1092" w:type="dxa"/>
            <w:vAlign w:val="center"/>
            <w:hideMark/>
          </w:tcPr>
          <w:p w14:paraId="70034026" w14:textId="77777777" w:rsidR="00914FBF" w:rsidRPr="00914FBF" w:rsidRDefault="00914FBF" w:rsidP="00F678E3">
            <w:pPr>
              <w:spacing w:after="160" w:line="259" w:lineRule="auto"/>
              <w:jc w:val="center"/>
              <w:rPr>
                <w:rFonts w:eastAsia="Calibri"/>
                <w:b/>
                <w:bCs/>
                <w:sz w:val="20"/>
                <w:szCs w:val="20"/>
              </w:rPr>
            </w:pPr>
            <w:r w:rsidRPr="00914FBF">
              <w:rPr>
                <w:rFonts w:eastAsia="Calibri"/>
                <w:b/>
                <w:bCs/>
                <w:sz w:val="20"/>
                <w:szCs w:val="20"/>
              </w:rPr>
              <w:t>INDEX I</w:t>
            </w:r>
          </w:p>
        </w:tc>
        <w:tc>
          <w:tcPr>
            <w:tcW w:w="1092" w:type="dxa"/>
            <w:vAlign w:val="center"/>
            <w:hideMark/>
          </w:tcPr>
          <w:p w14:paraId="47C0E4BF" w14:textId="77777777" w:rsidR="00914FBF" w:rsidRPr="00914FBF" w:rsidRDefault="00914FBF" w:rsidP="00F678E3">
            <w:pPr>
              <w:spacing w:after="160" w:line="259" w:lineRule="auto"/>
              <w:jc w:val="center"/>
              <w:rPr>
                <w:rFonts w:eastAsia="Calibri"/>
                <w:b/>
                <w:bCs/>
                <w:sz w:val="20"/>
                <w:szCs w:val="20"/>
              </w:rPr>
            </w:pPr>
            <w:r w:rsidRPr="00914FBF">
              <w:rPr>
                <w:rFonts w:eastAsia="Calibri"/>
                <w:b/>
                <w:bCs/>
                <w:sz w:val="20"/>
                <w:szCs w:val="20"/>
              </w:rPr>
              <w:t>INDEX J</w:t>
            </w:r>
          </w:p>
        </w:tc>
      </w:tr>
      <w:tr w:rsidR="00914FBF" w:rsidRPr="00914FBF" w14:paraId="61DC9FA9" w14:textId="77777777" w:rsidTr="00F678E3">
        <w:tc>
          <w:tcPr>
            <w:tcW w:w="2128" w:type="dxa"/>
            <w:vAlign w:val="center"/>
          </w:tcPr>
          <w:p w14:paraId="79D29389" w14:textId="77777777" w:rsidR="00914FBF" w:rsidRPr="00914FBF" w:rsidRDefault="00914FBF" w:rsidP="00F678E3">
            <w:pPr>
              <w:jc w:val="center"/>
              <w:rPr>
                <w:rFonts w:eastAsia="Calibri"/>
                <w:sz w:val="20"/>
                <w:szCs w:val="20"/>
              </w:rPr>
            </w:pPr>
          </w:p>
        </w:tc>
        <w:tc>
          <w:tcPr>
            <w:tcW w:w="2114" w:type="dxa"/>
            <w:vAlign w:val="center"/>
          </w:tcPr>
          <w:p w14:paraId="1E72E589" w14:textId="77777777" w:rsidR="00914FBF" w:rsidRPr="00914FBF" w:rsidRDefault="00914FBF" w:rsidP="00F678E3">
            <w:pPr>
              <w:jc w:val="center"/>
              <w:rPr>
                <w:rFonts w:eastAsia="Calibri"/>
                <w:sz w:val="20"/>
                <w:szCs w:val="20"/>
              </w:rPr>
            </w:pPr>
          </w:p>
        </w:tc>
        <w:tc>
          <w:tcPr>
            <w:tcW w:w="1064" w:type="dxa"/>
            <w:vAlign w:val="center"/>
          </w:tcPr>
          <w:p w14:paraId="38DC6880" w14:textId="77777777" w:rsidR="00914FBF" w:rsidRPr="00914FBF" w:rsidRDefault="00914FBF" w:rsidP="00F678E3">
            <w:pPr>
              <w:jc w:val="center"/>
              <w:rPr>
                <w:rFonts w:eastAsia="Calibri"/>
                <w:sz w:val="20"/>
                <w:szCs w:val="20"/>
              </w:rPr>
            </w:pPr>
          </w:p>
        </w:tc>
        <w:tc>
          <w:tcPr>
            <w:tcW w:w="1105" w:type="dxa"/>
            <w:vAlign w:val="center"/>
          </w:tcPr>
          <w:p w14:paraId="7AA1C506" w14:textId="77777777" w:rsidR="00914FBF" w:rsidRPr="00914FBF" w:rsidRDefault="00914FBF" w:rsidP="00F678E3">
            <w:pPr>
              <w:jc w:val="center"/>
              <w:rPr>
                <w:rFonts w:eastAsia="Calibri"/>
                <w:sz w:val="20"/>
                <w:szCs w:val="20"/>
              </w:rPr>
            </w:pPr>
          </w:p>
        </w:tc>
        <w:tc>
          <w:tcPr>
            <w:tcW w:w="1078" w:type="dxa"/>
            <w:vAlign w:val="center"/>
          </w:tcPr>
          <w:p w14:paraId="2B105ECF" w14:textId="77777777" w:rsidR="00914FBF" w:rsidRPr="00914FBF" w:rsidRDefault="00914FBF" w:rsidP="00F678E3">
            <w:pPr>
              <w:jc w:val="center"/>
              <w:rPr>
                <w:rFonts w:eastAsia="Calibri"/>
                <w:sz w:val="20"/>
                <w:szCs w:val="20"/>
              </w:rPr>
            </w:pPr>
          </w:p>
        </w:tc>
        <w:tc>
          <w:tcPr>
            <w:tcW w:w="1078" w:type="dxa"/>
            <w:vAlign w:val="center"/>
          </w:tcPr>
          <w:p w14:paraId="2E11E6C5" w14:textId="77777777" w:rsidR="00914FBF" w:rsidRPr="00914FBF" w:rsidRDefault="00914FBF" w:rsidP="00F678E3">
            <w:pPr>
              <w:jc w:val="center"/>
              <w:rPr>
                <w:rFonts w:eastAsia="Calibri"/>
                <w:sz w:val="20"/>
                <w:szCs w:val="20"/>
              </w:rPr>
            </w:pPr>
          </w:p>
        </w:tc>
        <w:tc>
          <w:tcPr>
            <w:tcW w:w="1106" w:type="dxa"/>
            <w:vAlign w:val="center"/>
          </w:tcPr>
          <w:p w14:paraId="7FCED68C" w14:textId="77777777" w:rsidR="00914FBF" w:rsidRPr="00914FBF" w:rsidRDefault="00914FBF" w:rsidP="00F678E3">
            <w:pPr>
              <w:jc w:val="center"/>
              <w:rPr>
                <w:rFonts w:eastAsia="Calibri"/>
                <w:sz w:val="20"/>
                <w:szCs w:val="20"/>
              </w:rPr>
            </w:pPr>
          </w:p>
        </w:tc>
        <w:tc>
          <w:tcPr>
            <w:tcW w:w="1078" w:type="dxa"/>
            <w:vAlign w:val="center"/>
          </w:tcPr>
          <w:p w14:paraId="3D09C7E6" w14:textId="77777777" w:rsidR="00914FBF" w:rsidRPr="00914FBF" w:rsidRDefault="00914FBF" w:rsidP="00F678E3">
            <w:pPr>
              <w:jc w:val="center"/>
              <w:rPr>
                <w:rFonts w:eastAsia="Calibri"/>
                <w:sz w:val="20"/>
                <w:szCs w:val="20"/>
              </w:rPr>
            </w:pPr>
          </w:p>
        </w:tc>
        <w:tc>
          <w:tcPr>
            <w:tcW w:w="1092" w:type="dxa"/>
            <w:vAlign w:val="center"/>
          </w:tcPr>
          <w:p w14:paraId="3B4692F4" w14:textId="77777777" w:rsidR="00914FBF" w:rsidRPr="00914FBF" w:rsidRDefault="00914FBF" w:rsidP="00F678E3">
            <w:pPr>
              <w:jc w:val="center"/>
              <w:rPr>
                <w:rFonts w:eastAsia="Calibri"/>
                <w:sz w:val="20"/>
                <w:szCs w:val="20"/>
              </w:rPr>
            </w:pPr>
          </w:p>
        </w:tc>
        <w:tc>
          <w:tcPr>
            <w:tcW w:w="1063" w:type="dxa"/>
            <w:vAlign w:val="center"/>
          </w:tcPr>
          <w:p w14:paraId="1D8070A9" w14:textId="77777777" w:rsidR="00914FBF" w:rsidRPr="00914FBF" w:rsidRDefault="00914FBF" w:rsidP="00F678E3">
            <w:pPr>
              <w:jc w:val="center"/>
              <w:rPr>
                <w:rFonts w:eastAsia="Calibri"/>
                <w:sz w:val="20"/>
                <w:szCs w:val="20"/>
              </w:rPr>
            </w:pPr>
          </w:p>
        </w:tc>
        <w:tc>
          <w:tcPr>
            <w:tcW w:w="1092" w:type="dxa"/>
            <w:vAlign w:val="center"/>
          </w:tcPr>
          <w:p w14:paraId="636ECAF3" w14:textId="77777777" w:rsidR="00914FBF" w:rsidRPr="00914FBF" w:rsidRDefault="00914FBF" w:rsidP="00F678E3">
            <w:pPr>
              <w:jc w:val="center"/>
              <w:rPr>
                <w:rFonts w:eastAsia="Calibri"/>
                <w:sz w:val="20"/>
                <w:szCs w:val="20"/>
              </w:rPr>
            </w:pPr>
          </w:p>
        </w:tc>
        <w:tc>
          <w:tcPr>
            <w:tcW w:w="1092" w:type="dxa"/>
            <w:vAlign w:val="center"/>
          </w:tcPr>
          <w:p w14:paraId="2C6CB807" w14:textId="77777777" w:rsidR="00914FBF" w:rsidRPr="00914FBF" w:rsidRDefault="00914FBF" w:rsidP="00F678E3">
            <w:pPr>
              <w:jc w:val="center"/>
              <w:rPr>
                <w:rFonts w:eastAsia="Calibri"/>
                <w:sz w:val="20"/>
                <w:szCs w:val="20"/>
              </w:rPr>
            </w:pPr>
          </w:p>
        </w:tc>
      </w:tr>
      <w:tr w:rsidR="00914FBF" w:rsidRPr="00914FBF" w14:paraId="2720B1BB" w14:textId="77777777" w:rsidTr="00F678E3">
        <w:tc>
          <w:tcPr>
            <w:tcW w:w="2128" w:type="dxa"/>
            <w:hideMark/>
          </w:tcPr>
          <w:p w14:paraId="67E5FC4B"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Januar 2023</w:t>
            </w:r>
          </w:p>
        </w:tc>
        <w:tc>
          <w:tcPr>
            <w:tcW w:w="2114" w:type="dxa"/>
            <w:hideMark/>
          </w:tcPr>
          <w:p w14:paraId="7D0CCAA5"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18.01.2023 - Ausg. 1 </w:t>
            </w:r>
          </w:p>
        </w:tc>
        <w:tc>
          <w:tcPr>
            <w:tcW w:w="1064" w:type="dxa"/>
            <w:hideMark/>
          </w:tcPr>
          <w:p w14:paraId="6EC71061"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2,717</w:t>
            </w:r>
          </w:p>
        </w:tc>
        <w:tc>
          <w:tcPr>
            <w:tcW w:w="1105" w:type="dxa"/>
            <w:hideMark/>
          </w:tcPr>
          <w:p w14:paraId="65CC3D91"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2,529</w:t>
            </w:r>
          </w:p>
        </w:tc>
        <w:tc>
          <w:tcPr>
            <w:tcW w:w="1078" w:type="dxa"/>
            <w:hideMark/>
          </w:tcPr>
          <w:p w14:paraId="6762C5E8"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2,469</w:t>
            </w:r>
          </w:p>
        </w:tc>
        <w:tc>
          <w:tcPr>
            <w:tcW w:w="1078" w:type="dxa"/>
            <w:hideMark/>
          </w:tcPr>
          <w:p w14:paraId="534F3424"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2,529</w:t>
            </w:r>
          </w:p>
        </w:tc>
        <w:tc>
          <w:tcPr>
            <w:tcW w:w="1106" w:type="dxa"/>
            <w:hideMark/>
          </w:tcPr>
          <w:p w14:paraId="20902145"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2,586</w:t>
            </w:r>
          </w:p>
        </w:tc>
        <w:tc>
          <w:tcPr>
            <w:tcW w:w="1078" w:type="dxa"/>
            <w:hideMark/>
          </w:tcPr>
          <w:p w14:paraId="545925E3"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2,603</w:t>
            </w:r>
          </w:p>
        </w:tc>
        <w:tc>
          <w:tcPr>
            <w:tcW w:w="1092" w:type="dxa"/>
            <w:hideMark/>
          </w:tcPr>
          <w:p w14:paraId="7B0F5CCA"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2,646</w:t>
            </w:r>
          </w:p>
        </w:tc>
        <w:tc>
          <w:tcPr>
            <w:tcW w:w="1063" w:type="dxa"/>
            <w:hideMark/>
          </w:tcPr>
          <w:p w14:paraId="17679DBB"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2,737</w:t>
            </w:r>
          </w:p>
        </w:tc>
        <w:tc>
          <w:tcPr>
            <w:tcW w:w="1092" w:type="dxa"/>
            <w:hideMark/>
          </w:tcPr>
          <w:p w14:paraId="7D1ADB95"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2,842</w:t>
            </w:r>
          </w:p>
        </w:tc>
        <w:tc>
          <w:tcPr>
            <w:tcW w:w="1092" w:type="dxa"/>
            <w:hideMark/>
          </w:tcPr>
          <w:p w14:paraId="0A66DC5E"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2,933</w:t>
            </w:r>
          </w:p>
        </w:tc>
      </w:tr>
      <w:tr w:rsidR="00914FBF" w:rsidRPr="00914FBF" w14:paraId="73F6BEA7" w14:textId="77777777" w:rsidTr="00F678E3">
        <w:tc>
          <w:tcPr>
            <w:tcW w:w="2128" w:type="dxa"/>
            <w:hideMark/>
          </w:tcPr>
          <w:p w14:paraId="2C4F1386"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Februar 2023 </w:t>
            </w:r>
          </w:p>
        </w:tc>
        <w:tc>
          <w:tcPr>
            <w:tcW w:w="2114" w:type="dxa"/>
            <w:hideMark/>
          </w:tcPr>
          <w:p w14:paraId="70ACC52F"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17.02.2023 - Ausg. 2 </w:t>
            </w:r>
          </w:p>
        </w:tc>
        <w:tc>
          <w:tcPr>
            <w:tcW w:w="1064" w:type="dxa"/>
            <w:hideMark/>
          </w:tcPr>
          <w:p w14:paraId="2F157D2F"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2,863</w:t>
            </w:r>
          </w:p>
        </w:tc>
        <w:tc>
          <w:tcPr>
            <w:tcW w:w="1105" w:type="dxa"/>
            <w:hideMark/>
          </w:tcPr>
          <w:p w14:paraId="66703722"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2,611</w:t>
            </w:r>
          </w:p>
        </w:tc>
        <w:tc>
          <w:tcPr>
            <w:tcW w:w="1078" w:type="dxa"/>
            <w:hideMark/>
          </w:tcPr>
          <w:p w14:paraId="7A0002FE"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2,494</w:t>
            </w:r>
          </w:p>
        </w:tc>
        <w:tc>
          <w:tcPr>
            <w:tcW w:w="1078" w:type="dxa"/>
            <w:hideMark/>
          </w:tcPr>
          <w:p w14:paraId="6D7FBCD6"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2,499</w:t>
            </w:r>
          </w:p>
        </w:tc>
        <w:tc>
          <w:tcPr>
            <w:tcW w:w="1106" w:type="dxa"/>
            <w:hideMark/>
          </w:tcPr>
          <w:p w14:paraId="587C539A"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2,511</w:t>
            </w:r>
          </w:p>
        </w:tc>
        <w:tc>
          <w:tcPr>
            <w:tcW w:w="1078" w:type="dxa"/>
            <w:hideMark/>
          </w:tcPr>
          <w:p w14:paraId="34A03082"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2,505</w:t>
            </w:r>
          </w:p>
        </w:tc>
        <w:tc>
          <w:tcPr>
            <w:tcW w:w="1092" w:type="dxa"/>
            <w:hideMark/>
          </w:tcPr>
          <w:p w14:paraId="0071C4D8"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2,537</w:t>
            </w:r>
          </w:p>
        </w:tc>
        <w:tc>
          <w:tcPr>
            <w:tcW w:w="1063" w:type="dxa"/>
            <w:hideMark/>
          </w:tcPr>
          <w:p w14:paraId="27994F3D"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2,613</w:t>
            </w:r>
          </w:p>
        </w:tc>
        <w:tc>
          <w:tcPr>
            <w:tcW w:w="1092" w:type="dxa"/>
            <w:hideMark/>
          </w:tcPr>
          <w:p w14:paraId="3F81968D"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2,711</w:t>
            </w:r>
          </w:p>
        </w:tc>
        <w:tc>
          <w:tcPr>
            <w:tcW w:w="1092" w:type="dxa"/>
            <w:hideMark/>
          </w:tcPr>
          <w:p w14:paraId="697977D3"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2,811</w:t>
            </w:r>
          </w:p>
        </w:tc>
      </w:tr>
      <w:tr w:rsidR="00914FBF" w:rsidRPr="00914FBF" w14:paraId="55A9EEC0" w14:textId="77777777" w:rsidTr="00F678E3">
        <w:tc>
          <w:tcPr>
            <w:tcW w:w="2128" w:type="dxa"/>
            <w:hideMark/>
          </w:tcPr>
          <w:p w14:paraId="5BFD072D"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März 2023 </w:t>
            </w:r>
          </w:p>
        </w:tc>
        <w:tc>
          <w:tcPr>
            <w:tcW w:w="2114" w:type="dxa"/>
            <w:hideMark/>
          </w:tcPr>
          <w:p w14:paraId="15092297"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17.03.2023 - Ausg. 2 </w:t>
            </w:r>
          </w:p>
        </w:tc>
        <w:tc>
          <w:tcPr>
            <w:tcW w:w="1064" w:type="dxa"/>
            <w:hideMark/>
          </w:tcPr>
          <w:p w14:paraId="1A80BB26"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3,208</w:t>
            </w:r>
          </w:p>
        </w:tc>
        <w:tc>
          <w:tcPr>
            <w:tcW w:w="1105" w:type="dxa"/>
            <w:hideMark/>
          </w:tcPr>
          <w:p w14:paraId="57984E6F"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3,062</w:t>
            </w:r>
          </w:p>
        </w:tc>
        <w:tc>
          <w:tcPr>
            <w:tcW w:w="1078" w:type="dxa"/>
            <w:hideMark/>
          </w:tcPr>
          <w:p w14:paraId="0905E9EB"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2,981</w:t>
            </w:r>
          </w:p>
        </w:tc>
        <w:tc>
          <w:tcPr>
            <w:tcW w:w="1078" w:type="dxa"/>
            <w:hideMark/>
          </w:tcPr>
          <w:p w14:paraId="42EB9DEF"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2,958</w:t>
            </w:r>
          </w:p>
        </w:tc>
        <w:tc>
          <w:tcPr>
            <w:tcW w:w="1106" w:type="dxa"/>
            <w:hideMark/>
          </w:tcPr>
          <w:p w14:paraId="6416B13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2,940</w:t>
            </w:r>
          </w:p>
        </w:tc>
        <w:tc>
          <w:tcPr>
            <w:tcW w:w="1078" w:type="dxa"/>
            <w:hideMark/>
          </w:tcPr>
          <w:p w14:paraId="559876B2"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2,929</w:t>
            </w:r>
          </w:p>
        </w:tc>
        <w:tc>
          <w:tcPr>
            <w:tcW w:w="1092" w:type="dxa"/>
            <w:hideMark/>
          </w:tcPr>
          <w:p w14:paraId="550E78F5"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2,956</w:t>
            </w:r>
          </w:p>
        </w:tc>
        <w:tc>
          <w:tcPr>
            <w:tcW w:w="1063" w:type="dxa"/>
            <w:hideMark/>
          </w:tcPr>
          <w:p w14:paraId="2743373B"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3,021</w:t>
            </w:r>
          </w:p>
        </w:tc>
        <w:tc>
          <w:tcPr>
            <w:tcW w:w="1092" w:type="dxa"/>
            <w:hideMark/>
          </w:tcPr>
          <w:p w14:paraId="58AA9F4F"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3,104</w:t>
            </w:r>
          </w:p>
        </w:tc>
        <w:tc>
          <w:tcPr>
            <w:tcW w:w="1092" w:type="dxa"/>
            <w:hideMark/>
          </w:tcPr>
          <w:p w14:paraId="24AE817A"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3,187</w:t>
            </w:r>
          </w:p>
        </w:tc>
      </w:tr>
      <w:tr w:rsidR="00914FBF" w:rsidRPr="00914FBF" w14:paraId="2DBD5672" w14:textId="77777777" w:rsidTr="00F678E3">
        <w:tc>
          <w:tcPr>
            <w:tcW w:w="2128" w:type="dxa"/>
            <w:hideMark/>
          </w:tcPr>
          <w:p w14:paraId="733915E3"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April 2023 </w:t>
            </w:r>
          </w:p>
        </w:tc>
        <w:tc>
          <w:tcPr>
            <w:tcW w:w="2114" w:type="dxa"/>
            <w:hideMark/>
          </w:tcPr>
          <w:p w14:paraId="70099302"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19.04.2023 - Ausg. 1 </w:t>
            </w:r>
          </w:p>
        </w:tc>
        <w:tc>
          <w:tcPr>
            <w:tcW w:w="1064" w:type="dxa"/>
            <w:hideMark/>
          </w:tcPr>
          <w:p w14:paraId="3A59A325"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3,015</w:t>
            </w:r>
          </w:p>
        </w:tc>
        <w:tc>
          <w:tcPr>
            <w:tcW w:w="1105" w:type="dxa"/>
            <w:hideMark/>
          </w:tcPr>
          <w:p w14:paraId="1BD4A02E"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2,662</w:t>
            </w:r>
          </w:p>
        </w:tc>
        <w:tc>
          <w:tcPr>
            <w:tcW w:w="1078" w:type="dxa"/>
            <w:hideMark/>
          </w:tcPr>
          <w:p w14:paraId="4711C11A"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2,541</w:t>
            </w:r>
          </w:p>
        </w:tc>
        <w:tc>
          <w:tcPr>
            <w:tcW w:w="1078" w:type="dxa"/>
            <w:hideMark/>
          </w:tcPr>
          <w:p w14:paraId="0F29EBB9"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2,592</w:t>
            </w:r>
          </w:p>
        </w:tc>
        <w:tc>
          <w:tcPr>
            <w:tcW w:w="1106" w:type="dxa"/>
            <w:hideMark/>
          </w:tcPr>
          <w:p w14:paraId="5644D38D"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2,622</w:t>
            </w:r>
          </w:p>
        </w:tc>
        <w:tc>
          <w:tcPr>
            <w:tcW w:w="1078" w:type="dxa"/>
            <w:hideMark/>
          </w:tcPr>
          <w:p w14:paraId="29749CAB"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2,616</w:t>
            </w:r>
          </w:p>
        </w:tc>
        <w:tc>
          <w:tcPr>
            <w:tcW w:w="1092" w:type="dxa"/>
            <w:hideMark/>
          </w:tcPr>
          <w:p w14:paraId="79AB1ACB"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2,647</w:t>
            </w:r>
          </w:p>
        </w:tc>
        <w:tc>
          <w:tcPr>
            <w:tcW w:w="1063" w:type="dxa"/>
            <w:hideMark/>
          </w:tcPr>
          <w:p w14:paraId="342FD34F"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2,723</w:t>
            </w:r>
          </w:p>
        </w:tc>
        <w:tc>
          <w:tcPr>
            <w:tcW w:w="1092" w:type="dxa"/>
            <w:hideMark/>
          </w:tcPr>
          <w:p w14:paraId="29CA5764"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2,822</w:t>
            </w:r>
          </w:p>
        </w:tc>
        <w:tc>
          <w:tcPr>
            <w:tcW w:w="1092" w:type="dxa"/>
            <w:hideMark/>
          </w:tcPr>
          <w:p w14:paraId="52875B1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2,922</w:t>
            </w:r>
          </w:p>
        </w:tc>
      </w:tr>
      <w:tr w:rsidR="00914FBF" w:rsidRPr="00914FBF" w14:paraId="5D5541ED" w14:textId="77777777" w:rsidTr="00F678E3">
        <w:tc>
          <w:tcPr>
            <w:tcW w:w="2128" w:type="dxa"/>
            <w:hideMark/>
          </w:tcPr>
          <w:p w14:paraId="53AA20E4"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Mai 2023 </w:t>
            </w:r>
          </w:p>
        </w:tc>
        <w:tc>
          <w:tcPr>
            <w:tcW w:w="2114" w:type="dxa"/>
            <w:hideMark/>
          </w:tcPr>
          <w:p w14:paraId="40BC9DA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25.05.2023 - Ausg. 1 </w:t>
            </w:r>
          </w:p>
        </w:tc>
        <w:tc>
          <w:tcPr>
            <w:tcW w:w="1064" w:type="dxa"/>
            <w:hideMark/>
          </w:tcPr>
          <w:p w14:paraId="1EF7D1F4"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3,252</w:t>
            </w:r>
          </w:p>
        </w:tc>
        <w:tc>
          <w:tcPr>
            <w:tcW w:w="1105" w:type="dxa"/>
            <w:hideMark/>
          </w:tcPr>
          <w:p w14:paraId="243E346A"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2,829</w:t>
            </w:r>
          </w:p>
        </w:tc>
        <w:tc>
          <w:tcPr>
            <w:tcW w:w="1078" w:type="dxa"/>
            <w:hideMark/>
          </w:tcPr>
          <w:p w14:paraId="016D97E2"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2,680</w:t>
            </w:r>
          </w:p>
        </w:tc>
        <w:tc>
          <w:tcPr>
            <w:tcW w:w="1078" w:type="dxa"/>
            <w:hideMark/>
          </w:tcPr>
          <w:p w14:paraId="6468769E"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2,719</w:t>
            </w:r>
          </w:p>
        </w:tc>
        <w:tc>
          <w:tcPr>
            <w:tcW w:w="1106" w:type="dxa"/>
            <w:hideMark/>
          </w:tcPr>
          <w:p w14:paraId="169B6A1D"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2,740</w:t>
            </w:r>
          </w:p>
        </w:tc>
        <w:tc>
          <w:tcPr>
            <w:tcW w:w="1078" w:type="dxa"/>
            <w:hideMark/>
          </w:tcPr>
          <w:p w14:paraId="634289E3"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2,736</w:t>
            </w:r>
          </w:p>
        </w:tc>
        <w:tc>
          <w:tcPr>
            <w:tcW w:w="1092" w:type="dxa"/>
            <w:hideMark/>
          </w:tcPr>
          <w:p w14:paraId="0AB0C1E1"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2,773</w:t>
            </w:r>
          </w:p>
        </w:tc>
        <w:tc>
          <w:tcPr>
            <w:tcW w:w="1063" w:type="dxa"/>
            <w:hideMark/>
          </w:tcPr>
          <w:p w14:paraId="3A0A843E"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2,852</w:t>
            </w:r>
          </w:p>
        </w:tc>
        <w:tc>
          <w:tcPr>
            <w:tcW w:w="1092" w:type="dxa"/>
            <w:hideMark/>
          </w:tcPr>
          <w:p w14:paraId="40801E82"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2,953</w:t>
            </w:r>
          </w:p>
        </w:tc>
        <w:tc>
          <w:tcPr>
            <w:tcW w:w="1092" w:type="dxa"/>
            <w:hideMark/>
          </w:tcPr>
          <w:p w14:paraId="0E1F2EDB"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3,051</w:t>
            </w:r>
          </w:p>
        </w:tc>
      </w:tr>
      <w:tr w:rsidR="00914FBF" w:rsidRPr="00914FBF" w14:paraId="1DA903CF" w14:textId="77777777" w:rsidTr="00F678E3">
        <w:tc>
          <w:tcPr>
            <w:tcW w:w="2128" w:type="dxa"/>
            <w:hideMark/>
          </w:tcPr>
          <w:p w14:paraId="2ACF0E0C"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Juni 2023 </w:t>
            </w:r>
          </w:p>
        </w:tc>
        <w:tc>
          <w:tcPr>
            <w:tcW w:w="2114" w:type="dxa"/>
            <w:hideMark/>
          </w:tcPr>
          <w:p w14:paraId="645A99E1"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30.06.2023 - Ausg. 2 </w:t>
            </w:r>
          </w:p>
        </w:tc>
        <w:tc>
          <w:tcPr>
            <w:tcW w:w="1064" w:type="dxa"/>
            <w:hideMark/>
          </w:tcPr>
          <w:p w14:paraId="02CE3D6F"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3,343</w:t>
            </w:r>
          </w:p>
        </w:tc>
        <w:tc>
          <w:tcPr>
            <w:tcW w:w="1105" w:type="dxa"/>
            <w:hideMark/>
          </w:tcPr>
          <w:p w14:paraId="3D1785FE"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2,854</w:t>
            </w:r>
          </w:p>
        </w:tc>
        <w:tc>
          <w:tcPr>
            <w:tcW w:w="1078" w:type="dxa"/>
            <w:hideMark/>
          </w:tcPr>
          <w:p w14:paraId="4A7C43BB"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2,684</w:t>
            </w:r>
          </w:p>
        </w:tc>
        <w:tc>
          <w:tcPr>
            <w:tcW w:w="1078" w:type="dxa"/>
            <w:hideMark/>
          </w:tcPr>
          <w:p w14:paraId="1C3F4157"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2,716</w:t>
            </w:r>
          </w:p>
        </w:tc>
        <w:tc>
          <w:tcPr>
            <w:tcW w:w="1106" w:type="dxa"/>
            <w:hideMark/>
          </w:tcPr>
          <w:p w14:paraId="41BA695E"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2,724</w:t>
            </w:r>
          </w:p>
        </w:tc>
        <w:tc>
          <w:tcPr>
            <w:tcW w:w="1078" w:type="dxa"/>
            <w:hideMark/>
          </w:tcPr>
          <w:p w14:paraId="27690EEC"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2,715</w:t>
            </w:r>
          </w:p>
        </w:tc>
        <w:tc>
          <w:tcPr>
            <w:tcW w:w="1092" w:type="dxa"/>
            <w:hideMark/>
          </w:tcPr>
          <w:p w14:paraId="046E2A1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2,754</w:t>
            </w:r>
          </w:p>
        </w:tc>
        <w:tc>
          <w:tcPr>
            <w:tcW w:w="1063" w:type="dxa"/>
            <w:hideMark/>
          </w:tcPr>
          <w:p w14:paraId="11504F61"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2,837</w:t>
            </w:r>
          </w:p>
        </w:tc>
        <w:tc>
          <w:tcPr>
            <w:tcW w:w="1092" w:type="dxa"/>
            <w:hideMark/>
          </w:tcPr>
          <w:p w14:paraId="5101EC1E"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2,939</w:t>
            </w:r>
          </w:p>
        </w:tc>
        <w:tc>
          <w:tcPr>
            <w:tcW w:w="1092" w:type="dxa"/>
            <w:hideMark/>
          </w:tcPr>
          <w:p w14:paraId="51CC175C"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3,045</w:t>
            </w:r>
          </w:p>
        </w:tc>
      </w:tr>
      <w:tr w:rsidR="00914FBF" w:rsidRPr="00914FBF" w14:paraId="1D3EA0CD" w14:textId="77777777" w:rsidTr="00F678E3">
        <w:tc>
          <w:tcPr>
            <w:tcW w:w="2128" w:type="dxa"/>
            <w:hideMark/>
          </w:tcPr>
          <w:p w14:paraId="7803D87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Juli 2023 </w:t>
            </w:r>
          </w:p>
        </w:tc>
        <w:tc>
          <w:tcPr>
            <w:tcW w:w="2114" w:type="dxa"/>
            <w:hideMark/>
          </w:tcPr>
          <w:p w14:paraId="46934263"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14.07.2023 - Ausg. 1 </w:t>
            </w:r>
          </w:p>
        </w:tc>
        <w:tc>
          <w:tcPr>
            <w:tcW w:w="1064" w:type="dxa"/>
            <w:hideMark/>
          </w:tcPr>
          <w:p w14:paraId="1A66B9FE"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3,614</w:t>
            </w:r>
          </w:p>
        </w:tc>
        <w:tc>
          <w:tcPr>
            <w:tcW w:w="1105" w:type="dxa"/>
            <w:hideMark/>
          </w:tcPr>
          <w:p w14:paraId="71F9F992"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3,164</w:t>
            </w:r>
          </w:p>
        </w:tc>
        <w:tc>
          <w:tcPr>
            <w:tcW w:w="1078" w:type="dxa"/>
            <w:hideMark/>
          </w:tcPr>
          <w:p w14:paraId="1DE84E0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2,982</w:t>
            </w:r>
          </w:p>
        </w:tc>
        <w:tc>
          <w:tcPr>
            <w:tcW w:w="1078" w:type="dxa"/>
            <w:hideMark/>
          </w:tcPr>
          <w:p w14:paraId="7405287E"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2,950</w:t>
            </w:r>
          </w:p>
        </w:tc>
        <w:tc>
          <w:tcPr>
            <w:tcW w:w="1106" w:type="dxa"/>
            <w:hideMark/>
          </w:tcPr>
          <w:p w14:paraId="04EF6975"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2,901</w:t>
            </w:r>
          </w:p>
        </w:tc>
        <w:tc>
          <w:tcPr>
            <w:tcW w:w="1078" w:type="dxa"/>
            <w:hideMark/>
          </w:tcPr>
          <w:p w14:paraId="6FAD4E65"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2,856</w:t>
            </w:r>
          </w:p>
        </w:tc>
        <w:tc>
          <w:tcPr>
            <w:tcW w:w="1092" w:type="dxa"/>
            <w:hideMark/>
          </w:tcPr>
          <w:p w14:paraId="66A56EED"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2,869</w:t>
            </w:r>
          </w:p>
        </w:tc>
        <w:tc>
          <w:tcPr>
            <w:tcW w:w="1063" w:type="dxa"/>
            <w:hideMark/>
          </w:tcPr>
          <w:p w14:paraId="739D6C36"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2,929</w:t>
            </w:r>
          </w:p>
        </w:tc>
        <w:tc>
          <w:tcPr>
            <w:tcW w:w="1092" w:type="dxa"/>
            <w:hideMark/>
          </w:tcPr>
          <w:p w14:paraId="794D45F4"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3,013</w:t>
            </w:r>
          </w:p>
        </w:tc>
        <w:tc>
          <w:tcPr>
            <w:tcW w:w="1092" w:type="dxa"/>
            <w:hideMark/>
          </w:tcPr>
          <w:p w14:paraId="2481A90A"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3,093</w:t>
            </w:r>
          </w:p>
        </w:tc>
      </w:tr>
      <w:tr w:rsidR="00914FBF" w:rsidRPr="00914FBF" w14:paraId="63104B34" w14:textId="77777777" w:rsidTr="00F678E3">
        <w:tc>
          <w:tcPr>
            <w:tcW w:w="2128" w:type="dxa"/>
            <w:hideMark/>
          </w:tcPr>
          <w:p w14:paraId="06ABACD9"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August 2023 </w:t>
            </w:r>
          </w:p>
        </w:tc>
        <w:tc>
          <w:tcPr>
            <w:tcW w:w="2114" w:type="dxa"/>
            <w:hideMark/>
          </w:tcPr>
          <w:p w14:paraId="0312A22E"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22.09.2023 - Ausg. 1 </w:t>
            </w:r>
          </w:p>
        </w:tc>
        <w:tc>
          <w:tcPr>
            <w:tcW w:w="1064" w:type="dxa"/>
            <w:hideMark/>
          </w:tcPr>
          <w:p w14:paraId="7CE46BAA"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3,672</w:t>
            </w:r>
          </w:p>
        </w:tc>
        <w:tc>
          <w:tcPr>
            <w:tcW w:w="1105" w:type="dxa"/>
            <w:hideMark/>
          </w:tcPr>
          <w:p w14:paraId="6203585C"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3,187</w:t>
            </w:r>
          </w:p>
        </w:tc>
        <w:tc>
          <w:tcPr>
            <w:tcW w:w="1078" w:type="dxa"/>
            <w:hideMark/>
          </w:tcPr>
          <w:p w14:paraId="3561BF14"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2,995</w:t>
            </w:r>
          </w:p>
        </w:tc>
        <w:tc>
          <w:tcPr>
            <w:tcW w:w="1078" w:type="dxa"/>
            <w:hideMark/>
          </w:tcPr>
          <w:p w14:paraId="01EC2D33"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2,958</w:t>
            </w:r>
          </w:p>
        </w:tc>
        <w:tc>
          <w:tcPr>
            <w:tcW w:w="1106" w:type="dxa"/>
            <w:hideMark/>
          </w:tcPr>
          <w:p w14:paraId="5C8EA337"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2,911</w:t>
            </w:r>
          </w:p>
        </w:tc>
        <w:tc>
          <w:tcPr>
            <w:tcW w:w="1078" w:type="dxa"/>
            <w:hideMark/>
          </w:tcPr>
          <w:p w14:paraId="67185CD5"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2,877</w:t>
            </w:r>
          </w:p>
        </w:tc>
        <w:tc>
          <w:tcPr>
            <w:tcW w:w="1092" w:type="dxa"/>
            <w:hideMark/>
          </w:tcPr>
          <w:p w14:paraId="2CAE3EC8"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2,902</w:t>
            </w:r>
          </w:p>
        </w:tc>
        <w:tc>
          <w:tcPr>
            <w:tcW w:w="1063" w:type="dxa"/>
            <w:hideMark/>
          </w:tcPr>
          <w:p w14:paraId="33AB4B9C"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2,971</w:t>
            </w:r>
          </w:p>
        </w:tc>
        <w:tc>
          <w:tcPr>
            <w:tcW w:w="1092" w:type="dxa"/>
            <w:hideMark/>
          </w:tcPr>
          <w:p w14:paraId="4D80680D"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3,062</w:t>
            </w:r>
          </w:p>
        </w:tc>
        <w:tc>
          <w:tcPr>
            <w:tcW w:w="1092" w:type="dxa"/>
            <w:hideMark/>
          </w:tcPr>
          <w:p w14:paraId="5224A665"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3,150</w:t>
            </w:r>
          </w:p>
        </w:tc>
      </w:tr>
      <w:tr w:rsidR="00914FBF" w:rsidRPr="00914FBF" w14:paraId="7844ECF3" w14:textId="77777777" w:rsidTr="00F678E3">
        <w:tc>
          <w:tcPr>
            <w:tcW w:w="2128" w:type="dxa"/>
            <w:hideMark/>
          </w:tcPr>
          <w:p w14:paraId="0321F3EB"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September 2023 </w:t>
            </w:r>
          </w:p>
        </w:tc>
        <w:tc>
          <w:tcPr>
            <w:tcW w:w="2114" w:type="dxa"/>
            <w:hideMark/>
          </w:tcPr>
          <w:p w14:paraId="489732AC"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25.09.2023 - Ausg. 1 </w:t>
            </w:r>
          </w:p>
        </w:tc>
        <w:tc>
          <w:tcPr>
            <w:tcW w:w="1064" w:type="dxa"/>
            <w:hideMark/>
          </w:tcPr>
          <w:p w14:paraId="6B7FC215"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3,620</w:t>
            </w:r>
          </w:p>
        </w:tc>
        <w:tc>
          <w:tcPr>
            <w:tcW w:w="1105" w:type="dxa"/>
            <w:hideMark/>
          </w:tcPr>
          <w:p w14:paraId="1F45890E"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3,256</w:t>
            </w:r>
          </w:p>
        </w:tc>
        <w:tc>
          <w:tcPr>
            <w:tcW w:w="1078" w:type="dxa"/>
            <w:hideMark/>
          </w:tcPr>
          <w:p w14:paraId="49A7A771"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3,002</w:t>
            </w:r>
          </w:p>
        </w:tc>
        <w:tc>
          <w:tcPr>
            <w:tcW w:w="1078" w:type="dxa"/>
            <w:hideMark/>
          </w:tcPr>
          <w:p w14:paraId="3FCF6D39"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2,914</w:t>
            </w:r>
          </w:p>
        </w:tc>
        <w:tc>
          <w:tcPr>
            <w:tcW w:w="1106" w:type="dxa"/>
            <w:hideMark/>
          </w:tcPr>
          <w:p w14:paraId="139DEF03"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2,923</w:t>
            </w:r>
          </w:p>
        </w:tc>
        <w:tc>
          <w:tcPr>
            <w:tcW w:w="1078" w:type="dxa"/>
            <w:hideMark/>
          </w:tcPr>
          <w:p w14:paraId="2CE70E9F"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2,959</w:t>
            </w:r>
          </w:p>
        </w:tc>
        <w:tc>
          <w:tcPr>
            <w:tcW w:w="1092" w:type="dxa"/>
            <w:hideMark/>
          </w:tcPr>
          <w:p w14:paraId="3728BD02"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3,013</w:t>
            </w:r>
          </w:p>
        </w:tc>
        <w:tc>
          <w:tcPr>
            <w:tcW w:w="1063" w:type="dxa"/>
            <w:hideMark/>
          </w:tcPr>
          <w:p w14:paraId="30E7C80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3,086</w:t>
            </w:r>
          </w:p>
        </w:tc>
        <w:tc>
          <w:tcPr>
            <w:tcW w:w="1092" w:type="dxa"/>
            <w:hideMark/>
          </w:tcPr>
          <w:p w14:paraId="46F06C69"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3,166</w:t>
            </w:r>
          </w:p>
        </w:tc>
        <w:tc>
          <w:tcPr>
            <w:tcW w:w="1092" w:type="dxa"/>
            <w:hideMark/>
          </w:tcPr>
          <w:p w14:paraId="107BCBC5"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3,241</w:t>
            </w:r>
          </w:p>
        </w:tc>
      </w:tr>
      <w:tr w:rsidR="00914FBF" w:rsidRPr="00914FBF" w14:paraId="7C7EC335" w14:textId="77777777" w:rsidTr="00F678E3">
        <w:tc>
          <w:tcPr>
            <w:tcW w:w="2128" w:type="dxa"/>
            <w:hideMark/>
          </w:tcPr>
          <w:p w14:paraId="074322D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Oktober 2023 </w:t>
            </w:r>
          </w:p>
        </w:tc>
        <w:tc>
          <w:tcPr>
            <w:tcW w:w="2114" w:type="dxa"/>
            <w:hideMark/>
          </w:tcPr>
          <w:p w14:paraId="359B34D8"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30.10.2023 - Ausg. 1 </w:t>
            </w:r>
          </w:p>
        </w:tc>
        <w:tc>
          <w:tcPr>
            <w:tcW w:w="1064" w:type="dxa"/>
            <w:hideMark/>
          </w:tcPr>
          <w:p w14:paraId="1E470D8D"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3,699</w:t>
            </w:r>
          </w:p>
        </w:tc>
        <w:tc>
          <w:tcPr>
            <w:tcW w:w="1105" w:type="dxa"/>
            <w:hideMark/>
          </w:tcPr>
          <w:p w14:paraId="26DF8DDA"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3,384</w:t>
            </w:r>
          </w:p>
        </w:tc>
        <w:tc>
          <w:tcPr>
            <w:tcW w:w="1078" w:type="dxa"/>
            <w:hideMark/>
          </w:tcPr>
          <w:p w14:paraId="69519D7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3,165</w:t>
            </w:r>
          </w:p>
        </w:tc>
        <w:tc>
          <w:tcPr>
            <w:tcW w:w="1078" w:type="dxa"/>
            <w:hideMark/>
          </w:tcPr>
          <w:p w14:paraId="7B11C932"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3,086</w:t>
            </w:r>
          </w:p>
        </w:tc>
        <w:tc>
          <w:tcPr>
            <w:tcW w:w="1106" w:type="dxa"/>
            <w:hideMark/>
          </w:tcPr>
          <w:p w14:paraId="7460788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3,097</w:t>
            </w:r>
          </w:p>
        </w:tc>
        <w:tc>
          <w:tcPr>
            <w:tcW w:w="1078" w:type="dxa"/>
            <w:hideMark/>
          </w:tcPr>
          <w:p w14:paraId="33FBB1B9"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3,150</w:t>
            </w:r>
          </w:p>
        </w:tc>
        <w:tc>
          <w:tcPr>
            <w:tcW w:w="1092" w:type="dxa"/>
            <w:hideMark/>
          </w:tcPr>
          <w:p w14:paraId="59DDDD59"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3,223</w:t>
            </w:r>
          </w:p>
        </w:tc>
        <w:tc>
          <w:tcPr>
            <w:tcW w:w="1063" w:type="dxa"/>
            <w:hideMark/>
          </w:tcPr>
          <w:p w14:paraId="2F8182B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3,301</w:t>
            </w:r>
          </w:p>
        </w:tc>
        <w:tc>
          <w:tcPr>
            <w:tcW w:w="1092" w:type="dxa"/>
            <w:hideMark/>
          </w:tcPr>
          <w:p w14:paraId="167F6E3C"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3,381</w:t>
            </w:r>
          </w:p>
        </w:tc>
        <w:tc>
          <w:tcPr>
            <w:tcW w:w="1092" w:type="dxa"/>
            <w:hideMark/>
          </w:tcPr>
          <w:p w14:paraId="31B4B489"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3,453</w:t>
            </w:r>
          </w:p>
        </w:tc>
      </w:tr>
      <w:tr w:rsidR="00914FBF" w:rsidRPr="00914FBF" w14:paraId="39E41F55" w14:textId="77777777" w:rsidTr="00F678E3">
        <w:tc>
          <w:tcPr>
            <w:tcW w:w="2128" w:type="dxa"/>
            <w:hideMark/>
          </w:tcPr>
          <w:p w14:paraId="2613C77C"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November 2023 </w:t>
            </w:r>
          </w:p>
        </w:tc>
        <w:tc>
          <w:tcPr>
            <w:tcW w:w="2114" w:type="dxa"/>
            <w:hideMark/>
          </w:tcPr>
          <w:p w14:paraId="5FD8A401"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05.01.2024 - Ausg. 1 </w:t>
            </w:r>
          </w:p>
        </w:tc>
        <w:tc>
          <w:tcPr>
            <w:tcW w:w="1064" w:type="dxa"/>
            <w:hideMark/>
          </w:tcPr>
          <w:p w14:paraId="1518B0E7"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3,739</w:t>
            </w:r>
          </w:p>
        </w:tc>
        <w:tc>
          <w:tcPr>
            <w:tcW w:w="1105" w:type="dxa"/>
            <w:hideMark/>
          </w:tcPr>
          <w:p w14:paraId="6F474F07"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3,310</w:t>
            </w:r>
          </w:p>
        </w:tc>
        <w:tc>
          <w:tcPr>
            <w:tcW w:w="1078" w:type="dxa"/>
            <w:hideMark/>
          </w:tcPr>
          <w:p w14:paraId="1DAFB9D4"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3,050</w:t>
            </w:r>
          </w:p>
        </w:tc>
        <w:tc>
          <w:tcPr>
            <w:tcW w:w="1078" w:type="dxa"/>
            <w:hideMark/>
          </w:tcPr>
          <w:p w14:paraId="7978BE46"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3,005</w:t>
            </w:r>
          </w:p>
        </w:tc>
        <w:tc>
          <w:tcPr>
            <w:tcW w:w="1106" w:type="dxa"/>
            <w:hideMark/>
          </w:tcPr>
          <w:p w14:paraId="28286F7A"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3,055</w:t>
            </w:r>
          </w:p>
        </w:tc>
        <w:tc>
          <w:tcPr>
            <w:tcW w:w="1078" w:type="dxa"/>
            <w:hideMark/>
          </w:tcPr>
          <w:p w14:paraId="32497277"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3,124</w:t>
            </w:r>
          </w:p>
        </w:tc>
        <w:tc>
          <w:tcPr>
            <w:tcW w:w="1092" w:type="dxa"/>
            <w:hideMark/>
          </w:tcPr>
          <w:p w14:paraId="46B8FC39"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3,203</w:t>
            </w:r>
          </w:p>
        </w:tc>
        <w:tc>
          <w:tcPr>
            <w:tcW w:w="1063" w:type="dxa"/>
            <w:hideMark/>
          </w:tcPr>
          <w:p w14:paraId="41B0EB0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3,291</w:t>
            </w:r>
          </w:p>
        </w:tc>
        <w:tc>
          <w:tcPr>
            <w:tcW w:w="1092" w:type="dxa"/>
            <w:hideMark/>
          </w:tcPr>
          <w:p w14:paraId="3B34461A"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3,382</w:t>
            </w:r>
          </w:p>
        </w:tc>
        <w:tc>
          <w:tcPr>
            <w:tcW w:w="1092" w:type="dxa"/>
            <w:hideMark/>
          </w:tcPr>
          <w:p w14:paraId="5F722AE3"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3,466</w:t>
            </w:r>
          </w:p>
        </w:tc>
      </w:tr>
      <w:tr w:rsidR="00914FBF" w:rsidRPr="00914FBF" w14:paraId="63E0689D" w14:textId="77777777" w:rsidTr="00F678E3">
        <w:tc>
          <w:tcPr>
            <w:tcW w:w="2128" w:type="dxa"/>
            <w:hideMark/>
          </w:tcPr>
          <w:p w14:paraId="7F92C3AF"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Dezember 2023 </w:t>
            </w:r>
          </w:p>
        </w:tc>
        <w:tc>
          <w:tcPr>
            <w:tcW w:w="2114" w:type="dxa"/>
            <w:hideMark/>
          </w:tcPr>
          <w:p w14:paraId="3C6A1F8A"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 xml:space="preserve">05.01.2024 - Ausg. 1 </w:t>
            </w:r>
          </w:p>
        </w:tc>
        <w:tc>
          <w:tcPr>
            <w:tcW w:w="1064" w:type="dxa"/>
            <w:hideMark/>
          </w:tcPr>
          <w:p w14:paraId="4E48BA7D"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3,618</w:t>
            </w:r>
          </w:p>
        </w:tc>
        <w:tc>
          <w:tcPr>
            <w:tcW w:w="1105" w:type="dxa"/>
            <w:hideMark/>
          </w:tcPr>
          <w:p w14:paraId="57272094"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3,091</w:t>
            </w:r>
          </w:p>
        </w:tc>
        <w:tc>
          <w:tcPr>
            <w:tcW w:w="1078" w:type="dxa"/>
            <w:hideMark/>
          </w:tcPr>
          <w:p w14:paraId="1319BF6F"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2,776</w:t>
            </w:r>
          </w:p>
        </w:tc>
        <w:tc>
          <w:tcPr>
            <w:tcW w:w="1078" w:type="dxa"/>
            <w:hideMark/>
          </w:tcPr>
          <w:p w14:paraId="5DD1CDDA"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2,714</w:t>
            </w:r>
          </w:p>
        </w:tc>
        <w:tc>
          <w:tcPr>
            <w:tcW w:w="1106" w:type="dxa"/>
            <w:hideMark/>
          </w:tcPr>
          <w:p w14:paraId="54D31DCE"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2,756</w:t>
            </w:r>
          </w:p>
        </w:tc>
        <w:tc>
          <w:tcPr>
            <w:tcW w:w="1078" w:type="dxa"/>
            <w:hideMark/>
          </w:tcPr>
          <w:p w14:paraId="422B3A1B"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2,811</w:t>
            </w:r>
          </w:p>
        </w:tc>
        <w:tc>
          <w:tcPr>
            <w:tcW w:w="1092" w:type="dxa"/>
            <w:hideMark/>
          </w:tcPr>
          <w:p w14:paraId="0F610896"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2,884</w:t>
            </w:r>
          </w:p>
        </w:tc>
        <w:tc>
          <w:tcPr>
            <w:tcW w:w="1063" w:type="dxa"/>
            <w:hideMark/>
          </w:tcPr>
          <w:p w14:paraId="18930FC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2,965</w:t>
            </w:r>
          </w:p>
        </w:tc>
        <w:tc>
          <w:tcPr>
            <w:tcW w:w="1092" w:type="dxa"/>
            <w:hideMark/>
          </w:tcPr>
          <w:p w14:paraId="5CD00780"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3,052</w:t>
            </w:r>
          </w:p>
        </w:tc>
        <w:tc>
          <w:tcPr>
            <w:tcW w:w="1092" w:type="dxa"/>
            <w:hideMark/>
          </w:tcPr>
          <w:p w14:paraId="33BC8FAB" w14:textId="77777777" w:rsidR="00914FBF" w:rsidRPr="00914FBF" w:rsidRDefault="00914FBF" w:rsidP="00F678E3">
            <w:pPr>
              <w:spacing w:after="160" w:line="259" w:lineRule="auto"/>
              <w:jc w:val="center"/>
              <w:rPr>
                <w:rFonts w:eastAsia="Calibri"/>
                <w:sz w:val="20"/>
                <w:szCs w:val="20"/>
              </w:rPr>
            </w:pPr>
            <w:r w:rsidRPr="00914FBF">
              <w:rPr>
                <w:rFonts w:eastAsia="Calibri"/>
                <w:sz w:val="20"/>
                <w:szCs w:val="20"/>
              </w:rPr>
              <w:t>3,132</w:t>
            </w:r>
          </w:p>
        </w:tc>
      </w:tr>
    </w:tbl>
    <w:p w14:paraId="29B5856C" w14:textId="77777777" w:rsidR="00811447" w:rsidRPr="00D14BAA" w:rsidRDefault="001D5508" w:rsidP="00811447">
      <w:pPr>
        <w:jc w:val="both"/>
      </w:pPr>
      <w:r>
        <w:rPr>
          <w:rFonts w:eastAsia="Calibri"/>
          <w:szCs w:val="22"/>
          <w:lang w:eastAsia="en-US"/>
        </w:rPr>
        <w:br w:type="page"/>
      </w:r>
    </w:p>
    <w:tbl>
      <w:tblPr>
        <w:tblStyle w:val="Grilledutableau"/>
        <w:tblW w:w="0" w:type="auto"/>
        <w:tblLook w:val="04A0" w:firstRow="1" w:lastRow="0" w:firstColumn="1" w:lastColumn="0" w:noHBand="0" w:noVBand="1"/>
      </w:tblPr>
      <w:tblGrid>
        <w:gridCol w:w="1667"/>
        <w:gridCol w:w="1789"/>
        <w:gridCol w:w="1061"/>
        <w:gridCol w:w="1057"/>
        <w:gridCol w:w="1057"/>
        <w:gridCol w:w="1062"/>
        <w:gridCol w:w="1053"/>
        <w:gridCol w:w="1050"/>
        <w:gridCol w:w="1062"/>
        <w:gridCol w:w="1061"/>
        <w:gridCol w:w="1034"/>
        <w:gridCol w:w="1039"/>
      </w:tblGrid>
      <w:tr w:rsidR="00811447" w:rsidRPr="00D674E2" w14:paraId="3B6304FE" w14:textId="77777777" w:rsidTr="00603FEC">
        <w:trPr>
          <w:trHeight w:val="397"/>
        </w:trPr>
        <w:tc>
          <w:tcPr>
            <w:tcW w:w="1838" w:type="dxa"/>
            <w:vAlign w:val="center"/>
          </w:tcPr>
          <w:p w14:paraId="33CC36B5" w14:textId="77777777" w:rsidR="00811447" w:rsidRPr="00D674E2" w:rsidRDefault="00811447" w:rsidP="00603FEC">
            <w:pPr>
              <w:jc w:val="center"/>
              <w:rPr>
                <w:caps/>
                <w:sz w:val="18"/>
                <w:szCs w:val="18"/>
              </w:rPr>
            </w:pPr>
            <w:r>
              <w:rPr>
                <w:caps/>
                <w:sz w:val="18"/>
              </w:rPr>
              <w:lastRenderedPageBreak/>
              <w:t>Zeitraum</w:t>
            </w:r>
          </w:p>
        </w:tc>
        <w:tc>
          <w:tcPr>
            <w:tcW w:w="1985" w:type="dxa"/>
            <w:vAlign w:val="center"/>
          </w:tcPr>
          <w:p w14:paraId="3C5B999E" w14:textId="77777777" w:rsidR="00811447" w:rsidRPr="00D674E2" w:rsidRDefault="00811447" w:rsidP="00603FEC">
            <w:pPr>
              <w:jc w:val="center"/>
              <w:rPr>
                <w:caps/>
                <w:sz w:val="18"/>
                <w:szCs w:val="18"/>
              </w:rPr>
            </w:pPr>
            <w:r>
              <w:rPr>
                <w:caps/>
                <w:sz w:val="18"/>
              </w:rPr>
              <w:t>Belgisches Staatsblatt</w:t>
            </w:r>
          </w:p>
        </w:tc>
        <w:tc>
          <w:tcPr>
            <w:tcW w:w="1130" w:type="dxa"/>
            <w:vAlign w:val="center"/>
          </w:tcPr>
          <w:p w14:paraId="21211067" w14:textId="77777777" w:rsidR="00811447" w:rsidRPr="00D674E2" w:rsidRDefault="00811447" w:rsidP="00603FEC">
            <w:pPr>
              <w:jc w:val="center"/>
              <w:rPr>
                <w:caps/>
                <w:sz w:val="18"/>
                <w:szCs w:val="18"/>
              </w:rPr>
            </w:pPr>
            <w:r>
              <w:rPr>
                <w:caps/>
                <w:sz w:val="18"/>
              </w:rPr>
              <w:t>Index A</w:t>
            </w:r>
          </w:p>
        </w:tc>
        <w:tc>
          <w:tcPr>
            <w:tcW w:w="1130" w:type="dxa"/>
            <w:vAlign w:val="center"/>
          </w:tcPr>
          <w:p w14:paraId="0C7EF645" w14:textId="77777777" w:rsidR="00811447" w:rsidRPr="00D674E2" w:rsidRDefault="00811447" w:rsidP="00603FEC">
            <w:pPr>
              <w:jc w:val="center"/>
              <w:rPr>
                <w:caps/>
                <w:sz w:val="18"/>
                <w:szCs w:val="18"/>
              </w:rPr>
            </w:pPr>
            <w:r>
              <w:rPr>
                <w:caps/>
                <w:sz w:val="18"/>
              </w:rPr>
              <w:t>Index B</w:t>
            </w:r>
          </w:p>
        </w:tc>
        <w:tc>
          <w:tcPr>
            <w:tcW w:w="1130" w:type="dxa"/>
            <w:vAlign w:val="center"/>
          </w:tcPr>
          <w:p w14:paraId="7DBA670A" w14:textId="77777777" w:rsidR="00811447" w:rsidRPr="00D674E2" w:rsidRDefault="00811447" w:rsidP="00603FEC">
            <w:pPr>
              <w:jc w:val="center"/>
              <w:rPr>
                <w:caps/>
                <w:sz w:val="18"/>
                <w:szCs w:val="18"/>
              </w:rPr>
            </w:pPr>
            <w:r>
              <w:rPr>
                <w:caps/>
                <w:sz w:val="18"/>
              </w:rPr>
              <w:t>Index C</w:t>
            </w:r>
          </w:p>
        </w:tc>
        <w:tc>
          <w:tcPr>
            <w:tcW w:w="1131" w:type="dxa"/>
            <w:vAlign w:val="center"/>
          </w:tcPr>
          <w:p w14:paraId="730FF0C0" w14:textId="77777777" w:rsidR="00811447" w:rsidRPr="00D674E2" w:rsidRDefault="00811447" w:rsidP="00603FEC">
            <w:pPr>
              <w:jc w:val="center"/>
              <w:rPr>
                <w:caps/>
                <w:sz w:val="18"/>
                <w:szCs w:val="18"/>
              </w:rPr>
            </w:pPr>
            <w:r>
              <w:rPr>
                <w:caps/>
                <w:sz w:val="18"/>
              </w:rPr>
              <w:t>Index D</w:t>
            </w:r>
          </w:p>
        </w:tc>
        <w:tc>
          <w:tcPr>
            <w:tcW w:w="1130" w:type="dxa"/>
            <w:vAlign w:val="center"/>
          </w:tcPr>
          <w:p w14:paraId="4593FB59" w14:textId="77777777" w:rsidR="00811447" w:rsidRPr="00D674E2" w:rsidRDefault="00811447" w:rsidP="00603FEC">
            <w:pPr>
              <w:jc w:val="center"/>
              <w:rPr>
                <w:caps/>
                <w:sz w:val="18"/>
                <w:szCs w:val="18"/>
              </w:rPr>
            </w:pPr>
            <w:r>
              <w:rPr>
                <w:caps/>
                <w:sz w:val="18"/>
              </w:rPr>
              <w:t>Index E</w:t>
            </w:r>
          </w:p>
        </w:tc>
        <w:tc>
          <w:tcPr>
            <w:tcW w:w="1130" w:type="dxa"/>
            <w:vAlign w:val="center"/>
          </w:tcPr>
          <w:p w14:paraId="591E5A13" w14:textId="77777777" w:rsidR="00811447" w:rsidRPr="00D674E2" w:rsidRDefault="00811447" w:rsidP="00603FEC">
            <w:pPr>
              <w:jc w:val="center"/>
              <w:rPr>
                <w:caps/>
                <w:sz w:val="18"/>
                <w:szCs w:val="18"/>
              </w:rPr>
            </w:pPr>
            <w:r>
              <w:rPr>
                <w:caps/>
                <w:sz w:val="18"/>
              </w:rPr>
              <w:t>Index F</w:t>
            </w:r>
          </w:p>
        </w:tc>
        <w:tc>
          <w:tcPr>
            <w:tcW w:w="1131" w:type="dxa"/>
            <w:vAlign w:val="center"/>
          </w:tcPr>
          <w:p w14:paraId="7C727572" w14:textId="77777777" w:rsidR="00811447" w:rsidRPr="00D674E2" w:rsidRDefault="00811447" w:rsidP="00603FEC">
            <w:pPr>
              <w:jc w:val="center"/>
              <w:rPr>
                <w:caps/>
                <w:sz w:val="18"/>
                <w:szCs w:val="18"/>
              </w:rPr>
            </w:pPr>
            <w:r>
              <w:rPr>
                <w:caps/>
                <w:sz w:val="18"/>
              </w:rPr>
              <w:t>Index G</w:t>
            </w:r>
          </w:p>
        </w:tc>
        <w:tc>
          <w:tcPr>
            <w:tcW w:w="1130" w:type="dxa"/>
            <w:vAlign w:val="center"/>
          </w:tcPr>
          <w:p w14:paraId="4E10A1DB" w14:textId="77777777" w:rsidR="00811447" w:rsidRPr="00D674E2" w:rsidRDefault="00811447" w:rsidP="00603FEC">
            <w:pPr>
              <w:jc w:val="center"/>
              <w:rPr>
                <w:caps/>
                <w:sz w:val="18"/>
                <w:szCs w:val="18"/>
              </w:rPr>
            </w:pPr>
            <w:r>
              <w:rPr>
                <w:caps/>
                <w:sz w:val="18"/>
              </w:rPr>
              <w:t>Index H</w:t>
            </w:r>
          </w:p>
        </w:tc>
        <w:tc>
          <w:tcPr>
            <w:tcW w:w="1130" w:type="dxa"/>
            <w:vAlign w:val="center"/>
          </w:tcPr>
          <w:p w14:paraId="6F1E29BE" w14:textId="77777777" w:rsidR="00811447" w:rsidRPr="00D674E2" w:rsidRDefault="00811447" w:rsidP="00603FEC">
            <w:pPr>
              <w:jc w:val="center"/>
              <w:rPr>
                <w:caps/>
                <w:sz w:val="18"/>
                <w:szCs w:val="18"/>
              </w:rPr>
            </w:pPr>
            <w:r>
              <w:rPr>
                <w:caps/>
                <w:sz w:val="18"/>
              </w:rPr>
              <w:t>Index I</w:t>
            </w:r>
          </w:p>
        </w:tc>
        <w:tc>
          <w:tcPr>
            <w:tcW w:w="1131" w:type="dxa"/>
            <w:vAlign w:val="center"/>
          </w:tcPr>
          <w:p w14:paraId="73346065" w14:textId="77777777" w:rsidR="00811447" w:rsidRPr="00D674E2" w:rsidRDefault="00811447" w:rsidP="00603FEC">
            <w:pPr>
              <w:jc w:val="center"/>
              <w:rPr>
                <w:caps/>
                <w:sz w:val="18"/>
                <w:szCs w:val="18"/>
              </w:rPr>
            </w:pPr>
            <w:r>
              <w:rPr>
                <w:caps/>
                <w:sz w:val="18"/>
              </w:rPr>
              <w:t>Index J</w:t>
            </w:r>
          </w:p>
        </w:tc>
      </w:tr>
      <w:tr w:rsidR="00811447" w:rsidRPr="00D674E2" w14:paraId="73C94D6F" w14:textId="77777777" w:rsidTr="00603FEC">
        <w:trPr>
          <w:trHeight w:val="397"/>
        </w:trPr>
        <w:tc>
          <w:tcPr>
            <w:tcW w:w="1838" w:type="dxa"/>
            <w:vAlign w:val="center"/>
          </w:tcPr>
          <w:p w14:paraId="60C35951" w14:textId="77777777" w:rsidR="00811447" w:rsidRPr="00D674E2" w:rsidRDefault="00811447" w:rsidP="00603FEC">
            <w:pPr>
              <w:jc w:val="center"/>
              <w:rPr>
                <w:sz w:val="18"/>
                <w:szCs w:val="18"/>
              </w:rPr>
            </w:pPr>
            <w:r>
              <w:rPr>
                <w:sz w:val="18"/>
              </w:rPr>
              <w:t>Januar 2024</w:t>
            </w:r>
          </w:p>
        </w:tc>
        <w:tc>
          <w:tcPr>
            <w:tcW w:w="1985" w:type="dxa"/>
            <w:vAlign w:val="center"/>
          </w:tcPr>
          <w:p w14:paraId="4146587C" w14:textId="77777777" w:rsidR="00811447" w:rsidRPr="00D674E2" w:rsidRDefault="00811447" w:rsidP="00603FEC">
            <w:pPr>
              <w:jc w:val="center"/>
              <w:rPr>
                <w:sz w:val="18"/>
                <w:szCs w:val="18"/>
              </w:rPr>
            </w:pPr>
            <w:r>
              <w:rPr>
                <w:sz w:val="18"/>
              </w:rPr>
              <w:t>23.01.2024 - Ausg. 1</w:t>
            </w:r>
          </w:p>
        </w:tc>
        <w:tc>
          <w:tcPr>
            <w:tcW w:w="1130" w:type="dxa"/>
            <w:vAlign w:val="center"/>
          </w:tcPr>
          <w:p w14:paraId="42BD61A4" w14:textId="77777777" w:rsidR="00811447" w:rsidRPr="00D674E2" w:rsidRDefault="00811447" w:rsidP="00603FEC">
            <w:pPr>
              <w:jc w:val="center"/>
              <w:rPr>
                <w:sz w:val="18"/>
                <w:szCs w:val="18"/>
              </w:rPr>
            </w:pPr>
            <w:r>
              <w:rPr>
                <w:sz w:val="18"/>
              </w:rPr>
              <w:t>3,555</w:t>
            </w:r>
          </w:p>
        </w:tc>
        <w:tc>
          <w:tcPr>
            <w:tcW w:w="1130" w:type="dxa"/>
            <w:vAlign w:val="center"/>
          </w:tcPr>
          <w:p w14:paraId="7657AD30" w14:textId="77777777" w:rsidR="00811447" w:rsidRPr="00D674E2" w:rsidRDefault="00811447" w:rsidP="00603FEC">
            <w:pPr>
              <w:jc w:val="center"/>
              <w:rPr>
                <w:sz w:val="18"/>
                <w:szCs w:val="18"/>
              </w:rPr>
            </w:pPr>
            <w:r>
              <w:rPr>
                <w:sz w:val="18"/>
              </w:rPr>
              <w:t>2,743</w:t>
            </w:r>
          </w:p>
        </w:tc>
        <w:tc>
          <w:tcPr>
            <w:tcW w:w="1130" w:type="dxa"/>
            <w:vAlign w:val="center"/>
          </w:tcPr>
          <w:p w14:paraId="1C9BF7C3" w14:textId="77777777" w:rsidR="00811447" w:rsidRPr="00D674E2" w:rsidRDefault="00811447" w:rsidP="00603FEC">
            <w:pPr>
              <w:jc w:val="center"/>
              <w:rPr>
                <w:sz w:val="18"/>
                <w:szCs w:val="18"/>
              </w:rPr>
            </w:pPr>
            <w:r>
              <w:rPr>
                <w:sz w:val="18"/>
              </w:rPr>
              <w:t>2,308</w:t>
            </w:r>
          </w:p>
        </w:tc>
        <w:tc>
          <w:tcPr>
            <w:tcW w:w="1131" w:type="dxa"/>
            <w:vAlign w:val="center"/>
          </w:tcPr>
          <w:p w14:paraId="267CA7EB" w14:textId="77777777" w:rsidR="00811447" w:rsidRPr="00D674E2" w:rsidRDefault="00811447" w:rsidP="00603FEC">
            <w:pPr>
              <w:jc w:val="center"/>
              <w:rPr>
                <w:sz w:val="18"/>
                <w:szCs w:val="18"/>
              </w:rPr>
            </w:pPr>
            <w:r>
              <w:rPr>
                <w:sz w:val="18"/>
              </w:rPr>
              <w:t>2,276</w:t>
            </w:r>
          </w:p>
        </w:tc>
        <w:tc>
          <w:tcPr>
            <w:tcW w:w="1130" w:type="dxa"/>
            <w:vAlign w:val="center"/>
          </w:tcPr>
          <w:p w14:paraId="17429F11" w14:textId="77777777" w:rsidR="00811447" w:rsidRPr="00D674E2" w:rsidRDefault="00811447" w:rsidP="00603FEC">
            <w:pPr>
              <w:jc w:val="center"/>
              <w:rPr>
                <w:sz w:val="18"/>
                <w:szCs w:val="18"/>
              </w:rPr>
            </w:pPr>
            <w:r>
              <w:rPr>
                <w:sz w:val="18"/>
              </w:rPr>
              <w:t>2,348</w:t>
            </w:r>
          </w:p>
        </w:tc>
        <w:tc>
          <w:tcPr>
            <w:tcW w:w="1130" w:type="dxa"/>
            <w:vAlign w:val="center"/>
          </w:tcPr>
          <w:p w14:paraId="71DD0798" w14:textId="77777777" w:rsidR="00811447" w:rsidRPr="00D674E2" w:rsidRDefault="00811447" w:rsidP="00603FEC">
            <w:pPr>
              <w:jc w:val="center"/>
              <w:rPr>
                <w:sz w:val="18"/>
                <w:szCs w:val="18"/>
              </w:rPr>
            </w:pPr>
            <w:r>
              <w:rPr>
                <w:sz w:val="18"/>
              </w:rPr>
              <w:t>2,392</w:t>
            </w:r>
          </w:p>
        </w:tc>
        <w:tc>
          <w:tcPr>
            <w:tcW w:w="1131" w:type="dxa"/>
            <w:vAlign w:val="center"/>
          </w:tcPr>
          <w:p w14:paraId="477949CE" w14:textId="77777777" w:rsidR="00811447" w:rsidRPr="00D674E2" w:rsidRDefault="00811447" w:rsidP="00603FEC">
            <w:pPr>
              <w:jc w:val="center"/>
              <w:rPr>
                <w:sz w:val="18"/>
                <w:szCs w:val="18"/>
              </w:rPr>
            </w:pPr>
            <w:r>
              <w:rPr>
                <w:sz w:val="18"/>
              </w:rPr>
              <w:t>2,445</w:t>
            </w:r>
          </w:p>
        </w:tc>
        <w:tc>
          <w:tcPr>
            <w:tcW w:w="1130" w:type="dxa"/>
            <w:vAlign w:val="center"/>
          </w:tcPr>
          <w:p w14:paraId="131139C8" w14:textId="77777777" w:rsidR="00811447" w:rsidRPr="00D674E2" w:rsidRDefault="00811447" w:rsidP="00603FEC">
            <w:pPr>
              <w:jc w:val="center"/>
              <w:rPr>
                <w:sz w:val="18"/>
                <w:szCs w:val="18"/>
              </w:rPr>
            </w:pPr>
            <w:r>
              <w:rPr>
                <w:sz w:val="18"/>
              </w:rPr>
              <w:t>2,521</w:t>
            </w:r>
          </w:p>
        </w:tc>
        <w:tc>
          <w:tcPr>
            <w:tcW w:w="1130" w:type="dxa"/>
            <w:vAlign w:val="center"/>
          </w:tcPr>
          <w:p w14:paraId="16E26E3F" w14:textId="77777777" w:rsidR="00811447" w:rsidRPr="00D674E2" w:rsidRDefault="00811447" w:rsidP="00603FEC">
            <w:pPr>
              <w:jc w:val="center"/>
              <w:rPr>
                <w:sz w:val="18"/>
                <w:szCs w:val="18"/>
              </w:rPr>
            </w:pPr>
            <w:r>
              <w:rPr>
                <w:sz w:val="18"/>
              </w:rPr>
              <w:t>2,608</w:t>
            </w:r>
          </w:p>
        </w:tc>
        <w:tc>
          <w:tcPr>
            <w:tcW w:w="1131" w:type="dxa"/>
            <w:vAlign w:val="center"/>
          </w:tcPr>
          <w:p w14:paraId="07AC3065" w14:textId="77777777" w:rsidR="00811447" w:rsidRPr="00D674E2" w:rsidRDefault="00811447" w:rsidP="00603FEC">
            <w:pPr>
              <w:jc w:val="center"/>
              <w:rPr>
                <w:sz w:val="18"/>
                <w:szCs w:val="18"/>
              </w:rPr>
            </w:pPr>
            <w:r>
              <w:rPr>
                <w:sz w:val="18"/>
              </w:rPr>
              <w:t>2,691</w:t>
            </w:r>
          </w:p>
        </w:tc>
      </w:tr>
      <w:tr w:rsidR="00811447" w:rsidRPr="00D674E2" w14:paraId="66225E40" w14:textId="77777777" w:rsidTr="00603FEC">
        <w:trPr>
          <w:trHeight w:val="397"/>
        </w:trPr>
        <w:tc>
          <w:tcPr>
            <w:tcW w:w="1838" w:type="dxa"/>
            <w:vAlign w:val="center"/>
          </w:tcPr>
          <w:p w14:paraId="0CAC84C0" w14:textId="77777777" w:rsidR="00811447" w:rsidRPr="00D674E2" w:rsidRDefault="00811447" w:rsidP="00603FEC">
            <w:pPr>
              <w:jc w:val="center"/>
              <w:rPr>
                <w:sz w:val="18"/>
                <w:szCs w:val="18"/>
              </w:rPr>
            </w:pPr>
            <w:r>
              <w:rPr>
                <w:sz w:val="18"/>
              </w:rPr>
              <w:t>Februar 2024</w:t>
            </w:r>
          </w:p>
        </w:tc>
        <w:tc>
          <w:tcPr>
            <w:tcW w:w="1985" w:type="dxa"/>
            <w:vAlign w:val="center"/>
          </w:tcPr>
          <w:p w14:paraId="516D831B" w14:textId="77777777" w:rsidR="00811447" w:rsidRPr="00D674E2" w:rsidRDefault="00811447" w:rsidP="00603FEC">
            <w:pPr>
              <w:jc w:val="center"/>
              <w:rPr>
                <w:sz w:val="18"/>
                <w:szCs w:val="18"/>
              </w:rPr>
            </w:pPr>
            <w:r>
              <w:rPr>
                <w:sz w:val="18"/>
              </w:rPr>
              <w:t>20.02.2024 - Ausg. 1</w:t>
            </w:r>
          </w:p>
        </w:tc>
        <w:tc>
          <w:tcPr>
            <w:tcW w:w="1130" w:type="dxa"/>
            <w:vAlign w:val="center"/>
          </w:tcPr>
          <w:p w14:paraId="714B75FA" w14:textId="77777777" w:rsidR="00811447" w:rsidRPr="00D674E2" w:rsidRDefault="00811447" w:rsidP="00603FEC">
            <w:pPr>
              <w:jc w:val="center"/>
              <w:rPr>
                <w:sz w:val="18"/>
                <w:szCs w:val="18"/>
              </w:rPr>
            </w:pPr>
            <w:r>
              <w:rPr>
                <w:sz w:val="18"/>
              </w:rPr>
              <w:t>3,363</w:t>
            </w:r>
          </w:p>
        </w:tc>
        <w:tc>
          <w:tcPr>
            <w:tcW w:w="1130" w:type="dxa"/>
            <w:vAlign w:val="center"/>
          </w:tcPr>
          <w:p w14:paraId="76F9E97C" w14:textId="77777777" w:rsidR="00811447" w:rsidRPr="00D674E2" w:rsidRDefault="00811447" w:rsidP="00603FEC">
            <w:pPr>
              <w:jc w:val="center"/>
              <w:rPr>
                <w:sz w:val="18"/>
                <w:szCs w:val="18"/>
              </w:rPr>
            </w:pPr>
            <w:r>
              <w:rPr>
                <w:sz w:val="18"/>
              </w:rPr>
              <w:t>2,930</w:t>
            </w:r>
          </w:p>
        </w:tc>
        <w:tc>
          <w:tcPr>
            <w:tcW w:w="1130" w:type="dxa"/>
            <w:vAlign w:val="center"/>
          </w:tcPr>
          <w:p w14:paraId="6C7F2903" w14:textId="77777777" w:rsidR="00811447" w:rsidRPr="00D674E2" w:rsidRDefault="00811447" w:rsidP="00603FEC">
            <w:pPr>
              <w:jc w:val="center"/>
              <w:rPr>
                <w:sz w:val="18"/>
                <w:szCs w:val="18"/>
              </w:rPr>
            </w:pPr>
            <w:r>
              <w:rPr>
                <w:sz w:val="18"/>
              </w:rPr>
              <w:t>2,612</w:t>
            </w:r>
          </w:p>
        </w:tc>
        <w:tc>
          <w:tcPr>
            <w:tcW w:w="1131" w:type="dxa"/>
            <w:vAlign w:val="center"/>
          </w:tcPr>
          <w:p w14:paraId="655558BD" w14:textId="77777777" w:rsidR="00811447" w:rsidRPr="00D674E2" w:rsidRDefault="00811447" w:rsidP="00603FEC">
            <w:pPr>
              <w:jc w:val="center"/>
              <w:rPr>
                <w:sz w:val="18"/>
                <w:szCs w:val="18"/>
              </w:rPr>
            </w:pPr>
            <w:r>
              <w:rPr>
                <w:sz w:val="18"/>
              </w:rPr>
              <w:t>2,476</w:t>
            </w:r>
          </w:p>
        </w:tc>
        <w:tc>
          <w:tcPr>
            <w:tcW w:w="1130" w:type="dxa"/>
            <w:vAlign w:val="center"/>
          </w:tcPr>
          <w:p w14:paraId="163A4638" w14:textId="77777777" w:rsidR="00811447" w:rsidRPr="00D674E2" w:rsidRDefault="00811447" w:rsidP="00603FEC">
            <w:pPr>
              <w:jc w:val="center"/>
              <w:rPr>
                <w:sz w:val="18"/>
                <w:szCs w:val="18"/>
              </w:rPr>
            </w:pPr>
            <w:r>
              <w:rPr>
                <w:sz w:val="18"/>
              </w:rPr>
              <w:t>2,491</w:t>
            </w:r>
          </w:p>
        </w:tc>
        <w:tc>
          <w:tcPr>
            <w:tcW w:w="1130" w:type="dxa"/>
            <w:vAlign w:val="center"/>
          </w:tcPr>
          <w:p w14:paraId="54A499F9" w14:textId="77777777" w:rsidR="00811447" w:rsidRPr="00D674E2" w:rsidRDefault="00811447" w:rsidP="00603FEC">
            <w:pPr>
              <w:jc w:val="center"/>
              <w:rPr>
                <w:sz w:val="18"/>
                <w:szCs w:val="18"/>
              </w:rPr>
            </w:pPr>
            <w:r>
              <w:rPr>
                <w:sz w:val="18"/>
              </w:rPr>
              <w:t>2,553</w:t>
            </w:r>
          </w:p>
        </w:tc>
        <w:tc>
          <w:tcPr>
            <w:tcW w:w="1131" w:type="dxa"/>
            <w:vAlign w:val="center"/>
          </w:tcPr>
          <w:p w14:paraId="49B3D82C" w14:textId="77777777" w:rsidR="00811447" w:rsidRPr="00D674E2" w:rsidRDefault="00811447" w:rsidP="00603FEC">
            <w:pPr>
              <w:jc w:val="center"/>
              <w:rPr>
                <w:sz w:val="18"/>
                <w:szCs w:val="18"/>
              </w:rPr>
            </w:pPr>
            <w:r>
              <w:rPr>
                <w:sz w:val="18"/>
              </w:rPr>
              <w:t>2,622</w:t>
            </w:r>
          </w:p>
        </w:tc>
        <w:tc>
          <w:tcPr>
            <w:tcW w:w="1130" w:type="dxa"/>
            <w:vAlign w:val="center"/>
          </w:tcPr>
          <w:p w14:paraId="1378ED59" w14:textId="77777777" w:rsidR="00811447" w:rsidRPr="00D674E2" w:rsidRDefault="00811447" w:rsidP="00603FEC">
            <w:pPr>
              <w:jc w:val="center"/>
              <w:rPr>
                <w:sz w:val="18"/>
                <w:szCs w:val="18"/>
              </w:rPr>
            </w:pPr>
            <w:r>
              <w:rPr>
                <w:sz w:val="18"/>
              </w:rPr>
              <w:t>2,696</w:t>
            </w:r>
          </w:p>
        </w:tc>
        <w:tc>
          <w:tcPr>
            <w:tcW w:w="1130" w:type="dxa"/>
            <w:vAlign w:val="center"/>
          </w:tcPr>
          <w:p w14:paraId="21362F40" w14:textId="77777777" w:rsidR="00811447" w:rsidRPr="00D674E2" w:rsidRDefault="00811447" w:rsidP="00603FEC">
            <w:pPr>
              <w:jc w:val="center"/>
              <w:rPr>
                <w:sz w:val="18"/>
                <w:szCs w:val="18"/>
              </w:rPr>
            </w:pPr>
            <w:r>
              <w:rPr>
                <w:sz w:val="18"/>
              </w:rPr>
              <w:t>2,773</w:t>
            </w:r>
          </w:p>
        </w:tc>
        <w:tc>
          <w:tcPr>
            <w:tcW w:w="1131" w:type="dxa"/>
            <w:vAlign w:val="center"/>
          </w:tcPr>
          <w:p w14:paraId="36BF5B67" w14:textId="77777777" w:rsidR="00811447" w:rsidRPr="00D674E2" w:rsidRDefault="00811447" w:rsidP="00603FEC">
            <w:pPr>
              <w:jc w:val="center"/>
              <w:rPr>
                <w:sz w:val="18"/>
                <w:szCs w:val="18"/>
              </w:rPr>
            </w:pPr>
            <w:r>
              <w:rPr>
                <w:sz w:val="18"/>
              </w:rPr>
              <w:t>2,849</w:t>
            </w:r>
          </w:p>
        </w:tc>
      </w:tr>
      <w:tr w:rsidR="00811447" w:rsidRPr="00D674E2" w14:paraId="592AF441" w14:textId="77777777" w:rsidTr="00603FEC">
        <w:trPr>
          <w:trHeight w:val="397"/>
        </w:trPr>
        <w:tc>
          <w:tcPr>
            <w:tcW w:w="1838" w:type="dxa"/>
            <w:vAlign w:val="center"/>
          </w:tcPr>
          <w:p w14:paraId="4F86A34D" w14:textId="77777777" w:rsidR="00811447" w:rsidRPr="00D674E2" w:rsidRDefault="00811447" w:rsidP="00603FEC">
            <w:pPr>
              <w:jc w:val="center"/>
              <w:rPr>
                <w:sz w:val="18"/>
                <w:szCs w:val="18"/>
              </w:rPr>
            </w:pPr>
            <w:r>
              <w:rPr>
                <w:sz w:val="18"/>
              </w:rPr>
              <w:t>März 2024</w:t>
            </w:r>
          </w:p>
        </w:tc>
        <w:tc>
          <w:tcPr>
            <w:tcW w:w="1985" w:type="dxa"/>
            <w:vAlign w:val="center"/>
          </w:tcPr>
          <w:p w14:paraId="7B33A9F2" w14:textId="77777777" w:rsidR="00811447" w:rsidRPr="00D674E2" w:rsidRDefault="00811447" w:rsidP="00603FEC">
            <w:pPr>
              <w:jc w:val="center"/>
              <w:rPr>
                <w:sz w:val="18"/>
                <w:szCs w:val="18"/>
              </w:rPr>
            </w:pPr>
            <w:r>
              <w:rPr>
                <w:sz w:val="18"/>
              </w:rPr>
              <w:t>15.03.2024 - Ausg. 1</w:t>
            </w:r>
          </w:p>
        </w:tc>
        <w:tc>
          <w:tcPr>
            <w:tcW w:w="1130" w:type="dxa"/>
            <w:vAlign w:val="center"/>
          </w:tcPr>
          <w:p w14:paraId="080B951D" w14:textId="77777777" w:rsidR="00811447" w:rsidRPr="00D674E2" w:rsidRDefault="00811447" w:rsidP="00603FEC">
            <w:pPr>
              <w:jc w:val="center"/>
              <w:rPr>
                <w:sz w:val="18"/>
                <w:szCs w:val="18"/>
              </w:rPr>
            </w:pPr>
            <w:r>
              <w:rPr>
                <w:sz w:val="18"/>
              </w:rPr>
              <w:t>3,511</w:t>
            </w:r>
          </w:p>
        </w:tc>
        <w:tc>
          <w:tcPr>
            <w:tcW w:w="1130" w:type="dxa"/>
            <w:vAlign w:val="center"/>
          </w:tcPr>
          <w:p w14:paraId="3F64381A" w14:textId="77777777" w:rsidR="00811447" w:rsidRPr="00D674E2" w:rsidRDefault="00811447" w:rsidP="00603FEC">
            <w:pPr>
              <w:jc w:val="center"/>
              <w:rPr>
                <w:sz w:val="18"/>
                <w:szCs w:val="18"/>
              </w:rPr>
            </w:pPr>
            <w:r>
              <w:rPr>
                <w:sz w:val="18"/>
              </w:rPr>
              <w:t>3,136</w:t>
            </w:r>
          </w:p>
        </w:tc>
        <w:tc>
          <w:tcPr>
            <w:tcW w:w="1130" w:type="dxa"/>
            <w:vAlign w:val="center"/>
          </w:tcPr>
          <w:p w14:paraId="02C90AA0" w14:textId="77777777" w:rsidR="00811447" w:rsidRPr="00D674E2" w:rsidRDefault="00811447" w:rsidP="00603FEC">
            <w:pPr>
              <w:jc w:val="center"/>
              <w:rPr>
                <w:sz w:val="18"/>
                <w:szCs w:val="18"/>
              </w:rPr>
            </w:pPr>
            <w:r>
              <w:rPr>
                <w:sz w:val="18"/>
              </w:rPr>
              <w:t>2,832</w:t>
            </w:r>
          </w:p>
        </w:tc>
        <w:tc>
          <w:tcPr>
            <w:tcW w:w="1131" w:type="dxa"/>
            <w:vAlign w:val="center"/>
          </w:tcPr>
          <w:p w14:paraId="75A9530B" w14:textId="77777777" w:rsidR="00811447" w:rsidRPr="00D674E2" w:rsidRDefault="00811447" w:rsidP="00603FEC">
            <w:pPr>
              <w:jc w:val="center"/>
              <w:rPr>
                <w:sz w:val="18"/>
                <w:szCs w:val="18"/>
              </w:rPr>
            </w:pPr>
            <w:r>
              <w:rPr>
                <w:sz w:val="18"/>
              </w:rPr>
              <w:t>2,669</w:t>
            </w:r>
          </w:p>
        </w:tc>
        <w:tc>
          <w:tcPr>
            <w:tcW w:w="1130" w:type="dxa"/>
            <w:vAlign w:val="center"/>
          </w:tcPr>
          <w:p w14:paraId="7BE3D2AB" w14:textId="77777777" w:rsidR="00811447" w:rsidRPr="00D674E2" w:rsidRDefault="00811447" w:rsidP="00603FEC">
            <w:pPr>
              <w:jc w:val="center"/>
              <w:rPr>
                <w:sz w:val="18"/>
                <w:szCs w:val="18"/>
              </w:rPr>
            </w:pPr>
            <w:r>
              <w:rPr>
                <w:sz w:val="18"/>
              </w:rPr>
              <w:t>2,649</w:t>
            </w:r>
          </w:p>
        </w:tc>
        <w:tc>
          <w:tcPr>
            <w:tcW w:w="1130" w:type="dxa"/>
            <w:vAlign w:val="center"/>
          </w:tcPr>
          <w:p w14:paraId="6E15DCD5" w14:textId="77777777" w:rsidR="00811447" w:rsidRPr="00D674E2" w:rsidRDefault="00811447" w:rsidP="00603FEC">
            <w:pPr>
              <w:jc w:val="center"/>
              <w:rPr>
                <w:sz w:val="18"/>
                <w:szCs w:val="18"/>
              </w:rPr>
            </w:pPr>
            <w:r>
              <w:rPr>
                <w:sz w:val="18"/>
              </w:rPr>
              <w:t>2,681</w:t>
            </w:r>
          </w:p>
        </w:tc>
        <w:tc>
          <w:tcPr>
            <w:tcW w:w="1131" w:type="dxa"/>
            <w:vAlign w:val="center"/>
          </w:tcPr>
          <w:p w14:paraId="57C5DB2D" w14:textId="77777777" w:rsidR="00811447" w:rsidRPr="00D674E2" w:rsidRDefault="00811447" w:rsidP="00603FEC">
            <w:pPr>
              <w:jc w:val="center"/>
              <w:rPr>
                <w:sz w:val="18"/>
                <w:szCs w:val="18"/>
              </w:rPr>
            </w:pPr>
            <w:r>
              <w:rPr>
                <w:sz w:val="18"/>
              </w:rPr>
              <w:t>2,725</w:t>
            </w:r>
          </w:p>
        </w:tc>
        <w:tc>
          <w:tcPr>
            <w:tcW w:w="1130" w:type="dxa"/>
            <w:vAlign w:val="center"/>
          </w:tcPr>
          <w:p w14:paraId="5C763AAB" w14:textId="77777777" w:rsidR="00811447" w:rsidRPr="00D674E2" w:rsidRDefault="00811447" w:rsidP="00603FEC">
            <w:pPr>
              <w:jc w:val="center"/>
              <w:rPr>
                <w:sz w:val="18"/>
                <w:szCs w:val="18"/>
              </w:rPr>
            </w:pPr>
            <w:r>
              <w:rPr>
                <w:sz w:val="18"/>
              </w:rPr>
              <w:t>2,780</w:t>
            </w:r>
          </w:p>
        </w:tc>
        <w:tc>
          <w:tcPr>
            <w:tcW w:w="1130" w:type="dxa"/>
            <w:vAlign w:val="center"/>
          </w:tcPr>
          <w:p w14:paraId="3EB58C7C" w14:textId="77777777" w:rsidR="00811447" w:rsidRPr="00D674E2" w:rsidRDefault="00811447" w:rsidP="00603FEC">
            <w:pPr>
              <w:jc w:val="center"/>
              <w:rPr>
                <w:sz w:val="18"/>
                <w:szCs w:val="18"/>
              </w:rPr>
            </w:pPr>
            <w:r>
              <w:rPr>
                <w:sz w:val="18"/>
              </w:rPr>
              <w:t>2,842</w:t>
            </w:r>
          </w:p>
        </w:tc>
        <w:tc>
          <w:tcPr>
            <w:tcW w:w="1131" w:type="dxa"/>
            <w:vAlign w:val="center"/>
          </w:tcPr>
          <w:p w14:paraId="55DB4D22" w14:textId="77777777" w:rsidR="00811447" w:rsidRPr="00D674E2" w:rsidRDefault="00811447" w:rsidP="00603FEC">
            <w:pPr>
              <w:jc w:val="center"/>
              <w:rPr>
                <w:sz w:val="18"/>
                <w:szCs w:val="18"/>
              </w:rPr>
            </w:pPr>
            <w:r>
              <w:rPr>
                <w:sz w:val="18"/>
              </w:rPr>
              <w:t>2,907</w:t>
            </w:r>
          </w:p>
        </w:tc>
      </w:tr>
      <w:tr w:rsidR="00811447" w:rsidRPr="00D674E2" w14:paraId="3505F361" w14:textId="77777777" w:rsidTr="00603FEC">
        <w:trPr>
          <w:trHeight w:val="397"/>
        </w:trPr>
        <w:tc>
          <w:tcPr>
            <w:tcW w:w="1838" w:type="dxa"/>
            <w:vAlign w:val="center"/>
          </w:tcPr>
          <w:p w14:paraId="5FE958D3" w14:textId="77777777" w:rsidR="00811447" w:rsidRPr="00D674E2" w:rsidRDefault="00811447" w:rsidP="00603FEC">
            <w:pPr>
              <w:jc w:val="center"/>
              <w:rPr>
                <w:sz w:val="18"/>
                <w:szCs w:val="18"/>
              </w:rPr>
            </w:pPr>
            <w:r>
              <w:rPr>
                <w:sz w:val="18"/>
              </w:rPr>
              <w:t>April 2024</w:t>
            </w:r>
          </w:p>
        </w:tc>
        <w:tc>
          <w:tcPr>
            <w:tcW w:w="1985" w:type="dxa"/>
            <w:vAlign w:val="center"/>
          </w:tcPr>
          <w:p w14:paraId="1601701F" w14:textId="77777777" w:rsidR="00811447" w:rsidRPr="00D674E2" w:rsidRDefault="00811447" w:rsidP="00603FEC">
            <w:pPr>
              <w:jc w:val="center"/>
              <w:rPr>
                <w:sz w:val="18"/>
                <w:szCs w:val="18"/>
              </w:rPr>
            </w:pPr>
            <w:r>
              <w:rPr>
                <w:sz w:val="18"/>
              </w:rPr>
              <w:t>17.04.2024 - Ausg. 1</w:t>
            </w:r>
          </w:p>
        </w:tc>
        <w:tc>
          <w:tcPr>
            <w:tcW w:w="1130" w:type="dxa"/>
            <w:vAlign w:val="center"/>
          </w:tcPr>
          <w:p w14:paraId="50370417" w14:textId="77777777" w:rsidR="00811447" w:rsidRPr="00D674E2" w:rsidRDefault="00811447" w:rsidP="00603FEC">
            <w:pPr>
              <w:jc w:val="center"/>
              <w:rPr>
                <w:sz w:val="18"/>
                <w:szCs w:val="18"/>
              </w:rPr>
            </w:pPr>
            <w:r>
              <w:rPr>
                <w:sz w:val="18"/>
              </w:rPr>
              <w:t>3,463</w:t>
            </w:r>
          </w:p>
        </w:tc>
        <w:tc>
          <w:tcPr>
            <w:tcW w:w="1130" w:type="dxa"/>
            <w:vAlign w:val="center"/>
          </w:tcPr>
          <w:p w14:paraId="69A4D459" w14:textId="77777777" w:rsidR="00811447" w:rsidRPr="00D674E2" w:rsidRDefault="00811447" w:rsidP="00603FEC">
            <w:pPr>
              <w:jc w:val="center"/>
              <w:rPr>
                <w:sz w:val="18"/>
                <w:szCs w:val="18"/>
              </w:rPr>
            </w:pPr>
            <w:r>
              <w:rPr>
                <w:sz w:val="18"/>
              </w:rPr>
              <w:t>3,093</w:t>
            </w:r>
          </w:p>
        </w:tc>
        <w:tc>
          <w:tcPr>
            <w:tcW w:w="1130" w:type="dxa"/>
            <w:vAlign w:val="center"/>
          </w:tcPr>
          <w:p w14:paraId="73734D0B" w14:textId="77777777" w:rsidR="00811447" w:rsidRPr="00D674E2" w:rsidRDefault="00811447" w:rsidP="00603FEC">
            <w:pPr>
              <w:jc w:val="center"/>
              <w:rPr>
                <w:sz w:val="18"/>
                <w:szCs w:val="18"/>
              </w:rPr>
            </w:pPr>
            <w:r>
              <w:rPr>
                <w:sz w:val="18"/>
              </w:rPr>
              <w:t>2,799</w:t>
            </w:r>
          </w:p>
        </w:tc>
        <w:tc>
          <w:tcPr>
            <w:tcW w:w="1131" w:type="dxa"/>
            <w:vAlign w:val="center"/>
          </w:tcPr>
          <w:p w14:paraId="295FA2B9" w14:textId="77777777" w:rsidR="00811447" w:rsidRPr="00D674E2" w:rsidRDefault="00811447" w:rsidP="00603FEC">
            <w:pPr>
              <w:jc w:val="center"/>
              <w:rPr>
                <w:sz w:val="18"/>
                <w:szCs w:val="18"/>
              </w:rPr>
            </w:pPr>
            <w:r>
              <w:rPr>
                <w:sz w:val="18"/>
              </w:rPr>
              <w:t>2,646</w:t>
            </w:r>
          </w:p>
        </w:tc>
        <w:tc>
          <w:tcPr>
            <w:tcW w:w="1130" w:type="dxa"/>
            <w:vAlign w:val="center"/>
          </w:tcPr>
          <w:p w14:paraId="54F25345" w14:textId="77777777" w:rsidR="00811447" w:rsidRPr="00D674E2" w:rsidRDefault="00811447" w:rsidP="00603FEC">
            <w:pPr>
              <w:jc w:val="center"/>
              <w:rPr>
                <w:sz w:val="18"/>
                <w:szCs w:val="18"/>
              </w:rPr>
            </w:pPr>
            <w:r>
              <w:rPr>
                <w:sz w:val="18"/>
              </w:rPr>
              <w:t>2,634</w:t>
            </w:r>
          </w:p>
        </w:tc>
        <w:tc>
          <w:tcPr>
            <w:tcW w:w="1130" w:type="dxa"/>
            <w:vAlign w:val="center"/>
          </w:tcPr>
          <w:p w14:paraId="6F716384" w14:textId="77777777" w:rsidR="00811447" w:rsidRPr="00D674E2" w:rsidRDefault="00811447" w:rsidP="00603FEC">
            <w:pPr>
              <w:jc w:val="center"/>
              <w:rPr>
                <w:sz w:val="18"/>
                <w:szCs w:val="18"/>
              </w:rPr>
            </w:pPr>
            <w:r>
              <w:rPr>
                <w:sz w:val="18"/>
              </w:rPr>
              <w:t>2,667</w:t>
            </w:r>
          </w:p>
        </w:tc>
        <w:tc>
          <w:tcPr>
            <w:tcW w:w="1131" w:type="dxa"/>
            <w:vAlign w:val="center"/>
          </w:tcPr>
          <w:p w14:paraId="6C03BCE8" w14:textId="77777777" w:rsidR="00811447" w:rsidRPr="00D674E2" w:rsidRDefault="00811447" w:rsidP="00603FEC">
            <w:pPr>
              <w:jc w:val="center"/>
              <w:rPr>
                <w:sz w:val="18"/>
                <w:szCs w:val="18"/>
              </w:rPr>
            </w:pPr>
            <w:r>
              <w:rPr>
                <w:sz w:val="18"/>
              </w:rPr>
              <w:t>2,713</w:t>
            </w:r>
          </w:p>
        </w:tc>
        <w:tc>
          <w:tcPr>
            <w:tcW w:w="1130" w:type="dxa"/>
            <w:vAlign w:val="center"/>
          </w:tcPr>
          <w:p w14:paraId="6672F728" w14:textId="77777777" w:rsidR="00811447" w:rsidRPr="00D674E2" w:rsidRDefault="00811447" w:rsidP="00603FEC">
            <w:pPr>
              <w:jc w:val="center"/>
              <w:rPr>
                <w:sz w:val="18"/>
                <w:szCs w:val="18"/>
              </w:rPr>
            </w:pPr>
            <w:r>
              <w:rPr>
                <w:sz w:val="18"/>
              </w:rPr>
              <w:t>2,765</w:t>
            </w:r>
          </w:p>
        </w:tc>
        <w:tc>
          <w:tcPr>
            <w:tcW w:w="1130" w:type="dxa"/>
            <w:vAlign w:val="center"/>
          </w:tcPr>
          <w:p w14:paraId="6380A281" w14:textId="77777777" w:rsidR="00811447" w:rsidRPr="00D674E2" w:rsidRDefault="00811447" w:rsidP="00603FEC">
            <w:pPr>
              <w:jc w:val="center"/>
              <w:rPr>
                <w:sz w:val="18"/>
                <w:szCs w:val="18"/>
              </w:rPr>
            </w:pPr>
            <w:r>
              <w:rPr>
                <w:sz w:val="18"/>
              </w:rPr>
              <w:t>2,826</w:t>
            </w:r>
          </w:p>
        </w:tc>
        <w:tc>
          <w:tcPr>
            <w:tcW w:w="1131" w:type="dxa"/>
            <w:vAlign w:val="center"/>
          </w:tcPr>
          <w:p w14:paraId="58E71B0F" w14:textId="77777777" w:rsidR="00811447" w:rsidRPr="00D674E2" w:rsidRDefault="00811447" w:rsidP="00603FEC">
            <w:pPr>
              <w:jc w:val="center"/>
              <w:rPr>
                <w:sz w:val="18"/>
                <w:szCs w:val="18"/>
              </w:rPr>
            </w:pPr>
            <w:r>
              <w:rPr>
                <w:sz w:val="18"/>
              </w:rPr>
              <w:t>2,889</w:t>
            </w:r>
          </w:p>
        </w:tc>
      </w:tr>
      <w:tr w:rsidR="00811447" w:rsidRPr="00D674E2" w14:paraId="5A64EAB3" w14:textId="77777777" w:rsidTr="00603FEC">
        <w:trPr>
          <w:trHeight w:val="397"/>
        </w:trPr>
        <w:tc>
          <w:tcPr>
            <w:tcW w:w="1838" w:type="dxa"/>
            <w:vAlign w:val="center"/>
          </w:tcPr>
          <w:p w14:paraId="40569D6A" w14:textId="77777777" w:rsidR="00811447" w:rsidRPr="00D674E2" w:rsidRDefault="00811447" w:rsidP="00603FEC">
            <w:pPr>
              <w:jc w:val="center"/>
              <w:rPr>
                <w:sz w:val="18"/>
                <w:szCs w:val="18"/>
              </w:rPr>
            </w:pPr>
            <w:r>
              <w:rPr>
                <w:sz w:val="18"/>
              </w:rPr>
              <w:t>Mai 2024</w:t>
            </w:r>
          </w:p>
        </w:tc>
        <w:tc>
          <w:tcPr>
            <w:tcW w:w="1985" w:type="dxa"/>
            <w:vAlign w:val="center"/>
          </w:tcPr>
          <w:p w14:paraId="55E1C8CB" w14:textId="77777777" w:rsidR="00811447" w:rsidRPr="00D674E2" w:rsidRDefault="00811447" w:rsidP="00603FEC">
            <w:pPr>
              <w:jc w:val="center"/>
              <w:rPr>
                <w:sz w:val="18"/>
                <w:szCs w:val="18"/>
              </w:rPr>
            </w:pPr>
            <w:r>
              <w:rPr>
                <w:sz w:val="18"/>
              </w:rPr>
              <w:t>27.05.2024 - Ausg. 1</w:t>
            </w:r>
          </w:p>
        </w:tc>
        <w:tc>
          <w:tcPr>
            <w:tcW w:w="1130" w:type="dxa"/>
            <w:vAlign w:val="center"/>
          </w:tcPr>
          <w:p w14:paraId="51E0F30E" w14:textId="77777777" w:rsidR="00811447" w:rsidRPr="00D674E2" w:rsidRDefault="00811447" w:rsidP="00603FEC">
            <w:pPr>
              <w:jc w:val="center"/>
              <w:rPr>
                <w:sz w:val="18"/>
                <w:szCs w:val="18"/>
              </w:rPr>
            </w:pPr>
            <w:r>
              <w:rPr>
                <w:sz w:val="18"/>
              </w:rPr>
              <w:t>3,507</w:t>
            </w:r>
          </w:p>
        </w:tc>
        <w:tc>
          <w:tcPr>
            <w:tcW w:w="1130" w:type="dxa"/>
            <w:vAlign w:val="center"/>
          </w:tcPr>
          <w:p w14:paraId="3DD93BB9" w14:textId="77777777" w:rsidR="00811447" w:rsidRPr="00D674E2" w:rsidRDefault="00811447" w:rsidP="00603FEC">
            <w:pPr>
              <w:jc w:val="center"/>
              <w:rPr>
                <w:sz w:val="18"/>
                <w:szCs w:val="18"/>
              </w:rPr>
            </w:pPr>
            <w:r>
              <w:rPr>
                <w:sz w:val="18"/>
              </w:rPr>
              <w:t>3,177</w:t>
            </w:r>
          </w:p>
        </w:tc>
        <w:tc>
          <w:tcPr>
            <w:tcW w:w="1130" w:type="dxa"/>
            <w:vAlign w:val="center"/>
          </w:tcPr>
          <w:p w14:paraId="51D507AA" w14:textId="77777777" w:rsidR="00811447" w:rsidRPr="00D674E2" w:rsidRDefault="00811447" w:rsidP="00603FEC">
            <w:pPr>
              <w:jc w:val="center"/>
              <w:rPr>
                <w:sz w:val="18"/>
                <w:szCs w:val="18"/>
              </w:rPr>
            </w:pPr>
            <w:r>
              <w:rPr>
                <w:sz w:val="18"/>
              </w:rPr>
              <w:t>2,915</w:t>
            </w:r>
          </w:p>
        </w:tc>
        <w:tc>
          <w:tcPr>
            <w:tcW w:w="1131" w:type="dxa"/>
            <w:vAlign w:val="center"/>
          </w:tcPr>
          <w:p w14:paraId="7493EE54" w14:textId="77777777" w:rsidR="00811447" w:rsidRPr="00D674E2" w:rsidRDefault="00811447" w:rsidP="00603FEC">
            <w:pPr>
              <w:jc w:val="center"/>
              <w:rPr>
                <w:sz w:val="18"/>
                <w:szCs w:val="18"/>
              </w:rPr>
            </w:pPr>
            <w:r>
              <w:rPr>
                <w:sz w:val="18"/>
              </w:rPr>
              <w:t>2,782</w:t>
            </w:r>
          </w:p>
        </w:tc>
        <w:tc>
          <w:tcPr>
            <w:tcW w:w="1130" w:type="dxa"/>
            <w:vAlign w:val="center"/>
          </w:tcPr>
          <w:p w14:paraId="6A2B0A18" w14:textId="77777777" w:rsidR="00811447" w:rsidRPr="00D674E2" w:rsidRDefault="00811447" w:rsidP="00603FEC">
            <w:pPr>
              <w:jc w:val="center"/>
              <w:rPr>
                <w:sz w:val="18"/>
                <w:szCs w:val="18"/>
              </w:rPr>
            </w:pPr>
            <w:r>
              <w:rPr>
                <w:sz w:val="18"/>
              </w:rPr>
              <w:t>2,766</w:t>
            </w:r>
          </w:p>
        </w:tc>
        <w:tc>
          <w:tcPr>
            <w:tcW w:w="1130" w:type="dxa"/>
            <w:vAlign w:val="center"/>
          </w:tcPr>
          <w:p w14:paraId="102F250C" w14:textId="77777777" w:rsidR="00811447" w:rsidRPr="00D674E2" w:rsidRDefault="00811447" w:rsidP="00603FEC">
            <w:pPr>
              <w:jc w:val="center"/>
              <w:rPr>
                <w:sz w:val="18"/>
                <w:szCs w:val="18"/>
              </w:rPr>
            </w:pPr>
            <w:r>
              <w:rPr>
                <w:sz w:val="18"/>
              </w:rPr>
              <w:t>2,795</w:t>
            </w:r>
          </w:p>
        </w:tc>
        <w:tc>
          <w:tcPr>
            <w:tcW w:w="1131" w:type="dxa"/>
            <w:vAlign w:val="center"/>
          </w:tcPr>
          <w:p w14:paraId="7BACE72B" w14:textId="77777777" w:rsidR="00811447" w:rsidRPr="00D674E2" w:rsidRDefault="00811447" w:rsidP="00603FEC">
            <w:pPr>
              <w:jc w:val="center"/>
              <w:rPr>
                <w:sz w:val="18"/>
                <w:szCs w:val="18"/>
              </w:rPr>
            </w:pPr>
            <w:r>
              <w:rPr>
                <w:sz w:val="18"/>
              </w:rPr>
              <w:t>2,836</w:t>
            </w:r>
          </w:p>
        </w:tc>
        <w:tc>
          <w:tcPr>
            <w:tcW w:w="1130" w:type="dxa"/>
            <w:vAlign w:val="center"/>
          </w:tcPr>
          <w:p w14:paraId="332D4419" w14:textId="77777777" w:rsidR="00811447" w:rsidRPr="00D674E2" w:rsidRDefault="00811447" w:rsidP="00603FEC">
            <w:pPr>
              <w:jc w:val="center"/>
              <w:rPr>
                <w:sz w:val="18"/>
                <w:szCs w:val="18"/>
              </w:rPr>
            </w:pPr>
            <w:r>
              <w:rPr>
                <w:sz w:val="18"/>
              </w:rPr>
              <w:t>2,889</w:t>
            </w:r>
          </w:p>
        </w:tc>
        <w:tc>
          <w:tcPr>
            <w:tcW w:w="1130" w:type="dxa"/>
            <w:vAlign w:val="center"/>
          </w:tcPr>
          <w:p w14:paraId="6A9A4713" w14:textId="77777777" w:rsidR="00811447" w:rsidRPr="00D674E2" w:rsidRDefault="00811447" w:rsidP="00603FEC">
            <w:pPr>
              <w:jc w:val="center"/>
              <w:rPr>
                <w:sz w:val="18"/>
                <w:szCs w:val="18"/>
              </w:rPr>
            </w:pPr>
            <w:r>
              <w:rPr>
                <w:sz w:val="18"/>
              </w:rPr>
              <w:t>2,949</w:t>
            </w:r>
          </w:p>
        </w:tc>
        <w:tc>
          <w:tcPr>
            <w:tcW w:w="1131" w:type="dxa"/>
            <w:vAlign w:val="center"/>
          </w:tcPr>
          <w:p w14:paraId="3BA5957F" w14:textId="77777777" w:rsidR="00811447" w:rsidRPr="00D674E2" w:rsidRDefault="00811447" w:rsidP="00603FEC">
            <w:pPr>
              <w:jc w:val="center"/>
              <w:rPr>
                <w:sz w:val="18"/>
                <w:szCs w:val="18"/>
              </w:rPr>
            </w:pPr>
            <w:r>
              <w:rPr>
                <w:sz w:val="18"/>
              </w:rPr>
              <w:t>3,010</w:t>
            </w:r>
          </w:p>
        </w:tc>
      </w:tr>
      <w:tr w:rsidR="00811447" w:rsidRPr="00D674E2" w14:paraId="69E2CDB8" w14:textId="77777777" w:rsidTr="00603FEC">
        <w:trPr>
          <w:trHeight w:val="397"/>
        </w:trPr>
        <w:tc>
          <w:tcPr>
            <w:tcW w:w="1838" w:type="dxa"/>
            <w:vAlign w:val="center"/>
          </w:tcPr>
          <w:p w14:paraId="6C8CAC64" w14:textId="77777777" w:rsidR="00811447" w:rsidRPr="00D674E2" w:rsidRDefault="00811447" w:rsidP="00603FEC">
            <w:pPr>
              <w:jc w:val="center"/>
              <w:rPr>
                <w:sz w:val="18"/>
                <w:szCs w:val="18"/>
              </w:rPr>
            </w:pPr>
            <w:r>
              <w:rPr>
                <w:sz w:val="18"/>
              </w:rPr>
              <w:t>Juni 2024</w:t>
            </w:r>
          </w:p>
        </w:tc>
        <w:tc>
          <w:tcPr>
            <w:tcW w:w="1985" w:type="dxa"/>
            <w:vAlign w:val="center"/>
          </w:tcPr>
          <w:p w14:paraId="6BBE7096" w14:textId="77777777" w:rsidR="00811447" w:rsidRPr="00D674E2" w:rsidRDefault="00811447" w:rsidP="00603FEC">
            <w:pPr>
              <w:jc w:val="center"/>
              <w:rPr>
                <w:sz w:val="18"/>
                <w:szCs w:val="18"/>
              </w:rPr>
            </w:pPr>
            <w:r>
              <w:rPr>
                <w:sz w:val="18"/>
              </w:rPr>
              <w:t>27.06.2024 - Ausg. 1</w:t>
            </w:r>
          </w:p>
        </w:tc>
        <w:tc>
          <w:tcPr>
            <w:tcW w:w="1130" w:type="dxa"/>
            <w:vAlign w:val="center"/>
          </w:tcPr>
          <w:p w14:paraId="03F218DE" w14:textId="77777777" w:rsidR="00811447" w:rsidRPr="00D674E2" w:rsidRDefault="00811447" w:rsidP="00603FEC">
            <w:pPr>
              <w:jc w:val="center"/>
              <w:rPr>
                <w:sz w:val="18"/>
                <w:szCs w:val="18"/>
              </w:rPr>
            </w:pPr>
            <w:r>
              <w:rPr>
                <w:sz w:val="18"/>
              </w:rPr>
              <w:t>3,487</w:t>
            </w:r>
          </w:p>
        </w:tc>
        <w:tc>
          <w:tcPr>
            <w:tcW w:w="1130" w:type="dxa"/>
            <w:vAlign w:val="center"/>
          </w:tcPr>
          <w:p w14:paraId="79B09F30" w14:textId="77777777" w:rsidR="00811447" w:rsidRPr="00D674E2" w:rsidRDefault="00811447" w:rsidP="00603FEC">
            <w:pPr>
              <w:jc w:val="center"/>
              <w:rPr>
                <w:sz w:val="18"/>
                <w:szCs w:val="18"/>
              </w:rPr>
            </w:pPr>
            <w:r>
              <w:rPr>
                <w:sz w:val="18"/>
              </w:rPr>
              <w:t>3,212</w:t>
            </w:r>
          </w:p>
        </w:tc>
        <w:tc>
          <w:tcPr>
            <w:tcW w:w="1130" w:type="dxa"/>
            <w:vAlign w:val="center"/>
          </w:tcPr>
          <w:p w14:paraId="07D7EA87" w14:textId="77777777" w:rsidR="00811447" w:rsidRPr="00D674E2" w:rsidRDefault="00811447" w:rsidP="00603FEC">
            <w:pPr>
              <w:jc w:val="center"/>
              <w:rPr>
                <w:sz w:val="18"/>
                <w:szCs w:val="18"/>
              </w:rPr>
            </w:pPr>
            <w:r>
              <w:rPr>
                <w:sz w:val="18"/>
              </w:rPr>
              <w:t>2,994</w:t>
            </w:r>
          </w:p>
        </w:tc>
        <w:tc>
          <w:tcPr>
            <w:tcW w:w="1131" w:type="dxa"/>
            <w:vAlign w:val="center"/>
          </w:tcPr>
          <w:p w14:paraId="014CFAB7" w14:textId="77777777" w:rsidR="00811447" w:rsidRPr="00D674E2" w:rsidRDefault="00811447" w:rsidP="00603FEC">
            <w:pPr>
              <w:jc w:val="center"/>
              <w:rPr>
                <w:sz w:val="18"/>
                <w:szCs w:val="18"/>
              </w:rPr>
            </w:pPr>
            <w:r>
              <w:rPr>
                <w:sz w:val="18"/>
              </w:rPr>
              <w:t>2,881</w:t>
            </w:r>
          </w:p>
        </w:tc>
        <w:tc>
          <w:tcPr>
            <w:tcW w:w="1130" w:type="dxa"/>
            <w:vAlign w:val="center"/>
          </w:tcPr>
          <w:p w14:paraId="013ADE67" w14:textId="77777777" w:rsidR="00811447" w:rsidRPr="00D674E2" w:rsidRDefault="00811447" w:rsidP="00603FEC">
            <w:pPr>
              <w:jc w:val="center"/>
              <w:rPr>
                <w:sz w:val="18"/>
                <w:szCs w:val="18"/>
              </w:rPr>
            </w:pPr>
            <w:r>
              <w:rPr>
                <w:sz w:val="18"/>
              </w:rPr>
              <w:t>2,863</w:t>
            </w:r>
          </w:p>
        </w:tc>
        <w:tc>
          <w:tcPr>
            <w:tcW w:w="1130" w:type="dxa"/>
            <w:vAlign w:val="center"/>
          </w:tcPr>
          <w:p w14:paraId="4A72D76E" w14:textId="77777777" w:rsidR="00811447" w:rsidRPr="00D674E2" w:rsidRDefault="00811447" w:rsidP="00603FEC">
            <w:pPr>
              <w:jc w:val="center"/>
              <w:rPr>
                <w:sz w:val="18"/>
                <w:szCs w:val="18"/>
              </w:rPr>
            </w:pPr>
            <w:r>
              <w:rPr>
                <w:sz w:val="18"/>
              </w:rPr>
              <w:t>2,881</w:t>
            </w:r>
          </w:p>
        </w:tc>
        <w:tc>
          <w:tcPr>
            <w:tcW w:w="1131" w:type="dxa"/>
            <w:vAlign w:val="center"/>
          </w:tcPr>
          <w:p w14:paraId="32BF7D46" w14:textId="77777777" w:rsidR="00811447" w:rsidRPr="00D674E2" w:rsidRDefault="00811447" w:rsidP="00603FEC">
            <w:pPr>
              <w:jc w:val="center"/>
              <w:rPr>
                <w:sz w:val="18"/>
                <w:szCs w:val="18"/>
              </w:rPr>
            </w:pPr>
            <w:r>
              <w:rPr>
                <w:sz w:val="18"/>
              </w:rPr>
              <w:t>2,915</w:t>
            </w:r>
          </w:p>
        </w:tc>
        <w:tc>
          <w:tcPr>
            <w:tcW w:w="1130" w:type="dxa"/>
            <w:vAlign w:val="center"/>
          </w:tcPr>
          <w:p w14:paraId="7735BDA5" w14:textId="77777777" w:rsidR="00811447" w:rsidRPr="00D674E2" w:rsidRDefault="00811447" w:rsidP="00603FEC">
            <w:pPr>
              <w:jc w:val="center"/>
              <w:rPr>
                <w:sz w:val="18"/>
                <w:szCs w:val="18"/>
              </w:rPr>
            </w:pPr>
            <w:r>
              <w:rPr>
                <w:sz w:val="18"/>
              </w:rPr>
              <w:t>2,963</w:t>
            </w:r>
          </w:p>
        </w:tc>
        <w:tc>
          <w:tcPr>
            <w:tcW w:w="1130" w:type="dxa"/>
            <w:vAlign w:val="center"/>
          </w:tcPr>
          <w:p w14:paraId="63B94D43" w14:textId="77777777" w:rsidR="00811447" w:rsidRPr="00D674E2" w:rsidRDefault="00811447" w:rsidP="00603FEC">
            <w:pPr>
              <w:jc w:val="center"/>
              <w:rPr>
                <w:sz w:val="18"/>
                <w:szCs w:val="18"/>
              </w:rPr>
            </w:pPr>
            <w:r>
              <w:rPr>
                <w:sz w:val="18"/>
              </w:rPr>
              <w:t>3,018</w:t>
            </w:r>
          </w:p>
        </w:tc>
        <w:tc>
          <w:tcPr>
            <w:tcW w:w="1131" w:type="dxa"/>
            <w:vAlign w:val="center"/>
          </w:tcPr>
          <w:p w14:paraId="56D5F9F3" w14:textId="77777777" w:rsidR="00811447" w:rsidRPr="00D674E2" w:rsidRDefault="00811447" w:rsidP="00603FEC">
            <w:pPr>
              <w:jc w:val="center"/>
              <w:rPr>
                <w:sz w:val="18"/>
                <w:szCs w:val="18"/>
              </w:rPr>
            </w:pPr>
            <w:r>
              <w:rPr>
                <w:sz w:val="18"/>
              </w:rPr>
              <w:t>3,077</w:t>
            </w:r>
          </w:p>
        </w:tc>
      </w:tr>
      <w:tr w:rsidR="00811447" w:rsidRPr="00D674E2" w14:paraId="573566C4" w14:textId="77777777" w:rsidTr="00603FEC">
        <w:trPr>
          <w:trHeight w:val="397"/>
        </w:trPr>
        <w:tc>
          <w:tcPr>
            <w:tcW w:w="1838" w:type="dxa"/>
            <w:vAlign w:val="center"/>
          </w:tcPr>
          <w:p w14:paraId="3CFB0202" w14:textId="77777777" w:rsidR="00811447" w:rsidRPr="00D674E2" w:rsidRDefault="00811447" w:rsidP="00603FEC">
            <w:pPr>
              <w:jc w:val="center"/>
              <w:rPr>
                <w:sz w:val="18"/>
                <w:szCs w:val="18"/>
              </w:rPr>
            </w:pPr>
            <w:r>
              <w:rPr>
                <w:sz w:val="18"/>
              </w:rPr>
              <w:t>Juli 2024</w:t>
            </w:r>
          </w:p>
        </w:tc>
        <w:tc>
          <w:tcPr>
            <w:tcW w:w="1985" w:type="dxa"/>
            <w:vAlign w:val="center"/>
          </w:tcPr>
          <w:p w14:paraId="0488CB5D" w14:textId="77777777" w:rsidR="00811447" w:rsidRPr="00D674E2" w:rsidRDefault="00811447" w:rsidP="00603FEC">
            <w:pPr>
              <w:jc w:val="center"/>
              <w:rPr>
                <w:sz w:val="18"/>
                <w:szCs w:val="18"/>
              </w:rPr>
            </w:pPr>
            <w:r>
              <w:rPr>
                <w:sz w:val="18"/>
              </w:rPr>
              <w:t>19.07.2024 - Ausg. 1</w:t>
            </w:r>
          </w:p>
        </w:tc>
        <w:tc>
          <w:tcPr>
            <w:tcW w:w="1130" w:type="dxa"/>
            <w:vAlign w:val="center"/>
          </w:tcPr>
          <w:p w14:paraId="0EEE70F3" w14:textId="77777777" w:rsidR="00811447" w:rsidRPr="00D674E2" w:rsidRDefault="00811447" w:rsidP="00603FEC">
            <w:pPr>
              <w:jc w:val="center"/>
              <w:rPr>
                <w:sz w:val="18"/>
                <w:szCs w:val="18"/>
              </w:rPr>
            </w:pPr>
            <w:r>
              <w:rPr>
                <w:sz w:val="18"/>
              </w:rPr>
              <w:t>3,440</w:t>
            </w:r>
          </w:p>
        </w:tc>
        <w:tc>
          <w:tcPr>
            <w:tcW w:w="1130" w:type="dxa"/>
            <w:vAlign w:val="center"/>
          </w:tcPr>
          <w:p w14:paraId="6C6FDCA9" w14:textId="77777777" w:rsidR="00811447" w:rsidRPr="00D674E2" w:rsidRDefault="00811447" w:rsidP="00603FEC">
            <w:pPr>
              <w:jc w:val="center"/>
              <w:rPr>
                <w:sz w:val="18"/>
                <w:szCs w:val="18"/>
              </w:rPr>
            </w:pPr>
            <w:r>
              <w:rPr>
                <w:sz w:val="18"/>
              </w:rPr>
              <w:t>3,147</w:t>
            </w:r>
          </w:p>
        </w:tc>
        <w:tc>
          <w:tcPr>
            <w:tcW w:w="1130" w:type="dxa"/>
            <w:vAlign w:val="center"/>
          </w:tcPr>
          <w:p w14:paraId="1A713D0D" w14:textId="77777777" w:rsidR="00811447" w:rsidRPr="00D674E2" w:rsidRDefault="00811447" w:rsidP="00603FEC">
            <w:pPr>
              <w:jc w:val="center"/>
              <w:rPr>
                <w:sz w:val="18"/>
                <w:szCs w:val="18"/>
              </w:rPr>
            </w:pPr>
            <w:r>
              <w:rPr>
                <w:sz w:val="18"/>
              </w:rPr>
              <w:t>2,925</w:t>
            </w:r>
          </w:p>
        </w:tc>
        <w:tc>
          <w:tcPr>
            <w:tcW w:w="1131" w:type="dxa"/>
            <w:vAlign w:val="center"/>
          </w:tcPr>
          <w:p w14:paraId="053FE6BB" w14:textId="77777777" w:rsidR="00811447" w:rsidRPr="00D674E2" w:rsidRDefault="00811447" w:rsidP="00603FEC">
            <w:pPr>
              <w:jc w:val="center"/>
              <w:rPr>
                <w:sz w:val="18"/>
                <w:szCs w:val="18"/>
              </w:rPr>
            </w:pPr>
            <w:r>
              <w:rPr>
                <w:sz w:val="18"/>
              </w:rPr>
              <w:t>2,837</w:t>
            </w:r>
          </w:p>
        </w:tc>
        <w:tc>
          <w:tcPr>
            <w:tcW w:w="1130" w:type="dxa"/>
            <w:vAlign w:val="center"/>
          </w:tcPr>
          <w:p w14:paraId="7F834096" w14:textId="77777777" w:rsidR="00811447" w:rsidRPr="00D674E2" w:rsidRDefault="00811447" w:rsidP="00603FEC">
            <w:pPr>
              <w:jc w:val="center"/>
              <w:rPr>
                <w:sz w:val="18"/>
                <w:szCs w:val="18"/>
              </w:rPr>
            </w:pPr>
            <w:r>
              <w:rPr>
                <w:sz w:val="18"/>
              </w:rPr>
              <w:t>2,846</w:t>
            </w:r>
          </w:p>
        </w:tc>
        <w:tc>
          <w:tcPr>
            <w:tcW w:w="1130" w:type="dxa"/>
            <w:vAlign w:val="center"/>
          </w:tcPr>
          <w:p w14:paraId="6951C495" w14:textId="77777777" w:rsidR="00811447" w:rsidRPr="00D674E2" w:rsidRDefault="00811447" w:rsidP="00603FEC">
            <w:pPr>
              <w:jc w:val="center"/>
              <w:rPr>
                <w:sz w:val="18"/>
                <w:szCs w:val="18"/>
              </w:rPr>
            </w:pPr>
            <w:r>
              <w:rPr>
                <w:sz w:val="18"/>
              </w:rPr>
              <w:t>2,879</w:t>
            </w:r>
          </w:p>
        </w:tc>
        <w:tc>
          <w:tcPr>
            <w:tcW w:w="1131" w:type="dxa"/>
            <w:vAlign w:val="center"/>
          </w:tcPr>
          <w:p w14:paraId="00EF7F58" w14:textId="77777777" w:rsidR="00811447" w:rsidRPr="00D674E2" w:rsidRDefault="00811447" w:rsidP="00603FEC">
            <w:pPr>
              <w:jc w:val="center"/>
              <w:rPr>
                <w:sz w:val="18"/>
                <w:szCs w:val="18"/>
              </w:rPr>
            </w:pPr>
            <w:r>
              <w:rPr>
                <w:sz w:val="18"/>
              </w:rPr>
              <w:t>2,923</w:t>
            </w:r>
          </w:p>
        </w:tc>
        <w:tc>
          <w:tcPr>
            <w:tcW w:w="1130" w:type="dxa"/>
            <w:vAlign w:val="center"/>
          </w:tcPr>
          <w:p w14:paraId="7EF50611" w14:textId="77777777" w:rsidR="00811447" w:rsidRPr="00D674E2" w:rsidRDefault="00811447" w:rsidP="00603FEC">
            <w:pPr>
              <w:jc w:val="center"/>
              <w:rPr>
                <w:sz w:val="18"/>
                <w:szCs w:val="18"/>
              </w:rPr>
            </w:pPr>
            <w:r>
              <w:rPr>
                <w:sz w:val="18"/>
              </w:rPr>
              <w:t>2,975</w:t>
            </w:r>
          </w:p>
        </w:tc>
        <w:tc>
          <w:tcPr>
            <w:tcW w:w="1130" w:type="dxa"/>
            <w:vAlign w:val="center"/>
          </w:tcPr>
          <w:p w14:paraId="18F6B5BD" w14:textId="77777777" w:rsidR="00811447" w:rsidRPr="00D674E2" w:rsidRDefault="00811447" w:rsidP="00603FEC">
            <w:pPr>
              <w:jc w:val="center"/>
              <w:rPr>
                <w:sz w:val="18"/>
                <w:szCs w:val="18"/>
              </w:rPr>
            </w:pPr>
            <w:r>
              <w:rPr>
                <w:sz w:val="18"/>
              </w:rPr>
              <w:t>3,040</w:t>
            </w:r>
          </w:p>
        </w:tc>
        <w:tc>
          <w:tcPr>
            <w:tcW w:w="1131" w:type="dxa"/>
            <w:vAlign w:val="center"/>
          </w:tcPr>
          <w:p w14:paraId="4BA6C08B" w14:textId="77777777" w:rsidR="00811447" w:rsidRPr="00D674E2" w:rsidRDefault="00811447" w:rsidP="00603FEC">
            <w:pPr>
              <w:jc w:val="center"/>
              <w:rPr>
                <w:sz w:val="18"/>
                <w:szCs w:val="18"/>
              </w:rPr>
            </w:pPr>
            <w:r>
              <w:rPr>
                <w:sz w:val="18"/>
              </w:rPr>
              <w:t>3,105</w:t>
            </w:r>
          </w:p>
        </w:tc>
      </w:tr>
      <w:tr w:rsidR="00811447" w:rsidRPr="00D674E2" w14:paraId="57C36BE9" w14:textId="77777777" w:rsidTr="00603FEC">
        <w:trPr>
          <w:trHeight w:val="397"/>
        </w:trPr>
        <w:tc>
          <w:tcPr>
            <w:tcW w:w="1838" w:type="dxa"/>
            <w:vAlign w:val="center"/>
          </w:tcPr>
          <w:p w14:paraId="36B457FA" w14:textId="77777777" w:rsidR="00811447" w:rsidRPr="00D674E2" w:rsidRDefault="00811447" w:rsidP="00603FEC">
            <w:pPr>
              <w:jc w:val="center"/>
              <w:rPr>
                <w:sz w:val="18"/>
                <w:szCs w:val="18"/>
              </w:rPr>
            </w:pPr>
            <w:r>
              <w:rPr>
                <w:sz w:val="18"/>
              </w:rPr>
              <w:t>August 2024</w:t>
            </w:r>
          </w:p>
        </w:tc>
        <w:tc>
          <w:tcPr>
            <w:tcW w:w="1985" w:type="dxa"/>
            <w:vAlign w:val="center"/>
          </w:tcPr>
          <w:p w14:paraId="3F9FE571" w14:textId="77777777" w:rsidR="00811447" w:rsidRPr="00D674E2" w:rsidRDefault="00811447" w:rsidP="00603FEC">
            <w:pPr>
              <w:jc w:val="center"/>
              <w:rPr>
                <w:sz w:val="18"/>
                <w:szCs w:val="18"/>
              </w:rPr>
            </w:pPr>
            <w:r>
              <w:rPr>
                <w:sz w:val="18"/>
              </w:rPr>
              <w:t>23.08.2024 - Ausg. 1</w:t>
            </w:r>
          </w:p>
        </w:tc>
        <w:tc>
          <w:tcPr>
            <w:tcW w:w="1130" w:type="dxa"/>
            <w:vAlign w:val="center"/>
          </w:tcPr>
          <w:p w14:paraId="7431EECC" w14:textId="77777777" w:rsidR="00811447" w:rsidRPr="00D674E2" w:rsidRDefault="00811447" w:rsidP="00603FEC">
            <w:pPr>
              <w:jc w:val="center"/>
              <w:rPr>
                <w:sz w:val="18"/>
                <w:szCs w:val="18"/>
              </w:rPr>
            </w:pPr>
            <w:r>
              <w:rPr>
                <w:sz w:val="18"/>
              </w:rPr>
              <w:t>3,195</w:t>
            </w:r>
          </w:p>
        </w:tc>
        <w:tc>
          <w:tcPr>
            <w:tcW w:w="1130" w:type="dxa"/>
            <w:vAlign w:val="center"/>
          </w:tcPr>
          <w:p w14:paraId="3AA304A4" w14:textId="77777777" w:rsidR="00811447" w:rsidRPr="00D674E2" w:rsidRDefault="00811447" w:rsidP="00603FEC">
            <w:pPr>
              <w:jc w:val="center"/>
              <w:rPr>
                <w:sz w:val="18"/>
                <w:szCs w:val="18"/>
              </w:rPr>
            </w:pPr>
            <w:r>
              <w:rPr>
                <w:sz w:val="18"/>
              </w:rPr>
              <w:t>2,882</w:t>
            </w:r>
          </w:p>
        </w:tc>
        <w:tc>
          <w:tcPr>
            <w:tcW w:w="1130" w:type="dxa"/>
            <w:vAlign w:val="center"/>
          </w:tcPr>
          <w:p w14:paraId="1AF5DD39" w14:textId="77777777" w:rsidR="00811447" w:rsidRPr="00D674E2" w:rsidRDefault="00811447" w:rsidP="00603FEC">
            <w:pPr>
              <w:jc w:val="center"/>
              <w:rPr>
                <w:sz w:val="18"/>
                <w:szCs w:val="18"/>
              </w:rPr>
            </w:pPr>
            <w:r>
              <w:rPr>
                <w:sz w:val="18"/>
              </w:rPr>
              <w:t>2,657</w:t>
            </w:r>
          </w:p>
        </w:tc>
        <w:tc>
          <w:tcPr>
            <w:tcW w:w="1131" w:type="dxa"/>
            <w:vAlign w:val="center"/>
          </w:tcPr>
          <w:p w14:paraId="65349EC9" w14:textId="77777777" w:rsidR="00811447" w:rsidRPr="00D674E2" w:rsidRDefault="00811447" w:rsidP="00603FEC">
            <w:pPr>
              <w:jc w:val="center"/>
              <w:rPr>
                <w:sz w:val="18"/>
                <w:szCs w:val="18"/>
              </w:rPr>
            </w:pPr>
            <w:r>
              <w:rPr>
                <w:sz w:val="18"/>
              </w:rPr>
              <w:t>2,591</w:t>
            </w:r>
          </w:p>
        </w:tc>
        <w:tc>
          <w:tcPr>
            <w:tcW w:w="1130" w:type="dxa"/>
            <w:vAlign w:val="center"/>
          </w:tcPr>
          <w:p w14:paraId="2EBC5F03" w14:textId="77777777" w:rsidR="00811447" w:rsidRPr="00D674E2" w:rsidRDefault="00811447" w:rsidP="00603FEC">
            <w:pPr>
              <w:jc w:val="center"/>
              <w:rPr>
                <w:sz w:val="18"/>
                <w:szCs w:val="18"/>
              </w:rPr>
            </w:pPr>
            <w:r>
              <w:rPr>
                <w:sz w:val="18"/>
              </w:rPr>
              <w:t>2,628</w:t>
            </w:r>
          </w:p>
        </w:tc>
        <w:tc>
          <w:tcPr>
            <w:tcW w:w="1130" w:type="dxa"/>
            <w:vAlign w:val="center"/>
          </w:tcPr>
          <w:p w14:paraId="0B95AF57" w14:textId="77777777" w:rsidR="00811447" w:rsidRPr="00D674E2" w:rsidRDefault="00811447" w:rsidP="00603FEC">
            <w:pPr>
              <w:jc w:val="center"/>
              <w:rPr>
                <w:sz w:val="18"/>
                <w:szCs w:val="18"/>
              </w:rPr>
            </w:pPr>
            <w:r>
              <w:rPr>
                <w:sz w:val="18"/>
              </w:rPr>
              <w:t>2,678</w:t>
            </w:r>
          </w:p>
        </w:tc>
        <w:tc>
          <w:tcPr>
            <w:tcW w:w="1131" w:type="dxa"/>
            <w:vAlign w:val="center"/>
          </w:tcPr>
          <w:p w14:paraId="08744765" w14:textId="77777777" w:rsidR="00811447" w:rsidRPr="00D674E2" w:rsidRDefault="00811447" w:rsidP="00603FEC">
            <w:pPr>
              <w:jc w:val="center"/>
              <w:rPr>
                <w:sz w:val="18"/>
                <w:szCs w:val="18"/>
              </w:rPr>
            </w:pPr>
            <w:r>
              <w:rPr>
                <w:sz w:val="18"/>
              </w:rPr>
              <w:t>2,734</w:t>
            </w:r>
          </w:p>
        </w:tc>
        <w:tc>
          <w:tcPr>
            <w:tcW w:w="1130" w:type="dxa"/>
            <w:vAlign w:val="center"/>
          </w:tcPr>
          <w:p w14:paraId="6FE3964D" w14:textId="77777777" w:rsidR="00811447" w:rsidRPr="00D674E2" w:rsidRDefault="00811447" w:rsidP="00603FEC">
            <w:pPr>
              <w:jc w:val="center"/>
              <w:rPr>
                <w:sz w:val="18"/>
                <w:szCs w:val="18"/>
              </w:rPr>
            </w:pPr>
            <w:r>
              <w:rPr>
                <w:sz w:val="18"/>
              </w:rPr>
              <w:t>2,797</w:t>
            </w:r>
          </w:p>
        </w:tc>
        <w:tc>
          <w:tcPr>
            <w:tcW w:w="1130" w:type="dxa"/>
            <w:vAlign w:val="center"/>
          </w:tcPr>
          <w:p w14:paraId="0909F30D" w14:textId="77777777" w:rsidR="00811447" w:rsidRPr="00D674E2" w:rsidRDefault="00811447" w:rsidP="00603FEC">
            <w:pPr>
              <w:jc w:val="center"/>
              <w:rPr>
                <w:sz w:val="18"/>
                <w:szCs w:val="18"/>
              </w:rPr>
            </w:pPr>
            <w:r>
              <w:rPr>
                <w:sz w:val="18"/>
              </w:rPr>
              <w:t>2,865</w:t>
            </w:r>
          </w:p>
        </w:tc>
        <w:tc>
          <w:tcPr>
            <w:tcW w:w="1131" w:type="dxa"/>
            <w:vAlign w:val="center"/>
          </w:tcPr>
          <w:p w14:paraId="5DBDDC90" w14:textId="77777777" w:rsidR="00811447" w:rsidRPr="00D674E2" w:rsidRDefault="00811447" w:rsidP="00603FEC">
            <w:pPr>
              <w:jc w:val="center"/>
              <w:rPr>
                <w:sz w:val="18"/>
                <w:szCs w:val="18"/>
              </w:rPr>
            </w:pPr>
            <w:r>
              <w:rPr>
                <w:sz w:val="18"/>
              </w:rPr>
              <w:t>2,935</w:t>
            </w:r>
          </w:p>
        </w:tc>
      </w:tr>
      <w:tr w:rsidR="00811447" w:rsidRPr="00D674E2" w14:paraId="35121D9B" w14:textId="77777777" w:rsidTr="00603FEC">
        <w:trPr>
          <w:trHeight w:val="397"/>
        </w:trPr>
        <w:tc>
          <w:tcPr>
            <w:tcW w:w="1838" w:type="dxa"/>
            <w:vAlign w:val="center"/>
          </w:tcPr>
          <w:p w14:paraId="7F0F9D30" w14:textId="77777777" w:rsidR="00811447" w:rsidRPr="00D674E2" w:rsidRDefault="00811447" w:rsidP="00603FEC">
            <w:pPr>
              <w:jc w:val="center"/>
              <w:rPr>
                <w:sz w:val="18"/>
                <w:szCs w:val="18"/>
              </w:rPr>
            </w:pPr>
            <w:r>
              <w:rPr>
                <w:sz w:val="18"/>
              </w:rPr>
              <w:t>September 2024</w:t>
            </w:r>
          </w:p>
        </w:tc>
        <w:tc>
          <w:tcPr>
            <w:tcW w:w="1985" w:type="dxa"/>
            <w:vAlign w:val="center"/>
          </w:tcPr>
          <w:p w14:paraId="150E2896" w14:textId="77777777" w:rsidR="00811447" w:rsidRPr="00D674E2" w:rsidRDefault="00811447" w:rsidP="00603FEC">
            <w:pPr>
              <w:jc w:val="center"/>
              <w:rPr>
                <w:sz w:val="18"/>
                <w:szCs w:val="18"/>
              </w:rPr>
            </w:pPr>
            <w:r>
              <w:rPr>
                <w:sz w:val="18"/>
              </w:rPr>
              <w:t>25.09.2024 - Ausg. 1</w:t>
            </w:r>
          </w:p>
        </w:tc>
        <w:tc>
          <w:tcPr>
            <w:tcW w:w="1130" w:type="dxa"/>
            <w:vAlign w:val="center"/>
          </w:tcPr>
          <w:p w14:paraId="5B37B691" w14:textId="77777777" w:rsidR="00811447" w:rsidRPr="00D674E2" w:rsidRDefault="00811447" w:rsidP="00603FEC">
            <w:pPr>
              <w:jc w:val="center"/>
              <w:rPr>
                <w:sz w:val="18"/>
                <w:szCs w:val="18"/>
              </w:rPr>
            </w:pPr>
            <w:r>
              <w:rPr>
                <w:sz w:val="18"/>
              </w:rPr>
              <w:t>3,020</w:t>
            </w:r>
          </w:p>
        </w:tc>
        <w:tc>
          <w:tcPr>
            <w:tcW w:w="1130" w:type="dxa"/>
            <w:vAlign w:val="center"/>
          </w:tcPr>
          <w:p w14:paraId="0363BBBC" w14:textId="77777777" w:rsidR="00811447" w:rsidRPr="00D674E2" w:rsidRDefault="00811447" w:rsidP="00603FEC">
            <w:pPr>
              <w:jc w:val="center"/>
              <w:rPr>
                <w:sz w:val="18"/>
                <w:szCs w:val="18"/>
              </w:rPr>
            </w:pPr>
            <w:r>
              <w:rPr>
                <w:sz w:val="18"/>
              </w:rPr>
              <w:t>2,676</w:t>
            </w:r>
          </w:p>
        </w:tc>
        <w:tc>
          <w:tcPr>
            <w:tcW w:w="1130" w:type="dxa"/>
            <w:vAlign w:val="center"/>
          </w:tcPr>
          <w:p w14:paraId="2425D3B8" w14:textId="77777777" w:rsidR="00811447" w:rsidRPr="00D674E2" w:rsidRDefault="00811447" w:rsidP="00603FEC">
            <w:pPr>
              <w:jc w:val="center"/>
              <w:rPr>
                <w:sz w:val="18"/>
                <w:szCs w:val="18"/>
              </w:rPr>
            </w:pPr>
            <w:r>
              <w:rPr>
                <w:sz w:val="18"/>
              </w:rPr>
              <w:t>2,444</w:t>
            </w:r>
          </w:p>
        </w:tc>
        <w:tc>
          <w:tcPr>
            <w:tcW w:w="1131" w:type="dxa"/>
            <w:vAlign w:val="center"/>
          </w:tcPr>
          <w:p w14:paraId="5A380B11" w14:textId="77777777" w:rsidR="00811447" w:rsidRPr="00D674E2" w:rsidRDefault="00811447" w:rsidP="00603FEC">
            <w:pPr>
              <w:jc w:val="center"/>
              <w:rPr>
                <w:sz w:val="18"/>
                <w:szCs w:val="18"/>
              </w:rPr>
            </w:pPr>
            <w:r>
              <w:rPr>
                <w:sz w:val="18"/>
              </w:rPr>
              <w:t>2,409</w:t>
            </w:r>
          </w:p>
        </w:tc>
        <w:tc>
          <w:tcPr>
            <w:tcW w:w="1130" w:type="dxa"/>
            <w:vAlign w:val="center"/>
          </w:tcPr>
          <w:p w14:paraId="330D611F" w14:textId="77777777" w:rsidR="00811447" w:rsidRPr="00D674E2" w:rsidRDefault="00811447" w:rsidP="00603FEC">
            <w:pPr>
              <w:jc w:val="center"/>
              <w:rPr>
                <w:sz w:val="18"/>
                <w:szCs w:val="18"/>
              </w:rPr>
            </w:pPr>
            <w:r>
              <w:rPr>
                <w:sz w:val="18"/>
              </w:rPr>
              <w:t>2,485</w:t>
            </w:r>
          </w:p>
        </w:tc>
        <w:tc>
          <w:tcPr>
            <w:tcW w:w="1130" w:type="dxa"/>
            <w:vAlign w:val="center"/>
          </w:tcPr>
          <w:p w14:paraId="2353A2DA" w14:textId="77777777" w:rsidR="00811447" w:rsidRPr="00D674E2" w:rsidRDefault="00811447" w:rsidP="00603FEC">
            <w:pPr>
              <w:jc w:val="center"/>
              <w:rPr>
                <w:sz w:val="18"/>
                <w:szCs w:val="18"/>
              </w:rPr>
            </w:pPr>
            <w:r>
              <w:rPr>
                <w:sz w:val="18"/>
              </w:rPr>
              <w:t>2,550</w:t>
            </w:r>
          </w:p>
        </w:tc>
        <w:tc>
          <w:tcPr>
            <w:tcW w:w="1131" w:type="dxa"/>
            <w:vAlign w:val="center"/>
          </w:tcPr>
          <w:p w14:paraId="5A9B4EB3" w14:textId="77777777" w:rsidR="00811447" w:rsidRPr="00D674E2" w:rsidRDefault="00811447" w:rsidP="00603FEC">
            <w:pPr>
              <w:jc w:val="center"/>
              <w:rPr>
                <w:sz w:val="18"/>
                <w:szCs w:val="18"/>
              </w:rPr>
            </w:pPr>
            <w:r>
              <w:rPr>
                <w:sz w:val="18"/>
              </w:rPr>
              <w:t>2,600</w:t>
            </w:r>
          </w:p>
        </w:tc>
        <w:tc>
          <w:tcPr>
            <w:tcW w:w="1130" w:type="dxa"/>
            <w:vAlign w:val="center"/>
          </w:tcPr>
          <w:p w14:paraId="13270A23" w14:textId="77777777" w:rsidR="00811447" w:rsidRPr="00D674E2" w:rsidRDefault="00811447" w:rsidP="00603FEC">
            <w:pPr>
              <w:jc w:val="center"/>
              <w:rPr>
                <w:sz w:val="18"/>
                <w:szCs w:val="18"/>
              </w:rPr>
            </w:pPr>
            <w:r>
              <w:rPr>
                <w:sz w:val="18"/>
              </w:rPr>
              <w:t>2,662</w:t>
            </w:r>
          </w:p>
        </w:tc>
        <w:tc>
          <w:tcPr>
            <w:tcW w:w="1130" w:type="dxa"/>
            <w:vAlign w:val="center"/>
          </w:tcPr>
          <w:p w14:paraId="5BBCA3C6" w14:textId="77777777" w:rsidR="00811447" w:rsidRPr="00D674E2" w:rsidRDefault="00811447" w:rsidP="00603FEC">
            <w:pPr>
              <w:jc w:val="center"/>
              <w:rPr>
                <w:sz w:val="18"/>
                <w:szCs w:val="18"/>
              </w:rPr>
            </w:pPr>
            <w:r>
              <w:rPr>
                <w:sz w:val="18"/>
              </w:rPr>
              <w:t>2,738</w:t>
            </w:r>
          </w:p>
        </w:tc>
        <w:tc>
          <w:tcPr>
            <w:tcW w:w="1131" w:type="dxa"/>
            <w:vAlign w:val="center"/>
          </w:tcPr>
          <w:p w14:paraId="6EE3D292" w14:textId="77777777" w:rsidR="00811447" w:rsidRPr="00D674E2" w:rsidRDefault="00811447" w:rsidP="00603FEC">
            <w:pPr>
              <w:jc w:val="center"/>
              <w:rPr>
                <w:sz w:val="18"/>
                <w:szCs w:val="18"/>
              </w:rPr>
            </w:pPr>
            <w:r>
              <w:rPr>
                <w:sz w:val="18"/>
              </w:rPr>
              <w:t>2,817</w:t>
            </w:r>
          </w:p>
        </w:tc>
      </w:tr>
      <w:tr w:rsidR="00811447" w:rsidRPr="00D674E2" w14:paraId="3E661746" w14:textId="77777777" w:rsidTr="00603FEC">
        <w:trPr>
          <w:trHeight w:val="397"/>
        </w:trPr>
        <w:tc>
          <w:tcPr>
            <w:tcW w:w="1838" w:type="dxa"/>
            <w:vAlign w:val="center"/>
          </w:tcPr>
          <w:p w14:paraId="130692D0" w14:textId="77777777" w:rsidR="00811447" w:rsidRPr="00D674E2" w:rsidRDefault="00811447" w:rsidP="00603FEC">
            <w:pPr>
              <w:jc w:val="center"/>
              <w:rPr>
                <w:sz w:val="18"/>
                <w:szCs w:val="18"/>
              </w:rPr>
            </w:pPr>
            <w:r>
              <w:rPr>
                <w:sz w:val="18"/>
              </w:rPr>
              <w:t>Oktober 2024</w:t>
            </w:r>
          </w:p>
        </w:tc>
        <w:tc>
          <w:tcPr>
            <w:tcW w:w="1985" w:type="dxa"/>
            <w:vAlign w:val="center"/>
          </w:tcPr>
          <w:p w14:paraId="7E3ADE52" w14:textId="77777777" w:rsidR="00811447" w:rsidRPr="00D674E2" w:rsidRDefault="00811447" w:rsidP="00603FEC">
            <w:pPr>
              <w:jc w:val="center"/>
              <w:rPr>
                <w:sz w:val="18"/>
                <w:szCs w:val="18"/>
              </w:rPr>
            </w:pPr>
            <w:r>
              <w:rPr>
                <w:sz w:val="18"/>
              </w:rPr>
              <w:t>16.10.2024 - Ausg. 1</w:t>
            </w:r>
          </w:p>
        </w:tc>
        <w:tc>
          <w:tcPr>
            <w:tcW w:w="1130" w:type="dxa"/>
            <w:vAlign w:val="center"/>
          </w:tcPr>
          <w:p w14:paraId="336FE8CD" w14:textId="77777777" w:rsidR="00811447" w:rsidRPr="00D674E2" w:rsidRDefault="00811447" w:rsidP="00603FEC">
            <w:pPr>
              <w:jc w:val="center"/>
              <w:rPr>
                <w:sz w:val="18"/>
                <w:szCs w:val="18"/>
              </w:rPr>
            </w:pPr>
            <w:r>
              <w:rPr>
                <w:sz w:val="18"/>
              </w:rPr>
              <w:t>2,765</w:t>
            </w:r>
          </w:p>
        </w:tc>
        <w:tc>
          <w:tcPr>
            <w:tcW w:w="1130" w:type="dxa"/>
            <w:vAlign w:val="center"/>
          </w:tcPr>
          <w:p w14:paraId="6742C16F" w14:textId="77777777" w:rsidR="00811447" w:rsidRPr="00D674E2" w:rsidRDefault="00811447" w:rsidP="00603FEC">
            <w:pPr>
              <w:jc w:val="center"/>
              <w:rPr>
                <w:sz w:val="18"/>
                <w:szCs w:val="18"/>
              </w:rPr>
            </w:pPr>
            <w:r>
              <w:rPr>
                <w:sz w:val="18"/>
              </w:rPr>
              <w:t>2,460</w:t>
            </w:r>
          </w:p>
        </w:tc>
        <w:tc>
          <w:tcPr>
            <w:tcW w:w="1130" w:type="dxa"/>
            <w:vAlign w:val="center"/>
          </w:tcPr>
          <w:p w14:paraId="0703ABAD" w14:textId="77777777" w:rsidR="00811447" w:rsidRPr="00D674E2" w:rsidRDefault="00811447" w:rsidP="00603FEC">
            <w:pPr>
              <w:jc w:val="center"/>
              <w:rPr>
                <w:sz w:val="18"/>
                <w:szCs w:val="18"/>
              </w:rPr>
            </w:pPr>
            <w:r>
              <w:rPr>
                <w:sz w:val="18"/>
              </w:rPr>
              <w:t>2,272</w:t>
            </w:r>
          </w:p>
        </w:tc>
        <w:tc>
          <w:tcPr>
            <w:tcW w:w="1131" w:type="dxa"/>
            <w:vAlign w:val="center"/>
          </w:tcPr>
          <w:p w14:paraId="32DDB1FD" w14:textId="77777777" w:rsidR="00811447" w:rsidRPr="00D674E2" w:rsidRDefault="00811447" w:rsidP="00603FEC">
            <w:pPr>
              <w:jc w:val="center"/>
              <w:rPr>
                <w:sz w:val="18"/>
                <w:szCs w:val="18"/>
              </w:rPr>
            </w:pPr>
            <w:r>
              <w:rPr>
                <w:sz w:val="18"/>
              </w:rPr>
              <w:t>2,280</w:t>
            </w:r>
          </w:p>
        </w:tc>
        <w:tc>
          <w:tcPr>
            <w:tcW w:w="1130" w:type="dxa"/>
            <w:vAlign w:val="center"/>
          </w:tcPr>
          <w:p w14:paraId="7E01FBD7" w14:textId="77777777" w:rsidR="00811447" w:rsidRPr="00D674E2" w:rsidRDefault="00811447" w:rsidP="00603FEC">
            <w:pPr>
              <w:jc w:val="center"/>
              <w:rPr>
                <w:sz w:val="18"/>
                <w:szCs w:val="18"/>
              </w:rPr>
            </w:pPr>
            <w:r>
              <w:rPr>
                <w:sz w:val="18"/>
              </w:rPr>
              <w:t>2,388</w:t>
            </w:r>
          </w:p>
        </w:tc>
        <w:tc>
          <w:tcPr>
            <w:tcW w:w="1130" w:type="dxa"/>
            <w:vAlign w:val="center"/>
          </w:tcPr>
          <w:p w14:paraId="2D276B81" w14:textId="77777777" w:rsidR="00811447" w:rsidRPr="00D674E2" w:rsidRDefault="00811447" w:rsidP="00603FEC">
            <w:pPr>
              <w:jc w:val="center"/>
              <w:rPr>
                <w:sz w:val="18"/>
                <w:szCs w:val="18"/>
              </w:rPr>
            </w:pPr>
            <w:r>
              <w:rPr>
                <w:sz w:val="18"/>
              </w:rPr>
              <w:t>2,469</w:t>
            </w:r>
          </w:p>
        </w:tc>
        <w:tc>
          <w:tcPr>
            <w:tcW w:w="1131" w:type="dxa"/>
            <w:vAlign w:val="center"/>
          </w:tcPr>
          <w:p w14:paraId="5C540C34" w14:textId="77777777" w:rsidR="00811447" w:rsidRPr="00D674E2" w:rsidRDefault="00811447" w:rsidP="00603FEC">
            <w:pPr>
              <w:jc w:val="center"/>
              <w:rPr>
                <w:sz w:val="18"/>
                <w:szCs w:val="18"/>
              </w:rPr>
            </w:pPr>
            <w:r>
              <w:rPr>
                <w:sz w:val="18"/>
              </w:rPr>
              <w:t>2,528</w:t>
            </w:r>
          </w:p>
        </w:tc>
        <w:tc>
          <w:tcPr>
            <w:tcW w:w="1130" w:type="dxa"/>
            <w:vAlign w:val="center"/>
          </w:tcPr>
          <w:p w14:paraId="1F6506A7" w14:textId="77777777" w:rsidR="00811447" w:rsidRPr="00D674E2" w:rsidRDefault="00811447" w:rsidP="00603FEC">
            <w:pPr>
              <w:jc w:val="center"/>
              <w:rPr>
                <w:sz w:val="18"/>
                <w:szCs w:val="18"/>
              </w:rPr>
            </w:pPr>
            <w:r>
              <w:rPr>
                <w:sz w:val="18"/>
              </w:rPr>
              <w:t>2,600</w:t>
            </w:r>
          </w:p>
        </w:tc>
        <w:tc>
          <w:tcPr>
            <w:tcW w:w="1130" w:type="dxa"/>
            <w:vAlign w:val="center"/>
          </w:tcPr>
          <w:p w14:paraId="01BCED65" w14:textId="77777777" w:rsidR="00811447" w:rsidRPr="00D674E2" w:rsidRDefault="00811447" w:rsidP="00603FEC">
            <w:pPr>
              <w:jc w:val="center"/>
              <w:rPr>
                <w:sz w:val="18"/>
                <w:szCs w:val="18"/>
              </w:rPr>
            </w:pPr>
            <w:r>
              <w:rPr>
                <w:sz w:val="18"/>
              </w:rPr>
              <w:t>2,685</w:t>
            </w:r>
          </w:p>
        </w:tc>
        <w:tc>
          <w:tcPr>
            <w:tcW w:w="1131" w:type="dxa"/>
            <w:vAlign w:val="center"/>
          </w:tcPr>
          <w:p w14:paraId="47EBDC0F" w14:textId="77777777" w:rsidR="00811447" w:rsidRPr="00D674E2" w:rsidRDefault="00811447" w:rsidP="00603FEC">
            <w:pPr>
              <w:jc w:val="center"/>
              <w:rPr>
                <w:sz w:val="18"/>
                <w:szCs w:val="18"/>
              </w:rPr>
            </w:pPr>
            <w:r>
              <w:rPr>
                <w:sz w:val="18"/>
              </w:rPr>
              <w:t>2,771</w:t>
            </w:r>
          </w:p>
        </w:tc>
      </w:tr>
      <w:tr w:rsidR="00811447" w:rsidRPr="00D674E2" w14:paraId="17E0D8DA" w14:textId="77777777" w:rsidTr="00603FEC">
        <w:trPr>
          <w:trHeight w:val="397"/>
        </w:trPr>
        <w:tc>
          <w:tcPr>
            <w:tcW w:w="1838" w:type="dxa"/>
            <w:vAlign w:val="center"/>
          </w:tcPr>
          <w:p w14:paraId="6D97B184" w14:textId="77777777" w:rsidR="00811447" w:rsidRPr="00D674E2" w:rsidRDefault="00811447" w:rsidP="00603FEC">
            <w:pPr>
              <w:jc w:val="center"/>
              <w:rPr>
                <w:sz w:val="18"/>
                <w:szCs w:val="18"/>
              </w:rPr>
            </w:pPr>
            <w:r>
              <w:rPr>
                <w:sz w:val="18"/>
              </w:rPr>
              <w:t>November 2024</w:t>
            </w:r>
          </w:p>
        </w:tc>
        <w:tc>
          <w:tcPr>
            <w:tcW w:w="1985" w:type="dxa"/>
            <w:vAlign w:val="center"/>
          </w:tcPr>
          <w:p w14:paraId="6F821407" w14:textId="77777777" w:rsidR="00811447" w:rsidRPr="00D674E2" w:rsidRDefault="00811447" w:rsidP="00603FEC">
            <w:pPr>
              <w:jc w:val="center"/>
              <w:rPr>
                <w:sz w:val="18"/>
                <w:szCs w:val="18"/>
              </w:rPr>
            </w:pPr>
            <w:r>
              <w:rPr>
                <w:sz w:val="18"/>
              </w:rPr>
              <w:t>14.11.2024 - Ausg. 1</w:t>
            </w:r>
          </w:p>
        </w:tc>
        <w:tc>
          <w:tcPr>
            <w:tcW w:w="1130" w:type="dxa"/>
            <w:vAlign w:val="center"/>
          </w:tcPr>
          <w:p w14:paraId="6C475324" w14:textId="77777777" w:rsidR="00811447" w:rsidRPr="00D674E2" w:rsidRDefault="00811447" w:rsidP="00603FEC">
            <w:pPr>
              <w:jc w:val="center"/>
              <w:rPr>
                <w:sz w:val="18"/>
                <w:szCs w:val="18"/>
              </w:rPr>
            </w:pPr>
            <w:r>
              <w:rPr>
                <w:sz w:val="18"/>
              </w:rPr>
              <w:t>2,643</w:t>
            </w:r>
          </w:p>
        </w:tc>
        <w:tc>
          <w:tcPr>
            <w:tcW w:w="1130" w:type="dxa"/>
            <w:vAlign w:val="center"/>
          </w:tcPr>
          <w:p w14:paraId="074D7D00" w14:textId="77777777" w:rsidR="00811447" w:rsidRPr="00D674E2" w:rsidRDefault="00811447" w:rsidP="00603FEC">
            <w:pPr>
              <w:jc w:val="center"/>
              <w:rPr>
                <w:sz w:val="18"/>
                <w:szCs w:val="18"/>
              </w:rPr>
            </w:pPr>
            <w:r>
              <w:rPr>
                <w:sz w:val="18"/>
              </w:rPr>
              <w:t>2,443</w:t>
            </w:r>
          </w:p>
        </w:tc>
        <w:tc>
          <w:tcPr>
            <w:tcW w:w="1130" w:type="dxa"/>
            <w:vAlign w:val="center"/>
          </w:tcPr>
          <w:p w14:paraId="42C11249" w14:textId="77777777" w:rsidR="00811447" w:rsidRPr="00D674E2" w:rsidRDefault="00811447" w:rsidP="00603FEC">
            <w:pPr>
              <w:jc w:val="center"/>
              <w:rPr>
                <w:sz w:val="18"/>
                <w:szCs w:val="18"/>
              </w:rPr>
            </w:pPr>
            <w:r>
              <w:rPr>
                <w:sz w:val="18"/>
              </w:rPr>
              <w:t>2,339</w:t>
            </w:r>
          </w:p>
        </w:tc>
        <w:tc>
          <w:tcPr>
            <w:tcW w:w="1131" w:type="dxa"/>
            <w:vAlign w:val="center"/>
          </w:tcPr>
          <w:p w14:paraId="03E75796" w14:textId="77777777" w:rsidR="00811447" w:rsidRPr="00D674E2" w:rsidRDefault="00811447" w:rsidP="00603FEC">
            <w:pPr>
              <w:jc w:val="center"/>
              <w:rPr>
                <w:sz w:val="18"/>
                <w:szCs w:val="18"/>
              </w:rPr>
            </w:pPr>
            <w:r>
              <w:rPr>
                <w:sz w:val="18"/>
              </w:rPr>
              <w:t>2,385</w:t>
            </w:r>
          </w:p>
        </w:tc>
        <w:tc>
          <w:tcPr>
            <w:tcW w:w="1130" w:type="dxa"/>
            <w:vAlign w:val="center"/>
          </w:tcPr>
          <w:p w14:paraId="5D17B988" w14:textId="77777777" w:rsidR="00811447" w:rsidRPr="00D674E2" w:rsidRDefault="00811447" w:rsidP="00603FEC">
            <w:pPr>
              <w:jc w:val="center"/>
              <w:rPr>
                <w:sz w:val="18"/>
                <w:szCs w:val="18"/>
              </w:rPr>
            </w:pPr>
            <w:r>
              <w:rPr>
                <w:sz w:val="18"/>
              </w:rPr>
              <w:t>2,501</w:t>
            </w:r>
          </w:p>
        </w:tc>
        <w:tc>
          <w:tcPr>
            <w:tcW w:w="1130" w:type="dxa"/>
            <w:vAlign w:val="center"/>
          </w:tcPr>
          <w:p w14:paraId="72357E67" w14:textId="77777777" w:rsidR="00811447" w:rsidRPr="00D674E2" w:rsidRDefault="00811447" w:rsidP="00603FEC">
            <w:pPr>
              <w:jc w:val="center"/>
              <w:rPr>
                <w:sz w:val="18"/>
                <w:szCs w:val="18"/>
              </w:rPr>
            </w:pPr>
            <w:r>
              <w:rPr>
                <w:sz w:val="18"/>
              </w:rPr>
              <w:t>2,593</w:t>
            </w:r>
          </w:p>
        </w:tc>
        <w:tc>
          <w:tcPr>
            <w:tcW w:w="1131" w:type="dxa"/>
            <w:vAlign w:val="center"/>
          </w:tcPr>
          <w:p w14:paraId="093F3A1F" w14:textId="77777777" w:rsidR="00811447" w:rsidRPr="00D674E2" w:rsidRDefault="00811447" w:rsidP="00603FEC">
            <w:pPr>
              <w:jc w:val="center"/>
              <w:rPr>
                <w:sz w:val="18"/>
                <w:szCs w:val="18"/>
              </w:rPr>
            </w:pPr>
            <w:r>
              <w:rPr>
                <w:sz w:val="18"/>
              </w:rPr>
              <w:t>2,663</w:t>
            </w:r>
          </w:p>
        </w:tc>
        <w:tc>
          <w:tcPr>
            <w:tcW w:w="1130" w:type="dxa"/>
            <w:vAlign w:val="center"/>
          </w:tcPr>
          <w:p w14:paraId="59A55EBF" w14:textId="77777777" w:rsidR="00811447" w:rsidRPr="00D674E2" w:rsidRDefault="00811447" w:rsidP="00603FEC">
            <w:pPr>
              <w:jc w:val="center"/>
              <w:rPr>
                <w:sz w:val="18"/>
                <w:szCs w:val="18"/>
              </w:rPr>
            </w:pPr>
            <w:r>
              <w:rPr>
                <w:sz w:val="18"/>
              </w:rPr>
              <w:t>2,738</w:t>
            </w:r>
          </w:p>
        </w:tc>
        <w:tc>
          <w:tcPr>
            <w:tcW w:w="1130" w:type="dxa"/>
            <w:vAlign w:val="center"/>
          </w:tcPr>
          <w:p w14:paraId="3830BB06" w14:textId="77777777" w:rsidR="00811447" w:rsidRPr="00D674E2" w:rsidRDefault="00811447" w:rsidP="00603FEC">
            <w:pPr>
              <w:jc w:val="center"/>
              <w:rPr>
                <w:sz w:val="18"/>
                <w:szCs w:val="18"/>
              </w:rPr>
            </w:pPr>
            <w:r>
              <w:rPr>
                <w:sz w:val="18"/>
              </w:rPr>
              <w:t>2,818</w:t>
            </w:r>
          </w:p>
        </w:tc>
        <w:tc>
          <w:tcPr>
            <w:tcW w:w="1131" w:type="dxa"/>
            <w:vAlign w:val="center"/>
          </w:tcPr>
          <w:p w14:paraId="4083B5C3" w14:textId="77777777" w:rsidR="00811447" w:rsidRPr="00D674E2" w:rsidRDefault="00811447" w:rsidP="00603FEC">
            <w:pPr>
              <w:jc w:val="center"/>
              <w:rPr>
                <w:sz w:val="18"/>
                <w:szCs w:val="18"/>
              </w:rPr>
            </w:pPr>
            <w:r>
              <w:rPr>
                <w:sz w:val="18"/>
              </w:rPr>
              <w:t>2,899</w:t>
            </w:r>
          </w:p>
        </w:tc>
      </w:tr>
      <w:tr w:rsidR="00811447" w:rsidRPr="00D674E2" w14:paraId="0FD8B3FA" w14:textId="77777777" w:rsidTr="00603FEC">
        <w:trPr>
          <w:trHeight w:val="397"/>
        </w:trPr>
        <w:tc>
          <w:tcPr>
            <w:tcW w:w="1838" w:type="dxa"/>
            <w:vAlign w:val="center"/>
          </w:tcPr>
          <w:p w14:paraId="27EBE2F6" w14:textId="77777777" w:rsidR="00811447" w:rsidRPr="00D674E2" w:rsidRDefault="00811447" w:rsidP="00603FEC">
            <w:pPr>
              <w:jc w:val="center"/>
              <w:rPr>
                <w:sz w:val="18"/>
                <w:szCs w:val="18"/>
              </w:rPr>
            </w:pPr>
            <w:r>
              <w:rPr>
                <w:sz w:val="18"/>
              </w:rPr>
              <w:t>Dezember 2024</w:t>
            </w:r>
          </w:p>
        </w:tc>
        <w:tc>
          <w:tcPr>
            <w:tcW w:w="1985" w:type="dxa"/>
            <w:vAlign w:val="center"/>
          </w:tcPr>
          <w:p w14:paraId="1F6EC0F3" w14:textId="77777777" w:rsidR="00811447" w:rsidRPr="00D674E2" w:rsidRDefault="00811447" w:rsidP="00603FEC">
            <w:pPr>
              <w:jc w:val="center"/>
              <w:rPr>
                <w:sz w:val="18"/>
                <w:szCs w:val="18"/>
              </w:rPr>
            </w:pPr>
            <w:r>
              <w:rPr>
                <w:sz w:val="18"/>
              </w:rPr>
              <w:t>13.12.2024 - Ausg. 1</w:t>
            </w:r>
          </w:p>
        </w:tc>
        <w:tc>
          <w:tcPr>
            <w:tcW w:w="1130" w:type="dxa"/>
            <w:vAlign w:val="center"/>
          </w:tcPr>
          <w:p w14:paraId="76ECEBFD" w14:textId="77777777" w:rsidR="00811447" w:rsidRPr="00D674E2" w:rsidRDefault="00811447" w:rsidP="00603FEC">
            <w:pPr>
              <w:jc w:val="center"/>
              <w:rPr>
                <w:sz w:val="18"/>
                <w:szCs w:val="18"/>
              </w:rPr>
            </w:pPr>
            <w:r>
              <w:rPr>
                <w:sz w:val="18"/>
              </w:rPr>
              <w:t>2,390</w:t>
            </w:r>
          </w:p>
        </w:tc>
        <w:tc>
          <w:tcPr>
            <w:tcW w:w="1130" w:type="dxa"/>
            <w:vAlign w:val="center"/>
          </w:tcPr>
          <w:p w14:paraId="7A262E36" w14:textId="77777777" w:rsidR="00811447" w:rsidRPr="00D674E2" w:rsidRDefault="00811447" w:rsidP="00603FEC">
            <w:pPr>
              <w:jc w:val="center"/>
              <w:rPr>
                <w:sz w:val="18"/>
                <w:szCs w:val="18"/>
              </w:rPr>
            </w:pPr>
            <w:r>
              <w:rPr>
                <w:sz w:val="18"/>
              </w:rPr>
              <w:t>2,270</w:t>
            </w:r>
          </w:p>
        </w:tc>
        <w:tc>
          <w:tcPr>
            <w:tcW w:w="1130" w:type="dxa"/>
            <w:vAlign w:val="center"/>
          </w:tcPr>
          <w:p w14:paraId="25C7BDA3" w14:textId="77777777" w:rsidR="00811447" w:rsidRPr="00D674E2" w:rsidRDefault="00811447" w:rsidP="00603FEC">
            <w:pPr>
              <w:jc w:val="center"/>
              <w:rPr>
                <w:sz w:val="18"/>
                <w:szCs w:val="18"/>
              </w:rPr>
            </w:pPr>
            <w:r>
              <w:rPr>
                <w:sz w:val="18"/>
              </w:rPr>
              <w:t>2,225</w:t>
            </w:r>
          </w:p>
        </w:tc>
        <w:tc>
          <w:tcPr>
            <w:tcW w:w="1131" w:type="dxa"/>
            <w:vAlign w:val="center"/>
          </w:tcPr>
          <w:p w14:paraId="7AC2DEF8" w14:textId="77777777" w:rsidR="00811447" w:rsidRPr="00D674E2" w:rsidRDefault="00811447" w:rsidP="00603FEC">
            <w:pPr>
              <w:jc w:val="center"/>
              <w:rPr>
                <w:sz w:val="18"/>
                <w:szCs w:val="18"/>
              </w:rPr>
            </w:pPr>
            <w:r>
              <w:rPr>
                <w:sz w:val="18"/>
              </w:rPr>
              <w:t>2,296</w:t>
            </w:r>
          </w:p>
        </w:tc>
        <w:tc>
          <w:tcPr>
            <w:tcW w:w="1130" w:type="dxa"/>
            <w:vAlign w:val="center"/>
          </w:tcPr>
          <w:p w14:paraId="20F0B83F" w14:textId="77777777" w:rsidR="00811447" w:rsidRPr="00D674E2" w:rsidRDefault="00811447" w:rsidP="00603FEC">
            <w:pPr>
              <w:jc w:val="center"/>
              <w:rPr>
                <w:sz w:val="18"/>
                <w:szCs w:val="18"/>
              </w:rPr>
            </w:pPr>
            <w:r>
              <w:rPr>
                <w:sz w:val="18"/>
              </w:rPr>
              <w:t>2,410</w:t>
            </w:r>
          </w:p>
        </w:tc>
        <w:tc>
          <w:tcPr>
            <w:tcW w:w="1130" w:type="dxa"/>
            <w:vAlign w:val="center"/>
          </w:tcPr>
          <w:p w14:paraId="4DD90EF2" w14:textId="77777777" w:rsidR="00811447" w:rsidRPr="00D674E2" w:rsidRDefault="00811447" w:rsidP="00603FEC">
            <w:pPr>
              <w:jc w:val="center"/>
              <w:rPr>
                <w:sz w:val="18"/>
                <w:szCs w:val="18"/>
              </w:rPr>
            </w:pPr>
            <w:r>
              <w:rPr>
                <w:sz w:val="18"/>
              </w:rPr>
              <w:t>2,500</w:t>
            </w:r>
          </w:p>
        </w:tc>
        <w:tc>
          <w:tcPr>
            <w:tcW w:w="1131" w:type="dxa"/>
            <w:vAlign w:val="center"/>
          </w:tcPr>
          <w:p w14:paraId="1B1F2D63" w14:textId="77777777" w:rsidR="00811447" w:rsidRPr="00D674E2" w:rsidRDefault="00811447" w:rsidP="00603FEC">
            <w:pPr>
              <w:jc w:val="center"/>
              <w:rPr>
                <w:sz w:val="18"/>
                <w:szCs w:val="18"/>
              </w:rPr>
            </w:pPr>
            <w:r>
              <w:rPr>
                <w:sz w:val="18"/>
              </w:rPr>
              <w:t>2,576</w:t>
            </w:r>
          </w:p>
        </w:tc>
        <w:tc>
          <w:tcPr>
            <w:tcW w:w="1130" w:type="dxa"/>
            <w:vAlign w:val="center"/>
          </w:tcPr>
          <w:p w14:paraId="161CEFC8" w14:textId="77777777" w:rsidR="00811447" w:rsidRPr="00D674E2" w:rsidRDefault="00811447" w:rsidP="00603FEC">
            <w:pPr>
              <w:jc w:val="center"/>
              <w:rPr>
                <w:sz w:val="18"/>
                <w:szCs w:val="18"/>
              </w:rPr>
            </w:pPr>
            <w:r>
              <w:rPr>
                <w:sz w:val="18"/>
              </w:rPr>
              <w:t>2,654</w:t>
            </w:r>
          </w:p>
        </w:tc>
        <w:tc>
          <w:tcPr>
            <w:tcW w:w="1130" w:type="dxa"/>
            <w:vAlign w:val="center"/>
          </w:tcPr>
          <w:p w14:paraId="6F2783B3" w14:textId="77777777" w:rsidR="00811447" w:rsidRPr="00D674E2" w:rsidRDefault="00811447" w:rsidP="00603FEC">
            <w:pPr>
              <w:jc w:val="center"/>
              <w:rPr>
                <w:sz w:val="18"/>
                <w:szCs w:val="18"/>
              </w:rPr>
            </w:pPr>
            <w:r>
              <w:rPr>
                <w:sz w:val="18"/>
              </w:rPr>
              <w:t>2,736</w:t>
            </w:r>
          </w:p>
        </w:tc>
        <w:tc>
          <w:tcPr>
            <w:tcW w:w="1131" w:type="dxa"/>
            <w:vAlign w:val="center"/>
          </w:tcPr>
          <w:p w14:paraId="59F46522" w14:textId="77777777" w:rsidR="00811447" w:rsidRPr="00D674E2" w:rsidRDefault="00811447" w:rsidP="00603FEC">
            <w:pPr>
              <w:jc w:val="center"/>
              <w:rPr>
                <w:sz w:val="18"/>
                <w:szCs w:val="18"/>
              </w:rPr>
            </w:pPr>
            <w:r>
              <w:rPr>
                <w:sz w:val="18"/>
              </w:rPr>
              <w:t>2,812</w:t>
            </w:r>
          </w:p>
        </w:tc>
      </w:tr>
    </w:tbl>
    <w:p w14:paraId="077D4382" w14:textId="77777777" w:rsidR="00811447" w:rsidRPr="00D14BAA" w:rsidRDefault="00811447" w:rsidP="00811447">
      <w:pPr>
        <w:jc w:val="both"/>
      </w:pPr>
    </w:p>
    <w:p w14:paraId="544C6982" w14:textId="76241CA9" w:rsidR="00811447" w:rsidRDefault="00811447">
      <w:pPr>
        <w:rPr>
          <w:rFonts w:eastAsia="Calibri"/>
          <w:szCs w:val="22"/>
          <w:lang w:eastAsia="en-US"/>
        </w:rPr>
      </w:pPr>
    </w:p>
    <w:p w14:paraId="78A3C240" w14:textId="77777777" w:rsidR="001D5508" w:rsidRDefault="001D5508" w:rsidP="00842BDA">
      <w:pPr>
        <w:jc w:val="both"/>
        <w:rPr>
          <w:rFonts w:eastAsia="Calibri"/>
          <w:szCs w:val="22"/>
          <w:lang w:eastAsia="en-US"/>
        </w:rPr>
      </w:pPr>
    </w:p>
    <w:p w14:paraId="0CA7A7E6" w14:textId="77777777" w:rsidR="00ED5A3B" w:rsidRDefault="00ED5A3B">
      <w:pPr>
        <w:rPr>
          <w:rFonts w:eastAsia="Calibri"/>
          <w:szCs w:val="22"/>
          <w:lang w:eastAsia="en-US"/>
        </w:rPr>
        <w:sectPr w:rsidR="00ED5A3B" w:rsidSect="00ED5A3B">
          <w:pgSz w:w="16838" w:h="11906" w:orient="landscape" w:code="9"/>
          <w:pgMar w:top="1418" w:right="1418" w:bottom="1418" w:left="1418" w:header="709" w:footer="709" w:gutter="0"/>
          <w:cols w:space="708"/>
          <w:docGrid w:linePitch="360"/>
        </w:sectPr>
      </w:pPr>
    </w:p>
    <w:p w14:paraId="3F3D4BBB" w14:textId="4155D797" w:rsidR="005A5BD5" w:rsidRPr="00CA3519" w:rsidRDefault="005A5BD5" w:rsidP="004C2C7D">
      <w:pPr>
        <w:jc w:val="both"/>
        <w:rPr>
          <w:rFonts w:eastAsia="Calibri"/>
          <w:szCs w:val="22"/>
          <w:lang w:eastAsia="en-US"/>
        </w:rPr>
      </w:pPr>
      <w:r w:rsidRPr="00CA3519">
        <w:rPr>
          <w:rFonts w:eastAsia="Calibri"/>
          <w:szCs w:val="22"/>
          <w:lang w:eastAsia="en-US"/>
        </w:rPr>
        <w:lastRenderedPageBreak/>
        <w:t>[</w:t>
      </w:r>
      <w:r w:rsidRPr="00CA3519">
        <w:rPr>
          <w:rFonts w:eastAsia="Calibri"/>
          <w:i/>
          <w:szCs w:val="22"/>
          <w:lang w:eastAsia="en-US"/>
        </w:rPr>
        <w:t>Abschnitt 2</w:t>
      </w:r>
      <w:r w:rsidRPr="00CA3519">
        <w:rPr>
          <w:rFonts w:eastAsia="Calibri"/>
          <w:szCs w:val="22"/>
          <w:lang w:eastAsia="en-US"/>
        </w:rPr>
        <w:t>] - Monatlicher Belastungssatz für die im Laufe der Jahre 1981 bis 1984 über eine Laufzeit von mehr als sechzig Monaten abgeschlossenen Darlehen, die keine Hypotheken</w:t>
      </w:r>
      <w:r w:rsidRPr="00CA3519">
        <w:rPr>
          <w:rFonts w:eastAsia="Calibri"/>
          <w:szCs w:val="22"/>
          <w:lang w:eastAsia="en-US"/>
        </w:rPr>
        <w:softHyphen/>
        <w:t>darlehen sind</w:t>
      </w:r>
    </w:p>
    <w:p w14:paraId="2D8F1CAD" w14:textId="77777777" w:rsidR="005A5BD5" w:rsidRPr="00CA3519" w:rsidRDefault="005A5BD5" w:rsidP="004C2C7D">
      <w:pPr>
        <w:jc w:val="both"/>
        <w:rPr>
          <w:rFonts w:eastAsia="Calibri"/>
          <w:szCs w:val="22"/>
          <w:lang w:eastAsia="en-US"/>
        </w:rPr>
      </w:pPr>
    </w:p>
    <w:p w14:paraId="664BE738" w14:textId="77777777" w:rsidR="005A5BD5" w:rsidRPr="00CA3519" w:rsidRDefault="005A5BD5" w:rsidP="004C2C7D">
      <w:pPr>
        <w:ind w:right="-284" w:hanging="142"/>
        <w:jc w:val="center"/>
        <w:rPr>
          <w:rFonts w:eastAsia="Calibri"/>
          <w:szCs w:val="22"/>
          <w:lang w:eastAsia="en-US"/>
        </w:rPr>
      </w:pPr>
      <w:r w:rsidRPr="00CA3519">
        <w:rPr>
          <w:rFonts w:eastAsia="Calibri"/>
          <w:szCs w:val="22"/>
          <w:lang w:eastAsia="en-US"/>
        </w:rPr>
        <w:t xml:space="preserve">(Königlicher Erlass zur Ausführung des Einkommensteuergesetzbuches 1992, </w:t>
      </w:r>
    </w:p>
    <w:p w14:paraId="08F24F66" w14:textId="77777777" w:rsidR="005A5BD5" w:rsidRPr="00CA3519" w:rsidRDefault="005A5BD5" w:rsidP="004C2C7D">
      <w:pPr>
        <w:ind w:right="-284" w:hanging="142"/>
        <w:jc w:val="center"/>
        <w:rPr>
          <w:rFonts w:eastAsia="Calibri"/>
          <w:szCs w:val="22"/>
          <w:lang w:eastAsia="en-US"/>
        </w:rPr>
      </w:pPr>
      <w:r w:rsidRPr="00CA3519">
        <w:rPr>
          <w:rFonts w:eastAsia="Calibri"/>
          <w:szCs w:val="22"/>
          <w:lang w:eastAsia="en-US"/>
        </w:rPr>
        <w:t>Artikel 18 § 3 Punkt 1 einziger Absatz Buchstabe c) Absatz 1)</w:t>
      </w:r>
    </w:p>
    <w:p w14:paraId="52DCBFCA" w14:textId="77777777" w:rsidR="005A5BD5" w:rsidRPr="00CA3519" w:rsidRDefault="005A5BD5" w:rsidP="004C2C7D">
      <w:pPr>
        <w:rPr>
          <w:rFonts w:eastAsia="Calibri"/>
          <w:szCs w:val="22"/>
          <w:lang w:eastAsia="en-US"/>
        </w:rPr>
      </w:pPr>
    </w:p>
    <w:p w14:paraId="79B68A03" w14:textId="77777777" w:rsidR="005A5BD5" w:rsidRPr="00CA3519" w:rsidRDefault="005A5BD5" w:rsidP="004C2C7D">
      <w:pPr>
        <w:rPr>
          <w:rFonts w:eastAsia="Calibri"/>
          <w:szCs w:val="22"/>
          <w:lang w:eastAsia="en-US"/>
        </w:rPr>
      </w:pPr>
    </w:p>
    <w:p w14:paraId="6AD988ED" w14:textId="77777777" w:rsidR="005A5BD5" w:rsidRPr="00CA3519" w:rsidRDefault="005A5BD5" w:rsidP="004C2C7D">
      <w:pPr>
        <w:rPr>
          <w:rFonts w:eastAsia="Calibri"/>
          <w:szCs w:val="22"/>
          <w:lang w:eastAsia="en-US"/>
        </w:rPr>
      </w:pPr>
    </w:p>
    <w:p w14:paraId="3666E568" w14:textId="77777777" w:rsidR="005A5BD5" w:rsidRPr="00CA3519" w:rsidRDefault="005A5BD5" w:rsidP="004C2C7D">
      <w:pPr>
        <w:rPr>
          <w:rFonts w:eastAsia="Calibri"/>
          <w:szCs w:val="22"/>
          <w:lang w:eastAsia="en-US"/>
        </w:rPr>
      </w:pPr>
    </w:p>
    <w:tbl>
      <w:tblPr>
        <w:tblW w:w="9587" w:type="dxa"/>
        <w:jc w:val="center"/>
        <w:tblBorders>
          <w:top w:val="double" w:sz="6" w:space="0" w:color="auto"/>
          <w:left w:val="double" w:sz="6" w:space="0" w:color="auto"/>
          <w:bottom w:val="double" w:sz="6" w:space="0" w:color="auto"/>
          <w:right w:val="double" w:sz="6" w:space="0" w:color="auto"/>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3880"/>
        <w:gridCol w:w="1941"/>
        <w:gridCol w:w="2065"/>
        <w:gridCol w:w="1701"/>
      </w:tblGrid>
      <w:tr w:rsidR="005A5BD5" w:rsidRPr="00CA3519" w14:paraId="7D0D1ED0" w14:textId="77777777" w:rsidTr="004C2C7D">
        <w:trPr>
          <w:trHeight w:val="250"/>
          <w:jc w:val="center"/>
        </w:trPr>
        <w:tc>
          <w:tcPr>
            <w:tcW w:w="3880" w:type="dxa"/>
            <w:vMerge w:val="restart"/>
          </w:tcPr>
          <w:p w14:paraId="247BA39F" w14:textId="77777777" w:rsidR="005A5BD5" w:rsidRPr="00CA3519" w:rsidRDefault="005A5BD5" w:rsidP="004C2C7D">
            <w:pPr>
              <w:spacing w:before="120" w:after="120"/>
              <w:jc w:val="center"/>
              <w:rPr>
                <w:rFonts w:eastAsia="Calibri"/>
                <w:snapToGrid w:val="0"/>
                <w:color w:val="000000"/>
                <w:szCs w:val="22"/>
                <w:lang w:eastAsia="en-US"/>
              </w:rPr>
            </w:pPr>
            <w:r w:rsidRPr="00CA3519">
              <w:rPr>
                <w:rFonts w:eastAsia="Calibri"/>
                <w:snapToGrid w:val="0"/>
                <w:color w:val="000000"/>
                <w:szCs w:val="22"/>
                <w:lang w:eastAsia="en-US"/>
              </w:rPr>
              <w:t>[Darlehensbetrag</w:t>
            </w:r>
          </w:p>
        </w:tc>
        <w:tc>
          <w:tcPr>
            <w:tcW w:w="5707" w:type="dxa"/>
            <w:gridSpan w:val="3"/>
            <w:tcBorders>
              <w:bottom w:val="nil"/>
            </w:tcBorders>
          </w:tcPr>
          <w:p w14:paraId="3640C043" w14:textId="77777777" w:rsidR="005A5BD5" w:rsidRPr="00CA3519" w:rsidRDefault="005A5BD5" w:rsidP="004C2C7D">
            <w:pPr>
              <w:spacing w:before="120" w:after="120"/>
              <w:jc w:val="center"/>
              <w:rPr>
                <w:rFonts w:eastAsia="Calibri"/>
                <w:snapToGrid w:val="0"/>
                <w:color w:val="000000"/>
                <w:szCs w:val="22"/>
                <w:lang w:eastAsia="en-US"/>
              </w:rPr>
            </w:pPr>
            <w:r w:rsidRPr="00CA3519">
              <w:rPr>
                <w:rFonts w:eastAsia="Calibri"/>
                <w:snapToGrid w:val="0"/>
                <w:color w:val="000000"/>
                <w:szCs w:val="22"/>
                <w:lang w:eastAsia="en-US"/>
              </w:rPr>
              <w:t xml:space="preserve">Jahr, in dem der Darlehensvertrag </w:t>
            </w:r>
          </w:p>
          <w:p w14:paraId="6D1C9856" w14:textId="77777777" w:rsidR="005A5BD5" w:rsidRPr="00CA3519" w:rsidRDefault="005A5BD5" w:rsidP="004C2C7D">
            <w:pPr>
              <w:spacing w:before="120" w:after="120"/>
              <w:jc w:val="center"/>
              <w:rPr>
                <w:rFonts w:eastAsia="Calibri"/>
                <w:snapToGrid w:val="0"/>
                <w:color w:val="000000"/>
                <w:szCs w:val="22"/>
                <w:lang w:eastAsia="en-US"/>
              </w:rPr>
            </w:pPr>
            <w:r w:rsidRPr="00CA3519">
              <w:rPr>
                <w:rFonts w:eastAsia="Calibri"/>
                <w:snapToGrid w:val="0"/>
                <w:color w:val="000000"/>
                <w:szCs w:val="22"/>
                <w:lang w:eastAsia="en-US"/>
              </w:rPr>
              <w:t>abgeschlossen worden ist</w:t>
            </w:r>
          </w:p>
        </w:tc>
      </w:tr>
      <w:tr w:rsidR="005A5BD5" w:rsidRPr="00CA3519" w14:paraId="07AE926E" w14:textId="77777777" w:rsidTr="004C2C7D">
        <w:trPr>
          <w:trHeight w:val="170"/>
          <w:jc w:val="center"/>
        </w:trPr>
        <w:tc>
          <w:tcPr>
            <w:tcW w:w="3880" w:type="dxa"/>
            <w:vMerge/>
            <w:tcBorders>
              <w:bottom w:val="nil"/>
            </w:tcBorders>
          </w:tcPr>
          <w:p w14:paraId="7B641043" w14:textId="77777777" w:rsidR="005A5BD5" w:rsidRPr="00CA3519" w:rsidRDefault="005A5BD5" w:rsidP="004C2C7D">
            <w:pPr>
              <w:spacing w:before="120" w:after="120"/>
              <w:jc w:val="center"/>
              <w:rPr>
                <w:rFonts w:eastAsia="Calibri"/>
                <w:snapToGrid w:val="0"/>
                <w:color w:val="000000"/>
                <w:szCs w:val="22"/>
                <w:lang w:eastAsia="en-US"/>
              </w:rPr>
            </w:pPr>
          </w:p>
        </w:tc>
        <w:tc>
          <w:tcPr>
            <w:tcW w:w="1941" w:type="dxa"/>
            <w:tcBorders>
              <w:top w:val="single" w:sz="8" w:space="0" w:color="000000"/>
              <w:bottom w:val="single" w:sz="8" w:space="0" w:color="000000"/>
            </w:tcBorders>
          </w:tcPr>
          <w:p w14:paraId="48D0E089" w14:textId="77777777" w:rsidR="005A5BD5" w:rsidRPr="00CA3519" w:rsidRDefault="005A5BD5" w:rsidP="004C2C7D">
            <w:pPr>
              <w:spacing w:before="120" w:after="120"/>
              <w:jc w:val="center"/>
              <w:rPr>
                <w:rFonts w:eastAsia="Calibri"/>
                <w:snapToGrid w:val="0"/>
                <w:color w:val="000000"/>
                <w:szCs w:val="22"/>
                <w:lang w:eastAsia="en-US"/>
              </w:rPr>
            </w:pPr>
            <w:r w:rsidRPr="00CA3519">
              <w:rPr>
                <w:rFonts w:eastAsia="Calibri"/>
                <w:snapToGrid w:val="0"/>
                <w:color w:val="000000"/>
                <w:szCs w:val="22"/>
                <w:lang w:eastAsia="en-US"/>
              </w:rPr>
              <w:t>1981</w:t>
            </w:r>
          </w:p>
        </w:tc>
        <w:tc>
          <w:tcPr>
            <w:tcW w:w="2065" w:type="dxa"/>
          </w:tcPr>
          <w:p w14:paraId="1042CDE6" w14:textId="77777777" w:rsidR="005A5BD5" w:rsidRPr="00CA3519" w:rsidRDefault="005A5BD5" w:rsidP="004C2C7D">
            <w:pPr>
              <w:spacing w:before="120" w:after="120"/>
              <w:jc w:val="center"/>
              <w:rPr>
                <w:rFonts w:eastAsia="Calibri"/>
                <w:snapToGrid w:val="0"/>
                <w:color w:val="000000"/>
                <w:szCs w:val="22"/>
                <w:lang w:eastAsia="en-US"/>
              </w:rPr>
            </w:pPr>
            <w:r w:rsidRPr="00CA3519">
              <w:rPr>
                <w:rFonts w:eastAsia="Calibri"/>
                <w:snapToGrid w:val="0"/>
                <w:color w:val="000000"/>
                <w:szCs w:val="22"/>
                <w:lang w:eastAsia="en-US"/>
              </w:rPr>
              <w:t>1982</w:t>
            </w:r>
          </w:p>
        </w:tc>
        <w:tc>
          <w:tcPr>
            <w:tcW w:w="1701" w:type="dxa"/>
          </w:tcPr>
          <w:p w14:paraId="6DE1BA22" w14:textId="77777777" w:rsidR="005A5BD5" w:rsidRPr="00CA3519" w:rsidRDefault="005A5BD5" w:rsidP="004C2C7D">
            <w:pPr>
              <w:spacing w:before="120" w:after="120"/>
              <w:jc w:val="center"/>
              <w:rPr>
                <w:rFonts w:eastAsia="Calibri"/>
                <w:snapToGrid w:val="0"/>
                <w:color w:val="000000"/>
                <w:szCs w:val="22"/>
                <w:lang w:eastAsia="en-US"/>
              </w:rPr>
            </w:pPr>
            <w:r w:rsidRPr="00CA3519">
              <w:rPr>
                <w:rFonts w:eastAsia="Calibri"/>
                <w:snapToGrid w:val="0"/>
                <w:color w:val="000000"/>
                <w:szCs w:val="22"/>
                <w:lang w:eastAsia="en-US"/>
              </w:rPr>
              <w:t>1983 und 1984</w:t>
            </w:r>
          </w:p>
        </w:tc>
      </w:tr>
      <w:tr w:rsidR="005A5BD5" w:rsidRPr="00CA3519" w14:paraId="2FD4D21D" w14:textId="77777777" w:rsidTr="004C2C7D">
        <w:trPr>
          <w:trHeight w:val="250"/>
          <w:jc w:val="center"/>
        </w:trPr>
        <w:tc>
          <w:tcPr>
            <w:tcW w:w="3880" w:type="dxa"/>
            <w:tcBorders>
              <w:top w:val="single" w:sz="8" w:space="0" w:color="000000"/>
              <w:bottom w:val="single" w:sz="8" w:space="0" w:color="000000"/>
            </w:tcBorders>
          </w:tcPr>
          <w:p w14:paraId="4F3444FA" w14:textId="77777777" w:rsidR="005A5BD5" w:rsidRPr="00CA3519" w:rsidRDefault="005A5BD5" w:rsidP="004C2C7D">
            <w:pPr>
              <w:tabs>
                <w:tab w:val="left" w:pos="1104"/>
              </w:tabs>
              <w:spacing w:before="60" w:after="60"/>
              <w:ind w:left="119"/>
              <w:rPr>
                <w:rFonts w:eastAsia="Calibri"/>
                <w:snapToGrid w:val="0"/>
                <w:color w:val="000000"/>
                <w:szCs w:val="22"/>
                <w:lang w:eastAsia="en-US"/>
              </w:rPr>
            </w:pPr>
            <w:r w:rsidRPr="00CA3519">
              <w:rPr>
                <w:rFonts w:eastAsia="Calibri"/>
                <w:snapToGrid w:val="0"/>
                <w:color w:val="000000"/>
                <w:szCs w:val="22"/>
                <w:lang w:eastAsia="en-US"/>
              </w:rPr>
              <w:t>bis 123,95 EUR</w:t>
            </w:r>
          </w:p>
        </w:tc>
        <w:tc>
          <w:tcPr>
            <w:tcW w:w="1941" w:type="dxa"/>
            <w:tcBorders>
              <w:top w:val="nil"/>
            </w:tcBorders>
          </w:tcPr>
          <w:p w14:paraId="2346FB72"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1,05</w:t>
            </w:r>
          </w:p>
        </w:tc>
        <w:tc>
          <w:tcPr>
            <w:tcW w:w="2065" w:type="dxa"/>
          </w:tcPr>
          <w:p w14:paraId="752908F8"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1,19</w:t>
            </w:r>
          </w:p>
        </w:tc>
        <w:tc>
          <w:tcPr>
            <w:tcW w:w="1701" w:type="dxa"/>
          </w:tcPr>
          <w:p w14:paraId="424A1A04" w14:textId="77777777" w:rsidR="005A5BD5" w:rsidRPr="00CA3519" w:rsidRDefault="005A5BD5" w:rsidP="004C2C7D">
            <w:pPr>
              <w:spacing w:before="60" w:after="60"/>
              <w:ind w:right="284"/>
              <w:jc w:val="center"/>
              <w:rPr>
                <w:rFonts w:eastAsia="Calibri"/>
                <w:snapToGrid w:val="0"/>
                <w:color w:val="000000"/>
                <w:szCs w:val="22"/>
                <w:lang w:eastAsia="en-US"/>
              </w:rPr>
            </w:pPr>
            <w:r w:rsidRPr="00CA3519">
              <w:rPr>
                <w:rFonts w:eastAsia="Calibri"/>
                <w:snapToGrid w:val="0"/>
                <w:color w:val="000000"/>
                <w:szCs w:val="22"/>
                <w:lang w:eastAsia="en-US"/>
              </w:rPr>
              <w:t>1,16</w:t>
            </w:r>
          </w:p>
        </w:tc>
      </w:tr>
      <w:tr w:rsidR="005A5BD5" w:rsidRPr="00CA3519" w14:paraId="7B8E6763" w14:textId="77777777" w:rsidTr="004C2C7D">
        <w:trPr>
          <w:trHeight w:val="375"/>
          <w:jc w:val="center"/>
        </w:trPr>
        <w:tc>
          <w:tcPr>
            <w:tcW w:w="3880" w:type="dxa"/>
            <w:tcBorders>
              <w:top w:val="nil"/>
              <w:bottom w:val="nil"/>
            </w:tcBorders>
          </w:tcPr>
          <w:p w14:paraId="128D6107" w14:textId="77777777" w:rsidR="005A5BD5" w:rsidRPr="00CA3519" w:rsidRDefault="005A5BD5" w:rsidP="004C2C7D">
            <w:pPr>
              <w:tabs>
                <w:tab w:val="left" w:pos="1104"/>
              </w:tabs>
              <w:spacing w:before="60" w:after="60"/>
              <w:ind w:left="284" w:hanging="165"/>
              <w:rPr>
                <w:rFonts w:eastAsia="Calibri"/>
                <w:snapToGrid w:val="0"/>
                <w:color w:val="000000"/>
                <w:szCs w:val="22"/>
                <w:lang w:eastAsia="en-US"/>
              </w:rPr>
            </w:pPr>
            <w:r w:rsidRPr="00CA3519">
              <w:rPr>
                <w:rFonts w:eastAsia="Calibri"/>
                <w:snapToGrid w:val="0"/>
                <w:color w:val="000000"/>
                <w:szCs w:val="22"/>
                <w:lang w:eastAsia="en-US"/>
              </w:rPr>
              <w:t>von 123,96 EUR bis 371,84 EUR</w:t>
            </w:r>
          </w:p>
        </w:tc>
        <w:tc>
          <w:tcPr>
            <w:tcW w:w="1941" w:type="dxa"/>
          </w:tcPr>
          <w:p w14:paraId="54D00FC0"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1,03</w:t>
            </w:r>
          </w:p>
        </w:tc>
        <w:tc>
          <w:tcPr>
            <w:tcW w:w="2065" w:type="dxa"/>
          </w:tcPr>
          <w:p w14:paraId="4CF91A28"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1,17</w:t>
            </w:r>
          </w:p>
        </w:tc>
        <w:tc>
          <w:tcPr>
            <w:tcW w:w="1701" w:type="dxa"/>
          </w:tcPr>
          <w:p w14:paraId="0B6D4F78" w14:textId="77777777" w:rsidR="005A5BD5" w:rsidRPr="00CA3519" w:rsidRDefault="005A5BD5" w:rsidP="004C2C7D">
            <w:pPr>
              <w:spacing w:before="60" w:after="60"/>
              <w:ind w:right="284"/>
              <w:jc w:val="center"/>
              <w:rPr>
                <w:rFonts w:eastAsia="Calibri"/>
                <w:snapToGrid w:val="0"/>
                <w:color w:val="000000"/>
                <w:szCs w:val="22"/>
                <w:lang w:eastAsia="en-US"/>
              </w:rPr>
            </w:pPr>
            <w:r w:rsidRPr="00CA3519">
              <w:rPr>
                <w:rFonts w:eastAsia="Calibri"/>
                <w:snapToGrid w:val="0"/>
                <w:color w:val="000000"/>
                <w:szCs w:val="22"/>
                <w:lang w:eastAsia="en-US"/>
              </w:rPr>
              <w:t>1,16</w:t>
            </w:r>
          </w:p>
        </w:tc>
      </w:tr>
      <w:tr w:rsidR="005A5BD5" w:rsidRPr="00CA3519" w14:paraId="2216D63B" w14:textId="77777777" w:rsidTr="004C2C7D">
        <w:trPr>
          <w:trHeight w:val="375"/>
          <w:jc w:val="center"/>
        </w:trPr>
        <w:tc>
          <w:tcPr>
            <w:tcW w:w="3880" w:type="dxa"/>
            <w:tcBorders>
              <w:top w:val="single" w:sz="8" w:space="0" w:color="000000"/>
              <w:bottom w:val="nil"/>
            </w:tcBorders>
          </w:tcPr>
          <w:p w14:paraId="21213508" w14:textId="77777777" w:rsidR="005A5BD5" w:rsidRPr="00CA3519" w:rsidRDefault="005A5BD5" w:rsidP="004C2C7D">
            <w:pPr>
              <w:tabs>
                <w:tab w:val="left" w:pos="1104"/>
              </w:tabs>
              <w:spacing w:before="60" w:after="60"/>
              <w:ind w:left="284" w:hanging="165"/>
              <w:rPr>
                <w:rFonts w:eastAsia="Calibri"/>
                <w:snapToGrid w:val="0"/>
                <w:color w:val="000000"/>
                <w:szCs w:val="22"/>
                <w:lang w:eastAsia="en-US"/>
              </w:rPr>
            </w:pPr>
            <w:r w:rsidRPr="00CA3519">
              <w:rPr>
                <w:rFonts w:eastAsia="Calibri"/>
                <w:snapToGrid w:val="0"/>
                <w:color w:val="000000"/>
                <w:szCs w:val="22"/>
                <w:lang w:eastAsia="en-US"/>
              </w:rPr>
              <w:t>von 371,85 EUR bis 619,73 EUR</w:t>
            </w:r>
          </w:p>
        </w:tc>
        <w:tc>
          <w:tcPr>
            <w:tcW w:w="1941" w:type="dxa"/>
          </w:tcPr>
          <w:p w14:paraId="11FC3552"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0,96</w:t>
            </w:r>
          </w:p>
        </w:tc>
        <w:tc>
          <w:tcPr>
            <w:tcW w:w="2065" w:type="dxa"/>
          </w:tcPr>
          <w:p w14:paraId="13965439"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1,10</w:t>
            </w:r>
          </w:p>
        </w:tc>
        <w:tc>
          <w:tcPr>
            <w:tcW w:w="1701" w:type="dxa"/>
          </w:tcPr>
          <w:p w14:paraId="0929C27C" w14:textId="77777777" w:rsidR="005A5BD5" w:rsidRPr="00CA3519" w:rsidRDefault="005A5BD5" w:rsidP="004C2C7D">
            <w:pPr>
              <w:spacing w:before="60" w:after="60"/>
              <w:ind w:right="284"/>
              <w:jc w:val="center"/>
              <w:rPr>
                <w:rFonts w:eastAsia="Calibri"/>
                <w:snapToGrid w:val="0"/>
                <w:color w:val="000000"/>
                <w:szCs w:val="22"/>
                <w:lang w:eastAsia="en-US"/>
              </w:rPr>
            </w:pPr>
            <w:r w:rsidRPr="00CA3519">
              <w:rPr>
                <w:rFonts w:eastAsia="Calibri"/>
                <w:snapToGrid w:val="0"/>
                <w:color w:val="000000"/>
                <w:szCs w:val="22"/>
                <w:lang w:eastAsia="en-US"/>
              </w:rPr>
              <w:t>1,08</w:t>
            </w:r>
          </w:p>
        </w:tc>
      </w:tr>
      <w:tr w:rsidR="005A5BD5" w:rsidRPr="00CA3519" w14:paraId="416E0F53" w14:textId="77777777" w:rsidTr="004C2C7D">
        <w:trPr>
          <w:trHeight w:val="375"/>
          <w:jc w:val="center"/>
        </w:trPr>
        <w:tc>
          <w:tcPr>
            <w:tcW w:w="3880" w:type="dxa"/>
            <w:tcBorders>
              <w:top w:val="single" w:sz="8" w:space="0" w:color="000000"/>
              <w:bottom w:val="nil"/>
            </w:tcBorders>
          </w:tcPr>
          <w:p w14:paraId="61255E56" w14:textId="77777777" w:rsidR="005A5BD5" w:rsidRPr="00CA3519" w:rsidRDefault="005A5BD5" w:rsidP="004C2C7D">
            <w:pPr>
              <w:tabs>
                <w:tab w:val="left" w:pos="1104"/>
              </w:tabs>
              <w:spacing w:before="60" w:after="60"/>
              <w:ind w:left="119"/>
              <w:rPr>
                <w:rFonts w:eastAsia="Calibri"/>
                <w:snapToGrid w:val="0"/>
                <w:color w:val="000000"/>
                <w:szCs w:val="22"/>
                <w:lang w:eastAsia="en-US"/>
              </w:rPr>
            </w:pPr>
            <w:r w:rsidRPr="00CA3519">
              <w:rPr>
                <w:rFonts w:eastAsia="Calibri"/>
                <w:snapToGrid w:val="0"/>
                <w:color w:val="000000"/>
                <w:szCs w:val="22"/>
                <w:lang w:eastAsia="en-US"/>
              </w:rPr>
              <w:t>von 619,74 EUR bis 1.239,47 EUR</w:t>
            </w:r>
          </w:p>
        </w:tc>
        <w:tc>
          <w:tcPr>
            <w:tcW w:w="1941" w:type="dxa"/>
          </w:tcPr>
          <w:p w14:paraId="71A0FF54"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0,92</w:t>
            </w:r>
          </w:p>
        </w:tc>
        <w:tc>
          <w:tcPr>
            <w:tcW w:w="2065" w:type="dxa"/>
          </w:tcPr>
          <w:p w14:paraId="48701D8B"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1,06</w:t>
            </w:r>
          </w:p>
        </w:tc>
        <w:tc>
          <w:tcPr>
            <w:tcW w:w="1701" w:type="dxa"/>
          </w:tcPr>
          <w:p w14:paraId="102A4A38" w14:textId="77777777" w:rsidR="005A5BD5" w:rsidRPr="00CA3519" w:rsidRDefault="005A5BD5" w:rsidP="004C2C7D">
            <w:pPr>
              <w:spacing w:before="60" w:after="60"/>
              <w:ind w:right="284"/>
              <w:jc w:val="center"/>
              <w:rPr>
                <w:rFonts w:eastAsia="Calibri"/>
                <w:snapToGrid w:val="0"/>
                <w:color w:val="000000"/>
                <w:szCs w:val="22"/>
                <w:lang w:eastAsia="en-US"/>
              </w:rPr>
            </w:pPr>
            <w:r w:rsidRPr="00CA3519">
              <w:rPr>
                <w:rFonts w:eastAsia="Calibri"/>
                <w:snapToGrid w:val="0"/>
                <w:color w:val="000000"/>
                <w:szCs w:val="22"/>
                <w:lang w:eastAsia="en-US"/>
              </w:rPr>
              <w:t>1,05</w:t>
            </w:r>
          </w:p>
        </w:tc>
      </w:tr>
      <w:tr w:rsidR="005A5BD5" w:rsidRPr="00CA3519" w14:paraId="7D0376B7" w14:textId="77777777" w:rsidTr="004C2C7D">
        <w:trPr>
          <w:trHeight w:val="375"/>
          <w:jc w:val="center"/>
        </w:trPr>
        <w:tc>
          <w:tcPr>
            <w:tcW w:w="3880" w:type="dxa"/>
            <w:tcBorders>
              <w:top w:val="single" w:sz="8" w:space="0" w:color="000000"/>
              <w:bottom w:val="nil"/>
            </w:tcBorders>
          </w:tcPr>
          <w:p w14:paraId="364EB9D8" w14:textId="77777777" w:rsidR="005A5BD5" w:rsidRPr="00CA3519" w:rsidRDefault="005A5BD5" w:rsidP="004C2C7D">
            <w:pPr>
              <w:tabs>
                <w:tab w:val="left" w:pos="1104"/>
              </w:tabs>
              <w:spacing w:before="60" w:after="60"/>
              <w:ind w:left="119"/>
              <w:rPr>
                <w:rFonts w:eastAsia="Calibri"/>
                <w:snapToGrid w:val="0"/>
                <w:color w:val="000000"/>
                <w:szCs w:val="22"/>
                <w:lang w:eastAsia="en-US"/>
              </w:rPr>
            </w:pPr>
            <w:r w:rsidRPr="00CA3519">
              <w:rPr>
                <w:rFonts w:eastAsia="Calibri"/>
                <w:snapToGrid w:val="0"/>
                <w:color w:val="000000"/>
                <w:szCs w:val="22"/>
                <w:lang w:eastAsia="en-US"/>
              </w:rPr>
              <w:t>von 1.239,48 EUR bis 2.478,94 EUR</w:t>
            </w:r>
          </w:p>
        </w:tc>
        <w:tc>
          <w:tcPr>
            <w:tcW w:w="1941" w:type="dxa"/>
          </w:tcPr>
          <w:p w14:paraId="053C7362"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0,88</w:t>
            </w:r>
          </w:p>
        </w:tc>
        <w:tc>
          <w:tcPr>
            <w:tcW w:w="2065" w:type="dxa"/>
          </w:tcPr>
          <w:p w14:paraId="7B2316E4"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1,02</w:t>
            </w:r>
          </w:p>
        </w:tc>
        <w:tc>
          <w:tcPr>
            <w:tcW w:w="1701" w:type="dxa"/>
          </w:tcPr>
          <w:p w14:paraId="0C32340C" w14:textId="77777777" w:rsidR="005A5BD5" w:rsidRPr="00CA3519" w:rsidRDefault="005A5BD5" w:rsidP="004C2C7D">
            <w:pPr>
              <w:spacing w:before="60" w:after="60"/>
              <w:ind w:right="284"/>
              <w:jc w:val="center"/>
              <w:rPr>
                <w:rFonts w:eastAsia="Calibri"/>
                <w:snapToGrid w:val="0"/>
                <w:color w:val="000000"/>
                <w:szCs w:val="22"/>
                <w:lang w:eastAsia="en-US"/>
              </w:rPr>
            </w:pPr>
            <w:r w:rsidRPr="00CA3519">
              <w:rPr>
                <w:rFonts w:eastAsia="Calibri"/>
                <w:snapToGrid w:val="0"/>
                <w:color w:val="000000"/>
                <w:szCs w:val="22"/>
                <w:lang w:eastAsia="en-US"/>
              </w:rPr>
              <w:t>1,01</w:t>
            </w:r>
          </w:p>
        </w:tc>
      </w:tr>
      <w:tr w:rsidR="005A5BD5" w:rsidRPr="00CA3519" w14:paraId="13870707" w14:textId="77777777" w:rsidTr="004C2C7D">
        <w:trPr>
          <w:trHeight w:val="375"/>
          <w:jc w:val="center"/>
        </w:trPr>
        <w:tc>
          <w:tcPr>
            <w:tcW w:w="3880" w:type="dxa"/>
            <w:tcBorders>
              <w:top w:val="single" w:sz="8" w:space="0" w:color="000000"/>
              <w:bottom w:val="nil"/>
            </w:tcBorders>
          </w:tcPr>
          <w:p w14:paraId="08EE39D4" w14:textId="77777777" w:rsidR="005A5BD5" w:rsidRPr="00CA3519" w:rsidRDefault="005A5BD5" w:rsidP="004C2C7D">
            <w:pPr>
              <w:tabs>
                <w:tab w:val="left" w:pos="1104"/>
              </w:tabs>
              <w:spacing w:before="60" w:after="60"/>
              <w:ind w:left="284" w:hanging="165"/>
              <w:rPr>
                <w:rFonts w:eastAsia="Calibri"/>
                <w:snapToGrid w:val="0"/>
                <w:color w:val="000000"/>
                <w:szCs w:val="22"/>
                <w:lang w:eastAsia="en-US"/>
              </w:rPr>
            </w:pPr>
            <w:r w:rsidRPr="00CA3519">
              <w:rPr>
                <w:rFonts w:eastAsia="Calibri"/>
                <w:snapToGrid w:val="0"/>
                <w:color w:val="000000"/>
                <w:szCs w:val="22"/>
                <w:lang w:eastAsia="en-US"/>
              </w:rPr>
              <w:t>von 2.478,95 EUR bis 3.718,40 EUR</w:t>
            </w:r>
          </w:p>
        </w:tc>
        <w:tc>
          <w:tcPr>
            <w:tcW w:w="1941" w:type="dxa"/>
          </w:tcPr>
          <w:p w14:paraId="362D2A7F"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0,86</w:t>
            </w:r>
          </w:p>
        </w:tc>
        <w:tc>
          <w:tcPr>
            <w:tcW w:w="2065" w:type="dxa"/>
          </w:tcPr>
          <w:p w14:paraId="7DC4119D"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1,00</w:t>
            </w:r>
          </w:p>
        </w:tc>
        <w:tc>
          <w:tcPr>
            <w:tcW w:w="1701" w:type="dxa"/>
          </w:tcPr>
          <w:p w14:paraId="65E4BF2D" w14:textId="77777777" w:rsidR="005A5BD5" w:rsidRPr="00CA3519" w:rsidRDefault="005A5BD5" w:rsidP="004C2C7D">
            <w:pPr>
              <w:spacing w:before="60" w:after="60"/>
              <w:ind w:right="284"/>
              <w:jc w:val="center"/>
              <w:rPr>
                <w:rFonts w:eastAsia="Calibri"/>
                <w:snapToGrid w:val="0"/>
                <w:color w:val="000000"/>
                <w:szCs w:val="22"/>
                <w:lang w:eastAsia="en-US"/>
              </w:rPr>
            </w:pPr>
            <w:r w:rsidRPr="00CA3519">
              <w:rPr>
                <w:rFonts w:eastAsia="Calibri"/>
                <w:snapToGrid w:val="0"/>
                <w:color w:val="000000"/>
                <w:szCs w:val="22"/>
                <w:lang w:eastAsia="en-US"/>
              </w:rPr>
              <w:t>0,99</w:t>
            </w:r>
          </w:p>
        </w:tc>
      </w:tr>
      <w:tr w:rsidR="005A5BD5" w:rsidRPr="00CA3519" w14:paraId="2B870BBC" w14:textId="77777777" w:rsidTr="004C2C7D">
        <w:trPr>
          <w:trHeight w:val="375"/>
          <w:jc w:val="center"/>
        </w:trPr>
        <w:tc>
          <w:tcPr>
            <w:tcW w:w="3880" w:type="dxa"/>
            <w:tcBorders>
              <w:top w:val="single" w:sz="8" w:space="0" w:color="000000"/>
              <w:bottom w:val="single" w:sz="8" w:space="0" w:color="000000"/>
            </w:tcBorders>
          </w:tcPr>
          <w:p w14:paraId="3E255DAD" w14:textId="77777777" w:rsidR="005A5BD5" w:rsidRPr="00CA3519" w:rsidRDefault="005A5BD5" w:rsidP="004C2C7D">
            <w:pPr>
              <w:tabs>
                <w:tab w:val="left" w:pos="1104"/>
              </w:tabs>
              <w:spacing w:before="60" w:after="60"/>
              <w:ind w:left="284" w:hanging="165"/>
              <w:rPr>
                <w:rFonts w:eastAsia="Calibri"/>
                <w:snapToGrid w:val="0"/>
                <w:color w:val="000000"/>
                <w:szCs w:val="22"/>
                <w:lang w:eastAsia="en-US"/>
              </w:rPr>
            </w:pPr>
            <w:r w:rsidRPr="00CA3519">
              <w:rPr>
                <w:rFonts w:eastAsia="Calibri"/>
                <w:snapToGrid w:val="0"/>
                <w:color w:val="000000"/>
                <w:szCs w:val="22"/>
                <w:lang w:eastAsia="en-US"/>
              </w:rPr>
              <w:t>von 3.718,41 EUR bis 5.577,60 EUR</w:t>
            </w:r>
          </w:p>
        </w:tc>
        <w:tc>
          <w:tcPr>
            <w:tcW w:w="1941" w:type="dxa"/>
            <w:tcBorders>
              <w:bottom w:val="single" w:sz="8" w:space="0" w:color="000000"/>
            </w:tcBorders>
          </w:tcPr>
          <w:p w14:paraId="3A879049"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0,84</w:t>
            </w:r>
          </w:p>
        </w:tc>
        <w:tc>
          <w:tcPr>
            <w:tcW w:w="2065" w:type="dxa"/>
            <w:tcBorders>
              <w:bottom w:val="single" w:sz="8" w:space="0" w:color="000000"/>
            </w:tcBorders>
          </w:tcPr>
          <w:p w14:paraId="7DB72392"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0,98</w:t>
            </w:r>
          </w:p>
        </w:tc>
        <w:tc>
          <w:tcPr>
            <w:tcW w:w="1701" w:type="dxa"/>
            <w:tcBorders>
              <w:bottom w:val="single" w:sz="8" w:space="0" w:color="000000"/>
            </w:tcBorders>
          </w:tcPr>
          <w:p w14:paraId="75DC9D2F" w14:textId="77777777" w:rsidR="005A5BD5" w:rsidRPr="00CA3519" w:rsidRDefault="005A5BD5" w:rsidP="004C2C7D">
            <w:pPr>
              <w:spacing w:before="60" w:after="60"/>
              <w:ind w:right="284"/>
              <w:jc w:val="center"/>
              <w:rPr>
                <w:rFonts w:eastAsia="Calibri"/>
                <w:snapToGrid w:val="0"/>
                <w:color w:val="000000"/>
                <w:szCs w:val="22"/>
                <w:lang w:eastAsia="en-US"/>
              </w:rPr>
            </w:pPr>
            <w:r w:rsidRPr="00CA3519">
              <w:rPr>
                <w:rFonts w:eastAsia="Calibri"/>
                <w:snapToGrid w:val="0"/>
                <w:color w:val="000000"/>
                <w:szCs w:val="22"/>
                <w:lang w:eastAsia="en-US"/>
              </w:rPr>
              <w:t>0,97</w:t>
            </w:r>
          </w:p>
        </w:tc>
      </w:tr>
      <w:tr w:rsidR="005A5BD5" w:rsidRPr="00CA3519" w14:paraId="74A6EAC4" w14:textId="77777777" w:rsidTr="004C2C7D">
        <w:trPr>
          <w:trHeight w:val="375"/>
          <w:jc w:val="center"/>
        </w:trPr>
        <w:tc>
          <w:tcPr>
            <w:tcW w:w="3880" w:type="dxa"/>
            <w:tcBorders>
              <w:top w:val="single" w:sz="8" w:space="0" w:color="000000"/>
              <w:bottom w:val="single" w:sz="8" w:space="0" w:color="000000"/>
            </w:tcBorders>
          </w:tcPr>
          <w:p w14:paraId="76DA0848" w14:textId="77777777" w:rsidR="005A5BD5" w:rsidRPr="00CA3519" w:rsidRDefault="005A5BD5" w:rsidP="004C2C7D">
            <w:pPr>
              <w:tabs>
                <w:tab w:val="left" w:pos="1104"/>
              </w:tabs>
              <w:spacing w:before="60" w:after="60"/>
              <w:ind w:left="284" w:hanging="165"/>
              <w:rPr>
                <w:rFonts w:eastAsia="Calibri"/>
                <w:snapToGrid w:val="0"/>
                <w:color w:val="000000"/>
                <w:szCs w:val="22"/>
                <w:lang w:eastAsia="en-US"/>
              </w:rPr>
            </w:pPr>
            <w:r w:rsidRPr="00CA3519">
              <w:rPr>
                <w:rFonts w:eastAsia="Calibri"/>
                <w:snapToGrid w:val="0"/>
                <w:color w:val="000000"/>
                <w:szCs w:val="22"/>
                <w:lang w:eastAsia="en-US"/>
              </w:rPr>
              <w:t>von 5.577,61 EUR bis 7.436,81 EUR</w:t>
            </w:r>
          </w:p>
        </w:tc>
        <w:tc>
          <w:tcPr>
            <w:tcW w:w="1941" w:type="dxa"/>
            <w:tcBorders>
              <w:top w:val="single" w:sz="8" w:space="0" w:color="000000"/>
              <w:bottom w:val="single" w:sz="8" w:space="0" w:color="000000"/>
            </w:tcBorders>
          </w:tcPr>
          <w:p w14:paraId="257C9BF5"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0,83</w:t>
            </w:r>
          </w:p>
        </w:tc>
        <w:tc>
          <w:tcPr>
            <w:tcW w:w="2065" w:type="dxa"/>
            <w:tcBorders>
              <w:top w:val="single" w:sz="8" w:space="0" w:color="000000"/>
              <w:bottom w:val="single" w:sz="8" w:space="0" w:color="000000"/>
            </w:tcBorders>
          </w:tcPr>
          <w:p w14:paraId="3877CBC3"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0,97</w:t>
            </w:r>
          </w:p>
        </w:tc>
        <w:tc>
          <w:tcPr>
            <w:tcW w:w="1701" w:type="dxa"/>
            <w:tcBorders>
              <w:top w:val="single" w:sz="8" w:space="0" w:color="000000"/>
              <w:bottom w:val="single" w:sz="8" w:space="0" w:color="000000"/>
            </w:tcBorders>
          </w:tcPr>
          <w:p w14:paraId="66D0D5CC" w14:textId="77777777" w:rsidR="005A5BD5" w:rsidRPr="00CA3519" w:rsidRDefault="005A5BD5" w:rsidP="004C2C7D">
            <w:pPr>
              <w:spacing w:before="60" w:after="60"/>
              <w:ind w:right="284"/>
              <w:jc w:val="center"/>
              <w:rPr>
                <w:rFonts w:eastAsia="Calibri"/>
                <w:snapToGrid w:val="0"/>
                <w:color w:val="000000"/>
                <w:szCs w:val="22"/>
                <w:lang w:eastAsia="en-US"/>
              </w:rPr>
            </w:pPr>
            <w:r w:rsidRPr="00CA3519">
              <w:rPr>
                <w:rFonts w:eastAsia="Calibri"/>
                <w:snapToGrid w:val="0"/>
                <w:color w:val="000000"/>
                <w:szCs w:val="22"/>
                <w:lang w:eastAsia="en-US"/>
              </w:rPr>
              <w:t>0,96</w:t>
            </w:r>
          </w:p>
        </w:tc>
      </w:tr>
      <w:tr w:rsidR="005A5BD5" w:rsidRPr="00CA3519" w14:paraId="69702ABB" w14:textId="77777777" w:rsidTr="004C2C7D">
        <w:trPr>
          <w:trHeight w:val="375"/>
          <w:jc w:val="center"/>
        </w:trPr>
        <w:tc>
          <w:tcPr>
            <w:tcW w:w="3880" w:type="dxa"/>
            <w:tcBorders>
              <w:top w:val="single" w:sz="8" w:space="0" w:color="000000"/>
              <w:bottom w:val="nil"/>
            </w:tcBorders>
          </w:tcPr>
          <w:p w14:paraId="4289647A" w14:textId="77777777" w:rsidR="005A5BD5" w:rsidRPr="00CA3519" w:rsidRDefault="005A5BD5" w:rsidP="004C2C7D">
            <w:pPr>
              <w:tabs>
                <w:tab w:val="left" w:pos="1104"/>
              </w:tabs>
              <w:spacing w:before="60" w:after="60"/>
              <w:ind w:left="119"/>
              <w:rPr>
                <w:rFonts w:eastAsia="Calibri"/>
                <w:snapToGrid w:val="0"/>
                <w:color w:val="000000"/>
                <w:szCs w:val="22"/>
                <w:lang w:eastAsia="en-US"/>
              </w:rPr>
            </w:pPr>
            <w:r w:rsidRPr="00CA3519">
              <w:rPr>
                <w:rFonts w:eastAsia="Calibri"/>
                <w:snapToGrid w:val="0"/>
                <w:color w:val="000000"/>
                <w:szCs w:val="22"/>
                <w:lang w:eastAsia="en-US"/>
              </w:rPr>
              <w:t>von 7.436,82 EUR bis 9.915,74 EUR</w:t>
            </w:r>
          </w:p>
        </w:tc>
        <w:tc>
          <w:tcPr>
            <w:tcW w:w="1941" w:type="dxa"/>
            <w:tcBorders>
              <w:top w:val="single" w:sz="8" w:space="0" w:color="000000"/>
            </w:tcBorders>
          </w:tcPr>
          <w:p w14:paraId="2BE07F27"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0,82</w:t>
            </w:r>
          </w:p>
        </w:tc>
        <w:tc>
          <w:tcPr>
            <w:tcW w:w="2065" w:type="dxa"/>
            <w:tcBorders>
              <w:top w:val="single" w:sz="8" w:space="0" w:color="000000"/>
            </w:tcBorders>
          </w:tcPr>
          <w:p w14:paraId="5E7AC50C"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0,96</w:t>
            </w:r>
          </w:p>
        </w:tc>
        <w:tc>
          <w:tcPr>
            <w:tcW w:w="1701" w:type="dxa"/>
            <w:tcBorders>
              <w:top w:val="single" w:sz="8" w:space="0" w:color="000000"/>
            </w:tcBorders>
          </w:tcPr>
          <w:p w14:paraId="26E63AF2" w14:textId="77777777" w:rsidR="005A5BD5" w:rsidRPr="00CA3519" w:rsidRDefault="005A5BD5" w:rsidP="004C2C7D">
            <w:pPr>
              <w:spacing w:before="60" w:after="60"/>
              <w:ind w:right="284"/>
              <w:jc w:val="center"/>
              <w:rPr>
                <w:rFonts w:eastAsia="Calibri"/>
                <w:snapToGrid w:val="0"/>
                <w:color w:val="000000"/>
                <w:szCs w:val="22"/>
                <w:lang w:eastAsia="en-US"/>
              </w:rPr>
            </w:pPr>
            <w:r w:rsidRPr="00CA3519">
              <w:rPr>
                <w:rFonts w:eastAsia="Calibri"/>
                <w:snapToGrid w:val="0"/>
                <w:color w:val="000000"/>
                <w:szCs w:val="22"/>
                <w:lang w:eastAsia="en-US"/>
              </w:rPr>
              <w:t>0,95</w:t>
            </w:r>
          </w:p>
        </w:tc>
      </w:tr>
      <w:tr w:rsidR="005A5BD5" w:rsidRPr="00CA3519" w14:paraId="60B743D1" w14:textId="77777777" w:rsidTr="004C2C7D">
        <w:trPr>
          <w:trHeight w:val="375"/>
          <w:jc w:val="center"/>
        </w:trPr>
        <w:tc>
          <w:tcPr>
            <w:tcW w:w="3880" w:type="dxa"/>
            <w:tcBorders>
              <w:top w:val="single" w:sz="8" w:space="0" w:color="000000"/>
              <w:bottom w:val="nil"/>
            </w:tcBorders>
          </w:tcPr>
          <w:p w14:paraId="0F243974" w14:textId="77777777" w:rsidR="005A5BD5" w:rsidRPr="00CA3519" w:rsidRDefault="005A5BD5" w:rsidP="004C2C7D">
            <w:pPr>
              <w:tabs>
                <w:tab w:val="left" w:pos="1104"/>
              </w:tabs>
              <w:spacing w:before="60" w:after="60"/>
              <w:ind w:left="119"/>
              <w:rPr>
                <w:rFonts w:eastAsia="Calibri"/>
                <w:snapToGrid w:val="0"/>
                <w:color w:val="000000"/>
                <w:szCs w:val="22"/>
                <w:lang w:eastAsia="en-US"/>
              </w:rPr>
            </w:pPr>
            <w:r w:rsidRPr="00CA3519">
              <w:rPr>
                <w:rFonts w:eastAsia="Calibri"/>
                <w:snapToGrid w:val="0"/>
                <w:color w:val="000000"/>
                <w:szCs w:val="22"/>
                <w:lang w:eastAsia="en-US"/>
              </w:rPr>
              <w:t>von 9.915,75 EUR bis 14.873,61 EUR</w:t>
            </w:r>
          </w:p>
        </w:tc>
        <w:tc>
          <w:tcPr>
            <w:tcW w:w="1941" w:type="dxa"/>
          </w:tcPr>
          <w:p w14:paraId="7BBCD1BB"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0,81</w:t>
            </w:r>
          </w:p>
        </w:tc>
        <w:tc>
          <w:tcPr>
            <w:tcW w:w="2065" w:type="dxa"/>
          </w:tcPr>
          <w:p w14:paraId="15C6F4CA"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0,95</w:t>
            </w:r>
          </w:p>
        </w:tc>
        <w:tc>
          <w:tcPr>
            <w:tcW w:w="1701" w:type="dxa"/>
          </w:tcPr>
          <w:p w14:paraId="0CA9949F" w14:textId="77777777" w:rsidR="005A5BD5" w:rsidRPr="00CA3519" w:rsidRDefault="005A5BD5" w:rsidP="004C2C7D">
            <w:pPr>
              <w:spacing w:before="60" w:after="60"/>
              <w:ind w:right="284"/>
              <w:jc w:val="center"/>
              <w:rPr>
                <w:rFonts w:eastAsia="Calibri"/>
                <w:snapToGrid w:val="0"/>
                <w:color w:val="000000"/>
                <w:szCs w:val="22"/>
                <w:lang w:eastAsia="en-US"/>
              </w:rPr>
            </w:pPr>
            <w:r w:rsidRPr="00CA3519">
              <w:rPr>
                <w:rFonts w:eastAsia="Calibri"/>
                <w:snapToGrid w:val="0"/>
                <w:color w:val="000000"/>
                <w:szCs w:val="22"/>
                <w:lang w:eastAsia="en-US"/>
              </w:rPr>
              <w:t>0,94</w:t>
            </w:r>
          </w:p>
        </w:tc>
      </w:tr>
      <w:tr w:rsidR="005A5BD5" w:rsidRPr="00CA3519" w14:paraId="7FC45C84" w14:textId="77777777" w:rsidTr="004C2C7D">
        <w:trPr>
          <w:trHeight w:val="375"/>
          <w:jc w:val="center"/>
        </w:trPr>
        <w:tc>
          <w:tcPr>
            <w:tcW w:w="3880" w:type="dxa"/>
            <w:tcBorders>
              <w:top w:val="single" w:sz="8" w:space="0" w:color="000000"/>
              <w:bottom w:val="double" w:sz="6" w:space="0" w:color="auto"/>
            </w:tcBorders>
          </w:tcPr>
          <w:p w14:paraId="71B1A1A2" w14:textId="77777777" w:rsidR="005A5BD5" w:rsidRPr="00CA3519" w:rsidRDefault="005A5BD5" w:rsidP="004C2C7D">
            <w:pPr>
              <w:tabs>
                <w:tab w:val="left" w:pos="1104"/>
              </w:tabs>
              <w:spacing w:before="60" w:after="60"/>
              <w:ind w:left="119"/>
              <w:rPr>
                <w:rFonts w:eastAsia="Calibri"/>
                <w:snapToGrid w:val="0"/>
                <w:color w:val="000000"/>
                <w:szCs w:val="22"/>
                <w:lang w:eastAsia="en-US"/>
              </w:rPr>
            </w:pPr>
            <w:r w:rsidRPr="00CA3519">
              <w:rPr>
                <w:rFonts w:eastAsia="Calibri"/>
                <w:snapToGrid w:val="0"/>
                <w:color w:val="000000"/>
                <w:szCs w:val="22"/>
                <w:lang w:eastAsia="en-US"/>
              </w:rPr>
              <w:t>mehr als 14.873,61 EUR</w:t>
            </w:r>
          </w:p>
        </w:tc>
        <w:tc>
          <w:tcPr>
            <w:tcW w:w="1941" w:type="dxa"/>
          </w:tcPr>
          <w:p w14:paraId="4692B598"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0,81</w:t>
            </w:r>
          </w:p>
        </w:tc>
        <w:tc>
          <w:tcPr>
            <w:tcW w:w="2065" w:type="dxa"/>
          </w:tcPr>
          <w:p w14:paraId="054D57DF" w14:textId="77777777" w:rsidR="005A5BD5" w:rsidRPr="00CA3519" w:rsidRDefault="005A5BD5" w:rsidP="004C2C7D">
            <w:pPr>
              <w:spacing w:before="60" w:after="60"/>
              <w:jc w:val="center"/>
              <w:rPr>
                <w:rFonts w:eastAsia="Calibri"/>
                <w:snapToGrid w:val="0"/>
                <w:color w:val="000000"/>
                <w:szCs w:val="22"/>
                <w:lang w:eastAsia="en-US"/>
              </w:rPr>
            </w:pPr>
            <w:r w:rsidRPr="00CA3519">
              <w:rPr>
                <w:rFonts w:eastAsia="Calibri"/>
                <w:snapToGrid w:val="0"/>
                <w:color w:val="000000"/>
                <w:szCs w:val="22"/>
                <w:lang w:eastAsia="en-US"/>
              </w:rPr>
              <w:t>0,95</w:t>
            </w:r>
          </w:p>
        </w:tc>
        <w:tc>
          <w:tcPr>
            <w:tcW w:w="1701" w:type="dxa"/>
          </w:tcPr>
          <w:p w14:paraId="0330BCB7" w14:textId="77777777" w:rsidR="005A5BD5" w:rsidRPr="00CA3519" w:rsidRDefault="005A5BD5" w:rsidP="004C2C7D">
            <w:pPr>
              <w:spacing w:before="60" w:after="60"/>
              <w:ind w:right="284"/>
              <w:jc w:val="center"/>
              <w:rPr>
                <w:rFonts w:eastAsia="Calibri"/>
                <w:snapToGrid w:val="0"/>
                <w:color w:val="000000"/>
                <w:szCs w:val="22"/>
                <w:lang w:eastAsia="en-US"/>
              </w:rPr>
            </w:pPr>
            <w:r w:rsidRPr="00CA3519">
              <w:rPr>
                <w:rFonts w:eastAsia="Calibri"/>
                <w:snapToGrid w:val="0"/>
                <w:color w:val="000000"/>
                <w:szCs w:val="22"/>
                <w:lang w:eastAsia="en-US"/>
              </w:rPr>
              <w:t>0,93]</w:t>
            </w:r>
          </w:p>
        </w:tc>
      </w:tr>
    </w:tbl>
    <w:p w14:paraId="2B1E4252" w14:textId="77777777" w:rsidR="005A5BD5" w:rsidRPr="00CA3519" w:rsidRDefault="005A5BD5" w:rsidP="004C2C7D">
      <w:pPr>
        <w:jc w:val="center"/>
        <w:rPr>
          <w:rFonts w:eastAsia="Calibri"/>
          <w:szCs w:val="22"/>
          <w:lang w:eastAsia="en-US"/>
        </w:rPr>
      </w:pPr>
    </w:p>
    <w:p w14:paraId="42E312D7" w14:textId="77777777" w:rsidR="005A5BD5" w:rsidRPr="00CA3519" w:rsidRDefault="005A5BD5" w:rsidP="004C2C7D">
      <w:pPr>
        <w:rPr>
          <w:rFonts w:eastAsia="Calibri"/>
          <w:szCs w:val="22"/>
          <w:lang w:eastAsia="en-US"/>
        </w:rPr>
      </w:pPr>
    </w:p>
    <w:p w14:paraId="1C568DC9" w14:textId="77777777" w:rsidR="00B7418B" w:rsidRPr="00CA3519" w:rsidRDefault="00B7418B" w:rsidP="004C2C7D">
      <w:pPr>
        <w:jc w:val="center"/>
        <w:rPr>
          <w:rFonts w:eastAsia="Calibri"/>
          <w:szCs w:val="22"/>
          <w:lang w:eastAsia="en-US"/>
        </w:rPr>
      </w:pPr>
    </w:p>
    <w:p w14:paraId="3F8A1D07" w14:textId="77777777" w:rsidR="00B7418B" w:rsidRPr="00CA3519" w:rsidRDefault="00B7418B">
      <w:pPr>
        <w:rPr>
          <w:rFonts w:eastAsia="Calibri"/>
          <w:szCs w:val="22"/>
          <w:lang w:eastAsia="en-US"/>
        </w:rPr>
      </w:pPr>
      <w:r w:rsidRPr="00CA3519">
        <w:rPr>
          <w:rFonts w:eastAsia="Calibri"/>
          <w:szCs w:val="22"/>
          <w:lang w:eastAsia="en-US"/>
        </w:rPr>
        <w:br w:type="page"/>
      </w:r>
    </w:p>
    <w:p w14:paraId="30887A8C" w14:textId="77777777" w:rsidR="005A5BD5" w:rsidRPr="00135529" w:rsidRDefault="005A5BD5" w:rsidP="004C2C7D">
      <w:pPr>
        <w:jc w:val="center"/>
        <w:rPr>
          <w:rFonts w:eastAsia="Calibri"/>
          <w:szCs w:val="22"/>
          <w:lang w:eastAsia="en-US"/>
        </w:rPr>
      </w:pPr>
      <w:r w:rsidRPr="00135529">
        <w:rPr>
          <w:rFonts w:eastAsia="Calibri"/>
          <w:szCs w:val="22"/>
          <w:lang w:eastAsia="en-US"/>
        </w:rPr>
        <w:lastRenderedPageBreak/>
        <w:t>[</w:t>
      </w:r>
      <w:r w:rsidRPr="00135529">
        <w:rPr>
          <w:rFonts w:eastAsia="Calibri"/>
          <w:i/>
          <w:szCs w:val="22"/>
          <w:lang w:eastAsia="en-US"/>
        </w:rPr>
        <w:t xml:space="preserve">Abschnitt 3 - </w:t>
      </w:r>
      <w:r w:rsidRPr="00135529">
        <w:rPr>
          <w:rFonts w:eastAsia="Calibri"/>
          <w:szCs w:val="22"/>
          <w:lang w:eastAsia="en-US"/>
        </w:rPr>
        <w:t>[…]]</w:t>
      </w:r>
    </w:p>
    <w:p w14:paraId="7ED22100" w14:textId="77777777" w:rsidR="005A5BD5" w:rsidRPr="00135529" w:rsidRDefault="005A5BD5" w:rsidP="004C2C7D">
      <w:pPr>
        <w:jc w:val="center"/>
        <w:rPr>
          <w:rFonts w:eastAsia="Calibri"/>
          <w:szCs w:val="22"/>
          <w:lang w:eastAsia="en-US"/>
        </w:rPr>
      </w:pPr>
    </w:p>
    <w:p w14:paraId="5E48FC87" w14:textId="01608455" w:rsidR="005A5BD5" w:rsidRPr="00135529" w:rsidRDefault="005A5BD5" w:rsidP="004C2C7D">
      <w:pPr>
        <w:autoSpaceDE w:val="0"/>
        <w:autoSpaceDN w:val="0"/>
        <w:adjustRightInd w:val="0"/>
        <w:jc w:val="both"/>
        <w:rPr>
          <w:rFonts w:eastAsia="Calibri"/>
          <w:i/>
          <w:iCs/>
          <w:lang w:eastAsia="en-US"/>
        </w:rPr>
      </w:pPr>
      <w:r w:rsidRPr="00135529">
        <w:rPr>
          <w:rFonts w:eastAsia="Calibri"/>
          <w:i/>
          <w:iCs/>
          <w:lang w:eastAsia="en-US"/>
        </w:rPr>
        <w:t>[Anlage 1 neuer Abschnitt 1 mit Tabelle eingefügt durch Art. 4 des K.E. vom 6. März 1996 (B.S. vom 19. März 1996); Abschnitt </w:t>
      </w:r>
      <w:r w:rsidR="00683C1D">
        <w:rPr>
          <w:rFonts w:eastAsia="Calibri"/>
          <w:i/>
          <w:iCs/>
          <w:lang w:eastAsia="en-US"/>
        </w:rPr>
        <w:t>1</w:t>
      </w:r>
      <w:r w:rsidRPr="00135529">
        <w:rPr>
          <w:rFonts w:eastAsia="Calibri"/>
          <w:i/>
          <w:iCs/>
          <w:lang w:eastAsia="en-US"/>
        </w:rPr>
        <w:t xml:space="preserve"> Tabelle abgeändert durch Art. 2 des K.E. vom 17. März 1997 (B.S. vom 27. März 1997), Art. 2 des K.E. vom 2. Juni 1998 (B.S. vom 20. Juni 1998), Art. 2 des K.E. vom 21. April 1999 (B.S. vom 7. Mai 1999), Art. 2 des K.E. vom 25. April 2000 (II) (B.S. vom 9. Mai 2000), Art. 2 des K.E. vom 16. März 2001 (B.S. vom 10. April 2001), Art. 2 des K.E. vom 8. März 2002 (B.S. vom 19. März 2002), Art. 2 des K.E. vom 21. Februar 2003 (B.S. vom 6. März 2003), Art. 2 des K.E. vom 19. Februar 2004 (B.S. vom 27. Februar 2004), Art. 2 des K.E. vom 16. Februar 2005 (B.S. vom 24. Februar 2005), Art. 2 des K.E. vom 17. März 2006 (B.S. vom 24. März 2006), Art. 2 des K.E. vom 13. Februar 2007 (B.S. vom 23. Februar 2007), Art. 2 des K.E. vom 25. Februar 2008 (B.S. vom 29. Februar 2008), Art. 2 des K.E. vom 3. Februar 2009 (B.S. vom 10. Februar 2009), Art. 2 des K.E. vom 10. Februar 2010 (B.S. vom 22. Februar 2010), Art. 2 des K.E. vom 7. Februar 2011 (B.S. vom 11. Februar 2011), Art. 2 des K.E. vom 4. März 2012 (B.S. vom 8. März 2012), Art. 2 des K.E. vom 1. März 2013 (B.S. vom 7. März 2013), Art. 2 des K.E. vom 21. Februar 2014 (III) (B.S. vom 26. Februar 2014)</w:t>
      </w:r>
      <w:r w:rsidR="007F25C5">
        <w:rPr>
          <w:rFonts w:eastAsia="Calibri"/>
          <w:i/>
          <w:iCs/>
          <w:lang w:eastAsia="en-US"/>
        </w:rPr>
        <w:t>,</w:t>
      </w:r>
      <w:r w:rsidR="00927BC1">
        <w:rPr>
          <w:rFonts w:eastAsia="Calibri"/>
          <w:i/>
          <w:iCs/>
          <w:lang w:eastAsia="en-US"/>
        </w:rPr>
        <w:t xml:space="preserve"> </w:t>
      </w:r>
      <w:r w:rsidR="00927BC1">
        <w:rPr>
          <w:rFonts w:eastAsia="Calibri"/>
          <w:i/>
          <w:lang w:eastAsia="de-DE" w:bidi="de-DE"/>
        </w:rPr>
        <w:t>Art. 2 des K.E. vom 22. Februar 2015 (B.S. vom 2. März 2015)</w:t>
      </w:r>
      <w:r w:rsidR="006E2521">
        <w:rPr>
          <w:rFonts w:eastAsia="Calibri"/>
          <w:i/>
          <w:lang w:eastAsia="de-DE" w:bidi="de-DE"/>
        </w:rPr>
        <w:t>,</w:t>
      </w:r>
      <w:r w:rsidR="007F25C5">
        <w:rPr>
          <w:rFonts w:eastAsia="Calibri"/>
          <w:i/>
          <w:lang w:eastAsia="de-DE" w:bidi="de-DE"/>
        </w:rPr>
        <w:t xml:space="preserve"> Art. 2 des K.E. vom 22. Februar 2016 (B.S. vom 25. Februar 2016)</w:t>
      </w:r>
      <w:r w:rsidR="00AA6324">
        <w:rPr>
          <w:rFonts w:eastAsia="Calibri"/>
          <w:i/>
          <w:lang w:eastAsia="de-DE" w:bidi="de-DE"/>
        </w:rPr>
        <w:t xml:space="preserve">, </w:t>
      </w:r>
      <w:r w:rsidR="006E2521">
        <w:rPr>
          <w:rFonts w:eastAsia="Calibri"/>
          <w:i/>
          <w:lang w:eastAsia="de-DE" w:bidi="de-DE"/>
        </w:rPr>
        <w:t>Art. 2 des K.E. vom 20. Februar 2017 (B.S. vom 3. März 2017)</w:t>
      </w:r>
      <w:r w:rsidR="007E1C5E">
        <w:rPr>
          <w:rFonts w:eastAsia="Calibri"/>
          <w:i/>
          <w:lang w:eastAsia="de-DE" w:bidi="de-DE"/>
        </w:rPr>
        <w:t>,</w:t>
      </w:r>
      <w:r w:rsidR="00AA6324">
        <w:rPr>
          <w:rFonts w:eastAsia="Calibri"/>
          <w:i/>
          <w:lang w:eastAsia="de-DE" w:bidi="de-DE"/>
        </w:rPr>
        <w:t xml:space="preserve"> Art. 2 des K.E. vom 26. Januar 2018 (B.S. vom 30. Januar 2018)</w:t>
      </w:r>
      <w:r w:rsidR="0095299A">
        <w:rPr>
          <w:rFonts w:eastAsia="Calibri"/>
          <w:i/>
          <w:lang w:eastAsia="de-DE" w:bidi="de-DE"/>
        </w:rPr>
        <w:t>,</w:t>
      </w:r>
      <w:r w:rsidR="007E1C5E">
        <w:rPr>
          <w:rFonts w:eastAsia="Calibri"/>
          <w:i/>
          <w:lang w:eastAsia="de-DE" w:bidi="de-DE"/>
        </w:rPr>
        <w:t xml:space="preserve"> Art. 2 des K.E. vom 17. März 2019 (B.S. vom 1. April 2019)</w:t>
      </w:r>
      <w:r w:rsidR="004F03F2">
        <w:rPr>
          <w:rFonts w:eastAsia="Calibri"/>
          <w:i/>
          <w:lang w:eastAsia="de-DE" w:bidi="de-DE"/>
        </w:rPr>
        <w:t>,</w:t>
      </w:r>
      <w:r w:rsidR="0095299A">
        <w:rPr>
          <w:rFonts w:eastAsia="Calibri"/>
          <w:i/>
          <w:lang w:eastAsia="de-DE" w:bidi="de-DE"/>
        </w:rPr>
        <w:t xml:space="preserve"> Art. 2 des K.E. vom 17. Februar 2020 (B.S. vom 21. Februar 2020, Err. vom 3. März 2020)</w:t>
      </w:r>
      <w:r w:rsidR="00ED5A3B">
        <w:rPr>
          <w:rFonts w:eastAsia="Calibri"/>
          <w:i/>
          <w:lang w:eastAsia="de-DE" w:bidi="de-DE"/>
        </w:rPr>
        <w:t xml:space="preserve">, </w:t>
      </w:r>
      <w:r w:rsidR="004F03F2">
        <w:rPr>
          <w:rFonts w:eastAsia="Calibri"/>
          <w:i/>
          <w:lang w:eastAsia="de-DE" w:bidi="de-DE"/>
        </w:rPr>
        <w:t>Art. 2 des K.E. vom 24. Februar 2021 (B.S. vom 1. März 2021)</w:t>
      </w:r>
      <w:r w:rsidR="00842BDA">
        <w:rPr>
          <w:rFonts w:eastAsia="Calibri"/>
          <w:i/>
          <w:lang w:eastAsia="de-DE" w:bidi="de-DE"/>
        </w:rPr>
        <w:t>,</w:t>
      </w:r>
      <w:r w:rsidR="00ED5A3B">
        <w:rPr>
          <w:rFonts w:eastAsia="Calibri"/>
          <w:i/>
          <w:lang w:eastAsia="de-DE" w:bidi="de-DE"/>
        </w:rPr>
        <w:t xml:space="preserve"> Art. 2 des K.E. vom 6. Februar 2022 (B.S. vom 14. Februar 2022, Err. vom 9. März 2022)</w:t>
      </w:r>
      <w:r w:rsidR="00914FBF">
        <w:rPr>
          <w:rFonts w:eastAsia="Calibri"/>
          <w:i/>
          <w:lang w:eastAsia="de-DE" w:bidi="de-DE"/>
        </w:rPr>
        <w:t>,</w:t>
      </w:r>
      <w:r w:rsidR="00842BDA">
        <w:rPr>
          <w:rFonts w:eastAsia="Calibri"/>
          <w:i/>
          <w:lang w:eastAsia="de-DE" w:bidi="de-DE"/>
        </w:rPr>
        <w:t xml:space="preserve"> Art. 2</w:t>
      </w:r>
      <w:r w:rsidR="00842BDA" w:rsidRPr="00842BDA">
        <w:rPr>
          <w:rFonts w:eastAsia="Calibri"/>
          <w:i/>
          <w:lang w:eastAsia="de-DE" w:bidi="de-DE"/>
        </w:rPr>
        <w:t xml:space="preserve"> des K.E. vom 17. Februar 2023 (B.S. vom 3. März 2023)</w:t>
      </w:r>
      <w:r w:rsidR="00811447">
        <w:rPr>
          <w:rFonts w:eastAsia="Calibri"/>
          <w:i/>
          <w:lang w:eastAsia="de-DE" w:bidi="de-DE"/>
        </w:rPr>
        <w:t>,</w:t>
      </w:r>
      <w:r w:rsidR="00914FBF">
        <w:rPr>
          <w:rFonts w:eastAsia="Calibri"/>
          <w:i/>
          <w:lang w:eastAsia="de-DE" w:bidi="de-DE"/>
        </w:rPr>
        <w:t xml:space="preserve"> Art. 2</w:t>
      </w:r>
      <w:r w:rsidR="00914FBF" w:rsidRPr="00914FBF">
        <w:rPr>
          <w:rFonts w:eastAsia="Calibri"/>
          <w:i/>
          <w:lang w:eastAsia="de-DE" w:bidi="de-DE"/>
        </w:rPr>
        <w:t xml:space="preserve"> des K.E. vom 12. Januar 2024 (B.S. vom 25. Januar 2024)</w:t>
      </w:r>
      <w:r w:rsidR="00811447" w:rsidRPr="00811447">
        <w:rPr>
          <w:rFonts w:eastAsia="Calibri"/>
          <w:i/>
          <w:lang w:eastAsia="de-DE" w:bidi="de-DE"/>
        </w:rPr>
        <w:t xml:space="preserve"> und Art. </w:t>
      </w:r>
      <w:r w:rsidR="00811447">
        <w:rPr>
          <w:rFonts w:eastAsia="Calibri"/>
          <w:i/>
          <w:lang w:eastAsia="de-DE" w:bidi="de-DE"/>
        </w:rPr>
        <w:t>2</w:t>
      </w:r>
      <w:r w:rsidR="00811447" w:rsidRPr="00811447">
        <w:rPr>
          <w:rFonts w:eastAsia="Calibri"/>
          <w:i/>
          <w:lang w:eastAsia="de-DE" w:bidi="de-DE"/>
        </w:rPr>
        <w:t xml:space="preserve"> des K.E. vom 24. Januar 2025 (B.S. vom 5. Februar 2025)</w:t>
      </w:r>
      <w:r w:rsidRPr="00135529">
        <w:rPr>
          <w:rFonts w:eastAsia="Calibri"/>
          <w:i/>
          <w:iCs/>
          <w:lang w:eastAsia="en-US"/>
        </w:rPr>
        <w:t>; früherer Abschnitt 1 umnummeriert zu Abschnitt 2 durch Art. 4 des K.E. vom 6. März 1996 (B.S. vom 19. März 1996); Abschnitt 2 Tabelle ersetzt durch Art. 6 des K.E. vom 13. Juli 2001 (B.S. vom 11. August 2001); Abschnitt 3 eingefügt durch Art. 2 des K.E. vom 7. Dezember 1998 (B.S. vom 23. Dezember 1998) und aufgehoben durch Art. 3 des K.E. vom 10. Januar 2010 (I) (B.S. vom 15. Januar 2010)]</w:t>
      </w:r>
    </w:p>
    <w:p w14:paraId="310CA6E1" w14:textId="77777777" w:rsidR="005A5BD5" w:rsidRPr="00135529" w:rsidRDefault="005A5BD5" w:rsidP="004C2C7D">
      <w:pPr>
        <w:jc w:val="both"/>
        <w:rPr>
          <w:rFonts w:eastAsia="Calibri"/>
          <w:i/>
          <w:szCs w:val="22"/>
          <w:lang w:eastAsia="en-US"/>
        </w:rPr>
      </w:pPr>
    </w:p>
    <w:p w14:paraId="4D6AC56D" w14:textId="77777777" w:rsidR="005A5BD5" w:rsidRDefault="005A5BD5" w:rsidP="004C2C7D">
      <w:pPr>
        <w:jc w:val="both"/>
        <w:rPr>
          <w:rFonts w:eastAsia="Calibri"/>
          <w:szCs w:val="22"/>
          <w:lang w:eastAsia="de-DE" w:bidi="de-DE"/>
        </w:rPr>
        <w:sectPr w:rsidR="005A5BD5" w:rsidSect="00ED5A3B">
          <w:pgSz w:w="11906" w:h="16838" w:code="9"/>
          <w:pgMar w:top="1418" w:right="1418" w:bottom="1418" w:left="1418" w:header="709" w:footer="709" w:gutter="0"/>
          <w:cols w:space="708"/>
          <w:docGrid w:linePitch="360"/>
        </w:sectPr>
      </w:pPr>
    </w:p>
    <w:p w14:paraId="1424CF93" w14:textId="483CC59B" w:rsidR="005A5BD5" w:rsidRPr="001E2509" w:rsidRDefault="005016E4" w:rsidP="004C2C7D">
      <w:pPr>
        <w:jc w:val="center"/>
        <w:rPr>
          <w:rFonts w:eastAsia="Calibri"/>
          <w:b/>
          <w:szCs w:val="22"/>
          <w:lang w:eastAsia="de-DE" w:bidi="de-DE"/>
        </w:rPr>
      </w:pPr>
      <w:r>
        <w:rPr>
          <w:rFonts w:eastAsia="Calibri"/>
          <w:b/>
          <w:szCs w:val="22"/>
          <w:lang w:eastAsia="de-DE" w:bidi="de-DE"/>
        </w:rPr>
        <w:lastRenderedPageBreak/>
        <w:t>ANLAGE 2</w:t>
      </w:r>
    </w:p>
    <w:p w14:paraId="633C003C" w14:textId="77777777" w:rsidR="005A5BD5" w:rsidRPr="001E2509" w:rsidRDefault="005A5BD5" w:rsidP="004C2C7D">
      <w:pPr>
        <w:jc w:val="center"/>
        <w:rPr>
          <w:rFonts w:eastAsia="Calibri"/>
          <w:szCs w:val="22"/>
          <w:lang w:eastAsia="de-DE" w:bidi="de-DE"/>
        </w:rPr>
      </w:pPr>
    </w:p>
    <w:p w14:paraId="0FE1E2BB" w14:textId="77777777" w:rsidR="005A5BD5" w:rsidRPr="001E2509" w:rsidRDefault="005A5BD5" w:rsidP="004C2C7D">
      <w:pPr>
        <w:jc w:val="center"/>
        <w:rPr>
          <w:rFonts w:eastAsia="Calibri"/>
          <w:szCs w:val="22"/>
          <w:lang w:eastAsia="de-DE" w:bidi="de-DE"/>
        </w:rPr>
      </w:pPr>
    </w:p>
    <w:p w14:paraId="67C3C6BF" w14:textId="77777777" w:rsidR="005A5BD5" w:rsidRPr="001E2509" w:rsidRDefault="005A5BD5" w:rsidP="004C2C7D">
      <w:pPr>
        <w:jc w:val="both"/>
        <w:rPr>
          <w:rFonts w:eastAsia="Calibri"/>
          <w:b/>
          <w:szCs w:val="22"/>
          <w:lang w:eastAsia="de-DE" w:bidi="de-DE"/>
        </w:rPr>
      </w:pPr>
      <w:r w:rsidRPr="001E2509">
        <w:rPr>
          <w:rFonts w:eastAsia="Calibri"/>
          <w:b/>
          <w:szCs w:val="22"/>
          <w:lang w:eastAsia="de-DE" w:bidi="de-DE"/>
        </w:rPr>
        <w:t xml:space="preserve">Liste der </w:t>
      </w:r>
      <w:r w:rsidRPr="00490660">
        <w:rPr>
          <w:rFonts w:eastAsia="Calibri"/>
          <w:szCs w:val="22"/>
          <w:lang w:eastAsia="de-DE" w:bidi="de-DE"/>
        </w:rPr>
        <w:t>[</w:t>
      </w:r>
      <w:r w:rsidRPr="001E2509">
        <w:rPr>
          <w:rFonts w:eastAsia="Calibri"/>
          <w:b/>
          <w:szCs w:val="22"/>
          <w:lang w:eastAsia="de-DE" w:bidi="de-DE"/>
        </w:rPr>
        <w:t xml:space="preserve">in Artikel 69 § 1 </w:t>
      </w:r>
      <w:r w:rsidRPr="00490660">
        <w:rPr>
          <w:rFonts w:eastAsia="Calibri"/>
          <w:szCs w:val="22"/>
          <w:lang w:eastAsia="de-DE" w:bidi="de-DE"/>
        </w:rPr>
        <w:t>[</w:t>
      </w:r>
      <w:r w:rsidRPr="001E2509">
        <w:rPr>
          <w:rFonts w:eastAsia="Calibri"/>
          <w:b/>
          <w:szCs w:val="22"/>
          <w:lang w:eastAsia="de-DE" w:bidi="de-DE"/>
        </w:rPr>
        <w:t>Absatz 1 Nr. 2 Buchstabe </w:t>
      </w:r>
      <w:r w:rsidRPr="001E2509">
        <w:rPr>
          <w:rFonts w:eastAsia="Calibri"/>
          <w:b/>
          <w:i/>
          <w:szCs w:val="22"/>
          <w:lang w:eastAsia="de-DE" w:bidi="de-DE"/>
        </w:rPr>
        <w:t>c)</w:t>
      </w:r>
      <w:r w:rsidRPr="00490660">
        <w:rPr>
          <w:rFonts w:eastAsia="Calibri"/>
          <w:szCs w:val="22"/>
          <w:lang w:eastAsia="de-DE" w:bidi="de-DE"/>
        </w:rPr>
        <w:t>]]</w:t>
      </w:r>
      <w:r w:rsidRPr="001E2509">
        <w:rPr>
          <w:rFonts w:eastAsia="Calibri"/>
          <w:b/>
          <w:szCs w:val="22"/>
          <w:lang w:eastAsia="de-DE" w:bidi="de-DE"/>
        </w:rPr>
        <w:t xml:space="preserve"> des Einkommensteuer</w:t>
      </w:r>
      <w:r w:rsidRPr="001E2509">
        <w:rPr>
          <w:rFonts w:eastAsia="Calibri"/>
          <w:b/>
          <w:szCs w:val="22"/>
          <w:lang w:eastAsia="de-DE" w:bidi="de-DE"/>
        </w:rPr>
        <w:softHyphen/>
        <w:t>gesetzbuches 1992 erwähnten Anlagen für eine rationellere Energienutzung, für eine Verbesserung der Industrieverfahren hinsichtlich des Energieverbrauchs und für die Energierückgewinnung in der Industrie</w:t>
      </w:r>
    </w:p>
    <w:p w14:paraId="5CAC6AAC" w14:textId="77777777" w:rsidR="005A5BD5" w:rsidRPr="001E2509" w:rsidRDefault="005A5BD5" w:rsidP="004C2C7D">
      <w:pPr>
        <w:jc w:val="both"/>
        <w:rPr>
          <w:rFonts w:eastAsia="Calibri"/>
          <w:b/>
          <w:szCs w:val="22"/>
          <w:lang w:eastAsia="de-DE" w:bidi="de-DE"/>
        </w:rPr>
      </w:pPr>
    </w:p>
    <w:p w14:paraId="5D8527CB" w14:textId="77777777" w:rsidR="005A5BD5" w:rsidRPr="001E2509" w:rsidRDefault="005A5BD5" w:rsidP="004C2C7D">
      <w:pPr>
        <w:jc w:val="center"/>
        <w:rPr>
          <w:rFonts w:eastAsia="Calibri"/>
          <w:szCs w:val="22"/>
          <w:lang w:eastAsia="de-DE" w:bidi="de-DE"/>
        </w:rPr>
      </w:pPr>
      <w:r w:rsidRPr="001E2509">
        <w:rPr>
          <w:rFonts w:eastAsia="Calibri"/>
          <w:szCs w:val="22"/>
          <w:lang w:eastAsia="de-DE" w:bidi="de-DE"/>
        </w:rPr>
        <w:t>(Königlicher Erlass zur Ausführung des Einkommensteuergesetzbuches 1992, Artikel 49)</w:t>
      </w:r>
    </w:p>
    <w:p w14:paraId="58547262" w14:textId="77777777" w:rsidR="005A5BD5" w:rsidRPr="001E2509" w:rsidRDefault="005A5BD5" w:rsidP="004C2C7D">
      <w:pPr>
        <w:rPr>
          <w:rFonts w:eastAsia="Calibri"/>
          <w:szCs w:val="22"/>
          <w:lang w:eastAsia="de-DE" w:bidi="de-DE"/>
        </w:rPr>
      </w:pPr>
    </w:p>
    <w:p w14:paraId="3AB4F910" w14:textId="77777777" w:rsidR="005A5BD5" w:rsidRPr="001E2509" w:rsidRDefault="005A5BD5" w:rsidP="004C2C7D">
      <w:pPr>
        <w:rPr>
          <w:rFonts w:eastAsia="Calibri"/>
          <w:szCs w:val="22"/>
          <w:lang w:eastAsia="de-DE" w:bidi="de-DE"/>
        </w:rPr>
      </w:pPr>
    </w:p>
    <w:p w14:paraId="4BC39E06"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1 - Effizientere Isolierung von Gebäuden, die vor dem 1. Januar 1980 errichtet worden sind</w:t>
      </w:r>
    </w:p>
    <w:p w14:paraId="2A922366" w14:textId="77777777" w:rsidR="005A5BD5" w:rsidRPr="001E2509" w:rsidRDefault="005A5BD5" w:rsidP="004C2C7D">
      <w:pPr>
        <w:rPr>
          <w:rFonts w:eastAsia="Calibri"/>
          <w:szCs w:val="22"/>
          <w:lang w:eastAsia="de-DE" w:bidi="de-DE"/>
        </w:rPr>
      </w:pPr>
    </w:p>
    <w:p w14:paraId="4364C404"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Unter der Bedingung, dass Materialien verwendet werden, deren Wärmeleitfähigkeit gemäß den belgischen NBN-Normen der Serie B 62 oder gemäß den spezifischen belgischen Normen oder den belgischen technischen Zulassungen höchstens 0,080 Watt pro Meter und Kelvin beträgt, werden folgende Investitionen berücksichtigt:</w:t>
      </w:r>
    </w:p>
    <w:p w14:paraId="0BC09DA1" w14:textId="77777777" w:rsidR="005A5BD5" w:rsidRPr="001E2509" w:rsidRDefault="005A5BD5" w:rsidP="004C2C7D">
      <w:pPr>
        <w:rPr>
          <w:rFonts w:eastAsia="Calibri"/>
          <w:szCs w:val="22"/>
          <w:lang w:eastAsia="de-DE" w:bidi="de-DE"/>
        </w:rPr>
      </w:pPr>
    </w:p>
    <w:p w14:paraId="776BEA99" w14:textId="77777777" w:rsidR="005A5BD5" w:rsidRPr="001E2509" w:rsidRDefault="005A5BD5" w:rsidP="004C2C7D">
      <w:pPr>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a)</w:t>
      </w:r>
      <w:r w:rsidRPr="001E2509">
        <w:rPr>
          <w:rFonts w:eastAsia="Calibri"/>
          <w:szCs w:val="22"/>
          <w:lang w:eastAsia="de-DE" w:bidi="de-DE"/>
        </w:rPr>
        <w:t> Ausschäumen von Hohlmauern mit Dämmstoff,</w:t>
      </w:r>
    </w:p>
    <w:p w14:paraId="0213E9DE" w14:textId="77777777" w:rsidR="005A5BD5" w:rsidRPr="001E2509" w:rsidRDefault="005A5BD5" w:rsidP="004C2C7D">
      <w:pPr>
        <w:rPr>
          <w:rFonts w:eastAsia="Calibri"/>
          <w:szCs w:val="22"/>
          <w:lang w:eastAsia="de-DE" w:bidi="de-DE"/>
        </w:rPr>
      </w:pPr>
    </w:p>
    <w:p w14:paraId="50FFADE8" w14:textId="77777777" w:rsidR="005A5BD5" w:rsidRPr="001E2509" w:rsidRDefault="005A5BD5" w:rsidP="004C2C7D">
      <w:pPr>
        <w:tabs>
          <w:tab w:val="left" w:pos="709"/>
          <w:tab w:val="left" w:pos="993"/>
        </w:tabs>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b)</w:t>
      </w:r>
      <w:r w:rsidRPr="001E2509">
        <w:rPr>
          <w:rFonts w:eastAsia="Calibri"/>
          <w:szCs w:val="22"/>
          <w:lang w:eastAsia="de-DE" w:bidi="de-DE"/>
        </w:rPr>
        <w:t> Isolierung von Außenmauern, -türen und -toren, Schräg- oder Flachdächern, Fußböden und Mauern, die einen geheizten Raum von einem ungeheizten Raum trennen, oder von Fußböden, die einen geheizten Raum von der Außenluft trennen, mit Material, das einen Wärmedurchlasswiderstand von mindestens 1,2 Quadratmetern Kelvin pro Watt besitzt, sowie Anbringen von einem erforderlichen Schutz oder einer Verkleidung, um den Dämmstoff vor dem Eindringen von Staub, Luft oder Wasserdampf zu schützen, Material und Lohnkosten in Bezug auf Fertigstellung und Dekoration nicht einbegriffen,</w:t>
      </w:r>
    </w:p>
    <w:p w14:paraId="7BBF8954" w14:textId="77777777" w:rsidR="005A5BD5" w:rsidRPr="001E2509" w:rsidRDefault="005A5BD5" w:rsidP="004C2C7D">
      <w:pPr>
        <w:rPr>
          <w:rFonts w:eastAsia="Calibri"/>
          <w:szCs w:val="22"/>
          <w:lang w:eastAsia="de-DE" w:bidi="de-DE"/>
        </w:rPr>
      </w:pPr>
    </w:p>
    <w:p w14:paraId="7E044982"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c)</w:t>
      </w:r>
      <w:r w:rsidRPr="001E2509">
        <w:rPr>
          <w:rFonts w:eastAsia="Calibri"/>
          <w:szCs w:val="22"/>
          <w:lang w:eastAsia="de-DE" w:bidi="de-DE"/>
        </w:rPr>
        <w:t> Austausch von Einfachverglasung durch Doppel- oder Dreifachverglasung, deren Wärmeübertragungskoeffizient k höchstens 3,2 Watt pro Quadratmeter und Kelvin beträgt, und Anpassung oder Austausch der Rahmen durch Holz-, Kunststoff- oder Aluminiumrahmen mit thermischer Unterbrechung,</w:t>
      </w:r>
    </w:p>
    <w:p w14:paraId="0584F2F2" w14:textId="77777777" w:rsidR="005A5BD5" w:rsidRPr="001E2509" w:rsidRDefault="005A5BD5" w:rsidP="004C2C7D">
      <w:pPr>
        <w:rPr>
          <w:rFonts w:eastAsia="Calibri"/>
          <w:szCs w:val="22"/>
          <w:lang w:eastAsia="de-DE" w:bidi="de-DE"/>
        </w:rPr>
      </w:pPr>
    </w:p>
    <w:p w14:paraId="5868E4FC" w14:textId="77777777" w:rsidR="005A5BD5" w:rsidRPr="001E2509" w:rsidRDefault="005A5BD5" w:rsidP="004C2C7D">
      <w:pPr>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d)</w:t>
      </w:r>
      <w:r w:rsidRPr="001E2509">
        <w:rPr>
          <w:rFonts w:eastAsia="Calibri"/>
          <w:szCs w:val="22"/>
          <w:lang w:eastAsia="de-DE" w:bidi="de-DE"/>
        </w:rPr>
        <w:t> Anbringen von Doppelfenstern einschließlich Zubehör.</w:t>
      </w:r>
    </w:p>
    <w:p w14:paraId="4B2584CB" w14:textId="77777777" w:rsidR="005A5BD5" w:rsidRPr="001E2509" w:rsidRDefault="005A5BD5" w:rsidP="004C2C7D">
      <w:pPr>
        <w:rPr>
          <w:rFonts w:eastAsia="Calibri"/>
          <w:szCs w:val="22"/>
          <w:lang w:eastAsia="de-DE" w:bidi="de-DE"/>
        </w:rPr>
      </w:pPr>
    </w:p>
    <w:p w14:paraId="79643323" w14:textId="77777777" w:rsidR="005A5BD5" w:rsidRPr="001E2509" w:rsidRDefault="005A5BD5" w:rsidP="004C2C7D">
      <w:pPr>
        <w:rPr>
          <w:rFonts w:eastAsia="Calibri"/>
          <w:szCs w:val="22"/>
          <w:lang w:eastAsia="de-DE" w:bidi="de-DE"/>
        </w:rPr>
      </w:pPr>
    </w:p>
    <w:p w14:paraId="140ACC4A"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2 - Einschränkung von Energieverlusten in bestehenden Treibhäusern oder beim Austausch von alten durch neue Treibhäuser</w:t>
      </w:r>
    </w:p>
    <w:p w14:paraId="7D4BEF0C" w14:textId="77777777" w:rsidR="005A5BD5" w:rsidRPr="001E2509" w:rsidRDefault="005A5BD5" w:rsidP="004C2C7D">
      <w:pPr>
        <w:rPr>
          <w:rFonts w:eastAsia="Calibri"/>
          <w:szCs w:val="22"/>
          <w:lang w:eastAsia="de-DE" w:bidi="de-DE"/>
        </w:rPr>
      </w:pPr>
    </w:p>
    <w:p w14:paraId="651E9A17"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Folgende Investitionen werden berücksichtigt (für einen Anschaffungs- oder Investitionswert, in dem der Betrag der Lohnkosten auf den Betrag der Materialkosten beschränkt ist und, falls es sich um den Austausch von alten durch neue Treibhäuser handelt, für eine verglaste Oberfläche, die weder größer ist als die der auszutauschenden Treibhäuser noch größer ist als die der Treibhäuser, die der Steuerpflichtige bei der Landwirtschafts- und Gartenbauzählung des 15. Mai des Jahres vor dem Jahr, in dem die neuen Treibhäuser gebaut werden, angegeben hat):</w:t>
      </w:r>
    </w:p>
    <w:p w14:paraId="620A5293" w14:textId="77777777" w:rsidR="005A5BD5" w:rsidRPr="001E2509" w:rsidRDefault="005A5BD5" w:rsidP="004C2C7D">
      <w:pPr>
        <w:rPr>
          <w:rFonts w:eastAsia="Calibri"/>
          <w:szCs w:val="22"/>
          <w:lang w:eastAsia="de-DE" w:bidi="de-DE"/>
        </w:rPr>
      </w:pPr>
    </w:p>
    <w:p w14:paraId="410EB2A9" w14:textId="77777777" w:rsidR="005A5BD5"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a)</w:t>
      </w:r>
      <w:r w:rsidRPr="001E2509">
        <w:rPr>
          <w:rFonts w:eastAsia="Calibri"/>
          <w:szCs w:val="22"/>
          <w:lang w:eastAsia="de-DE" w:bidi="de-DE"/>
        </w:rPr>
        <w:t> Anbringung von Doppelverglasung oder von Verglasung, deren Isolierfähigkeit durch das Auftragen von Metalloxid mit geringem Emissionsvermögen verbessert wird,</w:t>
      </w:r>
    </w:p>
    <w:p w14:paraId="6BE8CE64" w14:textId="77777777" w:rsidR="005A5BD5" w:rsidRPr="001E2509" w:rsidRDefault="005A5BD5" w:rsidP="004C2C7D">
      <w:pPr>
        <w:jc w:val="both"/>
        <w:rPr>
          <w:rFonts w:eastAsia="Calibri"/>
          <w:szCs w:val="22"/>
          <w:lang w:eastAsia="de-DE" w:bidi="de-DE"/>
        </w:rPr>
      </w:pPr>
      <w:r>
        <w:rPr>
          <w:rFonts w:eastAsia="Calibri"/>
          <w:szCs w:val="22"/>
          <w:lang w:eastAsia="de-DE" w:bidi="de-DE"/>
        </w:rPr>
        <w:br w:type="page"/>
      </w:r>
      <w:r w:rsidRPr="001E2509">
        <w:rPr>
          <w:rFonts w:eastAsia="Calibri"/>
          <w:szCs w:val="22"/>
          <w:lang w:eastAsia="de-DE" w:bidi="de-DE"/>
        </w:rPr>
        <w:lastRenderedPageBreak/>
        <w:tab/>
      </w:r>
      <w:r w:rsidRPr="001E2509">
        <w:rPr>
          <w:rFonts w:eastAsia="Calibri"/>
          <w:i/>
          <w:szCs w:val="22"/>
          <w:lang w:eastAsia="de-DE" w:bidi="de-DE"/>
        </w:rPr>
        <w:t>b)</w:t>
      </w:r>
      <w:r w:rsidRPr="001E2509">
        <w:rPr>
          <w:rFonts w:eastAsia="Calibri"/>
          <w:szCs w:val="22"/>
          <w:lang w:eastAsia="de-DE" w:bidi="de-DE"/>
        </w:rPr>
        <w:t> Montage von abnehmbaren Schirmen, die eine Trennung zwischen Kulturraum und Dach bilden.</w:t>
      </w:r>
    </w:p>
    <w:p w14:paraId="5D42B9BA" w14:textId="77777777" w:rsidR="005A5BD5" w:rsidRPr="001E2509" w:rsidRDefault="005A5BD5" w:rsidP="004C2C7D">
      <w:pPr>
        <w:rPr>
          <w:rFonts w:eastAsia="Calibri"/>
          <w:szCs w:val="22"/>
          <w:lang w:eastAsia="de-DE" w:bidi="de-DE"/>
        </w:rPr>
      </w:pPr>
    </w:p>
    <w:p w14:paraId="63DC07E2" w14:textId="77777777" w:rsidR="005A5BD5" w:rsidRPr="001E2509" w:rsidRDefault="005A5BD5" w:rsidP="004C2C7D">
      <w:pPr>
        <w:rPr>
          <w:rFonts w:eastAsia="Calibri"/>
          <w:szCs w:val="22"/>
          <w:lang w:eastAsia="de-DE" w:bidi="de-DE"/>
        </w:rPr>
      </w:pPr>
    </w:p>
    <w:p w14:paraId="0B2757D9" w14:textId="77777777" w:rsidR="005A5BD5" w:rsidRPr="001E2509" w:rsidRDefault="005A5BD5" w:rsidP="004C2C7D">
      <w:pPr>
        <w:jc w:val="both"/>
        <w:rPr>
          <w:rFonts w:eastAsia="Calibri"/>
          <w:b/>
          <w:szCs w:val="22"/>
          <w:lang w:eastAsia="de-DE" w:bidi="de-DE"/>
        </w:rPr>
      </w:pPr>
      <w:r w:rsidRPr="001E2509">
        <w:rPr>
          <w:rFonts w:eastAsia="Calibri"/>
          <w:b/>
          <w:szCs w:val="22"/>
          <w:lang w:eastAsia="de-DE" w:bidi="de-DE"/>
        </w:rPr>
        <w:t>Kategorie 3 - Energierückgewinnung durch Umrüstung eines bestehenden Raum</w:t>
      </w:r>
      <w:r w:rsidRPr="001E2509">
        <w:rPr>
          <w:rFonts w:eastAsia="Calibri"/>
          <w:b/>
          <w:szCs w:val="22"/>
          <w:lang w:eastAsia="de-DE" w:bidi="de-DE"/>
        </w:rPr>
        <w:softHyphen/>
        <w:t>heizungssystems in Treibhäusern, die vor dem 1. Januar 1980 errichtet worden sind</w:t>
      </w:r>
    </w:p>
    <w:p w14:paraId="7F61E523" w14:textId="77777777" w:rsidR="005A5BD5" w:rsidRPr="001E2509" w:rsidRDefault="005A5BD5" w:rsidP="004C2C7D">
      <w:pPr>
        <w:rPr>
          <w:rFonts w:eastAsia="Calibri"/>
          <w:szCs w:val="22"/>
          <w:lang w:eastAsia="de-DE" w:bidi="de-DE"/>
        </w:rPr>
      </w:pPr>
    </w:p>
    <w:p w14:paraId="69A07097"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Berücksichtigt werden Investitionen zur Montage von festen Heizelementen in unmittelbarer Nähe zu Pflanzen und Wurzeln entlang der Wände oder zwischen Kulturraum und Dach sowie Investitionen zur Montage von Heizungen an Kulturtischen.</w:t>
      </w:r>
    </w:p>
    <w:p w14:paraId="4B0C3AE1" w14:textId="77777777" w:rsidR="005A5BD5" w:rsidRPr="001E2509" w:rsidRDefault="005A5BD5" w:rsidP="004C2C7D">
      <w:pPr>
        <w:rPr>
          <w:rFonts w:eastAsia="Calibri"/>
          <w:szCs w:val="22"/>
          <w:lang w:eastAsia="de-DE" w:bidi="de-DE"/>
        </w:rPr>
      </w:pPr>
    </w:p>
    <w:p w14:paraId="2F3BA467" w14:textId="77777777" w:rsidR="005A5BD5" w:rsidRPr="001E2509" w:rsidRDefault="005A5BD5" w:rsidP="004C2C7D">
      <w:pPr>
        <w:jc w:val="both"/>
        <w:rPr>
          <w:rFonts w:eastAsia="Calibri"/>
          <w:b/>
          <w:szCs w:val="22"/>
          <w:lang w:eastAsia="de-DE" w:bidi="de-DE"/>
        </w:rPr>
      </w:pPr>
    </w:p>
    <w:p w14:paraId="1E1ED504" w14:textId="77777777" w:rsidR="005A5BD5" w:rsidRPr="001E2509" w:rsidRDefault="005A5BD5" w:rsidP="004C2C7D">
      <w:pPr>
        <w:jc w:val="both"/>
        <w:rPr>
          <w:rFonts w:eastAsia="Calibri"/>
          <w:b/>
          <w:szCs w:val="22"/>
          <w:lang w:eastAsia="de-DE" w:bidi="de-DE"/>
        </w:rPr>
      </w:pPr>
      <w:r w:rsidRPr="001E2509">
        <w:rPr>
          <w:rFonts w:eastAsia="Calibri"/>
          <w:b/>
          <w:szCs w:val="22"/>
          <w:lang w:eastAsia="de-DE" w:bidi="de-DE"/>
        </w:rPr>
        <w:t>Kategorie 4 - Einschränkung von Energieverlusten durch Isolierung von in Betrieb befindlichen Geräten, Leitungen, Schiebern und Kanälen oder durch Abdecken von in Betrieb befindlichen Bädern mit kalten oder warmen Flüssigkeiten</w:t>
      </w:r>
    </w:p>
    <w:p w14:paraId="1FDECCE0" w14:textId="77777777" w:rsidR="005A5BD5" w:rsidRPr="001E2509" w:rsidRDefault="005A5BD5" w:rsidP="004C2C7D">
      <w:pPr>
        <w:rPr>
          <w:rFonts w:eastAsia="Calibri"/>
          <w:szCs w:val="22"/>
          <w:lang w:eastAsia="de-DE" w:bidi="de-DE"/>
        </w:rPr>
      </w:pPr>
    </w:p>
    <w:p w14:paraId="41667FB9"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Berücksichtigt werden ausschließlich Investitionen, für die Dämmstoff benutzt wird, dessen Wärmeleitfähigkeit gemäß den Belgischen NBN-Normen der Serie B 62 oder den spezifischen belgischen Normen oder den belgischen technischen Zulassungen weniger als 0,080 Watt pro Meter und Kelvin beträgt.</w:t>
      </w:r>
    </w:p>
    <w:p w14:paraId="143EA797" w14:textId="77777777" w:rsidR="005A5BD5" w:rsidRPr="001E2509" w:rsidRDefault="005A5BD5" w:rsidP="004C2C7D">
      <w:pPr>
        <w:rPr>
          <w:rFonts w:eastAsia="Calibri"/>
          <w:szCs w:val="22"/>
          <w:lang w:eastAsia="de-DE" w:bidi="de-DE"/>
        </w:rPr>
      </w:pPr>
    </w:p>
    <w:p w14:paraId="42AFF4FE" w14:textId="77777777" w:rsidR="005A5BD5" w:rsidRPr="001E2509" w:rsidRDefault="005A5BD5" w:rsidP="004C2C7D">
      <w:pPr>
        <w:rPr>
          <w:rFonts w:eastAsia="Calibri"/>
          <w:szCs w:val="22"/>
          <w:lang w:eastAsia="de-DE" w:bidi="de-DE"/>
        </w:rPr>
      </w:pPr>
    </w:p>
    <w:p w14:paraId="73568365"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5 - Einschränkung von Energieverlusten in bestehenden Öfen</w:t>
      </w:r>
    </w:p>
    <w:p w14:paraId="58FBB2B3" w14:textId="77777777" w:rsidR="005A5BD5" w:rsidRPr="001E2509" w:rsidRDefault="005A5BD5" w:rsidP="004C2C7D">
      <w:pPr>
        <w:rPr>
          <w:rFonts w:eastAsia="Calibri"/>
          <w:szCs w:val="22"/>
          <w:lang w:eastAsia="de-DE" w:bidi="de-DE"/>
        </w:rPr>
      </w:pPr>
    </w:p>
    <w:p w14:paraId="4B03645A"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Berücksichtigt werden ausschließlich Investitionen zur zusätzlichen Innenisolierung von Öfen, wobei der Austausch der feuerfesten Verkleidung als Energieeinsparung nur im Verhältnis zu der daraus hervorgehenden Senkung des Wärmeverlusts zählt.</w:t>
      </w:r>
    </w:p>
    <w:p w14:paraId="5C2DBD0A" w14:textId="77777777" w:rsidR="005A5BD5" w:rsidRPr="001E2509" w:rsidRDefault="005A5BD5" w:rsidP="004C2C7D">
      <w:pPr>
        <w:rPr>
          <w:rFonts w:eastAsia="Calibri"/>
          <w:szCs w:val="22"/>
          <w:lang w:eastAsia="de-DE" w:bidi="de-DE"/>
        </w:rPr>
      </w:pPr>
    </w:p>
    <w:p w14:paraId="61BA1B7F" w14:textId="77777777" w:rsidR="005A5BD5" w:rsidRPr="001E2509" w:rsidRDefault="005A5BD5" w:rsidP="004C2C7D">
      <w:pPr>
        <w:rPr>
          <w:rFonts w:eastAsia="Calibri"/>
          <w:szCs w:val="22"/>
          <w:lang w:eastAsia="de-DE" w:bidi="de-DE"/>
        </w:rPr>
      </w:pPr>
    </w:p>
    <w:p w14:paraId="3BBDC26F"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6 - Einschränkung von Verlusten durch Belüftung in Gebäuden, die vor dem 1. Januar 1980 errichtet worden sind</w:t>
      </w:r>
    </w:p>
    <w:p w14:paraId="79D8FA5B" w14:textId="77777777" w:rsidR="005A5BD5" w:rsidRPr="001E2509" w:rsidRDefault="005A5BD5" w:rsidP="004C2C7D">
      <w:pPr>
        <w:rPr>
          <w:rFonts w:eastAsia="Calibri"/>
          <w:szCs w:val="22"/>
          <w:lang w:eastAsia="de-DE" w:bidi="de-DE"/>
        </w:rPr>
      </w:pPr>
    </w:p>
    <w:p w14:paraId="140973B1" w14:textId="77777777" w:rsidR="005A5BD5" w:rsidRPr="001E2509" w:rsidRDefault="005A5BD5" w:rsidP="004C2C7D">
      <w:pPr>
        <w:rPr>
          <w:rFonts w:eastAsia="Calibri"/>
          <w:szCs w:val="22"/>
          <w:lang w:eastAsia="de-DE" w:bidi="de-DE"/>
        </w:rPr>
      </w:pPr>
      <w:r w:rsidRPr="001E2509">
        <w:rPr>
          <w:rFonts w:eastAsia="Calibri"/>
          <w:szCs w:val="22"/>
          <w:lang w:eastAsia="de-DE" w:bidi="de-DE"/>
        </w:rPr>
        <w:tab/>
        <w:t>Folgende Investitionen werden berücksichtigt:</w:t>
      </w:r>
    </w:p>
    <w:p w14:paraId="49A7FFE1" w14:textId="77777777" w:rsidR="005A5BD5" w:rsidRPr="001E2509" w:rsidRDefault="005A5BD5" w:rsidP="004C2C7D">
      <w:pPr>
        <w:rPr>
          <w:rFonts w:eastAsia="Calibri"/>
          <w:szCs w:val="22"/>
          <w:lang w:eastAsia="de-DE" w:bidi="de-DE"/>
        </w:rPr>
      </w:pPr>
    </w:p>
    <w:p w14:paraId="4D102584"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a)</w:t>
      </w:r>
      <w:r w:rsidRPr="001E2509">
        <w:rPr>
          <w:rFonts w:eastAsia="Calibri"/>
          <w:szCs w:val="22"/>
          <w:lang w:eastAsia="de-DE" w:bidi="de-DE"/>
        </w:rPr>
        <w:t xml:space="preserve"> Montage von Schleusen, Vorhängen oder automatisch schließenden Türen und Toren zwischen der Innen- und Außenseite des Gebäudes, </w:t>
      </w:r>
    </w:p>
    <w:p w14:paraId="7F7C1D6E" w14:textId="77777777" w:rsidR="005A5BD5" w:rsidRPr="001E2509" w:rsidRDefault="005A5BD5" w:rsidP="004C2C7D">
      <w:pPr>
        <w:rPr>
          <w:rFonts w:eastAsia="Calibri"/>
          <w:szCs w:val="22"/>
          <w:lang w:eastAsia="de-DE" w:bidi="de-DE"/>
        </w:rPr>
      </w:pPr>
    </w:p>
    <w:p w14:paraId="5781F50D"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b)</w:t>
      </w:r>
      <w:r w:rsidRPr="001E2509">
        <w:rPr>
          <w:rFonts w:eastAsia="Calibri"/>
          <w:szCs w:val="22"/>
          <w:lang w:eastAsia="de-DE" w:bidi="de-DE"/>
        </w:rPr>
        <w:t> Montage von automatisch schließenden Türen zwischen bestehenden Kühl- und Gefrierräumen und dem Rest des Gebäudes.</w:t>
      </w:r>
    </w:p>
    <w:p w14:paraId="2FA2E9BC" w14:textId="77777777" w:rsidR="005A5BD5" w:rsidRPr="001E2509" w:rsidRDefault="005A5BD5" w:rsidP="004C2C7D">
      <w:pPr>
        <w:rPr>
          <w:rFonts w:eastAsia="Calibri"/>
          <w:szCs w:val="22"/>
          <w:lang w:eastAsia="de-DE" w:bidi="de-DE"/>
        </w:rPr>
      </w:pPr>
    </w:p>
    <w:p w14:paraId="17EDAE5C" w14:textId="77777777" w:rsidR="005A5BD5" w:rsidRPr="001E2509" w:rsidRDefault="005A5BD5" w:rsidP="004C2C7D">
      <w:pPr>
        <w:rPr>
          <w:rFonts w:eastAsia="Calibri"/>
          <w:szCs w:val="22"/>
          <w:lang w:eastAsia="de-DE" w:bidi="de-DE"/>
        </w:rPr>
      </w:pPr>
    </w:p>
    <w:p w14:paraId="1446C9D4"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7 - Rückgewinnung von Abwärme</w:t>
      </w:r>
    </w:p>
    <w:p w14:paraId="7AB98BA6" w14:textId="77777777" w:rsidR="005A5BD5" w:rsidRPr="001E2509" w:rsidRDefault="005A5BD5" w:rsidP="004C2C7D">
      <w:pPr>
        <w:rPr>
          <w:rFonts w:eastAsia="Calibri"/>
          <w:szCs w:val="22"/>
          <w:lang w:eastAsia="de-DE" w:bidi="de-DE"/>
        </w:rPr>
      </w:pPr>
    </w:p>
    <w:p w14:paraId="3B2F6401"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Folgende Investitionen werden berücksichtigt, wenn sie es dem Betrieb ermöglichen, in einem bestehenden System entweder die eigene Abwärme zurückzugewinnen und an Dritte zu liefern oder die Abwärme von Dritten zu nutzen:</w:t>
      </w:r>
    </w:p>
    <w:p w14:paraId="241C4837" w14:textId="77777777" w:rsidR="005A5BD5" w:rsidRPr="001E2509" w:rsidRDefault="005A5BD5" w:rsidP="004C2C7D">
      <w:pPr>
        <w:jc w:val="both"/>
        <w:rPr>
          <w:rFonts w:eastAsia="Calibri"/>
          <w:szCs w:val="22"/>
          <w:lang w:eastAsia="de-DE" w:bidi="de-DE"/>
        </w:rPr>
      </w:pPr>
    </w:p>
    <w:p w14:paraId="6C0B3541" w14:textId="77777777" w:rsidR="005A5BD5"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a)</w:t>
      </w:r>
      <w:r w:rsidRPr="001E2509">
        <w:rPr>
          <w:rFonts w:eastAsia="Calibri"/>
          <w:szCs w:val="22"/>
          <w:lang w:eastAsia="de-DE" w:bidi="de-DE"/>
        </w:rPr>
        <w:t> Montage von isolierten Leitungen und Umwälzpumpen für die Fortleitung der zurückgewonnenen Wärme,</w:t>
      </w:r>
    </w:p>
    <w:p w14:paraId="0506DF33" w14:textId="77777777" w:rsidR="005A5BD5" w:rsidRPr="001E2509" w:rsidRDefault="005A5BD5" w:rsidP="004C2C7D">
      <w:pPr>
        <w:jc w:val="both"/>
        <w:rPr>
          <w:rFonts w:eastAsia="Calibri"/>
          <w:szCs w:val="22"/>
          <w:lang w:eastAsia="de-DE" w:bidi="de-DE"/>
        </w:rPr>
      </w:pPr>
      <w:r>
        <w:rPr>
          <w:rFonts w:eastAsia="Calibri"/>
          <w:szCs w:val="22"/>
          <w:lang w:eastAsia="de-DE" w:bidi="de-DE"/>
        </w:rPr>
        <w:br w:type="page"/>
      </w:r>
      <w:r w:rsidRPr="001E2509">
        <w:rPr>
          <w:rFonts w:eastAsia="Calibri"/>
          <w:szCs w:val="22"/>
          <w:lang w:eastAsia="de-DE" w:bidi="de-DE"/>
        </w:rPr>
        <w:lastRenderedPageBreak/>
        <w:tab/>
      </w:r>
      <w:r w:rsidRPr="001E2509">
        <w:rPr>
          <w:rFonts w:eastAsia="Calibri"/>
          <w:i/>
          <w:szCs w:val="22"/>
          <w:lang w:eastAsia="de-DE" w:bidi="de-DE"/>
        </w:rPr>
        <w:t>b)</w:t>
      </w:r>
      <w:r w:rsidRPr="001E2509">
        <w:rPr>
          <w:rFonts w:eastAsia="Calibri"/>
          <w:szCs w:val="22"/>
          <w:lang w:eastAsia="de-DE" w:bidi="de-DE"/>
        </w:rPr>
        <w:t> Montage von isolierten Speichern, die ausschließlich der Zwischenspeicherung von zurückgewonnener Wärme dienen,</w:t>
      </w:r>
    </w:p>
    <w:p w14:paraId="73AD603F" w14:textId="77777777" w:rsidR="005A5BD5" w:rsidRPr="001E2509" w:rsidRDefault="005A5BD5" w:rsidP="004C2C7D">
      <w:pPr>
        <w:jc w:val="both"/>
        <w:rPr>
          <w:rFonts w:eastAsia="Calibri"/>
          <w:szCs w:val="22"/>
          <w:lang w:eastAsia="de-DE" w:bidi="de-DE"/>
        </w:rPr>
      </w:pPr>
    </w:p>
    <w:p w14:paraId="5D523DFB"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c)</w:t>
      </w:r>
      <w:r w:rsidRPr="001E2509">
        <w:rPr>
          <w:rFonts w:eastAsia="Calibri"/>
          <w:szCs w:val="22"/>
          <w:lang w:eastAsia="de-DE" w:bidi="de-DE"/>
        </w:rPr>
        <w:t> Montage von Wärmetauschern zur Wärmerückgewinnung, mit Ausnahme von Geräten, die eine direkte Nutzung der zurückgewonnenen Wärme ermöglichen.</w:t>
      </w:r>
    </w:p>
    <w:p w14:paraId="3720B202" w14:textId="77777777" w:rsidR="005A5BD5" w:rsidRPr="001E2509" w:rsidRDefault="005A5BD5" w:rsidP="004C2C7D">
      <w:pPr>
        <w:jc w:val="both"/>
        <w:rPr>
          <w:rFonts w:eastAsia="Calibri"/>
          <w:szCs w:val="22"/>
          <w:lang w:eastAsia="de-DE" w:bidi="de-DE"/>
        </w:rPr>
      </w:pPr>
    </w:p>
    <w:p w14:paraId="7C59B8CF" w14:textId="77777777" w:rsidR="005A5BD5" w:rsidRPr="001E2509" w:rsidRDefault="005A5BD5" w:rsidP="004C2C7D">
      <w:pPr>
        <w:rPr>
          <w:rFonts w:eastAsia="Calibri"/>
          <w:szCs w:val="22"/>
          <w:lang w:eastAsia="de-DE" w:bidi="de-DE"/>
        </w:rPr>
      </w:pPr>
    </w:p>
    <w:p w14:paraId="1913E559"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8 - Rückgewinnung der Abwärme von in Betrieb befindlichen Produktions- oder Klimatisierungsgeräten</w:t>
      </w:r>
    </w:p>
    <w:p w14:paraId="2B523C75" w14:textId="77777777" w:rsidR="005A5BD5" w:rsidRPr="001E2509" w:rsidRDefault="005A5BD5" w:rsidP="004C2C7D">
      <w:pPr>
        <w:rPr>
          <w:rFonts w:eastAsia="Calibri"/>
          <w:b/>
          <w:szCs w:val="22"/>
          <w:lang w:eastAsia="de-DE" w:bidi="de-DE"/>
        </w:rPr>
      </w:pPr>
    </w:p>
    <w:p w14:paraId="0CE62608"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Folgende Investitionen, mit Ausnahme der Montage von Wärmerekuperatoren von Energieerzeugungsanlagen mit Dampf, die einen Teil des Energieerzeugungszyklus bilden, werden berücksichtigt, wenn sie nicht für Produktions- oder Klimatisierungsverfahren erforderlich sind:</w:t>
      </w:r>
    </w:p>
    <w:p w14:paraId="744DA5FE" w14:textId="77777777" w:rsidR="005A5BD5" w:rsidRPr="001E2509" w:rsidRDefault="005A5BD5" w:rsidP="004C2C7D">
      <w:pPr>
        <w:jc w:val="both"/>
        <w:rPr>
          <w:rFonts w:eastAsia="Calibri"/>
          <w:szCs w:val="22"/>
          <w:lang w:eastAsia="de-DE" w:bidi="de-DE"/>
        </w:rPr>
      </w:pPr>
    </w:p>
    <w:p w14:paraId="61E5FE1A"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a)</w:t>
      </w:r>
      <w:r w:rsidRPr="001E2509">
        <w:rPr>
          <w:rFonts w:eastAsia="Calibri"/>
          <w:szCs w:val="22"/>
          <w:lang w:eastAsia="de-DE" w:bidi="de-DE"/>
        </w:rPr>
        <w:t> Montage von Wärmetauschern, die für die Rückgewinnung der Abwärme erforderlich sind, mit Ausnahme von Geräten, die eine direkte Nutzung der zurückgewonnenen Wärme ermöglichen,</w:t>
      </w:r>
    </w:p>
    <w:p w14:paraId="4F521CF6" w14:textId="77777777" w:rsidR="005A5BD5" w:rsidRPr="001E2509" w:rsidRDefault="005A5BD5" w:rsidP="004C2C7D">
      <w:pPr>
        <w:jc w:val="both"/>
        <w:rPr>
          <w:rFonts w:eastAsia="Calibri"/>
          <w:szCs w:val="22"/>
          <w:lang w:eastAsia="de-DE" w:bidi="de-DE"/>
        </w:rPr>
      </w:pPr>
    </w:p>
    <w:p w14:paraId="1C2DEA54"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b)</w:t>
      </w:r>
      <w:r w:rsidRPr="001E2509">
        <w:rPr>
          <w:rFonts w:eastAsia="Calibri"/>
          <w:szCs w:val="22"/>
          <w:lang w:eastAsia="de-DE" w:bidi="de-DE"/>
        </w:rPr>
        <w:t> Anbringen von Geräten, um</w:t>
      </w:r>
    </w:p>
    <w:p w14:paraId="28834DA4"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p>
    <w:p w14:paraId="50465E19"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Abluft oder Flüssigabfall wieder in Umlauf zu bringen,</w:t>
      </w:r>
    </w:p>
    <w:p w14:paraId="3694D6E6"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p>
    <w:p w14:paraId="07050C07"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Kondensat zurückzugewinnen,</w:t>
      </w:r>
    </w:p>
    <w:p w14:paraId="67AB0D2E" w14:textId="77777777" w:rsidR="005A5BD5" w:rsidRPr="001E2509" w:rsidRDefault="005A5BD5" w:rsidP="004C2C7D">
      <w:pPr>
        <w:jc w:val="both"/>
        <w:rPr>
          <w:rFonts w:eastAsia="Calibri"/>
          <w:szCs w:val="22"/>
          <w:lang w:eastAsia="de-DE" w:bidi="de-DE"/>
        </w:rPr>
      </w:pPr>
    </w:p>
    <w:p w14:paraId="28259719"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c)</w:t>
      </w:r>
      <w:r w:rsidRPr="001E2509">
        <w:rPr>
          <w:rFonts w:eastAsia="Calibri"/>
          <w:szCs w:val="22"/>
          <w:lang w:eastAsia="de-DE" w:bidi="de-DE"/>
        </w:rPr>
        <w:t> Montage von:</w:t>
      </w:r>
    </w:p>
    <w:p w14:paraId="45225773"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p>
    <w:p w14:paraId="5181A78D"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Kondensat- oder Abschlammentspannern,</w:t>
      </w:r>
    </w:p>
    <w:p w14:paraId="76059EB7" w14:textId="77777777" w:rsidR="005A5BD5" w:rsidRPr="001E2509" w:rsidRDefault="005A5BD5" w:rsidP="004C2C7D">
      <w:pPr>
        <w:jc w:val="both"/>
        <w:rPr>
          <w:rFonts w:eastAsia="Calibri"/>
          <w:szCs w:val="22"/>
          <w:lang w:eastAsia="de-DE" w:bidi="de-DE"/>
        </w:rPr>
      </w:pPr>
    </w:p>
    <w:p w14:paraId="50A6D228"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isolierten Speichern, die ausschließlich der Zwischenspeicherung der zurückgewonnenen Wärme dienen,</w:t>
      </w:r>
    </w:p>
    <w:p w14:paraId="2AD93627" w14:textId="77777777" w:rsidR="005A5BD5" w:rsidRPr="001E2509" w:rsidRDefault="005A5BD5" w:rsidP="004C2C7D">
      <w:pPr>
        <w:jc w:val="both"/>
        <w:rPr>
          <w:rFonts w:eastAsia="Calibri"/>
          <w:szCs w:val="22"/>
          <w:lang w:eastAsia="de-DE" w:bidi="de-DE"/>
        </w:rPr>
      </w:pPr>
    </w:p>
    <w:p w14:paraId="69FF460A"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isolierten Leitungen zur Fortleitung der zurückgewonnenen Wärme,</w:t>
      </w:r>
    </w:p>
    <w:p w14:paraId="012EDF9A" w14:textId="77777777" w:rsidR="005A5BD5" w:rsidRPr="001E2509" w:rsidRDefault="005A5BD5" w:rsidP="004C2C7D">
      <w:pPr>
        <w:jc w:val="both"/>
        <w:rPr>
          <w:rFonts w:eastAsia="Calibri"/>
          <w:szCs w:val="22"/>
          <w:lang w:eastAsia="de-DE" w:bidi="de-DE"/>
        </w:rPr>
      </w:pPr>
    </w:p>
    <w:p w14:paraId="7E44D4FC"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Wärmepumpen.</w:t>
      </w:r>
    </w:p>
    <w:p w14:paraId="31ABB0AC" w14:textId="77777777" w:rsidR="005A5BD5" w:rsidRPr="001E2509" w:rsidRDefault="005A5BD5" w:rsidP="004C2C7D">
      <w:pPr>
        <w:rPr>
          <w:rFonts w:eastAsia="Calibri"/>
          <w:szCs w:val="22"/>
          <w:lang w:eastAsia="de-DE" w:bidi="de-DE"/>
        </w:rPr>
      </w:pPr>
    </w:p>
    <w:p w14:paraId="22A595DF" w14:textId="77777777" w:rsidR="005A5BD5" w:rsidRPr="001E2509" w:rsidRDefault="005A5BD5" w:rsidP="004C2C7D">
      <w:pPr>
        <w:rPr>
          <w:rFonts w:eastAsia="Calibri"/>
          <w:szCs w:val="22"/>
          <w:lang w:eastAsia="de-DE" w:bidi="de-DE"/>
        </w:rPr>
      </w:pPr>
    </w:p>
    <w:p w14:paraId="45734841"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9 - Steigerung der Nutzleistung von in Betrieb befindlichen Verbrennungsgeräten</w:t>
      </w:r>
    </w:p>
    <w:p w14:paraId="72A7C0F3" w14:textId="77777777" w:rsidR="005A5BD5" w:rsidRPr="001E2509" w:rsidRDefault="005A5BD5" w:rsidP="004C2C7D">
      <w:pPr>
        <w:rPr>
          <w:rFonts w:eastAsia="Calibri"/>
          <w:szCs w:val="22"/>
          <w:lang w:eastAsia="de-DE" w:bidi="de-DE"/>
        </w:rPr>
      </w:pPr>
    </w:p>
    <w:p w14:paraId="28A2143A"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Folgende Investitionen werden berücksichtigt:</w:t>
      </w:r>
    </w:p>
    <w:p w14:paraId="6CEEC8EA" w14:textId="77777777" w:rsidR="005A5BD5" w:rsidRPr="001E2509" w:rsidRDefault="005A5BD5" w:rsidP="004C2C7D">
      <w:pPr>
        <w:rPr>
          <w:rFonts w:eastAsia="Calibri"/>
          <w:szCs w:val="22"/>
          <w:lang w:eastAsia="de-DE" w:bidi="de-DE"/>
        </w:rPr>
      </w:pPr>
    </w:p>
    <w:p w14:paraId="1F9E9CAA"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a)</w:t>
      </w:r>
      <w:r w:rsidRPr="001E2509">
        <w:rPr>
          <w:rFonts w:eastAsia="Calibri"/>
          <w:szCs w:val="22"/>
          <w:lang w:eastAsia="de-DE" w:bidi="de-DE"/>
        </w:rPr>
        <w:t> Anbringen von automatischen Brennstoff- und Luftreglern, die auf der Grundlage der in den Abgasen gemessenen O</w:t>
      </w:r>
      <w:r w:rsidRPr="001E2509">
        <w:rPr>
          <w:rFonts w:eastAsia="Calibri"/>
          <w:szCs w:val="22"/>
          <w:vertAlign w:val="subscript"/>
          <w:lang w:eastAsia="de-DE" w:bidi="de-DE"/>
        </w:rPr>
        <w:t>2</w:t>
      </w:r>
      <w:r w:rsidRPr="001E2509">
        <w:rPr>
          <w:rFonts w:eastAsia="Calibri"/>
          <w:szCs w:val="22"/>
          <w:lang w:eastAsia="de-DE" w:bidi="de-DE"/>
        </w:rPr>
        <w:t>- oder CO</w:t>
      </w:r>
      <w:r w:rsidRPr="001E2509">
        <w:rPr>
          <w:rFonts w:eastAsia="Calibri"/>
          <w:szCs w:val="22"/>
          <w:vertAlign w:val="subscript"/>
          <w:lang w:eastAsia="de-DE" w:bidi="de-DE"/>
        </w:rPr>
        <w:t>2</w:t>
      </w:r>
      <w:r w:rsidRPr="001E2509">
        <w:rPr>
          <w:rFonts w:eastAsia="Calibri"/>
          <w:szCs w:val="22"/>
          <w:lang w:eastAsia="de-DE" w:bidi="de-DE"/>
        </w:rPr>
        <w:t>-Konzentrationen oder mit Trübungsmessern funktionieren,</w:t>
      </w:r>
    </w:p>
    <w:p w14:paraId="22ECEFB7" w14:textId="77777777" w:rsidR="005A5BD5" w:rsidRPr="001E2509" w:rsidRDefault="005A5BD5" w:rsidP="004C2C7D">
      <w:pPr>
        <w:rPr>
          <w:rFonts w:eastAsia="Calibri"/>
          <w:szCs w:val="22"/>
          <w:lang w:eastAsia="de-DE" w:bidi="de-DE"/>
        </w:rPr>
      </w:pPr>
    </w:p>
    <w:p w14:paraId="76B4FDAB"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b)</w:t>
      </w:r>
      <w:r w:rsidRPr="001E2509">
        <w:rPr>
          <w:rFonts w:eastAsia="Calibri"/>
          <w:szCs w:val="22"/>
          <w:lang w:eastAsia="de-DE" w:bidi="de-DE"/>
        </w:rPr>
        <w:t> Austausch von atmosphärischen Brennern und Brennern mit Gebläse durch Rekuperations-Brenner,</w:t>
      </w:r>
    </w:p>
    <w:p w14:paraId="1874802F" w14:textId="77777777" w:rsidR="005A5BD5" w:rsidRPr="001E2509" w:rsidRDefault="005A5BD5" w:rsidP="004C2C7D">
      <w:pPr>
        <w:rPr>
          <w:rFonts w:eastAsia="Calibri"/>
          <w:szCs w:val="22"/>
          <w:lang w:eastAsia="de-DE" w:bidi="de-DE"/>
        </w:rPr>
      </w:pPr>
    </w:p>
    <w:p w14:paraId="486656AD" w14:textId="77777777" w:rsidR="005A5BD5"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c)</w:t>
      </w:r>
      <w:r w:rsidRPr="001E2509">
        <w:rPr>
          <w:rFonts w:eastAsia="Calibri"/>
          <w:szCs w:val="22"/>
          <w:lang w:eastAsia="de-DE" w:bidi="de-DE"/>
        </w:rPr>
        <w:t> Montage oder Verbesserung von Schalt-, Mess- oder Regelgeräten.</w:t>
      </w:r>
    </w:p>
    <w:p w14:paraId="19180F41" w14:textId="77777777" w:rsidR="005A5BD5" w:rsidRPr="001E2509" w:rsidRDefault="005A5BD5" w:rsidP="004C2C7D">
      <w:pPr>
        <w:jc w:val="both"/>
        <w:rPr>
          <w:rFonts w:eastAsia="Calibri"/>
          <w:b/>
          <w:szCs w:val="22"/>
          <w:lang w:eastAsia="de-DE" w:bidi="de-DE"/>
        </w:rPr>
      </w:pPr>
      <w:r>
        <w:rPr>
          <w:rFonts w:eastAsia="Calibri"/>
          <w:szCs w:val="22"/>
          <w:lang w:eastAsia="de-DE" w:bidi="de-DE"/>
        </w:rPr>
        <w:br w:type="page"/>
      </w:r>
      <w:r w:rsidRPr="001E2509">
        <w:rPr>
          <w:rFonts w:eastAsia="Calibri"/>
          <w:b/>
          <w:szCs w:val="22"/>
          <w:lang w:eastAsia="de-DE" w:bidi="de-DE"/>
        </w:rPr>
        <w:lastRenderedPageBreak/>
        <w:t>Kategorie 10 - Nutzung der Ausdehnungsenergie, die bei bestehenden Produktions</w:t>
      </w:r>
      <w:r w:rsidRPr="001E2509">
        <w:rPr>
          <w:rFonts w:eastAsia="Calibri"/>
          <w:b/>
          <w:szCs w:val="22"/>
          <w:lang w:eastAsia="de-DE" w:bidi="de-DE"/>
        </w:rPr>
        <w:softHyphen/>
        <w:t>verfahren oder bei der Ausdehnung von Flüssigkeiten, die für den Transport unter Druck gesetzt werden, freigesetzt wird</w:t>
      </w:r>
    </w:p>
    <w:p w14:paraId="4B0DF360" w14:textId="77777777" w:rsidR="005A5BD5" w:rsidRPr="001E2509" w:rsidRDefault="005A5BD5" w:rsidP="004C2C7D">
      <w:pPr>
        <w:jc w:val="center"/>
        <w:rPr>
          <w:rFonts w:eastAsia="Calibri"/>
          <w:b/>
          <w:szCs w:val="22"/>
          <w:lang w:eastAsia="de-DE" w:bidi="de-DE"/>
        </w:rPr>
      </w:pPr>
    </w:p>
    <w:p w14:paraId="713E7DA4"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Berücksichtigt werden Investitionen zur Anpassung von bestehenden Anlagen und Systemen an die Verwendung dieser Ausdehnungsenergie, durch die Montage von:</w:t>
      </w:r>
    </w:p>
    <w:p w14:paraId="0566FFA2"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p>
    <w:p w14:paraId="5B69917D"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Gegendruckturbinen,</w:t>
      </w:r>
    </w:p>
    <w:p w14:paraId="7BFF459E" w14:textId="77777777" w:rsidR="005A5BD5" w:rsidRPr="001E2509" w:rsidRDefault="005A5BD5" w:rsidP="004C2C7D">
      <w:pPr>
        <w:jc w:val="both"/>
        <w:rPr>
          <w:rFonts w:eastAsia="Calibri"/>
          <w:szCs w:val="22"/>
          <w:lang w:eastAsia="de-DE" w:bidi="de-DE"/>
        </w:rPr>
      </w:pPr>
    </w:p>
    <w:p w14:paraId="0B1EBD1B"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Dampfmotoren,</w:t>
      </w:r>
    </w:p>
    <w:p w14:paraId="35496E48" w14:textId="77777777" w:rsidR="005A5BD5" w:rsidRPr="001E2509" w:rsidRDefault="005A5BD5" w:rsidP="004C2C7D">
      <w:pPr>
        <w:jc w:val="both"/>
        <w:rPr>
          <w:rFonts w:eastAsia="Calibri"/>
          <w:szCs w:val="22"/>
          <w:lang w:eastAsia="de-DE" w:bidi="de-DE"/>
        </w:rPr>
      </w:pPr>
    </w:p>
    <w:p w14:paraId="5D187FD8"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Ausdehnungsturbinen,</w:t>
      </w:r>
    </w:p>
    <w:p w14:paraId="0FED6A72" w14:textId="77777777" w:rsidR="005A5BD5" w:rsidRPr="001E2509" w:rsidRDefault="005A5BD5" w:rsidP="004C2C7D">
      <w:pPr>
        <w:jc w:val="both"/>
        <w:rPr>
          <w:rFonts w:eastAsia="Calibri"/>
          <w:szCs w:val="22"/>
          <w:lang w:eastAsia="de-DE" w:bidi="de-DE"/>
        </w:rPr>
      </w:pPr>
    </w:p>
    <w:p w14:paraId="22195D40"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Generatoren, Drehzahlminderer einbegriffen, in denen mechanische Energie erzeugt und in elektrische Energie umgewandelt wird.</w:t>
      </w:r>
    </w:p>
    <w:p w14:paraId="421B1ED1" w14:textId="77777777" w:rsidR="005A5BD5" w:rsidRPr="001E2509" w:rsidRDefault="005A5BD5" w:rsidP="004C2C7D">
      <w:pPr>
        <w:jc w:val="both"/>
        <w:rPr>
          <w:rFonts w:eastAsia="Calibri"/>
          <w:szCs w:val="22"/>
          <w:lang w:eastAsia="de-DE" w:bidi="de-DE"/>
        </w:rPr>
      </w:pPr>
    </w:p>
    <w:p w14:paraId="257A051B" w14:textId="77777777" w:rsidR="005A5BD5" w:rsidRPr="001E2509" w:rsidRDefault="005A5BD5" w:rsidP="004C2C7D">
      <w:pPr>
        <w:jc w:val="both"/>
        <w:rPr>
          <w:rFonts w:eastAsia="Calibri"/>
          <w:szCs w:val="22"/>
          <w:lang w:eastAsia="de-DE" w:bidi="de-DE"/>
        </w:rPr>
      </w:pPr>
    </w:p>
    <w:p w14:paraId="552293BB"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11 - Geräte, in denen Kraft- und Wärmeerzeugung kombiniert sind</w:t>
      </w:r>
    </w:p>
    <w:p w14:paraId="2A8A4C3E" w14:textId="77777777" w:rsidR="005A5BD5" w:rsidRPr="001E2509" w:rsidRDefault="005A5BD5" w:rsidP="004C2C7D">
      <w:pPr>
        <w:jc w:val="both"/>
        <w:rPr>
          <w:rFonts w:eastAsia="Calibri"/>
          <w:szCs w:val="22"/>
          <w:lang w:eastAsia="de-DE" w:bidi="de-DE"/>
        </w:rPr>
      </w:pPr>
    </w:p>
    <w:p w14:paraId="169BC22A"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Unter der Bedingung, dass die kombinierte Erzeugung von Kraft und Wärme für den Eigenbedarf genutzt wird und die Erzeugung jeder Energieart (Kraft und Wärme) durchschnittlich mindestens 25 Prozent der erzeugten Gesamtleistung beträgt, werden folgende Investitionen berücksichtigt:</w:t>
      </w:r>
    </w:p>
    <w:p w14:paraId="70747E5A" w14:textId="77777777" w:rsidR="005A5BD5" w:rsidRPr="001E2509" w:rsidRDefault="005A5BD5" w:rsidP="004C2C7D">
      <w:pPr>
        <w:jc w:val="both"/>
        <w:rPr>
          <w:rFonts w:eastAsia="Calibri"/>
          <w:szCs w:val="22"/>
          <w:lang w:eastAsia="de-DE" w:bidi="de-DE"/>
        </w:rPr>
      </w:pPr>
    </w:p>
    <w:p w14:paraId="40202C45"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a)</w:t>
      </w:r>
      <w:r w:rsidRPr="001E2509">
        <w:rPr>
          <w:rFonts w:eastAsia="Calibri"/>
          <w:szCs w:val="22"/>
          <w:lang w:eastAsia="de-DE" w:bidi="de-DE"/>
        </w:rPr>
        <w:t> Montage von Kraftmaschinen (Gasturbinen, Gas-, Diesel- und Dampfmotoren und Dampfkessel mit Gegendruck-Dampfturbinen oder Entnahme-Kondensationsdampfturbinen), in denen thermische Energie in mechanische Energie umgewandelt wird,</w:t>
      </w:r>
    </w:p>
    <w:p w14:paraId="2D4F2A5C"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p>
    <w:p w14:paraId="5118D659"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b)</w:t>
      </w:r>
      <w:r w:rsidRPr="001E2509">
        <w:rPr>
          <w:rFonts w:eastAsia="Calibri"/>
          <w:szCs w:val="22"/>
          <w:lang w:eastAsia="de-DE" w:bidi="de-DE"/>
        </w:rPr>
        <w:t> Montage von Generatoren, Drehzahlminderer einbegriffen, in denen erzeugte mechanische Energie in elektrische Energie umgewandelt wird,</w:t>
      </w:r>
    </w:p>
    <w:p w14:paraId="40E406BF" w14:textId="77777777" w:rsidR="005A5BD5" w:rsidRPr="001E2509" w:rsidRDefault="005A5BD5" w:rsidP="004C2C7D">
      <w:pPr>
        <w:jc w:val="both"/>
        <w:rPr>
          <w:rFonts w:eastAsia="Calibri"/>
          <w:szCs w:val="22"/>
          <w:lang w:eastAsia="de-DE" w:bidi="de-DE"/>
        </w:rPr>
      </w:pPr>
    </w:p>
    <w:p w14:paraId="06E3B53E"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c)</w:t>
      </w:r>
      <w:r w:rsidRPr="001E2509">
        <w:rPr>
          <w:rFonts w:eastAsia="Calibri"/>
          <w:szCs w:val="22"/>
          <w:lang w:eastAsia="de-DE" w:bidi="de-DE"/>
        </w:rPr>
        <w:t> Montage von Wärmetauschern oder Rückgewinnungsheizkesseln (Brenner zur Steigerung der Dampferzeugung einbegriffen), die mit Abgasen arbeiten,</w:t>
      </w:r>
    </w:p>
    <w:p w14:paraId="68ACB58E" w14:textId="77777777" w:rsidR="005A5BD5" w:rsidRPr="001E2509" w:rsidRDefault="005A5BD5" w:rsidP="004C2C7D">
      <w:pPr>
        <w:jc w:val="both"/>
        <w:rPr>
          <w:rFonts w:eastAsia="Calibri"/>
          <w:szCs w:val="22"/>
          <w:lang w:eastAsia="de-DE" w:bidi="de-DE"/>
        </w:rPr>
      </w:pPr>
    </w:p>
    <w:p w14:paraId="44BE04F8"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d)</w:t>
      </w:r>
      <w:r w:rsidRPr="001E2509">
        <w:rPr>
          <w:rFonts w:eastAsia="Calibri"/>
          <w:szCs w:val="22"/>
          <w:lang w:eastAsia="de-DE" w:bidi="de-DE"/>
        </w:rPr>
        <w:t> Montage von Wärmetauschern zur Rückgewinnung der Wärme von Kraft</w:t>
      </w:r>
      <w:r w:rsidRPr="001E2509">
        <w:rPr>
          <w:rFonts w:eastAsia="Calibri"/>
          <w:szCs w:val="22"/>
          <w:lang w:eastAsia="de-DE" w:bidi="de-DE"/>
        </w:rPr>
        <w:softHyphen/>
        <w:t>maschinen,</w:t>
      </w:r>
    </w:p>
    <w:p w14:paraId="48D165A6" w14:textId="77777777" w:rsidR="005A5BD5" w:rsidRPr="001E2509" w:rsidRDefault="005A5BD5" w:rsidP="004C2C7D">
      <w:pPr>
        <w:jc w:val="both"/>
        <w:rPr>
          <w:rFonts w:eastAsia="Calibri"/>
          <w:szCs w:val="22"/>
          <w:lang w:eastAsia="de-DE" w:bidi="de-DE"/>
        </w:rPr>
      </w:pPr>
    </w:p>
    <w:p w14:paraId="24357D0E"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e)</w:t>
      </w:r>
      <w:r w:rsidRPr="001E2509">
        <w:rPr>
          <w:rFonts w:eastAsia="Calibri"/>
          <w:szCs w:val="22"/>
          <w:lang w:eastAsia="de-DE" w:bidi="de-DE"/>
        </w:rPr>
        <w:t> Investitionen für:</w:t>
      </w:r>
    </w:p>
    <w:p w14:paraId="330B3D35" w14:textId="77777777" w:rsidR="005A5BD5" w:rsidRPr="001E2509" w:rsidRDefault="005A5BD5" w:rsidP="004C2C7D">
      <w:pPr>
        <w:jc w:val="both"/>
        <w:rPr>
          <w:rFonts w:eastAsia="Calibri"/>
          <w:szCs w:val="22"/>
          <w:lang w:eastAsia="de-DE" w:bidi="de-DE"/>
        </w:rPr>
      </w:pPr>
    </w:p>
    <w:p w14:paraId="5137D9CB"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Lagerung von Brennstoffen in der Einrichtung,</w:t>
      </w:r>
    </w:p>
    <w:p w14:paraId="66AB1BC8" w14:textId="77777777" w:rsidR="005A5BD5" w:rsidRPr="001E2509" w:rsidRDefault="005A5BD5" w:rsidP="004C2C7D">
      <w:pPr>
        <w:jc w:val="both"/>
        <w:rPr>
          <w:rFonts w:eastAsia="Calibri"/>
          <w:szCs w:val="22"/>
          <w:lang w:eastAsia="de-DE" w:bidi="de-DE"/>
        </w:rPr>
      </w:pPr>
    </w:p>
    <w:p w14:paraId="4D55BC18"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Fortleitung von Brennstoffen, Verbrennungsluft, Abgasen, Kühlwasser, Kühlluft oder Heizkessel-Speisewasser in der Einrichtung,</w:t>
      </w:r>
    </w:p>
    <w:p w14:paraId="6D1DC8E5" w14:textId="77777777" w:rsidR="005A5BD5" w:rsidRPr="001E2509" w:rsidRDefault="005A5BD5" w:rsidP="004C2C7D">
      <w:pPr>
        <w:jc w:val="both"/>
        <w:rPr>
          <w:rFonts w:eastAsia="Calibri"/>
          <w:szCs w:val="22"/>
          <w:lang w:eastAsia="de-DE" w:bidi="de-DE"/>
        </w:rPr>
      </w:pPr>
    </w:p>
    <w:p w14:paraId="2AB0F3C7"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f)</w:t>
      </w:r>
      <w:r w:rsidRPr="001E2509">
        <w:rPr>
          <w:rFonts w:eastAsia="Calibri"/>
          <w:szCs w:val="22"/>
          <w:lang w:eastAsia="de-DE" w:bidi="de-DE"/>
        </w:rPr>
        <w:t> Montage von:</w:t>
      </w:r>
    </w:p>
    <w:p w14:paraId="6184D310" w14:textId="77777777" w:rsidR="005A5BD5" w:rsidRPr="001E2509" w:rsidRDefault="005A5BD5" w:rsidP="004C2C7D">
      <w:pPr>
        <w:jc w:val="both"/>
        <w:rPr>
          <w:rFonts w:eastAsia="Calibri"/>
          <w:szCs w:val="22"/>
          <w:lang w:eastAsia="de-DE" w:bidi="de-DE"/>
        </w:rPr>
      </w:pPr>
    </w:p>
    <w:p w14:paraId="3FA1E860"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Schalldämmung,</w:t>
      </w:r>
    </w:p>
    <w:p w14:paraId="415C835E" w14:textId="77777777" w:rsidR="005A5BD5" w:rsidRPr="001E2509" w:rsidRDefault="005A5BD5" w:rsidP="004C2C7D">
      <w:pPr>
        <w:jc w:val="both"/>
        <w:rPr>
          <w:rFonts w:eastAsia="Calibri"/>
          <w:szCs w:val="22"/>
          <w:lang w:eastAsia="de-DE" w:bidi="de-DE"/>
        </w:rPr>
      </w:pPr>
    </w:p>
    <w:p w14:paraId="1528747C"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Abgasreinigungsgeräten,</w:t>
      </w:r>
      <w:r w:rsidRPr="001E2509">
        <w:rPr>
          <w:rFonts w:eastAsia="Calibri"/>
          <w:szCs w:val="22"/>
          <w:lang w:eastAsia="de-DE" w:bidi="de-DE"/>
        </w:rPr>
        <w:br w:type="page"/>
      </w:r>
      <w:r w:rsidRPr="001E2509">
        <w:rPr>
          <w:rFonts w:eastAsia="Calibri"/>
          <w:szCs w:val="22"/>
          <w:lang w:eastAsia="de-DE" w:bidi="de-DE"/>
        </w:rPr>
        <w:lastRenderedPageBreak/>
        <w:tab/>
        <w:t>- Geräten zur Aufbereitung von Heizkessel-Speisewasser,</w:t>
      </w:r>
    </w:p>
    <w:p w14:paraId="4C096986" w14:textId="77777777" w:rsidR="005A5BD5" w:rsidRPr="001E2509" w:rsidRDefault="005A5BD5" w:rsidP="004C2C7D">
      <w:pPr>
        <w:jc w:val="both"/>
        <w:rPr>
          <w:rFonts w:eastAsia="Calibri"/>
          <w:szCs w:val="22"/>
          <w:lang w:eastAsia="de-DE" w:bidi="de-DE"/>
        </w:rPr>
      </w:pPr>
    </w:p>
    <w:p w14:paraId="20222787"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elektrotechnischen Geräten für den Anschluss an das interne Elektrizitätsnetz.</w:t>
      </w:r>
    </w:p>
    <w:p w14:paraId="59532475" w14:textId="77777777" w:rsidR="005A5BD5" w:rsidRPr="001E2509" w:rsidRDefault="005A5BD5" w:rsidP="004C2C7D">
      <w:pPr>
        <w:jc w:val="both"/>
        <w:rPr>
          <w:rFonts w:eastAsia="Calibri"/>
          <w:szCs w:val="22"/>
          <w:lang w:eastAsia="de-DE" w:bidi="de-DE"/>
        </w:rPr>
      </w:pPr>
    </w:p>
    <w:p w14:paraId="65AA821B" w14:textId="77777777" w:rsidR="005A5BD5" w:rsidRPr="001E2509" w:rsidRDefault="005A5BD5" w:rsidP="004C2C7D">
      <w:pPr>
        <w:jc w:val="both"/>
        <w:rPr>
          <w:rFonts w:eastAsia="Calibri"/>
          <w:szCs w:val="22"/>
          <w:lang w:eastAsia="de-DE" w:bidi="de-DE"/>
        </w:rPr>
      </w:pPr>
    </w:p>
    <w:p w14:paraId="594E2B56"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12 - Auffangen von direkter oder diffuser Sonneneinstrahlung</w:t>
      </w:r>
    </w:p>
    <w:p w14:paraId="26E160CE" w14:textId="77777777" w:rsidR="005A5BD5" w:rsidRPr="001E2509" w:rsidRDefault="005A5BD5" w:rsidP="004C2C7D">
      <w:pPr>
        <w:jc w:val="center"/>
        <w:rPr>
          <w:rFonts w:eastAsia="Calibri"/>
          <w:b/>
          <w:szCs w:val="22"/>
          <w:lang w:eastAsia="de-DE" w:bidi="de-DE"/>
        </w:rPr>
      </w:pPr>
    </w:p>
    <w:p w14:paraId="2F4B7B28"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Unter der Bedingung, dass sie ausschließlich dem Auffangen dieser Sonnen</w:t>
      </w:r>
      <w:r w:rsidRPr="001E2509">
        <w:rPr>
          <w:rFonts w:eastAsia="Calibri"/>
          <w:szCs w:val="22"/>
          <w:lang w:eastAsia="de-DE" w:bidi="de-DE"/>
        </w:rPr>
        <w:softHyphen/>
        <w:t>einstrahlung dienen, werden als Investitionen berücksichtigt, die Montage von:</w:t>
      </w:r>
    </w:p>
    <w:p w14:paraId="7DC06978" w14:textId="77777777" w:rsidR="005A5BD5" w:rsidRPr="001E2509" w:rsidRDefault="005A5BD5" w:rsidP="004C2C7D">
      <w:pPr>
        <w:jc w:val="both"/>
        <w:rPr>
          <w:rFonts w:eastAsia="Calibri"/>
          <w:szCs w:val="22"/>
          <w:lang w:eastAsia="de-DE" w:bidi="de-DE"/>
        </w:rPr>
      </w:pPr>
    </w:p>
    <w:p w14:paraId="599B2CC9"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a)</w:t>
      </w:r>
      <w:r w:rsidRPr="001E2509">
        <w:rPr>
          <w:rFonts w:eastAsia="Calibri"/>
          <w:szCs w:val="22"/>
          <w:lang w:eastAsia="de-DE" w:bidi="de-DE"/>
        </w:rPr>
        <w:t> Sonnenkollektoren,</w:t>
      </w:r>
    </w:p>
    <w:p w14:paraId="3111EF2A" w14:textId="77777777" w:rsidR="005A5BD5" w:rsidRPr="001E2509" w:rsidRDefault="005A5BD5" w:rsidP="004C2C7D">
      <w:pPr>
        <w:jc w:val="both"/>
        <w:rPr>
          <w:rFonts w:eastAsia="Calibri"/>
          <w:szCs w:val="22"/>
          <w:lang w:eastAsia="de-DE" w:bidi="de-DE"/>
        </w:rPr>
      </w:pPr>
    </w:p>
    <w:p w14:paraId="1810F76D"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 xml:space="preserve"> </w:t>
      </w:r>
      <w:r w:rsidRPr="001E2509">
        <w:rPr>
          <w:rFonts w:eastAsia="Calibri"/>
          <w:szCs w:val="22"/>
          <w:lang w:eastAsia="de-DE" w:bidi="de-DE"/>
        </w:rPr>
        <w:tab/>
      </w:r>
      <w:r w:rsidRPr="001E2509">
        <w:rPr>
          <w:rFonts w:eastAsia="Calibri"/>
          <w:i/>
          <w:szCs w:val="22"/>
          <w:lang w:eastAsia="de-DE" w:bidi="de-DE"/>
        </w:rPr>
        <w:t>b)</w:t>
      </w:r>
      <w:r w:rsidRPr="001E2509">
        <w:rPr>
          <w:rFonts w:eastAsia="Calibri"/>
          <w:szCs w:val="22"/>
          <w:lang w:eastAsia="de-DE" w:bidi="de-DE"/>
        </w:rPr>
        <w:t> isolierten Speichern, Wärmetauscher einbegriffen,</w:t>
      </w:r>
    </w:p>
    <w:p w14:paraId="5DF0C9EB" w14:textId="77777777" w:rsidR="005A5BD5" w:rsidRPr="001E2509" w:rsidRDefault="005A5BD5" w:rsidP="004C2C7D">
      <w:pPr>
        <w:jc w:val="both"/>
        <w:rPr>
          <w:rFonts w:eastAsia="Calibri"/>
          <w:szCs w:val="22"/>
          <w:lang w:eastAsia="de-DE" w:bidi="de-DE"/>
        </w:rPr>
      </w:pPr>
    </w:p>
    <w:p w14:paraId="797F147C"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c)</w:t>
      </w:r>
      <w:r w:rsidRPr="001E2509">
        <w:rPr>
          <w:rFonts w:eastAsia="Calibri"/>
          <w:szCs w:val="22"/>
          <w:lang w:eastAsia="de-DE" w:bidi="de-DE"/>
        </w:rPr>
        <w:t> Umwälzpumpen in Kollektorkreisläufen,</w:t>
      </w:r>
    </w:p>
    <w:p w14:paraId="1B41CA44" w14:textId="77777777" w:rsidR="005A5BD5" w:rsidRPr="001E2509" w:rsidRDefault="005A5BD5" w:rsidP="004C2C7D">
      <w:pPr>
        <w:jc w:val="both"/>
        <w:rPr>
          <w:rFonts w:eastAsia="Calibri"/>
          <w:szCs w:val="22"/>
          <w:lang w:eastAsia="de-DE" w:bidi="de-DE"/>
        </w:rPr>
      </w:pPr>
    </w:p>
    <w:p w14:paraId="45F957DD"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d)</w:t>
      </w:r>
      <w:r w:rsidRPr="001E2509">
        <w:rPr>
          <w:rFonts w:eastAsia="Calibri"/>
          <w:szCs w:val="22"/>
          <w:lang w:eastAsia="de-DE" w:bidi="de-DE"/>
        </w:rPr>
        <w:t> Geräten zum Schutz gegen Einfrieren oder Überhitzen,</w:t>
      </w:r>
    </w:p>
    <w:p w14:paraId="09AC85DE" w14:textId="77777777" w:rsidR="005A5BD5" w:rsidRPr="001E2509" w:rsidRDefault="005A5BD5" w:rsidP="004C2C7D">
      <w:pPr>
        <w:jc w:val="both"/>
        <w:rPr>
          <w:rFonts w:eastAsia="Calibri"/>
          <w:szCs w:val="22"/>
          <w:lang w:eastAsia="de-DE" w:bidi="de-DE"/>
        </w:rPr>
      </w:pPr>
    </w:p>
    <w:p w14:paraId="3A983B30"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e)</w:t>
      </w:r>
      <w:r w:rsidRPr="001E2509">
        <w:rPr>
          <w:rFonts w:eastAsia="Calibri"/>
          <w:szCs w:val="22"/>
          <w:lang w:eastAsia="de-DE" w:bidi="de-DE"/>
        </w:rPr>
        <w:t> Geräten, die mit einem photovoltaischen System für die direkte Erzeugung von Elektrizität sorgen, das heißt:</w:t>
      </w:r>
    </w:p>
    <w:p w14:paraId="7D237A59" w14:textId="77777777" w:rsidR="005A5BD5" w:rsidRPr="001E2509" w:rsidRDefault="005A5BD5" w:rsidP="004C2C7D">
      <w:pPr>
        <w:jc w:val="both"/>
        <w:rPr>
          <w:rFonts w:eastAsia="Calibri"/>
          <w:szCs w:val="22"/>
          <w:lang w:eastAsia="de-DE" w:bidi="de-DE"/>
        </w:rPr>
      </w:pPr>
    </w:p>
    <w:p w14:paraId="5519A756"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photovoltaische Zellen,</w:t>
      </w:r>
    </w:p>
    <w:p w14:paraId="54356396" w14:textId="77777777" w:rsidR="005A5BD5" w:rsidRPr="001E2509" w:rsidRDefault="005A5BD5" w:rsidP="004C2C7D">
      <w:pPr>
        <w:jc w:val="both"/>
        <w:rPr>
          <w:rFonts w:eastAsia="Calibri"/>
          <w:szCs w:val="22"/>
          <w:lang w:eastAsia="de-DE" w:bidi="de-DE"/>
        </w:rPr>
      </w:pPr>
    </w:p>
    <w:p w14:paraId="1F3A4710"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Spannungsregler,</w:t>
      </w:r>
    </w:p>
    <w:p w14:paraId="19C4F4ED" w14:textId="77777777" w:rsidR="005A5BD5" w:rsidRPr="001E2509" w:rsidRDefault="005A5BD5" w:rsidP="004C2C7D">
      <w:pPr>
        <w:jc w:val="both"/>
        <w:rPr>
          <w:rFonts w:eastAsia="Calibri"/>
          <w:szCs w:val="22"/>
          <w:lang w:eastAsia="de-DE" w:bidi="de-DE"/>
        </w:rPr>
      </w:pPr>
    </w:p>
    <w:p w14:paraId="33F4DFD8"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Wechsel- und Gleichrichter,</w:t>
      </w:r>
    </w:p>
    <w:p w14:paraId="543C40B4" w14:textId="77777777" w:rsidR="005A5BD5" w:rsidRPr="001E2509" w:rsidRDefault="005A5BD5" w:rsidP="004C2C7D">
      <w:pPr>
        <w:jc w:val="both"/>
        <w:rPr>
          <w:rFonts w:eastAsia="Calibri"/>
          <w:szCs w:val="22"/>
          <w:lang w:eastAsia="de-DE" w:bidi="de-DE"/>
        </w:rPr>
      </w:pPr>
    </w:p>
    <w:p w14:paraId="268B0E10"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Batterien zur Speicherung der erzeugten elektrischen Energie,</w:t>
      </w:r>
    </w:p>
    <w:p w14:paraId="3FA73907" w14:textId="77777777" w:rsidR="005A5BD5" w:rsidRPr="001E2509" w:rsidRDefault="005A5BD5" w:rsidP="004C2C7D">
      <w:pPr>
        <w:jc w:val="both"/>
        <w:rPr>
          <w:rFonts w:eastAsia="Calibri"/>
          <w:szCs w:val="22"/>
          <w:lang w:eastAsia="de-DE" w:bidi="de-DE"/>
        </w:rPr>
      </w:pPr>
    </w:p>
    <w:p w14:paraId="0D43AABF"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elektrotechnische Ausrüstungen für den Anschluss an das interne Elektrizitätsnetz.</w:t>
      </w:r>
    </w:p>
    <w:p w14:paraId="77FA15C2" w14:textId="77777777" w:rsidR="005A5BD5" w:rsidRPr="001E2509" w:rsidRDefault="005A5BD5" w:rsidP="004C2C7D">
      <w:pPr>
        <w:jc w:val="both"/>
        <w:rPr>
          <w:rFonts w:eastAsia="Calibri"/>
          <w:szCs w:val="22"/>
          <w:lang w:eastAsia="de-DE" w:bidi="de-DE"/>
        </w:rPr>
      </w:pPr>
    </w:p>
    <w:p w14:paraId="5021B268" w14:textId="77777777" w:rsidR="005A5BD5" w:rsidRPr="001E2509" w:rsidRDefault="005A5BD5" w:rsidP="004C2C7D">
      <w:pPr>
        <w:jc w:val="both"/>
        <w:rPr>
          <w:rFonts w:eastAsia="Calibri"/>
          <w:szCs w:val="22"/>
          <w:lang w:eastAsia="de-DE" w:bidi="de-DE"/>
        </w:rPr>
      </w:pPr>
    </w:p>
    <w:p w14:paraId="37C60E3B"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13 - Nutzung von Windenergie</w:t>
      </w:r>
    </w:p>
    <w:p w14:paraId="441CCE17" w14:textId="77777777" w:rsidR="005A5BD5" w:rsidRPr="001E2509" w:rsidRDefault="005A5BD5" w:rsidP="004C2C7D">
      <w:pPr>
        <w:jc w:val="both"/>
        <w:rPr>
          <w:rFonts w:eastAsia="Calibri"/>
          <w:szCs w:val="22"/>
          <w:lang w:eastAsia="de-DE" w:bidi="de-DE"/>
        </w:rPr>
      </w:pPr>
    </w:p>
    <w:p w14:paraId="201B2E56"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Als Investitionen werden berücksichtigt, die Montage von</w:t>
      </w:r>
    </w:p>
    <w:p w14:paraId="4DCD54E2" w14:textId="77777777" w:rsidR="005A5BD5" w:rsidRPr="001E2509" w:rsidRDefault="005A5BD5" w:rsidP="004C2C7D">
      <w:pPr>
        <w:jc w:val="both"/>
        <w:rPr>
          <w:rFonts w:eastAsia="Calibri"/>
          <w:szCs w:val="22"/>
          <w:lang w:eastAsia="de-DE" w:bidi="de-DE"/>
        </w:rPr>
      </w:pPr>
    </w:p>
    <w:p w14:paraId="593E526B"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a)</w:t>
      </w:r>
      <w:r w:rsidRPr="001E2509">
        <w:rPr>
          <w:rFonts w:eastAsia="Calibri"/>
          <w:szCs w:val="22"/>
          <w:lang w:eastAsia="de-DE" w:bidi="de-DE"/>
        </w:rPr>
        <w:t> Windrädern,</w:t>
      </w:r>
    </w:p>
    <w:p w14:paraId="46ECB76D" w14:textId="77777777" w:rsidR="005A5BD5" w:rsidRPr="001E2509" w:rsidRDefault="005A5BD5" w:rsidP="004C2C7D">
      <w:pPr>
        <w:jc w:val="both"/>
        <w:rPr>
          <w:rFonts w:eastAsia="Calibri"/>
          <w:szCs w:val="22"/>
          <w:lang w:eastAsia="de-DE" w:bidi="de-DE"/>
        </w:rPr>
      </w:pPr>
    </w:p>
    <w:p w14:paraId="0245A14D"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b)</w:t>
      </w:r>
      <w:r w:rsidRPr="001E2509">
        <w:rPr>
          <w:rFonts w:eastAsia="Calibri"/>
          <w:szCs w:val="22"/>
          <w:lang w:eastAsia="de-DE" w:bidi="de-DE"/>
        </w:rPr>
        <w:t> Spannungsreglern,</w:t>
      </w:r>
    </w:p>
    <w:p w14:paraId="4449AC23" w14:textId="77777777" w:rsidR="005A5BD5" w:rsidRPr="001E2509" w:rsidRDefault="005A5BD5" w:rsidP="004C2C7D">
      <w:pPr>
        <w:jc w:val="both"/>
        <w:rPr>
          <w:rFonts w:eastAsia="Calibri"/>
          <w:szCs w:val="22"/>
          <w:lang w:eastAsia="de-DE" w:bidi="de-DE"/>
        </w:rPr>
      </w:pPr>
    </w:p>
    <w:p w14:paraId="595D9827"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c)</w:t>
      </w:r>
      <w:r w:rsidRPr="001E2509">
        <w:rPr>
          <w:rFonts w:eastAsia="Calibri"/>
          <w:szCs w:val="22"/>
          <w:lang w:eastAsia="de-DE" w:bidi="de-DE"/>
        </w:rPr>
        <w:t> Wechsel- und Gleichrichtern,</w:t>
      </w:r>
    </w:p>
    <w:p w14:paraId="76A2EE0D" w14:textId="77777777" w:rsidR="005A5BD5" w:rsidRPr="001E2509" w:rsidRDefault="005A5BD5" w:rsidP="004C2C7D">
      <w:pPr>
        <w:jc w:val="both"/>
        <w:rPr>
          <w:rFonts w:eastAsia="Calibri"/>
          <w:szCs w:val="22"/>
          <w:lang w:eastAsia="de-DE" w:bidi="de-DE"/>
        </w:rPr>
      </w:pPr>
    </w:p>
    <w:p w14:paraId="6393596A"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d)</w:t>
      </w:r>
      <w:r w:rsidRPr="001E2509">
        <w:rPr>
          <w:rFonts w:eastAsia="Calibri"/>
          <w:szCs w:val="22"/>
          <w:lang w:eastAsia="de-DE" w:bidi="de-DE"/>
        </w:rPr>
        <w:t> Batterien zur Speicherung der erzeugten Energie,</w:t>
      </w:r>
    </w:p>
    <w:p w14:paraId="26DA188B" w14:textId="77777777" w:rsidR="005A5BD5" w:rsidRPr="001E2509" w:rsidRDefault="005A5BD5" w:rsidP="004C2C7D">
      <w:pPr>
        <w:jc w:val="both"/>
        <w:rPr>
          <w:rFonts w:eastAsia="Calibri"/>
          <w:szCs w:val="22"/>
          <w:lang w:eastAsia="de-DE" w:bidi="de-DE"/>
        </w:rPr>
      </w:pPr>
    </w:p>
    <w:p w14:paraId="17EC4897" w14:textId="77777777" w:rsidR="005A5BD5" w:rsidRDefault="005A5BD5" w:rsidP="004C2C7D">
      <w:pPr>
        <w:jc w:val="both"/>
        <w:rPr>
          <w:rFonts w:eastAsia="Calibri"/>
          <w:szCs w:val="22"/>
          <w:lang w:eastAsia="de-DE" w:bidi="de-DE"/>
        </w:rPr>
      </w:pPr>
      <w:r>
        <w:rPr>
          <w:rFonts w:eastAsia="Calibri"/>
          <w:i/>
          <w:szCs w:val="22"/>
          <w:lang w:eastAsia="de-DE" w:bidi="de-DE"/>
        </w:rPr>
        <w:tab/>
      </w:r>
      <w:r w:rsidRPr="001E2509">
        <w:rPr>
          <w:rFonts w:eastAsia="Calibri"/>
          <w:i/>
          <w:szCs w:val="22"/>
          <w:lang w:eastAsia="de-DE" w:bidi="de-DE"/>
        </w:rPr>
        <w:t>e)</w:t>
      </w:r>
      <w:r w:rsidRPr="001E2509">
        <w:rPr>
          <w:rFonts w:eastAsia="Calibri"/>
          <w:szCs w:val="22"/>
          <w:lang w:eastAsia="de-DE" w:bidi="de-DE"/>
        </w:rPr>
        <w:t> Generatoren und elektrotechnischen Ausrüstungen für den Anschluss an das interne Elektrizitätsnetz.</w:t>
      </w:r>
    </w:p>
    <w:p w14:paraId="5EA99641" w14:textId="77777777" w:rsidR="005A5BD5" w:rsidRPr="001E2509" w:rsidRDefault="005A5BD5" w:rsidP="004C2C7D">
      <w:pPr>
        <w:jc w:val="center"/>
        <w:rPr>
          <w:rFonts w:eastAsia="Calibri"/>
          <w:b/>
          <w:szCs w:val="22"/>
          <w:lang w:eastAsia="de-DE" w:bidi="de-DE"/>
        </w:rPr>
      </w:pPr>
      <w:r w:rsidRPr="001E2509">
        <w:rPr>
          <w:rFonts w:eastAsia="Calibri"/>
          <w:szCs w:val="22"/>
          <w:lang w:eastAsia="de-DE" w:bidi="de-DE"/>
        </w:rPr>
        <w:br w:type="page"/>
      </w:r>
      <w:r w:rsidRPr="001E2509">
        <w:rPr>
          <w:rFonts w:eastAsia="Calibri"/>
          <w:b/>
          <w:szCs w:val="22"/>
          <w:lang w:eastAsia="de-DE" w:bidi="de-DE"/>
        </w:rPr>
        <w:lastRenderedPageBreak/>
        <w:t>Kategorie 14 - Wasserkraftwerke zur Energieerzeugung mit einer Leistung von maximal 1 MW</w:t>
      </w:r>
    </w:p>
    <w:p w14:paraId="2AF62DCE" w14:textId="77777777" w:rsidR="005A5BD5" w:rsidRPr="001E2509" w:rsidRDefault="005A5BD5" w:rsidP="004C2C7D">
      <w:pPr>
        <w:jc w:val="both"/>
        <w:rPr>
          <w:rFonts w:eastAsia="Calibri"/>
          <w:szCs w:val="22"/>
          <w:lang w:eastAsia="de-DE" w:bidi="de-DE"/>
        </w:rPr>
      </w:pPr>
    </w:p>
    <w:p w14:paraId="41480AC8"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Mit Ausnahme der erforderlichen Infrastrukturarbeiten werden als Investitionen berücksichtigt, die Montage von:</w:t>
      </w:r>
    </w:p>
    <w:p w14:paraId="03D2776C" w14:textId="77777777" w:rsidR="005A5BD5" w:rsidRPr="001E2509" w:rsidRDefault="005A5BD5" w:rsidP="004C2C7D">
      <w:pPr>
        <w:jc w:val="both"/>
        <w:rPr>
          <w:rFonts w:eastAsia="Calibri"/>
          <w:szCs w:val="22"/>
          <w:lang w:eastAsia="de-DE" w:bidi="de-DE"/>
        </w:rPr>
      </w:pPr>
    </w:p>
    <w:p w14:paraId="3C3C18C4"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a)</w:t>
      </w:r>
      <w:r w:rsidRPr="001E2509">
        <w:rPr>
          <w:rFonts w:eastAsia="Calibri"/>
          <w:szCs w:val="22"/>
          <w:lang w:eastAsia="de-DE" w:bidi="de-DE"/>
        </w:rPr>
        <w:t> Turbinen,</w:t>
      </w:r>
    </w:p>
    <w:p w14:paraId="688EE953" w14:textId="77777777" w:rsidR="005A5BD5" w:rsidRPr="001E2509" w:rsidRDefault="005A5BD5" w:rsidP="004C2C7D">
      <w:pPr>
        <w:jc w:val="both"/>
        <w:rPr>
          <w:rFonts w:eastAsia="Calibri"/>
          <w:szCs w:val="22"/>
          <w:lang w:eastAsia="de-DE" w:bidi="de-DE"/>
        </w:rPr>
      </w:pPr>
    </w:p>
    <w:p w14:paraId="4D99F1FD"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b)</w:t>
      </w:r>
      <w:r w:rsidRPr="001E2509">
        <w:rPr>
          <w:rFonts w:eastAsia="Calibri"/>
          <w:szCs w:val="22"/>
          <w:lang w:eastAsia="de-DE" w:bidi="de-DE"/>
        </w:rPr>
        <w:t> Spannungsreglern,</w:t>
      </w:r>
    </w:p>
    <w:p w14:paraId="25E552C6" w14:textId="77777777" w:rsidR="005A5BD5" w:rsidRPr="001E2509" w:rsidRDefault="005A5BD5" w:rsidP="004C2C7D">
      <w:pPr>
        <w:jc w:val="both"/>
        <w:rPr>
          <w:rFonts w:eastAsia="Calibri"/>
          <w:szCs w:val="22"/>
          <w:lang w:eastAsia="de-DE" w:bidi="de-DE"/>
        </w:rPr>
      </w:pPr>
    </w:p>
    <w:p w14:paraId="69A543EE"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c)</w:t>
      </w:r>
      <w:r w:rsidRPr="001E2509">
        <w:rPr>
          <w:rFonts w:eastAsia="Calibri"/>
          <w:szCs w:val="22"/>
          <w:lang w:eastAsia="de-DE" w:bidi="de-DE"/>
        </w:rPr>
        <w:t> Wechsel- und Gleichrichtern,</w:t>
      </w:r>
    </w:p>
    <w:p w14:paraId="042BDEAD" w14:textId="77777777" w:rsidR="005A5BD5" w:rsidRPr="001E2509" w:rsidRDefault="005A5BD5" w:rsidP="004C2C7D">
      <w:pPr>
        <w:jc w:val="both"/>
        <w:rPr>
          <w:rFonts w:eastAsia="Calibri"/>
          <w:szCs w:val="22"/>
          <w:lang w:eastAsia="de-DE" w:bidi="de-DE"/>
        </w:rPr>
      </w:pPr>
    </w:p>
    <w:p w14:paraId="220A44D4"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d)</w:t>
      </w:r>
      <w:r w:rsidRPr="001E2509">
        <w:rPr>
          <w:rFonts w:eastAsia="Calibri"/>
          <w:szCs w:val="22"/>
          <w:lang w:eastAsia="de-DE" w:bidi="de-DE"/>
        </w:rPr>
        <w:t> Generatoren und elektrotechnischen Ausrüstungen für den Anschluss an das interne Elektrizitätsnetz.</w:t>
      </w:r>
    </w:p>
    <w:p w14:paraId="7EFF3268" w14:textId="77777777" w:rsidR="005A5BD5" w:rsidRPr="001E2509" w:rsidRDefault="005A5BD5" w:rsidP="004C2C7D">
      <w:pPr>
        <w:jc w:val="both"/>
        <w:rPr>
          <w:rFonts w:eastAsia="Calibri"/>
          <w:szCs w:val="22"/>
          <w:lang w:eastAsia="de-DE" w:bidi="de-DE"/>
        </w:rPr>
      </w:pPr>
    </w:p>
    <w:p w14:paraId="1F3DC53B" w14:textId="77777777" w:rsidR="005A5BD5" w:rsidRPr="001E2509" w:rsidRDefault="005A5BD5" w:rsidP="004C2C7D">
      <w:pPr>
        <w:jc w:val="both"/>
        <w:rPr>
          <w:rFonts w:eastAsia="Calibri"/>
          <w:szCs w:val="22"/>
          <w:lang w:eastAsia="de-DE" w:bidi="de-DE"/>
        </w:rPr>
      </w:pPr>
    </w:p>
    <w:p w14:paraId="1FC42F3E"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15 - Nutzung von Steinkohle als Brennstoff</w:t>
      </w:r>
    </w:p>
    <w:p w14:paraId="445529F3" w14:textId="77777777" w:rsidR="005A5BD5" w:rsidRPr="001E2509" w:rsidRDefault="005A5BD5" w:rsidP="004C2C7D">
      <w:pPr>
        <w:jc w:val="both"/>
        <w:rPr>
          <w:rFonts w:eastAsia="Calibri"/>
          <w:szCs w:val="22"/>
          <w:lang w:eastAsia="de-DE" w:bidi="de-DE"/>
        </w:rPr>
      </w:pPr>
    </w:p>
    <w:p w14:paraId="1237339C"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Mit Ausnahme der Investitionen zur Nutzung von Steinkohle in Energie</w:t>
      </w:r>
      <w:r w:rsidRPr="001E2509">
        <w:rPr>
          <w:rFonts w:eastAsia="Calibri"/>
          <w:szCs w:val="22"/>
          <w:lang w:eastAsia="de-DE" w:bidi="de-DE"/>
        </w:rPr>
        <w:softHyphen/>
        <w:t>erzeugungsanlagen, die mit Dampfkondensation arbeiten, werden berücksichtigt:</w:t>
      </w:r>
    </w:p>
    <w:p w14:paraId="6AC3A376" w14:textId="77777777" w:rsidR="005A5BD5" w:rsidRPr="001E2509" w:rsidRDefault="005A5BD5" w:rsidP="004C2C7D">
      <w:pPr>
        <w:jc w:val="both"/>
        <w:rPr>
          <w:rFonts w:eastAsia="Calibri"/>
          <w:szCs w:val="22"/>
          <w:lang w:eastAsia="de-DE" w:bidi="de-DE"/>
        </w:rPr>
      </w:pPr>
    </w:p>
    <w:p w14:paraId="6E62E41E"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1. in Kategorie 11 aufgezählte Investitionen, sofern die Steinkohle für die dort erwähnte Erzeugung von Wärme und Kraft genutzt wird,</w:t>
      </w:r>
    </w:p>
    <w:p w14:paraId="62D65592" w14:textId="77777777" w:rsidR="005A5BD5" w:rsidRPr="001E2509" w:rsidRDefault="005A5BD5" w:rsidP="004C2C7D">
      <w:pPr>
        <w:jc w:val="both"/>
        <w:rPr>
          <w:rFonts w:eastAsia="Calibri"/>
          <w:szCs w:val="22"/>
          <w:lang w:eastAsia="de-DE" w:bidi="de-DE"/>
        </w:rPr>
      </w:pPr>
    </w:p>
    <w:p w14:paraId="539DB9D9"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2. Investitionen in Bezug auf:</w:t>
      </w:r>
    </w:p>
    <w:p w14:paraId="64EFA4AE" w14:textId="77777777" w:rsidR="005A5BD5" w:rsidRPr="001E2509" w:rsidRDefault="005A5BD5" w:rsidP="004C2C7D">
      <w:pPr>
        <w:jc w:val="both"/>
        <w:rPr>
          <w:rFonts w:eastAsia="Calibri"/>
          <w:szCs w:val="22"/>
          <w:lang w:eastAsia="de-DE" w:bidi="de-DE"/>
        </w:rPr>
      </w:pPr>
    </w:p>
    <w:p w14:paraId="588D81CC"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a)</w:t>
      </w:r>
      <w:r w:rsidRPr="001E2509">
        <w:rPr>
          <w:rFonts w:eastAsia="Calibri"/>
          <w:szCs w:val="22"/>
          <w:lang w:eastAsia="de-DE" w:bidi="de-DE"/>
        </w:rPr>
        <w:t> Ausrüstungen in der Einrichtung:</w:t>
      </w:r>
    </w:p>
    <w:p w14:paraId="47B9601A"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p>
    <w:p w14:paraId="2DA89BFD"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zur Lagerung, Zerkleinerung, Trocknung und Beförderung von Steinkohle,</w:t>
      </w:r>
    </w:p>
    <w:p w14:paraId="38750AE2" w14:textId="77777777" w:rsidR="005A5BD5" w:rsidRPr="001E2509" w:rsidRDefault="005A5BD5" w:rsidP="004C2C7D">
      <w:pPr>
        <w:jc w:val="both"/>
        <w:rPr>
          <w:rFonts w:eastAsia="Calibri"/>
          <w:szCs w:val="22"/>
          <w:lang w:eastAsia="de-DE" w:bidi="de-DE"/>
        </w:rPr>
      </w:pPr>
    </w:p>
    <w:p w14:paraId="7D2F4EFF"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zur Ableitung oder Verarbeitung von Asche oder anderen Abfällen, die bei der Verbrennung von Kohle in der Einrichtung entstehen,</w:t>
      </w:r>
    </w:p>
    <w:p w14:paraId="1AF6971B" w14:textId="77777777" w:rsidR="005A5BD5" w:rsidRPr="001E2509" w:rsidRDefault="005A5BD5" w:rsidP="004C2C7D">
      <w:pPr>
        <w:jc w:val="both"/>
        <w:rPr>
          <w:rFonts w:eastAsia="Calibri"/>
          <w:szCs w:val="22"/>
          <w:lang w:eastAsia="de-DE" w:bidi="de-DE"/>
        </w:rPr>
      </w:pPr>
    </w:p>
    <w:p w14:paraId="010FB410"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für den Anschluss an das bestehende Wärmeverteilungsnetz,</w:t>
      </w:r>
    </w:p>
    <w:p w14:paraId="527B87B4" w14:textId="77777777" w:rsidR="005A5BD5" w:rsidRPr="001E2509" w:rsidRDefault="005A5BD5" w:rsidP="004C2C7D">
      <w:pPr>
        <w:jc w:val="both"/>
        <w:rPr>
          <w:rFonts w:eastAsia="Calibri"/>
          <w:szCs w:val="22"/>
          <w:lang w:eastAsia="de-DE" w:bidi="de-DE"/>
        </w:rPr>
      </w:pPr>
    </w:p>
    <w:p w14:paraId="6811DF94"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b)</w:t>
      </w:r>
      <w:r w:rsidRPr="001E2509">
        <w:rPr>
          <w:rFonts w:eastAsia="Calibri"/>
          <w:szCs w:val="22"/>
          <w:lang w:eastAsia="de-DE" w:bidi="de-DE"/>
        </w:rPr>
        <w:t> Heizkessel, Überhitzer einbegriffen, Economiser und Verbrennungsluft-Vorwärmer,</w:t>
      </w:r>
    </w:p>
    <w:p w14:paraId="10BB183F" w14:textId="77777777" w:rsidR="005A5BD5" w:rsidRPr="001E2509" w:rsidRDefault="005A5BD5" w:rsidP="004C2C7D">
      <w:pPr>
        <w:jc w:val="both"/>
        <w:rPr>
          <w:rFonts w:eastAsia="Calibri"/>
          <w:szCs w:val="22"/>
          <w:lang w:eastAsia="de-DE" w:bidi="de-DE"/>
        </w:rPr>
      </w:pPr>
    </w:p>
    <w:p w14:paraId="749DD671"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c)</w:t>
      </w:r>
      <w:r w:rsidRPr="001E2509">
        <w:rPr>
          <w:rFonts w:eastAsia="Calibri"/>
          <w:szCs w:val="22"/>
          <w:lang w:eastAsia="de-DE" w:bidi="de-DE"/>
        </w:rPr>
        <w:t> Abgasreinigungsgeräte und Schornsteine.</w:t>
      </w:r>
    </w:p>
    <w:p w14:paraId="663897AC" w14:textId="77777777" w:rsidR="005A5BD5" w:rsidRPr="001E2509" w:rsidRDefault="005A5BD5" w:rsidP="004C2C7D">
      <w:pPr>
        <w:jc w:val="both"/>
        <w:rPr>
          <w:rFonts w:eastAsia="Calibri"/>
          <w:szCs w:val="22"/>
          <w:lang w:eastAsia="de-DE" w:bidi="de-DE"/>
        </w:rPr>
      </w:pPr>
    </w:p>
    <w:p w14:paraId="241F8D9C" w14:textId="77777777" w:rsidR="005A5BD5" w:rsidRPr="001E2509" w:rsidRDefault="005A5BD5" w:rsidP="004C2C7D">
      <w:pPr>
        <w:jc w:val="both"/>
        <w:rPr>
          <w:rFonts w:eastAsia="Calibri"/>
          <w:szCs w:val="22"/>
          <w:lang w:eastAsia="de-DE" w:bidi="de-DE"/>
        </w:rPr>
      </w:pPr>
    </w:p>
    <w:p w14:paraId="69885144"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16 - Energieerzeugung durch Abfallverbrennung</w:t>
      </w:r>
    </w:p>
    <w:p w14:paraId="2DA2955D" w14:textId="77777777" w:rsidR="005A5BD5" w:rsidRPr="001E2509" w:rsidRDefault="005A5BD5" w:rsidP="004C2C7D">
      <w:pPr>
        <w:jc w:val="both"/>
        <w:rPr>
          <w:rFonts w:eastAsia="Calibri"/>
          <w:szCs w:val="22"/>
          <w:lang w:eastAsia="de-DE" w:bidi="de-DE"/>
        </w:rPr>
      </w:pPr>
    </w:p>
    <w:p w14:paraId="5148EDB2"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Berücksichtigt werden Investitionen in Bezug auf:</w:t>
      </w:r>
    </w:p>
    <w:p w14:paraId="75D3A87E" w14:textId="77777777" w:rsidR="005A5BD5" w:rsidRPr="001E2509" w:rsidRDefault="005A5BD5" w:rsidP="004C2C7D">
      <w:pPr>
        <w:jc w:val="both"/>
        <w:rPr>
          <w:rFonts w:eastAsia="Calibri"/>
          <w:szCs w:val="22"/>
          <w:lang w:eastAsia="de-DE" w:bidi="de-DE"/>
        </w:rPr>
      </w:pPr>
    </w:p>
    <w:p w14:paraId="53F3DA04"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a)</w:t>
      </w:r>
      <w:r w:rsidRPr="001E2509">
        <w:rPr>
          <w:rFonts w:eastAsia="Calibri"/>
          <w:szCs w:val="22"/>
          <w:lang w:eastAsia="de-DE" w:bidi="de-DE"/>
        </w:rPr>
        <w:t> die Ausrüstung in der Einrichtung für:</w:t>
      </w:r>
    </w:p>
    <w:p w14:paraId="4CFFA930"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p>
    <w:p w14:paraId="070A7932"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Vorbehandlung, Lagerung und Beförderung der zu verbrennenden Abfälle,</w:t>
      </w:r>
    </w:p>
    <w:p w14:paraId="37D83613" w14:textId="77777777" w:rsidR="005A5BD5" w:rsidRPr="001E2509" w:rsidRDefault="005A5BD5" w:rsidP="004C2C7D">
      <w:pPr>
        <w:jc w:val="both"/>
        <w:rPr>
          <w:rFonts w:eastAsia="Calibri"/>
          <w:szCs w:val="22"/>
          <w:lang w:eastAsia="de-DE" w:bidi="de-DE"/>
        </w:rPr>
      </w:pPr>
    </w:p>
    <w:p w14:paraId="7C9F589B" w14:textId="77777777" w:rsidR="005A5BD5" w:rsidRDefault="005A5BD5" w:rsidP="004C2C7D">
      <w:pPr>
        <w:jc w:val="both"/>
        <w:rPr>
          <w:rFonts w:eastAsia="Calibri"/>
          <w:szCs w:val="22"/>
          <w:lang w:eastAsia="de-DE" w:bidi="de-DE"/>
        </w:rPr>
      </w:pPr>
      <w:r w:rsidRPr="001E2509">
        <w:rPr>
          <w:rFonts w:eastAsia="Calibri"/>
          <w:szCs w:val="22"/>
          <w:lang w:eastAsia="de-DE" w:bidi="de-DE"/>
        </w:rPr>
        <w:tab/>
        <w:t>- Abtransport von Asche und Schlacke,</w:t>
      </w:r>
    </w:p>
    <w:p w14:paraId="08172D1F"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br w:type="page"/>
      </w:r>
      <w:r w:rsidRPr="001E2509">
        <w:rPr>
          <w:rFonts w:eastAsia="Calibri"/>
          <w:szCs w:val="22"/>
          <w:lang w:eastAsia="de-DE" w:bidi="de-DE"/>
        </w:rPr>
        <w:lastRenderedPageBreak/>
        <w:tab/>
      </w:r>
      <w:r w:rsidRPr="001E2509">
        <w:rPr>
          <w:rFonts w:eastAsia="Calibri"/>
          <w:i/>
          <w:szCs w:val="22"/>
          <w:lang w:eastAsia="de-DE" w:bidi="de-DE"/>
        </w:rPr>
        <w:t>b)</w:t>
      </w:r>
      <w:r w:rsidRPr="001E2509">
        <w:rPr>
          <w:rFonts w:eastAsia="Calibri"/>
          <w:szCs w:val="22"/>
          <w:lang w:eastAsia="de-DE" w:bidi="de-DE"/>
        </w:rPr>
        <w:t> Verbrennungsgeräte und angepasste Brenner oder Feuerungsanlagen,</w:t>
      </w:r>
    </w:p>
    <w:p w14:paraId="7C2AA6A5" w14:textId="77777777" w:rsidR="005A5BD5" w:rsidRPr="001E2509" w:rsidRDefault="005A5BD5" w:rsidP="004C2C7D">
      <w:pPr>
        <w:jc w:val="both"/>
        <w:rPr>
          <w:rFonts w:eastAsia="Calibri"/>
          <w:szCs w:val="22"/>
          <w:lang w:eastAsia="de-DE" w:bidi="de-DE"/>
        </w:rPr>
      </w:pPr>
    </w:p>
    <w:p w14:paraId="0B48047A"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c)</w:t>
      </w:r>
      <w:r w:rsidRPr="001E2509">
        <w:rPr>
          <w:rFonts w:eastAsia="Calibri"/>
          <w:szCs w:val="22"/>
          <w:lang w:eastAsia="de-DE" w:bidi="de-DE"/>
        </w:rPr>
        <w:t> an Verbrennungsgeräte angeschlossene Rückgewinnungsheizkessel,</w:t>
      </w:r>
    </w:p>
    <w:p w14:paraId="64E06B99" w14:textId="77777777" w:rsidR="005A5BD5" w:rsidRPr="001E2509" w:rsidRDefault="005A5BD5" w:rsidP="004C2C7D">
      <w:pPr>
        <w:jc w:val="both"/>
        <w:rPr>
          <w:rFonts w:eastAsia="Calibri"/>
          <w:szCs w:val="22"/>
          <w:lang w:eastAsia="de-DE" w:bidi="de-DE"/>
        </w:rPr>
      </w:pPr>
    </w:p>
    <w:p w14:paraId="108CBE07"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d)</w:t>
      </w:r>
      <w:r w:rsidRPr="001E2509">
        <w:rPr>
          <w:rFonts w:eastAsia="Calibri"/>
          <w:szCs w:val="22"/>
          <w:lang w:eastAsia="de-DE" w:bidi="de-DE"/>
        </w:rPr>
        <w:t> Schornsteine und Abgasreinigungsgeräte,</w:t>
      </w:r>
    </w:p>
    <w:p w14:paraId="0262C62C"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p>
    <w:p w14:paraId="22593F3B"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e)</w:t>
      </w:r>
      <w:r w:rsidRPr="001E2509">
        <w:rPr>
          <w:rFonts w:eastAsia="Calibri"/>
          <w:szCs w:val="22"/>
          <w:lang w:eastAsia="de-DE" w:bidi="de-DE"/>
        </w:rPr>
        <w:t> Wärmetauscher,</w:t>
      </w:r>
    </w:p>
    <w:p w14:paraId="54DB8B95"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p>
    <w:p w14:paraId="0586B91C"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f)</w:t>
      </w:r>
      <w:r w:rsidRPr="001E2509">
        <w:rPr>
          <w:rFonts w:eastAsia="Calibri"/>
          <w:szCs w:val="22"/>
          <w:lang w:eastAsia="de-DE" w:bidi="de-DE"/>
        </w:rPr>
        <w:t> Mess- oder Regelgeräte.</w:t>
      </w:r>
    </w:p>
    <w:p w14:paraId="1C7822D1" w14:textId="77777777" w:rsidR="005A5BD5" w:rsidRPr="001E2509" w:rsidRDefault="005A5BD5" w:rsidP="004C2C7D">
      <w:pPr>
        <w:jc w:val="both"/>
        <w:rPr>
          <w:rFonts w:eastAsia="Calibri"/>
          <w:szCs w:val="22"/>
          <w:lang w:eastAsia="de-DE" w:bidi="de-DE"/>
        </w:rPr>
      </w:pPr>
    </w:p>
    <w:p w14:paraId="47DC75E1" w14:textId="77777777" w:rsidR="005A5BD5" w:rsidRPr="001E2509" w:rsidRDefault="005A5BD5" w:rsidP="004C2C7D">
      <w:pPr>
        <w:jc w:val="both"/>
        <w:rPr>
          <w:rFonts w:eastAsia="Calibri"/>
          <w:szCs w:val="22"/>
          <w:lang w:eastAsia="de-DE" w:bidi="de-DE"/>
        </w:rPr>
      </w:pPr>
    </w:p>
    <w:p w14:paraId="6FA31D4A" w14:textId="77777777" w:rsidR="005A5BD5" w:rsidRPr="001E2509" w:rsidRDefault="005A5BD5" w:rsidP="004C2C7D">
      <w:pPr>
        <w:jc w:val="both"/>
        <w:rPr>
          <w:rFonts w:eastAsia="Calibri"/>
          <w:b/>
          <w:szCs w:val="22"/>
          <w:lang w:eastAsia="de-DE" w:bidi="de-DE"/>
        </w:rPr>
      </w:pPr>
      <w:r w:rsidRPr="001E2509">
        <w:rPr>
          <w:rFonts w:eastAsia="Calibri"/>
          <w:szCs w:val="22"/>
          <w:lang w:eastAsia="de-DE" w:bidi="de-DE"/>
        </w:rPr>
        <w:tab/>
      </w:r>
      <w:r w:rsidRPr="001E2509">
        <w:rPr>
          <w:rFonts w:eastAsia="Calibri"/>
          <w:b/>
          <w:szCs w:val="22"/>
          <w:lang w:eastAsia="de-DE" w:bidi="de-DE"/>
        </w:rPr>
        <w:t>Kategorie 17 - Nutzung von Gasen aus der anaeroben Fermentation von Abfällen</w:t>
      </w:r>
    </w:p>
    <w:p w14:paraId="5FA796F1" w14:textId="77777777" w:rsidR="005A5BD5" w:rsidRPr="001E2509" w:rsidRDefault="005A5BD5" w:rsidP="004C2C7D">
      <w:pPr>
        <w:jc w:val="both"/>
        <w:rPr>
          <w:rFonts w:eastAsia="Calibri"/>
          <w:szCs w:val="22"/>
          <w:lang w:eastAsia="de-DE" w:bidi="de-DE"/>
        </w:rPr>
      </w:pPr>
    </w:p>
    <w:p w14:paraId="3B568D84"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Berücksichtigt werden Investitionen in Bezug auf:</w:t>
      </w:r>
    </w:p>
    <w:p w14:paraId="027FE55C" w14:textId="77777777" w:rsidR="005A5BD5" w:rsidRPr="001E2509" w:rsidRDefault="005A5BD5" w:rsidP="004C2C7D">
      <w:pPr>
        <w:jc w:val="both"/>
        <w:rPr>
          <w:rFonts w:eastAsia="Calibri"/>
          <w:szCs w:val="22"/>
          <w:lang w:eastAsia="de-DE" w:bidi="de-DE"/>
        </w:rPr>
      </w:pPr>
    </w:p>
    <w:p w14:paraId="7F8EBD2E"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a)</w:t>
      </w:r>
      <w:r w:rsidRPr="001E2509">
        <w:rPr>
          <w:rFonts w:eastAsia="Calibri"/>
          <w:szCs w:val="22"/>
          <w:lang w:eastAsia="de-DE" w:bidi="de-DE"/>
        </w:rPr>
        <w:t> Ausrüstungen in der Einrichtung für Vorbehandlung, Lagerung und Beförderung von Abfällen,</w:t>
      </w:r>
    </w:p>
    <w:p w14:paraId="21FC87D9" w14:textId="77777777" w:rsidR="005A5BD5" w:rsidRPr="001E2509" w:rsidRDefault="005A5BD5" w:rsidP="004C2C7D">
      <w:pPr>
        <w:jc w:val="both"/>
        <w:rPr>
          <w:rFonts w:eastAsia="Calibri"/>
          <w:szCs w:val="22"/>
          <w:lang w:eastAsia="de-DE" w:bidi="de-DE"/>
        </w:rPr>
      </w:pPr>
    </w:p>
    <w:p w14:paraId="6FF45D3B"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b)</w:t>
      </w:r>
      <w:r w:rsidRPr="001E2509">
        <w:rPr>
          <w:rFonts w:eastAsia="Calibri"/>
          <w:szCs w:val="22"/>
          <w:lang w:eastAsia="de-DE" w:bidi="de-DE"/>
        </w:rPr>
        <w:t> Fermentationstanks einschließlich Material und Geräten für ihre Isolierung und Beheizung,</w:t>
      </w:r>
    </w:p>
    <w:p w14:paraId="0CA992A1" w14:textId="77777777" w:rsidR="005A5BD5" w:rsidRPr="001E2509" w:rsidRDefault="005A5BD5" w:rsidP="004C2C7D">
      <w:pPr>
        <w:jc w:val="both"/>
        <w:rPr>
          <w:rFonts w:eastAsia="Calibri"/>
          <w:szCs w:val="22"/>
          <w:lang w:eastAsia="de-DE" w:bidi="de-DE"/>
        </w:rPr>
      </w:pPr>
    </w:p>
    <w:p w14:paraId="606AD712"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c)</w:t>
      </w:r>
      <w:r w:rsidRPr="001E2509">
        <w:rPr>
          <w:rFonts w:eastAsia="Calibri"/>
          <w:szCs w:val="22"/>
          <w:lang w:eastAsia="de-DE" w:bidi="de-DE"/>
        </w:rPr>
        <w:t> Gaslagerbehälter,</w:t>
      </w:r>
    </w:p>
    <w:p w14:paraId="7DC9AA4C" w14:textId="77777777" w:rsidR="005A5BD5" w:rsidRPr="001E2509" w:rsidRDefault="005A5BD5" w:rsidP="004C2C7D">
      <w:pPr>
        <w:jc w:val="both"/>
        <w:rPr>
          <w:rFonts w:eastAsia="Calibri"/>
          <w:szCs w:val="22"/>
          <w:lang w:eastAsia="de-DE" w:bidi="de-DE"/>
        </w:rPr>
      </w:pPr>
    </w:p>
    <w:p w14:paraId="3C9720DE"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d)</w:t>
      </w:r>
      <w:r w:rsidRPr="001E2509">
        <w:rPr>
          <w:rFonts w:eastAsia="Calibri"/>
          <w:szCs w:val="22"/>
          <w:lang w:eastAsia="de-DE" w:bidi="de-DE"/>
        </w:rPr>
        <w:t> Heizkessel oder den Umbau von Heizkesseln, um die Nutzung von Biogas zu ermöglichen,</w:t>
      </w:r>
    </w:p>
    <w:p w14:paraId="0CD4B6D9" w14:textId="77777777" w:rsidR="005A5BD5" w:rsidRPr="001E2509" w:rsidRDefault="005A5BD5" w:rsidP="004C2C7D">
      <w:pPr>
        <w:jc w:val="both"/>
        <w:rPr>
          <w:rFonts w:eastAsia="Calibri"/>
          <w:szCs w:val="22"/>
          <w:lang w:eastAsia="de-DE" w:bidi="de-DE"/>
        </w:rPr>
      </w:pPr>
    </w:p>
    <w:p w14:paraId="57776046"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e)</w:t>
      </w:r>
      <w:r w:rsidRPr="001E2509">
        <w:rPr>
          <w:rFonts w:eastAsia="Calibri"/>
          <w:szCs w:val="22"/>
          <w:lang w:eastAsia="de-DE" w:bidi="de-DE"/>
        </w:rPr>
        <w:t> Mess- oder Regelgeräte,</w:t>
      </w:r>
    </w:p>
    <w:p w14:paraId="19B5352C" w14:textId="77777777" w:rsidR="005A5BD5" w:rsidRPr="001E2509" w:rsidRDefault="005A5BD5" w:rsidP="004C2C7D">
      <w:pPr>
        <w:jc w:val="both"/>
        <w:rPr>
          <w:rFonts w:eastAsia="Calibri"/>
          <w:szCs w:val="22"/>
          <w:lang w:eastAsia="de-DE" w:bidi="de-DE"/>
        </w:rPr>
      </w:pPr>
    </w:p>
    <w:p w14:paraId="57C5A75C"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r w:rsidRPr="001E2509">
        <w:rPr>
          <w:rFonts w:eastAsia="Calibri"/>
          <w:i/>
          <w:szCs w:val="22"/>
          <w:lang w:eastAsia="de-DE" w:bidi="de-DE"/>
        </w:rPr>
        <w:t>f)</w:t>
      </w:r>
      <w:r w:rsidRPr="001E2509">
        <w:rPr>
          <w:rFonts w:eastAsia="Calibri"/>
          <w:szCs w:val="22"/>
          <w:lang w:eastAsia="de-DE" w:bidi="de-DE"/>
        </w:rPr>
        <w:t> Kraftmaschinen, die die Verbrennung von Biogas ermöglichen.</w:t>
      </w:r>
    </w:p>
    <w:p w14:paraId="54B24E1C" w14:textId="77777777" w:rsidR="005A5BD5" w:rsidRPr="001E2509" w:rsidRDefault="005A5BD5" w:rsidP="004C2C7D">
      <w:pPr>
        <w:rPr>
          <w:rFonts w:eastAsia="Calibri"/>
          <w:szCs w:val="22"/>
          <w:lang w:eastAsia="de-DE" w:bidi="de-DE"/>
        </w:rPr>
      </w:pPr>
    </w:p>
    <w:p w14:paraId="576B7245" w14:textId="77777777" w:rsidR="005A5BD5" w:rsidRPr="001E2509" w:rsidRDefault="005A5BD5" w:rsidP="004C2C7D">
      <w:pPr>
        <w:rPr>
          <w:rFonts w:eastAsia="Calibri"/>
          <w:szCs w:val="22"/>
          <w:lang w:eastAsia="de-DE" w:bidi="de-DE"/>
        </w:rPr>
      </w:pPr>
    </w:p>
    <w:p w14:paraId="500BA2B3"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18 - Energieeinsparender Transport</w:t>
      </w:r>
    </w:p>
    <w:p w14:paraId="696D7A80" w14:textId="77777777" w:rsidR="005A5BD5" w:rsidRPr="001E2509" w:rsidRDefault="005A5BD5" w:rsidP="004C2C7D">
      <w:pPr>
        <w:rPr>
          <w:rFonts w:eastAsia="Calibri"/>
          <w:szCs w:val="22"/>
          <w:lang w:eastAsia="de-DE" w:bidi="de-DE"/>
        </w:rPr>
      </w:pPr>
    </w:p>
    <w:p w14:paraId="280179A9"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In der Einrichtung werden Investitionen in neue Einlade- und Ausladevorrichtungen für den Transport im Eisenbahn- oder Binnenschiffsverkehr oder in Ausrüstungen für den Anschluss an das Eisenbahnnetz berücksichtigt.</w:t>
      </w:r>
    </w:p>
    <w:p w14:paraId="5BA51738" w14:textId="77777777" w:rsidR="005A5BD5" w:rsidRPr="001E2509" w:rsidRDefault="005A5BD5" w:rsidP="004C2C7D">
      <w:pPr>
        <w:rPr>
          <w:rFonts w:eastAsia="Calibri"/>
          <w:szCs w:val="22"/>
          <w:lang w:eastAsia="de-DE" w:bidi="de-DE"/>
        </w:rPr>
      </w:pPr>
    </w:p>
    <w:p w14:paraId="67789C7A" w14:textId="77777777" w:rsidR="005A5BD5" w:rsidRPr="001E2509" w:rsidRDefault="005A5BD5" w:rsidP="004C2C7D">
      <w:pPr>
        <w:rPr>
          <w:rFonts w:eastAsia="Calibri"/>
          <w:szCs w:val="22"/>
          <w:lang w:eastAsia="de-DE" w:bidi="de-DE"/>
        </w:rPr>
      </w:pPr>
    </w:p>
    <w:p w14:paraId="1917EC0F"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19 - Steigerung der energetischen Leistung von in Betrieb befindlichen Anlagen</w:t>
      </w:r>
    </w:p>
    <w:p w14:paraId="45C7B8F7" w14:textId="77777777" w:rsidR="005A5BD5" w:rsidRPr="001E2509" w:rsidRDefault="005A5BD5" w:rsidP="004C2C7D">
      <w:pPr>
        <w:rPr>
          <w:rFonts w:eastAsia="Calibri"/>
          <w:szCs w:val="22"/>
          <w:lang w:eastAsia="de-DE" w:bidi="de-DE"/>
        </w:rPr>
      </w:pPr>
    </w:p>
    <w:p w14:paraId="1A0FBA71" w14:textId="77777777" w:rsidR="005A5BD5" w:rsidRDefault="005A5BD5" w:rsidP="004C2C7D">
      <w:pPr>
        <w:jc w:val="both"/>
        <w:rPr>
          <w:rFonts w:eastAsia="Calibri"/>
          <w:szCs w:val="22"/>
          <w:lang w:eastAsia="de-DE" w:bidi="de-DE"/>
        </w:rPr>
      </w:pPr>
      <w:r w:rsidRPr="001E2509">
        <w:rPr>
          <w:rFonts w:eastAsia="Calibri"/>
          <w:szCs w:val="22"/>
          <w:lang w:eastAsia="de-DE" w:bidi="de-DE"/>
        </w:rPr>
        <w:tab/>
        <w:t>Berücksichtigt werden ausschließlich im Hinblick auf eine bessere Kontrolle der energetischen Leistung Investitionen in Bezug auf die Anbringung oder Verbesserung von Mess- oder Regelgeräten.</w:t>
      </w:r>
    </w:p>
    <w:p w14:paraId="68704B4D" w14:textId="77777777" w:rsidR="005A5BD5" w:rsidRPr="001E2509" w:rsidRDefault="005A5BD5" w:rsidP="004C2C7D">
      <w:pPr>
        <w:jc w:val="both"/>
        <w:rPr>
          <w:rFonts w:eastAsia="Calibri"/>
          <w:b/>
          <w:szCs w:val="22"/>
          <w:lang w:eastAsia="de-DE" w:bidi="de-DE"/>
        </w:rPr>
      </w:pPr>
      <w:r>
        <w:rPr>
          <w:rFonts w:eastAsia="Calibri"/>
          <w:szCs w:val="22"/>
          <w:lang w:eastAsia="de-DE" w:bidi="de-DE"/>
        </w:rPr>
        <w:br w:type="page"/>
      </w:r>
      <w:r w:rsidRPr="001E2509">
        <w:rPr>
          <w:rFonts w:eastAsia="Calibri"/>
          <w:b/>
          <w:szCs w:val="22"/>
          <w:lang w:eastAsia="de-DE" w:bidi="de-DE"/>
        </w:rPr>
        <w:lastRenderedPageBreak/>
        <w:t>Kategorie 20 - Steigerung der energetischen Leistung von bestehenden Verdampfungs- oder Destillationsgeräten und Dampfverteilungsnetzen, die in Produktionsverfahren genutzt werden</w:t>
      </w:r>
    </w:p>
    <w:p w14:paraId="3705C967" w14:textId="77777777" w:rsidR="005A5BD5" w:rsidRPr="001E2509" w:rsidRDefault="005A5BD5" w:rsidP="004C2C7D">
      <w:pPr>
        <w:jc w:val="both"/>
        <w:rPr>
          <w:rFonts w:eastAsia="Calibri"/>
          <w:b/>
          <w:szCs w:val="22"/>
          <w:lang w:eastAsia="de-DE" w:bidi="de-DE"/>
        </w:rPr>
      </w:pPr>
    </w:p>
    <w:p w14:paraId="740C34A1"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Berücksichtigt werden Investitionen:</w:t>
      </w:r>
    </w:p>
    <w:p w14:paraId="134BF7E2" w14:textId="77777777" w:rsidR="005A5BD5" w:rsidRPr="001E2509" w:rsidRDefault="005A5BD5" w:rsidP="004C2C7D">
      <w:pPr>
        <w:jc w:val="both"/>
        <w:rPr>
          <w:rFonts w:eastAsia="Calibri"/>
          <w:szCs w:val="22"/>
          <w:lang w:eastAsia="de-DE" w:bidi="de-DE"/>
        </w:rPr>
      </w:pPr>
    </w:p>
    <w:p w14:paraId="64714216"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in Geräte für Thermokompression oder mechanische Rekompression von Dampf,</w:t>
      </w:r>
    </w:p>
    <w:p w14:paraId="68012D8A" w14:textId="77777777" w:rsidR="005A5BD5" w:rsidRPr="001E2509" w:rsidRDefault="005A5BD5" w:rsidP="004C2C7D">
      <w:pPr>
        <w:jc w:val="both"/>
        <w:rPr>
          <w:rFonts w:eastAsia="Calibri"/>
          <w:szCs w:val="22"/>
          <w:lang w:eastAsia="de-DE" w:bidi="de-DE"/>
        </w:rPr>
      </w:pPr>
    </w:p>
    <w:p w14:paraId="103D0863"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zur Erhöhung der Anzahl Verdampfungsstufen,</w:t>
      </w:r>
    </w:p>
    <w:p w14:paraId="10777E1B"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r>
    </w:p>
    <w:p w14:paraId="532D97DE"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zur Erhöhung der Anzahl Austauschböden oder zur Verringerung des Rücklauf</w:t>
      </w:r>
      <w:r w:rsidRPr="001E2509">
        <w:rPr>
          <w:rFonts w:eastAsia="Calibri"/>
          <w:szCs w:val="22"/>
          <w:lang w:eastAsia="de-DE" w:bidi="de-DE"/>
        </w:rPr>
        <w:softHyphen/>
        <w:t>verhältnisses in den Destillieranlagen,</w:t>
      </w:r>
    </w:p>
    <w:p w14:paraId="1727F31F" w14:textId="77777777" w:rsidR="005A5BD5" w:rsidRPr="001E2509" w:rsidRDefault="005A5BD5" w:rsidP="004C2C7D">
      <w:pPr>
        <w:jc w:val="both"/>
        <w:rPr>
          <w:rFonts w:eastAsia="Calibri"/>
          <w:szCs w:val="22"/>
          <w:lang w:eastAsia="de-DE" w:bidi="de-DE"/>
        </w:rPr>
      </w:pPr>
    </w:p>
    <w:p w14:paraId="72A6AD12"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zur Montage oder Verbesserung von Mess- oder Regelgeräten.</w:t>
      </w:r>
    </w:p>
    <w:p w14:paraId="7F4A904F" w14:textId="77777777" w:rsidR="005A5BD5" w:rsidRPr="001E2509" w:rsidRDefault="005A5BD5" w:rsidP="004C2C7D">
      <w:pPr>
        <w:jc w:val="both"/>
        <w:rPr>
          <w:rFonts w:eastAsia="Calibri"/>
          <w:szCs w:val="22"/>
          <w:lang w:eastAsia="de-DE" w:bidi="de-DE"/>
        </w:rPr>
      </w:pPr>
    </w:p>
    <w:p w14:paraId="6A8F21CE" w14:textId="77777777" w:rsidR="005A5BD5" w:rsidRPr="001E2509" w:rsidRDefault="005A5BD5" w:rsidP="004C2C7D">
      <w:pPr>
        <w:jc w:val="both"/>
        <w:rPr>
          <w:rFonts w:eastAsia="Calibri"/>
          <w:szCs w:val="22"/>
          <w:lang w:eastAsia="de-DE" w:bidi="de-DE"/>
        </w:rPr>
      </w:pPr>
    </w:p>
    <w:p w14:paraId="1010C676"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21 - Steigerung der energetischen Leistung von bestehenden Trocknern, die in Produktionsverfahren genutzt werden</w:t>
      </w:r>
    </w:p>
    <w:p w14:paraId="6E9A628C" w14:textId="77777777" w:rsidR="005A5BD5" w:rsidRPr="001E2509" w:rsidRDefault="005A5BD5" w:rsidP="004C2C7D">
      <w:pPr>
        <w:jc w:val="both"/>
        <w:rPr>
          <w:rFonts w:eastAsia="Calibri"/>
          <w:szCs w:val="22"/>
          <w:lang w:eastAsia="de-DE" w:bidi="de-DE"/>
        </w:rPr>
      </w:pPr>
    </w:p>
    <w:p w14:paraId="33C39237"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Berücksichtigt werden Investitionen, um:</w:t>
      </w:r>
    </w:p>
    <w:p w14:paraId="70CD1D79" w14:textId="77777777" w:rsidR="005A5BD5" w:rsidRPr="001E2509" w:rsidRDefault="005A5BD5" w:rsidP="004C2C7D">
      <w:pPr>
        <w:jc w:val="both"/>
        <w:rPr>
          <w:rFonts w:eastAsia="Calibri"/>
          <w:szCs w:val="22"/>
          <w:lang w:eastAsia="de-DE" w:bidi="de-DE"/>
        </w:rPr>
      </w:pPr>
    </w:p>
    <w:p w14:paraId="07F08E77"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Systeme der indirekten Trocknung durch Systeme der direkten Trocknung auszutauschen,</w:t>
      </w:r>
    </w:p>
    <w:p w14:paraId="32962719" w14:textId="77777777" w:rsidR="005A5BD5" w:rsidRPr="001E2509" w:rsidRDefault="005A5BD5" w:rsidP="004C2C7D">
      <w:pPr>
        <w:jc w:val="both"/>
        <w:rPr>
          <w:rFonts w:eastAsia="Calibri"/>
          <w:szCs w:val="22"/>
          <w:lang w:eastAsia="de-DE" w:bidi="de-DE"/>
        </w:rPr>
      </w:pPr>
    </w:p>
    <w:p w14:paraId="4566C8F1"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Systeme zur mechanischen Vortrocknung hinzuzufügen,</w:t>
      </w:r>
    </w:p>
    <w:p w14:paraId="13379DBF" w14:textId="77777777" w:rsidR="005A5BD5" w:rsidRPr="001E2509" w:rsidRDefault="005A5BD5" w:rsidP="004C2C7D">
      <w:pPr>
        <w:jc w:val="both"/>
        <w:rPr>
          <w:rFonts w:eastAsia="Calibri"/>
          <w:szCs w:val="22"/>
          <w:lang w:eastAsia="de-DE" w:bidi="de-DE"/>
        </w:rPr>
      </w:pPr>
    </w:p>
    <w:p w14:paraId="57AB53D8"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die Menge Trockenluft durch Messung der relativen Feuchtigkeit zu regeln,</w:t>
      </w:r>
    </w:p>
    <w:p w14:paraId="62BC6CCB" w14:textId="77777777" w:rsidR="005A5BD5" w:rsidRPr="001E2509" w:rsidRDefault="005A5BD5" w:rsidP="004C2C7D">
      <w:pPr>
        <w:jc w:val="both"/>
        <w:rPr>
          <w:rFonts w:eastAsia="Calibri"/>
          <w:szCs w:val="22"/>
          <w:lang w:eastAsia="de-DE" w:bidi="de-DE"/>
        </w:rPr>
      </w:pPr>
    </w:p>
    <w:p w14:paraId="71A69417"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Mess- oder Regelgeräte zu montieren oder zu verbessern.</w:t>
      </w:r>
    </w:p>
    <w:p w14:paraId="1E8C2939" w14:textId="77777777" w:rsidR="005A5BD5" w:rsidRPr="001E2509" w:rsidRDefault="005A5BD5" w:rsidP="004C2C7D">
      <w:pPr>
        <w:jc w:val="both"/>
        <w:rPr>
          <w:rFonts w:eastAsia="Calibri"/>
          <w:szCs w:val="22"/>
          <w:lang w:eastAsia="de-DE" w:bidi="de-DE"/>
        </w:rPr>
      </w:pPr>
    </w:p>
    <w:p w14:paraId="021634B8" w14:textId="77777777" w:rsidR="005A5BD5" w:rsidRPr="001E2509" w:rsidRDefault="005A5BD5" w:rsidP="004C2C7D">
      <w:pPr>
        <w:jc w:val="both"/>
        <w:rPr>
          <w:rFonts w:eastAsia="Calibri"/>
          <w:szCs w:val="22"/>
          <w:lang w:eastAsia="de-DE" w:bidi="de-DE"/>
        </w:rPr>
      </w:pPr>
    </w:p>
    <w:p w14:paraId="28F1357C" w14:textId="77777777" w:rsidR="005A5BD5" w:rsidRPr="001E2509" w:rsidRDefault="005A5BD5" w:rsidP="004C2C7D">
      <w:pPr>
        <w:jc w:val="both"/>
        <w:rPr>
          <w:rFonts w:eastAsia="Calibri"/>
          <w:b/>
          <w:szCs w:val="22"/>
          <w:lang w:eastAsia="de-DE" w:bidi="de-DE"/>
        </w:rPr>
      </w:pPr>
      <w:r w:rsidRPr="001E2509">
        <w:rPr>
          <w:rFonts w:eastAsia="Calibri"/>
          <w:b/>
          <w:szCs w:val="22"/>
          <w:lang w:eastAsia="de-DE" w:bidi="de-DE"/>
        </w:rPr>
        <w:t>Kategorie 22 - Steigerung der energetischen Leistung von bestehenden Kühl-, Pasteurisierungs- oder Sterilisationsgeräten, die in Produktionsverfahren genutzt werden</w:t>
      </w:r>
    </w:p>
    <w:p w14:paraId="489DAA32" w14:textId="77777777" w:rsidR="005A5BD5" w:rsidRPr="001E2509" w:rsidRDefault="005A5BD5" w:rsidP="004C2C7D">
      <w:pPr>
        <w:jc w:val="both"/>
        <w:rPr>
          <w:rFonts w:eastAsia="Calibri"/>
          <w:szCs w:val="22"/>
          <w:lang w:eastAsia="de-DE" w:bidi="de-DE"/>
        </w:rPr>
      </w:pPr>
    </w:p>
    <w:p w14:paraId="639709F7"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Berücksichtigt werden Investitionen zur:</w:t>
      </w:r>
    </w:p>
    <w:p w14:paraId="346645B6" w14:textId="77777777" w:rsidR="005A5BD5" w:rsidRPr="001E2509" w:rsidRDefault="005A5BD5" w:rsidP="004C2C7D">
      <w:pPr>
        <w:jc w:val="both"/>
        <w:rPr>
          <w:rFonts w:eastAsia="Calibri"/>
          <w:szCs w:val="22"/>
          <w:lang w:eastAsia="de-DE" w:bidi="de-DE"/>
        </w:rPr>
      </w:pPr>
    </w:p>
    <w:p w14:paraId="528D300E"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Montage oder Verbesserung von Mess- oder Regelgeräten,</w:t>
      </w:r>
    </w:p>
    <w:p w14:paraId="0D797A3B" w14:textId="77777777" w:rsidR="005A5BD5" w:rsidRPr="001E2509" w:rsidRDefault="005A5BD5" w:rsidP="004C2C7D">
      <w:pPr>
        <w:jc w:val="both"/>
        <w:rPr>
          <w:rFonts w:eastAsia="Calibri"/>
          <w:szCs w:val="22"/>
          <w:lang w:eastAsia="de-DE" w:bidi="de-DE"/>
        </w:rPr>
      </w:pPr>
    </w:p>
    <w:p w14:paraId="0852E78E"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Montage von Geräten, die eine Umkehrosmose ermöglichen.</w:t>
      </w:r>
    </w:p>
    <w:p w14:paraId="6F89D5F3" w14:textId="77777777" w:rsidR="005A5BD5" w:rsidRPr="001E2509" w:rsidRDefault="005A5BD5" w:rsidP="004C2C7D">
      <w:pPr>
        <w:jc w:val="both"/>
        <w:rPr>
          <w:rFonts w:eastAsia="Calibri"/>
          <w:szCs w:val="22"/>
          <w:lang w:eastAsia="de-DE" w:bidi="de-DE"/>
        </w:rPr>
      </w:pPr>
    </w:p>
    <w:p w14:paraId="15E1C14B" w14:textId="77777777" w:rsidR="005A5BD5" w:rsidRPr="001E2509" w:rsidRDefault="005A5BD5" w:rsidP="004C2C7D">
      <w:pPr>
        <w:jc w:val="both"/>
        <w:rPr>
          <w:rFonts w:eastAsia="Calibri"/>
          <w:szCs w:val="22"/>
          <w:lang w:eastAsia="de-DE" w:bidi="de-DE"/>
        </w:rPr>
      </w:pPr>
    </w:p>
    <w:p w14:paraId="10C11106" w14:textId="77777777" w:rsidR="005A5BD5" w:rsidRPr="001E2509" w:rsidRDefault="005A5BD5" w:rsidP="004C2C7D">
      <w:pPr>
        <w:jc w:val="both"/>
        <w:rPr>
          <w:rFonts w:eastAsia="Calibri"/>
          <w:b/>
          <w:szCs w:val="22"/>
          <w:lang w:eastAsia="de-DE" w:bidi="de-DE"/>
        </w:rPr>
      </w:pPr>
      <w:r w:rsidRPr="001E2509">
        <w:rPr>
          <w:rFonts w:eastAsia="Calibri"/>
          <w:b/>
          <w:szCs w:val="22"/>
          <w:lang w:eastAsia="de-DE" w:bidi="de-DE"/>
        </w:rPr>
        <w:t>Kategorie 23 - Steigerung der energetischen Leistung von bestehenden elektro</w:t>
      </w:r>
      <w:r w:rsidRPr="001E2509">
        <w:rPr>
          <w:rFonts w:eastAsia="Calibri"/>
          <w:b/>
          <w:szCs w:val="22"/>
          <w:lang w:eastAsia="de-DE" w:bidi="de-DE"/>
        </w:rPr>
        <w:softHyphen/>
        <w:t>chemischen oder elektrometallurgischen Geräten, die in Produktionsverfahren genutzt werden</w:t>
      </w:r>
    </w:p>
    <w:p w14:paraId="59B6BE30" w14:textId="77777777" w:rsidR="005A5BD5" w:rsidRPr="001E2509" w:rsidRDefault="005A5BD5" w:rsidP="004C2C7D">
      <w:pPr>
        <w:jc w:val="both"/>
        <w:rPr>
          <w:rFonts w:eastAsia="Calibri"/>
          <w:szCs w:val="22"/>
          <w:lang w:eastAsia="de-DE" w:bidi="de-DE"/>
        </w:rPr>
      </w:pPr>
    </w:p>
    <w:p w14:paraId="52AB1B51"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Berücksichtigt werden Investitionen zur:</w:t>
      </w:r>
    </w:p>
    <w:p w14:paraId="0943D124" w14:textId="77777777" w:rsidR="005A5BD5" w:rsidRPr="001E2509" w:rsidRDefault="005A5BD5" w:rsidP="004C2C7D">
      <w:pPr>
        <w:jc w:val="both"/>
        <w:rPr>
          <w:rFonts w:eastAsia="Calibri"/>
          <w:szCs w:val="22"/>
          <w:lang w:eastAsia="de-DE" w:bidi="de-DE"/>
        </w:rPr>
      </w:pPr>
    </w:p>
    <w:p w14:paraId="09BAF5F9"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 Montage von neuen Arten Elektroden oder Membranen,</w:t>
      </w:r>
    </w:p>
    <w:p w14:paraId="647B0528" w14:textId="77777777" w:rsidR="005A5BD5" w:rsidRPr="001E2509" w:rsidRDefault="005A5BD5" w:rsidP="004C2C7D">
      <w:pPr>
        <w:jc w:val="both"/>
        <w:rPr>
          <w:rFonts w:eastAsia="Calibri"/>
          <w:szCs w:val="22"/>
          <w:lang w:eastAsia="de-DE" w:bidi="de-DE"/>
        </w:rPr>
        <w:sectPr w:rsidR="005A5BD5" w:rsidRPr="001E2509" w:rsidSect="003426CA">
          <w:pgSz w:w="11906" w:h="16838" w:code="9"/>
          <w:pgMar w:top="1418" w:right="1418" w:bottom="1418" w:left="1418" w:header="709" w:footer="709" w:gutter="0"/>
          <w:cols w:space="708"/>
          <w:docGrid w:linePitch="360"/>
        </w:sectPr>
      </w:pPr>
    </w:p>
    <w:p w14:paraId="5E81B61B"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lastRenderedPageBreak/>
        <w:tab/>
        <w:t>- Montage oder Verbesserung von Mess- oder Regelgeräten.</w:t>
      </w:r>
    </w:p>
    <w:p w14:paraId="31341D33" w14:textId="77777777" w:rsidR="005A5BD5" w:rsidRPr="001E2509" w:rsidRDefault="005A5BD5" w:rsidP="004C2C7D">
      <w:pPr>
        <w:jc w:val="both"/>
        <w:rPr>
          <w:rFonts w:eastAsia="Calibri"/>
          <w:szCs w:val="22"/>
          <w:lang w:eastAsia="de-DE" w:bidi="de-DE"/>
        </w:rPr>
      </w:pPr>
    </w:p>
    <w:p w14:paraId="3750FCE1" w14:textId="77777777" w:rsidR="005A5BD5" w:rsidRPr="001E2509" w:rsidRDefault="005A5BD5" w:rsidP="004C2C7D">
      <w:pPr>
        <w:jc w:val="both"/>
        <w:rPr>
          <w:rFonts w:eastAsia="Calibri"/>
          <w:szCs w:val="22"/>
          <w:lang w:eastAsia="de-DE" w:bidi="de-DE"/>
        </w:rPr>
      </w:pPr>
    </w:p>
    <w:p w14:paraId="390204ED"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24 - Energieeinsparung durch Vakuumpumpen</w:t>
      </w:r>
    </w:p>
    <w:p w14:paraId="1D83D2FD" w14:textId="77777777" w:rsidR="005A5BD5" w:rsidRPr="001E2509" w:rsidRDefault="005A5BD5" w:rsidP="004C2C7D">
      <w:pPr>
        <w:jc w:val="both"/>
        <w:rPr>
          <w:rFonts w:eastAsia="Calibri"/>
          <w:szCs w:val="22"/>
          <w:lang w:eastAsia="de-DE" w:bidi="de-DE"/>
        </w:rPr>
      </w:pPr>
    </w:p>
    <w:p w14:paraId="6541F40C"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Berücksichtigt werden Investitionen in Bezug auf den Austausch von Dampfstrahl-Vakuumpumpen durch Vakuumpumpen.</w:t>
      </w:r>
    </w:p>
    <w:p w14:paraId="2E3C5CC8" w14:textId="77777777" w:rsidR="005A5BD5" w:rsidRPr="001E2509" w:rsidRDefault="005A5BD5" w:rsidP="004C2C7D">
      <w:pPr>
        <w:jc w:val="both"/>
        <w:rPr>
          <w:rFonts w:eastAsia="Calibri"/>
          <w:szCs w:val="22"/>
          <w:lang w:eastAsia="de-DE" w:bidi="de-DE"/>
        </w:rPr>
      </w:pPr>
    </w:p>
    <w:p w14:paraId="5CC03820" w14:textId="77777777" w:rsidR="005A5BD5" w:rsidRPr="001E2509" w:rsidRDefault="005A5BD5" w:rsidP="004C2C7D">
      <w:pPr>
        <w:jc w:val="both"/>
        <w:rPr>
          <w:rFonts w:eastAsia="Calibri"/>
          <w:szCs w:val="22"/>
          <w:lang w:eastAsia="de-DE" w:bidi="de-DE"/>
        </w:rPr>
      </w:pPr>
    </w:p>
    <w:p w14:paraId="55360ACD" w14:textId="77777777" w:rsidR="005A5BD5" w:rsidRPr="001E2509" w:rsidRDefault="005A5BD5" w:rsidP="004C2C7D">
      <w:pPr>
        <w:jc w:val="center"/>
        <w:rPr>
          <w:rFonts w:eastAsia="Calibri"/>
          <w:b/>
          <w:szCs w:val="22"/>
          <w:lang w:eastAsia="de-DE" w:bidi="de-DE"/>
        </w:rPr>
      </w:pPr>
      <w:r w:rsidRPr="001E2509">
        <w:rPr>
          <w:rFonts w:eastAsia="Calibri"/>
          <w:b/>
          <w:szCs w:val="22"/>
          <w:lang w:eastAsia="de-DE" w:bidi="de-DE"/>
        </w:rPr>
        <w:t>Kategorie 25 - Regelung von Maschinenantrieben</w:t>
      </w:r>
    </w:p>
    <w:p w14:paraId="154938E3" w14:textId="77777777" w:rsidR="005A5BD5" w:rsidRPr="001E2509" w:rsidRDefault="005A5BD5" w:rsidP="004C2C7D">
      <w:pPr>
        <w:jc w:val="both"/>
        <w:rPr>
          <w:rFonts w:eastAsia="Calibri"/>
          <w:szCs w:val="22"/>
          <w:lang w:eastAsia="de-DE" w:bidi="de-DE"/>
        </w:rPr>
      </w:pPr>
    </w:p>
    <w:p w14:paraId="35180AD9" w14:textId="77777777" w:rsidR="005A5BD5" w:rsidRPr="001E2509" w:rsidRDefault="005A5BD5" w:rsidP="004C2C7D">
      <w:pPr>
        <w:jc w:val="both"/>
        <w:rPr>
          <w:rFonts w:eastAsia="Calibri"/>
          <w:szCs w:val="22"/>
          <w:lang w:eastAsia="de-DE" w:bidi="de-DE"/>
        </w:rPr>
      </w:pPr>
      <w:r w:rsidRPr="001E2509">
        <w:rPr>
          <w:rFonts w:eastAsia="Calibri"/>
          <w:szCs w:val="22"/>
          <w:lang w:eastAsia="de-DE" w:bidi="de-DE"/>
        </w:rPr>
        <w:tab/>
        <w:t>Berücksichtigt werden Investitionen für das Anbringen von elektronischen Drehzahlreglern und - zur Vermeidung des Betriebs der Maschinen im Leerlauf - von automatischen Abschaltsystemen.</w:t>
      </w:r>
    </w:p>
    <w:p w14:paraId="7664EB04" w14:textId="77777777" w:rsidR="005A5BD5" w:rsidRPr="001E2509" w:rsidRDefault="005A5BD5" w:rsidP="004C2C7D">
      <w:pPr>
        <w:jc w:val="both"/>
        <w:rPr>
          <w:rFonts w:eastAsia="Calibri"/>
          <w:szCs w:val="22"/>
          <w:lang w:eastAsia="de-DE" w:bidi="de-DE"/>
        </w:rPr>
      </w:pPr>
    </w:p>
    <w:p w14:paraId="1898DD89" w14:textId="77777777" w:rsidR="005A5BD5" w:rsidRPr="001E2509" w:rsidRDefault="005A5BD5" w:rsidP="004C2C7D">
      <w:pPr>
        <w:jc w:val="both"/>
        <w:rPr>
          <w:rFonts w:eastAsia="Calibri"/>
          <w:i/>
          <w:szCs w:val="22"/>
          <w:lang w:eastAsia="de-DE" w:bidi="de-DE"/>
        </w:rPr>
      </w:pPr>
      <w:r w:rsidRPr="001E2509">
        <w:rPr>
          <w:rFonts w:eastAsia="Calibri"/>
          <w:i/>
          <w:szCs w:val="22"/>
          <w:lang w:eastAsia="de-DE" w:bidi="de-DE"/>
        </w:rPr>
        <w:t>[Anlage 2 Überschrift abgeändert durch Art. 6 des K.E. vom 21. September 2000 (B.S. vom 17. Oktober 2000) und Art. 5 des K.E. vom 12. Mai 2003 (I) (B.S. vom 20. Mai 2003)]</w:t>
      </w:r>
    </w:p>
    <w:p w14:paraId="3B778598" w14:textId="77777777" w:rsidR="005A5BD5" w:rsidRDefault="005A5BD5" w:rsidP="004C2C7D">
      <w:pPr>
        <w:jc w:val="both"/>
        <w:rPr>
          <w:rFonts w:eastAsia="Calibri"/>
          <w:szCs w:val="22"/>
          <w:lang w:eastAsia="de-DE" w:bidi="de-DE"/>
        </w:rPr>
        <w:sectPr w:rsidR="005A5BD5" w:rsidSect="003426CA">
          <w:pgSz w:w="11906" w:h="16838" w:code="9"/>
          <w:pgMar w:top="1418" w:right="1418" w:bottom="1418" w:left="1418" w:header="709" w:footer="709" w:gutter="0"/>
          <w:cols w:space="708"/>
          <w:docGrid w:linePitch="360"/>
        </w:sectPr>
      </w:pPr>
    </w:p>
    <w:p w14:paraId="734CF43A" w14:textId="77777777" w:rsidR="005A5BD5" w:rsidRPr="0009458D" w:rsidRDefault="005A5BD5" w:rsidP="004C2C7D">
      <w:pPr>
        <w:jc w:val="center"/>
        <w:rPr>
          <w:rFonts w:eastAsia="Calibri"/>
          <w:b/>
          <w:szCs w:val="22"/>
          <w:lang w:eastAsia="en-US"/>
        </w:rPr>
      </w:pPr>
      <w:r w:rsidRPr="0009458D">
        <w:rPr>
          <w:rFonts w:eastAsia="Calibri"/>
          <w:szCs w:val="22"/>
          <w:lang w:eastAsia="en-US"/>
        </w:rPr>
        <w:lastRenderedPageBreak/>
        <w:t>[</w:t>
      </w:r>
      <w:r w:rsidRPr="0009458D">
        <w:rPr>
          <w:rFonts w:eastAsia="Calibri"/>
          <w:b/>
          <w:szCs w:val="22"/>
          <w:lang w:eastAsia="en-US"/>
        </w:rPr>
        <w:t>ANLAGE 2</w:t>
      </w:r>
      <w:r w:rsidRPr="0009458D">
        <w:rPr>
          <w:rFonts w:eastAsia="Calibri"/>
          <w:b/>
          <w:i/>
          <w:szCs w:val="22"/>
          <w:lang w:eastAsia="en-US"/>
        </w:rPr>
        <w:t>bis</w:t>
      </w:r>
    </w:p>
    <w:p w14:paraId="6A42575E" w14:textId="77777777" w:rsidR="005A5BD5" w:rsidRPr="0009458D" w:rsidRDefault="005A5BD5" w:rsidP="004C2C7D">
      <w:pPr>
        <w:jc w:val="center"/>
        <w:rPr>
          <w:rFonts w:eastAsia="Calibri"/>
          <w:szCs w:val="22"/>
          <w:lang w:eastAsia="en-US"/>
        </w:rPr>
      </w:pPr>
    </w:p>
    <w:p w14:paraId="0E1EAC8F" w14:textId="77777777" w:rsidR="005A5BD5" w:rsidRPr="0009458D" w:rsidRDefault="005A5BD5" w:rsidP="004C2C7D">
      <w:pPr>
        <w:jc w:val="center"/>
        <w:rPr>
          <w:rFonts w:eastAsia="Calibri"/>
          <w:szCs w:val="22"/>
          <w:lang w:eastAsia="en-US"/>
        </w:rPr>
      </w:pPr>
    </w:p>
    <w:p w14:paraId="49CEA3A5" w14:textId="77777777" w:rsidR="005A5BD5" w:rsidRPr="0009458D" w:rsidRDefault="005A5BD5" w:rsidP="004C2C7D">
      <w:pPr>
        <w:jc w:val="center"/>
        <w:rPr>
          <w:rFonts w:eastAsia="Calibri"/>
          <w:szCs w:val="22"/>
          <w:lang w:eastAsia="en-US"/>
        </w:rPr>
      </w:pPr>
      <w:r w:rsidRPr="0009458D">
        <w:rPr>
          <w:rFonts w:eastAsia="Calibri"/>
          <w:szCs w:val="22"/>
          <w:lang w:eastAsia="en-US"/>
        </w:rPr>
        <w:t>[...]]</w:t>
      </w:r>
    </w:p>
    <w:p w14:paraId="1768C58A" w14:textId="77777777" w:rsidR="005A5BD5" w:rsidRPr="0009458D" w:rsidRDefault="005A5BD5" w:rsidP="004C2C7D">
      <w:pPr>
        <w:jc w:val="center"/>
        <w:rPr>
          <w:rFonts w:eastAsia="Calibri"/>
          <w:szCs w:val="22"/>
          <w:lang w:eastAsia="en-US"/>
        </w:rPr>
      </w:pPr>
    </w:p>
    <w:p w14:paraId="296EF562" w14:textId="77777777" w:rsidR="005A5BD5" w:rsidRPr="0009458D" w:rsidRDefault="005A5BD5" w:rsidP="004C2C7D">
      <w:pPr>
        <w:jc w:val="both"/>
        <w:rPr>
          <w:rFonts w:eastAsia="Calibri"/>
          <w:i/>
          <w:szCs w:val="22"/>
          <w:lang w:eastAsia="en-US"/>
        </w:rPr>
      </w:pPr>
      <w:r w:rsidRPr="0009458D">
        <w:rPr>
          <w:rFonts w:eastAsia="Calibri"/>
          <w:i/>
          <w:szCs w:val="22"/>
          <w:lang w:eastAsia="en-US"/>
        </w:rPr>
        <w:t>[Anlage 2bis eingefügt durch K.E. vom 20. Dezember 2002 (B.S. vom 28. Dezember 2002) und aufgehoben durch Art. 18 des K.E. vom 30. September 2014 (II) (B.S. vom 9. Okto</w:t>
      </w:r>
      <w:r w:rsidRPr="0009458D">
        <w:rPr>
          <w:rFonts w:eastAsia="Calibri"/>
          <w:i/>
          <w:szCs w:val="22"/>
          <w:lang w:eastAsia="en-US"/>
        </w:rPr>
        <w:softHyphen/>
        <w:t>ber 2014)]</w:t>
      </w:r>
    </w:p>
    <w:p w14:paraId="20C87790" w14:textId="77777777" w:rsidR="005A5BD5" w:rsidRPr="0009458D" w:rsidRDefault="005A5BD5" w:rsidP="004C2C7D">
      <w:pPr>
        <w:jc w:val="center"/>
        <w:rPr>
          <w:rFonts w:eastAsia="Calibri"/>
          <w:szCs w:val="22"/>
          <w:lang w:eastAsia="en-US"/>
        </w:rPr>
      </w:pPr>
    </w:p>
    <w:p w14:paraId="459F8350" w14:textId="77777777" w:rsidR="005A5BD5" w:rsidRDefault="005A5BD5" w:rsidP="004C2C7D">
      <w:pPr>
        <w:jc w:val="both"/>
        <w:rPr>
          <w:rFonts w:eastAsia="Calibri"/>
          <w:szCs w:val="22"/>
          <w:lang w:eastAsia="de-DE" w:bidi="de-DE"/>
        </w:rPr>
        <w:sectPr w:rsidR="005A5BD5" w:rsidSect="003426CA">
          <w:pgSz w:w="11906" w:h="16838" w:code="9"/>
          <w:pgMar w:top="1418" w:right="1418" w:bottom="1418" w:left="1418" w:header="709" w:footer="709" w:gutter="0"/>
          <w:cols w:space="708"/>
          <w:docGrid w:linePitch="360"/>
        </w:sectPr>
      </w:pPr>
    </w:p>
    <w:p w14:paraId="137D7027" w14:textId="77777777" w:rsidR="005A5BD5" w:rsidRPr="00014CA5" w:rsidRDefault="005A5BD5" w:rsidP="004C2C7D">
      <w:pPr>
        <w:jc w:val="center"/>
        <w:rPr>
          <w:rFonts w:eastAsia="Calibri"/>
          <w:b/>
          <w:szCs w:val="22"/>
          <w:lang w:eastAsia="de-DE" w:bidi="de-DE"/>
        </w:rPr>
      </w:pPr>
      <w:r w:rsidRPr="00014CA5">
        <w:rPr>
          <w:rFonts w:eastAsia="Calibri"/>
          <w:szCs w:val="22"/>
          <w:lang w:eastAsia="de-DE" w:bidi="de-DE"/>
        </w:rPr>
        <w:lastRenderedPageBreak/>
        <w:t>[</w:t>
      </w:r>
      <w:r w:rsidRPr="00014CA5">
        <w:rPr>
          <w:rFonts w:eastAsia="Calibri"/>
          <w:b/>
          <w:szCs w:val="22"/>
          <w:lang w:eastAsia="de-DE" w:bidi="de-DE"/>
        </w:rPr>
        <w:t>ANLAGE 2</w:t>
      </w:r>
      <w:r w:rsidRPr="00014CA5">
        <w:rPr>
          <w:rFonts w:eastAsia="Calibri"/>
          <w:b/>
          <w:i/>
          <w:szCs w:val="22"/>
          <w:lang w:eastAsia="de-DE" w:bidi="de-DE"/>
        </w:rPr>
        <w:t>ter</w:t>
      </w:r>
    </w:p>
    <w:p w14:paraId="4E4444B6" w14:textId="77777777" w:rsidR="005A5BD5" w:rsidRPr="00014CA5" w:rsidRDefault="005A5BD5" w:rsidP="004C2C7D">
      <w:pPr>
        <w:jc w:val="both"/>
        <w:rPr>
          <w:rFonts w:eastAsia="Calibri"/>
          <w:b/>
          <w:szCs w:val="22"/>
          <w:lang w:eastAsia="de-DE" w:bidi="de-DE"/>
        </w:rPr>
      </w:pPr>
    </w:p>
    <w:p w14:paraId="2C0CCAF7" w14:textId="77777777" w:rsidR="005A5BD5" w:rsidRPr="00014CA5" w:rsidRDefault="005A5BD5" w:rsidP="004C2C7D">
      <w:pPr>
        <w:jc w:val="both"/>
        <w:rPr>
          <w:rFonts w:eastAsia="Calibri"/>
          <w:b/>
          <w:szCs w:val="22"/>
          <w:lang w:eastAsia="de-DE" w:bidi="de-DE"/>
        </w:rPr>
      </w:pPr>
    </w:p>
    <w:p w14:paraId="01D33F33" w14:textId="77777777" w:rsidR="005A5BD5" w:rsidRPr="00014CA5" w:rsidRDefault="005A5BD5" w:rsidP="004C2C7D">
      <w:pPr>
        <w:jc w:val="both"/>
        <w:rPr>
          <w:rFonts w:eastAsia="Calibri"/>
          <w:b/>
          <w:szCs w:val="22"/>
          <w:lang w:eastAsia="de-DE" w:bidi="de-DE"/>
        </w:rPr>
      </w:pPr>
      <w:r w:rsidRPr="00014CA5">
        <w:rPr>
          <w:rFonts w:eastAsia="Calibri"/>
          <w:b/>
          <w:szCs w:val="22"/>
          <w:lang w:eastAsia="de-DE" w:bidi="de-DE"/>
        </w:rPr>
        <w:t>Pflichtangaben, die auf der Rechnung in Bezug auf die in Artikel 145</w:t>
      </w:r>
      <w:r w:rsidRPr="00014CA5">
        <w:rPr>
          <w:rFonts w:eastAsia="Calibri"/>
          <w:b/>
          <w:szCs w:val="22"/>
          <w:vertAlign w:val="superscript"/>
          <w:lang w:eastAsia="de-DE" w:bidi="de-DE"/>
        </w:rPr>
        <w:t>31</w:t>
      </w:r>
      <w:r w:rsidRPr="00014CA5">
        <w:rPr>
          <w:rFonts w:eastAsia="Calibri"/>
          <w:b/>
          <w:szCs w:val="22"/>
          <w:lang w:eastAsia="de-DE" w:bidi="de-DE"/>
        </w:rPr>
        <w:t xml:space="preserve"> des Einkommensteuergesetzbuches 1992 aufgezählten Ausgaben für die Absicherung von Wohnungen gegen Einbruch oder Brand anzugeben sind </w:t>
      </w:r>
    </w:p>
    <w:p w14:paraId="202C365C" w14:textId="77777777" w:rsidR="005A5BD5" w:rsidRPr="00014CA5" w:rsidRDefault="005A5BD5" w:rsidP="004C2C7D">
      <w:pPr>
        <w:jc w:val="both"/>
        <w:rPr>
          <w:rFonts w:eastAsia="Calibri"/>
          <w:b/>
          <w:szCs w:val="22"/>
          <w:lang w:eastAsia="de-DE" w:bidi="de-DE"/>
        </w:rPr>
      </w:pPr>
    </w:p>
    <w:p w14:paraId="5B2E2F0E" w14:textId="77777777" w:rsidR="005A5BD5" w:rsidRPr="00014CA5" w:rsidRDefault="005A5BD5" w:rsidP="004C2C7D">
      <w:pPr>
        <w:jc w:val="center"/>
        <w:rPr>
          <w:rFonts w:eastAsia="Calibri"/>
          <w:szCs w:val="22"/>
          <w:lang w:eastAsia="de-DE" w:bidi="de-DE"/>
        </w:rPr>
      </w:pPr>
      <w:r w:rsidRPr="00014CA5">
        <w:rPr>
          <w:rFonts w:eastAsia="Calibri"/>
          <w:szCs w:val="22"/>
          <w:lang w:eastAsia="de-DE" w:bidi="de-DE"/>
        </w:rPr>
        <w:t>(KE/EStGB 92, Artikel 63</w:t>
      </w:r>
      <w:r w:rsidRPr="00014CA5">
        <w:rPr>
          <w:rFonts w:eastAsia="Calibri"/>
          <w:szCs w:val="22"/>
          <w:vertAlign w:val="superscript"/>
          <w:lang w:eastAsia="de-DE" w:bidi="de-DE"/>
        </w:rPr>
        <w:t>15</w:t>
      </w:r>
      <w:r w:rsidRPr="00014CA5">
        <w:rPr>
          <w:rFonts w:eastAsia="Calibri"/>
          <w:szCs w:val="22"/>
          <w:lang w:eastAsia="de-DE" w:bidi="de-DE"/>
        </w:rPr>
        <w:t xml:space="preserve"> bis 63</w:t>
      </w:r>
      <w:r w:rsidRPr="00014CA5">
        <w:rPr>
          <w:rFonts w:eastAsia="Calibri"/>
          <w:szCs w:val="22"/>
          <w:vertAlign w:val="superscript"/>
          <w:lang w:eastAsia="de-DE" w:bidi="de-DE"/>
        </w:rPr>
        <w:t>18</w:t>
      </w:r>
      <w:r w:rsidRPr="00014CA5">
        <w:rPr>
          <w:rFonts w:eastAsia="Calibri"/>
          <w:szCs w:val="22"/>
          <w:lang w:eastAsia="de-DE" w:bidi="de-DE"/>
        </w:rPr>
        <w:t>)</w:t>
      </w:r>
    </w:p>
    <w:p w14:paraId="15D00F72" w14:textId="77777777" w:rsidR="005A5BD5" w:rsidRPr="00014CA5" w:rsidRDefault="005A5BD5" w:rsidP="004C2C7D">
      <w:pPr>
        <w:rPr>
          <w:rFonts w:eastAsia="Calibri"/>
          <w:szCs w:val="22"/>
          <w:lang w:eastAsia="de-DE" w:bidi="de-DE"/>
        </w:rPr>
      </w:pPr>
    </w:p>
    <w:p w14:paraId="69ED3658" w14:textId="77777777" w:rsidR="005A5BD5" w:rsidRPr="00014CA5" w:rsidRDefault="005A5BD5" w:rsidP="004C2C7D">
      <w:pPr>
        <w:rPr>
          <w:rFonts w:eastAsia="Calibri"/>
          <w:szCs w:val="22"/>
          <w:lang w:eastAsia="de-DE" w:bidi="de-DE"/>
        </w:rPr>
      </w:pPr>
    </w:p>
    <w:p w14:paraId="4C4AB512" w14:textId="77777777" w:rsidR="005A5BD5" w:rsidRPr="00014CA5" w:rsidRDefault="005A5BD5" w:rsidP="004C2C7D">
      <w:pPr>
        <w:jc w:val="center"/>
        <w:rPr>
          <w:rFonts w:eastAsia="Calibri"/>
          <w:b/>
          <w:szCs w:val="22"/>
          <w:lang w:eastAsia="de-DE" w:bidi="de-DE"/>
        </w:rPr>
      </w:pPr>
      <w:r w:rsidRPr="00014CA5">
        <w:rPr>
          <w:rFonts w:eastAsia="Calibri"/>
          <w:b/>
          <w:szCs w:val="22"/>
          <w:lang w:eastAsia="de-DE" w:bidi="de-DE"/>
        </w:rPr>
        <w:t>Maßnahme 1: Absicherung gegen Einbruch</w:t>
      </w:r>
    </w:p>
    <w:p w14:paraId="69114AFA" w14:textId="77777777" w:rsidR="005A5BD5" w:rsidRPr="00014CA5" w:rsidRDefault="005A5BD5" w:rsidP="004C2C7D">
      <w:pPr>
        <w:jc w:val="center"/>
        <w:rPr>
          <w:rFonts w:eastAsia="Calibri"/>
          <w:b/>
          <w:szCs w:val="22"/>
          <w:lang w:eastAsia="de-DE" w:bidi="de-DE"/>
        </w:rPr>
      </w:pPr>
    </w:p>
    <w:p w14:paraId="5776580C" w14:textId="77777777" w:rsidR="005A5BD5" w:rsidRPr="00014CA5" w:rsidRDefault="005A5BD5" w:rsidP="004C2C7D">
      <w:pPr>
        <w:jc w:val="center"/>
        <w:rPr>
          <w:rFonts w:eastAsia="Calibri"/>
          <w:b/>
          <w:szCs w:val="22"/>
          <w:lang w:eastAsia="de-DE" w:bidi="de-DE"/>
        </w:rPr>
      </w:pPr>
    </w:p>
    <w:p w14:paraId="721CAE88" w14:textId="77777777" w:rsidR="005A5BD5" w:rsidRPr="00014CA5" w:rsidRDefault="005A5BD5" w:rsidP="004C2C7D">
      <w:pPr>
        <w:jc w:val="both"/>
        <w:rPr>
          <w:rFonts w:eastAsia="Calibri"/>
          <w:szCs w:val="22"/>
          <w:lang w:eastAsia="de-DE" w:bidi="de-DE"/>
        </w:rPr>
      </w:pPr>
      <w:r w:rsidRPr="00014CA5">
        <w:rPr>
          <w:rFonts w:eastAsia="Calibri"/>
          <w:szCs w:val="22"/>
          <w:lang w:eastAsia="de-DE" w:bidi="de-DE"/>
        </w:rPr>
        <w:tab/>
        <w:t>A) In Bezug auf Ausgaben für Lieferung und Montage einbruchhemmender Fassadenelemente:</w:t>
      </w:r>
    </w:p>
    <w:p w14:paraId="51608001" w14:textId="77777777" w:rsidR="005A5BD5" w:rsidRPr="00014CA5" w:rsidRDefault="005A5BD5" w:rsidP="004C2C7D">
      <w:pPr>
        <w:rPr>
          <w:rFonts w:eastAsia="Calibri"/>
          <w:szCs w:val="22"/>
          <w:lang w:eastAsia="de-DE" w:bidi="de-DE"/>
        </w:rPr>
      </w:pPr>
    </w:p>
    <w:p w14:paraId="7E1B9614" w14:textId="77777777" w:rsidR="005A5BD5" w:rsidRPr="00014CA5" w:rsidRDefault="005A5BD5" w:rsidP="004C2C7D">
      <w:pPr>
        <w:jc w:val="both"/>
        <w:rPr>
          <w:rFonts w:eastAsia="Calibri"/>
          <w:szCs w:val="22"/>
          <w:lang w:eastAsia="de-DE" w:bidi="de-DE"/>
        </w:rPr>
      </w:pPr>
      <w:r w:rsidRPr="00014CA5">
        <w:rPr>
          <w:rFonts w:eastAsia="Calibri"/>
          <w:szCs w:val="22"/>
          <w:lang w:eastAsia="de-DE" w:bidi="de-DE"/>
        </w:rPr>
        <w:tab/>
        <w:t>1. in Bezug auf Absicherungssysteme für Türen, Fenster, Läden, Garagentore, Lichtkuppeln, Dachfenster, Kellerlöcher und Absperrungen: Der [...] Unternehmer bescheinigt, dass die Absicherungssysteme und ihre Montage den Widerstand der Fassadenelemente der Wohnung in bedeutender Weise gewährleisten oder verstärken, so dass ein Mindestwiderstand von drei Minuten gegen Einbruchsversuche mithilfe folgender Werkzeuge garantiert wird: Schraubenzieher, Zange und Keil.</w:t>
      </w:r>
    </w:p>
    <w:p w14:paraId="035976CE" w14:textId="77777777" w:rsidR="005A5BD5" w:rsidRPr="00014CA5" w:rsidRDefault="005A5BD5" w:rsidP="004C2C7D">
      <w:pPr>
        <w:rPr>
          <w:rFonts w:eastAsia="Calibri"/>
          <w:szCs w:val="22"/>
          <w:lang w:eastAsia="de-DE" w:bidi="de-DE"/>
        </w:rPr>
      </w:pPr>
      <w:r w:rsidRPr="00014CA5">
        <w:rPr>
          <w:rFonts w:eastAsia="Calibri"/>
          <w:szCs w:val="22"/>
          <w:lang w:eastAsia="de-DE" w:bidi="de-DE"/>
        </w:rPr>
        <w:tab/>
      </w:r>
    </w:p>
    <w:p w14:paraId="1A2F61EE" w14:textId="77777777" w:rsidR="005A5BD5" w:rsidRPr="00014CA5" w:rsidRDefault="005A5BD5" w:rsidP="004C2C7D">
      <w:pPr>
        <w:jc w:val="both"/>
        <w:rPr>
          <w:rFonts w:eastAsia="Calibri"/>
          <w:szCs w:val="22"/>
          <w:lang w:eastAsia="de-DE" w:bidi="de-DE"/>
        </w:rPr>
      </w:pPr>
      <w:r w:rsidRPr="00014CA5">
        <w:rPr>
          <w:rFonts w:eastAsia="Calibri"/>
          <w:szCs w:val="22"/>
          <w:lang w:eastAsia="de-DE" w:bidi="de-DE"/>
        </w:rPr>
        <w:tab/>
        <w:t>Um den Widerstand installierter Fassadenelemente zu garantieren, kann sich der [...] Unternehmer auf die Klasse 2 der europäischen Vorno</w:t>
      </w:r>
      <w:r w:rsidR="00DA1639">
        <w:rPr>
          <w:rFonts w:eastAsia="Calibri"/>
          <w:szCs w:val="22"/>
          <w:lang w:eastAsia="de-DE" w:bidi="de-DE"/>
        </w:rPr>
        <w:t>r</w:t>
      </w:r>
      <w:r w:rsidRPr="00014CA5">
        <w:rPr>
          <w:rFonts w:eastAsia="Calibri"/>
          <w:szCs w:val="22"/>
          <w:lang w:eastAsia="de-DE" w:bidi="de-DE"/>
        </w:rPr>
        <w:t>men ENV 1627 bis 1630 oder auf andere vorschreibende Unterlagen beziehen, die bis zur Erscheinung der zukünftigen europäischen Normen EN 1627 bis 1630 dasselbe Leistungsniveau hinsichtlich des Einbruchwiderstands garantieren. Der [...] Unternehmer wird sich auf letztgenannte Normen beziehen können, um den Einbruchwiderstand der installierten Fassadenelemente zu garantieren,</w:t>
      </w:r>
    </w:p>
    <w:p w14:paraId="26CC9791" w14:textId="77777777" w:rsidR="005A5BD5" w:rsidRPr="00014CA5" w:rsidRDefault="005A5BD5" w:rsidP="004C2C7D">
      <w:pPr>
        <w:rPr>
          <w:rFonts w:eastAsia="Calibri"/>
          <w:szCs w:val="22"/>
          <w:lang w:eastAsia="de-DE" w:bidi="de-DE"/>
        </w:rPr>
      </w:pPr>
    </w:p>
    <w:p w14:paraId="11DF60AF" w14:textId="77777777" w:rsidR="005A5BD5" w:rsidRPr="00014CA5" w:rsidRDefault="005A5BD5" w:rsidP="004C2C7D">
      <w:pPr>
        <w:jc w:val="both"/>
        <w:rPr>
          <w:rFonts w:eastAsia="Calibri"/>
          <w:szCs w:val="22"/>
          <w:lang w:eastAsia="de-DE" w:bidi="de-DE"/>
        </w:rPr>
      </w:pPr>
      <w:r w:rsidRPr="00014CA5">
        <w:rPr>
          <w:rFonts w:eastAsia="Calibri"/>
          <w:szCs w:val="22"/>
          <w:lang w:eastAsia="de-DE" w:bidi="de-DE"/>
        </w:rPr>
        <w:tab/>
        <w:t>2. insbesondere in Bezug auf spezifische einbruchhemmende Verglasung: Der [...] Unternehmer bescheinigt, dass die Verglasung auf mindestens einer Seite aus Verbundglas (an der Innenseite angebracht) gemäß der Klasse P4A der europäischen Norm EN 356 besteht. Die Verglasung muss gemäß den Richtlinien der Norm NBN S 23-002 (STS 38) oder den Anweisungen der Glashersteller angebracht werden.</w:t>
      </w:r>
    </w:p>
    <w:p w14:paraId="418CC63B" w14:textId="77777777" w:rsidR="005A5BD5" w:rsidRPr="00014CA5" w:rsidRDefault="005A5BD5" w:rsidP="004C2C7D">
      <w:pPr>
        <w:rPr>
          <w:rFonts w:eastAsia="Calibri"/>
          <w:szCs w:val="22"/>
          <w:lang w:eastAsia="de-DE" w:bidi="de-DE"/>
        </w:rPr>
      </w:pPr>
    </w:p>
    <w:p w14:paraId="509DA92A" w14:textId="77777777" w:rsidR="005A5BD5" w:rsidRPr="00014CA5" w:rsidRDefault="005A5BD5" w:rsidP="004C2C7D">
      <w:pPr>
        <w:jc w:val="both"/>
        <w:rPr>
          <w:rFonts w:eastAsia="Calibri"/>
          <w:szCs w:val="22"/>
          <w:lang w:eastAsia="de-DE" w:bidi="de-DE"/>
        </w:rPr>
      </w:pPr>
      <w:r w:rsidRPr="00014CA5">
        <w:rPr>
          <w:rFonts w:eastAsia="Calibri"/>
          <w:szCs w:val="22"/>
          <w:lang w:eastAsia="de-DE" w:bidi="de-DE"/>
        </w:rPr>
        <w:tab/>
        <w:t>B) In Bezug auf Ausgaben für Lieferung und Montage von Alarmsystemen und Komponenten eines Alarmsystems: Das zugelassene Sicherheitsunternehmen bescheinigt, dass das installierte Material gemäß dem Qualitätskennzeichen INCERT oder einer gleichwertigen Qualitätsnorm, die vom Sektor der Sicherheitsunternehmen vorgebracht wird, zertifiziert ist.</w:t>
      </w:r>
    </w:p>
    <w:p w14:paraId="4B6F8108" w14:textId="77777777" w:rsidR="005A5BD5" w:rsidRPr="00014CA5" w:rsidRDefault="005A5BD5" w:rsidP="004C2C7D">
      <w:pPr>
        <w:rPr>
          <w:rFonts w:eastAsia="Calibri"/>
          <w:szCs w:val="22"/>
          <w:lang w:eastAsia="de-DE" w:bidi="de-DE"/>
        </w:rPr>
      </w:pPr>
    </w:p>
    <w:p w14:paraId="0FB5E268" w14:textId="77777777" w:rsidR="005A5BD5" w:rsidRPr="00014CA5" w:rsidRDefault="005A5BD5" w:rsidP="004C2C7D">
      <w:pPr>
        <w:jc w:val="both"/>
        <w:rPr>
          <w:rFonts w:eastAsia="Calibri"/>
          <w:szCs w:val="22"/>
          <w:lang w:eastAsia="de-DE" w:bidi="de-DE"/>
        </w:rPr>
      </w:pPr>
      <w:r w:rsidRPr="00014CA5">
        <w:rPr>
          <w:rFonts w:eastAsia="Calibri"/>
          <w:szCs w:val="22"/>
          <w:lang w:eastAsia="de-DE" w:bidi="de-DE"/>
        </w:rPr>
        <w:tab/>
        <w:t>C) In Bezug auf Kosten, die mit der Verwaltung von Alarmmeldungen verbunden sind: Die genehmigte Alarmzentrale bescheinigt durch Unterzeichnung einer schriftlichen Vereinbarung den Anschluss des Alarmsystems.</w:t>
      </w:r>
    </w:p>
    <w:p w14:paraId="4FBB62BB" w14:textId="77777777" w:rsidR="005A5BD5" w:rsidRPr="00014CA5" w:rsidRDefault="005A5BD5" w:rsidP="004C2C7D">
      <w:pPr>
        <w:jc w:val="center"/>
        <w:rPr>
          <w:rFonts w:eastAsia="Calibri"/>
          <w:b/>
          <w:szCs w:val="22"/>
          <w:lang w:eastAsia="de-DE" w:bidi="de-DE"/>
        </w:rPr>
      </w:pPr>
      <w:r>
        <w:rPr>
          <w:rFonts w:eastAsia="Calibri"/>
          <w:szCs w:val="22"/>
          <w:lang w:eastAsia="de-DE" w:bidi="de-DE"/>
        </w:rPr>
        <w:br w:type="page"/>
      </w:r>
      <w:r w:rsidRPr="00014CA5">
        <w:rPr>
          <w:rFonts w:eastAsia="Calibri"/>
          <w:b/>
          <w:szCs w:val="22"/>
          <w:lang w:eastAsia="de-DE" w:bidi="de-DE"/>
        </w:rPr>
        <w:lastRenderedPageBreak/>
        <w:t>Maßnahme 2: Absicherung gegen Brand</w:t>
      </w:r>
    </w:p>
    <w:p w14:paraId="62C78D8D" w14:textId="77777777" w:rsidR="005A5BD5" w:rsidRPr="00014CA5" w:rsidRDefault="005A5BD5" w:rsidP="004C2C7D">
      <w:pPr>
        <w:rPr>
          <w:rFonts w:eastAsia="Calibri"/>
          <w:szCs w:val="22"/>
          <w:lang w:eastAsia="de-DE" w:bidi="de-DE"/>
        </w:rPr>
      </w:pPr>
    </w:p>
    <w:p w14:paraId="1C8E5076" w14:textId="77777777" w:rsidR="005A5BD5" w:rsidRPr="00014CA5" w:rsidRDefault="005A5BD5" w:rsidP="004C2C7D">
      <w:pPr>
        <w:rPr>
          <w:rFonts w:eastAsia="Calibri"/>
          <w:szCs w:val="22"/>
          <w:lang w:eastAsia="de-DE" w:bidi="de-DE"/>
        </w:rPr>
      </w:pPr>
    </w:p>
    <w:p w14:paraId="1AB18A79" w14:textId="77777777" w:rsidR="005A5BD5" w:rsidRPr="00014CA5" w:rsidRDefault="005A5BD5" w:rsidP="004C2C7D">
      <w:pPr>
        <w:jc w:val="both"/>
        <w:rPr>
          <w:rFonts w:eastAsia="Calibri"/>
          <w:szCs w:val="22"/>
          <w:lang w:eastAsia="de-DE" w:bidi="de-DE"/>
        </w:rPr>
      </w:pPr>
      <w:r w:rsidRPr="00014CA5">
        <w:rPr>
          <w:rFonts w:eastAsia="Calibri"/>
          <w:szCs w:val="22"/>
          <w:lang w:eastAsia="de-DE" w:bidi="de-DE"/>
        </w:rPr>
        <w:tab/>
        <w:t>In Bezug auf Ausgaben für Feuerschutztüren "halbe Stunde": Der [...] Unternehmer bescheinigt, dass sie auf der Grundlage eines Prüfberichts montiert werden, dessen Einzelprodukte alle eingehalten werden. Die Prüfung wird gemäß NBN 713-020 "Feuerwiderstandsdauer der Bauelemente" oder EI1 30 gemäß NBN EN 13501-2 "Klassifizierung von Bauprodukten und Bauarten zu ihrem Brandverhalten - Teil 2: Klassifizierung mit den Ergebnissen aus den Feuerwiderstandsprüfungen, mit Ausnahme von Lüftungsanlagen" durchgeführt.]</w:t>
      </w:r>
    </w:p>
    <w:p w14:paraId="281A0200" w14:textId="77777777" w:rsidR="005A5BD5" w:rsidRPr="00014CA5" w:rsidRDefault="005A5BD5" w:rsidP="004C2C7D">
      <w:pPr>
        <w:jc w:val="both"/>
        <w:rPr>
          <w:rFonts w:eastAsia="Calibri"/>
          <w:szCs w:val="22"/>
          <w:lang w:eastAsia="de-DE" w:bidi="de-DE"/>
        </w:rPr>
      </w:pPr>
    </w:p>
    <w:p w14:paraId="08CB7CC4" w14:textId="77777777" w:rsidR="006B06FE" w:rsidRDefault="005A5BD5" w:rsidP="004C2C7D">
      <w:pPr>
        <w:jc w:val="both"/>
        <w:rPr>
          <w:rFonts w:eastAsia="Calibri"/>
          <w:i/>
          <w:szCs w:val="22"/>
          <w:lang w:eastAsia="de-DE" w:bidi="de-DE"/>
        </w:rPr>
      </w:pPr>
      <w:r w:rsidRPr="00014CA5">
        <w:rPr>
          <w:rFonts w:eastAsia="Calibri"/>
          <w:i/>
          <w:szCs w:val="22"/>
          <w:lang w:eastAsia="de-DE" w:bidi="de-DE"/>
        </w:rPr>
        <w:t>[Anlage 2ter eingefügt durch K.E. vom 25. Februar 2007 (II) (B.S. vom 2. März 2007); Maßnahme 1 und 2 abgeändert durch Art. 9 des K.E. vom 15. Juni 2012 (B.S. vom 2. Juli 2012)]</w:t>
      </w:r>
    </w:p>
    <w:p w14:paraId="017E189D" w14:textId="77777777" w:rsidR="006B06FE" w:rsidRDefault="006B06FE">
      <w:pPr>
        <w:rPr>
          <w:rFonts w:eastAsia="Calibri"/>
          <w:i/>
          <w:szCs w:val="22"/>
          <w:lang w:eastAsia="de-DE" w:bidi="de-DE"/>
        </w:rPr>
      </w:pPr>
      <w:r>
        <w:rPr>
          <w:rFonts w:eastAsia="Calibri"/>
          <w:i/>
          <w:szCs w:val="22"/>
          <w:lang w:eastAsia="de-DE" w:bidi="de-DE"/>
        </w:rPr>
        <w:br w:type="page"/>
      </w:r>
    </w:p>
    <w:p w14:paraId="5D82F55B" w14:textId="77777777" w:rsidR="006B06FE" w:rsidRDefault="006B06FE" w:rsidP="006B06FE">
      <w:pPr>
        <w:jc w:val="center"/>
        <w:rPr>
          <w:b/>
        </w:rPr>
      </w:pPr>
      <w:r>
        <w:lastRenderedPageBreak/>
        <w:t>[</w:t>
      </w:r>
      <w:r>
        <w:rPr>
          <w:b/>
        </w:rPr>
        <w:t>Anlage 2</w:t>
      </w:r>
      <w:r>
        <w:rPr>
          <w:b/>
          <w:i/>
        </w:rPr>
        <w:t>ter</w:t>
      </w:r>
      <w:r>
        <w:rPr>
          <w:b/>
        </w:rPr>
        <w:t xml:space="preserve">/1 </w:t>
      </w:r>
    </w:p>
    <w:p w14:paraId="040B985A" w14:textId="77777777" w:rsidR="006B06FE" w:rsidRDefault="006B06FE" w:rsidP="006B06FE">
      <w:pPr>
        <w:jc w:val="both"/>
      </w:pPr>
    </w:p>
    <w:p w14:paraId="4BE0700A" w14:textId="77777777" w:rsidR="006B06FE" w:rsidRDefault="006B06FE" w:rsidP="006B06FE">
      <w:pPr>
        <w:jc w:val="both"/>
        <w:rPr>
          <w:b/>
        </w:rPr>
      </w:pPr>
      <w:r>
        <w:rPr>
          <w:b/>
        </w:rPr>
        <w:t>Pflichtangaben, die für den Investitionsabzug für digitale Investitionen auf der Rechnung in Bezug auf die in Artikel 69 § 1 Absatz 1 Nr. 2 Buchstabe </w:t>
      </w:r>
      <w:r>
        <w:rPr>
          <w:b/>
          <w:i/>
        </w:rPr>
        <w:t>f)</w:t>
      </w:r>
      <w:r>
        <w:rPr>
          <w:b/>
        </w:rPr>
        <w:t xml:space="preserve"> des Einkommensteuergesetzbuches 1992 erwähnten Anlagen anzugeben sind</w:t>
      </w:r>
    </w:p>
    <w:p w14:paraId="7C370413" w14:textId="77777777" w:rsidR="006B06FE" w:rsidRDefault="006B06FE" w:rsidP="006B06FE">
      <w:pPr>
        <w:jc w:val="both"/>
      </w:pPr>
    </w:p>
    <w:p w14:paraId="65A441F0" w14:textId="77777777" w:rsidR="006B06FE" w:rsidRDefault="006B06FE" w:rsidP="006B06FE">
      <w:pPr>
        <w:jc w:val="center"/>
      </w:pPr>
      <w:r>
        <w:t>(KE/EStGB 92, Artikel 49/1)</w:t>
      </w:r>
    </w:p>
    <w:p w14:paraId="698289E6" w14:textId="77777777" w:rsidR="006B06FE" w:rsidRDefault="006B06FE" w:rsidP="006B06FE">
      <w:pPr>
        <w:jc w:val="both"/>
      </w:pPr>
    </w:p>
    <w:p w14:paraId="4FF1241B" w14:textId="77777777" w:rsidR="006B06FE" w:rsidRDefault="006B06FE" w:rsidP="006B06FE">
      <w:pPr>
        <w:jc w:val="both"/>
      </w:pPr>
    </w:p>
    <w:p w14:paraId="7102FAB2" w14:textId="77777777" w:rsidR="006B06FE" w:rsidRDefault="006B06FE" w:rsidP="006B06FE">
      <w:pPr>
        <w:jc w:val="center"/>
      </w:pPr>
      <w:r>
        <w:t>Kategorie A - Digitale Anlagen für Integration und Betrieb digitaler Zahlungs- und Rechnungsstellungssysteme</w:t>
      </w:r>
    </w:p>
    <w:p w14:paraId="1A58652B" w14:textId="77777777" w:rsidR="006B06FE" w:rsidRDefault="006B06FE" w:rsidP="006B06FE">
      <w:pPr>
        <w:jc w:val="both"/>
      </w:pPr>
    </w:p>
    <w:p w14:paraId="4C2DE8AE" w14:textId="77777777" w:rsidR="006B06FE" w:rsidRDefault="006B06FE" w:rsidP="006B06FE">
      <w:pPr>
        <w:pStyle w:val="Paragraphedeliste"/>
        <w:numPr>
          <w:ilvl w:val="0"/>
          <w:numId w:val="14"/>
        </w:numPr>
        <w:ind w:left="709" w:hanging="349"/>
        <w:jc w:val="both"/>
      </w:pPr>
      <w:r>
        <w:t>Was die in Artikel 49/1 Buchstabe A Nr. 1 des KE/EStGB 92 erwähnte Software betrifft, die die elektronische Zahlung erleichtert, bescheinigt der Ausrüster, dass:</w:t>
      </w:r>
    </w:p>
    <w:p w14:paraId="18442EAF" w14:textId="77777777" w:rsidR="006B06FE" w:rsidRDefault="006B06FE" w:rsidP="006B06FE">
      <w:pPr>
        <w:pStyle w:val="Paragraphedeliste"/>
        <w:ind w:hanging="720"/>
        <w:jc w:val="both"/>
      </w:pPr>
    </w:p>
    <w:p w14:paraId="0ABFB064" w14:textId="77777777" w:rsidR="006B06FE" w:rsidRDefault="006B06FE" w:rsidP="006B06FE">
      <w:pPr>
        <w:ind w:left="709"/>
        <w:jc w:val="both"/>
      </w:pPr>
      <w:r>
        <w:t>die Software (Name der Software) (Version der Software), die mit einer Mindest</w:t>
      </w:r>
      <w:r>
        <w:softHyphen/>
        <w:t>garantie von (Mindestdauer der Garantie) installiert wurde, ausschließlich der Erleichterung der elektronischen Zahlung dient.</w:t>
      </w:r>
    </w:p>
    <w:p w14:paraId="76DEA45F" w14:textId="77777777" w:rsidR="006B06FE" w:rsidRDefault="006B06FE" w:rsidP="006B06FE">
      <w:pPr>
        <w:ind w:left="709"/>
        <w:jc w:val="both"/>
      </w:pPr>
    </w:p>
    <w:p w14:paraId="5654CB9E" w14:textId="77777777" w:rsidR="006B06FE" w:rsidRDefault="006B06FE" w:rsidP="006B06FE">
      <w:pPr>
        <w:pStyle w:val="Paragraphedeliste"/>
        <w:numPr>
          <w:ilvl w:val="0"/>
          <w:numId w:val="14"/>
        </w:numPr>
        <w:jc w:val="both"/>
      </w:pPr>
      <w:r>
        <w:t>Was die in Artikel 49/1 Buchstabe A Nr. 1 des KE/EStGB 92 erwähnten Geräte betrifft, die die elektronische Zahlung erleichtern, bescheinigt der Ausrüster, dass:</w:t>
      </w:r>
    </w:p>
    <w:p w14:paraId="0E145706" w14:textId="77777777" w:rsidR="006B06FE" w:rsidRDefault="006B06FE" w:rsidP="006B06FE">
      <w:pPr>
        <w:pStyle w:val="Paragraphedeliste"/>
        <w:jc w:val="both"/>
      </w:pPr>
    </w:p>
    <w:p w14:paraId="3D5B46DD" w14:textId="77777777" w:rsidR="006B06FE" w:rsidRDefault="006B06FE" w:rsidP="006B06FE">
      <w:pPr>
        <w:ind w:left="709"/>
        <w:jc w:val="both"/>
      </w:pPr>
      <w:r>
        <w:t>das Gerät (Name des Geräts) (Marke des Geräts), das am (Installationsdatum) mit einer Mindestgarantie von (Mindestdauer der Garantie) installiert wurde, ausschließ</w:t>
      </w:r>
      <w:r>
        <w:softHyphen/>
        <w:t>lich der Erleichterung der elektronischen Zahlung dient.</w:t>
      </w:r>
    </w:p>
    <w:p w14:paraId="71BA6346" w14:textId="77777777" w:rsidR="006B06FE" w:rsidRDefault="006B06FE" w:rsidP="006B06FE">
      <w:pPr>
        <w:ind w:left="709"/>
        <w:jc w:val="both"/>
      </w:pPr>
    </w:p>
    <w:p w14:paraId="167F7037" w14:textId="77777777" w:rsidR="006B06FE" w:rsidRDefault="006B06FE" w:rsidP="006B06FE">
      <w:pPr>
        <w:pStyle w:val="Paragraphedeliste"/>
        <w:numPr>
          <w:ilvl w:val="0"/>
          <w:numId w:val="14"/>
        </w:numPr>
        <w:jc w:val="both"/>
      </w:pPr>
      <w:r>
        <w:t>Was die in Artikel 49/1 Buchstabe A Nr. 2 des KE/EStGB 92 erwähnte Software betrifft, die die elektronische Rechnungsstellung, Signatur oder Archivierung ermöglicht, bescheinigt der Ausrüster, dass:</w:t>
      </w:r>
    </w:p>
    <w:p w14:paraId="3200A428" w14:textId="77777777" w:rsidR="006B06FE" w:rsidRDefault="006B06FE" w:rsidP="006B06FE">
      <w:pPr>
        <w:pStyle w:val="Paragraphedeliste"/>
        <w:jc w:val="both"/>
      </w:pPr>
    </w:p>
    <w:p w14:paraId="5DA65285" w14:textId="77777777" w:rsidR="006B06FE" w:rsidRDefault="006B06FE" w:rsidP="006B06FE">
      <w:pPr>
        <w:ind w:left="709"/>
        <w:jc w:val="both"/>
      </w:pPr>
      <w:r>
        <w:t>die Software (Name der Software) (Version der Software), die mit einer Mindestgarantie von (Mindestdauer der Garantie) installiert wurde, ausschließlich dient zur (Zutreffendes ankreuzen):</w:t>
      </w:r>
    </w:p>
    <w:p w14:paraId="50B896CD" w14:textId="77777777" w:rsidR="006B06FE" w:rsidRDefault="006B06FE" w:rsidP="006B06FE">
      <w:pPr>
        <w:ind w:left="709"/>
        <w:jc w:val="both"/>
      </w:pPr>
    </w:p>
    <w:p w14:paraId="547E122F" w14:textId="77777777" w:rsidR="006B06FE" w:rsidRDefault="006B06FE" w:rsidP="006B06FE">
      <w:pPr>
        <w:ind w:left="709"/>
        <w:jc w:val="both"/>
      </w:pPr>
      <w:r>
        <w:t>o elektronischen Rechnungsstellung,</w:t>
      </w:r>
    </w:p>
    <w:p w14:paraId="038C7B81" w14:textId="77777777" w:rsidR="006B06FE" w:rsidRDefault="006B06FE" w:rsidP="006B06FE">
      <w:pPr>
        <w:ind w:left="709"/>
        <w:jc w:val="both"/>
      </w:pPr>
    </w:p>
    <w:p w14:paraId="3F6AC2F4" w14:textId="77777777" w:rsidR="006B06FE" w:rsidRDefault="006B06FE" w:rsidP="006B06FE">
      <w:pPr>
        <w:ind w:left="709"/>
        <w:jc w:val="both"/>
      </w:pPr>
      <w:r>
        <w:t>o elektronischen Signatur,</w:t>
      </w:r>
    </w:p>
    <w:p w14:paraId="7DC5E23A" w14:textId="77777777" w:rsidR="006B06FE" w:rsidRDefault="006B06FE" w:rsidP="006B06FE">
      <w:pPr>
        <w:ind w:left="709"/>
        <w:jc w:val="both"/>
      </w:pPr>
    </w:p>
    <w:p w14:paraId="2B84D83D" w14:textId="77777777" w:rsidR="006B06FE" w:rsidRDefault="006B06FE" w:rsidP="006B06FE">
      <w:pPr>
        <w:ind w:left="709"/>
        <w:jc w:val="both"/>
        <w:rPr>
          <w:lang w:val="fr-BE"/>
        </w:rPr>
      </w:pPr>
      <w:r>
        <w:t>o elektronischen Archivierung.</w:t>
      </w:r>
    </w:p>
    <w:p w14:paraId="226857BB" w14:textId="77777777" w:rsidR="006B06FE" w:rsidRDefault="006B06FE" w:rsidP="006B06FE">
      <w:pPr>
        <w:ind w:left="709"/>
        <w:jc w:val="both"/>
      </w:pPr>
    </w:p>
    <w:p w14:paraId="17FA63EC" w14:textId="77777777" w:rsidR="006B06FE" w:rsidRDefault="006B06FE" w:rsidP="006B06FE">
      <w:pPr>
        <w:pStyle w:val="Paragraphedeliste"/>
        <w:numPr>
          <w:ilvl w:val="0"/>
          <w:numId w:val="14"/>
        </w:numPr>
        <w:jc w:val="both"/>
      </w:pPr>
      <w:r>
        <w:t>Was die in Artikel 49/1 Buchstabe A Nr. 2 des KE/EStGB 92 erwähnten Geräte betrifft, die die elektronische Rechnungsstellung, Signatur oder Archivierung ermöglichen, bescheinigt der Ausrüster, dass:</w:t>
      </w:r>
    </w:p>
    <w:p w14:paraId="7BD8170B" w14:textId="77777777" w:rsidR="006B06FE" w:rsidRDefault="006B06FE" w:rsidP="006B06FE">
      <w:pPr>
        <w:pStyle w:val="Paragraphedeliste"/>
        <w:jc w:val="both"/>
      </w:pPr>
    </w:p>
    <w:p w14:paraId="2BF8F7AF" w14:textId="77777777" w:rsidR="006B06FE" w:rsidRDefault="006B06FE" w:rsidP="006B06FE">
      <w:pPr>
        <w:ind w:left="709"/>
        <w:jc w:val="both"/>
      </w:pPr>
      <w:r>
        <w:t>das Gerät (Name des Geräts) (Marke des Geräts), das am (Installationsdatum) mit einer Mindestgarantie von (Mindestdauer der Garantie) installiert wurde, ausschließlich dient zur (Zutreffendes ankreuzen):</w:t>
      </w:r>
    </w:p>
    <w:p w14:paraId="0942C3A1" w14:textId="77777777" w:rsidR="006B06FE" w:rsidRDefault="006B06FE" w:rsidP="006B06FE">
      <w:pPr>
        <w:ind w:left="709"/>
        <w:jc w:val="both"/>
      </w:pPr>
    </w:p>
    <w:p w14:paraId="61579CCD" w14:textId="77777777" w:rsidR="006B06FE" w:rsidRDefault="006B06FE" w:rsidP="006B06FE">
      <w:pPr>
        <w:ind w:left="709"/>
        <w:jc w:val="both"/>
      </w:pPr>
      <w:r>
        <w:t>o elektronischen Rechnungsstellung,</w:t>
      </w:r>
    </w:p>
    <w:p w14:paraId="79274FD7" w14:textId="77777777" w:rsidR="006B06FE" w:rsidRDefault="006B06FE" w:rsidP="006B06FE">
      <w:pPr>
        <w:ind w:left="709"/>
        <w:jc w:val="both"/>
      </w:pPr>
    </w:p>
    <w:p w14:paraId="742EF678" w14:textId="77777777" w:rsidR="006B06FE" w:rsidRDefault="006B06FE" w:rsidP="006B06FE">
      <w:pPr>
        <w:ind w:left="709"/>
        <w:jc w:val="both"/>
      </w:pPr>
      <w:r>
        <w:lastRenderedPageBreak/>
        <w:t>o elektronischen Signatur,</w:t>
      </w:r>
    </w:p>
    <w:p w14:paraId="48B2541A" w14:textId="77777777" w:rsidR="006B06FE" w:rsidRDefault="006B06FE" w:rsidP="006B06FE">
      <w:pPr>
        <w:ind w:left="709"/>
        <w:jc w:val="both"/>
      </w:pPr>
    </w:p>
    <w:p w14:paraId="7C5142AE" w14:textId="77777777" w:rsidR="006B06FE" w:rsidRDefault="006B06FE" w:rsidP="006B06FE">
      <w:pPr>
        <w:ind w:left="709"/>
        <w:jc w:val="both"/>
      </w:pPr>
      <w:r>
        <w:t>o elektronischen Archivierung.</w:t>
      </w:r>
    </w:p>
    <w:p w14:paraId="54781A3A" w14:textId="77777777" w:rsidR="006B06FE" w:rsidRDefault="006B06FE" w:rsidP="006B06FE">
      <w:pPr>
        <w:ind w:left="709"/>
        <w:jc w:val="both"/>
      </w:pPr>
    </w:p>
    <w:p w14:paraId="1E92F738" w14:textId="77777777" w:rsidR="006B06FE" w:rsidRDefault="006B06FE" w:rsidP="006B06FE">
      <w:pPr>
        <w:ind w:left="709"/>
        <w:jc w:val="both"/>
      </w:pPr>
    </w:p>
    <w:p w14:paraId="0722D226" w14:textId="77777777" w:rsidR="006B06FE" w:rsidRDefault="006B06FE" w:rsidP="006B06FE">
      <w:pPr>
        <w:jc w:val="center"/>
      </w:pPr>
      <w:r>
        <w:t>Kategorie B - Investitionen in Systeme zur Sicherung der Informations- und Kommunikationstechnologie (IKT)</w:t>
      </w:r>
    </w:p>
    <w:p w14:paraId="5DE4B520" w14:textId="77777777" w:rsidR="006B06FE" w:rsidRDefault="006B06FE" w:rsidP="006B06FE">
      <w:pPr>
        <w:jc w:val="center"/>
      </w:pPr>
    </w:p>
    <w:p w14:paraId="2A0564BE" w14:textId="77777777" w:rsidR="006B06FE" w:rsidRDefault="006B06FE" w:rsidP="006B06FE">
      <w:pPr>
        <w:pStyle w:val="Paragraphedeliste"/>
        <w:numPr>
          <w:ilvl w:val="0"/>
          <w:numId w:val="15"/>
        </w:numPr>
        <w:jc w:val="both"/>
      </w:pPr>
      <w:r>
        <w:t>Was die in Artikel 49/1 Buchstabe B Nr. 1 des KE/EStGB 92 erwähnte Software betrifft, die die Sicherung von Daten, Netzen und IKT-Anwendungen gewährleistet, bescheinigt der Ausrüster, dass:</w:t>
      </w:r>
    </w:p>
    <w:p w14:paraId="2BF697E1" w14:textId="77777777" w:rsidR="006B06FE" w:rsidRDefault="006B06FE" w:rsidP="006B06FE">
      <w:pPr>
        <w:jc w:val="both"/>
      </w:pPr>
    </w:p>
    <w:p w14:paraId="2E2D57D3" w14:textId="77777777" w:rsidR="006B06FE" w:rsidRDefault="006B06FE" w:rsidP="006B06FE">
      <w:pPr>
        <w:ind w:left="709"/>
        <w:jc w:val="both"/>
      </w:pPr>
      <w:r>
        <w:t>die Software (Name der Software) (Version der Software), die mit einer Mindestgarantie von (Mindestdauer der Garantie) installiert wurde, ausschließlich der Sicherung dient von (Zutreffendes ankreuzen):</w:t>
      </w:r>
    </w:p>
    <w:p w14:paraId="1C8EFF43" w14:textId="77777777" w:rsidR="006B06FE" w:rsidRDefault="006B06FE" w:rsidP="006B06FE">
      <w:pPr>
        <w:ind w:left="709"/>
        <w:jc w:val="both"/>
      </w:pPr>
    </w:p>
    <w:p w14:paraId="34E37D5D" w14:textId="77777777" w:rsidR="006B06FE" w:rsidRDefault="006B06FE" w:rsidP="006B06FE">
      <w:pPr>
        <w:ind w:left="709"/>
        <w:jc w:val="both"/>
      </w:pPr>
      <w:r>
        <w:t>o Daten (Verschlüsselungssoftware),</w:t>
      </w:r>
    </w:p>
    <w:p w14:paraId="164D3254" w14:textId="77777777" w:rsidR="006B06FE" w:rsidRDefault="006B06FE" w:rsidP="006B06FE">
      <w:pPr>
        <w:ind w:left="709"/>
        <w:jc w:val="both"/>
      </w:pPr>
    </w:p>
    <w:p w14:paraId="2A907651" w14:textId="77777777" w:rsidR="006B06FE" w:rsidRDefault="006B06FE" w:rsidP="006B06FE">
      <w:pPr>
        <w:ind w:left="709"/>
        <w:jc w:val="both"/>
      </w:pPr>
      <w:r>
        <w:t>o Netzen (Firewall-Software, ...),</w:t>
      </w:r>
    </w:p>
    <w:p w14:paraId="0317C4F1" w14:textId="77777777" w:rsidR="006B06FE" w:rsidRDefault="006B06FE" w:rsidP="006B06FE">
      <w:pPr>
        <w:ind w:left="709"/>
        <w:jc w:val="both"/>
      </w:pPr>
    </w:p>
    <w:p w14:paraId="41EAF7EA" w14:textId="77777777" w:rsidR="006B06FE" w:rsidRDefault="006B06FE" w:rsidP="006B06FE">
      <w:pPr>
        <w:ind w:left="709"/>
        <w:jc w:val="both"/>
      </w:pPr>
      <w:r>
        <w:t>o IKT-Anwendungen (Software zur Kontrolle des Zugriffs auf Anwendungen).</w:t>
      </w:r>
    </w:p>
    <w:p w14:paraId="6E35A5D9" w14:textId="77777777" w:rsidR="006B06FE" w:rsidRDefault="006B06FE" w:rsidP="006B06FE">
      <w:pPr>
        <w:ind w:left="709"/>
        <w:jc w:val="both"/>
      </w:pPr>
    </w:p>
    <w:p w14:paraId="1B285E82" w14:textId="77777777" w:rsidR="006B06FE" w:rsidRDefault="006B06FE" w:rsidP="006B06FE">
      <w:pPr>
        <w:pStyle w:val="Paragraphedeliste"/>
        <w:numPr>
          <w:ilvl w:val="0"/>
          <w:numId w:val="15"/>
        </w:numPr>
        <w:jc w:val="both"/>
      </w:pPr>
      <w:r>
        <w:t>Was die in Artikel 49/1 Buchstabe B Nr. 1 des KE/EStGB 92 erwähnten Geräte betrifft, die die Sicherung von Daten, Netzen und IKT-Anwendungen gewährleisten, bescheinigt der Ausrüster, dass:</w:t>
      </w:r>
    </w:p>
    <w:p w14:paraId="76BE719F" w14:textId="77777777" w:rsidR="006B06FE" w:rsidRDefault="006B06FE" w:rsidP="006B06FE">
      <w:pPr>
        <w:jc w:val="both"/>
      </w:pPr>
    </w:p>
    <w:p w14:paraId="0319DD26" w14:textId="77777777" w:rsidR="006B06FE" w:rsidRDefault="006B06FE" w:rsidP="006B06FE">
      <w:pPr>
        <w:ind w:left="709"/>
        <w:jc w:val="both"/>
      </w:pPr>
      <w:r>
        <w:t>das Gerät (Name des Geräts) (Marke des Geräts), das am (Installationsdatum) mit einer Mindestgarantie von (Mindestdauer der Garantie) installiert wurde, ausschließlich der Sicherung dient von (Zutreffendes ankreuzen):</w:t>
      </w:r>
    </w:p>
    <w:p w14:paraId="12459C00" w14:textId="77777777" w:rsidR="006B06FE" w:rsidRDefault="006B06FE" w:rsidP="006B06FE">
      <w:pPr>
        <w:ind w:left="709"/>
        <w:jc w:val="both"/>
      </w:pPr>
    </w:p>
    <w:p w14:paraId="137E7164" w14:textId="77777777" w:rsidR="006B06FE" w:rsidRDefault="006B06FE" w:rsidP="006B06FE">
      <w:pPr>
        <w:ind w:left="709"/>
        <w:jc w:val="both"/>
      </w:pPr>
      <w:r>
        <w:t>o Daten (Verschlüsselungsgeräte),</w:t>
      </w:r>
    </w:p>
    <w:p w14:paraId="74D0B515" w14:textId="77777777" w:rsidR="006B06FE" w:rsidRDefault="006B06FE" w:rsidP="006B06FE">
      <w:pPr>
        <w:ind w:left="709"/>
        <w:jc w:val="both"/>
      </w:pPr>
    </w:p>
    <w:p w14:paraId="05BFE9D5" w14:textId="77777777" w:rsidR="006B06FE" w:rsidRDefault="006B06FE" w:rsidP="006B06FE">
      <w:pPr>
        <w:ind w:left="709"/>
        <w:jc w:val="both"/>
      </w:pPr>
      <w:r>
        <w:t>o Netzen (Geräte zur Sicherung von Netzen),</w:t>
      </w:r>
    </w:p>
    <w:p w14:paraId="2E7A45F4" w14:textId="77777777" w:rsidR="006B06FE" w:rsidRDefault="006B06FE" w:rsidP="006B06FE">
      <w:pPr>
        <w:ind w:left="709"/>
        <w:jc w:val="both"/>
      </w:pPr>
    </w:p>
    <w:p w14:paraId="23DA769D" w14:textId="77777777" w:rsidR="006B06FE" w:rsidRDefault="006B06FE" w:rsidP="006B06FE">
      <w:pPr>
        <w:ind w:left="709"/>
        <w:jc w:val="both"/>
      </w:pPr>
      <w:r>
        <w:t>o IKT-Anwendungen (Geräte zur Kontrolle des Zugriffs auf Anwendungen).</w:t>
      </w:r>
    </w:p>
    <w:p w14:paraId="0F0517C4" w14:textId="77777777" w:rsidR="006B06FE" w:rsidRDefault="006B06FE" w:rsidP="006B06FE">
      <w:pPr>
        <w:ind w:left="709"/>
        <w:jc w:val="both"/>
      </w:pPr>
    </w:p>
    <w:p w14:paraId="516D6C8E" w14:textId="77777777" w:rsidR="006B06FE" w:rsidRDefault="006B06FE" w:rsidP="006B06FE">
      <w:pPr>
        <w:pStyle w:val="Paragraphedeliste"/>
        <w:numPr>
          <w:ilvl w:val="0"/>
          <w:numId w:val="15"/>
        </w:numPr>
        <w:jc w:val="both"/>
      </w:pPr>
      <w:r>
        <w:t>Was die in Artikel 49/1 Buchstabe B Nr. 2 des KE/EStGB 92 erwähnten Monitoring- und Auditinstrumente für Systeme zur Sicherung der IKT betrifft, bescheinigt der Lieferant, dass:</w:t>
      </w:r>
    </w:p>
    <w:p w14:paraId="6DEA5FD2" w14:textId="77777777" w:rsidR="006B06FE" w:rsidRDefault="006B06FE" w:rsidP="006B06FE">
      <w:pPr>
        <w:jc w:val="both"/>
      </w:pPr>
    </w:p>
    <w:p w14:paraId="536AEC21" w14:textId="77777777" w:rsidR="006B06FE" w:rsidRDefault="006B06FE" w:rsidP="006B06FE">
      <w:pPr>
        <w:ind w:left="709"/>
        <w:jc w:val="both"/>
      </w:pPr>
      <w:r>
        <w:t>das Instrument (Name des Instruments), das am (Lieferdatum) mit einer Mindestgarantie von (Mindestdauer der Garantie) geliefert wurde, ausschließlich dem Monitoring und Audit dient in Bezug auf (Zutreffendes ankreuzen):</w:t>
      </w:r>
    </w:p>
    <w:p w14:paraId="47F19D1B" w14:textId="77777777" w:rsidR="006B06FE" w:rsidRDefault="006B06FE" w:rsidP="006B06FE">
      <w:pPr>
        <w:ind w:left="709"/>
        <w:jc w:val="both"/>
      </w:pPr>
    </w:p>
    <w:p w14:paraId="1B24FCF6" w14:textId="77777777" w:rsidR="006B06FE" w:rsidRDefault="006B06FE" w:rsidP="006B06FE">
      <w:pPr>
        <w:ind w:left="709"/>
        <w:jc w:val="both"/>
      </w:pPr>
      <w:r>
        <w:t>o Datenschutz,</w:t>
      </w:r>
    </w:p>
    <w:p w14:paraId="75092F46" w14:textId="77777777" w:rsidR="006B06FE" w:rsidRDefault="006B06FE" w:rsidP="006B06FE">
      <w:pPr>
        <w:ind w:left="709"/>
        <w:jc w:val="both"/>
      </w:pPr>
    </w:p>
    <w:p w14:paraId="7C677C53" w14:textId="77777777" w:rsidR="006B06FE" w:rsidRDefault="006B06FE" w:rsidP="006B06FE">
      <w:pPr>
        <w:ind w:left="709"/>
        <w:jc w:val="both"/>
      </w:pPr>
      <w:r>
        <w:t>o Schutz von Netzen,</w:t>
      </w:r>
    </w:p>
    <w:p w14:paraId="29196B93" w14:textId="77777777" w:rsidR="006B06FE" w:rsidRDefault="006B06FE" w:rsidP="006B06FE">
      <w:pPr>
        <w:ind w:left="709"/>
        <w:jc w:val="both"/>
      </w:pPr>
    </w:p>
    <w:p w14:paraId="4F409DC6" w14:textId="77777777" w:rsidR="006B06FE" w:rsidRDefault="006B06FE" w:rsidP="006B06FE">
      <w:pPr>
        <w:ind w:left="709"/>
        <w:jc w:val="both"/>
      </w:pPr>
      <w:r>
        <w:t>o Schutz von IKT-Anwendungen.</w:t>
      </w:r>
    </w:p>
    <w:p w14:paraId="7CF197AF" w14:textId="77777777" w:rsidR="006B06FE" w:rsidRDefault="006B06FE" w:rsidP="006B06FE">
      <w:pPr>
        <w:ind w:left="709"/>
        <w:jc w:val="both"/>
      </w:pPr>
    </w:p>
    <w:p w14:paraId="5B54FDD9" w14:textId="77777777" w:rsidR="006B06FE" w:rsidRDefault="006B06FE" w:rsidP="006B06FE">
      <w:pPr>
        <w:pStyle w:val="Paragraphedeliste"/>
        <w:numPr>
          <w:ilvl w:val="0"/>
          <w:numId w:val="15"/>
        </w:numPr>
        <w:jc w:val="both"/>
      </w:pPr>
      <w:r>
        <w:lastRenderedPageBreak/>
        <w:t>Was die in Artikel 49/1 Buchstabe B Nr. 3 des KE/EStGB 92 erwähnte Software betrifft, die eine sicherere Verwaltung der vom Unternehmen gesammelten personenbezogenen Daten ermöglicht, bescheinigt der Ausrüster, dass:</w:t>
      </w:r>
    </w:p>
    <w:p w14:paraId="669B4F9D" w14:textId="77777777" w:rsidR="006B06FE" w:rsidRDefault="006B06FE" w:rsidP="006B06FE">
      <w:pPr>
        <w:jc w:val="both"/>
      </w:pPr>
    </w:p>
    <w:p w14:paraId="6F4A1572" w14:textId="77777777" w:rsidR="006B06FE" w:rsidRDefault="006B06FE" w:rsidP="006B06FE">
      <w:pPr>
        <w:ind w:left="709"/>
        <w:jc w:val="both"/>
      </w:pPr>
      <w:r>
        <w:t>die Software (Name der Software) (Version der Software), die mit einer Mindestgarantie von (Mindestdauer der Garantie) installiert wurde, ausschließlich dazu dient, die Konformität der Datenverarbeitung durch das Unternehmen gemäß dem Gesetz vom 8. Dezember 1992 über den Schutz des Privatlebens hinsichtlich der Verarbeitung personenbezogener Daten zu garantieren.</w:t>
      </w:r>
    </w:p>
    <w:p w14:paraId="0825A756" w14:textId="77777777" w:rsidR="006B06FE" w:rsidRDefault="006B06FE" w:rsidP="006B06FE">
      <w:pPr>
        <w:jc w:val="both"/>
      </w:pPr>
    </w:p>
    <w:p w14:paraId="27913788" w14:textId="77777777" w:rsidR="006B06FE" w:rsidRDefault="006B06FE" w:rsidP="006B06FE">
      <w:pPr>
        <w:pStyle w:val="Paragraphedeliste"/>
        <w:numPr>
          <w:ilvl w:val="0"/>
          <w:numId w:val="15"/>
        </w:numPr>
        <w:jc w:val="both"/>
      </w:pPr>
      <w:r>
        <w:t>Was die in Artikel 49/1 Buchstabe B Nr. 3 des KE/EStGB 92 erwähnten Geräte betrifft, die eine sicherere Verwaltung der vom Unternehmen gesammelten personenbezogenen Daten ermöglichen, bescheinigt der Ausrüster, dass:</w:t>
      </w:r>
    </w:p>
    <w:p w14:paraId="090C131C" w14:textId="77777777" w:rsidR="006B06FE" w:rsidRDefault="006B06FE" w:rsidP="006B06FE">
      <w:pPr>
        <w:jc w:val="both"/>
      </w:pPr>
    </w:p>
    <w:p w14:paraId="2F45BD37" w14:textId="77777777" w:rsidR="006B06FE" w:rsidRDefault="006B06FE" w:rsidP="006B06FE">
      <w:pPr>
        <w:ind w:left="709"/>
        <w:jc w:val="both"/>
      </w:pPr>
      <w:r>
        <w:t>das Gerät (Name des Geräts) (Marke des Geräts), das am (Installationsdatum) mit einer Mindestgarantie von (Mindestdauer der Garantie) installiert wurde, ausschließlich dazu dient, die Konformität der Datenverarbeitung durch das Unternehmen gemäß dem Gesetz vom 8. Dezember 1992 über den Schutz des Privatlebens hinsichtlich der Verarbeitung personenbezogener Daten zu garantieren.</w:t>
      </w:r>
    </w:p>
    <w:p w14:paraId="2178A89F" w14:textId="77777777" w:rsidR="006B06FE" w:rsidRDefault="006B06FE" w:rsidP="006B06FE">
      <w:pPr>
        <w:jc w:val="both"/>
      </w:pPr>
    </w:p>
    <w:p w14:paraId="2CE993BC" w14:textId="77777777" w:rsidR="006B06FE" w:rsidRDefault="006B06FE" w:rsidP="006B06FE">
      <w:pPr>
        <w:jc w:val="both"/>
      </w:pPr>
    </w:p>
    <w:p w14:paraId="17D56113" w14:textId="77777777" w:rsidR="006B06FE" w:rsidRDefault="006B06FE" w:rsidP="006B06FE">
      <w:pPr>
        <w:jc w:val="center"/>
      </w:pPr>
      <w:r>
        <w:t>Kategorie C - Investitionen in Bezug auf die Implementierung der in den Kategorien A und B erwähnten Anlagen</w:t>
      </w:r>
    </w:p>
    <w:p w14:paraId="6FF9DE35" w14:textId="77777777" w:rsidR="006B06FE" w:rsidRDefault="006B06FE" w:rsidP="006B06FE">
      <w:pPr>
        <w:jc w:val="both"/>
      </w:pPr>
    </w:p>
    <w:p w14:paraId="5FCE7BF5" w14:textId="77777777" w:rsidR="006B06FE" w:rsidRDefault="006B06FE" w:rsidP="006B06FE">
      <w:pPr>
        <w:pStyle w:val="Paragraphedeliste"/>
        <w:numPr>
          <w:ilvl w:val="0"/>
          <w:numId w:val="16"/>
        </w:numPr>
        <w:jc w:val="both"/>
      </w:pPr>
      <w:r>
        <w:t>Was die in Artikel 49/1 Buchstabe C Nr. 1 des KE/EStGB 92 erwähnten Dienst</w:t>
      </w:r>
      <w:r>
        <w:softHyphen/>
        <w:t>leistungen für Softwareentwicklung betrifft, die für die Implementierung der in Artikel 49/1 Buchstabe A Nr. 1 bis B Nr. 3 des KE/EStGB 92 erwähnten Systeme nützlich sind, bescheinigt der Dienstleistungserbringer, dass:</w:t>
      </w:r>
    </w:p>
    <w:p w14:paraId="0F7644A4" w14:textId="77777777" w:rsidR="006B06FE" w:rsidRDefault="006B06FE" w:rsidP="006B06FE">
      <w:pPr>
        <w:jc w:val="both"/>
      </w:pPr>
    </w:p>
    <w:p w14:paraId="47340ADD" w14:textId="77777777" w:rsidR="006B06FE" w:rsidRDefault="006B06FE" w:rsidP="006B06FE">
      <w:pPr>
        <w:ind w:left="709"/>
        <w:jc w:val="both"/>
      </w:pPr>
      <w:r>
        <w:t>die Dienstleistungen für die Entwicklung der Software (Name der Software) (Version der Software) auf die Implementierung des (der) in Artikel 49/1 erwähnten Systems (Systeme) (erwähnte Kategorie(n) genau angeben) abzielen und folgende Phasen umfassen (Zutreffendes ankreuzen):</w:t>
      </w:r>
    </w:p>
    <w:p w14:paraId="32919E79" w14:textId="77777777" w:rsidR="006B06FE" w:rsidRDefault="006B06FE" w:rsidP="006B06FE">
      <w:pPr>
        <w:ind w:left="709"/>
        <w:jc w:val="both"/>
      </w:pPr>
    </w:p>
    <w:p w14:paraId="177947CC" w14:textId="77777777" w:rsidR="006B06FE" w:rsidRPr="00E448DD" w:rsidRDefault="006B06FE" w:rsidP="006B06FE">
      <w:pPr>
        <w:ind w:left="709"/>
        <w:jc w:val="both"/>
        <w:rPr>
          <w:lang w:val="pt-PT"/>
        </w:rPr>
      </w:pPr>
      <w:r w:rsidRPr="00E448DD">
        <w:rPr>
          <w:lang w:val="pt-PT"/>
        </w:rPr>
        <w:t>o Analyse,</w:t>
      </w:r>
    </w:p>
    <w:p w14:paraId="22C42DA9" w14:textId="77777777" w:rsidR="006B06FE" w:rsidRPr="00E448DD" w:rsidRDefault="006B06FE" w:rsidP="006B06FE">
      <w:pPr>
        <w:ind w:left="709"/>
        <w:jc w:val="both"/>
        <w:rPr>
          <w:lang w:val="pt-PT"/>
        </w:rPr>
      </w:pPr>
    </w:p>
    <w:p w14:paraId="5B1869FC" w14:textId="77777777" w:rsidR="006B06FE" w:rsidRPr="00E448DD" w:rsidRDefault="006B06FE" w:rsidP="006B06FE">
      <w:pPr>
        <w:ind w:left="709"/>
        <w:jc w:val="both"/>
        <w:rPr>
          <w:lang w:val="pt-PT"/>
        </w:rPr>
      </w:pPr>
      <w:r w:rsidRPr="00E448DD">
        <w:rPr>
          <w:lang w:val="pt-PT"/>
        </w:rPr>
        <w:t>o Planung,</w:t>
      </w:r>
    </w:p>
    <w:p w14:paraId="52A6CE39" w14:textId="77777777" w:rsidR="006B06FE" w:rsidRPr="00E448DD" w:rsidRDefault="006B06FE" w:rsidP="006B06FE">
      <w:pPr>
        <w:ind w:left="709"/>
        <w:jc w:val="both"/>
        <w:rPr>
          <w:lang w:val="pt-PT"/>
        </w:rPr>
      </w:pPr>
    </w:p>
    <w:p w14:paraId="64424D34" w14:textId="77777777" w:rsidR="006B06FE" w:rsidRPr="00E448DD" w:rsidRDefault="006B06FE" w:rsidP="006B06FE">
      <w:pPr>
        <w:ind w:left="709"/>
        <w:jc w:val="both"/>
        <w:rPr>
          <w:lang w:val="pt-PT"/>
        </w:rPr>
      </w:pPr>
      <w:r w:rsidRPr="00E448DD">
        <w:rPr>
          <w:lang w:val="pt-PT"/>
        </w:rPr>
        <w:t>o Test,</w:t>
      </w:r>
    </w:p>
    <w:p w14:paraId="5E989E54" w14:textId="77777777" w:rsidR="006B06FE" w:rsidRPr="00E448DD" w:rsidRDefault="006B06FE" w:rsidP="006B06FE">
      <w:pPr>
        <w:ind w:left="709"/>
        <w:jc w:val="both"/>
        <w:rPr>
          <w:lang w:val="pt-PT"/>
        </w:rPr>
      </w:pPr>
    </w:p>
    <w:p w14:paraId="1FFEDF93" w14:textId="77777777" w:rsidR="006B06FE" w:rsidRDefault="006B06FE" w:rsidP="006B06FE">
      <w:pPr>
        <w:ind w:left="709"/>
        <w:jc w:val="both"/>
        <w:rPr>
          <w:lang w:val="fr-BE"/>
        </w:rPr>
      </w:pPr>
      <w:r>
        <w:t>o Implementierung,</w:t>
      </w:r>
    </w:p>
    <w:p w14:paraId="0FD3C2D4" w14:textId="77777777" w:rsidR="006B06FE" w:rsidRDefault="006B06FE" w:rsidP="006B06FE">
      <w:pPr>
        <w:ind w:left="709"/>
        <w:jc w:val="both"/>
      </w:pPr>
    </w:p>
    <w:p w14:paraId="49E5E9E0" w14:textId="77777777" w:rsidR="006B06FE" w:rsidRDefault="006B06FE" w:rsidP="006B06FE">
      <w:pPr>
        <w:ind w:left="709"/>
        <w:jc w:val="both"/>
      </w:pPr>
      <w:r>
        <w:t>o Wartung.</w:t>
      </w:r>
    </w:p>
    <w:p w14:paraId="144A0C52" w14:textId="77777777" w:rsidR="006B06FE" w:rsidRDefault="006B06FE" w:rsidP="006B06FE">
      <w:pPr>
        <w:jc w:val="both"/>
      </w:pPr>
    </w:p>
    <w:p w14:paraId="77C76660" w14:textId="77777777" w:rsidR="006B06FE" w:rsidRDefault="006B06FE" w:rsidP="006B06FE">
      <w:pPr>
        <w:pStyle w:val="Paragraphedeliste"/>
        <w:numPr>
          <w:ilvl w:val="0"/>
          <w:numId w:val="16"/>
        </w:numPr>
        <w:jc w:val="both"/>
      </w:pPr>
      <w:r>
        <w:t>Was die in Artikel 49/1 Buchstabe C Nr. 2 des KE/EStGB 92 erwähnte Software betrifft, die ermöglicht, die in Artikel 49/1 Buchstabe A Nr. 1 bis C Nr. 1 des KE/EStGB 92 erwähnten Systeme mit Systemen des Unternehmens oder externen Systemen, einschließlich Rechnungsstellungssystemen, Zahlungssystemen und Buch</w:t>
      </w:r>
      <w:r>
        <w:softHyphen/>
        <w:t>führungsprogrammen, über eine Schnittstelle zu verbinden, bescheinigt der Ausrüster, dass</w:t>
      </w:r>
    </w:p>
    <w:p w14:paraId="37AF60BE" w14:textId="77777777" w:rsidR="006B06FE" w:rsidRDefault="006B06FE" w:rsidP="006B06FE">
      <w:pPr>
        <w:jc w:val="both"/>
      </w:pPr>
    </w:p>
    <w:p w14:paraId="5E1F3A34" w14:textId="77777777" w:rsidR="006B06FE" w:rsidRDefault="006B06FE" w:rsidP="006B06FE">
      <w:pPr>
        <w:ind w:left="709"/>
        <w:jc w:val="both"/>
      </w:pPr>
      <w:r>
        <w:t>die Software (Name der Software) (Version der Software), die mit einer Mindest</w:t>
      </w:r>
      <w:r>
        <w:softHyphen/>
        <w:t>garantie von (Mindestdauer der Garantie) installiert wurde, ausschließlich dazu dient, die Verbindung folgender Systeme über eine Schnittstelle zu gewährleisten:</w:t>
      </w:r>
    </w:p>
    <w:p w14:paraId="6F08CD48" w14:textId="77777777" w:rsidR="006B06FE" w:rsidRDefault="006B06FE" w:rsidP="006B06FE">
      <w:pPr>
        <w:ind w:left="709"/>
        <w:jc w:val="both"/>
      </w:pPr>
    </w:p>
    <w:p w14:paraId="3FB82EAE" w14:textId="77777777" w:rsidR="006B06FE" w:rsidRDefault="006B06FE" w:rsidP="006B06FE">
      <w:pPr>
        <w:ind w:left="709"/>
        <w:jc w:val="both"/>
      </w:pPr>
      <w:r>
        <w:t>(Name der in Artikel 49/1 Buchstabe A Nr. 1 bis C Nr. 1 erwähnten Systeme) (erwähnte Kategorie(n) genau angeben)</w:t>
      </w:r>
    </w:p>
    <w:p w14:paraId="17E395DE" w14:textId="77777777" w:rsidR="006B06FE" w:rsidRDefault="006B06FE" w:rsidP="006B06FE">
      <w:pPr>
        <w:ind w:left="709"/>
        <w:jc w:val="both"/>
      </w:pPr>
    </w:p>
    <w:p w14:paraId="10F91229" w14:textId="77777777" w:rsidR="006B06FE" w:rsidRDefault="006B06FE" w:rsidP="006B06FE">
      <w:pPr>
        <w:ind w:left="709"/>
        <w:jc w:val="both"/>
      </w:pPr>
      <w:r>
        <w:t>und/oder (Name der externen Systeme) (angeben, ob es sich um Rechnungsstellungs</w:t>
      </w:r>
      <w:r>
        <w:softHyphen/>
        <w:t>systeme, Zahlungssysteme oder Buchführungsprogramme handelt).</w:t>
      </w:r>
    </w:p>
    <w:p w14:paraId="3E3A5E53" w14:textId="77777777" w:rsidR="006B06FE" w:rsidRDefault="006B06FE" w:rsidP="006B06FE">
      <w:pPr>
        <w:jc w:val="both"/>
      </w:pPr>
    </w:p>
    <w:p w14:paraId="60416F2A" w14:textId="77777777" w:rsidR="006B06FE" w:rsidRDefault="006B06FE" w:rsidP="006B06FE">
      <w:pPr>
        <w:pStyle w:val="Paragraphedeliste"/>
        <w:numPr>
          <w:ilvl w:val="0"/>
          <w:numId w:val="16"/>
        </w:numPr>
        <w:jc w:val="both"/>
      </w:pPr>
      <w:r>
        <w:t>Was die in Artikel 49/1 Buchstabe C Nr. 2 des KE/EStGB 92 erwähnten Geräte betrifft, die ermöglichen, die in Artikel 49/1 Buchstabe A Nr. 1 bis C Nr. 1 des KE/EStGB 92 erwähnten Systeme mit Systemen des Unternehmens oder externen Systemen, einschließlich Rechnungsstellungssystemen, Zahlungssystemen und Buch</w:t>
      </w:r>
      <w:r>
        <w:softHyphen/>
        <w:t>führungsprogrammen, über eine Schnittstelle zu verbinden, bescheinigt der Ausrüster, dass:</w:t>
      </w:r>
    </w:p>
    <w:p w14:paraId="4952965E" w14:textId="77777777" w:rsidR="006B06FE" w:rsidRDefault="006B06FE" w:rsidP="006B06FE">
      <w:pPr>
        <w:jc w:val="both"/>
      </w:pPr>
    </w:p>
    <w:p w14:paraId="005F7483" w14:textId="77777777" w:rsidR="006B06FE" w:rsidRDefault="006B06FE" w:rsidP="006B06FE">
      <w:pPr>
        <w:ind w:left="709"/>
        <w:jc w:val="both"/>
      </w:pPr>
      <w:r>
        <w:t>das Gerät (Name des Geräts) (Marke des Geräts), das am (Installationsdatum) mit einer Mindestgarantie von (Mindestdauer der Garantie) installiert wurde, ausschließlich dazu dient, die Verbindung folgender Systeme über eine Schnittstelle zu gewährleisten:</w:t>
      </w:r>
    </w:p>
    <w:p w14:paraId="69056954" w14:textId="77777777" w:rsidR="006B06FE" w:rsidRDefault="006B06FE" w:rsidP="006B06FE">
      <w:pPr>
        <w:ind w:left="709"/>
        <w:jc w:val="both"/>
      </w:pPr>
    </w:p>
    <w:p w14:paraId="0FA6AE03" w14:textId="77777777" w:rsidR="006B06FE" w:rsidRDefault="006B06FE" w:rsidP="006B06FE">
      <w:pPr>
        <w:ind w:left="709"/>
        <w:jc w:val="both"/>
      </w:pPr>
      <w:r>
        <w:t>(Name der in Artikel 49/1 Buchstabe A Nr. 1 bis C Nr. 1 erwähnten Systeme) (erwähnte Kategorie(n) genau angeben)</w:t>
      </w:r>
    </w:p>
    <w:p w14:paraId="086E5992" w14:textId="77777777" w:rsidR="006B06FE" w:rsidRDefault="006B06FE" w:rsidP="006B06FE">
      <w:pPr>
        <w:ind w:left="709"/>
        <w:jc w:val="both"/>
      </w:pPr>
    </w:p>
    <w:p w14:paraId="0C6EFD86" w14:textId="77777777" w:rsidR="006B06FE" w:rsidRDefault="006B06FE" w:rsidP="006B06FE">
      <w:pPr>
        <w:ind w:left="709"/>
        <w:jc w:val="both"/>
      </w:pPr>
      <w:r>
        <w:t>und/oder (Name der externen Systeme) (angeben, ob es sich um Rechnungs</w:t>
      </w:r>
      <w:r>
        <w:softHyphen/>
        <w:t>stellungssysteme, Zahlungssysteme oder Buchführungsprogramme handelt).]</w:t>
      </w:r>
    </w:p>
    <w:p w14:paraId="1900BC19" w14:textId="77777777" w:rsidR="006B06FE" w:rsidRDefault="006B06FE" w:rsidP="006B06FE">
      <w:pPr>
        <w:ind w:left="709"/>
        <w:jc w:val="both"/>
      </w:pPr>
    </w:p>
    <w:p w14:paraId="4C3CCA52" w14:textId="77777777" w:rsidR="005A5BD5" w:rsidRPr="006B06FE" w:rsidRDefault="006B06FE" w:rsidP="006B06FE">
      <w:pPr>
        <w:jc w:val="both"/>
        <w:rPr>
          <w:rFonts w:eastAsia="Calibri"/>
          <w:szCs w:val="22"/>
          <w:lang w:eastAsia="de-DE" w:bidi="de-DE"/>
        </w:rPr>
      </w:pPr>
      <w:r>
        <w:rPr>
          <w:rFonts w:eastAsia="Calibri"/>
          <w:i/>
          <w:szCs w:val="22"/>
          <w:lang w:eastAsia="de-DE" w:bidi="de-DE"/>
        </w:rPr>
        <w:t>[Anlage 2ter/1 eingefügt durch Anlage des K.E. vom 2. Dezember 2015 (B.S. vom 8. Dezember 2015)]</w:t>
      </w:r>
    </w:p>
    <w:p w14:paraId="532A9151" w14:textId="77777777" w:rsidR="006B06FE" w:rsidRDefault="006B06FE">
      <w:pPr>
        <w:rPr>
          <w:rFonts w:eastAsia="Calibri"/>
          <w:szCs w:val="22"/>
          <w:lang w:eastAsia="de-DE" w:bidi="de-DE"/>
        </w:rPr>
      </w:pPr>
      <w:r>
        <w:rPr>
          <w:rFonts w:eastAsia="Calibri"/>
          <w:szCs w:val="22"/>
          <w:lang w:eastAsia="de-DE" w:bidi="de-DE"/>
        </w:rPr>
        <w:br w:type="page"/>
      </w:r>
    </w:p>
    <w:p w14:paraId="2315AEFD" w14:textId="77777777" w:rsidR="005A5BD5" w:rsidRDefault="005A5BD5" w:rsidP="004C2C7D">
      <w:pPr>
        <w:jc w:val="both"/>
        <w:rPr>
          <w:rFonts w:eastAsia="Calibri"/>
          <w:szCs w:val="22"/>
          <w:lang w:eastAsia="de-DE" w:bidi="de-DE"/>
        </w:rPr>
        <w:sectPr w:rsidR="005A5BD5" w:rsidSect="003426CA">
          <w:pgSz w:w="11906" w:h="16838" w:code="9"/>
          <w:pgMar w:top="1418" w:right="1418" w:bottom="1418" w:left="1418" w:header="709" w:footer="709" w:gutter="0"/>
          <w:cols w:space="708"/>
          <w:docGrid w:linePitch="360"/>
        </w:sectPr>
      </w:pPr>
    </w:p>
    <w:p w14:paraId="11E6DC3B" w14:textId="77777777" w:rsidR="005A5BD5" w:rsidRPr="00A477D1" w:rsidRDefault="005A5BD5" w:rsidP="004C2C7D">
      <w:pPr>
        <w:jc w:val="center"/>
        <w:rPr>
          <w:rFonts w:eastAsia="Calibri"/>
          <w:b/>
          <w:szCs w:val="22"/>
          <w:lang w:eastAsia="de-DE" w:bidi="de-DE"/>
        </w:rPr>
      </w:pPr>
      <w:r w:rsidRPr="00A477D1">
        <w:rPr>
          <w:rFonts w:eastAsia="Calibri"/>
          <w:szCs w:val="22"/>
          <w:lang w:eastAsia="de-DE" w:bidi="de-DE"/>
        </w:rPr>
        <w:lastRenderedPageBreak/>
        <w:t>[</w:t>
      </w:r>
      <w:r w:rsidRPr="00A477D1">
        <w:rPr>
          <w:rFonts w:eastAsia="Calibri"/>
          <w:b/>
          <w:szCs w:val="22"/>
          <w:lang w:eastAsia="de-DE" w:bidi="de-DE"/>
        </w:rPr>
        <w:t>ANLAGE 2</w:t>
      </w:r>
      <w:r w:rsidRPr="00A477D1">
        <w:rPr>
          <w:rFonts w:eastAsia="Calibri"/>
          <w:b/>
          <w:i/>
          <w:szCs w:val="22"/>
          <w:lang w:eastAsia="de-DE" w:bidi="de-DE"/>
        </w:rPr>
        <w:t>quater</w:t>
      </w:r>
    </w:p>
    <w:p w14:paraId="609B7F60" w14:textId="77777777" w:rsidR="005A5BD5" w:rsidRPr="00A477D1" w:rsidRDefault="005A5BD5" w:rsidP="004C2C7D">
      <w:pPr>
        <w:jc w:val="center"/>
        <w:rPr>
          <w:rFonts w:eastAsia="Calibri"/>
          <w:szCs w:val="22"/>
          <w:lang w:eastAsia="de-DE" w:bidi="de-DE"/>
        </w:rPr>
      </w:pPr>
    </w:p>
    <w:p w14:paraId="48726BB4" w14:textId="77777777" w:rsidR="005A5BD5" w:rsidRPr="00A477D1" w:rsidRDefault="005A5BD5" w:rsidP="004C2C7D">
      <w:pPr>
        <w:jc w:val="center"/>
        <w:rPr>
          <w:rFonts w:eastAsia="Calibri"/>
          <w:szCs w:val="22"/>
          <w:lang w:eastAsia="de-DE" w:bidi="de-DE"/>
        </w:rPr>
      </w:pPr>
    </w:p>
    <w:p w14:paraId="689AAC75" w14:textId="77777777" w:rsidR="005A5BD5" w:rsidRPr="00A477D1" w:rsidRDefault="005A5BD5" w:rsidP="004C2C7D">
      <w:pPr>
        <w:jc w:val="both"/>
        <w:rPr>
          <w:rFonts w:eastAsia="Calibri"/>
          <w:b/>
          <w:szCs w:val="22"/>
          <w:lang w:eastAsia="de-DE" w:bidi="de-DE"/>
        </w:rPr>
      </w:pPr>
      <w:r w:rsidRPr="00A477D1">
        <w:rPr>
          <w:rFonts w:eastAsia="Calibri"/>
          <w:b/>
          <w:szCs w:val="22"/>
          <w:lang w:eastAsia="de-DE" w:bidi="de-DE"/>
        </w:rPr>
        <w:t>Pflichtangaben, die für den Investitionsabzug auf der Rechnung in Bezug auf die in Artikel 69 § 1 Absatz 1 Nr. 3 des Einkommensteuergesetzbuches 1992 erwähnten Sachanlagen anzugeben sind</w:t>
      </w:r>
    </w:p>
    <w:p w14:paraId="10D6FD11" w14:textId="77777777" w:rsidR="005A5BD5" w:rsidRPr="00A477D1" w:rsidRDefault="005A5BD5" w:rsidP="004C2C7D">
      <w:pPr>
        <w:jc w:val="both"/>
        <w:rPr>
          <w:rFonts w:eastAsia="Calibri"/>
          <w:b/>
          <w:szCs w:val="22"/>
          <w:lang w:eastAsia="de-DE" w:bidi="de-DE"/>
        </w:rPr>
      </w:pPr>
    </w:p>
    <w:p w14:paraId="22B7329E" w14:textId="77777777" w:rsidR="005A5BD5" w:rsidRPr="00A477D1" w:rsidRDefault="005A5BD5" w:rsidP="004C2C7D">
      <w:pPr>
        <w:jc w:val="center"/>
        <w:rPr>
          <w:rFonts w:eastAsia="Calibri"/>
          <w:szCs w:val="22"/>
          <w:lang w:eastAsia="de-DE" w:bidi="de-DE"/>
        </w:rPr>
      </w:pPr>
      <w:r w:rsidRPr="00A477D1">
        <w:rPr>
          <w:rFonts w:eastAsia="Calibri"/>
          <w:szCs w:val="22"/>
          <w:lang w:eastAsia="de-DE" w:bidi="de-DE"/>
        </w:rPr>
        <w:t>(KE/EStGB 92, Artikel 49</w:t>
      </w:r>
      <w:r w:rsidRPr="00A477D1">
        <w:rPr>
          <w:rFonts w:eastAsia="Calibri"/>
          <w:szCs w:val="22"/>
          <w:vertAlign w:val="superscript"/>
          <w:lang w:eastAsia="de-DE" w:bidi="de-DE"/>
        </w:rPr>
        <w:t>1</w:t>
      </w:r>
      <w:r w:rsidRPr="00A477D1">
        <w:rPr>
          <w:rFonts w:eastAsia="Calibri"/>
          <w:szCs w:val="22"/>
          <w:lang w:eastAsia="de-DE" w:bidi="de-DE"/>
        </w:rPr>
        <w:t>)</w:t>
      </w:r>
    </w:p>
    <w:p w14:paraId="691DAF23" w14:textId="77777777" w:rsidR="005A5BD5" w:rsidRPr="00A477D1" w:rsidRDefault="005A5BD5" w:rsidP="004C2C7D">
      <w:pPr>
        <w:rPr>
          <w:rFonts w:eastAsia="Calibri"/>
          <w:szCs w:val="22"/>
          <w:lang w:eastAsia="de-DE" w:bidi="de-DE"/>
        </w:rPr>
      </w:pPr>
    </w:p>
    <w:p w14:paraId="32D4C674" w14:textId="77777777" w:rsidR="005A5BD5" w:rsidRPr="00A477D1" w:rsidRDefault="005A5BD5" w:rsidP="004C2C7D">
      <w:pPr>
        <w:rPr>
          <w:rFonts w:eastAsia="Calibri"/>
          <w:szCs w:val="22"/>
          <w:lang w:eastAsia="de-DE" w:bidi="de-DE"/>
        </w:rPr>
      </w:pPr>
    </w:p>
    <w:p w14:paraId="27CE29D5"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t>I. Was das in Artikel 49</w:t>
      </w:r>
      <w:r w:rsidRPr="00A477D1">
        <w:rPr>
          <w:rFonts w:eastAsia="Calibri"/>
          <w:szCs w:val="22"/>
          <w:vertAlign w:val="superscript"/>
          <w:lang w:eastAsia="de-DE" w:bidi="de-DE"/>
        </w:rPr>
        <w:t>1</w:t>
      </w:r>
      <w:r w:rsidRPr="00A477D1">
        <w:rPr>
          <w:rFonts w:eastAsia="Calibri"/>
          <w:szCs w:val="22"/>
          <w:lang w:eastAsia="de-DE" w:bidi="de-DE"/>
        </w:rPr>
        <w:t xml:space="preserve"> § 1 Nr. 1 des KE/EStGB 92 erwähnte Material betrifft, das den Zugang zu beruflich genutzten Räumen durch Straftäter verhindert oder verzögert oder ihre Flucht verzögert, nachdem sie eine Straftat begangen haben, bescheinigt der Unternehmer [...], dass:</w:t>
      </w:r>
    </w:p>
    <w:p w14:paraId="2B27941E" w14:textId="77777777" w:rsidR="005A5BD5" w:rsidRPr="00A477D1" w:rsidRDefault="005A5BD5" w:rsidP="004C2C7D">
      <w:pPr>
        <w:jc w:val="both"/>
        <w:rPr>
          <w:rFonts w:eastAsia="Calibri"/>
          <w:szCs w:val="22"/>
          <w:lang w:eastAsia="de-DE" w:bidi="de-DE"/>
        </w:rPr>
      </w:pPr>
    </w:p>
    <w:p w14:paraId="2869FE2B"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a)</w:t>
      </w:r>
      <w:r w:rsidRPr="00A477D1">
        <w:rPr>
          <w:rFonts w:eastAsia="Calibri"/>
          <w:szCs w:val="22"/>
          <w:lang w:eastAsia="de-DE" w:bidi="de-DE"/>
        </w:rPr>
        <w:t> das installierte Material Einbrüche, insbesondere mit einem Rammfahrzeug, oder solche Einbruchsversuche verhindert oder verzögert,</w:t>
      </w:r>
    </w:p>
    <w:p w14:paraId="0548851A"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p>
    <w:p w14:paraId="4A26E2E1"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b)</w:t>
      </w:r>
      <w:r w:rsidRPr="00A477D1">
        <w:rPr>
          <w:rFonts w:eastAsia="Calibri"/>
          <w:szCs w:val="22"/>
          <w:lang w:eastAsia="de-DE" w:bidi="de-DE"/>
        </w:rPr>
        <w:t> das installierte Material und die installierten Systeme eine Kontrolle des Zugangs zu beruflich genutzten Räumen ermöglichen,</w:t>
      </w:r>
    </w:p>
    <w:p w14:paraId="50DAA090" w14:textId="77777777" w:rsidR="005A5BD5" w:rsidRPr="00A477D1" w:rsidRDefault="005A5BD5" w:rsidP="004C2C7D">
      <w:pPr>
        <w:jc w:val="both"/>
        <w:rPr>
          <w:rFonts w:eastAsia="Calibri"/>
          <w:szCs w:val="22"/>
          <w:lang w:eastAsia="de-DE" w:bidi="de-DE"/>
        </w:rPr>
      </w:pPr>
    </w:p>
    <w:p w14:paraId="6E4E9172"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c)</w:t>
      </w:r>
      <w:r w:rsidRPr="00A477D1">
        <w:rPr>
          <w:rFonts w:eastAsia="Calibri"/>
          <w:szCs w:val="22"/>
          <w:lang w:eastAsia="de-DE" w:bidi="de-DE"/>
        </w:rPr>
        <w:t> das installiert</w:t>
      </w:r>
      <w:r>
        <w:rPr>
          <w:rFonts w:eastAsia="Calibri"/>
          <w:szCs w:val="22"/>
          <w:lang w:eastAsia="de-DE" w:bidi="de-DE"/>
        </w:rPr>
        <w:t>e</w:t>
      </w:r>
      <w:r w:rsidRPr="00A477D1">
        <w:rPr>
          <w:rFonts w:eastAsia="Calibri"/>
          <w:szCs w:val="22"/>
          <w:lang w:eastAsia="de-DE" w:bidi="de-DE"/>
        </w:rPr>
        <w:t xml:space="preserve"> Material, Zugang oder Flucht von Fahrzeugen zu/von einem Parkplatz verzögert,</w:t>
      </w:r>
    </w:p>
    <w:p w14:paraId="572EBA26" w14:textId="77777777" w:rsidR="005A5BD5" w:rsidRPr="00A477D1" w:rsidRDefault="005A5BD5" w:rsidP="004C2C7D">
      <w:pPr>
        <w:jc w:val="both"/>
        <w:rPr>
          <w:rFonts w:eastAsia="Calibri"/>
          <w:szCs w:val="22"/>
          <w:lang w:eastAsia="de-DE" w:bidi="de-DE"/>
        </w:rPr>
      </w:pPr>
    </w:p>
    <w:p w14:paraId="36A827D6"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d)</w:t>
      </w:r>
      <w:r w:rsidRPr="00A477D1">
        <w:rPr>
          <w:rFonts w:eastAsia="Calibri"/>
          <w:szCs w:val="22"/>
          <w:lang w:eastAsia="de-DE" w:bidi="de-DE"/>
        </w:rPr>
        <w:t> die Verglasung auf mindestens einer Seite aus Verbundglas (an der Innenseite angebracht) gemäß der Klasse P4A der europäischen Norm EN 356 besteht. Die Verglasung muss gemäß den Richtlinien der Norm NBN S 23-002 (STS 38) oder den Anweisungen der Glashersteller angebracht werden,</w:t>
      </w:r>
    </w:p>
    <w:p w14:paraId="6C0D0306" w14:textId="77777777" w:rsidR="005A5BD5" w:rsidRPr="00A477D1" w:rsidRDefault="005A5BD5" w:rsidP="004C2C7D">
      <w:pPr>
        <w:jc w:val="both"/>
        <w:rPr>
          <w:rFonts w:eastAsia="Calibri"/>
          <w:szCs w:val="22"/>
          <w:lang w:eastAsia="de-DE" w:bidi="de-DE"/>
        </w:rPr>
      </w:pPr>
    </w:p>
    <w:p w14:paraId="4A39E58E"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e)</w:t>
      </w:r>
      <w:r w:rsidRPr="00A477D1">
        <w:rPr>
          <w:rFonts w:eastAsia="Calibri"/>
          <w:szCs w:val="22"/>
          <w:lang w:eastAsia="de-DE" w:bidi="de-DE"/>
        </w:rPr>
        <w:t> das installierte Material ein spezifischer einbruchhemmender Rollladen ist,</w:t>
      </w:r>
    </w:p>
    <w:p w14:paraId="2A28537A" w14:textId="77777777" w:rsidR="005A5BD5" w:rsidRPr="00A477D1" w:rsidRDefault="005A5BD5" w:rsidP="004C2C7D">
      <w:pPr>
        <w:jc w:val="both"/>
        <w:rPr>
          <w:rFonts w:eastAsia="Calibri"/>
          <w:szCs w:val="22"/>
          <w:lang w:eastAsia="de-DE" w:bidi="de-DE"/>
        </w:rPr>
      </w:pPr>
    </w:p>
    <w:p w14:paraId="68172F75"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f)</w:t>
      </w:r>
      <w:r w:rsidRPr="00A477D1">
        <w:rPr>
          <w:rFonts w:eastAsia="Calibri"/>
          <w:szCs w:val="22"/>
          <w:lang w:eastAsia="de-DE" w:bidi="de-DE"/>
        </w:rPr>
        <w:t> die installierten Absicherungssysteme den Widerstand der Fassadenelemente der beruflich genutzten Räume in bedeutender Weise gewährleisten oder verstärken, so dass ein Mindestwiderstand von drei Minuten gegen Einbruchsversuche mithilfe folgender Werkzeuge garantiert wird: Schraubenzieher, Zange und Keil.</w:t>
      </w:r>
    </w:p>
    <w:p w14:paraId="5C8487EC"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p>
    <w:p w14:paraId="635F6291"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t>Um den Widerstand installierter Fassadenelemente zu garantieren, kann sich der [...] Unternehmer auf die Klasse 2 der europäischen Vorno</w:t>
      </w:r>
      <w:r w:rsidR="00DA1639">
        <w:rPr>
          <w:rFonts w:eastAsia="Calibri"/>
          <w:szCs w:val="22"/>
          <w:lang w:eastAsia="de-DE" w:bidi="de-DE"/>
        </w:rPr>
        <w:t>r</w:t>
      </w:r>
      <w:r w:rsidRPr="00A477D1">
        <w:rPr>
          <w:rFonts w:eastAsia="Calibri"/>
          <w:szCs w:val="22"/>
          <w:lang w:eastAsia="de-DE" w:bidi="de-DE"/>
        </w:rPr>
        <w:t>men ENV 1627 bis 1630 oder auf andere vorschreibende Unterlagen beziehen, die bis zur Erscheinung der zukünftigen europäischen Normen EN 1627 bis 1630 dasselbe Leistungsniveau hinsichtlich des Einbruchwiderstands garantieren. Der [...] Unternehmer wird sich auf letztgenannte Normen beziehen können, um den Einbruchwiderstand der installierten Fassadenelemente zu garantieren,</w:t>
      </w:r>
    </w:p>
    <w:p w14:paraId="5D553BDA" w14:textId="77777777" w:rsidR="005A5BD5" w:rsidRPr="00A477D1" w:rsidRDefault="005A5BD5" w:rsidP="004C2C7D">
      <w:pPr>
        <w:jc w:val="both"/>
        <w:rPr>
          <w:rFonts w:eastAsia="Calibri"/>
          <w:szCs w:val="22"/>
          <w:lang w:eastAsia="de-DE" w:bidi="de-DE"/>
        </w:rPr>
      </w:pPr>
    </w:p>
    <w:p w14:paraId="29E5F89B"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g)</w:t>
      </w:r>
      <w:r w:rsidRPr="00A477D1">
        <w:rPr>
          <w:rFonts w:eastAsia="Calibri"/>
          <w:szCs w:val="22"/>
          <w:lang w:eastAsia="de-DE" w:bidi="de-DE"/>
        </w:rPr>
        <w:t> das installierte Material eine gepanzerte Tür und/oder ein gepanzertes Tor ist.</w:t>
      </w:r>
    </w:p>
    <w:p w14:paraId="767F270D" w14:textId="77777777" w:rsidR="005A5BD5" w:rsidRPr="00A477D1" w:rsidRDefault="005A5BD5" w:rsidP="004C2C7D">
      <w:pPr>
        <w:jc w:val="both"/>
        <w:rPr>
          <w:rFonts w:eastAsia="Calibri"/>
          <w:szCs w:val="22"/>
          <w:lang w:eastAsia="de-DE" w:bidi="de-DE"/>
        </w:rPr>
      </w:pPr>
    </w:p>
    <w:p w14:paraId="070A0846" w14:textId="77777777" w:rsidR="005A5BD5" w:rsidRDefault="005A5BD5" w:rsidP="004C2C7D">
      <w:pPr>
        <w:jc w:val="both"/>
        <w:rPr>
          <w:rFonts w:eastAsia="Calibri"/>
          <w:szCs w:val="22"/>
          <w:lang w:eastAsia="de-DE" w:bidi="de-DE"/>
        </w:rPr>
      </w:pPr>
      <w:r w:rsidRPr="00A477D1">
        <w:rPr>
          <w:rFonts w:eastAsia="Calibri"/>
          <w:szCs w:val="22"/>
          <w:lang w:eastAsia="de-DE" w:bidi="de-DE"/>
        </w:rPr>
        <w:tab/>
        <w:t>Was die Absicherung einer Baustelle betrifft: Der [...] Unternehmer bescheinigt, dass das installierte Material eine Baustellenabsperrung ist.</w:t>
      </w:r>
    </w:p>
    <w:p w14:paraId="26EC244C" w14:textId="77777777" w:rsidR="005A5BD5" w:rsidRPr="00A477D1" w:rsidRDefault="005A5BD5" w:rsidP="004C2C7D">
      <w:pPr>
        <w:jc w:val="both"/>
        <w:rPr>
          <w:rFonts w:eastAsia="Calibri"/>
          <w:szCs w:val="22"/>
          <w:lang w:eastAsia="de-DE" w:bidi="de-DE"/>
        </w:rPr>
      </w:pPr>
      <w:r>
        <w:rPr>
          <w:rFonts w:eastAsia="Calibri"/>
          <w:szCs w:val="22"/>
          <w:lang w:eastAsia="de-DE" w:bidi="de-DE"/>
        </w:rPr>
        <w:br w:type="page"/>
      </w:r>
      <w:r w:rsidRPr="00A477D1">
        <w:rPr>
          <w:rFonts w:eastAsia="Calibri"/>
          <w:szCs w:val="22"/>
          <w:lang w:eastAsia="de-DE" w:bidi="de-DE"/>
        </w:rPr>
        <w:lastRenderedPageBreak/>
        <w:tab/>
        <w:t>II. Was das in Artikel 49</w:t>
      </w:r>
      <w:r w:rsidRPr="00A477D1">
        <w:rPr>
          <w:rFonts w:eastAsia="Calibri"/>
          <w:szCs w:val="22"/>
          <w:vertAlign w:val="superscript"/>
          <w:lang w:eastAsia="de-DE" w:bidi="de-DE"/>
        </w:rPr>
        <w:t>1</w:t>
      </w:r>
      <w:r w:rsidRPr="00A477D1">
        <w:rPr>
          <w:rFonts w:eastAsia="Calibri"/>
          <w:szCs w:val="22"/>
          <w:lang w:eastAsia="de-DE" w:bidi="de-DE"/>
        </w:rPr>
        <w:t xml:space="preserve"> § 1 Nr. 2 des KE/EStGB 92 erwähnte Material zur Vorbeugung oder Erkennung des Diebstahls von Gütern aus beruflich genutzten Räumen betrifft, bescheinigt der [...] Unternehmer, dass:</w:t>
      </w:r>
    </w:p>
    <w:p w14:paraId="4C393A4C" w14:textId="77777777" w:rsidR="005A5BD5" w:rsidRPr="00A477D1" w:rsidRDefault="005A5BD5" w:rsidP="004C2C7D">
      <w:pPr>
        <w:jc w:val="both"/>
        <w:rPr>
          <w:rFonts w:eastAsia="Calibri"/>
          <w:szCs w:val="22"/>
          <w:lang w:eastAsia="de-DE" w:bidi="de-DE"/>
        </w:rPr>
      </w:pPr>
    </w:p>
    <w:p w14:paraId="4A7E4269"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a)</w:t>
      </w:r>
      <w:r w:rsidRPr="00A477D1">
        <w:rPr>
          <w:rFonts w:eastAsia="Calibri"/>
          <w:szCs w:val="22"/>
          <w:lang w:eastAsia="de-DE" w:bidi="de-DE"/>
        </w:rPr>
        <w:t> das installierte Material der Ausrüstung von beweglichen Gütern gegen Diebstahl dient,</w:t>
      </w:r>
    </w:p>
    <w:p w14:paraId="68C696F3"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p>
    <w:p w14:paraId="2599DC31"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b)</w:t>
      </w:r>
      <w:r w:rsidRPr="00A477D1">
        <w:rPr>
          <w:rFonts w:eastAsia="Calibri"/>
          <w:szCs w:val="22"/>
          <w:lang w:eastAsia="de-DE" w:bidi="de-DE"/>
        </w:rPr>
        <w:t> das installierte Material der Erkennung von Güterdiebstahl dient,</w:t>
      </w:r>
    </w:p>
    <w:p w14:paraId="1AA11D91"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p>
    <w:p w14:paraId="31F80E61"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c)</w:t>
      </w:r>
      <w:r w:rsidRPr="00A477D1">
        <w:rPr>
          <w:rFonts w:eastAsia="Calibri"/>
          <w:szCs w:val="22"/>
          <w:lang w:eastAsia="de-DE" w:bidi="de-DE"/>
        </w:rPr>
        <w:t> das installierte Material ein Tresor mit einbruchhemmendem Schloss ist.</w:t>
      </w:r>
    </w:p>
    <w:p w14:paraId="144C7CC0" w14:textId="77777777" w:rsidR="005A5BD5" w:rsidRPr="00A477D1" w:rsidRDefault="005A5BD5" w:rsidP="004C2C7D">
      <w:pPr>
        <w:rPr>
          <w:rFonts w:eastAsia="Calibri"/>
          <w:szCs w:val="22"/>
          <w:lang w:eastAsia="de-DE" w:bidi="de-DE"/>
        </w:rPr>
      </w:pPr>
    </w:p>
    <w:p w14:paraId="555A9F99"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t>Was die Absicherung einer Baustelle betrifft: Der [...] Unternehmer bescheinigt, dass das installierte Material ein Schloss oder ein anderes Absicherungssystem für Material oder Werkstoffe auf der Baustelle ist.</w:t>
      </w:r>
    </w:p>
    <w:p w14:paraId="10A9A639" w14:textId="77777777" w:rsidR="005A5BD5" w:rsidRPr="00A477D1" w:rsidRDefault="005A5BD5" w:rsidP="004C2C7D">
      <w:pPr>
        <w:jc w:val="both"/>
        <w:rPr>
          <w:rFonts w:eastAsia="Calibri"/>
          <w:szCs w:val="22"/>
          <w:lang w:eastAsia="de-DE" w:bidi="de-DE"/>
        </w:rPr>
      </w:pPr>
    </w:p>
    <w:p w14:paraId="575A92ED"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t>III. Was das in Artikel 49</w:t>
      </w:r>
      <w:r w:rsidRPr="00A477D1">
        <w:rPr>
          <w:rFonts w:eastAsia="Calibri"/>
          <w:szCs w:val="22"/>
          <w:vertAlign w:val="superscript"/>
          <w:lang w:eastAsia="de-DE" w:bidi="de-DE"/>
        </w:rPr>
        <w:t>1</w:t>
      </w:r>
      <w:r w:rsidRPr="00A477D1">
        <w:rPr>
          <w:rFonts w:eastAsia="Calibri"/>
          <w:szCs w:val="22"/>
          <w:lang w:eastAsia="de-DE" w:bidi="de-DE"/>
        </w:rPr>
        <w:t xml:space="preserve"> § 1 Nr. 3 des KE/EStGB 92 erwähnte Material betrifft, das der Verzögerung oder Verhinderung des Diebstahls von Giral- oder Bargeld oder von Wertpapieren, für die keine gesetzliche Sperre möglich ist, in beruflich genutzten Räumen dient, bescheinigt der [...] Unternehmer, dass:</w:t>
      </w:r>
    </w:p>
    <w:p w14:paraId="48C36D1B" w14:textId="77777777" w:rsidR="005A5BD5" w:rsidRPr="00A477D1" w:rsidRDefault="005A5BD5" w:rsidP="004C2C7D">
      <w:pPr>
        <w:jc w:val="both"/>
        <w:rPr>
          <w:rFonts w:eastAsia="Calibri"/>
          <w:szCs w:val="22"/>
          <w:lang w:eastAsia="de-DE" w:bidi="de-DE"/>
        </w:rPr>
      </w:pPr>
    </w:p>
    <w:p w14:paraId="0C3D8AF0"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a)</w:t>
      </w:r>
      <w:r w:rsidRPr="00A477D1">
        <w:rPr>
          <w:rFonts w:eastAsia="Calibri"/>
          <w:szCs w:val="22"/>
          <w:lang w:eastAsia="de-DE" w:bidi="de-DE"/>
        </w:rPr>
        <w:t> das installierte Material ein Tresor mit einbruchhemmendem Schloss ist,</w:t>
      </w:r>
    </w:p>
    <w:p w14:paraId="3007E2C5" w14:textId="77777777" w:rsidR="005A5BD5" w:rsidRPr="00A477D1" w:rsidRDefault="005A5BD5" w:rsidP="004C2C7D">
      <w:pPr>
        <w:jc w:val="both"/>
        <w:rPr>
          <w:rFonts w:eastAsia="Calibri"/>
          <w:szCs w:val="22"/>
          <w:lang w:eastAsia="de-DE" w:bidi="de-DE"/>
        </w:rPr>
      </w:pPr>
    </w:p>
    <w:p w14:paraId="39936147"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b)</w:t>
      </w:r>
      <w:r w:rsidRPr="00A477D1">
        <w:rPr>
          <w:rFonts w:eastAsia="Calibri"/>
          <w:szCs w:val="22"/>
          <w:lang w:eastAsia="de-DE" w:bidi="de-DE"/>
        </w:rPr>
        <w:t> das installierte Material eine Kasse mit Deckel oder eine diebstahlsichere Kasse ist,</w:t>
      </w:r>
    </w:p>
    <w:p w14:paraId="6607C618" w14:textId="77777777" w:rsidR="005A5BD5" w:rsidRPr="00A477D1" w:rsidRDefault="005A5BD5" w:rsidP="004C2C7D">
      <w:pPr>
        <w:jc w:val="both"/>
        <w:rPr>
          <w:rFonts w:eastAsia="Calibri"/>
          <w:szCs w:val="22"/>
          <w:lang w:eastAsia="de-DE" w:bidi="de-DE"/>
        </w:rPr>
      </w:pPr>
    </w:p>
    <w:p w14:paraId="534776BC"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c)</w:t>
      </w:r>
      <w:r w:rsidRPr="00A477D1">
        <w:rPr>
          <w:rFonts w:eastAsia="Calibri"/>
          <w:szCs w:val="22"/>
          <w:lang w:eastAsia="de-DE" w:bidi="de-DE"/>
        </w:rPr>
        <w:t> das installierte Material ein System zur Neutralisierung von Werten ist, wie erwähnt im Königlichen Erlass vom 7. April 2003 zur Regelung bestimmter Überwachungs- und Schutzmethoden für Werttransporte und bezüglich der technischen Spezifitäten der Werttransportfahrzeuge, wie abgeändert durch die Königlichen Erlasse vom 22. Mai 2005 und 6. Dezember 2005.</w:t>
      </w:r>
    </w:p>
    <w:p w14:paraId="77A2F956" w14:textId="77777777" w:rsidR="005A5BD5" w:rsidRPr="00A477D1" w:rsidRDefault="005A5BD5" w:rsidP="004C2C7D">
      <w:pPr>
        <w:jc w:val="both"/>
        <w:rPr>
          <w:rFonts w:eastAsia="Calibri"/>
          <w:szCs w:val="22"/>
          <w:lang w:eastAsia="de-DE" w:bidi="de-DE"/>
        </w:rPr>
      </w:pPr>
    </w:p>
    <w:p w14:paraId="42445FCA"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t>IV. Was das in Artikel 49</w:t>
      </w:r>
      <w:r w:rsidRPr="00A477D1">
        <w:rPr>
          <w:rFonts w:eastAsia="Calibri"/>
          <w:szCs w:val="22"/>
          <w:vertAlign w:val="superscript"/>
          <w:lang w:eastAsia="de-DE" w:bidi="de-DE"/>
        </w:rPr>
        <w:t>1</w:t>
      </w:r>
      <w:r w:rsidRPr="00A477D1">
        <w:rPr>
          <w:rFonts w:eastAsia="Calibri"/>
          <w:szCs w:val="22"/>
          <w:lang w:eastAsia="de-DE" w:bidi="de-DE"/>
        </w:rPr>
        <w:t xml:space="preserve"> § 1 Nr. 4 des KE/EStGB 92 erwähnte Material zur Erkennung, Überprüfung oder Aufzeichnung von Einbrüchen oder Gewaltt</w:t>
      </w:r>
      <w:r>
        <w:rPr>
          <w:rFonts w:eastAsia="Calibri"/>
          <w:szCs w:val="22"/>
          <w:lang w:eastAsia="de-DE" w:bidi="de-DE"/>
        </w:rPr>
        <w:t>ätigkeiten</w:t>
      </w:r>
      <w:r w:rsidRPr="00A477D1">
        <w:rPr>
          <w:rFonts w:eastAsia="Calibri"/>
          <w:szCs w:val="22"/>
          <w:lang w:eastAsia="de-DE" w:bidi="de-DE"/>
        </w:rPr>
        <w:t xml:space="preserve"> in beruflich genutzten Räumen betrifft, bescheinigt das zugelassene Sicherheitsunternehmen, dass, sofern das installierte Material ein Alarmsystem oder Komponenten eines Alarmsystems zur Absicherung von Gütern oder zum Schutz von Personen betrifft, das Material gemäß dem Qualitätskennzeichen INCERT oder einer gleichwertigen Qualitätsnorm, die vom Sektor der Sicherheitsunternehmen vorgebracht wird, zertifiziert ist und dass das Alarmsystem mit einer Alarmzentrale verbunden ist.</w:t>
      </w:r>
    </w:p>
    <w:p w14:paraId="541B927C" w14:textId="77777777" w:rsidR="005A5BD5" w:rsidRPr="00A477D1" w:rsidRDefault="005A5BD5" w:rsidP="004C2C7D">
      <w:pPr>
        <w:jc w:val="both"/>
        <w:rPr>
          <w:rFonts w:eastAsia="Calibri"/>
          <w:szCs w:val="22"/>
          <w:lang w:eastAsia="de-DE" w:bidi="de-DE"/>
        </w:rPr>
      </w:pPr>
    </w:p>
    <w:p w14:paraId="40CF918A"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t>V. Was das in Artikel 49</w:t>
      </w:r>
      <w:r w:rsidRPr="00A477D1">
        <w:rPr>
          <w:rFonts w:eastAsia="Calibri"/>
          <w:szCs w:val="22"/>
          <w:vertAlign w:val="superscript"/>
          <w:lang w:eastAsia="de-DE" w:bidi="de-DE"/>
        </w:rPr>
        <w:t>1</w:t>
      </w:r>
      <w:r w:rsidRPr="00A477D1">
        <w:rPr>
          <w:rFonts w:eastAsia="Calibri"/>
          <w:szCs w:val="22"/>
          <w:lang w:eastAsia="de-DE" w:bidi="de-DE"/>
        </w:rPr>
        <w:t xml:space="preserve"> § 1 Nr. 4 des KE/EStGB 92 erwähnte Material zur Erkennung, Überprüfung oder Aufzeichnung von Einbrüchen oder Gewaltt</w:t>
      </w:r>
      <w:r>
        <w:rPr>
          <w:rFonts w:eastAsia="Calibri"/>
          <w:szCs w:val="22"/>
          <w:lang w:eastAsia="de-DE" w:bidi="de-DE"/>
        </w:rPr>
        <w:t>ätigkeiten</w:t>
      </w:r>
      <w:r w:rsidRPr="00A477D1">
        <w:rPr>
          <w:rFonts w:eastAsia="Calibri"/>
          <w:szCs w:val="22"/>
          <w:lang w:eastAsia="de-DE" w:bidi="de-DE"/>
        </w:rPr>
        <w:t xml:space="preserve"> in beruflich genutzten Räumen betrifft, bescheinigt der [...] Unternehmer, dass:</w:t>
      </w:r>
    </w:p>
    <w:p w14:paraId="760F2396" w14:textId="77777777" w:rsidR="005A5BD5" w:rsidRPr="00A477D1" w:rsidRDefault="005A5BD5" w:rsidP="004C2C7D">
      <w:pPr>
        <w:jc w:val="both"/>
        <w:rPr>
          <w:rFonts w:eastAsia="Calibri"/>
          <w:szCs w:val="22"/>
          <w:lang w:eastAsia="de-DE" w:bidi="de-DE"/>
        </w:rPr>
      </w:pPr>
    </w:p>
    <w:p w14:paraId="3DD52422"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a)</w:t>
      </w:r>
      <w:r w:rsidRPr="00A477D1">
        <w:rPr>
          <w:rFonts w:eastAsia="Calibri"/>
          <w:szCs w:val="22"/>
          <w:lang w:eastAsia="de-DE" w:bidi="de-DE"/>
        </w:rPr>
        <w:t> das installierte Material ein Kamerasystem ist, das mit einem Speichersystem oder einem System zur Übertragung von Bildern an eine genehmigte Alarmzentrale ausgerüstet ist,</w:t>
      </w:r>
    </w:p>
    <w:p w14:paraId="34D802E5" w14:textId="77777777" w:rsidR="005A5BD5" w:rsidRPr="00A477D1" w:rsidRDefault="005A5BD5" w:rsidP="004C2C7D">
      <w:pPr>
        <w:jc w:val="both"/>
        <w:rPr>
          <w:rFonts w:eastAsia="Calibri"/>
          <w:szCs w:val="22"/>
          <w:lang w:eastAsia="de-DE" w:bidi="de-DE"/>
        </w:rPr>
      </w:pPr>
    </w:p>
    <w:p w14:paraId="5DF3DD29" w14:textId="77777777" w:rsidR="005A5BD5"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b)</w:t>
      </w:r>
      <w:r w:rsidRPr="00A477D1">
        <w:rPr>
          <w:rFonts w:eastAsia="Calibri"/>
          <w:szCs w:val="22"/>
          <w:lang w:eastAsia="de-DE" w:bidi="de-DE"/>
        </w:rPr>
        <w:t> das installierte Material ein Ortungssystem ist wie aufgrund des Gesetzes vom 10. April 1990 zur Regelung der privaten und besonderen Sicherheit erwähnt.]</w:t>
      </w:r>
    </w:p>
    <w:p w14:paraId="6F786328" w14:textId="77777777" w:rsidR="005A5BD5" w:rsidRDefault="005A5BD5" w:rsidP="004C2C7D">
      <w:pPr>
        <w:jc w:val="both"/>
        <w:rPr>
          <w:rFonts w:eastAsia="Calibri"/>
          <w:szCs w:val="22"/>
          <w:lang w:eastAsia="de-DE" w:bidi="de-DE"/>
        </w:rPr>
        <w:sectPr w:rsidR="005A5BD5" w:rsidSect="003426CA">
          <w:pgSz w:w="11906" w:h="16838"/>
          <w:pgMar w:top="1418" w:right="1418" w:bottom="1418" w:left="1418" w:header="709" w:footer="709" w:gutter="0"/>
          <w:cols w:space="708"/>
          <w:docGrid w:linePitch="360"/>
        </w:sectPr>
      </w:pPr>
    </w:p>
    <w:p w14:paraId="7880D9A2"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lastRenderedPageBreak/>
        <w:tab/>
        <w:t>[VI. Was das in Artikel 49</w:t>
      </w:r>
      <w:r w:rsidRPr="00A477D1">
        <w:rPr>
          <w:rFonts w:eastAsia="Calibri"/>
          <w:szCs w:val="22"/>
          <w:vertAlign w:val="superscript"/>
          <w:lang w:eastAsia="de-DE" w:bidi="de-DE"/>
        </w:rPr>
        <w:t>1</w:t>
      </w:r>
      <w:r w:rsidRPr="00A477D1">
        <w:rPr>
          <w:rFonts w:eastAsia="Calibri"/>
          <w:szCs w:val="22"/>
          <w:lang w:eastAsia="de-DE" w:bidi="de-DE"/>
        </w:rPr>
        <w:t xml:space="preserve"> § 1 Nr. 5 Buchstaben </w:t>
      </w:r>
      <w:r w:rsidRPr="00A477D1">
        <w:rPr>
          <w:rFonts w:eastAsia="Calibri"/>
          <w:i/>
          <w:szCs w:val="22"/>
          <w:lang w:eastAsia="de-DE" w:bidi="de-DE"/>
        </w:rPr>
        <w:t>a)</w:t>
      </w:r>
      <w:r w:rsidRPr="00A477D1">
        <w:rPr>
          <w:rFonts w:eastAsia="Calibri"/>
          <w:szCs w:val="22"/>
          <w:lang w:eastAsia="de-DE" w:bidi="de-DE"/>
        </w:rPr>
        <w:t xml:space="preserve"> bis </w:t>
      </w:r>
      <w:r w:rsidRPr="00A477D1">
        <w:rPr>
          <w:rFonts w:eastAsia="Calibri"/>
          <w:i/>
          <w:szCs w:val="22"/>
          <w:lang w:eastAsia="de-DE" w:bidi="de-DE"/>
        </w:rPr>
        <w:t>d)</w:t>
      </w:r>
      <w:r w:rsidRPr="00A477D1">
        <w:rPr>
          <w:rFonts w:eastAsia="Calibri"/>
          <w:szCs w:val="22"/>
          <w:lang w:eastAsia="de-DE" w:bidi="de-DE"/>
        </w:rPr>
        <w:t xml:space="preserve"> des KE/EStGB 92 erwähnte Material betrifft, das den Zugang zu Betriebsfahrzeugen durch Straftäter erkennt, verhindert oder verzögert oder ihre Flucht verzögert, nachdem sie eine Straftat begangen haben, bescheinigt der Ausrüster, dass das installierte Material gemäß dem Qualitätskennzeichen INCERT oder einer gleichwertigen Qualitätsnorm zertifiziert ist.</w:t>
      </w:r>
    </w:p>
    <w:p w14:paraId="022A0F78" w14:textId="77777777" w:rsidR="005A5BD5" w:rsidRPr="00A477D1" w:rsidRDefault="005A5BD5" w:rsidP="004C2C7D">
      <w:pPr>
        <w:rPr>
          <w:rFonts w:eastAsia="Calibri"/>
          <w:szCs w:val="22"/>
          <w:lang w:eastAsia="de-DE" w:bidi="de-DE"/>
        </w:rPr>
      </w:pPr>
    </w:p>
    <w:p w14:paraId="22A02C90"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t>VII. Was das in Artikel 49</w:t>
      </w:r>
      <w:r w:rsidRPr="00A477D1">
        <w:rPr>
          <w:rFonts w:eastAsia="Calibri"/>
          <w:szCs w:val="22"/>
          <w:vertAlign w:val="superscript"/>
          <w:lang w:eastAsia="de-DE" w:bidi="de-DE"/>
        </w:rPr>
        <w:t>1</w:t>
      </w:r>
      <w:r w:rsidRPr="00A477D1">
        <w:rPr>
          <w:rFonts w:eastAsia="Calibri"/>
          <w:szCs w:val="22"/>
          <w:lang w:eastAsia="de-DE" w:bidi="de-DE"/>
        </w:rPr>
        <w:t xml:space="preserve"> § 1 Nr. 5 Buchstabe </w:t>
      </w:r>
      <w:r w:rsidRPr="00A477D1">
        <w:rPr>
          <w:rFonts w:eastAsia="Calibri"/>
          <w:i/>
          <w:szCs w:val="22"/>
          <w:lang w:eastAsia="de-DE" w:bidi="de-DE"/>
        </w:rPr>
        <w:t>e)</w:t>
      </w:r>
      <w:r w:rsidRPr="00A477D1">
        <w:rPr>
          <w:rFonts w:eastAsia="Calibri"/>
          <w:szCs w:val="22"/>
          <w:lang w:eastAsia="de-DE" w:bidi="de-DE"/>
        </w:rPr>
        <w:t xml:space="preserve"> des KE/EStGB 92 erwähnte Material betrifft, das den Zugang zu Betriebsfahrzeugen durch Straftäter erkennt, verhindert oder verzögert oder ihre Flucht verzögert, nachdem sie eine Straftat begangen haben, bescheinigt der Ausrüster, dass:</w:t>
      </w:r>
    </w:p>
    <w:p w14:paraId="75DA4C1B" w14:textId="77777777" w:rsidR="005A5BD5" w:rsidRPr="00A477D1" w:rsidRDefault="005A5BD5" w:rsidP="004C2C7D">
      <w:pPr>
        <w:jc w:val="both"/>
        <w:rPr>
          <w:rFonts w:eastAsia="Calibri"/>
          <w:szCs w:val="22"/>
          <w:lang w:eastAsia="de-DE" w:bidi="de-DE"/>
        </w:rPr>
      </w:pPr>
    </w:p>
    <w:p w14:paraId="52A696B4"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a)</w:t>
      </w:r>
      <w:r w:rsidRPr="00A477D1">
        <w:rPr>
          <w:rFonts w:eastAsia="Calibri"/>
          <w:szCs w:val="22"/>
          <w:lang w:eastAsia="de-DE" w:bidi="de-DE"/>
        </w:rPr>
        <w:t> das installierte Material den Diebstahl eines Betriebsfahrzeugs verhindert oder verzögert,</w:t>
      </w:r>
    </w:p>
    <w:p w14:paraId="5BF04AA2" w14:textId="77777777" w:rsidR="005A5BD5" w:rsidRPr="00A477D1" w:rsidRDefault="005A5BD5" w:rsidP="004C2C7D">
      <w:pPr>
        <w:jc w:val="both"/>
        <w:rPr>
          <w:rFonts w:eastAsia="Calibri"/>
          <w:szCs w:val="22"/>
          <w:lang w:eastAsia="de-DE" w:bidi="de-DE"/>
        </w:rPr>
      </w:pPr>
    </w:p>
    <w:p w14:paraId="2C6C217D" w14:textId="77777777" w:rsidR="005A5BD5" w:rsidRPr="00A477D1" w:rsidRDefault="005A5BD5" w:rsidP="004C2C7D">
      <w:pPr>
        <w:jc w:val="both"/>
        <w:rPr>
          <w:rFonts w:eastAsia="Calibri"/>
          <w:szCs w:val="22"/>
          <w:lang w:eastAsia="de-DE" w:bidi="de-DE"/>
        </w:rPr>
      </w:pPr>
      <w:r w:rsidRPr="00A477D1">
        <w:rPr>
          <w:rFonts w:eastAsia="Calibri"/>
          <w:szCs w:val="22"/>
          <w:lang w:eastAsia="de-DE" w:bidi="de-DE"/>
        </w:rPr>
        <w:tab/>
      </w:r>
      <w:r w:rsidRPr="00A477D1">
        <w:rPr>
          <w:rFonts w:eastAsia="Calibri"/>
          <w:i/>
          <w:szCs w:val="22"/>
          <w:lang w:eastAsia="de-DE" w:bidi="de-DE"/>
        </w:rPr>
        <w:t>b)</w:t>
      </w:r>
      <w:r w:rsidRPr="00A477D1">
        <w:rPr>
          <w:rFonts w:eastAsia="Calibri"/>
          <w:szCs w:val="22"/>
          <w:lang w:eastAsia="de-DE" w:bidi="de-DE"/>
        </w:rPr>
        <w:t> das installierte Material ein Schloss oder ein anderes Absicherungssystem ist, das an dem Betriebsfahrzeug angebracht ist.]</w:t>
      </w:r>
    </w:p>
    <w:p w14:paraId="4B4D7CD2" w14:textId="77777777" w:rsidR="005A5BD5" w:rsidRPr="00A477D1" w:rsidRDefault="005A5BD5" w:rsidP="004C2C7D">
      <w:pPr>
        <w:jc w:val="both"/>
        <w:rPr>
          <w:rFonts w:eastAsia="Calibri"/>
          <w:szCs w:val="22"/>
          <w:lang w:eastAsia="de-DE" w:bidi="de-DE"/>
        </w:rPr>
      </w:pPr>
    </w:p>
    <w:p w14:paraId="76BA57E8" w14:textId="77777777" w:rsidR="005A5BD5" w:rsidRPr="00A477D1" w:rsidRDefault="005A5BD5" w:rsidP="004C2C7D">
      <w:pPr>
        <w:jc w:val="both"/>
        <w:rPr>
          <w:rFonts w:eastAsia="Calibri"/>
          <w:szCs w:val="22"/>
          <w:lang w:eastAsia="de-DE" w:bidi="de-DE"/>
        </w:rPr>
      </w:pPr>
      <w:r w:rsidRPr="00A477D1">
        <w:rPr>
          <w:rFonts w:eastAsia="Calibri"/>
          <w:i/>
          <w:szCs w:val="22"/>
          <w:lang w:eastAsia="de-DE" w:bidi="de-DE"/>
        </w:rPr>
        <w:t>[Anlage 2quater eingefügt durch K.E. vom 17. August 2007 (B.S. vom 30. August 2007); Punkt I, II, III und V abgeändert durch Art. 10 des K.E. vom 15. Juni 2012 (B.S. vom 2. Juli 2012); Punkt VI und VII eingefügt durch Art. 2 des K.E. vom 14. Dezember 2010 (B.S. vom 24. Dezember 2010)]</w:t>
      </w:r>
    </w:p>
    <w:p w14:paraId="65CB5464" w14:textId="77777777" w:rsidR="005A5BD5" w:rsidRPr="00CF1706" w:rsidRDefault="005A5BD5" w:rsidP="004C2C7D">
      <w:pPr>
        <w:jc w:val="center"/>
        <w:rPr>
          <w:color w:val="000000"/>
        </w:rPr>
      </w:pPr>
    </w:p>
    <w:p w14:paraId="44717CEF" w14:textId="77777777" w:rsidR="0006371A" w:rsidRDefault="0006371A">
      <w:r>
        <w:br w:type="page"/>
      </w:r>
    </w:p>
    <w:p w14:paraId="50D2B949" w14:textId="77777777" w:rsidR="0006371A" w:rsidRPr="0022022E" w:rsidRDefault="0022022E" w:rsidP="0006371A">
      <w:pPr>
        <w:jc w:val="center"/>
        <w:rPr>
          <w:rFonts w:eastAsia="Calibri"/>
          <w:szCs w:val="22"/>
          <w:lang w:eastAsia="de-DE" w:bidi="de-DE"/>
        </w:rPr>
      </w:pPr>
      <w:r>
        <w:rPr>
          <w:rFonts w:eastAsia="Calibri"/>
          <w:szCs w:val="22"/>
          <w:lang w:eastAsia="de-DE" w:bidi="de-DE"/>
        </w:rPr>
        <w:lastRenderedPageBreak/>
        <w:t>[</w:t>
      </w:r>
      <w:r w:rsidR="0006371A" w:rsidRPr="00B65258">
        <w:rPr>
          <w:rFonts w:eastAsia="Calibri"/>
          <w:b/>
          <w:szCs w:val="22"/>
          <w:lang w:eastAsia="de-DE" w:bidi="de-DE"/>
        </w:rPr>
        <w:t>ANLAGE 3</w:t>
      </w:r>
      <w:r>
        <w:rPr>
          <w:rFonts w:eastAsia="Calibri"/>
          <w:szCs w:val="22"/>
          <w:lang w:eastAsia="de-DE" w:bidi="de-DE"/>
        </w:rPr>
        <w:t>]</w:t>
      </w:r>
    </w:p>
    <w:p w14:paraId="3F1B04E7" w14:textId="77777777" w:rsidR="0006371A" w:rsidRDefault="0006371A" w:rsidP="0006371A">
      <w:pPr>
        <w:rPr>
          <w:rFonts w:eastAsia="Calibri"/>
          <w:szCs w:val="22"/>
          <w:lang w:eastAsia="de-DE" w:bidi="de-DE"/>
        </w:rPr>
      </w:pPr>
    </w:p>
    <w:p w14:paraId="0A97F487" w14:textId="46D1A358" w:rsidR="0022022E" w:rsidRDefault="0022022E" w:rsidP="0022022E">
      <w:pPr>
        <w:spacing w:after="200" w:line="276" w:lineRule="auto"/>
        <w:jc w:val="both"/>
        <w:rPr>
          <w:i/>
          <w:lang w:eastAsia="en-US"/>
        </w:rPr>
      </w:pPr>
      <w:r w:rsidRPr="00B65258">
        <w:rPr>
          <w:i/>
          <w:lang w:eastAsia="en-US"/>
        </w:rPr>
        <w:t xml:space="preserve">[Anlage 3 ersetzt durch </w:t>
      </w:r>
      <w:r w:rsidR="007A5656">
        <w:rPr>
          <w:i/>
          <w:lang w:eastAsia="en-US"/>
        </w:rPr>
        <w:t>Art. 1 des K.E. vom 12. Dezember 2016 (B.S. vom 16. Dezember 2016)</w:t>
      </w:r>
      <w:r w:rsidR="00B86FD1">
        <w:rPr>
          <w:i/>
          <w:lang w:eastAsia="en-US"/>
        </w:rPr>
        <w:t xml:space="preserve">; </w:t>
      </w:r>
      <w:r w:rsidR="004F7E47">
        <w:rPr>
          <w:i/>
          <w:lang w:eastAsia="en-US"/>
        </w:rPr>
        <w:t>Kapitel 6 Überschrift von Abschnitt 7 ersetzt durch Art. 23</w:t>
      </w:r>
      <w:r w:rsidR="004F7E47">
        <w:rPr>
          <w:rFonts w:eastAsia="Calibri"/>
          <w:i/>
          <w:szCs w:val="22"/>
          <w:lang w:eastAsia="de-DE" w:bidi="de-DE"/>
        </w:rPr>
        <w:t xml:space="preserve"> des K.E. vom 29. August 2019</w:t>
      </w:r>
      <w:r w:rsidR="00865C4C">
        <w:rPr>
          <w:rFonts w:eastAsia="Calibri"/>
          <w:i/>
          <w:szCs w:val="22"/>
          <w:lang w:eastAsia="de-DE" w:bidi="de-DE"/>
        </w:rPr>
        <w:t> (I)</w:t>
      </w:r>
      <w:r w:rsidR="004F7E47">
        <w:rPr>
          <w:rFonts w:eastAsia="Calibri"/>
          <w:i/>
          <w:szCs w:val="22"/>
          <w:lang w:eastAsia="de-DE" w:bidi="de-DE"/>
        </w:rPr>
        <w:t xml:space="preserve"> (B.S. vom 13. September 2019)</w:t>
      </w:r>
      <w:r w:rsidR="004F7E47">
        <w:rPr>
          <w:i/>
          <w:lang w:eastAsia="en-US"/>
        </w:rPr>
        <w:t xml:space="preserve">; </w:t>
      </w:r>
      <w:r w:rsidR="00B86FD1">
        <w:rPr>
          <w:i/>
          <w:lang w:eastAsia="en-US"/>
        </w:rPr>
        <w:t>Kapitel 7 Abschnitt 1/1 eingefügt durch Art. 1 des K.E. vom 12. Januar 2017 (II) (B.S. vom 20. Januar 2017)</w:t>
      </w:r>
      <w:r w:rsidR="007A5656">
        <w:rPr>
          <w:i/>
          <w:lang w:eastAsia="en-US"/>
        </w:rPr>
        <w:t>]</w:t>
      </w:r>
    </w:p>
    <w:p w14:paraId="028C9405" w14:textId="77777777" w:rsidR="007A5656" w:rsidRDefault="007A5656" w:rsidP="007A5656">
      <w:pPr>
        <w:jc w:val="both"/>
        <w:rPr>
          <w:rFonts w:eastAsia="Calibri"/>
          <w:b/>
          <w:lang w:eastAsia="de-DE" w:bidi="de-DE"/>
        </w:rPr>
      </w:pPr>
    </w:p>
    <w:p w14:paraId="66174766" w14:textId="77777777" w:rsidR="007A5656" w:rsidRPr="00A21F71" w:rsidRDefault="007A5656" w:rsidP="007A5656">
      <w:pPr>
        <w:jc w:val="both"/>
        <w:rPr>
          <w:rFonts w:eastAsia="Calibri"/>
          <w:b/>
          <w:lang w:eastAsia="de-DE" w:bidi="de-DE"/>
        </w:rPr>
      </w:pPr>
      <w:r w:rsidRPr="00A21F71">
        <w:rPr>
          <w:rFonts w:eastAsia="Calibri"/>
          <w:b/>
          <w:lang w:eastAsia="de-DE" w:bidi="de-DE"/>
        </w:rPr>
        <w:t>Tabellen und Regeln, die auf die Berechnung des Berufssteuervorabzugs anwendbar sind, der an der Quel</w:t>
      </w:r>
      <w:r>
        <w:rPr>
          <w:rFonts w:eastAsia="Calibri"/>
          <w:b/>
          <w:lang w:eastAsia="de-DE" w:bidi="de-DE"/>
        </w:rPr>
        <w:t>le auf die ab dem 1. Januar 2017</w:t>
      </w:r>
      <w:r w:rsidRPr="00A21F71">
        <w:rPr>
          <w:rFonts w:eastAsia="Calibri"/>
          <w:b/>
          <w:lang w:eastAsia="de-DE" w:bidi="de-DE"/>
        </w:rPr>
        <w:t xml:space="preserve"> gezahlten oder zuerkannten Einkünfte geschuldet wird</w:t>
      </w:r>
    </w:p>
    <w:p w14:paraId="261B0E1E" w14:textId="77777777" w:rsidR="007A5656" w:rsidRPr="00A21F71" w:rsidRDefault="007A5656" w:rsidP="007A5656">
      <w:pPr>
        <w:rPr>
          <w:rFonts w:eastAsia="Calibri"/>
          <w:lang w:eastAsia="de-DE" w:bidi="de-DE"/>
        </w:rPr>
      </w:pPr>
    </w:p>
    <w:p w14:paraId="76F95B41" w14:textId="77777777" w:rsidR="007A5656" w:rsidRPr="00A21F71" w:rsidRDefault="007A5656" w:rsidP="007A5656">
      <w:pPr>
        <w:jc w:val="center"/>
        <w:rPr>
          <w:rFonts w:eastAsia="Calibri"/>
          <w:lang w:eastAsia="de-DE" w:bidi="de-DE"/>
        </w:rPr>
      </w:pPr>
      <w:r w:rsidRPr="00A21F71">
        <w:rPr>
          <w:rFonts w:eastAsia="Calibri"/>
          <w:lang w:eastAsia="de-DE" w:bidi="de-DE"/>
        </w:rPr>
        <w:t>(Königlicher Erlass zur Ausführung des Einkommensteuergesetzbuches 1992, Artikel 88)</w:t>
      </w:r>
    </w:p>
    <w:p w14:paraId="572EBBF5" w14:textId="77777777" w:rsidR="007A5656" w:rsidRPr="00A21F71" w:rsidRDefault="007A5656" w:rsidP="007A5656">
      <w:pPr>
        <w:rPr>
          <w:rFonts w:eastAsia="Calibri"/>
          <w:lang w:eastAsia="de-DE" w:bidi="de-DE"/>
        </w:rPr>
      </w:pPr>
    </w:p>
    <w:p w14:paraId="36ED7CD9" w14:textId="77777777" w:rsidR="007A5656" w:rsidRPr="00A21F71" w:rsidRDefault="007A5656" w:rsidP="007A5656">
      <w:pPr>
        <w:rPr>
          <w:rFonts w:eastAsia="Calibri"/>
          <w:lang w:eastAsia="de-DE" w:bidi="de-DE"/>
        </w:rPr>
      </w:pPr>
    </w:p>
    <w:p w14:paraId="4FDB5850" w14:textId="77777777" w:rsidR="007A5656" w:rsidRPr="00A21F71" w:rsidRDefault="007A5656" w:rsidP="007A5656">
      <w:pPr>
        <w:jc w:val="center"/>
        <w:rPr>
          <w:rFonts w:eastAsia="Calibri"/>
          <w:b/>
          <w:lang w:eastAsia="de-DE" w:bidi="de-DE"/>
        </w:rPr>
      </w:pPr>
      <w:r w:rsidRPr="00A21F71">
        <w:rPr>
          <w:rFonts w:eastAsia="Calibri"/>
          <w:b/>
          <w:lang w:eastAsia="de-DE" w:bidi="de-DE"/>
        </w:rPr>
        <w:t>ANWENDUNGSREGELN</w:t>
      </w:r>
    </w:p>
    <w:p w14:paraId="2CD7D9D8" w14:textId="77777777" w:rsidR="007A5656" w:rsidRPr="00A21F71" w:rsidRDefault="007A5656" w:rsidP="007A5656">
      <w:pPr>
        <w:rPr>
          <w:rFonts w:eastAsia="Calibri"/>
          <w:lang w:eastAsia="de-DE" w:bidi="de-DE"/>
        </w:rPr>
      </w:pPr>
    </w:p>
    <w:p w14:paraId="6FCCF2B5" w14:textId="77777777" w:rsidR="007A5656" w:rsidRPr="00A21F71" w:rsidRDefault="007A5656" w:rsidP="007A5656">
      <w:pPr>
        <w:rPr>
          <w:rFonts w:eastAsia="Calibri"/>
          <w:lang w:eastAsia="de-DE" w:bidi="de-DE"/>
        </w:rPr>
      </w:pPr>
    </w:p>
    <w:p w14:paraId="2487EF49" w14:textId="77777777" w:rsidR="007A5656" w:rsidRPr="00A21F71" w:rsidRDefault="007A5656" w:rsidP="007A5656">
      <w:pPr>
        <w:jc w:val="center"/>
        <w:rPr>
          <w:rFonts w:eastAsia="Calibri"/>
          <w:lang w:eastAsia="de-DE" w:bidi="de-DE"/>
        </w:rPr>
      </w:pPr>
      <w:r w:rsidRPr="00A21F71">
        <w:rPr>
          <w:rFonts w:eastAsia="Calibri"/>
          <w:lang w:eastAsia="de-DE" w:bidi="de-DE"/>
        </w:rPr>
        <w:t xml:space="preserve">1. KAPITEL 1 - </w:t>
      </w:r>
      <w:r w:rsidRPr="00A21F71">
        <w:rPr>
          <w:rFonts w:eastAsia="Calibri"/>
          <w:i/>
          <w:lang w:eastAsia="de-DE" w:bidi="de-DE"/>
        </w:rPr>
        <w:t>Allgemeine Bestimmungen</w:t>
      </w:r>
    </w:p>
    <w:p w14:paraId="0DF37BCB" w14:textId="77777777" w:rsidR="007A5656" w:rsidRPr="00A21F71" w:rsidRDefault="007A5656" w:rsidP="007A5656">
      <w:pPr>
        <w:rPr>
          <w:rFonts w:eastAsia="Calibri"/>
          <w:lang w:eastAsia="de-DE" w:bidi="de-DE"/>
        </w:rPr>
      </w:pPr>
    </w:p>
    <w:p w14:paraId="50E0DE08" w14:textId="77777777" w:rsidR="007A5656" w:rsidRPr="00A21F71" w:rsidRDefault="007A5656" w:rsidP="007A5656">
      <w:pPr>
        <w:rPr>
          <w:rFonts w:eastAsia="Calibri"/>
          <w:lang w:eastAsia="de-DE" w:bidi="de-DE"/>
        </w:rPr>
      </w:pPr>
    </w:p>
    <w:p w14:paraId="5DB2B717" w14:textId="77777777" w:rsidR="007A5656" w:rsidRPr="00A21F71" w:rsidRDefault="007A5656" w:rsidP="007A5656">
      <w:pPr>
        <w:jc w:val="center"/>
        <w:rPr>
          <w:rFonts w:eastAsia="Calibri"/>
          <w:lang w:eastAsia="de-DE" w:bidi="de-DE"/>
        </w:rPr>
      </w:pPr>
      <w:r w:rsidRPr="00A21F71">
        <w:rPr>
          <w:rFonts w:eastAsia="Calibri"/>
          <w:i/>
          <w:lang w:eastAsia="de-DE" w:bidi="de-DE"/>
        </w:rPr>
        <w:t>Abschnitt 1</w:t>
      </w:r>
      <w:r w:rsidRPr="00A21F71">
        <w:rPr>
          <w:rFonts w:eastAsia="Calibri"/>
          <w:lang w:eastAsia="de-DE" w:bidi="de-DE"/>
        </w:rPr>
        <w:t> - Erhebungsgrundlage</w:t>
      </w:r>
    </w:p>
    <w:p w14:paraId="2C26D38F" w14:textId="77777777" w:rsidR="007A5656" w:rsidRPr="00A21F71" w:rsidRDefault="007A5656" w:rsidP="007A5656">
      <w:pPr>
        <w:rPr>
          <w:rFonts w:eastAsia="Calibri"/>
          <w:lang w:eastAsia="de-DE" w:bidi="de-DE"/>
        </w:rPr>
      </w:pPr>
    </w:p>
    <w:p w14:paraId="688EE57F" w14:textId="77777777" w:rsidR="007A5656" w:rsidRPr="00A21F71" w:rsidRDefault="007A5656" w:rsidP="007A5656">
      <w:pPr>
        <w:rPr>
          <w:rFonts w:eastAsia="Calibri"/>
          <w:lang w:eastAsia="de-DE" w:bidi="de-DE"/>
        </w:rPr>
      </w:pPr>
    </w:p>
    <w:p w14:paraId="4D071D17" w14:textId="77777777" w:rsidR="007A5656" w:rsidRPr="00A21F71" w:rsidRDefault="007A5656" w:rsidP="007A5656">
      <w:pPr>
        <w:rPr>
          <w:rFonts w:eastAsia="Calibri"/>
          <w:lang w:eastAsia="de-DE" w:bidi="de-DE"/>
        </w:rPr>
      </w:pPr>
      <w:r w:rsidRPr="00A21F71">
        <w:rPr>
          <w:rFonts w:eastAsia="Calibri"/>
          <w:lang w:eastAsia="de-DE" w:bidi="de-DE"/>
        </w:rPr>
        <w:tab/>
        <w:t>1.1 Abzüge</w:t>
      </w:r>
    </w:p>
    <w:p w14:paraId="24F3E109" w14:textId="77777777" w:rsidR="007A5656" w:rsidRPr="00A21F71" w:rsidRDefault="007A5656" w:rsidP="007A5656">
      <w:pPr>
        <w:jc w:val="both"/>
        <w:rPr>
          <w:rFonts w:eastAsia="Calibri"/>
          <w:lang w:eastAsia="de-DE" w:bidi="de-DE"/>
        </w:rPr>
      </w:pPr>
    </w:p>
    <w:p w14:paraId="3B0CDC67" w14:textId="77777777" w:rsidR="007A5656" w:rsidRPr="00A21F71" w:rsidRDefault="007A5656" w:rsidP="007A5656">
      <w:pPr>
        <w:jc w:val="both"/>
        <w:rPr>
          <w:rFonts w:eastAsia="Calibri"/>
          <w:lang w:eastAsia="de-DE" w:bidi="de-DE"/>
        </w:rPr>
      </w:pPr>
      <w:r w:rsidRPr="00A21F71">
        <w:rPr>
          <w:rFonts w:eastAsia="Calibri"/>
          <w:lang w:eastAsia="de-DE" w:bidi="de-DE"/>
        </w:rPr>
        <w:tab/>
        <w:t>A. Der Berufssteuervorabzug auf Berufseinkünfte (Kapitel 2 bis 5 Abschnitt 1 bis 3) wird festgelegt auf der Grundlage der tatsächlich gezahlten oder zuerkannten Bruttoeinkünfte abzüglich der in Ausführung der sozialen Rechtsvorschriften oder eines damit gleichgesetzten gesetzlichen oder verordnungsrechtlichen Statuts vorgeschriebenen Einbehaltungen.</w:t>
      </w:r>
    </w:p>
    <w:p w14:paraId="777035DA" w14:textId="77777777" w:rsidR="007A5656" w:rsidRPr="00A21F71" w:rsidRDefault="007A5656" w:rsidP="007A5656">
      <w:pPr>
        <w:rPr>
          <w:rFonts w:eastAsia="Calibri"/>
          <w:lang w:eastAsia="de-DE" w:bidi="de-DE"/>
        </w:rPr>
      </w:pPr>
    </w:p>
    <w:p w14:paraId="26CEF59E" w14:textId="77777777" w:rsidR="007A5656" w:rsidRPr="00A21F71" w:rsidRDefault="007A5656" w:rsidP="007A5656">
      <w:pPr>
        <w:jc w:val="both"/>
        <w:rPr>
          <w:rFonts w:eastAsia="Calibri"/>
          <w:lang w:eastAsia="de-DE" w:bidi="de-DE"/>
        </w:rPr>
      </w:pPr>
      <w:r w:rsidRPr="00A21F71">
        <w:rPr>
          <w:rFonts w:eastAsia="Calibri"/>
          <w:lang w:eastAsia="de-DE" w:bidi="de-DE"/>
        </w:rPr>
        <w:tab/>
        <w:t>B. Bruttoentlohnungen von Arbeitnehmern und damit gleichgesetzte Einkünfte (Kapitel 2 und 5 Abschnitt 1) werden außerdem um die in Artikel 89 des vorliegenden Erlasses erwähnten außergewöhnlichen Werbungskosten verringert.</w:t>
      </w:r>
    </w:p>
    <w:p w14:paraId="6CB166F8" w14:textId="77777777" w:rsidR="007A5656" w:rsidRPr="00A21F71" w:rsidRDefault="007A5656" w:rsidP="007A5656">
      <w:pPr>
        <w:rPr>
          <w:rFonts w:eastAsia="Calibri"/>
          <w:lang w:eastAsia="de-DE" w:bidi="de-DE"/>
        </w:rPr>
      </w:pPr>
    </w:p>
    <w:p w14:paraId="6CC81740" w14:textId="77777777" w:rsidR="007A5656" w:rsidRPr="00A21F71" w:rsidRDefault="007A5656" w:rsidP="007A5656">
      <w:pPr>
        <w:jc w:val="both"/>
        <w:rPr>
          <w:rFonts w:eastAsia="Calibri"/>
          <w:lang w:eastAsia="de-DE" w:bidi="de-DE"/>
        </w:rPr>
      </w:pPr>
      <w:r w:rsidRPr="00A21F71">
        <w:rPr>
          <w:rFonts w:eastAsia="Calibri"/>
          <w:lang w:eastAsia="de-DE" w:bidi="de-DE"/>
        </w:rPr>
        <w:tab/>
        <w:t>C. Der Berufssteuervorabzug auf monatliche Entlohnungen von Unternehmensleitern (Nr. 3.3 bis 3.6, 5.16 bis 5.20), die dem Sozialstatut der Selbständigen unterliegen, wird festgelegt auf der Grundlage der tatsächlich gezahlten oder zuerkannten Bruttoeinkünfte abzüglich der in nachstehender Tabelle angegebenen Ermäßigung:</w:t>
      </w:r>
    </w:p>
    <w:p w14:paraId="5330E677"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5732"/>
      </w:tblGrid>
      <w:tr w:rsidR="007A5656" w:rsidRPr="00A21F71" w14:paraId="57BCE150" w14:textId="77777777" w:rsidTr="00212CA2">
        <w:tc>
          <w:tcPr>
            <w:tcW w:w="3261" w:type="dxa"/>
            <w:vAlign w:val="center"/>
          </w:tcPr>
          <w:p w14:paraId="16063295" w14:textId="77777777" w:rsidR="007A5656" w:rsidRPr="00A21F71" w:rsidRDefault="007A5656" w:rsidP="00212CA2">
            <w:pPr>
              <w:spacing w:before="40" w:after="40"/>
              <w:jc w:val="center"/>
              <w:rPr>
                <w:rFonts w:eastAsia="Calibri"/>
                <w:lang w:eastAsia="de-DE" w:bidi="de-DE"/>
              </w:rPr>
            </w:pPr>
            <w:r w:rsidRPr="00A21F71">
              <w:rPr>
                <w:rFonts w:eastAsia="Calibri"/>
                <w:sz w:val="20"/>
                <w:szCs w:val="20"/>
                <w:lang w:eastAsia="de-DE" w:bidi="de-DE"/>
              </w:rPr>
              <w:t>BRUTTOBETRAG</w:t>
            </w:r>
            <w:r w:rsidRPr="00A21F71">
              <w:rPr>
                <w:rFonts w:eastAsia="Calibri"/>
                <w:caps/>
                <w:sz w:val="20"/>
                <w:szCs w:val="20"/>
                <w:lang w:eastAsia="de-DE" w:bidi="de-DE"/>
              </w:rPr>
              <w:t xml:space="preserve"> </w:t>
            </w:r>
            <w:r w:rsidRPr="00A21F71">
              <w:rPr>
                <w:rFonts w:eastAsia="Calibri"/>
                <w:sz w:val="20"/>
                <w:szCs w:val="20"/>
                <w:lang w:eastAsia="de-DE" w:bidi="de-DE"/>
              </w:rPr>
              <w:t>DER</w:t>
            </w:r>
            <w:r w:rsidRPr="00A21F71">
              <w:rPr>
                <w:rFonts w:eastAsia="Calibri"/>
                <w:caps/>
                <w:sz w:val="20"/>
                <w:szCs w:val="20"/>
                <w:lang w:eastAsia="de-DE" w:bidi="de-DE"/>
              </w:rPr>
              <w:t xml:space="preserve"> </w:t>
            </w:r>
            <w:r w:rsidRPr="00A21F71">
              <w:rPr>
                <w:rFonts w:eastAsia="Calibri"/>
                <w:sz w:val="20"/>
                <w:szCs w:val="20"/>
                <w:lang w:eastAsia="de-DE" w:bidi="de-DE"/>
              </w:rPr>
              <w:t>MONATLICHEN ENTLOHNUNG</w:t>
            </w:r>
          </w:p>
        </w:tc>
        <w:tc>
          <w:tcPr>
            <w:tcW w:w="5843" w:type="dxa"/>
            <w:vAlign w:val="center"/>
          </w:tcPr>
          <w:p w14:paraId="06CF3F52" w14:textId="77777777" w:rsidR="007A5656" w:rsidRPr="00A21F71" w:rsidRDefault="007A5656" w:rsidP="00212CA2">
            <w:pPr>
              <w:spacing w:before="40" w:after="40"/>
              <w:jc w:val="center"/>
              <w:rPr>
                <w:rFonts w:eastAsia="Calibri"/>
                <w:sz w:val="20"/>
                <w:szCs w:val="20"/>
                <w:lang w:eastAsia="de-DE" w:bidi="de-DE"/>
              </w:rPr>
            </w:pPr>
            <w:r w:rsidRPr="00A21F71">
              <w:rPr>
                <w:rFonts w:eastAsia="Calibri"/>
                <w:sz w:val="20"/>
                <w:szCs w:val="20"/>
                <w:lang w:eastAsia="de-DE" w:bidi="de-DE"/>
              </w:rPr>
              <w:t>ERMÄSSIGUNG</w:t>
            </w:r>
          </w:p>
        </w:tc>
      </w:tr>
      <w:tr w:rsidR="007A5656" w:rsidRPr="00A21F71" w14:paraId="08B7CE94" w14:textId="77777777" w:rsidTr="00212CA2">
        <w:tc>
          <w:tcPr>
            <w:tcW w:w="3261" w:type="dxa"/>
          </w:tcPr>
          <w:p w14:paraId="041CA092" w14:textId="77777777" w:rsidR="007A5656" w:rsidRPr="00A21F71" w:rsidRDefault="007A5656" w:rsidP="00212CA2">
            <w:pPr>
              <w:rPr>
                <w:rFonts w:eastAsia="Calibri"/>
                <w:sz w:val="20"/>
                <w:szCs w:val="20"/>
                <w:lang w:eastAsia="de-DE" w:bidi="de-DE"/>
              </w:rPr>
            </w:pPr>
            <w:r w:rsidRPr="00A21F71">
              <w:rPr>
                <w:rFonts w:eastAsia="Calibri"/>
                <w:sz w:val="20"/>
                <w:szCs w:val="20"/>
                <w:lang w:eastAsia="de-DE" w:bidi="de-DE"/>
              </w:rPr>
              <w:t>bis 1.1</w:t>
            </w:r>
            <w:r>
              <w:rPr>
                <w:rFonts w:eastAsia="Calibri"/>
                <w:sz w:val="20"/>
                <w:szCs w:val="20"/>
                <w:lang w:eastAsia="de-DE" w:bidi="de-DE"/>
              </w:rPr>
              <w:t>2</w:t>
            </w:r>
            <w:r w:rsidRPr="00A21F71">
              <w:rPr>
                <w:rFonts w:eastAsia="Calibri"/>
                <w:sz w:val="20"/>
                <w:szCs w:val="20"/>
                <w:lang w:eastAsia="de-DE" w:bidi="de-DE"/>
              </w:rPr>
              <w:t>0,00 EUR</w:t>
            </w:r>
          </w:p>
          <w:p w14:paraId="5948A0BC" w14:textId="77777777" w:rsidR="007A5656" w:rsidRPr="00A21F71" w:rsidRDefault="007A5656" w:rsidP="00212CA2">
            <w:pPr>
              <w:rPr>
                <w:rFonts w:eastAsia="Calibri"/>
                <w:sz w:val="20"/>
                <w:szCs w:val="20"/>
                <w:lang w:eastAsia="de-DE" w:bidi="de-DE"/>
              </w:rPr>
            </w:pPr>
            <w:r w:rsidRPr="00A21F71">
              <w:rPr>
                <w:rFonts w:eastAsia="Calibri"/>
                <w:sz w:val="20"/>
                <w:szCs w:val="20"/>
                <w:lang w:eastAsia="de-DE" w:bidi="de-DE"/>
              </w:rPr>
              <w:t>von 1.1</w:t>
            </w:r>
            <w:r>
              <w:rPr>
                <w:rFonts w:eastAsia="Calibri"/>
                <w:sz w:val="20"/>
                <w:szCs w:val="20"/>
                <w:lang w:eastAsia="de-DE" w:bidi="de-DE"/>
              </w:rPr>
              <w:t>2</w:t>
            </w:r>
            <w:r w:rsidRPr="00A21F71">
              <w:rPr>
                <w:rFonts w:eastAsia="Calibri"/>
                <w:sz w:val="20"/>
                <w:szCs w:val="20"/>
                <w:lang w:eastAsia="de-DE" w:bidi="de-DE"/>
              </w:rPr>
              <w:t>0,01 EUR bis 4.</w:t>
            </w:r>
            <w:r>
              <w:rPr>
                <w:rFonts w:eastAsia="Calibri"/>
                <w:sz w:val="20"/>
                <w:szCs w:val="20"/>
                <w:lang w:eastAsia="de-DE" w:bidi="de-DE"/>
              </w:rPr>
              <w:t>830</w:t>
            </w:r>
            <w:r w:rsidRPr="00A21F71">
              <w:rPr>
                <w:rFonts w:eastAsia="Calibri"/>
                <w:sz w:val="20"/>
                <w:szCs w:val="20"/>
                <w:lang w:eastAsia="de-DE" w:bidi="de-DE"/>
              </w:rPr>
              <w:t>,00 EUR</w:t>
            </w:r>
          </w:p>
          <w:p w14:paraId="524B1FC4" w14:textId="77777777" w:rsidR="007A5656" w:rsidRPr="00A21F71" w:rsidRDefault="007A5656" w:rsidP="00212CA2">
            <w:pPr>
              <w:rPr>
                <w:rFonts w:eastAsia="Calibri"/>
                <w:sz w:val="20"/>
                <w:szCs w:val="20"/>
                <w:lang w:eastAsia="de-DE" w:bidi="de-DE"/>
              </w:rPr>
            </w:pPr>
            <w:r w:rsidRPr="00A21F71">
              <w:rPr>
                <w:rFonts w:eastAsia="Calibri"/>
                <w:sz w:val="20"/>
                <w:szCs w:val="20"/>
                <w:lang w:eastAsia="de-DE" w:bidi="de-DE"/>
              </w:rPr>
              <w:t>von 4.</w:t>
            </w:r>
            <w:r>
              <w:rPr>
                <w:rFonts w:eastAsia="Calibri"/>
                <w:sz w:val="20"/>
                <w:szCs w:val="20"/>
                <w:lang w:eastAsia="de-DE" w:bidi="de-DE"/>
              </w:rPr>
              <w:t>830</w:t>
            </w:r>
            <w:r w:rsidRPr="00A21F71">
              <w:rPr>
                <w:rFonts w:eastAsia="Calibri"/>
                <w:sz w:val="20"/>
                <w:szCs w:val="20"/>
                <w:lang w:eastAsia="de-DE" w:bidi="de-DE"/>
              </w:rPr>
              <w:t>,01 EUR bis 7.</w:t>
            </w:r>
            <w:r>
              <w:rPr>
                <w:rFonts w:eastAsia="Calibri"/>
                <w:sz w:val="20"/>
                <w:szCs w:val="20"/>
                <w:lang w:eastAsia="de-DE" w:bidi="de-DE"/>
              </w:rPr>
              <w:t>105</w:t>
            </w:r>
            <w:r w:rsidRPr="00A21F71">
              <w:rPr>
                <w:rFonts w:eastAsia="Calibri"/>
                <w:sz w:val="20"/>
                <w:szCs w:val="20"/>
                <w:lang w:eastAsia="de-DE" w:bidi="de-DE"/>
              </w:rPr>
              <w:t>,00 EUR</w:t>
            </w:r>
          </w:p>
          <w:p w14:paraId="270E8962" w14:textId="77777777" w:rsidR="007A5656" w:rsidRPr="00A21F71" w:rsidRDefault="007A5656" w:rsidP="00212CA2">
            <w:pPr>
              <w:rPr>
                <w:rFonts w:eastAsia="Calibri"/>
                <w:sz w:val="20"/>
                <w:szCs w:val="20"/>
                <w:lang w:eastAsia="de-DE" w:bidi="de-DE"/>
              </w:rPr>
            </w:pPr>
            <w:r w:rsidRPr="00A21F71">
              <w:rPr>
                <w:rFonts w:eastAsia="Calibri"/>
                <w:sz w:val="20"/>
                <w:szCs w:val="20"/>
                <w:lang w:eastAsia="de-DE" w:bidi="de-DE"/>
              </w:rPr>
              <w:t>mehr als 7.</w:t>
            </w:r>
            <w:r>
              <w:rPr>
                <w:rFonts w:eastAsia="Calibri"/>
                <w:sz w:val="20"/>
                <w:szCs w:val="20"/>
                <w:lang w:eastAsia="de-DE" w:bidi="de-DE"/>
              </w:rPr>
              <w:t>105</w:t>
            </w:r>
            <w:r w:rsidRPr="00A21F71">
              <w:rPr>
                <w:rFonts w:eastAsia="Calibri"/>
                <w:sz w:val="20"/>
                <w:szCs w:val="20"/>
                <w:lang w:eastAsia="de-DE" w:bidi="de-DE"/>
              </w:rPr>
              <w:t>,00 EUR</w:t>
            </w:r>
          </w:p>
        </w:tc>
        <w:tc>
          <w:tcPr>
            <w:tcW w:w="5843" w:type="dxa"/>
          </w:tcPr>
          <w:p w14:paraId="73B92CA5" w14:textId="77777777" w:rsidR="007A5656" w:rsidRPr="00A21F71" w:rsidRDefault="007A5656" w:rsidP="00212CA2">
            <w:pPr>
              <w:rPr>
                <w:rFonts w:eastAsia="Calibri"/>
                <w:sz w:val="20"/>
                <w:szCs w:val="20"/>
                <w:lang w:eastAsia="de-DE" w:bidi="de-DE"/>
              </w:rPr>
            </w:pPr>
            <w:r w:rsidRPr="00A21F71">
              <w:rPr>
                <w:rFonts w:eastAsia="Calibri"/>
                <w:sz w:val="20"/>
                <w:szCs w:val="20"/>
                <w:lang w:eastAsia="de-DE" w:bidi="de-DE"/>
              </w:rPr>
              <w:t>3</w:t>
            </w:r>
            <w:r>
              <w:rPr>
                <w:rFonts w:eastAsia="Calibri"/>
                <w:sz w:val="20"/>
                <w:szCs w:val="20"/>
                <w:lang w:eastAsia="de-DE" w:bidi="de-DE"/>
              </w:rPr>
              <w:t>25</w:t>
            </w:r>
            <w:r w:rsidRPr="00A21F71">
              <w:rPr>
                <w:rFonts w:eastAsia="Calibri"/>
                <w:sz w:val="20"/>
                <w:szCs w:val="20"/>
                <w:lang w:eastAsia="de-DE" w:bidi="de-DE"/>
              </w:rPr>
              <w:t>,00 EUR</w:t>
            </w:r>
          </w:p>
          <w:p w14:paraId="21F2B10D" w14:textId="77777777" w:rsidR="007A5656" w:rsidRPr="00A21F71" w:rsidRDefault="007A5656" w:rsidP="00212CA2">
            <w:pPr>
              <w:rPr>
                <w:rFonts w:eastAsia="Calibri"/>
                <w:sz w:val="20"/>
                <w:szCs w:val="20"/>
                <w:lang w:eastAsia="de-DE" w:bidi="de-DE"/>
              </w:rPr>
            </w:pPr>
            <w:r w:rsidRPr="00A21F71">
              <w:rPr>
                <w:rFonts w:eastAsia="Calibri"/>
                <w:sz w:val="20"/>
                <w:szCs w:val="20"/>
                <w:lang w:eastAsia="de-DE" w:bidi="de-DE"/>
              </w:rPr>
              <w:t>3</w:t>
            </w:r>
            <w:r>
              <w:rPr>
                <w:rFonts w:eastAsia="Calibri"/>
                <w:sz w:val="20"/>
                <w:szCs w:val="20"/>
                <w:lang w:eastAsia="de-DE" w:bidi="de-DE"/>
              </w:rPr>
              <w:t>25</w:t>
            </w:r>
            <w:r w:rsidRPr="00A21F71">
              <w:rPr>
                <w:rFonts w:eastAsia="Calibri"/>
                <w:sz w:val="20"/>
                <w:szCs w:val="20"/>
                <w:lang w:eastAsia="de-DE" w:bidi="de-DE"/>
              </w:rPr>
              <w:t>,00 EUR + 2</w:t>
            </w:r>
            <w:r>
              <w:rPr>
                <w:rFonts w:eastAsia="Calibri"/>
                <w:sz w:val="20"/>
                <w:szCs w:val="20"/>
                <w:lang w:eastAsia="de-DE" w:bidi="de-DE"/>
              </w:rPr>
              <w:t>2,5</w:t>
            </w:r>
            <w:r w:rsidRPr="00A21F71">
              <w:rPr>
                <w:rFonts w:eastAsia="Calibri"/>
                <w:sz w:val="20"/>
                <w:szCs w:val="20"/>
                <w:lang w:eastAsia="de-DE" w:bidi="de-DE"/>
              </w:rPr>
              <w:t> Prozent für den Teilbetrag über 1.1</w:t>
            </w:r>
            <w:r>
              <w:rPr>
                <w:rFonts w:eastAsia="Calibri"/>
                <w:sz w:val="20"/>
                <w:szCs w:val="20"/>
                <w:lang w:eastAsia="de-DE" w:bidi="de-DE"/>
              </w:rPr>
              <w:t>2</w:t>
            </w:r>
            <w:r w:rsidRPr="00A21F71">
              <w:rPr>
                <w:rFonts w:eastAsia="Calibri"/>
                <w:sz w:val="20"/>
                <w:szCs w:val="20"/>
                <w:lang w:eastAsia="de-DE" w:bidi="de-DE"/>
              </w:rPr>
              <w:t>0,00 EUR</w:t>
            </w:r>
          </w:p>
          <w:p w14:paraId="767F03FB" w14:textId="77777777" w:rsidR="007A5656" w:rsidRPr="00A21F71" w:rsidRDefault="007A5656" w:rsidP="00212CA2">
            <w:pPr>
              <w:rPr>
                <w:rFonts w:eastAsia="Calibri"/>
                <w:sz w:val="20"/>
                <w:szCs w:val="20"/>
                <w:lang w:eastAsia="de-DE" w:bidi="de-DE"/>
              </w:rPr>
            </w:pPr>
            <w:r w:rsidRPr="00A21F71">
              <w:rPr>
                <w:rFonts w:eastAsia="Calibri"/>
                <w:sz w:val="20"/>
                <w:szCs w:val="20"/>
                <w:lang w:eastAsia="de-DE" w:bidi="de-DE"/>
              </w:rPr>
              <w:t>1.1</w:t>
            </w:r>
            <w:r>
              <w:rPr>
                <w:rFonts w:eastAsia="Calibri"/>
                <w:sz w:val="20"/>
                <w:szCs w:val="20"/>
                <w:lang w:eastAsia="de-DE" w:bidi="de-DE"/>
              </w:rPr>
              <w:t>59</w:t>
            </w:r>
            <w:r w:rsidRPr="00A21F71">
              <w:rPr>
                <w:rFonts w:eastAsia="Calibri"/>
                <w:sz w:val="20"/>
                <w:szCs w:val="20"/>
                <w:lang w:eastAsia="de-DE" w:bidi="de-DE"/>
              </w:rPr>
              <w:t>,</w:t>
            </w:r>
            <w:r>
              <w:rPr>
                <w:rFonts w:eastAsia="Calibri"/>
                <w:sz w:val="20"/>
                <w:szCs w:val="20"/>
                <w:lang w:eastAsia="de-DE" w:bidi="de-DE"/>
              </w:rPr>
              <w:t>7</w:t>
            </w:r>
            <w:r w:rsidRPr="00A21F71">
              <w:rPr>
                <w:rFonts w:eastAsia="Calibri"/>
                <w:sz w:val="20"/>
                <w:szCs w:val="20"/>
                <w:lang w:eastAsia="de-DE" w:bidi="de-DE"/>
              </w:rPr>
              <w:t>5 EUR + 14,50 Prozent für den Teilbetrag über 4.</w:t>
            </w:r>
            <w:r>
              <w:rPr>
                <w:rFonts w:eastAsia="Calibri"/>
                <w:sz w:val="20"/>
                <w:szCs w:val="20"/>
                <w:lang w:eastAsia="de-DE" w:bidi="de-DE"/>
              </w:rPr>
              <w:t>830</w:t>
            </w:r>
            <w:r w:rsidRPr="00A21F71">
              <w:rPr>
                <w:rFonts w:eastAsia="Calibri"/>
                <w:sz w:val="20"/>
                <w:szCs w:val="20"/>
                <w:lang w:eastAsia="de-DE" w:bidi="de-DE"/>
              </w:rPr>
              <w:t>,00 EUR</w:t>
            </w:r>
          </w:p>
          <w:p w14:paraId="01C8A03C" w14:textId="77777777" w:rsidR="007A5656" w:rsidRPr="00A21F71" w:rsidRDefault="007A5656" w:rsidP="00212CA2">
            <w:pPr>
              <w:rPr>
                <w:rFonts w:eastAsia="Calibri"/>
                <w:sz w:val="20"/>
                <w:szCs w:val="20"/>
                <w:lang w:eastAsia="de-DE" w:bidi="de-DE"/>
              </w:rPr>
            </w:pPr>
            <w:r w:rsidRPr="00A21F71">
              <w:rPr>
                <w:rFonts w:eastAsia="Calibri"/>
                <w:sz w:val="20"/>
                <w:szCs w:val="20"/>
                <w:lang w:eastAsia="de-DE" w:bidi="de-DE"/>
              </w:rPr>
              <w:t>1.4</w:t>
            </w:r>
            <w:r>
              <w:rPr>
                <w:rFonts w:eastAsia="Calibri"/>
                <w:sz w:val="20"/>
                <w:szCs w:val="20"/>
                <w:lang w:eastAsia="de-DE" w:bidi="de-DE"/>
              </w:rPr>
              <w:t>89</w:t>
            </w:r>
            <w:r w:rsidRPr="00A21F71">
              <w:rPr>
                <w:rFonts w:eastAsia="Calibri"/>
                <w:sz w:val="20"/>
                <w:szCs w:val="20"/>
                <w:lang w:eastAsia="de-DE" w:bidi="de-DE"/>
              </w:rPr>
              <w:t>,</w:t>
            </w:r>
            <w:r>
              <w:rPr>
                <w:rFonts w:eastAsia="Calibri"/>
                <w:sz w:val="20"/>
                <w:szCs w:val="20"/>
                <w:lang w:eastAsia="de-DE" w:bidi="de-DE"/>
              </w:rPr>
              <w:t>63</w:t>
            </w:r>
            <w:r w:rsidRPr="00A21F71">
              <w:rPr>
                <w:rFonts w:eastAsia="Calibri"/>
                <w:sz w:val="20"/>
                <w:szCs w:val="20"/>
                <w:lang w:eastAsia="de-DE" w:bidi="de-DE"/>
              </w:rPr>
              <w:t> EUR</w:t>
            </w:r>
          </w:p>
        </w:tc>
      </w:tr>
    </w:tbl>
    <w:p w14:paraId="0E7CC0C3" w14:textId="77777777" w:rsidR="007A5656" w:rsidRPr="00A21F71" w:rsidRDefault="007A5656" w:rsidP="007A5656">
      <w:pPr>
        <w:rPr>
          <w:rFonts w:eastAsia="Calibri"/>
          <w:lang w:eastAsia="de-DE" w:bidi="de-DE"/>
        </w:rPr>
      </w:pPr>
    </w:p>
    <w:p w14:paraId="356F6CFF" w14:textId="77777777" w:rsidR="004F7E47" w:rsidRDefault="004F7E47">
      <w:pPr>
        <w:rPr>
          <w:rFonts w:eastAsia="Calibri"/>
          <w:lang w:eastAsia="de-DE" w:bidi="de-DE"/>
        </w:rPr>
      </w:pPr>
      <w:r>
        <w:rPr>
          <w:rFonts w:eastAsia="Calibri"/>
          <w:lang w:eastAsia="de-DE" w:bidi="de-DE"/>
        </w:rPr>
        <w:br w:type="page"/>
      </w:r>
    </w:p>
    <w:p w14:paraId="62FBBDC3" w14:textId="56166D64" w:rsidR="007A5656" w:rsidRPr="00A21F71" w:rsidRDefault="007A5656" w:rsidP="007A5656">
      <w:pPr>
        <w:rPr>
          <w:rFonts w:eastAsia="Calibri"/>
          <w:lang w:eastAsia="de-DE" w:bidi="de-DE"/>
        </w:rPr>
      </w:pPr>
      <w:r w:rsidRPr="00A21F71">
        <w:rPr>
          <w:rFonts w:eastAsia="Calibri"/>
          <w:lang w:eastAsia="de-DE" w:bidi="de-DE"/>
        </w:rPr>
        <w:lastRenderedPageBreak/>
        <w:tab/>
        <w:t>1.2 Verheiratete Personen und Ehepartner - gesetzlich Zusammenwohnende</w:t>
      </w:r>
    </w:p>
    <w:p w14:paraId="6EABD6FD" w14:textId="77777777" w:rsidR="007A5656" w:rsidRPr="00A21F71" w:rsidRDefault="007A5656" w:rsidP="007A5656">
      <w:pPr>
        <w:rPr>
          <w:rFonts w:eastAsia="Calibri"/>
          <w:lang w:eastAsia="de-DE" w:bidi="de-DE"/>
        </w:rPr>
      </w:pPr>
    </w:p>
    <w:p w14:paraId="516394B5" w14:textId="77777777" w:rsidR="007A5656" w:rsidRPr="00A21F71" w:rsidRDefault="007A5656" w:rsidP="007A5656">
      <w:pPr>
        <w:rPr>
          <w:rFonts w:eastAsia="Calibri"/>
          <w:lang w:eastAsia="de-DE" w:bidi="de-DE"/>
        </w:rPr>
      </w:pPr>
      <w:r w:rsidRPr="00A21F71">
        <w:rPr>
          <w:rFonts w:eastAsia="Calibri"/>
          <w:lang w:eastAsia="de-DE" w:bidi="de-DE"/>
        </w:rPr>
        <w:tab/>
        <w:t>Gesetzlich Zusammenwohnende werden verheirateten Personen gleichgestellt und ein gesetzlich Zusammenwohnender wird einem Ehepartner gleichgestellt.</w:t>
      </w:r>
    </w:p>
    <w:p w14:paraId="744CB3B3" w14:textId="77777777" w:rsidR="007A5656" w:rsidRPr="00A21F71" w:rsidRDefault="007A5656" w:rsidP="007A5656">
      <w:pPr>
        <w:rPr>
          <w:rFonts w:eastAsia="Calibri"/>
          <w:lang w:eastAsia="de-DE" w:bidi="de-DE"/>
        </w:rPr>
      </w:pPr>
    </w:p>
    <w:p w14:paraId="3D96D2F6" w14:textId="77777777" w:rsidR="007A5656" w:rsidRPr="00A21F71" w:rsidRDefault="007A5656" w:rsidP="007A5656">
      <w:pPr>
        <w:rPr>
          <w:rFonts w:eastAsia="Calibri"/>
          <w:lang w:eastAsia="de-DE" w:bidi="de-DE"/>
        </w:rPr>
      </w:pPr>
      <w:r w:rsidRPr="00A21F71">
        <w:rPr>
          <w:rFonts w:eastAsia="Calibri"/>
          <w:lang w:eastAsia="de-DE" w:bidi="de-DE"/>
        </w:rPr>
        <w:tab/>
        <w:t>1.3 Vorteile jeglicher Art</w:t>
      </w:r>
    </w:p>
    <w:p w14:paraId="5E2807CC" w14:textId="77777777" w:rsidR="007A5656" w:rsidRPr="00A21F71" w:rsidRDefault="007A5656" w:rsidP="007A5656">
      <w:pPr>
        <w:rPr>
          <w:rFonts w:eastAsia="Calibri"/>
          <w:lang w:eastAsia="de-DE" w:bidi="de-DE"/>
        </w:rPr>
      </w:pPr>
    </w:p>
    <w:p w14:paraId="40C0148C" w14:textId="77777777" w:rsidR="007A5656" w:rsidRPr="00A21F71" w:rsidRDefault="007A5656" w:rsidP="007A5656">
      <w:pPr>
        <w:jc w:val="both"/>
        <w:rPr>
          <w:rFonts w:eastAsia="Calibri"/>
          <w:lang w:eastAsia="de-DE" w:bidi="de-DE"/>
        </w:rPr>
      </w:pPr>
      <w:r w:rsidRPr="00A21F71">
        <w:rPr>
          <w:rFonts w:eastAsia="Calibri"/>
          <w:lang w:eastAsia="de-DE" w:bidi="de-DE"/>
        </w:rPr>
        <w:tab/>
        <w:t>A. Der Wert der Vorteile jeglicher Art unterliegt dem Berufssteuervorabzug unter Berücksichtigung folgender Unterscheidung:</w:t>
      </w:r>
    </w:p>
    <w:p w14:paraId="23E106DE" w14:textId="77777777" w:rsidR="007A5656" w:rsidRPr="00A21F71" w:rsidRDefault="007A5656" w:rsidP="007A5656">
      <w:pPr>
        <w:rPr>
          <w:rFonts w:eastAsia="Calibri"/>
          <w:lang w:eastAsia="de-DE" w:bidi="de-DE"/>
        </w:rPr>
      </w:pPr>
    </w:p>
    <w:p w14:paraId="0AD13B7B" w14:textId="77777777" w:rsidR="007A5656" w:rsidRPr="00A21F71" w:rsidRDefault="007A5656" w:rsidP="007A5656">
      <w:pPr>
        <w:jc w:val="both"/>
        <w:rPr>
          <w:rFonts w:eastAsia="Calibri"/>
          <w:lang w:eastAsia="de-DE" w:bidi="de-DE"/>
        </w:rPr>
      </w:pPr>
      <w:r w:rsidRPr="00A21F71">
        <w:rPr>
          <w:rFonts w:eastAsia="Calibri"/>
          <w:lang w:eastAsia="de-DE" w:bidi="de-DE"/>
        </w:rPr>
        <w:tab/>
        <w:t>1. Die Vorteile werden dem Empfänger gewährt oder gelten als dem Empfänger gewährt vom Arbeitgeber oder durch dessen Beteiligung: Der Wert der Vorteile wird:</w:t>
      </w:r>
    </w:p>
    <w:p w14:paraId="17E3A671" w14:textId="77777777" w:rsidR="007A5656" w:rsidRPr="00A21F71" w:rsidRDefault="007A5656" w:rsidP="007A5656">
      <w:pPr>
        <w:jc w:val="both"/>
        <w:rPr>
          <w:rFonts w:eastAsia="Calibri"/>
          <w:lang w:eastAsia="de-DE" w:bidi="de-DE"/>
        </w:rPr>
      </w:pPr>
    </w:p>
    <w:p w14:paraId="1374FED7" w14:textId="77777777" w:rsidR="007A5656" w:rsidRPr="00A21F71" w:rsidRDefault="007A5656" w:rsidP="007A5656">
      <w:pPr>
        <w:jc w:val="both"/>
        <w:rPr>
          <w:rFonts w:eastAsia="Calibri"/>
          <w:lang w:eastAsia="de-DE" w:bidi="de-DE"/>
        </w:rPr>
      </w:pPr>
      <w:r w:rsidRPr="00A21F71">
        <w:rPr>
          <w:rFonts w:eastAsia="Calibri"/>
          <w:lang w:eastAsia="de-DE" w:bidi="de-DE"/>
        </w:rPr>
        <w:tab/>
        <w:t>- zum Entlohnungsbetrag hinzugefügt, wenn diese Vorteile zum Zeitpunkt der Zahlung oder Zuerkennung der Entlohnung gewährt werden oder als gewährt gelten,</w:t>
      </w:r>
    </w:p>
    <w:p w14:paraId="0A614404" w14:textId="77777777" w:rsidR="007A5656" w:rsidRPr="00A21F71" w:rsidRDefault="007A5656" w:rsidP="007A5656">
      <w:pPr>
        <w:jc w:val="both"/>
        <w:rPr>
          <w:rFonts w:eastAsia="Calibri"/>
          <w:lang w:eastAsia="de-DE" w:bidi="de-DE"/>
        </w:rPr>
      </w:pPr>
    </w:p>
    <w:p w14:paraId="507B12FC" w14:textId="77777777" w:rsidR="007A5656" w:rsidRPr="00A21F71" w:rsidRDefault="007A5656" w:rsidP="007A5656">
      <w:pPr>
        <w:jc w:val="both"/>
        <w:rPr>
          <w:rFonts w:eastAsia="Calibri"/>
          <w:lang w:eastAsia="de-DE" w:bidi="de-DE"/>
        </w:rPr>
      </w:pPr>
      <w:r w:rsidRPr="00A21F71">
        <w:rPr>
          <w:rFonts w:eastAsia="Calibri"/>
          <w:lang w:eastAsia="de-DE" w:bidi="de-DE"/>
        </w:rPr>
        <w:tab/>
        <w:t>- andernfalls wie in Nr. 2.9 Punkt A erwähnte außerordentliche Entschädigungen behandelt.</w:t>
      </w:r>
    </w:p>
    <w:p w14:paraId="1C943CF8" w14:textId="77777777" w:rsidR="007A5656" w:rsidRPr="00A21F71" w:rsidRDefault="007A5656" w:rsidP="007A5656">
      <w:pPr>
        <w:jc w:val="both"/>
        <w:rPr>
          <w:rFonts w:eastAsia="Calibri"/>
          <w:lang w:eastAsia="de-DE" w:bidi="de-DE"/>
        </w:rPr>
      </w:pPr>
    </w:p>
    <w:p w14:paraId="7DF3AD63" w14:textId="77777777" w:rsidR="007A5656" w:rsidRPr="00A21F71" w:rsidRDefault="007A5656" w:rsidP="007A5656">
      <w:pPr>
        <w:jc w:val="both"/>
        <w:rPr>
          <w:rFonts w:eastAsia="Calibri"/>
          <w:lang w:eastAsia="de-DE" w:bidi="de-DE"/>
        </w:rPr>
      </w:pPr>
      <w:r w:rsidRPr="00A21F71">
        <w:rPr>
          <w:rFonts w:eastAsia="Calibri"/>
          <w:lang w:eastAsia="de-DE" w:bidi="de-DE"/>
        </w:rPr>
        <w:tab/>
        <w:t>2. Die Vorteile werden dem Empfänger ohne Beteiligung des Arbeitgebers gewährt oder gelten als dem Empfänger ohne Beteiligung des Arbeitgebers gewährt von einer Drittperson: Der Wert der Vorteile unterliegt gemäß den in Nr. 2.17 vorgesehenen Regeln und Sätzen dem Berufssteuervorabzug.</w:t>
      </w:r>
    </w:p>
    <w:p w14:paraId="084FB11E" w14:textId="77777777" w:rsidR="007A5656" w:rsidRPr="00A21F71" w:rsidRDefault="007A5656" w:rsidP="007A5656">
      <w:pPr>
        <w:jc w:val="both"/>
        <w:rPr>
          <w:rFonts w:eastAsia="Calibri"/>
          <w:lang w:eastAsia="de-DE" w:bidi="de-DE"/>
        </w:rPr>
      </w:pPr>
    </w:p>
    <w:p w14:paraId="744A9301" w14:textId="77777777" w:rsidR="007A5656" w:rsidRPr="00A21F71" w:rsidRDefault="007A5656" w:rsidP="007A5656">
      <w:pPr>
        <w:jc w:val="both"/>
        <w:rPr>
          <w:rFonts w:eastAsia="Calibri"/>
          <w:lang w:eastAsia="de-DE" w:bidi="de-DE"/>
        </w:rPr>
      </w:pPr>
      <w:r w:rsidRPr="00A21F71">
        <w:rPr>
          <w:rFonts w:eastAsia="Calibri"/>
          <w:lang w:eastAsia="de-DE" w:bidi="de-DE"/>
        </w:rPr>
        <w:tab/>
        <w:t>B. Für die Festlegung des Berufssteuervorabzugs werden Vorteile aus Darlehen zu Vorzugsbedingungen für das Jahr, in dem das Darlehen gewährt wird, und solange der König den für dieses Jahr zu berücksichtigenden Bezugszinssatz nicht festgelegt hat, auf der Grundlage der Differenz zwischen dem Bezugszinssatz, der für das letzte vorhergehende Jahr gilt, und dem tatsächlich gewährten Zinssatz berechnet.</w:t>
      </w:r>
    </w:p>
    <w:p w14:paraId="6BF675A9" w14:textId="77777777" w:rsidR="007A5656" w:rsidRPr="00A21F71" w:rsidRDefault="007A5656" w:rsidP="007A5656">
      <w:pPr>
        <w:jc w:val="both"/>
        <w:rPr>
          <w:rFonts w:eastAsia="Calibri"/>
          <w:lang w:eastAsia="de-DE" w:bidi="de-DE"/>
        </w:rPr>
      </w:pPr>
    </w:p>
    <w:p w14:paraId="690CCE9A" w14:textId="77777777" w:rsidR="007A5656" w:rsidRPr="00A21F71" w:rsidRDefault="007A5656" w:rsidP="007A5656">
      <w:pPr>
        <w:jc w:val="both"/>
        <w:rPr>
          <w:rFonts w:eastAsia="Calibri"/>
          <w:lang w:eastAsia="de-DE" w:bidi="de-DE"/>
        </w:rPr>
      </w:pPr>
      <w:r w:rsidRPr="00A21F71">
        <w:rPr>
          <w:rFonts w:eastAsia="Calibri"/>
          <w:lang w:eastAsia="de-DE" w:bidi="de-DE"/>
        </w:rPr>
        <w:tab/>
        <w:t>C. Beförderung Wohnsitz-Arbeitsplatz</w:t>
      </w:r>
    </w:p>
    <w:p w14:paraId="2B5ECDAD" w14:textId="77777777" w:rsidR="007A5656" w:rsidRPr="00A21F71" w:rsidRDefault="007A5656" w:rsidP="007A5656">
      <w:pPr>
        <w:jc w:val="both"/>
        <w:rPr>
          <w:rFonts w:eastAsia="Calibri"/>
          <w:lang w:eastAsia="de-DE" w:bidi="de-DE"/>
        </w:rPr>
      </w:pPr>
    </w:p>
    <w:p w14:paraId="6F05369E" w14:textId="77777777" w:rsidR="007A5656" w:rsidRPr="00A21F71" w:rsidRDefault="007A5656" w:rsidP="007A5656">
      <w:pPr>
        <w:jc w:val="both"/>
        <w:rPr>
          <w:rFonts w:eastAsia="Calibri"/>
          <w:lang w:eastAsia="de-DE" w:bidi="de-DE"/>
        </w:rPr>
      </w:pPr>
      <w:r w:rsidRPr="00A21F71">
        <w:rPr>
          <w:rFonts w:eastAsia="Calibri"/>
          <w:lang w:eastAsia="de-DE" w:bidi="de-DE"/>
        </w:rPr>
        <w:tab/>
        <w:t>Unter der Voraussetzung, dass der Arbeitnehmer seinem Arbeitgeber schriftlich bestätigt, dass er für die Veranlagung der Einkünfte des betreffenden Jahres keinen Abzug seiner tatsächlichen Werbungskosten beanspruchen wird, kann der Arbeitgeber bei der Festlegung des geschuldeten Berufssteuervorabzugs die in Artikel 38 § 1 des EStGB 92 vorgesehenen Steuerbefreiungen berücksichtigen.</w:t>
      </w:r>
    </w:p>
    <w:p w14:paraId="360D4442" w14:textId="77777777" w:rsidR="007A5656" w:rsidRPr="00A21F71" w:rsidRDefault="007A5656" w:rsidP="007A5656">
      <w:pPr>
        <w:jc w:val="both"/>
        <w:rPr>
          <w:rFonts w:eastAsia="Calibri"/>
          <w:lang w:eastAsia="de-DE" w:bidi="de-DE"/>
        </w:rPr>
      </w:pPr>
    </w:p>
    <w:p w14:paraId="3600715E" w14:textId="77777777" w:rsidR="007A5656" w:rsidRPr="00A21F71" w:rsidRDefault="007A5656" w:rsidP="007A5656">
      <w:pPr>
        <w:jc w:val="both"/>
        <w:rPr>
          <w:rFonts w:eastAsia="Calibri"/>
          <w:lang w:eastAsia="de-DE" w:bidi="de-DE"/>
        </w:rPr>
      </w:pPr>
      <w:r w:rsidRPr="00A21F71">
        <w:rPr>
          <w:rFonts w:eastAsia="Calibri"/>
          <w:lang w:eastAsia="de-DE" w:bidi="de-DE"/>
        </w:rPr>
        <w:tab/>
        <w:t>a) Der Arbeitnehmer nutzt öffentliche Verkehrsmittel.</w:t>
      </w:r>
    </w:p>
    <w:p w14:paraId="4A09F160" w14:textId="77777777" w:rsidR="007A5656" w:rsidRPr="00A21F71" w:rsidRDefault="007A5656" w:rsidP="007A5656">
      <w:pPr>
        <w:jc w:val="both"/>
        <w:rPr>
          <w:rFonts w:eastAsia="Calibri"/>
          <w:lang w:eastAsia="de-DE" w:bidi="de-DE"/>
        </w:rPr>
      </w:pPr>
    </w:p>
    <w:p w14:paraId="7A7DBBA0" w14:textId="77777777" w:rsidR="007A5656" w:rsidRPr="00A21F71" w:rsidRDefault="007A5656" w:rsidP="007A5656">
      <w:pPr>
        <w:jc w:val="both"/>
        <w:rPr>
          <w:rFonts w:eastAsia="Calibri"/>
          <w:lang w:eastAsia="de-DE" w:bidi="de-DE"/>
        </w:rPr>
      </w:pPr>
      <w:r w:rsidRPr="00A21F71">
        <w:rPr>
          <w:rFonts w:eastAsia="Calibri"/>
          <w:lang w:eastAsia="de-DE" w:bidi="de-DE"/>
        </w:rPr>
        <w:tab/>
        <w:t>Insofern der Arbeitgeber nachweisen kann, dass die Entschädigungen sich auf Zahlung oder Erstattung der Kosten der Fahrt zwischen Wohnsitz und Arbeitsplatz mit einem oder mehreren öffentlichen Verkehrsmitteln beziehen, kann der Betrag der Entschädigung von der Steuer befreit werden.</w:t>
      </w:r>
    </w:p>
    <w:p w14:paraId="4493DB77" w14:textId="77777777" w:rsidR="007A5656" w:rsidRPr="00A21F71" w:rsidRDefault="007A5656" w:rsidP="007A5656">
      <w:pPr>
        <w:jc w:val="both"/>
        <w:rPr>
          <w:rFonts w:eastAsia="Calibri"/>
          <w:lang w:eastAsia="de-DE" w:bidi="de-DE"/>
        </w:rPr>
      </w:pPr>
    </w:p>
    <w:p w14:paraId="77574542" w14:textId="77777777" w:rsidR="007A5656" w:rsidRPr="00A21F71" w:rsidRDefault="007A5656" w:rsidP="007A5656">
      <w:pPr>
        <w:jc w:val="both"/>
        <w:rPr>
          <w:rFonts w:eastAsia="Calibri"/>
          <w:lang w:eastAsia="de-DE" w:bidi="de-DE"/>
        </w:rPr>
      </w:pPr>
      <w:r w:rsidRPr="00A21F71">
        <w:rPr>
          <w:rFonts w:eastAsia="Calibri"/>
          <w:lang w:eastAsia="de-DE" w:bidi="de-DE"/>
        </w:rPr>
        <w:tab/>
        <w:t>b) Der Arbeitnehmer nutzt eine organisierte gemeinschaftliche Beförderung.</w:t>
      </w:r>
    </w:p>
    <w:p w14:paraId="6A08FDCB" w14:textId="77777777" w:rsidR="007A5656" w:rsidRPr="00A21F71" w:rsidRDefault="007A5656" w:rsidP="007A5656">
      <w:pPr>
        <w:jc w:val="both"/>
        <w:rPr>
          <w:rFonts w:eastAsia="Calibri"/>
          <w:lang w:eastAsia="de-DE" w:bidi="de-DE"/>
        </w:rPr>
      </w:pPr>
    </w:p>
    <w:p w14:paraId="75FD48A8"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Insofern der Arbeitgeber nachweisen kann, dass die Entschädigungen sich auf die Fahrt zwischen Wohnsitz und Arbeitsplatz mittels einer organisierten gemeinschaftlichen </w:t>
      </w:r>
      <w:r w:rsidRPr="00A21F71">
        <w:rPr>
          <w:rFonts w:eastAsia="Calibri"/>
          <w:lang w:eastAsia="de-DE" w:bidi="de-DE"/>
        </w:rPr>
        <w:lastRenderedPageBreak/>
        <w:t>Beförderung beziehen, kann der Betrag der Entschädigung in dem Maße von der Steuer befreit werden, wie er den Preis eines Zugabonnements erster Klasse für diese Strecke nicht übersteigt.</w:t>
      </w:r>
    </w:p>
    <w:p w14:paraId="10D95529" w14:textId="0EB53A0C" w:rsidR="007A5656" w:rsidRPr="00A21F71" w:rsidRDefault="007A5656" w:rsidP="007A5656">
      <w:pPr>
        <w:rPr>
          <w:rFonts w:eastAsia="Calibri"/>
          <w:lang w:eastAsia="de-DE" w:bidi="de-DE"/>
        </w:rPr>
      </w:pPr>
    </w:p>
    <w:p w14:paraId="7CA4D0BF" w14:textId="77777777" w:rsidR="007A5656" w:rsidRPr="00A21F71" w:rsidRDefault="007A5656" w:rsidP="007A5656">
      <w:pPr>
        <w:jc w:val="both"/>
        <w:rPr>
          <w:rFonts w:eastAsia="Calibri"/>
          <w:lang w:eastAsia="de-DE" w:bidi="de-DE"/>
        </w:rPr>
      </w:pPr>
      <w:r w:rsidRPr="00A21F71">
        <w:rPr>
          <w:rFonts w:eastAsia="Calibri"/>
          <w:lang w:eastAsia="de-DE" w:bidi="de-DE"/>
        </w:rPr>
        <w:tab/>
        <w:t>c) Andernfalls (außer bei der in Artikel 38 § 1 Absatz 1 Nr. 14 des EStGB 92 erwähnten Fahrradentschädigung) kann ein Höchstbetrag von 3</w:t>
      </w:r>
      <w:r>
        <w:rPr>
          <w:rFonts w:eastAsia="Calibri"/>
          <w:lang w:eastAsia="de-DE" w:bidi="de-DE"/>
        </w:rPr>
        <w:t>2</w:t>
      </w:r>
      <w:r w:rsidRPr="00A21F71">
        <w:rPr>
          <w:rFonts w:eastAsia="Calibri"/>
          <w:lang w:eastAsia="de-DE" w:bidi="de-DE"/>
        </w:rPr>
        <w:t>,</w:t>
      </w:r>
      <w:r>
        <w:rPr>
          <w:rFonts w:eastAsia="Calibri"/>
          <w:lang w:eastAsia="de-DE" w:bidi="de-DE"/>
        </w:rPr>
        <w:t>5</w:t>
      </w:r>
      <w:r w:rsidRPr="00A21F71">
        <w:rPr>
          <w:rFonts w:eastAsia="Calibri"/>
          <w:lang w:eastAsia="de-DE" w:bidi="de-DE"/>
        </w:rPr>
        <w:t>0 EUR pro Monat von der Steuer befreit werden.</w:t>
      </w:r>
    </w:p>
    <w:p w14:paraId="59E91AD5" w14:textId="77777777" w:rsidR="007A5656" w:rsidRPr="00A21F71" w:rsidRDefault="007A5656" w:rsidP="007A5656">
      <w:pPr>
        <w:jc w:val="both"/>
        <w:rPr>
          <w:rFonts w:eastAsia="Calibri"/>
          <w:lang w:eastAsia="de-DE" w:bidi="de-DE"/>
        </w:rPr>
      </w:pPr>
    </w:p>
    <w:p w14:paraId="5EB74980" w14:textId="77777777" w:rsidR="007A5656" w:rsidRPr="00A21F71" w:rsidRDefault="007A5656" w:rsidP="007A5656">
      <w:pPr>
        <w:jc w:val="both"/>
        <w:rPr>
          <w:rFonts w:eastAsia="Calibri"/>
          <w:lang w:eastAsia="de-DE" w:bidi="de-DE"/>
        </w:rPr>
      </w:pPr>
      <w:r w:rsidRPr="00A21F71">
        <w:rPr>
          <w:rFonts w:eastAsia="Calibri"/>
          <w:lang w:eastAsia="de-DE" w:bidi="de-DE"/>
        </w:rPr>
        <w:tab/>
        <w:t>Sind vorerwähnte Bedingungen nicht erfüllt, muss der Gesamtbetrag der Entschädigung dem Berufssteuervorabzug unterworfen werden.</w:t>
      </w:r>
    </w:p>
    <w:p w14:paraId="388B9176" w14:textId="77777777" w:rsidR="007A5656" w:rsidRPr="00A21F71" w:rsidRDefault="007A5656" w:rsidP="007A5656">
      <w:pPr>
        <w:jc w:val="both"/>
        <w:rPr>
          <w:rFonts w:eastAsia="Calibri"/>
          <w:lang w:eastAsia="de-DE" w:bidi="de-DE"/>
        </w:rPr>
      </w:pPr>
    </w:p>
    <w:p w14:paraId="5D582D2A" w14:textId="77777777" w:rsidR="007A5656" w:rsidRPr="00A21F71" w:rsidRDefault="007A5656" w:rsidP="007A5656">
      <w:pPr>
        <w:jc w:val="both"/>
        <w:rPr>
          <w:rFonts w:eastAsia="Calibri"/>
          <w:lang w:eastAsia="de-DE" w:bidi="de-DE"/>
        </w:rPr>
      </w:pPr>
      <w:r w:rsidRPr="00A21F71">
        <w:rPr>
          <w:rFonts w:eastAsia="Calibri"/>
          <w:lang w:eastAsia="de-DE" w:bidi="de-DE"/>
        </w:rPr>
        <w:tab/>
        <w:t>1.4 Trinkgelder</w:t>
      </w:r>
    </w:p>
    <w:p w14:paraId="1AC9812C" w14:textId="77777777" w:rsidR="007A5656" w:rsidRPr="00A21F71" w:rsidRDefault="007A5656" w:rsidP="007A5656">
      <w:pPr>
        <w:jc w:val="both"/>
        <w:rPr>
          <w:rFonts w:eastAsia="Calibri"/>
          <w:lang w:eastAsia="de-DE" w:bidi="de-DE"/>
        </w:rPr>
      </w:pPr>
    </w:p>
    <w:p w14:paraId="3F6D3174" w14:textId="77777777" w:rsidR="007A5656" w:rsidRPr="00A21F71" w:rsidRDefault="007A5656" w:rsidP="007A5656">
      <w:pPr>
        <w:jc w:val="both"/>
        <w:rPr>
          <w:rFonts w:eastAsia="Calibri"/>
          <w:lang w:eastAsia="de-DE" w:bidi="de-DE"/>
        </w:rPr>
      </w:pPr>
      <w:r w:rsidRPr="00A21F71">
        <w:rPr>
          <w:rFonts w:eastAsia="Calibri"/>
          <w:lang w:eastAsia="de-DE" w:bidi="de-DE"/>
        </w:rPr>
        <w:tab/>
        <w:t>Bei Arbeitnehmern, deren Entlohnung ganz oder teilweise aus Trinkgeldern besteht, versteht man für die Anwendung von Nr. 1.1 unter "Bruttoeinkünften":</w:t>
      </w:r>
    </w:p>
    <w:p w14:paraId="5B0EF905" w14:textId="77777777" w:rsidR="007A5656" w:rsidRPr="00A21F71" w:rsidRDefault="007A5656" w:rsidP="007A5656">
      <w:pPr>
        <w:jc w:val="both"/>
        <w:rPr>
          <w:rFonts w:eastAsia="Calibri"/>
          <w:lang w:eastAsia="de-DE" w:bidi="de-DE"/>
        </w:rPr>
      </w:pPr>
    </w:p>
    <w:p w14:paraId="68741266" w14:textId="77777777" w:rsidR="007A5656" w:rsidRPr="00A21F71" w:rsidRDefault="007A5656" w:rsidP="007A5656">
      <w:pPr>
        <w:jc w:val="both"/>
        <w:rPr>
          <w:rFonts w:eastAsia="Calibri"/>
          <w:lang w:eastAsia="de-DE" w:bidi="de-DE"/>
        </w:rPr>
      </w:pPr>
      <w:r w:rsidRPr="00A21F71">
        <w:rPr>
          <w:rFonts w:eastAsia="Calibri"/>
          <w:lang w:eastAsia="de-DE" w:bidi="de-DE"/>
        </w:rPr>
        <w:tab/>
        <w:t>a) wenn die Trinkgelder auf die Einnahmen berechnet werden, ob diese Trinkgelder in dem von den Kunden gezahlten Preis einbegriffen sind oder nicht: Betrag der festen Entlohnung, erhöht um den Anteil des Arbeitnehmers an den Trinkgeldern (der Gesamtbetrag dieser Trinkgelder muss mindestens dem Produkt entsprechen, dass sich aus der Multiplikation der Einnahmen, auf die Trinkgeld eingenommen worden ist, mit dem üblicherweise im Unternehmen angewandten Prozentsatz ergibt) oder um den Betrag der pauschalen Entlohnung, die als Grundlage für die Berechnung der von diesen Arbeitnehmern und ihrem Arbeitgeber in Ausführung der Rechtsvorschriften über die soziale Sicherheit zu zahlenden Beiträge gedient hat, sofern dieser Betrag höher ist,</w:t>
      </w:r>
    </w:p>
    <w:p w14:paraId="47F2CE3D" w14:textId="77777777" w:rsidR="007A5656" w:rsidRPr="00A21F71" w:rsidRDefault="007A5656" w:rsidP="007A5656">
      <w:pPr>
        <w:jc w:val="both"/>
        <w:rPr>
          <w:rFonts w:eastAsia="Calibri"/>
          <w:lang w:eastAsia="de-DE" w:bidi="de-DE"/>
        </w:rPr>
      </w:pPr>
    </w:p>
    <w:p w14:paraId="48DEC550" w14:textId="77777777" w:rsidR="007A5656" w:rsidRPr="00A21F71" w:rsidRDefault="007A5656" w:rsidP="007A5656">
      <w:pPr>
        <w:jc w:val="both"/>
        <w:rPr>
          <w:rFonts w:eastAsia="Calibri"/>
          <w:lang w:eastAsia="de-DE" w:bidi="de-DE"/>
        </w:rPr>
      </w:pPr>
      <w:r w:rsidRPr="00A21F71">
        <w:rPr>
          <w:rFonts w:eastAsia="Calibri"/>
          <w:lang w:eastAsia="de-DE" w:bidi="de-DE"/>
        </w:rPr>
        <w:tab/>
        <w:t>b) andernfalls: Betrag der pauschalen Entlohnung, die als Grundlage für die Berechnung der von diesen Arbeitnehmern und ihrem Arbeitgeber in Ausführung der Rechtsvorschriften über die soziale Sicherheit zu zahlenden Beiträge gedient hat.</w:t>
      </w:r>
    </w:p>
    <w:p w14:paraId="25446F06" w14:textId="77777777" w:rsidR="007A5656" w:rsidRPr="00A21F71" w:rsidRDefault="007A5656" w:rsidP="007A5656">
      <w:pPr>
        <w:rPr>
          <w:rFonts w:eastAsia="Calibri"/>
          <w:lang w:eastAsia="de-DE" w:bidi="de-DE"/>
        </w:rPr>
      </w:pPr>
    </w:p>
    <w:p w14:paraId="4D63EE4E" w14:textId="77777777" w:rsidR="007A5656" w:rsidRPr="00A21F71" w:rsidRDefault="007A5656" w:rsidP="007A5656">
      <w:pPr>
        <w:rPr>
          <w:rFonts w:eastAsia="Calibri"/>
          <w:lang w:eastAsia="de-DE" w:bidi="de-DE"/>
        </w:rPr>
      </w:pPr>
      <w:r w:rsidRPr="00A21F71">
        <w:rPr>
          <w:rFonts w:eastAsia="Calibri"/>
          <w:lang w:eastAsia="de-DE" w:bidi="de-DE"/>
        </w:rPr>
        <w:tab/>
        <w:t>1.5 Gleichzeitiger Bezug bestimmter Pensionen oder Renten (Nr. 4.1 bis 4.5 und 4.8)</w:t>
      </w:r>
    </w:p>
    <w:p w14:paraId="0DB9F7DC" w14:textId="77777777" w:rsidR="007A5656" w:rsidRPr="00A21F71" w:rsidRDefault="007A5656" w:rsidP="007A5656">
      <w:pPr>
        <w:rPr>
          <w:rFonts w:eastAsia="Calibri"/>
          <w:lang w:eastAsia="de-DE" w:bidi="de-DE"/>
        </w:rPr>
      </w:pPr>
    </w:p>
    <w:p w14:paraId="32667E60" w14:textId="77777777" w:rsidR="007A5656" w:rsidRPr="00A21F71" w:rsidRDefault="007A5656" w:rsidP="007A5656">
      <w:pPr>
        <w:jc w:val="both"/>
        <w:rPr>
          <w:rFonts w:eastAsia="Calibri"/>
          <w:lang w:eastAsia="de-DE" w:bidi="de-DE"/>
        </w:rPr>
      </w:pPr>
      <w:r w:rsidRPr="00A21F71">
        <w:rPr>
          <w:rFonts w:eastAsia="Calibri"/>
          <w:lang w:eastAsia="de-DE" w:bidi="de-DE"/>
        </w:rPr>
        <w:tab/>
        <w:t>A. Bei gleichzeitigem Bezug von Pensionen oder Renten, die in Ausführung eines gesetzlichen oder verordnungsrechtlichen Statuts zu Lasten eines selben Schuldners des Berufssteuervorabzugs gewährt werden, wird der geschuldete Berufssteuervorabzug pro Empfänger gemäß den Nummern 4.1 bis 4.5 auf der Grundlage des Gesamtbetrags der gleichzeitig bezogenen Pensionen oder Renten festgelegt.</w:t>
      </w:r>
    </w:p>
    <w:p w14:paraId="210AFF58" w14:textId="77777777" w:rsidR="007A5656" w:rsidRPr="00A21F71" w:rsidRDefault="007A5656" w:rsidP="007A5656">
      <w:pPr>
        <w:jc w:val="both"/>
        <w:rPr>
          <w:rFonts w:eastAsia="Calibri"/>
          <w:lang w:eastAsia="de-DE" w:bidi="de-DE"/>
        </w:rPr>
      </w:pPr>
    </w:p>
    <w:p w14:paraId="3DF29DF9" w14:textId="77777777" w:rsidR="007A5656" w:rsidRPr="00A21F71" w:rsidRDefault="007A5656" w:rsidP="007A5656">
      <w:pPr>
        <w:jc w:val="both"/>
        <w:rPr>
          <w:rFonts w:eastAsia="Calibri"/>
          <w:lang w:eastAsia="de-DE" w:bidi="de-DE"/>
        </w:rPr>
      </w:pPr>
      <w:r w:rsidRPr="00A21F71">
        <w:rPr>
          <w:rFonts w:eastAsia="Calibri"/>
          <w:lang w:eastAsia="de-DE" w:bidi="de-DE"/>
        </w:rPr>
        <w:tab/>
        <w:t>B. Bei gleichzeitigem Bezug von Pensionen oder Renten, die in Punkt A erwähnt sind und gezahlt werden:</w:t>
      </w:r>
    </w:p>
    <w:p w14:paraId="1FA32C7B" w14:textId="77777777" w:rsidR="007A5656" w:rsidRPr="00A21F71" w:rsidRDefault="007A5656" w:rsidP="007A5656">
      <w:pPr>
        <w:jc w:val="both"/>
        <w:rPr>
          <w:rFonts w:eastAsia="Calibri"/>
          <w:lang w:eastAsia="de-DE" w:bidi="de-DE"/>
        </w:rPr>
      </w:pPr>
    </w:p>
    <w:p w14:paraId="51EE280D" w14:textId="77777777" w:rsidR="007A5656" w:rsidRPr="00A21F71" w:rsidRDefault="007A5656" w:rsidP="007A5656">
      <w:pPr>
        <w:jc w:val="both"/>
        <w:rPr>
          <w:rFonts w:eastAsia="Calibri"/>
          <w:lang w:eastAsia="de-DE" w:bidi="de-DE"/>
        </w:rPr>
      </w:pPr>
      <w:r w:rsidRPr="00A21F71">
        <w:rPr>
          <w:rFonts w:eastAsia="Calibri"/>
          <w:lang w:eastAsia="de-DE" w:bidi="de-DE"/>
        </w:rPr>
        <w:tab/>
        <w:t>- entweder vom Landespensionsamt (nachstehend "Amt" genannt) und vom Pensionsdienst für den öffentlichen Sektor (nachstehend "Dienst" genannt)</w:t>
      </w:r>
    </w:p>
    <w:p w14:paraId="38834B7F" w14:textId="77777777" w:rsidR="007A5656" w:rsidRPr="00A21F71" w:rsidRDefault="007A5656" w:rsidP="007A5656">
      <w:pPr>
        <w:jc w:val="both"/>
        <w:rPr>
          <w:rFonts w:eastAsia="Calibri"/>
          <w:lang w:eastAsia="de-DE" w:bidi="de-DE"/>
        </w:rPr>
      </w:pPr>
    </w:p>
    <w:p w14:paraId="1FF419A3" w14:textId="77777777" w:rsidR="007A5656" w:rsidRPr="00A21F71" w:rsidRDefault="007A5656" w:rsidP="007A5656">
      <w:pPr>
        <w:jc w:val="both"/>
        <w:rPr>
          <w:rFonts w:eastAsia="Calibri"/>
          <w:lang w:eastAsia="de-DE" w:bidi="de-DE"/>
        </w:rPr>
      </w:pPr>
      <w:r w:rsidRPr="00A21F71">
        <w:rPr>
          <w:rFonts w:eastAsia="Calibri"/>
          <w:lang w:eastAsia="de-DE" w:bidi="de-DE"/>
        </w:rPr>
        <w:tab/>
        <w:t>- oder vom Amt und/oder vom Dienst und von einer anderen in Artikel 68 § 1 Buchstabe </w:t>
      </w:r>
      <w:r w:rsidRPr="00A21F71">
        <w:rPr>
          <w:rFonts w:eastAsia="Calibri"/>
          <w:i/>
          <w:lang w:eastAsia="de-DE" w:bidi="de-DE"/>
        </w:rPr>
        <w:t>l)</w:t>
      </w:r>
      <w:r w:rsidRPr="00A21F71">
        <w:rPr>
          <w:rFonts w:eastAsia="Calibri"/>
          <w:lang w:eastAsia="de-DE" w:bidi="de-DE"/>
        </w:rPr>
        <w:t xml:space="preserve"> des Gesetzes vom 30. März 1994 zur Festlegung sozialer Bestimmungen erwähnten Einrichtung,</w:t>
      </w:r>
    </w:p>
    <w:p w14:paraId="7288352A" w14:textId="77777777" w:rsidR="007A5656" w:rsidRPr="00A21F71" w:rsidRDefault="007A5656" w:rsidP="007A5656">
      <w:pPr>
        <w:jc w:val="both"/>
        <w:rPr>
          <w:rFonts w:eastAsia="Calibri"/>
          <w:lang w:eastAsia="de-DE" w:bidi="de-DE"/>
        </w:rPr>
      </w:pPr>
    </w:p>
    <w:p w14:paraId="6E6C79E0" w14:textId="77777777" w:rsidR="007A5656" w:rsidRPr="00A21F71" w:rsidRDefault="007A5656" w:rsidP="007A5656">
      <w:pPr>
        <w:jc w:val="both"/>
        <w:rPr>
          <w:rFonts w:eastAsia="Calibri"/>
          <w:lang w:eastAsia="de-DE" w:bidi="de-DE"/>
        </w:rPr>
      </w:pPr>
      <w:r w:rsidRPr="00A21F71">
        <w:rPr>
          <w:rFonts w:eastAsia="Calibri"/>
          <w:lang w:eastAsia="de-DE" w:bidi="de-DE"/>
        </w:rPr>
        <w:tab/>
        <w:t>wird der Prozentsatz des Berufssteuervorabzugs, der pro Empfänger auf jede Pension oder Rente einzubehalten ist, vom Amt oder vom Dienst in Anlehnung an die Bestimmungen der Artikel 68 bis 68</w:t>
      </w:r>
      <w:r w:rsidRPr="00A21F71">
        <w:rPr>
          <w:rFonts w:eastAsia="Calibri"/>
          <w:i/>
          <w:lang w:eastAsia="de-DE" w:bidi="de-DE"/>
        </w:rPr>
        <w:t>quinquies</w:t>
      </w:r>
      <w:r w:rsidRPr="00A21F71">
        <w:rPr>
          <w:rFonts w:eastAsia="Calibri"/>
          <w:lang w:eastAsia="de-DE" w:bidi="de-DE"/>
        </w:rPr>
        <w:t xml:space="preserve"> des vorerwähnten Gesetzes festgelegt und mitgeteilt.</w:t>
      </w:r>
    </w:p>
    <w:p w14:paraId="528C7CB0" w14:textId="77777777" w:rsidR="007A5656" w:rsidRPr="00A21F71" w:rsidRDefault="007A5656" w:rsidP="007A5656">
      <w:pPr>
        <w:jc w:val="both"/>
        <w:rPr>
          <w:rFonts w:eastAsia="Calibri"/>
          <w:lang w:eastAsia="de-DE" w:bidi="de-DE"/>
        </w:rPr>
      </w:pPr>
      <w:r w:rsidRPr="00A21F71">
        <w:rPr>
          <w:rFonts w:eastAsia="Calibri"/>
          <w:lang w:eastAsia="de-DE" w:bidi="de-DE"/>
        </w:rPr>
        <w:br w:type="page"/>
      </w:r>
      <w:r w:rsidRPr="00A21F71">
        <w:rPr>
          <w:rFonts w:eastAsia="Calibri"/>
          <w:lang w:eastAsia="de-DE" w:bidi="de-DE"/>
        </w:rPr>
        <w:lastRenderedPageBreak/>
        <w:tab/>
        <w:t>Bei gleichzeitigem Bezug einer oder mehrerer Pensionen oder Renten, die in Ausführung eines gesetzlichen oder verordnungsrechtlichen Statuts gewährt werden und von denen mindestens eine vom Amt oder vom Dienst gezahlt wird, und einer oder mehrerer Pensionen oder Renten, die nicht in Ausführung eines solchen Statuts gewährt werden, ist Absatz 1 ebenfalls anwendbar, was die Festlegung des Prozentsatzes des Berufssteuer</w:t>
      </w:r>
      <w:r>
        <w:rPr>
          <w:rFonts w:eastAsia="Calibri"/>
          <w:lang w:eastAsia="de-DE" w:bidi="de-DE"/>
        </w:rPr>
        <w:softHyphen/>
      </w:r>
      <w:r w:rsidRPr="00A21F71">
        <w:rPr>
          <w:rFonts w:eastAsia="Calibri"/>
          <w:lang w:eastAsia="de-DE" w:bidi="de-DE"/>
        </w:rPr>
        <w:t>vorabzugs betrifft, der pro Empfänger auf jede Pension oder Rente einzubehalten ist, die in Ausführung eines gesetzlichen oder verordnungsrechtlichen Statuts gewährt wird.</w:t>
      </w:r>
    </w:p>
    <w:p w14:paraId="72983E95" w14:textId="77777777" w:rsidR="007A5656" w:rsidRPr="00A21F71" w:rsidRDefault="007A5656" w:rsidP="007A5656">
      <w:pPr>
        <w:jc w:val="both"/>
        <w:rPr>
          <w:rFonts w:eastAsia="Calibri"/>
          <w:lang w:eastAsia="de-DE" w:bidi="de-DE"/>
        </w:rPr>
      </w:pPr>
    </w:p>
    <w:p w14:paraId="55A5C161" w14:textId="77777777" w:rsidR="007A5656" w:rsidRPr="00A21F71" w:rsidRDefault="007A5656" w:rsidP="007A5656">
      <w:pPr>
        <w:jc w:val="both"/>
        <w:rPr>
          <w:rFonts w:eastAsia="Calibri"/>
          <w:lang w:eastAsia="de-DE" w:bidi="de-DE"/>
        </w:rPr>
      </w:pPr>
      <w:r w:rsidRPr="00A21F71">
        <w:rPr>
          <w:rFonts w:eastAsia="Calibri"/>
          <w:lang w:eastAsia="de-DE" w:bidi="de-DE"/>
        </w:rPr>
        <w:tab/>
        <w:t>Der Prozentsatz wird auf der Grundlage des Betrags des Berufssteuervorabzugs berechnet, der sich ergibt, indem die Nummern 4.1 bis 4.5 angewandt werden auf die Differenz zwischen:</w:t>
      </w:r>
    </w:p>
    <w:p w14:paraId="52F88BC4" w14:textId="77777777" w:rsidR="007A5656" w:rsidRPr="00A21F71" w:rsidRDefault="007A5656" w:rsidP="007A5656">
      <w:pPr>
        <w:jc w:val="both"/>
        <w:rPr>
          <w:rFonts w:eastAsia="Calibri"/>
          <w:lang w:eastAsia="de-DE" w:bidi="de-DE"/>
        </w:rPr>
      </w:pPr>
    </w:p>
    <w:p w14:paraId="2416BCC4" w14:textId="77777777" w:rsidR="007A5656" w:rsidRPr="00A21F71" w:rsidRDefault="007A5656" w:rsidP="007A5656">
      <w:pPr>
        <w:jc w:val="both"/>
        <w:rPr>
          <w:rFonts w:eastAsia="Calibri"/>
          <w:lang w:eastAsia="de-DE" w:bidi="de-DE"/>
        </w:rPr>
      </w:pPr>
      <w:r w:rsidRPr="00A21F71">
        <w:rPr>
          <w:rFonts w:eastAsia="Calibri"/>
          <w:lang w:eastAsia="de-DE" w:bidi="de-DE"/>
        </w:rPr>
        <w:tab/>
        <w:t>- einerseits dem Gesamtbruttobetrag der gesetzlichen Pensionen und der zusätzlichen Vorteile wie in Artikel 68 § 1 Buchstabe </w:t>
      </w:r>
      <w:r w:rsidRPr="00A21F71">
        <w:rPr>
          <w:rFonts w:eastAsia="Calibri"/>
          <w:i/>
          <w:lang w:eastAsia="de-DE" w:bidi="de-DE"/>
        </w:rPr>
        <w:t>a)</w:t>
      </w:r>
      <w:r w:rsidRPr="00A21F71">
        <w:rPr>
          <w:rFonts w:eastAsia="Calibri"/>
          <w:lang w:eastAsia="de-DE" w:bidi="de-DE"/>
        </w:rPr>
        <w:t xml:space="preserve"> und </w:t>
      </w:r>
      <w:r w:rsidRPr="00A21F71">
        <w:rPr>
          <w:rFonts w:eastAsia="Calibri"/>
          <w:i/>
          <w:lang w:eastAsia="de-DE" w:bidi="de-DE"/>
        </w:rPr>
        <w:t>c)</w:t>
      </w:r>
      <w:r w:rsidRPr="00A21F71">
        <w:rPr>
          <w:rFonts w:eastAsia="Calibri"/>
          <w:lang w:eastAsia="de-DE" w:bidi="de-DE"/>
        </w:rPr>
        <w:t xml:space="preserve"> des vorerwähnten Gesetzes vom 30. März 1994 erwähnt, mit Ausnahme der in Kapitalform ausgezahlten Vorteile, so wie dieser Betrag für die Anwendung der Artikel 68 bis 68</w:t>
      </w:r>
      <w:r w:rsidRPr="00A21F71">
        <w:rPr>
          <w:rFonts w:eastAsia="Calibri"/>
          <w:i/>
          <w:lang w:eastAsia="de-DE" w:bidi="de-DE"/>
        </w:rPr>
        <w:t>quinquies</w:t>
      </w:r>
      <w:r w:rsidRPr="00A21F71">
        <w:rPr>
          <w:rFonts w:eastAsia="Calibri"/>
          <w:lang w:eastAsia="de-DE" w:bidi="de-DE"/>
        </w:rPr>
        <w:t xml:space="preserve"> desselben Gesetzes mitgeteilt wird,</w:t>
      </w:r>
    </w:p>
    <w:p w14:paraId="17546786" w14:textId="77777777" w:rsidR="007A5656" w:rsidRPr="00A21F71" w:rsidRDefault="007A5656" w:rsidP="007A5656">
      <w:pPr>
        <w:jc w:val="both"/>
        <w:rPr>
          <w:rFonts w:eastAsia="Calibri"/>
          <w:lang w:eastAsia="de-DE" w:bidi="de-DE"/>
        </w:rPr>
      </w:pPr>
    </w:p>
    <w:p w14:paraId="1C143BA0" w14:textId="77777777" w:rsidR="007A5656" w:rsidRPr="00A21F71" w:rsidRDefault="007A5656" w:rsidP="007A5656">
      <w:pPr>
        <w:jc w:val="both"/>
        <w:rPr>
          <w:rFonts w:eastAsia="Calibri"/>
          <w:lang w:eastAsia="de-DE" w:bidi="de-DE"/>
        </w:rPr>
      </w:pPr>
      <w:r w:rsidRPr="00A21F71">
        <w:rPr>
          <w:rFonts w:eastAsia="Calibri"/>
          <w:lang w:eastAsia="de-DE" w:bidi="de-DE"/>
        </w:rPr>
        <w:tab/>
        <w:t>- und andererseits den vorgeschriebenen sozialen Einbehaltungen wie in Nr. 1.1 Punkt A erwähnt oder einem Pauschalbetrag von 5 Prozent.</w:t>
      </w:r>
    </w:p>
    <w:p w14:paraId="4F402897" w14:textId="77777777" w:rsidR="007A5656" w:rsidRPr="00A21F71" w:rsidRDefault="007A5656" w:rsidP="007A5656">
      <w:pPr>
        <w:jc w:val="both"/>
        <w:rPr>
          <w:rFonts w:eastAsia="Calibri"/>
          <w:lang w:eastAsia="de-DE" w:bidi="de-DE"/>
        </w:rPr>
      </w:pPr>
    </w:p>
    <w:p w14:paraId="6B61FCEC" w14:textId="77777777" w:rsidR="007A5656" w:rsidRPr="00A21F71" w:rsidRDefault="007A5656" w:rsidP="007A5656">
      <w:pPr>
        <w:jc w:val="both"/>
        <w:rPr>
          <w:rFonts w:eastAsia="Calibri"/>
          <w:lang w:eastAsia="de-DE" w:bidi="de-DE"/>
        </w:rPr>
      </w:pPr>
      <w:r w:rsidRPr="00A21F71">
        <w:rPr>
          <w:rFonts w:eastAsia="Calibri"/>
          <w:lang w:eastAsia="de-DE" w:bidi="de-DE"/>
        </w:rPr>
        <w:tab/>
        <w:t>Dieser Prozentsatz wird auf das höhere oder niedrigere Zehntel eines Punkts auf- beziehungsweise abgerundet, je nachdem, ob die Ziffer des Hundertstels eines Punkts 5 erreicht oder nicht.</w:t>
      </w:r>
    </w:p>
    <w:p w14:paraId="2930E24C" w14:textId="77777777" w:rsidR="007A5656" w:rsidRPr="00A21F71" w:rsidRDefault="007A5656" w:rsidP="007A5656">
      <w:pPr>
        <w:jc w:val="both"/>
        <w:rPr>
          <w:rFonts w:eastAsia="Calibri"/>
          <w:lang w:eastAsia="de-DE" w:bidi="de-DE"/>
        </w:rPr>
      </w:pPr>
    </w:p>
    <w:p w14:paraId="53663B20" w14:textId="77777777" w:rsidR="007A5656" w:rsidRPr="00A21F71" w:rsidRDefault="007A5656" w:rsidP="007A5656">
      <w:pPr>
        <w:jc w:val="both"/>
        <w:rPr>
          <w:rFonts w:eastAsia="Calibri"/>
          <w:lang w:eastAsia="de-DE" w:bidi="de-DE"/>
        </w:rPr>
      </w:pPr>
      <w:r w:rsidRPr="00A21F71">
        <w:rPr>
          <w:rFonts w:eastAsia="Calibri"/>
          <w:lang w:eastAsia="de-DE" w:bidi="de-DE"/>
        </w:rPr>
        <w:tab/>
        <w:t>Bei Änderung des Prozentsatzes muss der Schuldner des Berufssteuervorabzugs die neue Lage berücksichtigen, sobald ihm die Änderung gemeldet wird.</w:t>
      </w:r>
    </w:p>
    <w:p w14:paraId="13F71956" w14:textId="77777777" w:rsidR="007A5656" w:rsidRPr="00A21F71" w:rsidRDefault="007A5656" w:rsidP="007A5656">
      <w:pPr>
        <w:jc w:val="both"/>
        <w:rPr>
          <w:rFonts w:eastAsia="Calibri"/>
          <w:lang w:eastAsia="de-DE" w:bidi="de-DE"/>
        </w:rPr>
      </w:pPr>
    </w:p>
    <w:p w14:paraId="0993C280" w14:textId="77777777" w:rsidR="007A5656" w:rsidRPr="00A21F71" w:rsidRDefault="007A5656" w:rsidP="007A5656">
      <w:pPr>
        <w:jc w:val="both"/>
        <w:rPr>
          <w:rFonts w:eastAsia="Calibri"/>
          <w:lang w:eastAsia="de-DE" w:bidi="de-DE"/>
        </w:rPr>
      </w:pPr>
      <w:r w:rsidRPr="00A21F71">
        <w:rPr>
          <w:rFonts w:eastAsia="Calibri"/>
          <w:lang w:eastAsia="de-DE" w:bidi="de-DE"/>
        </w:rPr>
        <w:tab/>
        <w:t>1.6 Pensionen, Renten und als solche geltende Zulagen, die beiden Ehepartnern zusammen gezahlt oder zuerkannt werden (Pensionen zum Haushaltssatz)</w:t>
      </w:r>
    </w:p>
    <w:p w14:paraId="04995C34" w14:textId="77777777" w:rsidR="007A5656" w:rsidRPr="00A21F71" w:rsidRDefault="007A5656" w:rsidP="007A5656">
      <w:pPr>
        <w:jc w:val="both"/>
        <w:rPr>
          <w:rFonts w:eastAsia="Calibri"/>
          <w:lang w:eastAsia="de-DE" w:bidi="de-DE"/>
        </w:rPr>
      </w:pPr>
    </w:p>
    <w:p w14:paraId="0A72F71C" w14:textId="77777777" w:rsidR="007A5656" w:rsidRPr="00A21F71" w:rsidRDefault="007A5656" w:rsidP="007A5656">
      <w:pPr>
        <w:jc w:val="both"/>
        <w:rPr>
          <w:rFonts w:eastAsia="Calibri"/>
          <w:lang w:eastAsia="de-DE" w:bidi="de-DE"/>
        </w:rPr>
      </w:pPr>
      <w:r w:rsidRPr="00A21F71">
        <w:rPr>
          <w:rFonts w:eastAsia="Calibri"/>
          <w:lang w:eastAsia="de-DE" w:bidi="de-DE"/>
        </w:rPr>
        <w:tab/>
        <w:t>Für die Berechnung des Berufssteuervorabzugs gelten Pensionen, Renten und als solche geltende Zulagen, die beiden Ehepartnern zusammen gezahlt oder zuerkannt werden, als Einkünfte des Ehepartners, aus dessen beruflicher Tätigkeit sie vollständig oder zum größten Teil stammen.</w:t>
      </w:r>
    </w:p>
    <w:p w14:paraId="777E93D5" w14:textId="77777777" w:rsidR="007A5656" w:rsidRPr="00A21F71" w:rsidRDefault="007A5656" w:rsidP="007A5656">
      <w:pPr>
        <w:jc w:val="both"/>
        <w:rPr>
          <w:rFonts w:eastAsia="Calibri"/>
          <w:lang w:eastAsia="de-DE" w:bidi="de-DE"/>
        </w:rPr>
      </w:pPr>
    </w:p>
    <w:p w14:paraId="4DFA4817" w14:textId="77777777" w:rsidR="007A5656" w:rsidRPr="00A21F71" w:rsidRDefault="007A5656" w:rsidP="007A5656">
      <w:pPr>
        <w:jc w:val="both"/>
        <w:rPr>
          <w:rFonts w:eastAsia="Calibri"/>
          <w:lang w:eastAsia="de-DE" w:bidi="de-DE"/>
        </w:rPr>
      </w:pPr>
    </w:p>
    <w:p w14:paraId="15AC81FC" w14:textId="77777777" w:rsidR="007A5656" w:rsidRPr="00A21F71" w:rsidRDefault="007A5656" w:rsidP="007A5656">
      <w:pPr>
        <w:jc w:val="center"/>
        <w:rPr>
          <w:rFonts w:eastAsia="Calibri"/>
          <w:lang w:eastAsia="de-DE" w:bidi="de-DE"/>
        </w:rPr>
      </w:pPr>
      <w:r w:rsidRPr="00A21F71">
        <w:rPr>
          <w:rFonts w:eastAsia="Calibri"/>
          <w:i/>
          <w:lang w:eastAsia="de-DE" w:bidi="de-DE"/>
        </w:rPr>
        <w:t>Abschnitt 2</w:t>
      </w:r>
      <w:r w:rsidRPr="00A21F71">
        <w:rPr>
          <w:rFonts w:eastAsia="Calibri"/>
          <w:lang w:eastAsia="de-DE" w:bidi="de-DE"/>
        </w:rPr>
        <w:t> - Ermäßigungen für Familienlasten</w:t>
      </w:r>
    </w:p>
    <w:p w14:paraId="16035C0B" w14:textId="77777777" w:rsidR="007A5656" w:rsidRPr="00A21F71" w:rsidRDefault="007A5656" w:rsidP="007A5656">
      <w:pPr>
        <w:jc w:val="both"/>
        <w:rPr>
          <w:rFonts w:eastAsia="Calibri"/>
          <w:lang w:eastAsia="de-DE" w:bidi="de-DE"/>
        </w:rPr>
      </w:pPr>
    </w:p>
    <w:p w14:paraId="19EECE04" w14:textId="77777777" w:rsidR="007A5656" w:rsidRPr="00A21F71" w:rsidRDefault="007A5656" w:rsidP="007A5656">
      <w:pPr>
        <w:jc w:val="both"/>
        <w:rPr>
          <w:rFonts w:eastAsia="Calibri"/>
          <w:lang w:eastAsia="de-DE" w:bidi="de-DE"/>
        </w:rPr>
      </w:pPr>
    </w:p>
    <w:p w14:paraId="796235E2" w14:textId="77777777" w:rsidR="007A5656" w:rsidRPr="00A21F71" w:rsidRDefault="007A5656" w:rsidP="007A5656">
      <w:pPr>
        <w:jc w:val="both"/>
        <w:rPr>
          <w:rFonts w:eastAsia="Calibri"/>
          <w:lang w:eastAsia="de-DE" w:bidi="de-DE"/>
        </w:rPr>
      </w:pPr>
      <w:r w:rsidRPr="00A21F71">
        <w:rPr>
          <w:rFonts w:eastAsia="Calibri"/>
          <w:lang w:eastAsia="de-DE" w:bidi="de-DE"/>
        </w:rPr>
        <w:tab/>
        <w:t>1.7 Familiäre Lage</w:t>
      </w:r>
    </w:p>
    <w:p w14:paraId="47BA156A" w14:textId="77777777" w:rsidR="007A5656" w:rsidRPr="00A21F71" w:rsidRDefault="007A5656" w:rsidP="007A5656">
      <w:pPr>
        <w:jc w:val="both"/>
        <w:rPr>
          <w:rFonts w:eastAsia="Calibri"/>
          <w:lang w:eastAsia="de-DE" w:bidi="de-DE"/>
        </w:rPr>
      </w:pPr>
    </w:p>
    <w:p w14:paraId="48D45627" w14:textId="77777777" w:rsidR="007A5656" w:rsidRPr="00A21F71" w:rsidRDefault="007A5656" w:rsidP="007A5656">
      <w:pPr>
        <w:jc w:val="both"/>
        <w:rPr>
          <w:rFonts w:eastAsia="Calibri"/>
          <w:lang w:eastAsia="de-DE" w:bidi="de-DE"/>
        </w:rPr>
      </w:pPr>
      <w:r w:rsidRPr="00A21F71">
        <w:rPr>
          <w:rFonts w:eastAsia="Calibri"/>
          <w:lang w:eastAsia="de-DE" w:bidi="de-DE"/>
        </w:rPr>
        <w:tab/>
        <w:t>Für die Anwendung des Berufssteuervorabzugs versteht man unter:</w:t>
      </w:r>
    </w:p>
    <w:p w14:paraId="14F9FD6C" w14:textId="77777777" w:rsidR="007A5656" w:rsidRPr="00A21F71" w:rsidRDefault="007A5656" w:rsidP="007A5656">
      <w:pPr>
        <w:jc w:val="both"/>
        <w:rPr>
          <w:rFonts w:eastAsia="Calibri"/>
          <w:lang w:eastAsia="de-DE" w:bidi="de-DE"/>
        </w:rPr>
      </w:pPr>
    </w:p>
    <w:p w14:paraId="557BD740" w14:textId="77777777" w:rsidR="007A5656" w:rsidRPr="00A21F71" w:rsidRDefault="007A5656" w:rsidP="007A5656">
      <w:pPr>
        <w:jc w:val="both"/>
        <w:rPr>
          <w:rFonts w:eastAsia="Calibri"/>
          <w:lang w:eastAsia="de-DE" w:bidi="de-DE"/>
        </w:rPr>
      </w:pPr>
      <w:r w:rsidRPr="00A21F71">
        <w:rPr>
          <w:rFonts w:eastAsia="Calibri"/>
          <w:lang w:eastAsia="de-DE" w:bidi="de-DE"/>
        </w:rPr>
        <w:tab/>
        <w:t>1. Ehepartnern: verheiratete Personen, die sich nicht in einem der in Nr. 2 Buchstabe b) erwähnten Fälle befinden,</w:t>
      </w:r>
    </w:p>
    <w:p w14:paraId="0AFD82E0" w14:textId="77777777" w:rsidR="007A5656" w:rsidRPr="00A21F71" w:rsidRDefault="007A5656" w:rsidP="007A5656">
      <w:pPr>
        <w:jc w:val="both"/>
        <w:rPr>
          <w:rFonts w:eastAsia="Calibri"/>
          <w:lang w:eastAsia="de-DE" w:bidi="de-DE"/>
        </w:rPr>
      </w:pPr>
    </w:p>
    <w:p w14:paraId="3A928FEF" w14:textId="77777777" w:rsidR="007A5656" w:rsidRPr="00A21F71" w:rsidRDefault="007A5656" w:rsidP="007A5656">
      <w:pPr>
        <w:jc w:val="both"/>
        <w:rPr>
          <w:rFonts w:eastAsia="Calibri"/>
          <w:lang w:eastAsia="de-DE" w:bidi="de-DE"/>
        </w:rPr>
      </w:pPr>
      <w:r w:rsidRPr="00A21F71">
        <w:rPr>
          <w:rFonts w:eastAsia="Calibri"/>
          <w:lang w:eastAsia="de-DE" w:bidi="de-DE"/>
        </w:rPr>
        <w:tab/>
        <w:t>2. Alleinstehenden:</w:t>
      </w:r>
    </w:p>
    <w:p w14:paraId="23A8A562" w14:textId="77777777" w:rsidR="007A5656" w:rsidRPr="00A21F71" w:rsidRDefault="007A5656" w:rsidP="007A5656">
      <w:pPr>
        <w:jc w:val="both"/>
        <w:rPr>
          <w:rFonts w:eastAsia="Calibri"/>
          <w:lang w:eastAsia="de-DE" w:bidi="de-DE"/>
        </w:rPr>
      </w:pPr>
    </w:p>
    <w:p w14:paraId="17DD671D" w14:textId="77777777" w:rsidR="007A5656" w:rsidRPr="00A21F71" w:rsidRDefault="007A5656" w:rsidP="007A5656">
      <w:pPr>
        <w:jc w:val="both"/>
        <w:rPr>
          <w:rFonts w:eastAsia="Calibri"/>
          <w:lang w:eastAsia="de-DE" w:bidi="de-DE"/>
        </w:rPr>
      </w:pPr>
      <w:r w:rsidRPr="00A21F71">
        <w:rPr>
          <w:rFonts w:eastAsia="Calibri"/>
          <w:lang w:eastAsia="de-DE" w:bidi="de-DE"/>
        </w:rPr>
        <w:tab/>
        <w:t>a) nicht verheiratete Personen,</w:t>
      </w:r>
    </w:p>
    <w:p w14:paraId="23C97417" w14:textId="77777777" w:rsidR="007A5656" w:rsidRPr="00A21F71" w:rsidRDefault="007A5656" w:rsidP="007A5656">
      <w:pPr>
        <w:jc w:val="both"/>
        <w:rPr>
          <w:rFonts w:eastAsia="Calibri"/>
          <w:lang w:eastAsia="de-DE" w:bidi="de-DE"/>
        </w:rPr>
      </w:pPr>
      <w:r w:rsidRPr="00A21F71">
        <w:rPr>
          <w:rFonts w:eastAsia="Calibri"/>
          <w:lang w:eastAsia="de-DE" w:bidi="de-DE"/>
        </w:rPr>
        <w:br w:type="page"/>
      </w:r>
      <w:r w:rsidRPr="00A21F71">
        <w:rPr>
          <w:rFonts w:eastAsia="Calibri"/>
          <w:lang w:eastAsia="de-DE" w:bidi="de-DE"/>
        </w:rPr>
        <w:lastRenderedPageBreak/>
        <w:tab/>
        <w:t>b) verheiratete Personen:</w:t>
      </w:r>
    </w:p>
    <w:p w14:paraId="027764CF" w14:textId="77777777" w:rsidR="007A5656" w:rsidRPr="00A21F71" w:rsidRDefault="007A5656" w:rsidP="007A5656">
      <w:pPr>
        <w:jc w:val="both"/>
        <w:rPr>
          <w:rFonts w:eastAsia="Calibri"/>
          <w:lang w:eastAsia="de-DE" w:bidi="de-DE"/>
        </w:rPr>
      </w:pPr>
    </w:p>
    <w:p w14:paraId="3963137F" w14:textId="77777777" w:rsidR="007A5656" w:rsidRPr="00A21F71" w:rsidRDefault="007A5656" w:rsidP="007A5656">
      <w:pPr>
        <w:jc w:val="both"/>
        <w:rPr>
          <w:rFonts w:eastAsia="Calibri"/>
          <w:lang w:eastAsia="de-DE" w:bidi="de-DE"/>
        </w:rPr>
      </w:pPr>
      <w:r w:rsidRPr="00A21F71">
        <w:rPr>
          <w:rFonts w:eastAsia="Calibri"/>
          <w:lang w:eastAsia="de-DE" w:bidi="de-DE"/>
        </w:rPr>
        <w:tab/>
        <w:t>- für das Jahr der Eheschließung oder der Erklärung über das gesetzliche Zusammenwohnen,</w:t>
      </w:r>
    </w:p>
    <w:p w14:paraId="28EFAEC1" w14:textId="77777777" w:rsidR="007A5656" w:rsidRPr="00A21F71" w:rsidRDefault="007A5656" w:rsidP="007A5656">
      <w:pPr>
        <w:jc w:val="both"/>
        <w:rPr>
          <w:rFonts w:eastAsia="Calibri"/>
          <w:lang w:eastAsia="de-DE" w:bidi="de-DE"/>
        </w:rPr>
      </w:pPr>
    </w:p>
    <w:p w14:paraId="0E0FF4C3" w14:textId="77777777" w:rsidR="007A5656" w:rsidRPr="00A21F71" w:rsidRDefault="007A5656" w:rsidP="007A5656">
      <w:pPr>
        <w:jc w:val="both"/>
        <w:rPr>
          <w:rFonts w:eastAsia="Calibri"/>
          <w:lang w:eastAsia="de-DE" w:bidi="de-DE"/>
        </w:rPr>
      </w:pPr>
      <w:r w:rsidRPr="00A21F71">
        <w:rPr>
          <w:rFonts w:eastAsia="Calibri"/>
          <w:lang w:eastAsia="de-DE" w:bidi="de-DE"/>
        </w:rPr>
        <w:tab/>
        <w:t>- für das Jahr, in dem gesetzlich Zusammenwohnende heiraten, aber nur, wenn die Erklärung über das gesetzliche Zusammenwohnen im selben Jahr abgegeben wurde; ansonsten gelten sie als verheiratet,</w:t>
      </w:r>
    </w:p>
    <w:p w14:paraId="152D9DBB" w14:textId="77777777" w:rsidR="007A5656" w:rsidRPr="00A21F71" w:rsidRDefault="007A5656" w:rsidP="007A5656">
      <w:pPr>
        <w:jc w:val="both"/>
        <w:rPr>
          <w:rFonts w:eastAsia="Calibri"/>
          <w:lang w:eastAsia="de-DE" w:bidi="de-DE"/>
        </w:rPr>
      </w:pPr>
    </w:p>
    <w:p w14:paraId="1208CDF4" w14:textId="77777777" w:rsidR="007A5656" w:rsidRPr="00A21F71" w:rsidRDefault="007A5656" w:rsidP="007A5656">
      <w:pPr>
        <w:jc w:val="both"/>
        <w:rPr>
          <w:rFonts w:eastAsia="Calibri"/>
          <w:lang w:eastAsia="de-DE" w:bidi="de-DE"/>
        </w:rPr>
      </w:pPr>
      <w:r w:rsidRPr="00A21F71">
        <w:rPr>
          <w:rFonts w:eastAsia="Calibri"/>
          <w:lang w:eastAsia="de-DE" w:bidi="de-DE"/>
        </w:rPr>
        <w:tab/>
        <w:t>- ab dem Jahr nach dem Jahr, in dem eine tatsächliche Trennung erfolgte, sofern diese Trennung im Besteuerungszeitraum nicht aufgehoben wurde,</w:t>
      </w:r>
    </w:p>
    <w:p w14:paraId="76D1B3E6" w14:textId="77777777" w:rsidR="007A5656" w:rsidRPr="00A21F71" w:rsidRDefault="007A5656" w:rsidP="007A5656">
      <w:pPr>
        <w:jc w:val="both"/>
        <w:rPr>
          <w:rFonts w:eastAsia="Calibri"/>
          <w:lang w:eastAsia="de-DE" w:bidi="de-DE"/>
        </w:rPr>
      </w:pPr>
    </w:p>
    <w:p w14:paraId="65EF697A" w14:textId="77777777" w:rsidR="007A5656" w:rsidRPr="00A21F71" w:rsidRDefault="007A5656" w:rsidP="007A5656">
      <w:pPr>
        <w:jc w:val="both"/>
        <w:rPr>
          <w:rFonts w:eastAsia="Calibri"/>
          <w:lang w:eastAsia="de-DE" w:bidi="de-DE"/>
        </w:rPr>
      </w:pPr>
      <w:r w:rsidRPr="00A21F71">
        <w:rPr>
          <w:rFonts w:eastAsia="Calibri"/>
          <w:lang w:eastAsia="de-DE" w:bidi="de-DE"/>
        </w:rPr>
        <w:tab/>
        <w:t>- für das Jahr der Auflösung der Ehe oder der Trennung von Tisch und Bett oder der Beendigung des gesetzlichen Zusammenwohnens,</w:t>
      </w:r>
    </w:p>
    <w:p w14:paraId="2CAE4EF4" w14:textId="77777777" w:rsidR="007A5656" w:rsidRPr="00A21F71" w:rsidRDefault="007A5656" w:rsidP="007A5656">
      <w:pPr>
        <w:jc w:val="both"/>
        <w:rPr>
          <w:rFonts w:eastAsia="Calibri"/>
          <w:lang w:eastAsia="de-DE" w:bidi="de-DE"/>
        </w:rPr>
      </w:pPr>
    </w:p>
    <w:p w14:paraId="3617B41E" w14:textId="77777777" w:rsidR="007A5656" w:rsidRPr="00A21F71" w:rsidRDefault="007A5656" w:rsidP="007A5656">
      <w:pPr>
        <w:jc w:val="both"/>
        <w:rPr>
          <w:rFonts w:eastAsia="Calibri"/>
          <w:lang w:eastAsia="de-DE" w:bidi="de-DE"/>
        </w:rPr>
      </w:pPr>
      <w:r w:rsidRPr="00A21F71">
        <w:rPr>
          <w:rFonts w:eastAsia="Calibri"/>
          <w:lang w:eastAsia="de-DE" w:bidi="de-DE"/>
        </w:rPr>
        <w:tab/>
        <w:t>- die Einwohner des Königreichs sind, wenn der Ehepa</w:t>
      </w:r>
      <w:r>
        <w:rPr>
          <w:rFonts w:eastAsia="Calibri"/>
          <w:lang w:eastAsia="de-DE" w:bidi="de-DE"/>
        </w:rPr>
        <w:t>rtner Berufseinkünfte über 10.49</w:t>
      </w:r>
      <w:r w:rsidRPr="00A21F71">
        <w:rPr>
          <w:rFonts w:eastAsia="Calibri"/>
          <w:lang w:eastAsia="de-DE" w:bidi="de-DE"/>
        </w:rPr>
        <w:t>0 EUR pro Jahr bezieht, die aufgrund eines Abkommens steuerfrei sind und nicht für die Berechnung der Steuer auf die anderen Haushaltseinkünfte berücksichtigt werden,</w:t>
      </w:r>
    </w:p>
    <w:p w14:paraId="4665B5B2" w14:textId="77777777" w:rsidR="007A5656" w:rsidRPr="00A21F71" w:rsidRDefault="007A5656" w:rsidP="007A5656">
      <w:pPr>
        <w:jc w:val="both"/>
        <w:rPr>
          <w:rFonts w:eastAsia="Calibri"/>
          <w:lang w:eastAsia="de-DE" w:bidi="de-DE"/>
        </w:rPr>
      </w:pPr>
    </w:p>
    <w:p w14:paraId="46F83C7D" w14:textId="77777777" w:rsidR="007A5656" w:rsidRPr="00A21F71" w:rsidRDefault="007A5656" w:rsidP="007A5656">
      <w:pPr>
        <w:jc w:val="both"/>
        <w:rPr>
          <w:rFonts w:eastAsia="Calibri"/>
          <w:lang w:eastAsia="de-DE" w:bidi="de-DE"/>
        </w:rPr>
      </w:pPr>
      <w:r w:rsidRPr="00A21F71">
        <w:rPr>
          <w:rFonts w:eastAsia="Calibri"/>
          <w:lang w:eastAsia="de-DE" w:bidi="de-DE"/>
        </w:rPr>
        <w:tab/>
        <w:t>- die Gebietsfremde sind, wenn nur einer der Ehepartner in Belgien Einkünfte bezieht, die der Steuer unterliegen, und der andere Ehepartner Berufseinkünfte belgischer Herkunft, die aufgrund eines Abkommens steuerfrei sind, oder Berufseinkünfte a</w:t>
      </w:r>
      <w:r>
        <w:rPr>
          <w:rFonts w:eastAsia="Calibri"/>
          <w:lang w:eastAsia="de-DE" w:bidi="de-DE"/>
        </w:rPr>
        <w:t>usländischer Herkunft über 10.49</w:t>
      </w:r>
      <w:r w:rsidRPr="00A21F71">
        <w:rPr>
          <w:rFonts w:eastAsia="Calibri"/>
          <w:lang w:eastAsia="de-DE" w:bidi="de-DE"/>
        </w:rPr>
        <w:t>0 EUR pro Jahr bezieht.</w:t>
      </w:r>
    </w:p>
    <w:p w14:paraId="3C35648C" w14:textId="77777777" w:rsidR="007A5656" w:rsidRPr="00A21F71" w:rsidRDefault="007A5656" w:rsidP="007A5656">
      <w:pPr>
        <w:jc w:val="both"/>
        <w:rPr>
          <w:rFonts w:eastAsia="Calibri"/>
          <w:lang w:eastAsia="de-DE" w:bidi="de-DE"/>
        </w:rPr>
      </w:pPr>
    </w:p>
    <w:p w14:paraId="675F203B" w14:textId="77777777" w:rsidR="007A5656" w:rsidRPr="00A21F71" w:rsidRDefault="007A5656" w:rsidP="007A5656">
      <w:pPr>
        <w:jc w:val="both"/>
        <w:rPr>
          <w:rFonts w:eastAsia="Calibri"/>
          <w:lang w:eastAsia="de-DE" w:bidi="de-DE"/>
        </w:rPr>
      </w:pPr>
      <w:r w:rsidRPr="00A21F71">
        <w:rPr>
          <w:rFonts w:eastAsia="Calibri"/>
          <w:lang w:eastAsia="de-DE" w:bidi="de-DE"/>
        </w:rPr>
        <w:tab/>
        <w:t>Um den Betrag der Ermäßigung des Berufssteuervorabzugs für Familienlasten festzulegen, muss die familiäre Lage des Empfängers der Einkünfte berücksichtigt werden, wie sie am 1. Januar des Jahres, in dem die Einkünfte gezahlt oder zuerkannt werden, besteht.</w:t>
      </w:r>
    </w:p>
    <w:p w14:paraId="47645B50" w14:textId="77777777" w:rsidR="007A5656" w:rsidRPr="00A21F71" w:rsidRDefault="007A5656" w:rsidP="007A5656">
      <w:pPr>
        <w:jc w:val="both"/>
        <w:rPr>
          <w:rFonts w:eastAsia="Calibri"/>
          <w:lang w:eastAsia="de-DE" w:bidi="de-DE"/>
        </w:rPr>
      </w:pPr>
    </w:p>
    <w:p w14:paraId="700FEAC5" w14:textId="77777777" w:rsidR="007A5656" w:rsidRPr="00A21F71" w:rsidRDefault="007A5656" w:rsidP="007A5656">
      <w:pPr>
        <w:jc w:val="both"/>
        <w:rPr>
          <w:rFonts w:eastAsia="Calibri"/>
          <w:lang w:eastAsia="de-DE" w:bidi="de-DE"/>
        </w:rPr>
      </w:pPr>
      <w:r w:rsidRPr="00A21F71">
        <w:rPr>
          <w:rFonts w:eastAsia="Calibri"/>
          <w:lang w:eastAsia="de-DE" w:bidi="de-DE"/>
        </w:rPr>
        <w:tab/>
        <w:t>Der Schuldner des Berufssteuervorabzugs:</w:t>
      </w:r>
    </w:p>
    <w:p w14:paraId="2DAE782F" w14:textId="77777777" w:rsidR="007A5656" w:rsidRPr="00A21F71" w:rsidRDefault="007A5656" w:rsidP="007A5656">
      <w:pPr>
        <w:jc w:val="both"/>
        <w:rPr>
          <w:rFonts w:eastAsia="Calibri"/>
          <w:lang w:eastAsia="de-DE" w:bidi="de-DE"/>
        </w:rPr>
      </w:pPr>
    </w:p>
    <w:p w14:paraId="19457D37" w14:textId="77777777" w:rsidR="007A5656" w:rsidRPr="00A21F71" w:rsidRDefault="007A5656" w:rsidP="007A5656">
      <w:pPr>
        <w:jc w:val="both"/>
        <w:rPr>
          <w:rFonts w:eastAsia="Calibri"/>
          <w:lang w:eastAsia="de-DE" w:bidi="de-DE"/>
        </w:rPr>
      </w:pPr>
      <w:r w:rsidRPr="00A21F71">
        <w:rPr>
          <w:rFonts w:eastAsia="Calibri"/>
          <w:lang w:eastAsia="de-DE" w:bidi="de-DE"/>
        </w:rPr>
        <w:tab/>
        <w:t>- kann jedoch bei Änderung der familiären Lage im Laufe des Jahres die neue Lage berücksichtigen, sobald ihm die Änderung gemeldet wird,</w:t>
      </w:r>
    </w:p>
    <w:p w14:paraId="19E16E2A" w14:textId="77777777" w:rsidR="007A5656" w:rsidRPr="00A21F71" w:rsidRDefault="007A5656" w:rsidP="007A5656">
      <w:pPr>
        <w:jc w:val="both"/>
        <w:rPr>
          <w:rFonts w:eastAsia="Calibri"/>
          <w:lang w:eastAsia="de-DE" w:bidi="de-DE"/>
        </w:rPr>
      </w:pPr>
    </w:p>
    <w:p w14:paraId="784C0A29" w14:textId="77777777" w:rsidR="007A5656" w:rsidRPr="00A21F71" w:rsidRDefault="007A5656" w:rsidP="007A5656">
      <w:pPr>
        <w:jc w:val="both"/>
        <w:rPr>
          <w:rFonts w:eastAsia="Calibri"/>
          <w:lang w:eastAsia="de-DE" w:bidi="de-DE"/>
        </w:rPr>
      </w:pPr>
      <w:r w:rsidRPr="00A21F71">
        <w:rPr>
          <w:rFonts w:eastAsia="Calibri"/>
          <w:lang w:eastAsia="de-DE" w:bidi="de-DE"/>
        </w:rPr>
        <w:tab/>
        <w:t>- muss jedoch die familiäre Lage berücksichtigen, die ihm die Generalverwaltung Steuerwesen mitteilt; dies gilt ab der ersten Zahlung oder Zuerkennung von Einkünften während des zweiten Monats nach der Mitteilung.</w:t>
      </w:r>
    </w:p>
    <w:p w14:paraId="182EBCFC" w14:textId="77777777" w:rsidR="007A5656" w:rsidRPr="00A21F71" w:rsidRDefault="007A5656" w:rsidP="007A5656">
      <w:pPr>
        <w:jc w:val="both"/>
        <w:rPr>
          <w:rFonts w:eastAsia="Calibri"/>
          <w:lang w:eastAsia="de-DE" w:bidi="de-DE"/>
        </w:rPr>
      </w:pPr>
    </w:p>
    <w:p w14:paraId="5414CD36" w14:textId="77777777" w:rsidR="007A5656" w:rsidRPr="00A21F71" w:rsidRDefault="007A5656" w:rsidP="007A5656">
      <w:pPr>
        <w:rPr>
          <w:rFonts w:eastAsia="Calibri"/>
          <w:lang w:eastAsia="de-DE" w:bidi="de-DE"/>
        </w:rPr>
      </w:pPr>
      <w:r w:rsidRPr="00A21F71">
        <w:rPr>
          <w:rFonts w:eastAsia="Calibri"/>
          <w:lang w:eastAsia="de-DE" w:bidi="de-DE"/>
        </w:rPr>
        <w:tab/>
        <w:t>1.8 Familienlasten</w:t>
      </w:r>
    </w:p>
    <w:p w14:paraId="3D117D44" w14:textId="77777777" w:rsidR="007A5656" w:rsidRPr="00A21F71" w:rsidRDefault="007A5656" w:rsidP="007A5656">
      <w:pPr>
        <w:jc w:val="both"/>
        <w:rPr>
          <w:rFonts w:eastAsia="Calibri"/>
          <w:lang w:eastAsia="de-DE" w:bidi="de-DE"/>
        </w:rPr>
      </w:pPr>
    </w:p>
    <w:p w14:paraId="62FF5BB7" w14:textId="77777777" w:rsidR="007A5656" w:rsidRPr="00A21F71" w:rsidRDefault="007A5656" w:rsidP="007A5656">
      <w:pPr>
        <w:jc w:val="both"/>
        <w:rPr>
          <w:rFonts w:eastAsia="Calibri"/>
          <w:lang w:eastAsia="de-DE" w:bidi="de-DE"/>
        </w:rPr>
      </w:pPr>
      <w:r w:rsidRPr="00A21F71">
        <w:rPr>
          <w:rFonts w:eastAsia="Calibri"/>
          <w:lang w:eastAsia="de-DE" w:bidi="de-DE"/>
        </w:rPr>
        <w:tab/>
        <w:t>A. Beziehen beide Ehepartner Berufseinkünfte, werden die Ermäßigungen für Familienlasten, mit Ausnahme der Ermäßigung für einen behinderten Ehepartner, dem von ihnen gewählten Ehepartner gewährt.</w:t>
      </w:r>
    </w:p>
    <w:p w14:paraId="796E564A" w14:textId="77777777" w:rsidR="007A5656" w:rsidRPr="00A21F71" w:rsidRDefault="007A5656" w:rsidP="007A5656">
      <w:pPr>
        <w:jc w:val="both"/>
        <w:rPr>
          <w:rFonts w:eastAsia="Calibri"/>
          <w:lang w:eastAsia="de-DE" w:bidi="de-DE"/>
        </w:rPr>
      </w:pPr>
    </w:p>
    <w:p w14:paraId="18F15AC8" w14:textId="77777777" w:rsidR="007A5656" w:rsidRPr="00A21F71" w:rsidRDefault="007A5656" w:rsidP="007A5656">
      <w:pPr>
        <w:jc w:val="both"/>
        <w:rPr>
          <w:rFonts w:eastAsia="Calibri"/>
          <w:lang w:eastAsia="de-DE" w:bidi="de-DE"/>
        </w:rPr>
      </w:pPr>
      <w:r w:rsidRPr="00A21F71">
        <w:rPr>
          <w:rFonts w:eastAsia="Calibri"/>
          <w:lang w:eastAsia="de-DE" w:bidi="de-DE"/>
        </w:rPr>
        <w:tab/>
        <w:t>Diese Wahl muss durch eine Bescheinigung mitgeteilt werden, deren Muster von der zuständigen Verwaltung des Föderalen Öffentlichen Dienstes Finanzen festgelegt wird.</w:t>
      </w:r>
    </w:p>
    <w:p w14:paraId="7E3474E8" w14:textId="77777777" w:rsidR="007A5656" w:rsidRPr="00A21F71" w:rsidRDefault="007A5656" w:rsidP="007A5656">
      <w:pPr>
        <w:jc w:val="both"/>
        <w:rPr>
          <w:rFonts w:eastAsia="Calibri"/>
          <w:lang w:eastAsia="de-DE" w:bidi="de-DE"/>
        </w:rPr>
      </w:pPr>
    </w:p>
    <w:p w14:paraId="3D75E8B5" w14:textId="77777777" w:rsidR="007A5656" w:rsidRPr="00A21F71" w:rsidRDefault="007A5656" w:rsidP="007A5656">
      <w:pPr>
        <w:jc w:val="both"/>
        <w:rPr>
          <w:rFonts w:eastAsia="Calibri"/>
          <w:lang w:eastAsia="de-DE" w:bidi="de-DE"/>
        </w:rPr>
      </w:pPr>
      <w:r w:rsidRPr="00A21F71">
        <w:rPr>
          <w:rFonts w:eastAsia="Calibri"/>
          <w:lang w:eastAsia="de-DE" w:bidi="de-DE"/>
        </w:rPr>
        <w:tab/>
        <w:t>Die Ermäßigung für den behinderten Ehepartner wird der betreffenden Person selbst gewährt.</w:t>
      </w:r>
    </w:p>
    <w:p w14:paraId="6F6D4E7A"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4F689FA5"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B. Verstirbt ein Kind zu Lasten oder eine in Artikel 136 Nr. 2 bis 4 des Einkommensteuergesetzbuches 1992 erwähnte Person zu Lasten, wird die Ermäßigung für dieses Kind oder diese Person bis zum Ende des Todesjahres gewährt.</w:t>
      </w:r>
    </w:p>
    <w:p w14:paraId="7BC16A8F" w14:textId="77777777" w:rsidR="007A5656" w:rsidRPr="00A21F71" w:rsidRDefault="007A5656" w:rsidP="007A5656">
      <w:pPr>
        <w:jc w:val="both"/>
        <w:rPr>
          <w:rFonts w:eastAsia="Calibri"/>
          <w:lang w:eastAsia="de-DE" w:bidi="de-DE"/>
        </w:rPr>
      </w:pPr>
    </w:p>
    <w:p w14:paraId="4621E630" w14:textId="77777777" w:rsidR="007A5656" w:rsidRPr="00A21F71" w:rsidRDefault="007A5656" w:rsidP="007A5656">
      <w:pPr>
        <w:jc w:val="both"/>
        <w:rPr>
          <w:rFonts w:eastAsia="Calibri"/>
          <w:lang w:eastAsia="de-DE" w:bidi="de-DE"/>
        </w:rPr>
      </w:pPr>
      <w:r w:rsidRPr="00A21F71">
        <w:rPr>
          <w:rFonts w:eastAsia="Calibri"/>
          <w:lang w:eastAsia="de-DE" w:bidi="de-DE"/>
        </w:rPr>
        <w:tab/>
        <w:t>C. In Bezug auf die in Nr. 2.2 Punkt A Buchstabe b) Nr. 6 und 7 erwähnte Ermäßigung und in Bezug auf die in Nr. 2.2 Punkt B, 2.4 Punkt B, 3.3 Punkt B, 3.5 Punkt B, 4.1 Punkt B und 4.3 Punkt B erwähnte Abweichung müssen die Gre</w:t>
      </w:r>
      <w:r>
        <w:rPr>
          <w:rFonts w:eastAsia="Calibri"/>
          <w:lang w:eastAsia="de-DE" w:bidi="de-DE"/>
        </w:rPr>
        <w:t>nzen für Berufseinkünfte von 221 EUR, 440</w:t>
      </w:r>
      <w:r w:rsidRPr="00A21F71">
        <w:rPr>
          <w:rFonts w:eastAsia="Calibri"/>
          <w:lang w:eastAsia="de-DE" w:bidi="de-DE"/>
        </w:rPr>
        <w:t> EUR</w:t>
      </w:r>
      <w:r>
        <w:rPr>
          <w:rFonts w:eastAsia="Calibri"/>
          <w:lang w:eastAsia="de-DE" w:bidi="de-DE"/>
        </w:rPr>
        <w:t xml:space="preserve"> beziehungsweise 132</w:t>
      </w:r>
      <w:r w:rsidRPr="00A21F71">
        <w:rPr>
          <w:rFonts w:eastAsia="Calibri"/>
          <w:lang w:eastAsia="de-DE" w:bidi="de-DE"/>
        </w:rPr>
        <w:t> EUR NETTO pro Monat wie folgt bestimmt werden:</w:t>
      </w:r>
    </w:p>
    <w:p w14:paraId="1D888B31" w14:textId="77777777" w:rsidR="007A5656" w:rsidRPr="00A21F71" w:rsidRDefault="007A5656" w:rsidP="007A5656">
      <w:pPr>
        <w:jc w:val="both"/>
        <w:rPr>
          <w:rFonts w:eastAsia="Calibri"/>
          <w:lang w:eastAsia="de-DE" w:bidi="de-DE"/>
        </w:rPr>
      </w:pPr>
    </w:p>
    <w:p w14:paraId="1A50A2C8" w14:textId="77777777" w:rsidR="007A5656" w:rsidRPr="00A21F71" w:rsidRDefault="007A5656" w:rsidP="007A5656">
      <w:pPr>
        <w:jc w:val="both"/>
        <w:rPr>
          <w:rFonts w:eastAsia="Calibri"/>
          <w:lang w:eastAsia="de-DE" w:bidi="de-DE"/>
        </w:rPr>
      </w:pPr>
      <w:r w:rsidRPr="00A21F71">
        <w:rPr>
          <w:rFonts w:eastAsia="Calibri"/>
          <w:lang w:eastAsia="de-DE" w:bidi="de-DE"/>
        </w:rPr>
        <w:tab/>
        <w:t>- Von den Bruttoberufseinkünften werden die in Ausführung der sozialen Rechtsvorschriften oder eines damit gleichgesetzten gesetzlichen oder verordnungsrechtlichen Statuts vorgeschriebenen Einbehaltungen oder Beiträge abgezogen.</w:t>
      </w:r>
    </w:p>
    <w:p w14:paraId="22818D2D" w14:textId="77777777" w:rsidR="007A5656" w:rsidRPr="00A21F71" w:rsidRDefault="007A5656" w:rsidP="007A5656">
      <w:pPr>
        <w:jc w:val="both"/>
        <w:rPr>
          <w:rFonts w:eastAsia="Calibri"/>
          <w:lang w:eastAsia="de-DE" w:bidi="de-DE"/>
        </w:rPr>
      </w:pPr>
    </w:p>
    <w:p w14:paraId="5F11CBDD" w14:textId="77777777" w:rsidR="007A5656" w:rsidRPr="00A21F71" w:rsidRDefault="007A5656" w:rsidP="007A5656">
      <w:pPr>
        <w:jc w:val="both"/>
        <w:rPr>
          <w:rFonts w:eastAsia="Calibri"/>
          <w:lang w:eastAsia="de-DE" w:bidi="de-DE"/>
        </w:rPr>
      </w:pPr>
      <w:r w:rsidRPr="00A21F71">
        <w:rPr>
          <w:rFonts w:eastAsia="Calibri"/>
          <w:lang w:eastAsia="de-DE" w:bidi="de-DE"/>
        </w:rPr>
        <w:tab/>
        <w:t>- Diese Differenz wird dann um 20 Prozent verringert.</w:t>
      </w:r>
    </w:p>
    <w:p w14:paraId="48C6D94B" w14:textId="77777777" w:rsidR="007A5656" w:rsidRPr="00A21F71" w:rsidRDefault="007A5656" w:rsidP="007A5656">
      <w:pPr>
        <w:jc w:val="both"/>
        <w:rPr>
          <w:rFonts w:eastAsia="Calibri"/>
          <w:lang w:eastAsia="de-DE" w:bidi="de-DE"/>
        </w:rPr>
      </w:pPr>
    </w:p>
    <w:p w14:paraId="0F8ADD54" w14:textId="77777777" w:rsidR="007A5656" w:rsidRPr="00A21F71" w:rsidRDefault="007A5656" w:rsidP="007A5656">
      <w:pPr>
        <w:jc w:val="both"/>
        <w:rPr>
          <w:rFonts w:eastAsia="Calibri"/>
          <w:lang w:eastAsia="de-DE" w:bidi="de-DE"/>
        </w:rPr>
      </w:pPr>
      <w:r w:rsidRPr="00A21F71">
        <w:rPr>
          <w:rFonts w:eastAsia="Calibri"/>
          <w:lang w:eastAsia="de-DE" w:bidi="de-DE"/>
        </w:rPr>
        <w:tab/>
        <w:t>1.9 Behinderte</w:t>
      </w:r>
    </w:p>
    <w:p w14:paraId="5D599324" w14:textId="77777777" w:rsidR="007A5656" w:rsidRPr="00A21F71" w:rsidRDefault="007A5656" w:rsidP="007A5656">
      <w:pPr>
        <w:jc w:val="both"/>
        <w:rPr>
          <w:rFonts w:eastAsia="Calibri"/>
          <w:lang w:eastAsia="de-DE" w:bidi="de-DE"/>
        </w:rPr>
      </w:pPr>
    </w:p>
    <w:p w14:paraId="506EABB0"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A. </w:t>
      </w:r>
      <w:r w:rsidRPr="00A21F71">
        <w:rPr>
          <w:rFonts w:eastAsia="Calibri"/>
          <w:u w:val="dotted"/>
          <w:lang w:eastAsia="de-DE" w:bidi="de-DE"/>
        </w:rPr>
        <w:t>Behindertes Kind</w:t>
      </w:r>
    </w:p>
    <w:p w14:paraId="40BD5016" w14:textId="77777777" w:rsidR="007A5656" w:rsidRPr="00A21F71" w:rsidRDefault="007A5656" w:rsidP="007A5656">
      <w:pPr>
        <w:jc w:val="both"/>
        <w:rPr>
          <w:rFonts w:eastAsia="Calibri"/>
          <w:lang w:eastAsia="de-DE" w:bidi="de-DE"/>
        </w:rPr>
      </w:pPr>
    </w:p>
    <w:p w14:paraId="39B62AF8" w14:textId="77777777" w:rsidR="007A5656" w:rsidRPr="00A21F71" w:rsidRDefault="007A5656" w:rsidP="007A5656">
      <w:pPr>
        <w:jc w:val="both"/>
        <w:rPr>
          <w:rFonts w:eastAsia="Calibri"/>
          <w:lang w:eastAsia="de-DE" w:bidi="de-DE"/>
        </w:rPr>
      </w:pPr>
      <w:r w:rsidRPr="00A21F71">
        <w:rPr>
          <w:rFonts w:eastAsia="Calibri"/>
          <w:lang w:eastAsia="de-DE" w:bidi="de-DE"/>
        </w:rPr>
        <w:tab/>
        <w:t>Unter "behindertem Kind" versteht man:</w:t>
      </w:r>
    </w:p>
    <w:p w14:paraId="1C9B30CE" w14:textId="77777777" w:rsidR="007A5656" w:rsidRPr="00A21F71" w:rsidRDefault="007A5656" w:rsidP="007A5656">
      <w:pPr>
        <w:jc w:val="both"/>
        <w:rPr>
          <w:rFonts w:eastAsia="Calibri"/>
          <w:lang w:eastAsia="de-DE" w:bidi="de-DE"/>
        </w:rPr>
      </w:pPr>
    </w:p>
    <w:p w14:paraId="08AC17F8" w14:textId="77777777" w:rsidR="007A5656" w:rsidRPr="00A21F71" w:rsidRDefault="007A5656" w:rsidP="007A5656">
      <w:pPr>
        <w:jc w:val="both"/>
        <w:rPr>
          <w:rFonts w:eastAsia="Calibri"/>
          <w:lang w:eastAsia="de-DE" w:bidi="de-DE"/>
        </w:rPr>
      </w:pPr>
      <w:r w:rsidRPr="00A21F71">
        <w:rPr>
          <w:rFonts w:eastAsia="Calibri"/>
          <w:lang w:eastAsia="de-DE" w:bidi="de-DE"/>
        </w:rPr>
        <w:tab/>
        <w:t>- ein Kind, das zu mindestens 66 Prozent an einer Unzulänglichkeit oder Verminderung der körperlichen oder geistigen Fähigkeiten aufgrund einer oder mehrerer Erkrankungen leidet,</w:t>
      </w:r>
    </w:p>
    <w:p w14:paraId="4D20435C" w14:textId="77777777" w:rsidR="007A5656" w:rsidRPr="00A21F71" w:rsidRDefault="007A5656" w:rsidP="007A5656">
      <w:pPr>
        <w:jc w:val="both"/>
        <w:rPr>
          <w:rFonts w:eastAsia="Calibri"/>
          <w:lang w:eastAsia="de-DE" w:bidi="de-DE"/>
        </w:rPr>
      </w:pPr>
    </w:p>
    <w:p w14:paraId="69C4F816" w14:textId="77777777" w:rsidR="007A5656" w:rsidRPr="00A21F71" w:rsidRDefault="007A5656" w:rsidP="007A5656">
      <w:pPr>
        <w:jc w:val="both"/>
        <w:rPr>
          <w:rFonts w:eastAsia="Calibri"/>
          <w:lang w:eastAsia="de-DE" w:bidi="de-DE"/>
        </w:rPr>
      </w:pPr>
      <w:r w:rsidRPr="00A21F71">
        <w:rPr>
          <w:rFonts w:eastAsia="Calibri"/>
          <w:lang w:eastAsia="de-DE" w:bidi="de-DE"/>
        </w:rPr>
        <w:tab/>
        <w:t>- ein Kind, für das ungeachtet des Alters festgestellt wird, dass aufgrund von Begebenheiten, die sich vor dem Alter von fünfundsechzig Jahren ereignet haben und die vor diesem Alter festgestellt wurden:</w:t>
      </w:r>
    </w:p>
    <w:p w14:paraId="446E51C3" w14:textId="77777777" w:rsidR="007A5656" w:rsidRPr="00A21F71" w:rsidRDefault="007A5656" w:rsidP="007A5656">
      <w:pPr>
        <w:jc w:val="both"/>
        <w:rPr>
          <w:rFonts w:eastAsia="Calibri"/>
          <w:lang w:eastAsia="de-DE" w:bidi="de-DE"/>
        </w:rPr>
      </w:pPr>
    </w:p>
    <w:p w14:paraId="574383A6" w14:textId="77777777" w:rsidR="007A5656" w:rsidRPr="00A21F71" w:rsidRDefault="007A5656" w:rsidP="007A5656">
      <w:pPr>
        <w:jc w:val="both"/>
        <w:rPr>
          <w:rFonts w:eastAsia="Calibri"/>
          <w:lang w:eastAsia="de-DE" w:bidi="de-DE"/>
        </w:rPr>
      </w:pPr>
      <w:r w:rsidRPr="00A21F71">
        <w:rPr>
          <w:rFonts w:eastAsia="Calibri"/>
          <w:lang w:eastAsia="de-DE" w:bidi="de-DE"/>
        </w:rPr>
        <w:tab/>
        <w:t>a) entweder seine körperliche oder geistige Verfassung seine Erwerbsfähigkeit auf ein Drittel oder weniger dessen, was eine nichtbehinderte Person bei der Ausübung eines Berufes auf dem allgemeinen Arbeitsmarkt verdienen kann, verringert hat,</w:t>
      </w:r>
    </w:p>
    <w:p w14:paraId="541E6107" w14:textId="77777777" w:rsidR="007A5656" w:rsidRPr="00A21F71" w:rsidRDefault="007A5656" w:rsidP="007A5656">
      <w:pPr>
        <w:jc w:val="both"/>
        <w:rPr>
          <w:rFonts w:eastAsia="Calibri"/>
          <w:lang w:eastAsia="de-DE" w:bidi="de-DE"/>
        </w:rPr>
      </w:pPr>
    </w:p>
    <w:p w14:paraId="2C7D2EB3" w14:textId="77777777" w:rsidR="007A5656" w:rsidRPr="00A21F71" w:rsidRDefault="007A5656" w:rsidP="007A5656">
      <w:pPr>
        <w:jc w:val="both"/>
        <w:rPr>
          <w:rFonts w:eastAsia="Calibri"/>
          <w:lang w:eastAsia="de-DE" w:bidi="de-DE"/>
        </w:rPr>
      </w:pPr>
      <w:r w:rsidRPr="00A21F71">
        <w:rPr>
          <w:rFonts w:eastAsia="Calibri"/>
          <w:lang w:eastAsia="de-DE" w:bidi="de-DE"/>
        </w:rPr>
        <w:tab/>
        <w:t>b) oder sein Gesundheitszustand einen vollständigen Mangel an Selbständigkeit oder eine Verminderung der Selbständigkeit um mindestens 9 Punkte hervorruft, bestimmt gemäß dem Leitfaden und der sozialmedizinischen Tabelle, die im Rahmen der Rechtsvorschriften über Behindertenbeihilfen anwendbar sind,</w:t>
      </w:r>
    </w:p>
    <w:p w14:paraId="597544BE" w14:textId="77777777" w:rsidR="007A5656" w:rsidRPr="00A21F71" w:rsidRDefault="007A5656" w:rsidP="007A5656">
      <w:pPr>
        <w:jc w:val="both"/>
        <w:rPr>
          <w:rFonts w:eastAsia="Calibri"/>
          <w:lang w:eastAsia="de-DE" w:bidi="de-DE"/>
        </w:rPr>
      </w:pPr>
    </w:p>
    <w:p w14:paraId="02DB2450" w14:textId="77777777" w:rsidR="007A5656" w:rsidRPr="00A21F71" w:rsidRDefault="007A5656" w:rsidP="007A5656">
      <w:pPr>
        <w:jc w:val="both"/>
        <w:rPr>
          <w:rFonts w:eastAsia="Calibri"/>
          <w:lang w:eastAsia="de-DE" w:bidi="de-DE"/>
        </w:rPr>
      </w:pPr>
      <w:r w:rsidRPr="00A21F71">
        <w:rPr>
          <w:rFonts w:eastAsia="Calibri"/>
          <w:lang w:eastAsia="de-DE" w:bidi="de-DE"/>
        </w:rPr>
        <w:tab/>
        <w:t>c) oder seine Erwerbsfähigkeit nach dem Zeitraum primärer Unfähigkeit, der in Artikel 87 des koordinierten Gesetzes über die Gesundheitspflege- und Entschädigungs</w:t>
      </w:r>
      <w:r w:rsidRPr="00A21F71">
        <w:rPr>
          <w:rFonts w:eastAsia="Calibri"/>
          <w:lang w:eastAsia="de-DE" w:bidi="de-DE"/>
        </w:rPr>
        <w:softHyphen/>
        <w:t>pflichtversicherung vorgesehen ist, auf ein Drittel oder weniger gesunken ist wie in Artikel 100 desselben koordinierten Gesetzes vorgesehen,</w:t>
      </w:r>
    </w:p>
    <w:p w14:paraId="2C0CCB22" w14:textId="77777777" w:rsidR="007A5656" w:rsidRPr="00A21F71" w:rsidRDefault="007A5656" w:rsidP="007A5656">
      <w:pPr>
        <w:jc w:val="both"/>
        <w:rPr>
          <w:rFonts w:eastAsia="Calibri"/>
          <w:lang w:eastAsia="de-DE" w:bidi="de-DE"/>
        </w:rPr>
      </w:pPr>
    </w:p>
    <w:p w14:paraId="01D9A86E" w14:textId="77777777" w:rsidR="007A5656" w:rsidRPr="00A21F71" w:rsidRDefault="007A5656" w:rsidP="007A5656">
      <w:pPr>
        <w:jc w:val="both"/>
        <w:rPr>
          <w:rFonts w:eastAsia="Calibri"/>
          <w:lang w:eastAsia="de-DE" w:bidi="de-DE"/>
        </w:rPr>
      </w:pPr>
      <w:r w:rsidRPr="00A21F71">
        <w:rPr>
          <w:rFonts w:eastAsia="Calibri"/>
          <w:lang w:eastAsia="de-DE" w:bidi="de-DE"/>
        </w:rPr>
        <w:tab/>
        <w:t>d) oder es zu mindestens 66 Prozent bleibend körperlich oder geistig behindert oder bleibend arbeitsunfähig ist; dies muss anhand eines Verwaltungsbeschlusses oder einer gerichtlichen Entscheidung festgestellt werden.</w:t>
      </w:r>
    </w:p>
    <w:p w14:paraId="161F3C9C"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4764EC70"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 xml:space="preserve">B. </w:t>
      </w:r>
      <w:r w:rsidRPr="00A21F71">
        <w:rPr>
          <w:rFonts w:eastAsia="Calibri"/>
          <w:u w:val="dotted"/>
          <w:lang w:eastAsia="de-DE" w:bidi="de-DE"/>
        </w:rPr>
        <w:t>Andere behinderte Person</w:t>
      </w:r>
    </w:p>
    <w:p w14:paraId="05CF6546" w14:textId="77777777" w:rsidR="007A5656" w:rsidRPr="00A21F71" w:rsidRDefault="007A5656" w:rsidP="007A5656">
      <w:pPr>
        <w:jc w:val="both"/>
        <w:rPr>
          <w:rFonts w:eastAsia="Calibri"/>
          <w:lang w:eastAsia="de-DE" w:bidi="de-DE"/>
        </w:rPr>
      </w:pPr>
    </w:p>
    <w:p w14:paraId="006CE714" w14:textId="77777777" w:rsidR="007A5656" w:rsidRPr="00A21F71" w:rsidRDefault="007A5656" w:rsidP="007A5656">
      <w:pPr>
        <w:jc w:val="both"/>
        <w:rPr>
          <w:rFonts w:eastAsia="Calibri"/>
          <w:lang w:eastAsia="de-DE" w:bidi="de-DE"/>
        </w:rPr>
      </w:pPr>
      <w:r w:rsidRPr="00A21F71">
        <w:rPr>
          <w:rFonts w:eastAsia="Calibri"/>
          <w:lang w:eastAsia="de-DE" w:bidi="de-DE"/>
        </w:rPr>
        <w:tab/>
        <w:t>Unter "anderer behinderter Person" versteht man:</w:t>
      </w:r>
    </w:p>
    <w:p w14:paraId="6CE9AA07" w14:textId="77777777" w:rsidR="007A5656" w:rsidRPr="00A21F71" w:rsidRDefault="007A5656" w:rsidP="007A5656">
      <w:pPr>
        <w:jc w:val="both"/>
        <w:rPr>
          <w:rFonts w:eastAsia="Calibri"/>
          <w:lang w:eastAsia="de-DE" w:bidi="de-DE"/>
        </w:rPr>
      </w:pPr>
    </w:p>
    <w:p w14:paraId="5B2CBE7C" w14:textId="77777777" w:rsidR="007A5656" w:rsidRPr="00A21F71" w:rsidRDefault="007A5656" w:rsidP="007A5656">
      <w:pPr>
        <w:jc w:val="both"/>
        <w:rPr>
          <w:rFonts w:eastAsia="Calibri"/>
          <w:lang w:eastAsia="de-DE" w:bidi="de-DE"/>
        </w:rPr>
      </w:pPr>
      <w:r w:rsidRPr="00A21F71">
        <w:rPr>
          <w:rFonts w:eastAsia="Calibri"/>
          <w:lang w:eastAsia="de-DE" w:bidi="de-DE"/>
        </w:rPr>
        <w:tab/>
        <w:t>- eine Person, für die vor dem 1. Januar 1989 festgestellt worden ist, dass sie zu mindestens 66 Prozent an einer Unzulänglichkeit oder Verminderung der körperlichen oder geistigen Fähigkeiten aufgrund einer oder mehrerer Erkrankungen leidet,</w:t>
      </w:r>
    </w:p>
    <w:p w14:paraId="5E948EA9" w14:textId="77777777" w:rsidR="007A5656" w:rsidRPr="00A21F71" w:rsidRDefault="007A5656" w:rsidP="007A5656">
      <w:pPr>
        <w:jc w:val="both"/>
        <w:rPr>
          <w:rFonts w:eastAsia="Calibri"/>
          <w:lang w:eastAsia="de-DE" w:bidi="de-DE"/>
        </w:rPr>
      </w:pPr>
    </w:p>
    <w:p w14:paraId="0431CDA7" w14:textId="77777777" w:rsidR="007A5656" w:rsidRPr="00A21F71" w:rsidRDefault="007A5656" w:rsidP="007A5656">
      <w:pPr>
        <w:jc w:val="both"/>
        <w:rPr>
          <w:rFonts w:eastAsia="Calibri"/>
          <w:lang w:eastAsia="de-DE" w:bidi="de-DE"/>
        </w:rPr>
      </w:pPr>
      <w:r w:rsidRPr="00A21F71">
        <w:rPr>
          <w:rFonts w:eastAsia="Calibri"/>
          <w:lang w:eastAsia="de-DE" w:bidi="de-DE"/>
        </w:rPr>
        <w:tab/>
        <w:t>- eine Person, für die ungeachtet des Alters festgestellt wird, dass aufgrund von Begebenheiten, die sich vor dem Alter von fünfundsechzig Jahren ereignet haben und die vor diesem Alter festgestellt wurden:</w:t>
      </w:r>
    </w:p>
    <w:p w14:paraId="05AB347F" w14:textId="77777777" w:rsidR="007A5656" w:rsidRPr="00A21F71" w:rsidRDefault="007A5656" w:rsidP="007A5656">
      <w:pPr>
        <w:jc w:val="both"/>
        <w:rPr>
          <w:rFonts w:eastAsia="Calibri"/>
          <w:lang w:eastAsia="de-DE" w:bidi="de-DE"/>
        </w:rPr>
      </w:pPr>
    </w:p>
    <w:p w14:paraId="1409A1CA" w14:textId="77777777" w:rsidR="007A5656" w:rsidRPr="00A21F71" w:rsidRDefault="007A5656" w:rsidP="007A5656">
      <w:pPr>
        <w:jc w:val="both"/>
        <w:rPr>
          <w:rFonts w:eastAsia="Calibri"/>
          <w:lang w:eastAsia="de-DE" w:bidi="de-DE"/>
        </w:rPr>
      </w:pPr>
      <w:r w:rsidRPr="00A21F71">
        <w:rPr>
          <w:rFonts w:eastAsia="Calibri"/>
          <w:lang w:eastAsia="de-DE" w:bidi="de-DE"/>
        </w:rPr>
        <w:tab/>
        <w:t>a) entweder ihre körperliche oder geistige Verfassung ihre Erwerbsfähigkeit auf ein Drittel oder weniger dessen, was eine nichtbehinderte Person bei der Ausübung eines Berufes auf dem allgemeinen Arbeitsmarkt verdienen kann, verringert hat,</w:t>
      </w:r>
    </w:p>
    <w:p w14:paraId="509077F5" w14:textId="77777777" w:rsidR="007A5656" w:rsidRPr="00A21F71" w:rsidRDefault="007A5656" w:rsidP="007A5656">
      <w:pPr>
        <w:jc w:val="both"/>
        <w:rPr>
          <w:rFonts w:eastAsia="Calibri"/>
          <w:lang w:eastAsia="de-DE" w:bidi="de-DE"/>
        </w:rPr>
      </w:pPr>
    </w:p>
    <w:p w14:paraId="5156C6F9" w14:textId="77777777" w:rsidR="007A5656" w:rsidRPr="00A21F71" w:rsidRDefault="007A5656" w:rsidP="007A5656">
      <w:pPr>
        <w:jc w:val="both"/>
        <w:rPr>
          <w:rFonts w:eastAsia="Calibri"/>
          <w:lang w:eastAsia="de-DE" w:bidi="de-DE"/>
        </w:rPr>
      </w:pPr>
      <w:r w:rsidRPr="00A21F71">
        <w:rPr>
          <w:rFonts w:eastAsia="Calibri"/>
          <w:lang w:eastAsia="de-DE" w:bidi="de-DE"/>
        </w:rPr>
        <w:tab/>
        <w:t>b) oder ihr Gesundheitszustand einen vollständigen Mangel an Selbständigkeit oder eine Verminderung der Selbständigkeit um mindestens 9 Punkte hervorruft, bestimmt gemäß dem Leitfaden und der sozialmedizinischen Tabelle, die im Rahmen der Rechtsvorschriften über Behindertenbeihilfen anwendbar sind,</w:t>
      </w:r>
    </w:p>
    <w:p w14:paraId="091C178D" w14:textId="77777777" w:rsidR="007A5656" w:rsidRPr="00A21F71" w:rsidRDefault="007A5656" w:rsidP="007A5656">
      <w:pPr>
        <w:jc w:val="both"/>
        <w:rPr>
          <w:rFonts w:eastAsia="Calibri"/>
          <w:lang w:eastAsia="de-DE" w:bidi="de-DE"/>
        </w:rPr>
      </w:pPr>
    </w:p>
    <w:p w14:paraId="15C02E94"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c) oder </w:t>
      </w:r>
      <w:r>
        <w:rPr>
          <w:rFonts w:eastAsia="Calibri"/>
          <w:lang w:eastAsia="de-DE" w:bidi="de-DE"/>
        </w:rPr>
        <w:t>ihre</w:t>
      </w:r>
      <w:r w:rsidRPr="00A21F71">
        <w:rPr>
          <w:rFonts w:eastAsia="Calibri"/>
          <w:lang w:eastAsia="de-DE" w:bidi="de-DE"/>
        </w:rPr>
        <w:t xml:space="preserve"> Erwerbsfähigkeit nach dem Zeitraum primärer Unfähigkeit, der in Artikel 87 des koordinierten Gesetzes über die Gesundheitspflege- und Entschädigungs</w:t>
      </w:r>
      <w:r w:rsidRPr="00A21F71">
        <w:rPr>
          <w:rFonts w:eastAsia="Calibri"/>
          <w:lang w:eastAsia="de-DE" w:bidi="de-DE"/>
        </w:rPr>
        <w:softHyphen/>
        <w:t>pflichtversicherung vorgesehen ist, auf ein Drittel oder weniger gesunken ist wie in Artikel 100 desselben koordinierten Gesetzes vorgesehen,</w:t>
      </w:r>
    </w:p>
    <w:p w14:paraId="08C799A5" w14:textId="77777777" w:rsidR="007A5656" w:rsidRPr="00A21F71" w:rsidRDefault="007A5656" w:rsidP="007A5656">
      <w:pPr>
        <w:jc w:val="both"/>
        <w:rPr>
          <w:rFonts w:eastAsia="Calibri"/>
          <w:lang w:eastAsia="de-DE" w:bidi="de-DE"/>
        </w:rPr>
      </w:pPr>
    </w:p>
    <w:p w14:paraId="6C5DF30E" w14:textId="77777777" w:rsidR="007A5656" w:rsidRPr="00A21F71" w:rsidRDefault="007A5656" w:rsidP="007A5656">
      <w:pPr>
        <w:jc w:val="both"/>
        <w:rPr>
          <w:rFonts w:eastAsia="Calibri"/>
          <w:lang w:eastAsia="de-DE" w:bidi="de-DE"/>
        </w:rPr>
      </w:pPr>
      <w:r w:rsidRPr="00A21F71">
        <w:rPr>
          <w:rFonts w:eastAsia="Calibri"/>
          <w:lang w:eastAsia="de-DE" w:bidi="de-DE"/>
        </w:rPr>
        <w:tab/>
        <w:t>d) oder sie zu mindestens 66 Prozent bleibend körperlich oder geistig behindert oder bleibend arbeitsunfähig ist; dies muss anhand eines Verwaltungsbeschlusses oder einer gerichtlichen Entscheidung festgestellt werden.</w:t>
      </w:r>
    </w:p>
    <w:p w14:paraId="6B424F0D" w14:textId="77777777" w:rsidR="007A5656" w:rsidRPr="00A21F71" w:rsidRDefault="007A5656" w:rsidP="007A5656">
      <w:pPr>
        <w:jc w:val="both"/>
        <w:rPr>
          <w:rFonts w:eastAsia="Calibri"/>
          <w:lang w:eastAsia="de-DE" w:bidi="de-DE"/>
        </w:rPr>
      </w:pPr>
    </w:p>
    <w:p w14:paraId="69DFA65F" w14:textId="77777777" w:rsidR="007A5656" w:rsidRPr="00A21F71" w:rsidRDefault="007A5656" w:rsidP="007A5656">
      <w:pPr>
        <w:jc w:val="both"/>
        <w:rPr>
          <w:rFonts w:eastAsia="Calibri"/>
          <w:lang w:eastAsia="de-DE" w:bidi="de-DE"/>
        </w:rPr>
      </w:pPr>
    </w:p>
    <w:p w14:paraId="43FE8612" w14:textId="77777777" w:rsidR="007A5656" w:rsidRPr="00A21F71" w:rsidRDefault="007A5656" w:rsidP="007A5656">
      <w:pPr>
        <w:jc w:val="center"/>
        <w:rPr>
          <w:rFonts w:eastAsia="Calibri"/>
          <w:lang w:eastAsia="de-DE" w:bidi="de-DE"/>
        </w:rPr>
      </w:pPr>
      <w:r w:rsidRPr="00A21F71">
        <w:rPr>
          <w:rFonts w:eastAsia="Calibri"/>
          <w:i/>
          <w:lang w:eastAsia="de-DE" w:bidi="de-DE"/>
        </w:rPr>
        <w:t>Abschnitt 3</w:t>
      </w:r>
      <w:r w:rsidRPr="00A21F71">
        <w:rPr>
          <w:rFonts w:eastAsia="Calibri"/>
          <w:lang w:eastAsia="de-DE" w:bidi="de-DE"/>
        </w:rPr>
        <w:t> - Abrundung</w:t>
      </w:r>
    </w:p>
    <w:p w14:paraId="166A282C" w14:textId="77777777" w:rsidR="007A5656" w:rsidRPr="00A21F71" w:rsidRDefault="007A5656" w:rsidP="007A5656">
      <w:pPr>
        <w:rPr>
          <w:rFonts w:eastAsia="Calibri"/>
          <w:lang w:eastAsia="de-DE" w:bidi="de-DE"/>
        </w:rPr>
      </w:pPr>
    </w:p>
    <w:p w14:paraId="0193EC57" w14:textId="77777777" w:rsidR="007A5656" w:rsidRPr="00A21F71" w:rsidRDefault="007A5656" w:rsidP="007A5656">
      <w:pPr>
        <w:rPr>
          <w:rFonts w:eastAsia="Calibri"/>
          <w:lang w:eastAsia="de-DE" w:bidi="de-DE"/>
        </w:rPr>
      </w:pPr>
    </w:p>
    <w:p w14:paraId="22DE7C9B" w14:textId="77777777" w:rsidR="007A5656" w:rsidRPr="00A21F71" w:rsidRDefault="007A5656" w:rsidP="007A5656">
      <w:pPr>
        <w:jc w:val="both"/>
        <w:rPr>
          <w:rFonts w:eastAsia="Calibri"/>
          <w:lang w:eastAsia="de-DE" w:bidi="de-DE"/>
        </w:rPr>
      </w:pPr>
      <w:r w:rsidRPr="00A21F71">
        <w:rPr>
          <w:rFonts w:eastAsia="Calibri"/>
          <w:lang w:eastAsia="de-DE" w:bidi="de-DE"/>
        </w:rPr>
        <w:tab/>
        <w:t>1.10 Der Betrag des Berufssteuervorabzugs wird stets auf den unteren Cent abgerundet.</w:t>
      </w:r>
    </w:p>
    <w:p w14:paraId="4C5F0639" w14:textId="77777777" w:rsidR="007A5656" w:rsidRPr="00A21F71" w:rsidRDefault="007A5656" w:rsidP="007A5656">
      <w:pPr>
        <w:jc w:val="both"/>
        <w:rPr>
          <w:rFonts w:eastAsia="Calibri"/>
          <w:lang w:eastAsia="de-DE" w:bidi="de-DE"/>
        </w:rPr>
      </w:pPr>
    </w:p>
    <w:p w14:paraId="747E9BB9" w14:textId="77777777" w:rsidR="007A5656" w:rsidRPr="00A21F71" w:rsidRDefault="007A5656" w:rsidP="007A5656">
      <w:pPr>
        <w:jc w:val="both"/>
        <w:rPr>
          <w:rFonts w:eastAsia="Calibri"/>
          <w:lang w:eastAsia="de-DE" w:bidi="de-DE"/>
        </w:rPr>
      </w:pPr>
    </w:p>
    <w:p w14:paraId="3828F6A7" w14:textId="77777777" w:rsidR="007A5656" w:rsidRPr="00A21F71" w:rsidRDefault="007A5656" w:rsidP="007A5656">
      <w:pPr>
        <w:jc w:val="center"/>
        <w:rPr>
          <w:rFonts w:eastAsia="Calibri"/>
          <w:i/>
          <w:lang w:eastAsia="de-DE" w:bidi="de-DE"/>
        </w:rPr>
      </w:pPr>
      <w:r w:rsidRPr="00A21F71">
        <w:rPr>
          <w:rFonts w:eastAsia="Calibri"/>
          <w:lang w:eastAsia="de-DE" w:bidi="de-DE"/>
        </w:rPr>
        <w:t xml:space="preserve">2. KAPITEL 2 - </w:t>
      </w:r>
      <w:r w:rsidRPr="00A21F71">
        <w:rPr>
          <w:rFonts w:eastAsia="Calibri"/>
          <w:i/>
          <w:lang w:eastAsia="de-DE" w:bidi="de-DE"/>
        </w:rPr>
        <w:t>Entlohnungen von Arbeitnehmern und damit gleichgesetzte Einkünfte</w:t>
      </w:r>
    </w:p>
    <w:p w14:paraId="168B349F" w14:textId="77777777" w:rsidR="007A5656" w:rsidRPr="00A21F71" w:rsidRDefault="007A5656" w:rsidP="007A5656">
      <w:pPr>
        <w:jc w:val="both"/>
        <w:rPr>
          <w:rFonts w:eastAsia="Calibri"/>
          <w:lang w:eastAsia="de-DE" w:bidi="de-DE"/>
        </w:rPr>
      </w:pPr>
    </w:p>
    <w:p w14:paraId="756E63F7" w14:textId="77777777" w:rsidR="007A5656" w:rsidRPr="00A21F71" w:rsidRDefault="007A5656" w:rsidP="007A5656">
      <w:pPr>
        <w:jc w:val="both"/>
        <w:rPr>
          <w:rFonts w:eastAsia="Calibri"/>
          <w:lang w:eastAsia="de-DE" w:bidi="de-DE"/>
        </w:rPr>
      </w:pPr>
    </w:p>
    <w:p w14:paraId="26FE0161" w14:textId="77777777" w:rsidR="007A5656" w:rsidRPr="00A21F71" w:rsidRDefault="007A5656" w:rsidP="007A5656">
      <w:pPr>
        <w:jc w:val="both"/>
        <w:rPr>
          <w:rFonts w:eastAsia="Calibri"/>
          <w:lang w:eastAsia="de-DE" w:bidi="de-DE"/>
        </w:rPr>
      </w:pPr>
      <w:r w:rsidRPr="00A21F71">
        <w:rPr>
          <w:rFonts w:eastAsia="Calibri"/>
          <w:lang w:eastAsia="de-DE" w:bidi="de-DE"/>
        </w:rPr>
        <w:tab/>
        <w:t>2.1 Vorliegendes Kapitel ist anwendbar auf:</w:t>
      </w:r>
    </w:p>
    <w:p w14:paraId="7987A972" w14:textId="77777777" w:rsidR="007A5656" w:rsidRPr="00A21F71" w:rsidRDefault="007A5656" w:rsidP="007A5656">
      <w:pPr>
        <w:jc w:val="both"/>
        <w:rPr>
          <w:rFonts w:eastAsia="Calibri"/>
          <w:lang w:eastAsia="de-DE" w:bidi="de-DE"/>
        </w:rPr>
      </w:pPr>
    </w:p>
    <w:p w14:paraId="647C77FE" w14:textId="77777777" w:rsidR="007A5656" w:rsidRPr="00A21F71" w:rsidRDefault="007A5656" w:rsidP="007A5656">
      <w:pPr>
        <w:jc w:val="both"/>
        <w:rPr>
          <w:rFonts w:eastAsia="Calibri"/>
          <w:lang w:eastAsia="de-DE" w:bidi="de-DE"/>
        </w:rPr>
      </w:pPr>
      <w:r w:rsidRPr="00A21F71">
        <w:rPr>
          <w:rFonts w:eastAsia="Calibri"/>
          <w:lang w:eastAsia="de-DE" w:bidi="de-DE"/>
        </w:rPr>
        <w:tab/>
        <w:t>A. Einwohner des Königreichs,</w:t>
      </w:r>
    </w:p>
    <w:p w14:paraId="16143599" w14:textId="77777777" w:rsidR="007A5656" w:rsidRPr="00A21F71" w:rsidRDefault="007A5656" w:rsidP="007A5656">
      <w:pPr>
        <w:jc w:val="both"/>
        <w:rPr>
          <w:rFonts w:eastAsia="Calibri"/>
          <w:lang w:eastAsia="de-DE" w:bidi="de-DE"/>
        </w:rPr>
      </w:pPr>
    </w:p>
    <w:p w14:paraId="2058FEC2" w14:textId="77777777" w:rsidR="007A5656" w:rsidRPr="00A21F71" w:rsidRDefault="007A5656" w:rsidP="007A5656">
      <w:pPr>
        <w:jc w:val="both"/>
        <w:rPr>
          <w:rFonts w:eastAsia="Calibri"/>
          <w:lang w:eastAsia="de-DE" w:bidi="de-DE"/>
        </w:rPr>
      </w:pPr>
      <w:r w:rsidRPr="00A21F71">
        <w:rPr>
          <w:rFonts w:eastAsia="Calibri"/>
          <w:lang w:eastAsia="de-DE" w:bidi="de-DE"/>
        </w:rPr>
        <w:tab/>
        <w:t>B. Gebietsfremde, die Entlohnungen beziehen:</w:t>
      </w:r>
    </w:p>
    <w:p w14:paraId="11321998" w14:textId="77777777" w:rsidR="007A5656" w:rsidRPr="00A21F71" w:rsidRDefault="007A5656" w:rsidP="007A5656">
      <w:pPr>
        <w:jc w:val="both"/>
        <w:rPr>
          <w:rFonts w:eastAsia="Calibri"/>
          <w:lang w:eastAsia="de-DE" w:bidi="de-DE"/>
        </w:rPr>
      </w:pPr>
    </w:p>
    <w:p w14:paraId="4A0C89C6" w14:textId="77777777" w:rsidR="007A5656" w:rsidRPr="00A21F71" w:rsidRDefault="007A5656" w:rsidP="007A5656">
      <w:pPr>
        <w:jc w:val="both"/>
        <w:rPr>
          <w:rFonts w:eastAsia="Calibri"/>
          <w:lang w:eastAsia="de-DE" w:bidi="de-DE"/>
        </w:rPr>
      </w:pPr>
      <w:r w:rsidRPr="00A21F71">
        <w:rPr>
          <w:rFonts w:eastAsia="Calibri"/>
          <w:lang w:eastAsia="de-DE" w:bidi="de-DE"/>
        </w:rPr>
        <w:tab/>
        <w:t>- für Arbeitsleistungen, die sie in Belgien erbringen,</w:t>
      </w:r>
    </w:p>
    <w:p w14:paraId="5E0E5B8D"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67DB1C44"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 xml:space="preserve">- in Ausführung eines oder mehrerer Arbeitsverträge, die </w:t>
      </w:r>
      <w:r w:rsidRPr="00A21F71">
        <w:rPr>
          <w:rFonts w:eastAsia="Calibri"/>
          <w:b/>
          <w:i/>
          <w:lang w:eastAsia="de-DE" w:bidi="de-DE"/>
        </w:rPr>
        <w:t>das ganze Kalenderjahr</w:t>
      </w:r>
      <w:r w:rsidRPr="00A21F71">
        <w:rPr>
          <w:rFonts w:eastAsia="Calibri"/>
          <w:lang w:eastAsia="de-DE" w:bidi="de-DE"/>
        </w:rPr>
        <w:t xml:space="preserve"> abdecken,</w:t>
      </w:r>
    </w:p>
    <w:p w14:paraId="5BD85A0F" w14:textId="77777777" w:rsidR="007A5656" w:rsidRPr="00A21F71" w:rsidRDefault="007A5656" w:rsidP="007A5656">
      <w:pPr>
        <w:jc w:val="both"/>
        <w:rPr>
          <w:rFonts w:eastAsia="Calibri"/>
          <w:lang w:eastAsia="de-DE" w:bidi="de-DE"/>
        </w:rPr>
      </w:pPr>
    </w:p>
    <w:p w14:paraId="1603C6DF"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 und insofern die Arbeitsleistungen </w:t>
      </w:r>
      <w:r w:rsidRPr="00A21F71">
        <w:rPr>
          <w:rFonts w:eastAsia="Calibri"/>
          <w:b/>
          <w:i/>
          <w:lang w:eastAsia="de-DE" w:bidi="de-DE"/>
        </w:rPr>
        <w:t>mindestens 75 Prozent der gesetzlich vorgesehenen Arbeitszeit pro Vertrag</w:t>
      </w:r>
      <w:r w:rsidRPr="00A21F71">
        <w:rPr>
          <w:rFonts w:eastAsia="Calibri"/>
          <w:lang w:eastAsia="de-DE" w:bidi="de-DE"/>
        </w:rPr>
        <w:t xml:space="preserve"> betragen.</w:t>
      </w:r>
    </w:p>
    <w:p w14:paraId="29F10F30" w14:textId="77777777" w:rsidR="007A5656" w:rsidRPr="00A21F71" w:rsidRDefault="007A5656" w:rsidP="007A5656">
      <w:pPr>
        <w:jc w:val="both"/>
        <w:rPr>
          <w:rFonts w:eastAsia="Calibri"/>
          <w:lang w:eastAsia="de-DE" w:bidi="de-DE"/>
        </w:rPr>
      </w:pPr>
    </w:p>
    <w:p w14:paraId="1FE0646E" w14:textId="77777777" w:rsidR="007A5656" w:rsidRPr="00A21F71" w:rsidRDefault="007A5656" w:rsidP="007A5656">
      <w:pPr>
        <w:jc w:val="both"/>
        <w:rPr>
          <w:rFonts w:eastAsia="Calibri"/>
          <w:lang w:eastAsia="de-DE" w:bidi="de-DE"/>
        </w:rPr>
      </w:pPr>
    </w:p>
    <w:p w14:paraId="7E798814" w14:textId="77777777" w:rsidR="007A5656" w:rsidRPr="00A21F71" w:rsidRDefault="007A5656" w:rsidP="007A5656">
      <w:pPr>
        <w:jc w:val="center"/>
        <w:rPr>
          <w:rFonts w:eastAsia="Calibri"/>
          <w:lang w:eastAsia="de-DE" w:bidi="de-DE"/>
        </w:rPr>
      </w:pPr>
      <w:r w:rsidRPr="00A21F71">
        <w:rPr>
          <w:rFonts w:eastAsia="Calibri"/>
          <w:i/>
          <w:lang w:eastAsia="de-DE" w:bidi="de-DE"/>
        </w:rPr>
        <w:t>Abschnitt 1</w:t>
      </w:r>
      <w:r w:rsidRPr="00A21F71">
        <w:rPr>
          <w:rFonts w:eastAsia="Calibri"/>
          <w:lang w:eastAsia="de-DE" w:bidi="de-DE"/>
        </w:rPr>
        <w:t> - Monatliche Bruttoentlohnungen bis zu 7.500 EUR</w:t>
      </w:r>
    </w:p>
    <w:p w14:paraId="17666958" w14:textId="77777777" w:rsidR="007A5656" w:rsidRPr="00A21F71" w:rsidRDefault="007A5656" w:rsidP="007A5656">
      <w:pPr>
        <w:jc w:val="both"/>
        <w:rPr>
          <w:rFonts w:eastAsia="Calibri"/>
          <w:lang w:eastAsia="de-DE" w:bidi="de-DE"/>
        </w:rPr>
      </w:pPr>
    </w:p>
    <w:p w14:paraId="4EE41508" w14:textId="77777777" w:rsidR="007A5656" w:rsidRPr="00A21F71" w:rsidRDefault="007A5656" w:rsidP="007A5656">
      <w:pPr>
        <w:jc w:val="both"/>
        <w:rPr>
          <w:rFonts w:eastAsia="Calibri"/>
          <w:lang w:eastAsia="de-DE" w:bidi="de-DE"/>
        </w:rPr>
      </w:pPr>
    </w:p>
    <w:p w14:paraId="1F07B95D" w14:textId="77777777" w:rsidR="007A5656" w:rsidRPr="00A21F71" w:rsidRDefault="007A5656" w:rsidP="007A5656">
      <w:pPr>
        <w:jc w:val="both"/>
        <w:rPr>
          <w:rFonts w:eastAsia="Calibri"/>
          <w:lang w:eastAsia="de-DE" w:bidi="de-DE"/>
        </w:rPr>
      </w:pPr>
      <w:r w:rsidRPr="00A21F71">
        <w:rPr>
          <w:rFonts w:eastAsia="Calibri"/>
          <w:lang w:eastAsia="de-DE" w:bidi="de-DE"/>
        </w:rPr>
        <w:tab/>
        <w:t>2.2 Der Empfänger der Einkünfte ist Alleinstehender ODER der Ehepartner des Empfängers der Einkünfte bezieht ebenfalls Berufseinkünfte (Tabelle I)</w:t>
      </w:r>
    </w:p>
    <w:p w14:paraId="065ED604" w14:textId="77777777" w:rsidR="007A5656" w:rsidRPr="00A21F71" w:rsidRDefault="007A5656" w:rsidP="007A5656">
      <w:pPr>
        <w:jc w:val="both"/>
        <w:rPr>
          <w:rFonts w:eastAsia="Calibri"/>
          <w:lang w:eastAsia="de-DE" w:bidi="de-DE"/>
        </w:rPr>
      </w:pPr>
    </w:p>
    <w:p w14:paraId="7F4517E3" w14:textId="77777777" w:rsidR="007A5656" w:rsidRPr="00A21F71" w:rsidRDefault="007A5656" w:rsidP="007A5656">
      <w:pPr>
        <w:jc w:val="both"/>
        <w:rPr>
          <w:rFonts w:eastAsia="Calibri"/>
          <w:lang w:eastAsia="de-DE" w:bidi="de-DE"/>
        </w:rPr>
      </w:pPr>
      <w:r w:rsidRPr="00A21F71">
        <w:rPr>
          <w:rFonts w:eastAsia="Calibri"/>
          <w:lang w:eastAsia="de-DE" w:bidi="de-DE"/>
        </w:rPr>
        <w:tab/>
        <w:t>A. Beträgt die monatliche Bruttoentlohnung nicht mehr als 7.500 EUR, wird der Berufssteuervorabzug gemäß Tabelle I festgelegt.</w:t>
      </w:r>
    </w:p>
    <w:p w14:paraId="18B267C3" w14:textId="77777777" w:rsidR="007A5656" w:rsidRPr="00A21F71" w:rsidRDefault="007A5656" w:rsidP="007A5656">
      <w:pPr>
        <w:jc w:val="both"/>
        <w:rPr>
          <w:rFonts w:eastAsia="Calibri"/>
          <w:lang w:eastAsia="de-DE" w:bidi="de-DE"/>
        </w:rPr>
      </w:pPr>
    </w:p>
    <w:p w14:paraId="0F4366E7" w14:textId="77777777" w:rsidR="007A5656" w:rsidRPr="00A21F71" w:rsidRDefault="007A5656" w:rsidP="007A5656">
      <w:pPr>
        <w:jc w:val="both"/>
        <w:rPr>
          <w:rFonts w:eastAsia="Calibri"/>
          <w:lang w:eastAsia="de-DE" w:bidi="de-DE"/>
        </w:rPr>
      </w:pPr>
      <w:r w:rsidRPr="00A21F71">
        <w:rPr>
          <w:rFonts w:eastAsia="Calibri"/>
          <w:lang w:eastAsia="de-DE" w:bidi="de-DE"/>
        </w:rPr>
        <w:tab/>
        <w:t>Von dem gemäß dieser Tabelle festgelegten Berufssteuervorabzug werden dann folgende Ermäßigungen abgezogen:</w:t>
      </w:r>
    </w:p>
    <w:p w14:paraId="27CF7533" w14:textId="77777777" w:rsidR="007A5656" w:rsidRPr="00A21F71" w:rsidRDefault="007A5656" w:rsidP="007A5656">
      <w:pPr>
        <w:jc w:val="both"/>
        <w:rPr>
          <w:rFonts w:eastAsia="Calibri"/>
          <w:lang w:eastAsia="de-DE" w:bidi="de-DE"/>
        </w:rPr>
      </w:pPr>
    </w:p>
    <w:p w14:paraId="5CCFF1BA" w14:textId="77777777" w:rsidR="007A5656" w:rsidRPr="00A21F71" w:rsidRDefault="007A5656" w:rsidP="007A5656">
      <w:pPr>
        <w:rPr>
          <w:rFonts w:eastAsia="Calibri"/>
          <w:lang w:eastAsia="de-DE" w:bidi="de-DE"/>
        </w:rPr>
      </w:pPr>
      <w:r w:rsidRPr="00A21F71">
        <w:rPr>
          <w:rFonts w:eastAsia="Calibri"/>
          <w:lang w:eastAsia="de-DE" w:bidi="de-DE"/>
        </w:rPr>
        <w:tab/>
        <w:t xml:space="preserve">a) </w:t>
      </w:r>
      <w:r w:rsidRPr="00A21F71">
        <w:rPr>
          <w:rFonts w:eastAsia="Calibri"/>
          <w:i/>
          <w:u w:val="dotted"/>
          <w:lang w:eastAsia="de-DE" w:bidi="de-DE"/>
        </w:rPr>
        <w:t>Ermäßigung für Kinder zu Lasten</w:t>
      </w:r>
    </w:p>
    <w:p w14:paraId="3079625C"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6"/>
        <w:gridCol w:w="4538"/>
      </w:tblGrid>
      <w:tr w:rsidR="007A5656" w:rsidRPr="00A21F71" w14:paraId="4A497F48" w14:textId="77777777" w:rsidTr="00212CA2">
        <w:tc>
          <w:tcPr>
            <w:tcW w:w="4498" w:type="dxa"/>
            <w:vAlign w:val="center"/>
          </w:tcPr>
          <w:p w14:paraId="3BBF2B94"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ANZAHL KINDER ZU LASTEN (1)</w:t>
            </w:r>
          </w:p>
        </w:tc>
        <w:tc>
          <w:tcPr>
            <w:tcW w:w="4606" w:type="dxa"/>
            <w:vAlign w:val="center"/>
          </w:tcPr>
          <w:p w14:paraId="2FF7A389"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ERMÄSSIGUNG</w:t>
            </w:r>
          </w:p>
        </w:tc>
      </w:tr>
      <w:tr w:rsidR="007A5656" w:rsidRPr="00A21F71" w14:paraId="06A9321E" w14:textId="77777777" w:rsidTr="00212CA2">
        <w:trPr>
          <w:trHeight w:val="276"/>
        </w:trPr>
        <w:tc>
          <w:tcPr>
            <w:tcW w:w="4498" w:type="dxa"/>
            <w:vAlign w:val="center"/>
          </w:tcPr>
          <w:p w14:paraId="00A4D60F"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w:t>
            </w:r>
          </w:p>
        </w:tc>
        <w:tc>
          <w:tcPr>
            <w:tcW w:w="4606" w:type="dxa"/>
            <w:vAlign w:val="center"/>
          </w:tcPr>
          <w:p w14:paraId="4EB4BC50"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w:t>
            </w:r>
            <w:r>
              <w:rPr>
                <w:rFonts w:eastAsia="Calibri"/>
                <w:sz w:val="22"/>
                <w:lang w:eastAsia="de-DE" w:bidi="de-DE"/>
              </w:rPr>
              <w:t>5</w:t>
            </w:r>
            <w:r w:rsidRPr="00A21F71">
              <w:rPr>
                <w:rFonts w:eastAsia="Calibri"/>
                <w:sz w:val="22"/>
                <w:lang w:eastAsia="de-DE" w:bidi="de-DE"/>
              </w:rPr>
              <w:t>,00 EUR</w:t>
            </w:r>
          </w:p>
        </w:tc>
      </w:tr>
      <w:tr w:rsidR="007A5656" w:rsidRPr="00A21F71" w14:paraId="38BD448C" w14:textId="77777777" w:rsidTr="00212CA2">
        <w:trPr>
          <w:trHeight w:val="276"/>
        </w:trPr>
        <w:tc>
          <w:tcPr>
            <w:tcW w:w="4498" w:type="dxa"/>
            <w:vAlign w:val="center"/>
          </w:tcPr>
          <w:p w14:paraId="23F45ACD"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w:t>
            </w:r>
          </w:p>
        </w:tc>
        <w:tc>
          <w:tcPr>
            <w:tcW w:w="4606" w:type="dxa"/>
            <w:vAlign w:val="center"/>
          </w:tcPr>
          <w:p w14:paraId="704C4343" w14:textId="77777777" w:rsidR="007A5656" w:rsidRPr="00A21F71" w:rsidRDefault="007A5656" w:rsidP="00212CA2">
            <w:pPr>
              <w:jc w:val="center"/>
              <w:rPr>
                <w:rFonts w:eastAsia="Calibri"/>
                <w:sz w:val="22"/>
                <w:lang w:eastAsia="de-DE" w:bidi="de-DE"/>
              </w:rPr>
            </w:pPr>
            <w:r>
              <w:rPr>
                <w:rFonts w:eastAsia="Calibri"/>
                <w:sz w:val="22"/>
                <w:lang w:eastAsia="de-DE" w:bidi="de-DE"/>
              </w:rPr>
              <w:t>95</w:t>
            </w:r>
            <w:r w:rsidRPr="00A21F71">
              <w:rPr>
                <w:rFonts w:eastAsia="Calibri"/>
                <w:sz w:val="22"/>
                <w:lang w:eastAsia="de-DE" w:bidi="de-DE"/>
              </w:rPr>
              <w:t>,00 EUR</w:t>
            </w:r>
          </w:p>
        </w:tc>
      </w:tr>
      <w:tr w:rsidR="007A5656" w:rsidRPr="00A21F71" w14:paraId="53487CD8" w14:textId="77777777" w:rsidTr="00212CA2">
        <w:trPr>
          <w:trHeight w:val="276"/>
        </w:trPr>
        <w:tc>
          <w:tcPr>
            <w:tcW w:w="4498" w:type="dxa"/>
            <w:vAlign w:val="center"/>
          </w:tcPr>
          <w:p w14:paraId="4FFB7537"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w:t>
            </w:r>
          </w:p>
        </w:tc>
        <w:tc>
          <w:tcPr>
            <w:tcW w:w="4606" w:type="dxa"/>
            <w:vAlign w:val="center"/>
          </w:tcPr>
          <w:p w14:paraId="7CCCAE52" w14:textId="77777777" w:rsidR="007A5656" w:rsidRPr="00A21F71" w:rsidRDefault="007A5656" w:rsidP="00212CA2">
            <w:pPr>
              <w:jc w:val="center"/>
              <w:rPr>
                <w:rFonts w:eastAsia="Calibri"/>
                <w:sz w:val="22"/>
                <w:lang w:eastAsia="de-DE" w:bidi="de-DE"/>
              </w:rPr>
            </w:pPr>
            <w:r>
              <w:rPr>
                <w:rFonts w:eastAsia="Calibri"/>
                <w:sz w:val="22"/>
                <w:lang w:eastAsia="de-DE" w:bidi="de-DE"/>
              </w:rPr>
              <w:t>248</w:t>
            </w:r>
            <w:r w:rsidRPr="00A21F71">
              <w:rPr>
                <w:rFonts w:eastAsia="Calibri"/>
                <w:sz w:val="22"/>
                <w:lang w:eastAsia="de-DE" w:bidi="de-DE"/>
              </w:rPr>
              <w:t>,00 EUR</w:t>
            </w:r>
          </w:p>
        </w:tc>
      </w:tr>
      <w:tr w:rsidR="007A5656" w:rsidRPr="00A21F71" w14:paraId="64B16CEF" w14:textId="77777777" w:rsidTr="00212CA2">
        <w:trPr>
          <w:trHeight w:val="276"/>
        </w:trPr>
        <w:tc>
          <w:tcPr>
            <w:tcW w:w="4498" w:type="dxa"/>
            <w:vAlign w:val="center"/>
          </w:tcPr>
          <w:p w14:paraId="1EEA4A74"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w:t>
            </w:r>
          </w:p>
        </w:tc>
        <w:tc>
          <w:tcPr>
            <w:tcW w:w="4606" w:type="dxa"/>
            <w:vAlign w:val="center"/>
          </w:tcPr>
          <w:p w14:paraId="1D3711C5" w14:textId="77777777" w:rsidR="007A5656" w:rsidRPr="00A21F71" w:rsidRDefault="007A5656" w:rsidP="00212CA2">
            <w:pPr>
              <w:jc w:val="center"/>
              <w:rPr>
                <w:rFonts w:eastAsia="Calibri"/>
                <w:sz w:val="22"/>
                <w:lang w:eastAsia="de-DE" w:bidi="de-DE"/>
              </w:rPr>
            </w:pPr>
            <w:r>
              <w:rPr>
                <w:rFonts w:eastAsia="Calibri"/>
                <w:sz w:val="22"/>
                <w:lang w:eastAsia="de-DE" w:bidi="de-DE"/>
              </w:rPr>
              <w:t>454</w:t>
            </w:r>
            <w:r w:rsidRPr="00A21F71">
              <w:rPr>
                <w:rFonts w:eastAsia="Calibri"/>
                <w:sz w:val="22"/>
                <w:lang w:eastAsia="de-DE" w:bidi="de-DE"/>
              </w:rPr>
              <w:t>,00 EUR</w:t>
            </w:r>
          </w:p>
        </w:tc>
      </w:tr>
      <w:tr w:rsidR="007A5656" w:rsidRPr="00A21F71" w14:paraId="33DAA478" w14:textId="77777777" w:rsidTr="00212CA2">
        <w:trPr>
          <w:trHeight w:val="276"/>
        </w:trPr>
        <w:tc>
          <w:tcPr>
            <w:tcW w:w="4498" w:type="dxa"/>
            <w:vAlign w:val="center"/>
          </w:tcPr>
          <w:p w14:paraId="05ACF9C6"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5</w:t>
            </w:r>
          </w:p>
        </w:tc>
        <w:tc>
          <w:tcPr>
            <w:tcW w:w="4606" w:type="dxa"/>
            <w:vAlign w:val="center"/>
          </w:tcPr>
          <w:p w14:paraId="57F6D873" w14:textId="77777777" w:rsidR="007A5656" w:rsidRPr="00A21F71" w:rsidRDefault="007A5656" w:rsidP="00212CA2">
            <w:pPr>
              <w:jc w:val="center"/>
              <w:rPr>
                <w:rFonts w:eastAsia="Calibri"/>
                <w:sz w:val="22"/>
                <w:lang w:eastAsia="de-DE" w:bidi="de-DE"/>
              </w:rPr>
            </w:pPr>
            <w:r>
              <w:rPr>
                <w:rFonts w:eastAsia="Calibri"/>
                <w:sz w:val="22"/>
                <w:lang w:eastAsia="de-DE" w:bidi="de-DE"/>
              </w:rPr>
              <w:t>671</w:t>
            </w:r>
            <w:r w:rsidRPr="00A21F71">
              <w:rPr>
                <w:rFonts w:eastAsia="Calibri"/>
                <w:sz w:val="22"/>
                <w:lang w:eastAsia="de-DE" w:bidi="de-DE"/>
              </w:rPr>
              <w:t>,00 EUR</w:t>
            </w:r>
          </w:p>
        </w:tc>
      </w:tr>
      <w:tr w:rsidR="007A5656" w:rsidRPr="00A21F71" w14:paraId="273AFD88" w14:textId="77777777" w:rsidTr="00212CA2">
        <w:trPr>
          <w:trHeight w:val="276"/>
        </w:trPr>
        <w:tc>
          <w:tcPr>
            <w:tcW w:w="4498" w:type="dxa"/>
            <w:vAlign w:val="center"/>
          </w:tcPr>
          <w:p w14:paraId="65E470A0"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6</w:t>
            </w:r>
          </w:p>
        </w:tc>
        <w:tc>
          <w:tcPr>
            <w:tcW w:w="4606" w:type="dxa"/>
            <w:vAlign w:val="center"/>
          </w:tcPr>
          <w:p w14:paraId="07C18C96" w14:textId="77777777" w:rsidR="007A5656" w:rsidRPr="00A21F71" w:rsidRDefault="007A5656" w:rsidP="00212CA2">
            <w:pPr>
              <w:jc w:val="center"/>
              <w:rPr>
                <w:rFonts w:eastAsia="Calibri"/>
                <w:sz w:val="22"/>
                <w:lang w:eastAsia="de-DE" w:bidi="de-DE"/>
              </w:rPr>
            </w:pPr>
            <w:r>
              <w:rPr>
                <w:rFonts w:eastAsia="Calibri"/>
                <w:sz w:val="22"/>
                <w:lang w:eastAsia="de-DE" w:bidi="de-DE"/>
              </w:rPr>
              <w:t>887</w:t>
            </w:r>
            <w:r w:rsidRPr="00A21F71">
              <w:rPr>
                <w:rFonts w:eastAsia="Calibri"/>
                <w:sz w:val="22"/>
                <w:lang w:eastAsia="de-DE" w:bidi="de-DE"/>
              </w:rPr>
              <w:t>,00 EUR</w:t>
            </w:r>
          </w:p>
        </w:tc>
      </w:tr>
      <w:tr w:rsidR="007A5656" w:rsidRPr="00A21F71" w14:paraId="6E0A2BC8" w14:textId="77777777" w:rsidTr="00212CA2">
        <w:trPr>
          <w:trHeight w:val="276"/>
        </w:trPr>
        <w:tc>
          <w:tcPr>
            <w:tcW w:w="4498" w:type="dxa"/>
            <w:vAlign w:val="center"/>
          </w:tcPr>
          <w:p w14:paraId="1D1D163C"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7</w:t>
            </w:r>
          </w:p>
        </w:tc>
        <w:tc>
          <w:tcPr>
            <w:tcW w:w="4606" w:type="dxa"/>
            <w:vAlign w:val="center"/>
          </w:tcPr>
          <w:p w14:paraId="7FEACEBD" w14:textId="77777777" w:rsidR="007A5656" w:rsidRPr="00A21F71" w:rsidRDefault="007A5656" w:rsidP="00212CA2">
            <w:pPr>
              <w:jc w:val="center"/>
              <w:rPr>
                <w:rFonts w:eastAsia="Calibri"/>
                <w:sz w:val="22"/>
                <w:lang w:eastAsia="de-DE" w:bidi="de-DE"/>
              </w:rPr>
            </w:pPr>
            <w:r>
              <w:rPr>
                <w:rFonts w:eastAsia="Calibri"/>
                <w:sz w:val="22"/>
                <w:lang w:eastAsia="de-DE" w:bidi="de-DE"/>
              </w:rPr>
              <w:t>1.105</w:t>
            </w:r>
            <w:r w:rsidRPr="00A21F71">
              <w:rPr>
                <w:rFonts w:eastAsia="Calibri"/>
                <w:sz w:val="22"/>
                <w:lang w:eastAsia="de-DE" w:bidi="de-DE"/>
              </w:rPr>
              <w:t>,00 EUR</w:t>
            </w:r>
          </w:p>
        </w:tc>
      </w:tr>
      <w:tr w:rsidR="007A5656" w:rsidRPr="00A21F71" w14:paraId="53A39B7A" w14:textId="77777777" w:rsidTr="00212CA2">
        <w:trPr>
          <w:trHeight w:val="276"/>
        </w:trPr>
        <w:tc>
          <w:tcPr>
            <w:tcW w:w="4498" w:type="dxa"/>
            <w:vAlign w:val="center"/>
          </w:tcPr>
          <w:p w14:paraId="173E9311"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8</w:t>
            </w:r>
          </w:p>
        </w:tc>
        <w:tc>
          <w:tcPr>
            <w:tcW w:w="4606" w:type="dxa"/>
            <w:vAlign w:val="center"/>
          </w:tcPr>
          <w:p w14:paraId="569CACF2" w14:textId="77777777" w:rsidR="007A5656" w:rsidRPr="00A21F71" w:rsidRDefault="007A5656" w:rsidP="00212CA2">
            <w:pPr>
              <w:jc w:val="center"/>
              <w:rPr>
                <w:rFonts w:eastAsia="Calibri"/>
                <w:sz w:val="22"/>
                <w:lang w:eastAsia="de-DE" w:bidi="de-DE"/>
              </w:rPr>
            </w:pPr>
            <w:r>
              <w:rPr>
                <w:rFonts w:eastAsia="Calibri"/>
                <w:sz w:val="22"/>
                <w:lang w:eastAsia="de-DE" w:bidi="de-DE"/>
              </w:rPr>
              <w:t>1.344</w:t>
            </w:r>
            <w:r w:rsidRPr="00A21F71">
              <w:rPr>
                <w:rFonts w:eastAsia="Calibri"/>
                <w:sz w:val="22"/>
                <w:lang w:eastAsia="de-DE" w:bidi="de-DE"/>
              </w:rPr>
              <w:t>,00 EUR</w:t>
            </w:r>
          </w:p>
        </w:tc>
      </w:tr>
      <w:tr w:rsidR="007A5656" w:rsidRPr="00A21F71" w14:paraId="5A6C3908" w14:textId="77777777" w:rsidTr="00212CA2">
        <w:trPr>
          <w:trHeight w:val="276"/>
        </w:trPr>
        <w:tc>
          <w:tcPr>
            <w:tcW w:w="4498" w:type="dxa"/>
            <w:vAlign w:val="center"/>
          </w:tcPr>
          <w:p w14:paraId="46906FD0"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mehr als 8</w:t>
            </w:r>
          </w:p>
        </w:tc>
        <w:tc>
          <w:tcPr>
            <w:tcW w:w="4606" w:type="dxa"/>
            <w:vAlign w:val="center"/>
          </w:tcPr>
          <w:p w14:paraId="2E1E45E5" w14:textId="77777777" w:rsidR="007A5656" w:rsidRPr="00A21F71" w:rsidRDefault="007A5656" w:rsidP="00212CA2">
            <w:pPr>
              <w:jc w:val="center"/>
              <w:rPr>
                <w:rFonts w:eastAsia="Calibri"/>
                <w:sz w:val="22"/>
                <w:lang w:eastAsia="de-DE" w:bidi="de-DE"/>
              </w:rPr>
            </w:pPr>
            <w:r>
              <w:rPr>
                <w:rFonts w:eastAsia="Calibri"/>
                <w:sz w:val="22"/>
                <w:lang w:eastAsia="de-DE" w:bidi="de-DE"/>
              </w:rPr>
              <w:t>1.344,00 EUR erhöht um 246</w:t>
            </w:r>
            <w:r w:rsidRPr="00A21F71">
              <w:rPr>
                <w:rFonts w:eastAsia="Calibri"/>
                <w:sz w:val="22"/>
                <w:lang w:eastAsia="de-DE" w:bidi="de-DE"/>
              </w:rPr>
              <w:t>,00 EUR pro Kind zu Lasten nach dem achten Kind</w:t>
            </w:r>
          </w:p>
        </w:tc>
      </w:tr>
      <w:tr w:rsidR="007A5656" w:rsidRPr="00A21F71" w14:paraId="74190B87" w14:textId="77777777" w:rsidTr="00212CA2">
        <w:trPr>
          <w:trHeight w:val="276"/>
        </w:trPr>
        <w:tc>
          <w:tcPr>
            <w:tcW w:w="9104" w:type="dxa"/>
            <w:gridSpan w:val="2"/>
            <w:vAlign w:val="center"/>
          </w:tcPr>
          <w:p w14:paraId="04D4D5C1" w14:textId="77777777" w:rsidR="007A5656" w:rsidRPr="00A21F71" w:rsidRDefault="007A5656" w:rsidP="00212CA2">
            <w:pPr>
              <w:rPr>
                <w:rFonts w:eastAsia="Calibri"/>
                <w:sz w:val="22"/>
                <w:lang w:eastAsia="de-DE" w:bidi="de-DE"/>
              </w:rPr>
            </w:pPr>
            <w:r w:rsidRPr="00A21F71">
              <w:rPr>
                <w:rFonts w:eastAsia="Calibri"/>
                <w:sz w:val="22"/>
                <w:lang w:eastAsia="de-DE" w:bidi="de-DE"/>
              </w:rPr>
              <w:t>(1) Ein behindertes Kind zu Lasten wird doppelt gezählt.</w:t>
            </w:r>
          </w:p>
        </w:tc>
      </w:tr>
    </w:tbl>
    <w:p w14:paraId="7FDC1FA4" w14:textId="77777777" w:rsidR="007A5656" w:rsidRPr="00A21F71" w:rsidRDefault="007A5656" w:rsidP="007A5656">
      <w:pPr>
        <w:rPr>
          <w:rFonts w:eastAsia="Calibri"/>
          <w:lang w:eastAsia="de-DE" w:bidi="de-DE"/>
        </w:rPr>
      </w:pPr>
    </w:p>
    <w:p w14:paraId="3AB6E278" w14:textId="77777777" w:rsidR="007A5656" w:rsidRPr="00A21F71" w:rsidRDefault="007A5656" w:rsidP="007A5656">
      <w:pPr>
        <w:rPr>
          <w:rFonts w:eastAsia="Calibri"/>
          <w:lang w:eastAsia="de-DE" w:bidi="de-DE"/>
        </w:rPr>
      </w:pPr>
      <w:r w:rsidRPr="00A21F71">
        <w:rPr>
          <w:rFonts w:eastAsia="Calibri"/>
          <w:lang w:eastAsia="de-DE" w:bidi="de-DE"/>
        </w:rPr>
        <w:tab/>
        <w:t xml:space="preserve">b) </w:t>
      </w:r>
      <w:r w:rsidRPr="00A21F71">
        <w:rPr>
          <w:rFonts w:eastAsia="Calibri"/>
          <w:i/>
          <w:u w:val="dotted"/>
          <w:lang w:eastAsia="de-DE" w:bidi="de-DE"/>
        </w:rPr>
        <w:t>Ermäßigungen für andere Familienlasten</w:t>
      </w:r>
    </w:p>
    <w:p w14:paraId="151AF43B"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3"/>
        <w:gridCol w:w="2341"/>
      </w:tblGrid>
      <w:tr w:rsidR="007A5656" w:rsidRPr="00A21F71" w14:paraId="2A53ADBF" w14:textId="77777777" w:rsidTr="00212CA2">
        <w:tc>
          <w:tcPr>
            <w:tcW w:w="6804" w:type="dxa"/>
            <w:vAlign w:val="center"/>
          </w:tcPr>
          <w:p w14:paraId="46183EB8"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GRUND FÜR DIE ERMÄSSIGUNG</w:t>
            </w:r>
          </w:p>
        </w:tc>
        <w:tc>
          <w:tcPr>
            <w:tcW w:w="2373" w:type="dxa"/>
            <w:vAlign w:val="center"/>
          </w:tcPr>
          <w:p w14:paraId="2B2AF708"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ERMÄSSIGUNG (1)</w:t>
            </w:r>
          </w:p>
        </w:tc>
      </w:tr>
      <w:tr w:rsidR="007A5656" w:rsidRPr="00A21F71" w14:paraId="3BD9A3F9" w14:textId="77777777" w:rsidTr="00212CA2">
        <w:tc>
          <w:tcPr>
            <w:tcW w:w="6804" w:type="dxa"/>
          </w:tcPr>
          <w:p w14:paraId="673D48EF"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1. Der Empfänger der Einkünfte ist Alleinstehender (außer wenn seine Einkünfte sich aus PENSIONEN oder ARBEITSLOSENGELD MIT BETRIEBSZUSCHLAG zusammensetzen):</w:t>
            </w:r>
          </w:p>
        </w:tc>
        <w:tc>
          <w:tcPr>
            <w:tcW w:w="2373" w:type="dxa"/>
          </w:tcPr>
          <w:p w14:paraId="3523DCC8"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w:t>
            </w:r>
            <w:r>
              <w:rPr>
                <w:rFonts w:eastAsia="Calibri"/>
                <w:sz w:val="22"/>
                <w:lang w:eastAsia="de-DE" w:bidi="de-DE"/>
              </w:rPr>
              <w:t>5</w:t>
            </w:r>
            <w:r w:rsidRPr="00A21F71">
              <w:rPr>
                <w:rFonts w:eastAsia="Calibri"/>
                <w:sz w:val="22"/>
                <w:lang w:eastAsia="de-DE" w:bidi="de-DE"/>
              </w:rPr>
              <w:t>,00 EUR</w:t>
            </w:r>
          </w:p>
        </w:tc>
      </w:tr>
      <w:tr w:rsidR="007A5656" w:rsidRPr="00A21F71" w14:paraId="0567444E" w14:textId="77777777" w:rsidTr="00212CA2">
        <w:tc>
          <w:tcPr>
            <w:tcW w:w="6804" w:type="dxa"/>
          </w:tcPr>
          <w:p w14:paraId="27744D97"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2. Der Empfänger der Einkünfte ist Witwer (Witwe) und nicht wieder verheiratet oder lediger Vater (ledige Mutter) mit einem oder mehreren Kindern zu Lasten:</w:t>
            </w:r>
          </w:p>
        </w:tc>
        <w:tc>
          <w:tcPr>
            <w:tcW w:w="2373" w:type="dxa"/>
          </w:tcPr>
          <w:p w14:paraId="33D1744C"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w:t>
            </w:r>
            <w:r>
              <w:rPr>
                <w:rFonts w:eastAsia="Calibri"/>
                <w:sz w:val="22"/>
                <w:lang w:eastAsia="de-DE" w:bidi="de-DE"/>
              </w:rPr>
              <w:t>5</w:t>
            </w:r>
            <w:r w:rsidRPr="00A21F71">
              <w:rPr>
                <w:rFonts w:eastAsia="Calibri"/>
                <w:sz w:val="22"/>
                <w:lang w:eastAsia="de-DE" w:bidi="de-DE"/>
              </w:rPr>
              <w:t>,00 EUR</w:t>
            </w:r>
          </w:p>
        </w:tc>
      </w:tr>
      <w:tr w:rsidR="007A5656" w:rsidRPr="00A21F71" w14:paraId="68271BF8" w14:textId="77777777" w:rsidTr="00212CA2">
        <w:tc>
          <w:tcPr>
            <w:tcW w:w="6804" w:type="dxa"/>
          </w:tcPr>
          <w:p w14:paraId="65B41CC1" w14:textId="77777777" w:rsidR="007A5656" w:rsidRPr="00A21F71" w:rsidRDefault="007A5656" w:rsidP="00212CA2">
            <w:pPr>
              <w:rPr>
                <w:rFonts w:eastAsia="Calibri"/>
                <w:sz w:val="22"/>
                <w:lang w:eastAsia="de-DE" w:bidi="de-DE"/>
              </w:rPr>
            </w:pPr>
            <w:r w:rsidRPr="00A21F71">
              <w:rPr>
                <w:rFonts w:eastAsia="Calibri"/>
                <w:sz w:val="22"/>
                <w:lang w:eastAsia="de-DE" w:bidi="de-DE"/>
              </w:rPr>
              <w:t>3. Der Empfänger der Einkünfte ist selbst behindert:</w:t>
            </w:r>
          </w:p>
        </w:tc>
        <w:tc>
          <w:tcPr>
            <w:tcW w:w="2373" w:type="dxa"/>
            <w:vAlign w:val="bottom"/>
          </w:tcPr>
          <w:p w14:paraId="49C00FB3"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w:t>
            </w:r>
            <w:r>
              <w:rPr>
                <w:rFonts w:eastAsia="Calibri"/>
                <w:sz w:val="22"/>
                <w:lang w:eastAsia="de-DE" w:bidi="de-DE"/>
              </w:rPr>
              <w:t>5</w:t>
            </w:r>
            <w:r w:rsidRPr="00A21F71">
              <w:rPr>
                <w:rFonts w:eastAsia="Calibri"/>
                <w:sz w:val="22"/>
                <w:lang w:eastAsia="de-DE" w:bidi="de-DE"/>
              </w:rPr>
              <w:t>,00 EUR</w:t>
            </w:r>
          </w:p>
        </w:tc>
      </w:tr>
      <w:tr w:rsidR="007A5656" w:rsidRPr="00A21F71" w14:paraId="70500064" w14:textId="77777777" w:rsidTr="00212CA2">
        <w:tc>
          <w:tcPr>
            <w:tcW w:w="6804" w:type="dxa"/>
          </w:tcPr>
          <w:p w14:paraId="3F68E00C"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4. Der Empfänger der Einkünfte hat Personen zu Lasten, die in Artikel 136 Nr. 2 und 3 des Einkommensteuergesetzbuches 1992 erwähnt sind und das Alter von fünfundsechzig Jahren erreicht haben; die Ermäßigung wird pro Person angewandt (2):</w:t>
            </w:r>
          </w:p>
        </w:tc>
        <w:tc>
          <w:tcPr>
            <w:tcW w:w="2373" w:type="dxa"/>
          </w:tcPr>
          <w:p w14:paraId="3567F5DD" w14:textId="77777777" w:rsidR="007A5656" w:rsidRPr="00A21F71" w:rsidRDefault="007A5656" w:rsidP="00212CA2">
            <w:pPr>
              <w:jc w:val="center"/>
              <w:rPr>
                <w:rFonts w:eastAsia="Calibri"/>
                <w:sz w:val="22"/>
                <w:lang w:eastAsia="de-DE" w:bidi="de-DE"/>
              </w:rPr>
            </w:pPr>
            <w:r>
              <w:rPr>
                <w:rFonts w:eastAsia="Calibri"/>
                <w:sz w:val="22"/>
                <w:lang w:eastAsia="de-DE" w:bidi="de-DE"/>
              </w:rPr>
              <w:t>71</w:t>
            </w:r>
            <w:r w:rsidRPr="00A21F71">
              <w:rPr>
                <w:rFonts w:eastAsia="Calibri"/>
                <w:sz w:val="22"/>
                <w:lang w:eastAsia="de-DE" w:bidi="de-DE"/>
              </w:rPr>
              <w:t>,00 EUR</w:t>
            </w:r>
          </w:p>
        </w:tc>
      </w:tr>
      <w:tr w:rsidR="007A5656" w:rsidRPr="00A21F71" w14:paraId="17AB5CC4" w14:textId="77777777" w:rsidTr="00212CA2">
        <w:tc>
          <w:tcPr>
            <w:tcW w:w="6804" w:type="dxa"/>
          </w:tcPr>
          <w:p w14:paraId="482BE5C1"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 xml:space="preserve">5. Der Empfänger der Einkünfte hat Personen zu Lasten, die in Artikel 136 Nr. 2 bis 4 des Einkommensteuergesetzbuches 1992 erwähnt </w:t>
            </w:r>
            <w:r w:rsidRPr="00A21F71">
              <w:rPr>
                <w:rFonts w:eastAsia="Calibri"/>
                <w:sz w:val="22"/>
                <w:lang w:eastAsia="de-DE" w:bidi="de-DE"/>
              </w:rPr>
              <w:lastRenderedPageBreak/>
              <w:t>sind und nicht in vorstehender Nr. 4 angegeben sind; die Ermäßigung wird pro Person angewandt (2):</w:t>
            </w:r>
          </w:p>
        </w:tc>
        <w:tc>
          <w:tcPr>
            <w:tcW w:w="2373" w:type="dxa"/>
          </w:tcPr>
          <w:p w14:paraId="5719E678"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lastRenderedPageBreak/>
              <w:t>3</w:t>
            </w:r>
            <w:r>
              <w:rPr>
                <w:rFonts w:eastAsia="Calibri"/>
                <w:sz w:val="22"/>
                <w:lang w:eastAsia="de-DE" w:bidi="de-DE"/>
              </w:rPr>
              <w:t>5</w:t>
            </w:r>
            <w:r w:rsidRPr="00A21F71">
              <w:rPr>
                <w:rFonts w:eastAsia="Calibri"/>
                <w:sz w:val="22"/>
                <w:lang w:eastAsia="de-DE" w:bidi="de-DE"/>
              </w:rPr>
              <w:t>,00 EUR</w:t>
            </w:r>
          </w:p>
        </w:tc>
      </w:tr>
      <w:tr w:rsidR="007A5656" w:rsidRPr="00A21F71" w14:paraId="352A02B9" w14:textId="77777777" w:rsidTr="00212CA2">
        <w:tc>
          <w:tcPr>
            <w:tcW w:w="6804" w:type="dxa"/>
          </w:tcPr>
          <w:p w14:paraId="24129682"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6. Der Ehepartner des Empfängers der Einkünfte bezieht eigene Berufseinkünfte, die keine Pensionen, Renten oder damit gleichgesetzten Einkü</w:t>
            </w:r>
            <w:r>
              <w:rPr>
                <w:rFonts w:eastAsia="Calibri"/>
                <w:sz w:val="22"/>
                <w:lang w:eastAsia="de-DE" w:bidi="de-DE"/>
              </w:rPr>
              <w:t>nfte sind und nicht mehr als 221</w:t>
            </w:r>
            <w:r w:rsidRPr="00A21F71">
              <w:rPr>
                <w:rFonts w:eastAsia="Calibri"/>
                <w:sz w:val="22"/>
                <w:lang w:eastAsia="de-DE" w:bidi="de-DE"/>
              </w:rPr>
              <w:t>,00 EUR NETTO pro Monat betragen (3):</w:t>
            </w:r>
          </w:p>
        </w:tc>
        <w:tc>
          <w:tcPr>
            <w:tcW w:w="2373" w:type="dxa"/>
          </w:tcPr>
          <w:p w14:paraId="7824C1C1" w14:textId="77777777" w:rsidR="007A5656" w:rsidRPr="00A21F71" w:rsidRDefault="007A5656" w:rsidP="00212CA2">
            <w:pPr>
              <w:jc w:val="center"/>
              <w:rPr>
                <w:rFonts w:eastAsia="Calibri"/>
                <w:sz w:val="22"/>
                <w:lang w:eastAsia="de-DE" w:bidi="de-DE"/>
              </w:rPr>
            </w:pPr>
            <w:r>
              <w:rPr>
                <w:rFonts w:eastAsia="Calibri"/>
                <w:sz w:val="22"/>
                <w:lang w:eastAsia="de-DE" w:bidi="de-DE"/>
              </w:rPr>
              <w:t>110,5</w:t>
            </w:r>
            <w:r w:rsidRPr="00A21F71">
              <w:rPr>
                <w:rFonts w:eastAsia="Calibri"/>
                <w:sz w:val="22"/>
                <w:lang w:eastAsia="de-DE" w:bidi="de-DE"/>
              </w:rPr>
              <w:t>0 EUR</w:t>
            </w:r>
          </w:p>
        </w:tc>
      </w:tr>
      <w:tr w:rsidR="007A5656" w:rsidRPr="00A21F71" w14:paraId="7D148A3A" w14:textId="77777777" w:rsidTr="00212CA2">
        <w:tc>
          <w:tcPr>
            <w:tcW w:w="6804" w:type="dxa"/>
          </w:tcPr>
          <w:p w14:paraId="27B7458E"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7. Der Ehepartner des Empfängers der Einkünfte bezieht eigene Berufseinkünfte, die sich ausschließlich aus Pensionen, Renten oder damit gleichgesetzten Einkünften zusam</w:t>
            </w:r>
            <w:r>
              <w:rPr>
                <w:rFonts w:eastAsia="Calibri"/>
                <w:sz w:val="22"/>
                <w:lang w:eastAsia="de-DE" w:bidi="de-DE"/>
              </w:rPr>
              <w:t>mensetzen und nicht mehr als 440</w:t>
            </w:r>
            <w:r w:rsidRPr="00A21F71">
              <w:rPr>
                <w:rFonts w:eastAsia="Calibri"/>
                <w:sz w:val="22"/>
                <w:lang w:eastAsia="de-DE" w:bidi="de-DE"/>
              </w:rPr>
              <w:t>,00 EUR NETTO pro Monat betragen (3):</w:t>
            </w:r>
          </w:p>
        </w:tc>
        <w:tc>
          <w:tcPr>
            <w:tcW w:w="2373" w:type="dxa"/>
          </w:tcPr>
          <w:p w14:paraId="3CF423F7" w14:textId="77777777" w:rsidR="007A5656" w:rsidRPr="00A21F71" w:rsidRDefault="007A5656" w:rsidP="00212CA2">
            <w:pPr>
              <w:jc w:val="center"/>
              <w:rPr>
                <w:rFonts w:eastAsia="Calibri"/>
                <w:sz w:val="22"/>
                <w:lang w:eastAsia="de-DE" w:bidi="de-DE"/>
              </w:rPr>
            </w:pPr>
            <w:r>
              <w:rPr>
                <w:rFonts w:eastAsia="Calibri"/>
                <w:sz w:val="22"/>
                <w:lang w:eastAsia="de-DE" w:bidi="de-DE"/>
              </w:rPr>
              <w:t>220</w:t>
            </w:r>
            <w:r w:rsidRPr="00A21F71">
              <w:rPr>
                <w:rFonts w:eastAsia="Calibri"/>
                <w:sz w:val="22"/>
                <w:lang w:eastAsia="de-DE" w:bidi="de-DE"/>
              </w:rPr>
              <w:t>,00 EUR</w:t>
            </w:r>
          </w:p>
        </w:tc>
      </w:tr>
      <w:tr w:rsidR="007A5656" w:rsidRPr="00A21F71" w14:paraId="7E743F1E" w14:textId="77777777" w:rsidTr="00212CA2">
        <w:tc>
          <w:tcPr>
            <w:tcW w:w="9177" w:type="dxa"/>
            <w:gridSpan w:val="2"/>
          </w:tcPr>
          <w:p w14:paraId="1807C890"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(1) Ermäßigungen können kumuliert werden.</w:t>
            </w:r>
          </w:p>
          <w:p w14:paraId="7DA5E897"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 xml:space="preserve">(2) Eine behinderte Person zu Lasten wird doppelt gezählt. </w:t>
            </w:r>
          </w:p>
          <w:p w14:paraId="60D8F678"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(3) Nettoberufseinkünfte werden gemäß den in Nr. 1.8 Punkt C vorgesehenen Regeln festgelegt.</w:t>
            </w:r>
          </w:p>
        </w:tc>
      </w:tr>
    </w:tbl>
    <w:p w14:paraId="4CA666D2" w14:textId="77777777" w:rsidR="007A5656" w:rsidRPr="00A21F71" w:rsidRDefault="007A5656" w:rsidP="007A5656">
      <w:pPr>
        <w:rPr>
          <w:rFonts w:eastAsia="Calibri"/>
          <w:lang w:eastAsia="de-DE" w:bidi="de-DE"/>
        </w:rPr>
      </w:pPr>
    </w:p>
    <w:p w14:paraId="26C3691F"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c) </w:t>
      </w:r>
      <w:r w:rsidRPr="00A21F71">
        <w:rPr>
          <w:rFonts w:eastAsia="Calibri"/>
          <w:i/>
          <w:u w:val="dotted"/>
          <w:lang w:eastAsia="de-DE" w:bidi="de-DE"/>
        </w:rPr>
        <w:t>Ermäßigung für Gruppenversicherung und für außergesetzliche Alters- und Todesfallversicherung</w:t>
      </w:r>
    </w:p>
    <w:p w14:paraId="31A49424" w14:textId="77777777" w:rsidR="007A5656" w:rsidRPr="00A21F71" w:rsidRDefault="007A5656" w:rsidP="007A5656">
      <w:pPr>
        <w:rPr>
          <w:rFonts w:eastAsia="Calibri"/>
          <w:lang w:eastAsia="de-DE" w:bidi="de-DE"/>
        </w:rPr>
      </w:pPr>
    </w:p>
    <w:p w14:paraId="11D406AB" w14:textId="77777777" w:rsidR="007A5656" w:rsidRPr="00A21F71" w:rsidRDefault="007A5656" w:rsidP="007A5656">
      <w:pPr>
        <w:jc w:val="both"/>
        <w:rPr>
          <w:rFonts w:eastAsia="Calibri"/>
          <w:lang w:eastAsia="de-DE" w:bidi="de-DE"/>
        </w:rPr>
      </w:pPr>
      <w:r w:rsidRPr="00A21F71">
        <w:rPr>
          <w:rFonts w:eastAsia="Calibri"/>
          <w:lang w:eastAsia="de-DE" w:bidi="de-DE"/>
        </w:rPr>
        <w:tab/>
        <w:t>Nach Anwendung der in den Buchstaben a) und b) erwähnten Ermäßigungen wird der Berufssteuervorabzug noch verringert im Verhältnis zu 30 Prozent:</w:t>
      </w:r>
    </w:p>
    <w:p w14:paraId="0E107C94" w14:textId="77777777" w:rsidR="007A5656" w:rsidRPr="00A21F71" w:rsidRDefault="007A5656" w:rsidP="007A5656">
      <w:pPr>
        <w:jc w:val="both"/>
        <w:rPr>
          <w:rFonts w:eastAsia="Calibri"/>
          <w:lang w:eastAsia="de-DE" w:bidi="de-DE"/>
        </w:rPr>
      </w:pPr>
    </w:p>
    <w:p w14:paraId="298804EC" w14:textId="77777777" w:rsidR="007A5656" w:rsidRPr="00A21F71" w:rsidRDefault="007A5656" w:rsidP="007A5656">
      <w:pPr>
        <w:jc w:val="both"/>
        <w:rPr>
          <w:rFonts w:eastAsia="Calibri"/>
          <w:lang w:eastAsia="de-DE" w:bidi="de-DE"/>
        </w:rPr>
      </w:pPr>
      <w:r w:rsidRPr="00A21F71">
        <w:rPr>
          <w:rFonts w:eastAsia="Calibri"/>
          <w:lang w:eastAsia="de-DE" w:bidi="de-DE"/>
        </w:rPr>
        <w:tab/>
        <w:t>- der in Ausführung eines Gruppenversicherungsvertrags vorgeschriebenen Einbe</w:t>
      </w:r>
      <w:r w:rsidRPr="00A21F71">
        <w:rPr>
          <w:rFonts w:eastAsia="Calibri"/>
          <w:lang w:eastAsia="de-DE" w:bidi="de-DE"/>
        </w:rPr>
        <w:softHyphen/>
        <w:t>haltungen,</w:t>
      </w:r>
    </w:p>
    <w:p w14:paraId="62318C54" w14:textId="77777777" w:rsidR="007A5656" w:rsidRPr="00A21F71" w:rsidRDefault="007A5656" w:rsidP="007A5656">
      <w:pPr>
        <w:jc w:val="both"/>
        <w:rPr>
          <w:rFonts w:eastAsia="Calibri"/>
          <w:lang w:eastAsia="de-DE" w:bidi="de-DE"/>
        </w:rPr>
      </w:pPr>
    </w:p>
    <w:p w14:paraId="21E14E01" w14:textId="77777777" w:rsidR="007A5656" w:rsidRPr="00A21F71" w:rsidRDefault="007A5656" w:rsidP="007A5656">
      <w:pPr>
        <w:jc w:val="both"/>
        <w:rPr>
          <w:rFonts w:eastAsia="Calibri"/>
          <w:lang w:eastAsia="de-DE" w:bidi="de-DE"/>
        </w:rPr>
      </w:pPr>
      <w:r w:rsidRPr="00A21F71">
        <w:rPr>
          <w:rFonts w:eastAsia="Calibri"/>
          <w:lang w:eastAsia="de-DE" w:bidi="de-DE"/>
        </w:rPr>
        <w:tab/>
        <w:t>- der in Ausführung einer außergesetzlichen Vorsorgeregelung in Bezug auf eine Alters- und Todesfallversicherung vorgeschriebenen Einbehaltungen,</w:t>
      </w:r>
    </w:p>
    <w:p w14:paraId="5B7A4DE2" w14:textId="77777777" w:rsidR="007A5656" w:rsidRPr="00A21F71" w:rsidRDefault="007A5656" w:rsidP="007A5656">
      <w:pPr>
        <w:jc w:val="both"/>
        <w:rPr>
          <w:rFonts w:eastAsia="Calibri"/>
          <w:lang w:eastAsia="de-DE" w:bidi="de-DE"/>
        </w:rPr>
      </w:pPr>
    </w:p>
    <w:p w14:paraId="7E0AC8EA" w14:textId="77777777" w:rsidR="007A5656" w:rsidRPr="00A21F71" w:rsidRDefault="007A5656" w:rsidP="007A5656">
      <w:pPr>
        <w:jc w:val="both"/>
        <w:rPr>
          <w:rFonts w:eastAsia="Calibri"/>
          <w:lang w:eastAsia="de-DE" w:bidi="de-DE"/>
        </w:rPr>
      </w:pPr>
      <w:r w:rsidRPr="00A21F71">
        <w:rPr>
          <w:rFonts w:eastAsia="Calibri"/>
          <w:lang w:eastAsia="de-DE" w:bidi="de-DE"/>
        </w:rPr>
        <w:tab/>
        <w:t>- der Einbehaltungen, die sich auf die individuelle Weiterführung einer in Artikel 145</w:t>
      </w:r>
      <w:r w:rsidRPr="00A21F71">
        <w:rPr>
          <w:rFonts w:eastAsia="Calibri"/>
          <w:vertAlign w:val="superscript"/>
          <w:lang w:eastAsia="de-DE" w:bidi="de-DE"/>
        </w:rPr>
        <w:t>3</w:t>
      </w:r>
      <w:r w:rsidRPr="00A21F71">
        <w:rPr>
          <w:rFonts w:eastAsia="Calibri"/>
          <w:lang w:eastAsia="de-DE" w:bidi="de-DE"/>
        </w:rPr>
        <w:t xml:space="preserve"> Absatz 3 des Einkommensteuergesetzbuches 1992 erwähnten Pensionsvereinbarung beziehen.</w:t>
      </w:r>
    </w:p>
    <w:p w14:paraId="7ECAB5D6" w14:textId="77777777" w:rsidR="007A5656" w:rsidRPr="00A21F71" w:rsidRDefault="007A5656" w:rsidP="007A5656">
      <w:pPr>
        <w:jc w:val="both"/>
        <w:rPr>
          <w:rFonts w:eastAsia="Calibri"/>
          <w:lang w:eastAsia="de-DE" w:bidi="de-DE"/>
        </w:rPr>
      </w:pPr>
    </w:p>
    <w:p w14:paraId="41AEC442"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d) </w:t>
      </w:r>
      <w:r w:rsidRPr="00A21F71">
        <w:rPr>
          <w:rFonts w:eastAsia="Calibri"/>
          <w:i/>
          <w:u w:val="dotted"/>
          <w:lang w:eastAsia="de-DE" w:bidi="de-DE"/>
        </w:rPr>
        <w:t>Ermäßigung für Entlohnungen aufgrund geleisteter Überarbeit, die zu einer Lohnzulage berechtigt</w:t>
      </w:r>
    </w:p>
    <w:p w14:paraId="68ABF902" w14:textId="77777777" w:rsidR="007A5656" w:rsidRPr="00A21F71" w:rsidRDefault="007A5656" w:rsidP="007A5656">
      <w:pPr>
        <w:jc w:val="both"/>
        <w:rPr>
          <w:rFonts w:eastAsia="Calibri"/>
          <w:lang w:eastAsia="de-DE" w:bidi="de-DE"/>
        </w:rPr>
      </w:pPr>
    </w:p>
    <w:p w14:paraId="287CA42F" w14:textId="77777777" w:rsidR="007A5656" w:rsidRPr="00A21F71" w:rsidRDefault="007A5656" w:rsidP="007A5656">
      <w:pPr>
        <w:jc w:val="both"/>
        <w:rPr>
          <w:rFonts w:eastAsia="Calibri"/>
          <w:lang w:eastAsia="de-DE" w:bidi="de-DE"/>
        </w:rPr>
      </w:pPr>
      <w:r w:rsidRPr="00A21F71">
        <w:rPr>
          <w:rFonts w:eastAsia="Calibri"/>
          <w:lang w:eastAsia="de-DE" w:bidi="de-DE"/>
        </w:rPr>
        <w:tab/>
        <w:t>Eine Ermäßigung wird Arbeitnehmern gewährt, die im Besteuerungszeitraum Überarbeit geleistet haben, die aufgrund von Artikel 29 des Gesetzes vom 16. März 1971 über die Arbeit oder Artikel 7 des Königlichen Erlasses Nr. 213 vom 26. September 1983 über die Arbeitszeit in den Unternehmen, die der Paritätischen Kommission für das Bauwesen unterstehen, zu einer Lohnzulage berechtigt, und die:</w:t>
      </w:r>
    </w:p>
    <w:p w14:paraId="50B36C79" w14:textId="77777777" w:rsidR="007A5656" w:rsidRPr="00A21F71" w:rsidRDefault="007A5656" w:rsidP="007A5656">
      <w:pPr>
        <w:jc w:val="both"/>
        <w:rPr>
          <w:rFonts w:eastAsia="Calibri"/>
          <w:lang w:eastAsia="de-DE" w:bidi="de-DE"/>
        </w:rPr>
      </w:pPr>
    </w:p>
    <w:p w14:paraId="0E555027" w14:textId="77777777" w:rsidR="007A5656" w:rsidRPr="00A21F71" w:rsidRDefault="007A5656" w:rsidP="007A5656">
      <w:pPr>
        <w:jc w:val="both"/>
        <w:rPr>
          <w:rFonts w:eastAsia="Calibri"/>
          <w:lang w:eastAsia="de-DE" w:bidi="de-DE"/>
        </w:rPr>
      </w:pPr>
      <w:r w:rsidRPr="00A21F71">
        <w:rPr>
          <w:rFonts w:eastAsia="Calibri"/>
          <w:lang w:eastAsia="de-DE" w:bidi="de-DE"/>
        </w:rPr>
        <w:tab/>
        <w:t>1. entweder dem Gesetz vom 16. März 1971 über die Arbeit unterliegen und von einem Arbeitgeber beschäftigt werden, der dem Gesetz vom 5. Dezember 1968 über die kollektiven Arbeitsabkommen und die paritätischen Kommissionen unterliegt,</w:t>
      </w:r>
    </w:p>
    <w:p w14:paraId="79F094BF" w14:textId="77777777" w:rsidR="007A5656" w:rsidRPr="00A21F71" w:rsidRDefault="007A5656" w:rsidP="007A5656">
      <w:pPr>
        <w:jc w:val="both"/>
        <w:rPr>
          <w:rFonts w:eastAsia="Calibri"/>
          <w:lang w:eastAsia="de-DE" w:bidi="de-DE"/>
        </w:rPr>
      </w:pPr>
    </w:p>
    <w:p w14:paraId="1D876683" w14:textId="77777777" w:rsidR="007A5656" w:rsidRPr="00A21F71" w:rsidRDefault="007A5656" w:rsidP="007A5656">
      <w:pPr>
        <w:jc w:val="both"/>
        <w:rPr>
          <w:rFonts w:eastAsia="Calibri"/>
          <w:lang w:eastAsia="de-DE" w:bidi="de-DE"/>
        </w:rPr>
      </w:pPr>
      <w:r w:rsidRPr="00A21F71">
        <w:rPr>
          <w:rFonts w:eastAsia="Calibri"/>
          <w:lang w:eastAsia="de-DE" w:bidi="de-DE"/>
        </w:rPr>
        <w:tab/>
        <w:t>2. oder als vertraglich oder statutarisch angestellte Arbeitnehmer von einem der folgenden autonomen öffentlichen Unternehmen beschäftigt werden: der öffentlich-rechtli</w:t>
      </w:r>
      <w:r>
        <w:rPr>
          <w:rFonts w:eastAsia="Calibri"/>
          <w:lang w:eastAsia="de-DE" w:bidi="de-DE"/>
        </w:rPr>
        <w:t>chen Aktiengesellschaft Proximus</w:t>
      </w:r>
      <w:r w:rsidRPr="00A21F71">
        <w:rPr>
          <w:rFonts w:eastAsia="Calibri"/>
          <w:lang w:eastAsia="de-DE" w:bidi="de-DE"/>
        </w:rPr>
        <w:t>, der öffentlich-rechtlichen Aktiengesellschaft bpost, der öffentlich-rechtlichen Aktiengesellschaft NGBE und der öffentlich-rechtlichen Aktien</w:t>
      </w:r>
      <w:r w:rsidRPr="00A21F71">
        <w:rPr>
          <w:rFonts w:eastAsia="Calibri"/>
          <w:lang w:eastAsia="de-DE" w:bidi="de-DE"/>
        </w:rPr>
        <w:softHyphen/>
        <w:t>gesellschaft Infrabel,</w:t>
      </w:r>
    </w:p>
    <w:p w14:paraId="6E7484A2" w14:textId="77777777" w:rsidR="007A5656" w:rsidRPr="00A21F71" w:rsidRDefault="007A5656" w:rsidP="007A5656">
      <w:pPr>
        <w:jc w:val="both"/>
        <w:rPr>
          <w:rFonts w:eastAsia="Calibri"/>
          <w:lang w:eastAsia="de-DE" w:bidi="de-DE"/>
        </w:rPr>
      </w:pPr>
    </w:p>
    <w:p w14:paraId="07111AEA" w14:textId="77777777" w:rsidR="007A5656" w:rsidRPr="00A21F71" w:rsidRDefault="007A5656" w:rsidP="007A5656">
      <w:pPr>
        <w:jc w:val="both"/>
        <w:rPr>
          <w:rFonts w:eastAsia="Calibri"/>
          <w:lang w:eastAsia="de-DE" w:bidi="de-DE"/>
        </w:rPr>
      </w:pPr>
      <w:r w:rsidRPr="00A21F71">
        <w:rPr>
          <w:rFonts w:eastAsia="Calibri"/>
          <w:lang w:eastAsia="de-DE" w:bidi="de-DE"/>
        </w:rPr>
        <w:tab/>
        <w:t>3. oder als vertraglich oder statutarisch angestellte Arbeitnehmer von der öffentlich-rechtlichen Aktiengesellschaft HR Rail beschäftigt werden.</w:t>
      </w:r>
    </w:p>
    <w:p w14:paraId="36423164"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246D8D84"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Diese Ermäßigung wird nur auf die Berechnungsgrundlage für die Lohnzulage in Bezug auf die ersten hundertdreißig Stunden pro Jahr angewandt, die der Arbeitnehmer als Überarbeit geleistet hat.</w:t>
      </w:r>
    </w:p>
    <w:p w14:paraId="19DABFAC" w14:textId="77777777" w:rsidR="007A5656" w:rsidRPr="00A21F71" w:rsidRDefault="007A5656" w:rsidP="007A5656">
      <w:pPr>
        <w:jc w:val="both"/>
        <w:rPr>
          <w:rFonts w:eastAsia="Calibri"/>
          <w:lang w:eastAsia="de-DE" w:bidi="de-DE"/>
        </w:rPr>
      </w:pPr>
    </w:p>
    <w:p w14:paraId="77F7DE3B" w14:textId="77777777" w:rsidR="007A5656" w:rsidRDefault="007A5656" w:rsidP="007A5656">
      <w:pPr>
        <w:jc w:val="both"/>
        <w:rPr>
          <w:rFonts w:eastAsia="Calibri"/>
          <w:lang w:eastAsia="de-DE" w:bidi="de-DE"/>
        </w:rPr>
      </w:pPr>
      <w:r w:rsidRPr="00A21F71">
        <w:rPr>
          <w:rFonts w:eastAsia="Calibri"/>
          <w:lang w:eastAsia="de-DE" w:bidi="de-DE"/>
        </w:rPr>
        <w:tab/>
        <w:t>Die in Absatz 2 bestimmte Höchstanzahl von hundertdreißig Stunden Überarbeit wird auf hu</w:t>
      </w:r>
      <w:r>
        <w:rPr>
          <w:rFonts w:eastAsia="Calibri"/>
          <w:lang w:eastAsia="de-DE" w:bidi="de-DE"/>
        </w:rPr>
        <w:t xml:space="preserve">ndertachtzig Stunden erhöht für </w:t>
      </w:r>
      <w:r w:rsidRPr="00A21F71">
        <w:rPr>
          <w:rFonts w:eastAsia="Calibri"/>
          <w:lang w:eastAsia="de-DE" w:bidi="de-DE"/>
        </w:rPr>
        <w:t>Arbeitnehmer, die von Arbeitgebern beschäftigt werden, die Immobilienarbeiten ausführen, unter der Bedingung, dass diese Arbeitgeber ein elektronisches System zur Registrierung der Anwesenheiten benutzen, das in Kapitel 5 Abschnitt 4 des Gesetzes vom 4. August 1996 über das Wohlbefinden der Arbeitnehmer bei der Ausführung ihrer Arbeit erwähnt ist.</w:t>
      </w:r>
    </w:p>
    <w:p w14:paraId="7B1578D6" w14:textId="77777777" w:rsidR="007A5656" w:rsidRDefault="007A5656" w:rsidP="007A5656">
      <w:pPr>
        <w:jc w:val="both"/>
        <w:rPr>
          <w:rFonts w:eastAsia="Calibri"/>
          <w:lang w:eastAsia="de-DE" w:bidi="de-DE"/>
        </w:rPr>
      </w:pPr>
    </w:p>
    <w:p w14:paraId="01C9B03E" w14:textId="77777777" w:rsidR="007A5656" w:rsidRPr="002750E7" w:rsidRDefault="007A5656" w:rsidP="007A5656">
      <w:pPr>
        <w:jc w:val="both"/>
      </w:pPr>
      <w:r>
        <w:tab/>
      </w:r>
      <w:r w:rsidRPr="002750E7">
        <w:t>Die in Absatz 2 bestimmte Höchstanzahl von hundertdreißig Stunden Überarbeit wird auf dreihundertsechzig Stunden erhöht für Arbeitnehmer, die von Arbeitgebern beschäftigt werden, die der Paritätischen Kommission für das Hotelgewerbe oder der Paritätischen Kommission für Leiharbeit unterstehen, sofern der Entleiher der Paritätischen Kommission für das Hotelgewerbe untersteht.</w:t>
      </w:r>
    </w:p>
    <w:p w14:paraId="317AEFCC" w14:textId="77777777" w:rsidR="007A5656" w:rsidRPr="002750E7" w:rsidRDefault="007A5656" w:rsidP="007A5656">
      <w:pPr>
        <w:jc w:val="both"/>
      </w:pPr>
    </w:p>
    <w:p w14:paraId="544E4492" w14:textId="77777777" w:rsidR="007A5656" w:rsidRPr="002750E7" w:rsidRDefault="007A5656" w:rsidP="007A5656">
      <w:pPr>
        <w:jc w:val="both"/>
      </w:pPr>
      <w:r w:rsidRPr="002750E7">
        <w:tab/>
        <w:t>Die Steuerermäßigung ist nicht auf Überarbeit anwendbar, die für die Anwendung von Artikel 38 § 1 Absatz 1 Nr. 30 des Einkommensteuergesetzbuches 1992 (EStGB 92) in Betracht kommt.</w:t>
      </w:r>
    </w:p>
    <w:p w14:paraId="59A96F40" w14:textId="77777777" w:rsidR="007A5656" w:rsidRPr="00A21F71" w:rsidRDefault="007A5656" w:rsidP="007A5656">
      <w:pPr>
        <w:rPr>
          <w:rFonts w:eastAsia="Calibri"/>
          <w:lang w:eastAsia="de-DE" w:bidi="de-DE"/>
        </w:rPr>
      </w:pPr>
    </w:p>
    <w:p w14:paraId="541DDEC3" w14:textId="77777777" w:rsidR="007A5656" w:rsidRPr="00A21F71" w:rsidRDefault="007A5656" w:rsidP="007A5656">
      <w:pPr>
        <w:jc w:val="both"/>
        <w:rPr>
          <w:rFonts w:eastAsia="Calibri"/>
          <w:lang w:eastAsia="de-DE" w:bidi="de-DE"/>
        </w:rPr>
      </w:pPr>
      <w:r w:rsidRPr="00A21F71">
        <w:rPr>
          <w:rFonts w:eastAsia="Calibri"/>
          <w:lang w:eastAsia="de-DE" w:bidi="de-DE"/>
        </w:rPr>
        <w:tab/>
        <w:t>Die Ermäßigung wird nach den in den Buchstaben a), b) und c) erwähnten Ermäßigungen angewandt und beträgt:</w:t>
      </w:r>
    </w:p>
    <w:p w14:paraId="18F7C9FD" w14:textId="77777777" w:rsidR="007A5656" w:rsidRPr="00A21F71" w:rsidRDefault="007A5656" w:rsidP="007A5656">
      <w:pPr>
        <w:jc w:val="both"/>
        <w:rPr>
          <w:rFonts w:eastAsia="Calibri"/>
          <w:lang w:eastAsia="de-DE" w:bidi="de-DE"/>
        </w:rPr>
      </w:pPr>
    </w:p>
    <w:p w14:paraId="750CBF01" w14:textId="77777777" w:rsidR="007A5656" w:rsidRPr="00A21F71" w:rsidRDefault="007A5656" w:rsidP="007A5656">
      <w:pPr>
        <w:jc w:val="both"/>
        <w:rPr>
          <w:rFonts w:eastAsia="Calibri"/>
          <w:lang w:eastAsia="de-DE" w:bidi="de-DE"/>
        </w:rPr>
      </w:pPr>
      <w:r w:rsidRPr="00A21F71">
        <w:rPr>
          <w:rFonts w:eastAsia="Calibri"/>
          <w:lang w:eastAsia="de-DE" w:bidi="de-DE"/>
        </w:rPr>
        <w:tab/>
        <w:t>- für geleistete Stunden, auf die eine gesetzliche Lohnzulage von 50 oder 100 Prozent anwendbar ist: 57,75 Prozent,</w:t>
      </w:r>
    </w:p>
    <w:p w14:paraId="0508903D" w14:textId="77777777" w:rsidR="007A5656" w:rsidRPr="00A21F71" w:rsidRDefault="007A5656" w:rsidP="007A5656">
      <w:pPr>
        <w:jc w:val="both"/>
        <w:rPr>
          <w:rFonts w:eastAsia="Calibri"/>
          <w:lang w:eastAsia="de-DE" w:bidi="de-DE"/>
        </w:rPr>
      </w:pPr>
    </w:p>
    <w:p w14:paraId="349225D7" w14:textId="77777777" w:rsidR="007A5656" w:rsidRPr="00A21F71" w:rsidRDefault="007A5656" w:rsidP="007A5656">
      <w:pPr>
        <w:jc w:val="both"/>
        <w:rPr>
          <w:rFonts w:eastAsia="Calibri"/>
          <w:lang w:eastAsia="de-DE" w:bidi="de-DE"/>
        </w:rPr>
      </w:pPr>
      <w:r w:rsidRPr="00A21F71">
        <w:rPr>
          <w:rFonts w:eastAsia="Calibri"/>
          <w:lang w:eastAsia="de-DE" w:bidi="de-DE"/>
        </w:rPr>
        <w:tab/>
        <w:t>- für geleistete Stunden, auf die eine gesetzliche Lohnzulage von 20 Prozent anwendbar ist: 66,81 Prozent</w:t>
      </w:r>
    </w:p>
    <w:p w14:paraId="65C26CFD" w14:textId="77777777" w:rsidR="007A5656" w:rsidRPr="00A21F71" w:rsidRDefault="007A5656" w:rsidP="007A5656">
      <w:pPr>
        <w:jc w:val="both"/>
        <w:rPr>
          <w:rFonts w:eastAsia="Calibri"/>
          <w:lang w:eastAsia="de-DE" w:bidi="de-DE"/>
        </w:rPr>
      </w:pPr>
    </w:p>
    <w:p w14:paraId="6EDC157A" w14:textId="77777777" w:rsidR="007A5656" w:rsidRPr="00A21F71" w:rsidRDefault="007A5656" w:rsidP="007A5656">
      <w:pPr>
        <w:jc w:val="both"/>
        <w:rPr>
          <w:rFonts w:eastAsia="Calibri"/>
          <w:lang w:eastAsia="de-DE" w:bidi="de-DE"/>
        </w:rPr>
      </w:pPr>
      <w:r w:rsidRPr="00A21F71">
        <w:rPr>
          <w:rFonts w:eastAsia="Calibri"/>
          <w:lang w:eastAsia="de-DE" w:bidi="de-DE"/>
        </w:rPr>
        <w:tab/>
        <w:t>des "Bruttosozialbetrags" der Entlohnungen (also vor Abzug der in Ausführung der sozialen Rechtsvorschriften oder eines damit gleichgesetzten gesetzlichen oder verordnungsrechtlichen Statuts vorgeschriebenen Einbehaltungen), der als Berechnungs</w:t>
      </w:r>
      <w:r w:rsidRPr="00A21F71">
        <w:rPr>
          <w:rFonts w:eastAsia="Calibri"/>
          <w:lang w:eastAsia="de-DE" w:bidi="de-DE"/>
        </w:rPr>
        <w:softHyphen/>
        <w:t>grundlage für die Festlegung der Lohnzulage gedient hat.</w:t>
      </w:r>
    </w:p>
    <w:p w14:paraId="0C30D4EC" w14:textId="77777777" w:rsidR="007A5656" w:rsidRPr="00A21F71" w:rsidRDefault="007A5656" w:rsidP="007A5656">
      <w:pPr>
        <w:jc w:val="both"/>
        <w:rPr>
          <w:rFonts w:eastAsia="Calibri"/>
          <w:lang w:eastAsia="de-DE" w:bidi="de-DE"/>
        </w:rPr>
      </w:pPr>
    </w:p>
    <w:p w14:paraId="48650EEA"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e) </w:t>
      </w:r>
      <w:r w:rsidRPr="00A21F71">
        <w:rPr>
          <w:rFonts w:eastAsia="Calibri"/>
          <w:i/>
          <w:u w:val="dotted"/>
          <w:lang w:eastAsia="de-DE" w:bidi="de-DE"/>
        </w:rPr>
        <w:t>Ermäßigung des Berufssteuervorabzugs auf Entlohnungen von Arbeitnehmern mit niedrigem oder mittlerem Einkommen, die Anspruch auf einen erhöhten Steuerfreibetrag haben</w:t>
      </w:r>
    </w:p>
    <w:p w14:paraId="67FA1526" w14:textId="77777777" w:rsidR="007A5656" w:rsidRPr="00A21F71" w:rsidRDefault="007A5656" w:rsidP="007A5656">
      <w:pPr>
        <w:jc w:val="both"/>
        <w:rPr>
          <w:rFonts w:eastAsia="Calibri"/>
          <w:lang w:eastAsia="de-DE" w:bidi="de-DE"/>
        </w:rPr>
      </w:pPr>
    </w:p>
    <w:p w14:paraId="000A5376" w14:textId="77777777" w:rsidR="007A5656" w:rsidRPr="00A21F71" w:rsidRDefault="007A5656" w:rsidP="007A5656">
      <w:pPr>
        <w:jc w:val="both"/>
        <w:rPr>
          <w:rFonts w:eastAsia="Calibri"/>
          <w:lang w:eastAsia="de-DE" w:bidi="de-DE"/>
        </w:rPr>
      </w:pPr>
      <w:r w:rsidRPr="00A21F71">
        <w:rPr>
          <w:rFonts w:eastAsia="Calibri"/>
          <w:lang w:eastAsia="de-DE" w:bidi="de-DE"/>
        </w:rPr>
        <w:tab/>
        <w:t>Diese Ermäßigung ist anwendbar, wenn die steuerpflichtige Entlohnung des betreffende</w:t>
      </w:r>
      <w:r>
        <w:rPr>
          <w:rFonts w:eastAsia="Calibri"/>
          <w:lang w:eastAsia="de-DE" w:bidi="de-DE"/>
        </w:rPr>
        <w:t>n Arbeitnehmers 2.417,96</w:t>
      </w:r>
      <w:r w:rsidRPr="00A21F71">
        <w:rPr>
          <w:rFonts w:eastAsia="Calibri"/>
          <w:lang w:eastAsia="de-DE" w:bidi="de-DE"/>
        </w:rPr>
        <w:t> EUR nicht übersteigt.</w:t>
      </w:r>
    </w:p>
    <w:p w14:paraId="273084A0" w14:textId="77777777" w:rsidR="007A5656" w:rsidRPr="00A21F71" w:rsidRDefault="007A5656" w:rsidP="007A5656">
      <w:pPr>
        <w:jc w:val="both"/>
        <w:rPr>
          <w:rFonts w:eastAsia="Calibri"/>
          <w:lang w:eastAsia="de-DE" w:bidi="de-DE"/>
        </w:rPr>
      </w:pPr>
    </w:p>
    <w:p w14:paraId="0B5CAECB" w14:textId="77777777" w:rsidR="007A5656" w:rsidRPr="00A21F71" w:rsidRDefault="007A5656" w:rsidP="007A5656">
      <w:pPr>
        <w:jc w:val="both"/>
        <w:rPr>
          <w:rFonts w:eastAsia="Calibri"/>
          <w:lang w:eastAsia="de-DE" w:bidi="de-DE"/>
        </w:rPr>
      </w:pPr>
      <w:r w:rsidRPr="00A21F71">
        <w:rPr>
          <w:rFonts w:eastAsia="Calibri"/>
          <w:lang w:eastAsia="de-DE" w:bidi="de-DE"/>
        </w:rPr>
        <w:tab/>
        <w:t>Die Ermäßigung wird nach den in den Buchstaben a) bis d) erwähnten Ermäßigungen angewandt und beträgt 6,46 EUR.</w:t>
      </w:r>
    </w:p>
    <w:p w14:paraId="7DAA597D"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0B381603"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 xml:space="preserve">f) </w:t>
      </w:r>
      <w:r w:rsidRPr="00A21F71">
        <w:rPr>
          <w:rFonts w:eastAsia="Calibri"/>
          <w:i/>
          <w:u w:val="dotted"/>
          <w:lang w:eastAsia="de-DE" w:bidi="de-DE"/>
        </w:rPr>
        <w:t>Ermäßigung des Berufssteuervorabzugs auf Entlohnungen von natürlichen Personen mit niedrigem Einkommen, die anders als aufgrund eines Arbeitsvertrags im öffentlichen Sektor Arbeitsleistungen erbringen</w:t>
      </w:r>
    </w:p>
    <w:p w14:paraId="01B11F79" w14:textId="77777777" w:rsidR="007A5656" w:rsidRPr="00A21F71" w:rsidRDefault="007A5656" w:rsidP="007A5656">
      <w:pPr>
        <w:jc w:val="both"/>
        <w:rPr>
          <w:rFonts w:eastAsia="Calibri"/>
          <w:lang w:eastAsia="de-DE" w:bidi="de-DE"/>
        </w:rPr>
      </w:pPr>
    </w:p>
    <w:p w14:paraId="03112925" w14:textId="77777777" w:rsidR="007A5656" w:rsidRPr="00A21F71" w:rsidRDefault="007A5656" w:rsidP="007A5656">
      <w:pPr>
        <w:jc w:val="both"/>
        <w:rPr>
          <w:rFonts w:eastAsia="Calibri"/>
          <w:lang w:eastAsia="de-DE" w:bidi="de-DE"/>
        </w:rPr>
      </w:pPr>
      <w:r w:rsidRPr="00A21F71">
        <w:rPr>
          <w:rFonts w:eastAsia="Calibri"/>
          <w:lang w:eastAsia="de-DE" w:bidi="de-DE"/>
        </w:rPr>
        <w:tab/>
        <w:t>Eine Ermäßigung wird Personen gewährt, die als statutarische Bedienstete, Personalmitglieder auf Probe oder zeitweilige Bedienstete im Dienst des Staates, der Gemeinschaften, der Regionen, der Provinzen, der den Provinzen untergeordneten Einrichtungen, der Gemeinden und der den Gemeinden untergeordneten Einrichtungen stehen, die nicht aufgrund eines Arbeitsvertrags angestellt sind und die eine steuerpflichti</w:t>
      </w:r>
      <w:r>
        <w:rPr>
          <w:rFonts w:eastAsia="Calibri"/>
          <w:lang w:eastAsia="de-DE" w:bidi="de-DE"/>
        </w:rPr>
        <w:t>ge Entlohnung von mindestens 565,02 EUR und höchstens 2.027,86</w:t>
      </w:r>
      <w:r w:rsidRPr="00A21F71">
        <w:rPr>
          <w:rFonts w:eastAsia="Calibri"/>
          <w:lang w:eastAsia="de-DE" w:bidi="de-DE"/>
        </w:rPr>
        <w:t> EUR beziehen.</w:t>
      </w:r>
    </w:p>
    <w:p w14:paraId="44642F29" w14:textId="77777777" w:rsidR="007A5656" w:rsidRPr="00A21F71" w:rsidRDefault="007A5656" w:rsidP="007A5656">
      <w:pPr>
        <w:rPr>
          <w:rFonts w:eastAsia="Calibri"/>
          <w:lang w:eastAsia="de-DE" w:bidi="de-DE"/>
        </w:rPr>
      </w:pPr>
    </w:p>
    <w:p w14:paraId="527203A4" w14:textId="77777777" w:rsidR="007A5656" w:rsidRPr="00A21F71" w:rsidRDefault="007A5656" w:rsidP="007A5656">
      <w:pPr>
        <w:jc w:val="both"/>
        <w:rPr>
          <w:rFonts w:eastAsia="Calibri"/>
          <w:lang w:eastAsia="de-DE" w:bidi="de-DE"/>
        </w:rPr>
      </w:pPr>
      <w:r w:rsidRPr="00A21F71">
        <w:rPr>
          <w:rFonts w:eastAsia="Calibri"/>
          <w:lang w:eastAsia="de-DE" w:bidi="de-DE"/>
        </w:rPr>
        <w:tab/>
        <w:t>Die Ermäßigung wird nach den in den Buchstaben a) bis e) erwähnten Ermäßigungen angewandt und beträgt 5,83 EUR.</w:t>
      </w:r>
    </w:p>
    <w:p w14:paraId="7B029546" w14:textId="77777777" w:rsidR="007A5656" w:rsidRPr="00A21F71" w:rsidRDefault="007A5656" w:rsidP="007A5656">
      <w:pPr>
        <w:jc w:val="both"/>
        <w:rPr>
          <w:rFonts w:eastAsia="Calibri"/>
          <w:lang w:eastAsia="de-DE" w:bidi="de-DE"/>
        </w:rPr>
      </w:pPr>
    </w:p>
    <w:p w14:paraId="2D259172"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g) </w:t>
      </w:r>
      <w:r w:rsidRPr="00A21F71">
        <w:rPr>
          <w:rFonts w:eastAsia="Calibri"/>
          <w:i/>
          <w:u w:val="dotted"/>
          <w:lang w:eastAsia="de-DE" w:bidi="de-DE"/>
        </w:rPr>
        <w:t>Ermäßigung des Berufssteuervorabzugs auf Entlohnungen von Arbeitnehmern mit niedrigem Einkommen, die Anspruch auf einen Arbeitsbonus haben</w:t>
      </w:r>
    </w:p>
    <w:p w14:paraId="1549955D" w14:textId="77777777" w:rsidR="007A5656" w:rsidRPr="00A21F71" w:rsidRDefault="007A5656" w:rsidP="007A5656">
      <w:pPr>
        <w:jc w:val="both"/>
        <w:rPr>
          <w:rFonts w:eastAsia="Calibri"/>
          <w:lang w:eastAsia="de-DE" w:bidi="de-DE"/>
        </w:rPr>
      </w:pPr>
    </w:p>
    <w:p w14:paraId="42F3C72F" w14:textId="77777777" w:rsidR="007A5656" w:rsidRPr="00A21F71" w:rsidRDefault="007A5656" w:rsidP="007A5656">
      <w:pPr>
        <w:jc w:val="both"/>
        <w:rPr>
          <w:rFonts w:eastAsia="Calibri"/>
          <w:lang w:eastAsia="de-DE" w:bidi="de-DE"/>
        </w:rPr>
      </w:pPr>
      <w:r w:rsidRPr="00A21F71">
        <w:rPr>
          <w:rFonts w:eastAsia="Calibri"/>
          <w:lang w:eastAsia="de-DE" w:bidi="de-DE"/>
        </w:rPr>
        <w:tab/>
        <w:t>Eine Ermäßigung wird Arbeitnehmern gewährt, die Anspruch auf einen Arbeitsbonus haben aufgrund von Artikel 2 des Gesetzes vom 20. Dezember 1999 zur Gewährung eines Arbeitsbonus in der Form einer Ermäßigung der persönlichen Sozialversicherungsbeiträge an die Lohnempfänger mit Niedriglöhnen und an bestimmte Arbeitnehmer, die Opfer einer Umstrukturierung gewesen sind.</w:t>
      </w:r>
    </w:p>
    <w:p w14:paraId="1D2D2AF8" w14:textId="77777777" w:rsidR="007A5656" w:rsidRPr="00A21F71" w:rsidRDefault="007A5656" w:rsidP="007A5656">
      <w:pPr>
        <w:jc w:val="both"/>
        <w:rPr>
          <w:rFonts w:eastAsia="Calibri"/>
          <w:lang w:eastAsia="de-DE" w:bidi="de-DE"/>
        </w:rPr>
      </w:pPr>
    </w:p>
    <w:p w14:paraId="68D63E37" w14:textId="77777777" w:rsidR="007A5656" w:rsidRPr="00A21F71" w:rsidRDefault="007A5656" w:rsidP="007A5656">
      <w:pPr>
        <w:jc w:val="both"/>
        <w:rPr>
          <w:rFonts w:eastAsia="Calibri"/>
          <w:lang w:eastAsia="de-DE" w:bidi="de-DE"/>
        </w:rPr>
      </w:pPr>
      <w:r w:rsidRPr="00A21F71">
        <w:rPr>
          <w:rFonts w:eastAsia="Calibri"/>
          <w:lang w:eastAsia="de-DE" w:bidi="de-DE"/>
        </w:rPr>
        <w:tab/>
        <w:t>Die Ermäßigung wird nach den in den Buchstaben a) bis f) erwähnten Ermäßigu</w:t>
      </w:r>
      <w:r>
        <w:rPr>
          <w:rFonts w:eastAsia="Calibri"/>
          <w:lang w:eastAsia="de-DE" w:bidi="de-DE"/>
        </w:rPr>
        <w:t>ngen angewandt und beträgt 28,03</w:t>
      </w:r>
      <w:r w:rsidRPr="00A21F71">
        <w:rPr>
          <w:rFonts w:eastAsia="Calibri"/>
          <w:lang w:eastAsia="de-DE" w:bidi="de-DE"/>
        </w:rPr>
        <w:t> Prozent des Betrags des tatsächlich gewährten Arbeitsbonus.</w:t>
      </w:r>
    </w:p>
    <w:p w14:paraId="7E1DA0D0" w14:textId="77777777" w:rsidR="007A5656" w:rsidRPr="00A21F71" w:rsidRDefault="007A5656" w:rsidP="007A5656">
      <w:pPr>
        <w:jc w:val="both"/>
        <w:rPr>
          <w:rFonts w:eastAsia="Calibri"/>
          <w:lang w:eastAsia="de-DE" w:bidi="de-DE"/>
        </w:rPr>
      </w:pPr>
    </w:p>
    <w:p w14:paraId="51AF4DCA" w14:textId="77777777" w:rsidR="007A5656" w:rsidRPr="00A21F71" w:rsidRDefault="007A5656" w:rsidP="007A5656">
      <w:pPr>
        <w:jc w:val="both"/>
        <w:rPr>
          <w:rFonts w:eastAsia="Calibri"/>
          <w:lang w:eastAsia="de-DE" w:bidi="de-DE"/>
        </w:rPr>
      </w:pPr>
      <w:r w:rsidRPr="00A21F71">
        <w:rPr>
          <w:rFonts w:eastAsia="Calibri"/>
          <w:lang w:eastAsia="de-DE" w:bidi="de-DE"/>
        </w:rPr>
        <w:tab/>
        <w:t>B. In Abweichung von Punkt A wird der Berufssteuervorabzug gemäß den in Nr. 2.3 vorgesehenen Regeln festgelegt, wenn der Ehepartner des Empfängers der Einkünfte eigene Berufseinkünfte bezieht, die sich ausschließlich aus Pensionen, Renten oder damit gleichgesetzten Einkünften zusammens</w:t>
      </w:r>
      <w:r>
        <w:rPr>
          <w:rFonts w:eastAsia="Calibri"/>
          <w:lang w:eastAsia="de-DE" w:bidi="de-DE"/>
        </w:rPr>
        <w:t>etzen und die nicht mehr als 132</w:t>
      </w:r>
      <w:r w:rsidRPr="00A21F71">
        <w:rPr>
          <w:rFonts w:eastAsia="Calibri"/>
          <w:lang w:eastAsia="de-DE" w:bidi="de-DE"/>
        </w:rPr>
        <w:t> EUR NETTO pro Monat betragen.</w:t>
      </w:r>
    </w:p>
    <w:p w14:paraId="4D480C88" w14:textId="77777777" w:rsidR="007A5656" w:rsidRPr="00A21F71" w:rsidRDefault="007A5656" w:rsidP="007A5656">
      <w:pPr>
        <w:jc w:val="both"/>
        <w:rPr>
          <w:rFonts w:eastAsia="Calibri"/>
          <w:lang w:eastAsia="de-DE" w:bidi="de-DE"/>
        </w:rPr>
      </w:pPr>
    </w:p>
    <w:p w14:paraId="6015A88D" w14:textId="77777777" w:rsidR="007A5656" w:rsidRPr="00A21F71" w:rsidRDefault="007A5656" w:rsidP="007A5656">
      <w:pPr>
        <w:jc w:val="both"/>
        <w:rPr>
          <w:rFonts w:eastAsia="Calibri"/>
          <w:lang w:eastAsia="de-DE" w:bidi="de-DE"/>
        </w:rPr>
      </w:pPr>
      <w:r w:rsidRPr="00A21F71">
        <w:rPr>
          <w:rFonts w:eastAsia="Calibri"/>
          <w:lang w:eastAsia="de-DE" w:bidi="de-DE"/>
        </w:rPr>
        <w:tab/>
        <w:t>Nettoberufseinkünfte werden gemäß den in Nr. 1.8 Punkt C vorgesehenen Regeln festgelegt.</w:t>
      </w:r>
    </w:p>
    <w:p w14:paraId="39F01FAF" w14:textId="77777777" w:rsidR="007A5656" w:rsidRPr="00A21F71" w:rsidRDefault="007A5656" w:rsidP="007A5656">
      <w:pPr>
        <w:jc w:val="both"/>
        <w:rPr>
          <w:rFonts w:eastAsia="Calibri"/>
          <w:lang w:eastAsia="de-DE" w:bidi="de-DE"/>
        </w:rPr>
      </w:pPr>
    </w:p>
    <w:p w14:paraId="4BFC5D15" w14:textId="77777777" w:rsidR="007A5656" w:rsidRPr="00A21F71" w:rsidRDefault="007A5656" w:rsidP="007A5656">
      <w:pPr>
        <w:jc w:val="both"/>
        <w:rPr>
          <w:rFonts w:eastAsia="Calibri"/>
          <w:lang w:eastAsia="de-DE" w:bidi="de-DE"/>
        </w:rPr>
      </w:pPr>
      <w:r w:rsidRPr="00A21F71">
        <w:rPr>
          <w:rFonts w:eastAsia="Calibri"/>
          <w:lang w:eastAsia="de-DE" w:bidi="de-DE"/>
        </w:rPr>
        <w:tab/>
        <w:t>2.3 Der Ehepartner des Empfängers der Einkünfte bezieht keine Berufseinkünfte (Tabelle II)</w:t>
      </w:r>
    </w:p>
    <w:p w14:paraId="2B8BC6AC" w14:textId="77777777" w:rsidR="007A5656" w:rsidRPr="00A21F71" w:rsidRDefault="007A5656" w:rsidP="007A5656">
      <w:pPr>
        <w:jc w:val="both"/>
        <w:rPr>
          <w:rFonts w:eastAsia="Calibri"/>
          <w:lang w:eastAsia="de-DE" w:bidi="de-DE"/>
        </w:rPr>
      </w:pPr>
    </w:p>
    <w:p w14:paraId="2C51785F" w14:textId="77777777" w:rsidR="007A5656" w:rsidRPr="00A21F71" w:rsidRDefault="007A5656" w:rsidP="007A5656">
      <w:pPr>
        <w:jc w:val="both"/>
        <w:rPr>
          <w:rFonts w:eastAsia="Calibri"/>
          <w:lang w:eastAsia="de-DE" w:bidi="de-DE"/>
        </w:rPr>
      </w:pPr>
      <w:r w:rsidRPr="00A21F71">
        <w:rPr>
          <w:rFonts w:eastAsia="Calibri"/>
          <w:lang w:eastAsia="de-DE" w:bidi="de-DE"/>
        </w:rPr>
        <w:tab/>
        <w:t>Beträgt die monatliche Bruttoentlohnung nicht mehr als 7.500 EUR, wird der Berufssteuervorabzug gemäß Tabelle II festgelegt.</w:t>
      </w:r>
    </w:p>
    <w:p w14:paraId="4C839DB7"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70466113"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Von dem gemäß dieser Tabelle festgelegten Berufssteuervorabzug werden dann folgende Ermäßigungen abgezogen:</w:t>
      </w:r>
    </w:p>
    <w:p w14:paraId="57070FCF" w14:textId="77777777" w:rsidR="007A5656" w:rsidRPr="00A21F71" w:rsidRDefault="007A5656" w:rsidP="007A5656">
      <w:pPr>
        <w:rPr>
          <w:rFonts w:eastAsia="Calibri"/>
          <w:lang w:eastAsia="de-DE" w:bidi="de-DE"/>
        </w:rPr>
      </w:pPr>
    </w:p>
    <w:p w14:paraId="44F6666B"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a) </w:t>
      </w:r>
      <w:r w:rsidRPr="00A21F71">
        <w:rPr>
          <w:rFonts w:eastAsia="Calibri"/>
          <w:i/>
          <w:u w:val="dotted"/>
          <w:lang w:eastAsia="de-DE" w:bidi="de-DE"/>
        </w:rPr>
        <w:t>Ermäßigung für Kinder zu Lasten</w:t>
      </w:r>
    </w:p>
    <w:p w14:paraId="3BC3F821"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4363"/>
      </w:tblGrid>
      <w:tr w:rsidR="007A5656" w:rsidRPr="00A21F71" w14:paraId="4994233A" w14:textId="77777777" w:rsidTr="00212CA2">
        <w:tc>
          <w:tcPr>
            <w:tcW w:w="4678" w:type="dxa"/>
            <w:vAlign w:val="center"/>
          </w:tcPr>
          <w:p w14:paraId="6812DAFC" w14:textId="77777777" w:rsidR="007A5656" w:rsidRPr="00A21F71" w:rsidRDefault="007A5656" w:rsidP="00212CA2">
            <w:pPr>
              <w:spacing w:before="120" w:after="120"/>
              <w:ind w:right="-108"/>
              <w:jc w:val="center"/>
              <w:rPr>
                <w:rFonts w:eastAsia="Calibri"/>
                <w:spacing w:val="-2"/>
                <w:sz w:val="22"/>
                <w:lang w:eastAsia="de-DE" w:bidi="de-DE"/>
              </w:rPr>
            </w:pPr>
            <w:r w:rsidRPr="00A21F71">
              <w:rPr>
                <w:rFonts w:eastAsia="Calibri"/>
                <w:spacing w:val="-2"/>
                <w:sz w:val="22"/>
                <w:lang w:eastAsia="de-DE" w:bidi="de-DE"/>
              </w:rPr>
              <w:t>ANZAHL KINDER ZU LASTEN (1)</w:t>
            </w:r>
          </w:p>
        </w:tc>
        <w:tc>
          <w:tcPr>
            <w:tcW w:w="4426" w:type="dxa"/>
            <w:vAlign w:val="center"/>
          </w:tcPr>
          <w:p w14:paraId="3667DCF3" w14:textId="77777777" w:rsidR="007A5656" w:rsidRPr="00A21F71" w:rsidRDefault="007A5656" w:rsidP="00212CA2">
            <w:pPr>
              <w:spacing w:before="120" w:after="120"/>
              <w:jc w:val="center"/>
              <w:rPr>
                <w:rFonts w:eastAsia="Calibri"/>
                <w:sz w:val="22"/>
                <w:lang w:eastAsia="de-DE" w:bidi="de-DE"/>
              </w:rPr>
            </w:pPr>
            <w:r w:rsidRPr="00A21F71">
              <w:rPr>
                <w:rFonts w:eastAsia="Calibri"/>
                <w:sz w:val="22"/>
                <w:lang w:eastAsia="de-DE" w:bidi="de-DE"/>
              </w:rPr>
              <w:t>ERMÄSSIGUNG</w:t>
            </w:r>
          </w:p>
        </w:tc>
      </w:tr>
      <w:tr w:rsidR="007A5656" w:rsidRPr="00A21F71" w14:paraId="651DB94F" w14:textId="77777777" w:rsidTr="00212CA2">
        <w:tc>
          <w:tcPr>
            <w:tcW w:w="4678" w:type="dxa"/>
            <w:vAlign w:val="center"/>
          </w:tcPr>
          <w:p w14:paraId="531856D0"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w:t>
            </w:r>
          </w:p>
        </w:tc>
        <w:tc>
          <w:tcPr>
            <w:tcW w:w="4426" w:type="dxa"/>
            <w:vAlign w:val="center"/>
          </w:tcPr>
          <w:p w14:paraId="67C7553B"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w:t>
            </w:r>
            <w:r>
              <w:rPr>
                <w:rFonts w:eastAsia="Calibri"/>
                <w:sz w:val="22"/>
                <w:lang w:eastAsia="de-DE" w:bidi="de-DE"/>
              </w:rPr>
              <w:t>5</w:t>
            </w:r>
            <w:r w:rsidRPr="00A21F71">
              <w:rPr>
                <w:rFonts w:eastAsia="Calibri"/>
                <w:sz w:val="22"/>
                <w:lang w:eastAsia="de-DE" w:bidi="de-DE"/>
              </w:rPr>
              <w:t>,00 EUR</w:t>
            </w:r>
          </w:p>
        </w:tc>
      </w:tr>
      <w:tr w:rsidR="007A5656" w:rsidRPr="00A21F71" w14:paraId="7809009B" w14:textId="77777777" w:rsidTr="00212CA2">
        <w:tc>
          <w:tcPr>
            <w:tcW w:w="4678" w:type="dxa"/>
            <w:vAlign w:val="center"/>
          </w:tcPr>
          <w:p w14:paraId="405AF5B9"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w:t>
            </w:r>
          </w:p>
        </w:tc>
        <w:tc>
          <w:tcPr>
            <w:tcW w:w="4426" w:type="dxa"/>
            <w:vAlign w:val="center"/>
          </w:tcPr>
          <w:p w14:paraId="7C9194DE" w14:textId="77777777" w:rsidR="007A5656" w:rsidRPr="00A21F71" w:rsidRDefault="007A5656" w:rsidP="00212CA2">
            <w:pPr>
              <w:jc w:val="center"/>
              <w:rPr>
                <w:rFonts w:eastAsia="Calibri"/>
                <w:sz w:val="22"/>
                <w:lang w:eastAsia="de-DE" w:bidi="de-DE"/>
              </w:rPr>
            </w:pPr>
            <w:r>
              <w:rPr>
                <w:rFonts w:eastAsia="Calibri"/>
                <w:sz w:val="22"/>
                <w:lang w:eastAsia="de-DE" w:bidi="de-DE"/>
              </w:rPr>
              <w:t>95</w:t>
            </w:r>
            <w:r w:rsidRPr="00A21F71">
              <w:rPr>
                <w:rFonts w:eastAsia="Calibri"/>
                <w:sz w:val="22"/>
                <w:lang w:eastAsia="de-DE" w:bidi="de-DE"/>
              </w:rPr>
              <w:t>,00 EUR</w:t>
            </w:r>
          </w:p>
        </w:tc>
      </w:tr>
      <w:tr w:rsidR="007A5656" w:rsidRPr="00A21F71" w14:paraId="44718B51" w14:textId="77777777" w:rsidTr="00212CA2">
        <w:tc>
          <w:tcPr>
            <w:tcW w:w="4678" w:type="dxa"/>
            <w:vAlign w:val="center"/>
          </w:tcPr>
          <w:p w14:paraId="0C69332C"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w:t>
            </w:r>
          </w:p>
        </w:tc>
        <w:tc>
          <w:tcPr>
            <w:tcW w:w="4426" w:type="dxa"/>
            <w:vAlign w:val="center"/>
          </w:tcPr>
          <w:p w14:paraId="3ADCD203" w14:textId="77777777" w:rsidR="007A5656" w:rsidRPr="00A21F71" w:rsidRDefault="007A5656" w:rsidP="00212CA2">
            <w:pPr>
              <w:jc w:val="center"/>
              <w:rPr>
                <w:rFonts w:eastAsia="Calibri"/>
                <w:sz w:val="22"/>
                <w:lang w:eastAsia="de-DE" w:bidi="de-DE"/>
              </w:rPr>
            </w:pPr>
            <w:r>
              <w:rPr>
                <w:rFonts w:eastAsia="Calibri"/>
                <w:sz w:val="22"/>
                <w:lang w:eastAsia="de-DE" w:bidi="de-DE"/>
              </w:rPr>
              <w:t>248</w:t>
            </w:r>
            <w:r w:rsidRPr="00A21F71">
              <w:rPr>
                <w:rFonts w:eastAsia="Calibri"/>
                <w:sz w:val="22"/>
                <w:lang w:eastAsia="de-DE" w:bidi="de-DE"/>
              </w:rPr>
              <w:t>,00 EUR</w:t>
            </w:r>
          </w:p>
        </w:tc>
      </w:tr>
      <w:tr w:rsidR="007A5656" w:rsidRPr="00A21F71" w14:paraId="79448ED1" w14:textId="77777777" w:rsidTr="00212CA2">
        <w:tc>
          <w:tcPr>
            <w:tcW w:w="4678" w:type="dxa"/>
            <w:vAlign w:val="center"/>
          </w:tcPr>
          <w:p w14:paraId="52FA6E2D"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w:t>
            </w:r>
          </w:p>
        </w:tc>
        <w:tc>
          <w:tcPr>
            <w:tcW w:w="4426" w:type="dxa"/>
            <w:vAlign w:val="center"/>
          </w:tcPr>
          <w:p w14:paraId="6C61A6B0"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45</w:t>
            </w:r>
            <w:r>
              <w:rPr>
                <w:rFonts w:eastAsia="Calibri"/>
                <w:sz w:val="22"/>
                <w:lang w:eastAsia="de-DE" w:bidi="de-DE"/>
              </w:rPr>
              <w:t>4</w:t>
            </w:r>
            <w:r w:rsidRPr="00A21F71">
              <w:rPr>
                <w:rFonts w:eastAsia="Calibri"/>
                <w:sz w:val="22"/>
                <w:lang w:eastAsia="de-DE" w:bidi="de-DE"/>
              </w:rPr>
              <w:t>,00 EUR</w:t>
            </w:r>
          </w:p>
        </w:tc>
      </w:tr>
      <w:tr w:rsidR="007A5656" w:rsidRPr="00A21F71" w14:paraId="1FEB174F" w14:textId="77777777" w:rsidTr="00212CA2">
        <w:tc>
          <w:tcPr>
            <w:tcW w:w="4678" w:type="dxa"/>
            <w:vAlign w:val="center"/>
          </w:tcPr>
          <w:p w14:paraId="5627E2E2"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5</w:t>
            </w:r>
          </w:p>
        </w:tc>
        <w:tc>
          <w:tcPr>
            <w:tcW w:w="4426" w:type="dxa"/>
            <w:vAlign w:val="center"/>
          </w:tcPr>
          <w:p w14:paraId="5337D4C9" w14:textId="77777777" w:rsidR="007A5656" w:rsidRPr="00A21F71" w:rsidRDefault="007A5656" w:rsidP="00212CA2">
            <w:pPr>
              <w:jc w:val="center"/>
              <w:rPr>
                <w:rFonts w:eastAsia="Calibri"/>
                <w:sz w:val="22"/>
                <w:lang w:eastAsia="de-DE" w:bidi="de-DE"/>
              </w:rPr>
            </w:pPr>
            <w:r>
              <w:rPr>
                <w:rFonts w:eastAsia="Calibri"/>
                <w:sz w:val="22"/>
                <w:lang w:eastAsia="de-DE" w:bidi="de-DE"/>
              </w:rPr>
              <w:t>6</w:t>
            </w:r>
            <w:r w:rsidRPr="00A21F71">
              <w:rPr>
                <w:rFonts w:eastAsia="Calibri"/>
                <w:sz w:val="22"/>
                <w:lang w:eastAsia="de-DE" w:bidi="de-DE"/>
              </w:rPr>
              <w:t>7</w:t>
            </w:r>
            <w:r>
              <w:rPr>
                <w:rFonts w:eastAsia="Calibri"/>
                <w:sz w:val="22"/>
                <w:lang w:eastAsia="de-DE" w:bidi="de-DE"/>
              </w:rPr>
              <w:t>1</w:t>
            </w:r>
            <w:r w:rsidRPr="00A21F71">
              <w:rPr>
                <w:rFonts w:eastAsia="Calibri"/>
                <w:sz w:val="22"/>
                <w:lang w:eastAsia="de-DE" w:bidi="de-DE"/>
              </w:rPr>
              <w:t>,00 EUR</w:t>
            </w:r>
          </w:p>
        </w:tc>
      </w:tr>
      <w:tr w:rsidR="007A5656" w:rsidRPr="00A21F71" w14:paraId="50DEA379" w14:textId="77777777" w:rsidTr="00212CA2">
        <w:tc>
          <w:tcPr>
            <w:tcW w:w="4678" w:type="dxa"/>
            <w:vAlign w:val="center"/>
          </w:tcPr>
          <w:p w14:paraId="18EA07F2"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6</w:t>
            </w:r>
          </w:p>
        </w:tc>
        <w:tc>
          <w:tcPr>
            <w:tcW w:w="4426" w:type="dxa"/>
            <w:vAlign w:val="center"/>
          </w:tcPr>
          <w:p w14:paraId="653F8503" w14:textId="77777777" w:rsidR="007A5656" w:rsidRPr="00A21F71" w:rsidRDefault="007A5656" w:rsidP="00212CA2">
            <w:pPr>
              <w:jc w:val="center"/>
              <w:rPr>
                <w:rFonts w:eastAsia="Calibri"/>
                <w:sz w:val="22"/>
                <w:lang w:eastAsia="de-DE" w:bidi="de-DE"/>
              </w:rPr>
            </w:pPr>
            <w:r>
              <w:rPr>
                <w:rFonts w:eastAsia="Calibri"/>
                <w:sz w:val="22"/>
                <w:lang w:eastAsia="de-DE" w:bidi="de-DE"/>
              </w:rPr>
              <w:t>887</w:t>
            </w:r>
            <w:r w:rsidRPr="00A21F71">
              <w:rPr>
                <w:rFonts w:eastAsia="Calibri"/>
                <w:sz w:val="22"/>
                <w:lang w:eastAsia="de-DE" w:bidi="de-DE"/>
              </w:rPr>
              <w:t>,00 EUR</w:t>
            </w:r>
          </w:p>
        </w:tc>
      </w:tr>
      <w:tr w:rsidR="007A5656" w:rsidRPr="00A21F71" w14:paraId="1D217041" w14:textId="77777777" w:rsidTr="00212CA2">
        <w:tc>
          <w:tcPr>
            <w:tcW w:w="4678" w:type="dxa"/>
            <w:vAlign w:val="center"/>
          </w:tcPr>
          <w:p w14:paraId="08323B91"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7</w:t>
            </w:r>
          </w:p>
        </w:tc>
        <w:tc>
          <w:tcPr>
            <w:tcW w:w="4426" w:type="dxa"/>
            <w:vAlign w:val="center"/>
          </w:tcPr>
          <w:p w14:paraId="0A23DEA7" w14:textId="77777777" w:rsidR="007A5656" w:rsidRPr="00A21F71" w:rsidRDefault="007A5656" w:rsidP="00212CA2">
            <w:pPr>
              <w:jc w:val="center"/>
              <w:rPr>
                <w:rFonts w:eastAsia="Calibri"/>
                <w:sz w:val="22"/>
                <w:lang w:eastAsia="de-DE" w:bidi="de-DE"/>
              </w:rPr>
            </w:pPr>
            <w:r>
              <w:rPr>
                <w:rFonts w:eastAsia="Calibri"/>
                <w:sz w:val="22"/>
                <w:lang w:eastAsia="de-DE" w:bidi="de-DE"/>
              </w:rPr>
              <w:t>1.105</w:t>
            </w:r>
            <w:r w:rsidRPr="00A21F71">
              <w:rPr>
                <w:rFonts w:eastAsia="Calibri"/>
                <w:sz w:val="22"/>
                <w:lang w:eastAsia="de-DE" w:bidi="de-DE"/>
              </w:rPr>
              <w:t>,00 EUR</w:t>
            </w:r>
          </w:p>
        </w:tc>
      </w:tr>
      <w:tr w:rsidR="007A5656" w:rsidRPr="00A21F71" w14:paraId="3A875FEB" w14:textId="77777777" w:rsidTr="00212CA2">
        <w:tc>
          <w:tcPr>
            <w:tcW w:w="4678" w:type="dxa"/>
            <w:vAlign w:val="center"/>
          </w:tcPr>
          <w:p w14:paraId="26DC414F"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8</w:t>
            </w:r>
          </w:p>
        </w:tc>
        <w:tc>
          <w:tcPr>
            <w:tcW w:w="4426" w:type="dxa"/>
            <w:vAlign w:val="center"/>
          </w:tcPr>
          <w:p w14:paraId="6AC2496A" w14:textId="77777777" w:rsidR="007A5656" w:rsidRPr="00A21F71" w:rsidRDefault="007A5656" w:rsidP="00212CA2">
            <w:pPr>
              <w:jc w:val="center"/>
              <w:rPr>
                <w:rFonts w:eastAsia="Calibri"/>
                <w:sz w:val="22"/>
                <w:lang w:eastAsia="de-DE" w:bidi="de-DE"/>
              </w:rPr>
            </w:pPr>
            <w:r>
              <w:rPr>
                <w:rFonts w:eastAsia="Calibri"/>
                <w:sz w:val="22"/>
                <w:lang w:eastAsia="de-DE" w:bidi="de-DE"/>
              </w:rPr>
              <w:t>1.344</w:t>
            </w:r>
            <w:r w:rsidRPr="00A21F71">
              <w:rPr>
                <w:rFonts w:eastAsia="Calibri"/>
                <w:sz w:val="22"/>
                <w:lang w:eastAsia="de-DE" w:bidi="de-DE"/>
              </w:rPr>
              <w:t>,00 EUR</w:t>
            </w:r>
          </w:p>
        </w:tc>
      </w:tr>
      <w:tr w:rsidR="007A5656" w:rsidRPr="00A21F71" w14:paraId="6FD9DD24" w14:textId="77777777" w:rsidTr="00212CA2">
        <w:tc>
          <w:tcPr>
            <w:tcW w:w="4678" w:type="dxa"/>
            <w:vAlign w:val="center"/>
          </w:tcPr>
          <w:p w14:paraId="7677903C"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mehr als 8</w:t>
            </w:r>
          </w:p>
        </w:tc>
        <w:tc>
          <w:tcPr>
            <w:tcW w:w="4426" w:type="dxa"/>
            <w:vAlign w:val="center"/>
          </w:tcPr>
          <w:p w14:paraId="63E55424" w14:textId="77777777" w:rsidR="007A5656" w:rsidRPr="00A21F71" w:rsidRDefault="007A5656" w:rsidP="00212CA2">
            <w:pPr>
              <w:jc w:val="center"/>
              <w:rPr>
                <w:rFonts w:eastAsia="Calibri"/>
                <w:sz w:val="22"/>
                <w:lang w:eastAsia="de-DE" w:bidi="de-DE"/>
              </w:rPr>
            </w:pPr>
            <w:r>
              <w:rPr>
                <w:rFonts w:eastAsia="Calibri"/>
                <w:sz w:val="22"/>
                <w:lang w:eastAsia="de-DE" w:bidi="de-DE"/>
              </w:rPr>
              <w:t>1.344,00 EUR erhöht um 246</w:t>
            </w:r>
            <w:r w:rsidRPr="00A21F71">
              <w:rPr>
                <w:rFonts w:eastAsia="Calibri"/>
                <w:sz w:val="22"/>
                <w:lang w:eastAsia="de-DE" w:bidi="de-DE"/>
              </w:rPr>
              <w:t>,00 EUR pro Kind zu Lasten nach dem achten Kind</w:t>
            </w:r>
          </w:p>
        </w:tc>
      </w:tr>
      <w:tr w:rsidR="007A5656" w:rsidRPr="00A21F71" w14:paraId="354FDC1E" w14:textId="77777777" w:rsidTr="00212CA2">
        <w:tc>
          <w:tcPr>
            <w:tcW w:w="9104" w:type="dxa"/>
            <w:gridSpan w:val="2"/>
          </w:tcPr>
          <w:p w14:paraId="140595C8" w14:textId="77777777" w:rsidR="007A5656" w:rsidRPr="00A21F71" w:rsidRDefault="007A5656" w:rsidP="00212CA2">
            <w:pPr>
              <w:rPr>
                <w:rFonts w:eastAsia="Calibri"/>
                <w:sz w:val="22"/>
                <w:lang w:eastAsia="de-DE" w:bidi="de-DE"/>
              </w:rPr>
            </w:pPr>
            <w:r w:rsidRPr="00A21F71">
              <w:rPr>
                <w:rFonts w:eastAsia="Calibri"/>
                <w:sz w:val="22"/>
                <w:lang w:eastAsia="de-DE" w:bidi="de-DE"/>
              </w:rPr>
              <w:t>(1) Ein behindertes Kind zu Lasten wird doppelt gezählt.</w:t>
            </w:r>
          </w:p>
        </w:tc>
      </w:tr>
    </w:tbl>
    <w:p w14:paraId="53BC4928" w14:textId="77777777" w:rsidR="007A5656" w:rsidRPr="00A21F71" w:rsidRDefault="007A5656" w:rsidP="007A5656">
      <w:pPr>
        <w:rPr>
          <w:rFonts w:eastAsia="Calibri"/>
          <w:lang w:eastAsia="de-DE" w:bidi="de-DE"/>
        </w:rPr>
      </w:pPr>
    </w:p>
    <w:p w14:paraId="794F70B3" w14:textId="77777777" w:rsidR="007A5656" w:rsidRPr="00A21F71" w:rsidRDefault="007A5656" w:rsidP="007A5656">
      <w:pPr>
        <w:rPr>
          <w:rFonts w:eastAsia="Calibri"/>
          <w:i/>
          <w:u w:val="dotted"/>
          <w:lang w:eastAsia="de-DE" w:bidi="de-DE"/>
        </w:rPr>
      </w:pPr>
      <w:r w:rsidRPr="00A21F71">
        <w:rPr>
          <w:rFonts w:eastAsia="Calibri"/>
          <w:lang w:eastAsia="de-DE" w:bidi="de-DE"/>
        </w:rPr>
        <w:tab/>
        <w:t xml:space="preserve">b) </w:t>
      </w:r>
      <w:r w:rsidRPr="00A21F71">
        <w:rPr>
          <w:rFonts w:eastAsia="Calibri"/>
          <w:i/>
          <w:u w:val="dotted"/>
          <w:lang w:eastAsia="de-DE" w:bidi="de-DE"/>
        </w:rPr>
        <w:t>Ermäßigungen für andere Familienlasten</w:t>
      </w:r>
    </w:p>
    <w:p w14:paraId="77A375D0"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9"/>
        <w:gridCol w:w="2825"/>
      </w:tblGrid>
      <w:tr w:rsidR="007A5656" w:rsidRPr="00A21F71" w14:paraId="0A2CAF55" w14:textId="77777777" w:rsidTr="00212CA2">
        <w:tc>
          <w:tcPr>
            <w:tcW w:w="6237" w:type="dxa"/>
            <w:vAlign w:val="center"/>
          </w:tcPr>
          <w:p w14:paraId="54EBB741"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GRUND FÜR DIE ERMÄSSIGUNG</w:t>
            </w:r>
          </w:p>
        </w:tc>
        <w:tc>
          <w:tcPr>
            <w:tcW w:w="2867" w:type="dxa"/>
            <w:vAlign w:val="center"/>
          </w:tcPr>
          <w:p w14:paraId="71E21AD7"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ERMÄSSIGUNG (1)</w:t>
            </w:r>
          </w:p>
        </w:tc>
      </w:tr>
      <w:tr w:rsidR="007A5656" w:rsidRPr="00A21F71" w14:paraId="3ABD18A9" w14:textId="77777777" w:rsidTr="00212CA2">
        <w:tc>
          <w:tcPr>
            <w:tcW w:w="6237" w:type="dxa"/>
          </w:tcPr>
          <w:p w14:paraId="6F4F01DB" w14:textId="77777777" w:rsidR="007A5656" w:rsidRPr="00A21F71" w:rsidRDefault="007A5656" w:rsidP="00212CA2">
            <w:pPr>
              <w:rPr>
                <w:rFonts w:eastAsia="Calibri"/>
                <w:sz w:val="22"/>
                <w:lang w:eastAsia="de-DE" w:bidi="de-DE"/>
              </w:rPr>
            </w:pPr>
            <w:r w:rsidRPr="00A21F71">
              <w:rPr>
                <w:rFonts w:eastAsia="Calibri"/>
                <w:sz w:val="22"/>
                <w:lang w:eastAsia="de-DE" w:bidi="de-DE"/>
              </w:rPr>
              <w:t>1. Der Empfänger der Einkünfte ist selbst behindert:</w:t>
            </w:r>
          </w:p>
        </w:tc>
        <w:tc>
          <w:tcPr>
            <w:tcW w:w="2867" w:type="dxa"/>
          </w:tcPr>
          <w:p w14:paraId="45070E51"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w:t>
            </w:r>
            <w:r>
              <w:rPr>
                <w:rFonts w:eastAsia="Calibri"/>
                <w:sz w:val="22"/>
                <w:lang w:eastAsia="de-DE" w:bidi="de-DE"/>
              </w:rPr>
              <w:t>5</w:t>
            </w:r>
            <w:r w:rsidRPr="00A21F71">
              <w:rPr>
                <w:rFonts w:eastAsia="Calibri"/>
                <w:sz w:val="22"/>
                <w:lang w:eastAsia="de-DE" w:bidi="de-DE"/>
              </w:rPr>
              <w:t>,00 EUR</w:t>
            </w:r>
          </w:p>
        </w:tc>
      </w:tr>
      <w:tr w:rsidR="007A5656" w:rsidRPr="00A21F71" w14:paraId="316E4A87" w14:textId="77777777" w:rsidTr="00212CA2">
        <w:tc>
          <w:tcPr>
            <w:tcW w:w="6237" w:type="dxa"/>
          </w:tcPr>
          <w:p w14:paraId="0367E011" w14:textId="77777777" w:rsidR="007A5656" w:rsidRPr="00A21F71" w:rsidRDefault="007A5656" w:rsidP="00212CA2">
            <w:pPr>
              <w:rPr>
                <w:rFonts w:eastAsia="Calibri"/>
                <w:sz w:val="22"/>
                <w:lang w:eastAsia="de-DE" w:bidi="de-DE"/>
              </w:rPr>
            </w:pPr>
            <w:r w:rsidRPr="00A21F71">
              <w:rPr>
                <w:rFonts w:eastAsia="Calibri"/>
                <w:sz w:val="22"/>
                <w:lang w:eastAsia="de-DE" w:bidi="de-DE"/>
              </w:rPr>
              <w:t>2. Der Ehepartner des Empfängers der Einkünfte ist behindert:</w:t>
            </w:r>
          </w:p>
        </w:tc>
        <w:tc>
          <w:tcPr>
            <w:tcW w:w="2867" w:type="dxa"/>
          </w:tcPr>
          <w:p w14:paraId="430BA964" w14:textId="77777777" w:rsidR="007A5656" w:rsidRPr="00A21F71" w:rsidRDefault="007A5656" w:rsidP="00212CA2">
            <w:pPr>
              <w:jc w:val="center"/>
              <w:rPr>
                <w:rFonts w:eastAsia="Calibri"/>
                <w:sz w:val="22"/>
                <w:lang w:eastAsia="de-DE" w:bidi="de-DE"/>
              </w:rPr>
            </w:pPr>
            <w:r>
              <w:rPr>
                <w:rFonts w:eastAsia="Calibri"/>
                <w:sz w:val="22"/>
                <w:lang w:eastAsia="de-DE" w:bidi="de-DE"/>
              </w:rPr>
              <w:t>35</w:t>
            </w:r>
            <w:r w:rsidRPr="00A21F71">
              <w:rPr>
                <w:rFonts w:eastAsia="Calibri"/>
                <w:sz w:val="22"/>
                <w:lang w:eastAsia="de-DE" w:bidi="de-DE"/>
              </w:rPr>
              <w:t>,00 EUR</w:t>
            </w:r>
          </w:p>
        </w:tc>
      </w:tr>
      <w:tr w:rsidR="007A5656" w:rsidRPr="00A21F71" w14:paraId="581B3528" w14:textId="77777777" w:rsidTr="00212CA2">
        <w:tc>
          <w:tcPr>
            <w:tcW w:w="6237" w:type="dxa"/>
          </w:tcPr>
          <w:p w14:paraId="6F2DF7C7"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3. Der Empfänger der Einkünfte hat Personen zu Lasten, die in Artikel 136 Nr. 2 und 3 des Einkommensteuergesetzbuches 1992 erwähnt sind und das Alter von fünfundsechzig Jahren erreicht haben; die Ermäßigung wird pro Person angewandt (2):</w:t>
            </w:r>
          </w:p>
        </w:tc>
        <w:tc>
          <w:tcPr>
            <w:tcW w:w="2867" w:type="dxa"/>
          </w:tcPr>
          <w:p w14:paraId="51878C39" w14:textId="77777777" w:rsidR="007A5656" w:rsidRPr="00A21F71" w:rsidRDefault="007A5656" w:rsidP="00212CA2">
            <w:pPr>
              <w:jc w:val="center"/>
              <w:rPr>
                <w:rFonts w:eastAsia="Calibri"/>
                <w:sz w:val="22"/>
                <w:lang w:eastAsia="de-DE" w:bidi="de-DE"/>
              </w:rPr>
            </w:pPr>
            <w:r>
              <w:rPr>
                <w:rFonts w:eastAsia="Calibri"/>
                <w:sz w:val="22"/>
                <w:lang w:eastAsia="de-DE" w:bidi="de-DE"/>
              </w:rPr>
              <w:t>71</w:t>
            </w:r>
            <w:r w:rsidRPr="00A21F71">
              <w:rPr>
                <w:rFonts w:eastAsia="Calibri"/>
                <w:sz w:val="22"/>
                <w:lang w:eastAsia="de-DE" w:bidi="de-DE"/>
              </w:rPr>
              <w:t>,00 EUR</w:t>
            </w:r>
          </w:p>
        </w:tc>
      </w:tr>
      <w:tr w:rsidR="007A5656" w:rsidRPr="00A21F71" w14:paraId="0D8C74E9" w14:textId="77777777" w:rsidTr="00212CA2">
        <w:tc>
          <w:tcPr>
            <w:tcW w:w="6237" w:type="dxa"/>
          </w:tcPr>
          <w:p w14:paraId="26D32031"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4. Der Empfänger der Einkünfte hat Personen zu Lasten, die in Artikel 136 Nr. 2 bis 4 des Einkommensteuergesetzbuches 1992 erwähnt sind und nicht in vorstehender Nr. 3 angegeben sind; die Ermäßigung wird pro Person angewandt (2):</w:t>
            </w:r>
          </w:p>
        </w:tc>
        <w:tc>
          <w:tcPr>
            <w:tcW w:w="2867" w:type="dxa"/>
          </w:tcPr>
          <w:p w14:paraId="0C86B76B" w14:textId="77777777" w:rsidR="007A5656" w:rsidRPr="00A21F71" w:rsidRDefault="007A5656" w:rsidP="00212CA2">
            <w:pPr>
              <w:jc w:val="center"/>
              <w:rPr>
                <w:rFonts w:eastAsia="Calibri"/>
                <w:sz w:val="22"/>
                <w:lang w:eastAsia="de-DE" w:bidi="de-DE"/>
              </w:rPr>
            </w:pPr>
            <w:r>
              <w:rPr>
                <w:rFonts w:eastAsia="Calibri"/>
                <w:sz w:val="22"/>
                <w:lang w:eastAsia="de-DE" w:bidi="de-DE"/>
              </w:rPr>
              <w:t>35</w:t>
            </w:r>
            <w:r w:rsidRPr="00A21F71">
              <w:rPr>
                <w:rFonts w:eastAsia="Calibri"/>
                <w:sz w:val="22"/>
                <w:lang w:eastAsia="de-DE" w:bidi="de-DE"/>
              </w:rPr>
              <w:t>,00 EUR</w:t>
            </w:r>
          </w:p>
          <w:p w14:paraId="27373F84" w14:textId="77777777" w:rsidR="007A5656" w:rsidRPr="00A21F71" w:rsidRDefault="007A5656" w:rsidP="00212CA2">
            <w:pPr>
              <w:jc w:val="center"/>
              <w:rPr>
                <w:rFonts w:eastAsia="Calibri"/>
                <w:sz w:val="22"/>
                <w:lang w:eastAsia="de-DE" w:bidi="de-DE"/>
              </w:rPr>
            </w:pPr>
          </w:p>
        </w:tc>
      </w:tr>
      <w:tr w:rsidR="007A5656" w:rsidRPr="00A21F71" w14:paraId="1DC90095" w14:textId="77777777" w:rsidTr="00212CA2">
        <w:tc>
          <w:tcPr>
            <w:tcW w:w="9104" w:type="dxa"/>
            <w:gridSpan w:val="2"/>
          </w:tcPr>
          <w:p w14:paraId="606DCCD5" w14:textId="77777777" w:rsidR="007A5656" w:rsidRPr="00A21F71" w:rsidRDefault="007A5656" w:rsidP="00212CA2">
            <w:pPr>
              <w:rPr>
                <w:rFonts w:eastAsia="Calibri"/>
                <w:sz w:val="22"/>
                <w:lang w:eastAsia="de-DE" w:bidi="de-DE"/>
              </w:rPr>
            </w:pPr>
            <w:r w:rsidRPr="00A21F71">
              <w:rPr>
                <w:rFonts w:eastAsia="Calibri"/>
                <w:sz w:val="22"/>
                <w:lang w:eastAsia="de-DE" w:bidi="de-DE"/>
              </w:rPr>
              <w:t>(1) Ermäßigungen können kumuliert werden.</w:t>
            </w:r>
          </w:p>
          <w:p w14:paraId="6F57FE70" w14:textId="77777777" w:rsidR="007A5656" w:rsidRPr="00A21F71" w:rsidRDefault="007A5656" w:rsidP="00212CA2">
            <w:pPr>
              <w:rPr>
                <w:rFonts w:eastAsia="Calibri"/>
                <w:sz w:val="22"/>
                <w:lang w:eastAsia="de-DE" w:bidi="de-DE"/>
              </w:rPr>
            </w:pPr>
            <w:r w:rsidRPr="00A21F71">
              <w:rPr>
                <w:rFonts w:eastAsia="Calibri"/>
                <w:sz w:val="22"/>
                <w:lang w:eastAsia="de-DE" w:bidi="de-DE"/>
              </w:rPr>
              <w:t>(2) Eine behinderte Person zu Lasten wird doppelt gezählt.</w:t>
            </w:r>
          </w:p>
        </w:tc>
      </w:tr>
    </w:tbl>
    <w:p w14:paraId="43280B34" w14:textId="77777777" w:rsidR="007A5656" w:rsidRPr="00A21F71" w:rsidRDefault="007A5656" w:rsidP="007A5656">
      <w:pPr>
        <w:rPr>
          <w:rFonts w:eastAsia="Calibri"/>
          <w:lang w:eastAsia="de-DE" w:bidi="de-DE"/>
        </w:rPr>
      </w:pPr>
    </w:p>
    <w:p w14:paraId="724290C5"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c) </w:t>
      </w:r>
      <w:r w:rsidRPr="00A21F71">
        <w:rPr>
          <w:rFonts w:eastAsia="Calibri"/>
          <w:i/>
          <w:u w:val="dotted"/>
          <w:lang w:eastAsia="de-DE" w:bidi="de-DE"/>
        </w:rPr>
        <w:t>Ermäßigung für Gruppenversicherung und für außergesetzliche Alters- und Todesfallversicherung</w:t>
      </w:r>
    </w:p>
    <w:p w14:paraId="7EB8CF52" w14:textId="77777777" w:rsidR="007A5656" w:rsidRPr="00A21F71" w:rsidRDefault="007A5656" w:rsidP="007A5656">
      <w:pPr>
        <w:jc w:val="both"/>
        <w:rPr>
          <w:rFonts w:eastAsia="Calibri"/>
          <w:lang w:eastAsia="de-DE" w:bidi="de-DE"/>
        </w:rPr>
      </w:pPr>
    </w:p>
    <w:p w14:paraId="12F68370" w14:textId="77777777" w:rsidR="007A5656" w:rsidRPr="00A21F71" w:rsidRDefault="007A5656" w:rsidP="007A5656">
      <w:pPr>
        <w:jc w:val="both"/>
        <w:rPr>
          <w:rFonts w:eastAsia="Calibri"/>
          <w:lang w:eastAsia="de-DE" w:bidi="de-DE"/>
        </w:rPr>
      </w:pPr>
      <w:r w:rsidRPr="00A21F71">
        <w:rPr>
          <w:rFonts w:eastAsia="Calibri"/>
          <w:lang w:eastAsia="de-DE" w:bidi="de-DE"/>
        </w:rPr>
        <w:tab/>
        <w:t>Nach Anwendung der in den Buchstaben a) und b) erwähnten Ermäßigungen wird der Berufssteuervorabzug noch verringert im Verhältnis zu 30 Prozent:</w:t>
      </w:r>
    </w:p>
    <w:p w14:paraId="161D22E7" w14:textId="77777777" w:rsidR="007A5656" w:rsidRPr="00A21F71" w:rsidRDefault="007A5656" w:rsidP="007A5656">
      <w:pPr>
        <w:jc w:val="both"/>
        <w:rPr>
          <w:rFonts w:eastAsia="Calibri"/>
          <w:lang w:eastAsia="de-DE" w:bidi="de-DE"/>
        </w:rPr>
      </w:pPr>
    </w:p>
    <w:p w14:paraId="76D0A8C5" w14:textId="77777777" w:rsidR="007A5656" w:rsidRPr="00A21F71" w:rsidRDefault="007A5656" w:rsidP="007A5656">
      <w:pPr>
        <w:jc w:val="both"/>
        <w:rPr>
          <w:rFonts w:eastAsia="Calibri"/>
          <w:lang w:eastAsia="de-DE" w:bidi="de-DE"/>
        </w:rPr>
      </w:pPr>
      <w:r w:rsidRPr="00A21F71">
        <w:rPr>
          <w:rFonts w:eastAsia="Calibri"/>
          <w:lang w:eastAsia="de-DE" w:bidi="de-DE"/>
        </w:rPr>
        <w:tab/>
        <w:t>- der in Ausführung eines Gruppenversicherungsvertrags vorgeschriebenen Einbe</w:t>
      </w:r>
      <w:r w:rsidRPr="00A21F71">
        <w:rPr>
          <w:rFonts w:eastAsia="Calibri"/>
          <w:lang w:eastAsia="de-DE" w:bidi="de-DE"/>
        </w:rPr>
        <w:softHyphen/>
        <w:t>haltungen,</w:t>
      </w:r>
    </w:p>
    <w:p w14:paraId="3DE777E4" w14:textId="77777777" w:rsidR="007A5656" w:rsidRPr="00A21F71" w:rsidRDefault="007A5656" w:rsidP="007A5656">
      <w:pPr>
        <w:jc w:val="both"/>
        <w:rPr>
          <w:rFonts w:eastAsia="Calibri"/>
          <w:lang w:eastAsia="de-DE" w:bidi="de-DE"/>
        </w:rPr>
      </w:pPr>
    </w:p>
    <w:p w14:paraId="73EF3613" w14:textId="77777777" w:rsidR="007A5656" w:rsidRPr="00A21F71" w:rsidRDefault="007A5656" w:rsidP="007A5656">
      <w:pPr>
        <w:jc w:val="both"/>
        <w:rPr>
          <w:rFonts w:eastAsia="Calibri"/>
          <w:lang w:eastAsia="de-DE" w:bidi="de-DE"/>
        </w:rPr>
      </w:pPr>
      <w:r w:rsidRPr="00A21F71">
        <w:rPr>
          <w:rFonts w:eastAsia="Calibri"/>
          <w:lang w:eastAsia="de-DE" w:bidi="de-DE"/>
        </w:rPr>
        <w:tab/>
        <w:t>- der in Ausführung einer außergesetzlichen Vorsorgeregelung in Bezug auf eine Alters- und Todesfallversicherung vorgeschriebenen Einbehaltungen,</w:t>
      </w:r>
    </w:p>
    <w:p w14:paraId="3AFA6559" w14:textId="77777777" w:rsidR="007A5656" w:rsidRPr="00A21F71" w:rsidRDefault="007A5656" w:rsidP="007A5656">
      <w:pPr>
        <w:jc w:val="both"/>
        <w:rPr>
          <w:rFonts w:eastAsia="Calibri"/>
          <w:lang w:eastAsia="de-DE" w:bidi="de-DE"/>
        </w:rPr>
      </w:pPr>
    </w:p>
    <w:p w14:paraId="330ED748" w14:textId="77777777" w:rsidR="007A5656" w:rsidRPr="00A21F71" w:rsidRDefault="007A5656" w:rsidP="007A5656">
      <w:pPr>
        <w:jc w:val="both"/>
        <w:rPr>
          <w:rFonts w:eastAsia="Calibri"/>
          <w:lang w:eastAsia="de-DE" w:bidi="de-DE"/>
        </w:rPr>
      </w:pPr>
      <w:r w:rsidRPr="00A21F71">
        <w:rPr>
          <w:rFonts w:eastAsia="Calibri"/>
          <w:lang w:eastAsia="de-DE" w:bidi="de-DE"/>
        </w:rPr>
        <w:tab/>
        <w:t>- der Einbehaltungen, die sich auf die individuelle Weiterführung einer in Artikel 145</w:t>
      </w:r>
      <w:r w:rsidRPr="00A21F71">
        <w:rPr>
          <w:rFonts w:eastAsia="Calibri"/>
          <w:vertAlign w:val="superscript"/>
          <w:lang w:eastAsia="de-DE" w:bidi="de-DE"/>
        </w:rPr>
        <w:t>3</w:t>
      </w:r>
      <w:r w:rsidRPr="00A21F71">
        <w:rPr>
          <w:rFonts w:eastAsia="Calibri"/>
          <w:lang w:eastAsia="de-DE" w:bidi="de-DE"/>
        </w:rPr>
        <w:t xml:space="preserve"> Absatz 3 des Einkommensteuergesetzbuches 1992 erwähnten Pensionsvereinbarung beziehen.</w:t>
      </w:r>
    </w:p>
    <w:p w14:paraId="5B65B7BA"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68463ADA"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 xml:space="preserve">d) </w:t>
      </w:r>
      <w:r w:rsidRPr="00A21F71">
        <w:rPr>
          <w:rFonts w:eastAsia="Calibri"/>
          <w:i/>
          <w:u w:val="dotted"/>
          <w:lang w:eastAsia="de-DE" w:bidi="de-DE"/>
        </w:rPr>
        <w:t>Ermäßigung für Entlohnungen aufgrund geleisteter Überarbeit, die zu einer Lohnzulage berechtigt</w:t>
      </w:r>
    </w:p>
    <w:p w14:paraId="694CA6B1" w14:textId="77777777" w:rsidR="007A5656" w:rsidRPr="00A21F71" w:rsidRDefault="007A5656" w:rsidP="007A5656">
      <w:pPr>
        <w:jc w:val="both"/>
        <w:rPr>
          <w:rFonts w:eastAsia="Calibri"/>
          <w:lang w:eastAsia="de-DE" w:bidi="de-DE"/>
        </w:rPr>
      </w:pPr>
    </w:p>
    <w:p w14:paraId="3CA3CAEA" w14:textId="77777777" w:rsidR="007A5656" w:rsidRPr="00A21F71" w:rsidRDefault="007A5656" w:rsidP="007A5656">
      <w:pPr>
        <w:jc w:val="both"/>
        <w:rPr>
          <w:rFonts w:eastAsia="Calibri"/>
          <w:lang w:eastAsia="de-DE" w:bidi="de-DE"/>
        </w:rPr>
      </w:pPr>
      <w:r w:rsidRPr="00A21F71">
        <w:rPr>
          <w:rFonts w:eastAsia="Calibri"/>
          <w:lang w:eastAsia="de-DE" w:bidi="de-DE"/>
        </w:rPr>
        <w:tab/>
        <w:t>Eine Ermäßigung wird Arbeitnehmern gewährt, die im Besteuerungszeitraum Überarbeit geleistet haben, die aufgrund von Artikel 29 des Gesetzes vom 16. März 1971 über die Arbeit oder Artikel 7 des Königlichen Erlasses Nr. 213 vom 26. September 1983 über die Arbeitszeit in den Unternehmen, die der Paritätischen Kommission für das Bauwesen unterstehen, zu einer Lohnzulage berechtigt, und die:</w:t>
      </w:r>
    </w:p>
    <w:p w14:paraId="72AC3B16" w14:textId="77777777" w:rsidR="007A5656" w:rsidRPr="00A21F71" w:rsidRDefault="007A5656" w:rsidP="007A5656">
      <w:pPr>
        <w:jc w:val="both"/>
        <w:rPr>
          <w:rFonts w:eastAsia="Calibri"/>
          <w:lang w:eastAsia="de-DE" w:bidi="de-DE"/>
        </w:rPr>
      </w:pPr>
    </w:p>
    <w:p w14:paraId="5463B127" w14:textId="77777777" w:rsidR="007A5656" w:rsidRPr="00A21F71" w:rsidRDefault="007A5656" w:rsidP="007A5656">
      <w:pPr>
        <w:jc w:val="both"/>
        <w:rPr>
          <w:rFonts w:eastAsia="Calibri"/>
          <w:lang w:eastAsia="de-DE" w:bidi="de-DE"/>
        </w:rPr>
      </w:pPr>
      <w:r w:rsidRPr="00A21F71">
        <w:rPr>
          <w:rFonts w:eastAsia="Calibri"/>
          <w:lang w:eastAsia="de-DE" w:bidi="de-DE"/>
        </w:rPr>
        <w:tab/>
        <w:t>1. entweder dem Gesetz vom 16. März 1971 über die Arbeit unterliegen und von einem Arbeitgeber beschäftigt werden, der dem Gesetz vom 5. Dezember 1968 über die kollektiven Arbeitsabkommen und die paritätischen Kommissionen unterliegt,</w:t>
      </w:r>
    </w:p>
    <w:p w14:paraId="0F90103E" w14:textId="77777777" w:rsidR="007A5656" w:rsidRPr="00A21F71" w:rsidRDefault="007A5656" w:rsidP="007A5656">
      <w:pPr>
        <w:jc w:val="both"/>
        <w:rPr>
          <w:rFonts w:eastAsia="Calibri"/>
          <w:lang w:eastAsia="de-DE" w:bidi="de-DE"/>
        </w:rPr>
      </w:pPr>
    </w:p>
    <w:p w14:paraId="24CBE3A8" w14:textId="77777777" w:rsidR="007A5656" w:rsidRPr="00A21F71" w:rsidRDefault="007A5656" w:rsidP="007A5656">
      <w:pPr>
        <w:jc w:val="both"/>
        <w:rPr>
          <w:rFonts w:eastAsia="Calibri"/>
          <w:lang w:eastAsia="de-DE" w:bidi="de-DE"/>
        </w:rPr>
      </w:pPr>
      <w:r w:rsidRPr="00A21F71">
        <w:rPr>
          <w:rFonts w:eastAsia="Calibri"/>
          <w:lang w:eastAsia="de-DE" w:bidi="de-DE"/>
        </w:rPr>
        <w:tab/>
        <w:t>2. oder als vertraglich oder statutarisch angestellte Arbeitnehmer von einem der folgenden autonomen öffentlichen Unternehmen beschäftigt werden: der öffentlich-rechtli</w:t>
      </w:r>
      <w:r>
        <w:rPr>
          <w:rFonts w:eastAsia="Calibri"/>
          <w:lang w:eastAsia="de-DE" w:bidi="de-DE"/>
        </w:rPr>
        <w:t>chen Aktiengesellschaft Proximus</w:t>
      </w:r>
      <w:r w:rsidRPr="00A21F71">
        <w:rPr>
          <w:rFonts w:eastAsia="Calibri"/>
          <w:lang w:eastAsia="de-DE" w:bidi="de-DE"/>
        </w:rPr>
        <w:t>, der öffentlich-rechtlichen Aktiengesellschaft bpost, der öffentlich-rechtlichen Aktiengesellschaft NGBE und der öffentlich-rechtlichen Aktien</w:t>
      </w:r>
      <w:r w:rsidRPr="00A21F71">
        <w:rPr>
          <w:rFonts w:eastAsia="Calibri"/>
          <w:lang w:eastAsia="de-DE" w:bidi="de-DE"/>
        </w:rPr>
        <w:softHyphen/>
        <w:t>gesellschaft Infrabel,</w:t>
      </w:r>
    </w:p>
    <w:p w14:paraId="3CE9624C" w14:textId="77777777" w:rsidR="007A5656" w:rsidRPr="00A21F71" w:rsidRDefault="007A5656" w:rsidP="007A5656">
      <w:pPr>
        <w:jc w:val="both"/>
        <w:rPr>
          <w:rFonts w:eastAsia="Calibri"/>
          <w:lang w:eastAsia="de-DE" w:bidi="de-DE"/>
        </w:rPr>
      </w:pPr>
    </w:p>
    <w:p w14:paraId="606CD546" w14:textId="77777777" w:rsidR="007A5656" w:rsidRPr="00A21F71" w:rsidRDefault="007A5656" w:rsidP="007A5656">
      <w:pPr>
        <w:jc w:val="both"/>
        <w:rPr>
          <w:rFonts w:eastAsia="Calibri"/>
          <w:lang w:eastAsia="de-DE" w:bidi="de-DE"/>
        </w:rPr>
      </w:pPr>
      <w:r w:rsidRPr="00A21F71">
        <w:rPr>
          <w:rFonts w:eastAsia="Calibri"/>
          <w:lang w:eastAsia="de-DE" w:bidi="de-DE"/>
        </w:rPr>
        <w:tab/>
        <w:t>3. oder als vertraglich oder statutarisch angestellte Arbeitnehmer von der öffentlich-rechtlichen Aktiengesellschaft HR Rail beschäftigt werden.</w:t>
      </w:r>
    </w:p>
    <w:p w14:paraId="4A3ECC33" w14:textId="77777777" w:rsidR="007A5656" w:rsidRPr="00A21F71" w:rsidRDefault="007A5656" w:rsidP="007A5656">
      <w:pPr>
        <w:jc w:val="both"/>
        <w:rPr>
          <w:rFonts w:eastAsia="Calibri"/>
          <w:lang w:eastAsia="de-DE" w:bidi="de-DE"/>
        </w:rPr>
      </w:pPr>
    </w:p>
    <w:p w14:paraId="662C9E56" w14:textId="77777777" w:rsidR="007A5656" w:rsidRPr="00A21F71" w:rsidRDefault="007A5656" w:rsidP="007A5656">
      <w:pPr>
        <w:jc w:val="both"/>
        <w:rPr>
          <w:rFonts w:eastAsia="Calibri"/>
          <w:lang w:eastAsia="de-DE" w:bidi="de-DE"/>
        </w:rPr>
      </w:pPr>
      <w:r w:rsidRPr="00A21F71">
        <w:rPr>
          <w:rFonts w:eastAsia="Calibri"/>
          <w:lang w:eastAsia="de-DE" w:bidi="de-DE"/>
        </w:rPr>
        <w:tab/>
        <w:t>Diese Ermäßigung wird nur auf die Berechnungsgrundlage für die Lohnzulage in Bezug auf die ersten hundertdreißig Stunden pro Jahr angewandt, die der Arbeitnehmer als Überarbeit geleistet hat.</w:t>
      </w:r>
    </w:p>
    <w:p w14:paraId="58C332F7" w14:textId="77777777" w:rsidR="007A5656" w:rsidRPr="00A21F71" w:rsidRDefault="007A5656" w:rsidP="007A5656">
      <w:pPr>
        <w:jc w:val="both"/>
        <w:rPr>
          <w:rFonts w:eastAsia="Calibri"/>
          <w:lang w:eastAsia="de-DE" w:bidi="de-DE"/>
        </w:rPr>
      </w:pPr>
    </w:p>
    <w:p w14:paraId="538712E2" w14:textId="77777777" w:rsidR="007A5656" w:rsidRDefault="007A5656" w:rsidP="007A5656">
      <w:pPr>
        <w:jc w:val="both"/>
        <w:rPr>
          <w:rFonts w:eastAsia="Calibri"/>
          <w:lang w:eastAsia="de-DE" w:bidi="de-DE"/>
        </w:rPr>
      </w:pPr>
      <w:r w:rsidRPr="00A21F71">
        <w:rPr>
          <w:rFonts w:eastAsia="Calibri"/>
          <w:lang w:eastAsia="de-DE" w:bidi="de-DE"/>
        </w:rPr>
        <w:tab/>
        <w:t>Die in Absatz 2 bestimmte Höchstanzahl von hundertdreißig Stunden Überarbeit wird auf hundertachtzig Stunden erhöht für Arbeitnehmer, die von Arbeitgebern beschäftigt werden, die Immobilienarbeiten ausführen, unter der Bedingung, dass diese Arbeitgeber ein elektronisches System zur Registrierung der Anwesenheiten benutzen, das in Kapitel 5 Abschnitt 4 des Gesetzes vom 4. August 1996 über das Wohlbefinden der Arbeitnehmer bei der Ausführung ihrer Arbeit erwähnt ist.</w:t>
      </w:r>
    </w:p>
    <w:p w14:paraId="7FEC4A2E" w14:textId="77777777" w:rsidR="007A5656" w:rsidRDefault="007A5656" w:rsidP="007A5656">
      <w:pPr>
        <w:jc w:val="both"/>
        <w:rPr>
          <w:rFonts w:eastAsia="Calibri"/>
          <w:lang w:eastAsia="de-DE" w:bidi="de-DE"/>
        </w:rPr>
      </w:pPr>
    </w:p>
    <w:p w14:paraId="26E6BE00" w14:textId="77777777" w:rsidR="007A5656" w:rsidRPr="002750E7" w:rsidRDefault="007A5656" w:rsidP="007A5656">
      <w:pPr>
        <w:jc w:val="both"/>
      </w:pPr>
      <w:r>
        <w:tab/>
      </w:r>
      <w:r w:rsidRPr="002750E7">
        <w:t>Die in Absatz 2 bestimmte Höchstanzahl von hundertdreißig Stunden Überarbeit wird auf dreihundertsechzig Stunden erhöht für Arbeitnehmer, die von Arbeitgebern beschäftigt werden, die der Paritätischen Kommission für das Hotelgewerbe oder der Paritätischen Kommission für Leiharbeit unterstehen, sofern der Entleiher der Paritätischen Kommission für das Hotelgewerbe untersteht.</w:t>
      </w:r>
    </w:p>
    <w:p w14:paraId="7D13C011" w14:textId="77777777" w:rsidR="007A5656" w:rsidRPr="002750E7" w:rsidRDefault="007A5656" w:rsidP="007A5656">
      <w:pPr>
        <w:jc w:val="both"/>
      </w:pPr>
    </w:p>
    <w:p w14:paraId="79BC439C" w14:textId="77777777" w:rsidR="007A5656" w:rsidRPr="002750E7" w:rsidRDefault="007A5656" w:rsidP="007A5656">
      <w:pPr>
        <w:jc w:val="both"/>
      </w:pPr>
      <w:r w:rsidRPr="002750E7">
        <w:tab/>
        <w:t>Die Steuerermäßigung ist nicht auf Überarbeit anwendbar, die für die Anwendung von Art</w:t>
      </w:r>
      <w:r>
        <w:t>ikel 38 § 1 Absatz 1 Nr. 30</w:t>
      </w:r>
      <w:r w:rsidRPr="002750E7">
        <w:t xml:space="preserve"> </w:t>
      </w:r>
      <w:r>
        <w:t xml:space="preserve">des Einkommensteuergesetzbuches 1992 </w:t>
      </w:r>
      <w:r w:rsidRPr="002750E7">
        <w:t>in Betracht kommt.</w:t>
      </w:r>
    </w:p>
    <w:p w14:paraId="467AA631" w14:textId="77777777" w:rsidR="007A5656" w:rsidRPr="00A21F71" w:rsidRDefault="007A5656" w:rsidP="007A5656">
      <w:pPr>
        <w:jc w:val="both"/>
        <w:rPr>
          <w:rFonts w:eastAsia="Calibri"/>
          <w:lang w:eastAsia="de-DE" w:bidi="de-DE"/>
        </w:rPr>
      </w:pPr>
    </w:p>
    <w:p w14:paraId="6A467CA4" w14:textId="77777777" w:rsidR="007A5656" w:rsidRPr="00A21F71" w:rsidRDefault="007A5656" w:rsidP="007A5656">
      <w:pPr>
        <w:jc w:val="both"/>
        <w:rPr>
          <w:rFonts w:eastAsia="Calibri"/>
          <w:lang w:eastAsia="de-DE" w:bidi="de-DE"/>
        </w:rPr>
      </w:pPr>
      <w:r w:rsidRPr="00A21F71">
        <w:rPr>
          <w:rFonts w:eastAsia="Calibri"/>
          <w:lang w:eastAsia="de-DE" w:bidi="de-DE"/>
        </w:rPr>
        <w:tab/>
        <w:t>Die Ermäßigung wird nach den in den Buchstaben a), b) und c) erwähnten Ermäßigungen angewandt und beträgt:</w:t>
      </w:r>
    </w:p>
    <w:p w14:paraId="2D288D6D" w14:textId="77777777" w:rsidR="007A5656" w:rsidRPr="00A21F71" w:rsidRDefault="007A5656" w:rsidP="007A5656">
      <w:pPr>
        <w:jc w:val="both"/>
        <w:rPr>
          <w:rFonts w:eastAsia="Calibri"/>
          <w:lang w:eastAsia="de-DE" w:bidi="de-DE"/>
        </w:rPr>
      </w:pPr>
    </w:p>
    <w:p w14:paraId="07C64D04" w14:textId="77777777" w:rsidR="007A5656" w:rsidRPr="00A21F71" w:rsidRDefault="007A5656" w:rsidP="007A5656">
      <w:pPr>
        <w:jc w:val="both"/>
        <w:rPr>
          <w:rFonts w:eastAsia="Calibri"/>
          <w:lang w:eastAsia="de-DE" w:bidi="de-DE"/>
        </w:rPr>
      </w:pPr>
      <w:r w:rsidRPr="00A21F71">
        <w:rPr>
          <w:rFonts w:eastAsia="Calibri"/>
          <w:lang w:eastAsia="de-DE" w:bidi="de-DE"/>
        </w:rPr>
        <w:tab/>
        <w:t>- für geleistete Stunden, auf die eine gesetzliche Lohnzulage von 50 oder 100 Prozent anwendbar ist: 57,75 Prozent,</w:t>
      </w:r>
    </w:p>
    <w:p w14:paraId="5D8551B1"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5E9BD8D4"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 für geleistete Stunden, auf die eine gesetzliche Lohnzulage von 20 Prozent anwendbar ist: 66,81 Prozent</w:t>
      </w:r>
    </w:p>
    <w:p w14:paraId="1BDA1B94" w14:textId="77777777" w:rsidR="007A5656" w:rsidRPr="00A21F71" w:rsidRDefault="007A5656" w:rsidP="007A5656">
      <w:pPr>
        <w:jc w:val="both"/>
        <w:rPr>
          <w:rFonts w:eastAsia="Calibri"/>
          <w:lang w:eastAsia="de-DE" w:bidi="de-DE"/>
        </w:rPr>
      </w:pPr>
    </w:p>
    <w:p w14:paraId="1960B916" w14:textId="77777777" w:rsidR="007A5656" w:rsidRPr="00A21F71" w:rsidRDefault="007A5656" w:rsidP="007A5656">
      <w:pPr>
        <w:jc w:val="both"/>
        <w:rPr>
          <w:rFonts w:eastAsia="Calibri"/>
          <w:lang w:eastAsia="de-DE" w:bidi="de-DE"/>
        </w:rPr>
      </w:pPr>
      <w:r w:rsidRPr="00A21F71">
        <w:rPr>
          <w:rFonts w:eastAsia="Calibri"/>
          <w:lang w:eastAsia="de-DE" w:bidi="de-DE"/>
        </w:rPr>
        <w:tab/>
        <w:t>des "Bruttosozialbetrags" der Entlohnungen (also vor Abzug der in Ausführung der sozialen Rechtsvorschriften oder eines damit gleichgesetzten gesetzlichen oder verordnungsrechtlichen Statuts vorgeschriebenen Einbehaltungen), der als Berechnungs</w:t>
      </w:r>
      <w:r w:rsidRPr="00A21F71">
        <w:rPr>
          <w:rFonts w:eastAsia="Calibri"/>
          <w:lang w:eastAsia="de-DE" w:bidi="de-DE"/>
        </w:rPr>
        <w:softHyphen/>
        <w:t>grundlage für die Festlegung der Lohnzulage gedient hat.</w:t>
      </w:r>
    </w:p>
    <w:p w14:paraId="2EA93CF0" w14:textId="77777777" w:rsidR="007A5656" w:rsidRPr="00A21F71" w:rsidRDefault="007A5656" w:rsidP="007A5656">
      <w:pPr>
        <w:jc w:val="both"/>
        <w:rPr>
          <w:rFonts w:eastAsia="Calibri"/>
          <w:lang w:eastAsia="de-DE" w:bidi="de-DE"/>
        </w:rPr>
      </w:pPr>
    </w:p>
    <w:p w14:paraId="2D9382A7" w14:textId="77777777" w:rsidR="007A5656" w:rsidRPr="00A21F71" w:rsidRDefault="007A5656" w:rsidP="007A5656">
      <w:pPr>
        <w:jc w:val="both"/>
        <w:rPr>
          <w:rFonts w:eastAsia="Calibri"/>
          <w:i/>
          <w:u w:val="dotted"/>
          <w:lang w:eastAsia="de-DE" w:bidi="de-DE"/>
        </w:rPr>
      </w:pPr>
      <w:r w:rsidRPr="00A21F71">
        <w:rPr>
          <w:rFonts w:eastAsia="Calibri"/>
          <w:lang w:eastAsia="de-DE" w:bidi="de-DE"/>
        </w:rPr>
        <w:tab/>
        <w:t xml:space="preserve">e) </w:t>
      </w:r>
      <w:r w:rsidRPr="00A21F71">
        <w:rPr>
          <w:rFonts w:eastAsia="Calibri"/>
          <w:i/>
          <w:u w:val="dotted"/>
          <w:lang w:eastAsia="de-DE" w:bidi="de-DE"/>
        </w:rPr>
        <w:t>Ermäßigung des Berufssteuervorabzugs auf Entlohnungen von Arbeitnehmern mit niedrigem oder mittlerem Einkommen, die Anspruch auf einen erhöhten Steuerfreibetrag haben</w:t>
      </w:r>
    </w:p>
    <w:p w14:paraId="0F0814BE" w14:textId="77777777" w:rsidR="007A5656" w:rsidRPr="00A21F71" w:rsidRDefault="007A5656" w:rsidP="007A5656">
      <w:pPr>
        <w:jc w:val="both"/>
        <w:rPr>
          <w:rFonts w:eastAsia="Calibri"/>
          <w:lang w:eastAsia="de-DE" w:bidi="de-DE"/>
        </w:rPr>
      </w:pPr>
    </w:p>
    <w:p w14:paraId="441068DB"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Diese Ermäßigung ist anwendbar, wenn die steuerpflichtige Entlohnung des </w:t>
      </w:r>
      <w:r>
        <w:rPr>
          <w:rFonts w:eastAsia="Calibri"/>
          <w:lang w:eastAsia="de-DE" w:bidi="de-DE"/>
        </w:rPr>
        <w:t>betreffenden Arbeitnehmers 2.417,96</w:t>
      </w:r>
      <w:r w:rsidRPr="00A21F71">
        <w:rPr>
          <w:rFonts w:eastAsia="Calibri"/>
          <w:lang w:eastAsia="de-DE" w:bidi="de-DE"/>
        </w:rPr>
        <w:t> EUR nicht übersteigt.</w:t>
      </w:r>
    </w:p>
    <w:p w14:paraId="44937D5D" w14:textId="77777777" w:rsidR="007A5656" w:rsidRPr="00A21F71" w:rsidRDefault="007A5656" w:rsidP="007A5656">
      <w:pPr>
        <w:jc w:val="both"/>
        <w:rPr>
          <w:rFonts w:eastAsia="Calibri"/>
          <w:lang w:eastAsia="de-DE" w:bidi="de-DE"/>
        </w:rPr>
      </w:pPr>
    </w:p>
    <w:p w14:paraId="693D3086" w14:textId="77777777" w:rsidR="007A5656" w:rsidRPr="00A21F71" w:rsidRDefault="007A5656" w:rsidP="007A5656">
      <w:pPr>
        <w:jc w:val="both"/>
        <w:rPr>
          <w:rFonts w:eastAsia="Calibri"/>
          <w:lang w:eastAsia="de-DE" w:bidi="de-DE"/>
        </w:rPr>
      </w:pPr>
      <w:r w:rsidRPr="00A21F71">
        <w:rPr>
          <w:rFonts w:eastAsia="Calibri"/>
          <w:lang w:eastAsia="de-DE" w:bidi="de-DE"/>
        </w:rPr>
        <w:tab/>
        <w:t>Die Ermäßigung wird nach den in den Buchstaben a) bis d) erwähnten Ermäßigungen angewandt und beträgt 6,46 EUR.</w:t>
      </w:r>
    </w:p>
    <w:p w14:paraId="6B7B796A" w14:textId="77777777" w:rsidR="007A5656" w:rsidRPr="00A21F71" w:rsidRDefault="007A5656" w:rsidP="007A5656">
      <w:pPr>
        <w:jc w:val="both"/>
        <w:rPr>
          <w:rFonts w:eastAsia="Calibri"/>
          <w:lang w:eastAsia="de-DE" w:bidi="de-DE"/>
        </w:rPr>
      </w:pPr>
    </w:p>
    <w:p w14:paraId="7AEDD78F"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f) </w:t>
      </w:r>
      <w:r w:rsidRPr="00A21F71">
        <w:rPr>
          <w:rFonts w:eastAsia="Calibri"/>
          <w:i/>
          <w:u w:val="dotted"/>
          <w:lang w:eastAsia="de-DE" w:bidi="de-DE"/>
        </w:rPr>
        <w:t>Ermäßigung des Berufssteuervorabzugs auf Entlohnungen von natürlichen Personen mit niedrigem Einkommen, die anders als aufgrund eines Arbeitsvertrags im öffentlichen Sektor Arbeitsleistungen erbringen</w:t>
      </w:r>
    </w:p>
    <w:p w14:paraId="11737320" w14:textId="77777777" w:rsidR="007A5656" w:rsidRPr="00A21F71" w:rsidRDefault="007A5656" w:rsidP="007A5656">
      <w:pPr>
        <w:jc w:val="both"/>
        <w:rPr>
          <w:rFonts w:eastAsia="Calibri"/>
          <w:lang w:eastAsia="de-DE" w:bidi="de-DE"/>
        </w:rPr>
      </w:pPr>
    </w:p>
    <w:p w14:paraId="151454F1" w14:textId="77777777" w:rsidR="007A5656" w:rsidRPr="00A21F71" w:rsidRDefault="007A5656" w:rsidP="007A5656">
      <w:pPr>
        <w:jc w:val="both"/>
        <w:rPr>
          <w:rFonts w:eastAsia="Calibri"/>
          <w:lang w:eastAsia="de-DE" w:bidi="de-DE"/>
        </w:rPr>
      </w:pPr>
      <w:r w:rsidRPr="00A21F71">
        <w:rPr>
          <w:rFonts w:eastAsia="Calibri"/>
          <w:lang w:eastAsia="de-DE" w:bidi="de-DE"/>
        </w:rPr>
        <w:tab/>
        <w:t>Eine Ermäßigung wird Personen gewährt, die als statutarische Bedienstete, Personalmitglieder auf Probe oder zeitweilige Bedienstete im Dienst des Staates, der Gemeinschaften, der Regionen, der Provinzen, der den Provinzen untergeordneten Einrichtungen, der Gemeinden und der den Gemeinden untergeordneten Einrichtungen stehen, die nicht aufgrund eines Arbeitsvertrags angestellt sind und die eine steuerpflichti</w:t>
      </w:r>
      <w:r>
        <w:rPr>
          <w:rFonts w:eastAsia="Calibri"/>
          <w:lang w:eastAsia="de-DE" w:bidi="de-DE"/>
        </w:rPr>
        <w:t>ge Entlohnung von mindestens 565,02 EUR und höchstens 2.027,86</w:t>
      </w:r>
      <w:r w:rsidRPr="00A21F71">
        <w:rPr>
          <w:rFonts w:eastAsia="Calibri"/>
          <w:lang w:eastAsia="de-DE" w:bidi="de-DE"/>
        </w:rPr>
        <w:t> EUR beziehen.</w:t>
      </w:r>
    </w:p>
    <w:p w14:paraId="480B4B83" w14:textId="77777777" w:rsidR="007A5656" w:rsidRPr="00A21F71" w:rsidRDefault="007A5656" w:rsidP="007A5656">
      <w:pPr>
        <w:jc w:val="both"/>
        <w:rPr>
          <w:rFonts w:eastAsia="Calibri"/>
          <w:lang w:eastAsia="de-DE" w:bidi="de-DE"/>
        </w:rPr>
      </w:pPr>
    </w:p>
    <w:p w14:paraId="745CAFA3" w14:textId="77777777" w:rsidR="007A5656" w:rsidRPr="00A21F71" w:rsidRDefault="007A5656" w:rsidP="007A5656">
      <w:pPr>
        <w:jc w:val="both"/>
        <w:rPr>
          <w:rFonts w:eastAsia="Calibri"/>
          <w:lang w:eastAsia="de-DE" w:bidi="de-DE"/>
        </w:rPr>
      </w:pPr>
      <w:r w:rsidRPr="00A21F71">
        <w:rPr>
          <w:rFonts w:eastAsia="Calibri"/>
          <w:lang w:eastAsia="de-DE" w:bidi="de-DE"/>
        </w:rPr>
        <w:tab/>
        <w:t>Die Ermäßigung wird nach den in den Buchstaben a) bis e) erwähnten Ermäßigungen angewandt und beträgt 5,83 EUR.</w:t>
      </w:r>
    </w:p>
    <w:p w14:paraId="22CAF242" w14:textId="77777777" w:rsidR="007A5656" w:rsidRPr="00A21F71" w:rsidRDefault="007A5656" w:rsidP="007A5656">
      <w:pPr>
        <w:jc w:val="both"/>
        <w:rPr>
          <w:rFonts w:eastAsia="Calibri"/>
          <w:lang w:eastAsia="de-DE" w:bidi="de-DE"/>
        </w:rPr>
      </w:pPr>
    </w:p>
    <w:p w14:paraId="5EBC9322" w14:textId="77777777" w:rsidR="007A5656" w:rsidRPr="00A21F71" w:rsidRDefault="007A5656" w:rsidP="007A5656">
      <w:pPr>
        <w:jc w:val="both"/>
        <w:rPr>
          <w:rFonts w:eastAsia="Calibri"/>
          <w:i/>
          <w:u w:val="dotted"/>
          <w:lang w:eastAsia="de-DE" w:bidi="de-DE"/>
        </w:rPr>
      </w:pPr>
      <w:r w:rsidRPr="00A21F71">
        <w:rPr>
          <w:rFonts w:eastAsia="Calibri"/>
          <w:lang w:eastAsia="de-DE" w:bidi="de-DE"/>
        </w:rPr>
        <w:tab/>
        <w:t xml:space="preserve">g) </w:t>
      </w:r>
      <w:r w:rsidRPr="00A21F71">
        <w:rPr>
          <w:rFonts w:eastAsia="Calibri"/>
          <w:i/>
          <w:u w:val="dotted"/>
          <w:lang w:eastAsia="de-DE" w:bidi="de-DE"/>
        </w:rPr>
        <w:t>Ermäßigung des Berufssteuervorabzugs auf Entlohnungen von Arbeitnehmern mit niedrigem Einkommen, die Anspruch auf einen Arbeitsbonus haben</w:t>
      </w:r>
    </w:p>
    <w:p w14:paraId="0365724C" w14:textId="77777777" w:rsidR="007A5656" w:rsidRPr="00A21F71" w:rsidRDefault="007A5656" w:rsidP="007A5656">
      <w:pPr>
        <w:jc w:val="both"/>
        <w:rPr>
          <w:rFonts w:eastAsia="Calibri"/>
          <w:u w:val="dotted"/>
          <w:lang w:eastAsia="de-DE" w:bidi="de-DE"/>
        </w:rPr>
      </w:pPr>
    </w:p>
    <w:p w14:paraId="65DE7325" w14:textId="77777777" w:rsidR="007A5656" w:rsidRPr="00A21F71" w:rsidRDefault="007A5656" w:rsidP="007A5656">
      <w:pPr>
        <w:jc w:val="both"/>
        <w:rPr>
          <w:rFonts w:eastAsia="Calibri"/>
          <w:lang w:eastAsia="de-DE" w:bidi="de-DE"/>
        </w:rPr>
      </w:pPr>
      <w:r w:rsidRPr="00A21F71">
        <w:rPr>
          <w:rFonts w:eastAsia="Calibri"/>
          <w:lang w:eastAsia="de-DE" w:bidi="de-DE"/>
        </w:rPr>
        <w:tab/>
        <w:t>Eine Ermäßigung wird Arbeitnehmern gewährt, die Anspruch auf einen Arbeitsbonus haben aufgrund von Artikel 2 des Gesetzes vom 20. Dezember 1999 zur Gewährung eines Arbeitsbonus in der Form einer Ermäßigung der persönlichen Sozialversicherungsbeiträge an die Lohnempfänger mit Niedriglöhnen und an bestimmte Arbeitnehmer, die Opfer einer Umstrukturierung gewesen sind.</w:t>
      </w:r>
    </w:p>
    <w:p w14:paraId="21F452B9" w14:textId="77777777" w:rsidR="007A5656" w:rsidRPr="00A21F71" w:rsidRDefault="007A5656" w:rsidP="007A5656">
      <w:pPr>
        <w:jc w:val="both"/>
        <w:rPr>
          <w:rFonts w:eastAsia="Calibri"/>
          <w:lang w:eastAsia="de-DE" w:bidi="de-DE"/>
        </w:rPr>
      </w:pPr>
    </w:p>
    <w:p w14:paraId="3516357C" w14:textId="77777777" w:rsidR="007A5656" w:rsidRPr="00A21F71" w:rsidRDefault="007A5656" w:rsidP="007A5656">
      <w:pPr>
        <w:jc w:val="both"/>
        <w:rPr>
          <w:rFonts w:eastAsia="Calibri"/>
          <w:lang w:eastAsia="de-DE" w:bidi="de-DE"/>
        </w:rPr>
      </w:pPr>
      <w:r w:rsidRPr="00A21F71">
        <w:rPr>
          <w:rFonts w:eastAsia="Calibri"/>
          <w:lang w:eastAsia="de-DE" w:bidi="de-DE"/>
        </w:rPr>
        <w:tab/>
        <w:t>Die Ermäßigung wird nach den in den Buchstaben a) bis f) erwähnten Ermäßigu</w:t>
      </w:r>
      <w:r>
        <w:rPr>
          <w:rFonts w:eastAsia="Calibri"/>
          <w:lang w:eastAsia="de-DE" w:bidi="de-DE"/>
        </w:rPr>
        <w:t>ngen angewandt und beträgt 28,03</w:t>
      </w:r>
      <w:r w:rsidRPr="00A21F71">
        <w:rPr>
          <w:rFonts w:eastAsia="Calibri"/>
          <w:lang w:eastAsia="de-DE" w:bidi="de-DE"/>
        </w:rPr>
        <w:t> Prozent des Betrags des tatsächlich gewährten Arbeitsbonus.</w:t>
      </w:r>
    </w:p>
    <w:p w14:paraId="300EAB51"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3DCF1107" w14:textId="77777777" w:rsidR="007A5656" w:rsidRPr="00A21F71" w:rsidRDefault="007A5656" w:rsidP="007A5656">
      <w:pPr>
        <w:jc w:val="center"/>
        <w:rPr>
          <w:rFonts w:eastAsia="Calibri"/>
          <w:lang w:eastAsia="de-DE" w:bidi="de-DE"/>
        </w:rPr>
      </w:pPr>
      <w:r w:rsidRPr="00A21F71">
        <w:rPr>
          <w:rFonts w:eastAsia="Calibri"/>
          <w:i/>
          <w:lang w:eastAsia="de-DE" w:bidi="de-DE"/>
        </w:rPr>
        <w:lastRenderedPageBreak/>
        <w:t>Abschnitt 2</w:t>
      </w:r>
      <w:r w:rsidRPr="00A21F71">
        <w:rPr>
          <w:rFonts w:eastAsia="Calibri"/>
          <w:lang w:eastAsia="de-DE" w:bidi="de-DE"/>
        </w:rPr>
        <w:t> - Monatliche Bruttoentlohnungen über 7.500 EUR</w:t>
      </w:r>
    </w:p>
    <w:p w14:paraId="4BCD01C6" w14:textId="77777777" w:rsidR="007A5656" w:rsidRPr="00A21F71" w:rsidRDefault="007A5656" w:rsidP="007A5656">
      <w:pPr>
        <w:jc w:val="both"/>
        <w:rPr>
          <w:rFonts w:eastAsia="Calibri"/>
          <w:lang w:eastAsia="de-DE" w:bidi="de-DE"/>
        </w:rPr>
      </w:pPr>
    </w:p>
    <w:p w14:paraId="12C9E6AB" w14:textId="77777777" w:rsidR="007A5656" w:rsidRPr="00A21F71" w:rsidRDefault="007A5656" w:rsidP="007A5656">
      <w:pPr>
        <w:jc w:val="both"/>
        <w:rPr>
          <w:rFonts w:eastAsia="Calibri"/>
          <w:lang w:eastAsia="de-DE" w:bidi="de-DE"/>
        </w:rPr>
      </w:pPr>
    </w:p>
    <w:p w14:paraId="66A2EA83" w14:textId="77777777" w:rsidR="007A5656" w:rsidRPr="00A21F71" w:rsidRDefault="007A5656" w:rsidP="007A5656">
      <w:pPr>
        <w:jc w:val="both"/>
        <w:rPr>
          <w:rFonts w:eastAsia="Calibri"/>
          <w:lang w:eastAsia="de-DE" w:bidi="de-DE"/>
        </w:rPr>
      </w:pPr>
      <w:r w:rsidRPr="00A21F71">
        <w:rPr>
          <w:rFonts w:eastAsia="Calibri"/>
          <w:lang w:eastAsia="de-DE" w:bidi="de-DE"/>
        </w:rPr>
        <w:tab/>
        <w:t>2.4 Der Empfänger der Einkünfte ist Alleinstehender ODER der Ehepartner des Empfängers der Einkünfte bezieht ebenfalls Berufseinkünfte</w:t>
      </w:r>
    </w:p>
    <w:p w14:paraId="130B8CDE" w14:textId="77777777" w:rsidR="007A5656" w:rsidRPr="00A21F71" w:rsidRDefault="007A5656" w:rsidP="007A5656">
      <w:pPr>
        <w:jc w:val="both"/>
        <w:rPr>
          <w:rFonts w:eastAsia="Calibri"/>
          <w:lang w:eastAsia="de-DE" w:bidi="de-DE"/>
        </w:rPr>
      </w:pPr>
    </w:p>
    <w:p w14:paraId="3D27DBFE" w14:textId="77777777" w:rsidR="007A5656" w:rsidRPr="00A21F71" w:rsidRDefault="007A5656" w:rsidP="007A5656">
      <w:pPr>
        <w:jc w:val="both"/>
        <w:rPr>
          <w:rFonts w:eastAsia="Calibri"/>
          <w:lang w:eastAsia="de-DE" w:bidi="de-DE"/>
        </w:rPr>
      </w:pPr>
      <w:r w:rsidRPr="00A21F71">
        <w:rPr>
          <w:rFonts w:eastAsia="Calibri"/>
          <w:lang w:eastAsia="de-DE" w:bidi="de-DE"/>
        </w:rPr>
        <w:tab/>
        <w:t>A. Beträgt die monatliche Bruttoentlohnung mehr als 7.500 EUR, wird der Berufssteuervorabzug wie folgt festgelegt:</w:t>
      </w:r>
    </w:p>
    <w:p w14:paraId="3D2F73B8" w14:textId="77777777" w:rsidR="007A5656" w:rsidRPr="00A21F71" w:rsidRDefault="007A5656" w:rsidP="007A5656">
      <w:pPr>
        <w:jc w:val="both"/>
        <w:rPr>
          <w:rFonts w:eastAsia="Calibri"/>
          <w:lang w:eastAsia="de-DE" w:bidi="de-DE"/>
        </w:rPr>
      </w:pPr>
    </w:p>
    <w:p w14:paraId="60772884" w14:textId="77777777" w:rsidR="007A5656" w:rsidRPr="00A21F71" w:rsidRDefault="007A5656" w:rsidP="007A5656">
      <w:pPr>
        <w:jc w:val="both"/>
        <w:rPr>
          <w:rFonts w:eastAsia="Calibri"/>
          <w:lang w:eastAsia="de-DE" w:bidi="de-DE"/>
        </w:rPr>
      </w:pPr>
      <w:r w:rsidRPr="00A21F71">
        <w:rPr>
          <w:rFonts w:eastAsia="Calibri"/>
          <w:lang w:eastAsia="de-DE" w:bidi="de-DE"/>
        </w:rPr>
        <w:tab/>
        <w:t>a) Die monatliche Bruttoentlohnung wird auf das untere Vielfache von 15 EUR abgerundet.</w:t>
      </w:r>
    </w:p>
    <w:p w14:paraId="565A4584" w14:textId="77777777" w:rsidR="007A5656" w:rsidRPr="00A21F71" w:rsidRDefault="007A5656" w:rsidP="007A5656">
      <w:pPr>
        <w:jc w:val="both"/>
        <w:rPr>
          <w:rFonts w:eastAsia="Calibri"/>
          <w:lang w:eastAsia="de-DE" w:bidi="de-DE"/>
        </w:rPr>
      </w:pPr>
    </w:p>
    <w:p w14:paraId="6029B291" w14:textId="77777777" w:rsidR="007A5656" w:rsidRPr="00A21F71" w:rsidRDefault="007A5656" w:rsidP="007A5656">
      <w:pPr>
        <w:jc w:val="both"/>
        <w:rPr>
          <w:rFonts w:eastAsia="Calibri"/>
          <w:lang w:eastAsia="de-DE" w:bidi="de-DE"/>
        </w:rPr>
      </w:pPr>
      <w:r w:rsidRPr="00A21F71">
        <w:rPr>
          <w:rFonts w:eastAsia="Calibri"/>
          <w:lang w:eastAsia="de-DE" w:bidi="de-DE"/>
        </w:rPr>
        <w:tab/>
        <w:t>b) Der Berufssteuervorabzug auf diesen a</w:t>
      </w:r>
      <w:r>
        <w:rPr>
          <w:rFonts w:eastAsia="Calibri"/>
          <w:lang w:eastAsia="de-DE" w:bidi="de-DE"/>
        </w:rPr>
        <w:t>bgerundeten Betrag beträgt 3.272,72</w:t>
      </w:r>
      <w:r w:rsidRPr="00A21F71">
        <w:rPr>
          <w:rFonts w:eastAsia="Calibri"/>
          <w:lang w:eastAsia="de-DE" w:bidi="de-DE"/>
        </w:rPr>
        <w:t> EUR, erhöht um 53,50 Prozent des Teils der monatlichen Bruttoentlohnung, der über 7.500 EUR liegt.</w:t>
      </w:r>
    </w:p>
    <w:p w14:paraId="3AB447CE" w14:textId="77777777" w:rsidR="007A5656" w:rsidRPr="00A21F71" w:rsidRDefault="007A5656" w:rsidP="007A5656">
      <w:pPr>
        <w:jc w:val="both"/>
        <w:rPr>
          <w:rFonts w:eastAsia="Calibri"/>
          <w:lang w:eastAsia="de-DE" w:bidi="de-DE"/>
        </w:rPr>
      </w:pPr>
    </w:p>
    <w:p w14:paraId="31338F97" w14:textId="77777777" w:rsidR="007A5656" w:rsidRPr="00A21F71" w:rsidRDefault="007A5656" w:rsidP="007A5656">
      <w:pPr>
        <w:jc w:val="both"/>
        <w:rPr>
          <w:rFonts w:eastAsia="Calibri"/>
          <w:lang w:eastAsia="de-DE" w:bidi="de-DE"/>
        </w:rPr>
      </w:pPr>
      <w:r w:rsidRPr="00A21F71">
        <w:rPr>
          <w:rFonts w:eastAsia="Calibri"/>
          <w:lang w:eastAsia="de-DE" w:bidi="de-DE"/>
        </w:rPr>
        <w:tab/>
        <w:t>c) Von dem gemäß Buchstabe b) berechneten Berufssteuervorabzug werden dann die in Nr. 2.2 Punkt A Buchstabe a) bis d) erwähnten Ermäßigungen abgezogen.</w:t>
      </w:r>
    </w:p>
    <w:p w14:paraId="221860F5" w14:textId="77777777" w:rsidR="007A5656" w:rsidRPr="00A21F71" w:rsidRDefault="007A5656" w:rsidP="007A5656">
      <w:pPr>
        <w:jc w:val="both"/>
        <w:rPr>
          <w:rFonts w:eastAsia="Calibri"/>
          <w:lang w:eastAsia="de-DE" w:bidi="de-DE"/>
        </w:rPr>
      </w:pPr>
    </w:p>
    <w:p w14:paraId="1C4C6D53" w14:textId="77777777" w:rsidR="007A5656" w:rsidRPr="00A21F71" w:rsidRDefault="007A5656" w:rsidP="007A5656">
      <w:pPr>
        <w:jc w:val="both"/>
        <w:rPr>
          <w:rFonts w:eastAsia="Calibri"/>
          <w:lang w:eastAsia="de-DE" w:bidi="de-DE"/>
        </w:rPr>
      </w:pPr>
      <w:r w:rsidRPr="00A21F71">
        <w:rPr>
          <w:rFonts w:eastAsia="Calibri"/>
          <w:lang w:eastAsia="de-DE" w:bidi="de-DE"/>
        </w:rPr>
        <w:tab/>
        <w:t>B. In Abweichung von Punkt A wird der Berufssteuervorabzug gemäß den in Nr. 2.5 vorgesehenen Regeln festgelegt, wenn der Ehepartner des Empfängers der Einkünfte eigene Berufseinkünfte bezieht, die sich ausschließlich aus Pensionen, Renten oder damit gleichgesetzten Einkünften zusammensetzen und die n</w:t>
      </w:r>
      <w:r>
        <w:rPr>
          <w:rFonts w:eastAsia="Calibri"/>
          <w:lang w:eastAsia="de-DE" w:bidi="de-DE"/>
        </w:rPr>
        <w:t>icht mehr als 132</w:t>
      </w:r>
      <w:r w:rsidRPr="00A21F71">
        <w:rPr>
          <w:rFonts w:eastAsia="Calibri"/>
          <w:lang w:eastAsia="de-DE" w:bidi="de-DE"/>
        </w:rPr>
        <w:t> EUR NETTO pro Monat betragen.</w:t>
      </w:r>
    </w:p>
    <w:p w14:paraId="3B0AC638" w14:textId="77777777" w:rsidR="007A5656" w:rsidRPr="00A21F71" w:rsidRDefault="007A5656" w:rsidP="007A5656">
      <w:pPr>
        <w:jc w:val="both"/>
        <w:rPr>
          <w:rFonts w:eastAsia="Calibri"/>
          <w:lang w:eastAsia="de-DE" w:bidi="de-DE"/>
        </w:rPr>
      </w:pPr>
    </w:p>
    <w:p w14:paraId="27632D9C" w14:textId="77777777" w:rsidR="007A5656" w:rsidRPr="00A21F71" w:rsidRDefault="007A5656" w:rsidP="007A5656">
      <w:pPr>
        <w:jc w:val="both"/>
        <w:rPr>
          <w:rFonts w:eastAsia="Calibri"/>
          <w:lang w:eastAsia="de-DE" w:bidi="de-DE"/>
        </w:rPr>
      </w:pPr>
      <w:r w:rsidRPr="00A21F71">
        <w:rPr>
          <w:rFonts w:eastAsia="Calibri"/>
          <w:lang w:eastAsia="de-DE" w:bidi="de-DE"/>
        </w:rPr>
        <w:tab/>
        <w:t>Nettoberufseinkünfte werden gemäß den in Nr. 1.8 Punkt C vorgesehenen Regeln festgelegt.</w:t>
      </w:r>
    </w:p>
    <w:p w14:paraId="22D9764A" w14:textId="77777777" w:rsidR="007A5656" w:rsidRPr="00A21F71" w:rsidRDefault="007A5656" w:rsidP="007A5656">
      <w:pPr>
        <w:jc w:val="both"/>
        <w:rPr>
          <w:rFonts w:eastAsia="Calibri"/>
          <w:lang w:eastAsia="de-DE" w:bidi="de-DE"/>
        </w:rPr>
      </w:pPr>
    </w:p>
    <w:p w14:paraId="0B9BCCB4" w14:textId="77777777" w:rsidR="007A5656" w:rsidRPr="00A21F71" w:rsidRDefault="007A5656" w:rsidP="007A5656">
      <w:pPr>
        <w:jc w:val="both"/>
        <w:rPr>
          <w:rFonts w:eastAsia="Calibri"/>
          <w:lang w:eastAsia="de-DE" w:bidi="de-DE"/>
        </w:rPr>
      </w:pPr>
      <w:r w:rsidRPr="00A21F71">
        <w:rPr>
          <w:rFonts w:eastAsia="Calibri"/>
          <w:lang w:eastAsia="de-DE" w:bidi="de-DE"/>
        </w:rPr>
        <w:tab/>
        <w:t>2.5 Der Ehepartner des Empfängers der Einkünfte bezieht keine Berufseinkünfte</w:t>
      </w:r>
    </w:p>
    <w:p w14:paraId="7308C45E" w14:textId="77777777" w:rsidR="007A5656" w:rsidRPr="00A21F71" w:rsidRDefault="007A5656" w:rsidP="007A5656">
      <w:pPr>
        <w:jc w:val="both"/>
        <w:rPr>
          <w:rFonts w:eastAsia="Calibri"/>
          <w:lang w:eastAsia="de-DE" w:bidi="de-DE"/>
        </w:rPr>
      </w:pPr>
    </w:p>
    <w:p w14:paraId="32624615" w14:textId="77777777" w:rsidR="007A5656" w:rsidRPr="00A21F71" w:rsidRDefault="007A5656" w:rsidP="007A5656">
      <w:pPr>
        <w:jc w:val="both"/>
        <w:rPr>
          <w:rFonts w:eastAsia="Calibri"/>
          <w:lang w:eastAsia="de-DE" w:bidi="de-DE"/>
        </w:rPr>
      </w:pPr>
      <w:r w:rsidRPr="00A21F71">
        <w:rPr>
          <w:rFonts w:eastAsia="Calibri"/>
          <w:lang w:eastAsia="de-DE" w:bidi="de-DE"/>
        </w:rPr>
        <w:tab/>
        <w:t>Beträgt die monatliche Bruttoentlohnung mehr als 7.500 EUR, wird der Berufssteuervorabzug wie folgt festgelegt:</w:t>
      </w:r>
    </w:p>
    <w:p w14:paraId="7F2757E3" w14:textId="77777777" w:rsidR="007A5656" w:rsidRPr="00A21F71" w:rsidRDefault="007A5656" w:rsidP="007A5656">
      <w:pPr>
        <w:jc w:val="both"/>
        <w:rPr>
          <w:rFonts w:eastAsia="Calibri"/>
          <w:lang w:eastAsia="de-DE" w:bidi="de-DE"/>
        </w:rPr>
      </w:pPr>
    </w:p>
    <w:p w14:paraId="23638B83" w14:textId="77777777" w:rsidR="007A5656" w:rsidRPr="00A21F71" w:rsidRDefault="007A5656" w:rsidP="007A5656">
      <w:pPr>
        <w:jc w:val="both"/>
        <w:rPr>
          <w:rFonts w:eastAsia="Calibri"/>
          <w:lang w:eastAsia="de-DE" w:bidi="de-DE"/>
        </w:rPr>
      </w:pPr>
      <w:r w:rsidRPr="00A21F71">
        <w:rPr>
          <w:rFonts w:eastAsia="Calibri"/>
          <w:lang w:eastAsia="de-DE" w:bidi="de-DE"/>
        </w:rPr>
        <w:tab/>
        <w:t>a) Die monatliche Bruttoentlohnung wird auf das untere Vielfache von 15 EUR abgerundet.</w:t>
      </w:r>
    </w:p>
    <w:p w14:paraId="3CEBF7BB" w14:textId="77777777" w:rsidR="007A5656" w:rsidRPr="00A21F71" w:rsidRDefault="007A5656" w:rsidP="007A5656">
      <w:pPr>
        <w:jc w:val="both"/>
        <w:rPr>
          <w:rFonts w:eastAsia="Calibri"/>
          <w:lang w:eastAsia="de-DE" w:bidi="de-DE"/>
        </w:rPr>
      </w:pPr>
    </w:p>
    <w:p w14:paraId="438BA44A" w14:textId="77777777" w:rsidR="007A5656" w:rsidRPr="00A21F71" w:rsidRDefault="007A5656" w:rsidP="007A5656">
      <w:pPr>
        <w:jc w:val="both"/>
        <w:rPr>
          <w:rFonts w:eastAsia="Calibri"/>
          <w:lang w:eastAsia="de-DE" w:bidi="de-DE"/>
        </w:rPr>
      </w:pPr>
      <w:r w:rsidRPr="00A21F71">
        <w:rPr>
          <w:rFonts w:eastAsia="Calibri"/>
          <w:lang w:eastAsia="de-DE" w:bidi="de-DE"/>
        </w:rPr>
        <w:tab/>
        <w:t>b) Der Berufssteuervorabzug auf diesen a</w:t>
      </w:r>
      <w:r>
        <w:rPr>
          <w:rFonts w:eastAsia="Calibri"/>
          <w:lang w:eastAsia="de-DE" w:bidi="de-DE"/>
        </w:rPr>
        <w:t>bgerundeten Betrag beträgt 2.900,90</w:t>
      </w:r>
      <w:r w:rsidRPr="00A21F71">
        <w:rPr>
          <w:rFonts w:eastAsia="Calibri"/>
          <w:lang w:eastAsia="de-DE" w:bidi="de-DE"/>
        </w:rPr>
        <w:t> EUR, erhöht um 53,50 Prozent des Teils der monatlichen Bruttoentlohnung, der über 7.500 EUR liegt.</w:t>
      </w:r>
    </w:p>
    <w:p w14:paraId="5F2A7F2D" w14:textId="77777777" w:rsidR="007A5656" w:rsidRPr="00A21F71" w:rsidRDefault="007A5656" w:rsidP="007A5656">
      <w:pPr>
        <w:jc w:val="both"/>
        <w:rPr>
          <w:rFonts w:eastAsia="Calibri"/>
          <w:lang w:eastAsia="de-DE" w:bidi="de-DE"/>
        </w:rPr>
      </w:pPr>
    </w:p>
    <w:p w14:paraId="7C5DC872" w14:textId="77777777" w:rsidR="007A5656" w:rsidRPr="00A21F71" w:rsidRDefault="007A5656" w:rsidP="007A5656">
      <w:pPr>
        <w:jc w:val="both"/>
        <w:rPr>
          <w:rFonts w:eastAsia="Calibri"/>
          <w:lang w:eastAsia="de-DE" w:bidi="de-DE"/>
        </w:rPr>
      </w:pPr>
      <w:r w:rsidRPr="00A21F71">
        <w:rPr>
          <w:rFonts w:eastAsia="Calibri"/>
          <w:lang w:eastAsia="de-DE" w:bidi="de-DE"/>
        </w:rPr>
        <w:tab/>
        <w:t>c) Von dem gemäß Buchstabe b) berechneten Berufssteuervorabzug werden dann die in Nr. 2.3 Buchstabe a) bis d) erwähnten Ermäßigungen abgezogen.</w:t>
      </w:r>
    </w:p>
    <w:p w14:paraId="34DFBB38"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061E2C4A" w14:textId="77777777" w:rsidR="007A5656" w:rsidRPr="00A21F71" w:rsidRDefault="007A5656" w:rsidP="007A5656">
      <w:pPr>
        <w:jc w:val="center"/>
        <w:rPr>
          <w:rFonts w:eastAsia="Calibri"/>
          <w:lang w:eastAsia="de-DE" w:bidi="de-DE"/>
        </w:rPr>
      </w:pPr>
      <w:r w:rsidRPr="00A21F71">
        <w:rPr>
          <w:rFonts w:eastAsia="Calibri"/>
          <w:i/>
          <w:lang w:eastAsia="de-DE" w:bidi="de-DE"/>
        </w:rPr>
        <w:lastRenderedPageBreak/>
        <w:t>Abschnitt 3</w:t>
      </w:r>
      <w:r w:rsidRPr="00A21F71">
        <w:rPr>
          <w:rFonts w:eastAsia="Calibri"/>
          <w:lang w:eastAsia="de-DE" w:bidi="de-DE"/>
        </w:rPr>
        <w:t> - Besondere Regeln</w:t>
      </w:r>
    </w:p>
    <w:p w14:paraId="4E95B74C" w14:textId="77777777" w:rsidR="007A5656" w:rsidRPr="00A21F71" w:rsidRDefault="007A5656" w:rsidP="007A5656">
      <w:pPr>
        <w:jc w:val="both"/>
        <w:rPr>
          <w:rFonts w:eastAsia="Calibri"/>
          <w:lang w:eastAsia="de-DE" w:bidi="de-DE"/>
        </w:rPr>
      </w:pPr>
    </w:p>
    <w:p w14:paraId="60A5C316" w14:textId="77777777" w:rsidR="007A5656" w:rsidRPr="00A21F71" w:rsidRDefault="007A5656" w:rsidP="007A5656">
      <w:pPr>
        <w:jc w:val="both"/>
        <w:rPr>
          <w:rFonts w:eastAsia="Calibri"/>
          <w:lang w:eastAsia="de-DE" w:bidi="de-DE"/>
        </w:rPr>
      </w:pPr>
    </w:p>
    <w:p w14:paraId="523A1316" w14:textId="77777777" w:rsidR="007A5656" w:rsidRPr="00A21F71" w:rsidRDefault="007A5656" w:rsidP="007A5656">
      <w:pPr>
        <w:jc w:val="both"/>
        <w:rPr>
          <w:rFonts w:eastAsia="Calibri"/>
          <w:lang w:eastAsia="de-DE" w:bidi="de-DE"/>
        </w:rPr>
      </w:pPr>
      <w:r w:rsidRPr="00A21F71">
        <w:rPr>
          <w:rFonts w:eastAsia="Calibri"/>
          <w:lang w:eastAsia="de-DE" w:bidi="de-DE"/>
        </w:rPr>
        <w:tab/>
        <w:t>2.6 Zweiwöchentliche Zahlungen</w:t>
      </w:r>
    </w:p>
    <w:p w14:paraId="18FB02A5" w14:textId="77777777" w:rsidR="007A5656" w:rsidRPr="00A21F71" w:rsidRDefault="007A5656" w:rsidP="007A5656">
      <w:pPr>
        <w:jc w:val="both"/>
        <w:rPr>
          <w:rFonts w:eastAsia="Calibri"/>
          <w:lang w:eastAsia="de-DE" w:bidi="de-DE"/>
        </w:rPr>
      </w:pPr>
    </w:p>
    <w:p w14:paraId="70A12AA3" w14:textId="77777777" w:rsidR="007A5656" w:rsidRPr="00A21F71" w:rsidRDefault="007A5656" w:rsidP="007A5656">
      <w:pPr>
        <w:jc w:val="both"/>
        <w:rPr>
          <w:rFonts w:eastAsia="Calibri"/>
          <w:lang w:eastAsia="de-DE" w:bidi="de-DE"/>
        </w:rPr>
      </w:pPr>
      <w:r w:rsidRPr="00A21F71">
        <w:rPr>
          <w:rFonts w:eastAsia="Calibri"/>
          <w:lang w:eastAsia="de-DE" w:bidi="de-DE"/>
        </w:rPr>
        <w:tab/>
        <w:t>Für zweiwöchentlich gezahlte Entlohnungen wird der Berufssteuervorabzug auf die Hälfte des Vorabzugs festgelegt, der gemäß den auf monatlich gezahlte Entlohnungen anwendbaren Regeln, die in den Nummern 2.2 bis 2.5 vorgesehen sind, auf den Betrag geschuldet wird, der zweimal der zweiwöchentlichen Entlohnung entspricht.</w:t>
      </w:r>
    </w:p>
    <w:p w14:paraId="71ED9FFB" w14:textId="77777777" w:rsidR="007A5656" w:rsidRPr="00A21F71" w:rsidRDefault="007A5656" w:rsidP="007A5656">
      <w:pPr>
        <w:jc w:val="both"/>
        <w:rPr>
          <w:rFonts w:eastAsia="Calibri"/>
          <w:lang w:eastAsia="de-DE" w:bidi="de-DE"/>
        </w:rPr>
      </w:pPr>
    </w:p>
    <w:p w14:paraId="441F4842" w14:textId="77777777" w:rsidR="007A5656" w:rsidRPr="00A21F71" w:rsidRDefault="007A5656" w:rsidP="007A5656">
      <w:pPr>
        <w:jc w:val="both"/>
        <w:rPr>
          <w:rFonts w:eastAsia="Calibri"/>
          <w:lang w:eastAsia="de-DE" w:bidi="de-DE"/>
        </w:rPr>
      </w:pPr>
      <w:r w:rsidRPr="00A21F71">
        <w:rPr>
          <w:rFonts w:eastAsia="Calibri"/>
          <w:lang w:eastAsia="de-DE" w:bidi="de-DE"/>
        </w:rPr>
        <w:tab/>
        <w:t>2.7 Wöchentliche Zahlungen</w:t>
      </w:r>
    </w:p>
    <w:p w14:paraId="7F23F15A" w14:textId="77777777" w:rsidR="007A5656" w:rsidRPr="00A21F71" w:rsidRDefault="007A5656" w:rsidP="007A5656">
      <w:pPr>
        <w:jc w:val="both"/>
        <w:rPr>
          <w:rFonts w:eastAsia="Calibri"/>
          <w:lang w:eastAsia="de-DE" w:bidi="de-DE"/>
        </w:rPr>
      </w:pPr>
    </w:p>
    <w:p w14:paraId="20EF00AF" w14:textId="77777777" w:rsidR="007A5656" w:rsidRPr="00A21F71" w:rsidRDefault="007A5656" w:rsidP="007A5656">
      <w:pPr>
        <w:jc w:val="both"/>
        <w:rPr>
          <w:rFonts w:eastAsia="Calibri"/>
          <w:lang w:eastAsia="de-DE" w:bidi="de-DE"/>
        </w:rPr>
      </w:pPr>
      <w:r w:rsidRPr="00A21F71">
        <w:rPr>
          <w:rFonts w:eastAsia="Calibri"/>
          <w:lang w:eastAsia="de-DE" w:bidi="de-DE"/>
        </w:rPr>
        <w:tab/>
        <w:t>Für wöchentlich gezahlte Entlohnungen wird der Berufssteuervorabzug auf ein Viertel des Vorabzugs festgelegt, der gemäß den auf monatlich gezahlte Entlohnungen anwendbaren Regeln, die in den Nummern 2.2 bis 2.5 vorgesehen sind, auf den Betrag geschuldet wird, der viermal der wöchentlichen Entlohnung entspricht.</w:t>
      </w:r>
    </w:p>
    <w:p w14:paraId="0BF9FE23" w14:textId="77777777" w:rsidR="007A5656" w:rsidRPr="00A21F71" w:rsidRDefault="007A5656" w:rsidP="007A5656">
      <w:pPr>
        <w:jc w:val="both"/>
        <w:rPr>
          <w:rFonts w:eastAsia="Calibri"/>
          <w:lang w:eastAsia="de-DE" w:bidi="de-DE"/>
        </w:rPr>
      </w:pPr>
    </w:p>
    <w:p w14:paraId="10973FE9" w14:textId="77777777" w:rsidR="007A5656" w:rsidRPr="00A21F71" w:rsidRDefault="007A5656" w:rsidP="007A5656">
      <w:pPr>
        <w:jc w:val="both"/>
        <w:rPr>
          <w:rFonts w:eastAsia="Calibri"/>
          <w:lang w:eastAsia="de-DE" w:bidi="de-DE"/>
        </w:rPr>
      </w:pPr>
      <w:r w:rsidRPr="00A21F71">
        <w:rPr>
          <w:rFonts w:eastAsia="Calibri"/>
          <w:lang w:eastAsia="de-DE" w:bidi="de-DE"/>
        </w:rPr>
        <w:tab/>
        <w:t>2.8 Zahlungen pro Arbeitstag</w:t>
      </w:r>
    </w:p>
    <w:p w14:paraId="157B9428" w14:textId="77777777" w:rsidR="007A5656" w:rsidRPr="00A21F71" w:rsidRDefault="007A5656" w:rsidP="007A5656">
      <w:pPr>
        <w:jc w:val="both"/>
        <w:rPr>
          <w:rFonts w:eastAsia="Calibri"/>
          <w:lang w:eastAsia="de-DE" w:bidi="de-DE"/>
        </w:rPr>
      </w:pPr>
    </w:p>
    <w:p w14:paraId="40EF7316" w14:textId="77777777" w:rsidR="007A5656" w:rsidRPr="00A21F71" w:rsidRDefault="007A5656" w:rsidP="007A5656">
      <w:pPr>
        <w:jc w:val="both"/>
        <w:rPr>
          <w:rFonts w:eastAsia="Calibri"/>
          <w:lang w:eastAsia="de-DE" w:bidi="de-DE"/>
        </w:rPr>
      </w:pPr>
      <w:r w:rsidRPr="00A21F71">
        <w:rPr>
          <w:rFonts w:eastAsia="Calibri"/>
          <w:lang w:eastAsia="de-DE" w:bidi="de-DE"/>
        </w:rPr>
        <w:tab/>
        <w:t>Für Entlohnungen, die pro Arbeitstag gezahlt werden, wird der Berufssteuervorabzug auf ein Zwanzigstel des Vorabzugs festgelegt, der gemäß den auf monatlich gezahlte Entlohnungen anwendbaren Regeln, die in den Nummern 2.2 bis 2.5 vorgesehen sind, auf den Betrag geschuldet wird, der zwanzigmal der Entlohnung pro Arbeitstag entspricht.</w:t>
      </w:r>
    </w:p>
    <w:p w14:paraId="3D1EE171" w14:textId="77777777" w:rsidR="007A5656" w:rsidRPr="00A21F71" w:rsidRDefault="007A5656" w:rsidP="007A5656">
      <w:pPr>
        <w:jc w:val="both"/>
        <w:rPr>
          <w:rFonts w:eastAsia="Calibri"/>
          <w:lang w:eastAsia="de-DE" w:bidi="de-DE"/>
        </w:rPr>
      </w:pPr>
    </w:p>
    <w:p w14:paraId="64BB8CB5" w14:textId="77777777" w:rsidR="007A5656" w:rsidRPr="00A21F71" w:rsidRDefault="007A5656" w:rsidP="007A5656">
      <w:pPr>
        <w:jc w:val="both"/>
        <w:rPr>
          <w:rFonts w:eastAsia="Calibri"/>
          <w:lang w:eastAsia="de-DE" w:bidi="de-DE"/>
        </w:rPr>
      </w:pPr>
      <w:r w:rsidRPr="00A21F71">
        <w:rPr>
          <w:rFonts w:eastAsia="Calibri"/>
          <w:lang w:eastAsia="de-DE" w:bidi="de-DE"/>
        </w:rPr>
        <w:tab/>
        <w:t>2.9 Außerordentliche Entschädigungen</w:t>
      </w:r>
    </w:p>
    <w:p w14:paraId="0A11E1BC" w14:textId="77777777" w:rsidR="007A5656" w:rsidRPr="00A21F71" w:rsidRDefault="007A5656" w:rsidP="007A5656">
      <w:pPr>
        <w:jc w:val="both"/>
        <w:rPr>
          <w:rFonts w:eastAsia="Calibri"/>
          <w:lang w:eastAsia="de-DE" w:bidi="de-DE"/>
        </w:rPr>
      </w:pPr>
    </w:p>
    <w:p w14:paraId="6B0DA4F0" w14:textId="77777777" w:rsidR="007A5656" w:rsidRPr="00A21F71" w:rsidRDefault="007A5656" w:rsidP="007A5656">
      <w:pPr>
        <w:jc w:val="both"/>
        <w:rPr>
          <w:rFonts w:eastAsia="Calibri"/>
          <w:lang w:eastAsia="de-DE" w:bidi="de-DE"/>
        </w:rPr>
      </w:pPr>
      <w:r w:rsidRPr="00A21F71">
        <w:rPr>
          <w:rFonts w:eastAsia="Calibri"/>
          <w:lang w:eastAsia="de-DE" w:bidi="de-DE"/>
        </w:rPr>
        <w:tab/>
        <w:t>A. Für außerordentliche Entschädigungen und Zulagen, die keine Entlassungs</w:t>
      </w:r>
      <w:r w:rsidRPr="00A21F71">
        <w:rPr>
          <w:rFonts w:eastAsia="Calibri"/>
          <w:lang w:eastAsia="de-DE" w:bidi="de-DE"/>
        </w:rPr>
        <w:softHyphen/>
        <w:t>entschädigungen sind und die ein Arbeitgeber Personalmitgliedern außerhalb der normalen Entlohnung (gelegentliche Provisionen auf eine Gesamtheit von Geschäften, besondere und außerordentliche Zuwendungen, Urlaubsgeld usw.) zahlt, wird der Berufssteuervorabzug gemäß den in Buchstabe a) vorgesehenen Sätzen unter Berücksichtigung des Jahresbetrags der normalen Bruttoentlohnung des Empfängers der Einkünfte festgelegt.</w:t>
      </w:r>
    </w:p>
    <w:p w14:paraId="057D7B82" w14:textId="77777777" w:rsidR="007A5656" w:rsidRPr="00A21F71" w:rsidRDefault="007A5656" w:rsidP="007A5656">
      <w:pPr>
        <w:jc w:val="both"/>
        <w:rPr>
          <w:rFonts w:eastAsia="Calibri"/>
          <w:lang w:eastAsia="de-DE" w:bidi="de-DE"/>
        </w:rPr>
      </w:pPr>
    </w:p>
    <w:p w14:paraId="39F7E87E" w14:textId="77777777" w:rsidR="007A5656" w:rsidRPr="00A21F71" w:rsidRDefault="007A5656" w:rsidP="007A5656">
      <w:pPr>
        <w:jc w:val="both"/>
        <w:rPr>
          <w:rFonts w:eastAsia="Calibri"/>
          <w:lang w:eastAsia="de-DE" w:bidi="de-DE"/>
        </w:rPr>
      </w:pPr>
      <w:r w:rsidRPr="00A21F71">
        <w:rPr>
          <w:rFonts w:eastAsia="Calibri"/>
          <w:lang w:eastAsia="de-DE" w:bidi="de-DE"/>
        </w:rPr>
        <w:tab/>
        <w:t>Übersteigt der Jahresbetrag der normalen Bruttoentlohnung jedoch nicht den Grenzbetrag, der je nach der Anzahl Kinder zu Lasten in der in Buchstabe b) aufgenommenen Tabelle angegeben ist, sind außerordentliche Entschädigungen bis zur Differenz zwischen dem vorerwähnten Grenzbetrag und dem Jahresbetrag der normalen Bruttoentlohnung befreit.</w:t>
      </w:r>
    </w:p>
    <w:p w14:paraId="769F0170" w14:textId="77777777" w:rsidR="007A5656" w:rsidRPr="00A21F71" w:rsidRDefault="007A5656" w:rsidP="007A5656">
      <w:pPr>
        <w:jc w:val="both"/>
        <w:rPr>
          <w:rFonts w:eastAsia="Calibri"/>
          <w:lang w:eastAsia="de-DE" w:bidi="de-DE"/>
        </w:rPr>
      </w:pPr>
    </w:p>
    <w:p w14:paraId="4D071375" w14:textId="77777777" w:rsidR="007A5656" w:rsidRPr="00A21F71" w:rsidRDefault="007A5656" w:rsidP="007A5656">
      <w:pPr>
        <w:jc w:val="both"/>
        <w:rPr>
          <w:rFonts w:eastAsia="Calibri"/>
          <w:lang w:eastAsia="de-DE" w:bidi="de-DE"/>
        </w:rPr>
      </w:pPr>
      <w:r w:rsidRPr="00A21F71">
        <w:rPr>
          <w:rFonts w:eastAsia="Calibri"/>
          <w:lang w:eastAsia="de-DE" w:bidi="de-DE"/>
        </w:rPr>
        <w:tab/>
        <w:t>Hat der Empfänger außerordentlicher Entschädigungen höchstens fünf Kinder zu Lasten und übersteigt der Jahresbetrag seiner normalen Bruttoentlohnung nicht den Betrag, der - je nach der Anzahl Kinder zu Lasten - in Spalte 3 der in Buchstabe c) aufgenommenen Tabelle angegeben ist, wird eine Ermäßigung auf den Berufssteuervorabzug gewährt, der gemäß den beiden vorhergehenden Absätzen auf außerordentliche Entschädigungen geschuldet wird; diese Ermäßigung wird je nach der Anzahl Kinder zu Lasten mittels des Prozentsatzes berechnet, der in Spalte 2 der in Buchstabe c) aufgenommenen Tabelle angegeben ist.</w:t>
      </w:r>
    </w:p>
    <w:p w14:paraId="23824D64"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58DFBFA8" w14:textId="77777777" w:rsidR="007A5656" w:rsidRPr="00A21F71" w:rsidRDefault="007A5656" w:rsidP="007A5656">
      <w:pPr>
        <w:rPr>
          <w:rFonts w:eastAsia="Calibri"/>
          <w:lang w:eastAsia="de-DE" w:bidi="de-DE"/>
        </w:rPr>
      </w:pPr>
      <w:r w:rsidRPr="00A21F71">
        <w:rPr>
          <w:rFonts w:eastAsia="Calibri"/>
          <w:lang w:eastAsia="de-DE" w:bidi="de-DE"/>
        </w:rPr>
        <w:lastRenderedPageBreak/>
        <w:tab/>
        <w:t xml:space="preserve">a) </w:t>
      </w:r>
      <w:r w:rsidRPr="00A21F71">
        <w:rPr>
          <w:rFonts w:eastAsia="Calibri"/>
          <w:u w:val="dotted"/>
          <w:lang w:eastAsia="de-DE" w:bidi="de-DE"/>
        </w:rPr>
        <w:t>Satz</w:t>
      </w:r>
    </w:p>
    <w:p w14:paraId="1AC87111"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2410"/>
        <w:gridCol w:w="2441"/>
      </w:tblGrid>
      <w:tr w:rsidR="007A5656" w:rsidRPr="00A21F71" w14:paraId="6238986B" w14:textId="77777777" w:rsidTr="00212CA2">
        <w:tc>
          <w:tcPr>
            <w:tcW w:w="4253" w:type="dxa"/>
            <w:tcBorders>
              <w:bottom w:val="nil"/>
            </w:tcBorders>
            <w:vAlign w:val="center"/>
          </w:tcPr>
          <w:p w14:paraId="16A65545" w14:textId="77777777" w:rsidR="007A5656" w:rsidRPr="00A21F71" w:rsidRDefault="007A5656" w:rsidP="00212CA2">
            <w:pPr>
              <w:spacing w:beforeLines="40" w:before="96" w:afterLines="40" w:after="96"/>
              <w:jc w:val="center"/>
              <w:rPr>
                <w:rFonts w:eastAsia="Calibri"/>
                <w:sz w:val="18"/>
                <w:szCs w:val="18"/>
                <w:lang w:eastAsia="de-DE" w:bidi="de-DE"/>
              </w:rPr>
            </w:pPr>
            <w:r w:rsidRPr="00A21F71">
              <w:rPr>
                <w:rFonts w:eastAsia="Calibri"/>
                <w:sz w:val="18"/>
                <w:szCs w:val="18"/>
                <w:lang w:eastAsia="de-DE" w:bidi="de-DE"/>
              </w:rPr>
              <w:t>JAHRESBETRAG DER NORMALEN BRUTTOENTLOHNUNG</w:t>
            </w:r>
          </w:p>
        </w:tc>
        <w:tc>
          <w:tcPr>
            <w:tcW w:w="4851" w:type="dxa"/>
            <w:gridSpan w:val="2"/>
            <w:vAlign w:val="center"/>
          </w:tcPr>
          <w:p w14:paraId="06220579" w14:textId="77777777" w:rsidR="007A5656" w:rsidRPr="00A21F71" w:rsidRDefault="007A5656" w:rsidP="00212CA2">
            <w:pPr>
              <w:spacing w:beforeLines="40" w:before="96" w:afterLines="40" w:after="96"/>
              <w:jc w:val="center"/>
              <w:rPr>
                <w:rFonts w:eastAsia="Calibri"/>
                <w:sz w:val="18"/>
                <w:szCs w:val="18"/>
                <w:lang w:eastAsia="de-DE" w:bidi="de-DE"/>
              </w:rPr>
            </w:pPr>
            <w:r w:rsidRPr="00A21F71">
              <w:rPr>
                <w:rFonts w:eastAsia="Calibri"/>
                <w:sz w:val="18"/>
                <w:szCs w:val="18"/>
                <w:lang w:eastAsia="de-DE" w:bidi="de-DE"/>
              </w:rPr>
              <w:t>PROZENTSATZ DES GESCHULDETEN BERUFSSTEUERVORABZUGS</w:t>
            </w:r>
            <w:r w:rsidRPr="00A21F71">
              <w:rPr>
                <w:rFonts w:eastAsia="Calibri"/>
                <w:caps/>
                <w:sz w:val="18"/>
                <w:szCs w:val="18"/>
                <w:lang w:eastAsia="de-DE" w:bidi="de-DE"/>
              </w:rPr>
              <w:t xml:space="preserve"> </w:t>
            </w:r>
            <w:r w:rsidRPr="00A21F71">
              <w:rPr>
                <w:rFonts w:eastAsia="Calibri"/>
                <w:sz w:val="18"/>
                <w:szCs w:val="18"/>
                <w:lang w:eastAsia="de-DE" w:bidi="de-DE"/>
              </w:rPr>
              <w:t>AUF</w:t>
            </w:r>
          </w:p>
        </w:tc>
      </w:tr>
      <w:tr w:rsidR="007A5656" w:rsidRPr="00A21F71" w14:paraId="316D8651" w14:textId="77777777" w:rsidTr="00212CA2">
        <w:tc>
          <w:tcPr>
            <w:tcW w:w="4253" w:type="dxa"/>
            <w:tcBorders>
              <w:top w:val="nil"/>
            </w:tcBorders>
          </w:tcPr>
          <w:p w14:paraId="303C3A2E" w14:textId="77777777" w:rsidR="007A5656" w:rsidRPr="00A21F71" w:rsidRDefault="007A5656" w:rsidP="00212CA2">
            <w:pPr>
              <w:spacing w:beforeLines="40" w:before="96" w:afterLines="40" w:after="96"/>
              <w:rPr>
                <w:rFonts w:eastAsia="Calibri"/>
                <w:sz w:val="18"/>
                <w:szCs w:val="18"/>
                <w:lang w:eastAsia="de-DE" w:bidi="de-DE"/>
              </w:rPr>
            </w:pPr>
          </w:p>
        </w:tc>
        <w:tc>
          <w:tcPr>
            <w:tcW w:w="2410" w:type="dxa"/>
            <w:vAlign w:val="center"/>
          </w:tcPr>
          <w:p w14:paraId="1190D37A" w14:textId="77777777" w:rsidR="007A5656" w:rsidRPr="00A21F71" w:rsidRDefault="007A5656" w:rsidP="00212CA2">
            <w:pPr>
              <w:spacing w:beforeLines="40" w:before="96" w:afterLines="40" w:after="96"/>
              <w:jc w:val="center"/>
              <w:rPr>
                <w:rFonts w:eastAsia="Calibri"/>
                <w:sz w:val="18"/>
                <w:szCs w:val="18"/>
                <w:lang w:eastAsia="de-DE" w:bidi="de-DE"/>
              </w:rPr>
            </w:pPr>
            <w:r w:rsidRPr="00A21F71">
              <w:rPr>
                <w:rFonts w:eastAsia="Calibri"/>
                <w:sz w:val="18"/>
                <w:szCs w:val="18"/>
                <w:lang w:eastAsia="de-DE" w:bidi="de-DE"/>
              </w:rPr>
              <w:t>URLAUBSGELD</w:t>
            </w:r>
          </w:p>
        </w:tc>
        <w:tc>
          <w:tcPr>
            <w:tcW w:w="2441" w:type="dxa"/>
            <w:vAlign w:val="center"/>
          </w:tcPr>
          <w:p w14:paraId="7C0D9DD9" w14:textId="77777777" w:rsidR="007A5656" w:rsidRPr="00A21F71" w:rsidRDefault="007A5656" w:rsidP="00212CA2">
            <w:pPr>
              <w:spacing w:beforeLines="40" w:before="96" w:afterLines="40" w:after="96"/>
              <w:jc w:val="center"/>
              <w:rPr>
                <w:rFonts w:eastAsia="Calibri"/>
                <w:sz w:val="18"/>
                <w:szCs w:val="18"/>
                <w:lang w:eastAsia="de-DE" w:bidi="de-DE"/>
              </w:rPr>
            </w:pPr>
            <w:r w:rsidRPr="00A21F71">
              <w:rPr>
                <w:rFonts w:eastAsia="Calibri"/>
                <w:sz w:val="18"/>
                <w:szCs w:val="18"/>
                <w:lang w:eastAsia="de-DE" w:bidi="de-DE"/>
              </w:rPr>
              <w:t>ANDERE ENTSCHÄDIGUNGEN UND ZULAGEN</w:t>
            </w:r>
          </w:p>
        </w:tc>
      </w:tr>
      <w:tr w:rsidR="007A5656" w:rsidRPr="00A21F71" w14:paraId="01D43C0B" w14:textId="77777777" w:rsidTr="00212CA2">
        <w:tc>
          <w:tcPr>
            <w:tcW w:w="4253" w:type="dxa"/>
          </w:tcPr>
          <w:p w14:paraId="51C6AE43" w14:textId="77777777" w:rsidR="007A5656" w:rsidRPr="00A21F71" w:rsidRDefault="007A5656" w:rsidP="00212CA2">
            <w:pPr>
              <w:jc w:val="center"/>
              <w:rPr>
                <w:rFonts w:eastAsia="Calibri"/>
                <w:lang w:eastAsia="de-DE" w:bidi="de-DE"/>
              </w:rPr>
            </w:pPr>
            <w:r w:rsidRPr="00A21F71">
              <w:rPr>
                <w:rFonts w:eastAsia="Calibri"/>
                <w:lang w:eastAsia="de-DE" w:bidi="de-DE"/>
              </w:rPr>
              <w:t>1</w:t>
            </w:r>
          </w:p>
        </w:tc>
        <w:tc>
          <w:tcPr>
            <w:tcW w:w="2410" w:type="dxa"/>
          </w:tcPr>
          <w:p w14:paraId="4E181C34" w14:textId="77777777" w:rsidR="007A5656" w:rsidRPr="00A21F71" w:rsidRDefault="007A5656" w:rsidP="00212CA2">
            <w:pPr>
              <w:jc w:val="center"/>
              <w:rPr>
                <w:rFonts w:eastAsia="Calibri"/>
                <w:lang w:eastAsia="de-DE" w:bidi="de-DE"/>
              </w:rPr>
            </w:pPr>
            <w:r w:rsidRPr="00A21F71">
              <w:rPr>
                <w:rFonts w:eastAsia="Calibri"/>
                <w:lang w:eastAsia="de-DE" w:bidi="de-DE"/>
              </w:rPr>
              <w:t>2</w:t>
            </w:r>
          </w:p>
        </w:tc>
        <w:tc>
          <w:tcPr>
            <w:tcW w:w="2441" w:type="dxa"/>
          </w:tcPr>
          <w:p w14:paraId="0DFEC4E5" w14:textId="77777777" w:rsidR="007A5656" w:rsidRPr="00A21F71" w:rsidRDefault="007A5656" w:rsidP="00212CA2">
            <w:pPr>
              <w:jc w:val="center"/>
              <w:rPr>
                <w:rFonts w:eastAsia="Calibri"/>
                <w:lang w:eastAsia="de-DE" w:bidi="de-DE"/>
              </w:rPr>
            </w:pPr>
            <w:r w:rsidRPr="00A21F71">
              <w:rPr>
                <w:rFonts w:eastAsia="Calibri"/>
                <w:lang w:eastAsia="de-DE" w:bidi="de-DE"/>
              </w:rPr>
              <w:t>3</w:t>
            </w:r>
          </w:p>
        </w:tc>
      </w:tr>
      <w:tr w:rsidR="007A5656" w:rsidRPr="00A21F71" w14:paraId="2B2829E9" w14:textId="77777777" w:rsidTr="00212CA2">
        <w:tc>
          <w:tcPr>
            <w:tcW w:w="4253" w:type="dxa"/>
            <w:tcBorders>
              <w:bottom w:val="nil"/>
            </w:tcBorders>
          </w:tcPr>
          <w:p w14:paraId="461023F9" w14:textId="77777777" w:rsidR="007A5656" w:rsidRPr="00A21F71" w:rsidRDefault="007A5656" w:rsidP="00212CA2">
            <w:pPr>
              <w:rPr>
                <w:rFonts w:eastAsia="Calibri"/>
                <w:sz w:val="20"/>
                <w:szCs w:val="20"/>
                <w:lang w:eastAsia="de-DE" w:bidi="de-DE"/>
              </w:rPr>
            </w:pPr>
            <w:r>
              <w:rPr>
                <w:rFonts w:eastAsia="Calibri"/>
                <w:sz w:val="20"/>
                <w:szCs w:val="20"/>
                <w:lang w:eastAsia="de-DE" w:bidi="de-DE"/>
              </w:rPr>
              <w:t>bis 8.115</w:t>
            </w:r>
            <w:r w:rsidRPr="00A21F71">
              <w:rPr>
                <w:rFonts w:eastAsia="Calibri"/>
                <w:sz w:val="20"/>
                <w:szCs w:val="20"/>
                <w:lang w:eastAsia="de-DE" w:bidi="de-DE"/>
              </w:rPr>
              <w:t>,00 EUR</w:t>
            </w:r>
          </w:p>
          <w:p w14:paraId="7440E737" w14:textId="77777777" w:rsidR="007A5656" w:rsidRPr="00A21F71" w:rsidRDefault="007A5656" w:rsidP="00212CA2">
            <w:pPr>
              <w:rPr>
                <w:rFonts w:eastAsia="Calibri"/>
                <w:sz w:val="20"/>
                <w:szCs w:val="20"/>
                <w:lang w:eastAsia="de-DE" w:bidi="de-DE"/>
              </w:rPr>
            </w:pPr>
            <w:r>
              <w:rPr>
                <w:rFonts w:eastAsia="Calibri"/>
                <w:sz w:val="20"/>
                <w:szCs w:val="20"/>
                <w:lang w:eastAsia="de-DE" w:bidi="de-DE"/>
              </w:rPr>
              <w:t>von 8.115,01 EUR bis 10.010</w:t>
            </w:r>
            <w:r w:rsidRPr="00A21F71">
              <w:rPr>
                <w:rFonts w:eastAsia="Calibri"/>
                <w:sz w:val="20"/>
                <w:szCs w:val="20"/>
                <w:lang w:eastAsia="de-DE" w:bidi="de-DE"/>
              </w:rPr>
              <w:t>,00 EUR</w:t>
            </w:r>
          </w:p>
          <w:p w14:paraId="78F31F10" w14:textId="77777777" w:rsidR="007A5656" w:rsidRPr="00A21F71" w:rsidRDefault="007A5656" w:rsidP="00212CA2">
            <w:pPr>
              <w:rPr>
                <w:rFonts w:eastAsia="Calibri"/>
                <w:sz w:val="20"/>
                <w:szCs w:val="20"/>
                <w:lang w:eastAsia="de-DE" w:bidi="de-DE"/>
              </w:rPr>
            </w:pPr>
            <w:r>
              <w:rPr>
                <w:rFonts w:eastAsia="Calibri"/>
                <w:sz w:val="20"/>
                <w:szCs w:val="20"/>
                <w:lang w:eastAsia="de-DE" w:bidi="de-DE"/>
              </w:rPr>
              <w:t>von 10.010,01 EUR bis 12.245</w:t>
            </w:r>
            <w:r w:rsidRPr="00A21F71">
              <w:rPr>
                <w:rFonts w:eastAsia="Calibri"/>
                <w:sz w:val="20"/>
                <w:szCs w:val="20"/>
                <w:lang w:eastAsia="de-DE" w:bidi="de-DE"/>
              </w:rPr>
              <w:t>,00 EUR</w:t>
            </w:r>
          </w:p>
          <w:p w14:paraId="21FBB335" w14:textId="77777777" w:rsidR="007A5656" w:rsidRPr="00A21F71" w:rsidRDefault="007A5656" w:rsidP="00212CA2">
            <w:pPr>
              <w:rPr>
                <w:rFonts w:eastAsia="Calibri"/>
                <w:sz w:val="20"/>
                <w:szCs w:val="20"/>
                <w:lang w:eastAsia="de-DE" w:bidi="de-DE"/>
              </w:rPr>
            </w:pPr>
            <w:r>
              <w:rPr>
                <w:rFonts w:eastAsia="Calibri"/>
                <w:sz w:val="20"/>
                <w:szCs w:val="20"/>
                <w:lang w:eastAsia="de-DE" w:bidi="de-DE"/>
              </w:rPr>
              <w:t>von 12.245</w:t>
            </w:r>
            <w:r w:rsidRPr="00A21F71">
              <w:rPr>
                <w:rFonts w:eastAsia="Calibri"/>
                <w:sz w:val="20"/>
                <w:szCs w:val="20"/>
                <w:lang w:eastAsia="de-DE" w:bidi="de-DE"/>
              </w:rPr>
              <w:t>,01 EUR bis 1</w:t>
            </w:r>
            <w:r>
              <w:rPr>
                <w:rFonts w:eastAsia="Calibri"/>
                <w:sz w:val="20"/>
                <w:szCs w:val="20"/>
                <w:lang w:eastAsia="de-DE" w:bidi="de-DE"/>
              </w:rPr>
              <w:t>4</w:t>
            </w:r>
            <w:r w:rsidRPr="00A21F71">
              <w:rPr>
                <w:rFonts w:eastAsia="Calibri"/>
                <w:sz w:val="20"/>
                <w:szCs w:val="20"/>
                <w:lang w:eastAsia="de-DE" w:bidi="de-DE"/>
              </w:rPr>
              <w:t>.</w:t>
            </w:r>
            <w:r>
              <w:rPr>
                <w:rFonts w:eastAsia="Calibri"/>
                <w:sz w:val="20"/>
                <w:szCs w:val="20"/>
                <w:lang w:eastAsia="de-DE" w:bidi="de-DE"/>
              </w:rPr>
              <w:t>470</w:t>
            </w:r>
            <w:r w:rsidRPr="00A21F71">
              <w:rPr>
                <w:rFonts w:eastAsia="Calibri"/>
                <w:sz w:val="20"/>
                <w:szCs w:val="20"/>
                <w:lang w:eastAsia="de-DE" w:bidi="de-DE"/>
              </w:rPr>
              <w:t>,00 EUR</w:t>
            </w:r>
          </w:p>
          <w:p w14:paraId="5016BE9C" w14:textId="77777777" w:rsidR="007A5656" w:rsidRPr="00A21F71" w:rsidRDefault="007A5656" w:rsidP="00212CA2">
            <w:pPr>
              <w:rPr>
                <w:rFonts w:eastAsia="Calibri"/>
                <w:sz w:val="20"/>
                <w:szCs w:val="20"/>
                <w:lang w:eastAsia="de-DE" w:bidi="de-DE"/>
              </w:rPr>
            </w:pPr>
            <w:r>
              <w:rPr>
                <w:rFonts w:eastAsia="Calibri"/>
                <w:sz w:val="20"/>
                <w:szCs w:val="20"/>
                <w:lang w:eastAsia="de-DE" w:bidi="de-DE"/>
              </w:rPr>
              <w:t>von 14</w:t>
            </w:r>
            <w:r w:rsidRPr="00A21F71">
              <w:rPr>
                <w:rFonts w:eastAsia="Calibri"/>
                <w:sz w:val="20"/>
                <w:szCs w:val="20"/>
                <w:lang w:eastAsia="de-DE" w:bidi="de-DE"/>
              </w:rPr>
              <w:t>.</w:t>
            </w:r>
            <w:r>
              <w:rPr>
                <w:rFonts w:eastAsia="Calibri"/>
                <w:sz w:val="20"/>
                <w:szCs w:val="20"/>
                <w:lang w:eastAsia="de-DE" w:bidi="de-DE"/>
              </w:rPr>
              <w:t>470</w:t>
            </w:r>
            <w:r w:rsidRPr="00A21F71">
              <w:rPr>
                <w:rFonts w:eastAsia="Calibri"/>
                <w:sz w:val="20"/>
                <w:szCs w:val="20"/>
                <w:lang w:eastAsia="de-DE" w:bidi="de-DE"/>
              </w:rPr>
              <w:t>,01 EUR bis 1</w:t>
            </w:r>
            <w:r>
              <w:rPr>
                <w:rFonts w:eastAsia="Calibri"/>
                <w:sz w:val="20"/>
                <w:szCs w:val="20"/>
                <w:lang w:eastAsia="de-DE" w:bidi="de-DE"/>
              </w:rPr>
              <w:t>6</w:t>
            </w:r>
            <w:r w:rsidRPr="00A21F71">
              <w:rPr>
                <w:rFonts w:eastAsia="Calibri"/>
                <w:sz w:val="20"/>
                <w:szCs w:val="20"/>
                <w:lang w:eastAsia="de-DE" w:bidi="de-DE"/>
              </w:rPr>
              <w:t>.</w:t>
            </w:r>
            <w:r>
              <w:rPr>
                <w:rFonts w:eastAsia="Calibri"/>
                <w:sz w:val="20"/>
                <w:szCs w:val="20"/>
                <w:lang w:eastAsia="de-DE" w:bidi="de-DE"/>
              </w:rPr>
              <w:t>810</w:t>
            </w:r>
            <w:r w:rsidRPr="00A21F71">
              <w:rPr>
                <w:rFonts w:eastAsia="Calibri"/>
                <w:sz w:val="20"/>
                <w:szCs w:val="20"/>
                <w:lang w:eastAsia="de-DE" w:bidi="de-DE"/>
              </w:rPr>
              <w:t>,00 EUR</w:t>
            </w:r>
          </w:p>
          <w:p w14:paraId="139B5605" w14:textId="77777777" w:rsidR="007A5656" w:rsidRPr="00A21F71" w:rsidRDefault="007A5656" w:rsidP="00212CA2">
            <w:pPr>
              <w:rPr>
                <w:rFonts w:eastAsia="Calibri"/>
                <w:sz w:val="20"/>
                <w:szCs w:val="20"/>
                <w:lang w:eastAsia="de-DE" w:bidi="de-DE"/>
              </w:rPr>
            </w:pPr>
            <w:r w:rsidRPr="00A21F71">
              <w:rPr>
                <w:rFonts w:eastAsia="Calibri"/>
                <w:sz w:val="20"/>
                <w:szCs w:val="20"/>
                <w:lang w:eastAsia="de-DE" w:bidi="de-DE"/>
              </w:rPr>
              <w:t>von 1</w:t>
            </w:r>
            <w:r>
              <w:rPr>
                <w:rFonts w:eastAsia="Calibri"/>
                <w:sz w:val="20"/>
                <w:szCs w:val="20"/>
                <w:lang w:eastAsia="de-DE" w:bidi="de-DE"/>
              </w:rPr>
              <w:t>6</w:t>
            </w:r>
            <w:r w:rsidRPr="00A21F71">
              <w:rPr>
                <w:rFonts w:eastAsia="Calibri"/>
                <w:sz w:val="20"/>
                <w:szCs w:val="20"/>
                <w:lang w:eastAsia="de-DE" w:bidi="de-DE"/>
              </w:rPr>
              <w:t>.</w:t>
            </w:r>
            <w:r>
              <w:rPr>
                <w:rFonts w:eastAsia="Calibri"/>
                <w:sz w:val="20"/>
                <w:szCs w:val="20"/>
                <w:lang w:eastAsia="de-DE" w:bidi="de-DE"/>
              </w:rPr>
              <w:t>810,01 EUR bis 19</w:t>
            </w:r>
            <w:r w:rsidRPr="00A21F71">
              <w:rPr>
                <w:rFonts w:eastAsia="Calibri"/>
                <w:sz w:val="20"/>
                <w:szCs w:val="20"/>
                <w:lang w:eastAsia="de-DE" w:bidi="de-DE"/>
              </w:rPr>
              <w:t>.</w:t>
            </w:r>
            <w:r>
              <w:rPr>
                <w:rFonts w:eastAsia="Calibri"/>
                <w:sz w:val="20"/>
                <w:szCs w:val="20"/>
                <w:lang w:eastAsia="de-DE" w:bidi="de-DE"/>
              </w:rPr>
              <w:t>170</w:t>
            </w:r>
            <w:r w:rsidRPr="00A21F71">
              <w:rPr>
                <w:rFonts w:eastAsia="Calibri"/>
                <w:sz w:val="20"/>
                <w:szCs w:val="20"/>
                <w:lang w:eastAsia="de-DE" w:bidi="de-DE"/>
              </w:rPr>
              <w:t>,00 EUR</w:t>
            </w:r>
          </w:p>
          <w:p w14:paraId="493FAE25" w14:textId="77777777" w:rsidR="007A5656" w:rsidRPr="00A21F71" w:rsidRDefault="007A5656" w:rsidP="00212CA2">
            <w:pPr>
              <w:rPr>
                <w:rFonts w:eastAsia="Calibri"/>
                <w:sz w:val="20"/>
                <w:szCs w:val="20"/>
                <w:lang w:eastAsia="de-DE" w:bidi="de-DE"/>
              </w:rPr>
            </w:pPr>
            <w:r>
              <w:rPr>
                <w:rFonts w:eastAsia="Calibri"/>
                <w:sz w:val="20"/>
                <w:szCs w:val="20"/>
                <w:lang w:eastAsia="de-DE" w:bidi="de-DE"/>
              </w:rPr>
              <w:t>von 19</w:t>
            </w:r>
            <w:r w:rsidRPr="00A21F71">
              <w:rPr>
                <w:rFonts w:eastAsia="Calibri"/>
                <w:sz w:val="20"/>
                <w:szCs w:val="20"/>
                <w:lang w:eastAsia="de-DE" w:bidi="de-DE"/>
              </w:rPr>
              <w:t>.</w:t>
            </w:r>
            <w:r>
              <w:rPr>
                <w:rFonts w:eastAsia="Calibri"/>
                <w:sz w:val="20"/>
                <w:szCs w:val="20"/>
                <w:lang w:eastAsia="de-DE" w:bidi="de-DE"/>
              </w:rPr>
              <w:t>170</w:t>
            </w:r>
            <w:r w:rsidRPr="00A21F71">
              <w:rPr>
                <w:rFonts w:eastAsia="Calibri"/>
                <w:sz w:val="20"/>
                <w:szCs w:val="20"/>
                <w:lang w:eastAsia="de-DE" w:bidi="de-DE"/>
              </w:rPr>
              <w:t>,01 EUR bis 2</w:t>
            </w:r>
            <w:r>
              <w:rPr>
                <w:rFonts w:eastAsia="Calibri"/>
                <w:sz w:val="20"/>
                <w:szCs w:val="20"/>
                <w:lang w:eastAsia="de-DE" w:bidi="de-DE"/>
              </w:rPr>
              <w:t>3</w:t>
            </w:r>
            <w:r w:rsidRPr="00A21F71">
              <w:rPr>
                <w:rFonts w:eastAsia="Calibri"/>
                <w:sz w:val="20"/>
                <w:szCs w:val="20"/>
                <w:lang w:eastAsia="de-DE" w:bidi="de-DE"/>
              </w:rPr>
              <w:t>.</w:t>
            </w:r>
            <w:r>
              <w:rPr>
                <w:rFonts w:eastAsia="Calibri"/>
                <w:sz w:val="20"/>
                <w:szCs w:val="20"/>
                <w:lang w:eastAsia="de-DE" w:bidi="de-DE"/>
              </w:rPr>
              <w:t>575</w:t>
            </w:r>
            <w:r w:rsidRPr="00A21F71">
              <w:rPr>
                <w:rFonts w:eastAsia="Calibri"/>
                <w:sz w:val="20"/>
                <w:szCs w:val="20"/>
                <w:lang w:eastAsia="de-DE" w:bidi="de-DE"/>
              </w:rPr>
              <w:t>,00 EUR</w:t>
            </w:r>
          </w:p>
          <w:p w14:paraId="2B08A15A" w14:textId="77777777" w:rsidR="007A5656" w:rsidRPr="00A21F71" w:rsidRDefault="007A5656" w:rsidP="00212CA2">
            <w:pPr>
              <w:rPr>
                <w:rFonts w:eastAsia="Calibri"/>
                <w:sz w:val="20"/>
                <w:szCs w:val="20"/>
                <w:lang w:eastAsia="de-DE" w:bidi="de-DE"/>
              </w:rPr>
            </w:pPr>
            <w:r w:rsidRPr="00A21F71">
              <w:rPr>
                <w:rFonts w:eastAsia="Calibri"/>
                <w:sz w:val="20"/>
                <w:szCs w:val="20"/>
                <w:lang w:eastAsia="de-DE" w:bidi="de-DE"/>
              </w:rPr>
              <w:t>von 2</w:t>
            </w:r>
            <w:r>
              <w:rPr>
                <w:rFonts w:eastAsia="Calibri"/>
                <w:sz w:val="20"/>
                <w:szCs w:val="20"/>
                <w:lang w:eastAsia="de-DE" w:bidi="de-DE"/>
              </w:rPr>
              <w:t>3</w:t>
            </w:r>
            <w:r w:rsidRPr="00A21F71">
              <w:rPr>
                <w:rFonts w:eastAsia="Calibri"/>
                <w:sz w:val="20"/>
                <w:szCs w:val="20"/>
                <w:lang w:eastAsia="de-DE" w:bidi="de-DE"/>
              </w:rPr>
              <w:t>.</w:t>
            </w:r>
            <w:r>
              <w:rPr>
                <w:rFonts w:eastAsia="Calibri"/>
                <w:sz w:val="20"/>
                <w:szCs w:val="20"/>
                <w:lang w:eastAsia="de-DE" w:bidi="de-DE"/>
              </w:rPr>
              <w:t>575,01 EUR bis 25</w:t>
            </w:r>
            <w:r w:rsidRPr="00A21F71">
              <w:rPr>
                <w:rFonts w:eastAsia="Calibri"/>
                <w:sz w:val="20"/>
                <w:szCs w:val="20"/>
                <w:lang w:eastAsia="de-DE" w:bidi="de-DE"/>
              </w:rPr>
              <w:t>.</w:t>
            </w:r>
            <w:r>
              <w:rPr>
                <w:rFonts w:eastAsia="Calibri"/>
                <w:sz w:val="20"/>
                <w:szCs w:val="20"/>
                <w:lang w:eastAsia="de-DE" w:bidi="de-DE"/>
              </w:rPr>
              <w:t>780</w:t>
            </w:r>
            <w:r w:rsidRPr="00A21F71">
              <w:rPr>
                <w:rFonts w:eastAsia="Calibri"/>
                <w:sz w:val="20"/>
                <w:szCs w:val="20"/>
                <w:lang w:eastAsia="de-DE" w:bidi="de-DE"/>
              </w:rPr>
              <w:t>,00 EUR</w:t>
            </w:r>
          </w:p>
          <w:p w14:paraId="0522C05B" w14:textId="77777777" w:rsidR="007A5656" w:rsidRPr="00A21F71" w:rsidRDefault="007A5656" w:rsidP="00212CA2">
            <w:pPr>
              <w:rPr>
                <w:rFonts w:eastAsia="Calibri"/>
                <w:sz w:val="20"/>
                <w:szCs w:val="20"/>
                <w:lang w:eastAsia="de-DE" w:bidi="de-DE"/>
              </w:rPr>
            </w:pPr>
            <w:r>
              <w:rPr>
                <w:rFonts w:eastAsia="Calibri"/>
                <w:sz w:val="20"/>
                <w:szCs w:val="20"/>
                <w:lang w:eastAsia="de-DE" w:bidi="de-DE"/>
              </w:rPr>
              <w:t>von 25.780,01 EUR bis 34</w:t>
            </w:r>
            <w:r w:rsidRPr="00A21F71">
              <w:rPr>
                <w:rFonts w:eastAsia="Calibri"/>
                <w:sz w:val="20"/>
                <w:szCs w:val="20"/>
                <w:lang w:eastAsia="de-DE" w:bidi="de-DE"/>
              </w:rPr>
              <w:t>.</w:t>
            </w:r>
            <w:r>
              <w:rPr>
                <w:rFonts w:eastAsia="Calibri"/>
                <w:sz w:val="20"/>
                <w:szCs w:val="20"/>
                <w:lang w:eastAsia="de-DE" w:bidi="de-DE"/>
              </w:rPr>
              <w:t>585</w:t>
            </w:r>
            <w:r w:rsidRPr="00A21F71">
              <w:rPr>
                <w:rFonts w:eastAsia="Calibri"/>
                <w:sz w:val="20"/>
                <w:szCs w:val="20"/>
                <w:lang w:eastAsia="de-DE" w:bidi="de-DE"/>
              </w:rPr>
              <w:t>,00 EUR</w:t>
            </w:r>
          </w:p>
          <w:p w14:paraId="213A218D" w14:textId="77777777" w:rsidR="007A5656" w:rsidRPr="00A21F71" w:rsidRDefault="007A5656" w:rsidP="00212CA2">
            <w:pPr>
              <w:rPr>
                <w:rFonts w:eastAsia="Calibri"/>
                <w:sz w:val="20"/>
                <w:szCs w:val="20"/>
                <w:lang w:eastAsia="de-DE" w:bidi="de-DE"/>
              </w:rPr>
            </w:pPr>
            <w:r w:rsidRPr="00A21F71">
              <w:rPr>
                <w:rFonts w:eastAsia="Calibri"/>
                <w:sz w:val="20"/>
                <w:szCs w:val="20"/>
                <w:lang w:eastAsia="de-DE" w:bidi="de-DE"/>
              </w:rPr>
              <w:t>von 3</w:t>
            </w:r>
            <w:r>
              <w:rPr>
                <w:rFonts w:eastAsia="Calibri"/>
                <w:sz w:val="20"/>
                <w:szCs w:val="20"/>
                <w:lang w:eastAsia="de-DE" w:bidi="de-DE"/>
              </w:rPr>
              <w:t>4</w:t>
            </w:r>
            <w:r w:rsidRPr="00A21F71">
              <w:rPr>
                <w:rFonts w:eastAsia="Calibri"/>
                <w:sz w:val="20"/>
                <w:szCs w:val="20"/>
                <w:lang w:eastAsia="de-DE" w:bidi="de-DE"/>
              </w:rPr>
              <w:t>.</w:t>
            </w:r>
            <w:r>
              <w:rPr>
                <w:rFonts w:eastAsia="Calibri"/>
                <w:sz w:val="20"/>
                <w:szCs w:val="20"/>
                <w:lang w:eastAsia="de-DE" w:bidi="de-DE"/>
              </w:rPr>
              <w:t>585,01 EUR bis 45</w:t>
            </w:r>
            <w:r w:rsidRPr="00A21F71">
              <w:rPr>
                <w:rFonts w:eastAsia="Calibri"/>
                <w:sz w:val="20"/>
                <w:szCs w:val="20"/>
                <w:lang w:eastAsia="de-DE" w:bidi="de-DE"/>
              </w:rPr>
              <w:t>.</w:t>
            </w:r>
            <w:r>
              <w:rPr>
                <w:rFonts w:eastAsia="Calibri"/>
                <w:sz w:val="20"/>
                <w:szCs w:val="20"/>
                <w:lang w:eastAsia="de-DE" w:bidi="de-DE"/>
              </w:rPr>
              <w:t>280</w:t>
            </w:r>
            <w:r w:rsidRPr="00A21F71">
              <w:rPr>
                <w:rFonts w:eastAsia="Calibri"/>
                <w:sz w:val="20"/>
                <w:szCs w:val="20"/>
                <w:lang w:eastAsia="de-DE" w:bidi="de-DE"/>
              </w:rPr>
              <w:t>,00 EUR</w:t>
            </w:r>
          </w:p>
        </w:tc>
        <w:tc>
          <w:tcPr>
            <w:tcW w:w="2410" w:type="dxa"/>
            <w:tcBorders>
              <w:bottom w:val="single" w:sz="4" w:space="0" w:color="auto"/>
            </w:tcBorders>
          </w:tcPr>
          <w:p w14:paraId="4E25E46E"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0</w:t>
            </w:r>
          </w:p>
          <w:p w14:paraId="1EB9315F"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19,17</w:t>
            </w:r>
          </w:p>
          <w:p w14:paraId="41A7C215"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21,20</w:t>
            </w:r>
          </w:p>
          <w:p w14:paraId="5BCD7EC9"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26,25</w:t>
            </w:r>
          </w:p>
          <w:p w14:paraId="7585D915"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31,30</w:t>
            </w:r>
          </w:p>
          <w:p w14:paraId="2AE5E255"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34,33</w:t>
            </w:r>
          </w:p>
          <w:p w14:paraId="50289957"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36,34</w:t>
            </w:r>
          </w:p>
          <w:p w14:paraId="408F7CDE"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39,37</w:t>
            </w:r>
          </w:p>
          <w:p w14:paraId="5BB61774"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42,39</w:t>
            </w:r>
          </w:p>
          <w:p w14:paraId="73AEAFEE" w14:textId="77777777" w:rsidR="007A5656" w:rsidRPr="00A21F71" w:rsidRDefault="007A5656" w:rsidP="00212CA2">
            <w:pPr>
              <w:jc w:val="center"/>
              <w:rPr>
                <w:rFonts w:eastAsia="Calibri"/>
                <w:lang w:eastAsia="de-DE" w:bidi="de-DE"/>
              </w:rPr>
            </w:pPr>
            <w:r w:rsidRPr="00A21F71">
              <w:rPr>
                <w:rFonts w:eastAsia="Calibri"/>
                <w:sz w:val="20"/>
                <w:szCs w:val="20"/>
                <w:lang w:eastAsia="de-DE" w:bidi="de-DE"/>
              </w:rPr>
              <w:t>47,44</w:t>
            </w:r>
          </w:p>
        </w:tc>
        <w:tc>
          <w:tcPr>
            <w:tcW w:w="2441" w:type="dxa"/>
            <w:tcBorders>
              <w:bottom w:val="single" w:sz="4" w:space="0" w:color="auto"/>
            </w:tcBorders>
          </w:tcPr>
          <w:p w14:paraId="0FA021CB"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0</w:t>
            </w:r>
          </w:p>
          <w:p w14:paraId="0D3D249E"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23,22</w:t>
            </w:r>
          </w:p>
          <w:p w14:paraId="7DB279E4"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25,23</w:t>
            </w:r>
          </w:p>
          <w:p w14:paraId="42FB1E62"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30,28</w:t>
            </w:r>
          </w:p>
          <w:p w14:paraId="36C96780"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35,33</w:t>
            </w:r>
          </w:p>
          <w:p w14:paraId="6794616E"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38,36</w:t>
            </w:r>
          </w:p>
          <w:p w14:paraId="426AA130"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40,38</w:t>
            </w:r>
          </w:p>
          <w:p w14:paraId="0FB67B51"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43,41</w:t>
            </w:r>
          </w:p>
          <w:p w14:paraId="66A593D6"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46,44</w:t>
            </w:r>
          </w:p>
          <w:p w14:paraId="79256888" w14:textId="77777777" w:rsidR="007A5656" w:rsidRPr="00A21F71" w:rsidRDefault="007A5656" w:rsidP="00212CA2">
            <w:pPr>
              <w:jc w:val="center"/>
              <w:rPr>
                <w:rFonts w:eastAsia="Calibri"/>
                <w:lang w:eastAsia="de-DE" w:bidi="de-DE"/>
              </w:rPr>
            </w:pPr>
            <w:r w:rsidRPr="00A21F71">
              <w:rPr>
                <w:rFonts w:eastAsia="Calibri"/>
                <w:sz w:val="20"/>
                <w:szCs w:val="20"/>
                <w:lang w:eastAsia="de-DE" w:bidi="de-DE"/>
              </w:rPr>
              <w:t>51,48</w:t>
            </w:r>
          </w:p>
        </w:tc>
      </w:tr>
      <w:tr w:rsidR="007A5656" w:rsidRPr="00A21F71" w14:paraId="2583965A" w14:textId="77777777" w:rsidTr="00212CA2">
        <w:tc>
          <w:tcPr>
            <w:tcW w:w="4253" w:type="dxa"/>
            <w:tcBorders>
              <w:top w:val="nil"/>
            </w:tcBorders>
          </w:tcPr>
          <w:p w14:paraId="3EDC96E7" w14:textId="77777777" w:rsidR="007A5656" w:rsidRPr="00A21F71" w:rsidRDefault="007A5656" w:rsidP="00212CA2">
            <w:pPr>
              <w:rPr>
                <w:rFonts w:eastAsia="Calibri"/>
                <w:lang w:eastAsia="de-DE" w:bidi="de-DE"/>
              </w:rPr>
            </w:pPr>
            <w:r>
              <w:rPr>
                <w:rFonts w:eastAsia="Calibri"/>
                <w:sz w:val="20"/>
                <w:szCs w:val="20"/>
                <w:lang w:eastAsia="de-DE" w:bidi="de-DE"/>
              </w:rPr>
              <w:t>mehr als 45.280</w:t>
            </w:r>
            <w:r w:rsidRPr="00A21F71">
              <w:rPr>
                <w:rFonts w:eastAsia="Calibri"/>
                <w:sz w:val="20"/>
                <w:szCs w:val="20"/>
                <w:lang w:eastAsia="de-DE" w:bidi="de-DE"/>
              </w:rPr>
              <w:t>,00 EUR</w:t>
            </w:r>
          </w:p>
        </w:tc>
        <w:tc>
          <w:tcPr>
            <w:tcW w:w="4851" w:type="dxa"/>
            <w:gridSpan w:val="2"/>
          </w:tcPr>
          <w:p w14:paraId="2F95EBCB" w14:textId="77777777" w:rsidR="007A5656" w:rsidRPr="00A21F71" w:rsidRDefault="007A5656" w:rsidP="00212CA2">
            <w:pPr>
              <w:jc w:val="center"/>
              <w:rPr>
                <w:rFonts w:eastAsia="Calibri"/>
                <w:lang w:eastAsia="de-DE" w:bidi="de-DE"/>
              </w:rPr>
            </w:pPr>
            <w:r w:rsidRPr="00A21F71">
              <w:rPr>
                <w:rFonts w:eastAsia="Calibri"/>
                <w:sz w:val="20"/>
                <w:szCs w:val="20"/>
                <w:lang w:eastAsia="de-DE" w:bidi="de-DE"/>
              </w:rPr>
              <w:t>53,50</w:t>
            </w:r>
          </w:p>
        </w:tc>
      </w:tr>
    </w:tbl>
    <w:p w14:paraId="442BB8BC" w14:textId="77777777" w:rsidR="007A5656" w:rsidRPr="00A21F71" w:rsidRDefault="007A5656" w:rsidP="007A5656">
      <w:pPr>
        <w:rPr>
          <w:rFonts w:eastAsia="Calibri"/>
          <w:lang w:eastAsia="de-DE" w:bidi="de-DE"/>
        </w:rPr>
      </w:pPr>
    </w:p>
    <w:p w14:paraId="5C5AED6B" w14:textId="77777777" w:rsidR="007A5656" w:rsidRPr="00A21F71" w:rsidRDefault="007A5656" w:rsidP="007A5656">
      <w:pPr>
        <w:rPr>
          <w:rFonts w:eastAsia="Calibri"/>
          <w:lang w:eastAsia="de-DE" w:bidi="de-DE"/>
        </w:rPr>
      </w:pPr>
      <w:r w:rsidRPr="00A21F71">
        <w:rPr>
          <w:rFonts w:eastAsia="Calibri"/>
          <w:lang w:eastAsia="de-DE" w:bidi="de-DE"/>
        </w:rPr>
        <w:tab/>
        <w:t xml:space="preserve">b) </w:t>
      </w:r>
      <w:r w:rsidRPr="00A21F71">
        <w:rPr>
          <w:rFonts w:eastAsia="Calibri"/>
          <w:u w:val="dotted"/>
          <w:lang w:eastAsia="de-DE" w:bidi="de-DE"/>
        </w:rPr>
        <w:t>Befreiung für Kinder zu Lasten</w:t>
      </w:r>
    </w:p>
    <w:p w14:paraId="27531C02"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9"/>
        <w:gridCol w:w="4915"/>
      </w:tblGrid>
      <w:tr w:rsidR="007A5656" w:rsidRPr="00A21F71" w14:paraId="7BEF5D8B" w14:textId="77777777" w:rsidTr="00212CA2">
        <w:tc>
          <w:tcPr>
            <w:tcW w:w="4111" w:type="dxa"/>
            <w:vAlign w:val="center"/>
          </w:tcPr>
          <w:p w14:paraId="3A662F0D" w14:textId="77777777" w:rsidR="007A5656" w:rsidRPr="00A21F71" w:rsidRDefault="007A5656" w:rsidP="00212CA2">
            <w:pPr>
              <w:spacing w:before="40" w:after="40"/>
              <w:jc w:val="center"/>
              <w:rPr>
                <w:rFonts w:eastAsia="Calibri"/>
                <w:sz w:val="20"/>
                <w:szCs w:val="20"/>
                <w:lang w:eastAsia="de-DE" w:bidi="de-DE"/>
              </w:rPr>
            </w:pPr>
            <w:r w:rsidRPr="00A21F71">
              <w:rPr>
                <w:rFonts w:eastAsia="Calibri"/>
                <w:sz w:val="20"/>
                <w:szCs w:val="20"/>
                <w:lang w:eastAsia="de-DE" w:bidi="de-DE"/>
              </w:rPr>
              <w:t>ANZAHL KINDER ZU LASTEN (1)</w:t>
            </w:r>
          </w:p>
        </w:tc>
        <w:tc>
          <w:tcPr>
            <w:tcW w:w="4993" w:type="dxa"/>
            <w:vAlign w:val="center"/>
          </w:tcPr>
          <w:p w14:paraId="7D27D3A5" w14:textId="77777777" w:rsidR="007A5656" w:rsidRPr="00A21F71" w:rsidRDefault="007A5656" w:rsidP="00212CA2">
            <w:pPr>
              <w:spacing w:before="40" w:after="40"/>
              <w:jc w:val="center"/>
              <w:rPr>
                <w:rFonts w:eastAsia="Calibri"/>
                <w:sz w:val="20"/>
                <w:szCs w:val="20"/>
                <w:lang w:eastAsia="de-DE" w:bidi="de-DE"/>
              </w:rPr>
            </w:pPr>
            <w:r w:rsidRPr="00A21F71">
              <w:rPr>
                <w:rFonts w:eastAsia="Calibri"/>
                <w:sz w:val="20"/>
                <w:szCs w:val="20"/>
                <w:lang w:eastAsia="de-DE" w:bidi="de-DE"/>
              </w:rPr>
              <w:t>GRENZBETRAG</w:t>
            </w:r>
          </w:p>
        </w:tc>
      </w:tr>
      <w:tr w:rsidR="007A5656" w:rsidRPr="00A21F71" w14:paraId="63384959" w14:textId="77777777" w:rsidTr="00212CA2">
        <w:tc>
          <w:tcPr>
            <w:tcW w:w="4111" w:type="dxa"/>
            <w:vAlign w:val="center"/>
          </w:tcPr>
          <w:p w14:paraId="28E4A066"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1</w:t>
            </w:r>
          </w:p>
        </w:tc>
        <w:tc>
          <w:tcPr>
            <w:tcW w:w="4993" w:type="dxa"/>
            <w:vAlign w:val="center"/>
          </w:tcPr>
          <w:p w14:paraId="65EA291E"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2</w:t>
            </w:r>
          </w:p>
        </w:tc>
      </w:tr>
      <w:tr w:rsidR="007A5656" w:rsidRPr="00811447" w14:paraId="5DBAD88E" w14:textId="77777777" w:rsidTr="00212CA2">
        <w:tc>
          <w:tcPr>
            <w:tcW w:w="4111" w:type="dxa"/>
          </w:tcPr>
          <w:p w14:paraId="0162D94A"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1</w:t>
            </w:r>
          </w:p>
          <w:p w14:paraId="4836AC52"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2</w:t>
            </w:r>
          </w:p>
          <w:p w14:paraId="747DA7B8"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3</w:t>
            </w:r>
          </w:p>
          <w:p w14:paraId="139832A9"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4</w:t>
            </w:r>
          </w:p>
          <w:p w14:paraId="50DC37C3"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5</w:t>
            </w:r>
          </w:p>
          <w:p w14:paraId="2B5420CA"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6</w:t>
            </w:r>
          </w:p>
          <w:p w14:paraId="557A9CE7"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7</w:t>
            </w:r>
          </w:p>
          <w:p w14:paraId="5BE23A9C"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8</w:t>
            </w:r>
          </w:p>
          <w:p w14:paraId="10EF53B5"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9</w:t>
            </w:r>
          </w:p>
          <w:p w14:paraId="486B02D9"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10</w:t>
            </w:r>
          </w:p>
          <w:p w14:paraId="4C590C3C"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11</w:t>
            </w:r>
          </w:p>
          <w:p w14:paraId="0F3725A1"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12</w:t>
            </w:r>
          </w:p>
        </w:tc>
        <w:tc>
          <w:tcPr>
            <w:tcW w:w="4993" w:type="dxa"/>
          </w:tcPr>
          <w:p w14:paraId="51AB3E12"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10.</w:t>
            </w:r>
            <w:r>
              <w:rPr>
                <w:rFonts w:eastAsia="Calibri"/>
                <w:sz w:val="20"/>
                <w:szCs w:val="20"/>
                <w:lang w:val="fr-BE" w:eastAsia="de-DE" w:bidi="de-DE"/>
              </w:rPr>
              <w:t>537</w:t>
            </w:r>
            <w:r w:rsidRPr="00401647">
              <w:rPr>
                <w:rFonts w:eastAsia="Calibri"/>
                <w:sz w:val="20"/>
                <w:szCs w:val="20"/>
                <w:lang w:val="fr-BE" w:eastAsia="de-DE" w:bidi="de-DE"/>
              </w:rPr>
              <w:t>,00 EUR</w:t>
            </w:r>
          </w:p>
          <w:p w14:paraId="3179154D"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1</w:t>
            </w:r>
            <w:r>
              <w:rPr>
                <w:rFonts w:eastAsia="Calibri"/>
                <w:sz w:val="20"/>
                <w:szCs w:val="20"/>
                <w:lang w:val="fr-BE" w:eastAsia="de-DE" w:bidi="de-DE"/>
              </w:rPr>
              <w:t>3</w:t>
            </w:r>
            <w:r w:rsidRPr="00401647">
              <w:rPr>
                <w:rFonts w:eastAsia="Calibri"/>
                <w:sz w:val="20"/>
                <w:szCs w:val="20"/>
                <w:lang w:val="fr-BE" w:eastAsia="de-DE" w:bidi="de-DE"/>
              </w:rPr>
              <w:t>.</w:t>
            </w:r>
            <w:r>
              <w:rPr>
                <w:rFonts w:eastAsia="Calibri"/>
                <w:sz w:val="20"/>
                <w:szCs w:val="20"/>
                <w:lang w:val="fr-BE" w:eastAsia="de-DE" w:bidi="de-DE"/>
              </w:rPr>
              <w:t>268</w:t>
            </w:r>
            <w:r w:rsidRPr="00401647">
              <w:rPr>
                <w:rFonts w:eastAsia="Calibri"/>
                <w:sz w:val="20"/>
                <w:szCs w:val="20"/>
                <w:lang w:val="fr-BE" w:eastAsia="de-DE" w:bidi="de-DE"/>
              </w:rPr>
              <w:t>,00 EUR</w:t>
            </w:r>
          </w:p>
          <w:p w14:paraId="0D32FFDF"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18.</w:t>
            </w:r>
            <w:r>
              <w:rPr>
                <w:rFonts w:eastAsia="Calibri"/>
                <w:sz w:val="20"/>
                <w:szCs w:val="20"/>
                <w:lang w:val="fr-BE" w:eastAsia="de-DE" w:bidi="de-DE"/>
              </w:rPr>
              <w:t>818</w:t>
            </w:r>
            <w:r w:rsidRPr="00401647">
              <w:rPr>
                <w:rFonts w:eastAsia="Calibri"/>
                <w:sz w:val="20"/>
                <w:szCs w:val="20"/>
                <w:lang w:val="fr-BE" w:eastAsia="de-DE" w:bidi="de-DE"/>
              </w:rPr>
              <w:t>,00 EUR</w:t>
            </w:r>
          </w:p>
          <w:p w14:paraId="788EB9C4"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24.</w:t>
            </w:r>
            <w:r>
              <w:rPr>
                <w:rFonts w:eastAsia="Calibri"/>
                <w:sz w:val="20"/>
                <w:szCs w:val="20"/>
                <w:lang w:val="fr-BE" w:eastAsia="de-DE" w:bidi="de-DE"/>
              </w:rPr>
              <w:t>626</w:t>
            </w:r>
            <w:r w:rsidRPr="00401647">
              <w:rPr>
                <w:rFonts w:eastAsia="Calibri"/>
                <w:sz w:val="20"/>
                <w:szCs w:val="20"/>
                <w:lang w:val="fr-BE" w:eastAsia="de-DE" w:bidi="de-DE"/>
              </w:rPr>
              <w:t>,00 EUR</w:t>
            </w:r>
          </w:p>
          <w:p w14:paraId="16799768" w14:textId="77777777" w:rsidR="007A5656" w:rsidRPr="00401647" w:rsidRDefault="007A5656" w:rsidP="00212CA2">
            <w:pPr>
              <w:jc w:val="center"/>
              <w:rPr>
                <w:rFonts w:eastAsia="Calibri"/>
                <w:sz w:val="20"/>
                <w:szCs w:val="20"/>
                <w:lang w:val="fr-BE" w:eastAsia="de-DE" w:bidi="de-DE"/>
              </w:rPr>
            </w:pPr>
            <w:r>
              <w:rPr>
                <w:rFonts w:eastAsia="Calibri"/>
                <w:sz w:val="20"/>
                <w:szCs w:val="20"/>
                <w:lang w:val="fr-BE" w:eastAsia="de-DE" w:bidi="de-DE"/>
              </w:rPr>
              <w:t>30</w:t>
            </w:r>
            <w:r w:rsidRPr="00401647">
              <w:rPr>
                <w:rFonts w:eastAsia="Calibri"/>
                <w:sz w:val="20"/>
                <w:szCs w:val="20"/>
                <w:lang w:val="fr-BE" w:eastAsia="de-DE" w:bidi="de-DE"/>
              </w:rPr>
              <w:t>.</w:t>
            </w:r>
            <w:r>
              <w:rPr>
                <w:rFonts w:eastAsia="Calibri"/>
                <w:sz w:val="20"/>
                <w:szCs w:val="20"/>
                <w:lang w:val="fr-BE" w:eastAsia="de-DE" w:bidi="de-DE"/>
              </w:rPr>
              <w:t>306</w:t>
            </w:r>
            <w:r w:rsidRPr="00401647">
              <w:rPr>
                <w:rFonts w:eastAsia="Calibri"/>
                <w:sz w:val="20"/>
                <w:szCs w:val="20"/>
                <w:lang w:val="fr-BE" w:eastAsia="de-DE" w:bidi="de-DE"/>
              </w:rPr>
              <w:t>,00 EUR</w:t>
            </w:r>
          </w:p>
          <w:p w14:paraId="51B2265B"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35.</w:t>
            </w:r>
            <w:r>
              <w:rPr>
                <w:rFonts w:eastAsia="Calibri"/>
                <w:sz w:val="20"/>
                <w:szCs w:val="20"/>
                <w:lang w:val="fr-BE" w:eastAsia="de-DE" w:bidi="de-DE"/>
              </w:rPr>
              <w:t>960</w:t>
            </w:r>
            <w:r w:rsidRPr="00401647">
              <w:rPr>
                <w:rFonts w:eastAsia="Calibri"/>
                <w:sz w:val="20"/>
                <w:szCs w:val="20"/>
                <w:lang w:val="fr-BE" w:eastAsia="de-DE" w:bidi="de-DE"/>
              </w:rPr>
              <w:t>,00 EUR</w:t>
            </w:r>
          </w:p>
          <w:p w14:paraId="3A764607"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4</w:t>
            </w:r>
            <w:r>
              <w:rPr>
                <w:rFonts w:eastAsia="Calibri"/>
                <w:sz w:val="20"/>
                <w:szCs w:val="20"/>
                <w:lang w:val="fr-BE" w:eastAsia="de-DE" w:bidi="de-DE"/>
              </w:rPr>
              <w:t>1</w:t>
            </w:r>
            <w:r w:rsidRPr="00401647">
              <w:rPr>
                <w:rFonts w:eastAsia="Calibri"/>
                <w:sz w:val="20"/>
                <w:szCs w:val="20"/>
                <w:lang w:val="fr-BE" w:eastAsia="de-DE" w:bidi="de-DE"/>
              </w:rPr>
              <w:t>.</w:t>
            </w:r>
            <w:r>
              <w:rPr>
                <w:rFonts w:eastAsia="Calibri"/>
                <w:sz w:val="20"/>
                <w:szCs w:val="20"/>
                <w:lang w:val="fr-BE" w:eastAsia="de-DE" w:bidi="de-DE"/>
              </w:rPr>
              <w:t>47</w:t>
            </w:r>
            <w:r w:rsidRPr="00401647">
              <w:rPr>
                <w:rFonts w:eastAsia="Calibri"/>
                <w:sz w:val="20"/>
                <w:szCs w:val="20"/>
                <w:lang w:val="fr-BE" w:eastAsia="de-DE" w:bidi="de-DE"/>
              </w:rPr>
              <w:t>0,00 EUR</w:t>
            </w:r>
          </w:p>
          <w:p w14:paraId="666953A1"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46.</w:t>
            </w:r>
            <w:r>
              <w:rPr>
                <w:rFonts w:eastAsia="Calibri"/>
                <w:sz w:val="20"/>
                <w:szCs w:val="20"/>
                <w:lang w:val="fr-BE" w:eastAsia="de-DE" w:bidi="de-DE"/>
              </w:rPr>
              <w:t>980</w:t>
            </w:r>
            <w:r w:rsidRPr="00401647">
              <w:rPr>
                <w:rFonts w:eastAsia="Calibri"/>
                <w:sz w:val="20"/>
                <w:szCs w:val="20"/>
                <w:lang w:val="fr-BE" w:eastAsia="de-DE" w:bidi="de-DE"/>
              </w:rPr>
              <w:t>,00 EUR</w:t>
            </w:r>
          </w:p>
          <w:p w14:paraId="71BA4690"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5</w:t>
            </w:r>
            <w:r>
              <w:rPr>
                <w:rFonts w:eastAsia="Calibri"/>
                <w:sz w:val="20"/>
                <w:szCs w:val="20"/>
                <w:lang w:val="fr-BE" w:eastAsia="de-DE" w:bidi="de-DE"/>
              </w:rPr>
              <w:t>2</w:t>
            </w:r>
            <w:r w:rsidRPr="00401647">
              <w:rPr>
                <w:rFonts w:eastAsia="Calibri"/>
                <w:sz w:val="20"/>
                <w:szCs w:val="20"/>
                <w:lang w:val="fr-BE" w:eastAsia="de-DE" w:bidi="de-DE"/>
              </w:rPr>
              <w:t>.</w:t>
            </w:r>
            <w:r>
              <w:rPr>
                <w:rFonts w:eastAsia="Calibri"/>
                <w:sz w:val="20"/>
                <w:szCs w:val="20"/>
                <w:lang w:val="fr-BE" w:eastAsia="de-DE" w:bidi="de-DE"/>
              </w:rPr>
              <w:t>49</w:t>
            </w:r>
            <w:r w:rsidRPr="00401647">
              <w:rPr>
                <w:rFonts w:eastAsia="Calibri"/>
                <w:sz w:val="20"/>
                <w:szCs w:val="20"/>
                <w:lang w:val="fr-BE" w:eastAsia="de-DE" w:bidi="de-DE"/>
              </w:rPr>
              <w:t>0,00 EUR</w:t>
            </w:r>
          </w:p>
          <w:p w14:paraId="123204EA"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5</w:t>
            </w:r>
            <w:r>
              <w:rPr>
                <w:rFonts w:eastAsia="Calibri"/>
                <w:sz w:val="20"/>
                <w:szCs w:val="20"/>
                <w:lang w:val="fr-BE" w:eastAsia="de-DE" w:bidi="de-DE"/>
              </w:rPr>
              <w:t>8</w:t>
            </w:r>
            <w:r w:rsidRPr="00401647">
              <w:rPr>
                <w:rFonts w:eastAsia="Calibri"/>
                <w:sz w:val="20"/>
                <w:szCs w:val="20"/>
                <w:lang w:val="fr-BE" w:eastAsia="de-DE" w:bidi="de-DE"/>
              </w:rPr>
              <w:t>.</w:t>
            </w:r>
            <w:r>
              <w:rPr>
                <w:rFonts w:eastAsia="Calibri"/>
                <w:sz w:val="20"/>
                <w:szCs w:val="20"/>
                <w:lang w:val="fr-BE" w:eastAsia="de-DE" w:bidi="de-DE"/>
              </w:rPr>
              <w:t>00</w:t>
            </w:r>
            <w:r w:rsidRPr="00401647">
              <w:rPr>
                <w:rFonts w:eastAsia="Calibri"/>
                <w:sz w:val="20"/>
                <w:szCs w:val="20"/>
                <w:lang w:val="fr-BE" w:eastAsia="de-DE" w:bidi="de-DE"/>
              </w:rPr>
              <w:t>0,00 EUR</w:t>
            </w:r>
          </w:p>
          <w:p w14:paraId="23F34F90"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6</w:t>
            </w:r>
            <w:r>
              <w:rPr>
                <w:rFonts w:eastAsia="Calibri"/>
                <w:sz w:val="20"/>
                <w:szCs w:val="20"/>
                <w:lang w:val="fr-BE" w:eastAsia="de-DE" w:bidi="de-DE"/>
              </w:rPr>
              <w:t>3</w:t>
            </w:r>
            <w:r w:rsidRPr="00401647">
              <w:rPr>
                <w:rFonts w:eastAsia="Calibri"/>
                <w:sz w:val="20"/>
                <w:szCs w:val="20"/>
                <w:lang w:val="fr-BE" w:eastAsia="de-DE" w:bidi="de-DE"/>
              </w:rPr>
              <w:t>.</w:t>
            </w:r>
            <w:r>
              <w:rPr>
                <w:rFonts w:eastAsia="Calibri"/>
                <w:sz w:val="20"/>
                <w:szCs w:val="20"/>
                <w:lang w:val="fr-BE" w:eastAsia="de-DE" w:bidi="de-DE"/>
              </w:rPr>
              <w:t>51</w:t>
            </w:r>
            <w:r w:rsidRPr="00401647">
              <w:rPr>
                <w:rFonts w:eastAsia="Calibri"/>
                <w:sz w:val="20"/>
                <w:szCs w:val="20"/>
                <w:lang w:val="fr-BE" w:eastAsia="de-DE" w:bidi="de-DE"/>
              </w:rPr>
              <w:t>0,00 EUR</w:t>
            </w:r>
          </w:p>
          <w:p w14:paraId="484016E3"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6</w:t>
            </w:r>
            <w:r>
              <w:rPr>
                <w:rFonts w:eastAsia="Calibri"/>
                <w:sz w:val="20"/>
                <w:szCs w:val="20"/>
                <w:lang w:val="fr-BE" w:eastAsia="de-DE" w:bidi="de-DE"/>
              </w:rPr>
              <w:t>9</w:t>
            </w:r>
            <w:r w:rsidRPr="00401647">
              <w:rPr>
                <w:rFonts w:eastAsia="Calibri"/>
                <w:sz w:val="20"/>
                <w:szCs w:val="20"/>
                <w:lang w:val="fr-BE" w:eastAsia="de-DE" w:bidi="de-DE"/>
              </w:rPr>
              <w:t>.0</w:t>
            </w:r>
            <w:r>
              <w:rPr>
                <w:rFonts w:eastAsia="Calibri"/>
                <w:sz w:val="20"/>
                <w:szCs w:val="20"/>
                <w:lang w:val="fr-BE" w:eastAsia="de-DE" w:bidi="de-DE"/>
              </w:rPr>
              <w:t>20</w:t>
            </w:r>
            <w:r w:rsidRPr="00401647">
              <w:rPr>
                <w:rFonts w:eastAsia="Calibri"/>
                <w:sz w:val="20"/>
                <w:szCs w:val="20"/>
                <w:lang w:val="fr-BE" w:eastAsia="de-DE" w:bidi="de-DE"/>
              </w:rPr>
              <w:t>,00 EUR</w:t>
            </w:r>
          </w:p>
        </w:tc>
      </w:tr>
      <w:tr w:rsidR="007A5656" w:rsidRPr="00A21F71" w14:paraId="3CA26D95" w14:textId="77777777" w:rsidTr="00212CA2">
        <w:tc>
          <w:tcPr>
            <w:tcW w:w="9104" w:type="dxa"/>
            <w:gridSpan w:val="2"/>
          </w:tcPr>
          <w:p w14:paraId="6412B479" w14:textId="77777777" w:rsidR="007A5656" w:rsidRPr="00A21F71" w:rsidRDefault="007A5656" w:rsidP="00212CA2">
            <w:pPr>
              <w:rPr>
                <w:rFonts w:eastAsia="Calibri"/>
                <w:sz w:val="20"/>
                <w:szCs w:val="20"/>
                <w:lang w:eastAsia="de-DE" w:bidi="de-DE"/>
              </w:rPr>
            </w:pPr>
            <w:r w:rsidRPr="00A21F71">
              <w:rPr>
                <w:rFonts w:eastAsia="Calibri"/>
                <w:sz w:val="20"/>
                <w:szCs w:val="20"/>
                <w:lang w:eastAsia="de-DE" w:bidi="de-DE"/>
              </w:rPr>
              <w:t>(1) Ein behindertes Kind zu Lasten wird doppelt gezählt.</w:t>
            </w:r>
          </w:p>
        </w:tc>
      </w:tr>
    </w:tbl>
    <w:p w14:paraId="3E52CEFC" w14:textId="77777777" w:rsidR="007A5656" w:rsidRPr="00A21F71" w:rsidRDefault="007A5656" w:rsidP="007A5656">
      <w:pPr>
        <w:rPr>
          <w:rFonts w:eastAsia="Calibri"/>
          <w:lang w:eastAsia="de-DE" w:bidi="de-DE"/>
        </w:rPr>
      </w:pPr>
    </w:p>
    <w:p w14:paraId="09DB7BEE" w14:textId="77777777" w:rsidR="007A5656" w:rsidRPr="00A21F71" w:rsidRDefault="007A5656" w:rsidP="007A5656">
      <w:pPr>
        <w:rPr>
          <w:rFonts w:eastAsia="Calibri"/>
          <w:lang w:eastAsia="de-DE" w:bidi="de-DE"/>
        </w:rPr>
      </w:pPr>
      <w:r w:rsidRPr="00A21F71">
        <w:rPr>
          <w:rFonts w:eastAsia="Calibri"/>
          <w:lang w:eastAsia="de-DE" w:bidi="de-DE"/>
        </w:rPr>
        <w:tab/>
        <w:t xml:space="preserve">c) </w:t>
      </w:r>
      <w:r w:rsidRPr="00A21F71">
        <w:rPr>
          <w:rFonts w:eastAsia="Calibri"/>
          <w:u w:val="dotted"/>
          <w:lang w:eastAsia="de-DE" w:bidi="de-DE"/>
        </w:rPr>
        <w:t>Ermäßigung für Kinder zu Lasten</w:t>
      </w:r>
    </w:p>
    <w:p w14:paraId="442E1FE5"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2382"/>
        <w:gridCol w:w="4351"/>
      </w:tblGrid>
      <w:tr w:rsidR="007A5656" w:rsidRPr="00A21F71" w14:paraId="741646FD" w14:textId="77777777" w:rsidTr="00212CA2">
        <w:tc>
          <w:tcPr>
            <w:tcW w:w="2268" w:type="dxa"/>
            <w:vAlign w:val="center"/>
          </w:tcPr>
          <w:p w14:paraId="388A6424" w14:textId="77777777" w:rsidR="007A5656" w:rsidRPr="00A21F71" w:rsidRDefault="007A5656" w:rsidP="00212CA2">
            <w:pPr>
              <w:spacing w:before="40" w:after="40"/>
              <w:jc w:val="center"/>
              <w:rPr>
                <w:rFonts w:eastAsia="Calibri"/>
                <w:sz w:val="20"/>
                <w:szCs w:val="20"/>
                <w:lang w:eastAsia="de-DE" w:bidi="de-DE"/>
              </w:rPr>
            </w:pPr>
            <w:r w:rsidRPr="00A21F71">
              <w:rPr>
                <w:rFonts w:eastAsia="Calibri"/>
                <w:sz w:val="20"/>
                <w:szCs w:val="20"/>
                <w:lang w:eastAsia="de-DE" w:bidi="de-DE"/>
              </w:rPr>
              <w:t>ANZAHL KINDER ZU LASTEN (1)</w:t>
            </w:r>
          </w:p>
        </w:tc>
        <w:tc>
          <w:tcPr>
            <w:tcW w:w="2410" w:type="dxa"/>
            <w:vAlign w:val="center"/>
          </w:tcPr>
          <w:p w14:paraId="30308BA7" w14:textId="77777777" w:rsidR="007A5656" w:rsidRPr="00A21F71" w:rsidRDefault="007A5656" w:rsidP="00212CA2">
            <w:pPr>
              <w:spacing w:before="40" w:after="40"/>
              <w:jc w:val="center"/>
              <w:rPr>
                <w:rFonts w:eastAsia="Calibri"/>
                <w:sz w:val="20"/>
                <w:szCs w:val="20"/>
                <w:lang w:eastAsia="de-DE" w:bidi="de-DE"/>
              </w:rPr>
            </w:pPr>
            <w:r w:rsidRPr="00A21F71">
              <w:rPr>
                <w:rFonts w:eastAsia="Calibri"/>
                <w:sz w:val="20"/>
                <w:szCs w:val="20"/>
                <w:lang w:eastAsia="de-DE" w:bidi="de-DE"/>
              </w:rPr>
              <w:t>PROZENTSATZ DER ERMÄSSIGUNG</w:t>
            </w:r>
          </w:p>
        </w:tc>
        <w:tc>
          <w:tcPr>
            <w:tcW w:w="4426" w:type="dxa"/>
            <w:vAlign w:val="center"/>
          </w:tcPr>
          <w:p w14:paraId="516A3F96" w14:textId="77777777" w:rsidR="007A5656" w:rsidRPr="00A21F71" w:rsidRDefault="007A5656" w:rsidP="00212CA2">
            <w:pPr>
              <w:spacing w:before="40" w:after="40"/>
              <w:jc w:val="center"/>
              <w:rPr>
                <w:rFonts w:eastAsia="Calibri"/>
                <w:sz w:val="20"/>
                <w:szCs w:val="20"/>
                <w:lang w:eastAsia="de-DE" w:bidi="de-DE"/>
              </w:rPr>
            </w:pPr>
            <w:r w:rsidRPr="00A21F71">
              <w:rPr>
                <w:rFonts w:eastAsia="Calibri"/>
                <w:sz w:val="20"/>
                <w:szCs w:val="20"/>
                <w:lang w:eastAsia="de-DE" w:bidi="de-DE"/>
              </w:rPr>
              <w:t>JAHRESBETRAG DER NORMALEN BRUTTOENTLOHNUNG, ÜBER DEN HINAUS KEINE ERMÄSSIGUNG GEWÄHRT WIRD</w:t>
            </w:r>
          </w:p>
        </w:tc>
      </w:tr>
      <w:tr w:rsidR="007A5656" w:rsidRPr="00A21F71" w14:paraId="3B70EC1B" w14:textId="77777777" w:rsidTr="00212CA2">
        <w:tc>
          <w:tcPr>
            <w:tcW w:w="2268" w:type="dxa"/>
          </w:tcPr>
          <w:p w14:paraId="15AE4E86"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1</w:t>
            </w:r>
          </w:p>
        </w:tc>
        <w:tc>
          <w:tcPr>
            <w:tcW w:w="2410" w:type="dxa"/>
          </w:tcPr>
          <w:p w14:paraId="5B0732D6"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2</w:t>
            </w:r>
          </w:p>
        </w:tc>
        <w:tc>
          <w:tcPr>
            <w:tcW w:w="4426" w:type="dxa"/>
          </w:tcPr>
          <w:p w14:paraId="3E361282"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3</w:t>
            </w:r>
          </w:p>
        </w:tc>
      </w:tr>
      <w:tr w:rsidR="007A5656" w:rsidRPr="00811447" w14:paraId="3042CD5C" w14:textId="77777777" w:rsidTr="00212CA2">
        <w:tc>
          <w:tcPr>
            <w:tcW w:w="2268" w:type="dxa"/>
          </w:tcPr>
          <w:p w14:paraId="761E8A58"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1</w:t>
            </w:r>
          </w:p>
          <w:p w14:paraId="0CAE3733"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2</w:t>
            </w:r>
          </w:p>
          <w:p w14:paraId="1288624B"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3</w:t>
            </w:r>
          </w:p>
          <w:p w14:paraId="152F84A8"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4</w:t>
            </w:r>
          </w:p>
          <w:p w14:paraId="5B00D75A"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5</w:t>
            </w:r>
          </w:p>
        </w:tc>
        <w:tc>
          <w:tcPr>
            <w:tcW w:w="2410" w:type="dxa"/>
          </w:tcPr>
          <w:p w14:paraId="4A528BFC"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7,5</w:t>
            </w:r>
          </w:p>
          <w:p w14:paraId="5BD118CA"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20</w:t>
            </w:r>
          </w:p>
          <w:p w14:paraId="7FB0D9D7"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35</w:t>
            </w:r>
          </w:p>
          <w:p w14:paraId="3EA212DA"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55</w:t>
            </w:r>
          </w:p>
          <w:p w14:paraId="6ABA17E0"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75</w:t>
            </w:r>
          </w:p>
        </w:tc>
        <w:tc>
          <w:tcPr>
            <w:tcW w:w="4426" w:type="dxa"/>
          </w:tcPr>
          <w:p w14:paraId="0032CEAF"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2</w:t>
            </w:r>
            <w:r>
              <w:rPr>
                <w:rFonts w:eastAsia="Calibri"/>
                <w:sz w:val="20"/>
                <w:szCs w:val="20"/>
                <w:lang w:val="fr-BE" w:eastAsia="de-DE" w:bidi="de-DE"/>
              </w:rPr>
              <w:t>2</w:t>
            </w:r>
            <w:r w:rsidRPr="00401647">
              <w:rPr>
                <w:rFonts w:eastAsia="Calibri"/>
                <w:sz w:val="20"/>
                <w:szCs w:val="20"/>
                <w:lang w:val="fr-BE" w:eastAsia="de-DE" w:bidi="de-DE"/>
              </w:rPr>
              <w:t>.</w:t>
            </w:r>
            <w:r>
              <w:rPr>
                <w:rFonts w:eastAsia="Calibri"/>
                <w:sz w:val="20"/>
                <w:szCs w:val="20"/>
                <w:lang w:val="fr-BE" w:eastAsia="de-DE" w:bidi="de-DE"/>
              </w:rPr>
              <w:t>020</w:t>
            </w:r>
            <w:r w:rsidRPr="00401647">
              <w:rPr>
                <w:rFonts w:eastAsia="Calibri"/>
                <w:sz w:val="20"/>
                <w:szCs w:val="20"/>
                <w:lang w:val="fr-BE" w:eastAsia="de-DE" w:bidi="de-DE"/>
              </w:rPr>
              <w:t>,00 EUR</w:t>
            </w:r>
          </w:p>
          <w:p w14:paraId="382FCF0A"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2</w:t>
            </w:r>
            <w:r>
              <w:rPr>
                <w:rFonts w:eastAsia="Calibri"/>
                <w:sz w:val="20"/>
                <w:szCs w:val="20"/>
                <w:lang w:val="fr-BE" w:eastAsia="de-DE" w:bidi="de-DE"/>
              </w:rPr>
              <w:t>2</w:t>
            </w:r>
            <w:r w:rsidRPr="00401647">
              <w:rPr>
                <w:rFonts w:eastAsia="Calibri"/>
                <w:sz w:val="20"/>
                <w:szCs w:val="20"/>
                <w:lang w:val="fr-BE" w:eastAsia="de-DE" w:bidi="de-DE"/>
              </w:rPr>
              <w:t>.</w:t>
            </w:r>
            <w:r>
              <w:rPr>
                <w:rFonts w:eastAsia="Calibri"/>
                <w:sz w:val="20"/>
                <w:szCs w:val="20"/>
                <w:lang w:val="fr-BE" w:eastAsia="de-DE" w:bidi="de-DE"/>
              </w:rPr>
              <w:t>020</w:t>
            </w:r>
            <w:r w:rsidRPr="00401647">
              <w:rPr>
                <w:rFonts w:eastAsia="Calibri"/>
                <w:sz w:val="20"/>
                <w:szCs w:val="20"/>
                <w:lang w:val="fr-BE" w:eastAsia="de-DE" w:bidi="de-DE"/>
              </w:rPr>
              <w:t>,00 EUR</w:t>
            </w:r>
          </w:p>
          <w:p w14:paraId="1D2686B5"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2</w:t>
            </w:r>
            <w:r>
              <w:rPr>
                <w:rFonts w:eastAsia="Calibri"/>
                <w:sz w:val="20"/>
                <w:szCs w:val="20"/>
                <w:lang w:val="fr-BE" w:eastAsia="de-DE" w:bidi="de-DE"/>
              </w:rPr>
              <w:t>4</w:t>
            </w:r>
            <w:r w:rsidRPr="00401647">
              <w:rPr>
                <w:rFonts w:eastAsia="Calibri"/>
                <w:sz w:val="20"/>
                <w:szCs w:val="20"/>
                <w:lang w:val="fr-BE" w:eastAsia="de-DE" w:bidi="de-DE"/>
              </w:rPr>
              <w:t>.</w:t>
            </w:r>
            <w:r>
              <w:rPr>
                <w:rFonts w:eastAsia="Calibri"/>
                <w:sz w:val="20"/>
                <w:szCs w:val="20"/>
                <w:lang w:val="fr-BE" w:eastAsia="de-DE" w:bidi="de-DE"/>
              </w:rPr>
              <w:t>225</w:t>
            </w:r>
            <w:r w:rsidRPr="00401647">
              <w:rPr>
                <w:rFonts w:eastAsia="Calibri"/>
                <w:sz w:val="20"/>
                <w:szCs w:val="20"/>
                <w:lang w:val="fr-BE" w:eastAsia="de-DE" w:bidi="de-DE"/>
              </w:rPr>
              <w:t>,00 EUR</w:t>
            </w:r>
          </w:p>
          <w:p w14:paraId="6A0A87F9"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28.</w:t>
            </w:r>
            <w:r>
              <w:rPr>
                <w:rFonts w:eastAsia="Calibri"/>
                <w:sz w:val="20"/>
                <w:szCs w:val="20"/>
                <w:lang w:val="fr-BE" w:eastAsia="de-DE" w:bidi="de-DE"/>
              </w:rPr>
              <w:t>630</w:t>
            </w:r>
            <w:r w:rsidRPr="00401647">
              <w:rPr>
                <w:rFonts w:eastAsia="Calibri"/>
                <w:sz w:val="20"/>
                <w:szCs w:val="20"/>
                <w:lang w:val="fr-BE" w:eastAsia="de-DE" w:bidi="de-DE"/>
              </w:rPr>
              <w:t>,00 EUR</w:t>
            </w:r>
          </w:p>
          <w:p w14:paraId="310F3A78" w14:textId="77777777" w:rsidR="007A5656" w:rsidRPr="00401647" w:rsidRDefault="007A5656" w:rsidP="00212CA2">
            <w:pPr>
              <w:jc w:val="center"/>
              <w:rPr>
                <w:rFonts w:eastAsia="Calibri"/>
                <w:sz w:val="20"/>
                <w:szCs w:val="20"/>
                <w:lang w:val="fr-BE" w:eastAsia="de-DE" w:bidi="de-DE"/>
              </w:rPr>
            </w:pPr>
            <w:r w:rsidRPr="00401647">
              <w:rPr>
                <w:rFonts w:eastAsia="Calibri"/>
                <w:sz w:val="20"/>
                <w:szCs w:val="20"/>
                <w:lang w:val="fr-BE" w:eastAsia="de-DE" w:bidi="de-DE"/>
              </w:rPr>
              <w:t>30.</w:t>
            </w:r>
            <w:r>
              <w:rPr>
                <w:rFonts w:eastAsia="Calibri"/>
                <w:sz w:val="20"/>
                <w:szCs w:val="20"/>
                <w:lang w:val="fr-BE" w:eastAsia="de-DE" w:bidi="de-DE"/>
              </w:rPr>
              <w:t>835</w:t>
            </w:r>
            <w:r w:rsidRPr="00401647">
              <w:rPr>
                <w:rFonts w:eastAsia="Calibri"/>
                <w:sz w:val="20"/>
                <w:szCs w:val="20"/>
                <w:lang w:val="fr-BE" w:eastAsia="de-DE" w:bidi="de-DE"/>
              </w:rPr>
              <w:t>,00 EUR</w:t>
            </w:r>
          </w:p>
        </w:tc>
      </w:tr>
      <w:tr w:rsidR="007A5656" w:rsidRPr="00A21F71" w14:paraId="0E524414" w14:textId="77777777" w:rsidTr="00212CA2">
        <w:tc>
          <w:tcPr>
            <w:tcW w:w="9104" w:type="dxa"/>
            <w:gridSpan w:val="3"/>
          </w:tcPr>
          <w:p w14:paraId="0DCD0C01" w14:textId="77777777" w:rsidR="007A5656" w:rsidRPr="00A21F71" w:rsidRDefault="007A5656" w:rsidP="00212CA2">
            <w:pPr>
              <w:rPr>
                <w:rFonts w:eastAsia="Calibri"/>
                <w:sz w:val="20"/>
                <w:szCs w:val="20"/>
                <w:lang w:eastAsia="de-DE" w:bidi="de-DE"/>
              </w:rPr>
            </w:pPr>
            <w:r w:rsidRPr="00A21F71">
              <w:rPr>
                <w:rFonts w:eastAsia="Calibri"/>
                <w:sz w:val="20"/>
                <w:szCs w:val="20"/>
                <w:lang w:eastAsia="de-DE" w:bidi="de-DE"/>
              </w:rPr>
              <w:t>(1) Ein behindertes Kind zu Lasten wird doppelt gezählt.</w:t>
            </w:r>
          </w:p>
        </w:tc>
      </w:tr>
    </w:tbl>
    <w:p w14:paraId="050A7236" w14:textId="77777777" w:rsidR="007A5656" w:rsidRPr="00A21F71" w:rsidRDefault="007A5656" w:rsidP="007A5656">
      <w:pPr>
        <w:rPr>
          <w:rFonts w:eastAsia="Calibri"/>
          <w:lang w:eastAsia="de-DE" w:bidi="de-DE"/>
        </w:rPr>
      </w:pPr>
    </w:p>
    <w:p w14:paraId="7CCC24E8"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3EB0C753" w14:textId="77777777" w:rsidR="007A5656" w:rsidRPr="00A21F71" w:rsidRDefault="007A5656" w:rsidP="007A5656">
      <w:pPr>
        <w:rPr>
          <w:rFonts w:eastAsia="Calibri"/>
          <w:lang w:eastAsia="de-DE" w:bidi="de-DE"/>
        </w:rPr>
      </w:pPr>
      <w:r w:rsidRPr="00A21F71">
        <w:rPr>
          <w:rFonts w:eastAsia="Calibri"/>
          <w:lang w:eastAsia="de-DE" w:bidi="de-DE"/>
        </w:rPr>
        <w:lastRenderedPageBreak/>
        <w:tab/>
        <w:t>B. In Abweichung von Punkt A:</w:t>
      </w:r>
    </w:p>
    <w:p w14:paraId="1EDB9C7D" w14:textId="77777777" w:rsidR="007A5656" w:rsidRPr="00A21F71" w:rsidRDefault="007A5656" w:rsidP="007A5656">
      <w:pPr>
        <w:rPr>
          <w:rFonts w:eastAsia="Calibri"/>
          <w:lang w:eastAsia="de-DE" w:bidi="de-DE"/>
        </w:rPr>
      </w:pPr>
    </w:p>
    <w:p w14:paraId="6A0F1903" w14:textId="77777777" w:rsidR="007A5656" w:rsidRPr="00A21F71" w:rsidRDefault="007A5656" w:rsidP="007A5656">
      <w:pPr>
        <w:jc w:val="both"/>
        <w:rPr>
          <w:rFonts w:eastAsia="Calibri"/>
          <w:lang w:eastAsia="de-DE" w:bidi="de-DE"/>
        </w:rPr>
      </w:pPr>
      <w:r w:rsidRPr="00A21F71">
        <w:rPr>
          <w:rFonts w:eastAsia="Calibri"/>
          <w:lang w:eastAsia="de-DE" w:bidi="de-DE"/>
        </w:rPr>
        <w:tab/>
        <w:t>a) wird der Berufssteuervorabzug einheitlich auf 16,15 Prozent (ohne Befreiung) festgelegt, was Jahresendprämien betrifft, die in einem Mal gezahlt werden und an Leistungen gebunden sind, die pro Stück oder pro Auftrag entlohnt werden,</w:t>
      </w:r>
    </w:p>
    <w:p w14:paraId="603F6B5E" w14:textId="77777777" w:rsidR="007A5656" w:rsidRPr="00A21F71" w:rsidRDefault="007A5656" w:rsidP="007A5656">
      <w:pPr>
        <w:rPr>
          <w:rFonts w:eastAsia="Calibri"/>
          <w:lang w:eastAsia="de-DE" w:bidi="de-DE"/>
        </w:rPr>
      </w:pPr>
    </w:p>
    <w:p w14:paraId="7C06E8D6" w14:textId="77777777" w:rsidR="007A5656" w:rsidRPr="00A21F71" w:rsidRDefault="007A5656" w:rsidP="007A5656">
      <w:pPr>
        <w:jc w:val="both"/>
        <w:rPr>
          <w:rFonts w:eastAsia="Calibri"/>
          <w:lang w:eastAsia="de-DE" w:bidi="de-DE"/>
        </w:rPr>
      </w:pPr>
      <w:r w:rsidRPr="00A21F71">
        <w:rPr>
          <w:rFonts w:eastAsia="Calibri"/>
          <w:lang w:eastAsia="de-DE" w:bidi="de-DE"/>
        </w:rPr>
        <w:tab/>
        <w:t>b) wird kein Berufssteuervorabzug geschuldet, wenn ein Zwölftel des Jahresgesamtbetrags der normalen Bruttoentlohnung und der außerordentlichen Entschädigungen und Zulagen gemäß den auf monatlich gezahlte Entlohnungen anwendbaren Regeln, die in Nr. 2.2 (Tabelle I) oder Nr. 2.3 (Tabelle II) vorgesehen sind, keinem Berufssteuervorabzug unterliegt.</w:t>
      </w:r>
    </w:p>
    <w:p w14:paraId="301F44F7" w14:textId="77777777" w:rsidR="007A5656" w:rsidRPr="00A21F71" w:rsidRDefault="007A5656" w:rsidP="007A5656">
      <w:pPr>
        <w:rPr>
          <w:rFonts w:eastAsia="Calibri"/>
          <w:lang w:eastAsia="de-DE" w:bidi="de-DE"/>
        </w:rPr>
      </w:pPr>
    </w:p>
    <w:p w14:paraId="3AA58EDF" w14:textId="77777777" w:rsidR="007A5656" w:rsidRPr="00A21F71" w:rsidRDefault="007A5656" w:rsidP="007A5656">
      <w:pPr>
        <w:rPr>
          <w:rFonts w:eastAsia="Calibri"/>
          <w:lang w:eastAsia="de-DE" w:bidi="de-DE"/>
        </w:rPr>
      </w:pPr>
      <w:r w:rsidRPr="00A21F71">
        <w:rPr>
          <w:rFonts w:eastAsia="Calibri"/>
          <w:lang w:eastAsia="de-DE" w:bidi="de-DE"/>
        </w:rPr>
        <w:tab/>
        <w:t>2.10 Nachzahlungen</w:t>
      </w:r>
    </w:p>
    <w:p w14:paraId="7C66E45D" w14:textId="77777777" w:rsidR="007A5656" w:rsidRPr="00A21F71" w:rsidRDefault="007A5656" w:rsidP="007A5656">
      <w:pPr>
        <w:rPr>
          <w:rFonts w:eastAsia="Calibri"/>
          <w:lang w:eastAsia="de-DE" w:bidi="de-DE"/>
        </w:rPr>
      </w:pPr>
    </w:p>
    <w:p w14:paraId="1253BE72" w14:textId="77777777" w:rsidR="007A5656" w:rsidRPr="00A21F71" w:rsidRDefault="007A5656" w:rsidP="007A5656">
      <w:pPr>
        <w:jc w:val="both"/>
        <w:rPr>
          <w:rFonts w:eastAsia="Calibri"/>
          <w:lang w:eastAsia="de-DE" w:bidi="de-DE"/>
        </w:rPr>
      </w:pPr>
      <w:r w:rsidRPr="00A21F71">
        <w:rPr>
          <w:rFonts w:eastAsia="Calibri"/>
          <w:lang w:eastAsia="de-DE" w:bidi="de-DE"/>
        </w:rPr>
        <w:tab/>
        <w:t>A. Bei Nachzahlung von Entlohnungen (unter anderem, wenn Entlohnungen durch Verschulden einer öffentlichen Behörde oder aufgrund des Vorhandenseins einer Streitsache erst nach Ablauf des Besteuerungszeitraums, auf den sie sich tatsächlich beziehen, gezahlt oder zuerkannt werden) wird der Berufssteuervorabzug gemäß den in Buchstabe a) vorgesehenen Sätzen unter Berücksichtigung der Referenzentlohnung, das heißt des Jahresbetrags der normalen Bruttoentlohnung, die dem Empfänger der Einkünfte unmittelbar vor dem Jahr gezahlt worden ist, auf das sich die Nachzahlungen beziehen, festgelegt.</w:t>
      </w:r>
    </w:p>
    <w:p w14:paraId="31BDDC3A" w14:textId="77777777" w:rsidR="007A5656" w:rsidRPr="00A21F71" w:rsidRDefault="007A5656" w:rsidP="007A5656">
      <w:pPr>
        <w:jc w:val="both"/>
        <w:rPr>
          <w:rFonts w:eastAsia="Calibri"/>
          <w:lang w:eastAsia="de-DE" w:bidi="de-DE"/>
        </w:rPr>
      </w:pPr>
    </w:p>
    <w:p w14:paraId="5BB67B7B" w14:textId="77777777" w:rsidR="007A5656" w:rsidRPr="00A21F71" w:rsidRDefault="007A5656" w:rsidP="007A5656">
      <w:pPr>
        <w:jc w:val="both"/>
        <w:rPr>
          <w:rFonts w:eastAsia="Calibri"/>
          <w:lang w:eastAsia="de-DE" w:bidi="de-DE"/>
        </w:rPr>
      </w:pPr>
      <w:r w:rsidRPr="00A21F71">
        <w:rPr>
          <w:rFonts w:eastAsia="Calibri"/>
          <w:lang w:eastAsia="de-DE" w:bidi="de-DE"/>
        </w:rPr>
        <w:tab/>
        <w:t>In Abweichung von Vorhergehendem entspricht die Referenzentlohnung der normalen Bruttoentlohnung des letzten Jahres normaler Tätigkeit vor dem Jahr der Nachzahlungen, insofern der Empfänger diese nachweist.</w:t>
      </w:r>
    </w:p>
    <w:p w14:paraId="02ABF26E" w14:textId="77777777" w:rsidR="007A5656" w:rsidRPr="00A21F71" w:rsidRDefault="007A5656" w:rsidP="007A5656">
      <w:pPr>
        <w:jc w:val="both"/>
        <w:rPr>
          <w:rFonts w:eastAsia="Calibri"/>
          <w:lang w:eastAsia="de-DE" w:bidi="de-DE"/>
        </w:rPr>
      </w:pPr>
    </w:p>
    <w:p w14:paraId="19802A26" w14:textId="77777777" w:rsidR="007A5656" w:rsidRPr="00A21F71" w:rsidRDefault="007A5656" w:rsidP="007A5656">
      <w:pPr>
        <w:jc w:val="both"/>
        <w:rPr>
          <w:rFonts w:eastAsia="Calibri"/>
          <w:lang w:eastAsia="de-DE" w:bidi="de-DE"/>
        </w:rPr>
      </w:pPr>
      <w:r w:rsidRPr="00A21F71">
        <w:rPr>
          <w:rFonts w:eastAsia="Calibri"/>
          <w:lang w:eastAsia="de-DE" w:bidi="de-DE"/>
        </w:rPr>
        <w:tab/>
        <w:t>Übersteigt die Referenzentlohnung jedoch nicht den Grenzbetrag, der je nach der Anzahl Kinder zu Lasten in der in Buchstabe b) aufgenommenen Tabelle angegeben ist, sind Nachzahlungen von Entlohnungen bis zur Differenz zwischen dem vorerwähnten Grenzbetrag und der Referenzentlohnung befreit.</w:t>
      </w:r>
    </w:p>
    <w:p w14:paraId="64DDB285" w14:textId="77777777" w:rsidR="007A5656" w:rsidRPr="00A21F71" w:rsidRDefault="007A5656" w:rsidP="007A5656">
      <w:pPr>
        <w:jc w:val="both"/>
        <w:rPr>
          <w:rFonts w:eastAsia="Calibri"/>
          <w:lang w:eastAsia="de-DE" w:bidi="de-DE"/>
        </w:rPr>
      </w:pPr>
    </w:p>
    <w:p w14:paraId="28168A6F" w14:textId="77777777" w:rsidR="007A5656" w:rsidRPr="00A21F71" w:rsidRDefault="007A5656" w:rsidP="007A5656">
      <w:pPr>
        <w:rPr>
          <w:rFonts w:eastAsia="Calibri"/>
          <w:lang w:eastAsia="de-DE" w:bidi="de-DE"/>
        </w:rPr>
      </w:pPr>
      <w:r w:rsidRPr="00A21F71">
        <w:rPr>
          <w:rFonts w:eastAsia="Calibri"/>
          <w:lang w:eastAsia="de-DE" w:bidi="de-DE"/>
        </w:rPr>
        <w:tab/>
        <w:t xml:space="preserve">a) </w:t>
      </w:r>
      <w:r w:rsidRPr="00A21F71">
        <w:rPr>
          <w:rFonts w:eastAsia="Calibri"/>
          <w:u w:val="dotted"/>
          <w:lang w:eastAsia="de-DE" w:bidi="de-DE"/>
        </w:rPr>
        <w:t>Satz</w:t>
      </w:r>
    </w:p>
    <w:p w14:paraId="03C9904E" w14:textId="77777777" w:rsidR="007A5656" w:rsidRPr="00A21F71" w:rsidRDefault="007A5656" w:rsidP="007A5656">
      <w:pPr>
        <w:rPr>
          <w:rFonts w:eastAsia="Calibri"/>
          <w:lang w:eastAsia="de-DE" w:bidi="de-D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5"/>
        <w:gridCol w:w="4587"/>
      </w:tblGrid>
      <w:tr w:rsidR="007A5656" w:rsidRPr="00A21F71" w14:paraId="5F262CE8" w14:textId="77777777" w:rsidTr="00212CA2">
        <w:trPr>
          <w:jc w:val="center"/>
        </w:trPr>
        <w:tc>
          <w:tcPr>
            <w:tcW w:w="4498" w:type="dxa"/>
            <w:vAlign w:val="center"/>
          </w:tcPr>
          <w:p w14:paraId="66B1BADA"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REFERENZENTLOHNUNG</w:t>
            </w:r>
          </w:p>
        </w:tc>
        <w:tc>
          <w:tcPr>
            <w:tcW w:w="4606" w:type="dxa"/>
            <w:vAlign w:val="center"/>
          </w:tcPr>
          <w:p w14:paraId="4B5A3814"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PROZENTSATZ DES AUF NACHZAHLUNGEN GESCHULDETEN BERUFSSTEUERVORABZUGS</w:t>
            </w:r>
          </w:p>
        </w:tc>
      </w:tr>
      <w:tr w:rsidR="007A5656" w:rsidRPr="00A21F71" w14:paraId="1C4DE6F8" w14:textId="77777777" w:rsidTr="00212CA2">
        <w:trPr>
          <w:jc w:val="center"/>
        </w:trPr>
        <w:tc>
          <w:tcPr>
            <w:tcW w:w="4498" w:type="dxa"/>
          </w:tcPr>
          <w:p w14:paraId="5695B1B9" w14:textId="77777777" w:rsidR="007A5656" w:rsidRPr="00A21F71" w:rsidRDefault="007A5656" w:rsidP="00212CA2">
            <w:pPr>
              <w:rPr>
                <w:rFonts w:eastAsia="Calibri"/>
                <w:sz w:val="22"/>
                <w:lang w:eastAsia="de-DE" w:bidi="de-DE"/>
              </w:rPr>
            </w:pPr>
            <w:r>
              <w:rPr>
                <w:rFonts w:eastAsia="Calibri"/>
                <w:sz w:val="22"/>
                <w:lang w:eastAsia="de-DE" w:bidi="de-DE"/>
              </w:rPr>
              <w:t>bis 9.025</w:t>
            </w:r>
            <w:r w:rsidRPr="00A21F71">
              <w:rPr>
                <w:rFonts w:eastAsia="Calibri"/>
                <w:sz w:val="22"/>
                <w:lang w:eastAsia="de-DE" w:bidi="de-DE"/>
              </w:rPr>
              <w:t>,00 EUR</w:t>
            </w:r>
          </w:p>
          <w:p w14:paraId="47CFE032" w14:textId="77777777" w:rsidR="007A5656" w:rsidRPr="00A21F71" w:rsidRDefault="007A5656" w:rsidP="00212CA2">
            <w:pPr>
              <w:rPr>
                <w:rFonts w:eastAsia="Calibri"/>
                <w:sz w:val="22"/>
                <w:lang w:eastAsia="de-DE" w:bidi="de-DE"/>
              </w:rPr>
            </w:pPr>
            <w:r>
              <w:rPr>
                <w:rFonts w:eastAsia="Calibri"/>
                <w:sz w:val="22"/>
                <w:lang w:eastAsia="de-DE" w:bidi="de-DE"/>
              </w:rPr>
              <w:t>von 9.025,01 EUR bis 10.835</w:t>
            </w:r>
            <w:r w:rsidRPr="00A21F71">
              <w:rPr>
                <w:rFonts w:eastAsia="Calibri"/>
                <w:sz w:val="22"/>
                <w:lang w:eastAsia="de-DE" w:bidi="de-DE"/>
              </w:rPr>
              <w:t>,00 EUR</w:t>
            </w:r>
          </w:p>
          <w:p w14:paraId="0CD8BDC7" w14:textId="77777777" w:rsidR="007A5656" w:rsidRPr="00A21F71" w:rsidRDefault="007A5656" w:rsidP="00212CA2">
            <w:pPr>
              <w:rPr>
                <w:rFonts w:eastAsia="Calibri"/>
                <w:sz w:val="22"/>
                <w:lang w:eastAsia="de-DE" w:bidi="de-DE"/>
              </w:rPr>
            </w:pPr>
            <w:r>
              <w:rPr>
                <w:rFonts w:eastAsia="Calibri"/>
                <w:sz w:val="22"/>
                <w:lang w:eastAsia="de-DE" w:bidi="de-DE"/>
              </w:rPr>
              <w:t>von 10.835,01 EUR bis 12.030</w:t>
            </w:r>
            <w:r w:rsidRPr="00A21F71">
              <w:rPr>
                <w:rFonts w:eastAsia="Calibri"/>
                <w:sz w:val="22"/>
                <w:lang w:eastAsia="de-DE" w:bidi="de-DE"/>
              </w:rPr>
              <w:t>,00 EUR</w:t>
            </w:r>
          </w:p>
          <w:p w14:paraId="71F52613" w14:textId="77777777" w:rsidR="007A5656" w:rsidRPr="00A21F71" w:rsidRDefault="007A5656" w:rsidP="00212CA2">
            <w:pPr>
              <w:rPr>
                <w:rFonts w:eastAsia="Calibri"/>
                <w:sz w:val="22"/>
                <w:lang w:eastAsia="de-DE" w:bidi="de-DE"/>
              </w:rPr>
            </w:pPr>
            <w:r>
              <w:rPr>
                <w:rFonts w:eastAsia="Calibri"/>
                <w:sz w:val="22"/>
                <w:lang w:eastAsia="de-DE" w:bidi="de-DE"/>
              </w:rPr>
              <w:t>von 12.030,01 EUR bis 14.445</w:t>
            </w:r>
            <w:r w:rsidRPr="00A21F71">
              <w:rPr>
                <w:rFonts w:eastAsia="Calibri"/>
                <w:sz w:val="22"/>
                <w:lang w:eastAsia="de-DE" w:bidi="de-DE"/>
              </w:rPr>
              <w:t>,00 EUR</w:t>
            </w:r>
          </w:p>
          <w:p w14:paraId="64C29C3D" w14:textId="77777777" w:rsidR="007A5656" w:rsidRPr="00A21F71" w:rsidRDefault="007A5656" w:rsidP="00212CA2">
            <w:pPr>
              <w:rPr>
                <w:rFonts w:eastAsia="Calibri"/>
                <w:sz w:val="22"/>
                <w:lang w:eastAsia="de-DE" w:bidi="de-DE"/>
              </w:rPr>
            </w:pPr>
            <w:r>
              <w:rPr>
                <w:rFonts w:eastAsia="Calibri"/>
                <w:sz w:val="22"/>
                <w:lang w:eastAsia="de-DE" w:bidi="de-DE"/>
              </w:rPr>
              <w:t>von 14.445</w:t>
            </w:r>
            <w:r w:rsidRPr="00A21F71">
              <w:rPr>
                <w:rFonts w:eastAsia="Calibri"/>
                <w:sz w:val="22"/>
                <w:lang w:eastAsia="de-DE" w:bidi="de-DE"/>
              </w:rPr>
              <w:t>,01 EUR bis 15.</w:t>
            </w:r>
            <w:r>
              <w:rPr>
                <w:rFonts w:eastAsia="Calibri"/>
                <w:sz w:val="22"/>
                <w:lang w:eastAsia="de-DE" w:bidi="de-DE"/>
              </w:rPr>
              <w:t>650</w:t>
            </w:r>
            <w:r w:rsidRPr="00A21F71">
              <w:rPr>
                <w:rFonts w:eastAsia="Calibri"/>
                <w:sz w:val="22"/>
                <w:lang w:eastAsia="de-DE" w:bidi="de-DE"/>
              </w:rPr>
              <w:t>,00 EUR</w:t>
            </w:r>
          </w:p>
          <w:p w14:paraId="18F0BB63" w14:textId="77777777" w:rsidR="007A5656" w:rsidRPr="00A21F71" w:rsidRDefault="007A5656" w:rsidP="00212CA2">
            <w:pPr>
              <w:rPr>
                <w:rFonts w:eastAsia="Calibri"/>
                <w:sz w:val="22"/>
                <w:lang w:eastAsia="de-DE" w:bidi="de-DE"/>
              </w:rPr>
            </w:pPr>
            <w:r>
              <w:rPr>
                <w:rFonts w:eastAsia="Calibri"/>
                <w:sz w:val="22"/>
                <w:lang w:eastAsia="de-DE" w:bidi="de-DE"/>
              </w:rPr>
              <w:t>von 15.650,01 EUR bis 17.450</w:t>
            </w:r>
            <w:r w:rsidRPr="00A21F71">
              <w:rPr>
                <w:rFonts w:eastAsia="Calibri"/>
                <w:sz w:val="22"/>
                <w:lang w:eastAsia="de-DE" w:bidi="de-DE"/>
              </w:rPr>
              <w:t>,00 EUR</w:t>
            </w:r>
          </w:p>
          <w:p w14:paraId="665175AB" w14:textId="77777777" w:rsidR="007A5656" w:rsidRPr="00A21F71" w:rsidRDefault="007A5656" w:rsidP="00212CA2">
            <w:pPr>
              <w:rPr>
                <w:rFonts w:eastAsia="Calibri"/>
                <w:sz w:val="22"/>
                <w:lang w:eastAsia="de-DE" w:bidi="de-DE"/>
              </w:rPr>
            </w:pPr>
            <w:r>
              <w:rPr>
                <w:rFonts w:eastAsia="Calibri"/>
                <w:sz w:val="22"/>
                <w:lang w:eastAsia="de-DE" w:bidi="de-DE"/>
              </w:rPr>
              <w:t>von 17.450,01 EUR bis 20.455</w:t>
            </w:r>
            <w:r w:rsidRPr="00A21F71">
              <w:rPr>
                <w:rFonts w:eastAsia="Calibri"/>
                <w:sz w:val="22"/>
                <w:lang w:eastAsia="de-DE" w:bidi="de-DE"/>
              </w:rPr>
              <w:t>,00 EUR</w:t>
            </w:r>
          </w:p>
          <w:p w14:paraId="5E1BFD82" w14:textId="77777777" w:rsidR="007A5656" w:rsidRPr="00A21F71" w:rsidRDefault="007A5656" w:rsidP="00212CA2">
            <w:pPr>
              <w:rPr>
                <w:rFonts w:eastAsia="Calibri"/>
                <w:sz w:val="22"/>
                <w:lang w:eastAsia="de-DE" w:bidi="de-DE"/>
              </w:rPr>
            </w:pPr>
            <w:r>
              <w:rPr>
                <w:rFonts w:eastAsia="Calibri"/>
                <w:sz w:val="22"/>
                <w:lang w:eastAsia="de-DE" w:bidi="de-DE"/>
              </w:rPr>
              <w:t>von 20.455,01 EUR bis 26.470</w:t>
            </w:r>
            <w:r w:rsidRPr="00A21F71">
              <w:rPr>
                <w:rFonts w:eastAsia="Calibri"/>
                <w:sz w:val="22"/>
                <w:lang w:eastAsia="de-DE" w:bidi="de-DE"/>
              </w:rPr>
              <w:t>,00 EUR</w:t>
            </w:r>
          </w:p>
          <w:p w14:paraId="72D93CA4" w14:textId="77777777" w:rsidR="007A5656" w:rsidRPr="00A21F71" w:rsidRDefault="007A5656" w:rsidP="00212CA2">
            <w:pPr>
              <w:rPr>
                <w:rFonts w:eastAsia="Calibri"/>
                <w:sz w:val="22"/>
                <w:lang w:eastAsia="de-DE" w:bidi="de-DE"/>
              </w:rPr>
            </w:pPr>
            <w:r>
              <w:rPr>
                <w:rFonts w:eastAsia="Calibri"/>
                <w:sz w:val="22"/>
                <w:lang w:eastAsia="de-DE" w:bidi="de-DE"/>
              </w:rPr>
              <w:t>von 26.470,01 EUR bis 32.485</w:t>
            </w:r>
            <w:r w:rsidRPr="00A21F71">
              <w:rPr>
                <w:rFonts w:eastAsia="Calibri"/>
                <w:sz w:val="22"/>
                <w:lang w:eastAsia="de-DE" w:bidi="de-DE"/>
              </w:rPr>
              <w:t>,00 EUR</w:t>
            </w:r>
          </w:p>
          <w:p w14:paraId="12F8464F" w14:textId="77777777" w:rsidR="007A5656" w:rsidRPr="00A21F71" w:rsidRDefault="007A5656" w:rsidP="00212CA2">
            <w:pPr>
              <w:rPr>
                <w:rFonts w:eastAsia="Calibri"/>
                <w:sz w:val="22"/>
                <w:lang w:eastAsia="de-DE" w:bidi="de-DE"/>
              </w:rPr>
            </w:pPr>
            <w:r>
              <w:rPr>
                <w:rFonts w:eastAsia="Calibri"/>
                <w:sz w:val="22"/>
                <w:lang w:eastAsia="de-DE" w:bidi="de-DE"/>
              </w:rPr>
              <w:t>von 32.485,01 EUR bis 42.120</w:t>
            </w:r>
            <w:r w:rsidRPr="00A21F71">
              <w:rPr>
                <w:rFonts w:eastAsia="Calibri"/>
                <w:sz w:val="22"/>
                <w:lang w:eastAsia="de-DE" w:bidi="de-DE"/>
              </w:rPr>
              <w:t>,00 EUR</w:t>
            </w:r>
          </w:p>
          <w:p w14:paraId="59ADF95F" w14:textId="77777777" w:rsidR="007A5656" w:rsidRPr="00A21F71" w:rsidRDefault="007A5656" w:rsidP="00212CA2">
            <w:pPr>
              <w:rPr>
                <w:rFonts w:eastAsia="Calibri"/>
                <w:sz w:val="22"/>
                <w:lang w:eastAsia="de-DE" w:bidi="de-DE"/>
              </w:rPr>
            </w:pPr>
            <w:r>
              <w:rPr>
                <w:rFonts w:eastAsia="Calibri"/>
                <w:sz w:val="22"/>
                <w:lang w:eastAsia="de-DE" w:bidi="de-DE"/>
              </w:rPr>
              <w:t>von 42.120,01 EUR bis 47.530</w:t>
            </w:r>
            <w:r w:rsidRPr="00A21F71">
              <w:rPr>
                <w:rFonts w:eastAsia="Calibri"/>
                <w:sz w:val="22"/>
                <w:lang w:eastAsia="de-DE" w:bidi="de-DE"/>
              </w:rPr>
              <w:t>,00 EUR</w:t>
            </w:r>
          </w:p>
          <w:p w14:paraId="0244A5F4" w14:textId="77777777" w:rsidR="007A5656" w:rsidRPr="00A21F71" w:rsidRDefault="007A5656" w:rsidP="00212CA2">
            <w:pPr>
              <w:rPr>
                <w:rFonts w:eastAsia="Calibri"/>
                <w:sz w:val="22"/>
                <w:lang w:eastAsia="de-DE" w:bidi="de-DE"/>
              </w:rPr>
            </w:pPr>
            <w:r>
              <w:rPr>
                <w:rFonts w:eastAsia="Calibri"/>
                <w:sz w:val="22"/>
                <w:lang w:eastAsia="de-DE" w:bidi="de-DE"/>
              </w:rPr>
              <w:t>von 47.530,01 EUR bis 54.145</w:t>
            </w:r>
            <w:r w:rsidRPr="00A21F71">
              <w:rPr>
                <w:rFonts w:eastAsia="Calibri"/>
                <w:sz w:val="22"/>
                <w:lang w:eastAsia="de-DE" w:bidi="de-DE"/>
              </w:rPr>
              <w:t>,00 EUR</w:t>
            </w:r>
          </w:p>
          <w:p w14:paraId="1E9F3F75" w14:textId="77777777" w:rsidR="007A5656" w:rsidRPr="00A21F71" w:rsidRDefault="007A5656" w:rsidP="00212CA2">
            <w:pPr>
              <w:rPr>
                <w:rFonts w:eastAsia="Calibri"/>
                <w:sz w:val="22"/>
                <w:lang w:eastAsia="de-DE" w:bidi="de-DE"/>
              </w:rPr>
            </w:pPr>
            <w:r>
              <w:rPr>
                <w:rFonts w:eastAsia="Calibri"/>
                <w:sz w:val="22"/>
                <w:lang w:eastAsia="de-DE" w:bidi="de-DE"/>
              </w:rPr>
              <w:t>von 54.145,01 EUR bis 63.165</w:t>
            </w:r>
            <w:r w:rsidRPr="00A21F71">
              <w:rPr>
                <w:rFonts w:eastAsia="Calibri"/>
                <w:sz w:val="22"/>
                <w:lang w:eastAsia="de-DE" w:bidi="de-DE"/>
              </w:rPr>
              <w:t>,00 EUR</w:t>
            </w:r>
          </w:p>
          <w:p w14:paraId="5E523FB9" w14:textId="77777777" w:rsidR="007A5656" w:rsidRPr="00A21F71" w:rsidRDefault="007A5656" w:rsidP="00212CA2">
            <w:pPr>
              <w:rPr>
                <w:rFonts w:eastAsia="Calibri"/>
                <w:sz w:val="22"/>
                <w:lang w:eastAsia="de-DE" w:bidi="de-DE"/>
              </w:rPr>
            </w:pPr>
            <w:r>
              <w:rPr>
                <w:rFonts w:eastAsia="Calibri"/>
                <w:sz w:val="22"/>
                <w:lang w:eastAsia="de-DE" w:bidi="de-DE"/>
              </w:rPr>
              <w:t>von 63.165,01 EUR bis 75.805</w:t>
            </w:r>
            <w:r w:rsidRPr="00A21F71">
              <w:rPr>
                <w:rFonts w:eastAsia="Calibri"/>
                <w:sz w:val="22"/>
                <w:lang w:eastAsia="de-DE" w:bidi="de-DE"/>
              </w:rPr>
              <w:t>,00 EUR</w:t>
            </w:r>
          </w:p>
          <w:p w14:paraId="14639359" w14:textId="77777777" w:rsidR="007A5656" w:rsidRPr="00A21F71" w:rsidRDefault="007A5656" w:rsidP="00212CA2">
            <w:pPr>
              <w:rPr>
                <w:rFonts w:eastAsia="Calibri"/>
                <w:sz w:val="22"/>
                <w:lang w:eastAsia="de-DE" w:bidi="de-DE"/>
              </w:rPr>
            </w:pPr>
            <w:r w:rsidRPr="00A21F71">
              <w:rPr>
                <w:rFonts w:eastAsia="Calibri"/>
                <w:sz w:val="22"/>
                <w:lang w:eastAsia="de-DE" w:bidi="de-DE"/>
              </w:rPr>
              <w:t>von 7</w:t>
            </w:r>
            <w:r>
              <w:rPr>
                <w:rFonts w:eastAsia="Calibri"/>
                <w:sz w:val="22"/>
                <w:lang w:eastAsia="de-DE" w:bidi="de-DE"/>
              </w:rPr>
              <w:t>5.805,01 EUR bis 95.055</w:t>
            </w:r>
            <w:r w:rsidRPr="00A21F71">
              <w:rPr>
                <w:rFonts w:eastAsia="Calibri"/>
                <w:sz w:val="22"/>
                <w:lang w:eastAsia="de-DE" w:bidi="de-DE"/>
              </w:rPr>
              <w:t>,00 EUR</w:t>
            </w:r>
          </w:p>
          <w:p w14:paraId="4B186977" w14:textId="77777777" w:rsidR="007A5656" w:rsidRPr="00A21F71" w:rsidRDefault="007A5656" w:rsidP="00212CA2">
            <w:pPr>
              <w:rPr>
                <w:rFonts w:eastAsia="Calibri"/>
                <w:sz w:val="22"/>
                <w:lang w:eastAsia="de-DE" w:bidi="de-DE"/>
              </w:rPr>
            </w:pPr>
            <w:r w:rsidRPr="00A21F71">
              <w:rPr>
                <w:rFonts w:eastAsia="Calibri"/>
                <w:sz w:val="22"/>
                <w:lang w:eastAsia="de-DE" w:bidi="de-DE"/>
              </w:rPr>
              <w:lastRenderedPageBreak/>
              <w:t>von 9</w:t>
            </w:r>
            <w:r>
              <w:rPr>
                <w:rFonts w:eastAsia="Calibri"/>
                <w:sz w:val="22"/>
                <w:lang w:eastAsia="de-DE" w:bidi="de-DE"/>
              </w:rPr>
              <w:t>5.055,01 EUR bis 109.495</w:t>
            </w:r>
            <w:r w:rsidRPr="00A21F71">
              <w:rPr>
                <w:rFonts w:eastAsia="Calibri"/>
                <w:sz w:val="22"/>
                <w:lang w:eastAsia="de-DE" w:bidi="de-DE"/>
              </w:rPr>
              <w:t>,00 EUR</w:t>
            </w:r>
          </w:p>
          <w:p w14:paraId="0292D38D" w14:textId="77777777" w:rsidR="007A5656" w:rsidRPr="00A21F71" w:rsidRDefault="007A5656" w:rsidP="00212CA2">
            <w:pPr>
              <w:rPr>
                <w:rFonts w:eastAsia="Calibri"/>
                <w:sz w:val="22"/>
                <w:lang w:eastAsia="de-DE" w:bidi="de-DE"/>
              </w:rPr>
            </w:pPr>
            <w:r>
              <w:rPr>
                <w:rFonts w:eastAsia="Calibri"/>
                <w:sz w:val="22"/>
                <w:lang w:eastAsia="de-DE" w:bidi="de-DE"/>
              </w:rPr>
              <w:t>von 109.495,01 EUR bis 128.745</w:t>
            </w:r>
            <w:r w:rsidRPr="00A21F71">
              <w:rPr>
                <w:rFonts w:eastAsia="Calibri"/>
                <w:sz w:val="22"/>
                <w:lang w:eastAsia="de-DE" w:bidi="de-DE"/>
              </w:rPr>
              <w:t>,00 EUR</w:t>
            </w:r>
          </w:p>
          <w:p w14:paraId="55CA691D" w14:textId="77777777" w:rsidR="007A5656" w:rsidRPr="00A21F71" w:rsidRDefault="007A5656" w:rsidP="00212CA2">
            <w:pPr>
              <w:rPr>
                <w:rFonts w:eastAsia="Calibri"/>
                <w:sz w:val="22"/>
                <w:lang w:eastAsia="de-DE" w:bidi="de-DE"/>
              </w:rPr>
            </w:pPr>
            <w:r>
              <w:rPr>
                <w:rFonts w:eastAsia="Calibri"/>
                <w:sz w:val="22"/>
                <w:lang w:eastAsia="de-DE" w:bidi="de-DE"/>
              </w:rPr>
              <w:t>mehr als 128.745</w:t>
            </w:r>
            <w:r w:rsidRPr="00A21F71">
              <w:rPr>
                <w:rFonts w:eastAsia="Calibri"/>
                <w:sz w:val="22"/>
                <w:lang w:eastAsia="de-DE" w:bidi="de-DE"/>
              </w:rPr>
              <w:t>,00 EUR</w:t>
            </w:r>
          </w:p>
        </w:tc>
        <w:tc>
          <w:tcPr>
            <w:tcW w:w="4606" w:type="dxa"/>
          </w:tcPr>
          <w:p w14:paraId="512F73C6"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lastRenderedPageBreak/>
              <w:t>0</w:t>
            </w:r>
          </w:p>
          <w:p w14:paraId="2479558A"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2,68</w:t>
            </w:r>
          </w:p>
          <w:p w14:paraId="5DD3441B"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6,57</w:t>
            </w:r>
          </w:p>
          <w:p w14:paraId="0CE8A9C3"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10,77</w:t>
            </w:r>
          </w:p>
          <w:p w14:paraId="54C54B2C"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13,55</w:t>
            </w:r>
          </w:p>
          <w:p w14:paraId="2FE1ACB4"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16,55</w:t>
            </w:r>
          </w:p>
          <w:p w14:paraId="7FAB476F"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19,17</w:t>
            </w:r>
          </w:p>
          <w:p w14:paraId="68E0698E"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24,92</w:t>
            </w:r>
          </w:p>
          <w:p w14:paraId="043E4CB9"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29,93</w:t>
            </w:r>
          </w:p>
          <w:p w14:paraId="65120A67"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31,30</w:t>
            </w:r>
          </w:p>
          <w:p w14:paraId="00261047"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36,90</w:t>
            </w:r>
          </w:p>
          <w:p w14:paraId="4F4B14C3"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38,96</w:t>
            </w:r>
          </w:p>
          <w:p w14:paraId="0E6853B0"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40,93</w:t>
            </w:r>
          </w:p>
          <w:p w14:paraId="535F3671"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42,92</w:t>
            </w:r>
          </w:p>
          <w:p w14:paraId="06B86D0A"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44,99</w:t>
            </w:r>
          </w:p>
          <w:p w14:paraId="6C3BBFE5"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lastRenderedPageBreak/>
              <w:t>46,47</w:t>
            </w:r>
          </w:p>
          <w:p w14:paraId="4B3D94EC"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47,48</w:t>
            </w:r>
          </w:p>
          <w:p w14:paraId="14870EC2"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48,00</w:t>
            </w:r>
          </w:p>
        </w:tc>
      </w:tr>
    </w:tbl>
    <w:p w14:paraId="73A27E4C" w14:textId="77777777" w:rsidR="007A5656" w:rsidRPr="00A21F71" w:rsidRDefault="007A5656" w:rsidP="007A5656">
      <w:pPr>
        <w:rPr>
          <w:rFonts w:eastAsia="Calibri"/>
          <w:lang w:eastAsia="de-DE" w:bidi="de-DE"/>
        </w:rPr>
      </w:pPr>
    </w:p>
    <w:p w14:paraId="3BD43161" w14:textId="77777777" w:rsidR="007A5656" w:rsidRPr="00A21F71" w:rsidRDefault="007A5656" w:rsidP="007A5656">
      <w:pPr>
        <w:rPr>
          <w:rFonts w:eastAsia="Calibri"/>
          <w:lang w:eastAsia="de-DE" w:bidi="de-DE"/>
        </w:rPr>
      </w:pPr>
      <w:r w:rsidRPr="00A21F71">
        <w:rPr>
          <w:rFonts w:eastAsia="Calibri"/>
          <w:lang w:eastAsia="de-DE" w:bidi="de-DE"/>
        </w:rPr>
        <w:tab/>
        <w:t xml:space="preserve">b) </w:t>
      </w:r>
      <w:r w:rsidRPr="00A21F71">
        <w:rPr>
          <w:rFonts w:eastAsia="Calibri"/>
          <w:u w:val="dotted"/>
          <w:lang w:eastAsia="de-DE" w:bidi="de-DE"/>
        </w:rPr>
        <w:t>Befreiung für Kinder zu Lasten</w:t>
      </w:r>
    </w:p>
    <w:p w14:paraId="5677352C"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6"/>
        <w:gridCol w:w="4538"/>
      </w:tblGrid>
      <w:tr w:rsidR="007A5656" w:rsidRPr="00A21F71" w14:paraId="14D219C8" w14:textId="77777777" w:rsidTr="00212CA2">
        <w:tc>
          <w:tcPr>
            <w:tcW w:w="4498" w:type="dxa"/>
            <w:vAlign w:val="center"/>
          </w:tcPr>
          <w:p w14:paraId="363FB825"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ANZAHL KINDER ZU LASTEN (1)</w:t>
            </w:r>
          </w:p>
        </w:tc>
        <w:tc>
          <w:tcPr>
            <w:tcW w:w="4606" w:type="dxa"/>
            <w:vAlign w:val="center"/>
          </w:tcPr>
          <w:p w14:paraId="45883124"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GRENZBETRAG</w:t>
            </w:r>
          </w:p>
        </w:tc>
      </w:tr>
      <w:tr w:rsidR="007A5656" w:rsidRPr="00811447" w14:paraId="0DB258B1" w14:textId="77777777" w:rsidTr="00212CA2">
        <w:tc>
          <w:tcPr>
            <w:tcW w:w="4498" w:type="dxa"/>
          </w:tcPr>
          <w:p w14:paraId="5B33D01E"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w:t>
            </w:r>
          </w:p>
          <w:p w14:paraId="6DC3ED28"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w:t>
            </w:r>
          </w:p>
          <w:p w14:paraId="106E04B4"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w:t>
            </w:r>
          </w:p>
          <w:p w14:paraId="67B739E4"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w:t>
            </w:r>
          </w:p>
          <w:p w14:paraId="7B34CB1F"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5</w:t>
            </w:r>
          </w:p>
          <w:p w14:paraId="336168A9"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6</w:t>
            </w:r>
          </w:p>
          <w:p w14:paraId="3AF8F3BC"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7</w:t>
            </w:r>
          </w:p>
          <w:p w14:paraId="7BAB530D"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8</w:t>
            </w:r>
          </w:p>
          <w:p w14:paraId="769E1F2B"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9</w:t>
            </w:r>
          </w:p>
          <w:p w14:paraId="2B1EA1CB"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10</w:t>
            </w:r>
          </w:p>
          <w:p w14:paraId="5131B53F"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11</w:t>
            </w:r>
          </w:p>
          <w:p w14:paraId="7B031D2E"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12</w:t>
            </w:r>
          </w:p>
        </w:tc>
        <w:tc>
          <w:tcPr>
            <w:tcW w:w="4606" w:type="dxa"/>
          </w:tcPr>
          <w:p w14:paraId="4183721C" w14:textId="77777777" w:rsidR="007A5656" w:rsidRPr="00401647" w:rsidRDefault="007A5656" w:rsidP="00212CA2">
            <w:pPr>
              <w:jc w:val="center"/>
              <w:rPr>
                <w:rFonts w:eastAsia="Calibri"/>
                <w:sz w:val="22"/>
                <w:lang w:val="fr-BE" w:eastAsia="de-DE" w:bidi="de-DE"/>
              </w:rPr>
            </w:pPr>
            <w:r w:rsidRPr="00401647">
              <w:rPr>
                <w:rFonts w:eastAsia="Calibri"/>
                <w:sz w:val="22"/>
                <w:lang w:val="fr-BE" w:eastAsia="de-DE" w:bidi="de-DE"/>
              </w:rPr>
              <w:t>10.</w:t>
            </w:r>
            <w:r>
              <w:rPr>
                <w:rFonts w:eastAsia="Calibri"/>
                <w:sz w:val="22"/>
                <w:lang w:val="fr-BE" w:eastAsia="de-DE" w:bidi="de-DE"/>
              </w:rPr>
              <w:t>537</w:t>
            </w:r>
            <w:r w:rsidRPr="00401647">
              <w:rPr>
                <w:rFonts w:eastAsia="Calibri"/>
                <w:sz w:val="22"/>
                <w:lang w:val="fr-BE" w:eastAsia="de-DE" w:bidi="de-DE"/>
              </w:rPr>
              <w:t>,00 EUR</w:t>
            </w:r>
          </w:p>
          <w:p w14:paraId="6ABD7483" w14:textId="77777777" w:rsidR="007A5656" w:rsidRPr="00401647" w:rsidRDefault="007A5656" w:rsidP="00212CA2">
            <w:pPr>
              <w:jc w:val="center"/>
              <w:rPr>
                <w:rFonts w:eastAsia="Calibri"/>
                <w:sz w:val="22"/>
                <w:lang w:val="fr-BE" w:eastAsia="de-DE" w:bidi="de-DE"/>
              </w:rPr>
            </w:pPr>
            <w:r w:rsidRPr="00401647">
              <w:rPr>
                <w:rFonts w:eastAsia="Calibri"/>
                <w:sz w:val="22"/>
                <w:lang w:val="fr-BE" w:eastAsia="de-DE" w:bidi="de-DE"/>
              </w:rPr>
              <w:t>1</w:t>
            </w:r>
            <w:r>
              <w:rPr>
                <w:rFonts w:eastAsia="Calibri"/>
                <w:sz w:val="22"/>
                <w:lang w:val="fr-BE" w:eastAsia="de-DE" w:bidi="de-DE"/>
              </w:rPr>
              <w:t>3</w:t>
            </w:r>
            <w:r w:rsidRPr="00401647">
              <w:rPr>
                <w:rFonts w:eastAsia="Calibri"/>
                <w:sz w:val="22"/>
                <w:lang w:val="fr-BE" w:eastAsia="de-DE" w:bidi="de-DE"/>
              </w:rPr>
              <w:t>.</w:t>
            </w:r>
            <w:r>
              <w:rPr>
                <w:rFonts w:eastAsia="Calibri"/>
                <w:sz w:val="22"/>
                <w:lang w:val="fr-BE" w:eastAsia="de-DE" w:bidi="de-DE"/>
              </w:rPr>
              <w:t>268</w:t>
            </w:r>
            <w:r w:rsidRPr="00401647">
              <w:rPr>
                <w:rFonts w:eastAsia="Calibri"/>
                <w:sz w:val="22"/>
                <w:lang w:val="fr-BE" w:eastAsia="de-DE" w:bidi="de-DE"/>
              </w:rPr>
              <w:t>,00 EUR</w:t>
            </w:r>
          </w:p>
          <w:p w14:paraId="012BA55A" w14:textId="77777777" w:rsidR="007A5656" w:rsidRPr="00401647" w:rsidRDefault="007A5656" w:rsidP="00212CA2">
            <w:pPr>
              <w:jc w:val="center"/>
              <w:rPr>
                <w:rFonts w:eastAsia="Calibri"/>
                <w:sz w:val="22"/>
                <w:lang w:val="fr-BE" w:eastAsia="de-DE" w:bidi="de-DE"/>
              </w:rPr>
            </w:pPr>
            <w:r w:rsidRPr="00401647">
              <w:rPr>
                <w:rFonts w:eastAsia="Calibri"/>
                <w:sz w:val="22"/>
                <w:lang w:val="fr-BE" w:eastAsia="de-DE" w:bidi="de-DE"/>
              </w:rPr>
              <w:t>18.</w:t>
            </w:r>
            <w:r>
              <w:rPr>
                <w:rFonts w:eastAsia="Calibri"/>
                <w:sz w:val="22"/>
                <w:lang w:val="fr-BE" w:eastAsia="de-DE" w:bidi="de-DE"/>
              </w:rPr>
              <w:t>818</w:t>
            </w:r>
            <w:r w:rsidRPr="00401647">
              <w:rPr>
                <w:rFonts w:eastAsia="Calibri"/>
                <w:sz w:val="22"/>
                <w:lang w:val="fr-BE" w:eastAsia="de-DE" w:bidi="de-DE"/>
              </w:rPr>
              <w:t>,00 EUR</w:t>
            </w:r>
          </w:p>
          <w:p w14:paraId="0273266C" w14:textId="77777777" w:rsidR="007A5656" w:rsidRPr="00401647" w:rsidRDefault="007A5656" w:rsidP="00212CA2">
            <w:pPr>
              <w:jc w:val="center"/>
              <w:rPr>
                <w:rFonts w:eastAsia="Calibri"/>
                <w:sz w:val="22"/>
                <w:lang w:val="fr-BE" w:eastAsia="de-DE" w:bidi="de-DE"/>
              </w:rPr>
            </w:pPr>
            <w:r w:rsidRPr="00401647">
              <w:rPr>
                <w:rFonts w:eastAsia="Calibri"/>
                <w:sz w:val="22"/>
                <w:lang w:val="fr-BE" w:eastAsia="de-DE" w:bidi="de-DE"/>
              </w:rPr>
              <w:t>24.</w:t>
            </w:r>
            <w:r>
              <w:rPr>
                <w:rFonts w:eastAsia="Calibri"/>
                <w:sz w:val="22"/>
                <w:lang w:val="fr-BE" w:eastAsia="de-DE" w:bidi="de-DE"/>
              </w:rPr>
              <w:t>626</w:t>
            </w:r>
            <w:r w:rsidRPr="00401647">
              <w:rPr>
                <w:rFonts w:eastAsia="Calibri"/>
                <w:sz w:val="22"/>
                <w:lang w:val="fr-BE" w:eastAsia="de-DE" w:bidi="de-DE"/>
              </w:rPr>
              <w:t>,00 EUR</w:t>
            </w:r>
          </w:p>
          <w:p w14:paraId="16959D9C" w14:textId="77777777" w:rsidR="007A5656" w:rsidRPr="00401647" w:rsidRDefault="007A5656" w:rsidP="00212CA2">
            <w:pPr>
              <w:jc w:val="center"/>
              <w:rPr>
                <w:rFonts w:eastAsia="Calibri"/>
                <w:sz w:val="22"/>
                <w:lang w:val="fr-BE" w:eastAsia="de-DE" w:bidi="de-DE"/>
              </w:rPr>
            </w:pPr>
            <w:r>
              <w:rPr>
                <w:rFonts w:eastAsia="Calibri"/>
                <w:sz w:val="22"/>
                <w:lang w:val="fr-BE" w:eastAsia="de-DE" w:bidi="de-DE"/>
              </w:rPr>
              <w:t>30</w:t>
            </w:r>
            <w:r w:rsidRPr="00401647">
              <w:rPr>
                <w:rFonts w:eastAsia="Calibri"/>
                <w:sz w:val="22"/>
                <w:lang w:val="fr-BE" w:eastAsia="de-DE" w:bidi="de-DE"/>
              </w:rPr>
              <w:t>.</w:t>
            </w:r>
            <w:r>
              <w:rPr>
                <w:rFonts w:eastAsia="Calibri"/>
                <w:sz w:val="22"/>
                <w:lang w:val="fr-BE" w:eastAsia="de-DE" w:bidi="de-DE"/>
              </w:rPr>
              <w:t>306</w:t>
            </w:r>
            <w:r w:rsidRPr="00401647">
              <w:rPr>
                <w:rFonts w:eastAsia="Calibri"/>
                <w:sz w:val="22"/>
                <w:lang w:val="fr-BE" w:eastAsia="de-DE" w:bidi="de-DE"/>
              </w:rPr>
              <w:t>,00 EUR</w:t>
            </w:r>
          </w:p>
          <w:p w14:paraId="04CC1445" w14:textId="77777777" w:rsidR="007A5656" w:rsidRPr="00401647" w:rsidRDefault="007A5656" w:rsidP="00212CA2">
            <w:pPr>
              <w:jc w:val="center"/>
              <w:rPr>
                <w:rFonts w:eastAsia="Calibri"/>
                <w:sz w:val="22"/>
                <w:lang w:val="fr-BE" w:eastAsia="de-DE" w:bidi="de-DE"/>
              </w:rPr>
            </w:pPr>
            <w:r w:rsidRPr="00401647">
              <w:rPr>
                <w:rFonts w:eastAsia="Calibri"/>
                <w:sz w:val="22"/>
                <w:lang w:val="fr-BE" w:eastAsia="de-DE" w:bidi="de-DE"/>
              </w:rPr>
              <w:t>35.</w:t>
            </w:r>
            <w:r>
              <w:rPr>
                <w:rFonts w:eastAsia="Calibri"/>
                <w:sz w:val="22"/>
                <w:lang w:val="fr-BE" w:eastAsia="de-DE" w:bidi="de-DE"/>
              </w:rPr>
              <w:t>96</w:t>
            </w:r>
            <w:r w:rsidRPr="00401647">
              <w:rPr>
                <w:rFonts w:eastAsia="Calibri"/>
                <w:sz w:val="22"/>
                <w:lang w:val="fr-BE" w:eastAsia="de-DE" w:bidi="de-DE"/>
              </w:rPr>
              <w:t>0,00 EUR</w:t>
            </w:r>
          </w:p>
          <w:p w14:paraId="243254CD" w14:textId="77777777" w:rsidR="007A5656" w:rsidRPr="00401647" w:rsidRDefault="007A5656" w:rsidP="00212CA2">
            <w:pPr>
              <w:jc w:val="center"/>
              <w:rPr>
                <w:rFonts w:eastAsia="Calibri"/>
                <w:sz w:val="22"/>
                <w:lang w:val="fr-BE" w:eastAsia="de-DE" w:bidi="de-DE"/>
              </w:rPr>
            </w:pPr>
            <w:r w:rsidRPr="00401647">
              <w:rPr>
                <w:rFonts w:eastAsia="Calibri"/>
                <w:sz w:val="22"/>
                <w:lang w:val="fr-BE" w:eastAsia="de-DE" w:bidi="de-DE"/>
              </w:rPr>
              <w:t>4</w:t>
            </w:r>
            <w:r>
              <w:rPr>
                <w:rFonts w:eastAsia="Calibri"/>
                <w:sz w:val="22"/>
                <w:lang w:val="fr-BE" w:eastAsia="de-DE" w:bidi="de-DE"/>
              </w:rPr>
              <w:t>1</w:t>
            </w:r>
            <w:r w:rsidRPr="00401647">
              <w:rPr>
                <w:rFonts w:eastAsia="Calibri"/>
                <w:sz w:val="22"/>
                <w:lang w:val="fr-BE" w:eastAsia="de-DE" w:bidi="de-DE"/>
              </w:rPr>
              <w:t>.4</w:t>
            </w:r>
            <w:r>
              <w:rPr>
                <w:rFonts w:eastAsia="Calibri"/>
                <w:sz w:val="22"/>
                <w:lang w:val="fr-BE" w:eastAsia="de-DE" w:bidi="de-DE"/>
              </w:rPr>
              <w:t>7</w:t>
            </w:r>
            <w:r w:rsidRPr="00401647">
              <w:rPr>
                <w:rFonts w:eastAsia="Calibri"/>
                <w:sz w:val="22"/>
                <w:lang w:val="fr-BE" w:eastAsia="de-DE" w:bidi="de-DE"/>
              </w:rPr>
              <w:t>0,00 EUR</w:t>
            </w:r>
          </w:p>
          <w:p w14:paraId="39EC015F" w14:textId="77777777" w:rsidR="007A5656" w:rsidRPr="00401647" w:rsidRDefault="007A5656" w:rsidP="00212CA2">
            <w:pPr>
              <w:jc w:val="center"/>
              <w:rPr>
                <w:rFonts w:eastAsia="Calibri"/>
                <w:sz w:val="22"/>
                <w:lang w:val="fr-BE" w:eastAsia="de-DE" w:bidi="de-DE"/>
              </w:rPr>
            </w:pPr>
            <w:r w:rsidRPr="00401647">
              <w:rPr>
                <w:rFonts w:eastAsia="Calibri"/>
                <w:sz w:val="22"/>
                <w:lang w:val="fr-BE" w:eastAsia="de-DE" w:bidi="de-DE"/>
              </w:rPr>
              <w:t>46.</w:t>
            </w:r>
            <w:r>
              <w:rPr>
                <w:rFonts w:eastAsia="Calibri"/>
                <w:sz w:val="22"/>
                <w:lang w:val="fr-BE" w:eastAsia="de-DE" w:bidi="de-DE"/>
              </w:rPr>
              <w:t>98</w:t>
            </w:r>
            <w:r w:rsidRPr="00401647">
              <w:rPr>
                <w:rFonts w:eastAsia="Calibri"/>
                <w:sz w:val="22"/>
                <w:lang w:val="fr-BE" w:eastAsia="de-DE" w:bidi="de-DE"/>
              </w:rPr>
              <w:t>0,00 EUR</w:t>
            </w:r>
          </w:p>
          <w:p w14:paraId="2DFD60E2" w14:textId="77777777" w:rsidR="007A5656" w:rsidRPr="00401647" w:rsidRDefault="007A5656" w:rsidP="00212CA2">
            <w:pPr>
              <w:jc w:val="center"/>
              <w:rPr>
                <w:rFonts w:eastAsia="Calibri"/>
                <w:sz w:val="22"/>
                <w:lang w:val="fr-BE" w:eastAsia="de-DE" w:bidi="de-DE"/>
              </w:rPr>
            </w:pPr>
            <w:r w:rsidRPr="00401647">
              <w:rPr>
                <w:rFonts w:eastAsia="Calibri"/>
                <w:sz w:val="22"/>
                <w:lang w:val="fr-BE" w:eastAsia="de-DE" w:bidi="de-DE"/>
              </w:rPr>
              <w:t>5</w:t>
            </w:r>
            <w:r>
              <w:rPr>
                <w:rFonts w:eastAsia="Calibri"/>
                <w:sz w:val="22"/>
                <w:lang w:val="fr-BE" w:eastAsia="de-DE" w:bidi="de-DE"/>
              </w:rPr>
              <w:t>2</w:t>
            </w:r>
            <w:r w:rsidRPr="00401647">
              <w:rPr>
                <w:rFonts w:eastAsia="Calibri"/>
                <w:sz w:val="22"/>
                <w:lang w:val="fr-BE" w:eastAsia="de-DE" w:bidi="de-DE"/>
              </w:rPr>
              <w:t>.4</w:t>
            </w:r>
            <w:r>
              <w:rPr>
                <w:rFonts w:eastAsia="Calibri"/>
                <w:sz w:val="22"/>
                <w:lang w:val="fr-BE" w:eastAsia="de-DE" w:bidi="de-DE"/>
              </w:rPr>
              <w:t>9</w:t>
            </w:r>
            <w:r w:rsidRPr="00401647">
              <w:rPr>
                <w:rFonts w:eastAsia="Calibri"/>
                <w:sz w:val="22"/>
                <w:lang w:val="fr-BE" w:eastAsia="de-DE" w:bidi="de-DE"/>
              </w:rPr>
              <w:t>0,00 EUR</w:t>
            </w:r>
          </w:p>
          <w:p w14:paraId="6C7A8548" w14:textId="77777777" w:rsidR="007A5656" w:rsidRPr="00401647" w:rsidRDefault="007A5656" w:rsidP="00212CA2">
            <w:pPr>
              <w:jc w:val="center"/>
              <w:rPr>
                <w:rFonts w:eastAsia="Calibri"/>
                <w:sz w:val="22"/>
                <w:lang w:val="fr-BE" w:eastAsia="de-DE" w:bidi="de-DE"/>
              </w:rPr>
            </w:pPr>
            <w:r w:rsidRPr="00401647">
              <w:rPr>
                <w:rFonts w:eastAsia="Calibri"/>
                <w:sz w:val="22"/>
                <w:lang w:val="fr-BE" w:eastAsia="de-DE" w:bidi="de-DE"/>
              </w:rPr>
              <w:t>5</w:t>
            </w:r>
            <w:r>
              <w:rPr>
                <w:rFonts w:eastAsia="Calibri"/>
                <w:sz w:val="22"/>
                <w:lang w:val="fr-BE" w:eastAsia="de-DE" w:bidi="de-DE"/>
              </w:rPr>
              <w:t>8</w:t>
            </w:r>
            <w:r w:rsidRPr="00401647">
              <w:rPr>
                <w:rFonts w:eastAsia="Calibri"/>
                <w:sz w:val="22"/>
                <w:lang w:val="fr-BE" w:eastAsia="de-DE" w:bidi="de-DE"/>
              </w:rPr>
              <w:t>.</w:t>
            </w:r>
            <w:r>
              <w:rPr>
                <w:rFonts w:eastAsia="Calibri"/>
                <w:sz w:val="22"/>
                <w:lang w:val="fr-BE" w:eastAsia="de-DE" w:bidi="de-DE"/>
              </w:rPr>
              <w:t>00</w:t>
            </w:r>
            <w:r w:rsidRPr="00401647">
              <w:rPr>
                <w:rFonts w:eastAsia="Calibri"/>
                <w:sz w:val="22"/>
                <w:lang w:val="fr-BE" w:eastAsia="de-DE" w:bidi="de-DE"/>
              </w:rPr>
              <w:t>0,00 EUR</w:t>
            </w:r>
          </w:p>
          <w:p w14:paraId="33580A6D" w14:textId="77777777" w:rsidR="007A5656" w:rsidRPr="00401647" w:rsidRDefault="007A5656" w:rsidP="00212CA2">
            <w:pPr>
              <w:jc w:val="center"/>
              <w:rPr>
                <w:rFonts w:eastAsia="Calibri"/>
                <w:sz w:val="22"/>
                <w:lang w:val="fr-BE" w:eastAsia="de-DE" w:bidi="de-DE"/>
              </w:rPr>
            </w:pPr>
            <w:r w:rsidRPr="00401647">
              <w:rPr>
                <w:rFonts w:eastAsia="Calibri"/>
                <w:sz w:val="22"/>
                <w:lang w:val="fr-BE" w:eastAsia="de-DE" w:bidi="de-DE"/>
              </w:rPr>
              <w:t>6</w:t>
            </w:r>
            <w:r>
              <w:rPr>
                <w:rFonts w:eastAsia="Calibri"/>
                <w:sz w:val="22"/>
                <w:lang w:val="fr-BE" w:eastAsia="de-DE" w:bidi="de-DE"/>
              </w:rPr>
              <w:t>3</w:t>
            </w:r>
            <w:r w:rsidRPr="00401647">
              <w:rPr>
                <w:rFonts w:eastAsia="Calibri"/>
                <w:sz w:val="22"/>
                <w:lang w:val="fr-BE" w:eastAsia="de-DE" w:bidi="de-DE"/>
              </w:rPr>
              <w:t>.</w:t>
            </w:r>
            <w:r>
              <w:rPr>
                <w:rFonts w:eastAsia="Calibri"/>
                <w:sz w:val="22"/>
                <w:lang w:val="fr-BE" w:eastAsia="de-DE" w:bidi="de-DE"/>
              </w:rPr>
              <w:t>51</w:t>
            </w:r>
            <w:r w:rsidRPr="00401647">
              <w:rPr>
                <w:rFonts w:eastAsia="Calibri"/>
                <w:sz w:val="22"/>
                <w:lang w:val="fr-BE" w:eastAsia="de-DE" w:bidi="de-DE"/>
              </w:rPr>
              <w:t>0,00 EUR</w:t>
            </w:r>
          </w:p>
          <w:p w14:paraId="5394C765" w14:textId="77777777" w:rsidR="007A5656" w:rsidRPr="00401647" w:rsidRDefault="007A5656" w:rsidP="00212CA2">
            <w:pPr>
              <w:jc w:val="center"/>
              <w:rPr>
                <w:rFonts w:eastAsia="Calibri"/>
                <w:sz w:val="22"/>
                <w:lang w:val="fr-BE" w:eastAsia="de-DE" w:bidi="de-DE"/>
              </w:rPr>
            </w:pPr>
            <w:r w:rsidRPr="00401647">
              <w:rPr>
                <w:rFonts w:eastAsia="Calibri"/>
                <w:sz w:val="22"/>
                <w:lang w:val="fr-BE" w:eastAsia="de-DE" w:bidi="de-DE"/>
              </w:rPr>
              <w:t>6</w:t>
            </w:r>
            <w:r>
              <w:rPr>
                <w:rFonts w:eastAsia="Calibri"/>
                <w:sz w:val="22"/>
                <w:lang w:val="fr-BE" w:eastAsia="de-DE" w:bidi="de-DE"/>
              </w:rPr>
              <w:t>9</w:t>
            </w:r>
            <w:r w:rsidRPr="00401647">
              <w:rPr>
                <w:rFonts w:eastAsia="Calibri"/>
                <w:sz w:val="22"/>
                <w:lang w:val="fr-BE" w:eastAsia="de-DE" w:bidi="de-DE"/>
              </w:rPr>
              <w:t>.0</w:t>
            </w:r>
            <w:r>
              <w:rPr>
                <w:rFonts w:eastAsia="Calibri"/>
                <w:sz w:val="22"/>
                <w:lang w:val="fr-BE" w:eastAsia="de-DE" w:bidi="de-DE"/>
              </w:rPr>
              <w:t>20</w:t>
            </w:r>
            <w:r w:rsidRPr="00401647">
              <w:rPr>
                <w:rFonts w:eastAsia="Calibri"/>
                <w:sz w:val="22"/>
                <w:lang w:val="fr-BE" w:eastAsia="de-DE" w:bidi="de-DE"/>
              </w:rPr>
              <w:t>,00 EUR</w:t>
            </w:r>
          </w:p>
        </w:tc>
      </w:tr>
      <w:tr w:rsidR="007A5656" w:rsidRPr="00A21F71" w14:paraId="6112D79E" w14:textId="77777777" w:rsidTr="00212CA2">
        <w:tc>
          <w:tcPr>
            <w:tcW w:w="9104" w:type="dxa"/>
            <w:gridSpan w:val="2"/>
          </w:tcPr>
          <w:p w14:paraId="0E014077" w14:textId="77777777" w:rsidR="007A5656" w:rsidRPr="00A21F71" w:rsidRDefault="007A5656" w:rsidP="00212CA2">
            <w:pPr>
              <w:rPr>
                <w:rFonts w:eastAsia="Calibri"/>
                <w:sz w:val="22"/>
                <w:lang w:eastAsia="de-DE" w:bidi="de-DE"/>
              </w:rPr>
            </w:pPr>
            <w:r w:rsidRPr="00A21F71">
              <w:rPr>
                <w:rFonts w:eastAsia="Calibri"/>
                <w:sz w:val="22"/>
                <w:lang w:eastAsia="de-DE" w:bidi="de-DE"/>
              </w:rPr>
              <w:t>(1) Ein behindertes Kind zu Lasten wird doppelt gezählt.</w:t>
            </w:r>
          </w:p>
        </w:tc>
      </w:tr>
    </w:tbl>
    <w:p w14:paraId="2AE69FB1" w14:textId="77777777" w:rsidR="007A5656" w:rsidRPr="00A21F71" w:rsidRDefault="007A5656" w:rsidP="007A5656">
      <w:pPr>
        <w:rPr>
          <w:rFonts w:eastAsia="Calibri"/>
          <w:lang w:eastAsia="de-DE" w:bidi="de-DE"/>
        </w:rPr>
      </w:pPr>
    </w:p>
    <w:p w14:paraId="6C89143A" w14:textId="77777777" w:rsidR="007A5656" w:rsidRPr="00A21F71" w:rsidRDefault="007A5656" w:rsidP="007A5656">
      <w:pPr>
        <w:jc w:val="both"/>
        <w:rPr>
          <w:rFonts w:eastAsia="Calibri"/>
          <w:lang w:eastAsia="de-DE" w:bidi="de-DE"/>
        </w:rPr>
      </w:pPr>
      <w:r w:rsidRPr="00A21F71">
        <w:rPr>
          <w:rFonts w:eastAsia="Calibri"/>
          <w:lang w:eastAsia="de-DE" w:bidi="de-DE"/>
        </w:rPr>
        <w:tab/>
        <w:t>B. In Abweichung von Punkt A wird kein Berufssteuervorabzug geschuldet, wenn ein Zwölftel des Betrags der Referenzentlohnung gemäß den auf monatlich gezahlte Entlohnungen anwendbaren Regeln, die in Nr. 2.2 (Tabelle I) oder Nr. 2.3 (Tabelle II) vorgesehen sind, keinem Berufssteuervorabzug unterliegt.</w:t>
      </w:r>
    </w:p>
    <w:p w14:paraId="61D9E77C" w14:textId="77777777" w:rsidR="007A5656" w:rsidRPr="00A21F71" w:rsidRDefault="007A5656" w:rsidP="007A5656">
      <w:pPr>
        <w:jc w:val="both"/>
        <w:rPr>
          <w:rFonts w:eastAsia="Calibri"/>
          <w:lang w:eastAsia="de-DE" w:bidi="de-DE"/>
        </w:rPr>
      </w:pPr>
    </w:p>
    <w:p w14:paraId="7F9267F8" w14:textId="77777777" w:rsidR="007A5656" w:rsidRPr="00A21F71" w:rsidRDefault="007A5656" w:rsidP="007A5656">
      <w:pPr>
        <w:jc w:val="both"/>
        <w:rPr>
          <w:rFonts w:eastAsia="Calibri"/>
          <w:lang w:eastAsia="de-DE" w:bidi="de-DE"/>
        </w:rPr>
      </w:pPr>
      <w:r w:rsidRPr="00A21F71">
        <w:rPr>
          <w:rFonts w:eastAsia="Calibri"/>
          <w:lang w:eastAsia="de-DE" w:bidi="de-DE"/>
        </w:rPr>
        <w:tab/>
        <w:t>2.11 A) Entlassungsentschädigungen</w:t>
      </w:r>
    </w:p>
    <w:p w14:paraId="2EAB92D3" w14:textId="77777777" w:rsidR="007A5656" w:rsidRPr="00A21F71" w:rsidRDefault="007A5656" w:rsidP="007A5656">
      <w:pPr>
        <w:jc w:val="both"/>
        <w:rPr>
          <w:rFonts w:eastAsia="Calibri"/>
          <w:lang w:eastAsia="de-DE" w:bidi="de-DE"/>
        </w:rPr>
      </w:pPr>
    </w:p>
    <w:p w14:paraId="072C7AB4" w14:textId="77777777" w:rsidR="007A5656" w:rsidRPr="00A21F71" w:rsidRDefault="007A5656" w:rsidP="007A5656">
      <w:pPr>
        <w:jc w:val="both"/>
        <w:rPr>
          <w:rFonts w:eastAsia="Calibri"/>
          <w:lang w:eastAsia="de-DE" w:bidi="de-DE"/>
        </w:rPr>
      </w:pPr>
      <w:r w:rsidRPr="00A21F71">
        <w:rPr>
          <w:rFonts w:eastAsia="Calibri"/>
          <w:lang w:eastAsia="de-DE" w:bidi="de-DE"/>
        </w:rPr>
        <w:tab/>
        <w:t>Der Berufssteuervorabzug wird gemäß den in Nr. 2.10 Punkt A vorgesehenen Regeln festgelegt mit der Maßgabe, dass die Referenzentlohnung, die bei der Festlegung des Satzes des Berufssteuervorabzugs zu berücksichtigen ist, die Entlohnung ist, die als Grundlage für die Festlegung der Entschädigung gedient hat, oder in deren Ermangelung die Entlohnung ist, die der Empfänger während des letzten Zeitraums normaler Tätigkeit im Dienst des Arbeitgebers, der die Entschädigung zahlt, bezogen hat.</w:t>
      </w:r>
    </w:p>
    <w:p w14:paraId="506BFAE5" w14:textId="77777777" w:rsidR="007A5656" w:rsidRPr="00A21F71" w:rsidRDefault="007A5656" w:rsidP="007A5656">
      <w:pPr>
        <w:jc w:val="both"/>
        <w:rPr>
          <w:rFonts w:eastAsia="Calibri"/>
          <w:lang w:eastAsia="de-DE" w:bidi="de-DE"/>
        </w:rPr>
      </w:pPr>
    </w:p>
    <w:p w14:paraId="5985032C" w14:textId="77777777" w:rsidR="007A5656" w:rsidRPr="00A21F71" w:rsidRDefault="007A5656" w:rsidP="007A5656">
      <w:pPr>
        <w:jc w:val="both"/>
        <w:rPr>
          <w:rFonts w:eastAsia="Calibri"/>
          <w:lang w:eastAsia="de-DE" w:bidi="de-DE"/>
        </w:rPr>
      </w:pPr>
      <w:r w:rsidRPr="00A21F71">
        <w:rPr>
          <w:rFonts w:eastAsia="Calibri"/>
          <w:lang w:eastAsia="de-DE" w:bidi="de-DE"/>
        </w:rPr>
        <w:tab/>
        <w:t>In Abweichung von Vorhergehendem entspricht die Referenzentlohnung der normalen Bruttoentlohnung des letzten Jahres normaler Tätigkeit vor dem Jahr der Zahlung der Entlassungsentschädigungen, insofern der Empfänger diese nachweist.</w:t>
      </w:r>
    </w:p>
    <w:p w14:paraId="5ED7A2F9" w14:textId="77777777" w:rsidR="007A5656" w:rsidRPr="00A21F71" w:rsidRDefault="007A5656" w:rsidP="007A5656">
      <w:pPr>
        <w:jc w:val="both"/>
        <w:rPr>
          <w:rFonts w:eastAsia="Calibri"/>
          <w:lang w:eastAsia="de-DE" w:bidi="de-DE"/>
        </w:rPr>
      </w:pPr>
    </w:p>
    <w:p w14:paraId="11940B31" w14:textId="77777777" w:rsidR="007A5656" w:rsidRPr="00A21F71" w:rsidRDefault="007A5656" w:rsidP="007A5656">
      <w:pPr>
        <w:jc w:val="both"/>
        <w:rPr>
          <w:rFonts w:eastAsia="Calibri"/>
          <w:lang w:eastAsia="de-DE" w:bidi="de-DE"/>
        </w:rPr>
      </w:pPr>
      <w:r w:rsidRPr="00A21F71">
        <w:rPr>
          <w:rFonts w:eastAsia="Calibri"/>
          <w:lang w:eastAsia="de-DE" w:bidi="de-DE"/>
        </w:rPr>
        <w:tab/>
        <w:t>B) Wiederbeschäftigungsentschädigungen</w:t>
      </w:r>
    </w:p>
    <w:p w14:paraId="777E1D61" w14:textId="77777777" w:rsidR="007A5656" w:rsidRPr="00A21F71" w:rsidRDefault="007A5656" w:rsidP="007A5656">
      <w:pPr>
        <w:jc w:val="both"/>
        <w:rPr>
          <w:rFonts w:eastAsia="Calibri"/>
          <w:lang w:eastAsia="de-DE" w:bidi="de-DE"/>
        </w:rPr>
      </w:pPr>
    </w:p>
    <w:p w14:paraId="3C3A167D" w14:textId="77777777" w:rsidR="007A5656" w:rsidRPr="00A21F71" w:rsidRDefault="007A5656" w:rsidP="007A5656">
      <w:pPr>
        <w:jc w:val="both"/>
        <w:rPr>
          <w:rFonts w:eastAsia="Calibri"/>
          <w:lang w:eastAsia="de-DE" w:bidi="de-DE"/>
        </w:rPr>
      </w:pPr>
      <w:r w:rsidRPr="00A21F71">
        <w:rPr>
          <w:rFonts w:eastAsia="Calibri"/>
          <w:lang w:eastAsia="de-DE" w:bidi="de-DE"/>
        </w:rPr>
        <w:tab/>
        <w:t>Der Berufssteuervorabzug auf die in Titel IV Kapitel 5 Abschnitt 3 des Gesetzes vom 23. Dezember 2005 über den Solidaritätspakt zwischen den Generationen erwähnten Wiederbeschäftigungsentschädigungen wird gemäß den in Nr. 2.10 Punkt A vorgesehenen Regeln festgelegt mit der Maßgabe, dass die Referenzentlohnung, die bei der Festlegung des Satzes des Berufssteuervorabzugs zu berücksichtigen ist, die Entlohnung ist, die als Grundlage für die Festlegung der Entschädigung gedient hat, oder in deren Ermangelung die Entlohnung ist, die der Empfänger während des letzten Zeitraums normaler Tätigkeit im Dienst des Arbeitgebers, der die Entschädigung zahlt, bezogen hat.</w:t>
      </w:r>
    </w:p>
    <w:p w14:paraId="1B7D83D1"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3936AA90"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In Abweichung von Vorhergehendem entspricht die Referenzentlohnung der normalen Bruttoentlohnung des letzten Jahres normaler Tätigkeit vor dem Jahr der Zahlung der Wiederbeschäftigungsentschädigungen, insofern der Empfänger diese nachweist.</w:t>
      </w:r>
    </w:p>
    <w:p w14:paraId="013A34A7" w14:textId="77777777" w:rsidR="007A5656" w:rsidRPr="00A21F71" w:rsidRDefault="007A5656" w:rsidP="007A5656">
      <w:pPr>
        <w:jc w:val="both"/>
        <w:rPr>
          <w:rFonts w:eastAsia="Calibri"/>
          <w:lang w:eastAsia="de-DE" w:bidi="de-DE"/>
        </w:rPr>
      </w:pPr>
    </w:p>
    <w:p w14:paraId="31029215" w14:textId="77777777" w:rsidR="007A5656" w:rsidRPr="00A21F71" w:rsidRDefault="007A5656" w:rsidP="007A5656">
      <w:pPr>
        <w:jc w:val="both"/>
        <w:rPr>
          <w:rFonts w:eastAsia="Calibri"/>
          <w:lang w:eastAsia="de-DE" w:bidi="de-DE"/>
        </w:rPr>
      </w:pPr>
      <w:r w:rsidRPr="00A21F71">
        <w:rPr>
          <w:rFonts w:eastAsia="Calibri"/>
          <w:lang w:eastAsia="de-DE" w:bidi="de-DE"/>
        </w:rPr>
        <w:tab/>
        <w:t>2.12 Entschädigung für einen zeitweiligen Lohn-, Gewinn- oder Profitausfall</w:t>
      </w:r>
    </w:p>
    <w:p w14:paraId="4AAAF7F0" w14:textId="77777777" w:rsidR="007A5656" w:rsidRPr="00A21F71" w:rsidRDefault="007A5656" w:rsidP="007A5656">
      <w:pPr>
        <w:jc w:val="both"/>
        <w:rPr>
          <w:rFonts w:eastAsia="Calibri"/>
          <w:lang w:eastAsia="de-DE" w:bidi="de-DE"/>
        </w:rPr>
      </w:pPr>
    </w:p>
    <w:p w14:paraId="1BF67C08" w14:textId="77777777" w:rsidR="007A5656" w:rsidRPr="00A21F71" w:rsidRDefault="007A5656" w:rsidP="007A5656">
      <w:pPr>
        <w:jc w:val="both"/>
        <w:rPr>
          <w:rFonts w:eastAsia="Calibri"/>
          <w:lang w:eastAsia="de-DE" w:bidi="de-DE"/>
        </w:rPr>
      </w:pPr>
      <w:r w:rsidRPr="00A21F71">
        <w:rPr>
          <w:rFonts w:eastAsia="Calibri"/>
          <w:lang w:eastAsia="de-DE" w:bidi="de-DE"/>
        </w:rPr>
        <w:tab/>
        <w:t>A. Gesetzliche oder außergesetzliche Entschädigungen, die gezahlt oder zuerkannt werden als Entschädigung für einen zeitweiligen Lohnausfall, zum Beispiel infolge eines Unfalls, einer Krankheit, einer Invalidität oder anderer ähnlicher Ereignisse, unterliegen dem Berufssteuervorabzug unter Berücksichtigung folgender Unterscheidung:</w:t>
      </w:r>
    </w:p>
    <w:p w14:paraId="5A0105CA" w14:textId="77777777" w:rsidR="007A5656" w:rsidRPr="00A21F71" w:rsidRDefault="007A5656" w:rsidP="007A5656">
      <w:pPr>
        <w:jc w:val="both"/>
        <w:rPr>
          <w:rFonts w:eastAsia="Calibri"/>
          <w:lang w:eastAsia="de-DE" w:bidi="de-DE"/>
        </w:rPr>
      </w:pPr>
    </w:p>
    <w:p w14:paraId="7447E9C6" w14:textId="77777777" w:rsidR="007A5656" w:rsidRPr="00A21F71" w:rsidRDefault="007A5656" w:rsidP="007A5656">
      <w:pPr>
        <w:jc w:val="both"/>
        <w:rPr>
          <w:rFonts w:eastAsia="Calibri"/>
          <w:lang w:eastAsia="de-DE" w:bidi="de-DE"/>
        </w:rPr>
      </w:pPr>
      <w:r w:rsidRPr="00A21F71">
        <w:rPr>
          <w:rFonts w:eastAsia="Calibri"/>
          <w:lang w:eastAsia="de-DE" w:bidi="de-DE"/>
        </w:rPr>
        <w:tab/>
        <w:t>1. Wenn die Entschädigungen dem Empfänger vom Arbeitgeber oder durch dessen Beteiligung:</w:t>
      </w:r>
    </w:p>
    <w:p w14:paraId="05E05781" w14:textId="77777777" w:rsidR="007A5656" w:rsidRPr="00A21F71" w:rsidRDefault="007A5656" w:rsidP="007A5656">
      <w:pPr>
        <w:jc w:val="both"/>
        <w:rPr>
          <w:rFonts w:eastAsia="Calibri"/>
          <w:lang w:eastAsia="de-DE" w:bidi="de-DE"/>
        </w:rPr>
      </w:pPr>
    </w:p>
    <w:p w14:paraId="0A89AC09" w14:textId="77777777" w:rsidR="007A5656" w:rsidRPr="00A21F71" w:rsidRDefault="007A5656" w:rsidP="007A5656">
      <w:pPr>
        <w:jc w:val="both"/>
        <w:rPr>
          <w:rFonts w:eastAsia="Calibri"/>
          <w:lang w:eastAsia="de-DE" w:bidi="de-DE"/>
        </w:rPr>
      </w:pPr>
      <w:r w:rsidRPr="00A21F71">
        <w:rPr>
          <w:rFonts w:eastAsia="Calibri"/>
          <w:lang w:eastAsia="de-DE" w:bidi="de-DE"/>
        </w:rPr>
        <w:tab/>
        <w:t>a) zusammen mit der normalen Entlohnung eines selben Zeitraums gezahlt oder zuerkannt werden, gelten die in den Nummern 2.2 bis 2.8 vorgesehenen Regeln unter Berücksichtigung des Gesamtbetrags der normalen Entlohnung und der betreffenden Entschädigungen,</w:t>
      </w:r>
    </w:p>
    <w:p w14:paraId="5E998346" w14:textId="77777777" w:rsidR="007A5656" w:rsidRPr="00A21F71" w:rsidRDefault="007A5656" w:rsidP="007A5656">
      <w:pPr>
        <w:jc w:val="both"/>
        <w:rPr>
          <w:rFonts w:eastAsia="Calibri"/>
          <w:lang w:eastAsia="de-DE" w:bidi="de-DE"/>
        </w:rPr>
      </w:pPr>
    </w:p>
    <w:p w14:paraId="424E0280" w14:textId="77777777" w:rsidR="007A5656" w:rsidRPr="00A21F71" w:rsidRDefault="007A5656" w:rsidP="007A5656">
      <w:pPr>
        <w:jc w:val="both"/>
        <w:rPr>
          <w:rFonts w:eastAsia="Calibri"/>
          <w:lang w:eastAsia="de-DE" w:bidi="de-DE"/>
        </w:rPr>
      </w:pPr>
      <w:r w:rsidRPr="00A21F71">
        <w:rPr>
          <w:rFonts w:eastAsia="Calibri"/>
          <w:lang w:eastAsia="de-DE" w:bidi="de-DE"/>
        </w:rPr>
        <w:tab/>
        <w:t>b) nicht zusammen mit der normalen Entlohnung eines selben Zeitraums gezahlt oder zuerkannt werden:</w:t>
      </w:r>
    </w:p>
    <w:p w14:paraId="45C2BBD2" w14:textId="77777777" w:rsidR="007A5656" w:rsidRPr="00A21F71" w:rsidRDefault="007A5656" w:rsidP="007A5656">
      <w:pPr>
        <w:jc w:val="both"/>
        <w:rPr>
          <w:rFonts w:eastAsia="Calibri"/>
          <w:lang w:eastAsia="de-DE" w:bidi="de-DE"/>
        </w:rPr>
      </w:pPr>
    </w:p>
    <w:p w14:paraId="5AAC4087" w14:textId="77777777" w:rsidR="007A5656" w:rsidRPr="00A21F71" w:rsidRDefault="007A5656" w:rsidP="007A5656">
      <w:pPr>
        <w:jc w:val="both"/>
        <w:rPr>
          <w:rFonts w:eastAsia="Calibri"/>
          <w:lang w:eastAsia="de-DE" w:bidi="de-DE"/>
        </w:rPr>
      </w:pPr>
      <w:r w:rsidRPr="00A21F71">
        <w:rPr>
          <w:rFonts w:eastAsia="Calibri"/>
          <w:lang w:eastAsia="de-DE" w:bidi="de-DE"/>
        </w:rPr>
        <w:tab/>
        <w:t>- gelten die in Nr. 2.9 Punkt A vorgesehenen Regeln unter Berücksichtigung der Referenzentlohnung, das heißt der normalen Jahresentlohnung, die als Grundlage für die Berechnung der Entschädigung gedient hat,</w:t>
      </w:r>
    </w:p>
    <w:p w14:paraId="1D3461B2" w14:textId="77777777" w:rsidR="007A5656" w:rsidRPr="00A21F71" w:rsidRDefault="007A5656" w:rsidP="007A5656">
      <w:pPr>
        <w:jc w:val="both"/>
        <w:rPr>
          <w:rFonts w:eastAsia="Calibri"/>
          <w:lang w:eastAsia="de-DE" w:bidi="de-DE"/>
        </w:rPr>
      </w:pPr>
    </w:p>
    <w:p w14:paraId="7D94BDA8" w14:textId="77777777" w:rsidR="007A5656" w:rsidRPr="00A21F71" w:rsidRDefault="007A5656" w:rsidP="007A5656">
      <w:pPr>
        <w:jc w:val="both"/>
        <w:rPr>
          <w:rFonts w:eastAsia="Calibri"/>
          <w:lang w:eastAsia="de-DE" w:bidi="de-DE"/>
        </w:rPr>
      </w:pPr>
      <w:r w:rsidRPr="00A21F71">
        <w:rPr>
          <w:rFonts w:eastAsia="Calibri"/>
          <w:lang w:eastAsia="de-DE" w:bidi="de-DE"/>
        </w:rPr>
        <w:tab/>
        <w:t>- beträgt der Berufssteuervorabzug in Ermangelung der vorerwähnten Referenz</w:t>
      </w:r>
      <w:r w:rsidRPr="00A21F71">
        <w:rPr>
          <w:rFonts w:eastAsia="Calibri"/>
          <w:lang w:eastAsia="de-DE" w:bidi="de-DE"/>
        </w:rPr>
        <w:softHyphen/>
        <w:t>entlohnung 26,75 Prozent (ohne Ermäßigung).</w:t>
      </w:r>
    </w:p>
    <w:p w14:paraId="4E3CC79F" w14:textId="77777777" w:rsidR="007A5656" w:rsidRPr="00A21F71" w:rsidRDefault="007A5656" w:rsidP="007A5656">
      <w:pPr>
        <w:jc w:val="both"/>
        <w:rPr>
          <w:rFonts w:eastAsia="Calibri"/>
          <w:lang w:eastAsia="de-DE" w:bidi="de-DE"/>
        </w:rPr>
      </w:pPr>
    </w:p>
    <w:p w14:paraId="0CC306B1" w14:textId="77777777" w:rsidR="007A5656" w:rsidRPr="00A21F71" w:rsidRDefault="007A5656" w:rsidP="007A5656">
      <w:pPr>
        <w:jc w:val="both"/>
        <w:rPr>
          <w:rFonts w:eastAsia="Calibri"/>
          <w:lang w:eastAsia="de-DE" w:bidi="de-DE"/>
        </w:rPr>
      </w:pPr>
      <w:r w:rsidRPr="00A21F71">
        <w:rPr>
          <w:rFonts w:eastAsia="Calibri"/>
          <w:lang w:eastAsia="de-DE" w:bidi="de-DE"/>
        </w:rPr>
        <w:tab/>
        <w:t>2. Wenn die Entschädigungen dem Empfänger ohne Beteiligung des Arbeitgebers von einem Versicherungsträger, einer anderen Einrichtung oder einer anderen Zwischenperson gezahlt werden, gilt der Satz von 11,11 oder 22,20 Prozent (ohne Ermäßigung), je nachdem, ob es sich um gesetzliche oder außergesetzliche Entschädigungen handelt.</w:t>
      </w:r>
    </w:p>
    <w:p w14:paraId="30E4654E" w14:textId="77777777" w:rsidR="007A5656" w:rsidRPr="00A21F71" w:rsidRDefault="007A5656" w:rsidP="007A5656">
      <w:pPr>
        <w:jc w:val="both"/>
        <w:rPr>
          <w:rFonts w:eastAsia="Calibri"/>
          <w:lang w:eastAsia="de-DE" w:bidi="de-DE"/>
        </w:rPr>
      </w:pPr>
    </w:p>
    <w:p w14:paraId="450F333C" w14:textId="77777777" w:rsidR="007A5656" w:rsidRPr="00A21F71" w:rsidRDefault="007A5656" w:rsidP="007A5656">
      <w:pPr>
        <w:jc w:val="both"/>
        <w:rPr>
          <w:rFonts w:eastAsia="Calibri"/>
          <w:lang w:eastAsia="de-DE" w:bidi="de-DE"/>
        </w:rPr>
      </w:pPr>
      <w:r w:rsidRPr="00A21F71">
        <w:rPr>
          <w:rFonts w:eastAsia="Calibri"/>
          <w:lang w:eastAsia="de-DE" w:bidi="de-DE"/>
        </w:rPr>
        <w:tab/>
        <w:t>B. In Abweichung von Punkt A muss der Berufssteuervorabzug in den nachstehend erwähnten Fällen gemäß folgenden Regeln festgelegt werden:</w:t>
      </w:r>
    </w:p>
    <w:p w14:paraId="732D4CBA" w14:textId="77777777" w:rsidR="007A5656" w:rsidRPr="00A21F71" w:rsidRDefault="007A5656" w:rsidP="007A5656">
      <w:pPr>
        <w:jc w:val="both"/>
        <w:rPr>
          <w:rFonts w:eastAsia="Calibri"/>
          <w:lang w:eastAsia="de-DE" w:bidi="de-DE"/>
        </w:rPr>
      </w:pPr>
    </w:p>
    <w:p w14:paraId="2BE563CC"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1. </w:t>
      </w:r>
      <w:r w:rsidRPr="00A21F71">
        <w:rPr>
          <w:rFonts w:eastAsia="Calibri"/>
          <w:u w:val="dotted"/>
          <w:lang w:eastAsia="de-DE" w:bidi="de-DE"/>
        </w:rPr>
        <w:t>Primäre Unfähigkeit</w:t>
      </w:r>
    </w:p>
    <w:p w14:paraId="1A325610" w14:textId="77777777" w:rsidR="007A5656" w:rsidRPr="00A21F71" w:rsidRDefault="007A5656" w:rsidP="007A5656">
      <w:pPr>
        <w:jc w:val="both"/>
        <w:rPr>
          <w:rFonts w:eastAsia="Calibri"/>
          <w:lang w:eastAsia="de-DE" w:bidi="de-DE"/>
        </w:rPr>
      </w:pPr>
    </w:p>
    <w:p w14:paraId="181C6C32" w14:textId="77777777" w:rsidR="007A5656" w:rsidRPr="00A21F71" w:rsidRDefault="007A5656" w:rsidP="007A5656">
      <w:pPr>
        <w:jc w:val="both"/>
        <w:rPr>
          <w:rFonts w:eastAsia="Calibri"/>
          <w:lang w:eastAsia="de-DE" w:bidi="de-DE"/>
        </w:rPr>
      </w:pPr>
      <w:r w:rsidRPr="00A21F71">
        <w:rPr>
          <w:rFonts w:eastAsia="Calibri"/>
          <w:lang w:eastAsia="de-DE" w:bidi="de-DE"/>
        </w:rPr>
        <w:tab/>
        <w:t>a) Gesetzliche Krankheits- und Invaliditätsentschädigungen, die während eines Zeitraums primärer Arbeitsunfähigkeit wie in Artikel 87 des am 14. Juli 1994 koordinierten Gesetzes über die Gesundheitspflege- und Entschädigungspflichtversicherung bestimmt gezahlt oder zuerkannt werden, unterliegen dem Berufssteuervorabzug zum Satz von 11,11 Prozent (ohne Ermäßigung), insofern der Zeitraum primärer Unfähigkeit nach dem 31. Dezember 2003 beginnt.</w:t>
      </w:r>
    </w:p>
    <w:p w14:paraId="156F7F7A"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717A1F78"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b) Der gemäß Buchstabe a) berechnete Berufssteuervorabzug darf jedoch nicht zur Folge haben, dass der Betrag der schließlich zu zahlenden Entschädigung niedriger ist als der in Artikel 93</w:t>
      </w:r>
      <w:r w:rsidRPr="00A21F71">
        <w:rPr>
          <w:rFonts w:eastAsia="Calibri"/>
          <w:i/>
          <w:lang w:eastAsia="de-DE" w:bidi="de-DE"/>
        </w:rPr>
        <w:t>bis</w:t>
      </w:r>
      <w:r w:rsidRPr="00A21F71">
        <w:rPr>
          <w:rFonts w:eastAsia="Calibri"/>
          <w:lang w:eastAsia="de-DE" w:bidi="de-DE"/>
        </w:rPr>
        <w:t xml:space="preserve"> des vorerwähnten koordinierten Gesetzes erwähnte Mindestbetrag der Invaliditätsentschädigung, außer wenn diese Entschädigung gleichzeitig mit Einkünften wie in Artikel 104 desselben Gesetzes erwähnt bezogen wird oder wenn Leistungen aufgrund von Artikel 136 § 2 desselben Gesetzes verweigert oder verringert werden.</w:t>
      </w:r>
    </w:p>
    <w:p w14:paraId="7516289D" w14:textId="77777777" w:rsidR="007A5656" w:rsidRPr="00A21F71" w:rsidRDefault="007A5656" w:rsidP="007A5656">
      <w:pPr>
        <w:jc w:val="both"/>
        <w:rPr>
          <w:rFonts w:eastAsia="Calibri"/>
          <w:lang w:eastAsia="de-DE" w:bidi="de-DE"/>
        </w:rPr>
      </w:pPr>
    </w:p>
    <w:p w14:paraId="6E211022" w14:textId="77777777" w:rsidR="007A5656" w:rsidRPr="00A21F71" w:rsidRDefault="007A5656" w:rsidP="007A5656">
      <w:pPr>
        <w:jc w:val="both"/>
        <w:rPr>
          <w:rFonts w:eastAsia="Calibri"/>
          <w:lang w:eastAsia="de-DE" w:bidi="de-DE"/>
        </w:rPr>
      </w:pPr>
      <w:r w:rsidRPr="00A21F71">
        <w:rPr>
          <w:rFonts w:eastAsia="Calibri"/>
          <w:lang w:eastAsia="de-DE" w:bidi="de-DE"/>
        </w:rPr>
        <w:tab/>
        <w:t>Für die Anwendung von Absatz 1 wird während der ersten sechs Monate primärer Arbeitsunfähigkeit nur der Mindestbetrag der Invaliditätsentschädigung für einen Berechtigten mit Familienlasten wie in Artikel 93</w:t>
      </w:r>
      <w:r w:rsidRPr="00A21F71">
        <w:rPr>
          <w:rFonts w:eastAsia="Calibri"/>
          <w:i/>
          <w:lang w:eastAsia="de-DE" w:bidi="de-DE"/>
        </w:rPr>
        <w:t>bis</w:t>
      </w:r>
      <w:r w:rsidRPr="00A21F71">
        <w:rPr>
          <w:rFonts w:eastAsia="Calibri"/>
          <w:lang w:eastAsia="de-DE" w:bidi="de-DE"/>
        </w:rPr>
        <w:t xml:space="preserve"> des vorerwähnten koordinierten Gesetzes erwähnt berücksichtigt.</w:t>
      </w:r>
    </w:p>
    <w:p w14:paraId="0574E75C" w14:textId="77777777" w:rsidR="007A5656" w:rsidRPr="00A21F71" w:rsidRDefault="007A5656" w:rsidP="007A5656">
      <w:pPr>
        <w:jc w:val="both"/>
        <w:rPr>
          <w:rFonts w:eastAsia="Calibri"/>
          <w:lang w:eastAsia="de-DE" w:bidi="de-DE"/>
        </w:rPr>
      </w:pPr>
    </w:p>
    <w:p w14:paraId="70DC6366" w14:textId="77777777" w:rsidR="007A5656" w:rsidRPr="00A21F71" w:rsidRDefault="007A5656" w:rsidP="007A5656">
      <w:pPr>
        <w:jc w:val="both"/>
        <w:rPr>
          <w:rFonts w:eastAsia="Calibri"/>
          <w:lang w:eastAsia="de-DE" w:bidi="de-DE"/>
        </w:rPr>
      </w:pPr>
      <w:r w:rsidRPr="00A21F71">
        <w:rPr>
          <w:rFonts w:eastAsia="Calibri"/>
          <w:lang w:eastAsia="de-DE" w:bidi="de-DE"/>
        </w:rPr>
        <w:tab/>
        <w:t>c) - Gesetzliche Krankheits- und Invaliditätsentschädigungen, die während der ersten sechs Monate des Zeitraums primärer Arbeitsunfähigkeit wie in Artikel 87 Absatz 3 desselben Gesetzes bestimmt gezahlt oder zuerkannt werden und auf einen Zeitraum der Voll- oder Teilarbeitslosigkeit wie in Nr. 2.13 Punkt A erwähnt folgen, unterliegen dem Berufssteuervorabzug zum Satz von 10,09 Prozent (ohne Ermäßigung).</w:t>
      </w:r>
    </w:p>
    <w:p w14:paraId="51DE3BFC" w14:textId="77777777" w:rsidR="007A5656" w:rsidRPr="00A21F71" w:rsidRDefault="007A5656" w:rsidP="007A5656">
      <w:pPr>
        <w:jc w:val="both"/>
        <w:rPr>
          <w:rFonts w:eastAsia="Calibri"/>
          <w:lang w:eastAsia="de-DE" w:bidi="de-DE"/>
        </w:rPr>
      </w:pPr>
    </w:p>
    <w:p w14:paraId="55B01D2B" w14:textId="77777777" w:rsidR="007A5656" w:rsidRPr="00A21F71" w:rsidRDefault="007A5656" w:rsidP="007A5656">
      <w:pPr>
        <w:jc w:val="both"/>
        <w:rPr>
          <w:rFonts w:eastAsia="Calibri"/>
          <w:lang w:eastAsia="de-DE" w:bidi="de-DE"/>
        </w:rPr>
      </w:pPr>
      <w:r w:rsidRPr="00A21F71">
        <w:rPr>
          <w:rFonts w:eastAsia="Calibri"/>
          <w:lang w:eastAsia="de-DE" w:bidi="de-DE"/>
        </w:rPr>
        <w:tab/>
        <w:t>- Jedoch muss kein Berufssteuervorabzug einbehalten werden auf gesetzliche Krankheits- und Invaliditätsentschädigungen, die den in Nr. 2.13 Punkt B erwähnten Vollarbeitslosen während der ersten sechs Monate des vorerwähnten Zeitraums primärer Arbeitsunfähigkeit gezahlt oder zuerkannt werden.</w:t>
      </w:r>
    </w:p>
    <w:p w14:paraId="605BE6AB" w14:textId="77777777" w:rsidR="007A5656" w:rsidRPr="00A21F71" w:rsidRDefault="007A5656" w:rsidP="007A5656">
      <w:pPr>
        <w:jc w:val="both"/>
        <w:rPr>
          <w:rFonts w:eastAsia="Calibri"/>
          <w:lang w:eastAsia="de-DE" w:bidi="de-DE"/>
        </w:rPr>
      </w:pPr>
    </w:p>
    <w:p w14:paraId="40AD051D" w14:textId="77777777" w:rsidR="007A5656" w:rsidRPr="00A21F71" w:rsidRDefault="007A5656" w:rsidP="007A5656">
      <w:pPr>
        <w:jc w:val="both"/>
        <w:rPr>
          <w:rFonts w:eastAsia="Calibri"/>
          <w:lang w:eastAsia="de-DE" w:bidi="de-DE"/>
        </w:rPr>
      </w:pPr>
      <w:r w:rsidRPr="00A21F71">
        <w:rPr>
          <w:rFonts w:eastAsia="Calibri"/>
          <w:lang w:eastAsia="de-DE" w:bidi="de-DE"/>
        </w:rPr>
        <w:tab/>
        <w:t>- Ab dem ersten Tag des siebten Monats desselben Zeitraums primärer Arbeitsunfähigkeit unterliegen die im ersten und zweiten Gedankenstrich erwähnten Entschädigungen dem Berufssteuervorabzug zum Satz von 11,11 Prozent (ohne Ermäßigung).</w:t>
      </w:r>
    </w:p>
    <w:p w14:paraId="48A9FEF4" w14:textId="77777777" w:rsidR="007A5656" w:rsidRPr="00A21F71" w:rsidRDefault="007A5656" w:rsidP="007A5656">
      <w:pPr>
        <w:jc w:val="both"/>
        <w:rPr>
          <w:rFonts w:eastAsia="Calibri"/>
          <w:lang w:eastAsia="de-DE" w:bidi="de-DE"/>
        </w:rPr>
      </w:pPr>
    </w:p>
    <w:p w14:paraId="3CA6B32D" w14:textId="77777777" w:rsidR="007A5656" w:rsidRPr="00A21F71" w:rsidRDefault="007A5656" w:rsidP="007A5656">
      <w:pPr>
        <w:rPr>
          <w:rFonts w:eastAsia="Calibri"/>
          <w:u w:val="dotted"/>
          <w:lang w:eastAsia="de-DE" w:bidi="de-DE"/>
        </w:rPr>
      </w:pPr>
      <w:r w:rsidRPr="00A21F71">
        <w:rPr>
          <w:rFonts w:eastAsia="Calibri"/>
          <w:lang w:eastAsia="de-DE" w:bidi="de-DE"/>
        </w:rPr>
        <w:tab/>
        <w:t xml:space="preserve">2. </w:t>
      </w:r>
      <w:r w:rsidRPr="00A21F71">
        <w:rPr>
          <w:rFonts w:eastAsia="Calibri"/>
          <w:u w:val="dotted"/>
          <w:lang w:eastAsia="de-DE" w:bidi="de-DE"/>
        </w:rPr>
        <w:t>Wartegehalt infolge einer Zurdispositionstellung wegen Krankheit</w:t>
      </w:r>
    </w:p>
    <w:p w14:paraId="6234ABB3" w14:textId="77777777" w:rsidR="007A5656" w:rsidRPr="00A21F71" w:rsidRDefault="007A5656" w:rsidP="007A5656">
      <w:pPr>
        <w:rPr>
          <w:rFonts w:eastAsia="Calibri"/>
          <w:u w:val="dotted"/>
          <w:lang w:eastAsia="de-DE" w:bidi="de-DE"/>
        </w:rPr>
      </w:pPr>
    </w:p>
    <w:p w14:paraId="19ABD084" w14:textId="77777777" w:rsidR="007A5656" w:rsidRPr="00A21F71" w:rsidRDefault="007A5656" w:rsidP="007A5656">
      <w:pPr>
        <w:jc w:val="both"/>
        <w:rPr>
          <w:rFonts w:eastAsia="Calibri"/>
          <w:lang w:eastAsia="de-DE" w:bidi="de-DE"/>
        </w:rPr>
      </w:pPr>
      <w:r w:rsidRPr="00A21F71">
        <w:rPr>
          <w:rFonts w:eastAsia="Calibri"/>
          <w:lang w:eastAsia="de-DE" w:bidi="de-DE"/>
        </w:rPr>
        <w:tab/>
        <w:t>Wartegehalt, das wegen Krankheit zur Disposition gestellten Bediensteten aufgrund von Kapitel IX Artikel 57 des Königlichen Erlasses vom 19. November 1998 über die den Personalmitgliedern der Staatsverwaltungen gewährten Urlaubsarten und Abwesenheiten gezahlt oder zuerkannt wird, unterliegt dem Berufssteuervorabzug zum Satz von 11,11 Prozent (ohne Ermäßigung), insofern der Zeitraum der Zurdispositionstellung nach dem 31. Dezember 2003 beginnt.</w:t>
      </w:r>
    </w:p>
    <w:p w14:paraId="6F6B0D4D" w14:textId="77777777" w:rsidR="007A5656" w:rsidRPr="00A21F71" w:rsidRDefault="007A5656" w:rsidP="007A5656">
      <w:pPr>
        <w:jc w:val="both"/>
        <w:rPr>
          <w:rFonts w:eastAsia="Calibri"/>
          <w:lang w:eastAsia="de-DE" w:bidi="de-DE"/>
        </w:rPr>
      </w:pPr>
    </w:p>
    <w:p w14:paraId="78EA2966"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3. </w:t>
      </w:r>
      <w:r w:rsidRPr="00A21F71">
        <w:rPr>
          <w:rFonts w:eastAsia="Calibri"/>
          <w:u w:val="dotted"/>
          <w:lang w:eastAsia="de-DE" w:bidi="de-DE"/>
        </w:rPr>
        <w:t>Seeleute</w:t>
      </w:r>
    </w:p>
    <w:p w14:paraId="4A431395" w14:textId="77777777" w:rsidR="007A5656" w:rsidRPr="00A21F71" w:rsidRDefault="007A5656" w:rsidP="007A5656">
      <w:pPr>
        <w:jc w:val="both"/>
        <w:rPr>
          <w:rFonts w:eastAsia="Calibri"/>
          <w:lang w:eastAsia="de-DE" w:bidi="de-DE"/>
        </w:rPr>
      </w:pPr>
    </w:p>
    <w:p w14:paraId="0A5319C4" w14:textId="77777777" w:rsidR="007A5656" w:rsidRPr="00A21F71" w:rsidRDefault="007A5656" w:rsidP="007A5656">
      <w:pPr>
        <w:jc w:val="both"/>
        <w:rPr>
          <w:rFonts w:eastAsia="Calibri"/>
          <w:lang w:eastAsia="de-DE" w:bidi="de-DE"/>
        </w:rPr>
      </w:pPr>
      <w:r w:rsidRPr="00A21F71">
        <w:rPr>
          <w:rFonts w:eastAsia="Calibri"/>
          <w:lang w:eastAsia="de-DE" w:bidi="de-DE"/>
        </w:rPr>
        <w:tab/>
        <w:t>Entschädigungen, die aufgrund von Artikel 88 des Königlichen Erlasses vom 24. Oktober 1936 zur Abänderung und Koordinierung der Satzung der Hilfs- und Unterstützungskasse für Seeleute gezahlt oder zuerkannt werden, unterliegen dem Berufssteuervorabzug zum Satz von 11,11 Prozent (ohne Ermäßigung), insofern der Zeitraum der Arbeitsunfähigkeit nach dem 31. Dezember 2003 beginnt.</w:t>
      </w:r>
    </w:p>
    <w:p w14:paraId="3110377D"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562D9498"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 xml:space="preserve">4. </w:t>
      </w:r>
      <w:r w:rsidRPr="00A21F71">
        <w:rPr>
          <w:rFonts w:eastAsia="Calibri"/>
          <w:u w:val="dotted"/>
          <w:lang w:eastAsia="de-DE" w:bidi="de-DE"/>
        </w:rPr>
        <w:t>Überseeische soziale Sicherheit</w:t>
      </w:r>
    </w:p>
    <w:p w14:paraId="2DAA716C" w14:textId="77777777" w:rsidR="007A5656" w:rsidRPr="00A21F71" w:rsidRDefault="007A5656" w:rsidP="007A5656">
      <w:pPr>
        <w:jc w:val="both"/>
        <w:rPr>
          <w:rFonts w:eastAsia="Calibri"/>
          <w:lang w:eastAsia="de-DE" w:bidi="de-DE"/>
        </w:rPr>
      </w:pPr>
    </w:p>
    <w:p w14:paraId="7ECE0CC7" w14:textId="77777777" w:rsidR="007A5656" w:rsidRPr="00A21F71" w:rsidRDefault="007A5656" w:rsidP="007A5656">
      <w:pPr>
        <w:jc w:val="both"/>
        <w:rPr>
          <w:rFonts w:eastAsia="Calibri"/>
          <w:lang w:eastAsia="de-DE" w:bidi="de-DE"/>
        </w:rPr>
      </w:pPr>
      <w:r w:rsidRPr="00A21F71">
        <w:rPr>
          <w:rFonts w:eastAsia="Calibri"/>
          <w:lang w:eastAsia="de-DE" w:bidi="de-DE"/>
        </w:rPr>
        <w:tab/>
        <w:t>Entschädigungen, die aufgrund von Artikel 35 § 1 des Gesetzes vom 17. Juli 1963 über die überseeische soziale Sicherheit gezahlt oder zuerkannt werden, unterliegen dem Berufssteuervorabzug zum Satz von 11,11 Prozent (ohne Ermäßigung), insofern der Zeitraum primärer Arbeitsunfähigkeit nach dem 31. Dezember 2003 beginnt.</w:t>
      </w:r>
    </w:p>
    <w:p w14:paraId="41CD389C" w14:textId="77777777" w:rsidR="007A5656" w:rsidRPr="00A21F71" w:rsidRDefault="007A5656" w:rsidP="007A5656">
      <w:pPr>
        <w:jc w:val="both"/>
        <w:rPr>
          <w:rFonts w:eastAsia="Calibri"/>
          <w:lang w:eastAsia="de-DE" w:bidi="de-DE"/>
        </w:rPr>
      </w:pPr>
    </w:p>
    <w:p w14:paraId="79019E7F"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5. </w:t>
      </w:r>
      <w:r w:rsidRPr="00A21F71">
        <w:rPr>
          <w:rFonts w:eastAsia="Calibri"/>
          <w:u w:val="dotted"/>
          <w:lang w:eastAsia="de-DE" w:bidi="de-DE"/>
        </w:rPr>
        <w:t>Mutterschutz</w:t>
      </w:r>
    </w:p>
    <w:p w14:paraId="4E2A6892" w14:textId="77777777" w:rsidR="007A5656" w:rsidRPr="00A21F71" w:rsidRDefault="007A5656" w:rsidP="007A5656">
      <w:pPr>
        <w:jc w:val="both"/>
        <w:rPr>
          <w:rFonts w:eastAsia="Calibri"/>
          <w:lang w:eastAsia="de-DE" w:bidi="de-DE"/>
        </w:rPr>
      </w:pPr>
    </w:p>
    <w:p w14:paraId="4BFA7B63" w14:textId="77777777" w:rsidR="007A5656" w:rsidRPr="00A21F71" w:rsidRDefault="007A5656" w:rsidP="007A5656">
      <w:pPr>
        <w:jc w:val="both"/>
        <w:rPr>
          <w:rFonts w:eastAsia="Calibri"/>
          <w:lang w:eastAsia="de-DE" w:bidi="de-DE"/>
        </w:rPr>
      </w:pPr>
      <w:r w:rsidRPr="00A21F71">
        <w:rPr>
          <w:rFonts w:eastAsia="Calibri"/>
          <w:lang w:eastAsia="de-DE" w:bidi="de-DE"/>
        </w:rPr>
        <w:tab/>
        <w:t>Entschädigungen, die aufgrund von Artikel 113 des am 14. Juli 1994 koordinierten Gesetzes über die Gesundheitspflege- und Entschädigungspflichtversicherung gezahlt oder zuerkannt werden, unterliegen dem Berufssteuervorabzug zum Satz von 11,11 Prozent (ohne Ermäßigung), insofern der Zeitraum des Mutterschutzes nach dem 31. Dezember 2003 beginnt.</w:t>
      </w:r>
    </w:p>
    <w:p w14:paraId="635C5057" w14:textId="77777777" w:rsidR="007A5656" w:rsidRPr="00A21F71" w:rsidRDefault="007A5656" w:rsidP="007A5656">
      <w:pPr>
        <w:jc w:val="both"/>
        <w:rPr>
          <w:rFonts w:eastAsia="Calibri"/>
          <w:lang w:eastAsia="de-DE" w:bidi="de-DE"/>
        </w:rPr>
      </w:pPr>
    </w:p>
    <w:p w14:paraId="67830F77"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6. </w:t>
      </w:r>
      <w:r w:rsidRPr="00A21F71">
        <w:rPr>
          <w:rFonts w:eastAsia="Calibri"/>
          <w:u w:val="dotted"/>
          <w:lang w:eastAsia="de-DE" w:bidi="de-DE"/>
        </w:rPr>
        <w:t>Stillpausen</w:t>
      </w:r>
    </w:p>
    <w:p w14:paraId="29F53DB8" w14:textId="77777777" w:rsidR="007A5656" w:rsidRPr="00A21F71" w:rsidRDefault="007A5656" w:rsidP="007A5656">
      <w:pPr>
        <w:rPr>
          <w:rFonts w:eastAsia="Calibri"/>
          <w:lang w:eastAsia="de-DE" w:bidi="de-DE"/>
        </w:rPr>
      </w:pPr>
    </w:p>
    <w:p w14:paraId="404D8E7D" w14:textId="77777777" w:rsidR="007A5656" w:rsidRPr="00A21F71" w:rsidRDefault="007A5656" w:rsidP="007A5656">
      <w:pPr>
        <w:jc w:val="both"/>
        <w:rPr>
          <w:rFonts w:eastAsia="Calibri"/>
          <w:lang w:eastAsia="de-DE" w:bidi="de-DE"/>
        </w:rPr>
      </w:pPr>
      <w:r w:rsidRPr="00A21F71">
        <w:rPr>
          <w:rFonts w:eastAsia="Calibri"/>
          <w:lang w:eastAsia="de-DE" w:bidi="de-DE"/>
        </w:rPr>
        <w:tab/>
        <w:t>Entschädigungen, die aufgrund von Artikel 116</w:t>
      </w:r>
      <w:r w:rsidRPr="00A21F71">
        <w:rPr>
          <w:rFonts w:eastAsia="Calibri"/>
          <w:i/>
          <w:lang w:eastAsia="de-DE" w:bidi="de-DE"/>
        </w:rPr>
        <w:t>bis</w:t>
      </w:r>
      <w:r w:rsidRPr="00A21F71">
        <w:rPr>
          <w:rFonts w:eastAsia="Calibri"/>
          <w:lang w:eastAsia="de-DE" w:bidi="de-DE"/>
        </w:rPr>
        <w:t xml:space="preserve"> des am 14. Juli 1994 koordinierten Gesetzes über die Gesundheitspflege- und Entschädigungspflichtversicherung gezahlt oder zuerkannt werden, unterliegen dem Berufssteuervorabzug zum Satz von 11,11 Prozent (ohne Ermäßigung), insofern die Stillpause nach dem 31. Dezember 2003 beginnt.</w:t>
      </w:r>
    </w:p>
    <w:p w14:paraId="7A6038A8" w14:textId="77777777" w:rsidR="007A5656" w:rsidRPr="00A21F71" w:rsidRDefault="007A5656" w:rsidP="007A5656">
      <w:pPr>
        <w:jc w:val="both"/>
        <w:rPr>
          <w:rFonts w:eastAsia="Calibri"/>
          <w:lang w:eastAsia="de-DE" w:bidi="de-DE"/>
        </w:rPr>
      </w:pPr>
    </w:p>
    <w:p w14:paraId="586A90C5"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7. </w:t>
      </w:r>
      <w:r w:rsidRPr="00A21F71">
        <w:rPr>
          <w:rFonts w:eastAsia="Calibri"/>
          <w:u w:val="dotted"/>
          <w:lang w:eastAsia="de-DE" w:bidi="de-DE"/>
        </w:rPr>
        <w:t>Vaterschaftsurlaub</w:t>
      </w:r>
    </w:p>
    <w:p w14:paraId="0B40CCA2" w14:textId="77777777" w:rsidR="007A5656" w:rsidRPr="00A21F71" w:rsidRDefault="007A5656" w:rsidP="007A5656">
      <w:pPr>
        <w:jc w:val="both"/>
        <w:rPr>
          <w:rFonts w:eastAsia="Calibri"/>
          <w:lang w:eastAsia="de-DE" w:bidi="de-DE"/>
        </w:rPr>
      </w:pPr>
    </w:p>
    <w:p w14:paraId="4FF70804" w14:textId="77777777" w:rsidR="007A5656" w:rsidRPr="00A21F71" w:rsidRDefault="007A5656" w:rsidP="007A5656">
      <w:pPr>
        <w:jc w:val="both"/>
        <w:rPr>
          <w:rFonts w:eastAsia="Calibri"/>
          <w:lang w:eastAsia="de-DE" w:bidi="de-DE"/>
        </w:rPr>
      </w:pPr>
      <w:r w:rsidRPr="00A21F71">
        <w:rPr>
          <w:rFonts w:eastAsia="Calibri"/>
          <w:lang w:eastAsia="de-DE" w:bidi="de-DE"/>
        </w:rPr>
        <w:tab/>
        <w:t>Entschädigungen, die aufgrund von Artikel 30 § 2 Absatz 8 des Gesetzes vom 3. Juli 1978 über die Arbeitsverträge gezahlt oder zuerkannt werden, unterliegen dem Berufssteuervorabzug zum Satz von 11,11 Prozent (ohne Ermäßigung), insofern der Vaterschaftsurlaub nach dem 31. Dezember 2003 beginnt.</w:t>
      </w:r>
    </w:p>
    <w:p w14:paraId="52FB5EE3" w14:textId="77777777" w:rsidR="007A5656" w:rsidRPr="00A21F71" w:rsidRDefault="007A5656" w:rsidP="007A5656">
      <w:pPr>
        <w:jc w:val="both"/>
        <w:rPr>
          <w:rFonts w:eastAsia="Calibri"/>
          <w:lang w:eastAsia="de-DE" w:bidi="de-DE"/>
        </w:rPr>
      </w:pPr>
    </w:p>
    <w:p w14:paraId="107417B7" w14:textId="77777777" w:rsidR="007A5656" w:rsidRPr="00A21F71" w:rsidRDefault="007A5656" w:rsidP="007A5656">
      <w:pPr>
        <w:rPr>
          <w:rFonts w:eastAsia="Calibri"/>
          <w:lang w:eastAsia="de-DE" w:bidi="de-DE"/>
        </w:rPr>
      </w:pPr>
      <w:r w:rsidRPr="00A21F71">
        <w:rPr>
          <w:rFonts w:eastAsia="Calibri"/>
          <w:lang w:eastAsia="de-DE" w:bidi="de-DE"/>
        </w:rPr>
        <w:tab/>
        <w:t xml:space="preserve">8. </w:t>
      </w:r>
      <w:r w:rsidRPr="00A21F71">
        <w:rPr>
          <w:rFonts w:eastAsia="Calibri"/>
          <w:u w:val="dotted"/>
          <w:lang w:eastAsia="de-DE" w:bidi="de-DE"/>
        </w:rPr>
        <w:t>Adoptionsurlaub</w:t>
      </w:r>
    </w:p>
    <w:p w14:paraId="50BE7483" w14:textId="77777777" w:rsidR="007A5656" w:rsidRPr="00A21F71" w:rsidRDefault="007A5656" w:rsidP="007A5656">
      <w:pPr>
        <w:rPr>
          <w:rFonts w:eastAsia="Calibri"/>
          <w:lang w:eastAsia="de-DE" w:bidi="de-DE"/>
        </w:rPr>
      </w:pPr>
    </w:p>
    <w:p w14:paraId="3588A5CC" w14:textId="77777777" w:rsidR="007A5656" w:rsidRPr="00A21F71" w:rsidRDefault="007A5656" w:rsidP="007A5656">
      <w:pPr>
        <w:jc w:val="both"/>
        <w:rPr>
          <w:rFonts w:eastAsia="Calibri"/>
          <w:lang w:eastAsia="de-DE" w:bidi="de-DE"/>
        </w:rPr>
      </w:pPr>
      <w:r w:rsidRPr="00A21F71">
        <w:rPr>
          <w:rFonts w:eastAsia="Calibri"/>
          <w:lang w:eastAsia="de-DE" w:bidi="de-DE"/>
        </w:rPr>
        <w:tab/>
        <w:t>Entschädigungen, die aufgrund von Artikel 30</w:t>
      </w:r>
      <w:r w:rsidRPr="00A21F71">
        <w:rPr>
          <w:rFonts w:eastAsia="Calibri"/>
          <w:i/>
          <w:lang w:eastAsia="de-DE" w:bidi="de-DE"/>
        </w:rPr>
        <w:t>ter</w:t>
      </w:r>
      <w:r w:rsidRPr="00A21F71">
        <w:rPr>
          <w:rFonts w:eastAsia="Calibri"/>
          <w:lang w:eastAsia="de-DE" w:bidi="de-DE"/>
        </w:rPr>
        <w:t xml:space="preserve"> § 2 Absatz 1 des Gesetzes vom 3. Juli 1978 über die Arbeitsverträge gezahlt oder zuerkannt werden, unterliegen dem Berufssteuervorabzug zum Satz von 11,11 Prozent (ohne Ermäßigung), insofern der Adoptionsurlaub nach dem 31. Dezember 2003 beginnt.</w:t>
      </w:r>
    </w:p>
    <w:p w14:paraId="564D65A4" w14:textId="77777777" w:rsidR="007A5656" w:rsidRPr="00A21F71" w:rsidRDefault="007A5656" w:rsidP="007A5656">
      <w:pPr>
        <w:jc w:val="both"/>
        <w:rPr>
          <w:rFonts w:eastAsia="Calibri"/>
          <w:lang w:eastAsia="de-DE" w:bidi="de-DE"/>
        </w:rPr>
      </w:pPr>
    </w:p>
    <w:p w14:paraId="724118F2"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9. </w:t>
      </w:r>
      <w:r w:rsidRPr="00A21F71">
        <w:rPr>
          <w:rFonts w:eastAsia="Calibri"/>
          <w:u w:val="dotted"/>
          <w:lang w:eastAsia="de-DE" w:bidi="de-DE"/>
        </w:rPr>
        <w:t>Gesetzliche Unterbrechungszulagen</w:t>
      </w:r>
    </w:p>
    <w:p w14:paraId="4666E9FC" w14:textId="77777777" w:rsidR="007A5656" w:rsidRPr="00A21F71" w:rsidRDefault="007A5656" w:rsidP="007A5656">
      <w:pPr>
        <w:jc w:val="both"/>
        <w:rPr>
          <w:rFonts w:eastAsia="Calibri"/>
          <w:lang w:eastAsia="de-DE" w:bidi="de-DE"/>
        </w:rPr>
      </w:pPr>
    </w:p>
    <w:p w14:paraId="752B3BF0"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a) Gesetzliche Unterbrechungszulagen, die Arbeitnehmern gezahlt oder zuerkannt werden, die ihre Berufslaufbahn </w:t>
      </w:r>
      <w:r w:rsidRPr="00A21F71">
        <w:rPr>
          <w:rFonts w:eastAsia="Calibri"/>
          <w:u w:val="single"/>
          <w:lang w:eastAsia="de-DE" w:bidi="de-DE"/>
        </w:rPr>
        <w:t>vollzeitig</w:t>
      </w:r>
      <w:r w:rsidRPr="00A21F71">
        <w:rPr>
          <w:rFonts w:eastAsia="Calibri"/>
          <w:lang w:eastAsia="de-DE" w:bidi="de-DE"/>
        </w:rPr>
        <w:t xml:space="preserve"> unterbrechen, unterliegen dem Berufssteuervor</w:t>
      </w:r>
      <w:r w:rsidRPr="00A21F71">
        <w:rPr>
          <w:rFonts w:eastAsia="Calibri"/>
          <w:lang w:eastAsia="de-DE" w:bidi="de-DE"/>
        </w:rPr>
        <w:softHyphen/>
        <w:t>abzug zum Satz von 10,13 Prozent (ohne Ermäßigung).</w:t>
      </w:r>
    </w:p>
    <w:p w14:paraId="16A76CC3" w14:textId="77777777" w:rsidR="007A5656" w:rsidRPr="00A21F71" w:rsidRDefault="007A5656" w:rsidP="007A5656">
      <w:pPr>
        <w:jc w:val="both"/>
        <w:rPr>
          <w:rFonts w:eastAsia="Calibri"/>
          <w:lang w:eastAsia="de-DE" w:bidi="de-DE"/>
        </w:rPr>
      </w:pPr>
    </w:p>
    <w:p w14:paraId="30043102"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b) Gesetzliche Unterbrechungszulagen, die Arbeitnehmern gezahlt oder zuerkannt werden, die ihre Berufslaufbahn </w:t>
      </w:r>
      <w:r w:rsidRPr="00A21F71">
        <w:rPr>
          <w:rFonts w:eastAsia="Calibri"/>
          <w:u w:val="single"/>
          <w:lang w:eastAsia="de-DE" w:bidi="de-DE"/>
        </w:rPr>
        <w:t>teilzeitig</w:t>
      </w:r>
      <w:r w:rsidRPr="00A21F71">
        <w:rPr>
          <w:rFonts w:eastAsia="Calibri"/>
          <w:lang w:eastAsia="de-DE" w:bidi="de-DE"/>
        </w:rPr>
        <w:t xml:space="preserve"> unterbrechen, unterliegen dem Berufssteuervor</w:t>
      </w:r>
      <w:r w:rsidRPr="00A21F71">
        <w:rPr>
          <w:rFonts w:eastAsia="Calibri"/>
          <w:lang w:eastAsia="de-DE" w:bidi="de-DE"/>
        </w:rPr>
        <w:softHyphen/>
        <w:t>abzug zum Satz von 17,15 Prozent (ohne Ermäßigung).</w:t>
      </w:r>
    </w:p>
    <w:p w14:paraId="2BD8EE19"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3C32FCCA"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Dieser Satz von 17,15 Prozent wird auf 35 Prozent erhöht im Falle:</w:t>
      </w:r>
    </w:p>
    <w:p w14:paraId="0B18A4B5" w14:textId="77777777" w:rsidR="007A5656" w:rsidRPr="00A21F71" w:rsidRDefault="007A5656" w:rsidP="007A5656">
      <w:pPr>
        <w:jc w:val="both"/>
        <w:rPr>
          <w:rFonts w:eastAsia="Calibri"/>
          <w:lang w:eastAsia="de-DE" w:bidi="de-DE"/>
        </w:rPr>
      </w:pPr>
    </w:p>
    <w:p w14:paraId="4B7366A1" w14:textId="77777777" w:rsidR="007A5656" w:rsidRPr="00A21F71" w:rsidRDefault="007A5656" w:rsidP="007A5656">
      <w:pPr>
        <w:jc w:val="both"/>
        <w:rPr>
          <w:rFonts w:eastAsia="Calibri"/>
          <w:lang w:eastAsia="de-DE" w:bidi="de-DE"/>
        </w:rPr>
      </w:pPr>
      <w:r w:rsidRPr="00A21F71">
        <w:rPr>
          <w:rFonts w:eastAsia="Calibri"/>
          <w:lang w:eastAsia="de-DE" w:bidi="de-DE"/>
        </w:rPr>
        <w:tab/>
        <w:t>1. einer Laufbahnverkürzung um ein Fünftel der Arbeitszeit in Anwendung der Artikel 4 und 6 des Königlichen Erlasses vom 12. Dezember 2001 zur Ausführung des Kapitels IV des Gesetzes vom 10. August 2001 über das In-Einklang-Bringen von Beschäftigung und Lebensqualität hinsichtlich des Systems des Zeitkredits, der Laufbahnverkürzung und der Kürzung der Arbeitsleistungen auf eine Halbzeitbeschäftigung, die ab 1. Juni 2007 beginnt, oder einer gleichen Laufbahnverkürzung in Anwendung der Artikel 5 und 6 des Königlichen Erlasses vom 10. Juni 2002 über die Bewilligung von Unterbrechungszulagen an die Personalmitglieder der öffentlichen Unternehmen, die in Anwendung des Gesetzes vom 21. März 1991 zur Umstrukturierung bestimmter öffentlicher Wirtschaftsunternehmen eine Geschäftsführungsautonomie erhalten haben. Diese Maßnahme gilt nicht für Arbeitnehmer, die ihre Laufbahn um ein Fünftel verkürzen und ausschließlich mit einem oder mehreren Kindern zu Lasten zusammenwohnen,</w:t>
      </w:r>
    </w:p>
    <w:p w14:paraId="25351524" w14:textId="77777777" w:rsidR="007A5656" w:rsidRPr="00A21F71" w:rsidRDefault="007A5656" w:rsidP="007A5656">
      <w:pPr>
        <w:jc w:val="both"/>
        <w:rPr>
          <w:rFonts w:eastAsia="Calibri"/>
          <w:lang w:eastAsia="de-DE" w:bidi="de-DE"/>
        </w:rPr>
      </w:pPr>
    </w:p>
    <w:p w14:paraId="0078DA14" w14:textId="77777777" w:rsidR="007A5656" w:rsidRPr="00A21F71" w:rsidRDefault="007A5656" w:rsidP="007A5656">
      <w:pPr>
        <w:jc w:val="both"/>
        <w:rPr>
          <w:rFonts w:eastAsia="Calibri"/>
          <w:lang w:eastAsia="de-DE" w:bidi="de-DE"/>
        </w:rPr>
      </w:pPr>
      <w:r w:rsidRPr="00A21F71">
        <w:rPr>
          <w:rFonts w:eastAsia="Calibri"/>
          <w:lang w:eastAsia="de-DE" w:bidi="de-DE"/>
        </w:rPr>
        <w:tab/>
        <w:t>2. eines Zeitkredits für die Hälfte der Arbeitszeit oder einer Laufbahnunterbrechung für die Hälfte der Arbeitszeit, der/die ab 1. Januar 2009 beginnt, für Steuerpflichtige, die fünfzig Jahre oder älter sind. Diese Maßnahme gilt nicht für Arbeitnehmer, die alleine wohnen oder ausschließlich mit einem oder mehreren Kindern zu Lasten zusammenwohnen, und für Steuerpflichtige, die einen thematischen Urlaub in Anspruch nehmen (Eltern</w:t>
      </w:r>
      <w:r w:rsidRPr="00A21F71">
        <w:rPr>
          <w:rFonts w:eastAsia="Calibri"/>
          <w:lang w:eastAsia="de-DE" w:bidi="de-DE"/>
        </w:rPr>
        <w:softHyphen/>
        <w:t>schaftsurlaub, medizinischer Beistand, Palliativpflege).</w:t>
      </w:r>
    </w:p>
    <w:p w14:paraId="3752D622" w14:textId="77777777" w:rsidR="007A5656" w:rsidRPr="00A21F71" w:rsidRDefault="007A5656" w:rsidP="007A5656">
      <w:pPr>
        <w:jc w:val="both"/>
        <w:rPr>
          <w:rFonts w:eastAsia="Calibri"/>
          <w:lang w:eastAsia="de-DE" w:bidi="de-DE"/>
        </w:rPr>
      </w:pPr>
    </w:p>
    <w:p w14:paraId="7FED97E9" w14:textId="77777777" w:rsidR="007A5656" w:rsidRPr="00A21F71" w:rsidRDefault="007A5656" w:rsidP="007A5656">
      <w:pPr>
        <w:jc w:val="both"/>
        <w:rPr>
          <w:rFonts w:eastAsia="Calibri"/>
          <w:lang w:eastAsia="de-DE" w:bidi="de-DE"/>
        </w:rPr>
      </w:pPr>
      <w:r w:rsidRPr="00A21F71">
        <w:rPr>
          <w:rFonts w:eastAsia="Calibri"/>
          <w:lang w:eastAsia="de-DE" w:bidi="de-DE"/>
        </w:rPr>
        <w:tab/>
        <w:t>Der Satz von 17,15 Prozent wird jedoch auf 30 Prozent erhöht im Falle eines Zeitkredits für die Hälfte der Arbeitszeit oder einer Laufbahnunterbrechung für die Hälfte der Arbeitszeit, der/die ab 1. Januar 2009 beginnt, für Steuerpflichtige, die jünger als fünfzig Jahre sind. Diese Maßnahme gilt nicht für Arbeitnehmer, die alleine wohnen oder ausschließlich mit einem oder mehreren Kindern zu Lasten zusammenwohnen, und für Steuerpflichtige, die einen thematischen Urlaub in Anspruch nehmen (Elternschaftsurlaub, medizinischer Beistand, Palliativpflege).</w:t>
      </w:r>
    </w:p>
    <w:p w14:paraId="58E9CED6" w14:textId="77777777" w:rsidR="007A5656" w:rsidRPr="00A21F71" w:rsidRDefault="007A5656" w:rsidP="007A5656">
      <w:pPr>
        <w:jc w:val="both"/>
        <w:rPr>
          <w:rFonts w:eastAsia="Calibri"/>
          <w:lang w:eastAsia="de-DE" w:bidi="de-DE"/>
        </w:rPr>
      </w:pPr>
    </w:p>
    <w:p w14:paraId="1CB0D810" w14:textId="77777777" w:rsidR="007A5656" w:rsidRPr="00A21F71" w:rsidRDefault="007A5656" w:rsidP="007A5656">
      <w:pPr>
        <w:jc w:val="both"/>
        <w:rPr>
          <w:rFonts w:eastAsia="Calibri"/>
          <w:u w:val="dotted"/>
          <w:lang w:eastAsia="de-DE" w:bidi="de-DE"/>
        </w:rPr>
      </w:pPr>
      <w:r w:rsidRPr="00A21F71">
        <w:rPr>
          <w:rFonts w:eastAsia="Calibri"/>
          <w:lang w:eastAsia="de-DE" w:bidi="de-DE"/>
        </w:rPr>
        <w:tab/>
        <w:t xml:space="preserve">10. </w:t>
      </w:r>
      <w:r w:rsidRPr="00A21F71">
        <w:rPr>
          <w:rFonts w:eastAsia="Calibri"/>
          <w:u w:val="dotted"/>
          <w:lang w:eastAsia="de-DE" w:bidi="de-DE"/>
        </w:rPr>
        <w:t>Halbzeitbeschäftigung ab fünfzig oder fünfundfünfzig Jahren oder Viertagewoche</w:t>
      </w:r>
    </w:p>
    <w:p w14:paraId="475D9C01" w14:textId="77777777" w:rsidR="007A5656" w:rsidRPr="00A21F71" w:rsidRDefault="007A5656" w:rsidP="007A5656">
      <w:pPr>
        <w:jc w:val="both"/>
        <w:rPr>
          <w:rFonts w:eastAsia="Calibri"/>
          <w:u w:val="dotted"/>
          <w:lang w:eastAsia="de-DE" w:bidi="de-DE"/>
        </w:rPr>
      </w:pPr>
    </w:p>
    <w:p w14:paraId="6D36A30F" w14:textId="77777777" w:rsidR="007A5656" w:rsidRPr="00A21F71" w:rsidRDefault="007A5656" w:rsidP="007A5656">
      <w:pPr>
        <w:jc w:val="both"/>
        <w:rPr>
          <w:rFonts w:eastAsia="Calibri"/>
          <w:lang w:eastAsia="de-DE" w:bidi="de-DE"/>
        </w:rPr>
      </w:pPr>
      <w:r w:rsidRPr="00A21F71">
        <w:rPr>
          <w:rFonts w:eastAsia="Calibri"/>
          <w:lang w:eastAsia="de-DE" w:bidi="de-DE"/>
        </w:rPr>
        <w:tab/>
        <w:t>Gesetzliche Prämien, die Personalmitgliedern öffentlicher Dienste anlässlich einer Halbzeitbeschäftigung ab fünfzig oder fünfundfünfzig Jahren oder einer Viertagewoche gewährt werden, unterliegen dem Berufssteuervorabzug zum Satz von 17,15 Prozent (ohne Ermäßigung).</w:t>
      </w:r>
    </w:p>
    <w:p w14:paraId="641A6857" w14:textId="77777777" w:rsidR="007A5656" w:rsidRPr="00A21F71" w:rsidRDefault="007A5656" w:rsidP="007A5656">
      <w:pPr>
        <w:rPr>
          <w:rFonts w:eastAsia="Calibri"/>
          <w:lang w:eastAsia="de-DE" w:bidi="de-DE"/>
        </w:rPr>
      </w:pPr>
    </w:p>
    <w:p w14:paraId="6421AF0A" w14:textId="77777777" w:rsidR="007A5656" w:rsidRPr="00A21F71" w:rsidRDefault="007A5656" w:rsidP="007A5656">
      <w:pPr>
        <w:rPr>
          <w:rFonts w:eastAsia="Calibri"/>
          <w:lang w:eastAsia="de-DE" w:bidi="de-DE"/>
        </w:rPr>
      </w:pPr>
      <w:r w:rsidRPr="00A21F71">
        <w:rPr>
          <w:rFonts w:eastAsia="Calibri"/>
          <w:lang w:eastAsia="de-DE" w:bidi="de-DE"/>
        </w:rPr>
        <w:tab/>
        <w:t>C. Selbständige und mithelfende Ehepartner</w:t>
      </w:r>
    </w:p>
    <w:p w14:paraId="7B44FFE0" w14:textId="77777777" w:rsidR="007A5656" w:rsidRPr="00A21F71" w:rsidRDefault="007A5656" w:rsidP="007A5656">
      <w:pPr>
        <w:rPr>
          <w:rFonts w:eastAsia="Calibri"/>
          <w:lang w:eastAsia="de-DE" w:bidi="de-DE"/>
        </w:rPr>
      </w:pPr>
    </w:p>
    <w:p w14:paraId="21192E23" w14:textId="77777777" w:rsidR="007A5656" w:rsidRPr="00A21F71" w:rsidRDefault="007A5656" w:rsidP="007A5656">
      <w:pPr>
        <w:rPr>
          <w:rFonts w:eastAsia="Calibri"/>
          <w:lang w:eastAsia="de-DE" w:bidi="de-DE"/>
        </w:rPr>
      </w:pPr>
      <w:r w:rsidRPr="00A21F71">
        <w:rPr>
          <w:rFonts w:eastAsia="Calibri"/>
          <w:lang w:eastAsia="de-DE" w:bidi="de-DE"/>
        </w:rPr>
        <w:tab/>
        <w:t xml:space="preserve">1. </w:t>
      </w:r>
      <w:r w:rsidRPr="00A21F71">
        <w:rPr>
          <w:rFonts w:eastAsia="Calibri"/>
          <w:u w:val="dotted"/>
          <w:lang w:eastAsia="de-DE" w:bidi="de-DE"/>
        </w:rPr>
        <w:t>Primäre Unfähigkeit</w:t>
      </w:r>
    </w:p>
    <w:p w14:paraId="5E0BAEA2" w14:textId="77777777" w:rsidR="007A5656" w:rsidRPr="00A21F71" w:rsidRDefault="007A5656" w:rsidP="007A5656">
      <w:pPr>
        <w:jc w:val="both"/>
        <w:rPr>
          <w:rFonts w:eastAsia="Calibri"/>
          <w:lang w:eastAsia="de-DE" w:bidi="de-DE"/>
        </w:rPr>
      </w:pPr>
    </w:p>
    <w:p w14:paraId="0137665B" w14:textId="77777777" w:rsidR="007A5656" w:rsidRPr="00A21F71" w:rsidRDefault="007A5656" w:rsidP="007A5656">
      <w:pPr>
        <w:jc w:val="both"/>
        <w:rPr>
          <w:rFonts w:eastAsia="Calibri"/>
          <w:lang w:eastAsia="de-DE" w:bidi="de-DE"/>
        </w:rPr>
      </w:pPr>
      <w:r w:rsidRPr="00A21F71">
        <w:rPr>
          <w:rFonts w:eastAsia="Calibri"/>
          <w:lang w:eastAsia="de-DE" w:bidi="de-DE"/>
        </w:rPr>
        <w:tab/>
        <w:t>a) Gesetzliche Krankheits- und Invaliditätsentschädigungen, die während eines Zeitraums primärer Unfähigkeit wie in Artikel 7 des Königlichen Erlasses vom 20. Juli 1971 zur Einführung einer Entschädigungs- und einer Mutterschaftsversicherung zugunsten der Selbstständigen und der mithelfenden Ehepartner bestimmt gezahlt oder zuerkannt werden, unterliegen dem Berufssteuervorabzug zum Satz von 11,11 Prozent (ohne Ermäßigung), insofern der Zeitraum primärer Unfähigkeit nach dem 31. Dezember 2003 beginnt.</w:t>
      </w:r>
    </w:p>
    <w:p w14:paraId="455E5AF2"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4FD3BDFF"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b) Der gemäß Buchstabe a) berechnete Berufssteuervorabzug darf jedoch nicht zur Folge haben, dass der Betrag der schließlich zu zahlenden Entschädigung niedriger ist als der in Artikel 93</w:t>
      </w:r>
      <w:r w:rsidRPr="00A21F71">
        <w:rPr>
          <w:rFonts w:eastAsia="Calibri"/>
          <w:i/>
          <w:lang w:eastAsia="de-DE" w:bidi="de-DE"/>
        </w:rPr>
        <w:t>bis</w:t>
      </w:r>
      <w:r w:rsidRPr="00A21F71">
        <w:rPr>
          <w:rFonts w:eastAsia="Calibri"/>
          <w:lang w:eastAsia="de-DE" w:bidi="de-DE"/>
        </w:rPr>
        <w:t xml:space="preserve"> des am 14. Juli 1994 koordinierten Gesetzes über die Gesundheitspflege- und Entschädigungspflichtversicherung erwähnte Mindestbetrag der Invaliditätsentschädigung, außer wenn Leistungen aufgrund von Artikel 28 oder 29 § 1 Nr. 1 bis 4 des vorerwähnten Königlichen Erlasses verweigert oder verringert werden.</w:t>
      </w:r>
    </w:p>
    <w:p w14:paraId="092CBAE7" w14:textId="77777777" w:rsidR="007A5656" w:rsidRPr="00A21F71" w:rsidRDefault="007A5656" w:rsidP="007A5656">
      <w:pPr>
        <w:jc w:val="both"/>
        <w:rPr>
          <w:rFonts w:eastAsia="Calibri"/>
          <w:lang w:eastAsia="de-DE" w:bidi="de-DE"/>
        </w:rPr>
      </w:pPr>
    </w:p>
    <w:p w14:paraId="140AEC8A"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2. </w:t>
      </w:r>
      <w:r w:rsidRPr="00A21F71">
        <w:rPr>
          <w:rFonts w:eastAsia="Calibri"/>
          <w:u w:val="dotted"/>
          <w:lang w:eastAsia="de-DE" w:bidi="de-DE"/>
        </w:rPr>
        <w:t>Mutterschaftsversicherung</w:t>
      </w:r>
    </w:p>
    <w:p w14:paraId="02211B97" w14:textId="77777777" w:rsidR="007A5656" w:rsidRPr="00A21F71" w:rsidRDefault="007A5656" w:rsidP="007A5656">
      <w:pPr>
        <w:jc w:val="both"/>
        <w:rPr>
          <w:rFonts w:eastAsia="Calibri"/>
          <w:lang w:eastAsia="de-DE" w:bidi="de-DE"/>
        </w:rPr>
      </w:pPr>
    </w:p>
    <w:p w14:paraId="4B2C1ED6" w14:textId="77777777" w:rsidR="007A5656" w:rsidRPr="00A21F71" w:rsidRDefault="007A5656" w:rsidP="007A5656">
      <w:pPr>
        <w:jc w:val="both"/>
        <w:rPr>
          <w:rFonts w:eastAsia="Calibri"/>
          <w:lang w:eastAsia="de-DE" w:bidi="de-DE"/>
        </w:rPr>
      </w:pPr>
      <w:r w:rsidRPr="00A21F71">
        <w:rPr>
          <w:rFonts w:eastAsia="Calibri"/>
          <w:lang w:eastAsia="de-DE" w:bidi="de-DE"/>
        </w:rPr>
        <w:tab/>
        <w:t>Mutterschaftsgeld, das gemäß Artikel 94 des Königlichen Erlasses vom 20. Juli 1971 zur Einführung einer Entschädigungs- und einer Mutterschaftsversicherung zugunsten der Selbstständigen und der mithelfenden Ehepartner gezahlt oder zuerkannt wird, unterliegt dem Berufssteuervorabzug zum Satz von 11,11 Prozent (ohne Ermäßigung), insofern der Zeitraum der Mutterschaftsruhe nach dem 31. Dezember 2003 beginnt.</w:t>
      </w:r>
    </w:p>
    <w:p w14:paraId="76A7CD4F" w14:textId="77777777" w:rsidR="007A5656" w:rsidRPr="00A21F71" w:rsidRDefault="007A5656" w:rsidP="007A5656">
      <w:pPr>
        <w:jc w:val="both"/>
        <w:rPr>
          <w:rFonts w:eastAsia="Calibri"/>
          <w:lang w:eastAsia="de-DE" w:bidi="de-DE"/>
        </w:rPr>
      </w:pPr>
    </w:p>
    <w:p w14:paraId="1E7C512D" w14:textId="77777777" w:rsidR="007A5656" w:rsidRPr="00A21F71" w:rsidRDefault="007A5656" w:rsidP="007A5656">
      <w:pPr>
        <w:jc w:val="both"/>
        <w:rPr>
          <w:rFonts w:eastAsia="Calibri"/>
          <w:lang w:eastAsia="de-DE" w:bidi="de-DE"/>
        </w:rPr>
      </w:pPr>
      <w:r w:rsidRPr="00A21F71">
        <w:rPr>
          <w:rFonts w:eastAsia="Calibri"/>
          <w:lang w:eastAsia="de-DE" w:bidi="de-DE"/>
        </w:rPr>
        <w:tab/>
        <w:t>D. Gesetzliche oder außergesetzliche Entschädigungen, die als Entschädigung für einen zeitweiligen Gewinn- oder Profitausfall gezahlt oder zuerkannt werden, selbst wenn sie aus einer vorherigen beruflichen Tätigkeit stammen, und die dem Empfänger durch einen Versicherungsträger, eine andere Einrichtung oder eine andere Zwischenperson gezahlt werden, unterliegen dem Berufssteuervorabzug zum Satz von 11,11 oder 22,20 Prozent (ohne Ermäßigung), je nachdem, ob es sich um gesetzliche oder außergesetzliche Entschädigungen handelt.</w:t>
      </w:r>
    </w:p>
    <w:p w14:paraId="22430065" w14:textId="77777777" w:rsidR="007A5656" w:rsidRPr="00A21F71" w:rsidRDefault="007A5656" w:rsidP="007A5656">
      <w:pPr>
        <w:jc w:val="both"/>
        <w:rPr>
          <w:rFonts w:eastAsia="Calibri"/>
          <w:lang w:eastAsia="de-DE" w:bidi="de-DE"/>
        </w:rPr>
      </w:pPr>
    </w:p>
    <w:p w14:paraId="7F72DC62" w14:textId="77777777" w:rsidR="007A5656" w:rsidRPr="00A21F71" w:rsidRDefault="007A5656" w:rsidP="007A5656">
      <w:pPr>
        <w:jc w:val="both"/>
        <w:rPr>
          <w:rFonts w:eastAsia="Calibri"/>
          <w:lang w:eastAsia="de-DE" w:bidi="de-DE"/>
        </w:rPr>
      </w:pPr>
      <w:r w:rsidRPr="00A21F71">
        <w:rPr>
          <w:rFonts w:eastAsia="Calibri"/>
          <w:lang w:eastAsia="de-DE" w:bidi="de-DE"/>
        </w:rPr>
        <w:tab/>
        <w:t>E. Jedoch muss kein Berufssteuervorabzug einbehalten werden, wenn der Empfänger der Entschädigung ein Arbeitnehmer ist, der nachweist, dass ein Zwölftel des Jahresbetrags der Entlohnung, die als Grundlage für die Berechnung der Entschädigung gedient hat, gemäß den auf monatlich gezahlte Entlohnungen anwendbaren Regeln, die in den Nummern 2.2 bis 2.5 vorgesehen sind, keinem Berufssteuervorabzug unterliegt.</w:t>
      </w:r>
    </w:p>
    <w:p w14:paraId="747D968E" w14:textId="77777777" w:rsidR="007A5656" w:rsidRPr="00A21F71" w:rsidRDefault="007A5656" w:rsidP="007A5656">
      <w:pPr>
        <w:jc w:val="both"/>
        <w:rPr>
          <w:rFonts w:eastAsia="Calibri"/>
          <w:lang w:eastAsia="de-DE" w:bidi="de-DE"/>
        </w:rPr>
      </w:pPr>
    </w:p>
    <w:p w14:paraId="1105C8A4" w14:textId="77777777" w:rsidR="007A5656" w:rsidRPr="00A21F71" w:rsidRDefault="007A5656" w:rsidP="007A5656">
      <w:pPr>
        <w:jc w:val="both"/>
        <w:rPr>
          <w:rFonts w:eastAsia="Calibri"/>
          <w:lang w:eastAsia="de-DE" w:bidi="de-DE"/>
        </w:rPr>
      </w:pPr>
      <w:r w:rsidRPr="00A21F71">
        <w:rPr>
          <w:rFonts w:eastAsia="Calibri"/>
          <w:lang w:eastAsia="de-DE" w:bidi="de-DE"/>
        </w:rPr>
        <w:tab/>
        <w:t>F. Auf andere als die in den Punkten B und C erwähnten gesetzlichen Entschädigungen, die aufgrund der Rechtsvorschriften über die Kranken- und Invaliden</w:t>
      </w:r>
      <w:r w:rsidRPr="00A21F71">
        <w:rPr>
          <w:rFonts w:eastAsia="Calibri"/>
          <w:lang w:eastAsia="de-DE" w:bidi="de-DE"/>
        </w:rPr>
        <w:softHyphen/>
        <w:t>versicherung zuerkannt werden, wird kein Berufssteuervorabzug geschuldet.</w:t>
      </w:r>
    </w:p>
    <w:p w14:paraId="25EEE338" w14:textId="77777777" w:rsidR="007A5656" w:rsidRPr="00A21F71" w:rsidRDefault="007A5656" w:rsidP="007A5656">
      <w:pPr>
        <w:jc w:val="both"/>
        <w:rPr>
          <w:rFonts w:eastAsia="Calibri"/>
          <w:lang w:eastAsia="de-DE" w:bidi="de-DE"/>
        </w:rPr>
      </w:pPr>
    </w:p>
    <w:p w14:paraId="588F9231" w14:textId="77777777" w:rsidR="007A5656" w:rsidRPr="00A21F71" w:rsidRDefault="007A5656" w:rsidP="007A5656">
      <w:pPr>
        <w:jc w:val="both"/>
        <w:rPr>
          <w:rFonts w:eastAsia="Calibri"/>
          <w:lang w:eastAsia="de-DE" w:bidi="de-DE"/>
        </w:rPr>
      </w:pPr>
      <w:r w:rsidRPr="00A21F71">
        <w:rPr>
          <w:rFonts w:eastAsia="Calibri"/>
          <w:lang w:eastAsia="de-DE" w:bidi="de-DE"/>
        </w:rPr>
        <w:tab/>
        <w:t>2.13 Arbeitslosengeld</w:t>
      </w:r>
    </w:p>
    <w:p w14:paraId="16E83A25" w14:textId="77777777" w:rsidR="007A5656" w:rsidRPr="00A21F71" w:rsidRDefault="007A5656" w:rsidP="007A5656">
      <w:pPr>
        <w:jc w:val="both"/>
        <w:rPr>
          <w:rFonts w:eastAsia="Calibri"/>
          <w:lang w:eastAsia="de-DE" w:bidi="de-DE"/>
        </w:rPr>
      </w:pPr>
    </w:p>
    <w:p w14:paraId="660B56D6" w14:textId="77777777" w:rsidR="007A5656" w:rsidRPr="00A21F71" w:rsidRDefault="007A5656" w:rsidP="007A5656">
      <w:pPr>
        <w:jc w:val="both"/>
        <w:rPr>
          <w:rFonts w:eastAsia="Calibri"/>
          <w:lang w:eastAsia="de-DE" w:bidi="de-DE"/>
        </w:rPr>
      </w:pPr>
      <w:r w:rsidRPr="00A21F71">
        <w:rPr>
          <w:rFonts w:eastAsia="Calibri"/>
          <w:lang w:eastAsia="de-DE" w:bidi="de-DE"/>
        </w:rPr>
        <w:tab/>
        <w:t>A. Gesetzliche und außergesetzliche Beihilfen jeglicher Art, Eingliederungszulagen einbegriffen, die als vollständige Entschädigung oder Teilentschädigung für einen zeitweiligen Lohnausfall aufgrund einer Voll- oder Teilarbeitslosigkeit bezogen werden und nicht in den Nummern 2.15 und 2.16 erwähnt sind, unterliegen dem Berufssteuervorabzug zum Satz von 10,09 Prozent (ohne Ermäßigung).</w:t>
      </w:r>
    </w:p>
    <w:p w14:paraId="5C0F2ED3" w14:textId="77777777" w:rsidR="007A5656" w:rsidRPr="00A21F71" w:rsidRDefault="007A5656" w:rsidP="007A5656">
      <w:pPr>
        <w:jc w:val="both"/>
        <w:rPr>
          <w:rFonts w:eastAsia="Calibri"/>
          <w:lang w:eastAsia="de-DE" w:bidi="de-DE"/>
        </w:rPr>
      </w:pPr>
    </w:p>
    <w:p w14:paraId="4D8441BF" w14:textId="77777777" w:rsidR="007A5656" w:rsidRPr="00A21F71" w:rsidRDefault="007A5656" w:rsidP="007A5656">
      <w:pPr>
        <w:jc w:val="both"/>
        <w:rPr>
          <w:rFonts w:eastAsia="Calibri"/>
          <w:lang w:eastAsia="de-DE" w:bidi="de-DE"/>
        </w:rPr>
      </w:pPr>
      <w:r w:rsidRPr="00A21F71">
        <w:rPr>
          <w:rFonts w:eastAsia="Calibri"/>
          <w:lang w:eastAsia="de-DE" w:bidi="de-DE"/>
        </w:rPr>
        <w:tab/>
        <w:t>B. In Abweichung von Punkt A muss kein Berufssteuervorabzug einbehalten werden auf das gesetzliche Arbeitslosengeld oder gesetzliche Eingliederungszulagen eines Arbeitnehmers, der Vollarbeitsloser ist, keinerlei Einkünfte aus einer beruflichen Tätigkeit bezieht und im Sinne der Vorschriften über Arbeitslosigkeit die Eigenschaft hat:</w:t>
      </w:r>
    </w:p>
    <w:p w14:paraId="65DB2835" w14:textId="77777777" w:rsidR="007A5656" w:rsidRPr="00A21F71" w:rsidRDefault="007A5656" w:rsidP="007A5656">
      <w:pPr>
        <w:jc w:val="both"/>
        <w:rPr>
          <w:rFonts w:eastAsia="Calibri"/>
          <w:lang w:eastAsia="de-DE" w:bidi="de-DE"/>
        </w:rPr>
      </w:pPr>
    </w:p>
    <w:p w14:paraId="23A261B5" w14:textId="77777777" w:rsidR="007A5656" w:rsidRPr="00A21F71" w:rsidRDefault="007A5656" w:rsidP="007A5656">
      <w:pPr>
        <w:jc w:val="both"/>
        <w:rPr>
          <w:rFonts w:eastAsia="Calibri"/>
          <w:lang w:eastAsia="de-DE" w:bidi="de-DE"/>
        </w:rPr>
      </w:pPr>
      <w:r w:rsidRPr="00A21F71">
        <w:rPr>
          <w:rFonts w:eastAsia="Calibri"/>
          <w:lang w:eastAsia="de-DE" w:bidi="de-DE"/>
        </w:rPr>
        <w:tab/>
        <w:t>- entweder eines Zusammenwohnenden, der Anspruch auf eine Zulage wegen Ausfall des einzigen Einkommens hat,</w:t>
      </w:r>
    </w:p>
    <w:p w14:paraId="278B182D" w14:textId="77777777" w:rsidR="007A5656" w:rsidRPr="00A21F71" w:rsidRDefault="007A5656" w:rsidP="007A5656">
      <w:pPr>
        <w:jc w:val="both"/>
        <w:rPr>
          <w:rFonts w:eastAsia="Calibri"/>
          <w:lang w:eastAsia="de-DE" w:bidi="de-DE"/>
        </w:rPr>
      </w:pPr>
      <w:r w:rsidRPr="00A21F71">
        <w:rPr>
          <w:rFonts w:eastAsia="Calibri"/>
          <w:lang w:eastAsia="de-DE" w:bidi="de-DE"/>
        </w:rPr>
        <w:br w:type="page"/>
      </w:r>
      <w:r w:rsidRPr="00A21F71">
        <w:rPr>
          <w:rFonts w:eastAsia="Calibri"/>
          <w:lang w:eastAsia="de-DE" w:bidi="de-DE"/>
        </w:rPr>
        <w:lastRenderedPageBreak/>
        <w:tab/>
        <w:t>- oder eines Zusammenwohnenden, der weder auf eine Zulage wegen Ausfall des einzigen Einkommens noch auf eine Anpassungszulage Anspruch hat, und, wenn der Arbeitnehmer mit einem Ehepartner zusammenwohnt, unter der Voraussetzung, dass die Berufseinkünfte dieses Ehepartners ausschließlich aus Ersatzeinkünften bestehen,</w:t>
      </w:r>
    </w:p>
    <w:p w14:paraId="1E2B2B66" w14:textId="77777777" w:rsidR="007A5656" w:rsidRPr="00A21F71" w:rsidRDefault="007A5656" w:rsidP="007A5656">
      <w:pPr>
        <w:jc w:val="both"/>
        <w:rPr>
          <w:rFonts w:eastAsia="Calibri"/>
          <w:lang w:eastAsia="de-DE" w:bidi="de-DE"/>
        </w:rPr>
      </w:pPr>
    </w:p>
    <w:p w14:paraId="792CB29B" w14:textId="77777777" w:rsidR="007A5656" w:rsidRPr="00A21F71" w:rsidRDefault="007A5656" w:rsidP="007A5656">
      <w:pPr>
        <w:jc w:val="both"/>
        <w:rPr>
          <w:rFonts w:eastAsia="Calibri"/>
          <w:lang w:eastAsia="de-DE" w:bidi="de-DE"/>
        </w:rPr>
      </w:pPr>
      <w:r w:rsidRPr="00A21F71">
        <w:rPr>
          <w:rFonts w:eastAsia="Calibri"/>
          <w:lang w:eastAsia="de-DE" w:bidi="de-DE"/>
        </w:rPr>
        <w:tab/>
        <w:t>- oder eines Zusammenwohnenden, der nur Arbeitslosengeld bezieht, das aus dem gesetzlichen Pauschalbetrag, ob erhöht oder nicht, besteht,</w:t>
      </w:r>
    </w:p>
    <w:p w14:paraId="42CCDA3F" w14:textId="77777777" w:rsidR="007A5656" w:rsidRPr="00A21F71" w:rsidRDefault="007A5656" w:rsidP="007A5656">
      <w:pPr>
        <w:jc w:val="both"/>
        <w:rPr>
          <w:rFonts w:eastAsia="Calibri"/>
          <w:lang w:eastAsia="de-DE" w:bidi="de-DE"/>
        </w:rPr>
      </w:pPr>
    </w:p>
    <w:p w14:paraId="47DD7921" w14:textId="77777777" w:rsidR="007A5656" w:rsidRPr="00A21F71" w:rsidRDefault="007A5656" w:rsidP="007A5656">
      <w:pPr>
        <w:jc w:val="both"/>
        <w:rPr>
          <w:rFonts w:eastAsia="Calibri"/>
          <w:lang w:eastAsia="de-DE" w:bidi="de-DE"/>
        </w:rPr>
      </w:pPr>
      <w:r w:rsidRPr="00A21F71">
        <w:rPr>
          <w:rFonts w:eastAsia="Calibri"/>
          <w:lang w:eastAsia="de-DE" w:bidi="de-DE"/>
        </w:rPr>
        <w:tab/>
        <w:t>- oder eines Alleinstehenden</w:t>
      </w:r>
    </w:p>
    <w:p w14:paraId="167CC374" w14:textId="77777777" w:rsidR="007A5656" w:rsidRPr="00A21F71" w:rsidRDefault="007A5656" w:rsidP="007A5656">
      <w:pPr>
        <w:jc w:val="both"/>
        <w:rPr>
          <w:rFonts w:eastAsia="Calibri"/>
          <w:lang w:eastAsia="de-DE" w:bidi="de-DE"/>
        </w:rPr>
      </w:pPr>
    </w:p>
    <w:p w14:paraId="4B62F229" w14:textId="77777777" w:rsidR="007A5656" w:rsidRPr="00A21F71" w:rsidRDefault="007A5656" w:rsidP="007A5656">
      <w:pPr>
        <w:jc w:val="both"/>
        <w:rPr>
          <w:rFonts w:eastAsia="Calibri"/>
          <w:lang w:eastAsia="de-DE" w:bidi="de-DE"/>
        </w:rPr>
      </w:pPr>
      <w:r w:rsidRPr="00A21F71">
        <w:rPr>
          <w:rFonts w:eastAsia="Calibri"/>
          <w:lang w:eastAsia="de-DE" w:bidi="de-DE"/>
        </w:rPr>
        <w:tab/>
        <w:t>- oder eines Arbeitnehmers, der Anspruch auf eine Eingliederungszulage hat,</w:t>
      </w:r>
    </w:p>
    <w:p w14:paraId="2DF0F180" w14:textId="77777777" w:rsidR="007A5656" w:rsidRPr="00A21F71" w:rsidRDefault="007A5656" w:rsidP="007A5656">
      <w:pPr>
        <w:jc w:val="both"/>
        <w:rPr>
          <w:rFonts w:eastAsia="Calibri"/>
          <w:lang w:eastAsia="de-DE" w:bidi="de-DE"/>
        </w:rPr>
      </w:pPr>
    </w:p>
    <w:p w14:paraId="0F6D96D7" w14:textId="77777777" w:rsidR="007A5656" w:rsidRPr="00A21F71" w:rsidRDefault="007A5656" w:rsidP="007A5656">
      <w:pPr>
        <w:jc w:val="both"/>
        <w:rPr>
          <w:rFonts w:eastAsia="Calibri"/>
          <w:lang w:eastAsia="de-DE" w:bidi="de-DE"/>
        </w:rPr>
      </w:pPr>
      <w:r w:rsidRPr="00A21F71">
        <w:rPr>
          <w:rFonts w:eastAsia="Calibri"/>
          <w:lang w:eastAsia="de-DE" w:bidi="de-DE"/>
        </w:rPr>
        <w:tab/>
        <w:t>- oder eines Arbeitnehmers, dem aus sozialen oder familiären Gründen eine Befreiung gewährt worden ist.</w:t>
      </w:r>
    </w:p>
    <w:p w14:paraId="7A4079B0" w14:textId="77777777" w:rsidR="007A5656" w:rsidRPr="00A21F71" w:rsidRDefault="007A5656" w:rsidP="007A5656">
      <w:pPr>
        <w:jc w:val="both"/>
        <w:rPr>
          <w:rFonts w:eastAsia="Calibri"/>
          <w:lang w:eastAsia="de-DE" w:bidi="de-DE"/>
        </w:rPr>
      </w:pPr>
    </w:p>
    <w:p w14:paraId="16894F00" w14:textId="77777777" w:rsidR="007A5656" w:rsidRPr="00A21F71" w:rsidRDefault="007A5656" w:rsidP="007A5656">
      <w:pPr>
        <w:jc w:val="both"/>
        <w:rPr>
          <w:rFonts w:eastAsia="Calibri"/>
          <w:lang w:eastAsia="de-DE" w:bidi="de-DE"/>
        </w:rPr>
      </w:pPr>
      <w:r w:rsidRPr="00A21F71">
        <w:rPr>
          <w:rFonts w:eastAsia="Calibri"/>
          <w:lang w:eastAsia="de-DE" w:bidi="de-DE"/>
        </w:rPr>
        <w:tab/>
        <w:t>C. In Abweichung von den Punkten A und B unterliegen gesetzliche und außergesetzliche Beihilfen, die zeitweiligen Arbeitslosen erwähnt in Artikel 27 Nr. 2 des Königlichen Erlasses vom 25. November 1991 zur Regelung der Arbeitslosigkeit gezahlt oder zuerkannt werden, dem Berufssteuervorabzug zum Satz von 26,75 Prozent (ohne Ermäßigung).</w:t>
      </w:r>
    </w:p>
    <w:p w14:paraId="2CA8626E" w14:textId="77777777" w:rsidR="007A5656" w:rsidRPr="00A21F71" w:rsidRDefault="007A5656" w:rsidP="007A5656">
      <w:pPr>
        <w:jc w:val="both"/>
        <w:rPr>
          <w:rFonts w:eastAsia="Calibri"/>
          <w:lang w:eastAsia="de-DE" w:bidi="de-DE"/>
        </w:rPr>
      </w:pPr>
    </w:p>
    <w:p w14:paraId="52D4EEFA" w14:textId="77777777" w:rsidR="007A5656" w:rsidRPr="00A21F71" w:rsidRDefault="007A5656" w:rsidP="007A5656">
      <w:pPr>
        <w:jc w:val="both"/>
        <w:rPr>
          <w:rFonts w:eastAsia="Calibri"/>
          <w:lang w:eastAsia="de-DE" w:bidi="de-DE"/>
        </w:rPr>
      </w:pPr>
      <w:r w:rsidRPr="00A21F71">
        <w:rPr>
          <w:rFonts w:eastAsia="Calibri"/>
          <w:lang w:eastAsia="de-DE" w:bidi="de-DE"/>
        </w:rPr>
        <w:tab/>
        <w:t>2.14 Arbeitslosengeld mit Betriebszuschlag</w:t>
      </w:r>
    </w:p>
    <w:p w14:paraId="4DE0BE91" w14:textId="77777777" w:rsidR="007A5656" w:rsidRPr="00A21F71" w:rsidRDefault="007A5656" w:rsidP="007A5656">
      <w:pPr>
        <w:jc w:val="both"/>
        <w:rPr>
          <w:rFonts w:eastAsia="Calibri"/>
          <w:lang w:eastAsia="de-DE" w:bidi="de-DE"/>
        </w:rPr>
      </w:pPr>
    </w:p>
    <w:p w14:paraId="41FBA109" w14:textId="77777777" w:rsidR="007A5656" w:rsidRPr="00A21F71" w:rsidRDefault="007A5656" w:rsidP="007A5656">
      <w:pPr>
        <w:jc w:val="both"/>
        <w:rPr>
          <w:rFonts w:eastAsia="Calibri"/>
          <w:lang w:eastAsia="de-DE" w:bidi="de-DE"/>
        </w:rPr>
      </w:pPr>
      <w:r w:rsidRPr="00A21F71">
        <w:rPr>
          <w:rFonts w:eastAsia="Calibri"/>
          <w:lang w:eastAsia="de-DE" w:bidi="de-DE"/>
        </w:rPr>
        <w:tab/>
        <w:t>Entschädigungen, die im Rahmen oder anlässlich einer Regelung des Arbeitslosen</w:t>
      </w:r>
      <w:r w:rsidRPr="00A21F71">
        <w:rPr>
          <w:rFonts w:eastAsia="Calibri"/>
          <w:lang w:eastAsia="de-DE" w:bidi="de-DE"/>
        </w:rPr>
        <w:softHyphen/>
        <w:t>geldes mit Betriebszuschlag entlassenen oder frühpensionierten Arbeitnehmern gezahlt oder zuerkannt werden, sind vom Berufssteuervorabzug in dem Maße befreit, wie ihr Gesamtbetrag den für Arbeitslosengeld vorgesehenen Höchstbetrag nicht übersteigt.</w:t>
      </w:r>
    </w:p>
    <w:p w14:paraId="6D5DA05F" w14:textId="77777777" w:rsidR="007A5656" w:rsidRPr="00A21F71" w:rsidRDefault="007A5656" w:rsidP="007A5656">
      <w:pPr>
        <w:jc w:val="both"/>
        <w:rPr>
          <w:rFonts w:eastAsia="Calibri"/>
          <w:lang w:eastAsia="de-DE" w:bidi="de-DE"/>
        </w:rPr>
      </w:pPr>
    </w:p>
    <w:p w14:paraId="3BDE4F01" w14:textId="77777777" w:rsidR="007A5656" w:rsidRPr="00A21F71" w:rsidRDefault="007A5656" w:rsidP="007A5656">
      <w:pPr>
        <w:jc w:val="both"/>
        <w:rPr>
          <w:rFonts w:eastAsia="Calibri"/>
          <w:lang w:eastAsia="de-DE" w:bidi="de-DE"/>
        </w:rPr>
      </w:pPr>
      <w:r w:rsidRPr="00A21F71">
        <w:rPr>
          <w:rFonts w:eastAsia="Calibri"/>
          <w:lang w:eastAsia="de-DE" w:bidi="de-DE"/>
        </w:rPr>
        <w:tab/>
        <w:t>Was den Teil des Gesamtbetrags dieser Entschädigungen betrifft, der den vorerwähnten Höchstbetrag für Arbeitslosengeld übersteigt, müssen Schuldner dieses Teils den Berufssteuervorabzug einbehalten und entrichten. Dieser Berufssteuervorabzug wird gemäß den in den Nummern 4.1 bis 4.5 vorgesehenen Regeln auf der Grundlage des Gesamtbetrags der Entschädigungen berechnet.</w:t>
      </w:r>
    </w:p>
    <w:p w14:paraId="5A89A1D1" w14:textId="77777777" w:rsidR="007A5656" w:rsidRPr="00A21F71" w:rsidRDefault="007A5656" w:rsidP="007A5656">
      <w:pPr>
        <w:jc w:val="both"/>
        <w:rPr>
          <w:rFonts w:eastAsia="Calibri"/>
          <w:lang w:eastAsia="de-DE" w:bidi="de-DE"/>
        </w:rPr>
      </w:pPr>
    </w:p>
    <w:p w14:paraId="6D11C190" w14:textId="77777777" w:rsidR="007A5656" w:rsidRPr="00A21F71" w:rsidRDefault="007A5656" w:rsidP="007A5656">
      <w:pPr>
        <w:jc w:val="both"/>
        <w:rPr>
          <w:rFonts w:eastAsia="Calibri"/>
          <w:lang w:eastAsia="de-DE" w:bidi="de-DE"/>
        </w:rPr>
      </w:pPr>
      <w:r w:rsidRPr="00A21F71">
        <w:rPr>
          <w:rFonts w:eastAsia="Calibri"/>
          <w:lang w:eastAsia="de-DE" w:bidi="de-DE"/>
        </w:rPr>
        <w:tab/>
        <w:t>Von dem gemäß dem vorhergehenden Absatz berechneten Berufssteuervorabzug wird dann die in Nr. 2.2 Punkt A Buchstabe c) erwähnte Ermäßigung für Gruppenversicherung und für außergesetzliche Alters- und Todesfallversicherung abgezogen.</w:t>
      </w:r>
    </w:p>
    <w:p w14:paraId="5D3BAE11" w14:textId="77777777" w:rsidR="007A5656" w:rsidRPr="00A21F71" w:rsidRDefault="007A5656" w:rsidP="007A5656">
      <w:pPr>
        <w:jc w:val="both"/>
        <w:rPr>
          <w:rFonts w:eastAsia="Calibri"/>
          <w:lang w:eastAsia="de-DE" w:bidi="de-DE"/>
        </w:rPr>
      </w:pPr>
    </w:p>
    <w:p w14:paraId="5591ACA6" w14:textId="77777777" w:rsidR="007A5656" w:rsidRPr="00A21F71" w:rsidRDefault="007A5656" w:rsidP="007A5656">
      <w:pPr>
        <w:jc w:val="both"/>
        <w:rPr>
          <w:rFonts w:eastAsia="Calibri"/>
          <w:lang w:eastAsia="de-DE" w:bidi="de-DE"/>
        </w:rPr>
      </w:pPr>
      <w:r w:rsidRPr="00A21F71">
        <w:rPr>
          <w:rFonts w:eastAsia="Calibri"/>
          <w:lang w:eastAsia="de-DE" w:bidi="de-DE"/>
        </w:rPr>
        <w:tab/>
        <w:t>Arbeitslosengeld mit Betriebszuschlag setzt sich wie folgt zusammen:</w:t>
      </w:r>
    </w:p>
    <w:p w14:paraId="50993A6A" w14:textId="77777777" w:rsidR="007A5656" w:rsidRPr="00A21F71" w:rsidRDefault="007A5656" w:rsidP="007A5656">
      <w:pPr>
        <w:jc w:val="both"/>
        <w:rPr>
          <w:rFonts w:eastAsia="Calibri"/>
          <w:lang w:eastAsia="de-DE" w:bidi="de-DE"/>
        </w:rPr>
      </w:pPr>
    </w:p>
    <w:p w14:paraId="2162D3BE" w14:textId="77777777" w:rsidR="007A5656" w:rsidRPr="00A21F71" w:rsidRDefault="007A5656" w:rsidP="007A5656">
      <w:pPr>
        <w:jc w:val="both"/>
        <w:rPr>
          <w:rFonts w:eastAsia="Calibri"/>
          <w:lang w:eastAsia="de-DE" w:bidi="de-DE"/>
        </w:rPr>
      </w:pPr>
      <w:r w:rsidRPr="00A21F71">
        <w:rPr>
          <w:rFonts w:eastAsia="Calibri"/>
          <w:lang w:eastAsia="de-DE" w:bidi="de-DE"/>
        </w:rPr>
        <w:tab/>
        <w:t>1. Arbeitslosengeld,</w:t>
      </w:r>
    </w:p>
    <w:p w14:paraId="6761F4B1" w14:textId="77777777" w:rsidR="007A5656" w:rsidRPr="00A21F71" w:rsidRDefault="007A5656" w:rsidP="007A5656">
      <w:pPr>
        <w:jc w:val="both"/>
        <w:rPr>
          <w:rFonts w:eastAsia="Calibri"/>
          <w:lang w:eastAsia="de-DE" w:bidi="de-DE"/>
        </w:rPr>
      </w:pPr>
    </w:p>
    <w:p w14:paraId="33F50DE2" w14:textId="77777777" w:rsidR="007A5656" w:rsidRPr="00A21F71" w:rsidRDefault="007A5656" w:rsidP="007A5656">
      <w:pPr>
        <w:jc w:val="both"/>
        <w:rPr>
          <w:rFonts w:eastAsia="Calibri"/>
          <w:lang w:eastAsia="de-DE" w:bidi="de-DE"/>
        </w:rPr>
      </w:pPr>
      <w:r w:rsidRPr="00A21F71">
        <w:rPr>
          <w:rFonts w:eastAsia="Calibri"/>
          <w:lang w:eastAsia="de-DE" w:bidi="de-DE"/>
        </w:rPr>
        <w:tab/>
        <w:t>2. dem Betriebszuschlag erwähnt in Artikel 4 § 3 zweiter Gedankenstrich des kollektiven Arbeitsabkommens Nr. 17 vom 19. Dezember 1974 zur Einführung einer Zusatzentschädigungsregelung für bestimmte ältere Arbeitnehmer im Falle einer Kündigung und dem Betriebszuschlag erwähnt in einem kollektiven Arbeitsabkommen, das gemäß den Bestimmungen des Gesetzes vom 5. Dezember 1968 über die kollektiven Arbeitsabkommen und die paritätischen Kommissionen abgeschlossen wurde und Vorteile vorsieht, die mindestens denen entsprechen, die in vorerwähntem kollektivem Arbeitsabkommen Nr. 17 vorgesehen sind.</w:t>
      </w:r>
    </w:p>
    <w:p w14:paraId="5B2259F0" w14:textId="77777777" w:rsidR="007A5656" w:rsidRPr="00A21F71" w:rsidRDefault="007A5656" w:rsidP="007A5656">
      <w:pPr>
        <w:jc w:val="both"/>
        <w:rPr>
          <w:rFonts w:eastAsia="Calibri"/>
          <w:lang w:eastAsia="de-DE" w:bidi="de-DE"/>
        </w:rPr>
      </w:pPr>
      <w:r w:rsidRPr="00A21F71">
        <w:rPr>
          <w:rFonts w:eastAsia="Calibri"/>
          <w:lang w:eastAsia="de-DE" w:bidi="de-DE"/>
        </w:rPr>
        <w:br w:type="page"/>
      </w:r>
      <w:r w:rsidRPr="00A21F71">
        <w:rPr>
          <w:rFonts w:eastAsia="Calibri"/>
          <w:lang w:eastAsia="de-DE" w:bidi="de-DE"/>
        </w:rPr>
        <w:lastRenderedPageBreak/>
        <w:tab/>
        <w:t>2.15 Zusatzentschädigungen, die zusätzlich zu Arbeitslosengeld mit Betriebszuschlag außerhalb der Regelung des Arbeitslosengeldes mit Betriebszuschlag bezogen werden</w:t>
      </w:r>
    </w:p>
    <w:p w14:paraId="4FE126ED" w14:textId="77777777" w:rsidR="007A5656" w:rsidRPr="00A21F71" w:rsidRDefault="007A5656" w:rsidP="007A5656">
      <w:pPr>
        <w:jc w:val="both"/>
        <w:rPr>
          <w:rFonts w:eastAsia="Calibri"/>
          <w:lang w:eastAsia="de-DE" w:bidi="de-DE"/>
        </w:rPr>
      </w:pPr>
    </w:p>
    <w:p w14:paraId="0B9F2AAB" w14:textId="77777777" w:rsidR="007A5656" w:rsidRPr="00A21F71" w:rsidRDefault="007A5656" w:rsidP="007A5656">
      <w:pPr>
        <w:jc w:val="both"/>
        <w:rPr>
          <w:rFonts w:eastAsia="Calibri"/>
          <w:lang w:eastAsia="de-DE" w:bidi="de-DE"/>
        </w:rPr>
      </w:pPr>
      <w:r w:rsidRPr="00A21F71">
        <w:rPr>
          <w:rFonts w:eastAsia="Calibri"/>
          <w:lang w:eastAsia="de-DE" w:bidi="de-DE"/>
        </w:rPr>
        <w:tab/>
        <w:t>A. Der ehemalige Arbeitnehmer hat das Alter von fünfzig Jahren erreicht:</w:t>
      </w:r>
    </w:p>
    <w:p w14:paraId="74348A0E" w14:textId="77777777" w:rsidR="007A5656" w:rsidRPr="00A21F71" w:rsidRDefault="007A5656" w:rsidP="007A5656">
      <w:pPr>
        <w:jc w:val="both"/>
        <w:rPr>
          <w:rFonts w:eastAsia="Calibri"/>
          <w:lang w:eastAsia="de-DE" w:bidi="de-DE"/>
        </w:rPr>
      </w:pPr>
    </w:p>
    <w:p w14:paraId="1EA1342C" w14:textId="77777777" w:rsidR="007A5656" w:rsidRPr="00A21F71" w:rsidRDefault="007A5656" w:rsidP="007A5656">
      <w:pPr>
        <w:jc w:val="both"/>
        <w:rPr>
          <w:rFonts w:eastAsia="Calibri"/>
          <w:lang w:eastAsia="de-DE" w:bidi="de-DE"/>
        </w:rPr>
      </w:pPr>
      <w:r w:rsidRPr="00A21F71">
        <w:rPr>
          <w:rFonts w:eastAsia="Calibri"/>
          <w:lang w:eastAsia="de-DE" w:bidi="de-DE"/>
        </w:rPr>
        <w:tab/>
        <w:t>Zusatzentschädigungen, die der vorerwähnte Arbeitnehmer in einem Inaktivitäts</w:t>
      </w:r>
      <w:r w:rsidRPr="00A21F71">
        <w:rPr>
          <w:rFonts w:eastAsia="Calibri"/>
          <w:lang w:eastAsia="de-DE" w:bidi="de-DE"/>
        </w:rPr>
        <w:softHyphen/>
        <w:t>zeitraum, einem Zeitraum der Wiederaufnahme der Arbeit bei einem anderen Arbeitgeber oder der Wiederaufnahme der Arbeit als Selbständiger zusätzlich zu Arbeitslosengeld mit Betriebszuschlag bezieht, unterliegen dem Berufssteuervorabzug unter Berücksichtigung folgender Unterscheidung:</w:t>
      </w:r>
    </w:p>
    <w:p w14:paraId="295B43D8" w14:textId="77777777" w:rsidR="007A5656" w:rsidRPr="00A21F71" w:rsidRDefault="007A5656" w:rsidP="007A5656">
      <w:pPr>
        <w:jc w:val="both"/>
        <w:rPr>
          <w:rFonts w:eastAsia="Calibri"/>
          <w:lang w:eastAsia="de-DE" w:bidi="de-DE"/>
        </w:rPr>
      </w:pPr>
    </w:p>
    <w:p w14:paraId="2D46705D" w14:textId="77777777" w:rsidR="007A5656" w:rsidRPr="00A21F71" w:rsidRDefault="007A5656" w:rsidP="007A5656">
      <w:pPr>
        <w:jc w:val="both"/>
        <w:rPr>
          <w:rFonts w:eastAsia="Calibri"/>
          <w:lang w:eastAsia="de-DE" w:bidi="de-DE"/>
        </w:rPr>
      </w:pPr>
      <w:r w:rsidRPr="00A21F71">
        <w:rPr>
          <w:rFonts w:eastAsia="Calibri"/>
          <w:lang w:eastAsia="de-DE" w:bidi="de-DE"/>
        </w:rPr>
        <w:tab/>
        <w:t>- Die Verpflichtung des ehemaligen Arbeitgebers, diese Entschädigungen nach Wiederaufnahme der Arbeit weiterhin zu zahlen, ist in einem kollektiven Arbeitsabkommen oder einem individuellen Abkommen vermerkt, das die Zahlung der Zusatzentschädigung vorsieht: Der Berufssteuervorabzug beträgt 10,09 Prozent (ohne Ermäßigung).</w:t>
      </w:r>
    </w:p>
    <w:p w14:paraId="025170C9" w14:textId="77777777" w:rsidR="007A5656" w:rsidRPr="00A21F71" w:rsidRDefault="007A5656" w:rsidP="007A5656">
      <w:pPr>
        <w:jc w:val="both"/>
        <w:rPr>
          <w:rFonts w:eastAsia="Calibri"/>
          <w:lang w:eastAsia="de-DE" w:bidi="de-DE"/>
        </w:rPr>
      </w:pPr>
    </w:p>
    <w:p w14:paraId="09609010" w14:textId="77777777" w:rsidR="007A5656" w:rsidRPr="00A21F71" w:rsidRDefault="007A5656" w:rsidP="007A5656">
      <w:pPr>
        <w:jc w:val="both"/>
        <w:rPr>
          <w:rFonts w:eastAsia="Calibri"/>
          <w:lang w:eastAsia="de-DE" w:bidi="de-DE"/>
        </w:rPr>
      </w:pPr>
      <w:r w:rsidRPr="00A21F71">
        <w:rPr>
          <w:rFonts w:eastAsia="Calibri"/>
          <w:lang w:eastAsia="de-DE" w:bidi="de-DE"/>
        </w:rPr>
        <w:tab/>
        <w:t>- Die Verpflichtung des ehemaligen Arbeitgebers, diese Entschädigungen nach Wiederaufnahme der Arbeit weiterhin zu zahlen, ist in keinem kollektiven Arbeitsabkommen oder keinem individuellen Abkommen vermerkt, das die Zahlung der Zusatzentschädigung vorsieht: Der Berufssteuervorabzug beträgt 26,75 Prozent (ohne Ermäßigung).</w:t>
      </w:r>
    </w:p>
    <w:p w14:paraId="58835C67" w14:textId="77777777" w:rsidR="007A5656" w:rsidRPr="00A21F71" w:rsidRDefault="007A5656" w:rsidP="007A5656">
      <w:pPr>
        <w:jc w:val="both"/>
        <w:rPr>
          <w:rFonts w:eastAsia="Calibri"/>
          <w:lang w:eastAsia="de-DE" w:bidi="de-DE"/>
        </w:rPr>
      </w:pPr>
    </w:p>
    <w:p w14:paraId="427CBACB" w14:textId="77777777" w:rsidR="007A5656" w:rsidRPr="00A21F71" w:rsidRDefault="007A5656" w:rsidP="007A5656">
      <w:pPr>
        <w:jc w:val="both"/>
        <w:rPr>
          <w:rFonts w:eastAsia="Calibri"/>
          <w:lang w:eastAsia="de-DE" w:bidi="de-DE"/>
        </w:rPr>
      </w:pPr>
      <w:r w:rsidRPr="00A21F71">
        <w:rPr>
          <w:rFonts w:eastAsia="Calibri"/>
          <w:lang w:eastAsia="de-DE" w:bidi="de-DE"/>
        </w:rPr>
        <w:tab/>
        <w:t>B. Der ehemalige Arbeitnehmer hat das Alter von fünfzig Jahren nicht erreicht:</w:t>
      </w:r>
    </w:p>
    <w:p w14:paraId="4616D111" w14:textId="77777777" w:rsidR="007A5656" w:rsidRPr="00A21F71" w:rsidRDefault="007A5656" w:rsidP="007A5656">
      <w:pPr>
        <w:jc w:val="both"/>
        <w:rPr>
          <w:rFonts w:eastAsia="Calibri"/>
          <w:lang w:eastAsia="de-DE" w:bidi="de-DE"/>
        </w:rPr>
      </w:pPr>
    </w:p>
    <w:p w14:paraId="745F526A" w14:textId="77777777" w:rsidR="007A5656" w:rsidRPr="00A21F71" w:rsidRDefault="007A5656" w:rsidP="007A5656">
      <w:pPr>
        <w:jc w:val="both"/>
        <w:rPr>
          <w:rFonts w:eastAsia="Calibri"/>
          <w:lang w:eastAsia="de-DE" w:bidi="de-DE"/>
        </w:rPr>
      </w:pPr>
      <w:r w:rsidRPr="00A21F71">
        <w:rPr>
          <w:rFonts w:eastAsia="Calibri"/>
          <w:lang w:eastAsia="de-DE" w:bidi="de-DE"/>
        </w:rPr>
        <w:tab/>
        <w:t>Zusatzentschädigungen, die der vorerwähnte Arbeitnehmer in einem Inaktivitäts</w:t>
      </w:r>
      <w:r w:rsidRPr="00A21F71">
        <w:rPr>
          <w:rFonts w:eastAsia="Calibri"/>
          <w:lang w:eastAsia="de-DE" w:bidi="de-DE"/>
        </w:rPr>
        <w:softHyphen/>
        <w:t>zeitraum, einem Zeitraum der Wiederaufnahme der Arbeit bei einem anderen Arbeitgeber oder der Wiederaufnahme der Arbeit als Selbständiger zusätzlich zu Arbeitslosengeld mit Betriebszuschlag bezieht, unterliegen gemäß der in Nr. 2.12 Punkt A Nr. 1 Buchstabe b) zweiter Gedankenstrich vorgesehenen Anwendungsregel (Entschädigung für einen zeitweiligen Lohnausfall) dem Berufssteuervorabzug.</w:t>
      </w:r>
    </w:p>
    <w:p w14:paraId="07E9932A" w14:textId="77777777" w:rsidR="007A5656" w:rsidRPr="00A21F71" w:rsidRDefault="007A5656" w:rsidP="007A5656">
      <w:pPr>
        <w:jc w:val="both"/>
        <w:rPr>
          <w:rFonts w:eastAsia="Calibri"/>
          <w:lang w:eastAsia="de-DE" w:bidi="de-DE"/>
        </w:rPr>
      </w:pPr>
    </w:p>
    <w:p w14:paraId="26BF600A" w14:textId="77777777" w:rsidR="007A5656" w:rsidRPr="00A21F71" w:rsidRDefault="007A5656" w:rsidP="007A5656">
      <w:pPr>
        <w:jc w:val="both"/>
        <w:rPr>
          <w:rFonts w:eastAsia="Calibri"/>
          <w:lang w:eastAsia="de-DE" w:bidi="de-DE"/>
        </w:rPr>
      </w:pPr>
      <w:r w:rsidRPr="00A21F71">
        <w:rPr>
          <w:rFonts w:eastAsia="Calibri"/>
          <w:lang w:eastAsia="de-DE" w:bidi="de-DE"/>
        </w:rPr>
        <w:tab/>
        <w:t>2.16 Pseudoarbeitslosengeld mit Betriebszuschlag, das zusätzlich zu Arbeitslosengeld bezogen wird</w:t>
      </w:r>
    </w:p>
    <w:p w14:paraId="16D438CD" w14:textId="77777777" w:rsidR="007A5656" w:rsidRPr="00A21F71" w:rsidRDefault="007A5656" w:rsidP="007A5656">
      <w:pPr>
        <w:jc w:val="both"/>
        <w:rPr>
          <w:rFonts w:eastAsia="Calibri"/>
          <w:lang w:eastAsia="de-DE" w:bidi="de-DE"/>
        </w:rPr>
      </w:pPr>
    </w:p>
    <w:p w14:paraId="6693C9CA" w14:textId="77777777" w:rsidR="007A5656" w:rsidRPr="00A21F71" w:rsidRDefault="007A5656" w:rsidP="007A5656">
      <w:pPr>
        <w:jc w:val="both"/>
        <w:rPr>
          <w:rFonts w:eastAsia="Calibri"/>
          <w:lang w:eastAsia="de-DE" w:bidi="de-DE"/>
        </w:rPr>
      </w:pPr>
      <w:r w:rsidRPr="00A21F71">
        <w:rPr>
          <w:rFonts w:eastAsia="Calibri"/>
          <w:lang w:eastAsia="de-DE" w:bidi="de-DE"/>
        </w:rPr>
        <w:tab/>
        <w:t>A. Der ehemalige Arbeitnehmer hat das Alter von fünfzig Jahren erreicht und das diesbezügliche Abkommen ist kein sektorielles kollektives Arbeitsabkommen, das vor dem 30. September 2005 abgeschlossen wurde, oder kein Sektorenabkommen, das ein solches Abkommen ohne Unterbrechung verlängert.</w:t>
      </w:r>
    </w:p>
    <w:p w14:paraId="4EB148DC" w14:textId="77777777" w:rsidR="007A5656" w:rsidRPr="00A21F71" w:rsidRDefault="007A5656" w:rsidP="007A5656">
      <w:pPr>
        <w:jc w:val="both"/>
        <w:rPr>
          <w:rFonts w:eastAsia="Calibri"/>
          <w:lang w:eastAsia="de-DE" w:bidi="de-DE"/>
        </w:rPr>
      </w:pPr>
    </w:p>
    <w:p w14:paraId="02451125" w14:textId="77777777" w:rsidR="007A5656" w:rsidRPr="00A21F71" w:rsidRDefault="007A5656" w:rsidP="007A5656">
      <w:pPr>
        <w:jc w:val="both"/>
        <w:rPr>
          <w:rFonts w:eastAsia="Calibri"/>
          <w:lang w:eastAsia="de-DE" w:bidi="de-DE"/>
        </w:rPr>
      </w:pPr>
      <w:r w:rsidRPr="00A21F71">
        <w:rPr>
          <w:rFonts w:eastAsia="Calibri"/>
          <w:lang w:eastAsia="de-DE" w:bidi="de-DE"/>
        </w:rPr>
        <w:tab/>
        <w:t>Zusatzentschädigungen, die ein in der Überschrift erwähnter Arbeitnehmer, der das Alter von fünfzig Jahren erreicht hat und als Vollarbeitsloser Arbeitslosengeld erhält oder erhalten könnte, wenn er die Arbeit nicht wieder aufgenommen hätte, direkt oder indirekt bezieht, unterliegen dem Berufssteuervorabzug unter Berücksichtigung folgender Unterscheidung:</w:t>
      </w:r>
    </w:p>
    <w:p w14:paraId="2EAF572A" w14:textId="77777777" w:rsidR="007A5656" w:rsidRPr="00A21F71" w:rsidRDefault="007A5656" w:rsidP="007A5656">
      <w:pPr>
        <w:jc w:val="both"/>
        <w:rPr>
          <w:rFonts w:eastAsia="Calibri"/>
          <w:lang w:eastAsia="de-DE" w:bidi="de-DE"/>
        </w:rPr>
      </w:pPr>
    </w:p>
    <w:p w14:paraId="17AFABDF"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 Die Verpflichtung des ehemaligen Arbeitgebers, diese Entschädigungen nach Wiederaufnahme der Arbeit weiterhin zu zahlen, ist in einem kollektiven Arbeitsabkommen oder einem individuellen Abkommen vermerkt, das die Zahlung der Zusatzentschädigung vorsieht: Der Berufssteuervorabzug beträgt 10,09 Prozent (ohne Ermäßigung). </w:t>
      </w:r>
    </w:p>
    <w:p w14:paraId="49614AAD"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347A9F52"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 Die Verpflichtung des ehemaligen Arbeitgebers, diese Entschädigungen nach Wiederaufnahme der Arbeit weiterhin zu zahlen, ist in keinem kollektiven Arbeitsabkommen oder keinem individuellen Abkommen vermerkt, das die Zahlung der Zusatzentschädigung vorsieht: Der Berufssteuervorabzug beträgt 26,75 Prozent (ohne Ermäßigung).</w:t>
      </w:r>
    </w:p>
    <w:p w14:paraId="5F3EE9C6" w14:textId="77777777" w:rsidR="007A5656" w:rsidRPr="00A21F71" w:rsidRDefault="007A5656" w:rsidP="007A5656">
      <w:pPr>
        <w:jc w:val="both"/>
        <w:rPr>
          <w:rFonts w:eastAsia="Calibri"/>
          <w:lang w:eastAsia="de-DE" w:bidi="de-DE"/>
        </w:rPr>
      </w:pPr>
    </w:p>
    <w:p w14:paraId="0B9B3ABB" w14:textId="77777777" w:rsidR="007A5656" w:rsidRPr="00A21F71" w:rsidRDefault="007A5656" w:rsidP="007A5656">
      <w:pPr>
        <w:jc w:val="both"/>
        <w:rPr>
          <w:rFonts w:eastAsia="Calibri"/>
          <w:lang w:eastAsia="de-DE" w:bidi="de-DE"/>
        </w:rPr>
      </w:pPr>
      <w:r w:rsidRPr="00A21F71">
        <w:rPr>
          <w:rFonts w:eastAsia="Calibri"/>
          <w:lang w:eastAsia="de-DE" w:bidi="de-DE"/>
        </w:rPr>
        <w:tab/>
        <w:t>B. Der ehemalige Arbeitnehmer hat entweder das Alter von fünfzig Jahren nicht erreicht oder der ehemalige Arbeitnehmer hat das Alter von fünfzig Jahren erreicht UND das diesbezügliche Abkommen ist ein sektorielles kollektives Arbeitsabkommen, das vor dem 30. September 2005 abgeschlossen wurde, oder ein Sektorenabkommen, das ein solches Abkommen ohne Unterbrechung verlängert.</w:t>
      </w:r>
    </w:p>
    <w:p w14:paraId="5D28DDB1" w14:textId="77777777" w:rsidR="007A5656" w:rsidRPr="00A21F71" w:rsidRDefault="007A5656" w:rsidP="007A5656">
      <w:pPr>
        <w:jc w:val="both"/>
        <w:rPr>
          <w:rFonts w:eastAsia="Calibri"/>
          <w:lang w:eastAsia="de-DE" w:bidi="de-DE"/>
        </w:rPr>
      </w:pPr>
    </w:p>
    <w:p w14:paraId="03CDAD44" w14:textId="77777777" w:rsidR="007A5656" w:rsidRPr="00A21F71" w:rsidRDefault="007A5656" w:rsidP="007A5656">
      <w:pPr>
        <w:jc w:val="both"/>
        <w:rPr>
          <w:rFonts w:eastAsia="Calibri"/>
          <w:lang w:eastAsia="de-DE" w:bidi="de-DE"/>
        </w:rPr>
      </w:pPr>
      <w:r w:rsidRPr="00A21F71">
        <w:rPr>
          <w:rFonts w:eastAsia="Calibri"/>
          <w:lang w:eastAsia="de-DE" w:bidi="de-DE"/>
        </w:rPr>
        <w:tab/>
        <w:t>Zusatzentschädigungen, die der ehemalige Arbeitnehmer in einem dieser Fälle in einem Inaktivitätszeitraum, einem Zeitraum der Wiederaufnahme der Arbeit bei einem anderen Arbeitgeber oder der Wiederaufnahme der Arbeit als Selbständiger zusätzlich zu Arbeitslosengeld nach Kündigung bezieht, unterliegen gemäß der in Nr. 2.13 vorgesehenen Anwendungsregel (Arbeitslosengeld) dem Berufssteuervorabzug.</w:t>
      </w:r>
    </w:p>
    <w:p w14:paraId="047CB4A4" w14:textId="77777777" w:rsidR="007A5656" w:rsidRPr="00A21F71" w:rsidRDefault="007A5656" w:rsidP="007A5656">
      <w:pPr>
        <w:jc w:val="both"/>
        <w:rPr>
          <w:rFonts w:eastAsia="Calibri"/>
          <w:lang w:eastAsia="de-DE" w:bidi="de-DE"/>
        </w:rPr>
      </w:pPr>
    </w:p>
    <w:p w14:paraId="3F2AAE20" w14:textId="77777777" w:rsidR="007A5656" w:rsidRPr="00A21F71" w:rsidRDefault="007A5656" w:rsidP="007A5656">
      <w:pPr>
        <w:jc w:val="both"/>
        <w:rPr>
          <w:rFonts w:eastAsia="Calibri"/>
          <w:lang w:eastAsia="de-DE" w:bidi="de-DE"/>
        </w:rPr>
      </w:pPr>
      <w:r w:rsidRPr="00A21F71">
        <w:rPr>
          <w:rFonts w:eastAsia="Calibri"/>
          <w:lang w:eastAsia="de-DE" w:bidi="de-DE"/>
        </w:rPr>
        <w:tab/>
        <w:t>2.17 Gelegentlich oder periodisch und zusätzlich gezahlte Entschädigungen und Zulagen</w:t>
      </w:r>
    </w:p>
    <w:p w14:paraId="6366E474" w14:textId="77777777" w:rsidR="007A5656" w:rsidRPr="00A21F71" w:rsidRDefault="007A5656" w:rsidP="007A5656">
      <w:pPr>
        <w:jc w:val="both"/>
        <w:rPr>
          <w:rFonts w:eastAsia="Calibri"/>
          <w:lang w:eastAsia="de-DE" w:bidi="de-DE"/>
        </w:rPr>
      </w:pPr>
    </w:p>
    <w:p w14:paraId="7D572661" w14:textId="77777777" w:rsidR="007A5656" w:rsidRPr="00A21F71" w:rsidRDefault="007A5656" w:rsidP="007A5656">
      <w:pPr>
        <w:jc w:val="both"/>
        <w:rPr>
          <w:rFonts w:eastAsia="Calibri"/>
          <w:lang w:eastAsia="de-DE" w:bidi="de-DE"/>
        </w:rPr>
      </w:pPr>
      <w:r w:rsidRPr="00A21F71">
        <w:rPr>
          <w:rFonts w:eastAsia="Calibri"/>
          <w:lang w:eastAsia="de-DE" w:bidi="de-DE"/>
        </w:rPr>
        <w:tab/>
        <w:t>A. Entschädigungen und Zulagen, die nicht in den Nummern 2.9 bis 2.16 erwähnt sind und von einem Schuldner des Berufssteuervorabzugs an Personen gezahlt werden, die nur gelegentlich oder periodisch und zusätzlich von ihm oder durch seine Beteiligung entlohnt werden (gelegentliche Provisionen, Vergütungen, Anwesenheitsgelder usw.), unterliegen dem Berufssteuervorabzug zu den nachfolgend vorgesehenen Sätzen (ohne Ermäßigung):</w:t>
      </w:r>
    </w:p>
    <w:p w14:paraId="13685B31"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4781"/>
      </w:tblGrid>
      <w:tr w:rsidR="007A5656" w:rsidRPr="00A21F71" w14:paraId="2CD84CD6" w14:textId="77777777" w:rsidTr="00212CA2">
        <w:tc>
          <w:tcPr>
            <w:tcW w:w="4253" w:type="dxa"/>
            <w:vAlign w:val="center"/>
          </w:tcPr>
          <w:p w14:paraId="257F1555"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BETRAG DER ENTSCHÄDIGUNGEN UND ZULAGEN</w:t>
            </w:r>
          </w:p>
        </w:tc>
        <w:tc>
          <w:tcPr>
            <w:tcW w:w="4851" w:type="dxa"/>
            <w:vAlign w:val="center"/>
          </w:tcPr>
          <w:p w14:paraId="17623001"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PROZENTSATZ DES AUF DEN GESAMTBETRAG DER ENTSCHÄDIGUNGEN UND ZULAGEN GESCHULDETEN BERUFSSTEUERVORABZUGS</w:t>
            </w:r>
          </w:p>
        </w:tc>
      </w:tr>
      <w:tr w:rsidR="007A5656" w:rsidRPr="00A21F71" w14:paraId="24382CEA" w14:textId="77777777" w:rsidTr="00212CA2">
        <w:tc>
          <w:tcPr>
            <w:tcW w:w="4253" w:type="dxa"/>
          </w:tcPr>
          <w:p w14:paraId="0108899C"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w:t>
            </w:r>
          </w:p>
        </w:tc>
        <w:tc>
          <w:tcPr>
            <w:tcW w:w="4851" w:type="dxa"/>
          </w:tcPr>
          <w:p w14:paraId="3F93CD4F"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w:t>
            </w:r>
          </w:p>
        </w:tc>
      </w:tr>
      <w:tr w:rsidR="007A5656" w:rsidRPr="00A21F71" w14:paraId="478568E6" w14:textId="77777777" w:rsidTr="00212CA2">
        <w:tc>
          <w:tcPr>
            <w:tcW w:w="4253" w:type="dxa"/>
          </w:tcPr>
          <w:p w14:paraId="1A1FCA74" w14:textId="77777777" w:rsidR="007A5656" w:rsidRPr="00A21F71" w:rsidRDefault="007A5656" w:rsidP="00212CA2">
            <w:pPr>
              <w:rPr>
                <w:rFonts w:eastAsia="Calibri"/>
                <w:sz w:val="22"/>
                <w:lang w:eastAsia="de-DE" w:bidi="de-DE"/>
              </w:rPr>
            </w:pPr>
            <w:r w:rsidRPr="00A21F71">
              <w:rPr>
                <w:rFonts w:eastAsia="Calibri"/>
                <w:sz w:val="22"/>
                <w:lang w:eastAsia="de-DE" w:bidi="de-DE"/>
              </w:rPr>
              <w:t>bis 500,00 EUR</w:t>
            </w:r>
          </w:p>
          <w:p w14:paraId="50A67585" w14:textId="77777777" w:rsidR="007A5656" w:rsidRPr="00A21F71" w:rsidRDefault="007A5656" w:rsidP="00212CA2">
            <w:pPr>
              <w:rPr>
                <w:rFonts w:eastAsia="Calibri"/>
                <w:sz w:val="22"/>
                <w:lang w:eastAsia="de-DE" w:bidi="de-DE"/>
              </w:rPr>
            </w:pPr>
            <w:r w:rsidRPr="00A21F71">
              <w:rPr>
                <w:rFonts w:eastAsia="Calibri"/>
                <w:sz w:val="22"/>
                <w:lang w:eastAsia="de-DE" w:bidi="de-DE"/>
              </w:rPr>
              <w:t>von 500,01 EUR bis 650,00 EUR</w:t>
            </w:r>
          </w:p>
          <w:p w14:paraId="1CF73DB2" w14:textId="77777777" w:rsidR="007A5656" w:rsidRPr="00A21F71" w:rsidRDefault="007A5656" w:rsidP="00212CA2">
            <w:pPr>
              <w:rPr>
                <w:rFonts w:eastAsia="Calibri"/>
                <w:sz w:val="22"/>
                <w:lang w:eastAsia="de-DE" w:bidi="de-DE"/>
              </w:rPr>
            </w:pPr>
            <w:r w:rsidRPr="00A21F71">
              <w:rPr>
                <w:rFonts w:eastAsia="Calibri"/>
                <w:sz w:val="22"/>
                <w:lang w:eastAsia="de-DE" w:bidi="de-DE"/>
              </w:rPr>
              <w:t>mehr als 650,00 EUR</w:t>
            </w:r>
          </w:p>
        </w:tc>
        <w:tc>
          <w:tcPr>
            <w:tcW w:w="4851" w:type="dxa"/>
          </w:tcPr>
          <w:p w14:paraId="540688FD"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27,25</w:t>
            </w:r>
          </w:p>
          <w:p w14:paraId="19C23C03"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32,30</w:t>
            </w:r>
          </w:p>
          <w:p w14:paraId="4B84FA5C"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37,35</w:t>
            </w:r>
          </w:p>
        </w:tc>
      </w:tr>
    </w:tbl>
    <w:p w14:paraId="64161259" w14:textId="77777777" w:rsidR="007A5656" w:rsidRPr="00A21F71" w:rsidRDefault="007A5656" w:rsidP="007A5656">
      <w:pPr>
        <w:rPr>
          <w:rFonts w:eastAsia="Calibri"/>
          <w:lang w:eastAsia="de-DE" w:bidi="de-DE"/>
        </w:rPr>
      </w:pPr>
    </w:p>
    <w:p w14:paraId="3DCAD585" w14:textId="77777777" w:rsidR="007A5656" w:rsidRPr="00A21F71" w:rsidRDefault="007A5656" w:rsidP="007A5656">
      <w:pPr>
        <w:jc w:val="both"/>
        <w:rPr>
          <w:rFonts w:eastAsia="Calibri"/>
          <w:lang w:eastAsia="de-DE" w:bidi="de-DE"/>
        </w:rPr>
      </w:pPr>
      <w:r w:rsidRPr="00A21F71">
        <w:rPr>
          <w:rFonts w:eastAsia="Calibri"/>
          <w:lang w:eastAsia="de-DE" w:bidi="de-DE"/>
        </w:rPr>
        <w:tab/>
        <w:t>B. In Abweichung von Punkt A wird auf die regionale Wiederbeschäftigungsprämie, die gemäß Artikel 171 Nr. 7 des Einkommensteuergesetzbuches 1992 im Rahmen der Steuer der natürlichen Personen getrennt besteuert wird, ein Berufssteuervorabzug von 11,11 Prozent (ohne Ermäßigung) geschuldet.</w:t>
      </w:r>
    </w:p>
    <w:p w14:paraId="296E2C74" w14:textId="77777777" w:rsidR="007A5656" w:rsidRPr="00A21F71" w:rsidRDefault="007A5656" w:rsidP="007A5656">
      <w:pPr>
        <w:jc w:val="both"/>
        <w:rPr>
          <w:rFonts w:eastAsia="Calibri"/>
          <w:lang w:eastAsia="de-DE" w:bidi="de-DE"/>
        </w:rPr>
      </w:pPr>
    </w:p>
    <w:p w14:paraId="02AC2F84" w14:textId="77777777" w:rsidR="007A5656" w:rsidRPr="00A21F71" w:rsidRDefault="007A5656" w:rsidP="007A5656">
      <w:pPr>
        <w:jc w:val="both"/>
        <w:rPr>
          <w:rFonts w:eastAsia="Calibri"/>
          <w:lang w:eastAsia="de-DE" w:bidi="de-DE"/>
        </w:rPr>
      </w:pPr>
      <w:r w:rsidRPr="00A21F71">
        <w:rPr>
          <w:rFonts w:eastAsia="Calibri"/>
          <w:lang w:eastAsia="de-DE" w:bidi="de-DE"/>
        </w:rPr>
        <w:tab/>
        <w:t>2.18 Schuldforderungen, die als Entlohnungen gelten und in Artikel 270 Nr. 6 des Einkommensteuergesetzbuches 1992 erwähnt sind</w:t>
      </w:r>
    </w:p>
    <w:p w14:paraId="22A79879" w14:textId="77777777" w:rsidR="007A5656" w:rsidRPr="00A21F71" w:rsidRDefault="007A5656" w:rsidP="007A5656">
      <w:pPr>
        <w:jc w:val="both"/>
        <w:rPr>
          <w:rFonts w:eastAsia="Calibri"/>
          <w:lang w:eastAsia="de-DE" w:bidi="de-DE"/>
        </w:rPr>
      </w:pPr>
    </w:p>
    <w:p w14:paraId="1291124F" w14:textId="77777777" w:rsidR="007A5656" w:rsidRPr="00A21F71" w:rsidRDefault="007A5656" w:rsidP="007A5656">
      <w:pPr>
        <w:jc w:val="both"/>
        <w:rPr>
          <w:rFonts w:eastAsia="Calibri"/>
          <w:lang w:eastAsia="de-DE" w:bidi="de-DE"/>
        </w:rPr>
      </w:pPr>
      <w:r w:rsidRPr="00A21F71">
        <w:rPr>
          <w:rFonts w:eastAsia="Calibri"/>
          <w:lang w:eastAsia="de-DE" w:bidi="de-DE"/>
        </w:rPr>
        <w:tab/>
        <w:t>Für Schuldforderungen, die als Entlohnungen im Sinne von Artikel 30 Nr. 1 und 2 des Einkommensteuergesetzbuches 1992 gelten und von Konkursverwaltern, Liquidatoren gerichtlicher Vergleiche, Liquidatoren von Gesellschaften oder Personen, die ähnliche Funktionen ausüben, beglichen werden, wird der Berufssteuervorabzug einheitlich (ohne Ermäßigung) auf 26,75 Prozent festgelegt.</w:t>
      </w:r>
    </w:p>
    <w:p w14:paraId="62781B97"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34C76738"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2.19 Entlohnungen für Akkordarbeit</w:t>
      </w:r>
    </w:p>
    <w:p w14:paraId="60CF9061" w14:textId="77777777" w:rsidR="007A5656" w:rsidRPr="00A21F71" w:rsidRDefault="007A5656" w:rsidP="007A5656">
      <w:pPr>
        <w:jc w:val="both"/>
        <w:rPr>
          <w:rFonts w:eastAsia="Calibri"/>
          <w:lang w:eastAsia="de-DE" w:bidi="de-DE"/>
        </w:rPr>
      </w:pPr>
    </w:p>
    <w:p w14:paraId="15E2CC8E" w14:textId="77777777" w:rsidR="007A5656" w:rsidRPr="00A21F71" w:rsidRDefault="007A5656" w:rsidP="007A5656">
      <w:pPr>
        <w:jc w:val="both"/>
        <w:rPr>
          <w:rFonts w:eastAsia="Calibri"/>
          <w:lang w:eastAsia="de-DE" w:bidi="de-DE"/>
        </w:rPr>
      </w:pPr>
      <w:r w:rsidRPr="00A21F71">
        <w:rPr>
          <w:rFonts w:eastAsia="Calibri"/>
          <w:lang w:eastAsia="de-DE" w:bidi="de-DE"/>
        </w:rPr>
        <w:tab/>
        <w:t>Der Berufssteuervorabzug auf Entlohnungen, die Akkordarbeitern gezahlt werden, deren unregelmäßige und vom Arbeitgeber nicht kontrollierte Leistungen nicht in Tagen, Wochen, zwei Wochen oder Monaten Arbeit ausgedrückt werden, wird gemäß den in den Nummern 2.2 bis 2.8 vorgesehenen Regeln festgelegt unter Berücksichtigung der Dauer des Zeitraums, auf den sich die Entlohnungen beziehen. Der Berufssteuervorabzug darf in diesen Fällen jedoch nie weniger als 11,11 Prozent der Entlohnungen betragen.</w:t>
      </w:r>
    </w:p>
    <w:p w14:paraId="38CE2BF8" w14:textId="77777777" w:rsidR="007A5656" w:rsidRPr="00A21F71" w:rsidRDefault="007A5656" w:rsidP="007A5656">
      <w:pPr>
        <w:jc w:val="both"/>
        <w:rPr>
          <w:rFonts w:eastAsia="Calibri"/>
          <w:lang w:eastAsia="de-DE" w:bidi="de-DE"/>
        </w:rPr>
      </w:pPr>
    </w:p>
    <w:p w14:paraId="58798E67" w14:textId="77777777" w:rsidR="007A5656" w:rsidRPr="00A21F71" w:rsidRDefault="007A5656" w:rsidP="007A5656">
      <w:pPr>
        <w:jc w:val="both"/>
        <w:rPr>
          <w:rFonts w:eastAsia="Calibri"/>
          <w:lang w:eastAsia="de-DE" w:bidi="de-DE"/>
        </w:rPr>
      </w:pPr>
      <w:r w:rsidRPr="00A21F71">
        <w:rPr>
          <w:rFonts w:eastAsia="Calibri"/>
          <w:lang w:eastAsia="de-DE" w:bidi="de-DE"/>
        </w:rPr>
        <w:tab/>
        <w:t>2.20 a) Künstler und Musiker</w:t>
      </w:r>
    </w:p>
    <w:p w14:paraId="4A58DFEE" w14:textId="77777777" w:rsidR="007A5656" w:rsidRPr="00A21F71" w:rsidRDefault="007A5656" w:rsidP="007A5656">
      <w:pPr>
        <w:jc w:val="both"/>
        <w:rPr>
          <w:rFonts w:eastAsia="Calibri"/>
          <w:lang w:eastAsia="de-DE" w:bidi="de-DE"/>
        </w:rPr>
      </w:pPr>
    </w:p>
    <w:p w14:paraId="4E93977C" w14:textId="77777777" w:rsidR="007A5656" w:rsidRPr="00A21F71" w:rsidRDefault="007A5656" w:rsidP="007A5656">
      <w:pPr>
        <w:jc w:val="both"/>
        <w:rPr>
          <w:rFonts w:eastAsia="Calibri"/>
          <w:lang w:eastAsia="de-DE" w:bidi="de-DE"/>
        </w:rPr>
      </w:pPr>
      <w:r w:rsidRPr="00A21F71">
        <w:rPr>
          <w:rFonts w:eastAsia="Calibri"/>
          <w:lang w:eastAsia="de-DE" w:bidi="de-DE"/>
        </w:rPr>
        <w:tab/>
        <w:t>Für Entlohnungen, die Show- und Spielunternehmen Künstlern und Musikern zahlen, die keine festangestellten Personalmitglieder dieser Unternehmen sind und bei denen nicht davon ausgegangen werden kann, dass sie von den Unternehmen zusätzlich entlohnt werden, wird der Berufssteuervorabzug einheitlich (ohne Ermäßigung) auf 11,11 Prozent festgelegt.</w:t>
      </w:r>
    </w:p>
    <w:p w14:paraId="0F274AB7" w14:textId="77777777" w:rsidR="007A5656" w:rsidRPr="00A21F71" w:rsidRDefault="007A5656" w:rsidP="007A5656">
      <w:pPr>
        <w:jc w:val="both"/>
        <w:rPr>
          <w:rFonts w:eastAsia="Calibri"/>
          <w:lang w:eastAsia="de-DE" w:bidi="de-DE"/>
        </w:rPr>
      </w:pPr>
    </w:p>
    <w:p w14:paraId="7169F9B6" w14:textId="77777777" w:rsidR="007A5656" w:rsidRPr="00A21F71" w:rsidRDefault="007A5656" w:rsidP="007A5656">
      <w:pPr>
        <w:jc w:val="both"/>
        <w:rPr>
          <w:rFonts w:eastAsia="Calibri"/>
          <w:lang w:eastAsia="de-DE" w:bidi="de-DE"/>
        </w:rPr>
      </w:pPr>
      <w:r w:rsidRPr="00A21F71">
        <w:rPr>
          <w:rFonts w:eastAsia="Calibri"/>
          <w:lang w:eastAsia="de-DE" w:bidi="de-DE"/>
        </w:rPr>
        <w:tab/>
        <w:t>b) Personen, die zu Sonderkategorien gehören, die der mit der allgemeinen Leitung der Generalverwaltung Steuerwesen beauftragte Beamte bestimmt</w:t>
      </w:r>
    </w:p>
    <w:p w14:paraId="099DB3E8" w14:textId="77777777" w:rsidR="007A5656" w:rsidRPr="00A21F71" w:rsidRDefault="007A5656" w:rsidP="007A5656">
      <w:pPr>
        <w:jc w:val="both"/>
        <w:rPr>
          <w:rFonts w:eastAsia="Calibri"/>
          <w:lang w:eastAsia="de-DE" w:bidi="de-DE"/>
        </w:rPr>
      </w:pPr>
    </w:p>
    <w:p w14:paraId="020B7745" w14:textId="77777777" w:rsidR="007A5656" w:rsidRPr="00A21F71" w:rsidRDefault="007A5656" w:rsidP="007A5656">
      <w:pPr>
        <w:jc w:val="both"/>
        <w:rPr>
          <w:rFonts w:eastAsia="Calibri"/>
          <w:lang w:eastAsia="de-DE" w:bidi="de-DE"/>
        </w:rPr>
      </w:pPr>
      <w:r w:rsidRPr="00A21F71">
        <w:rPr>
          <w:rFonts w:eastAsia="Calibri"/>
          <w:lang w:eastAsia="de-DE" w:bidi="de-DE"/>
        </w:rPr>
        <w:tab/>
        <w:t>Für Entlohnungen, die Personen gezahlt werden, die zu Kategorien gehören, die der mit der allgemeinen Leitung der Generalverwaltung Steuerwesen beauftragte Beamte bestimmt, und die unter Berücksichtigung der Bedingungen, unter denen sie ihre berufliche Tätigkeit ausüben, gemäß Sondermodalitäten entlohnt werden, wird der Berufssteuervorabzug einheitlich (ohne Ermäßigung) auf 11,11 Prozent festgelegt.</w:t>
      </w:r>
    </w:p>
    <w:p w14:paraId="0CEB3716" w14:textId="77777777" w:rsidR="007A5656" w:rsidRPr="00A21F71" w:rsidRDefault="007A5656" w:rsidP="007A5656">
      <w:pPr>
        <w:jc w:val="both"/>
        <w:rPr>
          <w:rFonts w:eastAsia="Calibri"/>
          <w:lang w:eastAsia="de-DE" w:bidi="de-DE"/>
        </w:rPr>
      </w:pPr>
    </w:p>
    <w:p w14:paraId="36ACF022" w14:textId="77777777" w:rsidR="007A5656" w:rsidRPr="00A21F71" w:rsidRDefault="007A5656" w:rsidP="007A5656">
      <w:pPr>
        <w:jc w:val="both"/>
        <w:rPr>
          <w:rFonts w:eastAsia="Calibri"/>
          <w:lang w:eastAsia="de-DE" w:bidi="de-DE"/>
        </w:rPr>
      </w:pPr>
      <w:r w:rsidRPr="00A21F71">
        <w:rPr>
          <w:rFonts w:eastAsia="Calibri"/>
          <w:lang w:eastAsia="de-DE" w:bidi="de-DE"/>
        </w:rPr>
        <w:tab/>
        <w:t>2.21 Von Urlaubskassen gezahltes Urlaubsgeld</w:t>
      </w:r>
    </w:p>
    <w:p w14:paraId="2385081C" w14:textId="77777777" w:rsidR="007A5656" w:rsidRPr="00A21F71" w:rsidRDefault="007A5656" w:rsidP="007A5656">
      <w:pPr>
        <w:jc w:val="both"/>
        <w:rPr>
          <w:rFonts w:eastAsia="Calibri"/>
          <w:lang w:eastAsia="de-DE" w:bidi="de-DE"/>
        </w:rPr>
      </w:pPr>
    </w:p>
    <w:p w14:paraId="4194D477" w14:textId="77777777" w:rsidR="007A5656" w:rsidRPr="00A21F71" w:rsidRDefault="007A5656" w:rsidP="007A5656">
      <w:pPr>
        <w:jc w:val="both"/>
        <w:rPr>
          <w:rFonts w:eastAsia="Calibri"/>
          <w:lang w:eastAsia="de-DE" w:bidi="de-DE"/>
        </w:rPr>
      </w:pPr>
      <w:r w:rsidRPr="00A21F71">
        <w:rPr>
          <w:rFonts w:eastAsia="Calibri"/>
          <w:lang w:eastAsia="de-DE" w:bidi="de-DE"/>
        </w:rPr>
        <w:tab/>
        <w:t>Urlaubsgeld, das ohne Beteiligung des Arbeitgebers von Jahresurlaubskassen gezahlt oder zuerkannt wird, unterliegt dem Berufssteuervorabzug zu den nachfolgend vorgesehenen Sätzen (ohne Ermäßigung):</w:t>
      </w:r>
    </w:p>
    <w:p w14:paraId="05A7BF36" w14:textId="77777777" w:rsidR="007A5656" w:rsidRPr="00A21F71" w:rsidRDefault="007A5656" w:rsidP="007A5656">
      <w:pPr>
        <w:jc w:val="both"/>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2"/>
        <w:gridCol w:w="5192"/>
      </w:tblGrid>
      <w:tr w:rsidR="007A5656" w:rsidRPr="00A21F71" w14:paraId="7C7A8BCC" w14:textId="77777777" w:rsidTr="00212CA2">
        <w:tc>
          <w:tcPr>
            <w:tcW w:w="3828" w:type="dxa"/>
            <w:vAlign w:val="center"/>
          </w:tcPr>
          <w:p w14:paraId="0F5F3643" w14:textId="77777777" w:rsidR="007A5656" w:rsidRPr="00A21F71" w:rsidRDefault="007A5656" w:rsidP="00212CA2">
            <w:pPr>
              <w:spacing w:before="40" w:after="40"/>
              <w:jc w:val="center"/>
              <w:rPr>
                <w:rFonts w:eastAsia="Calibri"/>
                <w:sz w:val="20"/>
                <w:szCs w:val="20"/>
                <w:lang w:eastAsia="de-DE" w:bidi="de-DE"/>
              </w:rPr>
            </w:pPr>
            <w:r w:rsidRPr="00A21F71">
              <w:rPr>
                <w:rFonts w:eastAsia="Calibri"/>
                <w:sz w:val="20"/>
                <w:szCs w:val="20"/>
                <w:lang w:eastAsia="de-DE" w:bidi="de-DE"/>
              </w:rPr>
              <w:t>BETRAG DES URLAUBSGELDES</w:t>
            </w:r>
          </w:p>
        </w:tc>
        <w:tc>
          <w:tcPr>
            <w:tcW w:w="5276" w:type="dxa"/>
            <w:vAlign w:val="center"/>
          </w:tcPr>
          <w:p w14:paraId="52B1724B" w14:textId="77777777" w:rsidR="007A5656" w:rsidRPr="00A21F71" w:rsidRDefault="007A5656" w:rsidP="00212CA2">
            <w:pPr>
              <w:spacing w:before="40" w:after="40"/>
              <w:jc w:val="center"/>
              <w:rPr>
                <w:rFonts w:eastAsia="Calibri"/>
                <w:spacing w:val="-4"/>
                <w:sz w:val="20"/>
                <w:szCs w:val="20"/>
                <w:lang w:eastAsia="de-DE" w:bidi="de-DE"/>
              </w:rPr>
            </w:pPr>
            <w:r w:rsidRPr="00A21F71">
              <w:rPr>
                <w:rFonts w:eastAsia="Calibri"/>
                <w:spacing w:val="-4"/>
                <w:sz w:val="20"/>
                <w:szCs w:val="20"/>
                <w:lang w:eastAsia="de-DE" w:bidi="de-DE"/>
              </w:rPr>
              <w:t>PROZENTSATZ DES AUF DEN GESAMTBETRAG DES URLAUBSGELDES GESCHULDETEN BERUFSSTEUERVORABZUGS</w:t>
            </w:r>
          </w:p>
        </w:tc>
      </w:tr>
      <w:tr w:rsidR="007A5656" w:rsidRPr="00A21F71" w14:paraId="58F14E32" w14:textId="77777777" w:rsidTr="00212CA2">
        <w:tc>
          <w:tcPr>
            <w:tcW w:w="3828" w:type="dxa"/>
          </w:tcPr>
          <w:p w14:paraId="0452082D" w14:textId="77777777" w:rsidR="007A5656" w:rsidRPr="00A21F71" w:rsidRDefault="007A5656" w:rsidP="00212CA2">
            <w:pPr>
              <w:jc w:val="both"/>
              <w:rPr>
                <w:rFonts w:eastAsia="Calibri"/>
                <w:sz w:val="20"/>
                <w:szCs w:val="20"/>
                <w:lang w:eastAsia="de-DE" w:bidi="de-DE"/>
              </w:rPr>
            </w:pPr>
            <w:r>
              <w:rPr>
                <w:rFonts w:eastAsia="Calibri"/>
                <w:sz w:val="20"/>
                <w:szCs w:val="20"/>
                <w:lang w:eastAsia="de-DE" w:bidi="de-DE"/>
              </w:rPr>
              <w:t>bis 1.32</w:t>
            </w:r>
            <w:r w:rsidRPr="00A21F71">
              <w:rPr>
                <w:rFonts w:eastAsia="Calibri"/>
                <w:sz w:val="20"/>
                <w:szCs w:val="20"/>
                <w:lang w:eastAsia="de-DE" w:bidi="de-DE"/>
              </w:rPr>
              <w:t>0,00 EUR</w:t>
            </w:r>
          </w:p>
          <w:p w14:paraId="5A104B96" w14:textId="77777777" w:rsidR="007A5656" w:rsidRPr="00A21F71" w:rsidRDefault="007A5656" w:rsidP="00212CA2">
            <w:pPr>
              <w:jc w:val="both"/>
              <w:rPr>
                <w:rFonts w:eastAsia="Calibri"/>
                <w:sz w:val="20"/>
                <w:szCs w:val="20"/>
                <w:lang w:eastAsia="de-DE" w:bidi="de-DE"/>
              </w:rPr>
            </w:pPr>
            <w:r>
              <w:rPr>
                <w:rFonts w:eastAsia="Calibri"/>
                <w:sz w:val="20"/>
                <w:szCs w:val="20"/>
                <w:lang w:eastAsia="de-DE" w:bidi="de-DE"/>
              </w:rPr>
              <w:t>mehr als 1.32</w:t>
            </w:r>
            <w:r w:rsidRPr="00A21F71">
              <w:rPr>
                <w:rFonts w:eastAsia="Calibri"/>
                <w:sz w:val="20"/>
                <w:szCs w:val="20"/>
                <w:lang w:eastAsia="de-DE" w:bidi="de-DE"/>
              </w:rPr>
              <w:t>0,00 EUR</w:t>
            </w:r>
            <w:r w:rsidRPr="00A21F71">
              <w:rPr>
                <w:rFonts w:eastAsia="Calibri"/>
                <w:lang w:eastAsia="de-DE" w:bidi="de-DE"/>
              </w:rPr>
              <w:tab/>
            </w:r>
          </w:p>
        </w:tc>
        <w:tc>
          <w:tcPr>
            <w:tcW w:w="5276" w:type="dxa"/>
          </w:tcPr>
          <w:p w14:paraId="3E309DE6"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17,16</w:t>
            </w:r>
          </w:p>
          <w:p w14:paraId="6A264350" w14:textId="77777777" w:rsidR="007A5656" w:rsidRPr="00A21F71" w:rsidRDefault="007A5656" w:rsidP="00212CA2">
            <w:pPr>
              <w:jc w:val="center"/>
              <w:rPr>
                <w:rFonts w:eastAsia="Calibri"/>
                <w:sz w:val="20"/>
                <w:szCs w:val="20"/>
                <w:lang w:eastAsia="de-DE" w:bidi="de-DE"/>
              </w:rPr>
            </w:pPr>
            <w:r w:rsidRPr="00A21F71">
              <w:rPr>
                <w:rFonts w:eastAsia="Calibri"/>
                <w:sz w:val="20"/>
                <w:szCs w:val="20"/>
                <w:lang w:eastAsia="de-DE" w:bidi="de-DE"/>
              </w:rPr>
              <w:t>23,22</w:t>
            </w:r>
          </w:p>
        </w:tc>
      </w:tr>
    </w:tbl>
    <w:p w14:paraId="3C51B0DA" w14:textId="77777777" w:rsidR="007A5656" w:rsidRPr="00A21F71" w:rsidRDefault="007A5656" w:rsidP="007A5656">
      <w:pPr>
        <w:jc w:val="both"/>
        <w:rPr>
          <w:rFonts w:eastAsia="Calibri"/>
          <w:lang w:eastAsia="de-DE" w:bidi="de-DE"/>
        </w:rPr>
      </w:pPr>
    </w:p>
    <w:p w14:paraId="24FA691F" w14:textId="77777777" w:rsidR="007A5656" w:rsidRPr="00A21F71" w:rsidRDefault="007A5656" w:rsidP="007A5656">
      <w:pPr>
        <w:jc w:val="both"/>
        <w:rPr>
          <w:rFonts w:eastAsia="Calibri"/>
          <w:lang w:eastAsia="de-DE" w:bidi="de-DE"/>
        </w:rPr>
      </w:pPr>
      <w:r w:rsidRPr="00A21F71">
        <w:rPr>
          <w:rFonts w:eastAsia="Calibri"/>
          <w:lang w:eastAsia="de-DE" w:bidi="de-DE"/>
        </w:rPr>
        <w:tab/>
        <w:t>2.22 Studenten</w:t>
      </w:r>
    </w:p>
    <w:p w14:paraId="359FA081" w14:textId="77777777" w:rsidR="007A5656" w:rsidRPr="00A21F71" w:rsidRDefault="007A5656" w:rsidP="007A5656">
      <w:pPr>
        <w:jc w:val="both"/>
        <w:rPr>
          <w:rFonts w:eastAsia="Calibri"/>
          <w:lang w:eastAsia="de-DE" w:bidi="de-DE"/>
        </w:rPr>
      </w:pPr>
    </w:p>
    <w:p w14:paraId="47DD5153" w14:textId="77777777" w:rsidR="007A5656" w:rsidRDefault="007A5656" w:rsidP="007A5656">
      <w:pPr>
        <w:ind w:firstLine="709"/>
        <w:jc w:val="both"/>
      </w:pPr>
      <w:r w:rsidRPr="00F34804">
        <w:t xml:space="preserve">In Abweichung von den vorhergehenden Regeln wird kein Berufssteuervorabzug geschuldet auf Entlohnungen, die Studenten gezahlt oder zuerkannt werden, die - im Rahmen eines in Titel VII des Gesetzes vom 3. Juli 1978 über die Arbeitsverträge erwähnten Beschäftigungsvertrags für Studenten - pro Kalenderjahr während vierhundertfünfundsiebzig gemeldeter Stunden </w:t>
      </w:r>
      <w:r>
        <w:t xml:space="preserve">Studentenarbeit </w:t>
      </w:r>
      <w:r w:rsidRPr="00F34804">
        <w:t>beschäftigt sind, und die gemäß Artikel 17</w:t>
      </w:r>
      <w:r w:rsidRPr="00F34804">
        <w:rPr>
          <w:i/>
        </w:rPr>
        <w:t>bis</w:t>
      </w:r>
      <w:r w:rsidRPr="00F34804">
        <w:t xml:space="preserve"> § 1 des Königlichen Erlasses vom 28. November 1969 zur Ausführung des Gesetzes vom 27. Juni 1969 zur Revision des Erlassgesetzes vom 28. Dezember 1944 über die soziale Sicherheit der Arbeitnehmer den Sozialversicherungsbeiträgen nicht unterliegen.</w:t>
      </w:r>
    </w:p>
    <w:p w14:paraId="1085BC8A"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759EB65F"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2.23 Jugendliche Arbeitnehmer</w:t>
      </w:r>
    </w:p>
    <w:p w14:paraId="64C75C36" w14:textId="77777777" w:rsidR="007A5656" w:rsidRPr="00A21F71" w:rsidRDefault="007A5656" w:rsidP="007A5656">
      <w:pPr>
        <w:jc w:val="both"/>
        <w:rPr>
          <w:rFonts w:eastAsia="Calibri"/>
          <w:lang w:eastAsia="de-DE" w:bidi="de-DE"/>
        </w:rPr>
      </w:pPr>
    </w:p>
    <w:p w14:paraId="4F296DA4" w14:textId="77777777" w:rsidR="007A5656" w:rsidRPr="00A21F71" w:rsidRDefault="007A5656" w:rsidP="007A5656">
      <w:pPr>
        <w:jc w:val="both"/>
        <w:rPr>
          <w:rFonts w:eastAsia="Calibri"/>
          <w:lang w:eastAsia="de-DE" w:bidi="de-DE"/>
        </w:rPr>
      </w:pPr>
      <w:r w:rsidRPr="00A21F71">
        <w:rPr>
          <w:rFonts w:eastAsia="Calibri"/>
          <w:lang w:eastAsia="de-DE" w:bidi="de-DE"/>
        </w:rPr>
        <w:tab/>
        <w:t>In Abweichung von den vorhergehenden Regeln wird kein Berufssteuervorabzug geschuldet auf Entlohnungen, die während der Monate Oktober, November oder Dezember jugendlichen Arbeitnehmern gezahlt oder zuerkannt werden, die die in Artikel 36 § 1 Absatz 1 Nr. 1 bis 3 des Königlichen Erlasses vom 25. November 1991 zur Regelung der Arbeitslosigkeit erwähnten Bedingungen erfüllen und die im Rahmen eines Arbeitsvertrags beschäftigt sind, der während der vorerwähnten Monate Oktober, November oder Dezember beginnt, unter der Voraussetzung, dass der Bruttomonats</w:t>
      </w:r>
      <w:r>
        <w:rPr>
          <w:rFonts w:eastAsia="Calibri"/>
          <w:lang w:eastAsia="de-DE" w:bidi="de-DE"/>
        </w:rPr>
        <w:t>betrag dieser Entlohnungen 3.025</w:t>
      </w:r>
      <w:r w:rsidRPr="00A21F71">
        <w:rPr>
          <w:rFonts w:eastAsia="Calibri"/>
          <w:lang w:eastAsia="de-DE" w:bidi="de-DE"/>
        </w:rPr>
        <w:t> EUR nicht übersteigt.</w:t>
      </w:r>
    </w:p>
    <w:p w14:paraId="0360073F" w14:textId="77777777" w:rsidR="007A5656" w:rsidRPr="00A21F71" w:rsidRDefault="007A5656" w:rsidP="007A5656">
      <w:pPr>
        <w:jc w:val="both"/>
        <w:rPr>
          <w:rFonts w:eastAsia="Calibri"/>
          <w:lang w:eastAsia="de-DE" w:bidi="de-DE"/>
        </w:rPr>
      </w:pPr>
      <w:r w:rsidRPr="00A21F71">
        <w:rPr>
          <w:rFonts w:eastAsia="Calibri"/>
          <w:lang w:eastAsia="de-DE" w:bidi="de-DE"/>
        </w:rPr>
        <w:t xml:space="preserve"> </w:t>
      </w:r>
    </w:p>
    <w:p w14:paraId="1602A720"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2.24 Gelegenheitsarbeitnehmer im Horeca-Sektor </w:t>
      </w:r>
    </w:p>
    <w:p w14:paraId="7ED222AE" w14:textId="77777777" w:rsidR="007A5656" w:rsidRPr="00A21F71" w:rsidRDefault="007A5656" w:rsidP="007A5656">
      <w:pPr>
        <w:jc w:val="both"/>
        <w:rPr>
          <w:rFonts w:eastAsia="Calibri"/>
          <w:lang w:eastAsia="de-DE" w:bidi="de-DE"/>
        </w:rPr>
      </w:pPr>
    </w:p>
    <w:p w14:paraId="5E8965EB" w14:textId="77777777" w:rsidR="007A5656" w:rsidRPr="00A21F71" w:rsidRDefault="007A5656" w:rsidP="007A5656">
      <w:pPr>
        <w:jc w:val="both"/>
        <w:rPr>
          <w:rFonts w:eastAsia="Calibri"/>
          <w:lang w:eastAsia="de-DE" w:bidi="de-DE"/>
        </w:rPr>
      </w:pPr>
      <w:r w:rsidRPr="00A21F71">
        <w:rPr>
          <w:rFonts w:eastAsia="Calibri"/>
          <w:lang w:eastAsia="de-DE" w:bidi="de-DE"/>
        </w:rPr>
        <w:tab/>
        <w:t>In Abweichung von den vorhergehenden Regeln wird der Berufssteuervorabzug einheitlich (ohne Ermäßigung) auf 33,31 Prozent festgelegt für Besoldungen für Leistungen, die während höchstens fünfzig Tagen pro Kalenderjahr erbracht werden und die Gelegenheitsarbeitnehmern gezahlt oder zuerkannt werden, die bei einem Arbeitgeber beschäftigt sind, der der Paritätischen Kommission für das Hotelgewerbe oder der Paritätischen Kommission für Leiharbeit untersteht, sofern der Entleiher der Paritätischen Kommission für das Hotelgewerbe untersteht, vorausgesetzt, dass Arbeitgeber und Arbeitnehmer einen Arbeitsvertrag für einen befristeten Zeitraum oder einen Arbeitsvertrag für eine genau bestimmte Arbeit für höchstens zwei aufeinander folgende Tage schließen, für die die Sozialversicherungsbeiträge auf der Grundlage der Stunden- oder Tagespauschale berechnet werden, die in Artikel 31</w:t>
      </w:r>
      <w:r w:rsidRPr="00A21F71">
        <w:rPr>
          <w:rFonts w:eastAsia="Calibri"/>
          <w:i/>
          <w:lang w:eastAsia="de-DE" w:bidi="de-DE"/>
        </w:rPr>
        <w:t>ter</w:t>
      </w:r>
      <w:r w:rsidRPr="00A21F71">
        <w:rPr>
          <w:rFonts w:eastAsia="Calibri"/>
          <w:lang w:eastAsia="de-DE" w:bidi="de-DE"/>
        </w:rPr>
        <w:t xml:space="preserve"> Absatz 2 des Königlichen Erlasses vom 28. November 1969 zur Ausführung des Gesetzes vom 27. Juni 1969 zur Revision des Erlassgesetzes vom 28. Dezember 1944 über die soziale Sicherheit der Arbeitnehmer erwähnt ist.</w:t>
      </w:r>
    </w:p>
    <w:p w14:paraId="5817DA30" w14:textId="77777777" w:rsidR="007A5656" w:rsidRPr="00A21F71" w:rsidRDefault="007A5656" w:rsidP="007A5656">
      <w:pPr>
        <w:rPr>
          <w:rFonts w:eastAsia="Calibri"/>
          <w:lang w:eastAsia="de-DE" w:bidi="de-DE"/>
        </w:rPr>
      </w:pPr>
    </w:p>
    <w:p w14:paraId="261A39E8" w14:textId="77777777" w:rsidR="007A5656" w:rsidRPr="00A21F71" w:rsidRDefault="007A5656" w:rsidP="007A5656">
      <w:pPr>
        <w:jc w:val="both"/>
        <w:rPr>
          <w:rFonts w:eastAsia="Calibri"/>
          <w:lang w:eastAsia="de-DE" w:bidi="de-DE"/>
        </w:rPr>
      </w:pPr>
    </w:p>
    <w:p w14:paraId="572C4449" w14:textId="77777777" w:rsidR="007A5656" w:rsidRPr="00A21F71" w:rsidRDefault="007A5656" w:rsidP="007A5656">
      <w:pPr>
        <w:jc w:val="center"/>
        <w:rPr>
          <w:rFonts w:eastAsia="Calibri"/>
          <w:i/>
          <w:lang w:eastAsia="de-DE" w:bidi="de-DE"/>
        </w:rPr>
      </w:pPr>
      <w:r w:rsidRPr="00A21F71">
        <w:rPr>
          <w:rFonts w:eastAsia="Calibri"/>
          <w:lang w:eastAsia="de-DE" w:bidi="de-DE"/>
        </w:rPr>
        <w:t xml:space="preserve">3. KAPITEL 3 - </w:t>
      </w:r>
      <w:r w:rsidRPr="00A21F71">
        <w:rPr>
          <w:rFonts w:eastAsia="Calibri"/>
          <w:i/>
          <w:lang w:eastAsia="de-DE" w:bidi="de-DE"/>
        </w:rPr>
        <w:t>Entlohnungen von Unternehmensleitern</w:t>
      </w:r>
    </w:p>
    <w:p w14:paraId="5844778A" w14:textId="77777777" w:rsidR="007A5656" w:rsidRPr="00A21F71" w:rsidRDefault="007A5656" w:rsidP="007A5656">
      <w:pPr>
        <w:jc w:val="both"/>
        <w:rPr>
          <w:rFonts w:eastAsia="Calibri"/>
          <w:lang w:eastAsia="de-DE" w:bidi="de-DE"/>
        </w:rPr>
      </w:pPr>
    </w:p>
    <w:p w14:paraId="55AACCDD" w14:textId="77777777" w:rsidR="007A5656" w:rsidRPr="00A21F71" w:rsidRDefault="007A5656" w:rsidP="007A5656">
      <w:pPr>
        <w:jc w:val="both"/>
        <w:rPr>
          <w:rFonts w:eastAsia="Calibri"/>
          <w:lang w:eastAsia="de-DE" w:bidi="de-DE"/>
        </w:rPr>
      </w:pPr>
    </w:p>
    <w:p w14:paraId="14820B10" w14:textId="77777777" w:rsidR="007A5656" w:rsidRPr="00A21F71" w:rsidRDefault="007A5656" w:rsidP="007A5656">
      <w:pPr>
        <w:jc w:val="both"/>
        <w:rPr>
          <w:rFonts w:eastAsia="Calibri"/>
          <w:lang w:eastAsia="de-DE" w:bidi="de-DE"/>
        </w:rPr>
      </w:pPr>
      <w:r w:rsidRPr="00A21F71">
        <w:rPr>
          <w:rFonts w:eastAsia="Calibri"/>
          <w:lang w:eastAsia="de-DE" w:bidi="de-DE"/>
        </w:rPr>
        <w:tab/>
        <w:t>3.1 Vorliegendes Kapitel ist anwendbar auf:</w:t>
      </w:r>
    </w:p>
    <w:p w14:paraId="5BEF10F2" w14:textId="77777777" w:rsidR="007A5656" w:rsidRPr="00A21F71" w:rsidRDefault="007A5656" w:rsidP="007A5656">
      <w:pPr>
        <w:jc w:val="both"/>
        <w:rPr>
          <w:rFonts w:eastAsia="Calibri"/>
          <w:lang w:eastAsia="de-DE" w:bidi="de-DE"/>
        </w:rPr>
      </w:pPr>
    </w:p>
    <w:p w14:paraId="7D69ED3A" w14:textId="77777777" w:rsidR="007A5656" w:rsidRPr="00A21F71" w:rsidRDefault="007A5656" w:rsidP="007A5656">
      <w:pPr>
        <w:jc w:val="both"/>
        <w:rPr>
          <w:rFonts w:eastAsia="Calibri"/>
          <w:lang w:eastAsia="de-DE" w:bidi="de-DE"/>
        </w:rPr>
      </w:pPr>
      <w:r w:rsidRPr="00A21F71">
        <w:rPr>
          <w:rFonts w:eastAsia="Calibri"/>
          <w:lang w:eastAsia="de-DE" w:bidi="de-DE"/>
        </w:rPr>
        <w:tab/>
        <w:t>A. Einwohner des Königreichs,</w:t>
      </w:r>
    </w:p>
    <w:p w14:paraId="63BEB7B0" w14:textId="77777777" w:rsidR="007A5656" w:rsidRPr="00A21F71" w:rsidRDefault="007A5656" w:rsidP="007A5656">
      <w:pPr>
        <w:jc w:val="both"/>
        <w:rPr>
          <w:rFonts w:eastAsia="Calibri"/>
          <w:lang w:eastAsia="de-DE" w:bidi="de-DE"/>
        </w:rPr>
      </w:pPr>
    </w:p>
    <w:p w14:paraId="2699D140" w14:textId="77777777" w:rsidR="007A5656" w:rsidRPr="00A21F71" w:rsidRDefault="007A5656" w:rsidP="007A5656">
      <w:pPr>
        <w:jc w:val="both"/>
        <w:rPr>
          <w:rFonts w:eastAsia="Calibri"/>
          <w:lang w:eastAsia="de-DE" w:bidi="de-DE"/>
        </w:rPr>
      </w:pPr>
      <w:r w:rsidRPr="00A21F71">
        <w:rPr>
          <w:rFonts w:eastAsia="Calibri"/>
          <w:lang w:eastAsia="de-DE" w:bidi="de-DE"/>
        </w:rPr>
        <w:tab/>
        <w:t>B. Gebietsfremde, die Entlohnungen beziehen:</w:t>
      </w:r>
    </w:p>
    <w:p w14:paraId="75FD56D1" w14:textId="77777777" w:rsidR="007A5656" w:rsidRPr="00A21F71" w:rsidRDefault="007A5656" w:rsidP="007A5656">
      <w:pPr>
        <w:jc w:val="both"/>
        <w:rPr>
          <w:rFonts w:eastAsia="Calibri"/>
          <w:lang w:eastAsia="de-DE" w:bidi="de-DE"/>
        </w:rPr>
      </w:pPr>
    </w:p>
    <w:p w14:paraId="12F89693" w14:textId="77777777" w:rsidR="007A5656" w:rsidRPr="00A21F71" w:rsidRDefault="007A5656" w:rsidP="007A5656">
      <w:pPr>
        <w:jc w:val="both"/>
        <w:rPr>
          <w:rFonts w:eastAsia="Calibri"/>
          <w:lang w:eastAsia="de-DE" w:bidi="de-DE"/>
        </w:rPr>
      </w:pPr>
      <w:r w:rsidRPr="00A21F71">
        <w:rPr>
          <w:rFonts w:eastAsia="Calibri"/>
          <w:lang w:eastAsia="de-DE" w:bidi="de-DE"/>
        </w:rPr>
        <w:tab/>
        <w:t>- für Arbeitsleistungen, die sie in Belgien erbringen,</w:t>
      </w:r>
    </w:p>
    <w:p w14:paraId="65B5489C" w14:textId="77777777" w:rsidR="007A5656" w:rsidRPr="00A21F71" w:rsidRDefault="007A5656" w:rsidP="007A5656">
      <w:pPr>
        <w:jc w:val="both"/>
        <w:rPr>
          <w:rFonts w:eastAsia="Calibri"/>
          <w:lang w:eastAsia="de-DE" w:bidi="de-DE"/>
        </w:rPr>
      </w:pPr>
    </w:p>
    <w:p w14:paraId="76AF8640"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 in Ausführung eines oder mehrerer Arbeitsverträge, die </w:t>
      </w:r>
      <w:r w:rsidRPr="00A21F71">
        <w:rPr>
          <w:rFonts w:eastAsia="Calibri"/>
          <w:b/>
          <w:i/>
          <w:lang w:eastAsia="de-DE" w:bidi="de-DE"/>
        </w:rPr>
        <w:t>das ganze Kalenderjahr</w:t>
      </w:r>
      <w:r w:rsidRPr="00A21F71">
        <w:rPr>
          <w:rFonts w:eastAsia="Calibri"/>
          <w:lang w:eastAsia="de-DE" w:bidi="de-DE"/>
        </w:rPr>
        <w:t xml:space="preserve"> abdecken,</w:t>
      </w:r>
    </w:p>
    <w:p w14:paraId="46BE2F93" w14:textId="77777777" w:rsidR="007A5656" w:rsidRPr="00A21F71" w:rsidRDefault="007A5656" w:rsidP="007A5656">
      <w:pPr>
        <w:jc w:val="both"/>
        <w:rPr>
          <w:rFonts w:eastAsia="Calibri"/>
          <w:lang w:eastAsia="de-DE" w:bidi="de-DE"/>
        </w:rPr>
      </w:pPr>
    </w:p>
    <w:p w14:paraId="0933EAA7"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 und insofern die Arbeitsleistungen </w:t>
      </w:r>
      <w:r w:rsidRPr="00A21F71">
        <w:rPr>
          <w:rFonts w:eastAsia="Calibri"/>
          <w:b/>
          <w:i/>
          <w:lang w:eastAsia="de-DE" w:bidi="de-DE"/>
        </w:rPr>
        <w:t>mindestens 75 Prozent der gesetzlich vorgesehenen Arbeitszeit pro Vertrag</w:t>
      </w:r>
      <w:r w:rsidRPr="00A21F71">
        <w:rPr>
          <w:rFonts w:eastAsia="Calibri"/>
          <w:lang w:eastAsia="de-DE" w:bidi="de-DE"/>
        </w:rPr>
        <w:t xml:space="preserve"> betragen.</w:t>
      </w:r>
    </w:p>
    <w:p w14:paraId="27BDD0C0"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37FE258D"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3.2 Requalifizierung von Mieteinkünften</w:t>
      </w:r>
    </w:p>
    <w:p w14:paraId="2BF356DC" w14:textId="77777777" w:rsidR="007A5656" w:rsidRPr="00A21F71" w:rsidRDefault="007A5656" w:rsidP="007A5656">
      <w:pPr>
        <w:jc w:val="both"/>
        <w:rPr>
          <w:rFonts w:eastAsia="Calibri"/>
          <w:lang w:eastAsia="de-DE" w:bidi="de-DE"/>
        </w:rPr>
      </w:pPr>
    </w:p>
    <w:p w14:paraId="3157F816" w14:textId="77777777" w:rsidR="007A5656" w:rsidRPr="00A21F71" w:rsidRDefault="007A5656" w:rsidP="007A5656">
      <w:pPr>
        <w:jc w:val="both"/>
        <w:rPr>
          <w:rFonts w:eastAsia="Calibri"/>
          <w:lang w:eastAsia="de-DE" w:bidi="de-DE"/>
        </w:rPr>
      </w:pPr>
      <w:r w:rsidRPr="00A21F71">
        <w:rPr>
          <w:rFonts w:eastAsia="Calibri"/>
          <w:lang w:eastAsia="de-DE" w:bidi="de-DE"/>
        </w:rPr>
        <w:tab/>
        <w:t>Entlohnungen, die aus der in Artikel 32 Absatz 2 Nr. 3 des Einkommensteuergesetz</w:t>
      </w:r>
      <w:r w:rsidRPr="00A21F71">
        <w:rPr>
          <w:rFonts w:eastAsia="Calibri"/>
          <w:lang w:eastAsia="de-DE" w:bidi="de-DE"/>
        </w:rPr>
        <w:softHyphen/>
        <w:t>buches 1992 erwähnten Requalifizierung von Einkünften aus unbeweglichen Gütern hervorgehen, werden für die Festlegung des Berufssteuervorabzugs und solange der König den für das betreffende Jahr zu berücksichtigenden Neubewertungskoeffizienten nicht festgelegt hat, auf der Grundlage des Neubewertungskoeffizienten berechnet, der für das letzte vorhergehende Jahr gilt.</w:t>
      </w:r>
    </w:p>
    <w:p w14:paraId="16D52662" w14:textId="77777777" w:rsidR="007A5656" w:rsidRPr="00A21F71" w:rsidRDefault="007A5656" w:rsidP="007A5656">
      <w:pPr>
        <w:jc w:val="both"/>
        <w:rPr>
          <w:rFonts w:eastAsia="Calibri"/>
          <w:lang w:eastAsia="de-DE" w:bidi="de-DE"/>
        </w:rPr>
      </w:pPr>
    </w:p>
    <w:p w14:paraId="0A2E2E89" w14:textId="77777777" w:rsidR="007A5656" w:rsidRPr="00A21F71" w:rsidRDefault="007A5656" w:rsidP="007A5656">
      <w:pPr>
        <w:jc w:val="both"/>
        <w:rPr>
          <w:rFonts w:eastAsia="Calibri"/>
          <w:lang w:eastAsia="de-DE" w:bidi="de-DE"/>
        </w:rPr>
      </w:pPr>
    </w:p>
    <w:p w14:paraId="28BBE256" w14:textId="77777777" w:rsidR="007A5656" w:rsidRPr="00A21F71" w:rsidRDefault="007A5656" w:rsidP="007A5656">
      <w:pPr>
        <w:jc w:val="center"/>
        <w:rPr>
          <w:rFonts w:eastAsia="Calibri"/>
          <w:lang w:eastAsia="de-DE" w:bidi="de-DE"/>
        </w:rPr>
      </w:pPr>
      <w:r w:rsidRPr="00A21F71">
        <w:rPr>
          <w:rFonts w:eastAsia="Calibri"/>
          <w:i/>
          <w:lang w:eastAsia="de-DE" w:bidi="de-DE"/>
        </w:rPr>
        <w:t>Abschnitt 1</w:t>
      </w:r>
      <w:r w:rsidRPr="00A21F71">
        <w:rPr>
          <w:rFonts w:eastAsia="Calibri"/>
          <w:lang w:eastAsia="de-DE" w:bidi="de-DE"/>
        </w:rPr>
        <w:t> - Monatliche Bruttoentlohnungen bis zu 7.500 EUR</w:t>
      </w:r>
    </w:p>
    <w:p w14:paraId="4AE6C94B" w14:textId="77777777" w:rsidR="007A5656" w:rsidRPr="00A21F71" w:rsidRDefault="007A5656" w:rsidP="007A5656">
      <w:pPr>
        <w:jc w:val="both"/>
        <w:rPr>
          <w:rFonts w:eastAsia="Calibri"/>
          <w:lang w:eastAsia="de-DE" w:bidi="de-DE"/>
        </w:rPr>
      </w:pPr>
    </w:p>
    <w:p w14:paraId="12C52A1A" w14:textId="77777777" w:rsidR="007A5656" w:rsidRPr="00A21F71" w:rsidRDefault="007A5656" w:rsidP="007A5656">
      <w:pPr>
        <w:jc w:val="both"/>
        <w:rPr>
          <w:rFonts w:eastAsia="Calibri"/>
          <w:lang w:eastAsia="de-DE" w:bidi="de-DE"/>
        </w:rPr>
      </w:pPr>
    </w:p>
    <w:p w14:paraId="30ECD17B" w14:textId="77777777" w:rsidR="007A5656" w:rsidRPr="00A21F71" w:rsidRDefault="007A5656" w:rsidP="007A5656">
      <w:pPr>
        <w:jc w:val="both"/>
        <w:rPr>
          <w:rFonts w:eastAsia="Calibri"/>
          <w:lang w:eastAsia="de-DE" w:bidi="de-DE"/>
        </w:rPr>
      </w:pPr>
      <w:r w:rsidRPr="00A21F71">
        <w:rPr>
          <w:rFonts w:eastAsia="Calibri"/>
          <w:lang w:eastAsia="de-DE" w:bidi="de-DE"/>
        </w:rPr>
        <w:tab/>
        <w:t>3.3 Der Empfänger der Einkünfte ist Alleinstehender ODER der Ehepartner des Empfängers der Einkünfte bezieht ebenfalls Berufseinkünfte (Tabelle I)</w:t>
      </w:r>
    </w:p>
    <w:p w14:paraId="082D31B4" w14:textId="77777777" w:rsidR="007A5656" w:rsidRPr="00A21F71" w:rsidRDefault="007A5656" w:rsidP="007A5656">
      <w:pPr>
        <w:jc w:val="both"/>
        <w:rPr>
          <w:rFonts w:eastAsia="Calibri"/>
          <w:lang w:eastAsia="de-DE" w:bidi="de-DE"/>
        </w:rPr>
      </w:pPr>
    </w:p>
    <w:p w14:paraId="48D88DF2" w14:textId="77777777" w:rsidR="007A5656" w:rsidRPr="00A21F71" w:rsidRDefault="007A5656" w:rsidP="007A5656">
      <w:pPr>
        <w:jc w:val="both"/>
        <w:rPr>
          <w:rFonts w:eastAsia="Calibri"/>
          <w:lang w:eastAsia="de-DE" w:bidi="de-DE"/>
        </w:rPr>
      </w:pPr>
      <w:r w:rsidRPr="00A21F71">
        <w:rPr>
          <w:rFonts w:eastAsia="Calibri"/>
          <w:lang w:eastAsia="de-DE" w:bidi="de-DE"/>
        </w:rPr>
        <w:tab/>
        <w:t>A. Beträgt die monatliche Bruttoentlohnung nicht mehr als 7.500 EUR, wird der Berufssteuervorabzug gemäß Tabelle I festgelegt.</w:t>
      </w:r>
    </w:p>
    <w:p w14:paraId="36CA68A9" w14:textId="77777777" w:rsidR="007A5656" w:rsidRPr="00A21F71" w:rsidRDefault="007A5656" w:rsidP="007A5656">
      <w:pPr>
        <w:jc w:val="both"/>
        <w:rPr>
          <w:rFonts w:eastAsia="Calibri"/>
          <w:lang w:eastAsia="de-DE" w:bidi="de-DE"/>
        </w:rPr>
      </w:pPr>
    </w:p>
    <w:p w14:paraId="0E1DFCE1" w14:textId="77777777" w:rsidR="007A5656" w:rsidRPr="00A21F71" w:rsidRDefault="007A5656" w:rsidP="007A5656">
      <w:pPr>
        <w:jc w:val="both"/>
        <w:rPr>
          <w:rFonts w:eastAsia="Calibri"/>
          <w:lang w:eastAsia="de-DE" w:bidi="de-DE"/>
        </w:rPr>
      </w:pPr>
      <w:r w:rsidRPr="00A21F71">
        <w:rPr>
          <w:rFonts w:eastAsia="Calibri"/>
          <w:lang w:eastAsia="de-DE" w:bidi="de-DE"/>
        </w:rPr>
        <w:tab/>
        <w:t>Von dem gemäß dieser Tabelle festgelegten Berufssteuervorabzug werden dann die in Nr. 2.2 Punkt A Buchstabe a) bis c) erwähnten Ermäßigungen abgezogen.</w:t>
      </w:r>
    </w:p>
    <w:p w14:paraId="2F7B0347" w14:textId="77777777" w:rsidR="007A5656" w:rsidRPr="00A21F71" w:rsidRDefault="007A5656" w:rsidP="007A5656">
      <w:pPr>
        <w:jc w:val="both"/>
        <w:rPr>
          <w:rFonts w:eastAsia="Calibri"/>
          <w:lang w:eastAsia="de-DE" w:bidi="de-DE"/>
        </w:rPr>
      </w:pPr>
    </w:p>
    <w:p w14:paraId="1D3995D5" w14:textId="77777777" w:rsidR="007A5656" w:rsidRPr="00A21F71" w:rsidRDefault="007A5656" w:rsidP="007A5656">
      <w:pPr>
        <w:jc w:val="both"/>
        <w:rPr>
          <w:rFonts w:eastAsia="Calibri"/>
          <w:lang w:eastAsia="de-DE" w:bidi="de-DE"/>
        </w:rPr>
      </w:pPr>
      <w:r w:rsidRPr="00A21F71">
        <w:rPr>
          <w:rFonts w:eastAsia="Calibri"/>
          <w:lang w:eastAsia="de-DE" w:bidi="de-DE"/>
        </w:rPr>
        <w:tab/>
        <w:t>Nach diesen Ermäßigungen werden folgende Ermäßigungen angewandt:</w:t>
      </w:r>
    </w:p>
    <w:p w14:paraId="4535DA74" w14:textId="77777777" w:rsidR="007A5656" w:rsidRPr="00A21F71" w:rsidRDefault="007A5656" w:rsidP="007A5656">
      <w:pPr>
        <w:jc w:val="both"/>
        <w:rPr>
          <w:rFonts w:eastAsia="Calibri"/>
          <w:lang w:eastAsia="de-DE" w:bidi="de-DE"/>
        </w:rPr>
      </w:pPr>
    </w:p>
    <w:p w14:paraId="3E0A7852" w14:textId="77777777" w:rsidR="007A5656" w:rsidRPr="00A21F71" w:rsidRDefault="007A5656" w:rsidP="007A5656">
      <w:pPr>
        <w:jc w:val="both"/>
        <w:rPr>
          <w:rFonts w:eastAsia="Calibri"/>
          <w:lang w:eastAsia="de-DE" w:bidi="de-DE"/>
        </w:rPr>
      </w:pPr>
      <w:r w:rsidRPr="00A21F71">
        <w:rPr>
          <w:rFonts w:eastAsia="Calibri"/>
          <w:lang w:eastAsia="de-DE" w:bidi="de-DE"/>
        </w:rPr>
        <w:tab/>
        <w:t>a) Ermäßigung des Berufssteuervorabzugs auf Entlohnungen von Unternehmensleitern mit niedrigem oder mittlerem Einkommen, die Anspruch auf einen erhöhten Steuerfreibetrag haben.</w:t>
      </w:r>
    </w:p>
    <w:p w14:paraId="32B6B602" w14:textId="77777777" w:rsidR="007A5656" w:rsidRPr="00A21F71" w:rsidRDefault="007A5656" w:rsidP="007A5656">
      <w:pPr>
        <w:jc w:val="both"/>
        <w:rPr>
          <w:rFonts w:eastAsia="Calibri"/>
          <w:lang w:eastAsia="de-DE" w:bidi="de-DE"/>
        </w:rPr>
      </w:pPr>
    </w:p>
    <w:p w14:paraId="26714ADD" w14:textId="77777777" w:rsidR="007A5656" w:rsidRPr="00A21F71" w:rsidRDefault="007A5656" w:rsidP="007A5656">
      <w:pPr>
        <w:jc w:val="both"/>
        <w:rPr>
          <w:rFonts w:eastAsia="Calibri"/>
          <w:lang w:eastAsia="de-DE" w:bidi="de-DE"/>
        </w:rPr>
      </w:pPr>
      <w:r w:rsidRPr="00A21F71">
        <w:rPr>
          <w:rFonts w:eastAsia="Calibri"/>
          <w:lang w:eastAsia="de-DE" w:bidi="de-DE"/>
        </w:rPr>
        <w:tab/>
        <w:t>Diese Ermäßigung beträgt 6,46 EUR und ist anwendbar, wenn die steuerpflichtige Entlohnung des betre</w:t>
      </w:r>
      <w:r>
        <w:rPr>
          <w:rFonts w:eastAsia="Calibri"/>
          <w:lang w:eastAsia="de-DE" w:bidi="de-DE"/>
        </w:rPr>
        <w:t>ffenden Unternehmensleiters 2.157,12</w:t>
      </w:r>
      <w:r w:rsidRPr="00A21F71">
        <w:rPr>
          <w:rFonts w:eastAsia="Calibri"/>
          <w:lang w:eastAsia="de-DE" w:bidi="de-DE"/>
        </w:rPr>
        <w:t> EUR nicht übersteigt,</w:t>
      </w:r>
    </w:p>
    <w:p w14:paraId="6351B57B" w14:textId="77777777" w:rsidR="007A5656" w:rsidRPr="00A21F71" w:rsidRDefault="007A5656" w:rsidP="007A5656">
      <w:pPr>
        <w:jc w:val="both"/>
        <w:rPr>
          <w:rFonts w:eastAsia="Calibri"/>
          <w:lang w:eastAsia="de-DE" w:bidi="de-DE"/>
        </w:rPr>
      </w:pPr>
    </w:p>
    <w:p w14:paraId="50AC2E89" w14:textId="77777777" w:rsidR="007A5656" w:rsidRPr="00A21F71" w:rsidRDefault="007A5656" w:rsidP="007A5656">
      <w:pPr>
        <w:jc w:val="both"/>
        <w:rPr>
          <w:rFonts w:eastAsia="Calibri"/>
          <w:lang w:eastAsia="de-DE" w:bidi="de-DE"/>
        </w:rPr>
      </w:pPr>
      <w:r w:rsidRPr="00A21F71">
        <w:rPr>
          <w:rFonts w:eastAsia="Calibri"/>
          <w:lang w:eastAsia="de-DE" w:bidi="de-DE"/>
        </w:rPr>
        <w:tab/>
        <w:t>b) Ermäßigung des Berufssteuervorabzugs auf Entlohnungen von Unternehmens</w:t>
      </w:r>
      <w:r w:rsidRPr="00A21F71">
        <w:rPr>
          <w:rFonts w:eastAsia="Calibri"/>
          <w:lang w:eastAsia="de-DE" w:bidi="de-DE"/>
        </w:rPr>
        <w:softHyphen/>
        <w:t>leitern, die Anspruch auf einen Arbeitsbonus haben aufgrund von Artikel 2 des Gesetzes vom 20. Dezember 1999 zur Gewährung eines Arbeitsbonus in der Form einer Ermäßigung der persönlichen Sozialversicherungsbeiträge an die Lohnempfänger mit Niedriglöhnen und an bestimmte Arbeitnehmer, die Opfer einer Umstrukturierung gewesen sind.</w:t>
      </w:r>
    </w:p>
    <w:p w14:paraId="78822B76" w14:textId="77777777" w:rsidR="007A5656" w:rsidRPr="00A21F71" w:rsidRDefault="007A5656" w:rsidP="007A5656">
      <w:pPr>
        <w:jc w:val="both"/>
        <w:rPr>
          <w:rFonts w:eastAsia="Calibri"/>
          <w:lang w:eastAsia="de-DE" w:bidi="de-DE"/>
        </w:rPr>
      </w:pPr>
    </w:p>
    <w:p w14:paraId="34CA4B13" w14:textId="77777777" w:rsidR="007A5656" w:rsidRPr="00A21F71" w:rsidRDefault="007A5656" w:rsidP="007A5656">
      <w:pPr>
        <w:jc w:val="both"/>
        <w:rPr>
          <w:rFonts w:eastAsia="Calibri"/>
          <w:lang w:eastAsia="de-DE" w:bidi="de-DE"/>
        </w:rPr>
      </w:pPr>
      <w:r>
        <w:rPr>
          <w:rFonts w:eastAsia="Calibri"/>
          <w:lang w:eastAsia="de-DE" w:bidi="de-DE"/>
        </w:rPr>
        <w:tab/>
        <w:t>Die Ermäßigung beträgt 28,03</w:t>
      </w:r>
      <w:r w:rsidRPr="00A21F71">
        <w:rPr>
          <w:rFonts w:eastAsia="Calibri"/>
          <w:lang w:eastAsia="de-DE" w:bidi="de-DE"/>
        </w:rPr>
        <w:t> Prozent des Betrags des tatsächlich gewährten Arbeitsbonus.</w:t>
      </w:r>
    </w:p>
    <w:p w14:paraId="4FAEDF75" w14:textId="77777777" w:rsidR="007A5656" w:rsidRPr="00A21F71" w:rsidRDefault="007A5656" w:rsidP="007A5656">
      <w:pPr>
        <w:jc w:val="both"/>
        <w:rPr>
          <w:rFonts w:eastAsia="Calibri"/>
          <w:lang w:eastAsia="de-DE" w:bidi="de-DE"/>
        </w:rPr>
      </w:pPr>
    </w:p>
    <w:p w14:paraId="02BF7741" w14:textId="77777777" w:rsidR="007A5656" w:rsidRPr="00A21F71" w:rsidRDefault="007A5656" w:rsidP="007A5656">
      <w:pPr>
        <w:jc w:val="both"/>
        <w:rPr>
          <w:rFonts w:eastAsia="Calibri"/>
          <w:lang w:eastAsia="de-DE" w:bidi="de-DE"/>
        </w:rPr>
      </w:pPr>
      <w:r w:rsidRPr="00A21F71">
        <w:rPr>
          <w:rFonts w:eastAsia="Calibri"/>
          <w:lang w:eastAsia="de-DE" w:bidi="de-DE"/>
        </w:rPr>
        <w:tab/>
        <w:t>B. In Abweichung von Punkt A wird der Berufssteuervorabzug gemäß den in Nr. 3.4 vorgesehenen Regeln festgelegt, wenn der Ehepartner des Empfängers der Einkünfte eigene Berufseinkünfte bezieht, die sich ausschließlich aus Pensionen, Renten oder damit gleichgesetzten Einkünften zusammens</w:t>
      </w:r>
      <w:r>
        <w:rPr>
          <w:rFonts w:eastAsia="Calibri"/>
          <w:lang w:eastAsia="de-DE" w:bidi="de-DE"/>
        </w:rPr>
        <w:t>etzen und die nicht mehr als 132</w:t>
      </w:r>
      <w:r w:rsidRPr="00A21F71">
        <w:rPr>
          <w:rFonts w:eastAsia="Calibri"/>
          <w:lang w:eastAsia="de-DE" w:bidi="de-DE"/>
        </w:rPr>
        <w:t> EUR NETTO pro Monat betragen.</w:t>
      </w:r>
    </w:p>
    <w:p w14:paraId="064EB3BC" w14:textId="77777777" w:rsidR="007A5656" w:rsidRPr="00A21F71" w:rsidRDefault="007A5656" w:rsidP="007A5656">
      <w:pPr>
        <w:jc w:val="both"/>
        <w:rPr>
          <w:rFonts w:eastAsia="Calibri"/>
          <w:lang w:eastAsia="de-DE" w:bidi="de-DE"/>
        </w:rPr>
      </w:pPr>
    </w:p>
    <w:p w14:paraId="1451F2D7" w14:textId="77777777" w:rsidR="007A5656" w:rsidRPr="00A21F71" w:rsidRDefault="007A5656" w:rsidP="007A5656">
      <w:pPr>
        <w:jc w:val="both"/>
        <w:rPr>
          <w:rFonts w:eastAsia="Calibri"/>
          <w:lang w:eastAsia="de-DE" w:bidi="de-DE"/>
        </w:rPr>
      </w:pPr>
      <w:r w:rsidRPr="00A21F71">
        <w:rPr>
          <w:rFonts w:eastAsia="Calibri"/>
          <w:lang w:eastAsia="de-DE" w:bidi="de-DE"/>
        </w:rPr>
        <w:tab/>
        <w:t>Nettoberufseinkünfte werden gemäß den in Nr. 1.8 Punkt C vorgesehenen Regeln festgelegt.</w:t>
      </w:r>
    </w:p>
    <w:p w14:paraId="26DDEDC7"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2AF7A10E"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3.4 Der Ehepartner des Empfängers der Einkünfte bezieht keine Berufseinkünfte (Tabelle II)</w:t>
      </w:r>
    </w:p>
    <w:p w14:paraId="78EA694A" w14:textId="77777777" w:rsidR="007A5656" w:rsidRPr="00A21F71" w:rsidRDefault="007A5656" w:rsidP="007A5656">
      <w:pPr>
        <w:jc w:val="both"/>
        <w:rPr>
          <w:rFonts w:eastAsia="Calibri"/>
          <w:lang w:eastAsia="de-DE" w:bidi="de-DE"/>
        </w:rPr>
      </w:pPr>
    </w:p>
    <w:p w14:paraId="53D64437" w14:textId="77777777" w:rsidR="007A5656" w:rsidRPr="00A21F71" w:rsidRDefault="007A5656" w:rsidP="007A5656">
      <w:pPr>
        <w:jc w:val="both"/>
        <w:rPr>
          <w:rFonts w:eastAsia="Calibri"/>
          <w:lang w:eastAsia="de-DE" w:bidi="de-DE"/>
        </w:rPr>
      </w:pPr>
      <w:r w:rsidRPr="00A21F71">
        <w:rPr>
          <w:rFonts w:eastAsia="Calibri"/>
          <w:lang w:eastAsia="de-DE" w:bidi="de-DE"/>
        </w:rPr>
        <w:tab/>
        <w:t>Beträgt die monatliche Bruttoentlohnung nicht mehr als 7.500 EUR, wird der Berufssteuervorabzug gemäß Tabelle II festgelegt.</w:t>
      </w:r>
    </w:p>
    <w:p w14:paraId="5E03CBAB" w14:textId="77777777" w:rsidR="007A5656" w:rsidRPr="00A21F71" w:rsidRDefault="007A5656" w:rsidP="007A5656">
      <w:pPr>
        <w:jc w:val="both"/>
        <w:rPr>
          <w:rFonts w:eastAsia="Calibri"/>
          <w:lang w:eastAsia="de-DE" w:bidi="de-DE"/>
        </w:rPr>
      </w:pPr>
    </w:p>
    <w:p w14:paraId="52A94938" w14:textId="77777777" w:rsidR="007A5656" w:rsidRPr="00A21F71" w:rsidRDefault="007A5656" w:rsidP="007A5656">
      <w:pPr>
        <w:jc w:val="both"/>
        <w:rPr>
          <w:rFonts w:eastAsia="Calibri"/>
          <w:lang w:eastAsia="de-DE" w:bidi="de-DE"/>
        </w:rPr>
      </w:pPr>
      <w:r w:rsidRPr="00A21F71">
        <w:rPr>
          <w:rFonts w:eastAsia="Calibri"/>
          <w:lang w:eastAsia="de-DE" w:bidi="de-DE"/>
        </w:rPr>
        <w:tab/>
        <w:t>Von dem gemäß dieser Tabelle festgelegten Berufssteuervorabzug werden dann die in Nr. 2.3 Buchstabe a) bis c) erwähnten Ermäßigungen abgezogen.</w:t>
      </w:r>
    </w:p>
    <w:p w14:paraId="436ACAFA" w14:textId="77777777" w:rsidR="007A5656" w:rsidRPr="00A21F71" w:rsidRDefault="007A5656" w:rsidP="007A5656">
      <w:pPr>
        <w:jc w:val="both"/>
        <w:rPr>
          <w:rFonts w:eastAsia="Calibri"/>
          <w:lang w:eastAsia="de-DE" w:bidi="de-DE"/>
        </w:rPr>
      </w:pPr>
    </w:p>
    <w:p w14:paraId="72F9A64B"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Nach diesen Ermäßigungen werden folgende Ermäßigungen angewandt: </w:t>
      </w:r>
    </w:p>
    <w:p w14:paraId="6E6D8467" w14:textId="77777777" w:rsidR="007A5656" w:rsidRPr="00A21F71" w:rsidRDefault="007A5656" w:rsidP="007A5656">
      <w:pPr>
        <w:jc w:val="both"/>
        <w:rPr>
          <w:rFonts w:eastAsia="Calibri"/>
          <w:lang w:eastAsia="de-DE" w:bidi="de-DE"/>
        </w:rPr>
      </w:pPr>
    </w:p>
    <w:p w14:paraId="7A7D58AD" w14:textId="77777777" w:rsidR="007A5656" w:rsidRPr="00A21F71" w:rsidRDefault="007A5656" w:rsidP="007A5656">
      <w:pPr>
        <w:jc w:val="both"/>
        <w:rPr>
          <w:rFonts w:eastAsia="Calibri"/>
          <w:lang w:eastAsia="de-DE" w:bidi="de-DE"/>
        </w:rPr>
      </w:pPr>
      <w:r w:rsidRPr="00A21F71">
        <w:rPr>
          <w:rFonts w:eastAsia="Calibri"/>
          <w:lang w:eastAsia="de-DE" w:bidi="de-DE"/>
        </w:rPr>
        <w:tab/>
        <w:t>a) Ermäßigung des Berufssteuervorabzugs auf Entlohnungen von Unternehmensleitern mit niedrigem oder mittlerem Einkommen, die Anspruch auf einen erhöhten Steuerfreibetrag haben.</w:t>
      </w:r>
    </w:p>
    <w:p w14:paraId="35BFEF64" w14:textId="77777777" w:rsidR="007A5656" w:rsidRPr="00A21F71" w:rsidRDefault="007A5656" w:rsidP="007A5656">
      <w:pPr>
        <w:jc w:val="both"/>
        <w:rPr>
          <w:rFonts w:eastAsia="Calibri"/>
          <w:lang w:eastAsia="de-DE" w:bidi="de-DE"/>
        </w:rPr>
      </w:pPr>
    </w:p>
    <w:p w14:paraId="1F4FA3A0" w14:textId="77777777" w:rsidR="007A5656" w:rsidRPr="00A21F71" w:rsidRDefault="007A5656" w:rsidP="007A5656">
      <w:pPr>
        <w:jc w:val="both"/>
        <w:rPr>
          <w:rFonts w:eastAsia="Calibri"/>
          <w:lang w:eastAsia="de-DE" w:bidi="de-DE"/>
        </w:rPr>
      </w:pPr>
      <w:r w:rsidRPr="00A21F71">
        <w:rPr>
          <w:rFonts w:eastAsia="Calibri"/>
          <w:lang w:eastAsia="de-DE" w:bidi="de-DE"/>
        </w:rPr>
        <w:tab/>
        <w:t>Diese Ermäßigung beträgt 6,46 EUR und ist anwendbar, wenn die steuerpflichtige Entlohnung des betre</w:t>
      </w:r>
      <w:r>
        <w:rPr>
          <w:rFonts w:eastAsia="Calibri"/>
          <w:lang w:eastAsia="de-DE" w:bidi="de-DE"/>
        </w:rPr>
        <w:t>ffenden Unternehmensleiters 2.157,12</w:t>
      </w:r>
      <w:r w:rsidRPr="00A21F71">
        <w:rPr>
          <w:rFonts w:eastAsia="Calibri"/>
          <w:lang w:eastAsia="de-DE" w:bidi="de-DE"/>
        </w:rPr>
        <w:t> EUR nicht übersteigt,</w:t>
      </w:r>
    </w:p>
    <w:p w14:paraId="4D44F1DD" w14:textId="77777777" w:rsidR="007A5656" w:rsidRPr="00A21F71" w:rsidRDefault="007A5656" w:rsidP="007A5656">
      <w:pPr>
        <w:jc w:val="both"/>
        <w:rPr>
          <w:rFonts w:eastAsia="Calibri"/>
          <w:lang w:eastAsia="de-DE" w:bidi="de-DE"/>
        </w:rPr>
      </w:pPr>
    </w:p>
    <w:p w14:paraId="68FF82B9" w14:textId="77777777" w:rsidR="007A5656" w:rsidRPr="00A21F71" w:rsidRDefault="007A5656" w:rsidP="007A5656">
      <w:pPr>
        <w:jc w:val="both"/>
        <w:rPr>
          <w:rFonts w:eastAsia="Calibri"/>
          <w:lang w:eastAsia="de-DE" w:bidi="de-DE"/>
        </w:rPr>
      </w:pPr>
      <w:r w:rsidRPr="00A21F71">
        <w:rPr>
          <w:rFonts w:eastAsia="Calibri"/>
          <w:lang w:eastAsia="de-DE" w:bidi="de-DE"/>
        </w:rPr>
        <w:tab/>
        <w:t>b) Ermäßigung des Berufssteuervorabzugs auf Entlohnungen von Unternehmens</w:t>
      </w:r>
      <w:r w:rsidRPr="00A21F71">
        <w:rPr>
          <w:rFonts w:eastAsia="Calibri"/>
          <w:lang w:eastAsia="de-DE" w:bidi="de-DE"/>
        </w:rPr>
        <w:softHyphen/>
        <w:t>leitern, die Anspruch auf einen Arbeitsbonus haben aufgrund von Artikel 2 des Gesetzes vom 20. Dezember 1999 zur Gewährung eines Arbeitsbonus in der Form einer Ermäßigung der persönlichen Sozialversicherungsbeiträge an die Lohnempfänger mit Niedriglöhnen und an bestimmte Arbeitnehmer, die Opfer einer Umstrukturierung gewesen sind.</w:t>
      </w:r>
    </w:p>
    <w:p w14:paraId="2D46F270" w14:textId="77777777" w:rsidR="007A5656" w:rsidRPr="00A21F71" w:rsidRDefault="007A5656" w:rsidP="007A5656">
      <w:pPr>
        <w:jc w:val="both"/>
        <w:rPr>
          <w:rFonts w:eastAsia="Calibri"/>
          <w:lang w:eastAsia="de-DE" w:bidi="de-DE"/>
        </w:rPr>
      </w:pPr>
    </w:p>
    <w:p w14:paraId="15CF7680" w14:textId="77777777" w:rsidR="007A5656" w:rsidRPr="00A21F71" w:rsidRDefault="007A5656" w:rsidP="007A5656">
      <w:pPr>
        <w:jc w:val="both"/>
        <w:rPr>
          <w:rFonts w:eastAsia="Calibri"/>
          <w:lang w:eastAsia="de-DE" w:bidi="de-DE"/>
        </w:rPr>
      </w:pPr>
      <w:r>
        <w:rPr>
          <w:rFonts w:eastAsia="Calibri"/>
          <w:lang w:eastAsia="de-DE" w:bidi="de-DE"/>
        </w:rPr>
        <w:tab/>
        <w:t>Die Ermäßigung beträgt 28,03</w:t>
      </w:r>
      <w:r w:rsidRPr="00A21F71">
        <w:rPr>
          <w:rFonts w:eastAsia="Calibri"/>
          <w:lang w:eastAsia="de-DE" w:bidi="de-DE"/>
        </w:rPr>
        <w:t> Prozent des Betrags des tatsächlich gewährten Arbeitsbonus.</w:t>
      </w:r>
    </w:p>
    <w:p w14:paraId="5301CEBC" w14:textId="77777777" w:rsidR="007A5656" w:rsidRPr="00A21F71" w:rsidRDefault="007A5656" w:rsidP="007A5656">
      <w:pPr>
        <w:jc w:val="both"/>
        <w:rPr>
          <w:rFonts w:eastAsia="Calibri"/>
          <w:lang w:eastAsia="de-DE" w:bidi="de-DE"/>
        </w:rPr>
      </w:pPr>
    </w:p>
    <w:p w14:paraId="0764F205" w14:textId="77777777" w:rsidR="007A5656" w:rsidRPr="00A21F71" w:rsidRDefault="007A5656" w:rsidP="007A5656">
      <w:pPr>
        <w:jc w:val="both"/>
        <w:rPr>
          <w:rFonts w:eastAsia="Calibri"/>
          <w:lang w:eastAsia="de-DE" w:bidi="de-DE"/>
        </w:rPr>
      </w:pPr>
    </w:p>
    <w:p w14:paraId="46A556A0" w14:textId="77777777" w:rsidR="007A5656" w:rsidRPr="00A21F71" w:rsidRDefault="007A5656" w:rsidP="007A5656">
      <w:pPr>
        <w:jc w:val="center"/>
        <w:rPr>
          <w:rFonts w:eastAsia="Calibri"/>
          <w:lang w:eastAsia="de-DE" w:bidi="de-DE"/>
        </w:rPr>
      </w:pPr>
      <w:r w:rsidRPr="00A21F71">
        <w:rPr>
          <w:rFonts w:eastAsia="Calibri"/>
          <w:i/>
          <w:lang w:eastAsia="de-DE" w:bidi="de-DE"/>
        </w:rPr>
        <w:t>Abschnitt 2</w:t>
      </w:r>
      <w:r w:rsidRPr="00A21F71">
        <w:rPr>
          <w:rFonts w:eastAsia="Calibri"/>
          <w:lang w:eastAsia="de-DE" w:bidi="de-DE"/>
        </w:rPr>
        <w:t> - Monatliche Bruttoentlohnungen über 7.500 EUR</w:t>
      </w:r>
    </w:p>
    <w:p w14:paraId="4FF9036D" w14:textId="77777777" w:rsidR="007A5656" w:rsidRPr="00A21F71" w:rsidRDefault="007A5656" w:rsidP="007A5656">
      <w:pPr>
        <w:jc w:val="both"/>
        <w:rPr>
          <w:rFonts w:eastAsia="Calibri"/>
          <w:lang w:eastAsia="de-DE" w:bidi="de-DE"/>
        </w:rPr>
      </w:pPr>
    </w:p>
    <w:p w14:paraId="1F055B7E" w14:textId="77777777" w:rsidR="007A5656" w:rsidRPr="00A21F71" w:rsidRDefault="007A5656" w:rsidP="007A5656">
      <w:pPr>
        <w:jc w:val="both"/>
        <w:rPr>
          <w:rFonts w:eastAsia="Calibri"/>
          <w:lang w:eastAsia="de-DE" w:bidi="de-DE"/>
        </w:rPr>
      </w:pPr>
    </w:p>
    <w:p w14:paraId="2B93C405" w14:textId="77777777" w:rsidR="007A5656" w:rsidRPr="00A21F71" w:rsidRDefault="007A5656" w:rsidP="007A5656">
      <w:pPr>
        <w:jc w:val="both"/>
        <w:rPr>
          <w:rFonts w:eastAsia="Calibri"/>
          <w:lang w:eastAsia="de-DE" w:bidi="de-DE"/>
        </w:rPr>
      </w:pPr>
      <w:r w:rsidRPr="00A21F71">
        <w:rPr>
          <w:rFonts w:eastAsia="Calibri"/>
          <w:lang w:eastAsia="de-DE" w:bidi="de-DE"/>
        </w:rPr>
        <w:tab/>
        <w:t>3.5 Der Empfänger der Einkünfte ist Alleinstehender ODER der Ehepartner des Empfängers der Einkünfte bezieht ebenfalls Berufseinkünfte</w:t>
      </w:r>
    </w:p>
    <w:p w14:paraId="5ED3C616" w14:textId="77777777" w:rsidR="007A5656" w:rsidRPr="00A21F71" w:rsidRDefault="007A5656" w:rsidP="007A5656">
      <w:pPr>
        <w:jc w:val="both"/>
        <w:rPr>
          <w:rFonts w:eastAsia="Calibri"/>
          <w:lang w:eastAsia="de-DE" w:bidi="de-DE"/>
        </w:rPr>
      </w:pPr>
    </w:p>
    <w:p w14:paraId="7D6324C3" w14:textId="77777777" w:rsidR="007A5656" w:rsidRPr="00A21F71" w:rsidRDefault="007A5656" w:rsidP="007A5656">
      <w:pPr>
        <w:jc w:val="both"/>
        <w:rPr>
          <w:rFonts w:eastAsia="Calibri"/>
          <w:lang w:eastAsia="de-DE" w:bidi="de-DE"/>
        </w:rPr>
      </w:pPr>
      <w:r w:rsidRPr="00A21F71">
        <w:rPr>
          <w:rFonts w:eastAsia="Calibri"/>
          <w:lang w:eastAsia="de-DE" w:bidi="de-DE"/>
        </w:rPr>
        <w:tab/>
        <w:t>A. Beträgt die monatliche Bruttoentlohnung mehr als 7.500 EUR, wird der Berufssteuervorabzug wie folgt festgelegt:</w:t>
      </w:r>
    </w:p>
    <w:p w14:paraId="5F8646D2" w14:textId="77777777" w:rsidR="007A5656" w:rsidRPr="00A21F71" w:rsidRDefault="007A5656" w:rsidP="007A5656">
      <w:pPr>
        <w:jc w:val="both"/>
        <w:rPr>
          <w:rFonts w:eastAsia="Calibri"/>
          <w:lang w:eastAsia="de-DE" w:bidi="de-DE"/>
        </w:rPr>
      </w:pPr>
    </w:p>
    <w:p w14:paraId="3D57DB67" w14:textId="77777777" w:rsidR="007A5656" w:rsidRPr="00A21F71" w:rsidRDefault="007A5656" w:rsidP="007A5656">
      <w:pPr>
        <w:jc w:val="both"/>
        <w:rPr>
          <w:rFonts w:eastAsia="Calibri"/>
          <w:lang w:eastAsia="de-DE" w:bidi="de-DE"/>
        </w:rPr>
      </w:pPr>
      <w:r w:rsidRPr="00A21F71">
        <w:rPr>
          <w:rFonts w:eastAsia="Calibri"/>
          <w:lang w:eastAsia="de-DE" w:bidi="de-DE"/>
        </w:rPr>
        <w:tab/>
        <w:t>a) Die monatliche Bruttoentlohnung wird auf das untere Vielfache von 15 EUR abgerundet.</w:t>
      </w:r>
    </w:p>
    <w:p w14:paraId="6E88D495" w14:textId="77777777" w:rsidR="007A5656" w:rsidRPr="00A21F71" w:rsidRDefault="007A5656" w:rsidP="007A5656">
      <w:pPr>
        <w:jc w:val="both"/>
        <w:rPr>
          <w:rFonts w:eastAsia="Calibri"/>
          <w:lang w:eastAsia="de-DE" w:bidi="de-DE"/>
        </w:rPr>
      </w:pPr>
    </w:p>
    <w:p w14:paraId="125053FD" w14:textId="77777777" w:rsidR="007A5656" w:rsidRPr="00A21F71" w:rsidRDefault="007A5656" w:rsidP="007A5656">
      <w:pPr>
        <w:jc w:val="both"/>
        <w:rPr>
          <w:rFonts w:eastAsia="Calibri"/>
          <w:lang w:eastAsia="de-DE" w:bidi="de-DE"/>
        </w:rPr>
      </w:pPr>
      <w:r w:rsidRPr="00A21F71">
        <w:rPr>
          <w:rFonts w:eastAsia="Calibri"/>
          <w:lang w:eastAsia="de-DE" w:bidi="de-DE"/>
        </w:rPr>
        <w:tab/>
        <w:t>b) Der Berufssteuervorabzug auf diesen a</w:t>
      </w:r>
      <w:r>
        <w:rPr>
          <w:rFonts w:eastAsia="Calibri"/>
          <w:lang w:eastAsia="de-DE" w:bidi="de-DE"/>
        </w:rPr>
        <w:t>bgerundeten Betrag beträgt 3.356,54</w:t>
      </w:r>
      <w:r w:rsidRPr="00A21F71">
        <w:rPr>
          <w:rFonts w:eastAsia="Calibri"/>
          <w:lang w:eastAsia="de-DE" w:bidi="de-DE"/>
        </w:rPr>
        <w:t> EUR, erhöht um 53,50 Prozent des Teils der monatlichen Bruttoentlohnung, der über 7.500 EUR liegt.</w:t>
      </w:r>
    </w:p>
    <w:p w14:paraId="2EB2CE21" w14:textId="77777777" w:rsidR="007A5656" w:rsidRPr="00A21F71" w:rsidRDefault="007A5656" w:rsidP="007A5656">
      <w:pPr>
        <w:jc w:val="both"/>
        <w:rPr>
          <w:rFonts w:eastAsia="Calibri"/>
          <w:lang w:eastAsia="de-DE" w:bidi="de-DE"/>
        </w:rPr>
      </w:pPr>
    </w:p>
    <w:p w14:paraId="1C9A8AD4" w14:textId="77777777" w:rsidR="007A5656" w:rsidRPr="00A21F71" w:rsidRDefault="007A5656" w:rsidP="007A5656">
      <w:pPr>
        <w:jc w:val="both"/>
        <w:rPr>
          <w:rFonts w:eastAsia="Calibri"/>
          <w:lang w:eastAsia="de-DE" w:bidi="de-DE"/>
        </w:rPr>
      </w:pPr>
      <w:r w:rsidRPr="00A21F71">
        <w:rPr>
          <w:rFonts w:eastAsia="Calibri"/>
          <w:lang w:eastAsia="de-DE" w:bidi="de-DE"/>
        </w:rPr>
        <w:tab/>
        <w:t>c) Von dem gemäß Buchstabe b) berechneten Berufssteuervorabzug werden dann die in Nr. 2.2 Punkt A Buchstabe a) bis c) erwähnten Ermäßigungen abgezogen.</w:t>
      </w:r>
    </w:p>
    <w:p w14:paraId="6FCC9B63"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177223E5"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B. In Abweichung von Punkt A wird der Berufssteuervorabzug gemäß den in Nr. 3.6 vorgesehenen Regeln festgelegt, wenn der Ehepartner des Empfängers der Einkünfte eigene Berufseinkünfte bezieht, die sich ausschließlich aus Pensionen, Renten oder damit gleichgesetzten Einkünften zusammens</w:t>
      </w:r>
      <w:r>
        <w:rPr>
          <w:rFonts w:eastAsia="Calibri"/>
          <w:lang w:eastAsia="de-DE" w:bidi="de-DE"/>
        </w:rPr>
        <w:t>etzen und die nicht mehr als 132</w:t>
      </w:r>
      <w:r w:rsidRPr="00A21F71">
        <w:rPr>
          <w:rFonts w:eastAsia="Calibri"/>
          <w:lang w:eastAsia="de-DE" w:bidi="de-DE"/>
        </w:rPr>
        <w:t> EUR NETTO pro Monat betragen.</w:t>
      </w:r>
    </w:p>
    <w:p w14:paraId="10D7D6A5" w14:textId="77777777" w:rsidR="007A5656" w:rsidRPr="00A21F71" w:rsidRDefault="007A5656" w:rsidP="007A5656">
      <w:pPr>
        <w:jc w:val="both"/>
        <w:rPr>
          <w:rFonts w:eastAsia="Calibri"/>
          <w:lang w:eastAsia="de-DE" w:bidi="de-DE"/>
        </w:rPr>
      </w:pPr>
    </w:p>
    <w:p w14:paraId="4352323C" w14:textId="77777777" w:rsidR="007A5656" w:rsidRPr="00A21F71" w:rsidRDefault="007A5656" w:rsidP="007A5656">
      <w:pPr>
        <w:jc w:val="both"/>
        <w:rPr>
          <w:rFonts w:eastAsia="Calibri"/>
          <w:lang w:eastAsia="de-DE" w:bidi="de-DE"/>
        </w:rPr>
      </w:pPr>
      <w:r w:rsidRPr="00A21F71">
        <w:rPr>
          <w:rFonts w:eastAsia="Calibri"/>
          <w:lang w:eastAsia="de-DE" w:bidi="de-DE"/>
        </w:rPr>
        <w:tab/>
        <w:t>Nettoberufseinkünfte werden gemäß den in Nr. 1.8 Punkt C vorgesehenen Regeln festgelegt.</w:t>
      </w:r>
    </w:p>
    <w:p w14:paraId="435E0DC6" w14:textId="77777777" w:rsidR="007A5656" w:rsidRPr="00A21F71" w:rsidRDefault="007A5656" w:rsidP="007A5656">
      <w:pPr>
        <w:jc w:val="both"/>
        <w:rPr>
          <w:rFonts w:eastAsia="Calibri"/>
          <w:lang w:eastAsia="de-DE" w:bidi="de-DE"/>
        </w:rPr>
      </w:pPr>
    </w:p>
    <w:p w14:paraId="0A4346F1" w14:textId="77777777" w:rsidR="007A5656" w:rsidRPr="00A21F71" w:rsidRDefault="007A5656" w:rsidP="007A5656">
      <w:pPr>
        <w:jc w:val="both"/>
        <w:rPr>
          <w:rFonts w:eastAsia="Calibri"/>
          <w:lang w:eastAsia="de-DE" w:bidi="de-DE"/>
        </w:rPr>
      </w:pPr>
      <w:r w:rsidRPr="00A21F71">
        <w:rPr>
          <w:rFonts w:eastAsia="Calibri"/>
          <w:lang w:eastAsia="de-DE" w:bidi="de-DE"/>
        </w:rPr>
        <w:tab/>
        <w:t>3.6 Der Ehepartner des Empfängers der Einkünfte bezieht keine Berufseinkünfte</w:t>
      </w:r>
    </w:p>
    <w:p w14:paraId="52052F24" w14:textId="77777777" w:rsidR="007A5656" w:rsidRPr="00A21F71" w:rsidRDefault="007A5656" w:rsidP="007A5656">
      <w:pPr>
        <w:jc w:val="both"/>
        <w:rPr>
          <w:rFonts w:eastAsia="Calibri"/>
          <w:lang w:eastAsia="de-DE" w:bidi="de-DE"/>
        </w:rPr>
      </w:pPr>
    </w:p>
    <w:p w14:paraId="2BEE5CA2" w14:textId="77777777" w:rsidR="007A5656" w:rsidRPr="00A21F71" w:rsidRDefault="007A5656" w:rsidP="007A5656">
      <w:pPr>
        <w:jc w:val="both"/>
        <w:rPr>
          <w:rFonts w:eastAsia="Calibri"/>
          <w:lang w:eastAsia="de-DE" w:bidi="de-DE"/>
        </w:rPr>
      </w:pPr>
      <w:r w:rsidRPr="00A21F71">
        <w:rPr>
          <w:rFonts w:eastAsia="Calibri"/>
          <w:lang w:eastAsia="de-DE" w:bidi="de-DE"/>
        </w:rPr>
        <w:tab/>
        <w:t>Beträgt die monatliche Bruttoentlohnung mehr als 7.500 EUR, wird der Berufssteuervorabzug wie folgt festgelegt:</w:t>
      </w:r>
    </w:p>
    <w:p w14:paraId="7264838C" w14:textId="77777777" w:rsidR="007A5656" w:rsidRPr="00A21F71" w:rsidRDefault="007A5656" w:rsidP="007A5656">
      <w:pPr>
        <w:jc w:val="both"/>
        <w:rPr>
          <w:rFonts w:eastAsia="Calibri"/>
          <w:lang w:eastAsia="de-DE" w:bidi="de-DE"/>
        </w:rPr>
      </w:pPr>
    </w:p>
    <w:p w14:paraId="151783C1" w14:textId="77777777" w:rsidR="007A5656" w:rsidRPr="00A21F71" w:rsidRDefault="007A5656" w:rsidP="007A5656">
      <w:pPr>
        <w:jc w:val="both"/>
        <w:rPr>
          <w:rFonts w:eastAsia="Calibri"/>
          <w:lang w:eastAsia="de-DE" w:bidi="de-DE"/>
        </w:rPr>
      </w:pPr>
      <w:r w:rsidRPr="00A21F71">
        <w:rPr>
          <w:rFonts w:eastAsia="Calibri"/>
          <w:lang w:eastAsia="de-DE" w:bidi="de-DE"/>
        </w:rPr>
        <w:tab/>
        <w:t>a) Die monatliche Bruttoentlohnung wird auf das untere Vielfache von 15 EUR abgerundet.</w:t>
      </w:r>
    </w:p>
    <w:p w14:paraId="42263A30" w14:textId="77777777" w:rsidR="007A5656" w:rsidRPr="00A21F71" w:rsidRDefault="007A5656" w:rsidP="007A5656">
      <w:pPr>
        <w:jc w:val="both"/>
        <w:rPr>
          <w:rFonts w:eastAsia="Calibri"/>
          <w:lang w:eastAsia="de-DE" w:bidi="de-DE"/>
        </w:rPr>
      </w:pPr>
    </w:p>
    <w:p w14:paraId="4F930A52" w14:textId="77777777" w:rsidR="007A5656" w:rsidRPr="00A21F71" w:rsidRDefault="007A5656" w:rsidP="007A5656">
      <w:pPr>
        <w:jc w:val="both"/>
        <w:rPr>
          <w:rFonts w:eastAsia="Calibri"/>
          <w:lang w:eastAsia="de-DE" w:bidi="de-DE"/>
        </w:rPr>
      </w:pPr>
      <w:r w:rsidRPr="00A21F71">
        <w:rPr>
          <w:rFonts w:eastAsia="Calibri"/>
          <w:lang w:eastAsia="de-DE" w:bidi="de-DE"/>
        </w:rPr>
        <w:tab/>
        <w:t>b) Der Berufssteuervorabzug auf diesen a</w:t>
      </w:r>
      <w:r>
        <w:rPr>
          <w:rFonts w:eastAsia="Calibri"/>
          <w:lang w:eastAsia="de-DE" w:bidi="de-DE"/>
        </w:rPr>
        <w:t>bgerundeten Betrag beträgt 2.984,72</w:t>
      </w:r>
      <w:r w:rsidRPr="00A21F71">
        <w:rPr>
          <w:rFonts w:eastAsia="Calibri"/>
          <w:lang w:eastAsia="de-DE" w:bidi="de-DE"/>
        </w:rPr>
        <w:t> EUR, erhöht um 53,50 Prozent des Teils der monatlichen Bruttoentlohnung, der über 7.500 EUR liegt.</w:t>
      </w:r>
    </w:p>
    <w:p w14:paraId="56FFBF2F" w14:textId="77777777" w:rsidR="007A5656" w:rsidRPr="00A21F71" w:rsidRDefault="007A5656" w:rsidP="007A5656">
      <w:pPr>
        <w:jc w:val="both"/>
        <w:rPr>
          <w:rFonts w:eastAsia="Calibri"/>
          <w:lang w:eastAsia="de-DE" w:bidi="de-DE"/>
        </w:rPr>
      </w:pPr>
    </w:p>
    <w:p w14:paraId="2C564E49" w14:textId="77777777" w:rsidR="007A5656" w:rsidRPr="00A21F71" w:rsidRDefault="007A5656" w:rsidP="007A5656">
      <w:pPr>
        <w:jc w:val="both"/>
        <w:rPr>
          <w:rFonts w:eastAsia="Calibri"/>
          <w:lang w:eastAsia="de-DE" w:bidi="de-DE"/>
        </w:rPr>
      </w:pPr>
      <w:r w:rsidRPr="00A21F71">
        <w:rPr>
          <w:rFonts w:eastAsia="Calibri"/>
          <w:lang w:eastAsia="de-DE" w:bidi="de-DE"/>
        </w:rPr>
        <w:tab/>
        <w:t>c) Von dem gemäß Buchstabe b) berechneten Berufssteuervorabzug werden dann die in Nr. 2.3 Buchstabe a) bis c) erwähnten Ermäßigungen abgezogen.</w:t>
      </w:r>
    </w:p>
    <w:p w14:paraId="060602B1" w14:textId="77777777" w:rsidR="007A5656" w:rsidRPr="00A21F71" w:rsidRDefault="007A5656" w:rsidP="007A5656">
      <w:pPr>
        <w:jc w:val="both"/>
        <w:rPr>
          <w:rFonts w:eastAsia="Calibri"/>
          <w:lang w:eastAsia="de-DE" w:bidi="de-DE"/>
        </w:rPr>
      </w:pPr>
    </w:p>
    <w:p w14:paraId="2FA1EE4F" w14:textId="77777777" w:rsidR="007A5656" w:rsidRPr="00A21F71" w:rsidRDefault="007A5656" w:rsidP="007A5656">
      <w:pPr>
        <w:jc w:val="both"/>
        <w:rPr>
          <w:rFonts w:eastAsia="Calibri"/>
          <w:lang w:eastAsia="de-DE" w:bidi="de-DE"/>
        </w:rPr>
      </w:pPr>
    </w:p>
    <w:p w14:paraId="72401467" w14:textId="77777777" w:rsidR="007A5656" w:rsidRPr="00A21F71" w:rsidRDefault="007A5656" w:rsidP="007A5656">
      <w:pPr>
        <w:jc w:val="center"/>
        <w:rPr>
          <w:rFonts w:eastAsia="Calibri"/>
          <w:lang w:eastAsia="de-DE" w:bidi="de-DE"/>
        </w:rPr>
      </w:pPr>
      <w:r w:rsidRPr="00A21F71">
        <w:rPr>
          <w:rFonts w:eastAsia="Calibri"/>
          <w:i/>
          <w:lang w:eastAsia="de-DE" w:bidi="de-DE"/>
        </w:rPr>
        <w:t>Abschnitt 3</w:t>
      </w:r>
      <w:r w:rsidRPr="00A21F71">
        <w:rPr>
          <w:rFonts w:eastAsia="Calibri"/>
          <w:lang w:eastAsia="de-DE" w:bidi="de-DE"/>
        </w:rPr>
        <w:t> - Besondere Regeln</w:t>
      </w:r>
    </w:p>
    <w:p w14:paraId="1F5BAD1B" w14:textId="77777777" w:rsidR="007A5656" w:rsidRPr="00A21F71" w:rsidRDefault="007A5656" w:rsidP="007A5656">
      <w:pPr>
        <w:jc w:val="both"/>
        <w:rPr>
          <w:rFonts w:eastAsia="Calibri"/>
          <w:lang w:eastAsia="de-DE" w:bidi="de-DE"/>
        </w:rPr>
      </w:pPr>
    </w:p>
    <w:p w14:paraId="1B0C97B0" w14:textId="77777777" w:rsidR="007A5656" w:rsidRPr="00A21F71" w:rsidRDefault="007A5656" w:rsidP="007A5656">
      <w:pPr>
        <w:jc w:val="both"/>
        <w:rPr>
          <w:rFonts w:eastAsia="Calibri"/>
          <w:lang w:eastAsia="de-DE" w:bidi="de-DE"/>
        </w:rPr>
      </w:pPr>
    </w:p>
    <w:p w14:paraId="4D23FB3A" w14:textId="77777777" w:rsidR="007A5656" w:rsidRPr="00A21F71" w:rsidRDefault="007A5656" w:rsidP="007A5656">
      <w:pPr>
        <w:jc w:val="both"/>
        <w:rPr>
          <w:rFonts w:eastAsia="Calibri"/>
          <w:lang w:eastAsia="de-DE" w:bidi="de-DE"/>
        </w:rPr>
      </w:pPr>
      <w:r w:rsidRPr="00A21F71">
        <w:rPr>
          <w:rFonts w:eastAsia="Calibri"/>
          <w:lang w:eastAsia="de-DE" w:bidi="de-DE"/>
        </w:rPr>
        <w:tab/>
        <w:t>3.7 Anders als monatlich getätigte periodische Zahlungen</w:t>
      </w:r>
    </w:p>
    <w:p w14:paraId="7869B410" w14:textId="77777777" w:rsidR="007A5656" w:rsidRPr="00A21F71" w:rsidRDefault="007A5656" w:rsidP="007A5656">
      <w:pPr>
        <w:jc w:val="both"/>
        <w:rPr>
          <w:rFonts w:eastAsia="Calibri"/>
          <w:lang w:eastAsia="de-DE" w:bidi="de-DE"/>
        </w:rPr>
      </w:pPr>
    </w:p>
    <w:p w14:paraId="0A2DBB68" w14:textId="77777777" w:rsidR="007A5656" w:rsidRPr="00A21F71" w:rsidRDefault="007A5656" w:rsidP="007A5656">
      <w:pPr>
        <w:jc w:val="both"/>
        <w:rPr>
          <w:rFonts w:eastAsia="Calibri"/>
          <w:lang w:eastAsia="de-DE" w:bidi="de-DE"/>
        </w:rPr>
      </w:pPr>
      <w:r w:rsidRPr="00A21F71">
        <w:rPr>
          <w:rFonts w:eastAsia="Calibri"/>
          <w:lang w:eastAsia="de-DE" w:bidi="de-DE"/>
        </w:rPr>
        <w:tab/>
        <w:t>Für periodische Entlohnungen, die anders als monatlich gezahlt werden, beträgt der Berufssteuervorabzug ein Zwanzigstel des Produkts, das sich aus der Multiplikation des Betrags des Berufssteuervorabzugs, der gemäß den in den Nummern 3.3 bis 3.6 vorgesehenen Regeln auf die entsprechende monatliche Entlohnung geschuldet wird, mit der Anzahl Arbeitstage des Zeitraums, auf den sich die Entlohnung bezieht, ergibt.</w:t>
      </w:r>
    </w:p>
    <w:p w14:paraId="177B4659" w14:textId="77777777" w:rsidR="007A5656" w:rsidRPr="00A21F71" w:rsidRDefault="007A5656" w:rsidP="007A5656">
      <w:pPr>
        <w:jc w:val="both"/>
        <w:rPr>
          <w:rFonts w:eastAsia="Calibri"/>
          <w:lang w:eastAsia="de-DE" w:bidi="de-DE"/>
        </w:rPr>
      </w:pPr>
    </w:p>
    <w:p w14:paraId="6F467555" w14:textId="77777777" w:rsidR="007A5656" w:rsidRPr="00A21F71" w:rsidRDefault="007A5656" w:rsidP="007A5656">
      <w:pPr>
        <w:jc w:val="both"/>
        <w:rPr>
          <w:rFonts w:eastAsia="Calibri"/>
          <w:lang w:eastAsia="de-DE" w:bidi="de-DE"/>
        </w:rPr>
      </w:pPr>
      <w:r w:rsidRPr="00A21F71">
        <w:rPr>
          <w:rFonts w:eastAsia="Calibri"/>
          <w:lang w:eastAsia="de-DE" w:bidi="de-DE"/>
        </w:rPr>
        <w:tab/>
        <w:t>3.8 Nicht periodische Entlohnungen</w:t>
      </w:r>
    </w:p>
    <w:p w14:paraId="7D103623" w14:textId="77777777" w:rsidR="007A5656" w:rsidRPr="00A21F71" w:rsidRDefault="007A5656" w:rsidP="007A5656">
      <w:pPr>
        <w:jc w:val="both"/>
        <w:rPr>
          <w:rFonts w:eastAsia="Calibri"/>
          <w:lang w:eastAsia="de-DE" w:bidi="de-DE"/>
        </w:rPr>
      </w:pPr>
    </w:p>
    <w:p w14:paraId="71F9CB15" w14:textId="77777777" w:rsidR="007A5656" w:rsidRPr="00A21F71" w:rsidRDefault="007A5656" w:rsidP="007A5656">
      <w:pPr>
        <w:jc w:val="both"/>
        <w:rPr>
          <w:rFonts w:eastAsia="Calibri"/>
          <w:lang w:eastAsia="de-DE" w:bidi="de-DE"/>
        </w:rPr>
      </w:pPr>
      <w:r w:rsidRPr="00A21F71">
        <w:rPr>
          <w:rFonts w:eastAsia="Calibri"/>
          <w:lang w:eastAsia="de-DE" w:bidi="de-DE"/>
        </w:rPr>
        <w:tab/>
        <w:t>Der Berufssteuervorabzug auf nicht periodische Entlohnungen entspricht zwölfmal der Differenz zwischen:</w:t>
      </w:r>
    </w:p>
    <w:p w14:paraId="16F0D3E6" w14:textId="77777777" w:rsidR="007A5656" w:rsidRPr="00A21F71" w:rsidRDefault="007A5656" w:rsidP="007A5656">
      <w:pPr>
        <w:jc w:val="both"/>
        <w:rPr>
          <w:rFonts w:eastAsia="Calibri"/>
          <w:lang w:eastAsia="de-DE" w:bidi="de-DE"/>
        </w:rPr>
      </w:pPr>
    </w:p>
    <w:p w14:paraId="2FFDEE5B" w14:textId="77777777" w:rsidR="007A5656" w:rsidRPr="00A21F71" w:rsidRDefault="007A5656" w:rsidP="007A5656">
      <w:pPr>
        <w:jc w:val="both"/>
        <w:rPr>
          <w:rFonts w:eastAsia="Calibri"/>
          <w:lang w:eastAsia="de-DE" w:bidi="de-DE"/>
        </w:rPr>
      </w:pPr>
      <w:r w:rsidRPr="00A21F71">
        <w:rPr>
          <w:rFonts w:eastAsia="Calibri"/>
          <w:lang w:eastAsia="de-DE" w:bidi="de-DE"/>
        </w:rPr>
        <w:tab/>
        <w:t>- einerseits dem Vorabzug, der gemäß den in den Nummern 3.3 bis 3.6 vorgesehenen Regeln auf ein Einkommen geschuldet wird, das den periodischen Entlohnungen des Monats entspricht, in dem die nicht periodische Entlohnung gezahlt oder zuerkannt wird, erhöht um ein Zwölftel der nicht periodischen Entlohnung,</w:t>
      </w:r>
    </w:p>
    <w:p w14:paraId="3BADDDB2" w14:textId="77777777" w:rsidR="007A5656" w:rsidRPr="00A21F71" w:rsidRDefault="007A5656" w:rsidP="007A5656">
      <w:pPr>
        <w:jc w:val="both"/>
        <w:rPr>
          <w:rFonts w:eastAsia="Calibri"/>
          <w:lang w:eastAsia="de-DE" w:bidi="de-DE"/>
        </w:rPr>
      </w:pPr>
    </w:p>
    <w:p w14:paraId="181EB7D4" w14:textId="77777777" w:rsidR="007A5656" w:rsidRPr="00A21F71" w:rsidRDefault="007A5656" w:rsidP="007A5656">
      <w:pPr>
        <w:jc w:val="both"/>
        <w:rPr>
          <w:rFonts w:eastAsia="Calibri"/>
          <w:lang w:eastAsia="de-DE" w:bidi="de-DE"/>
        </w:rPr>
      </w:pPr>
      <w:r w:rsidRPr="00A21F71">
        <w:rPr>
          <w:rFonts w:eastAsia="Calibri"/>
          <w:lang w:eastAsia="de-DE" w:bidi="de-DE"/>
        </w:rPr>
        <w:tab/>
        <w:t>- und andererseits dem Vorabzug, der gemäß denselben Regeln auf die periodischen Entlohnungen des Monats geschuldet wird, in dem die nicht periodische Entlohnung gezahlt oder zuerkannt wird.</w:t>
      </w:r>
    </w:p>
    <w:p w14:paraId="6D7F0266"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3C8C00B6" w14:textId="77777777" w:rsidR="007A5656" w:rsidRPr="00A21F71" w:rsidRDefault="007A5656" w:rsidP="007A5656">
      <w:pPr>
        <w:jc w:val="center"/>
        <w:rPr>
          <w:rFonts w:eastAsia="Calibri"/>
          <w:lang w:eastAsia="de-DE" w:bidi="de-DE"/>
        </w:rPr>
      </w:pPr>
      <w:r w:rsidRPr="00A21F71">
        <w:rPr>
          <w:rFonts w:eastAsia="Calibri"/>
          <w:lang w:eastAsia="de-DE" w:bidi="de-DE"/>
        </w:rPr>
        <w:lastRenderedPageBreak/>
        <w:t xml:space="preserve">4. KAPITEL 4 - </w:t>
      </w:r>
      <w:r w:rsidRPr="00A21F71">
        <w:rPr>
          <w:rFonts w:eastAsia="Calibri"/>
          <w:i/>
          <w:lang w:eastAsia="de-DE" w:bidi="de-DE"/>
        </w:rPr>
        <w:t>Pensionen, Renten, Kapitalien, Rückkaufswerte und damit gleichgesetzte Einkünfte</w:t>
      </w:r>
    </w:p>
    <w:p w14:paraId="6204111E" w14:textId="77777777" w:rsidR="007A5656" w:rsidRPr="00A21F71" w:rsidRDefault="007A5656" w:rsidP="007A5656">
      <w:pPr>
        <w:jc w:val="both"/>
        <w:rPr>
          <w:rFonts w:eastAsia="Calibri"/>
          <w:lang w:eastAsia="de-DE" w:bidi="de-DE"/>
        </w:rPr>
      </w:pPr>
    </w:p>
    <w:p w14:paraId="5111A548" w14:textId="77777777" w:rsidR="007A5656" w:rsidRPr="00A21F71" w:rsidRDefault="007A5656" w:rsidP="007A5656">
      <w:pPr>
        <w:jc w:val="both"/>
        <w:rPr>
          <w:rFonts w:eastAsia="Calibri"/>
          <w:lang w:eastAsia="de-DE" w:bidi="de-DE"/>
        </w:rPr>
      </w:pPr>
    </w:p>
    <w:p w14:paraId="2CFE9EE3" w14:textId="77777777" w:rsidR="007A5656" w:rsidRPr="00A21F71" w:rsidRDefault="007A5656" w:rsidP="007A5656">
      <w:pPr>
        <w:jc w:val="center"/>
        <w:rPr>
          <w:rFonts w:eastAsia="Calibri"/>
          <w:lang w:eastAsia="de-DE" w:bidi="de-DE"/>
        </w:rPr>
      </w:pPr>
      <w:r w:rsidRPr="00A21F71">
        <w:rPr>
          <w:rFonts w:eastAsia="Calibri"/>
          <w:i/>
          <w:lang w:eastAsia="de-DE" w:bidi="de-DE"/>
        </w:rPr>
        <w:t>Abschnitt 1</w:t>
      </w:r>
      <w:r w:rsidRPr="00A21F71">
        <w:rPr>
          <w:rFonts w:eastAsia="Calibri"/>
          <w:lang w:eastAsia="de-DE" w:bidi="de-DE"/>
        </w:rPr>
        <w:t> - Monatliche Pensionen oder Renten bis zu 7.500 EUR</w:t>
      </w:r>
    </w:p>
    <w:p w14:paraId="3F223B3D" w14:textId="77777777" w:rsidR="007A5656" w:rsidRPr="00A21F71" w:rsidRDefault="007A5656" w:rsidP="007A5656">
      <w:pPr>
        <w:jc w:val="both"/>
        <w:rPr>
          <w:rFonts w:eastAsia="Calibri"/>
          <w:lang w:eastAsia="de-DE" w:bidi="de-DE"/>
        </w:rPr>
      </w:pPr>
    </w:p>
    <w:p w14:paraId="1F4765A9" w14:textId="77777777" w:rsidR="007A5656" w:rsidRPr="00A21F71" w:rsidRDefault="007A5656" w:rsidP="007A5656">
      <w:pPr>
        <w:jc w:val="both"/>
        <w:rPr>
          <w:rFonts w:eastAsia="Calibri"/>
          <w:lang w:eastAsia="de-DE" w:bidi="de-DE"/>
        </w:rPr>
      </w:pPr>
    </w:p>
    <w:p w14:paraId="1113B759" w14:textId="77777777" w:rsidR="007A5656" w:rsidRPr="00A21F71" w:rsidRDefault="007A5656" w:rsidP="007A5656">
      <w:pPr>
        <w:jc w:val="both"/>
        <w:rPr>
          <w:rFonts w:eastAsia="Calibri"/>
          <w:lang w:eastAsia="de-DE" w:bidi="de-DE"/>
        </w:rPr>
      </w:pPr>
      <w:r w:rsidRPr="00A21F71">
        <w:rPr>
          <w:rFonts w:eastAsia="Calibri"/>
          <w:lang w:eastAsia="de-DE" w:bidi="de-DE"/>
        </w:rPr>
        <w:tab/>
        <w:t>4.1 Der Empfänger der Einkünfte ist Alleinstehender ODER der Ehepartner des Empfängers der Einkünfte bezieht ebenfalls Berufseinkünfte (Tabelle I)</w:t>
      </w:r>
    </w:p>
    <w:p w14:paraId="3C6D9897" w14:textId="77777777" w:rsidR="007A5656" w:rsidRPr="00A21F71" w:rsidRDefault="007A5656" w:rsidP="007A5656">
      <w:pPr>
        <w:jc w:val="both"/>
        <w:rPr>
          <w:rFonts w:eastAsia="Calibri"/>
          <w:lang w:eastAsia="de-DE" w:bidi="de-DE"/>
        </w:rPr>
      </w:pPr>
    </w:p>
    <w:p w14:paraId="5383A8BA" w14:textId="77777777" w:rsidR="007A5656" w:rsidRPr="00A21F71" w:rsidRDefault="007A5656" w:rsidP="007A5656">
      <w:pPr>
        <w:jc w:val="both"/>
        <w:rPr>
          <w:rFonts w:eastAsia="Calibri"/>
          <w:lang w:eastAsia="de-DE" w:bidi="de-DE"/>
        </w:rPr>
      </w:pPr>
      <w:r w:rsidRPr="00A21F71">
        <w:rPr>
          <w:rFonts w:eastAsia="Calibri"/>
          <w:lang w:eastAsia="de-DE" w:bidi="de-DE"/>
        </w:rPr>
        <w:tab/>
        <w:t>A. Betragen die monatlichen Pensionen oder Renten nicht mehr als 7.500 EUR, wird der Berufssteuervorabzug gemäß Tabelle I festgelegt.</w:t>
      </w:r>
    </w:p>
    <w:p w14:paraId="7CECD988" w14:textId="77777777" w:rsidR="007A5656" w:rsidRPr="00A21F71" w:rsidRDefault="007A5656" w:rsidP="007A5656">
      <w:pPr>
        <w:jc w:val="both"/>
        <w:rPr>
          <w:rFonts w:eastAsia="Calibri"/>
          <w:lang w:eastAsia="de-DE" w:bidi="de-DE"/>
        </w:rPr>
      </w:pPr>
    </w:p>
    <w:p w14:paraId="2562412D" w14:textId="77777777" w:rsidR="007A5656" w:rsidRPr="00A21F71" w:rsidRDefault="007A5656" w:rsidP="007A5656">
      <w:pPr>
        <w:jc w:val="both"/>
        <w:rPr>
          <w:rFonts w:eastAsia="Calibri"/>
          <w:lang w:eastAsia="de-DE" w:bidi="de-DE"/>
        </w:rPr>
      </w:pPr>
      <w:r w:rsidRPr="00A21F71">
        <w:rPr>
          <w:rFonts w:eastAsia="Calibri"/>
          <w:lang w:eastAsia="de-DE" w:bidi="de-DE"/>
        </w:rPr>
        <w:tab/>
        <w:t>Von dem gemäß dieser Tabelle festgelegten Berufssteuervorabzug werden dann folgende Ermäßigungen abgezogen:</w:t>
      </w:r>
    </w:p>
    <w:p w14:paraId="456B1E1C" w14:textId="77777777" w:rsidR="007A5656" w:rsidRPr="00A21F71" w:rsidRDefault="007A5656" w:rsidP="007A5656">
      <w:pPr>
        <w:jc w:val="both"/>
        <w:rPr>
          <w:rFonts w:eastAsia="Calibri"/>
          <w:lang w:eastAsia="de-DE" w:bidi="de-DE"/>
        </w:rPr>
      </w:pPr>
    </w:p>
    <w:p w14:paraId="396EEBF1" w14:textId="77777777" w:rsidR="007A5656" w:rsidRPr="00A21F71" w:rsidRDefault="007A5656" w:rsidP="007A5656">
      <w:pPr>
        <w:jc w:val="both"/>
        <w:rPr>
          <w:rFonts w:eastAsia="Calibri"/>
          <w:lang w:eastAsia="de-DE" w:bidi="de-DE"/>
        </w:rPr>
      </w:pPr>
      <w:r w:rsidRPr="00A21F71">
        <w:rPr>
          <w:rFonts w:eastAsia="Calibri"/>
          <w:lang w:eastAsia="de-DE" w:bidi="de-DE"/>
        </w:rPr>
        <w:tab/>
        <w:t>a) Ermäßigung für Kinder zu Lasten wie in Nr. 2.2 Punkt A Tabelle a) erwähnt,</w:t>
      </w:r>
    </w:p>
    <w:p w14:paraId="6F5E593C" w14:textId="77777777" w:rsidR="007A5656" w:rsidRPr="00A21F71" w:rsidRDefault="007A5656" w:rsidP="007A5656">
      <w:pPr>
        <w:jc w:val="both"/>
        <w:rPr>
          <w:rFonts w:eastAsia="Calibri"/>
          <w:lang w:eastAsia="de-DE" w:bidi="de-DE"/>
        </w:rPr>
      </w:pPr>
    </w:p>
    <w:p w14:paraId="11924717" w14:textId="77777777" w:rsidR="007A5656" w:rsidRPr="00A21F71" w:rsidRDefault="007A5656" w:rsidP="007A5656">
      <w:pPr>
        <w:jc w:val="both"/>
        <w:rPr>
          <w:rFonts w:eastAsia="Calibri"/>
          <w:lang w:eastAsia="de-DE" w:bidi="de-DE"/>
        </w:rPr>
      </w:pPr>
      <w:r w:rsidRPr="00A21F71">
        <w:rPr>
          <w:rFonts w:eastAsia="Calibri"/>
          <w:lang w:eastAsia="de-DE" w:bidi="de-DE"/>
        </w:rPr>
        <w:tab/>
        <w:t>b) Ermäßigungen für andere Familienlasten wie in Nr. 2.2 Punkt A Tabelle b) erwähnt, außer der Ermäßigung für Alleinstehende (wie in Nr. 2.2 Punkt A Tabelle b) Nr. 1 erwähnt).</w:t>
      </w:r>
    </w:p>
    <w:p w14:paraId="33BDED3C" w14:textId="77777777" w:rsidR="007A5656" w:rsidRPr="00A21F71" w:rsidRDefault="007A5656" w:rsidP="007A5656">
      <w:pPr>
        <w:jc w:val="both"/>
        <w:rPr>
          <w:rFonts w:eastAsia="Calibri"/>
          <w:lang w:eastAsia="de-DE" w:bidi="de-DE"/>
        </w:rPr>
      </w:pPr>
    </w:p>
    <w:p w14:paraId="1842F343" w14:textId="77777777" w:rsidR="007A5656" w:rsidRPr="00A21F71" w:rsidRDefault="007A5656" w:rsidP="007A5656">
      <w:pPr>
        <w:jc w:val="both"/>
        <w:rPr>
          <w:rFonts w:eastAsia="Calibri"/>
          <w:lang w:eastAsia="de-DE" w:bidi="de-DE"/>
        </w:rPr>
      </w:pPr>
      <w:r w:rsidRPr="00A21F71">
        <w:rPr>
          <w:rFonts w:eastAsia="Calibri"/>
          <w:lang w:eastAsia="de-DE" w:bidi="de-DE"/>
        </w:rPr>
        <w:tab/>
        <w:t>B. In Abweichung von Punkt A wird der Berufssteuervorabzug gemäß den in Nr. 4.2 vorgesehenen Regeln festgelegt, wenn der Ehepartner des Empfängers der Einkünfte eigene Berufseinkünfte bezieht, die sich ausschließlich aus Pensionen, Renten oder damit gleichgesetzten Einkünften zusammens</w:t>
      </w:r>
      <w:r>
        <w:rPr>
          <w:rFonts w:eastAsia="Calibri"/>
          <w:lang w:eastAsia="de-DE" w:bidi="de-DE"/>
        </w:rPr>
        <w:t>etzen und die nicht mehr als 132</w:t>
      </w:r>
      <w:r w:rsidRPr="00A21F71">
        <w:rPr>
          <w:rFonts w:eastAsia="Calibri"/>
          <w:lang w:eastAsia="de-DE" w:bidi="de-DE"/>
        </w:rPr>
        <w:t> EUR NETTO pro Monat betragen.</w:t>
      </w:r>
    </w:p>
    <w:p w14:paraId="5B7B0A5C" w14:textId="77777777" w:rsidR="007A5656" w:rsidRPr="00A21F71" w:rsidRDefault="007A5656" w:rsidP="007A5656">
      <w:pPr>
        <w:jc w:val="both"/>
        <w:rPr>
          <w:rFonts w:eastAsia="Calibri"/>
          <w:lang w:eastAsia="de-DE" w:bidi="de-DE"/>
        </w:rPr>
      </w:pPr>
    </w:p>
    <w:p w14:paraId="1A494E08" w14:textId="77777777" w:rsidR="007A5656" w:rsidRPr="00A21F71" w:rsidRDefault="007A5656" w:rsidP="007A5656">
      <w:pPr>
        <w:jc w:val="both"/>
        <w:rPr>
          <w:rFonts w:eastAsia="Calibri"/>
          <w:lang w:eastAsia="de-DE" w:bidi="de-DE"/>
        </w:rPr>
      </w:pPr>
      <w:r w:rsidRPr="00A21F71">
        <w:rPr>
          <w:rFonts w:eastAsia="Calibri"/>
          <w:lang w:eastAsia="de-DE" w:bidi="de-DE"/>
        </w:rPr>
        <w:tab/>
        <w:t>Nettoberufseinkünfte werden gemäß den in Nr. 1.8 Punkt C vorgesehenen Regeln festgelegt.</w:t>
      </w:r>
    </w:p>
    <w:p w14:paraId="09433DE2" w14:textId="77777777" w:rsidR="007A5656" w:rsidRPr="00A21F71" w:rsidRDefault="007A5656" w:rsidP="007A5656">
      <w:pPr>
        <w:jc w:val="both"/>
        <w:rPr>
          <w:rFonts w:eastAsia="Calibri"/>
          <w:lang w:eastAsia="de-DE" w:bidi="de-DE"/>
        </w:rPr>
      </w:pPr>
    </w:p>
    <w:p w14:paraId="73A9CAAF" w14:textId="77777777" w:rsidR="007A5656" w:rsidRPr="00A21F71" w:rsidRDefault="007A5656" w:rsidP="007A5656">
      <w:pPr>
        <w:jc w:val="both"/>
        <w:rPr>
          <w:rFonts w:eastAsia="Calibri"/>
          <w:lang w:eastAsia="de-DE" w:bidi="de-DE"/>
        </w:rPr>
      </w:pPr>
      <w:r w:rsidRPr="00A21F71">
        <w:rPr>
          <w:rFonts w:eastAsia="Calibri"/>
          <w:lang w:eastAsia="de-DE" w:bidi="de-DE"/>
        </w:rPr>
        <w:tab/>
        <w:t>4.2 Der Ehepartner des Empfängers der Einkünfte bezieht keine Berufseinkünfte (Tabelle II)</w:t>
      </w:r>
    </w:p>
    <w:p w14:paraId="53D195A2" w14:textId="77777777" w:rsidR="007A5656" w:rsidRPr="00A21F71" w:rsidRDefault="007A5656" w:rsidP="007A5656">
      <w:pPr>
        <w:jc w:val="both"/>
        <w:rPr>
          <w:rFonts w:eastAsia="Calibri"/>
          <w:lang w:eastAsia="de-DE" w:bidi="de-DE"/>
        </w:rPr>
      </w:pPr>
    </w:p>
    <w:p w14:paraId="2A663DA5" w14:textId="77777777" w:rsidR="007A5656" w:rsidRPr="00A21F71" w:rsidRDefault="007A5656" w:rsidP="007A5656">
      <w:pPr>
        <w:jc w:val="both"/>
        <w:rPr>
          <w:rFonts w:eastAsia="Calibri"/>
          <w:lang w:eastAsia="de-DE" w:bidi="de-DE"/>
        </w:rPr>
      </w:pPr>
      <w:r w:rsidRPr="00A21F71">
        <w:rPr>
          <w:rFonts w:eastAsia="Calibri"/>
          <w:lang w:eastAsia="de-DE" w:bidi="de-DE"/>
        </w:rPr>
        <w:tab/>
        <w:t>Betragen die monatlichen Pensionen oder Renten nicht mehr als 7.500 EUR, wird der Berufssteuervorabzug gemäß Tabelle II festgelegt.</w:t>
      </w:r>
    </w:p>
    <w:p w14:paraId="2F57BBF5" w14:textId="77777777" w:rsidR="007A5656" w:rsidRPr="00A21F71" w:rsidRDefault="007A5656" w:rsidP="007A5656">
      <w:pPr>
        <w:jc w:val="both"/>
        <w:rPr>
          <w:rFonts w:eastAsia="Calibri"/>
          <w:lang w:eastAsia="de-DE" w:bidi="de-DE"/>
        </w:rPr>
      </w:pPr>
    </w:p>
    <w:p w14:paraId="53D277C0" w14:textId="77777777" w:rsidR="007A5656" w:rsidRPr="00A21F71" w:rsidRDefault="007A5656" w:rsidP="007A5656">
      <w:pPr>
        <w:jc w:val="both"/>
        <w:rPr>
          <w:rFonts w:eastAsia="Calibri"/>
          <w:lang w:eastAsia="de-DE" w:bidi="de-DE"/>
        </w:rPr>
      </w:pPr>
      <w:r w:rsidRPr="00A21F71">
        <w:rPr>
          <w:rFonts w:eastAsia="Calibri"/>
          <w:lang w:eastAsia="de-DE" w:bidi="de-DE"/>
        </w:rPr>
        <w:tab/>
        <w:t>Von dem gemäß dieser Tabelle festgelegten Berufssteuervorabzug werden dann die Ermäßigungen für Kinder zu Lasten und für andere Familienlasten abgezogen; diese Ermäßigungen sind in den in Nr. 2.3 Buchstabe a) und b) aufgenommenen Tabellen angegeben.</w:t>
      </w:r>
    </w:p>
    <w:p w14:paraId="4C48E11B"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22F0B947" w14:textId="77777777" w:rsidR="007A5656" w:rsidRPr="00A21F71" w:rsidRDefault="007A5656" w:rsidP="007A5656">
      <w:pPr>
        <w:jc w:val="center"/>
        <w:rPr>
          <w:rFonts w:eastAsia="Calibri"/>
          <w:lang w:eastAsia="de-DE" w:bidi="de-DE"/>
        </w:rPr>
      </w:pPr>
      <w:r w:rsidRPr="00A21F71">
        <w:rPr>
          <w:rFonts w:eastAsia="Calibri"/>
          <w:i/>
          <w:lang w:eastAsia="de-DE" w:bidi="de-DE"/>
        </w:rPr>
        <w:lastRenderedPageBreak/>
        <w:t>Abschnitt 2</w:t>
      </w:r>
      <w:r w:rsidRPr="00A21F71">
        <w:rPr>
          <w:rFonts w:eastAsia="Calibri"/>
          <w:lang w:eastAsia="de-DE" w:bidi="de-DE"/>
        </w:rPr>
        <w:t> - Monatliche Pensionen oder Renten über 7.500 EUR</w:t>
      </w:r>
    </w:p>
    <w:p w14:paraId="0800A4ED" w14:textId="77777777" w:rsidR="007A5656" w:rsidRPr="00A21F71" w:rsidRDefault="007A5656" w:rsidP="007A5656">
      <w:pPr>
        <w:jc w:val="both"/>
        <w:rPr>
          <w:rFonts w:eastAsia="Calibri"/>
          <w:lang w:eastAsia="de-DE" w:bidi="de-DE"/>
        </w:rPr>
      </w:pPr>
    </w:p>
    <w:p w14:paraId="1BC3BA31" w14:textId="77777777" w:rsidR="007A5656" w:rsidRPr="00A21F71" w:rsidRDefault="007A5656" w:rsidP="007A5656">
      <w:pPr>
        <w:jc w:val="both"/>
        <w:rPr>
          <w:rFonts w:eastAsia="Calibri"/>
          <w:lang w:eastAsia="de-DE" w:bidi="de-DE"/>
        </w:rPr>
      </w:pPr>
    </w:p>
    <w:p w14:paraId="3ECAB614" w14:textId="77777777" w:rsidR="007A5656" w:rsidRPr="00A21F71" w:rsidRDefault="007A5656" w:rsidP="007A5656">
      <w:pPr>
        <w:jc w:val="both"/>
        <w:rPr>
          <w:rFonts w:eastAsia="Calibri"/>
          <w:lang w:eastAsia="de-DE" w:bidi="de-DE"/>
        </w:rPr>
      </w:pPr>
      <w:r w:rsidRPr="00A21F71">
        <w:rPr>
          <w:rFonts w:eastAsia="Calibri"/>
          <w:lang w:eastAsia="de-DE" w:bidi="de-DE"/>
        </w:rPr>
        <w:tab/>
        <w:t>4.3 Der Empfänger der Einkünfte ist Alleinstehender ODER der Ehepartner des Empfängers der Einkünfte bezieht ebenfalls Berufseinkünfte</w:t>
      </w:r>
    </w:p>
    <w:p w14:paraId="01B7F3A9" w14:textId="77777777" w:rsidR="007A5656" w:rsidRPr="00A21F71" w:rsidRDefault="007A5656" w:rsidP="007A5656">
      <w:pPr>
        <w:jc w:val="both"/>
        <w:rPr>
          <w:rFonts w:eastAsia="Calibri"/>
          <w:lang w:eastAsia="de-DE" w:bidi="de-DE"/>
        </w:rPr>
      </w:pPr>
    </w:p>
    <w:p w14:paraId="090B5E6F" w14:textId="77777777" w:rsidR="007A5656" w:rsidRPr="00A21F71" w:rsidRDefault="007A5656" w:rsidP="007A5656">
      <w:pPr>
        <w:jc w:val="both"/>
        <w:rPr>
          <w:rFonts w:eastAsia="Calibri"/>
          <w:lang w:eastAsia="de-DE" w:bidi="de-DE"/>
        </w:rPr>
      </w:pPr>
      <w:r w:rsidRPr="00A21F71">
        <w:rPr>
          <w:rFonts w:eastAsia="Calibri"/>
          <w:lang w:eastAsia="de-DE" w:bidi="de-DE"/>
        </w:rPr>
        <w:tab/>
        <w:t>A. Betragen die monatlichen Pensionen oder Renten mehr als 7.500 EUR, wird der Berufssteuervorabzug wie folgt festgelegt:</w:t>
      </w:r>
    </w:p>
    <w:p w14:paraId="1432791C" w14:textId="77777777" w:rsidR="007A5656" w:rsidRPr="00A21F71" w:rsidRDefault="007A5656" w:rsidP="007A5656">
      <w:pPr>
        <w:jc w:val="both"/>
        <w:rPr>
          <w:rFonts w:eastAsia="Calibri"/>
          <w:lang w:eastAsia="de-DE" w:bidi="de-DE"/>
        </w:rPr>
      </w:pPr>
    </w:p>
    <w:p w14:paraId="6F5CD4CB" w14:textId="77777777" w:rsidR="007A5656" w:rsidRPr="00A21F71" w:rsidRDefault="007A5656" w:rsidP="007A5656">
      <w:pPr>
        <w:jc w:val="both"/>
        <w:rPr>
          <w:rFonts w:eastAsia="Calibri"/>
          <w:lang w:eastAsia="de-DE" w:bidi="de-DE"/>
        </w:rPr>
      </w:pPr>
      <w:r w:rsidRPr="00A21F71">
        <w:rPr>
          <w:rFonts w:eastAsia="Calibri"/>
          <w:lang w:eastAsia="de-DE" w:bidi="de-DE"/>
        </w:rPr>
        <w:tab/>
        <w:t>a) Die monatlichen Pensionen oder Renten werden auf das untere Vielfache von 15 EUR abgerundet.</w:t>
      </w:r>
    </w:p>
    <w:p w14:paraId="575C5217" w14:textId="77777777" w:rsidR="007A5656" w:rsidRPr="00A21F71" w:rsidRDefault="007A5656" w:rsidP="007A5656">
      <w:pPr>
        <w:jc w:val="both"/>
        <w:rPr>
          <w:rFonts w:eastAsia="Calibri"/>
          <w:lang w:eastAsia="de-DE" w:bidi="de-DE"/>
        </w:rPr>
      </w:pPr>
    </w:p>
    <w:p w14:paraId="0BC6129A" w14:textId="77777777" w:rsidR="007A5656" w:rsidRPr="00A21F71" w:rsidRDefault="007A5656" w:rsidP="007A5656">
      <w:pPr>
        <w:jc w:val="both"/>
        <w:rPr>
          <w:rFonts w:eastAsia="Calibri"/>
          <w:lang w:eastAsia="de-DE" w:bidi="de-DE"/>
        </w:rPr>
      </w:pPr>
      <w:r w:rsidRPr="00A21F71">
        <w:rPr>
          <w:rFonts w:eastAsia="Calibri"/>
          <w:lang w:eastAsia="de-DE" w:bidi="de-DE"/>
        </w:rPr>
        <w:tab/>
        <w:t>b) Der Berufssteuervorabzug auf diesen a</w:t>
      </w:r>
      <w:r>
        <w:rPr>
          <w:rFonts w:eastAsia="Calibri"/>
          <w:lang w:eastAsia="de-DE" w:bidi="de-DE"/>
        </w:rPr>
        <w:t>bgerundeten Betrag beträgt 3.396,66</w:t>
      </w:r>
      <w:r w:rsidRPr="00A21F71">
        <w:rPr>
          <w:rFonts w:eastAsia="Calibri"/>
          <w:lang w:eastAsia="de-DE" w:bidi="de-DE"/>
        </w:rPr>
        <w:t> EUR, erhöht um 53,50 Prozent des Teils der monatlichen Pensionen oder Renten, der über 7.500 EUR liegt.</w:t>
      </w:r>
    </w:p>
    <w:p w14:paraId="48C4540B" w14:textId="77777777" w:rsidR="007A5656" w:rsidRPr="00A21F71" w:rsidRDefault="007A5656" w:rsidP="007A5656">
      <w:pPr>
        <w:jc w:val="both"/>
        <w:rPr>
          <w:rFonts w:eastAsia="Calibri"/>
          <w:lang w:eastAsia="de-DE" w:bidi="de-DE"/>
        </w:rPr>
      </w:pPr>
    </w:p>
    <w:p w14:paraId="2ED90962" w14:textId="77777777" w:rsidR="007A5656" w:rsidRPr="00A21F71" w:rsidRDefault="007A5656" w:rsidP="007A5656">
      <w:pPr>
        <w:jc w:val="both"/>
        <w:rPr>
          <w:rFonts w:eastAsia="Calibri"/>
          <w:lang w:eastAsia="de-DE" w:bidi="de-DE"/>
        </w:rPr>
      </w:pPr>
      <w:r w:rsidRPr="00A21F71">
        <w:rPr>
          <w:rFonts w:eastAsia="Calibri"/>
          <w:lang w:eastAsia="de-DE" w:bidi="de-DE"/>
        </w:rPr>
        <w:tab/>
        <w:t>c) Von dem gemäß Buchstabe b) berechneten Berufssteuervorabzug werden dann folgende Ermäßigungen abgezogen:</w:t>
      </w:r>
    </w:p>
    <w:p w14:paraId="5749B0D8" w14:textId="77777777" w:rsidR="007A5656" w:rsidRPr="00A21F71" w:rsidRDefault="007A5656" w:rsidP="007A5656">
      <w:pPr>
        <w:jc w:val="both"/>
        <w:rPr>
          <w:rFonts w:eastAsia="Calibri"/>
          <w:lang w:eastAsia="de-DE" w:bidi="de-DE"/>
        </w:rPr>
      </w:pPr>
    </w:p>
    <w:p w14:paraId="411229CE" w14:textId="77777777" w:rsidR="007A5656" w:rsidRPr="00A21F71" w:rsidRDefault="007A5656" w:rsidP="007A5656">
      <w:pPr>
        <w:jc w:val="both"/>
        <w:rPr>
          <w:rFonts w:eastAsia="Calibri"/>
          <w:lang w:eastAsia="de-DE" w:bidi="de-DE"/>
        </w:rPr>
      </w:pPr>
      <w:r w:rsidRPr="00A21F71">
        <w:rPr>
          <w:rFonts w:eastAsia="Calibri"/>
          <w:lang w:eastAsia="de-DE" w:bidi="de-DE"/>
        </w:rPr>
        <w:tab/>
        <w:t>1. Ermäßigung für Kinder zu Lasten wie in Nr. 2.2 Punkt A Tabelle a) erwähnt,</w:t>
      </w:r>
    </w:p>
    <w:p w14:paraId="70DAADC8" w14:textId="77777777" w:rsidR="007A5656" w:rsidRPr="00A21F71" w:rsidRDefault="007A5656" w:rsidP="007A5656">
      <w:pPr>
        <w:jc w:val="both"/>
        <w:rPr>
          <w:rFonts w:eastAsia="Calibri"/>
          <w:lang w:eastAsia="de-DE" w:bidi="de-DE"/>
        </w:rPr>
      </w:pPr>
    </w:p>
    <w:p w14:paraId="1049CBB8" w14:textId="77777777" w:rsidR="007A5656" w:rsidRPr="00A21F71" w:rsidRDefault="007A5656" w:rsidP="007A5656">
      <w:pPr>
        <w:jc w:val="both"/>
        <w:rPr>
          <w:rFonts w:eastAsia="Calibri"/>
          <w:lang w:eastAsia="de-DE" w:bidi="de-DE"/>
        </w:rPr>
      </w:pPr>
      <w:r w:rsidRPr="00A21F71">
        <w:rPr>
          <w:rFonts w:eastAsia="Calibri"/>
          <w:lang w:eastAsia="de-DE" w:bidi="de-DE"/>
        </w:rPr>
        <w:tab/>
        <w:t>2. Ermäßigungen für andere Familienlasten wie in Nr. 2.2 Punkt A Tabelle b) erwähnt, außer der Ermäßigung für Alleinstehende (wie in Nr. 2.2 Punkt A Tabelle b) Nr. 1 erwähnt).</w:t>
      </w:r>
    </w:p>
    <w:p w14:paraId="7A190145" w14:textId="77777777" w:rsidR="007A5656" w:rsidRPr="00A21F71" w:rsidRDefault="007A5656" w:rsidP="007A5656">
      <w:pPr>
        <w:jc w:val="both"/>
        <w:rPr>
          <w:rFonts w:eastAsia="Calibri"/>
          <w:lang w:eastAsia="de-DE" w:bidi="de-DE"/>
        </w:rPr>
      </w:pPr>
    </w:p>
    <w:p w14:paraId="2C52B372" w14:textId="77777777" w:rsidR="007A5656" w:rsidRPr="00A21F71" w:rsidRDefault="007A5656" w:rsidP="007A5656">
      <w:pPr>
        <w:jc w:val="both"/>
        <w:rPr>
          <w:rFonts w:eastAsia="Calibri"/>
          <w:lang w:eastAsia="de-DE" w:bidi="de-DE"/>
        </w:rPr>
      </w:pPr>
      <w:r w:rsidRPr="00A21F71">
        <w:rPr>
          <w:rFonts w:eastAsia="Calibri"/>
          <w:lang w:eastAsia="de-DE" w:bidi="de-DE"/>
        </w:rPr>
        <w:tab/>
        <w:t>B. In Abweichung von Punkt A wird der Berufssteuervorabzug gemäß den in Nr. 4.4 vorgesehenen Regeln festgelegt, wenn der Ehepartner des Empfängers der Einkünfte eigene Berufseinkünfte bezieht, die sich ausschließlich aus Pensionen, Renten oder damit gleichgesetzten Einkünften zusammens</w:t>
      </w:r>
      <w:r>
        <w:rPr>
          <w:rFonts w:eastAsia="Calibri"/>
          <w:lang w:eastAsia="de-DE" w:bidi="de-DE"/>
        </w:rPr>
        <w:t>etzen und die nicht mehr als 132</w:t>
      </w:r>
      <w:r w:rsidRPr="00A21F71">
        <w:rPr>
          <w:rFonts w:eastAsia="Calibri"/>
          <w:lang w:eastAsia="de-DE" w:bidi="de-DE"/>
        </w:rPr>
        <w:t> EUR NETTO pro Monat betragen.</w:t>
      </w:r>
    </w:p>
    <w:p w14:paraId="7BBAEE28" w14:textId="77777777" w:rsidR="007A5656" w:rsidRPr="00A21F71" w:rsidRDefault="007A5656" w:rsidP="007A5656">
      <w:pPr>
        <w:jc w:val="both"/>
        <w:rPr>
          <w:rFonts w:eastAsia="Calibri"/>
          <w:lang w:eastAsia="de-DE" w:bidi="de-DE"/>
        </w:rPr>
      </w:pPr>
    </w:p>
    <w:p w14:paraId="4D4F7B40" w14:textId="77777777" w:rsidR="007A5656" w:rsidRPr="00A21F71" w:rsidRDefault="007A5656" w:rsidP="007A5656">
      <w:pPr>
        <w:jc w:val="both"/>
        <w:rPr>
          <w:rFonts w:eastAsia="Calibri"/>
          <w:lang w:eastAsia="de-DE" w:bidi="de-DE"/>
        </w:rPr>
      </w:pPr>
      <w:r w:rsidRPr="00A21F71">
        <w:rPr>
          <w:rFonts w:eastAsia="Calibri"/>
          <w:lang w:eastAsia="de-DE" w:bidi="de-DE"/>
        </w:rPr>
        <w:tab/>
        <w:t>Nettoberufseinkünfte werden gemäß den in Nr. 1.8 Punkt C vorgesehenen Regeln festgelegt.</w:t>
      </w:r>
    </w:p>
    <w:p w14:paraId="7D3836DD" w14:textId="77777777" w:rsidR="007A5656" w:rsidRPr="00A21F71" w:rsidRDefault="007A5656" w:rsidP="007A5656">
      <w:pPr>
        <w:jc w:val="both"/>
        <w:rPr>
          <w:rFonts w:eastAsia="Calibri"/>
          <w:lang w:eastAsia="de-DE" w:bidi="de-DE"/>
        </w:rPr>
      </w:pPr>
    </w:p>
    <w:p w14:paraId="709DBCB6" w14:textId="77777777" w:rsidR="007A5656" w:rsidRPr="00A21F71" w:rsidRDefault="007A5656" w:rsidP="007A5656">
      <w:pPr>
        <w:jc w:val="both"/>
        <w:rPr>
          <w:rFonts w:eastAsia="Calibri"/>
          <w:lang w:eastAsia="de-DE" w:bidi="de-DE"/>
        </w:rPr>
      </w:pPr>
      <w:r w:rsidRPr="00A21F71">
        <w:rPr>
          <w:rFonts w:eastAsia="Calibri"/>
          <w:lang w:eastAsia="de-DE" w:bidi="de-DE"/>
        </w:rPr>
        <w:tab/>
        <w:t>4.4 Der Ehepartner des Empfängers der Einkünfte bezieht keine Berufseinkünfte</w:t>
      </w:r>
    </w:p>
    <w:p w14:paraId="6E5D78D7" w14:textId="77777777" w:rsidR="007A5656" w:rsidRPr="00A21F71" w:rsidRDefault="007A5656" w:rsidP="007A5656">
      <w:pPr>
        <w:jc w:val="both"/>
        <w:rPr>
          <w:rFonts w:eastAsia="Calibri"/>
          <w:lang w:eastAsia="de-DE" w:bidi="de-DE"/>
        </w:rPr>
      </w:pPr>
    </w:p>
    <w:p w14:paraId="12F1D182" w14:textId="77777777" w:rsidR="007A5656" w:rsidRPr="00A21F71" w:rsidRDefault="007A5656" w:rsidP="007A5656">
      <w:pPr>
        <w:jc w:val="both"/>
        <w:rPr>
          <w:rFonts w:eastAsia="Calibri"/>
          <w:lang w:eastAsia="de-DE" w:bidi="de-DE"/>
        </w:rPr>
      </w:pPr>
      <w:r w:rsidRPr="00A21F71">
        <w:rPr>
          <w:rFonts w:eastAsia="Calibri"/>
          <w:lang w:eastAsia="de-DE" w:bidi="de-DE"/>
        </w:rPr>
        <w:tab/>
        <w:t>Betragen die monatlichen Pensionen oder Renten mehr als 7.500 EUR, wird der Berufssteuervorabzug wie folgt festgelegt:</w:t>
      </w:r>
    </w:p>
    <w:p w14:paraId="61FF3660" w14:textId="77777777" w:rsidR="007A5656" w:rsidRPr="00A21F71" w:rsidRDefault="007A5656" w:rsidP="007A5656">
      <w:pPr>
        <w:jc w:val="both"/>
        <w:rPr>
          <w:rFonts w:eastAsia="Calibri"/>
          <w:lang w:eastAsia="de-DE" w:bidi="de-DE"/>
        </w:rPr>
      </w:pPr>
    </w:p>
    <w:p w14:paraId="16D5EC06" w14:textId="77777777" w:rsidR="007A5656" w:rsidRPr="00A21F71" w:rsidRDefault="007A5656" w:rsidP="007A5656">
      <w:pPr>
        <w:jc w:val="both"/>
        <w:rPr>
          <w:rFonts w:eastAsia="Calibri"/>
          <w:lang w:eastAsia="de-DE" w:bidi="de-DE"/>
        </w:rPr>
      </w:pPr>
      <w:r w:rsidRPr="00A21F71">
        <w:rPr>
          <w:rFonts w:eastAsia="Calibri"/>
          <w:lang w:eastAsia="de-DE" w:bidi="de-DE"/>
        </w:rPr>
        <w:tab/>
        <w:t>a) Die monatlichen Pensionen oder Renten werden auf das untere Vielfache von 15 EUR abgerundet.</w:t>
      </w:r>
    </w:p>
    <w:p w14:paraId="27CC7248" w14:textId="77777777" w:rsidR="007A5656" w:rsidRPr="00A21F71" w:rsidRDefault="007A5656" w:rsidP="007A5656">
      <w:pPr>
        <w:jc w:val="both"/>
        <w:rPr>
          <w:rFonts w:eastAsia="Calibri"/>
          <w:lang w:eastAsia="de-DE" w:bidi="de-DE"/>
        </w:rPr>
      </w:pPr>
    </w:p>
    <w:p w14:paraId="6948EE4C"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b) Der Berufssteuervorabzug auf diesen </w:t>
      </w:r>
      <w:r>
        <w:rPr>
          <w:rFonts w:eastAsia="Calibri"/>
          <w:lang w:eastAsia="de-DE" w:bidi="de-DE"/>
        </w:rPr>
        <w:t>abgerundeten Betrag beträgt 3.024,83</w:t>
      </w:r>
      <w:r w:rsidRPr="00A21F71">
        <w:rPr>
          <w:rFonts w:eastAsia="Calibri"/>
          <w:lang w:eastAsia="de-DE" w:bidi="de-DE"/>
        </w:rPr>
        <w:t> EUR, erhöht um 53,50 Prozent des Teils der monatlichen Pensionen oder Renten, der über 7.500 EUR liegt.</w:t>
      </w:r>
    </w:p>
    <w:p w14:paraId="2DEAD804" w14:textId="77777777" w:rsidR="007A5656" w:rsidRPr="00A21F71" w:rsidRDefault="007A5656" w:rsidP="007A5656">
      <w:pPr>
        <w:jc w:val="both"/>
        <w:rPr>
          <w:rFonts w:eastAsia="Calibri"/>
          <w:lang w:eastAsia="de-DE" w:bidi="de-DE"/>
        </w:rPr>
      </w:pPr>
    </w:p>
    <w:p w14:paraId="256DD557" w14:textId="77777777" w:rsidR="007A5656" w:rsidRPr="00A21F71" w:rsidRDefault="007A5656" w:rsidP="007A5656">
      <w:pPr>
        <w:jc w:val="both"/>
        <w:rPr>
          <w:rFonts w:eastAsia="Calibri"/>
          <w:lang w:eastAsia="de-DE" w:bidi="de-DE"/>
        </w:rPr>
      </w:pPr>
      <w:r w:rsidRPr="00A21F71">
        <w:rPr>
          <w:rFonts w:eastAsia="Calibri"/>
          <w:lang w:eastAsia="de-DE" w:bidi="de-DE"/>
        </w:rPr>
        <w:tab/>
        <w:t>c) Von dem gemäß Buchstabe b) berechneten Berufssteuervorabzug werden dann die Ermäßigungen für Kinder zu Lasten und für andere Familienlasten abgezogen; diese Ermäßigungen sind in den in Nr. 2.3 Buchstabe a) und b) aufgenommenen Tabellen angegeben.</w:t>
      </w:r>
    </w:p>
    <w:p w14:paraId="019E33D1" w14:textId="77777777" w:rsidR="007A5656" w:rsidRDefault="007A5656" w:rsidP="007A5656">
      <w:pPr>
        <w:rPr>
          <w:rFonts w:eastAsia="Calibri"/>
          <w:lang w:eastAsia="de-DE" w:bidi="de-DE"/>
        </w:rPr>
      </w:pPr>
      <w:r w:rsidRPr="00A21F71">
        <w:rPr>
          <w:rFonts w:eastAsia="Calibri"/>
          <w:lang w:eastAsia="de-DE" w:bidi="de-DE"/>
        </w:rPr>
        <w:br w:type="page"/>
      </w:r>
    </w:p>
    <w:p w14:paraId="2D3677CC" w14:textId="77777777" w:rsidR="007A5656" w:rsidRPr="00A21F71" w:rsidRDefault="007A5656" w:rsidP="007A5656">
      <w:pPr>
        <w:jc w:val="center"/>
        <w:rPr>
          <w:rFonts w:eastAsia="Calibri"/>
          <w:lang w:eastAsia="de-DE" w:bidi="de-DE"/>
        </w:rPr>
      </w:pPr>
      <w:r w:rsidRPr="00A21F71">
        <w:rPr>
          <w:rFonts w:eastAsia="Calibri"/>
          <w:i/>
          <w:lang w:eastAsia="de-DE" w:bidi="de-DE"/>
        </w:rPr>
        <w:lastRenderedPageBreak/>
        <w:t>Abschnitt 3</w:t>
      </w:r>
      <w:r w:rsidRPr="00A21F71">
        <w:rPr>
          <w:rFonts w:eastAsia="Calibri"/>
          <w:lang w:eastAsia="de-DE" w:bidi="de-DE"/>
        </w:rPr>
        <w:t> - Besondere Regeln</w:t>
      </w:r>
    </w:p>
    <w:p w14:paraId="1D9EA0A8" w14:textId="77777777" w:rsidR="007A5656" w:rsidRPr="00A21F71" w:rsidRDefault="007A5656" w:rsidP="007A5656">
      <w:pPr>
        <w:jc w:val="both"/>
        <w:rPr>
          <w:rFonts w:eastAsia="Calibri"/>
          <w:lang w:eastAsia="de-DE" w:bidi="de-DE"/>
        </w:rPr>
      </w:pPr>
    </w:p>
    <w:p w14:paraId="69862050" w14:textId="77777777" w:rsidR="007A5656" w:rsidRPr="00A21F71" w:rsidRDefault="007A5656" w:rsidP="007A5656">
      <w:pPr>
        <w:jc w:val="both"/>
        <w:rPr>
          <w:rFonts w:eastAsia="Calibri"/>
          <w:lang w:eastAsia="de-DE" w:bidi="de-DE"/>
        </w:rPr>
      </w:pPr>
    </w:p>
    <w:p w14:paraId="59928600" w14:textId="77777777" w:rsidR="007A5656" w:rsidRPr="00A21F71" w:rsidRDefault="007A5656" w:rsidP="007A5656">
      <w:pPr>
        <w:jc w:val="both"/>
        <w:rPr>
          <w:rFonts w:eastAsia="Calibri"/>
          <w:lang w:eastAsia="de-DE" w:bidi="de-DE"/>
        </w:rPr>
      </w:pPr>
      <w:r w:rsidRPr="00A21F71">
        <w:rPr>
          <w:rFonts w:eastAsia="Calibri"/>
          <w:lang w:eastAsia="de-DE" w:bidi="de-DE"/>
        </w:rPr>
        <w:tab/>
        <w:t>4.5 Anders als monatlich getätigte Zahlungen</w:t>
      </w:r>
    </w:p>
    <w:p w14:paraId="652B8391" w14:textId="77777777" w:rsidR="007A5656" w:rsidRPr="00A21F71" w:rsidRDefault="007A5656" w:rsidP="007A5656">
      <w:pPr>
        <w:jc w:val="both"/>
        <w:rPr>
          <w:rFonts w:eastAsia="Calibri"/>
          <w:lang w:eastAsia="de-DE" w:bidi="de-DE"/>
        </w:rPr>
      </w:pPr>
    </w:p>
    <w:p w14:paraId="51633C26" w14:textId="77777777" w:rsidR="007A5656" w:rsidRPr="00A21F71" w:rsidRDefault="007A5656" w:rsidP="007A5656">
      <w:pPr>
        <w:jc w:val="both"/>
        <w:rPr>
          <w:rFonts w:eastAsia="Calibri"/>
          <w:lang w:eastAsia="de-DE" w:bidi="de-DE"/>
        </w:rPr>
      </w:pPr>
      <w:r w:rsidRPr="00A21F71">
        <w:rPr>
          <w:rFonts w:eastAsia="Calibri"/>
          <w:lang w:eastAsia="de-DE" w:bidi="de-DE"/>
        </w:rPr>
        <w:tab/>
        <w:t>Für Pensionen oder Renten, die anders als monatlich gezahlt werden, beträgt der Berufssteuervorabzug ein Dreißigstel des Produkts, das sich aus der Multiplikation des Betrags des Berufssteuervorabzugs, der auf die entsprechende monatliche Pension oder Rente geschuldet wird, mit der Anzahl Tage des Zeitraums, auf den sich die Pension oder Rente bezieht, ergibt.</w:t>
      </w:r>
    </w:p>
    <w:p w14:paraId="67075BEA" w14:textId="77777777" w:rsidR="007A5656" w:rsidRPr="00A21F71" w:rsidRDefault="007A5656" w:rsidP="007A5656">
      <w:pPr>
        <w:rPr>
          <w:rFonts w:eastAsia="Calibri"/>
          <w:lang w:eastAsia="de-DE" w:bidi="de-DE"/>
        </w:rPr>
      </w:pPr>
    </w:p>
    <w:p w14:paraId="205DFF3E" w14:textId="77777777" w:rsidR="007A5656" w:rsidRPr="00A21F71" w:rsidRDefault="007A5656" w:rsidP="007A5656">
      <w:pPr>
        <w:rPr>
          <w:rFonts w:eastAsia="Calibri"/>
          <w:lang w:eastAsia="de-DE" w:bidi="de-DE"/>
        </w:rPr>
      </w:pPr>
      <w:r w:rsidRPr="00A21F71">
        <w:rPr>
          <w:rFonts w:eastAsia="Calibri"/>
          <w:lang w:eastAsia="de-DE" w:bidi="de-DE"/>
        </w:rPr>
        <w:tab/>
        <w:t>4.6 Nachzahlungen</w:t>
      </w:r>
    </w:p>
    <w:p w14:paraId="5115C231" w14:textId="77777777" w:rsidR="007A5656" w:rsidRPr="00A21F71" w:rsidRDefault="007A5656" w:rsidP="007A5656">
      <w:pPr>
        <w:rPr>
          <w:rFonts w:eastAsia="Calibri"/>
          <w:lang w:eastAsia="de-DE" w:bidi="de-DE"/>
        </w:rPr>
      </w:pPr>
    </w:p>
    <w:p w14:paraId="4AC7B561" w14:textId="77777777" w:rsidR="007A5656" w:rsidRPr="00A21F71" w:rsidRDefault="007A5656" w:rsidP="007A5656">
      <w:pPr>
        <w:jc w:val="both"/>
        <w:rPr>
          <w:rFonts w:eastAsia="Calibri"/>
          <w:lang w:eastAsia="de-DE" w:bidi="de-DE"/>
        </w:rPr>
      </w:pPr>
      <w:r w:rsidRPr="00A21F71">
        <w:rPr>
          <w:rFonts w:eastAsia="Calibri"/>
          <w:lang w:eastAsia="de-DE" w:bidi="de-DE"/>
        </w:rPr>
        <w:tab/>
        <w:t>Bei Nachzahlung von Pensionen oder Renten (das heißt, wenn Pensionen oder Renten durch Verschulden einer öffentlichen Behörde oder aufgrund des Vorhandenseins einer Streitsache erst nach Ablauf des Besteuerungszeitraums, auf den sie sich tatsächlich beziehen, gezahlt oder zuerkannt werden) wird der Berufssteuervorabzug gemäß den in Nr. 2.10 Punkt A vorgesehenen Regeln festgelegt mit der Maßgabe, dass der anzuwendende Satz mutatis mutandis unter Berücksichtigung des Jahresbetrags der normalen Bruttopensionen oder -renten bestimmt wird, die dem Empfänger unmittelbar vor dem Jahr gezahlt worden sind, auf das sich die Nachzahlungen beziehen, oder in deren Ermangelung unter Berücksichtigung des Jahresbetrags der normalen Bruttoentlohnung, erhöht um eventuelle Pensions- oder Rentenvorschüsse, die der Empfänger im letzten Jahr normaler Tätigkeit bezogen hat.</w:t>
      </w:r>
    </w:p>
    <w:p w14:paraId="6A86336F" w14:textId="77777777" w:rsidR="007A5656" w:rsidRPr="00A21F71" w:rsidRDefault="007A5656" w:rsidP="007A5656">
      <w:pPr>
        <w:rPr>
          <w:rFonts w:eastAsia="Calibri"/>
          <w:lang w:eastAsia="de-DE" w:bidi="de-DE"/>
        </w:rPr>
      </w:pPr>
    </w:p>
    <w:p w14:paraId="39702A6D" w14:textId="77777777" w:rsidR="007A5656" w:rsidRPr="00A21F71" w:rsidRDefault="007A5656" w:rsidP="007A5656">
      <w:pPr>
        <w:jc w:val="both"/>
        <w:rPr>
          <w:rFonts w:eastAsia="Calibri"/>
          <w:lang w:eastAsia="de-DE" w:bidi="de-DE"/>
        </w:rPr>
      </w:pPr>
      <w:r w:rsidRPr="00A21F71">
        <w:rPr>
          <w:rFonts w:eastAsia="Calibri"/>
          <w:lang w:eastAsia="de-DE" w:bidi="de-DE"/>
        </w:rPr>
        <w:tab/>
        <w:t>4.7 Urlaubsgeld</w:t>
      </w:r>
    </w:p>
    <w:p w14:paraId="1F18702A" w14:textId="77777777" w:rsidR="007A5656" w:rsidRPr="00A21F71" w:rsidRDefault="007A5656" w:rsidP="007A5656">
      <w:pPr>
        <w:jc w:val="both"/>
        <w:rPr>
          <w:rFonts w:eastAsia="Calibri"/>
          <w:lang w:eastAsia="de-DE" w:bidi="de-DE"/>
        </w:rPr>
      </w:pPr>
    </w:p>
    <w:p w14:paraId="0793C990" w14:textId="77777777" w:rsidR="007A5656" w:rsidRPr="00A21F71" w:rsidRDefault="007A5656" w:rsidP="007A5656">
      <w:pPr>
        <w:jc w:val="both"/>
        <w:rPr>
          <w:rFonts w:eastAsia="Calibri"/>
          <w:lang w:eastAsia="de-DE" w:bidi="de-DE"/>
        </w:rPr>
      </w:pPr>
      <w:r w:rsidRPr="00A21F71">
        <w:rPr>
          <w:rFonts w:eastAsia="Calibri"/>
          <w:lang w:eastAsia="de-DE" w:bidi="de-DE"/>
        </w:rPr>
        <w:tab/>
        <w:t>Der Berufssteuervorabzug auf Urlaubsgeld, das Personen zuerkannt wird, die zu Lasten der Pensionsregelung für Lohnempfänger eine Ruhestands- oder Hinterbliebenen</w:t>
      </w:r>
      <w:r w:rsidRPr="00A21F71">
        <w:rPr>
          <w:rFonts w:eastAsia="Calibri"/>
          <w:lang w:eastAsia="de-DE" w:bidi="de-DE"/>
        </w:rPr>
        <w:softHyphen/>
        <w:t>pension beziehen, wird gemäß dem in den nachstehenden Tabellen angegebenen Satz auf der Grundlage des steuerpflichtigen monatlichen Gesamtbetrags der Pensionen des Empfängers der Einkünfte festgelegt.</w:t>
      </w:r>
    </w:p>
    <w:p w14:paraId="4BA845AB" w14:textId="77777777" w:rsidR="007A5656" w:rsidRPr="00A21F71" w:rsidRDefault="007A5656" w:rsidP="007A5656">
      <w:pPr>
        <w:jc w:val="both"/>
        <w:rPr>
          <w:rFonts w:eastAsia="Calibri"/>
          <w:lang w:eastAsia="de-DE" w:bidi="de-DE"/>
        </w:rPr>
      </w:pPr>
    </w:p>
    <w:p w14:paraId="11859F58" w14:textId="77777777" w:rsidR="007A5656" w:rsidRPr="00A21F71" w:rsidRDefault="007A5656" w:rsidP="007A5656">
      <w:pPr>
        <w:jc w:val="both"/>
        <w:rPr>
          <w:rFonts w:eastAsia="Calibri"/>
          <w:lang w:eastAsia="de-DE" w:bidi="de-DE"/>
        </w:rPr>
      </w:pPr>
      <w:r w:rsidRPr="00A21F71">
        <w:rPr>
          <w:rFonts w:eastAsia="Calibri"/>
          <w:lang w:eastAsia="de-DE" w:bidi="de-DE"/>
        </w:rPr>
        <w:tab/>
        <w:t>a) Der Empfänger der Einkünfte ist Alleinstehender ODER der Ehepartner des Empfängers der Einkünfte bezieht ebenfalls Berufseinkünfte.</w:t>
      </w:r>
    </w:p>
    <w:p w14:paraId="4E3EADDD"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8"/>
        <w:gridCol w:w="4546"/>
      </w:tblGrid>
      <w:tr w:rsidR="007A5656" w:rsidRPr="00A21F71" w14:paraId="1DE88FE7" w14:textId="77777777" w:rsidTr="00212CA2">
        <w:tc>
          <w:tcPr>
            <w:tcW w:w="4498" w:type="dxa"/>
            <w:vAlign w:val="center"/>
          </w:tcPr>
          <w:p w14:paraId="55A0C848"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STEUERPFLICHTIGER MONATLICHER PENSIONSBETRAG</w:t>
            </w:r>
          </w:p>
        </w:tc>
        <w:tc>
          <w:tcPr>
            <w:tcW w:w="4606" w:type="dxa"/>
            <w:vAlign w:val="center"/>
          </w:tcPr>
          <w:p w14:paraId="1430598F"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PROZENTSATZ DES AUF DEN BETRAG DES URLAUBSGELDES GESCHULDETEN BERUFSSTEUERVORABZUGS</w:t>
            </w:r>
          </w:p>
        </w:tc>
      </w:tr>
      <w:tr w:rsidR="007A5656" w:rsidRPr="00A21F71" w14:paraId="4D7BF8FA" w14:textId="77777777" w:rsidTr="00212CA2">
        <w:tc>
          <w:tcPr>
            <w:tcW w:w="4498" w:type="dxa"/>
          </w:tcPr>
          <w:p w14:paraId="7DE5594C" w14:textId="77777777" w:rsidR="007A5656" w:rsidRPr="00A21F71" w:rsidRDefault="007A5656" w:rsidP="00212CA2">
            <w:pPr>
              <w:rPr>
                <w:rFonts w:eastAsia="Calibri"/>
                <w:sz w:val="22"/>
                <w:lang w:eastAsia="de-DE" w:bidi="de-DE"/>
              </w:rPr>
            </w:pPr>
            <w:r w:rsidRPr="00A21F71">
              <w:rPr>
                <w:rFonts w:eastAsia="Calibri"/>
                <w:sz w:val="22"/>
                <w:lang w:eastAsia="de-DE" w:bidi="de-DE"/>
              </w:rPr>
              <w:t>bis 1.</w:t>
            </w:r>
            <w:r>
              <w:rPr>
                <w:rFonts w:eastAsia="Calibri"/>
                <w:sz w:val="22"/>
                <w:lang w:eastAsia="de-DE" w:bidi="de-DE"/>
              </w:rPr>
              <w:t>2</w:t>
            </w:r>
            <w:r w:rsidRPr="00A21F71">
              <w:rPr>
                <w:rFonts w:eastAsia="Calibri"/>
                <w:sz w:val="22"/>
                <w:lang w:eastAsia="de-DE" w:bidi="de-DE"/>
              </w:rPr>
              <w:t>49,99 EUR</w:t>
            </w:r>
          </w:p>
          <w:p w14:paraId="629FA448" w14:textId="77777777" w:rsidR="007A5656" w:rsidRPr="00A21F71" w:rsidRDefault="007A5656" w:rsidP="00212CA2">
            <w:pPr>
              <w:rPr>
                <w:rFonts w:eastAsia="Calibri"/>
                <w:sz w:val="22"/>
                <w:lang w:eastAsia="de-DE" w:bidi="de-DE"/>
              </w:rPr>
            </w:pPr>
            <w:r w:rsidRPr="00A21F71">
              <w:rPr>
                <w:rFonts w:eastAsia="Calibri"/>
                <w:sz w:val="22"/>
                <w:lang w:eastAsia="de-DE" w:bidi="de-DE"/>
              </w:rPr>
              <w:t>von 1.</w:t>
            </w:r>
            <w:r>
              <w:rPr>
                <w:rFonts w:eastAsia="Calibri"/>
                <w:sz w:val="22"/>
                <w:lang w:eastAsia="de-DE" w:bidi="de-DE"/>
              </w:rPr>
              <w:t>2</w:t>
            </w:r>
            <w:r w:rsidRPr="00A21F71">
              <w:rPr>
                <w:rFonts w:eastAsia="Calibri"/>
                <w:sz w:val="22"/>
                <w:lang w:eastAsia="de-DE" w:bidi="de-DE"/>
              </w:rPr>
              <w:t>50,00 EUR bis 1.</w:t>
            </w:r>
            <w:r>
              <w:rPr>
                <w:rFonts w:eastAsia="Calibri"/>
                <w:sz w:val="22"/>
                <w:lang w:eastAsia="de-DE" w:bidi="de-DE"/>
              </w:rPr>
              <w:t>2</w:t>
            </w:r>
            <w:r w:rsidRPr="00A21F71">
              <w:rPr>
                <w:rFonts w:eastAsia="Calibri"/>
                <w:sz w:val="22"/>
                <w:lang w:eastAsia="de-DE" w:bidi="de-DE"/>
              </w:rPr>
              <w:t>99,99 EUR</w:t>
            </w:r>
          </w:p>
          <w:p w14:paraId="216E38BF" w14:textId="77777777" w:rsidR="007A5656" w:rsidRPr="00A21F71" w:rsidRDefault="007A5656" w:rsidP="00212CA2">
            <w:pPr>
              <w:rPr>
                <w:rFonts w:eastAsia="Calibri"/>
                <w:sz w:val="22"/>
                <w:lang w:eastAsia="de-DE" w:bidi="de-DE"/>
              </w:rPr>
            </w:pPr>
            <w:r w:rsidRPr="00A21F71">
              <w:rPr>
                <w:rFonts w:eastAsia="Calibri"/>
                <w:sz w:val="22"/>
                <w:lang w:eastAsia="de-DE" w:bidi="de-DE"/>
              </w:rPr>
              <w:t>von 1.</w:t>
            </w:r>
            <w:r>
              <w:rPr>
                <w:rFonts w:eastAsia="Calibri"/>
                <w:sz w:val="22"/>
                <w:lang w:eastAsia="de-DE" w:bidi="de-DE"/>
              </w:rPr>
              <w:t>3</w:t>
            </w:r>
            <w:r w:rsidRPr="00A21F71">
              <w:rPr>
                <w:rFonts w:eastAsia="Calibri"/>
                <w:sz w:val="22"/>
                <w:lang w:eastAsia="de-DE" w:bidi="de-DE"/>
              </w:rPr>
              <w:t>00,00 EUR bis 1.</w:t>
            </w:r>
            <w:r>
              <w:rPr>
                <w:rFonts w:eastAsia="Calibri"/>
                <w:sz w:val="22"/>
                <w:lang w:eastAsia="de-DE" w:bidi="de-DE"/>
              </w:rPr>
              <w:t>3</w:t>
            </w:r>
            <w:r w:rsidRPr="00A21F71">
              <w:rPr>
                <w:rFonts w:eastAsia="Calibri"/>
                <w:sz w:val="22"/>
                <w:lang w:eastAsia="de-DE" w:bidi="de-DE"/>
              </w:rPr>
              <w:t>49,99 EUR</w:t>
            </w:r>
          </w:p>
          <w:p w14:paraId="1C83C205" w14:textId="77777777" w:rsidR="007A5656" w:rsidRPr="00A21F71" w:rsidRDefault="007A5656" w:rsidP="00212CA2">
            <w:pPr>
              <w:rPr>
                <w:rFonts w:eastAsia="Calibri"/>
                <w:sz w:val="22"/>
                <w:lang w:eastAsia="de-DE" w:bidi="de-DE"/>
              </w:rPr>
            </w:pPr>
            <w:r w:rsidRPr="00A21F71">
              <w:rPr>
                <w:rFonts w:eastAsia="Calibri"/>
                <w:sz w:val="22"/>
                <w:lang w:eastAsia="de-DE" w:bidi="de-DE"/>
              </w:rPr>
              <w:t>von 1.</w:t>
            </w:r>
            <w:r>
              <w:rPr>
                <w:rFonts w:eastAsia="Calibri"/>
                <w:sz w:val="22"/>
                <w:lang w:eastAsia="de-DE" w:bidi="de-DE"/>
              </w:rPr>
              <w:t>3</w:t>
            </w:r>
            <w:r w:rsidRPr="00A21F71">
              <w:rPr>
                <w:rFonts w:eastAsia="Calibri"/>
                <w:sz w:val="22"/>
                <w:lang w:eastAsia="de-DE" w:bidi="de-DE"/>
              </w:rPr>
              <w:t>50,00 EUR bis 1.</w:t>
            </w:r>
            <w:r>
              <w:rPr>
                <w:rFonts w:eastAsia="Calibri"/>
                <w:sz w:val="22"/>
                <w:lang w:eastAsia="de-DE" w:bidi="de-DE"/>
              </w:rPr>
              <w:t>5</w:t>
            </w:r>
            <w:r w:rsidRPr="00A21F71">
              <w:rPr>
                <w:rFonts w:eastAsia="Calibri"/>
                <w:sz w:val="22"/>
                <w:lang w:eastAsia="de-DE" w:bidi="de-DE"/>
              </w:rPr>
              <w:t>49,99 EUR</w:t>
            </w:r>
          </w:p>
          <w:p w14:paraId="05B6EA00" w14:textId="77777777" w:rsidR="007A5656" w:rsidRPr="00A21F71" w:rsidRDefault="007A5656" w:rsidP="00212CA2">
            <w:pPr>
              <w:rPr>
                <w:rFonts w:eastAsia="Calibri"/>
                <w:sz w:val="22"/>
                <w:lang w:eastAsia="de-DE" w:bidi="de-DE"/>
              </w:rPr>
            </w:pPr>
            <w:r w:rsidRPr="00A21F71">
              <w:rPr>
                <w:rFonts w:eastAsia="Calibri"/>
                <w:sz w:val="22"/>
                <w:lang w:eastAsia="de-DE" w:bidi="de-DE"/>
              </w:rPr>
              <w:t>von 1.</w:t>
            </w:r>
            <w:r>
              <w:rPr>
                <w:rFonts w:eastAsia="Calibri"/>
                <w:sz w:val="22"/>
                <w:lang w:eastAsia="de-DE" w:bidi="de-DE"/>
              </w:rPr>
              <w:t>5</w:t>
            </w:r>
            <w:r w:rsidRPr="00A21F71">
              <w:rPr>
                <w:rFonts w:eastAsia="Calibri"/>
                <w:sz w:val="22"/>
                <w:lang w:eastAsia="de-DE" w:bidi="de-DE"/>
              </w:rPr>
              <w:t>50,00 EUR bis 1.</w:t>
            </w:r>
            <w:r>
              <w:rPr>
                <w:rFonts w:eastAsia="Calibri"/>
                <w:sz w:val="22"/>
                <w:lang w:eastAsia="de-DE" w:bidi="de-DE"/>
              </w:rPr>
              <w:t>79</w:t>
            </w:r>
            <w:r w:rsidRPr="00A21F71">
              <w:rPr>
                <w:rFonts w:eastAsia="Calibri"/>
                <w:sz w:val="22"/>
                <w:lang w:eastAsia="de-DE" w:bidi="de-DE"/>
              </w:rPr>
              <w:t xml:space="preserve">9,99 EUR </w:t>
            </w:r>
          </w:p>
          <w:p w14:paraId="553BAD9B" w14:textId="77777777" w:rsidR="007A5656" w:rsidRPr="00A21F71" w:rsidRDefault="007A5656" w:rsidP="00212CA2">
            <w:pPr>
              <w:rPr>
                <w:rFonts w:eastAsia="Calibri"/>
                <w:sz w:val="22"/>
                <w:lang w:eastAsia="de-DE" w:bidi="de-DE"/>
              </w:rPr>
            </w:pPr>
            <w:r w:rsidRPr="00A21F71">
              <w:rPr>
                <w:rFonts w:eastAsia="Calibri"/>
                <w:sz w:val="22"/>
                <w:lang w:eastAsia="de-DE" w:bidi="de-DE"/>
              </w:rPr>
              <w:t>von 1.</w:t>
            </w:r>
            <w:r>
              <w:rPr>
                <w:rFonts w:eastAsia="Calibri"/>
                <w:sz w:val="22"/>
                <w:lang w:eastAsia="de-DE" w:bidi="de-DE"/>
              </w:rPr>
              <w:t>800</w:t>
            </w:r>
            <w:r w:rsidRPr="00A21F71">
              <w:rPr>
                <w:rFonts w:eastAsia="Calibri"/>
                <w:sz w:val="22"/>
                <w:lang w:eastAsia="de-DE" w:bidi="de-DE"/>
              </w:rPr>
              <w:t xml:space="preserve">,00 EUR bis </w:t>
            </w:r>
            <w:r>
              <w:rPr>
                <w:rFonts w:eastAsia="Calibri"/>
                <w:sz w:val="22"/>
                <w:lang w:eastAsia="de-DE" w:bidi="de-DE"/>
              </w:rPr>
              <w:t>2.0</w:t>
            </w:r>
            <w:r w:rsidRPr="00A21F71">
              <w:rPr>
                <w:rFonts w:eastAsia="Calibri"/>
                <w:sz w:val="22"/>
                <w:lang w:eastAsia="de-DE" w:bidi="de-DE"/>
              </w:rPr>
              <w:t>99,99 EUR</w:t>
            </w:r>
            <w:r w:rsidRPr="00A21F71">
              <w:rPr>
                <w:rFonts w:eastAsia="Calibri"/>
                <w:lang w:eastAsia="de-DE" w:bidi="de-DE"/>
              </w:rPr>
              <w:tab/>
            </w:r>
          </w:p>
          <w:p w14:paraId="6D800892" w14:textId="77777777" w:rsidR="007A5656" w:rsidRPr="00A21F71" w:rsidRDefault="007A5656" w:rsidP="00212CA2">
            <w:pPr>
              <w:rPr>
                <w:rFonts w:eastAsia="Calibri"/>
                <w:sz w:val="22"/>
                <w:lang w:eastAsia="de-DE" w:bidi="de-DE"/>
              </w:rPr>
            </w:pPr>
            <w:r w:rsidRPr="00A21F71">
              <w:rPr>
                <w:rFonts w:eastAsia="Calibri"/>
                <w:sz w:val="22"/>
                <w:lang w:eastAsia="de-DE" w:bidi="de-DE"/>
              </w:rPr>
              <w:t xml:space="preserve">von </w:t>
            </w:r>
            <w:r>
              <w:rPr>
                <w:rFonts w:eastAsia="Calibri"/>
                <w:sz w:val="22"/>
                <w:lang w:eastAsia="de-DE" w:bidi="de-DE"/>
              </w:rPr>
              <w:t>2</w:t>
            </w:r>
            <w:r w:rsidRPr="00A21F71">
              <w:rPr>
                <w:rFonts w:eastAsia="Calibri"/>
                <w:sz w:val="22"/>
                <w:lang w:eastAsia="de-DE" w:bidi="de-DE"/>
              </w:rPr>
              <w:t>.</w:t>
            </w:r>
            <w:r>
              <w:rPr>
                <w:rFonts w:eastAsia="Calibri"/>
                <w:sz w:val="22"/>
                <w:lang w:eastAsia="de-DE" w:bidi="de-DE"/>
              </w:rPr>
              <w:t>10</w:t>
            </w:r>
            <w:r w:rsidRPr="00A21F71">
              <w:rPr>
                <w:rFonts w:eastAsia="Calibri"/>
                <w:sz w:val="22"/>
                <w:lang w:eastAsia="de-DE" w:bidi="de-DE"/>
              </w:rPr>
              <w:t>0,00 EUR bis 2.</w:t>
            </w:r>
            <w:r>
              <w:rPr>
                <w:rFonts w:eastAsia="Calibri"/>
                <w:sz w:val="22"/>
                <w:lang w:eastAsia="de-DE" w:bidi="de-DE"/>
              </w:rPr>
              <w:t>449</w:t>
            </w:r>
            <w:r w:rsidRPr="00A21F71">
              <w:rPr>
                <w:rFonts w:eastAsia="Calibri"/>
                <w:sz w:val="22"/>
                <w:lang w:eastAsia="de-DE" w:bidi="de-DE"/>
              </w:rPr>
              <w:t>,99 EUR</w:t>
            </w:r>
            <w:r w:rsidRPr="00A21F71">
              <w:rPr>
                <w:rFonts w:eastAsia="Calibri"/>
                <w:lang w:eastAsia="de-DE" w:bidi="de-DE"/>
              </w:rPr>
              <w:tab/>
            </w:r>
          </w:p>
          <w:p w14:paraId="63D5AD24" w14:textId="77777777" w:rsidR="007A5656" w:rsidRPr="00A21F71" w:rsidRDefault="007A5656" w:rsidP="00212CA2">
            <w:pPr>
              <w:rPr>
                <w:rFonts w:eastAsia="Calibri"/>
                <w:sz w:val="22"/>
                <w:lang w:eastAsia="de-DE" w:bidi="de-DE"/>
              </w:rPr>
            </w:pPr>
            <w:r w:rsidRPr="00A21F71">
              <w:rPr>
                <w:rFonts w:eastAsia="Calibri"/>
                <w:sz w:val="22"/>
                <w:lang w:eastAsia="de-DE" w:bidi="de-DE"/>
              </w:rPr>
              <w:t>von 2.</w:t>
            </w:r>
            <w:r>
              <w:rPr>
                <w:rFonts w:eastAsia="Calibri"/>
                <w:sz w:val="22"/>
                <w:lang w:eastAsia="de-DE" w:bidi="de-DE"/>
              </w:rPr>
              <w:t>4</w:t>
            </w:r>
            <w:r w:rsidRPr="00A21F71">
              <w:rPr>
                <w:rFonts w:eastAsia="Calibri"/>
                <w:sz w:val="22"/>
                <w:lang w:eastAsia="de-DE" w:bidi="de-DE"/>
              </w:rPr>
              <w:t>50,00 EUR bis 2.</w:t>
            </w:r>
            <w:r>
              <w:rPr>
                <w:rFonts w:eastAsia="Calibri"/>
                <w:sz w:val="22"/>
                <w:lang w:eastAsia="de-DE" w:bidi="de-DE"/>
              </w:rPr>
              <w:t>8</w:t>
            </w:r>
            <w:r w:rsidRPr="00A21F71">
              <w:rPr>
                <w:rFonts w:eastAsia="Calibri"/>
                <w:sz w:val="22"/>
                <w:lang w:eastAsia="de-DE" w:bidi="de-DE"/>
              </w:rPr>
              <w:t>99,99 EUR</w:t>
            </w:r>
            <w:r w:rsidRPr="00A21F71">
              <w:rPr>
                <w:rFonts w:eastAsia="Calibri"/>
                <w:lang w:eastAsia="de-DE" w:bidi="de-DE"/>
              </w:rPr>
              <w:tab/>
            </w:r>
          </w:p>
          <w:p w14:paraId="176031B2" w14:textId="77777777" w:rsidR="007A5656" w:rsidRPr="00A21F71" w:rsidRDefault="007A5656" w:rsidP="00212CA2">
            <w:pPr>
              <w:rPr>
                <w:rFonts w:eastAsia="Calibri"/>
                <w:sz w:val="22"/>
                <w:lang w:eastAsia="de-DE" w:bidi="de-DE"/>
              </w:rPr>
            </w:pPr>
            <w:r w:rsidRPr="00A21F71">
              <w:rPr>
                <w:rFonts w:eastAsia="Calibri"/>
                <w:sz w:val="22"/>
                <w:lang w:eastAsia="de-DE" w:bidi="de-DE"/>
              </w:rPr>
              <w:t>von 2.</w:t>
            </w:r>
            <w:r>
              <w:rPr>
                <w:rFonts w:eastAsia="Calibri"/>
                <w:sz w:val="22"/>
                <w:lang w:eastAsia="de-DE" w:bidi="de-DE"/>
              </w:rPr>
              <w:t>9</w:t>
            </w:r>
            <w:r w:rsidRPr="00A21F71">
              <w:rPr>
                <w:rFonts w:eastAsia="Calibri"/>
                <w:sz w:val="22"/>
                <w:lang w:eastAsia="de-DE" w:bidi="de-DE"/>
              </w:rPr>
              <w:t>00,00 EUR bis 3.</w:t>
            </w:r>
            <w:r>
              <w:rPr>
                <w:rFonts w:eastAsia="Calibri"/>
                <w:sz w:val="22"/>
                <w:lang w:eastAsia="de-DE" w:bidi="de-DE"/>
              </w:rPr>
              <w:t>549</w:t>
            </w:r>
            <w:r w:rsidRPr="00A21F71">
              <w:rPr>
                <w:rFonts w:eastAsia="Calibri"/>
                <w:sz w:val="22"/>
                <w:lang w:eastAsia="de-DE" w:bidi="de-DE"/>
              </w:rPr>
              <w:t>,99 EUR</w:t>
            </w:r>
            <w:r w:rsidRPr="00A21F71">
              <w:rPr>
                <w:rFonts w:eastAsia="Calibri"/>
                <w:lang w:eastAsia="de-DE" w:bidi="de-DE"/>
              </w:rPr>
              <w:tab/>
            </w:r>
          </w:p>
          <w:p w14:paraId="605F378E" w14:textId="77777777" w:rsidR="007A5656" w:rsidRPr="00A21F71" w:rsidRDefault="007A5656" w:rsidP="00212CA2">
            <w:pPr>
              <w:rPr>
                <w:rFonts w:eastAsia="Calibri"/>
                <w:sz w:val="22"/>
                <w:lang w:eastAsia="de-DE" w:bidi="de-DE"/>
              </w:rPr>
            </w:pPr>
            <w:r w:rsidRPr="00A21F71">
              <w:rPr>
                <w:rFonts w:eastAsia="Calibri"/>
                <w:sz w:val="22"/>
                <w:lang w:eastAsia="de-DE" w:bidi="de-DE"/>
              </w:rPr>
              <w:t>von 3.</w:t>
            </w:r>
            <w:r>
              <w:rPr>
                <w:rFonts w:eastAsia="Calibri"/>
                <w:sz w:val="22"/>
                <w:lang w:eastAsia="de-DE" w:bidi="de-DE"/>
              </w:rPr>
              <w:t>5</w:t>
            </w:r>
            <w:r w:rsidRPr="00A21F71">
              <w:rPr>
                <w:rFonts w:eastAsia="Calibri"/>
                <w:sz w:val="22"/>
                <w:lang w:eastAsia="de-DE" w:bidi="de-DE"/>
              </w:rPr>
              <w:t>50,00 EUR bis 3.</w:t>
            </w:r>
            <w:r>
              <w:rPr>
                <w:rFonts w:eastAsia="Calibri"/>
                <w:sz w:val="22"/>
                <w:lang w:eastAsia="de-DE" w:bidi="de-DE"/>
              </w:rPr>
              <w:t>699</w:t>
            </w:r>
            <w:r w:rsidRPr="00A21F71">
              <w:rPr>
                <w:rFonts w:eastAsia="Calibri"/>
                <w:sz w:val="22"/>
                <w:lang w:eastAsia="de-DE" w:bidi="de-DE"/>
              </w:rPr>
              <w:t>,99 EUR</w:t>
            </w:r>
            <w:r w:rsidRPr="00A21F71">
              <w:rPr>
                <w:rFonts w:eastAsia="Calibri"/>
                <w:lang w:eastAsia="de-DE" w:bidi="de-DE"/>
              </w:rPr>
              <w:tab/>
            </w:r>
          </w:p>
          <w:p w14:paraId="3FE31DC6" w14:textId="77777777" w:rsidR="007A5656" w:rsidRPr="00A21F71" w:rsidRDefault="007A5656" w:rsidP="00212CA2">
            <w:pPr>
              <w:rPr>
                <w:rFonts w:eastAsia="Calibri"/>
                <w:sz w:val="22"/>
                <w:lang w:eastAsia="de-DE" w:bidi="de-DE"/>
              </w:rPr>
            </w:pPr>
            <w:r w:rsidRPr="00A21F71">
              <w:rPr>
                <w:rFonts w:eastAsia="Calibri"/>
                <w:sz w:val="22"/>
                <w:lang w:eastAsia="de-DE" w:bidi="de-DE"/>
              </w:rPr>
              <w:t>von 3.</w:t>
            </w:r>
            <w:r>
              <w:rPr>
                <w:rFonts w:eastAsia="Calibri"/>
                <w:sz w:val="22"/>
                <w:lang w:eastAsia="de-DE" w:bidi="de-DE"/>
              </w:rPr>
              <w:t>70</w:t>
            </w:r>
            <w:r w:rsidRPr="00A21F71">
              <w:rPr>
                <w:rFonts w:eastAsia="Calibri"/>
                <w:sz w:val="22"/>
                <w:lang w:eastAsia="de-DE" w:bidi="de-DE"/>
              </w:rPr>
              <w:t>0,00 EUR bis 3.</w:t>
            </w:r>
            <w:r>
              <w:rPr>
                <w:rFonts w:eastAsia="Calibri"/>
                <w:sz w:val="22"/>
                <w:lang w:eastAsia="de-DE" w:bidi="de-DE"/>
              </w:rPr>
              <w:t>8</w:t>
            </w:r>
            <w:r w:rsidRPr="00A21F71">
              <w:rPr>
                <w:rFonts w:eastAsia="Calibri"/>
                <w:sz w:val="22"/>
                <w:lang w:eastAsia="de-DE" w:bidi="de-DE"/>
              </w:rPr>
              <w:t>99,99 EUR</w:t>
            </w:r>
            <w:r w:rsidRPr="00A21F71">
              <w:rPr>
                <w:rFonts w:eastAsia="Calibri"/>
                <w:lang w:eastAsia="de-DE" w:bidi="de-DE"/>
              </w:rPr>
              <w:tab/>
            </w:r>
          </w:p>
          <w:p w14:paraId="06FA10F2" w14:textId="77777777" w:rsidR="007A5656" w:rsidRPr="00A21F71" w:rsidRDefault="007A5656" w:rsidP="00212CA2">
            <w:pPr>
              <w:rPr>
                <w:rFonts w:eastAsia="Calibri"/>
                <w:sz w:val="22"/>
                <w:lang w:eastAsia="de-DE" w:bidi="de-DE"/>
              </w:rPr>
            </w:pPr>
            <w:r w:rsidRPr="00A21F71">
              <w:rPr>
                <w:rFonts w:eastAsia="Calibri"/>
                <w:sz w:val="22"/>
                <w:lang w:eastAsia="de-DE" w:bidi="de-DE"/>
              </w:rPr>
              <w:t>ab 3.</w:t>
            </w:r>
            <w:r>
              <w:rPr>
                <w:rFonts w:eastAsia="Calibri"/>
                <w:sz w:val="22"/>
                <w:lang w:eastAsia="de-DE" w:bidi="de-DE"/>
              </w:rPr>
              <w:t>9</w:t>
            </w:r>
            <w:r w:rsidRPr="00A21F71">
              <w:rPr>
                <w:rFonts w:eastAsia="Calibri"/>
                <w:sz w:val="22"/>
                <w:lang w:eastAsia="de-DE" w:bidi="de-DE"/>
              </w:rPr>
              <w:t>00,00 EUR</w:t>
            </w:r>
          </w:p>
        </w:tc>
        <w:tc>
          <w:tcPr>
            <w:tcW w:w="4606" w:type="dxa"/>
          </w:tcPr>
          <w:p w14:paraId="4268C97D"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0</w:t>
            </w:r>
          </w:p>
          <w:p w14:paraId="49069561" w14:textId="77777777" w:rsidR="007A5656" w:rsidRPr="00A21F71" w:rsidRDefault="007A5656" w:rsidP="00212CA2">
            <w:pPr>
              <w:jc w:val="center"/>
              <w:rPr>
                <w:rFonts w:eastAsia="Calibri"/>
                <w:sz w:val="22"/>
                <w:lang w:eastAsia="de-DE" w:bidi="de-DE"/>
              </w:rPr>
            </w:pPr>
            <w:r>
              <w:rPr>
                <w:rFonts w:eastAsia="Calibri"/>
                <w:sz w:val="22"/>
                <w:lang w:eastAsia="de-DE" w:bidi="de-DE"/>
              </w:rPr>
              <w:t>2</w:t>
            </w:r>
          </w:p>
          <w:p w14:paraId="1C9D8355" w14:textId="77777777" w:rsidR="007A5656" w:rsidRPr="00A21F71" w:rsidRDefault="007A5656" w:rsidP="00212CA2">
            <w:pPr>
              <w:jc w:val="center"/>
              <w:rPr>
                <w:rFonts w:eastAsia="Calibri"/>
                <w:sz w:val="22"/>
                <w:lang w:eastAsia="de-DE" w:bidi="de-DE"/>
              </w:rPr>
            </w:pPr>
            <w:r>
              <w:rPr>
                <w:rFonts w:eastAsia="Calibri"/>
                <w:sz w:val="22"/>
                <w:lang w:eastAsia="de-DE" w:bidi="de-DE"/>
              </w:rPr>
              <w:t>4</w:t>
            </w:r>
          </w:p>
          <w:p w14:paraId="61C4063B"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5</w:t>
            </w:r>
          </w:p>
          <w:p w14:paraId="382FE1AC"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10</w:t>
            </w:r>
          </w:p>
          <w:p w14:paraId="1FF14DF7"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15</w:t>
            </w:r>
          </w:p>
          <w:p w14:paraId="0748C557"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20</w:t>
            </w:r>
          </w:p>
          <w:p w14:paraId="0DC74E76"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25</w:t>
            </w:r>
          </w:p>
          <w:p w14:paraId="3219ACA8"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30</w:t>
            </w:r>
          </w:p>
          <w:p w14:paraId="1E016DD1"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35</w:t>
            </w:r>
          </w:p>
          <w:p w14:paraId="37DEBB06"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36</w:t>
            </w:r>
          </w:p>
          <w:p w14:paraId="76B9B5AF"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37</w:t>
            </w:r>
          </w:p>
        </w:tc>
      </w:tr>
    </w:tbl>
    <w:p w14:paraId="280B7925" w14:textId="77777777" w:rsidR="007A5656" w:rsidRPr="00A21F71" w:rsidRDefault="007A5656" w:rsidP="007A5656">
      <w:pPr>
        <w:rPr>
          <w:rFonts w:eastAsia="Calibri"/>
          <w:lang w:eastAsia="de-DE" w:bidi="de-DE"/>
        </w:rPr>
      </w:pPr>
    </w:p>
    <w:p w14:paraId="5B33509D" w14:textId="77777777" w:rsidR="007A5656" w:rsidRPr="00A21F71" w:rsidRDefault="007A5656" w:rsidP="007A5656">
      <w:pPr>
        <w:rPr>
          <w:rFonts w:eastAsia="Calibri"/>
          <w:lang w:eastAsia="de-DE" w:bidi="de-DE"/>
        </w:rPr>
      </w:pPr>
      <w:r w:rsidRPr="00A21F71">
        <w:rPr>
          <w:rFonts w:eastAsia="Calibri"/>
          <w:lang w:eastAsia="de-DE" w:bidi="de-DE"/>
        </w:rPr>
        <w:lastRenderedPageBreak/>
        <w:tab/>
        <w:t>b) Der Ehepartner des Empfängers der Einkünfte bezieht keine Berufseinkünfte.</w:t>
      </w:r>
    </w:p>
    <w:p w14:paraId="5AA87E83"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6"/>
        <w:gridCol w:w="4238"/>
      </w:tblGrid>
      <w:tr w:rsidR="007A5656" w:rsidRPr="00A21F71" w14:paraId="148774E2" w14:textId="77777777" w:rsidTr="00212CA2">
        <w:tc>
          <w:tcPr>
            <w:tcW w:w="4820" w:type="dxa"/>
            <w:vAlign w:val="center"/>
          </w:tcPr>
          <w:p w14:paraId="0D0A3B83"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STEUERPFLICHTIGER MONATLICHER PENSIONSBETRAG</w:t>
            </w:r>
          </w:p>
        </w:tc>
        <w:tc>
          <w:tcPr>
            <w:tcW w:w="4284" w:type="dxa"/>
            <w:vAlign w:val="center"/>
          </w:tcPr>
          <w:p w14:paraId="5C99D4D9"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PROZENTSATZ DES AUF DEN BETRAG DES URLAUBSGELDES GESCHULDETEN BERUFSSTEUERVORABZUGS</w:t>
            </w:r>
          </w:p>
        </w:tc>
      </w:tr>
      <w:tr w:rsidR="007A5656" w:rsidRPr="00A21F71" w14:paraId="2440EFD7" w14:textId="77777777" w:rsidTr="00212CA2">
        <w:tc>
          <w:tcPr>
            <w:tcW w:w="4820" w:type="dxa"/>
          </w:tcPr>
          <w:p w14:paraId="2B9BB2BB" w14:textId="77777777" w:rsidR="007A5656" w:rsidRPr="00A21F71" w:rsidRDefault="007A5656" w:rsidP="00212CA2">
            <w:pPr>
              <w:rPr>
                <w:rFonts w:eastAsia="Calibri"/>
                <w:sz w:val="22"/>
                <w:lang w:eastAsia="de-DE" w:bidi="de-DE"/>
              </w:rPr>
            </w:pPr>
            <w:r w:rsidRPr="00A21F71">
              <w:rPr>
                <w:rFonts w:eastAsia="Calibri"/>
                <w:sz w:val="22"/>
                <w:lang w:eastAsia="de-DE" w:bidi="de-DE"/>
              </w:rPr>
              <w:t>bis 1.</w:t>
            </w:r>
            <w:r>
              <w:rPr>
                <w:rFonts w:eastAsia="Calibri"/>
                <w:sz w:val="22"/>
                <w:lang w:eastAsia="de-DE" w:bidi="de-DE"/>
              </w:rPr>
              <w:t>849</w:t>
            </w:r>
            <w:r w:rsidRPr="00A21F71">
              <w:rPr>
                <w:rFonts w:eastAsia="Calibri"/>
                <w:sz w:val="22"/>
                <w:lang w:eastAsia="de-DE" w:bidi="de-DE"/>
              </w:rPr>
              <w:t xml:space="preserve">,99 EUR </w:t>
            </w:r>
          </w:p>
          <w:p w14:paraId="0F24855B" w14:textId="77777777" w:rsidR="007A5656" w:rsidRPr="00A21F71" w:rsidRDefault="007A5656" w:rsidP="00212CA2">
            <w:pPr>
              <w:rPr>
                <w:rFonts w:eastAsia="Calibri"/>
                <w:sz w:val="22"/>
                <w:lang w:eastAsia="de-DE" w:bidi="de-DE"/>
              </w:rPr>
            </w:pPr>
            <w:r w:rsidRPr="00A21F71">
              <w:rPr>
                <w:rFonts w:eastAsia="Calibri"/>
                <w:sz w:val="22"/>
                <w:lang w:eastAsia="de-DE" w:bidi="de-DE"/>
              </w:rPr>
              <w:t>von 1.8</w:t>
            </w:r>
            <w:r>
              <w:rPr>
                <w:rFonts w:eastAsia="Calibri"/>
                <w:sz w:val="22"/>
                <w:lang w:eastAsia="de-DE" w:bidi="de-DE"/>
              </w:rPr>
              <w:t>5</w:t>
            </w:r>
            <w:r w:rsidRPr="00A21F71">
              <w:rPr>
                <w:rFonts w:eastAsia="Calibri"/>
                <w:sz w:val="22"/>
                <w:lang w:eastAsia="de-DE" w:bidi="de-DE"/>
              </w:rPr>
              <w:t>0,00 EUR bis 1.8</w:t>
            </w:r>
            <w:r>
              <w:rPr>
                <w:rFonts w:eastAsia="Calibri"/>
                <w:sz w:val="22"/>
                <w:lang w:eastAsia="de-DE" w:bidi="de-DE"/>
              </w:rPr>
              <w:t>9</w:t>
            </w:r>
            <w:r w:rsidRPr="00A21F71">
              <w:rPr>
                <w:rFonts w:eastAsia="Calibri"/>
                <w:sz w:val="22"/>
                <w:lang w:eastAsia="de-DE" w:bidi="de-DE"/>
              </w:rPr>
              <w:t>9,99 EUR</w:t>
            </w:r>
            <w:r w:rsidRPr="00A21F71">
              <w:rPr>
                <w:rFonts w:eastAsia="Calibri"/>
                <w:lang w:eastAsia="de-DE" w:bidi="de-DE"/>
              </w:rPr>
              <w:tab/>
            </w:r>
          </w:p>
          <w:p w14:paraId="071CAA3C" w14:textId="77777777" w:rsidR="007A5656" w:rsidRPr="00A21F71" w:rsidRDefault="007A5656" w:rsidP="00212CA2">
            <w:pPr>
              <w:rPr>
                <w:rFonts w:eastAsia="Calibri"/>
                <w:sz w:val="22"/>
                <w:lang w:eastAsia="de-DE" w:bidi="de-DE"/>
              </w:rPr>
            </w:pPr>
            <w:r w:rsidRPr="00A21F71">
              <w:rPr>
                <w:rFonts w:eastAsia="Calibri"/>
                <w:sz w:val="22"/>
                <w:lang w:eastAsia="de-DE" w:bidi="de-DE"/>
              </w:rPr>
              <w:t>von 1.</w:t>
            </w:r>
            <w:r>
              <w:rPr>
                <w:rFonts w:eastAsia="Calibri"/>
                <w:sz w:val="22"/>
                <w:lang w:eastAsia="de-DE" w:bidi="de-DE"/>
              </w:rPr>
              <w:t>90</w:t>
            </w:r>
            <w:r w:rsidRPr="00A21F71">
              <w:rPr>
                <w:rFonts w:eastAsia="Calibri"/>
                <w:sz w:val="22"/>
                <w:lang w:eastAsia="de-DE" w:bidi="de-DE"/>
              </w:rPr>
              <w:t>0,00 EUR bis 1.</w:t>
            </w:r>
            <w:r>
              <w:rPr>
                <w:rFonts w:eastAsia="Calibri"/>
                <w:sz w:val="22"/>
                <w:lang w:eastAsia="de-DE" w:bidi="de-DE"/>
              </w:rPr>
              <w:t>94</w:t>
            </w:r>
            <w:r w:rsidRPr="00A21F71">
              <w:rPr>
                <w:rFonts w:eastAsia="Calibri"/>
                <w:sz w:val="22"/>
                <w:lang w:eastAsia="de-DE" w:bidi="de-DE"/>
              </w:rPr>
              <w:t>9,99 EUR</w:t>
            </w:r>
            <w:r w:rsidRPr="00A21F71">
              <w:rPr>
                <w:rFonts w:eastAsia="Calibri"/>
                <w:lang w:eastAsia="de-DE" w:bidi="de-DE"/>
              </w:rPr>
              <w:tab/>
            </w:r>
          </w:p>
          <w:p w14:paraId="71BB7FC8" w14:textId="77777777" w:rsidR="007A5656" w:rsidRPr="00A21F71" w:rsidRDefault="007A5656" w:rsidP="00212CA2">
            <w:pPr>
              <w:rPr>
                <w:rFonts w:eastAsia="Calibri"/>
                <w:sz w:val="22"/>
                <w:lang w:eastAsia="de-DE" w:bidi="de-DE"/>
              </w:rPr>
            </w:pPr>
            <w:r w:rsidRPr="00A21F71">
              <w:rPr>
                <w:rFonts w:eastAsia="Calibri"/>
                <w:sz w:val="22"/>
                <w:lang w:eastAsia="de-DE" w:bidi="de-DE"/>
              </w:rPr>
              <w:t>von 1.9</w:t>
            </w:r>
            <w:r>
              <w:rPr>
                <w:rFonts w:eastAsia="Calibri"/>
                <w:sz w:val="22"/>
                <w:lang w:eastAsia="de-DE" w:bidi="de-DE"/>
              </w:rPr>
              <w:t>5</w:t>
            </w:r>
            <w:r w:rsidRPr="00A21F71">
              <w:rPr>
                <w:rFonts w:eastAsia="Calibri"/>
                <w:sz w:val="22"/>
                <w:lang w:eastAsia="de-DE" w:bidi="de-DE"/>
              </w:rPr>
              <w:t>0,00 EUR bis 2.049,99 EUR</w:t>
            </w:r>
            <w:r w:rsidRPr="00A21F71">
              <w:rPr>
                <w:rFonts w:eastAsia="Calibri"/>
                <w:lang w:eastAsia="de-DE" w:bidi="de-DE"/>
              </w:rPr>
              <w:tab/>
            </w:r>
          </w:p>
          <w:p w14:paraId="41222081" w14:textId="77777777" w:rsidR="007A5656" w:rsidRPr="00A21F71" w:rsidRDefault="007A5656" w:rsidP="00212CA2">
            <w:pPr>
              <w:rPr>
                <w:rFonts w:eastAsia="Calibri"/>
                <w:sz w:val="22"/>
                <w:lang w:eastAsia="de-DE" w:bidi="de-DE"/>
              </w:rPr>
            </w:pPr>
            <w:r w:rsidRPr="00A21F71">
              <w:rPr>
                <w:rFonts w:eastAsia="Calibri"/>
                <w:sz w:val="22"/>
                <w:lang w:eastAsia="de-DE" w:bidi="de-DE"/>
              </w:rPr>
              <w:t>von 2.050,00 EUR bis 2.</w:t>
            </w:r>
            <w:r>
              <w:rPr>
                <w:rFonts w:eastAsia="Calibri"/>
                <w:sz w:val="22"/>
                <w:lang w:eastAsia="de-DE" w:bidi="de-DE"/>
              </w:rPr>
              <w:t>14</w:t>
            </w:r>
            <w:r w:rsidRPr="00A21F71">
              <w:rPr>
                <w:rFonts w:eastAsia="Calibri"/>
                <w:sz w:val="22"/>
                <w:lang w:eastAsia="de-DE" w:bidi="de-DE"/>
              </w:rPr>
              <w:t>9,99 EUR</w:t>
            </w:r>
            <w:r w:rsidRPr="00A21F71">
              <w:rPr>
                <w:rFonts w:eastAsia="Calibri"/>
                <w:lang w:eastAsia="de-DE" w:bidi="de-DE"/>
              </w:rPr>
              <w:tab/>
            </w:r>
          </w:p>
          <w:p w14:paraId="5545D0A6" w14:textId="77777777" w:rsidR="007A5656" w:rsidRPr="00A21F71" w:rsidRDefault="007A5656" w:rsidP="00212CA2">
            <w:pPr>
              <w:rPr>
                <w:rFonts w:eastAsia="Calibri"/>
                <w:sz w:val="22"/>
                <w:lang w:eastAsia="de-DE" w:bidi="de-DE"/>
              </w:rPr>
            </w:pPr>
            <w:r w:rsidRPr="00A21F71">
              <w:rPr>
                <w:rFonts w:eastAsia="Calibri"/>
                <w:sz w:val="22"/>
                <w:lang w:eastAsia="de-DE" w:bidi="de-DE"/>
              </w:rPr>
              <w:t>von 2.</w:t>
            </w:r>
            <w:r>
              <w:rPr>
                <w:rFonts w:eastAsia="Calibri"/>
                <w:sz w:val="22"/>
                <w:lang w:eastAsia="de-DE" w:bidi="de-DE"/>
              </w:rPr>
              <w:t>1</w:t>
            </w:r>
            <w:r w:rsidRPr="00A21F71">
              <w:rPr>
                <w:rFonts w:eastAsia="Calibri"/>
                <w:sz w:val="22"/>
                <w:lang w:eastAsia="de-DE" w:bidi="de-DE"/>
              </w:rPr>
              <w:t>50,00 EUR bis 2.</w:t>
            </w:r>
            <w:r>
              <w:rPr>
                <w:rFonts w:eastAsia="Calibri"/>
                <w:sz w:val="22"/>
                <w:lang w:eastAsia="de-DE" w:bidi="de-DE"/>
              </w:rPr>
              <w:t>5</w:t>
            </w:r>
            <w:r w:rsidRPr="00A21F71">
              <w:rPr>
                <w:rFonts w:eastAsia="Calibri"/>
                <w:sz w:val="22"/>
                <w:lang w:eastAsia="de-DE" w:bidi="de-DE"/>
              </w:rPr>
              <w:t>49,99 EUR</w:t>
            </w:r>
            <w:r w:rsidRPr="00A21F71">
              <w:rPr>
                <w:rFonts w:eastAsia="Calibri"/>
                <w:lang w:eastAsia="de-DE" w:bidi="de-DE"/>
              </w:rPr>
              <w:tab/>
            </w:r>
          </w:p>
          <w:p w14:paraId="72625DB2" w14:textId="77777777" w:rsidR="007A5656" w:rsidRPr="00A21F71" w:rsidRDefault="007A5656" w:rsidP="00212CA2">
            <w:pPr>
              <w:rPr>
                <w:rFonts w:eastAsia="Calibri"/>
                <w:sz w:val="22"/>
                <w:lang w:eastAsia="de-DE" w:bidi="de-DE"/>
              </w:rPr>
            </w:pPr>
            <w:r w:rsidRPr="00A21F71">
              <w:rPr>
                <w:rFonts w:eastAsia="Calibri"/>
                <w:sz w:val="22"/>
                <w:lang w:eastAsia="de-DE" w:bidi="de-DE"/>
              </w:rPr>
              <w:t>von 2.</w:t>
            </w:r>
            <w:r>
              <w:rPr>
                <w:rFonts w:eastAsia="Calibri"/>
                <w:sz w:val="22"/>
                <w:lang w:eastAsia="de-DE" w:bidi="de-DE"/>
              </w:rPr>
              <w:t>5</w:t>
            </w:r>
            <w:r w:rsidRPr="00A21F71">
              <w:rPr>
                <w:rFonts w:eastAsia="Calibri"/>
                <w:sz w:val="22"/>
                <w:lang w:eastAsia="de-DE" w:bidi="de-DE"/>
              </w:rPr>
              <w:t>50,00 EUR bis 3.</w:t>
            </w:r>
            <w:r>
              <w:rPr>
                <w:rFonts w:eastAsia="Calibri"/>
                <w:sz w:val="22"/>
                <w:lang w:eastAsia="de-DE" w:bidi="de-DE"/>
              </w:rPr>
              <w:t>049</w:t>
            </w:r>
            <w:r w:rsidRPr="00A21F71">
              <w:rPr>
                <w:rFonts w:eastAsia="Calibri"/>
                <w:sz w:val="22"/>
                <w:lang w:eastAsia="de-DE" w:bidi="de-DE"/>
              </w:rPr>
              <w:t>,99 EUR</w:t>
            </w:r>
            <w:r w:rsidRPr="00A21F71">
              <w:rPr>
                <w:rFonts w:eastAsia="Calibri"/>
                <w:lang w:eastAsia="de-DE" w:bidi="de-DE"/>
              </w:rPr>
              <w:tab/>
            </w:r>
          </w:p>
          <w:p w14:paraId="42B17D5C" w14:textId="77777777" w:rsidR="007A5656" w:rsidRPr="00A21F71" w:rsidRDefault="007A5656" w:rsidP="00212CA2">
            <w:pPr>
              <w:rPr>
                <w:rFonts w:eastAsia="Calibri"/>
                <w:sz w:val="22"/>
                <w:lang w:eastAsia="de-DE" w:bidi="de-DE"/>
              </w:rPr>
            </w:pPr>
            <w:r w:rsidRPr="00A21F71">
              <w:rPr>
                <w:rFonts w:eastAsia="Calibri"/>
                <w:sz w:val="22"/>
                <w:lang w:eastAsia="de-DE" w:bidi="de-DE"/>
              </w:rPr>
              <w:t>von 3.0</w:t>
            </w:r>
            <w:r>
              <w:rPr>
                <w:rFonts w:eastAsia="Calibri"/>
                <w:sz w:val="22"/>
                <w:lang w:eastAsia="de-DE" w:bidi="de-DE"/>
              </w:rPr>
              <w:t>5</w:t>
            </w:r>
            <w:r w:rsidRPr="00A21F71">
              <w:rPr>
                <w:rFonts w:eastAsia="Calibri"/>
                <w:sz w:val="22"/>
                <w:lang w:eastAsia="de-DE" w:bidi="de-DE"/>
              </w:rPr>
              <w:t>0,00 EUR bis 3.</w:t>
            </w:r>
            <w:r>
              <w:rPr>
                <w:rFonts w:eastAsia="Calibri"/>
                <w:sz w:val="22"/>
                <w:lang w:eastAsia="de-DE" w:bidi="de-DE"/>
              </w:rPr>
              <w:t>4</w:t>
            </w:r>
            <w:r w:rsidRPr="00A21F71">
              <w:rPr>
                <w:rFonts w:eastAsia="Calibri"/>
                <w:sz w:val="22"/>
                <w:lang w:eastAsia="de-DE" w:bidi="de-DE"/>
              </w:rPr>
              <w:t>49,99 EUR</w:t>
            </w:r>
            <w:r w:rsidRPr="00A21F71">
              <w:rPr>
                <w:rFonts w:eastAsia="Calibri"/>
                <w:lang w:eastAsia="de-DE" w:bidi="de-DE"/>
              </w:rPr>
              <w:tab/>
            </w:r>
          </w:p>
          <w:p w14:paraId="2E230A77" w14:textId="77777777" w:rsidR="007A5656" w:rsidRPr="00A21F71" w:rsidRDefault="007A5656" w:rsidP="00212CA2">
            <w:pPr>
              <w:rPr>
                <w:rFonts w:eastAsia="Calibri"/>
                <w:sz w:val="22"/>
                <w:lang w:eastAsia="de-DE" w:bidi="de-DE"/>
              </w:rPr>
            </w:pPr>
            <w:r w:rsidRPr="00A21F71">
              <w:rPr>
                <w:rFonts w:eastAsia="Calibri"/>
                <w:sz w:val="22"/>
                <w:lang w:eastAsia="de-DE" w:bidi="de-DE"/>
              </w:rPr>
              <w:t>von 3.</w:t>
            </w:r>
            <w:r>
              <w:rPr>
                <w:rFonts w:eastAsia="Calibri"/>
                <w:sz w:val="22"/>
                <w:lang w:eastAsia="de-DE" w:bidi="de-DE"/>
              </w:rPr>
              <w:t>4</w:t>
            </w:r>
            <w:r w:rsidRPr="00A21F71">
              <w:rPr>
                <w:rFonts w:eastAsia="Calibri"/>
                <w:sz w:val="22"/>
                <w:lang w:eastAsia="de-DE" w:bidi="de-DE"/>
              </w:rPr>
              <w:t xml:space="preserve">50,00 EUR bis </w:t>
            </w:r>
            <w:r>
              <w:rPr>
                <w:rFonts w:eastAsia="Calibri"/>
                <w:sz w:val="22"/>
                <w:lang w:eastAsia="de-DE" w:bidi="de-DE"/>
              </w:rPr>
              <w:t>3</w:t>
            </w:r>
            <w:r w:rsidRPr="00A21F71">
              <w:rPr>
                <w:rFonts w:eastAsia="Calibri"/>
                <w:sz w:val="22"/>
                <w:lang w:eastAsia="de-DE" w:bidi="de-DE"/>
              </w:rPr>
              <w:t>.</w:t>
            </w:r>
            <w:r>
              <w:rPr>
                <w:rFonts w:eastAsia="Calibri"/>
                <w:sz w:val="22"/>
                <w:lang w:eastAsia="de-DE" w:bidi="de-DE"/>
              </w:rPr>
              <w:t>9</w:t>
            </w:r>
            <w:r w:rsidRPr="00A21F71">
              <w:rPr>
                <w:rFonts w:eastAsia="Calibri"/>
                <w:sz w:val="22"/>
                <w:lang w:eastAsia="de-DE" w:bidi="de-DE"/>
              </w:rPr>
              <w:t>99,99 EUR</w:t>
            </w:r>
            <w:r w:rsidRPr="00A21F71">
              <w:rPr>
                <w:rFonts w:eastAsia="Calibri"/>
                <w:lang w:eastAsia="de-DE" w:bidi="de-DE"/>
              </w:rPr>
              <w:tab/>
            </w:r>
          </w:p>
          <w:p w14:paraId="11553B1E" w14:textId="77777777" w:rsidR="007A5656" w:rsidRDefault="007A5656" w:rsidP="00212CA2">
            <w:pPr>
              <w:rPr>
                <w:rFonts w:eastAsia="Calibri"/>
                <w:lang w:eastAsia="de-DE" w:bidi="de-DE"/>
              </w:rPr>
            </w:pPr>
            <w:r>
              <w:rPr>
                <w:rFonts w:eastAsia="Calibri"/>
                <w:sz w:val="22"/>
                <w:lang w:eastAsia="de-DE" w:bidi="de-DE"/>
              </w:rPr>
              <w:t>von 4.0</w:t>
            </w:r>
            <w:r w:rsidRPr="00A21F71">
              <w:rPr>
                <w:rFonts w:eastAsia="Calibri"/>
                <w:sz w:val="22"/>
                <w:lang w:eastAsia="de-DE" w:bidi="de-DE"/>
              </w:rPr>
              <w:t xml:space="preserve">00,00 EUR bis </w:t>
            </w:r>
            <w:r>
              <w:rPr>
                <w:rFonts w:eastAsia="Calibri"/>
                <w:sz w:val="22"/>
                <w:lang w:eastAsia="de-DE" w:bidi="de-DE"/>
              </w:rPr>
              <w:t>4</w:t>
            </w:r>
            <w:r w:rsidRPr="00A21F71">
              <w:rPr>
                <w:rFonts w:eastAsia="Calibri"/>
                <w:sz w:val="22"/>
                <w:lang w:eastAsia="de-DE" w:bidi="de-DE"/>
              </w:rPr>
              <w:t>.</w:t>
            </w:r>
            <w:r>
              <w:rPr>
                <w:rFonts w:eastAsia="Calibri"/>
                <w:sz w:val="22"/>
                <w:lang w:eastAsia="de-DE" w:bidi="de-DE"/>
              </w:rPr>
              <w:t>6</w:t>
            </w:r>
            <w:r w:rsidRPr="00A21F71">
              <w:rPr>
                <w:rFonts w:eastAsia="Calibri"/>
                <w:sz w:val="22"/>
                <w:lang w:eastAsia="de-DE" w:bidi="de-DE"/>
              </w:rPr>
              <w:t>99,99 EUR</w:t>
            </w:r>
            <w:r w:rsidRPr="00A21F71">
              <w:rPr>
                <w:rFonts w:eastAsia="Calibri"/>
                <w:lang w:eastAsia="de-DE" w:bidi="de-DE"/>
              </w:rPr>
              <w:tab/>
            </w:r>
          </w:p>
          <w:p w14:paraId="0DC9B71B" w14:textId="77777777" w:rsidR="007A5656" w:rsidRPr="009670B4" w:rsidRDefault="007A5656" w:rsidP="00212CA2">
            <w:pPr>
              <w:rPr>
                <w:rFonts w:eastAsia="Calibri"/>
                <w:lang w:eastAsia="de-DE" w:bidi="de-DE"/>
              </w:rPr>
            </w:pPr>
            <w:r>
              <w:rPr>
                <w:rFonts w:eastAsia="Calibri"/>
                <w:sz w:val="22"/>
                <w:lang w:eastAsia="de-DE" w:bidi="de-DE"/>
              </w:rPr>
              <w:t>von 4.7</w:t>
            </w:r>
            <w:r w:rsidRPr="00A21F71">
              <w:rPr>
                <w:rFonts w:eastAsia="Calibri"/>
                <w:sz w:val="22"/>
                <w:lang w:eastAsia="de-DE" w:bidi="de-DE"/>
              </w:rPr>
              <w:t xml:space="preserve">00,00 EUR bis </w:t>
            </w:r>
            <w:r>
              <w:rPr>
                <w:rFonts w:eastAsia="Calibri"/>
                <w:sz w:val="22"/>
                <w:lang w:eastAsia="de-DE" w:bidi="de-DE"/>
              </w:rPr>
              <w:t>5</w:t>
            </w:r>
            <w:r w:rsidRPr="00A21F71">
              <w:rPr>
                <w:rFonts w:eastAsia="Calibri"/>
                <w:sz w:val="22"/>
                <w:lang w:eastAsia="de-DE" w:bidi="de-DE"/>
              </w:rPr>
              <w:t>.</w:t>
            </w:r>
            <w:r>
              <w:rPr>
                <w:rFonts w:eastAsia="Calibri"/>
                <w:sz w:val="22"/>
                <w:lang w:eastAsia="de-DE" w:bidi="de-DE"/>
              </w:rPr>
              <w:t>9</w:t>
            </w:r>
            <w:r w:rsidRPr="00A21F71">
              <w:rPr>
                <w:rFonts w:eastAsia="Calibri"/>
                <w:sz w:val="22"/>
                <w:lang w:eastAsia="de-DE" w:bidi="de-DE"/>
              </w:rPr>
              <w:t>99,99 EUR</w:t>
            </w:r>
            <w:r w:rsidRPr="00A21F71">
              <w:rPr>
                <w:rFonts w:eastAsia="Calibri"/>
                <w:lang w:eastAsia="de-DE" w:bidi="de-DE"/>
              </w:rPr>
              <w:tab/>
            </w:r>
          </w:p>
          <w:p w14:paraId="0E824C0C" w14:textId="77777777" w:rsidR="007A5656" w:rsidRPr="00A21F71" w:rsidRDefault="007A5656" w:rsidP="00212CA2">
            <w:pPr>
              <w:rPr>
                <w:rFonts w:eastAsia="Calibri"/>
                <w:sz w:val="22"/>
                <w:lang w:eastAsia="de-DE" w:bidi="de-DE"/>
              </w:rPr>
            </w:pPr>
            <w:r w:rsidRPr="00A21F71">
              <w:rPr>
                <w:rFonts w:eastAsia="Calibri"/>
                <w:sz w:val="22"/>
                <w:lang w:eastAsia="de-DE" w:bidi="de-DE"/>
              </w:rPr>
              <w:t xml:space="preserve">von </w:t>
            </w:r>
            <w:r>
              <w:rPr>
                <w:rFonts w:eastAsia="Calibri"/>
                <w:sz w:val="22"/>
                <w:lang w:eastAsia="de-DE" w:bidi="de-DE"/>
              </w:rPr>
              <w:t>6</w:t>
            </w:r>
            <w:r w:rsidRPr="00A21F71">
              <w:rPr>
                <w:rFonts w:eastAsia="Calibri"/>
                <w:sz w:val="22"/>
                <w:lang w:eastAsia="de-DE" w:bidi="de-DE"/>
              </w:rPr>
              <w:t>.</w:t>
            </w:r>
            <w:r>
              <w:rPr>
                <w:rFonts w:eastAsia="Calibri"/>
                <w:sz w:val="22"/>
                <w:lang w:eastAsia="de-DE" w:bidi="de-DE"/>
              </w:rPr>
              <w:t>0</w:t>
            </w:r>
            <w:r w:rsidRPr="00A21F71">
              <w:rPr>
                <w:rFonts w:eastAsia="Calibri"/>
                <w:sz w:val="22"/>
                <w:lang w:eastAsia="de-DE" w:bidi="de-DE"/>
              </w:rPr>
              <w:t>00,00 EUR bis</w:t>
            </w:r>
            <w:r>
              <w:rPr>
                <w:rFonts w:eastAsia="Calibri"/>
                <w:sz w:val="22"/>
                <w:lang w:eastAsia="de-DE" w:bidi="de-DE"/>
              </w:rPr>
              <w:t xml:space="preserve"> 6</w:t>
            </w:r>
            <w:r w:rsidRPr="00A21F71">
              <w:rPr>
                <w:rFonts w:eastAsia="Calibri"/>
                <w:sz w:val="22"/>
                <w:lang w:eastAsia="de-DE" w:bidi="de-DE"/>
              </w:rPr>
              <w:t>.</w:t>
            </w:r>
            <w:r>
              <w:rPr>
                <w:rFonts w:eastAsia="Calibri"/>
                <w:sz w:val="22"/>
                <w:lang w:eastAsia="de-DE" w:bidi="de-DE"/>
              </w:rPr>
              <w:t>29</w:t>
            </w:r>
            <w:r w:rsidRPr="00A21F71">
              <w:rPr>
                <w:rFonts w:eastAsia="Calibri"/>
                <w:sz w:val="22"/>
                <w:lang w:eastAsia="de-DE" w:bidi="de-DE"/>
              </w:rPr>
              <w:t>9,99 EUR</w:t>
            </w:r>
            <w:r w:rsidRPr="00A21F71">
              <w:rPr>
                <w:rFonts w:eastAsia="Calibri"/>
                <w:lang w:eastAsia="de-DE" w:bidi="de-DE"/>
              </w:rPr>
              <w:tab/>
            </w:r>
          </w:p>
          <w:p w14:paraId="37AC158B" w14:textId="77777777" w:rsidR="007A5656" w:rsidRPr="00A21F71" w:rsidRDefault="007A5656" w:rsidP="00212CA2">
            <w:pPr>
              <w:rPr>
                <w:rFonts w:eastAsia="Calibri"/>
                <w:sz w:val="22"/>
                <w:lang w:eastAsia="de-DE" w:bidi="de-DE"/>
              </w:rPr>
            </w:pPr>
            <w:r w:rsidRPr="00A21F71">
              <w:rPr>
                <w:rFonts w:eastAsia="Calibri"/>
                <w:sz w:val="22"/>
                <w:lang w:eastAsia="de-DE" w:bidi="de-DE"/>
              </w:rPr>
              <w:t>von 6.</w:t>
            </w:r>
            <w:r>
              <w:rPr>
                <w:rFonts w:eastAsia="Calibri"/>
                <w:sz w:val="22"/>
                <w:lang w:eastAsia="de-DE" w:bidi="de-DE"/>
              </w:rPr>
              <w:t>30</w:t>
            </w:r>
            <w:r w:rsidRPr="00A21F71">
              <w:rPr>
                <w:rFonts w:eastAsia="Calibri"/>
                <w:sz w:val="22"/>
                <w:lang w:eastAsia="de-DE" w:bidi="de-DE"/>
              </w:rPr>
              <w:t>0,00 EUR bis 6.</w:t>
            </w:r>
            <w:r>
              <w:rPr>
                <w:rFonts w:eastAsia="Calibri"/>
                <w:sz w:val="22"/>
                <w:lang w:eastAsia="de-DE" w:bidi="de-DE"/>
              </w:rPr>
              <w:t>6</w:t>
            </w:r>
            <w:r w:rsidRPr="00A21F71">
              <w:rPr>
                <w:rFonts w:eastAsia="Calibri"/>
                <w:sz w:val="22"/>
                <w:lang w:eastAsia="de-DE" w:bidi="de-DE"/>
              </w:rPr>
              <w:t>99,99 EUR</w:t>
            </w:r>
            <w:r w:rsidRPr="00A21F71">
              <w:rPr>
                <w:rFonts w:eastAsia="Calibri"/>
                <w:lang w:eastAsia="de-DE" w:bidi="de-DE"/>
              </w:rPr>
              <w:tab/>
            </w:r>
          </w:p>
          <w:p w14:paraId="5FC33D47" w14:textId="77777777" w:rsidR="007A5656" w:rsidRPr="00A21F71" w:rsidRDefault="007A5656" w:rsidP="00212CA2">
            <w:pPr>
              <w:rPr>
                <w:rFonts w:eastAsia="Calibri"/>
                <w:sz w:val="22"/>
                <w:lang w:eastAsia="de-DE" w:bidi="de-DE"/>
              </w:rPr>
            </w:pPr>
            <w:r w:rsidRPr="00A21F71">
              <w:rPr>
                <w:rFonts w:eastAsia="Calibri"/>
                <w:sz w:val="22"/>
                <w:lang w:eastAsia="de-DE" w:bidi="de-DE"/>
              </w:rPr>
              <w:t>ab 6.</w:t>
            </w:r>
            <w:r>
              <w:rPr>
                <w:rFonts w:eastAsia="Calibri"/>
                <w:sz w:val="22"/>
                <w:lang w:eastAsia="de-DE" w:bidi="de-DE"/>
              </w:rPr>
              <w:t>7</w:t>
            </w:r>
            <w:r w:rsidRPr="00A21F71">
              <w:rPr>
                <w:rFonts w:eastAsia="Calibri"/>
                <w:sz w:val="22"/>
                <w:lang w:eastAsia="de-DE" w:bidi="de-DE"/>
              </w:rPr>
              <w:t>00,00 EUR</w:t>
            </w:r>
          </w:p>
        </w:tc>
        <w:tc>
          <w:tcPr>
            <w:tcW w:w="4284" w:type="dxa"/>
          </w:tcPr>
          <w:p w14:paraId="6012A714"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0</w:t>
            </w:r>
          </w:p>
          <w:p w14:paraId="46A0A5BF"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w:t>
            </w:r>
          </w:p>
          <w:p w14:paraId="1C03776A"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w:t>
            </w:r>
          </w:p>
          <w:p w14:paraId="4C08EDFB"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w:t>
            </w:r>
          </w:p>
          <w:p w14:paraId="0D9E932C" w14:textId="77777777" w:rsidR="007A5656" w:rsidRPr="00A21F71" w:rsidRDefault="007A5656" w:rsidP="00212CA2">
            <w:pPr>
              <w:jc w:val="center"/>
              <w:rPr>
                <w:rFonts w:eastAsia="Calibri"/>
                <w:sz w:val="22"/>
                <w:lang w:eastAsia="de-DE" w:bidi="de-DE"/>
              </w:rPr>
            </w:pPr>
            <w:r>
              <w:rPr>
                <w:rFonts w:eastAsia="Calibri"/>
                <w:sz w:val="22"/>
                <w:lang w:eastAsia="de-DE" w:bidi="de-DE"/>
              </w:rPr>
              <w:t>4</w:t>
            </w:r>
          </w:p>
          <w:p w14:paraId="1780C26C" w14:textId="77777777" w:rsidR="007A5656" w:rsidRPr="00A21F71" w:rsidRDefault="007A5656" w:rsidP="00212CA2">
            <w:pPr>
              <w:jc w:val="center"/>
              <w:rPr>
                <w:rFonts w:eastAsia="Calibri"/>
                <w:sz w:val="22"/>
                <w:lang w:eastAsia="de-DE" w:bidi="de-DE"/>
              </w:rPr>
            </w:pPr>
            <w:r>
              <w:rPr>
                <w:rFonts w:eastAsia="Calibri"/>
                <w:sz w:val="22"/>
                <w:lang w:eastAsia="de-DE" w:bidi="de-DE"/>
              </w:rPr>
              <w:t>5</w:t>
            </w:r>
          </w:p>
          <w:p w14:paraId="41AF6EFE" w14:textId="77777777" w:rsidR="007A5656" w:rsidRDefault="007A5656" w:rsidP="00212CA2">
            <w:pPr>
              <w:jc w:val="center"/>
              <w:rPr>
                <w:rFonts w:eastAsia="Calibri"/>
                <w:sz w:val="22"/>
                <w:lang w:eastAsia="de-DE" w:bidi="de-DE"/>
              </w:rPr>
            </w:pPr>
            <w:r w:rsidRPr="00A21F71">
              <w:rPr>
                <w:rFonts w:eastAsia="Calibri"/>
                <w:sz w:val="22"/>
                <w:lang w:eastAsia="de-DE" w:bidi="de-DE"/>
              </w:rPr>
              <w:t>1</w:t>
            </w:r>
            <w:r>
              <w:rPr>
                <w:rFonts w:eastAsia="Calibri"/>
                <w:sz w:val="22"/>
                <w:lang w:eastAsia="de-DE" w:bidi="de-DE"/>
              </w:rPr>
              <w:t>0</w:t>
            </w:r>
          </w:p>
          <w:p w14:paraId="0241E43D" w14:textId="77777777" w:rsidR="007A5656" w:rsidRPr="00A21F71" w:rsidRDefault="007A5656" w:rsidP="00212CA2">
            <w:pPr>
              <w:jc w:val="center"/>
              <w:rPr>
                <w:rFonts w:eastAsia="Calibri"/>
                <w:sz w:val="22"/>
                <w:lang w:eastAsia="de-DE" w:bidi="de-DE"/>
              </w:rPr>
            </w:pPr>
            <w:r>
              <w:rPr>
                <w:rFonts w:eastAsia="Calibri"/>
                <w:sz w:val="22"/>
                <w:lang w:eastAsia="de-DE" w:bidi="de-DE"/>
              </w:rPr>
              <w:t>15</w:t>
            </w:r>
          </w:p>
          <w:p w14:paraId="34DDA318"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20</w:t>
            </w:r>
          </w:p>
          <w:p w14:paraId="35C6ACA2"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25</w:t>
            </w:r>
          </w:p>
          <w:p w14:paraId="21D99653"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30</w:t>
            </w:r>
          </w:p>
          <w:p w14:paraId="3368AEF7"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35</w:t>
            </w:r>
          </w:p>
          <w:p w14:paraId="520D1824"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36</w:t>
            </w:r>
          </w:p>
          <w:p w14:paraId="5B63F1D2"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37</w:t>
            </w:r>
          </w:p>
        </w:tc>
      </w:tr>
    </w:tbl>
    <w:p w14:paraId="6A3DC9D1" w14:textId="77777777" w:rsidR="007A5656" w:rsidRPr="00A21F71" w:rsidRDefault="007A5656" w:rsidP="007A5656">
      <w:pPr>
        <w:rPr>
          <w:rFonts w:eastAsia="Calibri"/>
          <w:lang w:eastAsia="de-DE" w:bidi="de-DE"/>
        </w:rPr>
      </w:pPr>
    </w:p>
    <w:p w14:paraId="5F745866" w14:textId="77777777" w:rsidR="007A5656" w:rsidRPr="00A21F71" w:rsidRDefault="007A5656" w:rsidP="007A5656">
      <w:pPr>
        <w:jc w:val="both"/>
        <w:rPr>
          <w:rFonts w:eastAsia="Calibri"/>
          <w:lang w:eastAsia="de-DE" w:bidi="de-DE"/>
        </w:rPr>
      </w:pPr>
      <w:r w:rsidRPr="00A21F71">
        <w:rPr>
          <w:rFonts w:eastAsia="Calibri"/>
          <w:lang w:eastAsia="de-DE" w:bidi="de-DE"/>
        </w:rPr>
        <w:tab/>
        <w:t>4.8 Pensionen und Renten, die weder im Rahmen des Pensionssparens noch in Ausführung eines gesetzlichen oder verordnungsrechtlichen Statuts gewährt werden</w:t>
      </w:r>
    </w:p>
    <w:p w14:paraId="0D703C77" w14:textId="77777777" w:rsidR="007A5656" w:rsidRPr="00A21F71" w:rsidRDefault="007A5656" w:rsidP="007A5656">
      <w:pPr>
        <w:jc w:val="both"/>
        <w:rPr>
          <w:rFonts w:eastAsia="Calibri"/>
          <w:lang w:eastAsia="de-DE" w:bidi="de-DE"/>
        </w:rPr>
      </w:pPr>
    </w:p>
    <w:p w14:paraId="25CC5AED" w14:textId="77777777" w:rsidR="007A5656" w:rsidRPr="00A21F71" w:rsidRDefault="007A5656" w:rsidP="007A5656">
      <w:pPr>
        <w:jc w:val="both"/>
        <w:rPr>
          <w:rFonts w:eastAsia="Calibri"/>
          <w:lang w:eastAsia="de-DE" w:bidi="de-DE"/>
        </w:rPr>
      </w:pPr>
      <w:r w:rsidRPr="00A21F71">
        <w:rPr>
          <w:rFonts w:eastAsia="Calibri"/>
          <w:lang w:eastAsia="de-DE" w:bidi="de-DE"/>
        </w:rPr>
        <w:tab/>
        <w:t>A. Ruhestands- und Hinterbliebenenpensionen oder -renten einerseits, die weder im Rahmen des Pensionssparens noch in Ausführung der sozialen Rechtsvorschriften oder eines gesetzlichen oder verordnungsrechtlichen Statuts gewährt werden, das die Betreffenden vom Anwendungsbereich der sozialen Rechtsvorschriften ausschließt, und Alters- und Witwenrenten andererseits, die Versicherungsträger als Gegenleistung für frei getätigte Zahlungen im Rahmen der Rechtsvorschriften über die Pensionen zugunsten von Angestellten gewähren, unterliegen dem Berufssteuervorabzug zu den nachfolgend vorgesehenen Sätzen (ohne Ermäßigung):</w:t>
      </w:r>
    </w:p>
    <w:p w14:paraId="2BC90AB1"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4554"/>
      </w:tblGrid>
      <w:tr w:rsidR="007A5656" w:rsidRPr="00A21F71" w14:paraId="41801D18" w14:textId="77777777" w:rsidTr="00212CA2">
        <w:tc>
          <w:tcPr>
            <w:tcW w:w="4498" w:type="dxa"/>
            <w:vAlign w:val="center"/>
          </w:tcPr>
          <w:p w14:paraId="5AAC04E9"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JAHRESBETRAG DER PENSION ODER RENTE</w:t>
            </w:r>
          </w:p>
        </w:tc>
        <w:tc>
          <w:tcPr>
            <w:tcW w:w="4606" w:type="dxa"/>
            <w:vAlign w:val="center"/>
          </w:tcPr>
          <w:p w14:paraId="14454BF8"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PROZENTSATZ</w:t>
            </w:r>
            <w:r w:rsidRPr="00A21F71">
              <w:rPr>
                <w:rFonts w:eastAsia="Calibri"/>
                <w:caps/>
                <w:sz w:val="22"/>
                <w:lang w:eastAsia="de-DE" w:bidi="de-DE"/>
              </w:rPr>
              <w:t xml:space="preserve"> </w:t>
            </w:r>
            <w:r w:rsidRPr="00A21F71">
              <w:rPr>
                <w:rFonts w:eastAsia="Calibri"/>
                <w:sz w:val="22"/>
                <w:lang w:eastAsia="de-DE" w:bidi="de-DE"/>
              </w:rPr>
              <w:t>DES AUF DEN GESAMTBETRAG DER PENSION ODER RENTE GESCHULDETEN BERUFSSTEUERVORABZUGS</w:t>
            </w:r>
          </w:p>
        </w:tc>
      </w:tr>
      <w:tr w:rsidR="007A5656" w:rsidRPr="00A21F71" w14:paraId="65701C8F" w14:textId="77777777" w:rsidTr="00212CA2">
        <w:tc>
          <w:tcPr>
            <w:tcW w:w="4498" w:type="dxa"/>
          </w:tcPr>
          <w:p w14:paraId="6AE8FDCE" w14:textId="77777777" w:rsidR="007A5656" w:rsidRPr="00A21F71" w:rsidRDefault="007A5656" w:rsidP="00212CA2">
            <w:pPr>
              <w:rPr>
                <w:rFonts w:eastAsia="Calibri"/>
                <w:sz w:val="22"/>
                <w:lang w:eastAsia="de-DE" w:bidi="de-DE"/>
              </w:rPr>
            </w:pPr>
            <w:r w:rsidRPr="00A21F71">
              <w:rPr>
                <w:rFonts w:eastAsia="Calibri"/>
                <w:sz w:val="22"/>
                <w:lang w:eastAsia="de-DE" w:bidi="de-DE"/>
              </w:rPr>
              <w:t>bis 1.790,00 EUR</w:t>
            </w:r>
          </w:p>
          <w:p w14:paraId="075DAABF" w14:textId="77777777" w:rsidR="007A5656" w:rsidRPr="00A21F71" w:rsidRDefault="007A5656" w:rsidP="00212CA2">
            <w:pPr>
              <w:rPr>
                <w:rFonts w:eastAsia="Calibri"/>
                <w:sz w:val="22"/>
                <w:lang w:eastAsia="de-DE" w:bidi="de-DE"/>
              </w:rPr>
            </w:pPr>
            <w:r w:rsidRPr="00A21F71">
              <w:rPr>
                <w:rFonts w:eastAsia="Calibri"/>
                <w:sz w:val="22"/>
                <w:lang w:eastAsia="de-DE" w:bidi="de-DE"/>
              </w:rPr>
              <w:t>von 1.790,01 EUR bis 2.990,00 EUR</w:t>
            </w:r>
          </w:p>
          <w:p w14:paraId="2F6C0BDF" w14:textId="77777777" w:rsidR="007A5656" w:rsidRPr="00A21F71" w:rsidRDefault="007A5656" w:rsidP="00212CA2">
            <w:pPr>
              <w:rPr>
                <w:rFonts w:eastAsia="Calibri"/>
                <w:sz w:val="22"/>
                <w:lang w:eastAsia="de-DE" w:bidi="de-DE"/>
              </w:rPr>
            </w:pPr>
            <w:r w:rsidRPr="00A21F71">
              <w:rPr>
                <w:rFonts w:eastAsia="Calibri"/>
                <w:sz w:val="22"/>
                <w:lang w:eastAsia="de-DE" w:bidi="de-DE"/>
              </w:rPr>
              <w:t>von 2.990,01 EUR bis 8.900,00 EUR</w:t>
            </w:r>
          </w:p>
          <w:p w14:paraId="5F104379" w14:textId="77777777" w:rsidR="007A5656" w:rsidRPr="00A21F71" w:rsidRDefault="007A5656" w:rsidP="00212CA2">
            <w:pPr>
              <w:rPr>
                <w:rFonts w:eastAsia="Calibri"/>
                <w:sz w:val="22"/>
                <w:lang w:eastAsia="de-DE" w:bidi="de-DE"/>
              </w:rPr>
            </w:pPr>
            <w:r w:rsidRPr="00A21F71">
              <w:rPr>
                <w:rFonts w:eastAsia="Calibri"/>
                <w:sz w:val="22"/>
                <w:lang w:eastAsia="de-DE" w:bidi="de-DE"/>
              </w:rPr>
              <w:t>von 8.900,01 EUR bis 14.820,00 EUR</w:t>
            </w:r>
          </w:p>
          <w:p w14:paraId="0DF97484" w14:textId="77777777" w:rsidR="007A5656" w:rsidRPr="00A21F71" w:rsidRDefault="007A5656" w:rsidP="00212CA2">
            <w:pPr>
              <w:rPr>
                <w:rFonts w:eastAsia="Calibri"/>
                <w:sz w:val="22"/>
                <w:lang w:eastAsia="de-DE" w:bidi="de-DE"/>
              </w:rPr>
            </w:pPr>
            <w:r w:rsidRPr="00A21F71">
              <w:rPr>
                <w:rFonts w:eastAsia="Calibri"/>
                <w:sz w:val="22"/>
                <w:lang w:eastAsia="de-DE" w:bidi="de-DE"/>
              </w:rPr>
              <w:t>von 14.820,01 EUR bis 29.640,00 EUR</w:t>
            </w:r>
          </w:p>
          <w:p w14:paraId="35F7B396" w14:textId="77777777" w:rsidR="007A5656" w:rsidRPr="00A21F71" w:rsidRDefault="007A5656" w:rsidP="00212CA2">
            <w:pPr>
              <w:rPr>
                <w:rFonts w:eastAsia="Calibri"/>
                <w:sz w:val="22"/>
                <w:lang w:eastAsia="de-DE" w:bidi="de-DE"/>
              </w:rPr>
            </w:pPr>
            <w:r w:rsidRPr="00A21F71">
              <w:rPr>
                <w:rFonts w:eastAsia="Calibri"/>
                <w:sz w:val="22"/>
                <w:lang w:eastAsia="de-DE" w:bidi="de-DE"/>
              </w:rPr>
              <w:t>von 29.640,01 EUR bis 44.460,00 EUR</w:t>
            </w:r>
          </w:p>
          <w:p w14:paraId="7AB14DD7" w14:textId="77777777" w:rsidR="007A5656" w:rsidRPr="00A21F71" w:rsidRDefault="007A5656" w:rsidP="00212CA2">
            <w:pPr>
              <w:rPr>
                <w:rFonts w:eastAsia="Calibri"/>
                <w:sz w:val="22"/>
                <w:lang w:eastAsia="de-DE" w:bidi="de-DE"/>
              </w:rPr>
            </w:pPr>
            <w:r w:rsidRPr="00A21F71">
              <w:rPr>
                <w:rFonts w:eastAsia="Calibri"/>
                <w:sz w:val="22"/>
                <w:lang w:eastAsia="de-DE" w:bidi="de-DE"/>
              </w:rPr>
              <w:t>mehr als 44.460,00 EUR</w:t>
            </w:r>
          </w:p>
        </w:tc>
        <w:tc>
          <w:tcPr>
            <w:tcW w:w="4606" w:type="dxa"/>
          </w:tcPr>
          <w:p w14:paraId="7F0434D3"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0</w:t>
            </w:r>
          </w:p>
          <w:p w14:paraId="5F6B8F71"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11,11</w:t>
            </w:r>
          </w:p>
          <w:p w14:paraId="3C6AC794"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16,15</w:t>
            </w:r>
          </w:p>
          <w:p w14:paraId="67775753"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21,20</w:t>
            </w:r>
          </w:p>
          <w:p w14:paraId="685DEDD5"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27,25</w:t>
            </w:r>
          </w:p>
          <w:p w14:paraId="7679E6AF"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32,30</w:t>
            </w:r>
          </w:p>
          <w:p w14:paraId="3D93AD67"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37,35</w:t>
            </w:r>
          </w:p>
        </w:tc>
      </w:tr>
    </w:tbl>
    <w:p w14:paraId="1904997B" w14:textId="77777777" w:rsidR="007A5656" w:rsidRPr="00A21F71" w:rsidRDefault="007A5656" w:rsidP="007A5656">
      <w:pPr>
        <w:rPr>
          <w:rFonts w:eastAsia="Calibri"/>
          <w:lang w:eastAsia="de-DE" w:bidi="de-DE"/>
        </w:rPr>
      </w:pPr>
    </w:p>
    <w:p w14:paraId="6080BD01" w14:textId="77777777" w:rsidR="007A5656" w:rsidRPr="00A21F71" w:rsidRDefault="007A5656" w:rsidP="007A5656">
      <w:pPr>
        <w:jc w:val="both"/>
        <w:rPr>
          <w:rFonts w:eastAsia="Calibri"/>
          <w:lang w:eastAsia="de-DE" w:bidi="de-DE"/>
        </w:rPr>
      </w:pPr>
      <w:r w:rsidRPr="00A21F71">
        <w:rPr>
          <w:rFonts w:eastAsia="Calibri"/>
          <w:lang w:eastAsia="de-DE" w:bidi="de-DE"/>
        </w:rPr>
        <w:tab/>
        <w:t>B. In Abweichung von Punkt A muss kein Berufssteuervorabzug einbehalten werden:</w:t>
      </w:r>
    </w:p>
    <w:p w14:paraId="45DFA77B" w14:textId="77777777" w:rsidR="007A5656" w:rsidRPr="00A21F71" w:rsidRDefault="007A5656" w:rsidP="007A5656">
      <w:pPr>
        <w:jc w:val="both"/>
        <w:rPr>
          <w:rFonts w:eastAsia="Calibri"/>
          <w:lang w:eastAsia="de-DE" w:bidi="de-DE"/>
        </w:rPr>
      </w:pPr>
    </w:p>
    <w:p w14:paraId="3028E48A" w14:textId="77777777" w:rsidR="007A5656" w:rsidRPr="00A21F71" w:rsidRDefault="007A5656" w:rsidP="007A5656">
      <w:pPr>
        <w:jc w:val="both"/>
        <w:rPr>
          <w:rFonts w:eastAsia="Calibri"/>
          <w:lang w:eastAsia="de-DE" w:bidi="de-DE"/>
        </w:rPr>
      </w:pPr>
      <w:r w:rsidRPr="00A21F71">
        <w:rPr>
          <w:rFonts w:eastAsia="Calibri"/>
          <w:lang w:eastAsia="de-DE" w:bidi="de-DE"/>
        </w:rPr>
        <w:tab/>
        <w:t>a) auf Pensionen und Renten, sofern und in dem Maße, wie sie in Ausführung von Verträgen gewährt wurden, die einer in Buch II Titel VIII des Gesetzbuches der verschiedenen Gebühren und Steuern erwähnten Steuer auf langfristiges Sparen unterlagen,</w:t>
      </w:r>
    </w:p>
    <w:p w14:paraId="2BD44738" w14:textId="77777777" w:rsidR="007A5656" w:rsidRPr="00A21F71" w:rsidRDefault="007A5656" w:rsidP="007A5656">
      <w:pPr>
        <w:rPr>
          <w:rFonts w:eastAsia="Calibri"/>
          <w:lang w:eastAsia="de-DE" w:bidi="de-DE"/>
        </w:rPr>
      </w:pPr>
    </w:p>
    <w:p w14:paraId="09BCF4F5"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b) wenn der Empfänger der Pensionen oder Renten nachweist, dass ein Zwölftel des Jahresgesamtbetrags seiner gesetzlichen und ergänzenden Pension gemäß den Regeln, die in den Nummern 4.1 bis 4.4 vorgesehen sind, keinem Berufssteuervorabzug unterliegt.</w:t>
      </w:r>
    </w:p>
    <w:p w14:paraId="310E04AA" w14:textId="77777777" w:rsidR="007A5656" w:rsidRPr="00A21F71" w:rsidRDefault="007A5656" w:rsidP="007A5656">
      <w:pPr>
        <w:jc w:val="both"/>
        <w:rPr>
          <w:rFonts w:eastAsia="Calibri"/>
          <w:lang w:eastAsia="de-DE" w:bidi="de-DE"/>
        </w:rPr>
      </w:pPr>
    </w:p>
    <w:p w14:paraId="01D5C74D" w14:textId="77777777" w:rsidR="007A5656" w:rsidRPr="00A21F71" w:rsidRDefault="007A5656" w:rsidP="007A5656">
      <w:pPr>
        <w:jc w:val="both"/>
        <w:rPr>
          <w:rFonts w:eastAsia="Calibri"/>
          <w:lang w:eastAsia="de-DE" w:bidi="de-DE"/>
        </w:rPr>
      </w:pPr>
      <w:r w:rsidRPr="00A21F71">
        <w:rPr>
          <w:rFonts w:eastAsia="Calibri"/>
          <w:lang w:eastAsia="de-DE" w:bidi="de-DE"/>
        </w:rPr>
        <w:tab/>
        <w:t>4.9 Zulagen oder Renten, die infolge eines Unfalls, einer Krankheit oder einer Invalidität gewährt werden</w:t>
      </w:r>
    </w:p>
    <w:p w14:paraId="014B8AC6" w14:textId="77777777" w:rsidR="007A5656" w:rsidRPr="00A21F71" w:rsidRDefault="007A5656" w:rsidP="007A5656">
      <w:pPr>
        <w:jc w:val="both"/>
        <w:rPr>
          <w:rFonts w:eastAsia="Calibri"/>
          <w:lang w:eastAsia="de-DE" w:bidi="de-DE"/>
        </w:rPr>
      </w:pPr>
    </w:p>
    <w:p w14:paraId="4A179171" w14:textId="77777777" w:rsidR="007A5656" w:rsidRPr="00A21F71" w:rsidRDefault="007A5656" w:rsidP="007A5656">
      <w:pPr>
        <w:jc w:val="both"/>
        <w:rPr>
          <w:rFonts w:eastAsia="Calibri"/>
          <w:lang w:eastAsia="de-DE" w:bidi="de-DE"/>
        </w:rPr>
      </w:pPr>
      <w:r w:rsidRPr="00A21F71">
        <w:rPr>
          <w:rFonts w:eastAsia="Calibri"/>
          <w:lang w:eastAsia="de-DE" w:bidi="de-DE"/>
        </w:rPr>
        <w:tab/>
        <w:t>Zulagen oder Renten, die direkt oder indirekt mit einer beruflichen Tätigkeit wie in Artikel 23 § 1 Nr. 1, 2 und 4 des Einkommensteuergesetzbuches 1992 erwähnt in Zusammenhang stehen oder zur Entschädigung für einen dauerhaften Lohn-, Gewinn- oder Profitausfall dienen und infolge eines Unfalls, einer Krankheit, einer Invalidität oder anderer ähnlicher Ereignisse gewährt werden, unterliegen dem Berufssteuervorabzug unter Berücksichtigung folgender Unterscheidung:</w:t>
      </w:r>
    </w:p>
    <w:p w14:paraId="05337FC7" w14:textId="77777777" w:rsidR="007A5656" w:rsidRPr="00A21F71" w:rsidRDefault="007A5656" w:rsidP="007A5656">
      <w:pPr>
        <w:jc w:val="both"/>
        <w:rPr>
          <w:rFonts w:eastAsia="Calibri"/>
          <w:lang w:eastAsia="de-DE" w:bidi="de-DE"/>
        </w:rPr>
      </w:pPr>
    </w:p>
    <w:p w14:paraId="23B9B2F6" w14:textId="77777777" w:rsidR="007A5656" w:rsidRPr="00A21F71" w:rsidRDefault="007A5656" w:rsidP="007A5656">
      <w:pPr>
        <w:jc w:val="both"/>
        <w:rPr>
          <w:rFonts w:eastAsia="Calibri"/>
          <w:lang w:eastAsia="de-DE" w:bidi="de-DE"/>
        </w:rPr>
      </w:pPr>
      <w:r w:rsidRPr="00A21F71">
        <w:rPr>
          <w:rFonts w:eastAsia="Calibri"/>
          <w:lang w:eastAsia="de-DE" w:bidi="de-DE"/>
        </w:rPr>
        <w:tab/>
        <w:t>1. Wenn diese Zulagen oder Renten dem Empfänger vom Arbeitgeber oder durch dessen Beteiligung gezahlt werden, gelten die in Nr. 2.9 Punkt A vorgesehenen Regeln mit der Maßgabe, dass der anzuwendende Satz festgelegt wird unter Berücksichtigung des Jahresbetrags der normalen Bruttoentlohnung, die als Grundlage für die Berechnung der Zulagen oder Renten gedient hat.</w:t>
      </w:r>
    </w:p>
    <w:p w14:paraId="26134DA7" w14:textId="77777777" w:rsidR="007A5656" w:rsidRPr="00A21F71" w:rsidRDefault="007A5656" w:rsidP="007A5656">
      <w:pPr>
        <w:jc w:val="both"/>
        <w:rPr>
          <w:rFonts w:eastAsia="Calibri"/>
          <w:lang w:eastAsia="de-DE" w:bidi="de-DE"/>
        </w:rPr>
      </w:pPr>
    </w:p>
    <w:p w14:paraId="4D96C1AE" w14:textId="77777777" w:rsidR="007A5656" w:rsidRPr="00A21F71" w:rsidRDefault="007A5656" w:rsidP="007A5656">
      <w:pPr>
        <w:jc w:val="both"/>
        <w:rPr>
          <w:rFonts w:eastAsia="Calibri"/>
          <w:lang w:eastAsia="de-DE" w:bidi="de-DE"/>
        </w:rPr>
      </w:pPr>
      <w:r w:rsidRPr="00A21F71">
        <w:rPr>
          <w:rFonts w:eastAsia="Calibri"/>
          <w:lang w:eastAsia="de-DE" w:bidi="de-DE"/>
        </w:rPr>
        <w:tab/>
        <w:t>2. Wenn diese Zulagen oder Renten dem Empfänger ohne Beteiligung des Arbeitgebers von einem Versicherungsträger, einer anderen Einrichtung oder einer anderen Zwischenperson gezahlt werden, gilt der Satz von 11,11 oder 22,20 Prozent (ohne Ermäßigung), je nachdem, ob es sich um gesetzliche oder außergesetzliche Zulagen oder Renten handelt. Jedoch muss kein Berufssteuervorabzug einbehalten werden, wenn der Empfänger der Renten oder Zulagen nachweist, dass ein Zwölftel der jährlichen Entlohnung, die als Grundlage für die Berechnung der Entschädigung gedient hat, gemäß den in den Nummern 4.1 bis 4.4 vorgesehenen Regeln keinem Berufssteuervorabzug unterliegt.</w:t>
      </w:r>
    </w:p>
    <w:p w14:paraId="2B910B07" w14:textId="77777777" w:rsidR="007A5656" w:rsidRPr="00A21F71" w:rsidRDefault="007A5656" w:rsidP="007A5656">
      <w:pPr>
        <w:jc w:val="both"/>
        <w:rPr>
          <w:rFonts w:eastAsia="Calibri"/>
          <w:lang w:eastAsia="de-DE" w:bidi="de-DE"/>
        </w:rPr>
      </w:pPr>
    </w:p>
    <w:p w14:paraId="7660C4B6" w14:textId="77777777" w:rsidR="007A5656" w:rsidRPr="00A21F71" w:rsidRDefault="007A5656" w:rsidP="007A5656">
      <w:pPr>
        <w:jc w:val="both"/>
        <w:rPr>
          <w:rFonts w:eastAsia="Calibri"/>
          <w:lang w:eastAsia="de-DE" w:bidi="de-DE"/>
        </w:rPr>
      </w:pPr>
      <w:r w:rsidRPr="00A21F71">
        <w:rPr>
          <w:rFonts w:eastAsia="Calibri"/>
          <w:lang w:eastAsia="de-DE" w:bidi="de-DE"/>
        </w:rPr>
        <w:tab/>
        <w:t>4.10 Kapitalien und Rückkaufswerte, die nicht im Rahmen des Pensionssparens gewährt werden</w:t>
      </w:r>
    </w:p>
    <w:p w14:paraId="79676AA8" w14:textId="77777777" w:rsidR="007A5656" w:rsidRPr="00A21F71" w:rsidRDefault="007A5656" w:rsidP="007A5656">
      <w:pPr>
        <w:jc w:val="both"/>
        <w:rPr>
          <w:rFonts w:eastAsia="Calibri"/>
          <w:lang w:eastAsia="de-DE" w:bidi="de-DE"/>
        </w:rPr>
      </w:pPr>
    </w:p>
    <w:p w14:paraId="0F73A8A5" w14:textId="77777777" w:rsidR="007A5656" w:rsidRPr="00A21F71" w:rsidRDefault="007A5656" w:rsidP="007A5656">
      <w:pPr>
        <w:jc w:val="both"/>
        <w:rPr>
          <w:rFonts w:eastAsia="Calibri"/>
          <w:lang w:eastAsia="de-DE" w:bidi="de-DE"/>
        </w:rPr>
      </w:pPr>
      <w:r w:rsidRPr="00A21F71">
        <w:rPr>
          <w:rFonts w:eastAsia="Calibri"/>
          <w:lang w:eastAsia="de-DE" w:bidi="de-DE"/>
        </w:rPr>
        <w:tab/>
        <w:t>A. Kapitalien und Rückkaufswerte oder Teilbeträge davon, die gemäß Artikel 169 § 1 oder Artikel 515</w:t>
      </w:r>
      <w:r w:rsidRPr="00A21F71">
        <w:rPr>
          <w:rFonts w:eastAsia="Calibri"/>
          <w:i/>
          <w:lang w:eastAsia="de-DE" w:bidi="de-DE"/>
        </w:rPr>
        <w:t>bis</w:t>
      </w:r>
      <w:r w:rsidRPr="00A21F71">
        <w:rPr>
          <w:rFonts w:eastAsia="Calibri"/>
          <w:lang w:eastAsia="de-DE" w:bidi="de-DE"/>
        </w:rPr>
        <w:t xml:space="preserve"> Absatz 4 und 7 des Einkommensteuergesetzbuches 1992 im Rahmen der Steuer der natürlichen Personen gemäß der Umwandlungsregelung besteuert werden, werden für die Berechnung des Berufssteuervorabzugs nur bis zum Betrag der Leibrente berücksichtigt, die aus ihrer Umwandlung entsprechend den in Artikel 73 des vorliegenden Erlasses bestimmten Koeffizienten hervorgeht.</w:t>
      </w:r>
    </w:p>
    <w:p w14:paraId="63196DEC" w14:textId="77777777" w:rsidR="007A5656" w:rsidRPr="00A21F71" w:rsidRDefault="007A5656" w:rsidP="007A5656">
      <w:pPr>
        <w:jc w:val="both"/>
        <w:rPr>
          <w:rFonts w:eastAsia="Calibri"/>
          <w:lang w:eastAsia="de-DE" w:bidi="de-DE"/>
        </w:rPr>
      </w:pPr>
    </w:p>
    <w:p w14:paraId="619AE879" w14:textId="77777777" w:rsidR="007A5656" w:rsidRPr="00A21F71" w:rsidRDefault="007A5656" w:rsidP="007A5656">
      <w:pPr>
        <w:jc w:val="both"/>
        <w:rPr>
          <w:rFonts w:eastAsia="Calibri"/>
          <w:lang w:eastAsia="de-DE" w:bidi="de-DE"/>
        </w:rPr>
      </w:pPr>
      <w:r w:rsidRPr="00A21F71">
        <w:rPr>
          <w:rFonts w:eastAsia="Calibri"/>
          <w:lang w:eastAsia="de-DE" w:bidi="de-DE"/>
        </w:rPr>
        <w:tab/>
        <w:t>Die Rente unterliegt dem Berufssteuervorabzug zum Satz von 11,11 Prozent (ohne Ermäßigung).</w:t>
      </w:r>
    </w:p>
    <w:p w14:paraId="0ED55FD3" w14:textId="77777777" w:rsidR="007A5656" w:rsidRPr="00A21F71" w:rsidRDefault="007A5656" w:rsidP="007A5656">
      <w:pPr>
        <w:jc w:val="both"/>
        <w:rPr>
          <w:rFonts w:eastAsia="Calibri"/>
          <w:lang w:eastAsia="de-DE" w:bidi="de-DE"/>
        </w:rPr>
      </w:pPr>
    </w:p>
    <w:p w14:paraId="2AC9CA6A" w14:textId="77777777" w:rsidR="007A5656" w:rsidRPr="00A21F71" w:rsidRDefault="007A5656" w:rsidP="007A5656">
      <w:pPr>
        <w:jc w:val="both"/>
        <w:rPr>
          <w:rFonts w:eastAsia="Calibri"/>
          <w:lang w:eastAsia="de-DE" w:bidi="de-DE"/>
        </w:rPr>
      </w:pPr>
      <w:r w:rsidRPr="00A21F71">
        <w:rPr>
          <w:rFonts w:eastAsia="Calibri"/>
          <w:lang w:eastAsia="de-DE" w:bidi="de-DE"/>
        </w:rPr>
        <w:tab/>
        <w:t>B. Auf Kapitalien und Rückkaufswerte, die gemäß Artikel 171 Nr. 2 Buchstabe </w:t>
      </w:r>
      <w:r w:rsidRPr="00A21F71">
        <w:rPr>
          <w:rFonts w:eastAsia="Calibri"/>
          <w:i/>
          <w:lang w:eastAsia="de-DE" w:bidi="de-DE"/>
        </w:rPr>
        <w:t>b)</w:t>
      </w:r>
      <w:r w:rsidRPr="00A21F71">
        <w:rPr>
          <w:rFonts w:eastAsia="Calibri"/>
          <w:lang w:eastAsia="de-DE" w:bidi="de-DE"/>
        </w:rPr>
        <w:t xml:space="preserve"> und </w:t>
      </w:r>
      <w:r w:rsidRPr="00A21F71">
        <w:rPr>
          <w:rFonts w:eastAsia="Calibri"/>
          <w:i/>
          <w:lang w:eastAsia="de-DE" w:bidi="de-DE"/>
        </w:rPr>
        <w:t>d)</w:t>
      </w:r>
      <w:r w:rsidRPr="00A21F71">
        <w:rPr>
          <w:rFonts w:eastAsia="Calibri"/>
          <w:lang w:eastAsia="de-DE" w:bidi="de-DE"/>
        </w:rPr>
        <w:t xml:space="preserve"> oder 515</w:t>
      </w:r>
      <w:r w:rsidRPr="00A21F71">
        <w:rPr>
          <w:rFonts w:eastAsia="Calibri"/>
          <w:i/>
          <w:lang w:eastAsia="de-DE" w:bidi="de-DE"/>
        </w:rPr>
        <w:t>quater</w:t>
      </w:r>
      <w:r w:rsidRPr="00A21F71">
        <w:rPr>
          <w:rFonts w:eastAsia="Calibri"/>
          <w:lang w:eastAsia="de-DE" w:bidi="de-DE"/>
        </w:rPr>
        <w:t xml:space="preserve"> § 1 Buchstabe </w:t>
      </w:r>
      <w:r w:rsidRPr="00A21F71">
        <w:rPr>
          <w:rFonts w:eastAsia="Calibri"/>
          <w:i/>
          <w:lang w:eastAsia="de-DE" w:bidi="de-DE"/>
        </w:rPr>
        <w:t>b)</w:t>
      </w:r>
      <w:r w:rsidRPr="00A21F71">
        <w:rPr>
          <w:rFonts w:eastAsia="Calibri"/>
          <w:lang w:eastAsia="de-DE" w:bidi="de-DE"/>
        </w:rPr>
        <w:t xml:space="preserve"> des Einkommensteuergesetzbuches 1992 im Rahmen der Steuer der natürlichen Personen getrennt besteuert werden, wird ein Berufssteuervorabzug von 10,09 Prozent (ohne Ermäßigung) geschuldet.</w:t>
      </w:r>
    </w:p>
    <w:p w14:paraId="1A671728"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7FF01A6A"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C. Auf Kapitalien und Rückkaufswerte, auf Kapitalien, die als Renten oder Pensionen gelten, und auf den Rückkauf des kapitalisierten Wertes eines Teils der gesetzlichen Ruhestands- oder Hinterbliebenenpension, die gemäß Artikel 171 Nr. 4 Buchstabe </w:t>
      </w:r>
      <w:r w:rsidRPr="00A21F71">
        <w:rPr>
          <w:rFonts w:eastAsia="Calibri"/>
          <w:i/>
          <w:lang w:eastAsia="de-DE" w:bidi="de-DE"/>
        </w:rPr>
        <w:t>f)</w:t>
      </w:r>
      <w:r w:rsidRPr="00A21F71">
        <w:rPr>
          <w:rFonts w:eastAsia="Calibri"/>
          <w:lang w:eastAsia="de-DE" w:bidi="de-DE"/>
        </w:rPr>
        <w:t xml:space="preserve"> bis </w:t>
      </w:r>
      <w:r w:rsidRPr="00A21F71">
        <w:rPr>
          <w:rFonts w:eastAsia="Calibri"/>
          <w:i/>
          <w:lang w:eastAsia="de-DE" w:bidi="de-DE"/>
        </w:rPr>
        <w:t>h)</w:t>
      </w:r>
      <w:r w:rsidRPr="00A21F71">
        <w:rPr>
          <w:rFonts w:eastAsia="Calibri"/>
          <w:lang w:eastAsia="de-DE" w:bidi="de-DE"/>
        </w:rPr>
        <w:t>, 515</w:t>
      </w:r>
      <w:r w:rsidRPr="00A21F71">
        <w:rPr>
          <w:rFonts w:eastAsia="Calibri"/>
          <w:i/>
          <w:lang w:eastAsia="de-DE" w:bidi="de-DE"/>
        </w:rPr>
        <w:t>bis</w:t>
      </w:r>
      <w:r w:rsidRPr="00A21F71">
        <w:rPr>
          <w:rFonts w:eastAsia="Calibri"/>
          <w:lang w:eastAsia="de-DE" w:bidi="de-DE"/>
        </w:rPr>
        <w:t xml:space="preserve"> Absatz 5 oder 515</w:t>
      </w:r>
      <w:r w:rsidRPr="00A21F71">
        <w:rPr>
          <w:rFonts w:eastAsia="Calibri"/>
          <w:i/>
          <w:lang w:eastAsia="de-DE" w:bidi="de-DE"/>
        </w:rPr>
        <w:t>octies</w:t>
      </w:r>
      <w:r w:rsidRPr="00A21F71">
        <w:rPr>
          <w:rFonts w:eastAsia="Calibri"/>
          <w:lang w:eastAsia="de-DE" w:bidi="de-DE"/>
        </w:rPr>
        <w:t xml:space="preserve"> des Einkommensteuergesetzbuches 1992 oder gemäß Artikel 104 Absatz 2 des Gesetzes vom 28. Dezember 1992 zur Festlegung steuerrechtlicher, finanzieller und sonstiger Bestimmungen im Rahmen der Steuer der natürlichen Personen getrennt besteuert werden, wird ein Berufssteuervorabzug von 16,66 Prozent (ohne Ermäßigung) geschuldet.</w:t>
      </w:r>
    </w:p>
    <w:p w14:paraId="39326040" w14:textId="77777777" w:rsidR="007A5656" w:rsidRPr="00A21F71" w:rsidRDefault="007A5656" w:rsidP="007A5656">
      <w:pPr>
        <w:jc w:val="both"/>
        <w:rPr>
          <w:rFonts w:eastAsia="Calibri"/>
          <w:lang w:eastAsia="de-DE" w:bidi="de-DE"/>
        </w:rPr>
      </w:pPr>
    </w:p>
    <w:p w14:paraId="5CA347F2" w14:textId="77777777" w:rsidR="007A5656" w:rsidRPr="00A21F71" w:rsidRDefault="007A5656" w:rsidP="007A5656">
      <w:pPr>
        <w:jc w:val="both"/>
        <w:rPr>
          <w:rFonts w:eastAsia="Calibri"/>
          <w:lang w:eastAsia="de-DE" w:bidi="de-DE"/>
        </w:rPr>
      </w:pPr>
      <w:r w:rsidRPr="00A21F71">
        <w:rPr>
          <w:rFonts w:eastAsia="Calibri"/>
          <w:lang w:eastAsia="de-DE" w:bidi="de-DE"/>
        </w:rPr>
        <w:tab/>
        <w:t>C.1 Ein Berufssteuervorabzug von 18,17 Prozent (ohne Ermäßigung) wird auf die in Nr. 4 Buchstabe </w:t>
      </w:r>
      <w:r w:rsidRPr="00A21F71">
        <w:rPr>
          <w:rFonts w:eastAsia="Calibri"/>
          <w:i/>
          <w:lang w:eastAsia="de-DE" w:bidi="de-DE"/>
        </w:rPr>
        <w:t>f)</w:t>
      </w:r>
      <w:r w:rsidRPr="00A21F71">
        <w:rPr>
          <w:rFonts w:eastAsia="Calibri"/>
          <w:lang w:eastAsia="de-DE" w:bidi="de-DE"/>
        </w:rPr>
        <w:t xml:space="preserve"> erwähnten Kapitalien und Rückkaufswerte in dem Maße geschuldet, wie es sich um Kapitalien handelt, die durch Arbeitgeber- oder Unternehmensbeiträge gebildet werden und zu Lebzeiten dem Arbeitnehmer oder Unternehmensleiter im Alter von einundsechzig Jahren ausgezahlt werden.</w:t>
      </w:r>
    </w:p>
    <w:p w14:paraId="7F0C00CD" w14:textId="77777777" w:rsidR="007A5656" w:rsidRPr="00A21F71" w:rsidRDefault="007A5656" w:rsidP="007A5656">
      <w:pPr>
        <w:jc w:val="both"/>
        <w:rPr>
          <w:rFonts w:eastAsia="Calibri"/>
          <w:lang w:eastAsia="de-DE" w:bidi="de-DE"/>
        </w:rPr>
      </w:pPr>
    </w:p>
    <w:p w14:paraId="0A87BC46" w14:textId="77777777" w:rsidR="007A5656" w:rsidRPr="00A21F71" w:rsidRDefault="007A5656" w:rsidP="007A5656">
      <w:pPr>
        <w:jc w:val="both"/>
        <w:rPr>
          <w:rFonts w:eastAsia="Calibri"/>
          <w:lang w:eastAsia="de-DE" w:bidi="de-DE"/>
        </w:rPr>
      </w:pPr>
      <w:r w:rsidRPr="00A21F71">
        <w:rPr>
          <w:rFonts w:eastAsia="Calibri"/>
          <w:lang w:eastAsia="de-DE" w:bidi="de-DE"/>
        </w:rPr>
        <w:tab/>
        <w:t>C.2 Ein Berufssteuervorabzug von 20,19 Prozent (ohne Ermäßigung) wird auf die in Nr. 4 Buchstabe </w:t>
      </w:r>
      <w:r w:rsidRPr="00A21F71">
        <w:rPr>
          <w:rFonts w:eastAsia="Calibri"/>
          <w:i/>
          <w:lang w:eastAsia="de-DE" w:bidi="de-DE"/>
        </w:rPr>
        <w:t>f)</w:t>
      </w:r>
      <w:r w:rsidRPr="00A21F71">
        <w:rPr>
          <w:rFonts w:eastAsia="Calibri"/>
          <w:lang w:eastAsia="de-DE" w:bidi="de-DE"/>
        </w:rPr>
        <w:t xml:space="preserve"> erwähnten Kapitalien und Rückkaufswerte in dem Maße geschuldet, wie es sich um Kapitalien handelt, die durch Arbeitgeber- oder Unternehmensbeiträge gebildet werden und zu Lebzeiten ausgezahlt werden:</w:t>
      </w:r>
    </w:p>
    <w:p w14:paraId="144E9064" w14:textId="77777777" w:rsidR="007A5656" w:rsidRPr="00A21F71" w:rsidRDefault="007A5656" w:rsidP="007A5656">
      <w:pPr>
        <w:jc w:val="both"/>
        <w:rPr>
          <w:rFonts w:eastAsia="Calibri"/>
          <w:lang w:eastAsia="de-DE" w:bidi="de-DE"/>
        </w:rPr>
      </w:pPr>
    </w:p>
    <w:p w14:paraId="25060055" w14:textId="77777777" w:rsidR="007A5656" w:rsidRPr="00A21F71" w:rsidRDefault="007A5656" w:rsidP="007A5656">
      <w:pPr>
        <w:jc w:val="both"/>
        <w:rPr>
          <w:rFonts w:eastAsia="Calibri"/>
          <w:lang w:eastAsia="de-DE" w:bidi="de-DE"/>
        </w:rPr>
      </w:pPr>
      <w:r w:rsidRPr="00A21F71">
        <w:rPr>
          <w:rFonts w:eastAsia="Calibri"/>
          <w:lang w:eastAsia="de-DE" w:bidi="de-DE"/>
        </w:rPr>
        <w:tab/>
        <w:t>- dem Arbeitnehmer oder Unternehmensleiter im Alter von sechzig Jahren,</w:t>
      </w:r>
    </w:p>
    <w:p w14:paraId="7247729A" w14:textId="77777777" w:rsidR="007A5656" w:rsidRPr="00A21F71" w:rsidRDefault="007A5656" w:rsidP="007A5656">
      <w:pPr>
        <w:jc w:val="both"/>
        <w:rPr>
          <w:rFonts w:eastAsia="Calibri"/>
          <w:lang w:eastAsia="de-DE" w:bidi="de-DE"/>
        </w:rPr>
      </w:pPr>
    </w:p>
    <w:p w14:paraId="3A0460DA" w14:textId="77777777" w:rsidR="007A5656" w:rsidRPr="00A21F71" w:rsidRDefault="007A5656" w:rsidP="007A5656">
      <w:pPr>
        <w:jc w:val="both"/>
        <w:rPr>
          <w:rFonts w:eastAsia="Calibri"/>
          <w:lang w:eastAsia="de-DE" w:bidi="de-DE"/>
        </w:rPr>
      </w:pPr>
      <w:r w:rsidRPr="00A21F71">
        <w:rPr>
          <w:rFonts w:eastAsia="Calibri"/>
          <w:lang w:eastAsia="de-DE" w:bidi="de-DE"/>
        </w:rPr>
        <w:tab/>
        <w:t>- dem Arbeitnehmer anlässlich der Versetzung in den Ruhestand, wie in Artikel 27 § 3 des Gesetzes vom 28. April 2003 über ergänzende Pensionen und das Besteuerungssystem für diese Pensionen und für bestimmte Zusatzleistungen im Bereich der sozialen Sicherheit erwähnt, vor Erreichen des Alters von einundsechzig Jahren.</w:t>
      </w:r>
    </w:p>
    <w:p w14:paraId="55045C0B" w14:textId="77777777" w:rsidR="007A5656" w:rsidRPr="00A21F71" w:rsidRDefault="007A5656" w:rsidP="007A5656">
      <w:pPr>
        <w:jc w:val="both"/>
        <w:rPr>
          <w:rFonts w:eastAsia="Calibri"/>
          <w:lang w:eastAsia="de-DE" w:bidi="de-DE"/>
        </w:rPr>
      </w:pPr>
    </w:p>
    <w:p w14:paraId="234BEB76" w14:textId="77777777" w:rsidR="007A5656" w:rsidRPr="00A21F71" w:rsidRDefault="007A5656" w:rsidP="007A5656">
      <w:pPr>
        <w:jc w:val="both"/>
        <w:rPr>
          <w:rFonts w:eastAsia="Calibri"/>
          <w:lang w:eastAsia="de-DE" w:bidi="de-DE"/>
        </w:rPr>
      </w:pPr>
      <w:r w:rsidRPr="00A21F71">
        <w:rPr>
          <w:rFonts w:eastAsia="Calibri"/>
          <w:lang w:eastAsia="de-DE" w:bidi="de-DE"/>
        </w:rPr>
        <w:tab/>
        <w:t>D. Ein Berufssteuervorabzug von 33,31 Prozent (ohne Ermäßigung) wird geschuldet auf:</w:t>
      </w:r>
    </w:p>
    <w:p w14:paraId="3294E310" w14:textId="77777777" w:rsidR="007A5656" w:rsidRPr="00A21F71" w:rsidRDefault="007A5656" w:rsidP="007A5656">
      <w:pPr>
        <w:jc w:val="both"/>
        <w:rPr>
          <w:rFonts w:eastAsia="Calibri"/>
          <w:lang w:eastAsia="de-DE" w:bidi="de-DE"/>
        </w:rPr>
      </w:pPr>
    </w:p>
    <w:p w14:paraId="14D7A472" w14:textId="77777777" w:rsidR="007A5656" w:rsidRPr="00A21F71" w:rsidRDefault="007A5656" w:rsidP="007A5656">
      <w:pPr>
        <w:jc w:val="both"/>
        <w:rPr>
          <w:rFonts w:eastAsia="Calibri"/>
          <w:lang w:eastAsia="de-DE" w:bidi="de-DE"/>
        </w:rPr>
      </w:pPr>
      <w:r w:rsidRPr="00A21F71">
        <w:rPr>
          <w:rFonts w:eastAsia="Calibri"/>
          <w:lang w:eastAsia="de-DE" w:bidi="de-DE"/>
        </w:rPr>
        <w:tab/>
        <w:t>1. Kapitalien und Rückkaufswerte, die gemäß Artikel 171 Nr. 1 Buchstabe </w:t>
      </w:r>
      <w:r w:rsidRPr="00A21F71">
        <w:rPr>
          <w:rFonts w:eastAsia="Calibri"/>
          <w:i/>
          <w:lang w:eastAsia="de-DE" w:bidi="de-DE"/>
        </w:rPr>
        <w:t>d)</w:t>
      </w:r>
      <w:r w:rsidRPr="00A21F71">
        <w:rPr>
          <w:rFonts w:eastAsia="Calibri"/>
          <w:lang w:eastAsia="de-DE" w:bidi="de-DE"/>
        </w:rPr>
        <w:t xml:space="preserve">, </w:t>
      </w:r>
      <w:r w:rsidRPr="00A21F71">
        <w:rPr>
          <w:rFonts w:eastAsia="Calibri"/>
          <w:i/>
          <w:lang w:eastAsia="de-DE" w:bidi="de-DE"/>
        </w:rPr>
        <w:t>f)</w:t>
      </w:r>
      <w:r w:rsidRPr="00A21F71">
        <w:rPr>
          <w:rFonts w:eastAsia="Calibri"/>
          <w:lang w:eastAsia="de-DE" w:bidi="de-DE"/>
        </w:rPr>
        <w:t xml:space="preserve"> oder </w:t>
      </w:r>
      <w:r w:rsidRPr="00A21F71">
        <w:rPr>
          <w:rFonts w:eastAsia="Calibri"/>
          <w:i/>
          <w:lang w:eastAsia="de-DE" w:bidi="de-DE"/>
        </w:rPr>
        <w:t>h)</w:t>
      </w:r>
      <w:r w:rsidRPr="00A21F71">
        <w:rPr>
          <w:rFonts w:eastAsia="Calibri"/>
          <w:lang w:eastAsia="de-DE" w:bidi="de-DE"/>
        </w:rPr>
        <w:t xml:space="preserve"> oder 515</w:t>
      </w:r>
      <w:r w:rsidRPr="00A21F71">
        <w:rPr>
          <w:rFonts w:eastAsia="Calibri"/>
          <w:i/>
          <w:lang w:eastAsia="de-DE" w:bidi="de-DE"/>
        </w:rPr>
        <w:t>quater</w:t>
      </w:r>
      <w:r w:rsidRPr="00A21F71">
        <w:rPr>
          <w:rFonts w:eastAsia="Calibri"/>
          <w:lang w:eastAsia="de-DE" w:bidi="de-DE"/>
        </w:rPr>
        <w:t xml:space="preserve"> § 1 Buchstabe </w:t>
      </w:r>
      <w:r w:rsidRPr="00A21F71">
        <w:rPr>
          <w:rFonts w:eastAsia="Calibri"/>
          <w:i/>
          <w:lang w:eastAsia="de-DE" w:bidi="de-DE"/>
        </w:rPr>
        <w:t>a)</w:t>
      </w:r>
      <w:r w:rsidRPr="00A21F71">
        <w:rPr>
          <w:rFonts w:eastAsia="Calibri"/>
          <w:lang w:eastAsia="de-DE" w:bidi="de-DE"/>
        </w:rPr>
        <w:t xml:space="preserve"> des Einkommensteuergesetzbuches 1992 im Rahmen der Steuer der natürlichen Personen getrennt besteuert werden,</w:t>
      </w:r>
    </w:p>
    <w:p w14:paraId="2FCC75C4" w14:textId="77777777" w:rsidR="007A5656" w:rsidRPr="00A21F71" w:rsidRDefault="007A5656" w:rsidP="007A5656">
      <w:pPr>
        <w:jc w:val="both"/>
        <w:rPr>
          <w:rFonts w:eastAsia="Calibri"/>
          <w:lang w:eastAsia="de-DE" w:bidi="de-DE"/>
        </w:rPr>
      </w:pPr>
    </w:p>
    <w:p w14:paraId="51CEBD90" w14:textId="77777777" w:rsidR="007A5656" w:rsidRPr="00A21F71" w:rsidRDefault="007A5656" w:rsidP="007A5656">
      <w:pPr>
        <w:jc w:val="both"/>
        <w:rPr>
          <w:rFonts w:eastAsia="Calibri"/>
          <w:lang w:eastAsia="de-DE" w:bidi="de-DE"/>
        </w:rPr>
      </w:pPr>
      <w:r w:rsidRPr="00A21F71">
        <w:rPr>
          <w:rFonts w:eastAsia="Calibri"/>
          <w:lang w:eastAsia="de-DE" w:bidi="de-DE"/>
        </w:rPr>
        <w:tab/>
        <w:t>2. Kapitalien und Rückkaufswerte und Kapitalien, die als Renten oder Pensionen gelten, oder Teilbeträge davon, die nicht in den Punkten A bis D Nr. 1 erwähnt sind.</w:t>
      </w:r>
    </w:p>
    <w:p w14:paraId="034B2398" w14:textId="77777777" w:rsidR="007A5656" w:rsidRPr="00A21F71" w:rsidRDefault="007A5656" w:rsidP="007A5656">
      <w:pPr>
        <w:jc w:val="both"/>
        <w:rPr>
          <w:rFonts w:eastAsia="Calibri"/>
          <w:lang w:eastAsia="de-DE" w:bidi="de-DE"/>
        </w:rPr>
      </w:pPr>
    </w:p>
    <w:p w14:paraId="74A12F5E" w14:textId="77777777" w:rsidR="007A5656" w:rsidRPr="00A21F71" w:rsidRDefault="007A5656" w:rsidP="007A5656">
      <w:pPr>
        <w:jc w:val="both"/>
        <w:rPr>
          <w:rFonts w:eastAsia="Calibri"/>
          <w:lang w:eastAsia="de-DE" w:bidi="de-DE"/>
        </w:rPr>
      </w:pPr>
      <w:r w:rsidRPr="00A21F71">
        <w:rPr>
          <w:rFonts w:eastAsia="Calibri"/>
          <w:lang w:eastAsia="de-DE" w:bidi="de-DE"/>
        </w:rPr>
        <w:tab/>
        <w:t>E. In Abweichung von den Punkten B bis D weiter oben muss kein Berufssteuervorabzug einbehalten werden, sofern und in dem Maße, wie Kapitalien, Rückkaufswerte und Kapitalien, die als Renten oder Pensionen gelten, in Ausführung von Verträgen gewährt wurden, die einer in Buch II Titel VIII des Gesetzbuches der verschiedenen Gebühren und Steuern oder in Artikel 119 Nr. 1 des Gesetzes vom 28. Dezember 1992 zur Festlegung steuerrechtlicher, finanzieller und sonstiger Bestimmungen erwähnten Steuer auf langfristiges Sparen unterlagen.</w:t>
      </w:r>
    </w:p>
    <w:p w14:paraId="66A32F58"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1D5C4007"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4.11 Pensionssparen</w:t>
      </w:r>
    </w:p>
    <w:p w14:paraId="77110616" w14:textId="77777777" w:rsidR="007A5656" w:rsidRPr="00A21F71" w:rsidRDefault="007A5656" w:rsidP="007A5656">
      <w:pPr>
        <w:jc w:val="both"/>
        <w:rPr>
          <w:rFonts w:eastAsia="Calibri"/>
          <w:lang w:eastAsia="de-DE" w:bidi="de-DE"/>
        </w:rPr>
      </w:pPr>
    </w:p>
    <w:p w14:paraId="63236703" w14:textId="77777777" w:rsidR="007A5656" w:rsidRPr="00A21F71" w:rsidRDefault="007A5656" w:rsidP="007A5656">
      <w:pPr>
        <w:jc w:val="both"/>
        <w:rPr>
          <w:rFonts w:eastAsia="Calibri"/>
          <w:lang w:eastAsia="de-DE" w:bidi="de-DE"/>
        </w:rPr>
      </w:pPr>
      <w:r w:rsidRPr="00A21F71">
        <w:rPr>
          <w:rFonts w:eastAsia="Calibri"/>
          <w:lang w:eastAsia="de-DE" w:bidi="de-DE"/>
        </w:rPr>
        <w:tab/>
        <w:t>A. Pensionen und Renten einer Sparversicherung unterliegen dem Berufssteuer</w:t>
      </w:r>
      <w:r w:rsidRPr="00A21F71">
        <w:rPr>
          <w:rFonts w:eastAsia="Calibri"/>
          <w:lang w:eastAsia="de-DE" w:bidi="de-DE"/>
        </w:rPr>
        <w:softHyphen/>
        <w:t>vorabzug zu den nachfolgend vorgesehenen Sätzen (ohne Ermäßigung):</w:t>
      </w:r>
    </w:p>
    <w:p w14:paraId="6033C304" w14:textId="77777777" w:rsidR="007A5656" w:rsidRPr="00A21F71" w:rsidRDefault="007A5656" w:rsidP="007A5656">
      <w:pPr>
        <w:jc w:val="both"/>
        <w:rPr>
          <w:rFonts w:eastAsia="Calibri"/>
          <w:lang w:eastAsia="de-DE" w:bidi="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7"/>
        <w:gridCol w:w="4555"/>
      </w:tblGrid>
      <w:tr w:rsidR="007A5656" w:rsidRPr="00A21F71" w14:paraId="482A2142" w14:textId="77777777" w:rsidTr="00212CA2">
        <w:tc>
          <w:tcPr>
            <w:tcW w:w="4606" w:type="dxa"/>
            <w:vAlign w:val="center"/>
          </w:tcPr>
          <w:p w14:paraId="3CCD63FE"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JAHRESBETRAG DER PENSION ODER RENTE</w:t>
            </w:r>
          </w:p>
        </w:tc>
        <w:tc>
          <w:tcPr>
            <w:tcW w:w="4606" w:type="dxa"/>
            <w:vAlign w:val="center"/>
          </w:tcPr>
          <w:p w14:paraId="2E81E490"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PROZENTSATZ DES AUF DEN GESAMTBETRAG DER PENSION ODER RENTE GESCHULDETEN BERUFSSTEUERVORABZUGS</w:t>
            </w:r>
          </w:p>
        </w:tc>
      </w:tr>
      <w:tr w:rsidR="007A5656" w:rsidRPr="00A21F71" w14:paraId="6A701A83" w14:textId="77777777" w:rsidTr="00212CA2">
        <w:tc>
          <w:tcPr>
            <w:tcW w:w="4606" w:type="dxa"/>
          </w:tcPr>
          <w:p w14:paraId="134ABC9E"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bis 1.500,00 EUR</w:t>
            </w:r>
          </w:p>
          <w:p w14:paraId="3532B27F"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von 1.500,01 EUR bis 2.500,00 EUR</w:t>
            </w:r>
          </w:p>
          <w:p w14:paraId="74F67558" w14:textId="77777777" w:rsidR="007A5656" w:rsidRPr="00A21F71" w:rsidRDefault="007A5656" w:rsidP="00212CA2">
            <w:pPr>
              <w:jc w:val="both"/>
              <w:rPr>
                <w:rFonts w:eastAsia="Calibri"/>
                <w:sz w:val="22"/>
                <w:lang w:eastAsia="de-DE" w:bidi="de-DE"/>
              </w:rPr>
            </w:pPr>
            <w:r w:rsidRPr="00A21F71">
              <w:rPr>
                <w:rFonts w:eastAsia="Calibri"/>
                <w:sz w:val="22"/>
                <w:lang w:eastAsia="de-DE" w:bidi="de-DE"/>
              </w:rPr>
              <w:t>mehr als 2.500,00 EUR</w:t>
            </w:r>
          </w:p>
        </w:tc>
        <w:tc>
          <w:tcPr>
            <w:tcW w:w="4606" w:type="dxa"/>
          </w:tcPr>
          <w:p w14:paraId="2E00AE8D"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11,11</w:t>
            </w:r>
          </w:p>
          <w:p w14:paraId="6B351B2E"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16,15</w:t>
            </w:r>
          </w:p>
          <w:p w14:paraId="6F60AA3F"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21,20</w:t>
            </w:r>
          </w:p>
        </w:tc>
      </w:tr>
    </w:tbl>
    <w:p w14:paraId="69B5F585" w14:textId="77777777" w:rsidR="007A5656" w:rsidRPr="00A21F71" w:rsidRDefault="007A5656" w:rsidP="007A5656">
      <w:pPr>
        <w:jc w:val="both"/>
        <w:rPr>
          <w:rFonts w:eastAsia="Calibri"/>
          <w:lang w:eastAsia="de-DE" w:bidi="de-DE"/>
        </w:rPr>
      </w:pPr>
    </w:p>
    <w:p w14:paraId="0498D8AB" w14:textId="77777777" w:rsidR="007A5656" w:rsidRPr="00A21F71" w:rsidRDefault="007A5656" w:rsidP="007A5656">
      <w:pPr>
        <w:jc w:val="both"/>
        <w:rPr>
          <w:rFonts w:eastAsia="Calibri"/>
          <w:lang w:eastAsia="de-DE" w:bidi="de-DE"/>
        </w:rPr>
      </w:pPr>
      <w:r w:rsidRPr="00A21F71">
        <w:rPr>
          <w:rFonts w:eastAsia="Calibri"/>
          <w:lang w:eastAsia="de-DE" w:bidi="de-DE"/>
        </w:rPr>
        <w:tab/>
        <w:t>B. Sparguthaben von Sparkonten und Kapitalien und Rückkaufswerte von Sparversicherungen, di</w:t>
      </w:r>
      <w:r>
        <w:rPr>
          <w:rFonts w:eastAsia="Calibri"/>
          <w:lang w:eastAsia="de-DE" w:bidi="de-DE"/>
        </w:rPr>
        <w:t>e aufgrund der Artikel 171 Nr. 1</w:t>
      </w:r>
      <w:r w:rsidRPr="0089320F">
        <w:rPr>
          <w:rFonts w:eastAsia="Calibri"/>
          <w:i/>
          <w:lang w:eastAsia="de-DE" w:bidi="de-DE"/>
        </w:rPr>
        <w:t>bis</w:t>
      </w:r>
      <w:r w:rsidRPr="00A21F71">
        <w:rPr>
          <w:rFonts w:eastAsia="Calibri"/>
          <w:lang w:eastAsia="de-DE" w:bidi="de-DE"/>
        </w:rPr>
        <w:t>, 174 und 515</w:t>
      </w:r>
      <w:r w:rsidRPr="00A21F71">
        <w:rPr>
          <w:rFonts w:eastAsia="Calibri"/>
          <w:i/>
          <w:lang w:eastAsia="de-DE" w:bidi="de-DE"/>
        </w:rPr>
        <w:t>ter</w:t>
      </w:r>
      <w:r w:rsidRPr="00A21F71">
        <w:rPr>
          <w:rFonts w:eastAsia="Calibri"/>
          <w:lang w:eastAsia="de-DE" w:bidi="de-DE"/>
        </w:rPr>
        <w:t xml:space="preserve"> des Einkommensteuergesetzbuches 1992 und aufgrund von Artikel 105 des Gesetzes vom 28. Dezember 1992 zur Festlegung steuerrechtlicher, finanzieller und sonstiger Bestimmungen im Rahmen der Steuer der natürlichen Personen getrennt besteuert werden, unterliegen dem Berufss</w:t>
      </w:r>
      <w:r>
        <w:rPr>
          <w:rFonts w:eastAsia="Calibri"/>
          <w:lang w:eastAsia="de-DE" w:bidi="de-DE"/>
        </w:rPr>
        <w:t>teuervorabzug zum Satz von 8,08</w:t>
      </w:r>
      <w:r w:rsidRPr="00A21F71">
        <w:rPr>
          <w:rFonts w:eastAsia="Calibri"/>
          <w:lang w:eastAsia="de-DE" w:bidi="de-DE"/>
        </w:rPr>
        <w:t> Prozent (ohne Ermäßigung) mit der Maßgabe, dass der steuerpflichtige Betrag in Bezug auf Sparguthaben gemäß den Artikeln 34 § 3 und 515</w:t>
      </w:r>
      <w:r w:rsidRPr="00A21F71">
        <w:rPr>
          <w:rFonts w:eastAsia="Calibri"/>
          <w:i/>
          <w:lang w:eastAsia="de-DE" w:bidi="de-DE"/>
        </w:rPr>
        <w:t>bis</w:t>
      </w:r>
      <w:r w:rsidRPr="00A21F71">
        <w:rPr>
          <w:rFonts w:eastAsia="Calibri"/>
          <w:lang w:eastAsia="de-DE" w:bidi="de-DE"/>
        </w:rPr>
        <w:t xml:space="preserve"> Absatz 3 desselben Gesetzbuches festgelegt werden muss.</w:t>
      </w:r>
    </w:p>
    <w:p w14:paraId="76BCDA6E" w14:textId="77777777" w:rsidR="007A5656" w:rsidRPr="00A21F71" w:rsidRDefault="007A5656" w:rsidP="007A5656">
      <w:pPr>
        <w:jc w:val="both"/>
        <w:rPr>
          <w:rFonts w:eastAsia="Calibri"/>
          <w:lang w:eastAsia="de-DE" w:bidi="de-DE"/>
        </w:rPr>
      </w:pPr>
    </w:p>
    <w:p w14:paraId="4614A4A6" w14:textId="77777777" w:rsidR="007A5656" w:rsidRPr="00A21F71" w:rsidRDefault="007A5656" w:rsidP="007A5656">
      <w:pPr>
        <w:jc w:val="both"/>
        <w:rPr>
          <w:rFonts w:eastAsia="Calibri"/>
          <w:lang w:eastAsia="de-DE" w:bidi="de-DE"/>
        </w:rPr>
      </w:pPr>
      <w:r w:rsidRPr="00A21F71">
        <w:rPr>
          <w:rFonts w:eastAsia="Calibri"/>
          <w:lang w:eastAsia="de-DE" w:bidi="de-DE"/>
        </w:rPr>
        <w:tab/>
        <w:t>C. Sparguthaben von Sparkonten und Kapitalien und Rückkaufswerte von Sparversicherungen, die aufgrund der Artikel 515</w:t>
      </w:r>
      <w:r w:rsidRPr="00A21F71">
        <w:rPr>
          <w:rFonts w:eastAsia="Calibri"/>
          <w:i/>
          <w:lang w:eastAsia="de-DE" w:bidi="de-DE"/>
        </w:rPr>
        <w:t>bis</w:t>
      </w:r>
      <w:r w:rsidRPr="00A21F71">
        <w:rPr>
          <w:rFonts w:eastAsia="Calibri"/>
          <w:lang w:eastAsia="de-DE" w:bidi="de-DE"/>
        </w:rPr>
        <w:t xml:space="preserve"> Absatz 5 und 515</w:t>
      </w:r>
      <w:r w:rsidRPr="00A21F71">
        <w:rPr>
          <w:rFonts w:eastAsia="Calibri"/>
          <w:i/>
          <w:lang w:eastAsia="de-DE" w:bidi="de-DE"/>
        </w:rPr>
        <w:t>ter</w:t>
      </w:r>
      <w:r w:rsidRPr="00A21F71">
        <w:rPr>
          <w:rFonts w:eastAsia="Calibri"/>
          <w:lang w:eastAsia="de-DE" w:bidi="de-DE"/>
        </w:rPr>
        <w:t xml:space="preserve"> des Einkommen</w:t>
      </w:r>
      <w:r w:rsidRPr="00A21F71">
        <w:rPr>
          <w:rFonts w:eastAsia="Calibri"/>
          <w:lang w:eastAsia="de-DE" w:bidi="de-DE"/>
        </w:rPr>
        <w:softHyphen/>
        <w:t>steuergesetzbuches 1992 und aufgrund von Artikel 104 Absatz 2 des Gesetzes vom 28. De</w:t>
      </w:r>
      <w:r w:rsidRPr="00A21F71">
        <w:rPr>
          <w:rFonts w:eastAsia="Calibri"/>
          <w:lang w:eastAsia="de-DE" w:bidi="de-DE"/>
        </w:rPr>
        <w:softHyphen/>
        <w:t>zember 1992 zur Festlegung steuerrechtlicher, finanzieller und sonstiger Bestimmungen im Rahmen der Steuer der natürlichen Personen getrennt besteuert werden, unterliegen dem Berufssteuervorabzug zum Satz von 16,66 Prozent (ohne Ermäßigung) mit der Maßgabe, dass der steuerpflichtige Betrag in Bezug auf Sparguthaben gemäß den Artikeln 34 § 3 und 515</w:t>
      </w:r>
      <w:r w:rsidRPr="00A21F71">
        <w:rPr>
          <w:rFonts w:eastAsia="Calibri"/>
          <w:i/>
          <w:lang w:eastAsia="de-DE" w:bidi="de-DE"/>
        </w:rPr>
        <w:t>bis</w:t>
      </w:r>
      <w:r w:rsidRPr="00A21F71">
        <w:rPr>
          <w:rFonts w:eastAsia="Calibri"/>
          <w:lang w:eastAsia="de-DE" w:bidi="de-DE"/>
        </w:rPr>
        <w:t xml:space="preserve"> Absatz 3 desselben Gesetzbuches festgelegt werden muss.</w:t>
      </w:r>
    </w:p>
    <w:p w14:paraId="20FD435B" w14:textId="77777777" w:rsidR="007A5656" w:rsidRPr="00A21F71" w:rsidRDefault="007A5656" w:rsidP="007A5656">
      <w:pPr>
        <w:jc w:val="both"/>
        <w:rPr>
          <w:rFonts w:eastAsia="Calibri"/>
          <w:lang w:eastAsia="de-DE" w:bidi="de-DE"/>
        </w:rPr>
      </w:pPr>
    </w:p>
    <w:p w14:paraId="2F0DC5BD" w14:textId="77777777" w:rsidR="007A5656" w:rsidRPr="00A21F71" w:rsidRDefault="007A5656" w:rsidP="007A5656">
      <w:pPr>
        <w:jc w:val="both"/>
        <w:rPr>
          <w:rFonts w:eastAsia="Calibri"/>
          <w:lang w:eastAsia="de-DE" w:bidi="de-DE"/>
        </w:rPr>
      </w:pPr>
      <w:r w:rsidRPr="00A21F71">
        <w:rPr>
          <w:rFonts w:eastAsia="Calibri"/>
          <w:lang w:eastAsia="de-DE" w:bidi="de-DE"/>
        </w:rPr>
        <w:tab/>
        <w:t>Vorhergehender Absatz ist ebenfalls anwendbar auf Sparguthaben, Kapitalien und Rückkaufswerte, die in Artikel 9 § 4 des Königlichen Erlasses vom 22. Dezember 1986 zur Einführung einer Alters- und Pensionssparregelung erwähnt sind.</w:t>
      </w:r>
    </w:p>
    <w:p w14:paraId="3E67A8AB" w14:textId="77777777" w:rsidR="007A5656" w:rsidRPr="00A21F71" w:rsidRDefault="007A5656" w:rsidP="007A5656">
      <w:pPr>
        <w:jc w:val="both"/>
        <w:rPr>
          <w:rFonts w:eastAsia="Calibri"/>
          <w:lang w:eastAsia="de-DE" w:bidi="de-DE"/>
        </w:rPr>
      </w:pPr>
    </w:p>
    <w:p w14:paraId="29BE8D20" w14:textId="77777777" w:rsidR="007A5656" w:rsidRPr="00A21F71" w:rsidRDefault="007A5656" w:rsidP="007A5656">
      <w:pPr>
        <w:jc w:val="both"/>
        <w:rPr>
          <w:rFonts w:eastAsia="Calibri"/>
          <w:lang w:eastAsia="de-DE" w:bidi="de-DE"/>
        </w:rPr>
      </w:pPr>
      <w:r w:rsidRPr="00A21F71">
        <w:rPr>
          <w:rFonts w:eastAsia="Calibri"/>
          <w:lang w:eastAsia="de-DE" w:bidi="de-DE"/>
        </w:rPr>
        <w:tab/>
        <w:t>D. Ein Berufssteuervorabzug von 33,31 Prozent (ohne Ermäßigung) wird geschuldet auf:</w:t>
      </w:r>
    </w:p>
    <w:p w14:paraId="0E38D8C6" w14:textId="77777777" w:rsidR="007A5656" w:rsidRPr="00A21F71" w:rsidRDefault="007A5656" w:rsidP="007A5656">
      <w:pPr>
        <w:jc w:val="both"/>
        <w:rPr>
          <w:rFonts w:eastAsia="Calibri"/>
          <w:lang w:eastAsia="de-DE" w:bidi="de-DE"/>
        </w:rPr>
      </w:pPr>
    </w:p>
    <w:p w14:paraId="35E0D6BB" w14:textId="77777777" w:rsidR="007A5656" w:rsidRPr="00A21F71" w:rsidRDefault="007A5656" w:rsidP="007A5656">
      <w:pPr>
        <w:jc w:val="both"/>
        <w:rPr>
          <w:rFonts w:eastAsia="Calibri"/>
          <w:lang w:eastAsia="de-DE" w:bidi="de-DE"/>
        </w:rPr>
      </w:pPr>
      <w:r w:rsidRPr="00A21F71">
        <w:rPr>
          <w:rFonts w:eastAsia="Calibri"/>
          <w:lang w:eastAsia="de-DE" w:bidi="de-DE"/>
        </w:rPr>
        <w:tab/>
        <w:t>1. Sparguthaben von Sparkonten und Kapitalien und Rückkaufswerte von Sparversicherungen, die gemäß Artikel 171 Nr. 1 Buchstabe </w:t>
      </w:r>
      <w:r w:rsidRPr="00A21F71">
        <w:rPr>
          <w:rFonts w:eastAsia="Calibri"/>
          <w:i/>
          <w:lang w:eastAsia="de-DE" w:bidi="de-DE"/>
        </w:rPr>
        <w:t>g)</w:t>
      </w:r>
      <w:r w:rsidRPr="00A21F71">
        <w:rPr>
          <w:rFonts w:eastAsia="Calibri"/>
          <w:lang w:eastAsia="de-DE" w:bidi="de-DE"/>
        </w:rPr>
        <w:t xml:space="preserve"> des Einkommensteuergesetz</w:t>
      </w:r>
      <w:r w:rsidRPr="00A21F71">
        <w:rPr>
          <w:rFonts w:eastAsia="Calibri"/>
          <w:lang w:eastAsia="de-DE" w:bidi="de-DE"/>
        </w:rPr>
        <w:softHyphen/>
        <w:t>buches 1992 im Rahmen der Steuer der natürlichen Personen getrennt besteuert werden, mit der Maßgabe, dass der steuerpflichtige Betrag in Bezug auf Sparguthaben gemäß den Artikeln 34 § 3 und 515</w:t>
      </w:r>
      <w:r w:rsidRPr="00A21F71">
        <w:rPr>
          <w:rFonts w:eastAsia="Calibri"/>
          <w:i/>
          <w:lang w:eastAsia="de-DE" w:bidi="de-DE"/>
        </w:rPr>
        <w:t>bis</w:t>
      </w:r>
      <w:r w:rsidRPr="00A21F71">
        <w:rPr>
          <w:rFonts w:eastAsia="Calibri"/>
          <w:lang w:eastAsia="de-DE" w:bidi="de-DE"/>
        </w:rPr>
        <w:t xml:space="preserve"> Absatz 3 desselben Gesetzbuches festgelegt werden muss,</w:t>
      </w:r>
    </w:p>
    <w:p w14:paraId="0D9AA39F" w14:textId="77777777" w:rsidR="007A5656" w:rsidRPr="00A21F71" w:rsidRDefault="007A5656" w:rsidP="007A5656">
      <w:pPr>
        <w:jc w:val="both"/>
        <w:rPr>
          <w:rFonts w:eastAsia="Calibri"/>
          <w:lang w:eastAsia="de-DE" w:bidi="de-DE"/>
        </w:rPr>
      </w:pPr>
    </w:p>
    <w:p w14:paraId="0083BC85" w14:textId="77777777" w:rsidR="007A5656" w:rsidRPr="00A21F71" w:rsidRDefault="007A5656" w:rsidP="007A5656">
      <w:pPr>
        <w:jc w:val="both"/>
        <w:rPr>
          <w:rFonts w:eastAsia="Calibri"/>
          <w:lang w:eastAsia="de-DE" w:bidi="de-DE"/>
        </w:rPr>
      </w:pPr>
      <w:r w:rsidRPr="00A21F71">
        <w:rPr>
          <w:rFonts w:eastAsia="Calibri"/>
          <w:lang w:eastAsia="de-DE" w:bidi="de-DE"/>
        </w:rPr>
        <w:tab/>
        <w:t>2. Sparguthaben von Sparkonten und Kapitalien und Rückkaufswerte von Sparversicherungen, die nicht in den Punkten B bis D Nr. 1 erwähnt sind. Außerdem muss der steuerpflichtige Betrag in Bezug auf Sparguthaben gemäß Artikel 515</w:t>
      </w:r>
      <w:r w:rsidRPr="00A21F71">
        <w:rPr>
          <w:rFonts w:eastAsia="Calibri"/>
          <w:i/>
          <w:lang w:eastAsia="de-DE" w:bidi="de-DE"/>
        </w:rPr>
        <w:t>bis</w:t>
      </w:r>
      <w:r w:rsidRPr="00A21F71">
        <w:rPr>
          <w:rFonts w:eastAsia="Calibri"/>
          <w:lang w:eastAsia="de-DE" w:bidi="de-DE"/>
        </w:rPr>
        <w:t xml:space="preserve"> Absatz 3 desselben Gesetzbuches festgelegt werden.</w:t>
      </w:r>
    </w:p>
    <w:p w14:paraId="58E3DECE"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38E77049"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Vorhergehender Absatz ist ebenfalls anwendbar auf die in Artikel 34 § 2 Nr. 3 desselben Gesetzbuches erwähnten Übertragungen.</w:t>
      </w:r>
    </w:p>
    <w:p w14:paraId="21CB7198" w14:textId="77777777" w:rsidR="007A5656" w:rsidRPr="00A21F71" w:rsidRDefault="007A5656" w:rsidP="007A5656">
      <w:pPr>
        <w:jc w:val="both"/>
        <w:rPr>
          <w:rFonts w:eastAsia="Calibri"/>
          <w:lang w:eastAsia="de-DE" w:bidi="de-DE"/>
        </w:rPr>
      </w:pPr>
    </w:p>
    <w:p w14:paraId="14D19C3A"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E. In Abweichung von den Punkten B bis D muss kein Berufssteuervorabzug einbehalten werden, sofern und in dem Maße, wie Sparguthaben von Sparkonten und Kapitalien und Rückkaufswerte von Sparversicherungen in Ausführung von Verträgen gewährt wurden, </w:t>
      </w:r>
      <w:r w:rsidRPr="0089320F">
        <w:rPr>
          <w:rFonts w:eastAsia="Calibri"/>
          <w:lang w:eastAsia="de-DE" w:bidi="de-DE"/>
        </w:rPr>
        <w:t>die einer Steuer auf langfristiges Sparen unterlagen wie erwähnt in Buch II Titel VIII des Gesetzbuches der verschiedenen Gebühren und Steuern, die in Artikel 185 § 4 desselben Gesetzbuches erwähnte vorzeitige Einnahme der Steuer ausgenommen, oder wie erwähnt in Artikel 119 des Gesetzes vom 28. Dezember 1992 zur Festlegung steuerrecht</w:t>
      </w:r>
      <w:r>
        <w:rPr>
          <w:rFonts w:eastAsia="Calibri"/>
          <w:lang w:eastAsia="de-DE" w:bidi="de-DE"/>
        </w:rPr>
        <w:softHyphen/>
      </w:r>
      <w:r w:rsidRPr="0089320F">
        <w:rPr>
          <w:rFonts w:eastAsia="Calibri"/>
          <w:lang w:eastAsia="de-DE" w:bidi="de-DE"/>
        </w:rPr>
        <w:t>licher, finanzieller und sonstiger Bestimmungen</w:t>
      </w:r>
      <w:r w:rsidRPr="00A21F71">
        <w:rPr>
          <w:rFonts w:eastAsia="Calibri"/>
          <w:lang w:eastAsia="de-DE" w:bidi="de-DE"/>
        </w:rPr>
        <w:t>.</w:t>
      </w:r>
    </w:p>
    <w:p w14:paraId="486325E7" w14:textId="77777777" w:rsidR="007A5656" w:rsidRPr="00A21F71" w:rsidRDefault="007A5656" w:rsidP="007A5656">
      <w:pPr>
        <w:jc w:val="both"/>
        <w:rPr>
          <w:rFonts w:eastAsia="Calibri"/>
          <w:lang w:eastAsia="de-DE" w:bidi="de-DE"/>
        </w:rPr>
      </w:pPr>
    </w:p>
    <w:p w14:paraId="1EB1D7AD" w14:textId="77777777" w:rsidR="007A5656" w:rsidRPr="00A21F71" w:rsidRDefault="007A5656" w:rsidP="007A5656">
      <w:pPr>
        <w:jc w:val="both"/>
        <w:rPr>
          <w:rFonts w:eastAsia="Calibri"/>
          <w:lang w:eastAsia="de-DE" w:bidi="de-DE"/>
        </w:rPr>
      </w:pPr>
    </w:p>
    <w:p w14:paraId="27ABC9A3" w14:textId="77777777" w:rsidR="007A5656" w:rsidRPr="00A21F71" w:rsidRDefault="007A5656" w:rsidP="007A5656">
      <w:pPr>
        <w:jc w:val="center"/>
        <w:rPr>
          <w:rFonts w:eastAsia="Calibri"/>
          <w:i/>
          <w:lang w:eastAsia="de-DE" w:bidi="de-DE"/>
        </w:rPr>
      </w:pPr>
      <w:r w:rsidRPr="00A21F71">
        <w:rPr>
          <w:rFonts w:eastAsia="Calibri"/>
          <w:lang w:eastAsia="de-DE" w:bidi="de-DE"/>
        </w:rPr>
        <w:t xml:space="preserve">5. KAPITEL 5 - </w:t>
      </w:r>
      <w:r w:rsidRPr="00A21F71">
        <w:rPr>
          <w:rFonts w:eastAsia="Calibri"/>
          <w:i/>
          <w:lang w:eastAsia="de-DE" w:bidi="de-DE"/>
        </w:rPr>
        <w:t>Einkünfte von Gebietsfremden, die nicht in Nr. 2.1 Punkt B und 3.1 Punkt B erwähnt sind</w:t>
      </w:r>
    </w:p>
    <w:p w14:paraId="04633820" w14:textId="77777777" w:rsidR="007A5656" w:rsidRPr="00A21F71" w:rsidRDefault="007A5656" w:rsidP="007A5656">
      <w:pPr>
        <w:jc w:val="both"/>
        <w:rPr>
          <w:rFonts w:eastAsia="Calibri"/>
          <w:lang w:eastAsia="de-DE" w:bidi="de-DE"/>
        </w:rPr>
      </w:pPr>
    </w:p>
    <w:p w14:paraId="6D6CE928" w14:textId="77777777" w:rsidR="007A5656" w:rsidRPr="00A21F71" w:rsidRDefault="007A5656" w:rsidP="007A5656">
      <w:pPr>
        <w:jc w:val="both"/>
        <w:rPr>
          <w:rFonts w:eastAsia="Calibri"/>
          <w:lang w:eastAsia="de-DE" w:bidi="de-DE"/>
        </w:rPr>
      </w:pPr>
    </w:p>
    <w:p w14:paraId="063992F4" w14:textId="77777777" w:rsidR="007A5656" w:rsidRPr="00A21F71" w:rsidRDefault="007A5656" w:rsidP="007A5656">
      <w:pPr>
        <w:jc w:val="center"/>
        <w:rPr>
          <w:rFonts w:eastAsia="Calibri"/>
          <w:lang w:eastAsia="de-DE" w:bidi="de-DE"/>
        </w:rPr>
      </w:pPr>
      <w:r w:rsidRPr="00A21F71">
        <w:rPr>
          <w:rFonts w:eastAsia="Calibri"/>
          <w:i/>
          <w:lang w:eastAsia="de-DE" w:bidi="de-DE"/>
        </w:rPr>
        <w:t>Abschnitt 1</w:t>
      </w:r>
      <w:r w:rsidRPr="00A21F71">
        <w:rPr>
          <w:rFonts w:eastAsia="Calibri"/>
          <w:lang w:eastAsia="de-DE" w:bidi="de-DE"/>
        </w:rPr>
        <w:t> - Entlohnungen von Arbeitnehmern und damit gleichgesetzte Einkünfte</w:t>
      </w:r>
    </w:p>
    <w:p w14:paraId="69C75203" w14:textId="77777777" w:rsidR="007A5656" w:rsidRPr="00A21F71" w:rsidRDefault="007A5656" w:rsidP="007A5656">
      <w:pPr>
        <w:jc w:val="both"/>
        <w:rPr>
          <w:rFonts w:eastAsia="Calibri"/>
          <w:lang w:eastAsia="de-DE" w:bidi="de-DE"/>
        </w:rPr>
      </w:pPr>
    </w:p>
    <w:p w14:paraId="1EA21FD9" w14:textId="77777777" w:rsidR="007A5656" w:rsidRPr="00A21F71" w:rsidRDefault="007A5656" w:rsidP="007A5656">
      <w:pPr>
        <w:jc w:val="both"/>
        <w:rPr>
          <w:rFonts w:eastAsia="Calibri"/>
          <w:lang w:eastAsia="de-DE" w:bidi="de-DE"/>
        </w:rPr>
      </w:pPr>
    </w:p>
    <w:p w14:paraId="4CAC8ABE" w14:textId="77777777" w:rsidR="007A5656" w:rsidRPr="00A21F71" w:rsidRDefault="007A5656" w:rsidP="007A5656">
      <w:pPr>
        <w:jc w:val="both"/>
        <w:rPr>
          <w:rFonts w:eastAsia="Calibri"/>
          <w:lang w:eastAsia="de-DE" w:bidi="de-DE"/>
        </w:rPr>
      </w:pPr>
      <w:r w:rsidRPr="00A21F71">
        <w:rPr>
          <w:rFonts w:eastAsia="Calibri"/>
          <w:lang w:eastAsia="de-DE" w:bidi="de-DE"/>
        </w:rPr>
        <w:tab/>
        <w:t>5.1 In Abweichung von den Nummern 2.2 bis 2.11 und 2.19 wird der Berufssteuervorabzug auf Entlohnungen von Arbeitnehmern, die Gebietsfremden gezahlt oder zuerkannt werden, die nicht in Nr. 2.1 Punkt B erwähnt sind, gemäß folgenden Regeln festgelegt.</w:t>
      </w:r>
    </w:p>
    <w:p w14:paraId="12537CBC" w14:textId="77777777" w:rsidR="007A5656" w:rsidRPr="00A21F71" w:rsidRDefault="007A5656" w:rsidP="007A5656">
      <w:pPr>
        <w:jc w:val="both"/>
        <w:rPr>
          <w:rFonts w:eastAsia="Calibri"/>
          <w:lang w:eastAsia="de-DE" w:bidi="de-DE"/>
        </w:rPr>
      </w:pPr>
    </w:p>
    <w:p w14:paraId="27E4E661" w14:textId="77777777" w:rsidR="007A5656" w:rsidRPr="00A21F71" w:rsidRDefault="007A5656" w:rsidP="007A5656">
      <w:pPr>
        <w:jc w:val="both"/>
        <w:rPr>
          <w:rFonts w:eastAsia="Calibri"/>
          <w:lang w:eastAsia="de-DE" w:bidi="de-DE"/>
        </w:rPr>
      </w:pPr>
    </w:p>
    <w:p w14:paraId="1366E5EB" w14:textId="77777777" w:rsidR="007A5656" w:rsidRPr="00A21F71" w:rsidRDefault="007A5656" w:rsidP="007A5656">
      <w:pPr>
        <w:jc w:val="center"/>
        <w:rPr>
          <w:rFonts w:eastAsia="Calibri"/>
          <w:lang w:eastAsia="de-DE" w:bidi="de-DE"/>
        </w:rPr>
      </w:pPr>
      <w:r w:rsidRPr="00A21F71">
        <w:rPr>
          <w:rFonts w:eastAsia="Calibri"/>
          <w:lang w:eastAsia="de-DE" w:bidi="de-DE"/>
        </w:rPr>
        <w:t>Unterabschnitt 1 - Monatliche Bruttoentlohnungen bis zu 7.500 EUR</w:t>
      </w:r>
    </w:p>
    <w:p w14:paraId="6D8F1134" w14:textId="77777777" w:rsidR="007A5656" w:rsidRPr="00A21F71" w:rsidRDefault="007A5656" w:rsidP="007A5656">
      <w:pPr>
        <w:jc w:val="both"/>
        <w:rPr>
          <w:rFonts w:eastAsia="Calibri"/>
          <w:lang w:eastAsia="de-DE" w:bidi="de-DE"/>
        </w:rPr>
      </w:pPr>
    </w:p>
    <w:p w14:paraId="2493F7DF" w14:textId="77777777" w:rsidR="007A5656" w:rsidRPr="00A21F71" w:rsidRDefault="007A5656" w:rsidP="007A5656">
      <w:pPr>
        <w:jc w:val="both"/>
        <w:rPr>
          <w:rFonts w:eastAsia="Calibri"/>
          <w:lang w:eastAsia="de-DE" w:bidi="de-DE"/>
        </w:rPr>
      </w:pPr>
    </w:p>
    <w:p w14:paraId="5B98E2C7" w14:textId="77777777" w:rsidR="007A5656" w:rsidRPr="00A21F71" w:rsidRDefault="007A5656" w:rsidP="007A5656">
      <w:pPr>
        <w:jc w:val="both"/>
        <w:rPr>
          <w:rFonts w:eastAsia="Calibri"/>
          <w:lang w:eastAsia="de-DE" w:bidi="de-DE"/>
        </w:rPr>
      </w:pPr>
      <w:r w:rsidRPr="00A21F71">
        <w:rPr>
          <w:rFonts w:eastAsia="Calibri"/>
          <w:lang w:eastAsia="de-DE" w:bidi="de-DE"/>
        </w:rPr>
        <w:tab/>
        <w:t>5.2 Beträgt die monatliche Bruttoentlohnung nicht mehr als 7.500 EUR, wird der Berufssteuervorabzug gemäß Tabelle III festgelegt.</w:t>
      </w:r>
    </w:p>
    <w:p w14:paraId="1340D20C" w14:textId="77777777" w:rsidR="007A5656" w:rsidRPr="00A21F71" w:rsidRDefault="007A5656" w:rsidP="007A5656">
      <w:pPr>
        <w:jc w:val="both"/>
        <w:rPr>
          <w:rFonts w:eastAsia="Calibri"/>
          <w:lang w:eastAsia="de-DE" w:bidi="de-DE"/>
        </w:rPr>
      </w:pPr>
    </w:p>
    <w:p w14:paraId="38C6E376" w14:textId="77777777" w:rsidR="007A5656" w:rsidRPr="00A21F71" w:rsidRDefault="007A5656" w:rsidP="007A5656">
      <w:pPr>
        <w:jc w:val="both"/>
        <w:rPr>
          <w:rFonts w:eastAsia="Calibri"/>
          <w:lang w:eastAsia="de-DE" w:bidi="de-DE"/>
        </w:rPr>
      </w:pPr>
      <w:r w:rsidRPr="00A21F71">
        <w:rPr>
          <w:rFonts w:eastAsia="Calibri"/>
          <w:lang w:eastAsia="de-DE" w:bidi="de-DE"/>
        </w:rPr>
        <w:tab/>
        <w:t>5.3 Von dem gemäß dieser Tabelle festgelegten Berufssteuervorabzug werden dann folgende Ermäßigungen abgezogen:</w:t>
      </w:r>
    </w:p>
    <w:p w14:paraId="4110FC2F" w14:textId="77777777" w:rsidR="007A5656" w:rsidRPr="00A21F71" w:rsidRDefault="007A5656" w:rsidP="007A5656">
      <w:pPr>
        <w:jc w:val="both"/>
        <w:rPr>
          <w:rFonts w:eastAsia="Calibri"/>
          <w:lang w:eastAsia="de-DE" w:bidi="de-DE"/>
        </w:rPr>
      </w:pPr>
    </w:p>
    <w:p w14:paraId="43A77A81" w14:textId="77777777" w:rsidR="007A5656" w:rsidRPr="00A21F71" w:rsidRDefault="007A5656" w:rsidP="007A5656">
      <w:pPr>
        <w:jc w:val="both"/>
        <w:rPr>
          <w:rFonts w:eastAsia="Calibri"/>
          <w:lang w:eastAsia="de-DE" w:bidi="de-DE"/>
        </w:rPr>
      </w:pPr>
      <w:r w:rsidRPr="00A21F71">
        <w:rPr>
          <w:rFonts w:eastAsia="Calibri"/>
          <w:lang w:eastAsia="de-DE" w:bidi="de-DE"/>
        </w:rPr>
        <w:tab/>
        <w:t>a) Ermäßigung für Gruppenversicherung und für außergesetzliche Alters- und Todesfallversicherung</w:t>
      </w:r>
    </w:p>
    <w:p w14:paraId="0B138221" w14:textId="77777777" w:rsidR="007A5656" w:rsidRPr="00A21F71" w:rsidRDefault="007A5656" w:rsidP="007A5656">
      <w:pPr>
        <w:jc w:val="both"/>
        <w:rPr>
          <w:rFonts w:eastAsia="Calibri"/>
          <w:lang w:eastAsia="de-DE" w:bidi="de-DE"/>
        </w:rPr>
      </w:pPr>
    </w:p>
    <w:p w14:paraId="0673E89C" w14:textId="77777777" w:rsidR="007A5656" w:rsidRPr="00A21F71" w:rsidRDefault="007A5656" w:rsidP="007A5656">
      <w:pPr>
        <w:jc w:val="both"/>
        <w:rPr>
          <w:rFonts w:eastAsia="Calibri"/>
          <w:lang w:eastAsia="de-DE" w:bidi="de-DE"/>
        </w:rPr>
      </w:pPr>
      <w:r w:rsidRPr="00A21F71">
        <w:rPr>
          <w:rFonts w:eastAsia="Calibri"/>
          <w:lang w:eastAsia="de-DE" w:bidi="de-DE"/>
        </w:rPr>
        <w:tab/>
        <w:t>Der Berufssteuervorabzug wird verringert im Verhältnis zu 30 Prozent:</w:t>
      </w:r>
    </w:p>
    <w:p w14:paraId="27AF5A20" w14:textId="77777777" w:rsidR="007A5656" w:rsidRPr="00A21F71" w:rsidRDefault="007A5656" w:rsidP="007A5656">
      <w:pPr>
        <w:jc w:val="both"/>
        <w:rPr>
          <w:rFonts w:eastAsia="Calibri"/>
          <w:lang w:eastAsia="de-DE" w:bidi="de-DE"/>
        </w:rPr>
      </w:pPr>
    </w:p>
    <w:p w14:paraId="0D2152F9" w14:textId="77777777" w:rsidR="007A5656" w:rsidRPr="00A21F71" w:rsidRDefault="007A5656" w:rsidP="007A5656">
      <w:pPr>
        <w:jc w:val="both"/>
        <w:rPr>
          <w:rFonts w:eastAsia="Calibri"/>
          <w:lang w:eastAsia="de-DE" w:bidi="de-DE"/>
        </w:rPr>
      </w:pPr>
      <w:r w:rsidRPr="00A21F71">
        <w:rPr>
          <w:rFonts w:eastAsia="Calibri"/>
          <w:lang w:eastAsia="de-DE" w:bidi="de-DE"/>
        </w:rPr>
        <w:tab/>
        <w:t>- der in Ausführung eines Gruppenversicherungsvertrags vorgeschriebenen Einbehaltungen,</w:t>
      </w:r>
    </w:p>
    <w:p w14:paraId="5278C9A9" w14:textId="77777777" w:rsidR="007A5656" w:rsidRPr="00A21F71" w:rsidRDefault="007A5656" w:rsidP="007A5656">
      <w:pPr>
        <w:jc w:val="both"/>
        <w:rPr>
          <w:rFonts w:eastAsia="Calibri"/>
          <w:lang w:eastAsia="de-DE" w:bidi="de-DE"/>
        </w:rPr>
      </w:pPr>
    </w:p>
    <w:p w14:paraId="7EDD42DD" w14:textId="77777777" w:rsidR="007A5656" w:rsidRPr="00A21F71" w:rsidRDefault="007A5656" w:rsidP="007A5656">
      <w:pPr>
        <w:jc w:val="both"/>
        <w:rPr>
          <w:rFonts w:eastAsia="Calibri"/>
          <w:lang w:eastAsia="de-DE" w:bidi="de-DE"/>
        </w:rPr>
      </w:pPr>
      <w:r w:rsidRPr="00A21F71">
        <w:rPr>
          <w:rFonts w:eastAsia="Calibri"/>
          <w:lang w:eastAsia="de-DE" w:bidi="de-DE"/>
        </w:rPr>
        <w:tab/>
        <w:t>- der in Ausführung einer außergesetzlichen Vorsorgeregelung in Bezug auf eine Alters- und Todesfallversicherung vorgeschriebenen Einbehaltungen,</w:t>
      </w:r>
    </w:p>
    <w:p w14:paraId="095B1CC3" w14:textId="77777777" w:rsidR="007A5656" w:rsidRPr="00A21F71" w:rsidRDefault="007A5656" w:rsidP="007A5656">
      <w:pPr>
        <w:jc w:val="both"/>
        <w:rPr>
          <w:rFonts w:eastAsia="Calibri"/>
          <w:lang w:eastAsia="de-DE" w:bidi="de-DE"/>
        </w:rPr>
      </w:pPr>
    </w:p>
    <w:p w14:paraId="076B1DB7" w14:textId="77777777" w:rsidR="007A5656" w:rsidRPr="00A21F71" w:rsidRDefault="007A5656" w:rsidP="007A5656">
      <w:pPr>
        <w:jc w:val="both"/>
        <w:rPr>
          <w:rFonts w:eastAsia="Calibri"/>
          <w:lang w:eastAsia="de-DE" w:bidi="de-DE"/>
        </w:rPr>
      </w:pPr>
      <w:r w:rsidRPr="00A21F71">
        <w:rPr>
          <w:rFonts w:eastAsia="Calibri"/>
          <w:lang w:eastAsia="de-DE" w:bidi="de-DE"/>
        </w:rPr>
        <w:tab/>
        <w:t>- der Einbehaltungen, die sich auf die individuelle Weiterführung einer in Artikel 145</w:t>
      </w:r>
      <w:r w:rsidRPr="00A21F71">
        <w:rPr>
          <w:rFonts w:eastAsia="Calibri"/>
          <w:vertAlign w:val="superscript"/>
          <w:lang w:eastAsia="de-DE" w:bidi="de-DE"/>
        </w:rPr>
        <w:t>3</w:t>
      </w:r>
      <w:r w:rsidRPr="00A21F71">
        <w:rPr>
          <w:rFonts w:eastAsia="Calibri"/>
          <w:lang w:eastAsia="de-DE" w:bidi="de-DE"/>
        </w:rPr>
        <w:t xml:space="preserve"> Absatz 3 des Einkommensteuergesetzbuches 1992 erwähnten Pensionsvereinbarung beziehen.</w:t>
      </w:r>
    </w:p>
    <w:p w14:paraId="335FA3CA" w14:textId="77777777" w:rsidR="007A5656" w:rsidRPr="00A21F71" w:rsidRDefault="007A5656" w:rsidP="007A5656">
      <w:pPr>
        <w:jc w:val="both"/>
        <w:rPr>
          <w:rFonts w:eastAsia="Calibri"/>
          <w:lang w:eastAsia="de-DE" w:bidi="de-DE"/>
        </w:rPr>
      </w:pPr>
      <w:r w:rsidRPr="00A21F71">
        <w:rPr>
          <w:rFonts w:eastAsia="Calibri"/>
          <w:lang w:eastAsia="de-DE" w:bidi="de-DE"/>
        </w:rPr>
        <w:br w:type="page"/>
      </w:r>
      <w:r w:rsidRPr="00A21F71">
        <w:rPr>
          <w:rFonts w:eastAsia="Calibri"/>
          <w:lang w:eastAsia="de-DE" w:bidi="de-DE"/>
        </w:rPr>
        <w:lastRenderedPageBreak/>
        <w:tab/>
        <w:t>b) Ermäßigung für Entlohnungen aufgrund geleisteter Überarbeit, die zu einer Lohnzulage berechtigt</w:t>
      </w:r>
    </w:p>
    <w:p w14:paraId="771B3999" w14:textId="77777777" w:rsidR="007A5656" w:rsidRPr="00A21F71" w:rsidRDefault="007A5656" w:rsidP="007A5656">
      <w:pPr>
        <w:jc w:val="both"/>
        <w:rPr>
          <w:rFonts w:eastAsia="Calibri"/>
          <w:lang w:eastAsia="de-DE" w:bidi="de-DE"/>
        </w:rPr>
      </w:pPr>
    </w:p>
    <w:p w14:paraId="6A7D8BC7" w14:textId="77777777" w:rsidR="007A5656" w:rsidRPr="00A21F71" w:rsidRDefault="007A5656" w:rsidP="007A5656">
      <w:pPr>
        <w:jc w:val="both"/>
        <w:rPr>
          <w:rFonts w:eastAsia="Calibri"/>
          <w:lang w:eastAsia="de-DE" w:bidi="de-DE"/>
        </w:rPr>
      </w:pPr>
      <w:r w:rsidRPr="00A21F71">
        <w:rPr>
          <w:rFonts w:eastAsia="Calibri"/>
          <w:lang w:eastAsia="de-DE" w:bidi="de-DE"/>
        </w:rPr>
        <w:tab/>
        <w:t>Eine Ermäßigung wird Arbeitnehmern gewährt, die im Besteuerungszeitraum Überarbeit geleistet haben, die aufgrund von Artikel 29 des Gesetzes vom 16. März 1971 über die Arbeit oder von Artikel 7 des Königlichen Erlasses Nr. 213 vom 26. September 1983 über die Arbeitszeit in den Unternehmen, die der Paritätischen Kommission für das Bauwesen unterstehen, zu einer Lohnzulage berechtigt, und die:</w:t>
      </w:r>
    </w:p>
    <w:p w14:paraId="6D685264" w14:textId="77777777" w:rsidR="007A5656" w:rsidRPr="00A21F71" w:rsidRDefault="007A5656" w:rsidP="007A5656">
      <w:pPr>
        <w:jc w:val="both"/>
        <w:rPr>
          <w:rFonts w:eastAsia="Calibri"/>
          <w:lang w:eastAsia="de-DE" w:bidi="de-DE"/>
        </w:rPr>
      </w:pPr>
    </w:p>
    <w:p w14:paraId="562DC541" w14:textId="77777777" w:rsidR="007A5656" w:rsidRPr="00A21F71" w:rsidRDefault="007A5656" w:rsidP="007A5656">
      <w:pPr>
        <w:jc w:val="both"/>
        <w:rPr>
          <w:rFonts w:eastAsia="Calibri"/>
          <w:lang w:eastAsia="de-DE" w:bidi="de-DE"/>
        </w:rPr>
      </w:pPr>
      <w:r w:rsidRPr="00A21F71">
        <w:rPr>
          <w:rFonts w:eastAsia="Calibri"/>
          <w:lang w:eastAsia="de-DE" w:bidi="de-DE"/>
        </w:rPr>
        <w:tab/>
        <w:t>1. entweder dem Gesetz vom 16. März 1971 über die Arbeit unterliegen und von einem Arbeitgeber beschäftigt werden, der dem Gesetz vom 5. Dezember 1968 über die kollektiven Arbeitsabkommen und die paritätischen Kommissionen unterliegt,</w:t>
      </w:r>
    </w:p>
    <w:p w14:paraId="34F5436D" w14:textId="77777777" w:rsidR="007A5656" w:rsidRPr="00A21F71" w:rsidRDefault="007A5656" w:rsidP="007A5656">
      <w:pPr>
        <w:jc w:val="both"/>
        <w:rPr>
          <w:rFonts w:eastAsia="Calibri"/>
          <w:lang w:eastAsia="de-DE" w:bidi="de-DE"/>
        </w:rPr>
      </w:pPr>
    </w:p>
    <w:p w14:paraId="40288D41" w14:textId="77777777" w:rsidR="007A5656" w:rsidRPr="00A21F71" w:rsidRDefault="007A5656" w:rsidP="007A5656">
      <w:pPr>
        <w:jc w:val="both"/>
        <w:rPr>
          <w:rFonts w:eastAsia="Calibri"/>
          <w:lang w:eastAsia="de-DE" w:bidi="de-DE"/>
        </w:rPr>
      </w:pPr>
      <w:r w:rsidRPr="00A21F71">
        <w:rPr>
          <w:rFonts w:eastAsia="Calibri"/>
          <w:lang w:eastAsia="de-DE" w:bidi="de-DE"/>
        </w:rPr>
        <w:tab/>
        <w:t>2. oder als vertraglich oder statutarisch angestellte Arbeitnehmer von einem der folgenden autonomen öffentlichen Unternehmen beschäftigt werden: der öffentlich-rechtli</w:t>
      </w:r>
      <w:r>
        <w:rPr>
          <w:rFonts w:eastAsia="Calibri"/>
          <w:lang w:eastAsia="de-DE" w:bidi="de-DE"/>
        </w:rPr>
        <w:t>chen Aktiengesellschaft Proximus</w:t>
      </w:r>
      <w:r w:rsidRPr="00A21F71">
        <w:rPr>
          <w:rFonts w:eastAsia="Calibri"/>
          <w:lang w:eastAsia="de-DE" w:bidi="de-DE"/>
        </w:rPr>
        <w:t>, der öffentlich-rechtlichen Aktiengesellschaft bpost, der öffentlich-rechtlichen Aktiengesellschaft NGBE und der öffentlich-rechtlichen Aktien</w:t>
      </w:r>
      <w:r w:rsidRPr="00A21F71">
        <w:rPr>
          <w:rFonts w:eastAsia="Calibri"/>
          <w:lang w:eastAsia="de-DE" w:bidi="de-DE"/>
        </w:rPr>
        <w:softHyphen/>
        <w:t>gesellschaft Infrabel,</w:t>
      </w:r>
    </w:p>
    <w:p w14:paraId="6EBFDC97" w14:textId="77777777" w:rsidR="007A5656" w:rsidRPr="00A21F71" w:rsidRDefault="007A5656" w:rsidP="007A5656">
      <w:pPr>
        <w:jc w:val="both"/>
        <w:rPr>
          <w:rFonts w:eastAsia="Calibri"/>
          <w:lang w:eastAsia="de-DE" w:bidi="de-DE"/>
        </w:rPr>
      </w:pPr>
    </w:p>
    <w:p w14:paraId="517E6EDC" w14:textId="77777777" w:rsidR="007A5656" w:rsidRPr="00A21F71" w:rsidRDefault="007A5656" w:rsidP="007A5656">
      <w:pPr>
        <w:jc w:val="both"/>
        <w:rPr>
          <w:rFonts w:eastAsia="Calibri"/>
          <w:lang w:eastAsia="de-DE" w:bidi="de-DE"/>
        </w:rPr>
      </w:pPr>
      <w:r w:rsidRPr="00A21F71">
        <w:rPr>
          <w:rFonts w:eastAsia="Calibri"/>
          <w:lang w:eastAsia="de-DE" w:bidi="de-DE"/>
        </w:rPr>
        <w:tab/>
        <w:t>3. oder als vertraglich oder statutarisch angestellte Arbeitnehmer von der öffentlich-rechtlichen Aktiengesellschaft HR Rail beschäftigt werden.</w:t>
      </w:r>
    </w:p>
    <w:p w14:paraId="7A6FDE3C" w14:textId="77777777" w:rsidR="007A5656" w:rsidRPr="00A21F71" w:rsidRDefault="007A5656" w:rsidP="007A5656">
      <w:pPr>
        <w:jc w:val="both"/>
        <w:rPr>
          <w:rFonts w:eastAsia="Calibri"/>
          <w:lang w:eastAsia="de-DE" w:bidi="de-DE"/>
        </w:rPr>
      </w:pPr>
    </w:p>
    <w:p w14:paraId="30ADAEB7" w14:textId="77777777" w:rsidR="007A5656" w:rsidRPr="00A21F71" w:rsidRDefault="007A5656" w:rsidP="007A5656">
      <w:pPr>
        <w:jc w:val="both"/>
        <w:rPr>
          <w:rFonts w:eastAsia="Calibri"/>
          <w:lang w:eastAsia="de-DE" w:bidi="de-DE"/>
        </w:rPr>
      </w:pPr>
      <w:r w:rsidRPr="00A21F71">
        <w:rPr>
          <w:rFonts w:eastAsia="Calibri"/>
          <w:lang w:eastAsia="de-DE" w:bidi="de-DE"/>
        </w:rPr>
        <w:tab/>
        <w:t>Diese Ermäßigung wird nur auf die Berechnungsgrundlage für die Lohnzulage in Bezug auf die ersten hundertdreißig Stunden pro Jahr angewandt, die der Arbeitnehmer als Überarbeit geleistet hat.</w:t>
      </w:r>
    </w:p>
    <w:p w14:paraId="12147355" w14:textId="77777777" w:rsidR="007A5656" w:rsidRPr="00A21F71" w:rsidRDefault="007A5656" w:rsidP="007A5656">
      <w:pPr>
        <w:jc w:val="both"/>
        <w:rPr>
          <w:rFonts w:eastAsia="Calibri"/>
          <w:lang w:eastAsia="de-DE" w:bidi="de-DE"/>
        </w:rPr>
      </w:pPr>
    </w:p>
    <w:p w14:paraId="359936FB" w14:textId="77777777" w:rsidR="007A5656" w:rsidRPr="00A21F71" w:rsidRDefault="007A5656" w:rsidP="007A5656">
      <w:pPr>
        <w:jc w:val="both"/>
        <w:rPr>
          <w:rFonts w:eastAsia="Calibri"/>
          <w:lang w:eastAsia="de-DE" w:bidi="de-DE"/>
        </w:rPr>
      </w:pPr>
      <w:r w:rsidRPr="00A21F71">
        <w:rPr>
          <w:rFonts w:eastAsia="Calibri"/>
          <w:lang w:eastAsia="de-DE" w:bidi="de-DE"/>
        </w:rPr>
        <w:tab/>
        <w:t>Die in Absatz 2 bestimmte Höchstanzahl von hundertdreißig Stunden Überarbeit wird auf hun</w:t>
      </w:r>
      <w:r>
        <w:rPr>
          <w:rFonts w:eastAsia="Calibri"/>
          <w:lang w:eastAsia="de-DE" w:bidi="de-DE"/>
        </w:rPr>
        <w:t xml:space="preserve">dertachtzig Stunden erhöht für </w:t>
      </w:r>
      <w:r w:rsidRPr="00A21F71">
        <w:rPr>
          <w:rFonts w:eastAsia="Calibri"/>
          <w:lang w:eastAsia="de-DE" w:bidi="de-DE"/>
        </w:rPr>
        <w:t>Arbeitnehmer, die von Arbeitgebern beschäftigt werden, die Immobilienarbeiten ausführen, unter der Bedingung, dass diese Arbeitgeber ein elektronisches System zur Registrierung der Anwesenheiten benutzen, das in Kapitel 5 Abschnitt 4 des Gesetzes vom 4. August 1996 über das Wohlbefinden der Arbeitnehmer bei der Ausführung ihrer Arbeit erwähnt ist.</w:t>
      </w:r>
    </w:p>
    <w:p w14:paraId="51DF1060" w14:textId="77777777" w:rsidR="007A5656" w:rsidRDefault="007A5656" w:rsidP="007A5656">
      <w:pPr>
        <w:jc w:val="both"/>
        <w:rPr>
          <w:rFonts w:eastAsia="Calibri"/>
          <w:lang w:eastAsia="de-DE" w:bidi="de-DE"/>
        </w:rPr>
      </w:pPr>
    </w:p>
    <w:p w14:paraId="758420DE" w14:textId="77777777" w:rsidR="007A5656" w:rsidRPr="003F029F" w:rsidRDefault="007A5656" w:rsidP="007A5656">
      <w:pPr>
        <w:jc w:val="both"/>
        <w:rPr>
          <w:rFonts w:eastAsia="Calibri"/>
          <w:lang w:eastAsia="de-DE" w:bidi="de-DE"/>
        </w:rPr>
      </w:pPr>
      <w:r>
        <w:rPr>
          <w:rFonts w:eastAsia="Calibri"/>
          <w:lang w:eastAsia="de-DE" w:bidi="de-DE"/>
        </w:rPr>
        <w:tab/>
      </w:r>
      <w:r w:rsidRPr="003F029F">
        <w:rPr>
          <w:rFonts w:eastAsia="Calibri"/>
          <w:lang w:eastAsia="de-DE" w:bidi="de-DE"/>
        </w:rPr>
        <w:t>Die in Absatz 2 bestimmte Höchstanzahl von hundertdreißig Stunden Überarbeit wird auf dreihundertsechzig Stunden erhöht für Arbeitnehmer, die von Arbeitgebern beschäftigt werden, die der Paritätischen Kommission für das Hotelgewerbe oder der Paritätischen Kommission für Leiharbeit unterstehen, sofern der Entleiher der Paritätischen Kommission für das Hotelgewerbe untersteht.</w:t>
      </w:r>
    </w:p>
    <w:p w14:paraId="68EDD75D" w14:textId="77777777" w:rsidR="007A5656" w:rsidRPr="003F029F" w:rsidRDefault="007A5656" w:rsidP="007A5656">
      <w:pPr>
        <w:jc w:val="both"/>
        <w:rPr>
          <w:rFonts w:eastAsia="Calibri"/>
          <w:lang w:eastAsia="de-DE" w:bidi="de-DE"/>
        </w:rPr>
      </w:pPr>
    </w:p>
    <w:p w14:paraId="076BE839" w14:textId="77777777" w:rsidR="007A5656" w:rsidRDefault="007A5656" w:rsidP="007A5656">
      <w:pPr>
        <w:jc w:val="both"/>
        <w:rPr>
          <w:rFonts w:eastAsia="Calibri"/>
          <w:lang w:eastAsia="de-DE" w:bidi="de-DE"/>
        </w:rPr>
      </w:pPr>
      <w:r w:rsidRPr="003F029F">
        <w:rPr>
          <w:rFonts w:eastAsia="Calibri"/>
          <w:lang w:eastAsia="de-DE" w:bidi="de-DE"/>
        </w:rPr>
        <w:tab/>
        <w:t>Die Steuerermäßigung ist nicht auf Überarbeit anwendbar, di</w:t>
      </w:r>
      <w:r>
        <w:rPr>
          <w:rFonts w:eastAsia="Calibri"/>
          <w:lang w:eastAsia="de-DE" w:bidi="de-DE"/>
        </w:rPr>
        <w:t>e für die Anwendung von Artikel 38 § 1 Absatz 1 Nr. 30</w:t>
      </w:r>
      <w:r w:rsidRPr="003F029F">
        <w:rPr>
          <w:rFonts w:eastAsia="Calibri"/>
          <w:lang w:eastAsia="de-DE" w:bidi="de-DE"/>
        </w:rPr>
        <w:t xml:space="preserve"> </w:t>
      </w:r>
      <w:r w:rsidRPr="009670B4">
        <w:rPr>
          <w:rFonts w:eastAsia="Calibri"/>
          <w:lang w:eastAsia="de-DE" w:bidi="de-DE"/>
        </w:rPr>
        <w:t xml:space="preserve">des Einkommensteuergesetzbuches 1992 </w:t>
      </w:r>
      <w:r w:rsidRPr="003F029F">
        <w:rPr>
          <w:rFonts w:eastAsia="Calibri"/>
          <w:lang w:eastAsia="de-DE" w:bidi="de-DE"/>
        </w:rPr>
        <w:t>in Betracht kommt.</w:t>
      </w:r>
    </w:p>
    <w:p w14:paraId="51B89997" w14:textId="77777777" w:rsidR="007A5656" w:rsidRPr="00A21F71" w:rsidRDefault="007A5656" w:rsidP="007A5656">
      <w:pPr>
        <w:jc w:val="both"/>
        <w:rPr>
          <w:rFonts w:eastAsia="Calibri"/>
          <w:lang w:eastAsia="de-DE" w:bidi="de-DE"/>
        </w:rPr>
      </w:pPr>
    </w:p>
    <w:p w14:paraId="31E90940" w14:textId="77777777" w:rsidR="007A5656" w:rsidRPr="00A21F71" w:rsidRDefault="007A5656" w:rsidP="007A5656">
      <w:pPr>
        <w:jc w:val="both"/>
        <w:rPr>
          <w:rFonts w:eastAsia="Calibri"/>
          <w:lang w:eastAsia="de-DE" w:bidi="de-DE"/>
        </w:rPr>
      </w:pPr>
      <w:r w:rsidRPr="00A21F71">
        <w:rPr>
          <w:rFonts w:eastAsia="Calibri"/>
          <w:lang w:eastAsia="de-DE" w:bidi="de-DE"/>
        </w:rPr>
        <w:tab/>
        <w:t>Die Ermäßigung wird nach der in Buchstabe a) erwähnten Ermäßigung angewandt und beträgt:</w:t>
      </w:r>
    </w:p>
    <w:p w14:paraId="5414BC75" w14:textId="77777777" w:rsidR="007A5656" w:rsidRPr="00A21F71" w:rsidRDefault="007A5656" w:rsidP="007A5656">
      <w:pPr>
        <w:jc w:val="both"/>
        <w:rPr>
          <w:rFonts w:eastAsia="Calibri"/>
          <w:lang w:eastAsia="de-DE" w:bidi="de-DE"/>
        </w:rPr>
      </w:pPr>
    </w:p>
    <w:p w14:paraId="3A8EB709" w14:textId="77777777" w:rsidR="007A5656" w:rsidRPr="00A21F71" w:rsidRDefault="007A5656" w:rsidP="007A5656">
      <w:pPr>
        <w:jc w:val="both"/>
        <w:rPr>
          <w:rFonts w:eastAsia="Calibri"/>
          <w:lang w:eastAsia="de-DE" w:bidi="de-DE"/>
        </w:rPr>
      </w:pPr>
      <w:r w:rsidRPr="00A21F71">
        <w:rPr>
          <w:rFonts w:eastAsia="Calibri"/>
          <w:lang w:eastAsia="de-DE" w:bidi="de-DE"/>
        </w:rPr>
        <w:tab/>
        <w:t>- für geleistete Stunden, auf die eine gesetzliche Lohnzulage von 50 oder 100 Prozent anwendbar ist: 57,75 Prozent,</w:t>
      </w:r>
    </w:p>
    <w:p w14:paraId="1010A8A4" w14:textId="77777777" w:rsidR="007A5656" w:rsidRDefault="007A5656" w:rsidP="007A5656">
      <w:pPr>
        <w:spacing w:after="200" w:line="276" w:lineRule="auto"/>
        <w:rPr>
          <w:rFonts w:eastAsia="Calibri"/>
          <w:lang w:eastAsia="de-DE" w:bidi="de-DE"/>
        </w:rPr>
      </w:pPr>
      <w:r>
        <w:rPr>
          <w:rFonts w:eastAsia="Calibri"/>
          <w:lang w:eastAsia="de-DE" w:bidi="de-DE"/>
        </w:rPr>
        <w:br w:type="page"/>
      </w:r>
    </w:p>
    <w:p w14:paraId="6A226348" w14:textId="77777777" w:rsidR="007A5656" w:rsidRDefault="007A5656" w:rsidP="007A5656">
      <w:pPr>
        <w:jc w:val="both"/>
        <w:rPr>
          <w:rFonts w:eastAsia="Calibri"/>
          <w:lang w:eastAsia="de-DE" w:bidi="de-DE"/>
        </w:rPr>
      </w:pPr>
    </w:p>
    <w:p w14:paraId="4447BAD7" w14:textId="77777777" w:rsidR="007A5656" w:rsidRPr="00A21F71" w:rsidRDefault="007A5656" w:rsidP="007A5656">
      <w:pPr>
        <w:jc w:val="both"/>
        <w:rPr>
          <w:rFonts w:eastAsia="Calibri"/>
          <w:lang w:eastAsia="de-DE" w:bidi="de-DE"/>
        </w:rPr>
      </w:pPr>
      <w:r w:rsidRPr="00A21F71">
        <w:rPr>
          <w:rFonts w:eastAsia="Calibri"/>
          <w:lang w:eastAsia="de-DE" w:bidi="de-DE"/>
        </w:rPr>
        <w:tab/>
        <w:t>- für geleistete Stunden, auf die eine gesetzliche Lohnzulage von 20 Prozent anwendbar ist: 66,81 Prozent</w:t>
      </w:r>
    </w:p>
    <w:p w14:paraId="0ED7A359" w14:textId="77777777" w:rsidR="007A5656" w:rsidRDefault="007A5656" w:rsidP="007A5656">
      <w:pPr>
        <w:jc w:val="both"/>
        <w:rPr>
          <w:rFonts w:eastAsia="Calibri"/>
          <w:lang w:eastAsia="de-DE" w:bidi="de-DE"/>
        </w:rPr>
      </w:pPr>
    </w:p>
    <w:p w14:paraId="01A24DA0" w14:textId="77777777" w:rsidR="007A5656" w:rsidRPr="00A21F71" w:rsidRDefault="007A5656" w:rsidP="007A5656">
      <w:pPr>
        <w:jc w:val="both"/>
        <w:rPr>
          <w:rFonts w:eastAsia="Calibri"/>
          <w:lang w:eastAsia="de-DE" w:bidi="de-DE"/>
        </w:rPr>
      </w:pPr>
      <w:r w:rsidRPr="00A21F71">
        <w:rPr>
          <w:rFonts w:eastAsia="Calibri"/>
          <w:lang w:eastAsia="de-DE" w:bidi="de-DE"/>
        </w:rPr>
        <w:tab/>
        <w:t>des "Bruttosozialbetrags" der Entlohnungen (also vor Abzug der in Ausführung der sozialen Rechtsvorschriften oder eines damit gleichgesetzten gesetzlichen oder verordnungsrechtlichen Statuts vorgeschriebenen Einbehaltungen), der als Berechnungs</w:t>
      </w:r>
      <w:r w:rsidRPr="00A21F71">
        <w:rPr>
          <w:rFonts w:eastAsia="Calibri"/>
          <w:lang w:eastAsia="de-DE" w:bidi="de-DE"/>
        </w:rPr>
        <w:softHyphen/>
        <w:t>grundlage für die Festlegung der Lohnzulage gedient hat.</w:t>
      </w:r>
    </w:p>
    <w:p w14:paraId="4A88A0C2" w14:textId="77777777" w:rsidR="007A5656" w:rsidRPr="00A21F71" w:rsidRDefault="007A5656" w:rsidP="007A5656">
      <w:pPr>
        <w:jc w:val="both"/>
        <w:rPr>
          <w:rFonts w:eastAsia="Calibri"/>
          <w:lang w:eastAsia="de-DE" w:bidi="de-DE"/>
        </w:rPr>
      </w:pPr>
    </w:p>
    <w:p w14:paraId="768BFDB4" w14:textId="77777777" w:rsidR="007A5656" w:rsidRPr="00A21F71" w:rsidRDefault="007A5656" w:rsidP="007A5656">
      <w:pPr>
        <w:jc w:val="both"/>
        <w:rPr>
          <w:rFonts w:eastAsia="Calibri"/>
          <w:lang w:eastAsia="de-DE" w:bidi="de-DE"/>
        </w:rPr>
      </w:pPr>
    </w:p>
    <w:p w14:paraId="7390D5C7" w14:textId="77777777" w:rsidR="007A5656" w:rsidRPr="00A21F71" w:rsidRDefault="007A5656" w:rsidP="007A5656">
      <w:pPr>
        <w:jc w:val="center"/>
        <w:rPr>
          <w:rFonts w:eastAsia="Calibri"/>
          <w:lang w:eastAsia="de-DE" w:bidi="de-DE"/>
        </w:rPr>
      </w:pPr>
      <w:r w:rsidRPr="00A21F71">
        <w:rPr>
          <w:rFonts w:eastAsia="Calibri"/>
          <w:lang w:eastAsia="de-DE" w:bidi="de-DE"/>
        </w:rPr>
        <w:t>Unterabschnitt 2 - Monatliche Bruttoentlohnungen über 7.500 EUR</w:t>
      </w:r>
    </w:p>
    <w:p w14:paraId="16662902" w14:textId="77777777" w:rsidR="007A5656" w:rsidRPr="00A21F71" w:rsidRDefault="007A5656" w:rsidP="007A5656">
      <w:pPr>
        <w:jc w:val="both"/>
        <w:rPr>
          <w:rFonts w:eastAsia="Calibri"/>
          <w:lang w:eastAsia="de-DE" w:bidi="de-DE"/>
        </w:rPr>
      </w:pPr>
    </w:p>
    <w:p w14:paraId="683FF2FD" w14:textId="77777777" w:rsidR="007A5656" w:rsidRPr="00A21F71" w:rsidRDefault="007A5656" w:rsidP="007A5656">
      <w:pPr>
        <w:jc w:val="both"/>
        <w:rPr>
          <w:rFonts w:eastAsia="Calibri"/>
          <w:lang w:eastAsia="de-DE" w:bidi="de-DE"/>
        </w:rPr>
      </w:pPr>
    </w:p>
    <w:p w14:paraId="7859B5C3" w14:textId="77777777" w:rsidR="007A5656" w:rsidRPr="00A21F71" w:rsidRDefault="007A5656" w:rsidP="007A5656">
      <w:pPr>
        <w:jc w:val="both"/>
        <w:rPr>
          <w:rFonts w:eastAsia="Calibri"/>
          <w:lang w:eastAsia="de-DE" w:bidi="de-DE"/>
        </w:rPr>
      </w:pPr>
      <w:r w:rsidRPr="00A21F71">
        <w:rPr>
          <w:rFonts w:eastAsia="Calibri"/>
          <w:lang w:eastAsia="de-DE" w:bidi="de-DE"/>
        </w:rPr>
        <w:tab/>
        <w:t>5.4 A. Beträgt die monatliche Bruttoentlohnung mehr als 7.500 EUR, wird der Be</w:t>
      </w:r>
      <w:r>
        <w:rPr>
          <w:rFonts w:eastAsia="Calibri"/>
          <w:lang w:eastAsia="de-DE" w:bidi="de-DE"/>
        </w:rPr>
        <w:t>rufssteuervorabzug</w:t>
      </w:r>
      <w:r w:rsidRPr="00A21F71">
        <w:rPr>
          <w:rFonts w:eastAsia="Calibri"/>
          <w:lang w:eastAsia="de-DE" w:bidi="de-DE"/>
        </w:rPr>
        <w:t xml:space="preserve"> wie folgt festgelegt:</w:t>
      </w:r>
    </w:p>
    <w:p w14:paraId="249F0296" w14:textId="77777777" w:rsidR="007A5656" w:rsidRPr="00A21F71" w:rsidRDefault="007A5656" w:rsidP="007A5656">
      <w:pPr>
        <w:jc w:val="both"/>
        <w:rPr>
          <w:rFonts w:eastAsia="Calibri"/>
          <w:lang w:eastAsia="de-DE" w:bidi="de-DE"/>
        </w:rPr>
      </w:pPr>
    </w:p>
    <w:p w14:paraId="0332FB01" w14:textId="77777777" w:rsidR="007A5656" w:rsidRPr="00A21F71" w:rsidRDefault="007A5656" w:rsidP="007A5656">
      <w:pPr>
        <w:jc w:val="both"/>
        <w:rPr>
          <w:rFonts w:eastAsia="Calibri"/>
          <w:lang w:eastAsia="de-DE" w:bidi="de-DE"/>
        </w:rPr>
      </w:pPr>
      <w:r w:rsidRPr="00A21F71">
        <w:rPr>
          <w:rFonts w:eastAsia="Calibri"/>
          <w:lang w:eastAsia="de-DE" w:bidi="de-DE"/>
        </w:rPr>
        <w:tab/>
        <w:t>a) Die monatliche Bruttoentlohnung wird auf das untere Vielfache von 15 EUR abgerundet.</w:t>
      </w:r>
    </w:p>
    <w:p w14:paraId="55D405EA" w14:textId="77777777" w:rsidR="007A5656" w:rsidRPr="00A21F71" w:rsidRDefault="007A5656" w:rsidP="007A5656">
      <w:pPr>
        <w:jc w:val="both"/>
        <w:rPr>
          <w:rFonts w:eastAsia="Calibri"/>
          <w:lang w:eastAsia="de-DE" w:bidi="de-DE"/>
        </w:rPr>
      </w:pPr>
    </w:p>
    <w:p w14:paraId="41F3D6D3" w14:textId="77777777" w:rsidR="007A5656" w:rsidRPr="00A21F71" w:rsidRDefault="007A5656" w:rsidP="007A5656">
      <w:pPr>
        <w:jc w:val="both"/>
        <w:rPr>
          <w:rFonts w:eastAsia="Calibri"/>
          <w:lang w:eastAsia="de-DE" w:bidi="de-DE"/>
        </w:rPr>
      </w:pPr>
      <w:r w:rsidRPr="00A21F71">
        <w:rPr>
          <w:rFonts w:eastAsia="Calibri"/>
          <w:lang w:eastAsia="de-DE" w:bidi="de-DE"/>
        </w:rPr>
        <w:tab/>
        <w:t>b) Der Berufssteuervorabzug auf diesen a</w:t>
      </w:r>
      <w:r>
        <w:rPr>
          <w:rFonts w:eastAsia="Calibri"/>
          <w:lang w:eastAsia="de-DE" w:bidi="de-DE"/>
        </w:rPr>
        <w:t>bgerundeten Betrag beträgt 3.410,71</w:t>
      </w:r>
      <w:r w:rsidRPr="00A21F71">
        <w:rPr>
          <w:rFonts w:eastAsia="Calibri"/>
          <w:lang w:eastAsia="de-DE" w:bidi="de-DE"/>
        </w:rPr>
        <w:t> EUR, erhöht um 53,50 Prozent des Teils der monatlichen Bruttoentlohnung, der über 7.500 EUR liegt.</w:t>
      </w:r>
    </w:p>
    <w:p w14:paraId="42852DF3" w14:textId="77777777" w:rsidR="007A5656" w:rsidRPr="00A21F71" w:rsidRDefault="007A5656" w:rsidP="007A5656">
      <w:pPr>
        <w:jc w:val="both"/>
        <w:rPr>
          <w:rFonts w:eastAsia="Calibri"/>
          <w:lang w:eastAsia="de-DE" w:bidi="de-DE"/>
        </w:rPr>
      </w:pPr>
    </w:p>
    <w:p w14:paraId="0A40A031" w14:textId="77777777" w:rsidR="007A5656" w:rsidRPr="00A21F71" w:rsidRDefault="007A5656" w:rsidP="007A5656">
      <w:pPr>
        <w:jc w:val="both"/>
        <w:rPr>
          <w:rFonts w:eastAsia="Calibri"/>
          <w:lang w:eastAsia="de-DE" w:bidi="de-DE"/>
        </w:rPr>
      </w:pPr>
      <w:r w:rsidRPr="00A21F71">
        <w:rPr>
          <w:rFonts w:eastAsia="Calibri"/>
          <w:lang w:eastAsia="de-DE" w:bidi="de-DE"/>
        </w:rPr>
        <w:tab/>
        <w:t>B. Von dem gemäß Punkt A berechneten Berufssteuervorabzug werden dann die Ermäßigung für Gruppenversicherung und für außergesetzliche Alters- und Todesfall</w:t>
      </w:r>
      <w:r w:rsidRPr="00A21F71">
        <w:rPr>
          <w:rFonts w:eastAsia="Calibri"/>
          <w:lang w:eastAsia="de-DE" w:bidi="de-DE"/>
        </w:rPr>
        <w:softHyphen/>
        <w:t>versicherung und die Ermäßigung für Entlohnungen aufgrund geleisteter Überarbeit, die zu einer Lohnzulage berechtigt, abgezogen; diese Ermäßigungen sind in Nr. 5.3 angegeben.</w:t>
      </w:r>
    </w:p>
    <w:p w14:paraId="6C4E3444" w14:textId="77777777" w:rsidR="007A5656" w:rsidRPr="00A21F71" w:rsidRDefault="007A5656" w:rsidP="007A5656">
      <w:pPr>
        <w:jc w:val="both"/>
        <w:rPr>
          <w:rFonts w:eastAsia="Calibri"/>
          <w:lang w:eastAsia="de-DE" w:bidi="de-DE"/>
        </w:rPr>
      </w:pPr>
    </w:p>
    <w:p w14:paraId="0F3804F3" w14:textId="77777777" w:rsidR="007A5656" w:rsidRPr="00A21F71" w:rsidRDefault="007A5656" w:rsidP="007A5656">
      <w:pPr>
        <w:jc w:val="both"/>
        <w:rPr>
          <w:rFonts w:eastAsia="Calibri"/>
          <w:lang w:eastAsia="de-DE" w:bidi="de-DE"/>
        </w:rPr>
      </w:pPr>
    </w:p>
    <w:p w14:paraId="732295A6" w14:textId="77777777" w:rsidR="007A5656" w:rsidRPr="00A21F71" w:rsidRDefault="007A5656" w:rsidP="007A5656">
      <w:pPr>
        <w:jc w:val="center"/>
        <w:rPr>
          <w:rFonts w:eastAsia="Calibri"/>
          <w:lang w:eastAsia="de-DE" w:bidi="de-DE"/>
        </w:rPr>
      </w:pPr>
      <w:r w:rsidRPr="00A21F71">
        <w:rPr>
          <w:rFonts w:eastAsia="Calibri"/>
          <w:lang w:eastAsia="de-DE" w:bidi="de-DE"/>
        </w:rPr>
        <w:t>Unterabschnitt 3 - Besondere Regeln</w:t>
      </w:r>
    </w:p>
    <w:p w14:paraId="10D3E410" w14:textId="77777777" w:rsidR="007A5656" w:rsidRPr="00A21F71" w:rsidRDefault="007A5656" w:rsidP="007A5656">
      <w:pPr>
        <w:jc w:val="both"/>
        <w:rPr>
          <w:rFonts w:eastAsia="Calibri"/>
          <w:lang w:eastAsia="de-DE" w:bidi="de-DE"/>
        </w:rPr>
      </w:pPr>
    </w:p>
    <w:p w14:paraId="2BE0FCE0" w14:textId="77777777" w:rsidR="007A5656" w:rsidRPr="00A21F71" w:rsidRDefault="007A5656" w:rsidP="007A5656">
      <w:pPr>
        <w:jc w:val="both"/>
        <w:rPr>
          <w:rFonts w:eastAsia="Calibri"/>
          <w:lang w:eastAsia="de-DE" w:bidi="de-DE"/>
        </w:rPr>
      </w:pPr>
    </w:p>
    <w:p w14:paraId="7151E6A7" w14:textId="77777777" w:rsidR="007A5656" w:rsidRPr="00A21F71" w:rsidRDefault="007A5656" w:rsidP="007A5656">
      <w:pPr>
        <w:jc w:val="both"/>
        <w:rPr>
          <w:rFonts w:eastAsia="Calibri"/>
          <w:lang w:eastAsia="de-DE" w:bidi="de-DE"/>
        </w:rPr>
      </w:pPr>
      <w:r w:rsidRPr="00A21F71">
        <w:rPr>
          <w:rFonts w:eastAsia="Calibri"/>
          <w:lang w:eastAsia="de-DE" w:bidi="de-DE"/>
        </w:rPr>
        <w:tab/>
        <w:t>5.5 Zweiwöchentliche Zahlungen</w:t>
      </w:r>
    </w:p>
    <w:p w14:paraId="6E0A873B" w14:textId="77777777" w:rsidR="007A5656" w:rsidRPr="00A21F71" w:rsidRDefault="007A5656" w:rsidP="007A5656">
      <w:pPr>
        <w:jc w:val="both"/>
        <w:rPr>
          <w:rFonts w:eastAsia="Calibri"/>
          <w:lang w:eastAsia="de-DE" w:bidi="de-DE"/>
        </w:rPr>
      </w:pPr>
    </w:p>
    <w:p w14:paraId="24F2D84C" w14:textId="77777777" w:rsidR="007A5656" w:rsidRPr="00A21F71" w:rsidRDefault="007A5656" w:rsidP="007A5656">
      <w:pPr>
        <w:jc w:val="both"/>
        <w:rPr>
          <w:rFonts w:eastAsia="Calibri"/>
          <w:lang w:eastAsia="de-DE" w:bidi="de-DE"/>
        </w:rPr>
      </w:pPr>
      <w:r w:rsidRPr="00A21F71">
        <w:rPr>
          <w:rFonts w:eastAsia="Calibri"/>
          <w:lang w:eastAsia="de-DE" w:bidi="de-DE"/>
        </w:rPr>
        <w:tab/>
        <w:t>Für zweiwöchentlich gezahlte Entlohnungen wird der Berufssteuervorabzug auf die Hälfte des Vorabzugs festgelegt, der gemäß der auf monatlich gezahlte Entlohnungen anwendbaren Regel, die in Nr. 5.2 oder 5.4 vorgesehen ist, auf den Betrag geschuldet wird, der zweimal der zweiwöchentlichen Entlohnung entspricht.</w:t>
      </w:r>
    </w:p>
    <w:p w14:paraId="1360AAD0" w14:textId="77777777" w:rsidR="007A5656" w:rsidRPr="00A21F71" w:rsidRDefault="007A5656" w:rsidP="007A5656">
      <w:pPr>
        <w:jc w:val="both"/>
        <w:rPr>
          <w:rFonts w:eastAsia="Calibri"/>
          <w:lang w:eastAsia="de-DE" w:bidi="de-DE"/>
        </w:rPr>
      </w:pPr>
    </w:p>
    <w:p w14:paraId="7E85A0CF" w14:textId="77777777" w:rsidR="007A5656" w:rsidRPr="00A21F71" w:rsidRDefault="007A5656" w:rsidP="007A5656">
      <w:pPr>
        <w:jc w:val="both"/>
        <w:rPr>
          <w:rFonts w:eastAsia="Calibri"/>
          <w:lang w:eastAsia="de-DE" w:bidi="de-DE"/>
        </w:rPr>
      </w:pPr>
      <w:r w:rsidRPr="00A21F71">
        <w:rPr>
          <w:rFonts w:eastAsia="Calibri"/>
          <w:lang w:eastAsia="de-DE" w:bidi="de-DE"/>
        </w:rPr>
        <w:tab/>
        <w:t>5.6 Wöchentliche Zahlungen</w:t>
      </w:r>
    </w:p>
    <w:p w14:paraId="67772EB1" w14:textId="77777777" w:rsidR="007A5656" w:rsidRPr="00A21F71" w:rsidRDefault="007A5656" w:rsidP="007A5656">
      <w:pPr>
        <w:jc w:val="both"/>
        <w:rPr>
          <w:rFonts w:eastAsia="Calibri"/>
          <w:lang w:eastAsia="de-DE" w:bidi="de-DE"/>
        </w:rPr>
      </w:pPr>
    </w:p>
    <w:p w14:paraId="62472220" w14:textId="77777777" w:rsidR="007A5656" w:rsidRPr="00A21F71" w:rsidRDefault="007A5656" w:rsidP="007A5656">
      <w:pPr>
        <w:jc w:val="both"/>
        <w:rPr>
          <w:rFonts w:eastAsia="Calibri"/>
          <w:lang w:eastAsia="de-DE" w:bidi="de-DE"/>
        </w:rPr>
      </w:pPr>
      <w:r w:rsidRPr="00A21F71">
        <w:rPr>
          <w:rFonts w:eastAsia="Calibri"/>
          <w:lang w:eastAsia="de-DE" w:bidi="de-DE"/>
        </w:rPr>
        <w:tab/>
        <w:t>Für wöchentlich gezahlte Entlohnungen wird der Berufssteuervorabzug auf ein Viertel des Vorabzugs festgelegt, der gemäß der auf monatlich gezahlte Entlohnungen anwendbaren Regel, die in Nr. 5.2 oder 5.4 vorgesehen ist, auf den Betrag geschuldet wird, der viermal der wöchentlichen Entlohnung entspricht.</w:t>
      </w:r>
    </w:p>
    <w:p w14:paraId="5DF5200E" w14:textId="77777777" w:rsidR="007A5656" w:rsidRPr="00A21F71" w:rsidRDefault="007A5656" w:rsidP="007A5656">
      <w:pPr>
        <w:jc w:val="both"/>
        <w:rPr>
          <w:rFonts w:eastAsia="Calibri"/>
          <w:lang w:eastAsia="de-DE" w:bidi="de-DE"/>
        </w:rPr>
      </w:pPr>
    </w:p>
    <w:p w14:paraId="1FDBB1A6" w14:textId="77777777" w:rsidR="007A5656" w:rsidRPr="00A21F71" w:rsidRDefault="007A5656" w:rsidP="007A5656">
      <w:pPr>
        <w:jc w:val="both"/>
        <w:rPr>
          <w:rFonts w:eastAsia="Calibri"/>
          <w:lang w:eastAsia="de-DE" w:bidi="de-DE"/>
        </w:rPr>
      </w:pPr>
      <w:r w:rsidRPr="00A21F71">
        <w:rPr>
          <w:rFonts w:eastAsia="Calibri"/>
          <w:lang w:eastAsia="de-DE" w:bidi="de-DE"/>
        </w:rPr>
        <w:tab/>
        <w:t>5.7 Zahlungen pro Arbeitstag</w:t>
      </w:r>
    </w:p>
    <w:p w14:paraId="4A3AEABF" w14:textId="77777777" w:rsidR="007A5656" w:rsidRPr="00A21F71" w:rsidRDefault="007A5656" w:rsidP="007A5656">
      <w:pPr>
        <w:jc w:val="both"/>
        <w:rPr>
          <w:rFonts w:eastAsia="Calibri"/>
          <w:lang w:eastAsia="de-DE" w:bidi="de-DE"/>
        </w:rPr>
      </w:pPr>
    </w:p>
    <w:p w14:paraId="514C7921"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Für Entlohnungen, die pro Arbeitstag gezahlt werden, wird der Berufssteuervorabzug auf ein Zwanzigstel des Vorabzugs festgelegt, der gemäß der auf monatlich gezahlte </w:t>
      </w:r>
      <w:r w:rsidRPr="00A21F71">
        <w:rPr>
          <w:rFonts w:eastAsia="Calibri"/>
          <w:lang w:eastAsia="de-DE" w:bidi="de-DE"/>
        </w:rPr>
        <w:lastRenderedPageBreak/>
        <w:t>Entlohnungen anwendbaren Regel, die in Nr. 5.2 oder 5.4 vorgesehen ist, auf den Betrag geschuldet wird, der zwanzigmal der Entlohnung pro Arbeitstag entspricht.</w:t>
      </w:r>
    </w:p>
    <w:p w14:paraId="7DCFB55C" w14:textId="77777777" w:rsidR="007A5656" w:rsidRPr="00A21F71" w:rsidRDefault="007A5656" w:rsidP="007A5656">
      <w:pPr>
        <w:rPr>
          <w:rFonts w:eastAsia="Calibri"/>
          <w:lang w:eastAsia="de-DE" w:bidi="de-DE"/>
        </w:rPr>
      </w:pPr>
    </w:p>
    <w:p w14:paraId="246D8A7A" w14:textId="77777777" w:rsidR="007A5656" w:rsidRPr="00A21F71" w:rsidRDefault="007A5656" w:rsidP="007A5656">
      <w:pPr>
        <w:jc w:val="both"/>
        <w:rPr>
          <w:rFonts w:eastAsia="Calibri"/>
          <w:lang w:eastAsia="de-DE" w:bidi="de-DE"/>
        </w:rPr>
      </w:pPr>
      <w:r w:rsidRPr="00A21F71">
        <w:rPr>
          <w:rFonts w:eastAsia="Calibri"/>
          <w:lang w:eastAsia="de-DE" w:bidi="de-DE"/>
        </w:rPr>
        <w:tab/>
        <w:t>5.8 Außerordentliche Entschädigungen</w:t>
      </w:r>
    </w:p>
    <w:p w14:paraId="19662E22" w14:textId="77777777" w:rsidR="007A5656" w:rsidRPr="00A21F71" w:rsidRDefault="007A5656" w:rsidP="007A5656">
      <w:pPr>
        <w:jc w:val="both"/>
        <w:rPr>
          <w:rFonts w:eastAsia="Calibri"/>
          <w:lang w:eastAsia="de-DE" w:bidi="de-DE"/>
        </w:rPr>
      </w:pPr>
    </w:p>
    <w:p w14:paraId="00049098" w14:textId="77777777" w:rsidR="007A5656" w:rsidRPr="00A21F71" w:rsidRDefault="007A5656" w:rsidP="007A5656">
      <w:pPr>
        <w:jc w:val="both"/>
        <w:rPr>
          <w:rFonts w:eastAsia="Calibri"/>
          <w:lang w:eastAsia="de-DE" w:bidi="de-DE"/>
        </w:rPr>
      </w:pPr>
      <w:r w:rsidRPr="00A21F71">
        <w:rPr>
          <w:rFonts w:eastAsia="Calibri"/>
          <w:lang w:eastAsia="de-DE" w:bidi="de-DE"/>
        </w:rPr>
        <w:tab/>
        <w:t>Für außerordentliche Entschädigungen (Provisionen, Urlaubsgeld, Jahresendprämien usw.), die ein Arbeitgeber Personalmitgliedern außerhalb der normalen Entlohnung zahlt, wird der Berufssteuervorabzug (ohne Ermäßigung) unter Berücksichtigung des Jahresbetrags der normalen Bruttoentlohnung, die dem Empfänger der Einkünfte in Belgien gezahlt oder zuerkannt wird, gemäß den nachfolgend vorgesehenen Sätzen festgelegt.</w:t>
      </w:r>
    </w:p>
    <w:p w14:paraId="4A2BBA36" w14:textId="77777777" w:rsidR="007A5656" w:rsidRPr="00A21F71" w:rsidRDefault="007A5656" w:rsidP="007A5656">
      <w:pPr>
        <w:jc w:val="both"/>
        <w:rPr>
          <w:rFonts w:eastAsia="Calibri"/>
          <w:lang w:eastAsia="de-DE" w:bidi="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7"/>
        <w:gridCol w:w="4545"/>
      </w:tblGrid>
      <w:tr w:rsidR="007A5656" w:rsidRPr="00A21F71" w14:paraId="2A8BD89D" w14:textId="77777777" w:rsidTr="00212CA2">
        <w:tc>
          <w:tcPr>
            <w:tcW w:w="4606" w:type="dxa"/>
            <w:vAlign w:val="center"/>
          </w:tcPr>
          <w:p w14:paraId="0A937CCB"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JAHRESBETRAG DER NORMALEN BRUTTOENTLOHNUNG</w:t>
            </w:r>
          </w:p>
        </w:tc>
        <w:tc>
          <w:tcPr>
            <w:tcW w:w="4606" w:type="dxa"/>
            <w:vAlign w:val="center"/>
          </w:tcPr>
          <w:p w14:paraId="57272A8C"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PROZENTSATZ DES GESCHULDETEN</w:t>
            </w:r>
          </w:p>
          <w:p w14:paraId="14981C8C"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BERUFSSTEUERVORABZUGS</w:t>
            </w:r>
          </w:p>
        </w:tc>
      </w:tr>
      <w:tr w:rsidR="007A5656" w:rsidRPr="00A21F71" w14:paraId="1E827A9E" w14:textId="77777777" w:rsidTr="00212CA2">
        <w:tc>
          <w:tcPr>
            <w:tcW w:w="4606" w:type="dxa"/>
          </w:tcPr>
          <w:p w14:paraId="5201C9E3"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w:t>
            </w:r>
          </w:p>
        </w:tc>
        <w:tc>
          <w:tcPr>
            <w:tcW w:w="4606" w:type="dxa"/>
          </w:tcPr>
          <w:p w14:paraId="29AAF4EA"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w:t>
            </w:r>
          </w:p>
        </w:tc>
      </w:tr>
      <w:tr w:rsidR="007A5656" w:rsidRPr="003F029F" w14:paraId="4738C00D" w14:textId="77777777" w:rsidTr="00212CA2">
        <w:tc>
          <w:tcPr>
            <w:tcW w:w="4606" w:type="dxa"/>
          </w:tcPr>
          <w:p w14:paraId="0EA6CF6D" w14:textId="77777777" w:rsidR="007A5656" w:rsidRPr="00A21F71" w:rsidRDefault="007A5656" w:rsidP="00212CA2">
            <w:pPr>
              <w:jc w:val="both"/>
              <w:rPr>
                <w:rFonts w:eastAsia="Calibri"/>
                <w:sz w:val="22"/>
                <w:lang w:eastAsia="de-DE" w:bidi="de-DE"/>
              </w:rPr>
            </w:pPr>
            <w:r>
              <w:rPr>
                <w:rFonts w:eastAsia="Calibri"/>
                <w:sz w:val="22"/>
                <w:lang w:eastAsia="de-DE" w:bidi="de-DE"/>
              </w:rPr>
              <w:t>von 0,01 EUR bis 15.955</w:t>
            </w:r>
            <w:r w:rsidRPr="00A21F71">
              <w:rPr>
                <w:rFonts w:eastAsia="Calibri"/>
                <w:sz w:val="22"/>
                <w:lang w:eastAsia="de-DE" w:bidi="de-DE"/>
              </w:rPr>
              <w:t>,00 EUR</w:t>
            </w:r>
            <w:r w:rsidRPr="00A21F71">
              <w:rPr>
                <w:rFonts w:eastAsia="Calibri"/>
                <w:lang w:eastAsia="de-DE" w:bidi="de-DE"/>
              </w:rPr>
              <w:tab/>
            </w:r>
          </w:p>
          <w:p w14:paraId="30703BC6" w14:textId="77777777" w:rsidR="007A5656" w:rsidRPr="00A21F71" w:rsidRDefault="007A5656" w:rsidP="00212CA2">
            <w:pPr>
              <w:jc w:val="both"/>
              <w:rPr>
                <w:rFonts w:eastAsia="Calibri"/>
                <w:sz w:val="22"/>
                <w:lang w:eastAsia="de-DE" w:bidi="de-DE"/>
              </w:rPr>
            </w:pPr>
            <w:r>
              <w:rPr>
                <w:rFonts w:eastAsia="Calibri"/>
                <w:sz w:val="22"/>
                <w:lang w:eastAsia="de-DE" w:bidi="de-DE"/>
              </w:rPr>
              <w:t>von 15</w:t>
            </w:r>
            <w:r w:rsidRPr="00A21F71">
              <w:rPr>
                <w:rFonts w:eastAsia="Calibri"/>
                <w:sz w:val="22"/>
                <w:lang w:eastAsia="de-DE" w:bidi="de-DE"/>
              </w:rPr>
              <w:t>.</w:t>
            </w:r>
            <w:r>
              <w:rPr>
                <w:rFonts w:eastAsia="Calibri"/>
                <w:sz w:val="22"/>
                <w:lang w:eastAsia="de-DE" w:bidi="de-DE"/>
              </w:rPr>
              <w:t>955,01 EUR bis 17.315</w:t>
            </w:r>
            <w:r w:rsidRPr="00A21F71">
              <w:rPr>
                <w:rFonts w:eastAsia="Calibri"/>
                <w:sz w:val="22"/>
                <w:lang w:eastAsia="de-DE" w:bidi="de-DE"/>
              </w:rPr>
              <w:t>,00 EUR</w:t>
            </w:r>
          </w:p>
          <w:p w14:paraId="5CB1F717" w14:textId="77777777" w:rsidR="007A5656" w:rsidRPr="00A21F71" w:rsidRDefault="007A5656" w:rsidP="00212CA2">
            <w:pPr>
              <w:jc w:val="both"/>
              <w:rPr>
                <w:rFonts w:eastAsia="Calibri"/>
                <w:sz w:val="22"/>
                <w:lang w:eastAsia="de-DE" w:bidi="de-DE"/>
              </w:rPr>
            </w:pPr>
            <w:r>
              <w:rPr>
                <w:rFonts w:eastAsia="Calibri"/>
                <w:sz w:val="22"/>
                <w:lang w:eastAsia="de-DE" w:bidi="de-DE"/>
              </w:rPr>
              <w:t>von 17.315,01 EUR bis 23.935</w:t>
            </w:r>
            <w:r w:rsidRPr="00A21F71">
              <w:rPr>
                <w:rFonts w:eastAsia="Calibri"/>
                <w:sz w:val="22"/>
                <w:lang w:eastAsia="de-DE" w:bidi="de-DE"/>
              </w:rPr>
              <w:t>,00 EUR</w:t>
            </w:r>
          </w:p>
          <w:p w14:paraId="3261173B" w14:textId="77777777" w:rsidR="007A5656" w:rsidRPr="00A21F71" w:rsidRDefault="007A5656" w:rsidP="00212CA2">
            <w:pPr>
              <w:jc w:val="both"/>
              <w:rPr>
                <w:rFonts w:eastAsia="Calibri"/>
                <w:sz w:val="22"/>
                <w:lang w:eastAsia="de-DE" w:bidi="de-DE"/>
              </w:rPr>
            </w:pPr>
            <w:r>
              <w:rPr>
                <w:rFonts w:eastAsia="Calibri"/>
                <w:sz w:val="22"/>
                <w:lang w:eastAsia="de-DE" w:bidi="de-DE"/>
              </w:rPr>
              <w:t>von 23.935,01 EUR bis 48.380</w:t>
            </w:r>
            <w:r w:rsidRPr="00A21F71">
              <w:rPr>
                <w:rFonts w:eastAsia="Calibri"/>
                <w:sz w:val="22"/>
                <w:lang w:eastAsia="de-DE" w:bidi="de-DE"/>
              </w:rPr>
              <w:t>,00 EUR</w:t>
            </w:r>
          </w:p>
          <w:p w14:paraId="51C4FF29" w14:textId="77777777" w:rsidR="007A5656" w:rsidRPr="00A21F71" w:rsidRDefault="007A5656" w:rsidP="00212CA2">
            <w:pPr>
              <w:jc w:val="both"/>
              <w:rPr>
                <w:rFonts w:eastAsia="Calibri"/>
                <w:sz w:val="22"/>
                <w:lang w:eastAsia="de-DE" w:bidi="de-DE"/>
              </w:rPr>
            </w:pPr>
            <w:r>
              <w:rPr>
                <w:rFonts w:eastAsia="Calibri"/>
                <w:sz w:val="22"/>
                <w:lang w:eastAsia="de-DE" w:bidi="de-DE"/>
              </w:rPr>
              <w:t>mehr als 48.380</w:t>
            </w:r>
            <w:r w:rsidRPr="00A21F71">
              <w:rPr>
                <w:rFonts w:eastAsia="Calibri"/>
                <w:sz w:val="22"/>
                <w:lang w:eastAsia="de-DE" w:bidi="de-DE"/>
              </w:rPr>
              <w:t>,00 EUR</w:t>
            </w:r>
          </w:p>
        </w:tc>
        <w:tc>
          <w:tcPr>
            <w:tcW w:w="4606" w:type="dxa"/>
          </w:tcPr>
          <w:p w14:paraId="0D7DA1BD"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26,75</w:t>
            </w:r>
          </w:p>
          <w:p w14:paraId="27B27AF8"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32,10</w:t>
            </w:r>
          </w:p>
          <w:p w14:paraId="0524557D"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42,80</w:t>
            </w:r>
          </w:p>
          <w:p w14:paraId="5DF04445"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48,15</w:t>
            </w:r>
          </w:p>
          <w:p w14:paraId="6577FD2E"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53,50</w:t>
            </w:r>
          </w:p>
        </w:tc>
      </w:tr>
    </w:tbl>
    <w:p w14:paraId="672C939A" w14:textId="77777777" w:rsidR="007A5656" w:rsidRPr="00A21F71" w:rsidRDefault="007A5656" w:rsidP="007A5656">
      <w:pPr>
        <w:jc w:val="both"/>
        <w:rPr>
          <w:rFonts w:eastAsia="Calibri"/>
          <w:lang w:eastAsia="de-DE" w:bidi="de-DE"/>
        </w:rPr>
      </w:pPr>
    </w:p>
    <w:p w14:paraId="342775D4" w14:textId="77777777" w:rsidR="007A5656" w:rsidRPr="00A21F71" w:rsidRDefault="007A5656" w:rsidP="007A5656">
      <w:pPr>
        <w:jc w:val="both"/>
        <w:rPr>
          <w:rFonts w:eastAsia="Calibri"/>
          <w:lang w:eastAsia="de-DE" w:bidi="de-DE"/>
        </w:rPr>
      </w:pPr>
      <w:r w:rsidRPr="00A21F71">
        <w:rPr>
          <w:rFonts w:eastAsia="Calibri"/>
          <w:lang w:eastAsia="de-DE" w:bidi="de-DE"/>
        </w:rPr>
        <w:tab/>
        <w:t>5.9 Nachzahlungen und Entlassungsentschädigungen</w:t>
      </w:r>
    </w:p>
    <w:p w14:paraId="68E01BA8" w14:textId="77777777" w:rsidR="007A5656" w:rsidRPr="00A21F71" w:rsidRDefault="007A5656" w:rsidP="007A5656">
      <w:pPr>
        <w:jc w:val="both"/>
        <w:rPr>
          <w:rFonts w:eastAsia="Calibri"/>
          <w:lang w:eastAsia="de-DE" w:bidi="de-DE"/>
        </w:rPr>
      </w:pPr>
    </w:p>
    <w:p w14:paraId="7891ED78" w14:textId="77777777" w:rsidR="007A5656" w:rsidRPr="00A21F71" w:rsidRDefault="007A5656" w:rsidP="007A5656">
      <w:pPr>
        <w:jc w:val="both"/>
        <w:rPr>
          <w:rFonts w:eastAsia="Calibri"/>
          <w:lang w:eastAsia="de-DE" w:bidi="de-DE"/>
        </w:rPr>
      </w:pPr>
      <w:r w:rsidRPr="00A21F71">
        <w:rPr>
          <w:rFonts w:eastAsia="Calibri"/>
          <w:lang w:eastAsia="de-DE" w:bidi="de-DE"/>
        </w:rPr>
        <w:tab/>
        <w:t>Bei Nachzahlung von Entlohnungen (unter anderem, wenn Entlohnungen durch Verschulden einer öffentlichen Behörde oder aufgrund des Vorhandenseins einer Streitsache erst nach Ablauf des Besteuerungszeitraums, auf den sie sich tatsächlich beziehen, gezahlt oder zuerkannt werden) und für Entlassungsentschädigungen wird der Berufssteuervorabzug (ohne Ermäßigung) gemäß den nachfolgend vorgesehenen Sätzen festgelegt unter Berücksichtigung der Referenzentlohnung, das heißt:</w:t>
      </w:r>
    </w:p>
    <w:p w14:paraId="115014F3" w14:textId="77777777" w:rsidR="007A5656" w:rsidRPr="00A21F71" w:rsidRDefault="007A5656" w:rsidP="007A5656">
      <w:pPr>
        <w:jc w:val="both"/>
        <w:rPr>
          <w:rFonts w:eastAsia="Calibri"/>
          <w:lang w:eastAsia="de-DE" w:bidi="de-DE"/>
        </w:rPr>
      </w:pPr>
    </w:p>
    <w:p w14:paraId="48406799" w14:textId="77777777" w:rsidR="007A5656" w:rsidRPr="00A21F71" w:rsidRDefault="007A5656" w:rsidP="007A5656">
      <w:pPr>
        <w:jc w:val="both"/>
        <w:rPr>
          <w:rFonts w:eastAsia="Calibri"/>
          <w:lang w:eastAsia="de-DE" w:bidi="de-DE"/>
        </w:rPr>
      </w:pPr>
      <w:r w:rsidRPr="00A21F71">
        <w:rPr>
          <w:rFonts w:eastAsia="Calibri"/>
          <w:lang w:eastAsia="de-DE" w:bidi="de-DE"/>
        </w:rPr>
        <w:tab/>
        <w:t>- entweder des Jahresbetrags der in Belgien gezahlten oder zuerkannten normalen Bruttoentlohnung, die dem Empfänger der Einkünfte unmittelbar vor der Revision, die zu Nachzahlungen geführt hat, gezahlt wurde,</w:t>
      </w:r>
    </w:p>
    <w:p w14:paraId="69D330B2" w14:textId="77777777" w:rsidR="007A5656" w:rsidRPr="00A21F71" w:rsidRDefault="007A5656" w:rsidP="007A5656">
      <w:pPr>
        <w:jc w:val="both"/>
        <w:rPr>
          <w:rFonts w:eastAsia="Calibri"/>
          <w:lang w:eastAsia="de-DE" w:bidi="de-DE"/>
        </w:rPr>
      </w:pPr>
    </w:p>
    <w:p w14:paraId="66000DE1" w14:textId="77777777" w:rsidR="007A5656" w:rsidRPr="00A21F71" w:rsidRDefault="007A5656" w:rsidP="007A5656">
      <w:pPr>
        <w:jc w:val="both"/>
        <w:rPr>
          <w:rFonts w:eastAsia="Calibri"/>
          <w:lang w:eastAsia="de-DE" w:bidi="de-DE"/>
        </w:rPr>
      </w:pPr>
      <w:r w:rsidRPr="00A21F71">
        <w:rPr>
          <w:rFonts w:eastAsia="Calibri"/>
          <w:lang w:eastAsia="de-DE" w:bidi="de-DE"/>
        </w:rPr>
        <w:tab/>
        <w:t>- oder der Entlohnung, die als Grundlage für die Festlegung der Entlassungs</w:t>
      </w:r>
      <w:r w:rsidRPr="00A21F71">
        <w:rPr>
          <w:rFonts w:eastAsia="Calibri"/>
          <w:lang w:eastAsia="de-DE" w:bidi="de-DE"/>
        </w:rPr>
        <w:softHyphen/>
        <w:t>entschädigung gedient hat, oder in deren Ermangelung der Entlohnung, die der Empfänger während des letzten Zeitraums normaler Tätigkeit im Dienst des Arbeitgebers, der die Entschädigung zahlt, bezogen hat.</w:t>
      </w:r>
    </w:p>
    <w:p w14:paraId="2B215C30" w14:textId="77777777" w:rsidR="007A5656" w:rsidRPr="00A21F71" w:rsidRDefault="007A5656" w:rsidP="007A5656">
      <w:pPr>
        <w:jc w:val="both"/>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6"/>
        <w:gridCol w:w="4538"/>
      </w:tblGrid>
      <w:tr w:rsidR="007A5656" w:rsidRPr="00A21F71" w14:paraId="1F20F025" w14:textId="77777777" w:rsidTr="00212CA2">
        <w:tc>
          <w:tcPr>
            <w:tcW w:w="4498" w:type="dxa"/>
            <w:vAlign w:val="center"/>
          </w:tcPr>
          <w:p w14:paraId="39DA630C"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REFERENZENTLOHNUNG</w:t>
            </w:r>
          </w:p>
        </w:tc>
        <w:tc>
          <w:tcPr>
            <w:tcW w:w="4606" w:type="dxa"/>
            <w:vAlign w:val="center"/>
          </w:tcPr>
          <w:p w14:paraId="0A169363"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PROZENTSATZ DES GESCHULDETEN BERUFSSTEUERVORABZUGS</w:t>
            </w:r>
          </w:p>
        </w:tc>
      </w:tr>
      <w:tr w:rsidR="007A5656" w:rsidRPr="00A21F71" w14:paraId="199BF500" w14:textId="77777777" w:rsidTr="00212CA2">
        <w:tc>
          <w:tcPr>
            <w:tcW w:w="4498" w:type="dxa"/>
          </w:tcPr>
          <w:p w14:paraId="4DA9713D"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1</w:t>
            </w:r>
          </w:p>
        </w:tc>
        <w:tc>
          <w:tcPr>
            <w:tcW w:w="4606" w:type="dxa"/>
          </w:tcPr>
          <w:p w14:paraId="786A1B08"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w:t>
            </w:r>
          </w:p>
        </w:tc>
      </w:tr>
      <w:tr w:rsidR="007A5656" w:rsidRPr="003F029F" w14:paraId="2B0F1EE1" w14:textId="77777777" w:rsidTr="00212CA2">
        <w:tc>
          <w:tcPr>
            <w:tcW w:w="4498" w:type="dxa"/>
          </w:tcPr>
          <w:p w14:paraId="0F12B47B" w14:textId="77777777" w:rsidR="007A5656" w:rsidRPr="00A21F71" w:rsidRDefault="007A5656" w:rsidP="00212CA2">
            <w:pPr>
              <w:rPr>
                <w:rFonts w:eastAsia="Calibri"/>
                <w:sz w:val="22"/>
                <w:lang w:eastAsia="de-DE" w:bidi="de-DE"/>
              </w:rPr>
            </w:pPr>
            <w:r>
              <w:rPr>
                <w:rFonts w:eastAsia="Calibri"/>
                <w:sz w:val="22"/>
                <w:lang w:eastAsia="de-DE" w:bidi="de-DE"/>
              </w:rPr>
              <w:t>von 0,01 EUR bis 14.280</w:t>
            </w:r>
            <w:r w:rsidRPr="00A21F71">
              <w:rPr>
                <w:rFonts w:eastAsia="Calibri"/>
                <w:sz w:val="22"/>
                <w:lang w:eastAsia="de-DE" w:bidi="de-DE"/>
              </w:rPr>
              <w:t>,00 EUR</w:t>
            </w:r>
          </w:p>
          <w:p w14:paraId="5BA27DFE" w14:textId="77777777" w:rsidR="007A5656" w:rsidRPr="00A21F71" w:rsidRDefault="007A5656" w:rsidP="00212CA2">
            <w:pPr>
              <w:rPr>
                <w:rFonts w:eastAsia="Calibri"/>
                <w:sz w:val="22"/>
                <w:lang w:eastAsia="de-DE" w:bidi="de-DE"/>
              </w:rPr>
            </w:pPr>
            <w:r>
              <w:rPr>
                <w:rFonts w:eastAsia="Calibri"/>
                <w:sz w:val="22"/>
                <w:lang w:eastAsia="de-DE" w:bidi="de-DE"/>
              </w:rPr>
              <w:t>von 14.280,01 EUR bis 15.48</w:t>
            </w:r>
            <w:r w:rsidRPr="00A21F71">
              <w:rPr>
                <w:rFonts w:eastAsia="Calibri"/>
                <w:sz w:val="22"/>
                <w:lang w:eastAsia="de-DE" w:bidi="de-DE"/>
              </w:rPr>
              <w:t>5,00 EUR</w:t>
            </w:r>
          </w:p>
          <w:p w14:paraId="03C852AB" w14:textId="77777777" w:rsidR="007A5656" w:rsidRPr="00A21F71" w:rsidRDefault="007A5656" w:rsidP="00212CA2">
            <w:pPr>
              <w:rPr>
                <w:rFonts w:eastAsia="Calibri"/>
                <w:sz w:val="22"/>
                <w:lang w:eastAsia="de-DE" w:bidi="de-DE"/>
              </w:rPr>
            </w:pPr>
            <w:r>
              <w:rPr>
                <w:rFonts w:eastAsia="Calibri"/>
                <w:sz w:val="22"/>
                <w:lang w:eastAsia="de-DE" w:bidi="de-DE"/>
              </w:rPr>
              <w:t>von 15.485,01 EUR bis 21.505</w:t>
            </w:r>
            <w:r w:rsidRPr="00A21F71">
              <w:rPr>
                <w:rFonts w:eastAsia="Calibri"/>
                <w:sz w:val="22"/>
                <w:lang w:eastAsia="de-DE" w:bidi="de-DE"/>
              </w:rPr>
              <w:t>,00 EUR</w:t>
            </w:r>
          </w:p>
          <w:p w14:paraId="371811FC" w14:textId="77777777" w:rsidR="007A5656" w:rsidRPr="00A21F71" w:rsidRDefault="007A5656" w:rsidP="00212CA2">
            <w:pPr>
              <w:rPr>
                <w:rFonts w:eastAsia="Calibri"/>
                <w:sz w:val="22"/>
                <w:lang w:eastAsia="de-DE" w:bidi="de-DE"/>
              </w:rPr>
            </w:pPr>
            <w:r>
              <w:rPr>
                <w:rFonts w:eastAsia="Calibri"/>
                <w:sz w:val="22"/>
                <w:lang w:eastAsia="de-DE" w:bidi="de-DE"/>
              </w:rPr>
              <w:t>von 21.505,01 EUR bis 43.16</w:t>
            </w:r>
            <w:r w:rsidRPr="00A21F71">
              <w:rPr>
                <w:rFonts w:eastAsia="Calibri"/>
                <w:sz w:val="22"/>
                <w:lang w:eastAsia="de-DE" w:bidi="de-DE"/>
              </w:rPr>
              <w:t>0,00 EUR</w:t>
            </w:r>
          </w:p>
          <w:p w14:paraId="3176BC4D" w14:textId="77777777" w:rsidR="007A5656" w:rsidRPr="00A21F71" w:rsidRDefault="007A5656" w:rsidP="00212CA2">
            <w:pPr>
              <w:rPr>
                <w:rFonts w:eastAsia="Calibri"/>
                <w:sz w:val="22"/>
                <w:lang w:eastAsia="de-DE" w:bidi="de-DE"/>
              </w:rPr>
            </w:pPr>
            <w:r>
              <w:rPr>
                <w:rFonts w:eastAsia="Calibri"/>
                <w:sz w:val="22"/>
                <w:lang w:eastAsia="de-DE" w:bidi="de-DE"/>
              </w:rPr>
              <w:t>mehr als 43.16</w:t>
            </w:r>
            <w:r w:rsidRPr="00A21F71">
              <w:rPr>
                <w:rFonts w:eastAsia="Calibri"/>
                <w:sz w:val="22"/>
                <w:lang w:eastAsia="de-DE" w:bidi="de-DE"/>
              </w:rPr>
              <w:t>0,00 EUR</w:t>
            </w:r>
          </w:p>
        </w:tc>
        <w:tc>
          <w:tcPr>
            <w:tcW w:w="4606" w:type="dxa"/>
          </w:tcPr>
          <w:p w14:paraId="3322A1F3"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26,75</w:t>
            </w:r>
          </w:p>
          <w:p w14:paraId="52ABC829"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32,10</w:t>
            </w:r>
          </w:p>
          <w:p w14:paraId="232AA16A"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42,80</w:t>
            </w:r>
          </w:p>
          <w:p w14:paraId="357F3527"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48,15</w:t>
            </w:r>
          </w:p>
          <w:p w14:paraId="6C26E43E"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53,50</w:t>
            </w:r>
          </w:p>
        </w:tc>
      </w:tr>
    </w:tbl>
    <w:p w14:paraId="7E20570E" w14:textId="77777777" w:rsidR="007A5656" w:rsidRPr="00A21F71" w:rsidRDefault="007A5656" w:rsidP="007A5656">
      <w:pPr>
        <w:jc w:val="both"/>
        <w:rPr>
          <w:rFonts w:eastAsia="Calibri"/>
          <w:lang w:eastAsia="de-DE" w:bidi="de-DE"/>
        </w:rPr>
      </w:pPr>
    </w:p>
    <w:p w14:paraId="39B8B291"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7DA72F87" w14:textId="77777777" w:rsidR="007A5656" w:rsidRPr="00A21F71" w:rsidRDefault="007A5656" w:rsidP="007A5656">
      <w:pPr>
        <w:rPr>
          <w:rFonts w:eastAsia="Calibri"/>
          <w:lang w:eastAsia="de-DE" w:bidi="de-DE"/>
        </w:rPr>
      </w:pPr>
      <w:r w:rsidRPr="00A21F71">
        <w:rPr>
          <w:rFonts w:eastAsia="Calibri"/>
          <w:lang w:eastAsia="de-DE" w:bidi="de-DE"/>
        </w:rPr>
        <w:lastRenderedPageBreak/>
        <w:tab/>
        <w:t>5.10 Entlohnungen für Akkordarbeit</w:t>
      </w:r>
    </w:p>
    <w:p w14:paraId="11D7397E" w14:textId="77777777" w:rsidR="007A5656" w:rsidRPr="00A21F71" w:rsidRDefault="007A5656" w:rsidP="007A5656">
      <w:pPr>
        <w:jc w:val="both"/>
        <w:rPr>
          <w:rFonts w:eastAsia="Calibri"/>
          <w:lang w:eastAsia="de-DE" w:bidi="de-DE"/>
        </w:rPr>
      </w:pPr>
    </w:p>
    <w:p w14:paraId="08C55C89" w14:textId="77777777" w:rsidR="007A5656" w:rsidRPr="00A21F71" w:rsidRDefault="007A5656" w:rsidP="007A5656">
      <w:pPr>
        <w:jc w:val="both"/>
        <w:rPr>
          <w:rFonts w:eastAsia="Calibri"/>
          <w:lang w:eastAsia="de-DE" w:bidi="de-DE"/>
        </w:rPr>
      </w:pPr>
      <w:r w:rsidRPr="00A21F71">
        <w:rPr>
          <w:rFonts w:eastAsia="Calibri"/>
          <w:lang w:eastAsia="de-DE" w:bidi="de-DE"/>
        </w:rPr>
        <w:tab/>
        <w:t>Der Berufssteuervorabzug auf Entlohnungen, die Akkordarbeitern gezahlt werden, deren unregelmäßige und vom Arbeitgeber nicht kontrollierte Leistungen nicht in Tagen, Wochen, zwei Wochen oder Monaten Arbeit ausgedrückt werden, wird gemäß den in den Nummern 5.2 bis 5.7 vorgesehenen Regeln festgelegt unter Berücksichtigung der Dauer des Zeitraums, auf den sich die Entlohnungen beziehen.</w:t>
      </w:r>
    </w:p>
    <w:p w14:paraId="167BAB5F" w14:textId="77777777" w:rsidR="007A5656" w:rsidRPr="00A21F71" w:rsidRDefault="007A5656" w:rsidP="007A5656">
      <w:pPr>
        <w:jc w:val="both"/>
        <w:rPr>
          <w:rFonts w:eastAsia="Calibri"/>
          <w:lang w:eastAsia="de-DE" w:bidi="de-DE"/>
        </w:rPr>
      </w:pPr>
    </w:p>
    <w:p w14:paraId="216A0673" w14:textId="77777777" w:rsidR="007A5656" w:rsidRPr="00A21F71" w:rsidRDefault="007A5656" w:rsidP="007A5656">
      <w:pPr>
        <w:jc w:val="both"/>
        <w:rPr>
          <w:rFonts w:eastAsia="Calibri"/>
          <w:lang w:eastAsia="de-DE" w:bidi="de-DE"/>
        </w:rPr>
      </w:pPr>
      <w:r w:rsidRPr="00A21F71">
        <w:rPr>
          <w:rFonts w:eastAsia="Calibri"/>
          <w:lang w:eastAsia="de-DE" w:bidi="de-DE"/>
        </w:rPr>
        <w:tab/>
        <w:t>5.11 Gelegenheitsarbeitnehmer im Horeca-Sektor</w:t>
      </w:r>
    </w:p>
    <w:p w14:paraId="7B862052" w14:textId="77777777" w:rsidR="007A5656" w:rsidRPr="00A21F71" w:rsidRDefault="007A5656" w:rsidP="007A5656">
      <w:pPr>
        <w:jc w:val="both"/>
        <w:rPr>
          <w:rFonts w:eastAsia="Calibri"/>
          <w:lang w:eastAsia="de-DE" w:bidi="de-DE"/>
        </w:rPr>
      </w:pPr>
    </w:p>
    <w:p w14:paraId="6392F2FB" w14:textId="77777777" w:rsidR="007A5656" w:rsidRPr="00A21F71" w:rsidRDefault="007A5656" w:rsidP="007A5656">
      <w:pPr>
        <w:jc w:val="both"/>
        <w:rPr>
          <w:rFonts w:eastAsia="Calibri"/>
          <w:lang w:eastAsia="de-DE" w:bidi="de-DE"/>
        </w:rPr>
      </w:pPr>
      <w:r w:rsidRPr="00A21F71">
        <w:rPr>
          <w:rFonts w:eastAsia="Calibri"/>
          <w:lang w:eastAsia="de-DE" w:bidi="de-DE"/>
        </w:rPr>
        <w:tab/>
        <w:t>In Abweichung von den vorhergehenden Regeln wird der Berufssteuervorabzug einheitlich (ohne Ermäßigung) auf 33,31 Prozent festgelegt für Besoldungen für Leistungen, die während höchstens fünfzig Tagen pro Kalenderjahr erbracht werden und die Gelegenheitsarbeitnehmern gezahlt oder zuerkannt werden, die bei einem Arbeitgeber beschäftigt sind, der der Paritätischen Kommission für das Hotelgewerbe oder der Paritätischen Kommission für Leiharbeit untersteht, sofern der Entleiher der Paritätischen Kommission für das Hotelgewerbe untersteht, vorausgesetzt, dass Arbeitgeber und Arbeitnehmer einen Arbeitsvertrag für einen befristeten Zeitraum oder einen Arbeitsvertrag für eine genau bestimmte Arbeit für höchstens zwei aufeinander folgende Tage schließen, für die die Sozialversicherungsbeiträge auf der Grundlage der Stunden- oder Tagespauschale berechnet werden, die in Artikel 31</w:t>
      </w:r>
      <w:r w:rsidRPr="00A21F71">
        <w:rPr>
          <w:rFonts w:eastAsia="Calibri"/>
          <w:i/>
          <w:lang w:eastAsia="de-DE" w:bidi="de-DE"/>
        </w:rPr>
        <w:t>ter</w:t>
      </w:r>
      <w:r w:rsidRPr="00A21F71">
        <w:rPr>
          <w:rFonts w:eastAsia="Calibri"/>
          <w:lang w:eastAsia="de-DE" w:bidi="de-DE"/>
        </w:rPr>
        <w:t xml:space="preserve"> Absatz 2 des Königlichen Erlasses vom 28. November 1969 zur Ausführung des Gesetzes vom 27. Juni 1969 zur Revision des Erlassgesetzes vom 28. Dezember 1944 über die soziale Sicherheit der Arbeitnehmer erwähnt ist.</w:t>
      </w:r>
    </w:p>
    <w:p w14:paraId="17807781" w14:textId="77777777" w:rsidR="007A5656" w:rsidRPr="00A21F71" w:rsidRDefault="007A5656" w:rsidP="007A5656">
      <w:pPr>
        <w:jc w:val="both"/>
        <w:rPr>
          <w:rFonts w:eastAsia="Calibri"/>
          <w:lang w:eastAsia="de-DE" w:bidi="de-DE"/>
        </w:rPr>
      </w:pPr>
    </w:p>
    <w:p w14:paraId="36754E0E" w14:textId="77777777" w:rsidR="007A5656" w:rsidRPr="00A21F71" w:rsidRDefault="007A5656" w:rsidP="007A5656">
      <w:pPr>
        <w:jc w:val="both"/>
        <w:rPr>
          <w:rFonts w:eastAsia="Calibri"/>
          <w:lang w:eastAsia="de-DE" w:bidi="de-DE"/>
        </w:rPr>
      </w:pPr>
    </w:p>
    <w:p w14:paraId="4D403FC9" w14:textId="77777777" w:rsidR="007A5656" w:rsidRPr="00A21F71" w:rsidRDefault="007A5656" w:rsidP="007A5656">
      <w:pPr>
        <w:jc w:val="center"/>
        <w:rPr>
          <w:rFonts w:eastAsia="Calibri"/>
          <w:lang w:eastAsia="de-DE" w:bidi="de-DE"/>
        </w:rPr>
      </w:pPr>
      <w:r w:rsidRPr="00A21F71">
        <w:rPr>
          <w:rFonts w:eastAsia="Calibri"/>
          <w:i/>
          <w:lang w:eastAsia="de-DE" w:bidi="de-DE"/>
        </w:rPr>
        <w:t>Abschnitt 2</w:t>
      </w:r>
      <w:r w:rsidRPr="00A21F71">
        <w:rPr>
          <w:rFonts w:eastAsia="Calibri"/>
          <w:lang w:eastAsia="de-DE" w:bidi="de-DE"/>
        </w:rPr>
        <w:t> - Arbeitslosengeld mit Betriebszuschlag</w:t>
      </w:r>
    </w:p>
    <w:p w14:paraId="34DBCD8C" w14:textId="77777777" w:rsidR="007A5656" w:rsidRPr="00A21F71" w:rsidRDefault="007A5656" w:rsidP="007A5656">
      <w:pPr>
        <w:jc w:val="both"/>
        <w:rPr>
          <w:rFonts w:eastAsia="Calibri"/>
          <w:lang w:eastAsia="de-DE" w:bidi="de-DE"/>
        </w:rPr>
      </w:pPr>
    </w:p>
    <w:p w14:paraId="6F69514B" w14:textId="77777777" w:rsidR="007A5656" w:rsidRPr="00A21F71" w:rsidRDefault="007A5656" w:rsidP="007A5656">
      <w:pPr>
        <w:jc w:val="both"/>
        <w:rPr>
          <w:rFonts w:eastAsia="Calibri"/>
          <w:lang w:eastAsia="de-DE" w:bidi="de-DE"/>
        </w:rPr>
      </w:pPr>
    </w:p>
    <w:p w14:paraId="3660977E" w14:textId="77777777" w:rsidR="007A5656" w:rsidRPr="00A21F71" w:rsidRDefault="007A5656" w:rsidP="007A5656">
      <w:pPr>
        <w:jc w:val="both"/>
        <w:rPr>
          <w:rFonts w:eastAsia="Calibri"/>
          <w:lang w:eastAsia="de-DE" w:bidi="de-DE"/>
        </w:rPr>
      </w:pPr>
      <w:r w:rsidRPr="00A21F71">
        <w:rPr>
          <w:rFonts w:eastAsia="Calibri"/>
          <w:lang w:eastAsia="de-DE" w:bidi="de-DE"/>
        </w:rPr>
        <w:tab/>
        <w:t>5.12 In Abweichung von Nr. 2.14 wird der Berufssteuervorabzug auf Arbeitslosengeld mit Betriebszuschlag von Arbeitnehmern, das Gebietsfremden gezahlt oder zuerkannt wird, die nicht in Nr. 2.1 Punkt B erwähnt sind, gemäß folgenden Regeln festgelegt.</w:t>
      </w:r>
    </w:p>
    <w:p w14:paraId="32A09052" w14:textId="77777777" w:rsidR="007A5656" w:rsidRPr="00A21F71" w:rsidRDefault="007A5656" w:rsidP="007A5656">
      <w:pPr>
        <w:jc w:val="both"/>
        <w:rPr>
          <w:rFonts w:eastAsia="Calibri"/>
          <w:lang w:eastAsia="de-DE" w:bidi="de-DE"/>
        </w:rPr>
      </w:pPr>
    </w:p>
    <w:p w14:paraId="54CD6192" w14:textId="77777777" w:rsidR="007A5656" w:rsidRPr="00A21F71" w:rsidRDefault="007A5656" w:rsidP="007A5656">
      <w:pPr>
        <w:jc w:val="both"/>
        <w:rPr>
          <w:rFonts w:eastAsia="Calibri"/>
          <w:lang w:eastAsia="de-DE" w:bidi="de-DE"/>
        </w:rPr>
      </w:pPr>
      <w:r w:rsidRPr="00A21F71">
        <w:rPr>
          <w:rFonts w:eastAsia="Calibri"/>
          <w:lang w:eastAsia="de-DE" w:bidi="de-DE"/>
        </w:rPr>
        <w:tab/>
        <w:t>5.13 Arbeitslosengeld mit Betriebszuschlag</w:t>
      </w:r>
    </w:p>
    <w:p w14:paraId="6624F853" w14:textId="77777777" w:rsidR="007A5656" w:rsidRPr="00A21F71" w:rsidRDefault="007A5656" w:rsidP="007A5656">
      <w:pPr>
        <w:jc w:val="both"/>
        <w:rPr>
          <w:rFonts w:eastAsia="Calibri"/>
          <w:lang w:eastAsia="de-DE" w:bidi="de-DE"/>
        </w:rPr>
      </w:pPr>
    </w:p>
    <w:p w14:paraId="335783A3" w14:textId="77777777" w:rsidR="007A5656" w:rsidRPr="00A21F71" w:rsidRDefault="007A5656" w:rsidP="007A5656">
      <w:pPr>
        <w:jc w:val="both"/>
        <w:rPr>
          <w:rFonts w:eastAsia="Calibri"/>
          <w:lang w:eastAsia="de-DE" w:bidi="de-DE"/>
        </w:rPr>
      </w:pPr>
      <w:r w:rsidRPr="00A21F71">
        <w:rPr>
          <w:rFonts w:eastAsia="Calibri"/>
          <w:lang w:eastAsia="de-DE" w:bidi="de-DE"/>
        </w:rPr>
        <w:tab/>
        <w:t>Entschädigungen, die im Rahmen oder anlässlich einer Regelung des Arbeitslosen</w:t>
      </w:r>
      <w:r w:rsidRPr="00A21F71">
        <w:rPr>
          <w:rFonts w:eastAsia="Calibri"/>
          <w:lang w:eastAsia="de-DE" w:bidi="de-DE"/>
        </w:rPr>
        <w:softHyphen/>
        <w:t>geldes mit Betriebszuschlag entlassenen oder frühpensionierten Arbeitnehmern gezahlt oder zuerkannt werden, sind vom Berufssteuervorabzug in dem Maße befreit, wie ihr Gesamtbetrag den für Arbeitslosengeld vorgesehenen Höchstbetrag nicht übersteigt.</w:t>
      </w:r>
    </w:p>
    <w:p w14:paraId="3F61C4E1" w14:textId="77777777" w:rsidR="007A5656" w:rsidRPr="00A21F71" w:rsidRDefault="007A5656" w:rsidP="007A5656">
      <w:pPr>
        <w:jc w:val="both"/>
        <w:rPr>
          <w:rFonts w:eastAsia="Calibri"/>
          <w:lang w:eastAsia="de-DE" w:bidi="de-DE"/>
        </w:rPr>
      </w:pPr>
    </w:p>
    <w:p w14:paraId="24CABC37" w14:textId="77777777" w:rsidR="007A5656" w:rsidRPr="00A21F71" w:rsidRDefault="007A5656" w:rsidP="007A5656">
      <w:pPr>
        <w:jc w:val="both"/>
        <w:rPr>
          <w:rFonts w:eastAsia="Calibri"/>
          <w:lang w:eastAsia="de-DE" w:bidi="de-DE"/>
        </w:rPr>
      </w:pPr>
      <w:r w:rsidRPr="00A21F71">
        <w:rPr>
          <w:rFonts w:eastAsia="Calibri"/>
          <w:lang w:eastAsia="de-DE" w:bidi="de-DE"/>
        </w:rPr>
        <w:tab/>
        <w:t>Was den Teil des Gesamtbetrags dieser Entschädigungen betrifft, der den vorerwähnten Höchstbetrag für Arbeitslosengeld übersteigt, müssen Schuldner dieses Teils den Berufssteuervorabzug einbehalten und entrichten. Dieser Berufssteuervorabzug wird gemäß den in den Nummern 5.14 und 5.15 vorgesehenen Regeln auf der Grundlage des Gesamtbetrags der Entschädigungen berechnet.</w:t>
      </w:r>
    </w:p>
    <w:p w14:paraId="10A3409B"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61F23DBE"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5.14 Monatliches Arbeitslosengeld mit Betriebszuschlag</w:t>
      </w:r>
    </w:p>
    <w:p w14:paraId="25378E26" w14:textId="77777777" w:rsidR="007A5656" w:rsidRPr="00A21F71" w:rsidRDefault="007A5656" w:rsidP="007A5656">
      <w:pPr>
        <w:jc w:val="both"/>
        <w:rPr>
          <w:rFonts w:eastAsia="Calibri"/>
          <w:lang w:eastAsia="de-DE" w:bidi="de-DE"/>
        </w:rPr>
      </w:pPr>
    </w:p>
    <w:p w14:paraId="5F54FF66" w14:textId="77777777" w:rsidR="007A5656" w:rsidRPr="00A21F71" w:rsidRDefault="007A5656" w:rsidP="007A5656">
      <w:pPr>
        <w:jc w:val="both"/>
        <w:rPr>
          <w:rFonts w:eastAsia="Calibri"/>
          <w:lang w:eastAsia="de-DE" w:bidi="de-DE"/>
        </w:rPr>
      </w:pPr>
      <w:r w:rsidRPr="00A21F71">
        <w:rPr>
          <w:rFonts w:eastAsia="Calibri"/>
          <w:lang w:eastAsia="de-DE" w:bidi="de-DE"/>
        </w:rPr>
        <w:tab/>
        <w:t>A. Beträgt der Gesamtbetrag dieser monatlichen Entschädigungen nicht mehr als 7.500 EUR, wird der Berufssteuervorabzug gemäß Tabelle III, Spalte Pensionen, festgelegt.</w:t>
      </w:r>
    </w:p>
    <w:p w14:paraId="5AD6E3B7" w14:textId="77777777" w:rsidR="007A5656" w:rsidRPr="00A21F71" w:rsidRDefault="007A5656" w:rsidP="007A5656">
      <w:pPr>
        <w:jc w:val="both"/>
        <w:rPr>
          <w:rFonts w:eastAsia="Calibri"/>
          <w:lang w:eastAsia="de-DE" w:bidi="de-DE"/>
        </w:rPr>
      </w:pPr>
    </w:p>
    <w:p w14:paraId="00EAC065" w14:textId="77777777" w:rsidR="007A5656" w:rsidRPr="00A21F71" w:rsidRDefault="007A5656" w:rsidP="007A5656">
      <w:pPr>
        <w:jc w:val="both"/>
        <w:rPr>
          <w:rFonts w:eastAsia="Calibri"/>
          <w:lang w:eastAsia="de-DE" w:bidi="de-DE"/>
        </w:rPr>
      </w:pPr>
      <w:r w:rsidRPr="00A21F71">
        <w:rPr>
          <w:rFonts w:eastAsia="Calibri"/>
          <w:lang w:eastAsia="de-DE" w:bidi="de-DE"/>
        </w:rPr>
        <w:tab/>
        <w:t>B. Beträgt der Gesamtbetrag dieser monatlichen Entschädigungen mehr als 7.500 EUR, wird der Berufssteuervorabzug wie folgt festgelegt:</w:t>
      </w:r>
    </w:p>
    <w:p w14:paraId="48E39F29" w14:textId="77777777" w:rsidR="007A5656" w:rsidRPr="00A21F71" w:rsidRDefault="007A5656" w:rsidP="007A5656">
      <w:pPr>
        <w:jc w:val="both"/>
        <w:rPr>
          <w:rFonts w:eastAsia="Calibri"/>
          <w:lang w:eastAsia="de-DE" w:bidi="de-DE"/>
        </w:rPr>
      </w:pPr>
    </w:p>
    <w:p w14:paraId="5F5DB1C6" w14:textId="77777777" w:rsidR="007A5656" w:rsidRPr="00A21F71" w:rsidRDefault="007A5656" w:rsidP="007A5656">
      <w:pPr>
        <w:jc w:val="both"/>
        <w:rPr>
          <w:rFonts w:eastAsia="Calibri"/>
          <w:lang w:eastAsia="de-DE" w:bidi="de-DE"/>
        </w:rPr>
      </w:pPr>
      <w:r w:rsidRPr="00A21F71">
        <w:rPr>
          <w:rFonts w:eastAsia="Calibri"/>
          <w:lang w:eastAsia="de-DE" w:bidi="de-DE"/>
        </w:rPr>
        <w:tab/>
        <w:t>a) Der monatliche Gesamtbetrag wird auf das untere Vielfache von 15 EUR abgerundet.</w:t>
      </w:r>
    </w:p>
    <w:p w14:paraId="2879E1FB" w14:textId="77777777" w:rsidR="007A5656" w:rsidRPr="00A21F71" w:rsidRDefault="007A5656" w:rsidP="007A5656">
      <w:pPr>
        <w:rPr>
          <w:rFonts w:eastAsia="Calibri"/>
          <w:lang w:eastAsia="de-DE" w:bidi="de-DE"/>
        </w:rPr>
      </w:pPr>
    </w:p>
    <w:p w14:paraId="66DF26FC" w14:textId="77777777" w:rsidR="007A5656" w:rsidRPr="00A21F71" w:rsidRDefault="007A5656" w:rsidP="007A5656">
      <w:pPr>
        <w:jc w:val="both"/>
        <w:rPr>
          <w:rFonts w:eastAsia="Calibri"/>
          <w:lang w:eastAsia="de-DE" w:bidi="de-DE"/>
        </w:rPr>
      </w:pPr>
      <w:r w:rsidRPr="00A21F71">
        <w:rPr>
          <w:rFonts w:eastAsia="Calibri"/>
          <w:lang w:eastAsia="de-DE" w:bidi="de-DE"/>
        </w:rPr>
        <w:tab/>
        <w:t>b) Der Berufssteuervorabzug auf diesen a</w:t>
      </w:r>
      <w:r>
        <w:rPr>
          <w:rFonts w:eastAsia="Calibri"/>
          <w:lang w:eastAsia="de-DE" w:bidi="de-DE"/>
        </w:rPr>
        <w:t>bgerundeten Betrag beträgt 3.492,98</w:t>
      </w:r>
      <w:r w:rsidRPr="00A21F71">
        <w:rPr>
          <w:rFonts w:eastAsia="Calibri"/>
          <w:lang w:eastAsia="de-DE" w:bidi="de-DE"/>
        </w:rPr>
        <w:t> EUR, erhöht um 53,50 Prozent des Teils des monatlichen Gesamtbetrags, der über 7.500 EUR liegt.</w:t>
      </w:r>
    </w:p>
    <w:p w14:paraId="19E7725B" w14:textId="77777777" w:rsidR="007A5656" w:rsidRPr="00A21F71" w:rsidRDefault="007A5656" w:rsidP="007A5656">
      <w:pPr>
        <w:jc w:val="both"/>
        <w:rPr>
          <w:rFonts w:eastAsia="Calibri"/>
          <w:lang w:eastAsia="de-DE" w:bidi="de-DE"/>
        </w:rPr>
      </w:pPr>
    </w:p>
    <w:p w14:paraId="5F1ADA9C" w14:textId="77777777" w:rsidR="007A5656" w:rsidRPr="00A21F71" w:rsidRDefault="007A5656" w:rsidP="007A5656">
      <w:pPr>
        <w:jc w:val="both"/>
        <w:rPr>
          <w:rFonts w:eastAsia="Calibri"/>
          <w:lang w:eastAsia="de-DE" w:bidi="de-DE"/>
        </w:rPr>
      </w:pPr>
      <w:r w:rsidRPr="00A21F71">
        <w:rPr>
          <w:rFonts w:eastAsia="Calibri"/>
          <w:lang w:eastAsia="de-DE" w:bidi="de-DE"/>
        </w:rPr>
        <w:tab/>
        <w:t>5.15 Anders als monatlich gezahltes Arbeitslosengeld mit Betriebszuschlag</w:t>
      </w:r>
    </w:p>
    <w:p w14:paraId="24416C70" w14:textId="77777777" w:rsidR="007A5656" w:rsidRPr="00A21F71" w:rsidRDefault="007A5656" w:rsidP="007A5656">
      <w:pPr>
        <w:jc w:val="both"/>
        <w:rPr>
          <w:rFonts w:eastAsia="Calibri"/>
          <w:lang w:eastAsia="de-DE" w:bidi="de-DE"/>
        </w:rPr>
      </w:pPr>
    </w:p>
    <w:p w14:paraId="7CE9CF63" w14:textId="77777777" w:rsidR="007A5656" w:rsidRPr="00A21F71" w:rsidRDefault="007A5656" w:rsidP="007A5656">
      <w:pPr>
        <w:jc w:val="both"/>
        <w:rPr>
          <w:rFonts w:eastAsia="Calibri"/>
          <w:lang w:eastAsia="de-DE" w:bidi="de-DE"/>
        </w:rPr>
      </w:pPr>
      <w:r w:rsidRPr="00A21F71">
        <w:rPr>
          <w:rFonts w:eastAsia="Calibri"/>
          <w:lang w:eastAsia="de-DE" w:bidi="de-DE"/>
        </w:rPr>
        <w:tab/>
        <w:t>Für Arbeitslosengeld mit Betriebszuschlag, das anders als monatlich gezahlt wird, beträgt der Berufssteuervorabzug ein Dreißigstel des Produkts, das sich aus der Multiplikation des Betrags des Berufssteuervorabzugs, der auf den entsprechenden monatlichen Gesamtbetrag des Arbeitslosengeldes mit Betriebszuschlag geschuldet wird, mit der Anzahl Tage des Zeitraums, auf den sich das Arbeitslosengeld mit Betriebszuschlag bezieht, ergibt.</w:t>
      </w:r>
    </w:p>
    <w:p w14:paraId="30C60CD7" w14:textId="77777777" w:rsidR="007A5656" w:rsidRPr="00A21F71" w:rsidRDefault="007A5656" w:rsidP="007A5656">
      <w:pPr>
        <w:jc w:val="both"/>
        <w:rPr>
          <w:rFonts w:eastAsia="Calibri"/>
          <w:lang w:eastAsia="de-DE" w:bidi="de-DE"/>
        </w:rPr>
      </w:pPr>
    </w:p>
    <w:p w14:paraId="38E761F5" w14:textId="77777777" w:rsidR="007A5656" w:rsidRPr="00A21F71" w:rsidRDefault="007A5656" w:rsidP="007A5656">
      <w:pPr>
        <w:jc w:val="both"/>
        <w:rPr>
          <w:rFonts w:eastAsia="Calibri"/>
          <w:lang w:eastAsia="de-DE" w:bidi="de-DE"/>
        </w:rPr>
      </w:pPr>
    </w:p>
    <w:p w14:paraId="1FA5C348" w14:textId="77777777" w:rsidR="007A5656" w:rsidRPr="00A21F71" w:rsidRDefault="007A5656" w:rsidP="007A5656">
      <w:pPr>
        <w:jc w:val="center"/>
        <w:rPr>
          <w:rFonts w:eastAsia="Calibri"/>
          <w:lang w:eastAsia="de-DE" w:bidi="de-DE"/>
        </w:rPr>
      </w:pPr>
      <w:r w:rsidRPr="00A21F71">
        <w:rPr>
          <w:rFonts w:eastAsia="Calibri"/>
          <w:i/>
          <w:lang w:eastAsia="de-DE" w:bidi="de-DE"/>
        </w:rPr>
        <w:t>Abschnitt 3</w:t>
      </w:r>
      <w:r w:rsidRPr="00A21F71">
        <w:rPr>
          <w:rFonts w:eastAsia="Calibri"/>
          <w:lang w:eastAsia="de-DE" w:bidi="de-DE"/>
        </w:rPr>
        <w:t> - Entlohnungen von Unternehmensleitern</w:t>
      </w:r>
    </w:p>
    <w:p w14:paraId="35415B60" w14:textId="77777777" w:rsidR="007A5656" w:rsidRPr="00A21F71" w:rsidRDefault="007A5656" w:rsidP="007A5656">
      <w:pPr>
        <w:jc w:val="both"/>
        <w:rPr>
          <w:rFonts w:eastAsia="Calibri"/>
          <w:lang w:eastAsia="de-DE" w:bidi="de-DE"/>
        </w:rPr>
      </w:pPr>
    </w:p>
    <w:p w14:paraId="275B50E3" w14:textId="77777777" w:rsidR="007A5656" w:rsidRPr="00A21F71" w:rsidRDefault="007A5656" w:rsidP="007A5656">
      <w:pPr>
        <w:jc w:val="both"/>
        <w:rPr>
          <w:rFonts w:eastAsia="Calibri"/>
          <w:lang w:eastAsia="de-DE" w:bidi="de-DE"/>
        </w:rPr>
      </w:pPr>
    </w:p>
    <w:p w14:paraId="753AD43A" w14:textId="77777777" w:rsidR="007A5656" w:rsidRPr="00A21F71" w:rsidRDefault="007A5656" w:rsidP="007A5656">
      <w:pPr>
        <w:jc w:val="both"/>
        <w:rPr>
          <w:rFonts w:eastAsia="Calibri"/>
          <w:lang w:eastAsia="de-DE" w:bidi="de-DE"/>
        </w:rPr>
      </w:pPr>
      <w:r w:rsidRPr="00A21F71">
        <w:rPr>
          <w:rFonts w:eastAsia="Calibri"/>
          <w:lang w:eastAsia="de-DE" w:bidi="de-DE"/>
        </w:rPr>
        <w:tab/>
        <w:t>5.16 In Abweichung von den Nummern 3.3 bis 3.8 wird der Berufssteuervorabzug auf Entlohnungen von Unternehmensleitern, die Gebietsfremden gezahlt oder zuerkannt werden, die nicht in Nr. 3.1 Punkt B erwähnt sind, gemäß folgenden Regeln festgelegt.</w:t>
      </w:r>
    </w:p>
    <w:p w14:paraId="6CECA503" w14:textId="77777777" w:rsidR="007A5656" w:rsidRPr="00A21F71" w:rsidRDefault="007A5656" w:rsidP="007A5656">
      <w:pPr>
        <w:jc w:val="both"/>
        <w:rPr>
          <w:rFonts w:eastAsia="Calibri"/>
          <w:lang w:eastAsia="de-DE" w:bidi="de-DE"/>
        </w:rPr>
      </w:pPr>
    </w:p>
    <w:p w14:paraId="4D834C51" w14:textId="77777777" w:rsidR="007A5656" w:rsidRPr="00A21F71" w:rsidRDefault="007A5656" w:rsidP="007A5656">
      <w:pPr>
        <w:jc w:val="both"/>
        <w:rPr>
          <w:rFonts w:eastAsia="Calibri"/>
          <w:lang w:eastAsia="de-DE" w:bidi="de-DE"/>
        </w:rPr>
      </w:pPr>
    </w:p>
    <w:p w14:paraId="41138C61" w14:textId="77777777" w:rsidR="007A5656" w:rsidRPr="00A21F71" w:rsidRDefault="007A5656" w:rsidP="007A5656">
      <w:pPr>
        <w:jc w:val="center"/>
        <w:rPr>
          <w:rFonts w:eastAsia="Calibri"/>
          <w:lang w:eastAsia="de-DE" w:bidi="de-DE"/>
        </w:rPr>
      </w:pPr>
      <w:r w:rsidRPr="00A21F71">
        <w:rPr>
          <w:rFonts w:eastAsia="Calibri"/>
          <w:lang w:eastAsia="de-DE" w:bidi="de-DE"/>
        </w:rPr>
        <w:t>Unterabschnitt 1 - Monatliche Bruttoentlohnungen bis zu 7.500 EUR</w:t>
      </w:r>
    </w:p>
    <w:p w14:paraId="25FD2D9F" w14:textId="77777777" w:rsidR="007A5656" w:rsidRPr="00A21F71" w:rsidRDefault="007A5656" w:rsidP="007A5656">
      <w:pPr>
        <w:jc w:val="both"/>
        <w:rPr>
          <w:rFonts w:eastAsia="Calibri"/>
          <w:lang w:eastAsia="de-DE" w:bidi="de-DE"/>
        </w:rPr>
      </w:pPr>
    </w:p>
    <w:p w14:paraId="7CCBF211" w14:textId="77777777" w:rsidR="007A5656" w:rsidRPr="00A21F71" w:rsidRDefault="007A5656" w:rsidP="007A5656">
      <w:pPr>
        <w:jc w:val="both"/>
        <w:rPr>
          <w:rFonts w:eastAsia="Calibri"/>
          <w:lang w:eastAsia="de-DE" w:bidi="de-DE"/>
        </w:rPr>
      </w:pPr>
    </w:p>
    <w:p w14:paraId="3712770E" w14:textId="77777777" w:rsidR="007A5656" w:rsidRPr="00A21F71" w:rsidRDefault="007A5656" w:rsidP="007A5656">
      <w:pPr>
        <w:jc w:val="both"/>
        <w:rPr>
          <w:rFonts w:eastAsia="Calibri"/>
          <w:lang w:eastAsia="de-DE" w:bidi="de-DE"/>
        </w:rPr>
      </w:pPr>
      <w:r w:rsidRPr="00A21F71">
        <w:rPr>
          <w:rFonts w:eastAsia="Calibri"/>
          <w:lang w:eastAsia="de-DE" w:bidi="de-DE"/>
        </w:rPr>
        <w:tab/>
        <w:t>5.17 Beträgt die monatliche Bruttoentlohnung nicht mehr als 7.500 EUR, wird der Berufssteuervorabzug gemäß Tabelle III, Spalte Unternehmensleiter, festgelegt.</w:t>
      </w:r>
    </w:p>
    <w:p w14:paraId="5A6E17BF" w14:textId="77777777" w:rsidR="007A5656" w:rsidRPr="00A21F71" w:rsidRDefault="007A5656" w:rsidP="007A5656">
      <w:pPr>
        <w:jc w:val="both"/>
        <w:rPr>
          <w:rFonts w:eastAsia="Calibri"/>
          <w:lang w:eastAsia="de-DE" w:bidi="de-DE"/>
        </w:rPr>
      </w:pPr>
    </w:p>
    <w:p w14:paraId="4C91D50D" w14:textId="77777777" w:rsidR="007A5656" w:rsidRPr="00A21F71" w:rsidRDefault="007A5656" w:rsidP="007A5656">
      <w:pPr>
        <w:jc w:val="both"/>
        <w:rPr>
          <w:rFonts w:eastAsia="Calibri"/>
          <w:lang w:eastAsia="de-DE" w:bidi="de-DE"/>
        </w:rPr>
      </w:pPr>
      <w:r w:rsidRPr="00A21F71">
        <w:rPr>
          <w:rFonts w:eastAsia="Calibri"/>
          <w:lang w:eastAsia="de-DE" w:bidi="de-DE"/>
        </w:rPr>
        <w:tab/>
        <w:t>5.18 Der gemäß dieser Tabelle festgelegte Berufssteuervorabzug wird verringert im Verhältnis zu 30 Prozent:</w:t>
      </w:r>
    </w:p>
    <w:p w14:paraId="11A72553" w14:textId="77777777" w:rsidR="007A5656" w:rsidRPr="00A21F71" w:rsidRDefault="007A5656" w:rsidP="007A5656">
      <w:pPr>
        <w:jc w:val="both"/>
        <w:rPr>
          <w:rFonts w:eastAsia="Calibri"/>
          <w:lang w:eastAsia="de-DE" w:bidi="de-DE"/>
        </w:rPr>
      </w:pPr>
    </w:p>
    <w:p w14:paraId="544F8D36" w14:textId="77777777" w:rsidR="007A5656" w:rsidRPr="00A21F71" w:rsidRDefault="007A5656" w:rsidP="007A5656">
      <w:pPr>
        <w:jc w:val="both"/>
        <w:rPr>
          <w:rFonts w:eastAsia="Calibri"/>
          <w:lang w:eastAsia="de-DE" w:bidi="de-DE"/>
        </w:rPr>
      </w:pPr>
      <w:r w:rsidRPr="00A21F71">
        <w:rPr>
          <w:rFonts w:eastAsia="Calibri"/>
          <w:lang w:eastAsia="de-DE" w:bidi="de-DE"/>
        </w:rPr>
        <w:tab/>
        <w:t>- der in Ausführung eines Gruppenversicherungsvertrags vorgeschriebenen Einbehaltungen,</w:t>
      </w:r>
    </w:p>
    <w:p w14:paraId="0AE922F8" w14:textId="77777777" w:rsidR="007A5656" w:rsidRPr="00A21F71" w:rsidRDefault="007A5656" w:rsidP="007A5656">
      <w:pPr>
        <w:jc w:val="both"/>
        <w:rPr>
          <w:rFonts w:eastAsia="Calibri"/>
          <w:lang w:eastAsia="de-DE" w:bidi="de-DE"/>
        </w:rPr>
      </w:pPr>
    </w:p>
    <w:p w14:paraId="2CEF291C" w14:textId="77777777" w:rsidR="007A5656" w:rsidRPr="00A21F71" w:rsidRDefault="007A5656" w:rsidP="007A5656">
      <w:pPr>
        <w:jc w:val="both"/>
        <w:rPr>
          <w:rFonts w:eastAsia="Calibri"/>
          <w:lang w:eastAsia="de-DE" w:bidi="de-DE"/>
        </w:rPr>
      </w:pPr>
      <w:r w:rsidRPr="00A21F71">
        <w:rPr>
          <w:rFonts w:eastAsia="Calibri"/>
          <w:lang w:eastAsia="de-DE" w:bidi="de-DE"/>
        </w:rPr>
        <w:tab/>
        <w:t>- der in Ausführung einer außergesetzlichen Vorsorgeregelung in Bezug auf eine Alters- und Todesfallversicherung vorgeschriebenen Einbehaltungen,</w:t>
      </w:r>
    </w:p>
    <w:p w14:paraId="6E08E6AB" w14:textId="77777777" w:rsidR="007A5656" w:rsidRPr="00A21F71" w:rsidRDefault="007A5656" w:rsidP="007A5656">
      <w:pPr>
        <w:jc w:val="both"/>
        <w:rPr>
          <w:rFonts w:eastAsia="Calibri"/>
          <w:lang w:eastAsia="de-DE" w:bidi="de-DE"/>
        </w:rPr>
      </w:pPr>
    </w:p>
    <w:p w14:paraId="6686239B" w14:textId="77777777" w:rsidR="007A5656" w:rsidRPr="00A21F71" w:rsidRDefault="007A5656" w:rsidP="007A5656">
      <w:pPr>
        <w:jc w:val="both"/>
        <w:rPr>
          <w:rFonts w:eastAsia="Calibri"/>
          <w:lang w:eastAsia="de-DE" w:bidi="de-DE"/>
        </w:rPr>
      </w:pPr>
      <w:r w:rsidRPr="00A21F71">
        <w:rPr>
          <w:rFonts w:eastAsia="Calibri"/>
          <w:lang w:eastAsia="de-DE" w:bidi="de-DE"/>
        </w:rPr>
        <w:tab/>
        <w:t>- der Einbehaltungen, die sich auf die individuelle Weiterführung einer in Artikel 145</w:t>
      </w:r>
      <w:r w:rsidRPr="00A21F71">
        <w:rPr>
          <w:rFonts w:eastAsia="Calibri"/>
          <w:vertAlign w:val="superscript"/>
          <w:lang w:eastAsia="de-DE" w:bidi="de-DE"/>
        </w:rPr>
        <w:t>3</w:t>
      </w:r>
      <w:r w:rsidRPr="00A21F71">
        <w:rPr>
          <w:rFonts w:eastAsia="Calibri"/>
          <w:lang w:eastAsia="de-DE" w:bidi="de-DE"/>
        </w:rPr>
        <w:t xml:space="preserve"> Absatz 3 des Einkommensteuergesetzbuches 1992 erwähnten Pensionsvereinbarung beziehen.</w:t>
      </w:r>
    </w:p>
    <w:p w14:paraId="4310EA51"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7AFA0CAC" w14:textId="77777777" w:rsidR="007A5656" w:rsidRPr="00A21F71" w:rsidRDefault="007A5656" w:rsidP="007A5656">
      <w:pPr>
        <w:jc w:val="center"/>
        <w:rPr>
          <w:rFonts w:eastAsia="Calibri"/>
          <w:lang w:eastAsia="de-DE" w:bidi="de-DE"/>
        </w:rPr>
      </w:pPr>
      <w:r w:rsidRPr="00A21F71">
        <w:rPr>
          <w:rFonts w:eastAsia="Calibri"/>
          <w:lang w:eastAsia="de-DE" w:bidi="de-DE"/>
        </w:rPr>
        <w:lastRenderedPageBreak/>
        <w:t>Unterabschnitt 2 - Monatliche Bruttoentlohnungen über 7.500 EUR</w:t>
      </w:r>
    </w:p>
    <w:p w14:paraId="65C52E39" w14:textId="77777777" w:rsidR="007A5656" w:rsidRPr="00A21F71" w:rsidRDefault="007A5656" w:rsidP="007A5656">
      <w:pPr>
        <w:jc w:val="both"/>
        <w:rPr>
          <w:rFonts w:eastAsia="Calibri"/>
          <w:lang w:eastAsia="de-DE" w:bidi="de-DE"/>
        </w:rPr>
      </w:pPr>
    </w:p>
    <w:p w14:paraId="588B37C4" w14:textId="77777777" w:rsidR="007A5656" w:rsidRPr="00A21F71" w:rsidRDefault="007A5656" w:rsidP="007A5656">
      <w:pPr>
        <w:jc w:val="both"/>
        <w:rPr>
          <w:rFonts w:eastAsia="Calibri"/>
          <w:lang w:eastAsia="de-DE" w:bidi="de-DE"/>
        </w:rPr>
      </w:pPr>
    </w:p>
    <w:p w14:paraId="6FE74C17" w14:textId="77777777" w:rsidR="007A5656" w:rsidRPr="00A21F71" w:rsidRDefault="007A5656" w:rsidP="007A5656">
      <w:pPr>
        <w:jc w:val="both"/>
        <w:rPr>
          <w:rFonts w:eastAsia="Calibri"/>
          <w:lang w:eastAsia="de-DE" w:bidi="de-DE"/>
        </w:rPr>
      </w:pPr>
      <w:r w:rsidRPr="00A21F71">
        <w:rPr>
          <w:rFonts w:eastAsia="Calibri"/>
          <w:lang w:eastAsia="de-DE" w:bidi="de-DE"/>
        </w:rPr>
        <w:tab/>
        <w:t>5.19 Beträgt die monatliche Bruttoentlohnung mehr als 7.500 EUR, wird der Berufssteuervorabzug wie folgt festgelegt:</w:t>
      </w:r>
    </w:p>
    <w:p w14:paraId="175F1228" w14:textId="77777777" w:rsidR="007A5656" w:rsidRPr="00A21F71" w:rsidRDefault="007A5656" w:rsidP="007A5656">
      <w:pPr>
        <w:jc w:val="both"/>
        <w:rPr>
          <w:rFonts w:eastAsia="Calibri"/>
          <w:lang w:eastAsia="de-DE" w:bidi="de-DE"/>
        </w:rPr>
      </w:pPr>
    </w:p>
    <w:p w14:paraId="35484F7D" w14:textId="77777777" w:rsidR="007A5656" w:rsidRPr="00A21F71" w:rsidRDefault="007A5656" w:rsidP="007A5656">
      <w:pPr>
        <w:jc w:val="both"/>
        <w:rPr>
          <w:rFonts w:eastAsia="Calibri"/>
          <w:lang w:eastAsia="de-DE" w:bidi="de-DE"/>
        </w:rPr>
      </w:pPr>
      <w:r w:rsidRPr="00A21F71">
        <w:rPr>
          <w:rFonts w:eastAsia="Calibri"/>
          <w:lang w:eastAsia="de-DE" w:bidi="de-DE"/>
        </w:rPr>
        <w:tab/>
        <w:t>a) Die monatliche Bruttoentlohnung wird auf das untere Vielfache von 15 EUR abgerundet.</w:t>
      </w:r>
    </w:p>
    <w:p w14:paraId="321E48C6" w14:textId="77777777" w:rsidR="007A5656" w:rsidRPr="00A21F71" w:rsidRDefault="007A5656" w:rsidP="007A5656">
      <w:pPr>
        <w:rPr>
          <w:rFonts w:eastAsia="Calibri"/>
          <w:lang w:eastAsia="de-DE" w:bidi="de-DE"/>
        </w:rPr>
      </w:pPr>
    </w:p>
    <w:p w14:paraId="4EDAB004" w14:textId="77777777" w:rsidR="007A5656" w:rsidRPr="00A21F71" w:rsidRDefault="007A5656" w:rsidP="007A5656">
      <w:pPr>
        <w:jc w:val="both"/>
        <w:rPr>
          <w:rFonts w:eastAsia="Calibri"/>
          <w:lang w:eastAsia="de-DE" w:bidi="de-DE"/>
        </w:rPr>
      </w:pPr>
      <w:r w:rsidRPr="00A21F71">
        <w:rPr>
          <w:rFonts w:eastAsia="Calibri"/>
          <w:lang w:eastAsia="de-DE" w:bidi="de-DE"/>
        </w:rPr>
        <w:tab/>
        <w:t>b) Der Berufssteuervorabzug auf diesen a</w:t>
      </w:r>
      <w:r>
        <w:rPr>
          <w:rFonts w:eastAsia="Calibri"/>
          <w:lang w:eastAsia="de-DE" w:bidi="de-DE"/>
        </w:rPr>
        <w:t>bgerundeten Betrag beträgt 3.494,53</w:t>
      </w:r>
      <w:r w:rsidRPr="00A21F71">
        <w:rPr>
          <w:rFonts w:eastAsia="Calibri"/>
          <w:lang w:eastAsia="de-DE" w:bidi="de-DE"/>
        </w:rPr>
        <w:t> EUR, erhöht um 53,50 Prozent des Teils der monatlichen Bruttoentlohnung, der über 7.500 EUR liegt.</w:t>
      </w:r>
    </w:p>
    <w:p w14:paraId="369F6C5C" w14:textId="77777777" w:rsidR="007A5656" w:rsidRPr="00A21F71" w:rsidRDefault="007A5656" w:rsidP="007A5656">
      <w:pPr>
        <w:jc w:val="both"/>
        <w:rPr>
          <w:rFonts w:eastAsia="Calibri"/>
          <w:lang w:eastAsia="de-DE" w:bidi="de-DE"/>
        </w:rPr>
      </w:pPr>
    </w:p>
    <w:p w14:paraId="1D0CD646" w14:textId="77777777" w:rsidR="007A5656" w:rsidRPr="00A21F71" w:rsidRDefault="007A5656" w:rsidP="007A5656">
      <w:pPr>
        <w:jc w:val="both"/>
        <w:rPr>
          <w:rFonts w:eastAsia="Calibri"/>
          <w:lang w:eastAsia="de-DE" w:bidi="de-DE"/>
        </w:rPr>
      </w:pPr>
      <w:r w:rsidRPr="00A21F71">
        <w:rPr>
          <w:rFonts w:eastAsia="Calibri"/>
          <w:lang w:eastAsia="de-DE" w:bidi="de-DE"/>
        </w:rPr>
        <w:tab/>
        <w:t>5.20 Von dem gemäß Nr. 5.19 berechneten Berufssteuervorabzug kann noch die Ermäßigung für Gruppenversicherung und für außergesetzliche Alters- und Todesfall</w:t>
      </w:r>
      <w:r w:rsidRPr="00A21F71">
        <w:rPr>
          <w:rFonts w:eastAsia="Calibri"/>
          <w:lang w:eastAsia="de-DE" w:bidi="de-DE"/>
        </w:rPr>
        <w:softHyphen/>
        <w:t>versicherung abgezogen werden; diese Ermäßigung ist in Nr. 5.18 angegeben.</w:t>
      </w:r>
    </w:p>
    <w:p w14:paraId="1084EE89" w14:textId="77777777" w:rsidR="007A5656" w:rsidRPr="00A21F71" w:rsidRDefault="007A5656" w:rsidP="007A5656">
      <w:pPr>
        <w:jc w:val="both"/>
        <w:rPr>
          <w:rFonts w:eastAsia="Calibri"/>
          <w:lang w:eastAsia="de-DE" w:bidi="de-DE"/>
        </w:rPr>
      </w:pPr>
    </w:p>
    <w:p w14:paraId="56BFAC99" w14:textId="77777777" w:rsidR="007A5656" w:rsidRPr="00A21F71" w:rsidRDefault="007A5656" w:rsidP="007A5656">
      <w:pPr>
        <w:jc w:val="both"/>
        <w:rPr>
          <w:rFonts w:eastAsia="Calibri"/>
          <w:lang w:eastAsia="de-DE" w:bidi="de-DE"/>
        </w:rPr>
      </w:pPr>
    </w:p>
    <w:p w14:paraId="124D5794" w14:textId="77777777" w:rsidR="007A5656" w:rsidRPr="00A21F71" w:rsidRDefault="007A5656" w:rsidP="007A5656">
      <w:pPr>
        <w:jc w:val="center"/>
        <w:rPr>
          <w:rFonts w:eastAsia="Calibri"/>
          <w:lang w:eastAsia="de-DE" w:bidi="de-DE"/>
        </w:rPr>
      </w:pPr>
      <w:r w:rsidRPr="00A21F71">
        <w:rPr>
          <w:rFonts w:eastAsia="Calibri"/>
          <w:lang w:eastAsia="de-DE" w:bidi="de-DE"/>
        </w:rPr>
        <w:t>Unterabschnitt 3 - Besondere Regeln</w:t>
      </w:r>
    </w:p>
    <w:p w14:paraId="3C25951E" w14:textId="77777777" w:rsidR="007A5656" w:rsidRPr="00A21F71" w:rsidRDefault="007A5656" w:rsidP="007A5656">
      <w:pPr>
        <w:jc w:val="both"/>
        <w:rPr>
          <w:rFonts w:eastAsia="Calibri"/>
          <w:lang w:eastAsia="de-DE" w:bidi="de-DE"/>
        </w:rPr>
      </w:pPr>
    </w:p>
    <w:p w14:paraId="08D67D43" w14:textId="77777777" w:rsidR="007A5656" w:rsidRPr="00A21F71" w:rsidRDefault="007A5656" w:rsidP="007A5656">
      <w:pPr>
        <w:jc w:val="both"/>
        <w:rPr>
          <w:rFonts w:eastAsia="Calibri"/>
          <w:lang w:eastAsia="de-DE" w:bidi="de-DE"/>
        </w:rPr>
      </w:pPr>
    </w:p>
    <w:p w14:paraId="27903341" w14:textId="77777777" w:rsidR="007A5656" w:rsidRPr="00A21F71" w:rsidRDefault="007A5656" w:rsidP="007A5656">
      <w:pPr>
        <w:jc w:val="both"/>
        <w:rPr>
          <w:rFonts w:eastAsia="Calibri"/>
          <w:lang w:eastAsia="de-DE" w:bidi="de-DE"/>
        </w:rPr>
      </w:pPr>
      <w:r w:rsidRPr="00A21F71">
        <w:rPr>
          <w:rFonts w:eastAsia="Calibri"/>
          <w:lang w:eastAsia="de-DE" w:bidi="de-DE"/>
        </w:rPr>
        <w:tab/>
        <w:t>5.21 Anders als monatlich getätigte periodische Zahlungen</w:t>
      </w:r>
    </w:p>
    <w:p w14:paraId="620B1C21" w14:textId="77777777" w:rsidR="007A5656" w:rsidRPr="00A21F71" w:rsidRDefault="007A5656" w:rsidP="007A5656">
      <w:pPr>
        <w:jc w:val="both"/>
        <w:rPr>
          <w:rFonts w:eastAsia="Calibri"/>
          <w:lang w:eastAsia="de-DE" w:bidi="de-DE"/>
        </w:rPr>
      </w:pPr>
    </w:p>
    <w:p w14:paraId="5F42FDD2" w14:textId="77777777" w:rsidR="007A5656" w:rsidRPr="00A21F71" w:rsidRDefault="007A5656" w:rsidP="007A5656">
      <w:pPr>
        <w:jc w:val="both"/>
        <w:rPr>
          <w:rFonts w:eastAsia="Calibri"/>
          <w:lang w:eastAsia="de-DE" w:bidi="de-DE"/>
        </w:rPr>
      </w:pPr>
      <w:r w:rsidRPr="00A21F71">
        <w:rPr>
          <w:rFonts w:eastAsia="Calibri"/>
          <w:lang w:eastAsia="de-DE" w:bidi="de-DE"/>
        </w:rPr>
        <w:tab/>
        <w:t>Für periodische Entlohnungen, die anders als monatlich gezahlt werden, beträgt der Berufssteuervorabzug ein Zwanzigstel des Produkts, das sich aus der Multiplikation des Betrags des Berufssteuervorabzugs, der gemäß der in Nr. 5.17 oder 5.19 vorgesehenen Regel auf die entsprechende monatliche Entlohnung geschuldet wird, mit der Anzahl Arbeitstage des Zeitraums, auf den sich die Entlohnung bezieht, ergibt.</w:t>
      </w:r>
    </w:p>
    <w:p w14:paraId="28104758" w14:textId="77777777" w:rsidR="007A5656" w:rsidRPr="00A21F71" w:rsidRDefault="007A5656" w:rsidP="007A5656">
      <w:pPr>
        <w:jc w:val="both"/>
        <w:rPr>
          <w:rFonts w:eastAsia="Calibri"/>
          <w:lang w:eastAsia="de-DE" w:bidi="de-DE"/>
        </w:rPr>
      </w:pPr>
    </w:p>
    <w:p w14:paraId="138DBD95" w14:textId="77777777" w:rsidR="007A5656" w:rsidRPr="00A21F71" w:rsidRDefault="007A5656" w:rsidP="007A5656">
      <w:pPr>
        <w:jc w:val="both"/>
        <w:rPr>
          <w:rFonts w:eastAsia="Calibri"/>
          <w:lang w:eastAsia="de-DE" w:bidi="de-DE"/>
        </w:rPr>
      </w:pPr>
      <w:r w:rsidRPr="00A21F71">
        <w:rPr>
          <w:rFonts w:eastAsia="Calibri"/>
          <w:lang w:eastAsia="de-DE" w:bidi="de-DE"/>
        </w:rPr>
        <w:tab/>
        <w:t>5.22 Nicht periodische Entlohnungen</w:t>
      </w:r>
    </w:p>
    <w:p w14:paraId="3FAEC2F6" w14:textId="77777777" w:rsidR="007A5656" w:rsidRPr="00A21F71" w:rsidRDefault="007A5656" w:rsidP="007A5656">
      <w:pPr>
        <w:jc w:val="both"/>
        <w:rPr>
          <w:rFonts w:eastAsia="Calibri"/>
          <w:lang w:eastAsia="de-DE" w:bidi="de-DE"/>
        </w:rPr>
      </w:pPr>
    </w:p>
    <w:p w14:paraId="2E7A3C4C" w14:textId="77777777" w:rsidR="007A5656" w:rsidRPr="00A21F71" w:rsidRDefault="007A5656" w:rsidP="007A5656">
      <w:pPr>
        <w:jc w:val="both"/>
        <w:rPr>
          <w:rFonts w:eastAsia="Calibri"/>
          <w:lang w:eastAsia="de-DE" w:bidi="de-DE"/>
        </w:rPr>
      </w:pPr>
      <w:r w:rsidRPr="00A21F71">
        <w:rPr>
          <w:rFonts w:eastAsia="Calibri"/>
          <w:lang w:eastAsia="de-DE" w:bidi="de-DE"/>
        </w:rPr>
        <w:tab/>
        <w:t>Der Berufssteuervorabzug auf nicht periodische Entlohnungen entspricht zwölfmal der Differenz zwischen:</w:t>
      </w:r>
    </w:p>
    <w:p w14:paraId="2267FCCA" w14:textId="77777777" w:rsidR="007A5656" w:rsidRPr="00A21F71" w:rsidRDefault="007A5656" w:rsidP="007A5656">
      <w:pPr>
        <w:jc w:val="both"/>
        <w:rPr>
          <w:rFonts w:eastAsia="Calibri"/>
          <w:lang w:eastAsia="de-DE" w:bidi="de-DE"/>
        </w:rPr>
      </w:pPr>
    </w:p>
    <w:p w14:paraId="0A59884F" w14:textId="77777777" w:rsidR="007A5656" w:rsidRPr="00A21F71" w:rsidRDefault="007A5656" w:rsidP="007A5656">
      <w:pPr>
        <w:jc w:val="both"/>
        <w:rPr>
          <w:rFonts w:eastAsia="Calibri"/>
          <w:lang w:eastAsia="de-DE" w:bidi="de-DE"/>
        </w:rPr>
      </w:pPr>
      <w:r w:rsidRPr="00A21F71">
        <w:rPr>
          <w:rFonts w:eastAsia="Calibri"/>
          <w:lang w:eastAsia="de-DE" w:bidi="de-DE"/>
        </w:rPr>
        <w:tab/>
        <w:t>- einerseits dem Vorabzug, der gemäß den in den Nummern 5.17 bis 5.21 vorgesehenen Regeln auf ein Einkommen geschuldet wird, das den periodischen Entlohnungen des Monats entspricht, in dem die nicht periodische Entlohnung gezahlt oder zuerkannt wird, erhöht um ein Zwölftel der nicht periodischen Entlohnung,</w:t>
      </w:r>
    </w:p>
    <w:p w14:paraId="27CEF7A6" w14:textId="77777777" w:rsidR="007A5656" w:rsidRPr="00A21F71" w:rsidRDefault="007A5656" w:rsidP="007A5656">
      <w:pPr>
        <w:jc w:val="both"/>
        <w:rPr>
          <w:rFonts w:eastAsia="Calibri"/>
          <w:lang w:eastAsia="de-DE" w:bidi="de-DE"/>
        </w:rPr>
      </w:pPr>
    </w:p>
    <w:p w14:paraId="49FF5094" w14:textId="77777777" w:rsidR="007A5656" w:rsidRPr="00A21F71" w:rsidRDefault="007A5656" w:rsidP="007A5656">
      <w:pPr>
        <w:jc w:val="both"/>
        <w:rPr>
          <w:rFonts w:eastAsia="Calibri"/>
          <w:lang w:eastAsia="de-DE" w:bidi="de-DE"/>
        </w:rPr>
      </w:pPr>
      <w:r w:rsidRPr="00A21F71">
        <w:rPr>
          <w:rFonts w:eastAsia="Calibri"/>
          <w:lang w:eastAsia="de-DE" w:bidi="de-DE"/>
        </w:rPr>
        <w:tab/>
        <w:t>- und andererseits dem Vorabzug, der gemäß denselben Regeln auf die periodischen Entlohnungen des Monats geschuldet wird, in dem die nicht periodische Entlohnung gezahlt oder zuerkannt wird.</w:t>
      </w:r>
    </w:p>
    <w:p w14:paraId="62C31D39" w14:textId="77777777" w:rsidR="007A5656" w:rsidRPr="00A21F71" w:rsidRDefault="007A5656" w:rsidP="007A5656">
      <w:pPr>
        <w:rPr>
          <w:rFonts w:eastAsia="Calibri"/>
          <w:lang w:eastAsia="de-DE" w:bidi="de-DE"/>
        </w:rPr>
      </w:pPr>
      <w:r w:rsidRPr="00A21F71">
        <w:rPr>
          <w:rFonts w:eastAsia="Calibri"/>
          <w:lang w:eastAsia="de-DE" w:bidi="de-DE"/>
        </w:rPr>
        <w:br w:type="page"/>
      </w:r>
    </w:p>
    <w:p w14:paraId="7244FD47" w14:textId="77777777" w:rsidR="007A5656" w:rsidRPr="00A21F71" w:rsidRDefault="007A5656" w:rsidP="007A5656">
      <w:pPr>
        <w:jc w:val="center"/>
        <w:rPr>
          <w:rFonts w:eastAsia="Calibri"/>
          <w:lang w:eastAsia="de-DE" w:bidi="de-DE"/>
        </w:rPr>
      </w:pPr>
      <w:r w:rsidRPr="00A21F71">
        <w:rPr>
          <w:rFonts w:eastAsia="Calibri"/>
          <w:i/>
          <w:lang w:eastAsia="de-DE" w:bidi="de-DE"/>
        </w:rPr>
        <w:lastRenderedPageBreak/>
        <w:t>Abschnitt 4</w:t>
      </w:r>
      <w:r w:rsidRPr="00A21F71">
        <w:rPr>
          <w:rFonts w:eastAsia="Calibri"/>
          <w:lang w:eastAsia="de-DE" w:bidi="de-DE"/>
        </w:rPr>
        <w:t xml:space="preserve"> - Unterhaltsleistungen und Kapitalien, die in Artikel 90 </w:t>
      </w:r>
      <w:r w:rsidRPr="004D45ED">
        <w:rPr>
          <w:rFonts w:eastAsia="Calibri"/>
          <w:lang w:eastAsia="de-DE" w:bidi="de-DE"/>
        </w:rPr>
        <w:t>Absatz 1</w:t>
      </w:r>
      <w:r>
        <w:rPr>
          <w:rFonts w:eastAsia="Calibri"/>
          <w:lang w:eastAsia="de-DE" w:bidi="de-DE"/>
        </w:rPr>
        <w:t xml:space="preserve"> </w:t>
      </w:r>
      <w:r w:rsidRPr="00A21F71">
        <w:rPr>
          <w:rFonts w:eastAsia="Calibri"/>
          <w:lang w:eastAsia="de-DE" w:bidi="de-DE"/>
        </w:rPr>
        <w:t>Nr. 3 und 4 des Einkommensteuergesetzbuches 1992 erwähnt sind und Gebietsfremden gezahlt werden</w:t>
      </w:r>
    </w:p>
    <w:p w14:paraId="5BB58A5F" w14:textId="77777777" w:rsidR="007A5656" w:rsidRPr="00A21F71" w:rsidRDefault="007A5656" w:rsidP="007A5656">
      <w:pPr>
        <w:jc w:val="both"/>
        <w:rPr>
          <w:rFonts w:eastAsia="Calibri"/>
          <w:lang w:eastAsia="de-DE" w:bidi="de-DE"/>
        </w:rPr>
      </w:pPr>
    </w:p>
    <w:p w14:paraId="5E8A48D5" w14:textId="77777777" w:rsidR="007A5656" w:rsidRPr="00A21F71" w:rsidRDefault="007A5656" w:rsidP="007A5656">
      <w:pPr>
        <w:jc w:val="both"/>
        <w:rPr>
          <w:rFonts w:eastAsia="Calibri"/>
          <w:lang w:eastAsia="de-DE" w:bidi="de-DE"/>
        </w:rPr>
      </w:pPr>
    </w:p>
    <w:p w14:paraId="7A1909EA" w14:textId="77777777" w:rsidR="007A5656" w:rsidRPr="00A21F71" w:rsidRDefault="007A5656" w:rsidP="007A5656">
      <w:pPr>
        <w:jc w:val="both"/>
        <w:rPr>
          <w:rFonts w:eastAsia="Calibri"/>
          <w:lang w:eastAsia="de-DE" w:bidi="de-DE"/>
        </w:rPr>
      </w:pPr>
      <w:r w:rsidRPr="00A21F71">
        <w:rPr>
          <w:rFonts w:eastAsia="Calibri"/>
          <w:lang w:eastAsia="de-DE" w:bidi="de-DE"/>
        </w:rPr>
        <w:tab/>
        <w:t>5.23 Unterhaltsleistungen</w:t>
      </w:r>
    </w:p>
    <w:p w14:paraId="2D9E3D7C" w14:textId="77777777" w:rsidR="007A5656" w:rsidRPr="00A21F71" w:rsidRDefault="007A5656" w:rsidP="007A5656">
      <w:pPr>
        <w:jc w:val="both"/>
        <w:rPr>
          <w:rFonts w:eastAsia="Calibri"/>
          <w:lang w:eastAsia="de-DE" w:bidi="de-DE"/>
        </w:rPr>
      </w:pPr>
    </w:p>
    <w:p w14:paraId="2AA9920B"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Auf den Betrag der in Artikel 90 </w:t>
      </w:r>
      <w:r w:rsidRPr="004D45ED">
        <w:rPr>
          <w:rFonts w:eastAsia="Calibri"/>
          <w:lang w:eastAsia="de-DE" w:bidi="de-DE"/>
        </w:rPr>
        <w:t>Absatz 1</w:t>
      </w:r>
      <w:r>
        <w:rPr>
          <w:rFonts w:eastAsia="Calibri"/>
          <w:lang w:eastAsia="de-DE" w:bidi="de-DE"/>
        </w:rPr>
        <w:t xml:space="preserve"> </w:t>
      </w:r>
      <w:r w:rsidRPr="00A21F71">
        <w:rPr>
          <w:rFonts w:eastAsia="Calibri"/>
          <w:lang w:eastAsia="de-DE" w:bidi="de-DE"/>
        </w:rPr>
        <w:t>Nr. 3 und 4 des Einkommensteuergesetz</w:t>
      </w:r>
      <w:r>
        <w:rPr>
          <w:rFonts w:eastAsia="Calibri"/>
          <w:lang w:eastAsia="de-DE" w:bidi="de-DE"/>
        </w:rPr>
        <w:softHyphen/>
      </w:r>
      <w:r w:rsidRPr="00A21F71">
        <w:rPr>
          <w:rFonts w:eastAsia="Calibri"/>
          <w:lang w:eastAsia="de-DE" w:bidi="de-DE"/>
        </w:rPr>
        <w:t>buches 1992 erwähnten Unterhaltsleistungen, die Einwohner des Königreichs Gebietsfremden zahlen, wird ein Berufssteuervorabzug von 26,75 Prozent auf 80 Prozent des Betrags dieser Unterhaltsleistungen geschuldet.</w:t>
      </w:r>
    </w:p>
    <w:p w14:paraId="46547B39" w14:textId="77777777" w:rsidR="007A5656" w:rsidRPr="00A21F71" w:rsidRDefault="007A5656" w:rsidP="007A5656">
      <w:pPr>
        <w:rPr>
          <w:rFonts w:eastAsia="Calibri"/>
          <w:lang w:eastAsia="de-DE" w:bidi="de-DE"/>
        </w:rPr>
      </w:pPr>
    </w:p>
    <w:p w14:paraId="320821A2" w14:textId="77777777" w:rsidR="007A5656" w:rsidRPr="00A21F71" w:rsidRDefault="007A5656" w:rsidP="007A5656">
      <w:pPr>
        <w:jc w:val="both"/>
        <w:rPr>
          <w:rFonts w:eastAsia="Calibri"/>
          <w:lang w:eastAsia="de-DE" w:bidi="de-DE"/>
        </w:rPr>
      </w:pPr>
      <w:r w:rsidRPr="00A21F71">
        <w:rPr>
          <w:rFonts w:eastAsia="Calibri"/>
          <w:lang w:eastAsia="de-DE" w:bidi="de-DE"/>
        </w:rPr>
        <w:tab/>
        <w:t>5.24 Kapitalien</w:t>
      </w:r>
    </w:p>
    <w:p w14:paraId="7CFF1B37" w14:textId="77777777" w:rsidR="007A5656" w:rsidRPr="00A21F71" w:rsidRDefault="007A5656" w:rsidP="007A5656">
      <w:pPr>
        <w:jc w:val="both"/>
        <w:rPr>
          <w:rFonts w:eastAsia="Calibri"/>
          <w:lang w:eastAsia="de-DE" w:bidi="de-DE"/>
        </w:rPr>
      </w:pPr>
    </w:p>
    <w:p w14:paraId="61C4053D" w14:textId="77777777" w:rsidR="007A5656" w:rsidRPr="00A21F71" w:rsidRDefault="007A5656" w:rsidP="007A5656">
      <w:pPr>
        <w:jc w:val="both"/>
        <w:rPr>
          <w:rFonts w:eastAsia="Calibri"/>
          <w:lang w:eastAsia="de-DE" w:bidi="de-DE"/>
        </w:rPr>
      </w:pPr>
      <w:r w:rsidRPr="00A21F71">
        <w:rPr>
          <w:rFonts w:eastAsia="Calibri"/>
          <w:lang w:eastAsia="de-DE" w:bidi="de-DE"/>
        </w:rPr>
        <w:tab/>
        <w:t>Werden in Nr. 5.23 erwähnte Unterhaltsleistungen durch Kapitalien ersetzt, die Gebietsfremden gezahlt werden, beträgt der Berufssteuervorabzug 26,75 Prozent auf 80 Prozent dieser Kapitalien.</w:t>
      </w:r>
    </w:p>
    <w:p w14:paraId="3809E388" w14:textId="77777777" w:rsidR="007A5656" w:rsidRPr="00A21F71" w:rsidRDefault="007A5656" w:rsidP="007A5656">
      <w:pPr>
        <w:jc w:val="both"/>
        <w:rPr>
          <w:rFonts w:eastAsia="Calibri"/>
          <w:lang w:eastAsia="de-DE" w:bidi="de-DE"/>
        </w:rPr>
      </w:pPr>
    </w:p>
    <w:p w14:paraId="6E6AA13C" w14:textId="77777777" w:rsidR="007A5656" w:rsidRPr="00A21F71" w:rsidRDefault="007A5656" w:rsidP="007A5656">
      <w:pPr>
        <w:jc w:val="both"/>
        <w:rPr>
          <w:rFonts w:eastAsia="Calibri"/>
          <w:lang w:eastAsia="de-DE" w:bidi="de-DE"/>
        </w:rPr>
      </w:pPr>
    </w:p>
    <w:p w14:paraId="0BB869EB" w14:textId="77777777" w:rsidR="007A5656" w:rsidRPr="00A21F71" w:rsidRDefault="007A5656" w:rsidP="007A5656">
      <w:pPr>
        <w:jc w:val="both"/>
        <w:rPr>
          <w:rFonts w:eastAsia="Calibri"/>
          <w:lang w:eastAsia="de-DE" w:bidi="de-DE"/>
        </w:rPr>
      </w:pPr>
      <w:r w:rsidRPr="00A21F71">
        <w:rPr>
          <w:rFonts w:eastAsia="Calibri"/>
          <w:i/>
          <w:lang w:eastAsia="de-DE" w:bidi="de-DE"/>
        </w:rPr>
        <w:t>Abschnitt 5</w:t>
      </w:r>
      <w:r w:rsidRPr="00A21F71">
        <w:rPr>
          <w:rFonts w:eastAsia="Calibri"/>
          <w:lang w:eastAsia="de-DE" w:bidi="de-DE"/>
        </w:rPr>
        <w:t> - Einkünfte, die in Artikel 87 Nr. 5 Buchstabe </w:t>
      </w:r>
      <w:r w:rsidRPr="00A21F71">
        <w:rPr>
          <w:rFonts w:eastAsia="Calibri"/>
          <w:i/>
          <w:lang w:eastAsia="de-DE" w:bidi="de-DE"/>
        </w:rPr>
        <w:t>a)</w:t>
      </w:r>
      <w:r w:rsidRPr="00A21F71">
        <w:rPr>
          <w:rFonts w:eastAsia="Calibri"/>
          <w:lang w:eastAsia="de-DE" w:bidi="de-DE"/>
        </w:rPr>
        <w:t xml:space="preserve"> bis </w:t>
      </w:r>
      <w:r w:rsidRPr="00A21F71">
        <w:rPr>
          <w:rFonts w:eastAsia="Calibri"/>
          <w:i/>
          <w:lang w:eastAsia="de-DE" w:bidi="de-DE"/>
        </w:rPr>
        <w:t>c)</w:t>
      </w:r>
      <w:r w:rsidRPr="00A21F71">
        <w:rPr>
          <w:rFonts w:eastAsia="Calibri"/>
          <w:lang w:eastAsia="de-DE" w:bidi="de-DE"/>
        </w:rPr>
        <w:t xml:space="preserve">, </w:t>
      </w:r>
      <w:r w:rsidRPr="00A21F71">
        <w:rPr>
          <w:rFonts w:eastAsia="Calibri"/>
          <w:i/>
          <w:lang w:eastAsia="de-DE" w:bidi="de-DE"/>
        </w:rPr>
        <w:t>e)</w:t>
      </w:r>
      <w:r w:rsidRPr="00A21F71">
        <w:rPr>
          <w:rFonts w:eastAsia="Calibri"/>
          <w:lang w:eastAsia="de-DE" w:bidi="de-DE"/>
        </w:rPr>
        <w:t xml:space="preserve"> und </w:t>
      </w:r>
      <w:r w:rsidRPr="00A21F71">
        <w:rPr>
          <w:rFonts w:eastAsia="Calibri"/>
          <w:i/>
          <w:lang w:eastAsia="de-DE" w:bidi="de-DE"/>
        </w:rPr>
        <w:t>f)</w:t>
      </w:r>
      <w:r w:rsidRPr="00A21F71">
        <w:rPr>
          <w:rFonts w:eastAsia="Calibri"/>
          <w:lang w:eastAsia="de-DE" w:bidi="de-DE"/>
        </w:rPr>
        <w:t xml:space="preserve"> des vorliegenden Erlasses erwähnt sind und Gebietsfremden gezahlt oder zuerkannt werden, die in derselben Bestimmung erwähnt sind</w:t>
      </w:r>
    </w:p>
    <w:p w14:paraId="3CC41E3C" w14:textId="77777777" w:rsidR="007A5656" w:rsidRPr="00A21F71" w:rsidRDefault="007A5656" w:rsidP="007A5656">
      <w:pPr>
        <w:jc w:val="both"/>
        <w:rPr>
          <w:rFonts w:eastAsia="Calibri"/>
          <w:lang w:eastAsia="de-DE" w:bidi="de-DE"/>
        </w:rPr>
      </w:pPr>
    </w:p>
    <w:p w14:paraId="4AC8B0AC" w14:textId="77777777" w:rsidR="007A5656" w:rsidRPr="00A21F71" w:rsidRDefault="007A5656" w:rsidP="007A5656">
      <w:pPr>
        <w:jc w:val="both"/>
        <w:rPr>
          <w:rFonts w:eastAsia="Calibri"/>
          <w:lang w:eastAsia="de-DE" w:bidi="de-DE"/>
        </w:rPr>
      </w:pPr>
    </w:p>
    <w:p w14:paraId="102E9E43" w14:textId="77777777" w:rsidR="007A5656" w:rsidRPr="00A21F71" w:rsidRDefault="007A5656" w:rsidP="007A5656">
      <w:pPr>
        <w:jc w:val="both"/>
        <w:rPr>
          <w:rFonts w:eastAsia="Calibri"/>
          <w:lang w:eastAsia="de-DE" w:bidi="de-DE"/>
        </w:rPr>
      </w:pPr>
      <w:r w:rsidRPr="00A21F71">
        <w:rPr>
          <w:rFonts w:eastAsia="Calibri"/>
          <w:lang w:eastAsia="de-DE" w:bidi="de-DE"/>
        </w:rPr>
        <w:tab/>
        <w:t>5.25 Erhebungsgrundlage und Satz</w:t>
      </w:r>
    </w:p>
    <w:p w14:paraId="677A39C4" w14:textId="77777777" w:rsidR="007A5656" w:rsidRPr="00A21F71" w:rsidRDefault="007A5656" w:rsidP="007A5656">
      <w:pPr>
        <w:jc w:val="both"/>
        <w:rPr>
          <w:rFonts w:eastAsia="Calibri"/>
          <w:lang w:eastAsia="de-DE" w:bidi="de-DE"/>
        </w:rPr>
      </w:pPr>
    </w:p>
    <w:p w14:paraId="570714B4" w14:textId="77777777" w:rsidR="007A5656" w:rsidRPr="00A21F71" w:rsidRDefault="007A5656" w:rsidP="007A5656">
      <w:pPr>
        <w:jc w:val="both"/>
        <w:rPr>
          <w:rFonts w:eastAsia="Calibri"/>
          <w:lang w:eastAsia="de-DE" w:bidi="de-DE"/>
        </w:rPr>
      </w:pPr>
      <w:r w:rsidRPr="00A21F71">
        <w:rPr>
          <w:rFonts w:eastAsia="Calibri"/>
          <w:lang w:eastAsia="de-DE" w:bidi="de-DE"/>
        </w:rPr>
        <w:tab/>
        <w:t>Für Einkünfte, die in Artikel 87 Nr. 5 Buchstabe </w:t>
      </w:r>
      <w:r w:rsidRPr="00A21F71">
        <w:rPr>
          <w:rFonts w:eastAsia="Calibri"/>
          <w:i/>
          <w:lang w:eastAsia="de-DE" w:bidi="de-DE"/>
        </w:rPr>
        <w:t>a)</w:t>
      </w:r>
      <w:r w:rsidRPr="00A21F71">
        <w:rPr>
          <w:rFonts w:eastAsia="Calibri"/>
          <w:lang w:eastAsia="de-DE" w:bidi="de-DE"/>
        </w:rPr>
        <w:t xml:space="preserve"> bis </w:t>
      </w:r>
      <w:r w:rsidRPr="00A21F71">
        <w:rPr>
          <w:rFonts w:eastAsia="Calibri"/>
          <w:i/>
          <w:lang w:eastAsia="de-DE" w:bidi="de-DE"/>
        </w:rPr>
        <w:t>c)</w:t>
      </w:r>
      <w:r w:rsidRPr="00A21F71">
        <w:rPr>
          <w:rFonts w:eastAsia="Calibri"/>
          <w:lang w:eastAsia="de-DE" w:bidi="de-DE"/>
        </w:rPr>
        <w:t xml:space="preserve">, </w:t>
      </w:r>
      <w:r w:rsidRPr="00A21F71">
        <w:rPr>
          <w:rFonts w:eastAsia="Calibri"/>
          <w:i/>
          <w:lang w:eastAsia="de-DE" w:bidi="de-DE"/>
        </w:rPr>
        <w:t>e)</w:t>
      </w:r>
      <w:r w:rsidRPr="00A21F71">
        <w:rPr>
          <w:rFonts w:eastAsia="Calibri"/>
          <w:lang w:eastAsia="de-DE" w:bidi="de-DE"/>
        </w:rPr>
        <w:t xml:space="preserve"> und </w:t>
      </w:r>
      <w:r w:rsidRPr="00A21F71">
        <w:rPr>
          <w:rFonts w:eastAsia="Calibri"/>
          <w:i/>
          <w:lang w:eastAsia="de-DE" w:bidi="de-DE"/>
        </w:rPr>
        <w:t>f)</w:t>
      </w:r>
      <w:r w:rsidRPr="00A21F71">
        <w:rPr>
          <w:rFonts w:eastAsia="Calibri"/>
          <w:lang w:eastAsia="de-DE" w:bidi="de-DE"/>
        </w:rPr>
        <w:t xml:space="preserve"> des vorliegenden Erlasses erwähnt sind und Gebietsfremden gezahlt oder zuerkannt werden, die in demselben Artikel erwähnt sind, wird der Berufssteuervorabzug unter Berücksichtigung folgender Unterscheidung festgelegt:</w:t>
      </w:r>
    </w:p>
    <w:p w14:paraId="45B22AF0" w14:textId="77777777" w:rsidR="007A5656" w:rsidRPr="00A21F71" w:rsidRDefault="007A5656" w:rsidP="007A5656">
      <w:pPr>
        <w:jc w:val="both"/>
        <w:rPr>
          <w:rFonts w:eastAsia="Calibri"/>
          <w:lang w:eastAsia="de-DE" w:bidi="de-DE"/>
        </w:rPr>
      </w:pPr>
    </w:p>
    <w:p w14:paraId="5F260217" w14:textId="77777777" w:rsidR="007A5656" w:rsidRPr="00A21F71" w:rsidRDefault="007A5656" w:rsidP="007A5656">
      <w:pPr>
        <w:jc w:val="both"/>
        <w:rPr>
          <w:rFonts w:eastAsia="Calibri"/>
          <w:lang w:eastAsia="de-DE" w:bidi="de-DE"/>
        </w:rPr>
      </w:pPr>
      <w:r w:rsidRPr="00A21F71">
        <w:rPr>
          <w:rFonts w:eastAsia="Calibri"/>
          <w:lang w:eastAsia="de-DE" w:bidi="de-DE"/>
        </w:rPr>
        <w:tab/>
        <w:t>a) auf 30,28 Prozent des Bruttobetrags der in Artikel 87 Nr. 5 Buchstabe </w:t>
      </w:r>
      <w:r w:rsidRPr="00A21F71">
        <w:rPr>
          <w:rFonts w:eastAsia="Calibri"/>
          <w:i/>
          <w:lang w:eastAsia="de-DE" w:bidi="de-DE"/>
        </w:rPr>
        <w:t>a)</w:t>
      </w:r>
      <w:r w:rsidRPr="00A21F71">
        <w:rPr>
          <w:rFonts w:eastAsia="Calibri"/>
          <w:lang w:eastAsia="de-DE" w:bidi="de-DE"/>
        </w:rPr>
        <w:t xml:space="preserve"> erwähnten Gewinne und Profite,</w:t>
      </w:r>
    </w:p>
    <w:p w14:paraId="502B2271" w14:textId="77777777" w:rsidR="007A5656" w:rsidRPr="00A21F71" w:rsidRDefault="007A5656" w:rsidP="007A5656">
      <w:pPr>
        <w:jc w:val="both"/>
        <w:rPr>
          <w:rFonts w:eastAsia="Calibri"/>
          <w:lang w:eastAsia="de-DE" w:bidi="de-DE"/>
        </w:rPr>
      </w:pPr>
    </w:p>
    <w:p w14:paraId="21D52D15" w14:textId="77777777" w:rsidR="007A5656" w:rsidRPr="00A21F71" w:rsidRDefault="007A5656" w:rsidP="007A5656">
      <w:pPr>
        <w:jc w:val="both"/>
        <w:rPr>
          <w:rFonts w:eastAsia="Calibri"/>
          <w:lang w:eastAsia="de-DE" w:bidi="de-DE"/>
        </w:rPr>
      </w:pPr>
      <w:r w:rsidRPr="00A21F71">
        <w:rPr>
          <w:rFonts w:eastAsia="Calibri"/>
          <w:lang w:eastAsia="de-DE" w:bidi="de-DE"/>
        </w:rPr>
        <w:tab/>
        <w:t>b) gemäß den in Nr. 2.17 vorgesehenen Regeln und Sätzen für die in Artikel 87 Nr. 5 Buchstabe </w:t>
      </w:r>
      <w:r w:rsidRPr="00A21F71">
        <w:rPr>
          <w:rFonts w:eastAsia="Calibri"/>
          <w:i/>
          <w:lang w:eastAsia="de-DE" w:bidi="de-DE"/>
        </w:rPr>
        <w:t>b)</w:t>
      </w:r>
      <w:r w:rsidRPr="00A21F71">
        <w:rPr>
          <w:rFonts w:eastAsia="Calibri"/>
          <w:lang w:eastAsia="de-DE" w:bidi="de-DE"/>
        </w:rPr>
        <w:t xml:space="preserve"> erwähnten Einkünfte,</w:t>
      </w:r>
    </w:p>
    <w:p w14:paraId="0A2F44EA" w14:textId="77777777" w:rsidR="007A5656" w:rsidRPr="00A21F71" w:rsidRDefault="007A5656" w:rsidP="007A5656">
      <w:pPr>
        <w:jc w:val="both"/>
        <w:rPr>
          <w:rFonts w:eastAsia="Calibri"/>
          <w:lang w:eastAsia="de-DE" w:bidi="de-DE"/>
        </w:rPr>
      </w:pPr>
    </w:p>
    <w:p w14:paraId="52738705" w14:textId="77777777" w:rsidR="007A5656" w:rsidRPr="00A21F71" w:rsidRDefault="007A5656" w:rsidP="007A5656">
      <w:pPr>
        <w:jc w:val="both"/>
        <w:rPr>
          <w:rFonts w:eastAsia="Calibri"/>
          <w:lang w:eastAsia="de-DE" w:bidi="de-DE"/>
        </w:rPr>
      </w:pPr>
      <w:r w:rsidRPr="00A21F71">
        <w:rPr>
          <w:rFonts w:eastAsia="Calibri"/>
          <w:lang w:eastAsia="de-DE" w:bidi="de-DE"/>
        </w:rPr>
        <w:tab/>
        <w:t>c) auf 3,40 Prozent des Bruttobetrags der Prämien in Bezug auf die in Belgien getätigten Geschäfte für die in Artikel 87 Nr. 5 Buchstabe </w:t>
      </w:r>
      <w:r w:rsidRPr="00A21F71">
        <w:rPr>
          <w:rFonts w:eastAsia="Calibri"/>
          <w:i/>
          <w:lang w:eastAsia="de-DE" w:bidi="de-DE"/>
        </w:rPr>
        <w:t>c)</w:t>
      </w:r>
      <w:r w:rsidRPr="00A21F71">
        <w:rPr>
          <w:rFonts w:eastAsia="Calibri"/>
          <w:lang w:eastAsia="de-DE" w:bidi="de-DE"/>
        </w:rPr>
        <w:t xml:space="preserve"> erwähnten Gewinne,</w:t>
      </w:r>
    </w:p>
    <w:p w14:paraId="350FA5A1" w14:textId="77777777" w:rsidR="007A5656" w:rsidRPr="00A21F71" w:rsidRDefault="007A5656" w:rsidP="007A5656">
      <w:pPr>
        <w:jc w:val="both"/>
        <w:rPr>
          <w:rFonts w:eastAsia="Calibri"/>
          <w:lang w:eastAsia="de-DE" w:bidi="de-DE"/>
        </w:rPr>
      </w:pPr>
    </w:p>
    <w:p w14:paraId="3451F106" w14:textId="77777777" w:rsidR="007A5656" w:rsidRPr="00A21F71" w:rsidRDefault="007A5656" w:rsidP="007A5656">
      <w:pPr>
        <w:jc w:val="both"/>
        <w:rPr>
          <w:rFonts w:eastAsia="Calibri"/>
          <w:lang w:eastAsia="de-DE" w:bidi="de-DE"/>
        </w:rPr>
      </w:pPr>
      <w:r w:rsidRPr="00A21F71">
        <w:rPr>
          <w:rFonts w:eastAsia="Calibri"/>
          <w:lang w:eastAsia="de-DE" w:bidi="de-DE"/>
        </w:rPr>
        <w:tab/>
        <w:t>d) auf 32,29 Prozent des Bruttobetrags der in Artikel 87 Nr. 5 Buchstabe </w:t>
      </w:r>
      <w:r w:rsidRPr="00A21F71">
        <w:rPr>
          <w:rFonts w:eastAsia="Calibri"/>
          <w:i/>
          <w:lang w:eastAsia="de-DE" w:bidi="de-DE"/>
        </w:rPr>
        <w:t>e)</w:t>
      </w:r>
      <w:r w:rsidRPr="00A21F71">
        <w:rPr>
          <w:rFonts w:eastAsia="Calibri"/>
          <w:lang w:eastAsia="de-DE" w:bidi="de-DE"/>
        </w:rPr>
        <w:t xml:space="preserve"> erwähnten Gewinne,</w:t>
      </w:r>
    </w:p>
    <w:p w14:paraId="46983D5C" w14:textId="77777777" w:rsidR="007A5656" w:rsidRPr="00A21F71" w:rsidRDefault="007A5656" w:rsidP="007A5656">
      <w:pPr>
        <w:jc w:val="both"/>
        <w:rPr>
          <w:rFonts w:eastAsia="Calibri"/>
          <w:lang w:eastAsia="de-DE" w:bidi="de-DE"/>
        </w:rPr>
      </w:pPr>
    </w:p>
    <w:p w14:paraId="5976C584" w14:textId="77777777" w:rsidR="007A5656" w:rsidRPr="00A21F71" w:rsidRDefault="007A5656" w:rsidP="007A5656">
      <w:pPr>
        <w:jc w:val="both"/>
        <w:rPr>
          <w:rFonts w:eastAsia="Calibri"/>
          <w:lang w:eastAsia="de-DE" w:bidi="de-DE"/>
        </w:rPr>
      </w:pPr>
      <w:r w:rsidRPr="00A21F71">
        <w:rPr>
          <w:rFonts w:eastAsia="Calibri"/>
          <w:lang w:eastAsia="de-DE" w:bidi="de-DE"/>
        </w:rPr>
        <w:tab/>
        <w:t>e) auf 33 Prozent der in Artikel 87 Nr. 5 Buchstabe </w:t>
      </w:r>
      <w:r w:rsidRPr="00A21F71">
        <w:rPr>
          <w:rFonts w:eastAsia="Calibri"/>
          <w:i/>
          <w:lang w:eastAsia="de-DE" w:bidi="de-DE"/>
        </w:rPr>
        <w:t>f)</w:t>
      </w:r>
      <w:r w:rsidRPr="00A21F71">
        <w:rPr>
          <w:rFonts w:eastAsia="Calibri"/>
          <w:lang w:eastAsia="de-DE" w:bidi="de-DE"/>
        </w:rPr>
        <w:t xml:space="preserve"> erwähnten Einkünfte (nach Abzug von Pauschalkosten in Höhe von 50 Prozent des Bruttobetrags der Einkünfte). Der Betrag dieses Vorabzugs ist jedoch auf den Höchstbetrag der Einbehaltung an der Quelle begrenzt wie in dem anwendbaren Abkommen zur Vermeidung der Doppelbesteuerung vorgesehen.</w:t>
      </w:r>
    </w:p>
    <w:p w14:paraId="3C8443A7" w14:textId="77777777" w:rsidR="007A5656" w:rsidRDefault="007A5656" w:rsidP="007A5656">
      <w:pPr>
        <w:rPr>
          <w:rFonts w:eastAsia="Calibri"/>
          <w:lang w:eastAsia="de-DE" w:bidi="de-DE"/>
        </w:rPr>
      </w:pPr>
      <w:r w:rsidRPr="00A21F71">
        <w:rPr>
          <w:rFonts w:eastAsia="Calibri"/>
          <w:lang w:eastAsia="de-DE" w:bidi="de-DE"/>
        </w:rPr>
        <w:br w:type="page"/>
      </w:r>
    </w:p>
    <w:p w14:paraId="39242A52" w14:textId="77777777" w:rsidR="007A5656" w:rsidRPr="00A21F71" w:rsidRDefault="007A5656" w:rsidP="007A5656">
      <w:pPr>
        <w:rPr>
          <w:rFonts w:eastAsia="Calibri"/>
          <w:lang w:eastAsia="de-DE" w:bidi="de-DE"/>
        </w:rPr>
      </w:pPr>
    </w:p>
    <w:p w14:paraId="3B785EA9" w14:textId="77777777" w:rsidR="007A5656" w:rsidRPr="00A21F71" w:rsidRDefault="007A5656" w:rsidP="007A5656">
      <w:pPr>
        <w:jc w:val="center"/>
        <w:rPr>
          <w:rFonts w:eastAsia="Calibri"/>
          <w:lang w:eastAsia="de-DE" w:bidi="de-DE"/>
        </w:rPr>
      </w:pPr>
      <w:r w:rsidRPr="00A21F71">
        <w:rPr>
          <w:rFonts w:eastAsia="Calibri"/>
          <w:i/>
          <w:lang w:eastAsia="de-DE" w:bidi="de-DE"/>
        </w:rPr>
        <w:t>Abschnitt 6</w:t>
      </w:r>
      <w:r w:rsidRPr="00A21F71">
        <w:rPr>
          <w:rFonts w:eastAsia="Calibri"/>
          <w:lang w:eastAsia="de-DE" w:bidi="de-DE"/>
        </w:rPr>
        <w:t> - Einkünfte gebietsfremder Unterhaltungskünstler</w:t>
      </w:r>
    </w:p>
    <w:p w14:paraId="13D44F31" w14:textId="77777777" w:rsidR="007A5656" w:rsidRPr="00A21F71" w:rsidRDefault="007A5656" w:rsidP="007A5656">
      <w:pPr>
        <w:jc w:val="both"/>
        <w:rPr>
          <w:rFonts w:eastAsia="Calibri"/>
          <w:lang w:eastAsia="de-DE" w:bidi="de-DE"/>
        </w:rPr>
      </w:pPr>
    </w:p>
    <w:p w14:paraId="52EEBD74" w14:textId="77777777" w:rsidR="007A5656" w:rsidRPr="00A21F71" w:rsidRDefault="007A5656" w:rsidP="007A5656">
      <w:pPr>
        <w:jc w:val="both"/>
        <w:rPr>
          <w:rFonts w:eastAsia="Calibri"/>
          <w:lang w:eastAsia="de-DE" w:bidi="de-DE"/>
        </w:rPr>
      </w:pPr>
    </w:p>
    <w:p w14:paraId="2BE6DCE4" w14:textId="77777777" w:rsidR="007A5656" w:rsidRPr="00A21F71" w:rsidRDefault="007A5656" w:rsidP="007A5656">
      <w:pPr>
        <w:jc w:val="both"/>
        <w:rPr>
          <w:rFonts w:eastAsia="Calibri"/>
          <w:lang w:eastAsia="de-DE" w:bidi="de-DE"/>
        </w:rPr>
      </w:pPr>
      <w:r w:rsidRPr="00A21F71">
        <w:rPr>
          <w:rFonts w:eastAsia="Calibri"/>
          <w:lang w:eastAsia="de-DE" w:bidi="de-DE"/>
        </w:rPr>
        <w:tab/>
        <w:t>5.26 Erhebungsgrundlage und Satz</w:t>
      </w:r>
    </w:p>
    <w:p w14:paraId="52B4D0D2" w14:textId="77777777" w:rsidR="007A5656" w:rsidRPr="00A21F71" w:rsidRDefault="007A5656" w:rsidP="007A5656">
      <w:pPr>
        <w:jc w:val="both"/>
        <w:rPr>
          <w:rFonts w:eastAsia="Calibri"/>
          <w:lang w:eastAsia="de-DE" w:bidi="de-DE"/>
        </w:rPr>
      </w:pPr>
    </w:p>
    <w:p w14:paraId="7DBBF8C1" w14:textId="77777777" w:rsidR="007A5656" w:rsidRPr="00A21F71" w:rsidRDefault="007A5656" w:rsidP="007A5656">
      <w:pPr>
        <w:jc w:val="both"/>
        <w:rPr>
          <w:rFonts w:eastAsia="Calibri"/>
          <w:lang w:eastAsia="de-DE" w:bidi="de-DE"/>
        </w:rPr>
      </w:pPr>
      <w:r w:rsidRPr="00A21F71">
        <w:rPr>
          <w:rFonts w:eastAsia="Calibri"/>
          <w:lang w:eastAsia="de-DE" w:bidi="de-DE"/>
        </w:rPr>
        <w:tab/>
        <w:t>In Abweichung von den Bestimmungen der Kapitel 2 und 5 und von Nr. 5.25 Buchstabe a) und b) wird der Berufssteuervorabzug einheitlich festgelegt auf 18 Prozent des Bruttobetrags der in Artikel 228 § 2 Nr. 8 des Einkommensteuergesetzbuches 1992 erwähnten Einkünfte, abzüglich der in nachstehender Tabelle angegebenen Pauschalkosten:</w:t>
      </w:r>
    </w:p>
    <w:p w14:paraId="2F42F69B" w14:textId="77777777" w:rsidR="007A5656" w:rsidRPr="00A21F71" w:rsidRDefault="007A5656" w:rsidP="007A5656">
      <w:pPr>
        <w:rPr>
          <w:rFonts w:eastAsia="Calibri"/>
          <w:lang w:eastAsia="de-DE" w:bidi="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5"/>
        <w:gridCol w:w="3929"/>
      </w:tblGrid>
      <w:tr w:rsidR="007A5656" w:rsidRPr="00A21F71" w14:paraId="1D114414" w14:textId="77777777" w:rsidTr="00212CA2">
        <w:tc>
          <w:tcPr>
            <w:tcW w:w="5103" w:type="dxa"/>
            <w:vAlign w:val="center"/>
          </w:tcPr>
          <w:p w14:paraId="36FB60C4"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ART DER KOSTEN</w:t>
            </w:r>
          </w:p>
        </w:tc>
        <w:tc>
          <w:tcPr>
            <w:tcW w:w="4001" w:type="dxa"/>
            <w:vAlign w:val="center"/>
          </w:tcPr>
          <w:p w14:paraId="64BC0B7A" w14:textId="77777777" w:rsidR="007A5656" w:rsidRPr="00A21F71" w:rsidRDefault="007A5656" w:rsidP="00212CA2">
            <w:pPr>
              <w:spacing w:before="40" w:after="40"/>
              <w:jc w:val="center"/>
              <w:rPr>
                <w:rFonts w:eastAsia="Calibri"/>
                <w:sz w:val="22"/>
                <w:lang w:eastAsia="de-DE" w:bidi="de-DE"/>
              </w:rPr>
            </w:pPr>
            <w:r w:rsidRPr="00A21F71">
              <w:rPr>
                <w:rFonts w:eastAsia="Calibri"/>
                <w:sz w:val="22"/>
                <w:lang w:eastAsia="de-DE" w:bidi="de-DE"/>
              </w:rPr>
              <w:t>BETRAG</w:t>
            </w:r>
          </w:p>
        </w:tc>
      </w:tr>
      <w:tr w:rsidR="007A5656" w:rsidRPr="00A21F71" w14:paraId="4D9C52EF" w14:textId="77777777" w:rsidTr="00212CA2">
        <w:tc>
          <w:tcPr>
            <w:tcW w:w="5103" w:type="dxa"/>
          </w:tcPr>
          <w:p w14:paraId="3A6D774D" w14:textId="77777777" w:rsidR="007A5656" w:rsidRPr="00A21F71" w:rsidRDefault="007A5656" w:rsidP="00212CA2">
            <w:pPr>
              <w:rPr>
                <w:rFonts w:eastAsia="Calibri"/>
                <w:sz w:val="22"/>
                <w:lang w:eastAsia="de-DE" w:bidi="de-DE"/>
              </w:rPr>
            </w:pPr>
            <w:r w:rsidRPr="00A21F71">
              <w:rPr>
                <w:rFonts w:eastAsia="Calibri"/>
                <w:sz w:val="22"/>
                <w:lang w:eastAsia="de-DE" w:bidi="de-DE"/>
              </w:rPr>
              <w:t>1. Fahrtkosten:</w:t>
            </w:r>
          </w:p>
          <w:p w14:paraId="14869C1E" w14:textId="77777777" w:rsidR="007A5656" w:rsidRPr="00A21F71" w:rsidRDefault="007A5656" w:rsidP="00212CA2">
            <w:pPr>
              <w:rPr>
                <w:rFonts w:eastAsia="Calibri"/>
                <w:sz w:val="22"/>
                <w:lang w:eastAsia="de-DE" w:bidi="de-DE"/>
              </w:rPr>
            </w:pPr>
            <w:r w:rsidRPr="00A21F71">
              <w:rPr>
                <w:rFonts w:eastAsia="Calibri"/>
                <w:sz w:val="22"/>
                <w:lang w:eastAsia="de-DE" w:bidi="de-DE"/>
              </w:rPr>
              <w:t>2. Verpflegungskosten und andere kleine Ausgaben:</w:t>
            </w:r>
          </w:p>
          <w:p w14:paraId="0B1FE7E5" w14:textId="77777777" w:rsidR="007A5656" w:rsidRPr="00A21F71" w:rsidRDefault="007A5656" w:rsidP="00212CA2">
            <w:pPr>
              <w:rPr>
                <w:rFonts w:eastAsia="Calibri"/>
                <w:sz w:val="22"/>
                <w:lang w:eastAsia="de-DE" w:bidi="de-DE"/>
              </w:rPr>
            </w:pPr>
            <w:r w:rsidRPr="00A21F71">
              <w:rPr>
                <w:rFonts w:eastAsia="Calibri"/>
                <w:sz w:val="22"/>
                <w:lang w:eastAsia="de-DE" w:bidi="de-DE"/>
              </w:rPr>
              <w:t>3. Übernachtungskosten:</w:t>
            </w:r>
          </w:p>
        </w:tc>
        <w:tc>
          <w:tcPr>
            <w:tcW w:w="4001" w:type="dxa"/>
          </w:tcPr>
          <w:p w14:paraId="620FEA1F"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300,00 EUR</w:t>
            </w:r>
          </w:p>
          <w:p w14:paraId="17958E5E"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37,50 EUR</w:t>
            </w:r>
          </w:p>
          <w:p w14:paraId="5F835D3A"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62,50 EUR</w:t>
            </w:r>
          </w:p>
        </w:tc>
      </w:tr>
      <w:tr w:rsidR="007A5656" w:rsidRPr="00A21F71" w14:paraId="65F3D484" w14:textId="77777777" w:rsidTr="00212CA2">
        <w:tc>
          <w:tcPr>
            <w:tcW w:w="5103" w:type="dxa"/>
            <w:vAlign w:val="center"/>
          </w:tcPr>
          <w:p w14:paraId="01268500" w14:textId="77777777" w:rsidR="007A5656" w:rsidRPr="00A21F71" w:rsidRDefault="007A5656" w:rsidP="00212CA2">
            <w:pPr>
              <w:jc w:val="right"/>
              <w:rPr>
                <w:rFonts w:eastAsia="Calibri"/>
                <w:sz w:val="22"/>
                <w:lang w:eastAsia="de-DE" w:bidi="de-DE"/>
              </w:rPr>
            </w:pPr>
            <w:r w:rsidRPr="00A21F71">
              <w:rPr>
                <w:rFonts w:eastAsia="Calibri"/>
                <w:sz w:val="22"/>
                <w:lang w:eastAsia="de-DE" w:bidi="de-DE"/>
              </w:rPr>
              <w:t xml:space="preserve">Gesamt: </w:t>
            </w:r>
          </w:p>
        </w:tc>
        <w:tc>
          <w:tcPr>
            <w:tcW w:w="4001" w:type="dxa"/>
          </w:tcPr>
          <w:p w14:paraId="3DC9133D" w14:textId="77777777" w:rsidR="007A5656" w:rsidRPr="00A21F71" w:rsidRDefault="007A5656" w:rsidP="00212CA2">
            <w:pPr>
              <w:jc w:val="center"/>
              <w:rPr>
                <w:rFonts w:eastAsia="Calibri"/>
                <w:sz w:val="22"/>
                <w:lang w:eastAsia="de-DE" w:bidi="de-DE"/>
              </w:rPr>
            </w:pPr>
            <w:r w:rsidRPr="00A21F71">
              <w:rPr>
                <w:rFonts w:eastAsia="Calibri"/>
                <w:sz w:val="22"/>
                <w:lang w:eastAsia="de-DE" w:bidi="de-DE"/>
              </w:rPr>
              <w:t>400,00 EUR</w:t>
            </w:r>
          </w:p>
        </w:tc>
      </w:tr>
    </w:tbl>
    <w:p w14:paraId="562CAA96" w14:textId="77777777" w:rsidR="007A5656" w:rsidRPr="00A21F71" w:rsidRDefault="007A5656" w:rsidP="007A5656">
      <w:pPr>
        <w:jc w:val="both"/>
        <w:rPr>
          <w:rFonts w:eastAsia="Calibri"/>
          <w:lang w:eastAsia="de-DE" w:bidi="de-DE"/>
        </w:rPr>
      </w:pPr>
    </w:p>
    <w:p w14:paraId="0A992625" w14:textId="77777777" w:rsidR="007A5656" w:rsidRPr="00A21F71" w:rsidRDefault="007A5656" w:rsidP="007A5656">
      <w:pPr>
        <w:jc w:val="both"/>
        <w:rPr>
          <w:rFonts w:eastAsia="Calibri"/>
          <w:lang w:eastAsia="de-DE" w:bidi="de-DE"/>
        </w:rPr>
      </w:pPr>
      <w:r w:rsidRPr="00A21F71">
        <w:rPr>
          <w:rFonts w:eastAsia="Calibri"/>
          <w:lang w:eastAsia="de-DE" w:bidi="de-DE"/>
        </w:rPr>
        <w:tab/>
        <w:t>Der Pauschalbetrag wird pro Schuldner des Berufssteuervorabzugs entsprechend der in Belgien geleisteten Tage festgelegt, für die der Unterhaltungskünstler entlohnt wird. Die Anzahl geleisteter Tage ist jedoch pro Schuldner des Berufssteuervorabzugs für jeden Unterhaltungskünstler auf zehn Tage pro Kalenderjahr zu begrenzen.</w:t>
      </w:r>
    </w:p>
    <w:p w14:paraId="30591144" w14:textId="77777777" w:rsidR="007A5656" w:rsidRPr="00A21F71" w:rsidRDefault="007A5656" w:rsidP="007A5656">
      <w:pPr>
        <w:jc w:val="both"/>
        <w:rPr>
          <w:rFonts w:eastAsia="Calibri"/>
          <w:lang w:eastAsia="de-DE" w:bidi="de-DE"/>
        </w:rPr>
      </w:pPr>
    </w:p>
    <w:p w14:paraId="63F81D8A" w14:textId="77777777" w:rsidR="007A5656" w:rsidRPr="00A21F71" w:rsidRDefault="007A5656" w:rsidP="007A5656">
      <w:pPr>
        <w:jc w:val="both"/>
        <w:rPr>
          <w:rFonts w:eastAsia="Calibri"/>
          <w:lang w:eastAsia="de-DE" w:bidi="de-DE"/>
        </w:rPr>
      </w:pPr>
      <w:r w:rsidRPr="00A21F71">
        <w:rPr>
          <w:rFonts w:eastAsia="Calibri"/>
          <w:lang w:eastAsia="de-DE" w:bidi="de-DE"/>
        </w:rPr>
        <w:tab/>
        <w:t>Folgende Beträge können berücksichtigt werden:</w:t>
      </w:r>
    </w:p>
    <w:p w14:paraId="40922E0B" w14:textId="77777777" w:rsidR="007A5656" w:rsidRPr="00A21F71" w:rsidRDefault="007A5656" w:rsidP="007A5656">
      <w:pPr>
        <w:jc w:val="both"/>
        <w:rPr>
          <w:rFonts w:eastAsia="Calibri"/>
          <w:lang w:eastAsia="de-DE" w:bidi="de-DE"/>
        </w:rPr>
      </w:pPr>
    </w:p>
    <w:p w14:paraId="42FD3FF3" w14:textId="77777777" w:rsidR="007A5656" w:rsidRPr="00A21F71" w:rsidRDefault="007A5656" w:rsidP="007A5656">
      <w:pPr>
        <w:jc w:val="both"/>
        <w:rPr>
          <w:rFonts w:eastAsia="Calibri"/>
          <w:lang w:eastAsia="de-DE" w:bidi="de-DE"/>
        </w:rPr>
      </w:pPr>
      <w:r w:rsidRPr="00A21F71">
        <w:rPr>
          <w:rFonts w:eastAsia="Calibri"/>
          <w:lang w:eastAsia="de-DE" w:bidi="de-DE"/>
        </w:rPr>
        <w:tab/>
        <w:t>- 400 EUR für den ersten Tag,</w:t>
      </w:r>
    </w:p>
    <w:p w14:paraId="088B32F5" w14:textId="77777777" w:rsidR="007A5656" w:rsidRPr="00A21F71" w:rsidRDefault="007A5656" w:rsidP="007A5656">
      <w:pPr>
        <w:jc w:val="both"/>
        <w:rPr>
          <w:rFonts w:eastAsia="Calibri"/>
          <w:lang w:eastAsia="de-DE" w:bidi="de-DE"/>
        </w:rPr>
      </w:pPr>
    </w:p>
    <w:p w14:paraId="5F2EA723" w14:textId="77777777" w:rsidR="007A5656" w:rsidRPr="00A21F71" w:rsidRDefault="007A5656" w:rsidP="007A5656">
      <w:pPr>
        <w:jc w:val="both"/>
        <w:rPr>
          <w:rFonts w:eastAsia="Calibri"/>
          <w:lang w:eastAsia="de-DE" w:bidi="de-DE"/>
        </w:rPr>
      </w:pPr>
      <w:r w:rsidRPr="00A21F71">
        <w:rPr>
          <w:rFonts w:eastAsia="Calibri"/>
          <w:lang w:eastAsia="de-DE" w:bidi="de-DE"/>
        </w:rPr>
        <w:tab/>
        <w:t>- 100 EUR für jeden folgenden geleisteten Tag.</w:t>
      </w:r>
    </w:p>
    <w:p w14:paraId="1BCEC428" w14:textId="77777777" w:rsidR="007A5656" w:rsidRPr="00A21F71" w:rsidRDefault="007A5656" w:rsidP="007A5656">
      <w:pPr>
        <w:jc w:val="both"/>
        <w:rPr>
          <w:rFonts w:eastAsia="Calibri"/>
          <w:lang w:eastAsia="de-DE" w:bidi="de-DE"/>
        </w:rPr>
      </w:pPr>
    </w:p>
    <w:p w14:paraId="6647EF39" w14:textId="77777777" w:rsidR="007A5656" w:rsidRPr="00A21F71" w:rsidRDefault="007A5656" w:rsidP="007A5656">
      <w:pPr>
        <w:jc w:val="both"/>
        <w:rPr>
          <w:rFonts w:eastAsia="Calibri"/>
          <w:lang w:eastAsia="de-DE" w:bidi="de-DE"/>
        </w:rPr>
      </w:pPr>
    </w:p>
    <w:p w14:paraId="70B13C7D" w14:textId="53489C64" w:rsidR="007A5656" w:rsidRPr="00A21F71" w:rsidRDefault="007A5656" w:rsidP="007A5656">
      <w:pPr>
        <w:jc w:val="both"/>
        <w:rPr>
          <w:rFonts w:eastAsia="Calibri"/>
          <w:lang w:eastAsia="de-DE" w:bidi="de-DE"/>
        </w:rPr>
      </w:pPr>
      <w:r w:rsidRPr="00A21F71">
        <w:rPr>
          <w:rFonts w:eastAsia="Calibri"/>
          <w:i/>
          <w:lang w:eastAsia="de-DE" w:bidi="de-DE"/>
        </w:rPr>
        <w:t>Abschnitt 7</w:t>
      </w:r>
      <w:r w:rsidRPr="00A21F71">
        <w:rPr>
          <w:rFonts w:eastAsia="Calibri"/>
          <w:lang w:eastAsia="de-DE" w:bidi="de-DE"/>
        </w:rPr>
        <w:t xml:space="preserve"> - </w:t>
      </w:r>
      <w:r w:rsidR="004F7E47">
        <w:rPr>
          <w:rFonts w:eastAsia="Calibri"/>
          <w:lang w:eastAsia="de-DE" w:bidi="de-DE"/>
        </w:rPr>
        <w:t>[</w:t>
      </w:r>
      <w:r w:rsidR="004F7E47" w:rsidRPr="00402AAD">
        <w:t>Gewinne und Profite gebietsfremder Gesellschafter oder Mitglieder von Gesellschaften oder Vereinigungen ohne Rechtspersönlichkeit im Sinne von Artikel 29 des Einkommensteuergesetzbuches 1992 wie in Artikel 229 § 3 desselben Gesetzbuches erwähnt</w:t>
      </w:r>
      <w:r w:rsidR="004F7E47">
        <w:rPr>
          <w:rFonts w:eastAsia="Calibri"/>
          <w:lang w:eastAsia="de-DE" w:bidi="de-DE"/>
        </w:rPr>
        <w:t>]</w:t>
      </w:r>
    </w:p>
    <w:p w14:paraId="5A6A7EFF" w14:textId="77777777" w:rsidR="007A5656" w:rsidRDefault="007A5656" w:rsidP="007A5656">
      <w:pPr>
        <w:jc w:val="both"/>
        <w:rPr>
          <w:rFonts w:eastAsia="Calibri"/>
          <w:lang w:eastAsia="de-DE" w:bidi="de-DE"/>
        </w:rPr>
      </w:pPr>
    </w:p>
    <w:p w14:paraId="23A47DF9" w14:textId="49DEEAFF" w:rsidR="004F7E47" w:rsidRPr="004F7E47" w:rsidRDefault="004F7E47" w:rsidP="007A5656">
      <w:pPr>
        <w:jc w:val="both"/>
        <w:rPr>
          <w:rFonts w:eastAsia="Calibri"/>
          <w:i/>
          <w:lang w:eastAsia="de-DE" w:bidi="de-DE"/>
        </w:rPr>
      </w:pPr>
      <w:r>
        <w:rPr>
          <w:rFonts w:eastAsia="Calibri"/>
          <w:i/>
          <w:lang w:eastAsia="de-DE" w:bidi="de-DE"/>
        </w:rPr>
        <w:t>[Überschrift von Abschnitt 7 ersetzt durch Art. 23 des K.E. vom 29. August 2019</w:t>
      </w:r>
      <w:r w:rsidR="00865C4C">
        <w:rPr>
          <w:rFonts w:eastAsia="Calibri"/>
          <w:i/>
          <w:lang w:eastAsia="de-DE" w:bidi="de-DE"/>
        </w:rPr>
        <w:t> (I)</w:t>
      </w:r>
      <w:r>
        <w:rPr>
          <w:rFonts w:eastAsia="Calibri"/>
          <w:i/>
          <w:lang w:eastAsia="de-DE" w:bidi="de-DE"/>
        </w:rPr>
        <w:t xml:space="preserve"> (B.S. vom 13. September </w:t>
      </w:r>
      <w:r w:rsidRPr="004F7E47">
        <w:rPr>
          <w:rFonts w:eastAsia="Calibri"/>
          <w:i/>
          <w:lang w:eastAsia="de-DE" w:bidi="de-DE"/>
        </w:rPr>
        <w:t>2019)</w:t>
      </w:r>
      <w:r>
        <w:rPr>
          <w:rFonts w:eastAsia="Calibri"/>
          <w:i/>
          <w:lang w:eastAsia="de-DE" w:bidi="de-DE"/>
        </w:rPr>
        <w:t>]</w:t>
      </w:r>
    </w:p>
    <w:p w14:paraId="4296D294" w14:textId="77777777" w:rsidR="007A5656" w:rsidRDefault="007A5656" w:rsidP="007A5656">
      <w:pPr>
        <w:jc w:val="both"/>
        <w:rPr>
          <w:rFonts w:eastAsia="Calibri"/>
          <w:lang w:eastAsia="de-DE" w:bidi="de-DE"/>
        </w:rPr>
      </w:pPr>
    </w:p>
    <w:p w14:paraId="6F940DFE" w14:textId="77777777" w:rsidR="004F7E47" w:rsidRPr="00A21F71" w:rsidRDefault="004F7E47" w:rsidP="007A5656">
      <w:pPr>
        <w:jc w:val="both"/>
        <w:rPr>
          <w:rFonts w:eastAsia="Calibri"/>
          <w:lang w:eastAsia="de-DE" w:bidi="de-DE"/>
        </w:rPr>
      </w:pPr>
    </w:p>
    <w:p w14:paraId="2F195EB8" w14:textId="77777777" w:rsidR="007A5656" w:rsidRPr="00A21F71" w:rsidRDefault="007A5656" w:rsidP="007A5656">
      <w:pPr>
        <w:jc w:val="both"/>
        <w:rPr>
          <w:rFonts w:eastAsia="Calibri"/>
          <w:lang w:eastAsia="de-DE" w:bidi="de-DE"/>
        </w:rPr>
      </w:pPr>
      <w:r w:rsidRPr="00A21F71">
        <w:rPr>
          <w:rFonts w:eastAsia="Calibri"/>
          <w:lang w:eastAsia="de-DE" w:bidi="de-DE"/>
        </w:rPr>
        <w:tab/>
        <w:t>5.27 Erhebungsgrundlage und Satz</w:t>
      </w:r>
    </w:p>
    <w:p w14:paraId="7B538258" w14:textId="77777777" w:rsidR="007A5656" w:rsidRPr="00A21F71" w:rsidRDefault="007A5656" w:rsidP="007A5656">
      <w:pPr>
        <w:jc w:val="both"/>
        <w:rPr>
          <w:rFonts w:eastAsia="Calibri"/>
          <w:lang w:eastAsia="de-DE" w:bidi="de-DE"/>
        </w:rPr>
      </w:pPr>
    </w:p>
    <w:p w14:paraId="4DBC7170" w14:textId="77777777" w:rsidR="007A5656" w:rsidRPr="00A21F71" w:rsidRDefault="007A5656" w:rsidP="007A5656">
      <w:pPr>
        <w:jc w:val="both"/>
        <w:rPr>
          <w:rFonts w:eastAsia="Calibri"/>
          <w:lang w:eastAsia="de-DE" w:bidi="de-DE"/>
        </w:rPr>
      </w:pPr>
      <w:r w:rsidRPr="00A21F71">
        <w:rPr>
          <w:rFonts w:eastAsia="Calibri"/>
          <w:lang w:eastAsia="de-DE" w:bidi="de-DE"/>
        </w:rPr>
        <w:tab/>
        <w:t>In Artikel 87 Nr. 7 des vorliegenden Erlasses erwähnte Einkünfte eines Gesellschafters oder Mitglieds unterliegen dem Berufssteuervorabzug unter Berücksichtigung folgender Unterscheidung:</w:t>
      </w:r>
    </w:p>
    <w:p w14:paraId="5158BF1C" w14:textId="77777777" w:rsidR="007A5656" w:rsidRPr="00A21F71" w:rsidRDefault="007A5656" w:rsidP="007A5656">
      <w:pPr>
        <w:jc w:val="both"/>
        <w:rPr>
          <w:rFonts w:eastAsia="Calibri"/>
          <w:lang w:eastAsia="de-DE" w:bidi="de-DE"/>
        </w:rPr>
      </w:pPr>
    </w:p>
    <w:p w14:paraId="54A884D0" w14:textId="77777777" w:rsidR="007A5656" w:rsidRPr="00A21F71" w:rsidRDefault="007A5656" w:rsidP="007A5656">
      <w:pPr>
        <w:jc w:val="both"/>
        <w:rPr>
          <w:rFonts w:eastAsia="Calibri"/>
          <w:lang w:eastAsia="de-DE" w:bidi="de-DE"/>
        </w:rPr>
      </w:pPr>
      <w:r w:rsidRPr="00A21F71">
        <w:rPr>
          <w:rFonts w:eastAsia="Calibri"/>
          <w:lang w:eastAsia="de-DE" w:bidi="de-DE"/>
        </w:rPr>
        <w:tab/>
        <w:t>A. Einkünfte, bei denen davon ausgegangen wird, dass sie in Artikel 227 Nr. 1 des Einkommensteuergesetzbuches 1992 erwähnten Nicht-Einwohnern des Königreichs zuerkannt werden: Der Berufssteuervorabzug wird gemäß den nachfolgend vorgesehenen Sätzen festgelegt (ohne Ermäßigung):</w:t>
      </w:r>
    </w:p>
    <w:p w14:paraId="5FFC1220" w14:textId="1DE9CC53" w:rsidR="004F7E47" w:rsidRDefault="004F7E47">
      <w:pPr>
        <w:rPr>
          <w:rFonts w:eastAsia="Calibri"/>
          <w:lang w:eastAsia="de-DE" w:bidi="de-DE"/>
        </w:rPr>
      </w:pPr>
      <w:r>
        <w:rPr>
          <w:rFonts w:eastAsia="Calibri"/>
          <w:lang w:eastAsia="de-DE" w:bidi="de-DE"/>
        </w:rPr>
        <w:br w:type="page"/>
      </w:r>
    </w:p>
    <w:p w14:paraId="2D505A27" w14:textId="77777777" w:rsidR="007A5656" w:rsidRPr="00A21F71" w:rsidRDefault="007A5656" w:rsidP="007A5656">
      <w:pPr>
        <w:jc w:val="both"/>
        <w:rPr>
          <w:rFonts w:eastAsia="Calibri"/>
          <w:lang w:eastAsia="de-DE" w:bidi="de-DE"/>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5953"/>
      </w:tblGrid>
      <w:tr w:rsidR="007A5656" w:rsidRPr="00A21F71" w14:paraId="3535F587" w14:textId="77777777" w:rsidTr="00212CA2">
        <w:tc>
          <w:tcPr>
            <w:tcW w:w="3403" w:type="dxa"/>
            <w:vAlign w:val="center"/>
          </w:tcPr>
          <w:p w14:paraId="64504B69" w14:textId="77777777" w:rsidR="007A5656" w:rsidRPr="00A21F71" w:rsidRDefault="007A5656" w:rsidP="00212CA2">
            <w:pPr>
              <w:spacing w:before="40" w:after="40"/>
              <w:jc w:val="center"/>
              <w:rPr>
                <w:rFonts w:eastAsia="Calibri"/>
                <w:sz w:val="20"/>
                <w:szCs w:val="20"/>
                <w:lang w:eastAsia="de-DE" w:bidi="de-DE"/>
              </w:rPr>
            </w:pPr>
            <w:r w:rsidRPr="00A21F71">
              <w:rPr>
                <w:rFonts w:eastAsia="Calibri"/>
                <w:sz w:val="20"/>
                <w:szCs w:val="20"/>
                <w:lang w:eastAsia="de-DE" w:bidi="de-DE"/>
              </w:rPr>
              <w:t>GESAMTBETRAG DER GEWINNE ODER PROFITE EINES GESELLSCHAFTERS ODER EINES MITGLIEDS</w:t>
            </w:r>
          </w:p>
        </w:tc>
        <w:tc>
          <w:tcPr>
            <w:tcW w:w="5953" w:type="dxa"/>
            <w:vAlign w:val="center"/>
          </w:tcPr>
          <w:p w14:paraId="7769E9A9" w14:textId="77777777" w:rsidR="007A5656" w:rsidRPr="00A21F71" w:rsidRDefault="007A5656" w:rsidP="00212CA2">
            <w:pPr>
              <w:spacing w:before="40" w:after="40"/>
              <w:jc w:val="center"/>
              <w:rPr>
                <w:rFonts w:eastAsia="Calibri"/>
                <w:sz w:val="20"/>
                <w:szCs w:val="20"/>
                <w:lang w:eastAsia="de-DE" w:bidi="de-DE"/>
              </w:rPr>
            </w:pPr>
            <w:r w:rsidRPr="00A21F71">
              <w:rPr>
                <w:rFonts w:eastAsia="Calibri"/>
                <w:sz w:val="20"/>
                <w:szCs w:val="20"/>
                <w:lang w:eastAsia="de-DE" w:bidi="de-DE"/>
              </w:rPr>
              <w:t>GESCHULDETER BERUFSSTEUERVORABZUG</w:t>
            </w:r>
          </w:p>
        </w:tc>
      </w:tr>
      <w:tr w:rsidR="007A5656" w:rsidRPr="00A21F71" w14:paraId="00C78749" w14:textId="77777777" w:rsidTr="00212CA2">
        <w:tc>
          <w:tcPr>
            <w:tcW w:w="3403" w:type="dxa"/>
          </w:tcPr>
          <w:p w14:paraId="7218FCB4" w14:textId="77777777" w:rsidR="007A5656" w:rsidRPr="00A21F71" w:rsidRDefault="007A5656" w:rsidP="00212CA2">
            <w:pPr>
              <w:jc w:val="both"/>
              <w:rPr>
                <w:rFonts w:eastAsia="Calibri"/>
                <w:sz w:val="20"/>
                <w:szCs w:val="20"/>
                <w:lang w:eastAsia="de-DE" w:bidi="de-DE"/>
              </w:rPr>
            </w:pPr>
            <w:r>
              <w:rPr>
                <w:rFonts w:eastAsia="Calibri"/>
                <w:sz w:val="20"/>
                <w:szCs w:val="20"/>
                <w:lang w:eastAsia="de-DE" w:bidi="de-DE"/>
              </w:rPr>
              <w:t>von 0,01 EUR bis 11.070</w:t>
            </w:r>
            <w:r w:rsidRPr="00A21F71">
              <w:rPr>
                <w:rFonts w:eastAsia="Calibri"/>
                <w:sz w:val="20"/>
                <w:szCs w:val="20"/>
                <w:lang w:eastAsia="de-DE" w:bidi="de-DE"/>
              </w:rPr>
              <w:t>,00 EUR</w:t>
            </w:r>
          </w:p>
          <w:p w14:paraId="43A37C3A" w14:textId="77777777" w:rsidR="007A5656" w:rsidRPr="00A21F71" w:rsidRDefault="007A5656" w:rsidP="00212CA2">
            <w:pPr>
              <w:jc w:val="both"/>
              <w:rPr>
                <w:rFonts w:eastAsia="Calibri"/>
                <w:sz w:val="20"/>
                <w:szCs w:val="20"/>
                <w:lang w:eastAsia="de-DE" w:bidi="de-DE"/>
              </w:rPr>
            </w:pPr>
            <w:r>
              <w:rPr>
                <w:rFonts w:eastAsia="Calibri"/>
                <w:sz w:val="20"/>
                <w:szCs w:val="20"/>
                <w:lang w:eastAsia="de-DE" w:bidi="de-DE"/>
              </w:rPr>
              <w:t>von 11.070,01 EUR bis 12.14</w:t>
            </w:r>
            <w:r w:rsidRPr="00A21F71">
              <w:rPr>
                <w:rFonts w:eastAsia="Calibri"/>
                <w:sz w:val="20"/>
                <w:szCs w:val="20"/>
                <w:lang w:eastAsia="de-DE" w:bidi="de-DE"/>
              </w:rPr>
              <w:t>0,00 EUR</w:t>
            </w:r>
          </w:p>
          <w:p w14:paraId="71E19A34" w14:textId="77777777" w:rsidR="007A5656" w:rsidRPr="00A21F71" w:rsidRDefault="007A5656" w:rsidP="00212CA2">
            <w:pPr>
              <w:jc w:val="both"/>
              <w:rPr>
                <w:rFonts w:eastAsia="Calibri"/>
                <w:sz w:val="20"/>
                <w:szCs w:val="20"/>
                <w:lang w:eastAsia="de-DE" w:bidi="de-DE"/>
              </w:rPr>
            </w:pPr>
            <w:r>
              <w:rPr>
                <w:rFonts w:eastAsia="Calibri"/>
                <w:sz w:val="20"/>
                <w:szCs w:val="20"/>
                <w:lang w:eastAsia="de-DE" w:bidi="de-DE"/>
              </w:rPr>
              <w:t>von 12.140,01 EUR bis 17.59</w:t>
            </w:r>
            <w:r w:rsidRPr="00A21F71">
              <w:rPr>
                <w:rFonts w:eastAsia="Calibri"/>
                <w:sz w:val="20"/>
                <w:szCs w:val="20"/>
                <w:lang w:eastAsia="de-DE" w:bidi="de-DE"/>
              </w:rPr>
              <w:t>0,00 EUR</w:t>
            </w:r>
          </w:p>
          <w:p w14:paraId="76E5B49F" w14:textId="77777777" w:rsidR="007A5656" w:rsidRPr="00A21F71" w:rsidRDefault="007A5656" w:rsidP="00212CA2">
            <w:pPr>
              <w:jc w:val="both"/>
              <w:rPr>
                <w:rFonts w:eastAsia="Calibri"/>
                <w:sz w:val="20"/>
                <w:szCs w:val="20"/>
                <w:lang w:eastAsia="de-DE" w:bidi="de-DE"/>
              </w:rPr>
            </w:pPr>
            <w:r>
              <w:rPr>
                <w:rFonts w:eastAsia="Calibri"/>
                <w:sz w:val="20"/>
                <w:szCs w:val="20"/>
                <w:lang w:eastAsia="de-DE" w:bidi="de-DE"/>
              </w:rPr>
              <w:t>von 17.590,01 EUR bis 38.84</w:t>
            </w:r>
            <w:r w:rsidRPr="00A21F71">
              <w:rPr>
                <w:rFonts w:eastAsia="Calibri"/>
                <w:sz w:val="20"/>
                <w:szCs w:val="20"/>
                <w:lang w:eastAsia="de-DE" w:bidi="de-DE"/>
              </w:rPr>
              <w:t>0,00 EUR</w:t>
            </w:r>
          </w:p>
          <w:p w14:paraId="654F4227" w14:textId="77777777" w:rsidR="007A5656" w:rsidRPr="00A21F71" w:rsidRDefault="007A5656" w:rsidP="00212CA2">
            <w:pPr>
              <w:jc w:val="both"/>
              <w:rPr>
                <w:rFonts w:eastAsia="Calibri"/>
                <w:sz w:val="20"/>
                <w:szCs w:val="20"/>
                <w:lang w:eastAsia="de-DE" w:bidi="de-DE"/>
              </w:rPr>
            </w:pPr>
            <w:r w:rsidRPr="00A21F71">
              <w:rPr>
                <w:rFonts w:eastAsia="Calibri"/>
                <w:sz w:val="20"/>
                <w:szCs w:val="20"/>
                <w:lang w:eastAsia="de-DE" w:bidi="de-DE"/>
              </w:rPr>
              <w:t xml:space="preserve">mehr </w:t>
            </w:r>
            <w:r>
              <w:rPr>
                <w:rFonts w:eastAsia="Calibri"/>
                <w:sz w:val="20"/>
                <w:szCs w:val="20"/>
                <w:lang w:eastAsia="de-DE" w:bidi="de-DE"/>
              </w:rPr>
              <w:t>als 38.84</w:t>
            </w:r>
            <w:r w:rsidRPr="00A21F71">
              <w:rPr>
                <w:rFonts w:eastAsia="Calibri"/>
                <w:sz w:val="20"/>
                <w:szCs w:val="20"/>
                <w:lang w:eastAsia="de-DE" w:bidi="de-DE"/>
              </w:rPr>
              <w:t>0,00 EUR</w:t>
            </w:r>
          </w:p>
        </w:tc>
        <w:tc>
          <w:tcPr>
            <w:tcW w:w="5953" w:type="dxa"/>
          </w:tcPr>
          <w:p w14:paraId="2CA9BEE4" w14:textId="77777777" w:rsidR="007A5656" w:rsidRPr="00A21F71" w:rsidRDefault="007A5656" w:rsidP="00212CA2">
            <w:pPr>
              <w:jc w:val="both"/>
              <w:rPr>
                <w:rFonts w:eastAsia="Calibri"/>
                <w:sz w:val="20"/>
                <w:szCs w:val="20"/>
                <w:lang w:eastAsia="de-DE" w:bidi="de-DE"/>
              </w:rPr>
            </w:pPr>
            <w:r w:rsidRPr="00A21F71">
              <w:rPr>
                <w:rFonts w:eastAsia="Calibri"/>
                <w:sz w:val="20"/>
                <w:szCs w:val="20"/>
                <w:lang w:eastAsia="de-DE" w:bidi="de-DE"/>
              </w:rPr>
              <w:t>26,75 Prozent</w:t>
            </w:r>
          </w:p>
          <w:p w14:paraId="070CF9D0" w14:textId="77777777" w:rsidR="007A5656" w:rsidRPr="00A21F71" w:rsidRDefault="007A5656" w:rsidP="00212CA2">
            <w:pPr>
              <w:jc w:val="both"/>
              <w:rPr>
                <w:rFonts w:eastAsia="Calibri"/>
                <w:sz w:val="20"/>
                <w:szCs w:val="20"/>
                <w:lang w:eastAsia="de-DE" w:bidi="de-DE"/>
              </w:rPr>
            </w:pPr>
            <w:r>
              <w:rPr>
                <w:rFonts w:eastAsia="Calibri"/>
                <w:sz w:val="20"/>
                <w:szCs w:val="20"/>
                <w:lang w:eastAsia="de-DE" w:bidi="de-DE"/>
              </w:rPr>
              <w:t>2.961,23</w:t>
            </w:r>
            <w:r w:rsidRPr="00A21F71">
              <w:rPr>
                <w:rFonts w:eastAsia="Calibri"/>
                <w:sz w:val="20"/>
                <w:szCs w:val="20"/>
                <w:lang w:eastAsia="de-DE" w:bidi="de-DE"/>
              </w:rPr>
              <w:t> EUR + 32,10 P</w:t>
            </w:r>
            <w:r>
              <w:rPr>
                <w:rFonts w:eastAsia="Calibri"/>
                <w:sz w:val="20"/>
                <w:szCs w:val="20"/>
                <w:lang w:eastAsia="de-DE" w:bidi="de-DE"/>
              </w:rPr>
              <w:t>rozent für den Teilbetrag über 11</w:t>
            </w:r>
            <w:r w:rsidRPr="00A21F71">
              <w:rPr>
                <w:rFonts w:eastAsia="Calibri"/>
                <w:sz w:val="20"/>
                <w:szCs w:val="20"/>
                <w:lang w:eastAsia="de-DE" w:bidi="de-DE"/>
              </w:rPr>
              <w:t>.0</w:t>
            </w:r>
            <w:r>
              <w:rPr>
                <w:rFonts w:eastAsia="Calibri"/>
                <w:sz w:val="20"/>
                <w:szCs w:val="20"/>
                <w:lang w:eastAsia="de-DE" w:bidi="de-DE"/>
              </w:rPr>
              <w:t>70</w:t>
            </w:r>
            <w:r w:rsidRPr="00A21F71">
              <w:rPr>
                <w:rFonts w:eastAsia="Calibri"/>
                <w:sz w:val="20"/>
                <w:szCs w:val="20"/>
                <w:lang w:eastAsia="de-DE" w:bidi="de-DE"/>
              </w:rPr>
              <w:t>,00 EUR</w:t>
            </w:r>
          </w:p>
          <w:p w14:paraId="17D850E5" w14:textId="77777777" w:rsidR="007A5656" w:rsidRPr="00A21F71" w:rsidRDefault="007A5656" w:rsidP="00212CA2">
            <w:pPr>
              <w:jc w:val="both"/>
              <w:rPr>
                <w:rFonts w:eastAsia="Calibri"/>
                <w:sz w:val="20"/>
                <w:szCs w:val="20"/>
                <w:lang w:eastAsia="de-DE" w:bidi="de-DE"/>
              </w:rPr>
            </w:pPr>
            <w:r>
              <w:rPr>
                <w:rFonts w:eastAsia="Calibri"/>
                <w:sz w:val="20"/>
                <w:szCs w:val="20"/>
                <w:lang w:eastAsia="de-DE" w:bidi="de-DE"/>
              </w:rPr>
              <w:t>3.304,70 </w:t>
            </w:r>
            <w:r w:rsidRPr="00A21F71">
              <w:rPr>
                <w:rFonts w:eastAsia="Calibri"/>
                <w:sz w:val="20"/>
                <w:szCs w:val="20"/>
                <w:lang w:eastAsia="de-DE" w:bidi="de-DE"/>
              </w:rPr>
              <w:t>EUR + 42,80 Proze</w:t>
            </w:r>
            <w:r>
              <w:rPr>
                <w:rFonts w:eastAsia="Calibri"/>
                <w:sz w:val="20"/>
                <w:szCs w:val="20"/>
                <w:lang w:eastAsia="de-DE" w:bidi="de-DE"/>
              </w:rPr>
              <w:t>nt für den Teilbetrag über 12.14</w:t>
            </w:r>
            <w:r w:rsidRPr="00A21F71">
              <w:rPr>
                <w:rFonts w:eastAsia="Calibri"/>
                <w:sz w:val="20"/>
                <w:szCs w:val="20"/>
                <w:lang w:eastAsia="de-DE" w:bidi="de-DE"/>
              </w:rPr>
              <w:t>0,00 EUR</w:t>
            </w:r>
          </w:p>
          <w:p w14:paraId="60A41ABC" w14:textId="77777777" w:rsidR="007A5656" w:rsidRPr="00A21F71" w:rsidRDefault="007A5656" w:rsidP="00212CA2">
            <w:pPr>
              <w:jc w:val="both"/>
              <w:rPr>
                <w:rFonts w:eastAsia="Calibri"/>
                <w:sz w:val="20"/>
                <w:szCs w:val="20"/>
                <w:lang w:eastAsia="de-DE" w:bidi="de-DE"/>
              </w:rPr>
            </w:pPr>
            <w:r>
              <w:rPr>
                <w:rFonts w:eastAsia="Calibri"/>
                <w:sz w:val="20"/>
                <w:szCs w:val="20"/>
                <w:lang w:eastAsia="de-DE" w:bidi="de-DE"/>
              </w:rPr>
              <w:t>5.637,30</w:t>
            </w:r>
            <w:r w:rsidRPr="00A21F71">
              <w:rPr>
                <w:rFonts w:eastAsia="Calibri"/>
                <w:sz w:val="20"/>
                <w:szCs w:val="20"/>
                <w:lang w:eastAsia="de-DE" w:bidi="de-DE"/>
              </w:rPr>
              <w:t> EUR + 48,15 Proze</w:t>
            </w:r>
            <w:r>
              <w:rPr>
                <w:rFonts w:eastAsia="Calibri"/>
                <w:sz w:val="20"/>
                <w:szCs w:val="20"/>
                <w:lang w:eastAsia="de-DE" w:bidi="de-DE"/>
              </w:rPr>
              <w:t>nt für den Teilbetrag über 17.59</w:t>
            </w:r>
            <w:r w:rsidRPr="00A21F71">
              <w:rPr>
                <w:rFonts w:eastAsia="Calibri"/>
                <w:sz w:val="20"/>
                <w:szCs w:val="20"/>
                <w:lang w:eastAsia="de-DE" w:bidi="de-DE"/>
              </w:rPr>
              <w:t>0,00 EUR</w:t>
            </w:r>
          </w:p>
          <w:p w14:paraId="12A28B52" w14:textId="77777777" w:rsidR="007A5656" w:rsidRPr="00A21F71" w:rsidRDefault="007A5656" w:rsidP="00212CA2">
            <w:pPr>
              <w:jc w:val="both"/>
              <w:rPr>
                <w:rFonts w:eastAsia="Calibri"/>
                <w:spacing w:val="-2"/>
                <w:sz w:val="20"/>
                <w:szCs w:val="20"/>
                <w:lang w:eastAsia="de-DE" w:bidi="de-DE"/>
              </w:rPr>
            </w:pPr>
            <w:r>
              <w:rPr>
                <w:rFonts w:eastAsia="Calibri"/>
                <w:spacing w:val="-2"/>
                <w:sz w:val="20"/>
                <w:szCs w:val="20"/>
                <w:lang w:eastAsia="de-DE" w:bidi="de-DE"/>
              </w:rPr>
              <w:t>15.869,18</w:t>
            </w:r>
            <w:r w:rsidRPr="00A21F71">
              <w:rPr>
                <w:rFonts w:eastAsia="Calibri"/>
                <w:spacing w:val="-2"/>
                <w:sz w:val="20"/>
                <w:szCs w:val="20"/>
                <w:lang w:eastAsia="de-DE" w:bidi="de-DE"/>
              </w:rPr>
              <w:t> EUR + 53,50 Prozent für den Teilbetrag über</w:t>
            </w:r>
            <w:r w:rsidRPr="00A21F71">
              <w:rPr>
                <w:rFonts w:eastAsia="Calibri"/>
                <w:lang w:eastAsia="de-DE" w:bidi="de-DE"/>
              </w:rPr>
              <w:t xml:space="preserve"> </w:t>
            </w:r>
            <w:r>
              <w:rPr>
                <w:rFonts w:eastAsia="Calibri"/>
                <w:spacing w:val="-2"/>
                <w:sz w:val="20"/>
                <w:szCs w:val="20"/>
                <w:lang w:eastAsia="de-DE" w:bidi="de-DE"/>
              </w:rPr>
              <w:t>38.84</w:t>
            </w:r>
            <w:r w:rsidRPr="00A21F71">
              <w:rPr>
                <w:rFonts w:eastAsia="Calibri"/>
                <w:spacing w:val="-2"/>
                <w:sz w:val="20"/>
                <w:szCs w:val="20"/>
                <w:lang w:eastAsia="de-DE" w:bidi="de-DE"/>
              </w:rPr>
              <w:t>0,00 EUR</w:t>
            </w:r>
          </w:p>
        </w:tc>
      </w:tr>
    </w:tbl>
    <w:p w14:paraId="019D9B5E" w14:textId="77777777" w:rsidR="007A5656" w:rsidRPr="00A21F71" w:rsidRDefault="007A5656" w:rsidP="007A5656">
      <w:pPr>
        <w:jc w:val="both"/>
        <w:rPr>
          <w:rFonts w:eastAsia="Calibri"/>
          <w:lang w:eastAsia="de-DE" w:bidi="de-DE"/>
        </w:rPr>
      </w:pPr>
    </w:p>
    <w:p w14:paraId="165E2032" w14:textId="77777777" w:rsidR="007A5656" w:rsidRPr="00A21F71" w:rsidRDefault="007A5656" w:rsidP="007A5656">
      <w:pPr>
        <w:jc w:val="both"/>
        <w:rPr>
          <w:rFonts w:eastAsia="Calibri"/>
          <w:lang w:eastAsia="de-DE" w:bidi="de-DE"/>
        </w:rPr>
      </w:pPr>
      <w:r w:rsidRPr="00A21F71">
        <w:rPr>
          <w:rFonts w:eastAsia="Calibri"/>
          <w:lang w:eastAsia="de-DE" w:bidi="de-DE"/>
        </w:rPr>
        <w:tab/>
        <w:t>B. Einkünfte, bei denen davon ausgegangen wird, dass sie in Artikel 227 Nr. 2 des vorerwähnten Gesetzbuches erwähnten Gebietsfremden zuerkannt werden: Der Berufssteuer</w:t>
      </w:r>
      <w:r w:rsidRPr="00A21F71">
        <w:rPr>
          <w:rFonts w:eastAsia="Calibri"/>
          <w:lang w:eastAsia="de-DE" w:bidi="de-DE"/>
        </w:rPr>
        <w:softHyphen/>
        <w:t>vorabzug wird einheitlich auf 33,99 Prozent festgelegt.</w:t>
      </w:r>
    </w:p>
    <w:p w14:paraId="3405E23C" w14:textId="77777777" w:rsidR="007A5656" w:rsidRPr="00A21F71" w:rsidRDefault="007A5656" w:rsidP="007A5656">
      <w:pPr>
        <w:jc w:val="both"/>
        <w:rPr>
          <w:rFonts w:eastAsia="Calibri"/>
          <w:lang w:eastAsia="de-DE" w:bidi="de-DE"/>
        </w:rPr>
      </w:pPr>
    </w:p>
    <w:p w14:paraId="60C4EE9A" w14:textId="77777777" w:rsidR="007A5656" w:rsidRPr="00A21F71" w:rsidRDefault="007A5656" w:rsidP="007A5656">
      <w:pPr>
        <w:jc w:val="both"/>
        <w:rPr>
          <w:rFonts w:eastAsia="Calibri"/>
          <w:lang w:eastAsia="de-DE" w:bidi="de-DE"/>
        </w:rPr>
      </w:pPr>
    </w:p>
    <w:p w14:paraId="7E02611F" w14:textId="77777777" w:rsidR="007A5656" w:rsidRPr="00A21F71" w:rsidRDefault="007A5656" w:rsidP="007A5656">
      <w:pPr>
        <w:jc w:val="center"/>
        <w:rPr>
          <w:rFonts w:eastAsia="Calibri"/>
          <w:lang w:eastAsia="de-DE" w:bidi="de-DE"/>
        </w:rPr>
      </w:pPr>
      <w:r w:rsidRPr="00A21F71">
        <w:rPr>
          <w:rFonts w:eastAsia="Calibri"/>
          <w:i/>
          <w:lang w:eastAsia="de-DE" w:bidi="de-DE"/>
        </w:rPr>
        <w:t>Abschnitt 8</w:t>
      </w:r>
      <w:r w:rsidRPr="00A21F71">
        <w:rPr>
          <w:rFonts w:eastAsia="Calibri"/>
          <w:lang w:eastAsia="de-DE" w:bidi="de-DE"/>
        </w:rPr>
        <w:t> - In Artikel 87 Nr. 8 des vorliegenden Erlasses erwähnte Mehrwerte, die von Gebietsfremden im Rahmen ihrer beruflichen Tätigkeit verwirklicht werden</w:t>
      </w:r>
    </w:p>
    <w:p w14:paraId="3C54DC3F" w14:textId="77777777" w:rsidR="007A5656" w:rsidRPr="00A21F71" w:rsidRDefault="007A5656" w:rsidP="007A5656">
      <w:pPr>
        <w:jc w:val="both"/>
        <w:rPr>
          <w:rFonts w:eastAsia="Calibri"/>
          <w:lang w:eastAsia="de-DE" w:bidi="de-DE"/>
        </w:rPr>
      </w:pPr>
    </w:p>
    <w:p w14:paraId="1E922BA4" w14:textId="77777777" w:rsidR="007A5656" w:rsidRPr="00A21F71" w:rsidRDefault="007A5656" w:rsidP="007A5656">
      <w:pPr>
        <w:jc w:val="both"/>
        <w:rPr>
          <w:rFonts w:eastAsia="Calibri"/>
          <w:lang w:eastAsia="de-DE" w:bidi="de-DE"/>
        </w:rPr>
      </w:pPr>
    </w:p>
    <w:p w14:paraId="68A0E261" w14:textId="77777777" w:rsidR="007A5656" w:rsidRPr="00A21F71" w:rsidRDefault="007A5656" w:rsidP="007A5656">
      <w:pPr>
        <w:jc w:val="both"/>
        <w:rPr>
          <w:rFonts w:eastAsia="Calibri"/>
          <w:lang w:eastAsia="de-DE" w:bidi="de-DE"/>
        </w:rPr>
      </w:pPr>
      <w:r w:rsidRPr="00A21F71">
        <w:rPr>
          <w:rFonts w:eastAsia="Calibri"/>
          <w:lang w:eastAsia="de-DE" w:bidi="de-DE"/>
        </w:rPr>
        <w:tab/>
        <w:t>5.28 In Artikel 87 Nr. 8 des vorliegenden Erlasses erwähnte Mehrwerte, die gemäß Artikel 235 Nr. 1 oder 2 des Einkommensteuergesetzbuches 1992 festgelegt werden, unterliegen dem Berufssteuervorabzug unter Berücksichtigung folgender Unterscheidung:</w:t>
      </w:r>
    </w:p>
    <w:p w14:paraId="7F199F17" w14:textId="77777777" w:rsidR="007A5656" w:rsidRPr="00A21F71" w:rsidRDefault="007A5656" w:rsidP="007A5656">
      <w:pPr>
        <w:jc w:val="both"/>
        <w:rPr>
          <w:rFonts w:eastAsia="Calibri"/>
          <w:lang w:eastAsia="de-DE" w:bidi="de-DE"/>
        </w:rPr>
      </w:pPr>
    </w:p>
    <w:p w14:paraId="14F93F3A" w14:textId="77777777" w:rsidR="007A5656" w:rsidRPr="00A21F71" w:rsidRDefault="007A5656" w:rsidP="007A5656">
      <w:pPr>
        <w:jc w:val="both"/>
        <w:rPr>
          <w:rFonts w:eastAsia="Calibri"/>
          <w:lang w:eastAsia="de-DE" w:bidi="de-DE"/>
        </w:rPr>
      </w:pPr>
      <w:r w:rsidRPr="00A21F71">
        <w:rPr>
          <w:rFonts w:eastAsia="Calibri"/>
          <w:lang w:eastAsia="de-DE" w:bidi="de-DE"/>
        </w:rPr>
        <w:tab/>
        <w:t>A. Mehrwerte, die von den in Artikel 227 Nr. 1 des vorerwähnten Gesetzbuches erwähnten Gebietsfremden verwirklicht werden, unterliegen dem Berufssteuervorabzug zu den in Nr. 5.27 Punkt A festgelegten Sätzen (ohne Ermäßigung).</w:t>
      </w:r>
    </w:p>
    <w:p w14:paraId="38FB4FF0" w14:textId="77777777" w:rsidR="007A5656" w:rsidRPr="00A21F71" w:rsidRDefault="007A5656" w:rsidP="007A5656">
      <w:pPr>
        <w:jc w:val="both"/>
        <w:rPr>
          <w:rFonts w:eastAsia="Calibri"/>
          <w:lang w:eastAsia="de-DE" w:bidi="de-DE"/>
        </w:rPr>
      </w:pPr>
    </w:p>
    <w:p w14:paraId="1C36890D" w14:textId="77777777" w:rsidR="007A5656" w:rsidRPr="00A21F71" w:rsidRDefault="007A5656" w:rsidP="007A5656">
      <w:pPr>
        <w:jc w:val="both"/>
        <w:rPr>
          <w:rFonts w:eastAsia="Calibri"/>
          <w:lang w:eastAsia="de-DE" w:bidi="de-DE"/>
        </w:rPr>
      </w:pPr>
      <w:r w:rsidRPr="00A21F71">
        <w:rPr>
          <w:rFonts w:eastAsia="Calibri"/>
          <w:lang w:eastAsia="de-DE" w:bidi="de-DE"/>
        </w:rPr>
        <w:tab/>
        <w:t>In Abweichung von vorhergehendem Absatz unterliegen Mehrwerte, die auf unbewegliche Güter verwirklicht werden, die zum Zeitpunkt ihrer Veräußerung seit mehr als fünf Jahren zur Ausübung der beruflichen Tätigkeit genutzt werden, dem Berufssteuervorabzug zum Satz von 17,66 Prozent (ohne Ermäßigung).</w:t>
      </w:r>
    </w:p>
    <w:p w14:paraId="7334698C" w14:textId="77777777" w:rsidR="007A5656" w:rsidRPr="00A21F71" w:rsidRDefault="007A5656" w:rsidP="007A5656">
      <w:pPr>
        <w:jc w:val="both"/>
        <w:rPr>
          <w:rFonts w:eastAsia="Calibri"/>
          <w:lang w:eastAsia="de-DE" w:bidi="de-DE"/>
        </w:rPr>
      </w:pPr>
    </w:p>
    <w:p w14:paraId="3CC2180B" w14:textId="77777777" w:rsidR="007A5656" w:rsidRPr="00A21F71" w:rsidRDefault="007A5656" w:rsidP="007A5656">
      <w:pPr>
        <w:jc w:val="both"/>
        <w:rPr>
          <w:rFonts w:eastAsia="Calibri"/>
          <w:lang w:eastAsia="de-DE" w:bidi="de-DE"/>
        </w:rPr>
      </w:pPr>
      <w:r w:rsidRPr="00A21F71">
        <w:rPr>
          <w:rFonts w:eastAsia="Calibri"/>
          <w:lang w:eastAsia="de-DE" w:bidi="de-DE"/>
        </w:rPr>
        <w:tab/>
        <w:t>B. Mehrwerte, die von den in Artikel 227 Nr. 2 des vorerwähnten Gesetzbuches erwähnten Gebietsfremden verwirklicht werden: Der Berufssteuervorabzug wird einheitlich auf 33,99 Prozent festgelegt.</w:t>
      </w:r>
    </w:p>
    <w:p w14:paraId="7D214552" w14:textId="77777777" w:rsidR="007A5656" w:rsidRPr="00A21F71" w:rsidRDefault="007A5656" w:rsidP="007A5656">
      <w:pPr>
        <w:jc w:val="both"/>
        <w:rPr>
          <w:rFonts w:eastAsia="Calibri"/>
          <w:lang w:eastAsia="de-DE" w:bidi="de-DE"/>
        </w:rPr>
      </w:pPr>
    </w:p>
    <w:p w14:paraId="006D4724" w14:textId="77777777" w:rsidR="007A5656" w:rsidRPr="00A21F71" w:rsidRDefault="007A5656" w:rsidP="007A5656">
      <w:pPr>
        <w:jc w:val="both"/>
        <w:rPr>
          <w:rFonts w:eastAsia="Calibri"/>
          <w:lang w:eastAsia="de-DE" w:bidi="de-DE"/>
        </w:rPr>
      </w:pPr>
    </w:p>
    <w:p w14:paraId="7B4ED65D" w14:textId="77777777" w:rsidR="007A5656" w:rsidRPr="00A21F71" w:rsidRDefault="007A5656" w:rsidP="007A5656">
      <w:pPr>
        <w:jc w:val="center"/>
        <w:rPr>
          <w:rFonts w:eastAsia="Calibri"/>
          <w:i/>
          <w:lang w:eastAsia="de-DE" w:bidi="de-DE"/>
        </w:rPr>
      </w:pPr>
      <w:r w:rsidRPr="00A21F71">
        <w:rPr>
          <w:rFonts w:eastAsia="Calibri"/>
          <w:lang w:eastAsia="de-DE" w:bidi="de-DE"/>
        </w:rPr>
        <w:t xml:space="preserve">6. KAPITEL 6 - </w:t>
      </w:r>
      <w:r w:rsidRPr="00A21F71">
        <w:rPr>
          <w:rFonts w:eastAsia="Calibri"/>
          <w:i/>
          <w:lang w:eastAsia="de-DE" w:bidi="de-DE"/>
        </w:rPr>
        <w:t>Einkünfte von Sportlern, Schiedsrichtern, Ausbildern, Trainern und Betreuern</w:t>
      </w:r>
    </w:p>
    <w:p w14:paraId="1A82A706" w14:textId="77777777" w:rsidR="007A5656" w:rsidRPr="00A21F71" w:rsidRDefault="007A5656" w:rsidP="007A5656">
      <w:pPr>
        <w:jc w:val="both"/>
        <w:rPr>
          <w:rFonts w:eastAsia="Calibri"/>
          <w:lang w:eastAsia="de-DE" w:bidi="de-DE"/>
        </w:rPr>
      </w:pPr>
    </w:p>
    <w:p w14:paraId="214E4C27" w14:textId="77777777" w:rsidR="007A5656" w:rsidRPr="00A21F71" w:rsidRDefault="007A5656" w:rsidP="007A5656">
      <w:pPr>
        <w:jc w:val="both"/>
        <w:rPr>
          <w:rFonts w:eastAsia="Calibri"/>
          <w:lang w:eastAsia="de-DE" w:bidi="de-DE"/>
        </w:rPr>
      </w:pPr>
    </w:p>
    <w:p w14:paraId="53CC25C5" w14:textId="77777777" w:rsidR="007A5656" w:rsidRPr="00A21F71" w:rsidRDefault="007A5656" w:rsidP="007A5656">
      <w:pPr>
        <w:jc w:val="both"/>
        <w:rPr>
          <w:rFonts w:eastAsia="Calibri"/>
          <w:lang w:eastAsia="de-DE" w:bidi="de-DE"/>
        </w:rPr>
      </w:pPr>
      <w:r w:rsidRPr="00A21F71">
        <w:rPr>
          <w:rFonts w:eastAsia="Calibri"/>
          <w:lang w:eastAsia="de-DE" w:bidi="de-DE"/>
        </w:rPr>
        <w:tab/>
        <w:t>6.1 Einkünfte, die Sportler, Schiedsrichter, Ausbilder, Trainer und Betreuer während des Besteuerungszeitraums für ihre sportlichen Aktivitäten, ihre Tätigkeiten als Schiedsrichter bei Sportwettkämpfen oder ihre ausbildende, betreuende oder unterstützende Tätigkeit zugunsten von Sportlern beziehen, unterliegen gemäß folgenden Regeln dem Berufssteuervorabzug:</w:t>
      </w:r>
    </w:p>
    <w:p w14:paraId="59D1D9D8" w14:textId="77777777" w:rsidR="007A5656" w:rsidRPr="00A21F71" w:rsidRDefault="007A5656" w:rsidP="007A5656">
      <w:pPr>
        <w:jc w:val="both"/>
        <w:rPr>
          <w:rFonts w:eastAsia="Calibri"/>
          <w:lang w:eastAsia="de-DE" w:bidi="de-DE"/>
        </w:rPr>
      </w:pPr>
    </w:p>
    <w:p w14:paraId="444DCC94" w14:textId="77777777" w:rsidR="004F7E47" w:rsidRDefault="004F7E47">
      <w:pPr>
        <w:rPr>
          <w:rFonts w:eastAsia="Calibri"/>
          <w:lang w:eastAsia="de-DE" w:bidi="de-DE"/>
        </w:rPr>
      </w:pPr>
      <w:r>
        <w:rPr>
          <w:rFonts w:eastAsia="Calibri"/>
          <w:lang w:eastAsia="de-DE" w:bidi="de-DE"/>
        </w:rPr>
        <w:br w:type="page"/>
      </w:r>
    </w:p>
    <w:p w14:paraId="629F2728" w14:textId="7E9F6760" w:rsidR="007A5656" w:rsidRPr="00A21F71" w:rsidRDefault="007A5656" w:rsidP="007A5656">
      <w:pPr>
        <w:jc w:val="both"/>
        <w:rPr>
          <w:rFonts w:eastAsia="Calibri"/>
          <w:lang w:eastAsia="de-DE" w:bidi="de-DE"/>
        </w:rPr>
      </w:pPr>
      <w:r w:rsidRPr="00A21F71">
        <w:rPr>
          <w:rFonts w:eastAsia="Calibri"/>
          <w:lang w:eastAsia="de-DE" w:bidi="de-DE"/>
        </w:rPr>
        <w:lastRenderedPageBreak/>
        <w:tab/>
        <w:t>A. Einwohner des Königreichs</w:t>
      </w:r>
    </w:p>
    <w:p w14:paraId="0EAE14C2" w14:textId="77777777" w:rsidR="007A5656" w:rsidRPr="00A21F71" w:rsidRDefault="007A5656" w:rsidP="007A5656">
      <w:pPr>
        <w:jc w:val="both"/>
        <w:rPr>
          <w:rFonts w:eastAsia="Calibri"/>
          <w:lang w:eastAsia="de-DE" w:bidi="de-DE"/>
        </w:rPr>
      </w:pPr>
    </w:p>
    <w:p w14:paraId="475F072E"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1. Entlohnungen wie in Artikel 30 Nr. 1 des Einkommensteuergesetzbuches 1992 erwähnt von </w:t>
      </w:r>
      <w:r>
        <w:rPr>
          <w:rFonts w:eastAsia="Calibri"/>
          <w:lang w:eastAsia="de-DE" w:bidi="de-DE"/>
        </w:rPr>
        <w:t>Sportlern, die am 1. Januar 2018</w:t>
      </w:r>
      <w:r w:rsidRPr="00A21F71">
        <w:rPr>
          <w:rFonts w:eastAsia="Calibri"/>
          <w:lang w:eastAsia="de-DE" w:bidi="de-DE"/>
        </w:rPr>
        <w:t xml:space="preserve"> das Alter von sechzehn Jahren erreicht haben, aber jünger als sechsundzwanzig Jahre sind: siehe Nr. 6.2.</w:t>
      </w:r>
    </w:p>
    <w:p w14:paraId="23A34C19" w14:textId="77777777" w:rsidR="007A5656" w:rsidRPr="00A21F71" w:rsidRDefault="007A5656" w:rsidP="007A5656">
      <w:pPr>
        <w:jc w:val="both"/>
        <w:rPr>
          <w:rFonts w:eastAsia="Calibri"/>
          <w:lang w:eastAsia="de-DE" w:bidi="de-DE"/>
        </w:rPr>
      </w:pPr>
    </w:p>
    <w:p w14:paraId="4AAB337F"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2. Entlohnungen wie in Artikel 30 Nr. 1 des vorerwähnten Gesetzbuches erwähnt von </w:t>
      </w:r>
      <w:r>
        <w:rPr>
          <w:rFonts w:eastAsia="Calibri"/>
          <w:lang w:eastAsia="de-DE" w:bidi="de-DE"/>
        </w:rPr>
        <w:t>Sportlern, die am 1. Januar 2018</w:t>
      </w:r>
      <w:r w:rsidRPr="00A21F71">
        <w:rPr>
          <w:rFonts w:eastAsia="Calibri"/>
          <w:lang w:eastAsia="de-DE" w:bidi="de-DE"/>
        </w:rPr>
        <w:t xml:space="preserve"> das Alter von sechsundzwanzig Jahren erreicht haben, und von Schiedsrichtern, Ausbildern, Trainern und Betreuern unter der Bedingung, dass sie aufgrund einer anderen beruflichen Tätigkeit Berufseinkünfte beziehen, deren steuerpflichtiger Gesamtbruttobetrag höher ist als der steuerpflichtige Gesamtbruttobetrag der Entlohnungen, die sie aufgrund der Gesamtheit ihrer vorerwähnten Tätigkeiten im Sportsektor beziehen, wie in Artikel 171 Nr. 1 Buchstabe </w:t>
      </w:r>
      <w:r w:rsidRPr="00A21F71">
        <w:rPr>
          <w:rFonts w:eastAsia="Calibri"/>
          <w:i/>
          <w:lang w:eastAsia="de-DE" w:bidi="de-DE"/>
        </w:rPr>
        <w:t>i)</w:t>
      </w:r>
      <w:r w:rsidRPr="00A21F71">
        <w:rPr>
          <w:rFonts w:eastAsia="Calibri"/>
          <w:lang w:eastAsia="de-DE" w:bidi="de-DE"/>
        </w:rPr>
        <w:t xml:space="preserve"> des vorerwähnten Gesetzbuches bestimmt: siehe Nr. 6.3.</w:t>
      </w:r>
    </w:p>
    <w:p w14:paraId="24E375DE" w14:textId="77777777" w:rsidR="007A5656" w:rsidRPr="00A21F71" w:rsidRDefault="007A5656" w:rsidP="007A5656">
      <w:pPr>
        <w:jc w:val="both"/>
        <w:rPr>
          <w:rFonts w:eastAsia="Calibri"/>
          <w:lang w:eastAsia="de-DE" w:bidi="de-DE"/>
        </w:rPr>
      </w:pPr>
    </w:p>
    <w:p w14:paraId="452D7A40" w14:textId="77777777" w:rsidR="007A5656" w:rsidRPr="00A21F71" w:rsidRDefault="007A5656" w:rsidP="007A5656">
      <w:pPr>
        <w:jc w:val="both"/>
        <w:rPr>
          <w:rFonts w:eastAsia="Calibri"/>
          <w:lang w:eastAsia="de-DE" w:bidi="de-DE"/>
        </w:rPr>
      </w:pPr>
      <w:r w:rsidRPr="00A21F71">
        <w:rPr>
          <w:rFonts w:eastAsia="Calibri"/>
          <w:lang w:eastAsia="de-DE" w:bidi="de-DE"/>
        </w:rPr>
        <w:tab/>
        <w:t>3. Entlohnungen von Einwohnern des Königreichs, die nicht in Nr. 1 oder 2 erwähnt sind: Diese Entlohnungen unterliegen den Bestimmungen von Kapitel 2.</w:t>
      </w:r>
    </w:p>
    <w:p w14:paraId="7CB7B05B" w14:textId="77777777" w:rsidR="007A5656" w:rsidRPr="00A21F71" w:rsidRDefault="007A5656" w:rsidP="007A5656">
      <w:pPr>
        <w:jc w:val="both"/>
        <w:rPr>
          <w:rFonts w:eastAsia="Calibri"/>
          <w:lang w:eastAsia="de-DE" w:bidi="de-DE"/>
        </w:rPr>
      </w:pPr>
    </w:p>
    <w:p w14:paraId="2DF57B5C" w14:textId="77777777" w:rsidR="007A5656" w:rsidRPr="00A21F71" w:rsidRDefault="007A5656" w:rsidP="007A5656">
      <w:pPr>
        <w:jc w:val="both"/>
        <w:rPr>
          <w:rFonts w:eastAsia="Calibri"/>
          <w:lang w:eastAsia="de-DE" w:bidi="de-DE"/>
        </w:rPr>
      </w:pPr>
      <w:r w:rsidRPr="00A21F71">
        <w:rPr>
          <w:rFonts w:eastAsia="Calibri"/>
          <w:lang w:eastAsia="de-DE" w:bidi="de-DE"/>
        </w:rPr>
        <w:tab/>
        <w:t>B. Gebietsfremde Sportler</w:t>
      </w:r>
    </w:p>
    <w:p w14:paraId="3D8A4C44" w14:textId="77777777" w:rsidR="007A5656" w:rsidRPr="00A21F71" w:rsidRDefault="007A5656" w:rsidP="007A5656">
      <w:pPr>
        <w:jc w:val="both"/>
        <w:rPr>
          <w:rFonts w:eastAsia="Calibri"/>
          <w:lang w:eastAsia="de-DE" w:bidi="de-DE"/>
        </w:rPr>
      </w:pPr>
    </w:p>
    <w:p w14:paraId="7D9CB05B" w14:textId="77777777" w:rsidR="007A5656" w:rsidRPr="00A21F71" w:rsidRDefault="007A5656" w:rsidP="007A5656">
      <w:pPr>
        <w:jc w:val="both"/>
        <w:rPr>
          <w:rFonts w:eastAsia="Calibri"/>
          <w:lang w:eastAsia="de-DE" w:bidi="de-DE"/>
        </w:rPr>
      </w:pPr>
      <w:r w:rsidRPr="00A21F71">
        <w:rPr>
          <w:rFonts w:eastAsia="Calibri"/>
          <w:lang w:eastAsia="de-DE" w:bidi="de-DE"/>
        </w:rPr>
        <w:tab/>
        <w:t>1. Einkünfte, die Gebietsfremde persönlich beziehen, die in Belgien während höchstens dreißig Tagen, zu berechnen pro Zeitraum von zwölf aufeinander folgenden Monaten und pro Schuldner der Einkünfte, persönlich eine Tätigkeit als Sportler ausüben: siehe Nr. 5.2</w:t>
      </w:r>
      <w:r>
        <w:rPr>
          <w:rFonts w:eastAsia="Calibri"/>
          <w:lang w:eastAsia="de-DE" w:bidi="de-DE"/>
        </w:rPr>
        <w:t>6</w:t>
      </w:r>
      <w:r w:rsidRPr="00A21F71">
        <w:rPr>
          <w:rFonts w:eastAsia="Calibri"/>
          <w:lang w:eastAsia="de-DE" w:bidi="de-DE"/>
        </w:rPr>
        <w:t>.</w:t>
      </w:r>
    </w:p>
    <w:p w14:paraId="7F268339" w14:textId="77777777" w:rsidR="007A5656" w:rsidRPr="00A21F71" w:rsidRDefault="007A5656" w:rsidP="007A5656">
      <w:pPr>
        <w:jc w:val="both"/>
        <w:rPr>
          <w:rFonts w:eastAsia="Calibri"/>
          <w:lang w:eastAsia="de-DE" w:bidi="de-DE"/>
        </w:rPr>
      </w:pPr>
    </w:p>
    <w:p w14:paraId="03851EC4" w14:textId="77777777" w:rsidR="007A5656" w:rsidRPr="00A21F71" w:rsidRDefault="007A5656" w:rsidP="007A5656">
      <w:pPr>
        <w:jc w:val="both"/>
        <w:rPr>
          <w:rFonts w:eastAsia="Calibri"/>
          <w:lang w:eastAsia="de-DE" w:bidi="de-DE"/>
        </w:rPr>
      </w:pPr>
      <w:r w:rsidRPr="00A21F71">
        <w:rPr>
          <w:rFonts w:eastAsia="Calibri"/>
          <w:lang w:eastAsia="de-DE" w:bidi="de-DE"/>
        </w:rPr>
        <w:tab/>
        <w:t>2. Gebietsfremde, die in Belgien während mehr als dreißig Tagen, zu berechnen pro Zeitraum von zwölf aufeinander folgenden Monaten und pro Schuldner der Einkünfte, persönlich eine Tätigkeit als Sportler ausüben:</w:t>
      </w:r>
    </w:p>
    <w:p w14:paraId="24F9FED3" w14:textId="77777777" w:rsidR="007A5656" w:rsidRPr="00A21F71" w:rsidRDefault="007A5656" w:rsidP="007A5656">
      <w:pPr>
        <w:jc w:val="both"/>
        <w:rPr>
          <w:rFonts w:eastAsia="Calibri"/>
          <w:lang w:eastAsia="de-DE" w:bidi="de-DE"/>
        </w:rPr>
      </w:pPr>
    </w:p>
    <w:p w14:paraId="25B1B248" w14:textId="77777777" w:rsidR="007A5656" w:rsidRPr="00A21F71" w:rsidRDefault="007A5656" w:rsidP="007A5656">
      <w:pPr>
        <w:jc w:val="both"/>
        <w:rPr>
          <w:rFonts w:eastAsia="Calibri"/>
          <w:lang w:eastAsia="de-DE" w:bidi="de-DE"/>
        </w:rPr>
      </w:pPr>
      <w:r w:rsidRPr="00A21F71">
        <w:rPr>
          <w:rFonts w:eastAsia="Calibri"/>
          <w:lang w:eastAsia="de-DE" w:bidi="de-DE"/>
        </w:rPr>
        <w:tab/>
        <w:t>a) Entlohnungen wie in Artikel 30 Nr. 1 des vorerwähnten Gesetzbuches erwähnt, die Sportler persönlich</w:t>
      </w:r>
      <w:r>
        <w:rPr>
          <w:rFonts w:eastAsia="Calibri"/>
          <w:lang w:eastAsia="de-DE" w:bidi="de-DE"/>
        </w:rPr>
        <w:t xml:space="preserve"> beziehen, die am 1. Januar 2018</w:t>
      </w:r>
      <w:r w:rsidRPr="00A21F71">
        <w:rPr>
          <w:rFonts w:eastAsia="Calibri"/>
          <w:lang w:eastAsia="de-DE" w:bidi="de-DE"/>
        </w:rPr>
        <w:t xml:space="preserve"> das Alter von sechzehn Jahren erreicht haben, aber jünger als sechsundzwanzig Jahre sind: siehe Nr. 6.2.</w:t>
      </w:r>
    </w:p>
    <w:p w14:paraId="2D112E87" w14:textId="77777777" w:rsidR="007A5656" w:rsidRPr="00A21F71" w:rsidRDefault="007A5656" w:rsidP="007A5656">
      <w:pPr>
        <w:jc w:val="both"/>
        <w:rPr>
          <w:rFonts w:eastAsia="Calibri"/>
          <w:lang w:eastAsia="de-DE" w:bidi="de-DE"/>
        </w:rPr>
      </w:pPr>
    </w:p>
    <w:p w14:paraId="0732B7A1" w14:textId="77777777" w:rsidR="007A5656" w:rsidRPr="00A21F71" w:rsidRDefault="007A5656" w:rsidP="007A5656">
      <w:pPr>
        <w:jc w:val="both"/>
        <w:rPr>
          <w:rFonts w:eastAsia="Calibri"/>
          <w:lang w:eastAsia="de-DE" w:bidi="de-DE"/>
        </w:rPr>
      </w:pPr>
      <w:r w:rsidRPr="00A21F71">
        <w:rPr>
          <w:rFonts w:eastAsia="Calibri"/>
          <w:lang w:eastAsia="de-DE" w:bidi="de-DE"/>
        </w:rPr>
        <w:tab/>
        <w:t>b) Berufseinkünfte - mit Ausnahme der Entlohnungen von Unternehmensleitern -, die Sportler persönlich</w:t>
      </w:r>
      <w:r>
        <w:rPr>
          <w:rFonts w:eastAsia="Calibri"/>
          <w:lang w:eastAsia="de-DE" w:bidi="de-DE"/>
        </w:rPr>
        <w:t xml:space="preserve"> beziehen, die am 1. Januar 2018</w:t>
      </w:r>
      <w:r w:rsidRPr="00A21F71">
        <w:rPr>
          <w:rFonts w:eastAsia="Calibri"/>
          <w:lang w:eastAsia="de-DE" w:bidi="de-DE"/>
        </w:rPr>
        <w:t xml:space="preserve"> das Alter von sechsundzwanzig Jahren erreicht haben, unter der Bedingung, dass sie aufgrund einer anderen beruflichen Tätigkeit Berufseinkünfte beziehen, deren steuerpflichtiger Gesamtbruttobetrag höher ist als der steuerpflichtige Gesamtbruttobetrag der Berufseinkünfte, die sie aufgrund ihrer Tätigkeit als Sportler beziehen, wie in Artikel 171 Nr. 1 Buchstabe </w:t>
      </w:r>
      <w:r w:rsidRPr="00A21F71">
        <w:rPr>
          <w:rFonts w:eastAsia="Calibri"/>
          <w:i/>
          <w:lang w:eastAsia="de-DE" w:bidi="de-DE"/>
        </w:rPr>
        <w:t>i)</w:t>
      </w:r>
      <w:r w:rsidRPr="00A21F71">
        <w:rPr>
          <w:rFonts w:eastAsia="Calibri"/>
          <w:lang w:eastAsia="de-DE" w:bidi="de-DE"/>
        </w:rPr>
        <w:t xml:space="preserve"> des vorerwähnten Gesetzbuches bestimmt: siehe Nr. 6.3.</w:t>
      </w:r>
    </w:p>
    <w:p w14:paraId="3FBB5303" w14:textId="77777777" w:rsidR="007A5656" w:rsidRPr="00A21F71" w:rsidRDefault="007A5656" w:rsidP="007A5656">
      <w:pPr>
        <w:jc w:val="both"/>
        <w:rPr>
          <w:rFonts w:eastAsia="Calibri"/>
          <w:lang w:eastAsia="de-DE" w:bidi="de-DE"/>
        </w:rPr>
      </w:pPr>
    </w:p>
    <w:p w14:paraId="106C646C"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3. Einkünfte, die aus einer in Belgien persönlich ausgeübten Tätigkeit als Sportler </w:t>
      </w:r>
      <w:r w:rsidRPr="00A21F71">
        <w:rPr>
          <w:rFonts w:eastAsia="Calibri"/>
          <w:lang w:eastAsia="de-DE" w:bidi="de-DE"/>
        </w:rPr>
        <w:noBreakHyphen/>
        <w:t xml:space="preserve"> ungeachtet der Dauer - stammen und einer anderen natürlichen oder juristischen Person </w:t>
      </w:r>
      <w:r>
        <w:rPr>
          <w:rFonts w:eastAsia="Calibri"/>
          <w:lang w:eastAsia="de-DE" w:bidi="de-DE"/>
        </w:rPr>
        <w:t>zuerkannt werden: siehe Nr. 5.26</w:t>
      </w:r>
      <w:r w:rsidRPr="00A21F71">
        <w:rPr>
          <w:rFonts w:eastAsia="Calibri"/>
          <w:lang w:eastAsia="de-DE" w:bidi="de-DE"/>
        </w:rPr>
        <w:t>.</w:t>
      </w:r>
    </w:p>
    <w:p w14:paraId="29553DE8" w14:textId="77777777" w:rsidR="007A5656" w:rsidRPr="00A21F71" w:rsidRDefault="007A5656" w:rsidP="007A5656">
      <w:pPr>
        <w:jc w:val="both"/>
        <w:rPr>
          <w:rFonts w:eastAsia="Calibri"/>
          <w:lang w:eastAsia="de-DE" w:bidi="de-DE"/>
        </w:rPr>
      </w:pPr>
    </w:p>
    <w:p w14:paraId="4634A960" w14:textId="77777777" w:rsidR="007A5656" w:rsidRPr="00A21F71" w:rsidRDefault="007A5656" w:rsidP="007A5656">
      <w:pPr>
        <w:jc w:val="both"/>
        <w:rPr>
          <w:rFonts w:eastAsia="Calibri"/>
          <w:lang w:eastAsia="de-DE" w:bidi="de-DE"/>
        </w:rPr>
      </w:pPr>
      <w:r w:rsidRPr="00A21F71">
        <w:rPr>
          <w:rFonts w:eastAsia="Calibri"/>
          <w:lang w:eastAsia="de-DE" w:bidi="de-DE"/>
        </w:rPr>
        <w:tab/>
        <w:t>4. Einkünfte von Sportlern, die nicht in den Nummern 1, 2 oder 3 erwähnt sind: siehe Kapitel 2 oder 5 in Bezug auf Entlohnungen und unter Berücksichtigung der eventuellen Gleichstellung (Nr. 2.1 Punkt B) mit einem Einwohner des Königreichs und siehe Nr. 2.17 in Bezug auf andere Einkünfte.</w:t>
      </w:r>
    </w:p>
    <w:p w14:paraId="6D529546" w14:textId="77777777" w:rsidR="007A5656" w:rsidRPr="00A21F71" w:rsidRDefault="007A5656" w:rsidP="007A5656">
      <w:pPr>
        <w:jc w:val="both"/>
        <w:rPr>
          <w:rFonts w:eastAsia="Calibri"/>
          <w:lang w:eastAsia="de-DE" w:bidi="de-DE"/>
        </w:rPr>
      </w:pPr>
    </w:p>
    <w:p w14:paraId="6F7EB8A2" w14:textId="77777777" w:rsidR="004F7E47" w:rsidRDefault="004F7E47">
      <w:pPr>
        <w:rPr>
          <w:rFonts w:eastAsia="Calibri"/>
          <w:lang w:eastAsia="de-DE" w:bidi="de-DE"/>
        </w:rPr>
      </w:pPr>
      <w:r>
        <w:rPr>
          <w:rFonts w:eastAsia="Calibri"/>
          <w:lang w:eastAsia="de-DE" w:bidi="de-DE"/>
        </w:rPr>
        <w:br w:type="page"/>
      </w:r>
    </w:p>
    <w:p w14:paraId="143590A0" w14:textId="77AE2999" w:rsidR="007A5656" w:rsidRPr="00A21F71" w:rsidRDefault="007A5656" w:rsidP="007A5656">
      <w:pPr>
        <w:jc w:val="both"/>
        <w:rPr>
          <w:rFonts w:eastAsia="Calibri"/>
          <w:lang w:eastAsia="de-DE" w:bidi="de-DE"/>
        </w:rPr>
      </w:pPr>
      <w:r w:rsidRPr="00A21F71">
        <w:rPr>
          <w:rFonts w:eastAsia="Calibri"/>
          <w:lang w:eastAsia="de-DE" w:bidi="de-DE"/>
        </w:rPr>
        <w:lastRenderedPageBreak/>
        <w:tab/>
        <w:t>C. Gebietsfremde Schiedsrichter, Ausbilder, Trainer und Betreuer</w:t>
      </w:r>
    </w:p>
    <w:p w14:paraId="65F9F6B5" w14:textId="77777777" w:rsidR="007A5656" w:rsidRPr="00A21F71" w:rsidRDefault="007A5656" w:rsidP="007A5656">
      <w:pPr>
        <w:jc w:val="both"/>
        <w:rPr>
          <w:rFonts w:eastAsia="Calibri"/>
          <w:lang w:eastAsia="de-DE" w:bidi="de-DE"/>
        </w:rPr>
      </w:pPr>
    </w:p>
    <w:p w14:paraId="417A5A84" w14:textId="77777777" w:rsidR="007A5656" w:rsidRPr="00A21F71" w:rsidRDefault="007A5656" w:rsidP="007A5656">
      <w:pPr>
        <w:jc w:val="both"/>
        <w:rPr>
          <w:rFonts w:eastAsia="Calibri"/>
          <w:lang w:eastAsia="de-DE" w:bidi="de-DE"/>
        </w:rPr>
      </w:pPr>
      <w:r w:rsidRPr="00A21F71">
        <w:rPr>
          <w:rFonts w:eastAsia="Calibri"/>
          <w:lang w:eastAsia="de-DE" w:bidi="de-DE"/>
        </w:rPr>
        <w:tab/>
        <w:t>1. Berufseinkünfte - mit Ausnahme der Entlohnungen von Unternehmensleitern - von Schiedsrichtern, Ausbildern, Trainern und Betreuern unter der Bedingung, dass sie aufgrund einer anderen beruflichen Tätigkeit Berufseinkünfte beziehen, deren steuerpflichtiger Gesamtbruttobetrag höher ist als der steuerpflichtige Gesamtbruttobetrag der Berufseinkünfte, die sie aufgrund der Gesamtheit ihrer vorerwähnten Tätigkeiten im Sportsektor beziehen, wie in Artikel 171 Nr. 1 Buchstabe </w:t>
      </w:r>
      <w:r w:rsidRPr="00A21F71">
        <w:rPr>
          <w:rFonts w:eastAsia="Calibri"/>
          <w:i/>
          <w:lang w:eastAsia="de-DE" w:bidi="de-DE"/>
        </w:rPr>
        <w:t>i)</w:t>
      </w:r>
      <w:r w:rsidRPr="00A21F71">
        <w:rPr>
          <w:rFonts w:eastAsia="Calibri"/>
          <w:lang w:eastAsia="de-DE" w:bidi="de-DE"/>
        </w:rPr>
        <w:t xml:space="preserve"> des vorerwähnten Gesetzbuches bestimmt: siehe Nr. 6.3.</w:t>
      </w:r>
    </w:p>
    <w:p w14:paraId="0DEF4EDA" w14:textId="6B7E07F9" w:rsidR="007A5656" w:rsidRPr="00A21F71" w:rsidRDefault="007A5656" w:rsidP="007A5656">
      <w:pPr>
        <w:rPr>
          <w:rFonts w:eastAsia="Calibri"/>
          <w:lang w:eastAsia="de-DE" w:bidi="de-DE"/>
        </w:rPr>
      </w:pPr>
    </w:p>
    <w:p w14:paraId="30B0ACF4" w14:textId="77777777" w:rsidR="007A5656" w:rsidRPr="00A21F71" w:rsidRDefault="007A5656" w:rsidP="007A5656">
      <w:pPr>
        <w:jc w:val="both"/>
        <w:rPr>
          <w:rFonts w:eastAsia="Calibri"/>
          <w:lang w:eastAsia="de-DE" w:bidi="de-DE"/>
        </w:rPr>
      </w:pPr>
      <w:r w:rsidRPr="00A21F71">
        <w:rPr>
          <w:rFonts w:eastAsia="Calibri"/>
          <w:lang w:eastAsia="de-DE" w:bidi="de-DE"/>
        </w:rPr>
        <w:tab/>
        <w:t>2. Berufseinkünfte von Schiedsrichtern, Ausbildern, Trainern und Betreuern, die nicht in Nr. 1 erwähnt sind: siehe Kapitel 2 oder 5 in Bezug auf Entlohnungen und unter Berücksichtigung der eventuellen Gleichstellung (Nr. 2.1 Punkt B) mit einem Einwohner des Königreichs und siehe Nr. 2.17 in Bezug auf andere Einkünfte.</w:t>
      </w:r>
    </w:p>
    <w:p w14:paraId="04E7E97B" w14:textId="77777777" w:rsidR="007A5656" w:rsidRPr="00A21F71" w:rsidRDefault="007A5656" w:rsidP="007A5656">
      <w:pPr>
        <w:jc w:val="both"/>
        <w:rPr>
          <w:rFonts w:eastAsia="Calibri"/>
          <w:lang w:eastAsia="de-DE" w:bidi="de-DE"/>
        </w:rPr>
      </w:pPr>
    </w:p>
    <w:p w14:paraId="4FF4C92F" w14:textId="77777777" w:rsidR="007A5656" w:rsidRPr="00A21F71" w:rsidRDefault="007A5656" w:rsidP="007A5656">
      <w:pPr>
        <w:jc w:val="both"/>
        <w:rPr>
          <w:rFonts w:eastAsia="Calibri"/>
          <w:lang w:eastAsia="de-DE" w:bidi="de-DE"/>
        </w:rPr>
      </w:pPr>
      <w:r w:rsidRPr="00A21F71">
        <w:rPr>
          <w:rFonts w:eastAsia="Calibri"/>
          <w:lang w:eastAsia="de-DE" w:bidi="de-DE"/>
        </w:rPr>
        <w:tab/>
        <w:t>6.2 Entlohnungen von Sportlern wie in Nr. 6.1 Punkt A Nr. 1 und B Nr. 2 Buchstabe a) erwähnt</w:t>
      </w:r>
    </w:p>
    <w:p w14:paraId="7CD6DE12" w14:textId="77777777" w:rsidR="007A5656" w:rsidRPr="00A21F71" w:rsidRDefault="007A5656" w:rsidP="007A5656">
      <w:pPr>
        <w:jc w:val="both"/>
        <w:rPr>
          <w:rFonts w:eastAsia="Calibri"/>
          <w:lang w:eastAsia="de-DE" w:bidi="de-DE"/>
        </w:rPr>
      </w:pPr>
    </w:p>
    <w:p w14:paraId="5A125C1D" w14:textId="77777777" w:rsidR="007A5656" w:rsidRPr="00A21F71" w:rsidRDefault="007A5656" w:rsidP="007A5656">
      <w:pPr>
        <w:jc w:val="both"/>
        <w:rPr>
          <w:rFonts w:eastAsia="Calibri"/>
          <w:lang w:eastAsia="de-DE" w:bidi="de-DE"/>
        </w:rPr>
      </w:pPr>
      <w:r w:rsidRPr="00A21F71">
        <w:rPr>
          <w:rFonts w:eastAsia="Calibri"/>
          <w:lang w:eastAsia="de-DE" w:bidi="de-DE"/>
        </w:rPr>
        <w:tab/>
        <w:t>Der Berufssteuervorabzug wird wie folgt festgelegt:</w:t>
      </w:r>
    </w:p>
    <w:p w14:paraId="0D649CE1" w14:textId="77777777" w:rsidR="007A5656" w:rsidRPr="00A21F71" w:rsidRDefault="007A5656" w:rsidP="007A5656">
      <w:pPr>
        <w:jc w:val="both"/>
        <w:rPr>
          <w:rFonts w:eastAsia="Calibri"/>
          <w:lang w:eastAsia="de-DE" w:bidi="de-DE"/>
        </w:rPr>
      </w:pPr>
    </w:p>
    <w:p w14:paraId="67E31D22" w14:textId="77777777" w:rsidR="007A5656" w:rsidRPr="00A21F71" w:rsidRDefault="007A5656" w:rsidP="007A5656">
      <w:pPr>
        <w:jc w:val="both"/>
        <w:rPr>
          <w:rFonts w:eastAsia="Calibri"/>
          <w:b/>
          <w:lang w:eastAsia="de-DE" w:bidi="de-DE"/>
        </w:rPr>
      </w:pPr>
      <w:r w:rsidRPr="00A21F71">
        <w:rPr>
          <w:rFonts w:eastAsia="Calibri"/>
          <w:lang w:eastAsia="de-DE" w:bidi="de-DE"/>
        </w:rPr>
        <w:tab/>
      </w:r>
      <w:r w:rsidRPr="00A21F71">
        <w:rPr>
          <w:rFonts w:eastAsia="Calibri"/>
          <w:b/>
          <w:lang w:eastAsia="de-DE" w:bidi="de-DE"/>
        </w:rPr>
        <w:t>A. Das monatliche Einkom</w:t>
      </w:r>
      <w:r>
        <w:rPr>
          <w:rFonts w:eastAsia="Calibri"/>
          <w:b/>
          <w:lang w:eastAsia="de-DE" w:bidi="de-DE"/>
        </w:rPr>
        <w:t>men beträgt nicht mehr als 1.605</w:t>
      </w:r>
      <w:r w:rsidRPr="00A21F71">
        <w:rPr>
          <w:rFonts w:eastAsia="Calibri"/>
          <w:b/>
          <w:lang w:eastAsia="de-DE" w:bidi="de-DE"/>
        </w:rPr>
        <w:t> EUR:</w:t>
      </w:r>
    </w:p>
    <w:p w14:paraId="0EE18070" w14:textId="77777777" w:rsidR="007A5656" w:rsidRPr="00A21F71" w:rsidRDefault="007A5656" w:rsidP="007A5656">
      <w:pPr>
        <w:jc w:val="both"/>
        <w:rPr>
          <w:rFonts w:eastAsia="Calibri"/>
          <w:lang w:eastAsia="de-DE" w:bidi="de-DE"/>
        </w:rPr>
      </w:pPr>
    </w:p>
    <w:p w14:paraId="7C090F6B" w14:textId="77777777" w:rsidR="007A5656" w:rsidRPr="00A21F71" w:rsidRDefault="007A5656" w:rsidP="007A5656">
      <w:pPr>
        <w:jc w:val="both"/>
        <w:rPr>
          <w:rFonts w:eastAsia="Calibri"/>
          <w:lang w:eastAsia="de-DE" w:bidi="de-DE"/>
        </w:rPr>
      </w:pPr>
      <w:r w:rsidRPr="00A21F71">
        <w:rPr>
          <w:rFonts w:eastAsia="Calibri"/>
          <w:lang w:eastAsia="de-DE" w:bidi="de-DE"/>
        </w:rPr>
        <w:tab/>
        <w:t>Der Berufssteuervorabzug beträgt 16,66 Prozent dieses Betrags (ohne Ermäßigung).</w:t>
      </w:r>
    </w:p>
    <w:p w14:paraId="02A167B2" w14:textId="77777777" w:rsidR="007A5656" w:rsidRPr="00A21F71" w:rsidRDefault="007A5656" w:rsidP="007A5656">
      <w:pPr>
        <w:jc w:val="both"/>
        <w:rPr>
          <w:rFonts w:eastAsia="Calibri"/>
          <w:lang w:eastAsia="de-DE" w:bidi="de-DE"/>
        </w:rPr>
      </w:pPr>
    </w:p>
    <w:p w14:paraId="0513D9D4" w14:textId="77777777" w:rsidR="007A5656" w:rsidRPr="00A21F71" w:rsidRDefault="007A5656" w:rsidP="007A5656">
      <w:pPr>
        <w:jc w:val="both"/>
        <w:rPr>
          <w:rFonts w:eastAsia="Calibri"/>
          <w:b/>
          <w:lang w:eastAsia="de-DE" w:bidi="de-DE"/>
        </w:rPr>
      </w:pPr>
      <w:r w:rsidRPr="00A21F71">
        <w:rPr>
          <w:rFonts w:eastAsia="Calibri"/>
          <w:lang w:eastAsia="de-DE" w:bidi="de-DE"/>
        </w:rPr>
        <w:tab/>
      </w:r>
      <w:r w:rsidRPr="00A21F71">
        <w:rPr>
          <w:rFonts w:eastAsia="Calibri"/>
          <w:b/>
          <w:lang w:eastAsia="de-DE" w:bidi="de-DE"/>
        </w:rPr>
        <w:t xml:space="preserve">B. Das monatliche </w:t>
      </w:r>
      <w:r>
        <w:rPr>
          <w:rFonts w:eastAsia="Calibri"/>
          <w:b/>
          <w:lang w:eastAsia="de-DE" w:bidi="de-DE"/>
        </w:rPr>
        <w:t>Einkommen beträgt mehr als 1.605</w:t>
      </w:r>
      <w:r w:rsidRPr="00A21F71">
        <w:rPr>
          <w:rFonts w:eastAsia="Calibri"/>
          <w:b/>
          <w:lang w:eastAsia="de-DE" w:bidi="de-DE"/>
        </w:rPr>
        <w:t> EUR:</w:t>
      </w:r>
    </w:p>
    <w:p w14:paraId="65985C67" w14:textId="77777777" w:rsidR="007A5656" w:rsidRPr="00A21F71" w:rsidRDefault="007A5656" w:rsidP="007A5656">
      <w:pPr>
        <w:jc w:val="both"/>
        <w:rPr>
          <w:rFonts w:eastAsia="Calibri"/>
          <w:lang w:eastAsia="de-DE" w:bidi="de-DE"/>
        </w:rPr>
      </w:pPr>
    </w:p>
    <w:p w14:paraId="211DC9B5" w14:textId="77777777" w:rsidR="007A5656" w:rsidRPr="00A21F71" w:rsidRDefault="007A5656" w:rsidP="007A5656">
      <w:pPr>
        <w:jc w:val="both"/>
        <w:rPr>
          <w:rFonts w:eastAsia="Calibri"/>
          <w:lang w:eastAsia="de-DE" w:bidi="de-DE"/>
        </w:rPr>
      </w:pPr>
      <w:r w:rsidRPr="00A21F71">
        <w:rPr>
          <w:rFonts w:eastAsia="Calibri"/>
          <w:lang w:eastAsia="de-DE" w:bidi="de-DE"/>
        </w:rPr>
        <w:tab/>
        <w:t>a) Der Berufssteuervorabzug auf</w:t>
      </w:r>
      <w:r>
        <w:rPr>
          <w:rFonts w:eastAsia="Calibri"/>
          <w:lang w:eastAsia="de-DE" w:bidi="de-DE"/>
        </w:rPr>
        <w:t xml:space="preserve"> den ersten Teilbetrag von 1.605 EUR beträgt 267,39</w:t>
      </w:r>
      <w:r w:rsidRPr="00A21F71">
        <w:rPr>
          <w:rFonts w:eastAsia="Calibri"/>
          <w:lang w:eastAsia="de-DE" w:bidi="de-DE"/>
        </w:rPr>
        <w:t> EUR.</w:t>
      </w:r>
    </w:p>
    <w:p w14:paraId="0ECFD755" w14:textId="77777777" w:rsidR="007A5656" w:rsidRPr="00A21F71" w:rsidRDefault="007A5656" w:rsidP="007A5656">
      <w:pPr>
        <w:jc w:val="both"/>
        <w:rPr>
          <w:rFonts w:eastAsia="Calibri"/>
          <w:lang w:eastAsia="de-DE" w:bidi="de-DE"/>
        </w:rPr>
      </w:pPr>
    </w:p>
    <w:p w14:paraId="5684A2A8" w14:textId="77777777" w:rsidR="007A5656" w:rsidRPr="00A21F71" w:rsidRDefault="007A5656" w:rsidP="007A5656">
      <w:pPr>
        <w:jc w:val="both"/>
        <w:rPr>
          <w:rFonts w:eastAsia="Calibri"/>
          <w:lang w:eastAsia="de-DE" w:bidi="de-DE"/>
        </w:rPr>
      </w:pPr>
      <w:r w:rsidRPr="00A21F71">
        <w:rPr>
          <w:rFonts w:eastAsia="Calibri"/>
          <w:lang w:eastAsia="de-DE" w:bidi="de-DE"/>
        </w:rPr>
        <w:tab/>
        <w:t>b) Auf die Differenz zwischen dem monatliche</w:t>
      </w:r>
      <w:r>
        <w:rPr>
          <w:rFonts w:eastAsia="Calibri"/>
          <w:lang w:eastAsia="de-DE" w:bidi="de-DE"/>
        </w:rPr>
        <w:t>n Einkommen und 1.605</w:t>
      </w:r>
      <w:r w:rsidRPr="00A21F71">
        <w:rPr>
          <w:rFonts w:eastAsia="Calibri"/>
          <w:lang w:eastAsia="de-DE" w:bidi="de-DE"/>
        </w:rPr>
        <w:t> EUR wird ein Berufssteuervorabzug angewandt, der je nach Art der Einkünfte und Eigenschaft des Empfängers unterschiedlich ist:</w:t>
      </w:r>
    </w:p>
    <w:p w14:paraId="3960EB83" w14:textId="77777777" w:rsidR="007A5656" w:rsidRPr="00A21F71" w:rsidRDefault="007A5656" w:rsidP="007A5656">
      <w:pPr>
        <w:jc w:val="both"/>
        <w:rPr>
          <w:rFonts w:eastAsia="Calibri"/>
          <w:lang w:eastAsia="de-DE" w:bidi="de-DE"/>
        </w:rPr>
      </w:pPr>
    </w:p>
    <w:p w14:paraId="5637CA51" w14:textId="77777777" w:rsidR="007A5656" w:rsidRPr="00A21F71" w:rsidRDefault="007A5656" w:rsidP="007A5656">
      <w:pPr>
        <w:jc w:val="both"/>
        <w:rPr>
          <w:rFonts w:eastAsia="Calibri"/>
          <w:i/>
          <w:lang w:eastAsia="de-DE" w:bidi="de-DE"/>
        </w:rPr>
      </w:pPr>
      <w:r w:rsidRPr="00A21F71">
        <w:rPr>
          <w:rFonts w:eastAsia="Calibri"/>
          <w:lang w:eastAsia="de-DE" w:bidi="de-DE"/>
        </w:rPr>
        <w:tab/>
      </w:r>
      <w:r w:rsidRPr="00A21F71">
        <w:rPr>
          <w:rFonts w:eastAsia="Calibri"/>
          <w:i/>
          <w:lang w:eastAsia="de-DE" w:bidi="de-DE"/>
        </w:rPr>
        <w:t>1. Entlohnungen von Einwohnern des Königreichs und gleichgestellten Gebietsfremden wie in Nr. 2.1 Punkt B erwähnt:</w:t>
      </w:r>
    </w:p>
    <w:p w14:paraId="35597B70" w14:textId="77777777" w:rsidR="007A5656" w:rsidRPr="00A21F71" w:rsidRDefault="007A5656" w:rsidP="007A5656">
      <w:pPr>
        <w:jc w:val="both"/>
        <w:rPr>
          <w:rFonts w:eastAsia="Calibri"/>
          <w:lang w:eastAsia="de-DE" w:bidi="de-DE"/>
        </w:rPr>
      </w:pPr>
    </w:p>
    <w:p w14:paraId="44E154C0" w14:textId="77777777" w:rsidR="007A5656" w:rsidRPr="00A21F71" w:rsidRDefault="007A5656" w:rsidP="007A5656">
      <w:pPr>
        <w:jc w:val="both"/>
        <w:rPr>
          <w:rFonts w:eastAsia="Calibri"/>
          <w:lang w:eastAsia="de-DE" w:bidi="de-DE"/>
        </w:rPr>
      </w:pPr>
      <w:r w:rsidRPr="00A21F71">
        <w:rPr>
          <w:rFonts w:eastAsia="Calibri"/>
          <w:lang w:eastAsia="de-DE" w:bidi="de-DE"/>
        </w:rPr>
        <w:tab/>
        <w:t>Die Differenz zwischen dem</w:t>
      </w:r>
      <w:r>
        <w:rPr>
          <w:rFonts w:eastAsia="Calibri"/>
          <w:lang w:eastAsia="de-DE" w:bidi="de-DE"/>
        </w:rPr>
        <w:t xml:space="preserve"> monatlichen Einkommen und 1.605</w:t>
      </w:r>
      <w:r w:rsidRPr="00A21F71">
        <w:rPr>
          <w:rFonts w:eastAsia="Calibri"/>
          <w:lang w:eastAsia="de-DE" w:bidi="de-DE"/>
        </w:rPr>
        <w:t> EUR wird auf das untere Vielfache von 15 EUR abgerundet und der Berufssteuervorabzug darauf wird dann gemäß den Tabellen I und II berechnet. Auf den so berechneten Berufssteuervorabzug können dann noch folgende Ermäßigungen angewandt werden:</w:t>
      </w:r>
    </w:p>
    <w:p w14:paraId="137D1428" w14:textId="77777777" w:rsidR="007A5656" w:rsidRPr="00A21F71" w:rsidRDefault="007A5656" w:rsidP="007A5656">
      <w:pPr>
        <w:jc w:val="both"/>
        <w:rPr>
          <w:rFonts w:eastAsia="Calibri"/>
          <w:lang w:eastAsia="de-DE" w:bidi="de-DE"/>
        </w:rPr>
      </w:pPr>
    </w:p>
    <w:p w14:paraId="407B042B" w14:textId="77777777" w:rsidR="007A5656" w:rsidRPr="00A21F71" w:rsidRDefault="007A5656" w:rsidP="007A5656">
      <w:pPr>
        <w:jc w:val="both"/>
        <w:rPr>
          <w:rFonts w:eastAsia="Calibri"/>
          <w:lang w:eastAsia="de-DE" w:bidi="de-DE"/>
        </w:rPr>
      </w:pPr>
      <w:r w:rsidRPr="00A21F71">
        <w:rPr>
          <w:rFonts w:eastAsia="Calibri"/>
          <w:lang w:eastAsia="de-DE" w:bidi="de-DE"/>
        </w:rPr>
        <w:tab/>
        <w:t>- für Kinder zu Lasten (siehe Nr. 2.2 Punkt A Buchstabe a)),</w:t>
      </w:r>
    </w:p>
    <w:p w14:paraId="4A5BC3F5" w14:textId="77777777" w:rsidR="007A5656" w:rsidRPr="00A21F71" w:rsidRDefault="007A5656" w:rsidP="007A5656">
      <w:pPr>
        <w:jc w:val="both"/>
        <w:rPr>
          <w:rFonts w:eastAsia="Calibri"/>
          <w:lang w:eastAsia="de-DE" w:bidi="de-DE"/>
        </w:rPr>
      </w:pPr>
    </w:p>
    <w:p w14:paraId="3D795BC8" w14:textId="77777777" w:rsidR="007A5656" w:rsidRPr="00A21F71" w:rsidRDefault="007A5656" w:rsidP="007A5656">
      <w:pPr>
        <w:jc w:val="both"/>
        <w:rPr>
          <w:rFonts w:eastAsia="Calibri"/>
          <w:lang w:eastAsia="de-DE" w:bidi="de-DE"/>
        </w:rPr>
      </w:pPr>
      <w:r w:rsidRPr="00A21F71">
        <w:rPr>
          <w:rFonts w:eastAsia="Calibri"/>
          <w:lang w:eastAsia="de-DE" w:bidi="de-DE"/>
        </w:rPr>
        <w:tab/>
        <w:t>- für andere Familienlasten (siehe Nr. 2.2 Punkt A Buchstabe b)),</w:t>
      </w:r>
    </w:p>
    <w:p w14:paraId="73C2CFF6" w14:textId="77777777" w:rsidR="007A5656" w:rsidRPr="00A21F71" w:rsidRDefault="007A5656" w:rsidP="007A5656">
      <w:pPr>
        <w:jc w:val="both"/>
        <w:rPr>
          <w:rFonts w:eastAsia="Calibri"/>
          <w:lang w:eastAsia="de-DE" w:bidi="de-DE"/>
        </w:rPr>
      </w:pPr>
    </w:p>
    <w:p w14:paraId="13B0F513" w14:textId="77777777" w:rsidR="007A5656" w:rsidRPr="00A21F71" w:rsidRDefault="007A5656" w:rsidP="007A5656">
      <w:pPr>
        <w:jc w:val="both"/>
        <w:rPr>
          <w:rFonts w:eastAsia="Calibri"/>
          <w:lang w:eastAsia="de-DE" w:bidi="de-DE"/>
        </w:rPr>
      </w:pPr>
      <w:r w:rsidRPr="00A21F71">
        <w:rPr>
          <w:rFonts w:eastAsia="Calibri"/>
          <w:lang w:eastAsia="de-DE" w:bidi="de-DE"/>
        </w:rPr>
        <w:tab/>
        <w:t>- für Gruppenversicherung und für außergesetzliche Alters- und Todesfallversicherung (siehe Nr. 2.2 Punkt A Buchstabe c)),</w:t>
      </w:r>
    </w:p>
    <w:p w14:paraId="06B6922D" w14:textId="77777777" w:rsidR="007A5656" w:rsidRPr="00A21F71" w:rsidRDefault="007A5656" w:rsidP="007A5656">
      <w:pPr>
        <w:jc w:val="both"/>
        <w:rPr>
          <w:rFonts w:eastAsia="Calibri"/>
          <w:lang w:eastAsia="de-DE" w:bidi="de-DE"/>
        </w:rPr>
      </w:pPr>
    </w:p>
    <w:p w14:paraId="25128BA3" w14:textId="77777777" w:rsidR="007A5656" w:rsidRPr="00A21F71" w:rsidRDefault="007A5656" w:rsidP="007A5656">
      <w:pPr>
        <w:jc w:val="both"/>
        <w:rPr>
          <w:rFonts w:eastAsia="Calibri"/>
          <w:lang w:eastAsia="de-DE" w:bidi="de-DE"/>
        </w:rPr>
      </w:pPr>
      <w:r w:rsidRPr="00A21F71">
        <w:rPr>
          <w:rFonts w:eastAsia="Calibri"/>
          <w:lang w:eastAsia="de-DE" w:bidi="de-DE"/>
        </w:rPr>
        <w:tab/>
        <w:t>- für Entlohnungen von Arbeitnehmern mit niedrigem oder mittlerem Einkommen, die Anspruch auf einen erhöhten Steuerfreibetrag haben (siehe Nr. 2.2 Punkt A Buchstabe e)),</w:t>
      </w:r>
    </w:p>
    <w:p w14:paraId="5383A409" w14:textId="77777777" w:rsidR="007A5656" w:rsidRPr="00A21F71" w:rsidRDefault="007A5656" w:rsidP="007A5656">
      <w:pPr>
        <w:jc w:val="both"/>
        <w:rPr>
          <w:rFonts w:eastAsia="Calibri"/>
          <w:lang w:eastAsia="de-DE" w:bidi="de-DE"/>
        </w:rPr>
      </w:pPr>
    </w:p>
    <w:p w14:paraId="7C38D378" w14:textId="77777777" w:rsidR="007A5656" w:rsidRPr="00A21F71" w:rsidRDefault="007A5656" w:rsidP="007A5656">
      <w:pPr>
        <w:jc w:val="both"/>
        <w:rPr>
          <w:rFonts w:eastAsia="Calibri"/>
          <w:lang w:eastAsia="de-DE" w:bidi="de-DE"/>
        </w:rPr>
      </w:pPr>
      <w:r w:rsidRPr="00A21F71">
        <w:rPr>
          <w:rFonts w:eastAsia="Calibri"/>
          <w:lang w:eastAsia="de-DE" w:bidi="de-DE"/>
        </w:rPr>
        <w:lastRenderedPageBreak/>
        <w:tab/>
        <w:t>- für Entlohnungen von natürlichen Personen mit niedrigem Einkommen, die anders als aufgrund eines Arbeitsvertrags im öffentlichen Sektor Arbeitsleistungen erbringen (siehe Nr. 2.2 Punkt A Buchstabe f)),</w:t>
      </w:r>
    </w:p>
    <w:p w14:paraId="2B159982" w14:textId="77777777" w:rsidR="007A5656" w:rsidRPr="00A21F71" w:rsidRDefault="007A5656" w:rsidP="007A5656">
      <w:pPr>
        <w:jc w:val="both"/>
        <w:rPr>
          <w:rFonts w:eastAsia="Calibri"/>
          <w:lang w:eastAsia="de-DE" w:bidi="de-DE"/>
        </w:rPr>
      </w:pPr>
    </w:p>
    <w:p w14:paraId="76AECDE4" w14:textId="77777777" w:rsidR="007A5656" w:rsidRPr="00A21F71" w:rsidRDefault="007A5656" w:rsidP="007A5656">
      <w:pPr>
        <w:jc w:val="both"/>
        <w:rPr>
          <w:rFonts w:eastAsia="Calibri"/>
          <w:lang w:eastAsia="de-DE" w:bidi="de-DE"/>
        </w:rPr>
      </w:pPr>
      <w:r w:rsidRPr="00A21F71">
        <w:rPr>
          <w:rFonts w:eastAsia="Calibri"/>
          <w:lang w:eastAsia="de-DE" w:bidi="de-DE"/>
        </w:rPr>
        <w:tab/>
        <w:t>- für Entlohnungen von Arbeitnehmern mit niedrigem Einkommen, die Anspruch auf einen Arbeitsbonus haben (siehe Nr. 2.2 Punkt A Buchstabe g)).</w:t>
      </w:r>
    </w:p>
    <w:p w14:paraId="5D04D5AA" w14:textId="77777777" w:rsidR="004F7E47" w:rsidRDefault="004F7E47" w:rsidP="007A5656">
      <w:pPr>
        <w:rPr>
          <w:rFonts w:eastAsia="Calibri"/>
          <w:lang w:eastAsia="de-DE" w:bidi="de-DE"/>
        </w:rPr>
      </w:pPr>
    </w:p>
    <w:p w14:paraId="2B1D907A" w14:textId="1D85BE7D" w:rsidR="007A5656" w:rsidRPr="00A21F71" w:rsidRDefault="007A5656" w:rsidP="007A5656">
      <w:pPr>
        <w:rPr>
          <w:rFonts w:eastAsia="Calibri"/>
          <w:i/>
          <w:lang w:eastAsia="de-DE" w:bidi="de-DE"/>
        </w:rPr>
      </w:pPr>
      <w:r w:rsidRPr="00A21F71">
        <w:rPr>
          <w:rFonts w:eastAsia="Calibri"/>
          <w:lang w:eastAsia="de-DE" w:bidi="de-DE"/>
        </w:rPr>
        <w:tab/>
      </w:r>
      <w:r w:rsidRPr="00A21F71">
        <w:rPr>
          <w:rFonts w:eastAsia="Calibri"/>
          <w:i/>
          <w:lang w:eastAsia="de-DE" w:bidi="de-DE"/>
        </w:rPr>
        <w:t>2. Entlohnungen anderer Gebietsfremder:</w:t>
      </w:r>
    </w:p>
    <w:p w14:paraId="283C5A7C" w14:textId="77777777" w:rsidR="007A5656" w:rsidRPr="00A21F71" w:rsidRDefault="007A5656" w:rsidP="007A5656">
      <w:pPr>
        <w:jc w:val="both"/>
        <w:rPr>
          <w:rFonts w:eastAsia="Calibri"/>
          <w:lang w:eastAsia="de-DE" w:bidi="de-DE"/>
        </w:rPr>
      </w:pPr>
    </w:p>
    <w:p w14:paraId="2E68096F" w14:textId="77777777" w:rsidR="007A5656" w:rsidRPr="00A21F71" w:rsidRDefault="007A5656" w:rsidP="007A5656">
      <w:pPr>
        <w:jc w:val="both"/>
        <w:rPr>
          <w:rFonts w:eastAsia="Calibri"/>
          <w:lang w:eastAsia="de-DE" w:bidi="de-DE"/>
        </w:rPr>
      </w:pPr>
      <w:r w:rsidRPr="00A21F71">
        <w:rPr>
          <w:rFonts w:eastAsia="Calibri"/>
          <w:lang w:eastAsia="de-DE" w:bidi="de-DE"/>
        </w:rPr>
        <w:tab/>
        <w:t>Die Differenz zwischen dem</w:t>
      </w:r>
      <w:r>
        <w:rPr>
          <w:rFonts w:eastAsia="Calibri"/>
          <w:lang w:eastAsia="de-DE" w:bidi="de-DE"/>
        </w:rPr>
        <w:t xml:space="preserve"> monatlichen Einkommen und 1.605</w:t>
      </w:r>
      <w:r w:rsidRPr="00A21F71">
        <w:rPr>
          <w:rFonts w:eastAsia="Calibri"/>
          <w:lang w:eastAsia="de-DE" w:bidi="de-DE"/>
        </w:rPr>
        <w:t> EUR wird auf das untere Vielfache von 15 EUR abgerundet und der Berufssteuervorabzug darauf wird dann gemäß Tabelle III berechnet.</w:t>
      </w:r>
    </w:p>
    <w:p w14:paraId="683EBE9D" w14:textId="77777777" w:rsidR="007A5656" w:rsidRPr="00A21F71" w:rsidRDefault="007A5656" w:rsidP="007A5656">
      <w:pPr>
        <w:jc w:val="both"/>
        <w:rPr>
          <w:rFonts w:eastAsia="Calibri"/>
          <w:lang w:eastAsia="de-DE" w:bidi="de-DE"/>
        </w:rPr>
      </w:pPr>
    </w:p>
    <w:p w14:paraId="4A237E54" w14:textId="77777777" w:rsidR="007A5656" w:rsidRPr="00A21F71" w:rsidRDefault="007A5656" w:rsidP="007A5656">
      <w:pPr>
        <w:jc w:val="both"/>
        <w:rPr>
          <w:rFonts w:eastAsia="Calibri"/>
          <w:lang w:eastAsia="de-DE" w:bidi="de-DE"/>
        </w:rPr>
      </w:pPr>
      <w:r w:rsidRPr="00A21F71">
        <w:rPr>
          <w:rFonts w:eastAsia="Calibri"/>
          <w:lang w:eastAsia="de-DE" w:bidi="de-DE"/>
        </w:rPr>
        <w:tab/>
        <w:t>c) Der geschuldete Berufssteuervorabzug entspricht a + b.</w:t>
      </w:r>
    </w:p>
    <w:p w14:paraId="4EB22891" w14:textId="77777777" w:rsidR="007A5656" w:rsidRPr="00A21F71" w:rsidRDefault="007A5656" w:rsidP="007A5656">
      <w:pPr>
        <w:jc w:val="both"/>
        <w:rPr>
          <w:rFonts w:eastAsia="Calibri"/>
          <w:lang w:eastAsia="de-DE" w:bidi="de-DE"/>
        </w:rPr>
      </w:pPr>
    </w:p>
    <w:p w14:paraId="23CB2A87" w14:textId="77777777" w:rsidR="007A5656" w:rsidRPr="00A21F71" w:rsidRDefault="007A5656" w:rsidP="007A5656">
      <w:pPr>
        <w:jc w:val="both"/>
        <w:rPr>
          <w:rFonts w:eastAsia="Calibri"/>
          <w:lang w:eastAsia="de-DE" w:bidi="de-DE"/>
        </w:rPr>
      </w:pPr>
      <w:r w:rsidRPr="00A21F71">
        <w:rPr>
          <w:rFonts w:eastAsia="Calibri"/>
          <w:lang w:eastAsia="de-DE" w:bidi="de-DE"/>
        </w:rPr>
        <w:t xml:space="preserve"> </w:t>
      </w:r>
      <w:r w:rsidRPr="00A21F71">
        <w:rPr>
          <w:rFonts w:eastAsia="Calibri"/>
          <w:lang w:eastAsia="de-DE" w:bidi="de-DE"/>
        </w:rPr>
        <w:tab/>
        <w:t>6.3 Entlohnungen wie in Nr. 6.1 Punkt A Nr. 2 erwähnt und Berufseinkünfte wie in Nr. 6.1 Punkt B Nr. 2 Buchstabe b) und Punkt C Nr. 1 erwähnt</w:t>
      </w:r>
    </w:p>
    <w:p w14:paraId="442B4D71" w14:textId="77777777" w:rsidR="007A5656" w:rsidRPr="00A21F71" w:rsidRDefault="007A5656" w:rsidP="007A5656">
      <w:pPr>
        <w:jc w:val="both"/>
        <w:rPr>
          <w:rFonts w:eastAsia="Calibri"/>
          <w:lang w:eastAsia="de-DE" w:bidi="de-DE"/>
        </w:rPr>
      </w:pPr>
    </w:p>
    <w:p w14:paraId="4C46BE11" w14:textId="77777777" w:rsidR="007A5656" w:rsidRPr="00A21F71" w:rsidRDefault="007A5656" w:rsidP="007A5656">
      <w:pPr>
        <w:jc w:val="both"/>
        <w:rPr>
          <w:rFonts w:eastAsia="Calibri"/>
          <w:lang w:eastAsia="de-DE" w:bidi="de-DE"/>
        </w:rPr>
      </w:pPr>
      <w:r w:rsidRPr="00A21F71">
        <w:rPr>
          <w:rFonts w:eastAsia="Calibri"/>
          <w:lang w:eastAsia="de-DE" w:bidi="de-DE"/>
        </w:rPr>
        <w:tab/>
        <w:t>Der Berufssteuervorabzug wird wie folgt festgelegt:</w:t>
      </w:r>
    </w:p>
    <w:p w14:paraId="50F68018" w14:textId="77777777" w:rsidR="007A5656" w:rsidRPr="00A21F71" w:rsidRDefault="007A5656" w:rsidP="007A5656">
      <w:pPr>
        <w:jc w:val="both"/>
        <w:rPr>
          <w:rFonts w:eastAsia="Calibri"/>
          <w:lang w:eastAsia="de-DE" w:bidi="de-DE"/>
        </w:rPr>
      </w:pPr>
    </w:p>
    <w:p w14:paraId="1B9D0478" w14:textId="77777777" w:rsidR="007A5656" w:rsidRPr="00A21F71" w:rsidRDefault="007A5656" w:rsidP="007A5656">
      <w:pPr>
        <w:jc w:val="both"/>
        <w:rPr>
          <w:rFonts w:eastAsia="Calibri"/>
          <w:b/>
          <w:lang w:eastAsia="de-DE" w:bidi="de-DE"/>
        </w:rPr>
      </w:pPr>
      <w:r w:rsidRPr="00A21F71">
        <w:rPr>
          <w:rFonts w:eastAsia="Calibri"/>
          <w:lang w:eastAsia="de-DE" w:bidi="de-DE"/>
        </w:rPr>
        <w:tab/>
      </w:r>
      <w:r w:rsidRPr="00A21F71">
        <w:rPr>
          <w:rFonts w:eastAsia="Calibri"/>
          <w:b/>
          <w:lang w:eastAsia="de-DE" w:bidi="de-DE"/>
        </w:rPr>
        <w:t>A. Das monatliche Einkom</w:t>
      </w:r>
      <w:r>
        <w:rPr>
          <w:rFonts w:eastAsia="Calibri"/>
          <w:b/>
          <w:lang w:eastAsia="de-DE" w:bidi="de-DE"/>
        </w:rPr>
        <w:t>men beträgt nicht mehr als 1.605</w:t>
      </w:r>
      <w:r w:rsidRPr="00A21F71">
        <w:rPr>
          <w:rFonts w:eastAsia="Calibri"/>
          <w:b/>
          <w:lang w:eastAsia="de-DE" w:bidi="de-DE"/>
        </w:rPr>
        <w:t> EUR:</w:t>
      </w:r>
    </w:p>
    <w:p w14:paraId="71C12AB6" w14:textId="77777777" w:rsidR="007A5656" w:rsidRPr="00A21F71" w:rsidRDefault="007A5656" w:rsidP="007A5656">
      <w:pPr>
        <w:jc w:val="both"/>
        <w:rPr>
          <w:rFonts w:eastAsia="Calibri"/>
          <w:lang w:eastAsia="de-DE" w:bidi="de-DE"/>
        </w:rPr>
      </w:pPr>
    </w:p>
    <w:p w14:paraId="1A906E06" w14:textId="77777777" w:rsidR="007A5656" w:rsidRPr="00A21F71" w:rsidRDefault="007A5656" w:rsidP="007A5656">
      <w:pPr>
        <w:jc w:val="both"/>
        <w:rPr>
          <w:rFonts w:eastAsia="Calibri"/>
          <w:lang w:eastAsia="de-DE" w:bidi="de-DE"/>
        </w:rPr>
      </w:pPr>
      <w:r w:rsidRPr="00A21F71">
        <w:rPr>
          <w:rFonts w:eastAsia="Calibri"/>
          <w:lang w:eastAsia="de-DE" w:bidi="de-DE"/>
        </w:rPr>
        <w:tab/>
        <w:t>Der Berufssteuervorabzug beträgt 33,31 Prozent dieses Betrags (ohne Ermäßigung).</w:t>
      </w:r>
    </w:p>
    <w:p w14:paraId="31D990DB" w14:textId="77777777" w:rsidR="007A5656" w:rsidRPr="00A21F71" w:rsidRDefault="007A5656" w:rsidP="007A5656">
      <w:pPr>
        <w:jc w:val="both"/>
        <w:rPr>
          <w:rFonts w:eastAsia="Calibri"/>
          <w:lang w:eastAsia="de-DE" w:bidi="de-DE"/>
        </w:rPr>
      </w:pPr>
    </w:p>
    <w:p w14:paraId="0296EFA3" w14:textId="77777777" w:rsidR="007A5656" w:rsidRPr="00A21F71" w:rsidRDefault="007A5656" w:rsidP="007A5656">
      <w:pPr>
        <w:jc w:val="both"/>
        <w:rPr>
          <w:rFonts w:eastAsia="Calibri"/>
          <w:b/>
          <w:lang w:eastAsia="de-DE" w:bidi="de-DE"/>
        </w:rPr>
      </w:pPr>
      <w:r w:rsidRPr="00A21F71">
        <w:rPr>
          <w:rFonts w:eastAsia="Calibri"/>
          <w:lang w:eastAsia="de-DE" w:bidi="de-DE"/>
        </w:rPr>
        <w:tab/>
      </w:r>
      <w:r w:rsidRPr="00A21F71">
        <w:rPr>
          <w:rFonts w:eastAsia="Calibri"/>
          <w:b/>
          <w:lang w:eastAsia="de-DE" w:bidi="de-DE"/>
        </w:rPr>
        <w:t xml:space="preserve">B. Das monatliche </w:t>
      </w:r>
      <w:r>
        <w:rPr>
          <w:rFonts w:eastAsia="Calibri"/>
          <w:b/>
          <w:lang w:eastAsia="de-DE" w:bidi="de-DE"/>
        </w:rPr>
        <w:t>Einkommen beträgt mehr als 1.605</w:t>
      </w:r>
      <w:r w:rsidRPr="00A21F71">
        <w:rPr>
          <w:rFonts w:eastAsia="Calibri"/>
          <w:b/>
          <w:lang w:eastAsia="de-DE" w:bidi="de-DE"/>
        </w:rPr>
        <w:t> EUR:</w:t>
      </w:r>
    </w:p>
    <w:p w14:paraId="7373FE07" w14:textId="77777777" w:rsidR="007A5656" w:rsidRPr="00A21F71" w:rsidRDefault="007A5656" w:rsidP="007A5656">
      <w:pPr>
        <w:jc w:val="both"/>
        <w:rPr>
          <w:rFonts w:eastAsia="Calibri"/>
          <w:lang w:eastAsia="de-DE" w:bidi="de-DE"/>
        </w:rPr>
      </w:pPr>
    </w:p>
    <w:p w14:paraId="43E54D21" w14:textId="77777777" w:rsidR="007A5656" w:rsidRPr="00A21F71" w:rsidRDefault="007A5656" w:rsidP="007A5656">
      <w:pPr>
        <w:jc w:val="both"/>
        <w:rPr>
          <w:rFonts w:eastAsia="Calibri"/>
          <w:lang w:eastAsia="de-DE" w:bidi="de-DE"/>
        </w:rPr>
      </w:pPr>
      <w:r w:rsidRPr="00A21F71">
        <w:rPr>
          <w:rFonts w:eastAsia="Calibri"/>
          <w:lang w:eastAsia="de-DE" w:bidi="de-DE"/>
        </w:rPr>
        <w:tab/>
        <w:t>a) Der Berufssteuervorabzug auf</w:t>
      </w:r>
      <w:r>
        <w:rPr>
          <w:rFonts w:eastAsia="Calibri"/>
          <w:lang w:eastAsia="de-DE" w:bidi="de-DE"/>
        </w:rPr>
        <w:t xml:space="preserve"> den ersten Teilbetrag von 1.605 EUR beträgt 534,62</w:t>
      </w:r>
      <w:r w:rsidRPr="00A21F71">
        <w:rPr>
          <w:rFonts w:eastAsia="Calibri"/>
          <w:lang w:eastAsia="de-DE" w:bidi="de-DE"/>
        </w:rPr>
        <w:t> EUR.</w:t>
      </w:r>
    </w:p>
    <w:p w14:paraId="4ECCBBD6" w14:textId="77777777" w:rsidR="007A5656" w:rsidRPr="00A21F71" w:rsidRDefault="007A5656" w:rsidP="007A5656">
      <w:pPr>
        <w:jc w:val="both"/>
        <w:rPr>
          <w:rFonts w:eastAsia="Calibri"/>
          <w:lang w:eastAsia="de-DE" w:bidi="de-DE"/>
        </w:rPr>
      </w:pPr>
    </w:p>
    <w:p w14:paraId="1F4EDA35" w14:textId="77777777" w:rsidR="007A5656" w:rsidRPr="00A21F71" w:rsidRDefault="007A5656" w:rsidP="007A5656">
      <w:pPr>
        <w:jc w:val="both"/>
        <w:rPr>
          <w:rFonts w:eastAsia="Calibri"/>
          <w:lang w:eastAsia="de-DE" w:bidi="de-DE"/>
        </w:rPr>
      </w:pPr>
      <w:r w:rsidRPr="00A21F71">
        <w:rPr>
          <w:rFonts w:eastAsia="Calibri"/>
          <w:lang w:eastAsia="de-DE" w:bidi="de-DE"/>
        </w:rPr>
        <w:tab/>
        <w:t>b) Auf die Differenz zwischen dem</w:t>
      </w:r>
      <w:r>
        <w:rPr>
          <w:rFonts w:eastAsia="Calibri"/>
          <w:lang w:eastAsia="de-DE" w:bidi="de-DE"/>
        </w:rPr>
        <w:t xml:space="preserve"> monatlichen Einkommen und 1.605</w:t>
      </w:r>
      <w:r w:rsidRPr="00A21F71">
        <w:rPr>
          <w:rFonts w:eastAsia="Calibri"/>
          <w:lang w:eastAsia="de-DE" w:bidi="de-DE"/>
        </w:rPr>
        <w:t xml:space="preserve"> EUR wird ein Berufssteuervorabzug angewandt, der je nach Art der Einkünfte und Eigenschaft des Empfängers unterschiedlich ist: </w:t>
      </w:r>
    </w:p>
    <w:p w14:paraId="2F15F873" w14:textId="77777777" w:rsidR="007A5656" w:rsidRPr="00A21F71" w:rsidRDefault="007A5656" w:rsidP="007A5656">
      <w:pPr>
        <w:jc w:val="both"/>
        <w:rPr>
          <w:rFonts w:eastAsia="Calibri"/>
          <w:lang w:eastAsia="de-DE" w:bidi="de-DE"/>
        </w:rPr>
      </w:pPr>
    </w:p>
    <w:p w14:paraId="78E91B68" w14:textId="77777777" w:rsidR="007A5656" w:rsidRPr="00A21F71" w:rsidRDefault="007A5656" w:rsidP="007A5656">
      <w:pPr>
        <w:jc w:val="both"/>
        <w:rPr>
          <w:rFonts w:eastAsia="Calibri"/>
          <w:i/>
          <w:lang w:eastAsia="de-DE" w:bidi="de-DE"/>
        </w:rPr>
      </w:pPr>
      <w:r w:rsidRPr="00A21F71">
        <w:rPr>
          <w:rFonts w:eastAsia="Calibri"/>
          <w:lang w:eastAsia="de-DE" w:bidi="de-DE"/>
        </w:rPr>
        <w:tab/>
      </w:r>
      <w:r w:rsidRPr="00A21F71">
        <w:rPr>
          <w:rFonts w:eastAsia="Calibri"/>
          <w:i/>
          <w:lang w:eastAsia="de-DE" w:bidi="de-DE"/>
        </w:rPr>
        <w:t>1. Entlohnungen von Einwohnern des Königreichs und gleichgestellten Gebietsfremden wie in Nr. 2.1 Punkt B erwähnt:</w:t>
      </w:r>
    </w:p>
    <w:p w14:paraId="21CD5780" w14:textId="77777777" w:rsidR="007A5656" w:rsidRPr="00A21F71" w:rsidRDefault="007A5656" w:rsidP="007A5656">
      <w:pPr>
        <w:jc w:val="both"/>
        <w:rPr>
          <w:rFonts w:eastAsia="Calibri"/>
          <w:lang w:eastAsia="de-DE" w:bidi="de-DE"/>
        </w:rPr>
      </w:pPr>
    </w:p>
    <w:p w14:paraId="5DA28092" w14:textId="77777777" w:rsidR="007A5656" w:rsidRPr="00A21F71" w:rsidRDefault="007A5656" w:rsidP="007A5656">
      <w:pPr>
        <w:jc w:val="both"/>
        <w:rPr>
          <w:rFonts w:eastAsia="Calibri"/>
          <w:lang w:eastAsia="de-DE" w:bidi="de-DE"/>
        </w:rPr>
      </w:pPr>
      <w:r w:rsidRPr="00A21F71">
        <w:rPr>
          <w:rFonts w:eastAsia="Calibri"/>
          <w:lang w:eastAsia="de-DE" w:bidi="de-DE"/>
        </w:rPr>
        <w:tab/>
        <w:t>Die Differenz zwischen dem</w:t>
      </w:r>
      <w:r>
        <w:rPr>
          <w:rFonts w:eastAsia="Calibri"/>
          <w:lang w:eastAsia="de-DE" w:bidi="de-DE"/>
        </w:rPr>
        <w:t xml:space="preserve"> monatlichen Einkommen und 1.605</w:t>
      </w:r>
      <w:r w:rsidRPr="00A21F71">
        <w:rPr>
          <w:rFonts w:eastAsia="Calibri"/>
          <w:lang w:eastAsia="de-DE" w:bidi="de-DE"/>
        </w:rPr>
        <w:t> EUR wird auf das untere Vielfache von 15 EUR abgerundet und der Berufssteuervorabzug darauf wird dann gemäß den Tabellen I und II berechnet. Auf den so berechneten Berufssteuervorabzug können dann noch folgende Ermäßigungen angewandt werden:</w:t>
      </w:r>
    </w:p>
    <w:p w14:paraId="3E2B4E49" w14:textId="77777777" w:rsidR="007A5656" w:rsidRPr="00A21F71" w:rsidRDefault="007A5656" w:rsidP="007A5656">
      <w:pPr>
        <w:jc w:val="both"/>
        <w:rPr>
          <w:rFonts w:eastAsia="Calibri"/>
          <w:lang w:eastAsia="de-DE" w:bidi="de-DE"/>
        </w:rPr>
      </w:pPr>
    </w:p>
    <w:p w14:paraId="1E6719EB" w14:textId="77777777" w:rsidR="007A5656" w:rsidRPr="00A21F71" w:rsidRDefault="007A5656" w:rsidP="007A5656">
      <w:pPr>
        <w:jc w:val="both"/>
        <w:rPr>
          <w:rFonts w:eastAsia="Calibri"/>
          <w:lang w:eastAsia="de-DE" w:bidi="de-DE"/>
        </w:rPr>
      </w:pPr>
      <w:r w:rsidRPr="00A21F71">
        <w:rPr>
          <w:rFonts w:eastAsia="Calibri"/>
          <w:lang w:eastAsia="de-DE" w:bidi="de-DE"/>
        </w:rPr>
        <w:tab/>
        <w:t>- für Kinder zu Lasten (siehe Nr. 2.2 Punkt A Buchstabe a)),</w:t>
      </w:r>
    </w:p>
    <w:p w14:paraId="745A0636" w14:textId="77777777" w:rsidR="007A5656" w:rsidRPr="00A21F71" w:rsidRDefault="007A5656" w:rsidP="007A5656">
      <w:pPr>
        <w:jc w:val="both"/>
        <w:rPr>
          <w:rFonts w:eastAsia="Calibri"/>
          <w:lang w:eastAsia="de-DE" w:bidi="de-DE"/>
        </w:rPr>
      </w:pPr>
    </w:p>
    <w:p w14:paraId="3CAD4E83" w14:textId="77777777" w:rsidR="007A5656" w:rsidRPr="00A21F71" w:rsidRDefault="007A5656" w:rsidP="007A5656">
      <w:pPr>
        <w:jc w:val="both"/>
        <w:rPr>
          <w:rFonts w:eastAsia="Calibri"/>
          <w:lang w:eastAsia="de-DE" w:bidi="de-DE"/>
        </w:rPr>
      </w:pPr>
      <w:r w:rsidRPr="00A21F71">
        <w:rPr>
          <w:rFonts w:eastAsia="Calibri"/>
          <w:lang w:eastAsia="de-DE" w:bidi="de-DE"/>
        </w:rPr>
        <w:tab/>
        <w:t>- für andere Familienlasten (siehe Nr. 2.2 Punkt A Buchstabe b)),</w:t>
      </w:r>
    </w:p>
    <w:p w14:paraId="5FA9CC08" w14:textId="77777777" w:rsidR="007A5656" w:rsidRPr="00A21F71" w:rsidRDefault="007A5656" w:rsidP="007A5656">
      <w:pPr>
        <w:jc w:val="both"/>
        <w:rPr>
          <w:rFonts w:eastAsia="Calibri"/>
          <w:lang w:eastAsia="de-DE" w:bidi="de-DE"/>
        </w:rPr>
      </w:pPr>
    </w:p>
    <w:p w14:paraId="100543F3" w14:textId="77777777" w:rsidR="007A5656" w:rsidRPr="00A21F71" w:rsidRDefault="007A5656" w:rsidP="007A5656">
      <w:pPr>
        <w:jc w:val="both"/>
        <w:rPr>
          <w:rFonts w:eastAsia="Calibri"/>
          <w:lang w:eastAsia="de-DE" w:bidi="de-DE"/>
        </w:rPr>
      </w:pPr>
      <w:r w:rsidRPr="00A21F71">
        <w:rPr>
          <w:rFonts w:eastAsia="Calibri"/>
          <w:lang w:eastAsia="de-DE" w:bidi="de-DE"/>
        </w:rPr>
        <w:tab/>
        <w:t>- für Gruppenversicherung und für außergesetzliche Alters- und Todesfallversicherung (siehe Nr. 2.2 Punkt A Buchstabe c)),</w:t>
      </w:r>
    </w:p>
    <w:p w14:paraId="350C6A1D" w14:textId="77777777" w:rsidR="007A5656" w:rsidRPr="00A21F71" w:rsidRDefault="007A5656" w:rsidP="007A5656">
      <w:pPr>
        <w:jc w:val="both"/>
        <w:rPr>
          <w:rFonts w:eastAsia="Calibri"/>
          <w:lang w:eastAsia="de-DE" w:bidi="de-DE"/>
        </w:rPr>
      </w:pPr>
    </w:p>
    <w:p w14:paraId="384FB426" w14:textId="77777777" w:rsidR="007A5656" w:rsidRPr="00A21F71" w:rsidRDefault="007A5656" w:rsidP="007A5656">
      <w:pPr>
        <w:jc w:val="both"/>
        <w:rPr>
          <w:rFonts w:eastAsia="Calibri"/>
          <w:lang w:eastAsia="de-DE" w:bidi="de-DE"/>
        </w:rPr>
      </w:pPr>
      <w:r w:rsidRPr="00A21F71">
        <w:rPr>
          <w:rFonts w:eastAsia="Calibri"/>
          <w:lang w:eastAsia="de-DE" w:bidi="de-DE"/>
        </w:rPr>
        <w:tab/>
        <w:t>- für Entlohnungen von Arbeitnehmern mit niedrigem oder mittlerem Einkommen, die Anspruch auf einen erhöhten Steuerfreibetrag haben (siehe Nr. 2.2 Punkt A Buchstabe e)),</w:t>
      </w:r>
    </w:p>
    <w:p w14:paraId="64BEF8EF" w14:textId="77777777" w:rsidR="007A5656" w:rsidRPr="00A21F71" w:rsidRDefault="007A5656" w:rsidP="007A5656">
      <w:pPr>
        <w:jc w:val="both"/>
        <w:rPr>
          <w:rFonts w:eastAsia="Calibri"/>
          <w:lang w:eastAsia="de-DE" w:bidi="de-DE"/>
        </w:rPr>
      </w:pPr>
    </w:p>
    <w:p w14:paraId="0D60CE95" w14:textId="77777777" w:rsidR="007A5656" w:rsidRPr="00A21F71" w:rsidRDefault="007A5656" w:rsidP="007A5656">
      <w:pPr>
        <w:jc w:val="both"/>
        <w:rPr>
          <w:rFonts w:eastAsia="Calibri"/>
          <w:lang w:eastAsia="de-DE" w:bidi="de-DE"/>
        </w:rPr>
      </w:pPr>
      <w:r w:rsidRPr="00A21F71">
        <w:rPr>
          <w:rFonts w:eastAsia="Calibri"/>
          <w:lang w:eastAsia="de-DE" w:bidi="de-DE"/>
        </w:rPr>
        <w:tab/>
        <w:t>- für Entlohnungen von natürlichen Personen mit niedrigem Einkommen, die anders als aufgrund eines Arbeitsvertrags im öffentlichen Sektor Arbeitsleistungen erbringen (siehe Nr. 2.2 Punkt A Buchstabe f)),</w:t>
      </w:r>
    </w:p>
    <w:p w14:paraId="55E1D0DE" w14:textId="77777777" w:rsidR="007A5656" w:rsidRPr="00A21F71" w:rsidRDefault="007A5656" w:rsidP="007A5656">
      <w:pPr>
        <w:jc w:val="both"/>
        <w:rPr>
          <w:rFonts w:eastAsia="Calibri"/>
          <w:lang w:eastAsia="de-DE" w:bidi="de-DE"/>
        </w:rPr>
      </w:pPr>
    </w:p>
    <w:p w14:paraId="5316AAF7" w14:textId="77777777" w:rsidR="007A5656" w:rsidRPr="00A21F71" w:rsidRDefault="007A5656" w:rsidP="007A5656">
      <w:pPr>
        <w:jc w:val="both"/>
        <w:rPr>
          <w:rFonts w:eastAsia="Calibri"/>
          <w:lang w:eastAsia="de-DE" w:bidi="de-DE"/>
        </w:rPr>
      </w:pPr>
      <w:r w:rsidRPr="00A21F71">
        <w:rPr>
          <w:rFonts w:eastAsia="Calibri"/>
          <w:lang w:eastAsia="de-DE" w:bidi="de-DE"/>
        </w:rPr>
        <w:tab/>
        <w:t>- für Entlohnungen von Arbeitnehmern mit niedrigem Einkommen, die Anspruch auf einen Arbeitsbonus haben (siehe Nr. 2.2 Punkt A Buchstabe g)).</w:t>
      </w:r>
    </w:p>
    <w:p w14:paraId="5199E792" w14:textId="77777777" w:rsidR="004F7E47" w:rsidRDefault="004F7E47" w:rsidP="007A5656">
      <w:pPr>
        <w:jc w:val="both"/>
        <w:rPr>
          <w:rFonts w:eastAsia="Calibri"/>
          <w:lang w:eastAsia="de-DE" w:bidi="de-DE"/>
        </w:rPr>
      </w:pPr>
    </w:p>
    <w:p w14:paraId="27A9A92A" w14:textId="2EE9922F" w:rsidR="007A5656" w:rsidRPr="00A21F71" w:rsidRDefault="007A5656" w:rsidP="007A5656">
      <w:pPr>
        <w:jc w:val="both"/>
        <w:rPr>
          <w:rFonts w:eastAsia="Calibri"/>
          <w:i/>
          <w:lang w:eastAsia="de-DE" w:bidi="de-DE"/>
        </w:rPr>
      </w:pPr>
      <w:r w:rsidRPr="00A21F71">
        <w:rPr>
          <w:rFonts w:eastAsia="Calibri"/>
          <w:lang w:eastAsia="de-DE" w:bidi="de-DE"/>
        </w:rPr>
        <w:tab/>
      </w:r>
      <w:r w:rsidRPr="00A21F71">
        <w:rPr>
          <w:rFonts w:eastAsia="Calibri"/>
          <w:i/>
          <w:lang w:eastAsia="de-DE" w:bidi="de-DE"/>
        </w:rPr>
        <w:t>2. Entlohnungen anderer Gebietsfremder:</w:t>
      </w:r>
    </w:p>
    <w:p w14:paraId="32CB6529" w14:textId="77777777" w:rsidR="007A5656" w:rsidRPr="00A21F71" w:rsidRDefault="007A5656" w:rsidP="007A5656">
      <w:pPr>
        <w:jc w:val="both"/>
        <w:rPr>
          <w:rFonts w:eastAsia="Calibri"/>
          <w:lang w:eastAsia="de-DE" w:bidi="de-DE"/>
        </w:rPr>
      </w:pPr>
    </w:p>
    <w:p w14:paraId="3FF49283" w14:textId="77777777" w:rsidR="007A5656" w:rsidRPr="00A21F71" w:rsidRDefault="007A5656" w:rsidP="007A5656">
      <w:pPr>
        <w:jc w:val="both"/>
        <w:rPr>
          <w:rFonts w:eastAsia="Calibri"/>
          <w:lang w:eastAsia="de-DE" w:bidi="de-DE"/>
        </w:rPr>
      </w:pPr>
      <w:r w:rsidRPr="00A21F71">
        <w:rPr>
          <w:rFonts w:eastAsia="Calibri"/>
          <w:lang w:eastAsia="de-DE" w:bidi="de-DE"/>
        </w:rPr>
        <w:tab/>
        <w:t>Die Differenz zwischen dem</w:t>
      </w:r>
      <w:r>
        <w:rPr>
          <w:rFonts w:eastAsia="Calibri"/>
          <w:lang w:eastAsia="de-DE" w:bidi="de-DE"/>
        </w:rPr>
        <w:t xml:space="preserve"> monatlichen Einkommen und 1.605</w:t>
      </w:r>
      <w:r w:rsidRPr="00A21F71">
        <w:rPr>
          <w:rFonts w:eastAsia="Calibri"/>
          <w:lang w:eastAsia="de-DE" w:bidi="de-DE"/>
        </w:rPr>
        <w:t> EUR wird auf das untere Vielfache von 15 EUR abgerundet und der Berufssteuervorabzug darauf wird dann gemäß Tabelle III berechnet.</w:t>
      </w:r>
    </w:p>
    <w:p w14:paraId="24A58368" w14:textId="77777777" w:rsidR="007A5656" w:rsidRPr="00A21F71" w:rsidRDefault="007A5656" w:rsidP="007A5656">
      <w:pPr>
        <w:jc w:val="both"/>
        <w:rPr>
          <w:rFonts w:eastAsia="Calibri"/>
          <w:lang w:eastAsia="de-DE" w:bidi="de-DE"/>
        </w:rPr>
      </w:pPr>
    </w:p>
    <w:p w14:paraId="7CAF021F" w14:textId="77777777" w:rsidR="007A5656" w:rsidRPr="00A21F71" w:rsidRDefault="007A5656" w:rsidP="007A5656">
      <w:pPr>
        <w:jc w:val="both"/>
        <w:rPr>
          <w:rFonts w:eastAsia="Calibri"/>
          <w:lang w:eastAsia="de-DE" w:bidi="de-DE"/>
        </w:rPr>
      </w:pPr>
      <w:r w:rsidRPr="00A21F71">
        <w:rPr>
          <w:rFonts w:eastAsia="Calibri"/>
          <w:lang w:eastAsia="de-DE" w:bidi="de-DE"/>
        </w:rPr>
        <w:tab/>
        <w:t>c) Der geschuldete Berufssteuervorabzug entspricht a + b.</w:t>
      </w:r>
    </w:p>
    <w:p w14:paraId="60F15B31" w14:textId="77777777" w:rsidR="007A5656" w:rsidRPr="00A21F71" w:rsidRDefault="007A5656" w:rsidP="007A5656">
      <w:pPr>
        <w:jc w:val="both"/>
        <w:rPr>
          <w:rFonts w:eastAsia="Calibri"/>
          <w:lang w:eastAsia="de-DE" w:bidi="de-DE"/>
        </w:rPr>
      </w:pPr>
    </w:p>
    <w:p w14:paraId="2644516D" w14:textId="77777777" w:rsidR="007A5656" w:rsidRPr="00A21F71" w:rsidRDefault="007A5656" w:rsidP="007A5656">
      <w:pPr>
        <w:jc w:val="both"/>
        <w:rPr>
          <w:rFonts w:eastAsia="Calibri"/>
          <w:lang w:eastAsia="de-DE" w:bidi="de-DE"/>
        </w:rPr>
      </w:pPr>
    </w:p>
    <w:p w14:paraId="25F48848" w14:textId="77777777" w:rsidR="007A5656" w:rsidRPr="00A21F71" w:rsidRDefault="007A5656" w:rsidP="007A5656">
      <w:pPr>
        <w:jc w:val="center"/>
        <w:rPr>
          <w:rFonts w:eastAsia="Calibri"/>
          <w:lang w:eastAsia="de-DE" w:bidi="de-DE"/>
        </w:rPr>
      </w:pPr>
      <w:r w:rsidRPr="00A21F71">
        <w:rPr>
          <w:rFonts w:eastAsia="Calibri"/>
          <w:lang w:eastAsia="de-DE" w:bidi="de-DE"/>
        </w:rPr>
        <w:t xml:space="preserve">7. KAPITEL 7 - </w:t>
      </w:r>
      <w:r w:rsidRPr="00A21F71">
        <w:rPr>
          <w:rFonts w:eastAsia="Calibri"/>
          <w:i/>
          <w:lang w:eastAsia="de-DE" w:bidi="de-DE"/>
        </w:rPr>
        <w:t>Verschiedenes</w:t>
      </w:r>
    </w:p>
    <w:p w14:paraId="311D0926" w14:textId="77777777" w:rsidR="007A5656" w:rsidRPr="00A21F71" w:rsidRDefault="007A5656" w:rsidP="007A5656">
      <w:pPr>
        <w:jc w:val="both"/>
        <w:rPr>
          <w:rFonts w:eastAsia="Calibri"/>
          <w:lang w:eastAsia="de-DE" w:bidi="de-DE"/>
        </w:rPr>
      </w:pPr>
    </w:p>
    <w:p w14:paraId="41F4CC39" w14:textId="77777777" w:rsidR="007A5656" w:rsidRPr="00A21F71" w:rsidRDefault="007A5656" w:rsidP="007A5656">
      <w:pPr>
        <w:jc w:val="both"/>
        <w:rPr>
          <w:rFonts w:eastAsia="Calibri"/>
          <w:lang w:eastAsia="de-DE" w:bidi="de-DE"/>
        </w:rPr>
      </w:pPr>
    </w:p>
    <w:p w14:paraId="674B833E" w14:textId="77777777" w:rsidR="007A5656" w:rsidRPr="00A21F71" w:rsidRDefault="007A5656" w:rsidP="007A5656">
      <w:pPr>
        <w:jc w:val="center"/>
        <w:rPr>
          <w:rFonts w:eastAsia="Calibri"/>
          <w:lang w:eastAsia="de-DE" w:bidi="de-DE"/>
        </w:rPr>
      </w:pPr>
      <w:r w:rsidRPr="00A21F71">
        <w:rPr>
          <w:rFonts w:eastAsia="Calibri"/>
          <w:i/>
          <w:lang w:eastAsia="de-DE" w:bidi="de-DE"/>
        </w:rPr>
        <w:t>Abschnitt 1</w:t>
      </w:r>
      <w:r w:rsidRPr="00A21F71">
        <w:rPr>
          <w:rFonts w:eastAsia="Calibri"/>
          <w:lang w:eastAsia="de-DE" w:bidi="de-DE"/>
        </w:rPr>
        <w:t> - Anwesenheitsgelder</w:t>
      </w:r>
    </w:p>
    <w:p w14:paraId="56F6C7E0" w14:textId="77777777" w:rsidR="007A5656" w:rsidRPr="00A21F71" w:rsidRDefault="007A5656" w:rsidP="007A5656">
      <w:pPr>
        <w:jc w:val="both"/>
        <w:rPr>
          <w:rFonts w:eastAsia="Calibri"/>
          <w:lang w:eastAsia="de-DE" w:bidi="de-DE"/>
        </w:rPr>
      </w:pPr>
    </w:p>
    <w:p w14:paraId="545EBADC" w14:textId="77777777" w:rsidR="007A5656" w:rsidRPr="00A21F71" w:rsidRDefault="007A5656" w:rsidP="007A5656">
      <w:pPr>
        <w:jc w:val="both"/>
        <w:rPr>
          <w:rFonts w:eastAsia="Calibri"/>
          <w:lang w:eastAsia="de-DE" w:bidi="de-DE"/>
        </w:rPr>
      </w:pPr>
    </w:p>
    <w:p w14:paraId="513365A2" w14:textId="77777777" w:rsidR="007A5656" w:rsidRPr="00A21F71" w:rsidRDefault="007A5656" w:rsidP="007A5656">
      <w:pPr>
        <w:jc w:val="both"/>
        <w:rPr>
          <w:rFonts w:eastAsia="Calibri"/>
          <w:lang w:eastAsia="de-DE" w:bidi="de-DE"/>
        </w:rPr>
      </w:pPr>
      <w:r w:rsidRPr="00A21F71">
        <w:rPr>
          <w:rFonts w:eastAsia="Calibri"/>
          <w:lang w:eastAsia="de-DE" w:bidi="de-DE"/>
        </w:rPr>
        <w:tab/>
        <w:t>7.1 Anwesenheitsgelder, die in Artikel 23 § 1 Nr. 2 des Einkommensteuergesetz</w:t>
      </w:r>
      <w:r w:rsidRPr="00A21F71">
        <w:rPr>
          <w:rFonts w:eastAsia="Calibri"/>
          <w:lang w:eastAsia="de-DE" w:bidi="de-DE"/>
        </w:rPr>
        <w:softHyphen/>
        <w:t>buches 1992 erwähnte Profite darstellen</w:t>
      </w:r>
    </w:p>
    <w:p w14:paraId="3BCEDE47" w14:textId="77777777" w:rsidR="007A5656" w:rsidRPr="00A21F71" w:rsidRDefault="007A5656" w:rsidP="007A5656">
      <w:pPr>
        <w:jc w:val="both"/>
        <w:rPr>
          <w:rFonts w:eastAsia="Calibri"/>
          <w:lang w:eastAsia="de-DE" w:bidi="de-DE"/>
        </w:rPr>
      </w:pPr>
    </w:p>
    <w:p w14:paraId="0A322F40" w14:textId="77777777" w:rsidR="007A5656" w:rsidRPr="00A21F71" w:rsidRDefault="007A5656" w:rsidP="007A5656">
      <w:pPr>
        <w:jc w:val="both"/>
        <w:rPr>
          <w:rFonts w:eastAsia="Calibri"/>
          <w:lang w:eastAsia="de-DE" w:bidi="de-DE"/>
        </w:rPr>
      </w:pPr>
      <w:r w:rsidRPr="00A21F71">
        <w:rPr>
          <w:rFonts w:eastAsia="Calibri"/>
          <w:lang w:eastAsia="de-DE" w:bidi="de-DE"/>
        </w:rPr>
        <w:tab/>
        <w:t>Anwesenheitsgelder, die Personen gezahlt oder zuerkannt werden, für die diese Anwesenheitsgelder in Artikel 23 § 1 Nr. 2 des Einkommensteuergesetzbuches 1992 erwähnte Profite darstellen (Mitglieder von Provinzial- und Gemeinderäten, Agglomerations</w:t>
      </w:r>
      <w:r w:rsidRPr="00A21F71">
        <w:rPr>
          <w:rFonts w:eastAsia="Calibri"/>
          <w:lang w:eastAsia="de-DE" w:bidi="de-DE"/>
        </w:rPr>
        <w:softHyphen/>
        <w:t>räten, Sozialhilferäten, geschäftsführenden Ausschüssen öffentlicher Einrichtungen usw.), unterliegen für ihren Bruttobetrag dem Berufssteuervorabzug zu dem in Nr. 2.17 angegebenen Satz.</w:t>
      </w:r>
    </w:p>
    <w:p w14:paraId="424B5B7A" w14:textId="77777777" w:rsidR="007A5656" w:rsidRDefault="007A5656" w:rsidP="007A5656">
      <w:pPr>
        <w:jc w:val="both"/>
        <w:rPr>
          <w:rFonts w:eastAsia="Calibri"/>
          <w:lang w:eastAsia="de-DE" w:bidi="de-DE"/>
        </w:rPr>
      </w:pPr>
    </w:p>
    <w:p w14:paraId="60013E1F" w14:textId="77777777" w:rsidR="00B86FD1" w:rsidRDefault="00B86FD1" w:rsidP="007A5656">
      <w:pPr>
        <w:jc w:val="both"/>
        <w:rPr>
          <w:rFonts w:eastAsia="Calibri"/>
          <w:lang w:eastAsia="de-DE" w:bidi="de-DE"/>
        </w:rPr>
      </w:pPr>
    </w:p>
    <w:p w14:paraId="2AB90D32" w14:textId="77777777" w:rsidR="00B86FD1" w:rsidRPr="00605F14" w:rsidRDefault="00B86FD1" w:rsidP="00B86FD1">
      <w:pPr>
        <w:ind w:firstLine="708"/>
        <w:jc w:val="center"/>
      </w:pPr>
      <w:r>
        <w:rPr>
          <w:rFonts w:eastAsia="Calibri"/>
          <w:lang w:eastAsia="de-DE" w:bidi="de-DE"/>
        </w:rPr>
        <w:t>[</w:t>
      </w:r>
      <w:r w:rsidRPr="00B86FD1">
        <w:rPr>
          <w:i/>
        </w:rPr>
        <w:t>Abschnitt 1/1</w:t>
      </w:r>
      <w:r>
        <w:t> - Einkünfte wie in Artikel 90 Absatz 1 Nr. 1</w:t>
      </w:r>
      <w:r>
        <w:rPr>
          <w:i/>
        </w:rPr>
        <w:t>bis</w:t>
      </w:r>
      <w:r>
        <w:t xml:space="preserve"> des Einkommensteuer</w:t>
      </w:r>
      <w:r>
        <w:softHyphen/>
        <w:t>gesetzbuches 1992 erwähnt</w:t>
      </w:r>
    </w:p>
    <w:p w14:paraId="183BFA27" w14:textId="77777777" w:rsidR="00B86FD1" w:rsidRDefault="00B86FD1" w:rsidP="00B86FD1"/>
    <w:p w14:paraId="4FF86C7B" w14:textId="77777777" w:rsidR="00B86FD1" w:rsidRPr="00605F14" w:rsidRDefault="00B86FD1" w:rsidP="00B86FD1">
      <w:pPr>
        <w:ind w:firstLine="708"/>
      </w:pPr>
      <w:r>
        <w:t>7.1/1 Erhebungsgrundlage und Satz</w:t>
      </w:r>
    </w:p>
    <w:p w14:paraId="08667B03" w14:textId="77777777" w:rsidR="00B86FD1" w:rsidRDefault="00B86FD1" w:rsidP="00B86FD1"/>
    <w:p w14:paraId="5E89CAC6" w14:textId="77777777" w:rsidR="00B86FD1" w:rsidRPr="00605F14" w:rsidRDefault="00B86FD1" w:rsidP="00B86FD1">
      <w:pPr>
        <w:ind w:firstLine="708"/>
      </w:pPr>
      <w:r>
        <w:t>Der Berufssteuervorabzug beträgt 10 Prozent des Bruttobetrags, das heißt des Betrags, der durch oder über die Plattform tatsächlich gezahlt oder zuerkannt worden ist, erhöht um die durch oder über die Plattform einbehaltenen Summen.</w:t>
      </w:r>
    </w:p>
    <w:p w14:paraId="6734FFF8" w14:textId="77777777" w:rsidR="00B86FD1" w:rsidRDefault="00B86FD1" w:rsidP="00B86FD1"/>
    <w:p w14:paraId="774CB877" w14:textId="77777777" w:rsidR="00B86FD1" w:rsidRDefault="00B86FD1" w:rsidP="00B86FD1">
      <w:pPr>
        <w:ind w:firstLine="708"/>
        <w:jc w:val="both"/>
        <w:rPr>
          <w:rFonts w:eastAsia="Calibri"/>
          <w:lang w:eastAsia="de-DE" w:bidi="de-DE"/>
        </w:rPr>
      </w:pPr>
      <w:r>
        <w:t>Wird eine Gesamtentschädigung gefordert, die sich sowohl auf Dienste bezieht, die Einkünfte erzeugen, die gemäß den Artikeln 7, 17 oder 90 Absatz 1 Nr. 5 des Einkommen</w:t>
      </w:r>
      <w:r>
        <w:softHyphen/>
        <w:t>steuergesetzbuches 1992 der Steuer unterliegen, als auch auf Dienste, die Einkünfte erzeugen, die gemäß Artikel 90 Absatz 1 Nr. 1</w:t>
      </w:r>
      <w:r>
        <w:rPr>
          <w:i/>
        </w:rPr>
        <w:t>bis</w:t>
      </w:r>
      <w:r>
        <w:t xml:space="preserve"> desselben Gesetzbuches der Steuer unterliegen, und ist in der Vereinbarung kein separater Preis für letztgenannte Dienste vorgesehen, beträgt der Berufssteuervorabzug 2 Prozent des Bruttobetrags.</w:t>
      </w:r>
      <w:r>
        <w:rPr>
          <w:rFonts w:eastAsia="Calibri"/>
          <w:lang w:eastAsia="de-DE" w:bidi="de-DE"/>
        </w:rPr>
        <w:t>]</w:t>
      </w:r>
    </w:p>
    <w:p w14:paraId="554D923C" w14:textId="77777777" w:rsidR="00B86FD1" w:rsidRPr="00A21F71" w:rsidRDefault="00B86FD1" w:rsidP="00B86FD1">
      <w:pPr>
        <w:ind w:firstLine="708"/>
        <w:jc w:val="both"/>
        <w:rPr>
          <w:rFonts w:eastAsia="Calibri"/>
          <w:lang w:eastAsia="de-DE" w:bidi="de-DE"/>
        </w:rPr>
      </w:pPr>
    </w:p>
    <w:p w14:paraId="5BD585B7" w14:textId="1855A55B" w:rsidR="00B86FD1" w:rsidRDefault="00B86FD1">
      <w:pPr>
        <w:rPr>
          <w:rFonts w:eastAsia="Calibri"/>
          <w:i/>
          <w:lang w:eastAsia="de-DE" w:bidi="de-DE"/>
        </w:rPr>
      </w:pPr>
    </w:p>
    <w:p w14:paraId="29779D2A" w14:textId="77777777" w:rsidR="007A5656" w:rsidRPr="00A21F71" w:rsidRDefault="007A5656" w:rsidP="007A5656">
      <w:pPr>
        <w:jc w:val="center"/>
        <w:rPr>
          <w:rFonts w:eastAsia="Calibri"/>
          <w:lang w:eastAsia="de-DE" w:bidi="de-DE"/>
        </w:rPr>
      </w:pPr>
      <w:r w:rsidRPr="00A21F71">
        <w:rPr>
          <w:rFonts w:eastAsia="Calibri"/>
          <w:i/>
          <w:lang w:eastAsia="de-DE" w:bidi="de-DE"/>
        </w:rPr>
        <w:t>Abschnitt 2</w:t>
      </w:r>
      <w:r w:rsidRPr="00A21F71">
        <w:rPr>
          <w:rFonts w:eastAsia="Calibri"/>
          <w:lang w:eastAsia="de-DE" w:bidi="de-DE"/>
        </w:rPr>
        <w:t xml:space="preserve"> - Preise, Zuschüsse, Renten oder Pensionen wie in Artikel 90 </w:t>
      </w:r>
      <w:r w:rsidRPr="00B32C91">
        <w:rPr>
          <w:rFonts w:eastAsia="Calibri"/>
          <w:lang w:eastAsia="de-DE" w:bidi="de-DE"/>
        </w:rPr>
        <w:t>Absatz 1</w:t>
      </w:r>
      <w:r>
        <w:rPr>
          <w:rFonts w:eastAsia="Calibri"/>
          <w:lang w:eastAsia="de-DE" w:bidi="de-DE"/>
        </w:rPr>
        <w:t xml:space="preserve"> </w:t>
      </w:r>
      <w:r w:rsidRPr="00A21F71">
        <w:rPr>
          <w:rFonts w:eastAsia="Calibri"/>
          <w:lang w:eastAsia="de-DE" w:bidi="de-DE"/>
        </w:rPr>
        <w:t>Nr. 2 des Einkommensteuergesetzbuches 1992 erwähnt</w:t>
      </w:r>
    </w:p>
    <w:p w14:paraId="6CD52C5F" w14:textId="77777777" w:rsidR="007A5656" w:rsidRPr="00A21F71" w:rsidRDefault="007A5656" w:rsidP="007A5656">
      <w:pPr>
        <w:jc w:val="both"/>
        <w:rPr>
          <w:rFonts w:eastAsia="Calibri"/>
          <w:lang w:eastAsia="de-DE" w:bidi="de-DE"/>
        </w:rPr>
      </w:pPr>
    </w:p>
    <w:p w14:paraId="491429BA" w14:textId="77777777" w:rsidR="007A5656" w:rsidRPr="00A21F71" w:rsidRDefault="007A5656" w:rsidP="007A5656">
      <w:pPr>
        <w:jc w:val="both"/>
        <w:rPr>
          <w:rFonts w:eastAsia="Calibri"/>
          <w:lang w:eastAsia="de-DE" w:bidi="de-DE"/>
        </w:rPr>
      </w:pPr>
    </w:p>
    <w:p w14:paraId="2591B018" w14:textId="77777777" w:rsidR="007A5656" w:rsidRPr="00A21F71" w:rsidRDefault="007A5656" w:rsidP="007A5656">
      <w:pPr>
        <w:jc w:val="both"/>
        <w:rPr>
          <w:rFonts w:eastAsia="Calibri"/>
          <w:lang w:eastAsia="de-DE" w:bidi="de-DE"/>
        </w:rPr>
      </w:pPr>
      <w:r w:rsidRPr="00A21F71">
        <w:rPr>
          <w:rFonts w:eastAsia="Calibri"/>
          <w:lang w:eastAsia="de-DE" w:bidi="de-DE"/>
        </w:rPr>
        <w:tab/>
        <w:t>7.2 Erhebungsgrundlage und Satz</w:t>
      </w:r>
    </w:p>
    <w:p w14:paraId="611D554B" w14:textId="77777777" w:rsidR="007A5656" w:rsidRPr="00A21F71" w:rsidRDefault="007A5656" w:rsidP="007A5656">
      <w:pPr>
        <w:jc w:val="both"/>
        <w:rPr>
          <w:rFonts w:eastAsia="Calibri"/>
          <w:lang w:eastAsia="de-DE" w:bidi="de-DE"/>
        </w:rPr>
      </w:pPr>
    </w:p>
    <w:p w14:paraId="3D5E1083" w14:textId="77777777" w:rsidR="007A5656" w:rsidRPr="00A21F71" w:rsidRDefault="007A5656" w:rsidP="007A5656">
      <w:pPr>
        <w:jc w:val="both"/>
        <w:rPr>
          <w:rFonts w:eastAsia="Calibri"/>
          <w:lang w:eastAsia="de-DE" w:bidi="de-DE"/>
        </w:rPr>
      </w:pPr>
      <w:r w:rsidRPr="00A21F71">
        <w:rPr>
          <w:rFonts w:eastAsia="Calibri"/>
          <w:lang w:eastAsia="de-DE" w:bidi="de-DE"/>
        </w:rPr>
        <w:tab/>
        <w:t>Der Berufssteuervorabzug beträgt 18,17 Prozent des Bruttobetrags der Preise, Zuschüsse, Renten oder Pensionen, die Wissenschaftlern, Schriftstellern oder Künstlern in Belgien von belgischen oder ausländischen öffentlichen Behörden oder öffentlichen Einrichtungen ohne Gewinnerzielungsabsicht gezahlt oder zuerkannt werden, ausschließlich der Summen, die als Entlohnungen für erbrachte Leistungen gezahlt oder zuerkannt werden und Berufseinkünfte darstellen.</w:t>
      </w:r>
    </w:p>
    <w:p w14:paraId="5CAC4B81" w14:textId="77777777" w:rsidR="007A5656" w:rsidRPr="00A21F71" w:rsidRDefault="007A5656" w:rsidP="007A5656">
      <w:pPr>
        <w:jc w:val="both"/>
        <w:rPr>
          <w:rFonts w:eastAsia="Calibri"/>
          <w:lang w:eastAsia="de-DE" w:bidi="de-DE"/>
        </w:rPr>
      </w:pPr>
    </w:p>
    <w:p w14:paraId="58D96C81" w14:textId="77777777" w:rsidR="007A5656" w:rsidRPr="00A21F71" w:rsidRDefault="007A5656" w:rsidP="007A5656">
      <w:pPr>
        <w:jc w:val="both"/>
        <w:rPr>
          <w:rFonts w:eastAsia="Calibri"/>
          <w:lang w:eastAsia="de-DE" w:bidi="de-DE"/>
        </w:rPr>
      </w:pPr>
      <w:r w:rsidRPr="00A21F71">
        <w:rPr>
          <w:rFonts w:eastAsia="Calibri"/>
          <w:lang w:eastAsia="de-DE" w:bidi="de-DE"/>
        </w:rPr>
        <w:tab/>
        <w:t>Jedoch beträgt der Berufssteuervorabzug 26,75 Prozent des Bruttobetrags der Preise, Zuschüsse, Renten oder Pensionen, die gebietsfremden Wissenschaftlern, Schriftstellern oder Künstlern von belgischen öffentlichen Behörden oder öffentlichen Einrichtungen gezahlt oder zuerkannt werden, ausschließlich der Summen, die als Entlohnungen für erbrachte Leistungen gezahlt oder zuerkannt werden und Berufseinkünfte darstellen.</w:t>
      </w:r>
    </w:p>
    <w:p w14:paraId="28246622" w14:textId="77777777" w:rsidR="007A5656" w:rsidRPr="00A21F71" w:rsidRDefault="007A5656" w:rsidP="007A5656">
      <w:pPr>
        <w:jc w:val="both"/>
        <w:rPr>
          <w:rFonts w:eastAsia="Calibri"/>
          <w:lang w:eastAsia="de-DE" w:bidi="de-DE"/>
        </w:rPr>
      </w:pPr>
    </w:p>
    <w:p w14:paraId="176EF4F4" w14:textId="77777777" w:rsidR="007A5656" w:rsidRPr="00A21F71" w:rsidRDefault="007A5656" w:rsidP="007A5656">
      <w:pPr>
        <w:jc w:val="both"/>
        <w:rPr>
          <w:rFonts w:eastAsia="Calibri"/>
          <w:lang w:eastAsia="de-DE" w:bidi="de-DE"/>
        </w:rPr>
      </w:pPr>
      <w:r w:rsidRPr="00A21F71">
        <w:rPr>
          <w:rFonts w:eastAsia="Calibri"/>
          <w:lang w:eastAsia="de-DE" w:bidi="de-DE"/>
        </w:rPr>
        <w:tab/>
        <w:t>7.3 Befreiung</w:t>
      </w:r>
    </w:p>
    <w:p w14:paraId="16B7FCE0" w14:textId="77777777" w:rsidR="007A5656" w:rsidRPr="00A21F71" w:rsidRDefault="007A5656" w:rsidP="007A5656">
      <w:pPr>
        <w:jc w:val="both"/>
        <w:rPr>
          <w:rFonts w:eastAsia="Calibri"/>
          <w:lang w:eastAsia="de-DE" w:bidi="de-DE"/>
        </w:rPr>
      </w:pPr>
    </w:p>
    <w:p w14:paraId="2B6CD4C0" w14:textId="77777777" w:rsidR="007A5656" w:rsidRPr="00A21F71" w:rsidRDefault="007A5656" w:rsidP="007A5656">
      <w:pPr>
        <w:jc w:val="both"/>
        <w:rPr>
          <w:rFonts w:eastAsia="Calibri"/>
          <w:lang w:eastAsia="de-DE" w:bidi="de-DE"/>
        </w:rPr>
      </w:pPr>
      <w:r w:rsidRPr="00A21F71">
        <w:rPr>
          <w:rFonts w:eastAsia="Calibri"/>
          <w:lang w:eastAsia="de-DE" w:bidi="de-DE"/>
        </w:rPr>
        <w:tab/>
        <w:t>Für Preise und Zuschüsse, die im Laufe von zwei Jahren gezahlt oder zuerkannt werden, wird auf den ersten Teilbetrag von 3.</w:t>
      </w:r>
      <w:r>
        <w:rPr>
          <w:rFonts w:eastAsia="Calibri"/>
          <w:lang w:eastAsia="de-DE" w:bidi="de-DE"/>
        </w:rPr>
        <w:t>92</w:t>
      </w:r>
      <w:r w:rsidRPr="00A21F71">
        <w:rPr>
          <w:rFonts w:eastAsia="Calibri"/>
          <w:lang w:eastAsia="de-DE" w:bidi="de-DE"/>
        </w:rPr>
        <w:t>0 EUR kein Berufssteuervorabzug geschuldet.</w:t>
      </w:r>
    </w:p>
    <w:p w14:paraId="092A8625" w14:textId="77777777" w:rsidR="007A5656" w:rsidRPr="00A21F71" w:rsidRDefault="007A5656" w:rsidP="007A5656">
      <w:pPr>
        <w:rPr>
          <w:rFonts w:eastAsia="Calibri"/>
          <w:lang w:eastAsia="de-DE" w:bidi="de-DE"/>
        </w:rPr>
      </w:pPr>
    </w:p>
    <w:p w14:paraId="3F68FC5A" w14:textId="77777777" w:rsidR="007A5656" w:rsidRPr="00A21F71" w:rsidRDefault="007A5656" w:rsidP="007A5656">
      <w:pPr>
        <w:jc w:val="both"/>
        <w:rPr>
          <w:rFonts w:eastAsia="Calibri"/>
          <w:lang w:eastAsia="de-DE" w:bidi="de-DE"/>
        </w:rPr>
      </w:pPr>
      <w:r w:rsidRPr="00A21F71">
        <w:rPr>
          <w:rFonts w:eastAsia="Calibri"/>
          <w:lang w:eastAsia="de-DE" w:bidi="de-DE"/>
        </w:rPr>
        <w:tab/>
        <w:t>Außerdem unterliegen Preise und Zuschüsse, die aufgrund von Artikel 53 des vorliegenden Erlasses steuerfrei sind, keinem Berufssteuervorabzug.</w:t>
      </w:r>
    </w:p>
    <w:p w14:paraId="39A5EA67" w14:textId="77777777" w:rsidR="007A5656" w:rsidRPr="00A21F71" w:rsidRDefault="007A5656" w:rsidP="007A5656">
      <w:pPr>
        <w:jc w:val="both"/>
        <w:rPr>
          <w:rFonts w:eastAsia="Calibri"/>
          <w:lang w:eastAsia="de-DE" w:bidi="de-DE"/>
        </w:rPr>
      </w:pPr>
    </w:p>
    <w:p w14:paraId="2D1E45DD" w14:textId="77777777" w:rsidR="007A5656" w:rsidRPr="00A21F71" w:rsidRDefault="007A5656" w:rsidP="007A5656">
      <w:pPr>
        <w:jc w:val="both"/>
        <w:rPr>
          <w:rFonts w:eastAsia="Calibri"/>
          <w:lang w:eastAsia="de-DE" w:bidi="de-DE"/>
        </w:rPr>
      </w:pPr>
    </w:p>
    <w:p w14:paraId="7D6AFDF5" w14:textId="77777777" w:rsidR="007A5656" w:rsidRPr="00A21F71" w:rsidRDefault="007A5656" w:rsidP="007A5656">
      <w:pPr>
        <w:jc w:val="center"/>
        <w:rPr>
          <w:rFonts w:eastAsia="Calibri"/>
          <w:lang w:eastAsia="de-DE" w:bidi="de-DE"/>
        </w:rPr>
      </w:pPr>
      <w:r w:rsidRPr="00A21F71">
        <w:rPr>
          <w:rFonts w:eastAsia="Calibri"/>
          <w:i/>
          <w:lang w:eastAsia="de-DE" w:bidi="de-DE"/>
        </w:rPr>
        <w:t>Abschnitt 3</w:t>
      </w:r>
      <w:r w:rsidRPr="00A21F71">
        <w:rPr>
          <w:rFonts w:eastAsia="Calibri"/>
          <w:lang w:eastAsia="de-DE" w:bidi="de-DE"/>
        </w:rPr>
        <w:t xml:space="preserve"> - Persönliche Vergütungen wie in den Artikeln 90 </w:t>
      </w:r>
      <w:r w:rsidRPr="00B32C91">
        <w:rPr>
          <w:rFonts w:eastAsia="Calibri"/>
          <w:lang w:eastAsia="de-DE" w:bidi="de-DE"/>
        </w:rPr>
        <w:t>Absatz 1</w:t>
      </w:r>
      <w:r>
        <w:rPr>
          <w:rFonts w:eastAsia="Calibri"/>
          <w:lang w:eastAsia="de-DE" w:bidi="de-DE"/>
        </w:rPr>
        <w:t xml:space="preserve"> </w:t>
      </w:r>
      <w:r w:rsidRPr="00A21F71">
        <w:rPr>
          <w:rFonts w:eastAsia="Calibri"/>
          <w:lang w:eastAsia="de-DE" w:bidi="de-DE"/>
        </w:rPr>
        <w:t>Nr. 12 und 228 § 2 Nr. 9 Buchstabe </w:t>
      </w:r>
      <w:r w:rsidRPr="00A21F71">
        <w:rPr>
          <w:rFonts w:eastAsia="Calibri"/>
          <w:i/>
          <w:lang w:eastAsia="de-DE" w:bidi="de-DE"/>
        </w:rPr>
        <w:t>k)</w:t>
      </w:r>
      <w:r w:rsidRPr="00A21F71">
        <w:rPr>
          <w:rFonts w:eastAsia="Calibri"/>
          <w:lang w:eastAsia="de-DE" w:bidi="de-DE"/>
        </w:rPr>
        <w:t xml:space="preserve"> des Einkommensteuergesetzbuches 1992 erwähnt</w:t>
      </w:r>
    </w:p>
    <w:p w14:paraId="0C9D9592" w14:textId="77777777" w:rsidR="007A5656" w:rsidRPr="00A21F71" w:rsidRDefault="007A5656" w:rsidP="007A5656">
      <w:pPr>
        <w:jc w:val="both"/>
        <w:rPr>
          <w:rFonts w:eastAsia="Calibri"/>
          <w:lang w:eastAsia="de-DE" w:bidi="de-DE"/>
        </w:rPr>
      </w:pPr>
    </w:p>
    <w:p w14:paraId="147FB55E" w14:textId="77777777" w:rsidR="007A5656" w:rsidRPr="00A21F71" w:rsidRDefault="007A5656" w:rsidP="007A5656">
      <w:pPr>
        <w:jc w:val="both"/>
        <w:rPr>
          <w:rFonts w:eastAsia="Calibri"/>
          <w:lang w:eastAsia="de-DE" w:bidi="de-DE"/>
        </w:rPr>
      </w:pPr>
    </w:p>
    <w:p w14:paraId="025D9AE3" w14:textId="77777777" w:rsidR="007A5656" w:rsidRPr="00A21F71" w:rsidRDefault="007A5656" w:rsidP="007A5656">
      <w:pPr>
        <w:jc w:val="both"/>
        <w:rPr>
          <w:rFonts w:eastAsia="Calibri"/>
          <w:lang w:eastAsia="de-DE" w:bidi="de-DE"/>
        </w:rPr>
      </w:pPr>
      <w:r w:rsidRPr="00A21F71">
        <w:rPr>
          <w:rFonts w:eastAsia="Calibri"/>
          <w:lang w:eastAsia="de-DE" w:bidi="de-DE"/>
        </w:rPr>
        <w:tab/>
        <w:t>7.4 Erhebungsgrundlage und Satz</w:t>
      </w:r>
    </w:p>
    <w:p w14:paraId="5C0BB1BB" w14:textId="77777777" w:rsidR="007A5656" w:rsidRPr="00A21F71" w:rsidRDefault="007A5656" w:rsidP="007A5656">
      <w:pPr>
        <w:jc w:val="both"/>
        <w:rPr>
          <w:rFonts w:eastAsia="Calibri"/>
          <w:lang w:eastAsia="de-DE" w:bidi="de-DE"/>
        </w:rPr>
      </w:pPr>
    </w:p>
    <w:p w14:paraId="47AE46C6"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Der Berufssteuervorabzug beträgt 33,31 Prozent des Nettobetrags (das heißt des steuerpflichtigen Bruttobetrags, verringert um Pauschalkosten in Höhe von 10 Prozent) der persönlichen Vergütungen aus der Verwertung einer Erfindung wie in den Artikeln 90 </w:t>
      </w:r>
      <w:r w:rsidRPr="00B32C91">
        <w:rPr>
          <w:rFonts w:eastAsia="Calibri"/>
          <w:lang w:eastAsia="de-DE" w:bidi="de-DE"/>
        </w:rPr>
        <w:t>Absatz 1</w:t>
      </w:r>
      <w:r>
        <w:rPr>
          <w:rFonts w:eastAsia="Calibri"/>
          <w:lang w:eastAsia="de-DE" w:bidi="de-DE"/>
        </w:rPr>
        <w:t xml:space="preserve"> </w:t>
      </w:r>
      <w:r w:rsidRPr="00A21F71">
        <w:rPr>
          <w:rFonts w:eastAsia="Calibri"/>
          <w:lang w:eastAsia="de-DE" w:bidi="de-DE"/>
        </w:rPr>
        <w:t>Nr. 12 und 228 § 2 Nr. 9 Buchstabe </w:t>
      </w:r>
      <w:r w:rsidRPr="00A21F71">
        <w:rPr>
          <w:rFonts w:eastAsia="Calibri"/>
          <w:i/>
          <w:lang w:eastAsia="de-DE" w:bidi="de-DE"/>
        </w:rPr>
        <w:t>k)</w:t>
      </w:r>
      <w:r w:rsidRPr="00A21F71">
        <w:rPr>
          <w:rFonts w:eastAsia="Calibri"/>
          <w:lang w:eastAsia="de-DE" w:bidi="de-DE"/>
        </w:rPr>
        <w:t xml:space="preserve"> des Einkommensteuergesetzbuches 1992 erwähnt.</w:t>
      </w:r>
    </w:p>
    <w:p w14:paraId="03DE03BC" w14:textId="77777777" w:rsidR="007A5656" w:rsidRPr="00A21F71" w:rsidRDefault="007A5656" w:rsidP="007A5656">
      <w:pPr>
        <w:jc w:val="both"/>
        <w:rPr>
          <w:rFonts w:eastAsia="Calibri"/>
          <w:lang w:eastAsia="de-DE" w:bidi="de-DE"/>
        </w:rPr>
      </w:pPr>
    </w:p>
    <w:p w14:paraId="7741E2B0" w14:textId="77777777" w:rsidR="007A5656" w:rsidRPr="00A21F71" w:rsidRDefault="007A5656" w:rsidP="007A5656">
      <w:pPr>
        <w:jc w:val="both"/>
        <w:rPr>
          <w:rFonts w:eastAsia="Calibri"/>
          <w:lang w:eastAsia="de-DE" w:bidi="de-DE"/>
        </w:rPr>
      </w:pPr>
    </w:p>
    <w:p w14:paraId="35A27E43" w14:textId="77777777" w:rsidR="007A5656" w:rsidRPr="00A21F71" w:rsidRDefault="007A5656" w:rsidP="007A5656">
      <w:pPr>
        <w:jc w:val="center"/>
        <w:rPr>
          <w:rFonts w:eastAsia="Calibri"/>
          <w:lang w:eastAsia="de-DE" w:bidi="de-DE"/>
        </w:rPr>
      </w:pPr>
      <w:r w:rsidRPr="00A21F71">
        <w:rPr>
          <w:rFonts w:eastAsia="Calibri"/>
          <w:lang w:eastAsia="de-DE" w:bidi="de-DE"/>
        </w:rPr>
        <w:t xml:space="preserve">8. KAPITEL 8 - </w:t>
      </w:r>
      <w:r w:rsidRPr="00A21F71">
        <w:rPr>
          <w:rFonts w:eastAsia="Calibri"/>
          <w:i/>
          <w:lang w:eastAsia="de-DE" w:bidi="de-DE"/>
        </w:rPr>
        <w:t>Zusätzliche Einbehaltungen</w:t>
      </w:r>
    </w:p>
    <w:p w14:paraId="35D2A1CA" w14:textId="77777777" w:rsidR="007A5656" w:rsidRPr="00A21F71" w:rsidRDefault="007A5656" w:rsidP="007A5656">
      <w:pPr>
        <w:jc w:val="both"/>
        <w:rPr>
          <w:rFonts w:eastAsia="Calibri"/>
          <w:lang w:eastAsia="de-DE" w:bidi="de-DE"/>
        </w:rPr>
      </w:pPr>
    </w:p>
    <w:p w14:paraId="6C9586DD" w14:textId="77777777" w:rsidR="007A5656" w:rsidRPr="00A21F71" w:rsidRDefault="007A5656" w:rsidP="007A5656">
      <w:pPr>
        <w:jc w:val="both"/>
        <w:rPr>
          <w:rFonts w:eastAsia="Calibri"/>
          <w:lang w:eastAsia="de-DE" w:bidi="de-DE"/>
        </w:rPr>
      </w:pPr>
    </w:p>
    <w:p w14:paraId="3F63CD3D" w14:textId="77777777" w:rsidR="007A5656" w:rsidRPr="00A21F71" w:rsidRDefault="007A5656" w:rsidP="007A5656">
      <w:pPr>
        <w:jc w:val="both"/>
        <w:rPr>
          <w:rFonts w:eastAsia="Calibri"/>
          <w:lang w:eastAsia="de-DE" w:bidi="de-DE"/>
        </w:rPr>
      </w:pPr>
      <w:r w:rsidRPr="00A21F71">
        <w:rPr>
          <w:rFonts w:eastAsia="Calibri"/>
          <w:lang w:eastAsia="de-DE" w:bidi="de-DE"/>
        </w:rPr>
        <w:tab/>
        <w:t>8.1 Allgemeines</w:t>
      </w:r>
    </w:p>
    <w:p w14:paraId="72C567DC" w14:textId="77777777" w:rsidR="007A5656" w:rsidRPr="00A21F71" w:rsidRDefault="007A5656" w:rsidP="007A5656">
      <w:pPr>
        <w:jc w:val="both"/>
        <w:rPr>
          <w:rFonts w:eastAsia="Calibri"/>
          <w:lang w:eastAsia="de-DE" w:bidi="de-DE"/>
        </w:rPr>
      </w:pPr>
    </w:p>
    <w:p w14:paraId="1A2E66CC" w14:textId="77777777" w:rsidR="007A5656" w:rsidRPr="00A21F71" w:rsidRDefault="007A5656" w:rsidP="007A5656">
      <w:pPr>
        <w:jc w:val="both"/>
        <w:rPr>
          <w:rFonts w:eastAsia="Calibri"/>
          <w:lang w:eastAsia="de-DE" w:bidi="de-DE"/>
        </w:rPr>
      </w:pPr>
      <w:r w:rsidRPr="00A21F71">
        <w:rPr>
          <w:rFonts w:eastAsia="Calibri"/>
          <w:lang w:eastAsia="de-DE" w:bidi="de-DE"/>
        </w:rPr>
        <w:tab/>
        <w:t xml:space="preserve">A. Ein Schuldner des Berufssteuervorabzugs MUSS spätestens ab der ersten Zahlung während des zweiten Monats nach dem Datum des diesbezüglichen schriftlichen Antrags, den der Empfänger der Einkünfte an ihn richtet, über die in den Nummern 1.1 bis 7.4 erwähnten </w:t>
      </w:r>
      <w:r w:rsidRPr="00A21F71">
        <w:rPr>
          <w:rFonts w:eastAsia="Calibri"/>
          <w:lang w:eastAsia="de-DE" w:bidi="de-DE"/>
        </w:rPr>
        <w:lastRenderedPageBreak/>
        <w:t>Einbehaltungen hinaus zusätzliche Einbehaltungen des Berufssteuervorabzugs auf diese Einkünfte vornehmen.</w:t>
      </w:r>
    </w:p>
    <w:p w14:paraId="012A6DF7" w14:textId="77777777" w:rsidR="007A5656" w:rsidRPr="00A21F71" w:rsidRDefault="007A5656" w:rsidP="007A5656">
      <w:pPr>
        <w:jc w:val="both"/>
        <w:rPr>
          <w:rFonts w:eastAsia="Calibri"/>
          <w:lang w:eastAsia="de-DE" w:bidi="de-DE"/>
        </w:rPr>
      </w:pPr>
    </w:p>
    <w:p w14:paraId="53C945A4" w14:textId="77777777" w:rsidR="007A5656" w:rsidRPr="00A21F71" w:rsidRDefault="007A5656" w:rsidP="007A5656">
      <w:pPr>
        <w:jc w:val="both"/>
        <w:rPr>
          <w:rFonts w:eastAsia="Calibri"/>
          <w:lang w:eastAsia="de-DE" w:bidi="de-DE"/>
        </w:rPr>
      </w:pPr>
      <w:r w:rsidRPr="00A21F71">
        <w:rPr>
          <w:rFonts w:eastAsia="Calibri"/>
          <w:lang w:eastAsia="de-DE" w:bidi="de-DE"/>
        </w:rPr>
        <w:tab/>
        <w:t>Diese zusätzlichen Einbehaltungen müssen bei jeder Zahlung oder Zuerkennung von Einkünften vorgenommen werden und aus einem Festbetrag bestehen, den der Empfänger in seinem Antrag selbst vorschlägt.</w:t>
      </w:r>
    </w:p>
    <w:p w14:paraId="6B818529" w14:textId="77777777" w:rsidR="007A5656" w:rsidRPr="00A21F71" w:rsidRDefault="007A5656" w:rsidP="007A5656">
      <w:pPr>
        <w:jc w:val="both"/>
        <w:rPr>
          <w:rFonts w:eastAsia="Calibri"/>
          <w:lang w:eastAsia="de-DE" w:bidi="de-DE"/>
        </w:rPr>
      </w:pPr>
    </w:p>
    <w:p w14:paraId="62DE605E" w14:textId="77777777" w:rsidR="007A5656" w:rsidRPr="00A21F71" w:rsidRDefault="007A5656" w:rsidP="007A5656">
      <w:pPr>
        <w:jc w:val="both"/>
        <w:rPr>
          <w:rFonts w:eastAsia="Calibri"/>
          <w:lang w:eastAsia="de-DE" w:bidi="de-DE"/>
        </w:rPr>
      </w:pPr>
      <w:r w:rsidRPr="00A21F71">
        <w:rPr>
          <w:rFonts w:eastAsia="Calibri"/>
          <w:lang w:eastAsia="de-DE" w:bidi="de-DE"/>
        </w:rPr>
        <w:tab/>
        <w:t>Der Empfänger der Einkünfte ist durch vorerwähnten Antrag gebunden, bis er ihn widerruft. Ein Widerruf wird erst ab der ersten Zahlung während des dritten Monats nach diesem Widerruf wirksam.</w:t>
      </w:r>
    </w:p>
    <w:p w14:paraId="0823D456" w14:textId="77777777" w:rsidR="007A5656" w:rsidRPr="00A21F71" w:rsidRDefault="007A5656" w:rsidP="007A5656">
      <w:pPr>
        <w:jc w:val="both"/>
        <w:rPr>
          <w:rFonts w:eastAsia="Calibri"/>
          <w:lang w:eastAsia="de-DE" w:bidi="de-DE"/>
        </w:rPr>
      </w:pPr>
    </w:p>
    <w:p w14:paraId="6195A714" w14:textId="77777777" w:rsidR="007A5656" w:rsidRPr="00A21F71" w:rsidRDefault="007A5656" w:rsidP="007A5656">
      <w:pPr>
        <w:jc w:val="both"/>
        <w:rPr>
          <w:rFonts w:eastAsia="Calibri"/>
          <w:lang w:eastAsia="de-DE" w:bidi="de-DE"/>
        </w:rPr>
      </w:pPr>
      <w:r w:rsidRPr="00A21F71">
        <w:rPr>
          <w:rFonts w:eastAsia="Calibri"/>
          <w:lang w:eastAsia="de-DE" w:bidi="de-DE"/>
        </w:rPr>
        <w:tab/>
        <w:t>B. Über die in Punkt A vorgesehene Regelung hinaus DARF ein Schuldner des Berufssteuervorabzugs auf Antrag des Empfängers der Einkünfte auf die von ihm gezahlten oder zuerkannten Einkünfte höhere Beträge einbehalten als die Beträge, die gemäß den in den Nummern 1.1 bis 7.4 vorgesehenen Regeln festgelegt werden.</w:t>
      </w:r>
    </w:p>
    <w:p w14:paraId="4537A12D" w14:textId="77777777" w:rsidR="007A5656" w:rsidRPr="00A21F71" w:rsidRDefault="007A5656" w:rsidP="007A5656">
      <w:pPr>
        <w:jc w:val="both"/>
        <w:rPr>
          <w:rFonts w:eastAsia="Calibri"/>
          <w:lang w:eastAsia="de-DE" w:bidi="de-DE"/>
        </w:rPr>
      </w:pPr>
    </w:p>
    <w:p w14:paraId="022F1F4E" w14:textId="77777777" w:rsidR="007A5656" w:rsidRPr="00A21F71" w:rsidRDefault="007A5656" w:rsidP="007A5656">
      <w:pPr>
        <w:jc w:val="both"/>
        <w:rPr>
          <w:rFonts w:eastAsia="Calibri"/>
          <w:lang w:eastAsia="de-DE" w:bidi="de-DE"/>
        </w:rPr>
      </w:pPr>
      <w:r w:rsidRPr="00A21F71">
        <w:rPr>
          <w:rFonts w:eastAsia="Calibri"/>
          <w:lang w:eastAsia="de-DE" w:bidi="de-DE"/>
        </w:rPr>
        <w:tab/>
        <w:t>8.2 Berufssteuervorabzug wie in Artikel 158 des Einkommensteuergesetzbuches 1992 erwähnt</w:t>
      </w:r>
    </w:p>
    <w:p w14:paraId="64D0B2A6" w14:textId="77777777" w:rsidR="007A5656" w:rsidRPr="00A21F71" w:rsidRDefault="007A5656" w:rsidP="007A5656">
      <w:pPr>
        <w:jc w:val="both"/>
        <w:rPr>
          <w:rFonts w:eastAsia="Calibri"/>
          <w:lang w:eastAsia="de-DE" w:bidi="de-DE"/>
        </w:rPr>
      </w:pPr>
    </w:p>
    <w:p w14:paraId="356276CE" w14:textId="77777777" w:rsidR="007A5656" w:rsidRPr="00A21F71" w:rsidRDefault="007A5656" w:rsidP="007A5656">
      <w:pPr>
        <w:jc w:val="both"/>
        <w:rPr>
          <w:rFonts w:eastAsia="Calibri"/>
          <w:lang w:eastAsia="de-DE" w:bidi="de-DE"/>
        </w:rPr>
      </w:pPr>
      <w:r w:rsidRPr="00A21F71">
        <w:rPr>
          <w:rFonts w:eastAsia="Calibri"/>
          <w:lang w:eastAsia="de-DE" w:bidi="de-DE"/>
        </w:rPr>
        <w:tab/>
        <w:t>In Nr. 8.1 erwähnte zusätzliche Einbehaltungen auf die in den Nummern 3.1 bis 3.8 erwähnten Entlohnungen müssen, um für die Anwendung von Artikel 158 des Einkommensteuergesetzbuches 1992 als Berufssteuervorabzug gelten zu können:</w:t>
      </w:r>
    </w:p>
    <w:p w14:paraId="1D7487EB" w14:textId="77777777" w:rsidR="007A5656" w:rsidRPr="00A21F71" w:rsidRDefault="007A5656" w:rsidP="007A5656">
      <w:pPr>
        <w:jc w:val="both"/>
        <w:rPr>
          <w:rFonts w:eastAsia="Calibri"/>
          <w:lang w:eastAsia="de-DE" w:bidi="de-DE"/>
        </w:rPr>
      </w:pPr>
    </w:p>
    <w:p w14:paraId="1A8EF600" w14:textId="77777777" w:rsidR="007A5656" w:rsidRDefault="007A5656" w:rsidP="007A5656">
      <w:pPr>
        <w:jc w:val="both"/>
        <w:rPr>
          <w:rFonts w:eastAsia="Calibri"/>
          <w:lang w:eastAsia="de-DE" w:bidi="de-DE"/>
        </w:rPr>
      </w:pPr>
      <w:r w:rsidRPr="00A21F71">
        <w:rPr>
          <w:rFonts w:eastAsia="Calibri"/>
          <w:lang w:eastAsia="de-DE" w:bidi="de-DE"/>
        </w:rPr>
        <w:tab/>
        <w:t>a) auf alle festen und variablen Entlohnungen vorgenommen werden, die der Arbeitgeber dem Empfänger während des Jahres zahlt oder zuerkennt,</w:t>
      </w:r>
    </w:p>
    <w:p w14:paraId="7980173E" w14:textId="77777777" w:rsidR="007A5656" w:rsidRPr="00A21F71" w:rsidRDefault="007A5656" w:rsidP="007A5656">
      <w:pPr>
        <w:jc w:val="both"/>
        <w:rPr>
          <w:rFonts w:eastAsia="Calibri"/>
          <w:lang w:eastAsia="de-DE" w:bidi="de-DE"/>
        </w:rPr>
      </w:pPr>
    </w:p>
    <w:p w14:paraId="42089D09" w14:textId="77777777" w:rsidR="007A5656" w:rsidRPr="00A21F71" w:rsidRDefault="007A5656" w:rsidP="007A5656">
      <w:pPr>
        <w:jc w:val="both"/>
        <w:rPr>
          <w:rFonts w:eastAsia="Calibri"/>
          <w:lang w:eastAsia="de-DE" w:bidi="de-DE"/>
        </w:rPr>
      </w:pPr>
      <w:r w:rsidRPr="00A21F71">
        <w:rPr>
          <w:rFonts w:eastAsia="Calibri"/>
          <w:lang w:eastAsia="de-DE" w:bidi="de-DE"/>
        </w:rPr>
        <w:tab/>
        <w:t>b) dem Steuereinnehmer innerhalb der vorgegebenen Frist gezahlt werden,</w:t>
      </w:r>
    </w:p>
    <w:p w14:paraId="5F7D3151" w14:textId="77777777" w:rsidR="007A5656" w:rsidRPr="00A21F71" w:rsidRDefault="007A5656" w:rsidP="007A5656">
      <w:pPr>
        <w:jc w:val="both"/>
        <w:rPr>
          <w:rFonts w:eastAsia="Calibri"/>
          <w:lang w:eastAsia="de-DE" w:bidi="de-DE"/>
        </w:rPr>
      </w:pPr>
    </w:p>
    <w:p w14:paraId="60D9E277" w14:textId="77777777" w:rsidR="007A5656" w:rsidRPr="00A21F71" w:rsidRDefault="007A5656" w:rsidP="007A5656">
      <w:pPr>
        <w:jc w:val="both"/>
        <w:rPr>
          <w:rFonts w:eastAsia="Calibri"/>
          <w:lang w:eastAsia="de-DE" w:bidi="de-DE"/>
        </w:rPr>
      </w:pPr>
      <w:r w:rsidRPr="00A21F71">
        <w:rPr>
          <w:rFonts w:eastAsia="Calibri"/>
          <w:lang w:eastAsia="de-DE" w:bidi="de-DE"/>
        </w:rPr>
        <w:tab/>
        <w:t>c) wenn es sich um zusätzliche Einbehaltungen wie in Nr. 8.1 Punkt B erwähnt handelt, außerdem:</w:t>
      </w:r>
    </w:p>
    <w:p w14:paraId="21D1DA9B" w14:textId="77777777" w:rsidR="007A5656" w:rsidRPr="00A21F71" w:rsidRDefault="007A5656" w:rsidP="007A5656">
      <w:pPr>
        <w:jc w:val="both"/>
        <w:rPr>
          <w:rFonts w:eastAsia="Calibri"/>
          <w:lang w:eastAsia="de-DE" w:bidi="de-DE"/>
        </w:rPr>
      </w:pPr>
    </w:p>
    <w:p w14:paraId="0ABC2AF4" w14:textId="77777777" w:rsidR="007A5656" w:rsidRPr="00A21F71" w:rsidRDefault="007A5656" w:rsidP="007A5656">
      <w:pPr>
        <w:jc w:val="both"/>
        <w:rPr>
          <w:rFonts w:eastAsia="Calibri"/>
          <w:lang w:eastAsia="de-DE" w:bidi="de-DE"/>
        </w:rPr>
      </w:pPr>
      <w:r w:rsidRPr="00A21F71">
        <w:rPr>
          <w:rFonts w:eastAsia="Calibri"/>
          <w:lang w:eastAsia="de-DE" w:bidi="de-DE"/>
        </w:rPr>
        <w:tab/>
        <w:t>- entweder einen einheitlichen Teil des gemäß den Nummern 3.1 bis 3.8 berechneten Berufssteuervorabzugs darstellen</w:t>
      </w:r>
    </w:p>
    <w:p w14:paraId="6FC8806B" w14:textId="77777777" w:rsidR="007A5656" w:rsidRPr="00A21F71" w:rsidRDefault="007A5656" w:rsidP="007A5656">
      <w:pPr>
        <w:jc w:val="both"/>
        <w:rPr>
          <w:rFonts w:eastAsia="Calibri"/>
          <w:lang w:eastAsia="de-DE" w:bidi="de-DE"/>
        </w:rPr>
      </w:pPr>
    </w:p>
    <w:p w14:paraId="79F38865" w14:textId="77777777" w:rsidR="007A5656" w:rsidRPr="00A21F71" w:rsidRDefault="007A5656" w:rsidP="007A5656">
      <w:pPr>
        <w:jc w:val="both"/>
        <w:rPr>
          <w:rFonts w:eastAsia="Calibri"/>
          <w:lang w:eastAsia="de-DE" w:bidi="de-DE"/>
        </w:rPr>
      </w:pPr>
      <w:r w:rsidRPr="00A21F71">
        <w:rPr>
          <w:rFonts w:eastAsia="Calibri"/>
          <w:lang w:eastAsia="de-DE" w:bidi="de-DE"/>
        </w:rPr>
        <w:tab/>
        <w:t>- oder sich auf die Differenz zwischen dem Betrag, der für das ganze Jahr zu einem Pauschalsatz berechnet wird, und dem gemäß den Nummern 3.1 bis 3.8 berechneten Berufssteuervorabzug belaufen.</w:t>
      </w:r>
    </w:p>
    <w:p w14:paraId="0EC490E4" w14:textId="77777777" w:rsidR="007A5656" w:rsidRDefault="007A5656" w:rsidP="007A5656"/>
    <w:p w14:paraId="25F73A98" w14:textId="77777777" w:rsidR="007A5656" w:rsidRDefault="007A5656" w:rsidP="007A5656">
      <w:pPr>
        <w:sectPr w:rsidR="007A5656" w:rsidSect="00212CA2">
          <w:pgSz w:w="11906" w:h="16838"/>
          <w:pgMar w:top="1417" w:right="1417" w:bottom="1417" w:left="1417" w:header="708" w:footer="708" w:gutter="0"/>
          <w:cols w:space="708"/>
          <w:docGrid w:linePitch="360"/>
        </w:sectPr>
      </w:pPr>
    </w:p>
    <w:p w14:paraId="188FA2CD" w14:textId="77777777" w:rsidR="007A5656" w:rsidRPr="007B6642" w:rsidRDefault="007A5656" w:rsidP="007A5656">
      <w:pPr>
        <w:jc w:val="center"/>
        <w:rPr>
          <w:rFonts w:ascii="Courier New" w:hAnsi="Courier New" w:cs="Courier New"/>
          <w:sz w:val="20"/>
          <w:szCs w:val="20"/>
        </w:rPr>
      </w:pPr>
      <w:r>
        <w:rPr>
          <w:rFonts w:ascii="Courier New" w:hAnsi="Courier New"/>
          <w:sz w:val="20"/>
          <w:szCs w:val="20"/>
        </w:rPr>
        <w:lastRenderedPageBreak/>
        <w:t>TABELLE I</w:t>
      </w:r>
    </w:p>
    <w:p w14:paraId="5965542F" w14:textId="77777777" w:rsidR="007A5656" w:rsidRPr="007B6642" w:rsidRDefault="007A5656" w:rsidP="007A5656">
      <w:pPr>
        <w:jc w:val="both"/>
        <w:rPr>
          <w:rFonts w:ascii="Courier New" w:hAnsi="Courier New" w:cs="Courier New"/>
          <w:sz w:val="20"/>
          <w:szCs w:val="20"/>
        </w:rPr>
      </w:pPr>
    </w:p>
    <w:p w14:paraId="1F5B7461" w14:textId="77777777" w:rsidR="007A5656" w:rsidRPr="007B6642" w:rsidRDefault="007A5656" w:rsidP="007A5656">
      <w:pPr>
        <w:jc w:val="both"/>
        <w:rPr>
          <w:rFonts w:ascii="Courier New" w:hAnsi="Courier New" w:cs="Courier New"/>
          <w:sz w:val="20"/>
          <w:szCs w:val="20"/>
        </w:rPr>
      </w:pPr>
      <w:r>
        <w:rPr>
          <w:rFonts w:ascii="Courier New" w:hAnsi="Courier New"/>
          <w:sz w:val="20"/>
          <w:szCs w:val="20"/>
        </w:rPr>
        <w:tab/>
        <w:t>DIESE TABELLE IST ANWENDBAR:</w:t>
      </w:r>
    </w:p>
    <w:p w14:paraId="128C76E5" w14:textId="77777777" w:rsidR="007A5656" w:rsidRPr="007B6642" w:rsidRDefault="007A5656" w:rsidP="007A5656">
      <w:pPr>
        <w:jc w:val="both"/>
        <w:rPr>
          <w:rFonts w:ascii="Courier New" w:hAnsi="Courier New" w:cs="Courier New"/>
          <w:sz w:val="20"/>
          <w:szCs w:val="20"/>
        </w:rPr>
      </w:pPr>
      <w:r>
        <w:rPr>
          <w:rFonts w:ascii="Courier New" w:hAnsi="Courier New"/>
          <w:sz w:val="20"/>
          <w:szCs w:val="20"/>
        </w:rPr>
        <w:t>- WENN DER EMPFÄNGER DER EINKÜNFTE ALLEINSTEHENDER IST,</w:t>
      </w:r>
    </w:p>
    <w:p w14:paraId="31B9F7E0" w14:textId="77777777" w:rsidR="007A5656" w:rsidRPr="007B6642" w:rsidRDefault="007A5656" w:rsidP="007A5656">
      <w:pPr>
        <w:jc w:val="both"/>
        <w:rPr>
          <w:rFonts w:ascii="Courier New" w:hAnsi="Courier New" w:cs="Courier New"/>
          <w:sz w:val="20"/>
          <w:szCs w:val="20"/>
        </w:rPr>
      </w:pPr>
      <w:r>
        <w:rPr>
          <w:rFonts w:ascii="Courier New" w:hAnsi="Courier New"/>
          <w:sz w:val="20"/>
          <w:szCs w:val="20"/>
        </w:rPr>
        <w:t>- WENN DER EHEPARTNER DES EMPFÄNGERS DER EINKÜNFTE EBENFALLS EIGENE BERUFSEINKÜNFTE BEZIEHT.</w:t>
      </w:r>
    </w:p>
    <w:p w14:paraId="46670732" w14:textId="77777777" w:rsidR="007A5656" w:rsidRPr="007B6642" w:rsidRDefault="007A5656" w:rsidP="007A5656">
      <w:pPr>
        <w:jc w:val="center"/>
        <w:rPr>
          <w:rFonts w:ascii="Courier New" w:hAnsi="Courier New" w:cs="Courier New"/>
          <w:sz w:val="20"/>
          <w:szCs w:val="20"/>
        </w:rPr>
      </w:pPr>
      <w:r>
        <w:rPr>
          <w:rFonts w:ascii="Courier New" w:hAnsi="Courier New"/>
          <w:sz w:val="20"/>
          <w:szCs w:val="20"/>
        </w:rPr>
        <w:t>* * *</w:t>
      </w:r>
    </w:p>
    <w:p w14:paraId="798BD331" w14:textId="77777777" w:rsidR="007A5656" w:rsidRPr="007B6642" w:rsidRDefault="007A5656" w:rsidP="007A5656">
      <w:pPr>
        <w:jc w:val="both"/>
        <w:rPr>
          <w:rFonts w:ascii="Courier New" w:hAnsi="Courier New" w:cs="Courier New"/>
          <w:sz w:val="20"/>
          <w:szCs w:val="20"/>
        </w:rPr>
      </w:pPr>
      <w:r>
        <w:rPr>
          <w:rFonts w:ascii="Courier New" w:hAnsi="Courier New"/>
          <w:sz w:val="20"/>
          <w:szCs w:val="20"/>
        </w:rPr>
        <w:tab/>
        <w:t>BERUFSSTEUERVORABZUG AUF:</w:t>
      </w:r>
    </w:p>
    <w:p w14:paraId="0431EA54" w14:textId="77777777" w:rsidR="007A5656" w:rsidRPr="007B6642" w:rsidRDefault="007A5656" w:rsidP="007A5656">
      <w:pPr>
        <w:jc w:val="both"/>
        <w:rPr>
          <w:rFonts w:ascii="Courier New" w:hAnsi="Courier New" w:cs="Courier New"/>
          <w:sz w:val="20"/>
          <w:szCs w:val="20"/>
        </w:rPr>
      </w:pPr>
      <w:r>
        <w:rPr>
          <w:rFonts w:ascii="Courier New" w:hAnsi="Courier New"/>
          <w:sz w:val="20"/>
          <w:szCs w:val="20"/>
        </w:rPr>
        <w:t>- ENTLOHNUNGEN VON ARBEITNEHMERN: SPALTE (2),</w:t>
      </w:r>
    </w:p>
    <w:p w14:paraId="09F73ECF" w14:textId="77777777" w:rsidR="007A5656" w:rsidRPr="007B6642" w:rsidRDefault="007A5656" w:rsidP="007A5656">
      <w:pPr>
        <w:jc w:val="both"/>
        <w:rPr>
          <w:rFonts w:ascii="Courier New" w:hAnsi="Courier New" w:cs="Courier New"/>
          <w:sz w:val="20"/>
          <w:szCs w:val="20"/>
        </w:rPr>
      </w:pPr>
      <w:r>
        <w:rPr>
          <w:rFonts w:ascii="Courier New" w:hAnsi="Courier New"/>
          <w:sz w:val="20"/>
          <w:szCs w:val="20"/>
        </w:rPr>
        <w:t>- ENTLOHNUNGEN VON UNTERNEHMENSLEITERN: SPALTE (3),</w:t>
      </w:r>
    </w:p>
    <w:p w14:paraId="6D3137B4" w14:textId="77777777" w:rsidR="007A5656" w:rsidRDefault="007A5656" w:rsidP="007A5656">
      <w:pPr>
        <w:jc w:val="both"/>
        <w:rPr>
          <w:rFonts w:ascii="Courier New" w:hAnsi="Courier New" w:cs="Courier New"/>
          <w:sz w:val="20"/>
          <w:szCs w:val="20"/>
        </w:rPr>
      </w:pPr>
      <w:r>
        <w:rPr>
          <w:rFonts w:ascii="Courier New" w:hAnsi="Courier New"/>
          <w:sz w:val="20"/>
          <w:szCs w:val="20"/>
        </w:rPr>
        <w:t>- PENSIONEN UND RENTEN: SPALTE (4),</w:t>
      </w:r>
    </w:p>
    <w:p w14:paraId="1432F08D" w14:textId="77777777" w:rsidR="007A5656" w:rsidRPr="007B6642" w:rsidRDefault="007A5656" w:rsidP="007A5656">
      <w:pPr>
        <w:jc w:val="both"/>
        <w:rPr>
          <w:rFonts w:ascii="Courier New" w:hAnsi="Courier New" w:cs="Courier New"/>
          <w:sz w:val="20"/>
          <w:szCs w:val="20"/>
        </w:rPr>
      </w:pPr>
      <w:r>
        <w:rPr>
          <w:rFonts w:ascii="Courier New" w:hAnsi="Courier New"/>
          <w:sz w:val="20"/>
          <w:szCs w:val="20"/>
        </w:rPr>
        <w:t>DIE AB DEM 1. JANUAR 2017 MONATLICH GEZAHLT ODER ZUERKANNT WERDEN.</w:t>
      </w:r>
    </w:p>
    <w:p w14:paraId="014303F4" w14:textId="77777777" w:rsidR="007A5656" w:rsidRPr="007B6642" w:rsidRDefault="007A5656" w:rsidP="007A5656">
      <w:pPr>
        <w:jc w:val="center"/>
        <w:rPr>
          <w:rFonts w:ascii="Courier New" w:hAnsi="Courier New" w:cs="Courier New"/>
          <w:sz w:val="20"/>
          <w:szCs w:val="20"/>
        </w:rPr>
      </w:pPr>
      <w:r>
        <w:rPr>
          <w:rFonts w:ascii="Courier New" w:hAnsi="Courier New"/>
          <w:sz w:val="20"/>
          <w:szCs w:val="20"/>
        </w:rPr>
        <w:t>* * *</w:t>
      </w:r>
    </w:p>
    <w:p w14:paraId="02FB59FF" w14:textId="77777777" w:rsidR="007A5656" w:rsidRPr="007B6642" w:rsidRDefault="007A5656" w:rsidP="007A5656">
      <w:pPr>
        <w:jc w:val="both"/>
        <w:rPr>
          <w:rFonts w:ascii="Courier New" w:hAnsi="Courier New" w:cs="Courier New"/>
          <w:sz w:val="20"/>
          <w:szCs w:val="20"/>
        </w:rPr>
      </w:pPr>
      <w:r>
        <w:rPr>
          <w:rFonts w:ascii="Courier New" w:hAnsi="Courier New"/>
          <w:sz w:val="20"/>
          <w:szCs w:val="20"/>
        </w:rPr>
        <w:tab/>
        <w:t>IN SPALTE (1) ANGEGEBENE BETRÄGE STELLEN DIE BRUTTOEINKÜNFTE DAR, D.H. NACH ABZUG DER EINBEHALTUNGEN UND LASTEN WIE IN NR. 1 DER ANWENDUNGSREGELN ERWÄHNT.</w:t>
      </w:r>
    </w:p>
    <w:p w14:paraId="7FB84182" w14:textId="77777777" w:rsidR="007A5656" w:rsidRPr="007B6642" w:rsidRDefault="007A5656" w:rsidP="007A5656">
      <w:pPr>
        <w:jc w:val="both"/>
        <w:rPr>
          <w:rFonts w:ascii="Courier New" w:hAnsi="Courier New" w:cs="Courier New"/>
          <w:sz w:val="20"/>
          <w:szCs w:val="20"/>
        </w:rPr>
      </w:pPr>
    </w:p>
    <w:p w14:paraId="5AB61491" w14:textId="77777777" w:rsidR="007A5656" w:rsidRPr="007B6642" w:rsidRDefault="007A5656" w:rsidP="007A5656">
      <w:pPr>
        <w:ind w:firstLine="708"/>
        <w:jc w:val="both"/>
        <w:rPr>
          <w:rFonts w:ascii="Courier New" w:hAnsi="Courier New" w:cs="Courier New"/>
          <w:sz w:val="20"/>
          <w:szCs w:val="20"/>
        </w:rPr>
      </w:pPr>
      <w:r>
        <w:rPr>
          <w:rFonts w:ascii="Courier New" w:hAnsi="Courier New"/>
          <w:sz w:val="20"/>
          <w:szCs w:val="20"/>
        </w:rPr>
        <w:t>BEFINDET SICH EIN EINKOMMEN ZWISCHEN ZWEI IN SPALTE (1) ANGEGEBENEN BETRÄGEN, WIRD DER BERUFSSTEUERVORABZUG GESCHULDET, DER GEGENÜBER DEM NIEDRIGEREN DER BEIDEN BETRÄGE STEHT.</w:t>
      </w:r>
    </w:p>
    <w:p w14:paraId="163FE568" w14:textId="77777777" w:rsidR="007A5656" w:rsidRPr="007B6642" w:rsidRDefault="007A5656" w:rsidP="007A5656">
      <w:pPr>
        <w:jc w:val="center"/>
        <w:rPr>
          <w:rFonts w:ascii="Courier New" w:hAnsi="Courier New" w:cs="Courier New"/>
          <w:sz w:val="20"/>
          <w:szCs w:val="20"/>
        </w:rPr>
      </w:pPr>
      <w:r>
        <w:rPr>
          <w:rFonts w:ascii="Courier New" w:hAnsi="Courier New"/>
          <w:sz w:val="20"/>
          <w:szCs w:val="20"/>
        </w:rPr>
        <w:t>* * *</w:t>
      </w:r>
    </w:p>
    <w:p w14:paraId="2C507B62" w14:textId="77777777" w:rsidR="007A5656" w:rsidRDefault="007A5656" w:rsidP="007A5656">
      <w:pPr>
        <w:jc w:val="both"/>
      </w:pPr>
      <w:r>
        <w:rPr>
          <w:rFonts w:ascii="Courier New" w:hAnsi="Courier New"/>
          <w:sz w:val="20"/>
          <w:szCs w:val="20"/>
        </w:rPr>
        <w:tab/>
        <w:t>VON DEM IN DER TABELLE ANGEGEBENEN BERUFSSTEUERVORABZUG KÖNNEN NOCH DIE ERMÄSSIGUNGEN FÜR KINDER ZU LASTEN UND FÜR ANDERE FAMILIENLASTEN ABGEZOGEN WERDEN (SIEHE NR. 2.2 PUNKT A, 3.3 PUNKT A UND 4.1 PUNKT A DER ANWENDUNGSREGELN).</w:t>
      </w:r>
    </w:p>
    <w:p w14:paraId="269A25B6" w14:textId="77777777" w:rsidR="007A5656" w:rsidRPr="003D12D9" w:rsidRDefault="007A5656" w:rsidP="007A5656">
      <w:pPr>
        <w:jc w:val="both"/>
      </w:pPr>
    </w:p>
    <w:p w14:paraId="02A5790F" w14:textId="77777777" w:rsidR="007A5656" w:rsidRDefault="007A5656" w:rsidP="007A56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iCs/>
        </w:rPr>
      </w:pPr>
      <w:r>
        <w:rPr>
          <w:i/>
          <w:iCs/>
        </w:rPr>
        <w:t>Tabelle I: Siehe Belgisches Staatsblatt vom 16. Dezember 2016, S. 86915 bis 86921.</w:t>
      </w:r>
    </w:p>
    <w:p w14:paraId="2121E1EF" w14:textId="77777777" w:rsidR="007A5656" w:rsidRPr="007B6642" w:rsidRDefault="007A5656" w:rsidP="007A56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iCs/>
        </w:rPr>
      </w:pPr>
    </w:p>
    <w:p w14:paraId="2BE54B1F" w14:textId="77777777" w:rsidR="007A5656" w:rsidRDefault="007A5656" w:rsidP="007A5656">
      <w:pPr>
        <w:jc w:val="both"/>
        <w:sectPr w:rsidR="007A5656">
          <w:pgSz w:w="11906" w:h="16838"/>
          <w:pgMar w:top="1417" w:right="1417" w:bottom="1417" w:left="1417" w:header="708" w:footer="708" w:gutter="0"/>
          <w:cols w:space="708"/>
          <w:docGrid w:linePitch="360"/>
        </w:sectPr>
      </w:pPr>
    </w:p>
    <w:p w14:paraId="167F9EB5" w14:textId="77777777" w:rsidR="007A5656" w:rsidRPr="00593688" w:rsidRDefault="007A5656" w:rsidP="007A5656">
      <w:pPr>
        <w:jc w:val="center"/>
        <w:rPr>
          <w:rFonts w:ascii="Courier New" w:hAnsi="Courier New" w:cs="Courier New"/>
          <w:sz w:val="20"/>
          <w:szCs w:val="20"/>
        </w:rPr>
      </w:pPr>
      <w:r>
        <w:rPr>
          <w:rFonts w:ascii="Courier New" w:hAnsi="Courier New"/>
          <w:sz w:val="20"/>
          <w:szCs w:val="20"/>
        </w:rPr>
        <w:lastRenderedPageBreak/>
        <w:t>TABELLE II</w:t>
      </w:r>
    </w:p>
    <w:p w14:paraId="38F8534E" w14:textId="77777777" w:rsidR="007A5656" w:rsidRPr="003D12D9" w:rsidRDefault="007A5656" w:rsidP="007A5656">
      <w:pPr>
        <w:jc w:val="both"/>
        <w:rPr>
          <w:rFonts w:ascii="Courier New" w:hAnsi="Courier New" w:cs="Courier New"/>
          <w:sz w:val="20"/>
          <w:szCs w:val="20"/>
        </w:rPr>
      </w:pPr>
    </w:p>
    <w:p w14:paraId="29A0B11A"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ab/>
        <w:t>DIESE TABELLE IST ANWENDBAR, WENN DER EHEPARTNER DES EMPFÄNGERS DER EINKÜNFTE KEINE EIGENEN BERUFSEINKÜNFTE BEZIEHT.</w:t>
      </w:r>
    </w:p>
    <w:p w14:paraId="14B6FD27" w14:textId="77777777" w:rsidR="007A5656" w:rsidRPr="00593688" w:rsidRDefault="007A5656" w:rsidP="007A5656">
      <w:pPr>
        <w:jc w:val="center"/>
        <w:rPr>
          <w:rFonts w:ascii="Courier New" w:hAnsi="Courier New" w:cs="Courier New"/>
          <w:sz w:val="20"/>
          <w:szCs w:val="20"/>
        </w:rPr>
      </w:pPr>
      <w:r>
        <w:rPr>
          <w:rFonts w:ascii="Courier New" w:hAnsi="Courier New"/>
          <w:sz w:val="20"/>
          <w:szCs w:val="20"/>
        </w:rPr>
        <w:t>* * *</w:t>
      </w:r>
    </w:p>
    <w:p w14:paraId="4B1A7851"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ab/>
        <w:t>BERUFSSTEUERVORABZUG AUF:</w:t>
      </w:r>
    </w:p>
    <w:p w14:paraId="51868947"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 ENTLOHNUNGEN VON ARBEITNEHMERN: SPALTE (2),</w:t>
      </w:r>
    </w:p>
    <w:p w14:paraId="314D3811"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 ENTLOHNUNGEN VON UNTERNEHMENSLEITERN: SPALTE (3),</w:t>
      </w:r>
    </w:p>
    <w:p w14:paraId="7A6CC4C1" w14:textId="77777777" w:rsidR="007A5656" w:rsidRDefault="007A5656" w:rsidP="007A5656">
      <w:pPr>
        <w:jc w:val="both"/>
        <w:rPr>
          <w:rFonts w:ascii="Courier New" w:hAnsi="Courier New" w:cs="Courier New"/>
          <w:sz w:val="20"/>
          <w:szCs w:val="20"/>
        </w:rPr>
      </w:pPr>
      <w:r>
        <w:rPr>
          <w:rFonts w:ascii="Courier New" w:hAnsi="Courier New"/>
          <w:sz w:val="20"/>
          <w:szCs w:val="20"/>
        </w:rPr>
        <w:t>- PENSIONEN UND RENTEN: SPALTE (4),</w:t>
      </w:r>
    </w:p>
    <w:p w14:paraId="39C5257D"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DIE AB DEM 1. JANUAR 2017 MONATLICH GEZAHLT ODER ZUERKANNT WERDEN.</w:t>
      </w:r>
    </w:p>
    <w:p w14:paraId="5B3BEC2C" w14:textId="77777777" w:rsidR="007A5656" w:rsidRPr="00593688" w:rsidRDefault="007A5656" w:rsidP="007A5656">
      <w:pPr>
        <w:jc w:val="center"/>
        <w:rPr>
          <w:rFonts w:ascii="Courier New" w:hAnsi="Courier New" w:cs="Courier New"/>
          <w:sz w:val="20"/>
          <w:szCs w:val="20"/>
        </w:rPr>
      </w:pPr>
      <w:r>
        <w:rPr>
          <w:rFonts w:ascii="Courier New" w:hAnsi="Courier New"/>
          <w:sz w:val="20"/>
          <w:szCs w:val="20"/>
        </w:rPr>
        <w:t>* * *</w:t>
      </w:r>
    </w:p>
    <w:p w14:paraId="24E043EE"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ab/>
        <w:t>IN SPALTE (1) ANGEGEBENE BETRÄGE STELLEN DIE BRUTTOEINKÜNFTE DAR, D.H. NACH ABZUG DER EINBEHALTUNGEN UND LASTEN WIE IN NR. 1 DER ANWENDUNGSREGELN ERWÄHNT.</w:t>
      </w:r>
    </w:p>
    <w:p w14:paraId="4A9AC32C" w14:textId="77777777" w:rsidR="007A5656" w:rsidRPr="003D12D9" w:rsidRDefault="007A5656" w:rsidP="007A5656">
      <w:pPr>
        <w:jc w:val="both"/>
        <w:rPr>
          <w:rFonts w:ascii="Courier New" w:hAnsi="Courier New" w:cs="Courier New"/>
          <w:sz w:val="20"/>
          <w:szCs w:val="20"/>
        </w:rPr>
      </w:pPr>
    </w:p>
    <w:p w14:paraId="2E3E544A"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ab/>
        <w:t>BEFINDET SICH EIN EINKOMMEN ZWISCHEN ZWEI IN SPALTE (1) ANGEGEBENEN BETRÄGEN, WIRD DER BERUFSSTEUERVORABZUG GESCHULDET, DER GEGENÜBER DEM NIEDRIGEREN DER BEIDEN BETRÄGE STEHT.</w:t>
      </w:r>
    </w:p>
    <w:p w14:paraId="2834648A" w14:textId="77777777" w:rsidR="007A5656" w:rsidRPr="00593688" w:rsidRDefault="007A5656" w:rsidP="007A5656">
      <w:pPr>
        <w:jc w:val="center"/>
        <w:rPr>
          <w:rFonts w:ascii="Courier New" w:hAnsi="Courier New" w:cs="Courier New"/>
          <w:sz w:val="20"/>
          <w:szCs w:val="20"/>
        </w:rPr>
      </w:pPr>
      <w:r>
        <w:rPr>
          <w:rFonts w:ascii="Courier New" w:hAnsi="Courier New"/>
          <w:sz w:val="20"/>
          <w:szCs w:val="20"/>
        </w:rPr>
        <w:t>* * *</w:t>
      </w:r>
    </w:p>
    <w:p w14:paraId="7D01CACF"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ab/>
        <w:t>VON DEM IN DER TABELLE ANGEGEBENEN BERUFSSTEUERVORABZUG KÖNNEN NOCH DIE ERMÄSSIGUNGEN FÜR KINDER ZU LASTEN UND FÜR ANDERE FAMILIENLASTEN ABGEZOGEN WERDEN (SIEHE NR. 2.3, 3.4 UND 4.2 DER ANWENDUNGSREGELN).</w:t>
      </w:r>
    </w:p>
    <w:p w14:paraId="48CE6EBF" w14:textId="77777777" w:rsidR="007A5656" w:rsidRPr="00593688" w:rsidRDefault="007A5656" w:rsidP="007A56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iCs/>
        </w:rPr>
      </w:pPr>
    </w:p>
    <w:p w14:paraId="327B5F7E" w14:textId="77777777" w:rsidR="007A5656" w:rsidRDefault="007A5656" w:rsidP="007A56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i/>
          <w:iCs/>
        </w:rPr>
      </w:pPr>
      <w:r>
        <w:rPr>
          <w:i/>
          <w:iCs/>
        </w:rPr>
        <w:t>Tabelle II: Siehe Belgisches Staatsblatt vom 16. Dezember 2016, S. 86923 bis 86929.</w:t>
      </w:r>
    </w:p>
    <w:p w14:paraId="420B30E7" w14:textId="77777777" w:rsidR="007A5656" w:rsidRPr="00593688" w:rsidRDefault="007A5656" w:rsidP="007A56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iCs/>
        </w:rPr>
      </w:pPr>
    </w:p>
    <w:p w14:paraId="425FD660" w14:textId="77777777" w:rsidR="007A5656" w:rsidRDefault="007A5656" w:rsidP="007A5656">
      <w:pPr>
        <w:jc w:val="both"/>
        <w:sectPr w:rsidR="007A5656">
          <w:pgSz w:w="11906" w:h="16838"/>
          <w:pgMar w:top="1417" w:right="1417" w:bottom="1417" w:left="1417" w:header="708" w:footer="708" w:gutter="0"/>
          <w:cols w:space="708"/>
          <w:docGrid w:linePitch="360"/>
        </w:sectPr>
      </w:pPr>
    </w:p>
    <w:p w14:paraId="71AFED26" w14:textId="77777777" w:rsidR="007A5656" w:rsidRPr="00593688" w:rsidRDefault="007A5656" w:rsidP="007A5656">
      <w:pPr>
        <w:jc w:val="center"/>
        <w:rPr>
          <w:rFonts w:ascii="Courier New" w:hAnsi="Courier New" w:cs="Courier New"/>
          <w:sz w:val="20"/>
          <w:szCs w:val="20"/>
        </w:rPr>
      </w:pPr>
      <w:r>
        <w:rPr>
          <w:rFonts w:ascii="Courier New" w:hAnsi="Courier New"/>
          <w:sz w:val="20"/>
          <w:szCs w:val="20"/>
        </w:rPr>
        <w:lastRenderedPageBreak/>
        <w:t>TABELLE III</w:t>
      </w:r>
    </w:p>
    <w:p w14:paraId="0529C790" w14:textId="77777777" w:rsidR="007A5656" w:rsidRPr="003D12D9" w:rsidRDefault="007A5656" w:rsidP="007A5656">
      <w:pPr>
        <w:jc w:val="both"/>
        <w:rPr>
          <w:rFonts w:ascii="Courier New" w:hAnsi="Courier New" w:cs="Courier New"/>
          <w:sz w:val="20"/>
          <w:szCs w:val="20"/>
        </w:rPr>
      </w:pPr>
    </w:p>
    <w:p w14:paraId="2ED9A36C"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ab/>
        <w:t>DIESE TABELLE IST ANWENDBAR, WENN DER EMPFÄNGER DER EINKÜNFTE EIN GEBIETSFREMDER IST, DER NICHT IN ANWENDUNG VON NR. 2.1 PUNKT B ODER 3.1 PUNKT B DER ANWENDUNGSREGELN MIT EINEM EINWOHNER GLEICHGESTELLT WERDEN KANN.</w:t>
      </w:r>
    </w:p>
    <w:p w14:paraId="6E5F4458" w14:textId="77777777" w:rsidR="007A5656" w:rsidRPr="00593688" w:rsidRDefault="007A5656" w:rsidP="007A5656">
      <w:pPr>
        <w:jc w:val="center"/>
        <w:rPr>
          <w:rFonts w:ascii="Courier New" w:hAnsi="Courier New" w:cs="Courier New"/>
          <w:sz w:val="20"/>
          <w:szCs w:val="20"/>
        </w:rPr>
      </w:pPr>
      <w:r>
        <w:rPr>
          <w:rFonts w:ascii="Courier New" w:hAnsi="Courier New"/>
          <w:sz w:val="20"/>
          <w:szCs w:val="20"/>
        </w:rPr>
        <w:t>* * *</w:t>
      </w:r>
    </w:p>
    <w:p w14:paraId="57CDC334"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ab/>
        <w:t>BERUFSSTEUERVORABZUG AUF:</w:t>
      </w:r>
    </w:p>
    <w:p w14:paraId="0BC676A3"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 ENTLOHNUNGEN VON ARBEITNEHMERN: SPALTE (2),</w:t>
      </w:r>
    </w:p>
    <w:p w14:paraId="57C20F66"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 ENTLOHNUNGEN VON UNTERNEHMENSLEITERN: SPALTE (3),</w:t>
      </w:r>
    </w:p>
    <w:p w14:paraId="4AD5A122" w14:textId="77777777" w:rsidR="007A5656" w:rsidRDefault="007A5656" w:rsidP="007A5656">
      <w:pPr>
        <w:jc w:val="both"/>
        <w:rPr>
          <w:rFonts w:ascii="Courier New" w:hAnsi="Courier New" w:cs="Courier New"/>
          <w:sz w:val="20"/>
          <w:szCs w:val="20"/>
        </w:rPr>
      </w:pPr>
      <w:r>
        <w:rPr>
          <w:rFonts w:ascii="Courier New" w:hAnsi="Courier New"/>
          <w:sz w:val="20"/>
          <w:szCs w:val="20"/>
        </w:rPr>
        <w:t>- FRÜHPENSIONEN: SPALTE (4),</w:t>
      </w:r>
    </w:p>
    <w:p w14:paraId="00937078"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DIE AB DEM 1. JANUAR 2017 MONATLICH GEZAHLT ODER ZUERKANNT WERDEN.</w:t>
      </w:r>
    </w:p>
    <w:p w14:paraId="334E5A46" w14:textId="77777777" w:rsidR="007A5656" w:rsidRPr="00593688" w:rsidRDefault="007A5656" w:rsidP="007A5656">
      <w:pPr>
        <w:jc w:val="center"/>
        <w:rPr>
          <w:rFonts w:ascii="Courier New" w:hAnsi="Courier New" w:cs="Courier New"/>
          <w:sz w:val="20"/>
          <w:szCs w:val="20"/>
        </w:rPr>
      </w:pPr>
      <w:r>
        <w:rPr>
          <w:rFonts w:ascii="Courier New" w:hAnsi="Courier New"/>
          <w:sz w:val="20"/>
          <w:szCs w:val="20"/>
        </w:rPr>
        <w:t>* * *</w:t>
      </w:r>
    </w:p>
    <w:p w14:paraId="5FEA0F7D"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ab/>
        <w:t>IN SPALTE (1) ANGEGEBENE BETRÄGE STELLEN DIE BRUTTOEINKÜNFTE DAR, D.H. NACH ABZUG DER EINBEHALTUNGEN UND LASTEN WIE IN NR. 1 DER ANWENDUNGSREGELN ERWÄHNT.</w:t>
      </w:r>
    </w:p>
    <w:p w14:paraId="31610E82" w14:textId="77777777" w:rsidR="007A5656" w:rsidRPr="003D12D9" w:rsidRDefault="007A5656" w:rsidP="007A5656">
      <w:pPr>
        <w:jc w:val="both"/>
        <w:rPr>
          <w:rFonts w:ascii="Courier New" w:hAnsi="Courier New" w:cs="Courier New"/>
          <w:sz w:val="20"/>
          <w:szCs w:val="20"/>
        </w:rPr>
      </w:pPr>
    </w:p>
    <w:p w14:paraId="73765628"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ab/>
        <w:t>BEFINDET SICH EIN EINKOMMEN ZWISCHEN ZWEI IN SPALTE (1) ANGEGEBENEN BETRÄGEN, WIRD DER BERUFSSTEUERVORABZUG GESCHULDET, DER GEGENÜBER DEM NIEDRIGEREN DER BEIDEN BETRÄGE STEHT.</w:t>
      </w:r>
    </w:p>
    <w:p w14:paraId="1DD440EF" w14:textId="77777777" w:rsidR="007A5656" w:rsidRPr="00593688" w:rsidRDefault="007A5656" w:rsidP="007A5656">
      <w:pPr>
        <w:jc w:val="center"/>
        <w:rPr>
          <w:rFonts w:ascii="Courier New" w:hAnsi="Courier New" w:cs="Courier New"/>
          <w:sz w:val="20"/>
          <w:szCs w:val="20"/>
        </w:rPr>
      </w:pPr>
      <w:r>
        <w:rPr>
          <w:rFonts w:ascii="Courier New" w:hAnsi="Courier New"/>
          <w:sz w:val="20"/>
          <w:szCs w:val="20"/>
        </w:rPr>
        <w:t>* * *</w:t>
      </w:r>
    </w:p>
    <w:p w14:paraId="72CBC2CC" w14:textId="77777777" w:rsidR="007A5656" w:rsidRPr="00593688" w:rsidRDefault="007A5656" w:rsidP="007A5656">
      <w:pPr>
        <w:jc w:val="both"/>
        <w:rPr>
          <w:rFonts w:ascii="Courier New" w:hAnsi="Courier New" w:cs="Courier New"/>
          <w:sz w:val="20"/>
          <w:szCs w:val="20"/>
        </w:rPr>
      </w:pPr>
      <w:r>
        <w:rPr>
          <w:rFonts w:ascii="Courier New" w:hAnsi="Courier New"/>
          <w:sz w:val="20"/>
          <w:szCs w:val="20"/>
        </w:rPr>
        <w:tab/>
        <w:t>VON DEM IN DER TABELLE ANGEGEBENEN BERUFSSTEUERVORABZUG KÖNNEN NOCH DIE IN NR. 5.3 DER ANWENDUNGSREGELN ERWÄHNTEN ERMÄSSIGUNGEN ABGEZOGEN WERDEN.</w:t>
      </w:r>
    </w:p>
    <w:p w14:paraId="0DFD123C" w14:textId="77777777" w:rsidR="007A5656" w:rsidRDefault="007A5656" w:rsidP="007A5656">
      <w:pPr>
        <w:jc w:val="both"/>
      </w:pPr>
    </w:p>
    <w:p w14:paraId="40B140AB" w14:textId="77777777" w:rsidR="007A5656" w:rsidRPr="00FA0F67" w:rsidRDefault="007A5656" w:rsidP="007A56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i/>
          <w:iCs/>
        </w:rPr>
      </w:pPr>
      <w:r>
        <w:rPr>
          <w:i/>
          <w:iCs/>
        </w:rPr>
        <w:t>Tabelle III: Siehe Belgisches Staatsblatt vom 16. Dezember 2016, S. 86931 bis 86938.</w:t>
      </w:r>
    </w:p>
    <w:p w14:paraId="6B0AB4CA" w14:textId="77777777" w:rsidR="007A5656" w:rsidRDefault="007A5656" w:rsidP="0022022E">
      <w:pPr>
        <w:spacing w:after="200" w:line="276" w:lineRule="auto"/>
        <w:jc w:val="both"/>
        <w:rPr>
          <w:i/>
          <w:lang w:eastAsia="en-US"/>
        </w:rPr>
      </w:pPr>
    </w:p>
    <w:p w14:paraId="14C68CF7" w14:textId="77777777" w:rsidR="0022022E" w:rsidRPr="00B65258" w:rsidRDefault="0022022E" w:rsidP="0006371A">
      <w:pPr>
        <w:rPr>
          <w:rFonts w:eastAsia="Calibri"/>
          <w:szCs w:val="22"/>
          <w:lang w:eastAsia="de-DE" w:bidi="de-DE"/>
        </w:rPr>
      </w:pPr>
    </w:p>
    <w:p w14:paraId="201AA2A5" w14:textId="77777777" w:rsidR="009A45BD" w:rsidRPr="009A45BD" w:rsidRDefault="009A45BD" w:rsidP="009A45BD">
      <w:pPr>
        <w:rPr>
          <w:rFonts w:eastAsia="Calibri"/>
          <w:lang w:eastAsia="de-DE" w:bidi="de-DE"/>
        </w:rPr>
      </w:pPr>
      <w:r w:rsidRPr="009A45BD">
        <w:rPr>
          <w:rFonts w:eastAsia="Calibri"/>
          <w:lang w:eastAsia="de-DE" w:bidi="de-DE"/>
        </w:rPr>
        <w:br w:type="page"/>
      </w:r>
    </w:p>
    <w:p w14:paraId="38DE4F49" w14:textId="77777777" w:rsidR="0006371A" w:rsidRPr="00B65258" w:rsidRDefault="0006371A" w:rsidP="007A5656">
      <w:pPr>
        <w:sectPr w:rsidR="0006371A" w:rsidRPr="00B65258" w:rsidSect="007A5656">
          <w:pgSz w:w="11906" w:h="16838"/>
          <w:pgMar w:top="1417" w:right="1417" w:bottom="1417" w:left="1417" w:header="709" w:footer="709" w:gutter="0"/>
          <w:cols w:space="708"/>
          <w:docGrid w:linePitch="360"/>
        </w:sectPr>
      </w:pPr>
    </w:p>
    <w:p w14:paraId="647382CA" w14:textId="77777777" w:rsidR="0090665B" w:rsidRPr="00B65258" w:rsidRDefault="0090665B" w:rsidP="0090665B">
      <w:pPr>
        <w:jc w:val="center"/>
        <w:rPr>
          <w:rFonts w:eastAsia="Calibri"/>
          <w:b/>
          <w:i/>
          <w:szCs w:val="22"/>
          <w:lang w:eastAsia="de-DE" w:bidi="de-DE"/>
        </w:rPr>
      </w:pPr>
      <w:r w:rsidRPr="00B65258">
        <w:rPr>
          <w:rFonts w:eastAsia="Calibri"/>
          <w:szCs w:val="22"/>
          <w:lang w:eastAsia="de-DE" w:bidi="de-DE"/>
        </w:rPr>
        <w:lastRenderedPageBreak/>
        <w:t>[</w:t>
      </w:r>
      <w:r w:rsidRPr="00B65258">
        <w:rPr>
          <w:rFonts w:eastAsia="Calibri"/>
          <w:b/>
          <w:szCs w:val="22"/>
          <w:lang w:eastAsia="de-DE" w:bidi="de-DE"/>
        </w:rPr>
        <w:t>ANLAGE 3</w:t>
      </w:r>
      <w:r w:rsidRPr="00B65258">
        <w:rPr>
          <w:rFonts w:eastAsia="Calibri"/>
          <w:b/>
          <w:i/>
          <w:szCs w:val="22"/>
          <w:lang w:eastAsia="de-DE" w:bidi="de-DE"/>
        </w:rPr>
        <w:t>bis</w:t>
      </w:r>
    </w:p>
    <w:p w14:paraId="3E6D7459" w14:textId="77777777" w:rsidR="0090665B" w:rsidRPr="00B65258" w:rsidRDefault="0090665B" w:rsidP="0090665B">
      <w:pPr>
        <w:rPr>
          <w:rFonts w:eastAsia="Calibri"/>
          <w:b/>
          <w:szCs w:val="22"/>
          <w:lang w:eastAsia="de-DE" w:bidi="de-DE"/>
        </w:rPr>
      </w:pPr>
    </w:p>
    <w:p w14:paraId="08154291" w14:textId="77777777" w:rsidR="0090665B" w:rsidRPr="00B65258" w:rsidRDefault="0090665B" w:rsidP="0090665B">
      <w:pPr>
        <w:rPr>
          <w:rFonts w:eastAsia="Calibri"/>
          <w:b/>
          <w:szCs w:val="22"/>
          <w:lang w:eastAsia="de-DE" w:bidi="de-DE"/>
        </w:rPr>
      </w:pPr>
    </w:p>
    <w:p w14:paraId="32A76C0D" w14:textId="77777777" w:rsidR="0090665B" w:rsidRPr="00B65258" w:rsidRDefault="0090665B" w:rsidP="0090665B">
      <w:pPr>
        <w:jc w:val="center"/>
        <w:rPr>
          <w:rFonts w:eastAsia="Calibri"/>
          <w:szCs w:val="22"/>
          <w:lang w:eastAsia="de-DE" w:bidi="de-DE"/>
        </w:rPr>
      </w:pPr>
      <w:r w:rsidRPr="009A3E4C">
        <w:rPr>
          <w:rFonts w:eastAsia="Calibri"/>
          <w:szCs w:val="22"/>
          <w:lang w:eastAsia="de-DE" w:bidi="de-DE"/>
        </w:rPr>
        <w:t>[</w:t>
      </w:r>
      <w:r w:rsidRPr="00B65258">
        <w:rPr>
          <w:rFonts w:eastAsia="Calibri"/>
          <w:b/>
          <w:szCs w:val="22"/>
          <w:lang w:eastAsia="de-DE" w:bidi="de-DE"/>
        </w:rPr>
        <w:t xml:space="preserve">Liste der Codes in Bezug auf die Art der Einkünfte in Anwendung </w:t>
      </w:r>
      <w:r>
        <w:rPr>
          <w:rFonts w:eastAsia="Calibri"/>
          <w:szCs w:val="22"/>
          <w:lang w:eastAsia="de-DE" w:bidi="de-DE"/>
        </w:rPr>
        <w:t>[</w:t>
      </w:r>
      <w:r w:rsidRPr="00B66D1D">
        <w:rPr>
          <w:b/>
        </w:rPr>
        <w:t>der Artikel 90 § 3 und 95</w:t>
      </w:r>
      <w:r w:rsidRPr="00B66D1D">
        <w:rPr>
          <w:b/>
          <w:vertAlign w:val="superscript"/>
        </w:rPr>
        <w:t>2</w:t>
      </w:r>
      <w:r w:rsidRPr="00B66D1D">
        <w:rPr>
          <w:b/>
        </w:rPr>
        <w:t xml:space="preserve"> § 3 Buchstabe </w:t>
      </w:r>
      <w:r w:rsidRPr="00B66D1D">
        <w:rPr>
          <w:b/>
          <w:i/>
        </w:rPr>
        <w:t>a)</w:t>
      </w:r>
      <w:r w:rsidRPr="00B66D1D">
        <w:rPr>
          <w:b/>
        </w:rPr>
        <w:t xml:space="preserve"> KE/EStGB 92</w:t>
      </w:r>
      <w:r>
        <w:t>]</w:t>
      </w:r>
    </w:p>
    <w:p w14:paraId="5BE8EB1D" w14:textId="77777777" w:rsidR="0090665B" w:rsidRPr="00B65258" w:rsidRDefault="0090665B" w:rsidP="0090665B">
      <w:pPr>
        <w:jc w:val="center"/>
        <w:rPr>
          <w:rFonts w:eastAsia="Calibri"/>
          <w:szCs w:val="22"/>
          <w:lang w:eastAsia="de-DE" w:bidi="de-DE"/>
        </w:rPr>
      </w:pPr>
    </w:p>
    <w:p w14:paraId="1190A0D0" w14:textId="32CBCC02" w:rsidR="0090665B" w:rsidRDefault="0090665B" w:rsidP="0090665B">
      <w:pPr>
        <w:jc w:val="both"/>
        <w:rPr>
          <w:rFonts w:eastAsia="Calibri"/>
          <w:i/>
          <w:szCs w:val="22"/>
          <w:lang w:eastAsia="de-DE" w:bidi="de-DE"/>
        </w:rPr>
      </w:pPr>
      <w:r>
        <w:rPr>
          <w:rFonts w:eastAsia="Calibri"/>
          <w:i/>
          <w:szCs w:val="22"/>
          <w:lang w:eastAsia="de-DE" w:bidi="de-DE"/>
        </w:rPr>
        <w:t>[Überschrift von Anlage 3bis abgeändert durch Art. 3 Buchstabe a) des K.E. vom 28. April 2015 (B.S. vom 30. April 2015)]</w:t>
      </w:r>
    </w:p>
    <w:p w14:paraId="747606E7" w14:textId="77777777" w:rsidR="0090665B" w:rsidRPr="00760FD5" w:rsidRDefault="0090665B" w:rsidP="0090665B">
      <w:pPr>
        <w:jc w:val="both"/>
        <w:rPr>
          <w:rFonts w:eastAsia="Calibri"/>
          <w:i/>
          <w:szCs w:val="22"/>
          <w:lang w:eastAsia="de-DE" w:bidi="de-DE"/>
        </w:rPr>
      </w:pPr>
    </w:p>
    <w:p w14:paraId="6EF3C6B9"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01 Handelsmarine (Art. 275</w:t>
      </w:r>
      <w:r w:rsidRPr="00B65258">
        <w:rPr>
          <w:rFonts w:eastAsia="Calibri"/>
          <w:szCs w:val="22"/>
          <w:vertAlign w:val="superscript"/>
          <w:lang w:eastAsia="de-DE" w:bidi="de-DE"/>
        </w:rPr>
        <w:t>2</w:t>
      </w:r>
      <w:r w:rsidRPr="00B65258">
        <w:rPr>
          <w:rFonts w:eastAsia="Calibri"/>
          <w:szCs w:val="22"/>
          <w:lang w:eastAsia="de-DE" w:bidi="de-DE"/>
        </w:rPr>
        <w:t xml:space="preserve"> EStGB 92)</w:t>
      </w:r>
    </w:p>
    <w:p w14:paraId="191B9C53"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02 Baggerarbeiten (Art. 275</w:t>
      </w:r>
      <w:r w:rsidRPr="00B65258">
        <w:rPr>
          <w:rFonts w:eastAsia="Calibri"/>
          <w:szCs w:val="22"/>
          <w:vertAlign w:val="superscript"/>
          <w:lang w:eastAsia="de-DE" w:bidi="de-DE"/>
        </w:rPr>
        <w:t>2</w:t>
      </w:r>
      <w:r w:rsidRPr="00B65258">
        <w:rPr>
          <w:rFonts w:eastAsia="Calibri"/>
          <w:szCs w:val="22"/>
          <w:lang w:eastAsia="de-DE" w:bidi="de-DE"/>
        </w:rPr>
        <w:t xml:space="preserve"> EStGB 92)</w:t>
      </w:r>
    </w:p>
    <w:p w14:paraId="5348CC08"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03 Seeschleppschifffahrt (Art. 275</w:t>
      </w:r>
      <w:r w:rsidRPr="00B65258">
        <w:rPr>
          <w:rFonts w:eastAsia="Calibri"/>
          <w:szCs w:val="22"/>
          <w:vertAlign w:val="superscript"/>
          <w:lang w:eastAsia="de-DE" w:bidi="de-DE"/>
        </w:rPr>
        <w:t>2</w:t>
      </w:r>
      <w:r w:rsidRPr="00B65258">
        <w:rPr>
          <w:rFonts w:eastAsia="Calibri"/>
          <w:szCs w:val="22"/>
          <w:lang w:eastAsia="de-DE" w:bidi="de-DE"/>
        </w:rPr>
        <w:t xml:space="preserve"> EStGB 92)</w:t>
      </w:r>
    </w:p>
    <w:p w14:paraId="2AC82B5F"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04 Seefischerei (Art. 275</w:t>
      </w:r>
      <w:r w:rsidRPr="00B65258">
        <w:rPr>
          <w:rFonts w:eastAsia="Calibri"/>
          <w:szCs w:val="22"/>
          <w:vertAlign w:val="superscript"/>
          <w:lang w:eastAsia="de-DE" w:bidi="de-DE"/>
        </w:rPr>
        <w:t>4</w:t>
      </w:r>
      <w:r w:rsidRPr="00B65258">
        <w:rPr>
          <w:rFonts w:eastAsia="Calibri"/>
          <w:szCs w:val="22"/>
          <w:lang w:eastAsia="de-DE" w:bidi="de-DE"/>
        </w:rPr>
        <w:t xml:space="preserve"> EStGB 92)</w:t>
      </w:r>
    </w:p>
    <w:p w14:paraId="5C349488"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05 Wissenschaftliche Forschung (Art. 275</w:t>
      </w:r>
      <w:r w:rsidRPr="00B65258">
        <w:rPr>
          <w:rFonts w:eastAsia="Calibri"/>
          <w:szCs w:val="22"/>
          <w:vertAlign w:val="superscript"/>
          <w:lang w:eastAsia="de-DE" w:bidi="de-DE"/>
        </w:rPr>
        <w:t>3</w:t>
      </w:r>
      <w:r w:rsidRPr="00B65258">
        <w:rPr>
          <w:rFonts w:eastAsia="Calibri"/>
          <w:szCs w:val="22"/>
          <w:lang w:eastAsia="de-DE" w:bidi="de-DE"/>
        </w:rPr>
        <w:t xml:space="preserve"> § 1 Absatz 1 EStGB 92)</w:t>
      </w:r>
    </w:p>
    <w:p w14:paraId="68330802"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 xml:space="preserve">06 </w:t>
      </w:r>
      <w:r>
        <w:rPr>
          <w:rFonts w:eastAsia="Calibri"/>
          <w:szCs w:val="22"/>
          <w:lang w:eastAsia="de-DE" w:bidi="de-DE"/>
        </w:rPr>
        <w:t>[...]</w:t>
      </w:r>
    </w:p>
    <w:p w14:paraId="08C7366E"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07 Wissenschaftliche Forschung (Art. 275</w:t>
      </w:r>
      <w:r w:rsidRPr="00B65258">
        <w:rPr>
          <w:rFonts w:eastAsia="Calibri"/>
          <w:szCs w:val="22"/>
          <w:vertAlign w:val="superscript"/>
          <w:lang w:eastAsia="de-DE" w:bidi="de-DE"/>
        </w:rPr>
        <w:t>3</w:t>
      </w:r>
      <w:r w:rsidRPr="00B65258">
        <w:rPr>
          <w:rFonts w:eastAsia="Calibri"/>
          <w:szCs w:val="22"/>
          <w:lang w:eastAsia="de-DE" w:bidi="de-DE"/>
        </w:rPr>
        <w:t xml:space="preserve"> § 1 Absatz 2 EStGB 92)</w:t>
      </w:r>
    </w:p>
    <w:p w14:paraId="5D7FDD8B"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09 Wissenschaftliche Forschung (Art. 275</w:t>
      </w:r>
      <w:r w:rsidRPr="00B65258">
        <w:rPr>
          <w:rFonts w:eastAsia="Calibri"/>
          <w:szCs w:val="22"/>
          <w:vertAlign w:val="superscript"/>
          <w:lang w:eastAsia="de-DE" w:bidi="de-DE"/>
        </w:rPr>
        <w:t>3</w:t>
      </w:r>
      <w:r w:rsidRPr="00B65258">
        <w:rPr>
          <w:rFonts w:eastAsia="Calibri"/>
          <w:szCs w:val="22"/>
          <w:lang w:eastAsia="de-DE" w:bidi="de-DE"/>
        </w:rPr>
        <w:t xml:space="preserve"> § 1 Absatz 3 Nr. 1 EStGB 92)</w:t>
      </w:r>
    </w:p>
    <w:p w14:paraId="0D63178F"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31 Wissenschaftliche Forschung (Art. 275</w:t>
      </w:r>
      <w:r w:rsidRPr="00B65258">
        <w:rPr>
          <w:rFonts w:eastAsia="Calibri"/>
          <w:szCs w:val="22"/>
          <w:vertAlign w:val="superscript"/>
          <w:lang w:eastAsia="de-DE" w:bidi="de-DE"/>
        </w:rPr>
        <w:t>3</w:t>
      </w:r>
      <w:r w:rsidRPr="00B65258">
        <w:rPr>
          <w:rFonts w:eastAsia="Calibri"/>
          <w:szCs w:val="22"/>
          <w:lang w:eastAsia="de-DE" w:bidi="de-DE"/>
        </w:rPr>
        <w:t xml:space="preserve"> § 1 Absatz 3 Nr. 2 EStGB 92)</w:t>
      </w:r>
    </w:p>
    <w:p w14:paraId="2D8B784E" w14:textId="77777777" w:rsidR="0090665B" w:rsidRPr="00B65258" w:rsidRDefault="0090665B" w:rsidP="0090665B">
      <w:pPr>
        <w:spacing w:line="360" w:lineRule="auto"/>
        <w:ind w:left="708"/>
        <w:rPr>
          <w:rFonts w:eastAsia="Calibri"/>
          <w:szCs w:val="22"/>
          <w:lang w:eastAsia="de-DE" w:bidi="de-DE"/>
        </w:rPr>
      </w:pPr>
      <w:r w:rsidRPr="00B65258">
        <w:rPr>
          <w:rFonts w:eastAsia="Calibri"/>
          <w:szCs w:val="22"/>
          <w:lang w:eastAsia="de-DE" w:bidi="de-DE"/>
        </w:rPr>
        <w:t>32 Wissenschaftliche Forschung (Art. 275</w:t>
      </w:r>
      <w:r w:rsidRPr="00B65258">
        <w:rPr>
          <w:rFonts w:eastAsia="Calibri"/>
          <w:szCs w:val="22"/>
          <w:vertAlign w:val="superscript"/>
          <w:lang w:eastAsia="de-DE" w:bidi="de-DE"/>
        </w:rPr>
        <w:t>3</w:t>
      </w:r>
      <w:r w:rsidRPr="00B65258">
        <w:rPr>
          <w:rFonts w:eastAsia="Calibri"/>
          <w:szCs w:val="22"/>
          <w:lang w:eastAsia="de-DE" w:bidi="de-DE"/>
        </w:rPr>
        <w:t xml:space="preserve"> § 1 Absatz 3 Nr. 3 EStGB 92) - Diplome Art. 275</w:t>
      </w:r>
      <w:r w:rsidRPr="00B65258">
        <w:rPr>
          <w:rFonts w:eastAsia="Calibri"/>
          <w:szCs w:val="22"/>
          <w:vertAlign w:val="superscript"/>
          <w:lang w:eastAsia="de-DE" w:bidi="de-DE"/>
        </w:rPr>
        <w:t>3</w:t>
      </w:r>
      <w:r w:rsidRPr="00B65258">
        <w:rPr>
          <w:rFonts w:eastAsia="Calibri"/>
          <w:szCs w:val="22"/>
          <w:lang w:eastAsia="de-DE" w:bidi="de-DE"/>
        </w:rPr>
        <w:t xml:space="preserve"> § 2 Nr. 1 EStGB 92</w:t>
      </w:r>
    </w:p>
    <w:p w14:paraId="5A931A62" w14:textId="77777777" w:rsidR="0090665B" w:rsidRDefault="0090665B" w:rsidP="0090665B">
      <w:pPr>
        <w:spacing w:line="360" w:lineRule="auto"/>
        <w:ind w:left="708"/>
        <w:rPr>
          <w:rFonts w:eastAsia="Calibri"/>
          <w:szCs w:val="22"/>
          <w:lang w:eastAsia="de-DE" w:bidi="de-DE"/>
        </w:rPr>
      </w:pPr>
      <w:r w:rsidRPr="00B65258">
        <w:rPr>
          <w:rFonts w:eastAsia="Calibri"/>
          <w:szCs w:val="22"/>
          <w:lang w:eastAsia="de-DE" w:bidi="de-DE"/>
        </w:rPr>
        <w:t>33 Wissenschaftliche Forschung (Art. 275</w:t>
      </w:r>
      <w:r w:rsidRPr="00B65258">
        <w:rPr>
          <w:rFonts w:eastAsia="Calibri"/>
          <w:szCs w:val="22"/>
          <w:vertAlign w:val="superscript"/>
          <w:lang w:eastAsia="de-DE" w:bidi="de-DE"/>
        </w:rPr>
        <w:t>3</w:t>
      </w:r>
      <w:r w:rsidRPr="00B65258">
        <w:rPr>
          <w:rFonts w:eastAsia="Calibri"/>
          <w:szCs w:val="22"/>
          <w:lang w:eastAsia="de-DE" w:bidi="de-DE"/>
        </w:rPr>
        <w:t xml:space="preserve"> § 1 Absatz 3 Nr. 3 EStGB 92) - Diplome Art. 275</w:t>
      </w:r>
      <w:r w:rsidRPr="00B65258">
        <w:rPr>
          <w:rFonts w:eastAsia="Calibri"/>
          <w:szCs w:val="22"/>
          <w:vertAlign w:val="superscript"/>
          <w:lang w:eastAsia="de-DE" w:bidi="de-DE"/>
        </w:rPr>
        <w:t>3</w:t>
      </w:r>
      <w:r w:rsidRPr="00B65258">
        <w:rPr>
          <w:rFonts w:eastAsia="Calibri"/>
          <w:szCs w:val="22"/>
          <w:lang w:eastAsia="de-DE" w:bidi="de-DE"/>
        </w:rPr>
        <w:t xml:space="preserve"> § 2 Nr. 2 EStGB 92</w:t>
      </w:r>
    </w:p>
    <w:p w14:paraId="5867F778" w14:textId="77777777" w:rsidR="0090665B" w:rsidRPr="00B65258" w:rsidRDefault="0090665B" w:rsidP="0090665B">
      <w:pPr>
        <w:spacing w:line="360" w:lineRule="auto"/>
        <w:ind w:left="708"/>
        <w:rPr>
          <w:rFonts w:eastAsia="Calibri"/>
          <w:szCs w:val="22"/>
          <w:lang w:eastAsia="de-DE" w:bidi="de-DE"/>
        </w:rPr>
      </w:pPr>
      <w:r>
        <w:rPr>
          <w:rFonts w:eastAsia="Calibri"/>
          <w:szCs w:val="22"/>
          <w:lang w:eastAsia="de-DE" w:bidi="de-DE"/>
        </w:rPr>
        <w:t xml:space="preserve"> [</w:t>
      </w:r>
      <w:r w:rsidRPr="004A2407">
        <w:t>34 Wissenschaftliche Forschung (Art. 275</w:t>
      </w:r>
      <w:r w:rsidRPr="004A2407">
        <w:rPr>
          <w:vertAlign w:val="superscript"/>
        </w:rPr>
        <w:t>3</w:t>
      </w:r>
      <w:r w:rsidRPr="004A2407">
        <w:t xml:space="preserve"> § 1 Absatz 6 EStGB 92) - Diplome Art. 275</w:t>
      </w:r>
      <w:r w:rsidRPr="004A2407">
        <w:rPr>
          <w:vertAlign w:val="superscript"/>
        </w:rPr>
        <w:t>3</w:t>
      </w:r>
      <w:r w:rsidRPr="004A2407">
        <w:t xml:space="preserve"> § 2 Nr. 3 und 4 EStGB 92</w:t>
      </w:r>
      <w:r>
        <w:rPr>
          <w:rFonts w:eastAsia="Calibri"/>
          <w:szCs w:val="22"/>
          <w:lang w:eastAsia="de-DE" w:bidi="de-DE"/>
        </w:rPr>
        <w:t>]</w:t>
      </w:r>
    </w:p>
    <w:p w14:paraId="278D9694"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41 Sportler (Art. 275</w:t>
      </w:r>
      <w:r w:rsidRPr="00B65258">
        <w:rPr>
          <w:rFonts w:eastAsia="Calibri"/>
          <w:szCs w:val="22"/>
          <w:vertAlign w:val="superscript"/>
          <w:lang w:eastAsia="de-DE" w:bidi="de-DE"/>
        </w:rPr>
        <w:t>6</w:t>
      </w:r>
      <w:r w:rsidRPr="00B65258">
        <w:rPr>
          <w:rFonts w:eastAsia="Calibri"/>
          <w:szCs w:val="22"/>
          <w:lang w:eastAsia="de-DE" w:bidi="de-DE"/>
        </w:rPr>
        <w:t xml:space="preserve"> Absatz 1 EStGB 92)</w:t>
      </w:r>
    </w:p>
    <w:p w14:paraId="7DD67963"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42 Sportler (Art. 275</w:t>
      </w:r>
      <w:r w:rsidRPr="00B65258">
        <w:rPr>
          <w:rFonts w:eastAsia="Calibri"/>
          <w:szCs w:val="22"/>
          <w:vertAlign w:val="superscript"/>
          <w:lang w:eastAsia="de-DE" w:bidi="de-DE"/>
        </w:rPr>
        <w:t>6</w:t>
      </w:r>
      <w:r w:rsidRPr="00B65258">
        <w:rPr>
          <w:rFonts w:eastAsia="Calibri"/>
          <w:szCs w:val="22"/>
          <w:lang w:eastAsia="de-DE" w:bidi="de-DE"/>
        </w:rPr>
        <w:t xml:space="preserve"> Absatz 2 EStGB 92)</w:t>
      </w:r>
    </w:p>
    <w:p w14:paraId="27FBD210"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43 [...] (aufgehoben)</w:t>
      </w:r>
    </w:p>
    <w:p w14:paraId="02B67679"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r>
      <w:r w:rsidRPr="00865C4C">
        <w:rPr>
          <w:rFonts w:eastAsia="Calibri"/>
          <w:szCs w:val="22"/>
          <w:lang w:eastAsia="de-DE" w:bidi="de-DE"/>
        </w:rPr>
        <w:t>[</w:t>
      </w:r>
      <w:r w:rsidRPr="00B65258">
        <w:rPr>
          <w:rFonts w:eastAsia="Calibri"/>
          <w:szCs w:val="22"/>
          <w:lang w:eastAsia="de-DE" w:bidi="de-DE"/>
        </w:rPr>
        <w:t xml:space="preserve">44 </w:t>
      </w:r>
      <w:r>
        <w:rPr>
          <w:rFonts w:eastAsia="Calibri"/>
          <w:szCs w:val="22"/>
          <w:lang w:eastAsia="de-DE" w:bidi="de-DE"/>
        </w:rPr>
        <w:t>[</w:t>
      </w:r>
      <w:r>
        <w:t>Überarbeit (Art. 275</w:t>
      </w:r>
      <w:r>
        <w:rPr>
          <w:vertAlign w:val="superscript"/>
        </w:rPr>
        <w:t>1</w:t>
      </w:r>
      <w:r>
        <w:t xml:space="preserve"> Absatz 4 zweiter Gedankenstrich und Absatz 6 EStGB 92)]</w:t>
      </w:r>
      <w:r>
        <w:rPr>
          <w:rFonts w:eastAsia="Calibri"/>
          <w:szCs w:val="22"/>
          <w:lang w:eastAsia="de-DE" w:bidi="de-DE"/>
        </w:rPr>
        <w:t>]</w:t>
      </w:r>
    </w:p>
    <w:p w14:paraId="2CEBBE73"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r>
      <w:r>
        <w:rPr>
          <w:rFonts w:eastAsia="Calibri"/>
          <w:szCs w:val="22"/>
          <w:lang w:eastAsia="de-DE" w:bidi="de-DE"/>
        </w:rPr>
        <w:t>[</w:t>
      </w:r>
      <w:r w:rsidRPr="00B65258">
        <w:rPr>
          <w:rFonts w:eastAsia="Calibri"/>
          <w:szCs w:val="22"/>
          <w:lang w:eastAsia="de-DE" w:bidi="de-DE"/>
        </w:rPr>
        <w:t xml:space="preserve">45 </w:t>
      </w:r>
      <w:r>
        <w:rPr>
          <w:rFonts w:eastAsia="Calibri"/>
          <w:szCs w:val="22"/>
          <w:lang w:eastAsia="de-DE" w:bidi="de-DE"/>
        </w:rPr>
        <w:t>[</w:t>
      </w:r>
      <w:r>
        <w:t>Überarbeit (Art. 275</w:t>
      </w:r>
      <w:r>
        <w:rPr>
          <w:vertAlign w:val="superscript"/>
        </w:rPr>
        <w:t>1</w:t>
      </w:r>
      <w:r>
        <w:t xml:space="preserve"> Absatz 4 erster Gedankenstrich und Absatz 6 EStGB 92)]</w:t>
      </w:r>
      <w:r>
        <w:rPr>
          <w:rFonts w:eastAsia="Calibri"/>
          <w:szCs w:val="22"/>
          <w:lang w:eastAsia="de-DE" w:bidi="de-DE"/>
        </w:rPr>
        <w:t>]</w:t>
      </w:r>
    </w:p>
    <w:p w14:paraId="6AF607FC"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r>
      <w:r>
        <w:rPr>
          <w:rFonts w:eastAsia="Calibri"/>
          <w:szCs w:val="22"/>
          <w:lang w:eastAsia="de-DE" w:bidi="de-DE"/>
        </w:rPr>
        <w:t>[</w:t>
      </w:r>
      <w:r w:rsidRPr="001E70FB">
        <w:t>46 Allgemeine Regel (Art. 275</w:t>
      </w:r>
      <w:r w:rsidRPr="001E70FB">
        <w:rPr>
          <w:vertAlign w:val="superscript"/>
        </w:rPr>
        <w:t>7</w:t>
      </w:r>
      <w:r w:rsidRPr="001E70FB">
        <w:t xml:space="preserve"> Absatz 3 Buchstabe </w:t>
      </w:r>
      <w:r w:rsidRPr="001E70FB">
        <w:rPr>
          <w:i/>
          <w:iCs/>
        </w:rPr>
        <w:t>b)</w:t>
      </w:r>
      <w:r w:rsidRPr="001E70FB">
        <w:t xml:space="preserve"> Nr. 1 und </w:t>
      </w:r>
      <w:r w:rsidRPr="001E70FB">
        <w:rPr>
          <w:i/>
          <w:iCs/>
        </w:rPr>
        <w:t>c)</w:t>
      </w:r>
      <w:r w:rsidRPr="001E70FB">
        <w:t xml:space="preserve"> EStGB 92)</w:t>
      </w:r>
      <w:r>
        <w:rPr>
          <w:rFonts w:eastAsia="Calibri"/>
          <w:szCs w:val="22"/>
          <w:lang w:eastAsia="de-DE" w:bidi="de-DE"/>
        </w:rPr>
        <w:t>]</w:t>
      </w:r>
    </w:p>
    <w:p w14:paraId="7B9D46F4"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48 Gebietsfremde Sportler (Art. 275</w:t>
      </w:r>
      <w:r w:rsidRPr="00B65258">
        <w:rPr>
          <w:rFonts w:eastAsia="Calibri"/>
          <w:szCs w:val="22"/>
          <w:vertAlign w:val="superscript"/>
          <w:lang w:eastAsia="de-DE" w:bidi="de-DE"/>
        </w:rPr>
        <w:t>6</w:t>
      </w:r>
      <w:r w:rsidRPr="00B65258">
        <w:rPr>
          <w:rFonts w:eastAsia="Calibri"/>
          <w:szCs w:val="22"/>
          <w:lang w:eastAsia="de-DE" w:bidi="de-DE"/>
        </w:rPr>
        <w:t xml:space="preserve"> Absatz 1 und 7 EStGB 92)</w:t>
      </w:r>
    </w:p>
    <w:p w14:paraId="5BB7FAF2"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49 Gebietsfremde Sportler (Art. 275</w:t>
      </w:r>
      <w:r w:rsidRPr="00B65258">
        <w:rPr>
          <w:rFonts w:eastAsia="Calibri"/>
          <w:szCs w:val="22"/>
          <w:vertAlign w:val="superscript"/>
          <w:lang w:eastAsia="de-DE" w:bidi="de-DE"/>
        </w:rPr>
        <w:t>6</w:t>
      </w:r>
      <w:r w:rsidRPr="00B65258">
        <w:rPr>
          <w:rFonts w:eastAsia="Calibri"/>
          <w:szCs w:val="22"/>
          <w:lang w:eastAsia="de-DE" w:bidi="de-DE"/>
        </w:rPr>
        <w:t xml:space="preserve"> Absatz 2 und 7 EStGB 92)]]</w:t>
      </w:r>
    </w:p>
    <w:p w14:paraId="3C22FCF1" w14:textId="77777777" w:rsidR="0090665B" w:rsidRPr="00B65258" w:rsidRDefault="0090665B" w:rsidP="0090665B">
      <w:pPr>
        <w:spacing w:line="360" w:lineRule="auto"/>
        <w:ind w:left="708"/>
        <w:rPr>
          <w:rFonts w:eastAsia="Calibri"/>
          <w:szCs w:val="22"/>
          <w:lang w:eastAsia="de-DE" w:bidi="de-DE"/>
        </w:rPr>
      </w:pPr>
      <w:r w:rsidRPr="00B65258">
        <w:rPr>
          <w:rFonts w:eastAsia="Calibri"/>
          <w:szCs w:val="22"/>
          <w:lang w:eastAsia="de-DE" w:bidi="de-DE"/>
        </w:rPr>
        <w:t xml:space="preserve">[51 </w:t>
      </w:r>
      <w:r>
        <w:t>Überarbeit (Art. 275</w:t>
      </w:r>
      <w:r>
        <w:rPr>
          <w:vertAlign w:val="superscript"/>
        </w:rPr>
        <w:t>1</w:t>
      </w:r>
      <w:r>
        <w:t xml:space="preserve"> Absatz 4 zweiter Gedankenstrich und Absatz 8 EStGB 92)</w:t>
      </w:r>
      <w:r>
        <w:rPr>
          <w:rFonts w:eastAsia="Calibri"/>
          <w:szCs w:val="22"/>
          <w:lang w:eastAsia="de-DE" w:bidi="de-DE"/>
        </w:rPr>
        <w:t>]</w:t>
      </w:r>
    </w:p>
    <w:p w14:paraId="254E7A07" w14:textId="77777777" w:rsidR="0090665B" w:rsidRPr="00B65258" w:rsidRDefault="0090665B" w:rsidP="0090665B">
      <w:pPr>
        <w:spacing w:line="360" w:lineRule="auto"/>
        <w:ind w:left="708"/>
        <w:rPr>
          <w:rFonts w:eastAsia="Calibri"/>
          <w:szCs w:val="22"/>
          <w:lang w:eastAsia="de-DE" w:bidi="de-DE"/>
        </w:rPr>
      </w:pPr>
      <w:r>
        <w:rPr>
          <w:rFonts w:eastAsia="Calibri"/>
          <w:szCs w:val="22"/>
          <w:lang w:eastAsia="de-DE" w:bidi="de-DE"/>
        </w:rPr>
        <w:t>[</w:t>
      </w:r>
      <w:r w:rsidRPr="00B65258">
        <w:rPr>
          <w:rFonts w:eastAsia="Calibri"/>
          <w:szCs w:val="22"/>
          <w:lang w:eastAsia="de-DE" w:bidi="de-DE"/>
        </w:rPr>
        <w:t xml:space="preserve">52 </w:t>
      </w:r>
      <w:r>
        <w:t>Überarbeit (Art. 275</w:t>
      </w:r>
      <w:r>
        <w:rPr>
          <w:vertAlign w:val="superscript"/>
        </w:rPr>
        <w:t>1</w:t>
      </w:r>
      <w:r>
        <w:t xml:space="preserve"> Absatz 4 erster Gedankenstrich und Absatz 8 EStGB 92)</w:t>
      </w:r>
      <w:r>
        <w:rPr>
          <w:rFonts w:eastAsia="Calibri"/>
          <w:szCs w:val="22"/>
          <w:lang w:eastAsia="de-DE" w:bidi="de-DE"/>
        </w:rPr>
        <w:t>]</w:t>
      </w:r>
    </w:p>
    <w:p w14:paraId="4EAC152A" w14:textId="77777777" w:rsidR="0090665B" w:rsidRPr="00B65258" w:rsidRDefault="0090665B" w:rsidP="0090665B">
      <w:pPr>
        <w:spacing w:line="360" w:lineRule="auto"/>
        <w:rPr>
          <w:rFonts w:eastAsia="Calibri"/>
          <w:szCs w:val="22"/>
          <w:lang w:eastAsia="de-DE" w:bidi="de-DE"/>
        </w:rPr>
      </w:pPr>
      <w:r w:rsidRPr="00B65258">
        <w:rPr>
          <w:rFonts w:eastAsia="Calibri"/>
          <w:szCs w:val="22"/>
          <w:lang w:eastAsia="de-DE" w:bidi="de-DE"/>
        </w:rPr>
        <w:tab/>
        <w:t xml:space="preserve">53 </w:t>
      </w:r>
      <w:r>
        <w:rPr>
          <w:rFonts w:eastAsia="Calibri"/>
          <w:szCs w:val="22"/>
          <w:lang w:eastAsia="de-DE" w:bidi="de-DE"/>
        </w:rPr>
        <w:t>[</w:t>
      </w:r>
      <w:r w:rsidRPr="00C452EA">
        <w:t>Vollkontinuierliche Schichtarbeit (Art. 275</w:t>
      </w:r>
      <w:r w:rsidRPr="00C452EA">
        <w:rPr>
          <w:vertAlign w:val="superscript"/>
        </w:rPr>
        <w:t>5</w:t>
      </w:r>
      <w:r w:rsidRPr="00C452EA">
        <w:t xml:space="preserve"> § 3 EStGB 92)</w:t>
      </w:r>
      <w:r>
        <w:rPr>
          <w:rFonts w:eastAsia="Calibri"/>
          <w:szCs w:val="22"/>
          <w:lang w:eastAsia="de-DE" w:bidi="de-DE"/>
        </w:rPr>
        <w:t>]</w:t>
      </w:r>
    </w:p>
    <w:p w14:paraId="3AB4D60F" w14:textId="77777777" w:rsidR="0090665B" w:rsidRDefault="0090665B" w:rsidP="0090665B">
      <w:pPr>
        <w:spacing w:line="360" w:lineRule="auto"/>
        <w:rPr>
          <w:rFonts w:eastAsia="Calibri"/>
          <w:szCs w:val="22"/>
          <w:lang w:eastAsia="de-DE" w:bidi="de-DE"/>
        </w:rPr>
      </w:pPr>
      <w:r w:rsidRPr="00B65258">
        <w:rPr>
          <w:rFonts w:eastAsia="Calibri"/>
          <w:szCs w:val="22"/>
          <w:lang w:eastAsia="de-DE" w:bidi="de-DE"/>
        </w:rPr>
        <w:tab/>
      </w:r>
      <w:r>
        <w:rPr>
          <w:rFonts w:eastAsia="Calibri"/>
          <w:szCs w:val="22"/>
          <w:lang w:eastAsia="de-DE" w:bidi="de-DE"/>
        </w:rPr>
        <w:t>[</w:t>
      </w:r>
      <w:r w:rsidRPr="001E70FB">
        <w:t>54 Allgemeine Regel (Art. 275</w:t>
      </w:r>
      <w:r w:rsidRPr="001E70FB">
        <w:rPr>
          <w:vertAlign w:val="superscript"/>
        </w:rPr>
        <w:t>7</w:t>
      </w:r>
      <w:r w:rsidRPr="001E70FB">
        <w:t xml:space="preserve"> Absatz 3 Buchstabe </w:t>
      </w:r>
      <w:r w:rsidRPr="001E70FB">
        <w:rPr>
          <w:i/>
          <w:iCs/>
        </w:rPr>
        <w:t>b)</w:t>
      </w:r>
      <w:r w:rsidRPr="001E70FB">
        <w:t xml:space="preserve"> Nr. 2 EStGB 92)</w:t>
      </w:r>
      <w:r>
        <w:rPr>
          <w:rFonts w:eastAsia="Calibri"/>
          <w:szCs w:val="22"/>
          <w:lang w:eastAsia="de-DE" w:bidi="de-DE"/>
        </w:rPr>
        <w:t>]</w:t>
      </w:r>
      <w:r w:rsidRPr="00B65258">
        <w:rPr>
          <w:rFonts w:eastAsia="Calibri"/>
          <w:szCs w:val="22"/>
          <w:lang w:eastAsia="de-DE" w:bidi="de-DE"/>
        </w:rPr>
        <w:t>]</w:t>
      </w:r>
    </w:p>
    <w:p w14:paraId="4684C335" w14:textId="77777777" w:rsidR="0090665B" w:rsidRPr="00926288" w:rsidRDefault="0090665B" w:rsidP="0090665B">
      <w:pPr>
        <w:spacing w:line="360" w:lineRule="auto"/>
        <w:rPr>
          <w:rFonts w:eastAsia="Calibri"/>
          <w:szCs w:val="22"/>
          <w:lang w:eastAsia="de-DE" w:bidi="de-DE"/>
        </w:rPr>
      </w:pPr>
      <w:r>
        <w:rPr>
          <w:rFonts w:eastAsia="Calibri"/>
          <w:szCs w:val="22"/>
          <w:lang w:eastAsia="de-DE" w:bidi="de-DE"/>
        </w:rPr>
        <w:tab/>
        <w:t>[</w:t>
      </w:r>
      <w:r>
        <w:t>55 Horeca (Art. 275</w:t>
      </w:r>
      <w:r>
        <w:rPr>
          <w:vertAlign w:val="superscript"/>
        </w:rPr>
        <w:t>1</w:t>
      </w:r>
      <w:r>
        <w:t xml:space="preserve"> Absatz 4 zweiter Gedankenstrich und Absatz 9 EStGB 92)</w:t>
      </w:r>
      <w:r>
        <w:rPr>
          <w:rFonts w:eastAsia="Calibri"/>
          <w:szCs w:val="22"/>
          <w:lang w:eastAsia="de-DE" w:bidi="de-DE"/>
        </w:rPr>
        <w:t>]</w:t>
      </w:r>
    </w:p>
    <w:p w14:paraId="6E41A636" w14:textId="77777777" w:rsidR="0090665B" w:rsidRDefault="0090665B" w:rsidP="0090665B">
      <w:pPr>
        <w:spacing w:line="360" w:lineRule="auto"/>
        <w:ind w:firstLine="708"/>
        <w:rPr>
          <w:rFonts w:eastAsia="Calibri"/>
          <w:szCs w:val="22"/>
          <w:lang w:eastAsia="de-DE" w:bidi="de-DE"/>
        </w:rPr>
      </w:pPr>
      <w:r>
        <w:rPr>
          <w:rFonts w:eastAsia="Calibri"/>
          <w:szCs w:val="22"/>
          <w:lang w:eastAsia="de-DE" w:bidi="de-DE"/>
        </w:rPr>
        <w:t>[</w:t>
      </w:r>
      <w:r w:rsidRPr="00926288">
        <w:rPr>
          <w:rFonts w:eastAsia="Calibri"/>
          <w:szCs w:val="22"/>
          <w:lang w:eastAsia="de-DE" w:bidi="de-DE"/>
        </w:rPr>
        <w:t>56 Allgemeine Regel (Art. 275</w:t>
      </w:r>
      <w:r w:rsidRPr="0069101E">
        <w:rPr>
          <w:rFonts w:eastAsia="Calibri"/>
          <w:szCs w:val="22"/>
          <w:vertAlign w:val="superscript"/>
          <w:lang w:eastAsia="de-DE" w:bidi="de-DE"/>
        </w:rPr>
        <w:t>7</w:t>
      </w:r>
      <w:r w:rsidRPr="00926288">
        <w:rPr>
          <w:rFonts w:eastAsia="Calibri"/>
          <w:szCs w:val="22"/>
          <w:lang w:eastAsia="de-DE" w:bidi="de-DE"/>
        </w:rPr>
        <w:t xml:space="preserve"> Absatz 3 Buchstabe </w:t>
      </w:r>
      <w:r w:rsidRPr="0069101E">
        <w:rPr>
          <w:rFonts w:eastAsia="Calibri"/>
          <w:i/>
          <w:szCs w:val="22"/>
          <w:lang w:eastAsia="de-DE" w:bidi="de-DE"/>
        </w:rPr>
        <w:t>a)</w:t>
      </w:r>
      <w:r w:rsidRPr="00926288">
        <w:rPr>
          <w:rFonts w:eastAsia="Calibri"/>
          <w:szCs w:val="22"/>
          <w:lang w:eastAsia="de-DE" w:bidi="de-DE"/>
        </w:rPr>
        <w:t xml:space="preserve"> EStGB 92)</w:t>
      </w:r>
      <w:r>
        <w:rPr>
          <w:rFonts w:eastAsia="Calibri"/>
          <w:szCs w:val="22"/>
          <w:lang w:eastAsia="de-DE" w:bidi="de-DE"/>
        </w:rPr>
        <w:t>]</w:t>
      </w:r>
    </w:p>
    <w:p w14:paraId="67925D47" w14:textId="77777777" w:rsidR="0090665B" w:rsidRPr="00926288" w:rsidRDefault="0090665B" w:rsidP="0090665B">
      <w:pPr>
        <w:spacing w:line="360" w:lineRule="auto"/>
        <w:ind w:left="708"/>
        <w:rPr>
          <w:rFonts w:eastAsia="Calibri"/>
          <w:szCs w:val="22"/>
          <w:lang w:eastAsia="de-DE" w:bidi="de-DE"/>
        </w:rPr>
      </w:pPr>
      <w:r>
        <w:rPr>
          <w:rFonts w:eastAsia="Calibri"/>
          <w:szCs w:val="22"/>
          <w:lang w:eastAsia="de-DE" w:bidi="de-DE"/>
        </w:rPr>
        <w:lastRenderedPageBreak/>
        <w:t>[</w:t>
      </w:r>
      <w:r w:rsidRPr="00B9238C">
        <w:rPr>
          <w:rFonts w:eastAsia="Calibri"/>
          <w:szCs w:val="22"/>
          <w:lang w:eastAsia="de-DE" w:bidi="de-DE"/>
        </w:rPr>
        <w:t>57 </w:t>
      </w:r>
      <w:r>
        <w:rPr>
          <w:rFonts w:eastAsia="Calibri"/>
          <w:szCs w:val="22"/>
          <w:lang w:eastAsia="de-DE" w:bidi="de-DE"/>
        </w:rPr>
        <w:t>[</w:t>
      </w:r>
      <w:r w:rsidRPr="00C452EA">
        <w:t>Schichtarbeit Immobilienarbeiten (Art. 275</w:t>
      </w:r>
      <w:r w:rsidRPr="00C452EA">
        <w:rPr>
          <w:vertAlign w:val="superscript"/>
        </w:rPr>
        <w:t>5</w:t>
      </w:r>
      <w:r w:rsidRPr="00C452EA">
        <w:t xml:space="preserve"> § 5 EStGB 92)</w:t>
      </w:r>
      <w:r>
        <w:rPr>
          <w:rFonts w:eastAsia="Calibri"/>
          <w:szCs w:val="22"/>
          <w:lang w:eastAsia="de-DE" w:bidi="de-DE"/>
        </w:rPr>
        <w:t>]]</w:t>
      </w:r>
    </w:p>
    <w:p w14:paraId="751149C7" w14:textId="77777777" w:rsidR="0090665B" w:rsidRPr="00B9238C" w:rsidRDefault="0090665B" w:rsidP="0090665B">
      <w:pPr>
        <w:spacing w:line="360" w:lineRule="auto"/>
        <w:ind w:left="708"/>
        <w:rPr>
          <w:rFonts w:eastAsia="Calibri"/>
          <w:szCs w:val="22"/>
          <w:lang w:eastAsia="de-DE" w:bidi="de-DE"/>
        </w:rPr>
      </w:pPr>
      <w:r>
        <w:rPr>
          <w:rFonts w:eastAsia="Calibri"/>
          <w:szCs w:val="22"/>
          <w:lang w:eastAsia="de-DE" w:bidi="de-DE"/>
        </w:rPr>
        <w:t>[</w:t>
      </w:r>
      <w:r w:rsidRPr="00B9238C">
        <w:rPr>
          <w:rFonts w:eastAsia="Calibri"/>
          <w:szCs w:val="22"/>
          <w:lang w:eastAsia="de-DE" w:bidi="de-DE"/>
        </w:rPr>
        <w:t>58 Überarbeit (Art. 2751 Absatz 4 zweiter Gedankenstrich und Absatz 7 EStGB 92)</w:t>
      </w:r>
    </w:p>
    <w:p w14:paraId="33484118" w14:textId="77777777" w:rsidR="0090665B" w:rsidRDefault="0090665B" w:rsidP="0090665B">
      <w:pPr>
        <w:spacing w:line="360" w:lineRule="auto"/>
        <w:ind w:left="708"/>
        <w:rPr>
          <w:rFonts w:eastAsia="Calibri"/>
          <w:szCs w:val="22"/>
          <w:lang w:eastAsia="de-DE" w:bidi="de-DE"/>
        </w:rPr>
      </w:pPr>
      <w:r>
        <w:rPr>
          <w:rFonts w:eastAsia="Calibri"/>
          <w:szCs w:val="22"/>
          <w:lang w:eastAsia="de-DE" w:bidi="de-DE"/>
        </w:rPr>
        <w:t>5</w:t>
      </w:r>
      <w:r w:rsidRPr="00B9238C">
        <w:rPr>
          <w:rFonts w:eastAsia="Calibri"/>
          <w:szCs w:val="22"/>
          <w:lang w:eastAsia="de-DE" w:bidi="de-DE"/>
        </w:rPr>
        <w:t>9 Überarbeit (Art. 2751 Absatz 4 erster Gedankenstrich und Absatz 7 EStGB 92)</w:t>
      </w:r>
      <w:r>
        <w:rPr>
          <w:rFonts w:eastAsia="Calibri"/>
          <w:szCs w:val="22"/>
          <w:lang w:eastAsia="de-DE" w:bidi="de-DE"/>
        </w:rPr>
        <w:t>]</w:t>
      </w:r>
    </w:p>
    <w:p w14:paraId="75F5FB79" w14:textId="77777777" w:rsidR="0090665B" w:rsidRPr="0063473E" w:rsidRDefault="0090665B" w:rsidP="0090665B">
      <w:pPr>
        <w:spacing w:line="360" w:lineRule="auto"/>
        <w:ind w:left="708"/>
        <w:rPr>
          <w:rFonts w:eastAsia="Calibri"/>
          <w:szCs w:val="22"/>
          <w:lang w:eastAsia="de-DE" w:bidi="de-DE"/>
        </w:rPr>
      </w:pPr>
      <w:r>
        <w:rPr>
          <w:rFonts w:eastAsia="Calibri"/>
          <w:szCs w:val="22"/>
          <w:lang w:eastAsia="de-DE" w:bidi="de-DE"/>
        </w:rPr>
        <w:t>[</w:t>
      </w:r>
      <w:r w:rsidRPr="0063473E">
        <w:rPr>
          <w:rFonts w:eastAsia="Calibri"/>
          <w:szCs w:val="22"/>
          <w:lang w:eastAsia="de-DE" w:bidi="de-DE"/>
        </w:rPr>
        <w:t>60 Starter (Art. 275</w:t>
      </w:r>
      <w:r w:rsidRPr="00B9238C">
        <w:rPr>
          <w:rFonts w:eastAsia="Calibri"/>
          <w:szCs w:val="22"/>
          <w:lang w:eastAsia="de-DE" w:bidi="de-DE"/>
        </w:rPr>
        <w:t>10</w:t>
      </w:r>
      <w:r w:rsidRPr="0063473E">
        <w:rPr>
          <w:rFonts w:eastAsia="Calibri"/>
          <w:szCs w:val="22"/>
          <w:lang w:eastAsia="de-DE" w:bidi="de-DE"/>
        </w:rPr>
        <w:t xml:space="preserve"> Absatz 1 EStGB 92)</w:t>
      </w:r>
    </w:p>
    <w:p w14:paraId="78BD5547" w14:textId="77777777" w:rsidR="0090665B" w:rsidRDefault="0090665B" w:rsidP="0090665B">
      <w:pPr>
        <w:spacing w:line="360" w:lineRule="auto"/>
        <w:rPr>
          <w:rFonts w:eastAsia="Calibri"/>
          <w:szCs w:val="22"/>
          <w:lang w:eastAsia="de-DE" w:bidi="de-DE"/>
        </w:rPr>
      </w:pPr>
      <w:r w:rsidRPr="0063473E">
        <w:rPr>
          <w:rFonts w:eastAsia="Calibri"/>
          <w:szCs w:val="22"/>
          <w:lang w:eastAsia="de-DE" w:bidi="de-DE"/>
        </w:rPr>
        <w:tab/>
        <w:t>61 Starter (Art. 275</w:t>
      </w:r>
      <w:r w:rsidRPr="0063473E">
        <w:rPr>
          <w:rFonts w:eastAsia="Calibri"/>
          <w:szCs w:val="22"/>
          <w:vertAlign w:val="superscript"/>
          <w:lang w:eastAsia="de-DE" w:bidi="de-DE"/>
        </w:rPr>
        <w:t>10</w:t>
      </w:r>
      <w:r w:rsidRPr="0063473E">
        <w:rPr>
          <w:rFonts w:eastAsia="Calibri"/>
          <w:szCs w:val="22"/>
          <w:lang w:eastAsia="de-DE" w:bidi="de-DE"/>
        </w:rPr>
        <w:t xml:space="preserve"> Absatz 4 EStGB 92)</w:t>
      </w:r>
      <w:r>
        <w:rPr>
          <w:rFonts w:eastAsia="Calibri"/>
          <w:szCs w:val="22"/>
          <w:lang w:eastAsia="de-DE" w:bidi="de-DE"/>
        </w:rPr>
        <w:t>]</w:t>
      </w:r>
    </w:p>
    <w:p w14:paraId="127D7C9B" w14:textId="77777777" w:rsidR="0090665B" w:rsidRDefault="0090665B" w:rsidP="0090665B">
      <w:pPr>
        <w:spacing w:line="360" w:lineRule="auto"/>
        <w:rPr>
          <w:rFonts w:eastAsia="Calibri"/>
          <w:szCs w:val="22"/>
          <w:lang w:eastAsia="de-DE" w:bidi="de-DE"/>
        </w:rPr>
      </w:pPr>
      <w:r>
        <w:rPr>
          <w:rFonts w:eastAsia="Calibri"/>
          <w:szCs w:val="22"/>
          <w:lang w:eastAsia="de-DE" w:bidi="de-DE"/>
        </w:rPr>
        <w:tab/>
        <w:t>[</w:t>
      </w:r>
      <w:r w:rsidRPr="007A6D4E">
        <w:t>62 Erstbeschäftigungen für Jugendliche (Art. 275</w:t>
      </w:r>
      <w:r w:rsidRPr="007A6D4E">
        <w:rPr>
          <w:vertAlign w:val="superscript"/>
        </w:rPr>
        <w:t>11</w:t>
      </w:r>
      <w:r w:rsidRPr="007A6D4E">
        <w:t xml:space="preserve"> EStGB 92)</w:t>
      </w:r>
      <w:r>
        <w:rPr>
          <w:rFonts w:eastAsia="Calibri"/>
          <w:szCs w:val="22"/>
          <w:lang w:eastAsia="de-DE" w:bidi="de-DE"/>
        </w:rPr>
        <w:t>]</w:t>
      </w:r>
    </w:p>
    <w:p w14:paraId="73220ADD" w14:textId="77777777" w:rsidR="0090665B" w:rsidRDefault="0090665B" w:rsidP="0090665B">
      <w:pPr>
        <w:spacing w:line="360" w:lineRule="auto"/>
        <w:rPr>
          <w:rFonts w:eastAsia="Calibri"/>
          <w:szCs w:val="22"/>
          <w:lang w:eastAsia="de-DE" w:bidi="de-DE"/>
        </w:rPr>
      </w:pPr>
      <w:r>
        <w:rPr>
          <w:rFonts w:eastAsia="Calibri"/>
          <w:szCs w:val="22"/>
          <w:lang w:eastAsia="de-DE" w:bidi="de-DE"/>
        </w:rPr>
        <w:tab/>
        <w:t>[</w:t>
      </w:r>
      <w:r w:rsidRPr="001E70FB">
        <w:t>63 </w:t>
      </w:r>
      <w:r>
        <w:t>[</w:t>
      </w:r>
      <w:r w:rsidRPr="00C452EA">
        <w:t>Schichtarbeit Systemschifffahrt (Art. 275</w:t>
      </w:r>
      <w:r w:rsidRPr="00C452EA">
        <w:rPr>
          <w:vertAlign w:val="superscript"/>
        </w:rPr>
        <w:t>5</w:t>
      </w:r>
      <w:r w:rsidRPr="00C452EA">
        <w:t xml:space="preserve"> § 4 EStGB 92)</w:t>
      </w:r>
      <w:r>
        <w:t>]</w:t>
      </w:r>
      <w:r>
        <w:rPr>
          <w:rFonts w:eastAsia="Calibri"/>
          <w:szCs w:val="22"/>
          <w:lang w:eastAsia="de-DE" w:bidi="de-DE"/>
        </w:rPr>
        <w:t>]</w:t>
      </w:r>
    </w:p>
    <w:p w14:paraId="7C07C834" w14:textId="77777777" w:rsidR="0090665B" w:rsidRDefault="0090665B" w:rsidP="0090665B">
      <w:pPr>
        <w:spacing w:line="360" w:lineRule="auto"/>
        <w:rPr>
          <w:rFonts w:eastAsia="Calibri"/>
          <w:szCs w:val="22"/>
          <w:lang w:eastAsia="de-DE" w:bidi="de-DE"/>
        </w:rPr>
      </w:pPr>
      <w:r>
        <w:rPr>
          <w:rFonts w:eastAsia="Calibri"/>
          <w:szCs w:val="22"/>
          <w:lang w:eastAsia="de-DE" w:bidi="de-DE"/>
        </w:rPr>
        <w:tab/>
        <w:t>[</w:t>
      </w:r>
      <w:r w:rsidRPr="00DE05A3">
        <w:t>64 Ausbildung von Arbeitnehmern (Art. 275</w:t>
      </w:r>
      <w:r w:rsidRPr="00DE05A3">
        <w:rPr>
          <w:vertAlign w:val="superscript"/>
        </w:rPr>
        <w:t>12</w:t>
      </w:r>
      <w:r w:rsidRPr="00DE05A3">
        <w:t xml:space="preserve"> § 1 EStGB 92)</w:t>
      </w:r>
      <w:r>
        <w:rPr>
          <w:rFonts w:eastAsia="Calibri"/>
          <w:szCs w:val="22"/>
          <w:lang w:eastAsia="de-DE" w:bidi="de-DE"/>
        </w:rPr>
        <w:t>]</w:t>
      </w:r>
    </w:p>
    <w:p w14:paraId="51985FE9" w14:textId="77777777" w:rsidR="0090665B" w:rsidRPr="002768CA" w:rsidRDefault="0090665B" w:rsidP="0090665B">
      <w:pPr>
        <w:spacing w:line="360" w:lineRule="auto"/>
        <w:ind w:left="567"/>
        <w:rPr>
          <w:rFonts w:eastAsia="Calibri"/>
          <w:szCs w:val="22"/>
          <w:lang w:eastAsia="de-DE" w:bidi="de-DE"/>
        </w:rPr>
      </w:pPr>
      <w:r>
        <w:rPr>
          <w:rFonts w:eastAsia="Calibri"/>
          <w:szCs w:val="22"/>
          <w:lang w:eastAsia="de-DE" w:bidi="de-DE"/>
        </w:rPr>
        <w:tab/>
        <w:t>[</w:t>
      </w:r>
      <w:r w:rsidRPr="002768CA">
        <w:rPr>
          <w:rFonts w:eastAsia="Calibri"/>
          <w:szCs w:val="22"/>
          <w:lang w:eastAsia="de-DE" w:bidi="de-DE"/>
        </w:rPr>
        <w:t>74 Schichtarbeit (Art. 2755 § 1 EStGB 92)</w:t>
      </w:r>
    </w:p>
    <w:p w14:paraId="5DA45292" w14:textId="77777777" w:rsidR="0090665B" w:rsidRDefault="0090665B" w:rsidP="0090665B">
      <w:pPr>
        <w:spacing w:line="360" w:lineRule="auto"/>
        <w:ind w:left="567"/>
        <w:rPr>
          <w:rFonts w:eastAsia="Calibri"/>
          <w:szCs w:val="22"/>
          <w:lang w:eastAsia="de-DE" w:bidi="de-DE"/>
        </w:rPr>
      </w:pPr>
      <w:r w:rsidRPr="002768CA">
        <w:rPr>
          <w:rFonts w:eastAsia="Calibri"/>
          <w:szCs w:val="22"/>
          <w:lang w:eastAsia="de-DE" w:bidi="de-DE"/>
        </w:rPr>
        <w:tab/>
        <w:t>75 Nachtarbeit (Art. 2755 § 2 EStGB 92)</w:t>
      </w:r>
      <w:r>
        <w:rPr>
          <w:rFonts w:eastAsia="Calibri"/>
          <w:szCs w:val="22"/>
          <w:lang w:eastAsia="de-DE" w:bidi="de-DE"/>
        </w:rPr>
        <w:t>]</w:t>
      </w:r>
    </w:p>
    <w:p w14:paraId="590208E0" w14:textId="41A0A4A2" w:rsidR="00E815DA" w:rsidRDefault="00E815DA" w:rsidP="0090665B">
      <w:pPr>
        <w:spacing w:line="360" w:lineRule="auto"/>
        <w:ind w:left="567"/>
        <w:rPr>
          <w:rFonts w:eastAsia="Calibri"/>
          <w:szCs w:val="22"/>
          <w:lang w:eastAsia="de-DE" w:bidi="de-DE"/>
        </w:rPr>
      </w:pPr>
      <w:r>
        <w:rPr>
          <w:rFonts w:eastAsia="Calibri"/>
          <w:szCs w:val="22"/>
          <w:lang w:eastAsia="de-DE" w:bidi="de-DE"/>
        </w:rPr>
        <w:tab/>
        <w:t>[</w:t>
      </w:r>
      <w:r w:rsidRPr="00CB1FD8">
        <w:t>76 Gelegenheitsarbeit Obst- und Gemüsebau (Art. 275</w:t>
      </w:r>
      <w:r w:rsidRPr="00CB1FD8">
        <w:rPr>
          <w:vertAlign w:val="superscript"/>
        </w:rPr>
        <w:t>13</w:t>
      </w:r>
      <w:r w:rsidRPr="00CB1FD8">
        <w:t xml:space="preserve"> EStGB 92)</w:t>
      </w:r>
      <w:r>
        <w:t>]</w:t>
      </w:r>
    </w:p>
    <w:p w14:paraId="04009E95" w14:textId="77777777" w:rsidR="0090665B" w:rsidRPr="00B66D1D" w:rsidRDefault="0090665B" w:rsidP="0090665B">
      <w:pPr>
        <w:spacing w:line="360" w:lineRule="auto"/>
        <w:ind w:left="708"/>
        <w:rPr>
          <w:rFonts w:eastAsia="Calibri"/>
          <w:szCs w:val="22"/>
          <w:lang w:eastAsia="de-DE" w:bidi="de-DE"/>
        </w:rPr>
      </w:pPr>
      <w:r>
        <w:rPr>
          <w:rFonts w:eastAsia="Calibri"/>
          <w:szCs w:val="22"/>
          <w:lang w:eastAsia="de-DE" w:bidi="de-DE"/>
        </w:rPr>
        <w:t>[</w:t>
      </w:r>
      <w:r w:rsidRPr="00B66D1D">
        <w:rPr>
          <w:rFonts w:eastAsia="Calibri"/>
          <w:szCs w:val="22"/>
          <w:lang w:eastAsia="de-DE" w:bidi="de-DE"/>
        </w:rPr>
        <w:t xml:space="preserve">80 </w:t>
      </w:r>
      <w:r>
        <w:rPr>
          <w:rFonts w:eastAsia="Calibri"/>
          <w:szCs w:val="22"/>
          <w:lang w:eastAsia="de-DE" w:bidi="de-DE"/>
        </w:rPr>
        <w:t>[</w:t>
      </w:r>
      <w:r w:rsidRPr="002768CA">
        <w:rPr>
          <w:rFonts w:eastAsia="Calibri"/>
          <w:szCs w:val="22"/>
          <w:lang w:eastAsia="de-DE" w:bidi="de-DE"/>
        </w:rPr>
        <w:t xml:space="preserve">Förderzone - Keine Erhaltung des Arbeitsplatzes während des </w:t>
      </w:r>
      <w:r>
        <w:rPr>
          <w:rFonts w:eastAsia="Calibri"/>
          <w:szCs w:val="22"/>
          <w:lang w:eastAsia="de-DE" w:bidi="de-DE"/>
        </w:rPr>
        <w:t>M</w:t>
      </w:r>
      <w:r w:rsidRPr="002768CA">
        <w:rPr>
          <w:rFonts w:eastAsia="Calibri"/>
          <w:szCs w:val="22"/>
          <w:lang w:eastAsia="de-DE" w:bidi="de-DE"/>
        </w:rPr>
        <w:t>indesterhal</w:t>
      </w:r>
      <w:r>
        <w:rPr>
          <w:rFonts w:eastAsia="Calibri"/>
          <w:szCs w:val="22"/>
          <w:lang w:eastAsia="de-DE" w:bidi="de-DE"/>
        </w:rPr>
        <w:softHyphen/>
      </w:r>
      <w:r w:rsidRPr="002768CA">
        <w:rPr>
          <w:rFonts w:eastAsia="Calibri"/>
          <w:szCs w:val="22"/>
          <w:lang w:eastAsia="de-DE" w:bidi="de-DE"/>
        </w:rPr>
        <w:t>tungs</w:t>
      </w:r>
      <w:r>
        <w:rPr>
          <w:rFonts w:eastAsia="Calibri"/>
          <w:szCs w:val="22"/>
          <w:lang w:eastAsia="de-DE" w:bidi="de-DE"/>
        </w:rPr>
        <w:softHyphen/>
      </w:r>
      <w:r w:rsidRPr="002768CA">
        <w:rPr>
          <w:rFonts w:eastAsia="Calibri"/>
          <w:szCs w:val="22"/>
          <w:lang w:eastAsia="de-DE" w:bidi="de-DE"/>
        </w:rPr>
        <w:t>zeitraums (Art. 2758 § 1 Absatz 6 EStGB 92)</w:t>
      </w:r>
      <w:r>
        <w:rPr>
          <w:rFonts w:eastAsia="Calibri"/>
          <w:szCs w:val="22"/>
          <w:lang w:eastAsia="de-DE" w:bidi="de-DE"/>
        </w:rPr>
        <w:t>]</w:t>
      </w:r>
    </w:p>
    <w:p w14:paraId="26D0710E" w14:textId="77777777" w:rsidR="0090665B" w:rsidRPr="00B66D1D" w:rsidRDefault="0090665B" w:rsidP="0090665B">
      <w:pPr>
        <w:spacing w:line="360" w:lineRule="auto"/>
        <w:rPr>
          <w:rFonts w:eastAsia="Calibri"/>
          <w:szCs w:val="22"/>
          <w:lang w:eastAsia="de-DE" w:bidi="de-DE"/>
        </w:rPr>
      </w:pPr>
      <w:r w:rsidRPr="00B66D1D">
        <w:rPr>
          <w:rFonts w:eastAsia="Calibri"/>
          <w:szCs w:val="22"/>
          <w:lang w:eastAsia="de-DE" w:bidi="de-DE"/>
        </w:rPr>
        <w:tab/>
        <w:t>81 Förderzone (Art. 275</w:t>
      </w:r>
      <w:r w:rsidRPr="002768CA">
        <w:rPr>
          <w:rFonts w:eastAsia="Calibri"/>
          <w:szCs w:val="22"/>
          <w:lang w:eastAsia="de-DE" w:bidi="de-DE"/>
        </w:rPr>
        <w:t>8</w:t>
      </w:r>
      <w:r w:rsidRPr="00B66D1D">
        <w:rPr>
          <w:rFonts w:eastAsia="Calibri"/>
          <w:szCs w:val="22"/>
          <w:lang w:eastAsia="de-DE" w:bidi="de-DE"/>
        </w:rPr>
        <w:t xml:space="preserve"> § 1 Absatz 1 EStGB 92)</w:t>
      </w:r>
    </w:p>
    <w:p w14:paraId="258DDF09" w14:textId="77777777" w:rsidR="0090665B" w:rsidRPr="00B66D1D" w:rsidRDefault="0090665B" w:rsidP="0090665B">
      <w:pPr>
        <w:spacing w:line="360" w:lineRule="auto"/>
        <w:ind w:left="708"/>
        <w:rPr>
          <w:rFonts w:eastAsia="Calibri"/>
          <w:szCs w:val="22"/>
          <w:lang w:eastAsia="de-DE" w:bidi="de-DE"/>
        </w:rPr>
      </w:pPr>
      <w:r w:rsidRPr="00B66D1D">
        <w:rPr>
          <w:rFonts w:eastAsia="Calibri"/>
          <w:szCs w:val="22"/>
          <w:lang w:eastAsia="de-DE" w:bidi="de-DE"/>
        </w:rPr>
        <w:t xml:space="preserve">90 </w:t>
      </w:r>
      <w:r>
        <w:rPr>
          <w:rFonts w:eastAsia="Calibri"/>
          <w:szCs w:val="22"/>
          <w:lang w:eastAsia="de-DE" w:bidi="de-DE"/>
        </w:rPr>
        <w:t>[</w:t>
      </w:r>
      <w:r w:rsidRPr="002768CA">
        <w:rPr>
          <w:rFonts w:eastAsia="Calibri"/>
          <w:szCs w:val="22"/>
          <w:lang w:eastAsia="de-DE" w:bidi="de-DE"/>
        </w:rPr>
        <w:t>Förderzone - Keine Erhaltung des Arbeitsplatzes während des Mindesterhaltungs</w:t>
      </w:r>
      <w:r>
        <w:rPr>
          <w:rFonts w:eastAsia="Calibri"/>
          <w:szCs w:val="22"/>
          <w:lang w:eastAsia="de-DE" w:bidi="de-DE"/>
        </w:rPr>
        <w:softHyphen/>
      </w:r>
      <w:r w:rsidRPr="002768CA">
        <w:rPr>
          <w:rFonts w:eastAsia="Calibri"/>
          <w:szCs w:val="22"/>
          <w:lang w:eastAsia="de-DE" w:bidi="de-DE"/>
        </w:rPr>
        <w:t>zeitraums (Art. 275</w:t>
      </w:r>
      <w:r w:rsidRPr="002768CA">
        <w:rPr>
          <w:rFonts w:eastAsia="Calibri"/>
          <w:szCs w:val="22"/>
          <w:vertAlign w:val="superscript"/>
          <w:lang w:eastAsia="de-DE" w:bidi="de-DE"/>
        </w:rPr>
        <w:t>9</w:t>
      </w:r>
      <w:r w:rsidRPr="002768CA">
        <w:rPr>
          <w:rFonts w:eastAsia="Calibri"/>
          <w:szCs w:val="22"/>
          <w:lang w:eastAsia="de-DE" w:bidi="de-DE"/>
        </w:rPr>
        <w:t xml:space="preserve"> § 1 Absatz 6 EStGB 92)</w:t>
      </w:r>
      <w:r>
        <w:rPr>
          <w:rFonts w:eastAsia="Calibri"/>
          <w:szCs w:val="22"/>
          <w:lang w:eastAsia="de-DE" w:bidi="de-DE"/>
        </w:rPr>
        <w:t>]</w:t>
      </w:r>
    </w:p>
    <w:p w14:paraId="4EB2118B" w14:textId="77777777" w:rsidR="0090665B" w:rsidRPr="00B65258" w:rsidRDefault="0090665B" w:rsidP="0090665B">
      <w:pPr>
        <w:spacing w:line="360" w:lineRule="auto"/>
        <w:rPr>
          <w:rFonts w:eastAsia="Calibri"/>
          <w:szCs w:val="22"/>
          <w:lang w:eastAsia="de-DE" w:bidi="de-DE"/>
        </w:rPr>
      </w:pPr>
      <w:r w:rsidRPr="00B66D1D">
        <w:rPr>
          <w:rFonts w:eastAsia="Calibri"/>
          <w:szCs w:val="22"/>
          <w:lang w:eastAsia="de-DE" w:bidi="de-DE"/>
        </w:rPr>
        <w:tab/>
        <w:t>91 Förderzone (Art. 275</w:t>
      </w:r>
      <w:r w:rsidRPr="0069101E">
        <w:rPr>
          <w:rFonts w:eastAsia="Calibri"/>
          <w:szCs w:val="22"/>
          <w:vertAlign w:val="superscript"/>
          <w:lang w:eastAsia="de-DE" w:bidi="de-DE"/>
        </w:rPr>
        <w:t>9</w:t>
      </w:r>
      <w:r w:rsidRPr="00B66D1D">
        <w:rPr>
          <w:rFonts w:eastAsia="Calibri"/>
          <w:szCs w:val="22"/>
          <w:lang w:eastAsia="de-DE" w:bidi="de-DE"/>
        </w:rPr>
        <w:t xml:space="preserve"> § 1 Absatz 1 EStGB 92)</w:t>
      </w:r>
      <w:r>
        <w:rPr>
          <w:rFonts w:eastAsia="Calibri"/>
          <w:szCs w:val="22"/>
          <w:lang w:eastAsia="de-DE" w:bidi="de-DE"/>
        </w:rPr>
        <w:t>]</w:t>
      </w:r>
    </w:p>
    <w:p w14:paraId="2057E0F5" w14:textId="77777777" w:rsidR="0090665B" w:rsidRPr="00B65258" w:rsidRDefault="0090665B" w:rsidP="0090665B">
      <w:pPr>
        <w:rPr>
          <w:rFonts w:eastAsia="Calibri"/>
          <w:szCs w:val="22"/>
          <w:lang w:eastAsia="de-DE" w:bidi="de-DE"/>
        </w:rPr>
      </w:pPr>
    </w:p>
    <w:p w14:paraId="665DDA36" w14:textId="56D3D56B" w:rsidR="0090665B" w:rsidRPr="00B65258" w:rsidRDefault="0090665B" w:rsidP="0090665B">
      <w:pPr>
        <w:jc w:val="both"/>
        <w:rPr>
          <w:rFonts w:eastAsia="Calibri"/>
          <w:i/>
          <w:szCs w:val="22"/>
          <w:lang w:eastAsia="de-DE" w:bidi="de-DE"/>
        </w:rPr>
        <w:sectPr w:rsidR="0090665B" w:rsidRPr="00B65258" w:rsidSect="003426CA">
          <w:pgSz w:w="11906" w:h="16838" w:code="9"/>
          <w:pgMar w:top="1134" w:right="1418" w:bottom="1134" w:left="1418" w:header="709" w:footer="709" w:gutter="0"/>
          <w:cols w:space="708"/>
          <w:docGrid w:linePitch="360"/>
        </w:sectPr>
      </w:pPr>
      <w:r w:rsidRPr="00B65258">
        <w:rPr>
          <w:rFonts w:eastAsia="Calibri"/>
          <w:i/>
          <w:szCs w:val="22"/>
          <w:lang w:eastAsia="de-DE" w:bidi="de-DE"/>
        </w:rPr>
        <w:t xml:space="preserve">[Anlage 3bis eingefügt durch Art. 3 des K.E. vom 22. August 2006 (B.S. vom 28. August 2006), ersetzt durch Art. 3 des K.E. vom 31. Juli 2009 (I) (B.S. vom 7. August 2009) und </w:t>
      </w:r>
      <w:r>
        <w:rPr>
          <w:rFonts w:eastAsia="Calibri"/>
          <w:i/>
          <w:szCs w:val="22"/>
          <w:lang w:eastAsia="de-DE" w:bidi="de-DE"/>
        </w:rPr>
        <w:t>abgeändert</w:t>
      </w:r>
      <w:r w:rsidRPr="00B65258">
        <w:rPr>
          <w:rFonts w:eastAsia="Calibri"/>
          <w:i/>
          <w:szCs w:val="22"/>
          <w:lang w:eastAsia="de-DE" w:bidi="de-DE"/>
        </w:rPr>
        <w:t xml:space="preserve"> durch Art. 3 des K.E. vom 21. Februar 2014 (I) (B.S. vom 26. Februar 2014)</w:t>
      </w:r>
      <w:r>
        <w:rPr>
          <w:rFonts w:eastAsia="Calibri"/>
          <w:i/>
          <w:szCs w:val="22"/>
          <w:lang w:eastAsia="de-DE" w:bidi="de-DE"/>
        </w:rPr>
        <w:t>, Art. 3 Buchstabe b) des K.E. vom 28. April 2015 (B.S. vom 30. April 2015), Art. 2 des K.E. vom 23. August 2015 (B.S. vom 28. August 2015), Art. 2 Nr. 1 und 2 des K.E. vom 19. Juli 2018 (B.S. vom 25. Juli 2018), Art. 2 des K.E. vom 13. April 2019 (I) (B.S. vom 3. Mai 2019), Art. 1 Nr. 1 bis 5 des K.E. vom 29. August 2019 (II) (B.S. vom 16. September 2019), Art. 14 Nr. 1 bis 4 des K.E. vom 20. Dezember 2020 (I) (B.S. vom 29. Dezember 2020), Art. 2 des K.E. vom 14. März 2021 (B.S. vom 18. März 2021), Art. 1 Nr. 1 bis 3 des K.E. vom 17. Dezember 2021 (B.S. vom 24. Dezember 2021)</w:t>
      </w:r>
      <w:r w:rsidR="00E815DA">
        <w:rPr>
          <w:rFonts w:eastAsia="Calibri"/>
          <w:i/>
          <w:szCs w:val="22"/>
          <w:lang w:eastAsia="de-DE" w:bidi="de-DE"/>
        </w:rPr>
        <w:t>,</w:t>
      </w:r>
      <w:r>
        <w:rPr>
          <w:rFonts w:eastAsia="Calibri"/>
          <w:i/>
          <w:szCs w:val="22"/>
          <w:lang w:eastAsia="de-DE" w:bidi="de-DE"/>
        </w:rPr>
        <w:t xml:space="preserve"> Art. 2 Buchstabe a) bis g) des K.E. vom 19. Mai 2022 (B.S. vom 30. Mai 2022)</w:t>
      </w:r>
      <w:r w:rsidR="00E815DA">
        <w:rPr>
          <w:rFonts w:eastAsia="Calibri"/>
          <w:i/>
          <w:szCs w:val="22"/>
          <w:lang w:eastAsia="de-DE" w:bidi="de-DE"/>
        </w:rPr>
        <w:t xml:space="preserve"> und Art. 2 des K.E. vom 9. April 2024 (B.S. vom 17. April 2024)</w:t>
      </w:r>
      <w:r>
        <w:rPr>
          <w:rFonts w:eastAsia="Calibri"/>
          <w:i/>
          <w:szCs w:val="22"/>
          <w:lang w:eastAsia="de-DE" w:bidi="de-DE"/>
        </w:rPr>
        <w:t>]</w:t>
      </w:r>
    </w:p>
    <w:p w14:paraId="2F15A063" w14:textId="77777777" w:rsidR="007172C3" w:rsidRPr="00B65258" w:rsidRDefault="007172C3" w:rsidP="007172C3">
      <w:pPr>
        <w:jc w:val="center"/>
        <w:rPr>
          <w:rFonts w:eastAsia="Calibri"/>
          <w:b/>
          <w:i/>
          <w:szCs w:val="22"/>
          <w:lang w:eastAsia="de-DE" w:bidi="de-DE"/>
        </w:rPr>
      </w:pPr>
      <w:r w:rsidRPr="00B65258">
        <w:rPr>
          <w:rFonts w:eastAsia="Calibri"/>
          <w:szCs w:val="22"/>
          <w:lang w:eastAsia="de-DE" w:bidi="de-DE"/>
        </w:rPr>
        <w:lastRenderedPageBreak/>
        <w:t>[</w:t>
      </w:r>
      <w:r w:rsidRPr="00B65258">
        <w:rPr>
          <w:rFonts w:eastAsia="Calibri"/>
          <w:b/>
          <w:szCs w:val="22"/>
          <w:lang w:eastAsia="de-DE" w:bidi="de-DE"/>
        </w:rPr>
        <w:t>ANLAGE 3</w:t>
      </w:r>
      <w:r w:rsidRPr="00B65258">
        <w:rPr>
          <w:rFonts w:eastAsia="Calibri"/>
          <w:b/>
          <w:i/>
          <w:szCs w:val="22"/>
          <w:lang w:eastAsia="de-DE" w:bidi="de-DE"/>
        </w:rPr>
        <w:t>ter</w:t>
      </w:r>
    </w:p>
    <w:p w14:paraId="6BB6C2D7" w14:textId="77777777" w:rsidR="007172C3" w:rsidRPr="00B65258" w:rsidRDefault="007172C3" w:rsidP="007172C3">
      <w:pPr>
        <w:jc w:val="center"/>
        <w:rPr>
          <w:rFonts w:eastAsia="Calibri"/>
          <w:szCs w:val="22"/>
          <w:lang w:eastAsia="de-DE" w:bidi="de-DE"/>
        </w:rPr>
      </w:pPr>
    </w:p>
    <w:p w14:paraId="5D5D99E1" w14:textId="77777777" w:rsidR="007172C3" w:rsidRPr="00B65258" w:rsidRDefault="007172C3" w:rsidP="007172C3">
      <w:pPr>
        <w:jc w:val="center"/>
        <w:rPr>
          <w:rFonts w:eastAsia="Calibri"/>
          <w:szCs w:val="22"/>
          <w:lang w:eastAsia="de-DE" w:bidi="de-DE"/>
        </w:rPr>
      </w:pPr>
    </w:p>
    <w:p w14:paraId="6AE53C9B" w14:textId="77777777" w:rsidR="007172C3" w:rsidRPr="00B65258" w:rsidRDefault="007172C3" w:rsidP="007172C3">
      <w:pPr>
        <w:jc w:val="center"/>
        <w:rPr>
          <w:rFonts w:eastAsia="Calibri"/>
          <w:szCs w:val="22"/>
          <w:lang w:eastAsia="de-DE" w:bidi="de-DE"/>
        </w:rPr>
      </w:pPr>
      <w:r w:rsidRPr="009A3E4C">
        <w:rPr>
          <w:rFonts w:eastAsia="Calibri"/>
          <w:szCs w:val="22"/>
          <w:lang w:eastAsia="de-DE" w:bidi="de-DE"/>
        </w:rPr>
        <w:t>[</w:t>
      </w:r>
      <w:r w:rsidRPr="00B65258">
        <w:rPr>
          <w:rFonts w:eastAsia="Calibri"/>
          <w:b/>
          <w:szCs w:val="22"/>
          <w:lang w:eastAsia="de-DE" w:bidi="de-DE"/>
        </w:rPr>
        <w:t>Modalitäten, die von den in Artikel 95</w:t>
      </w:r>
      <w:r w:rsidRPr="00B65258">
        <w:rPr>
          <w:rFonts w:eastAsia="Calibri"/>
          <w:b/>
          <w:szCs w:val="22"/>
          <w:vertAlign w:val="superscript"/>
          <w:lang w:eastAsia="de-DE" w:bidi="de-DE"/>
        </w:rPr>
        <w:t>2</w:t>
      </w:r>
      <w:r w:rsidRPr="00B65258">
        <w:rPr>
          <w:rFonts w:eastAsia="Calibri"/>
          <w:b/>
          <w:szCs w:val="22"/>
          <w:lang w:eastAsia="de-DE" w:bidi="de-DE"/>
        </w:rPr>
        <w:t xml:space="preserve"> § 1 des KE/EStGB 92 erwähnten Schuldnern des Berufssteuervorabzugs einzuhalten sind</w:t>
      </w:r>
      <w:r w:rsidRPr="009A3E4C">
        <w:rPr>
          <w:rFonts w:eastAsia="Calibri"/>
          <w:szCs w:val="22"/>
          <w:lang w:eastAsia="de-DE" w:bidi="de-DE"/>
        </w:rPr>
        <w:t>]</w:t>
      </w:r>
    </w:p>
    <w:p w14:paraId="7752E76A" w14:textId="77777777" w:rsidR="007172C3" w:rsidRPr="00B65258" w:rsidRDefault="007172C3" w:rsidP="007172C3">
      <w:pPr>
        <w:rPr>
          <w:rFonts w:eastAsia="Calibri"/>
          <w:szCs w:val="22"/>
          <w:lang w:eastAsia="de-DE" w:bidi="de-DE"/>
        </w:rPr>
      </w:pPr>
    </w:p>
    <w:p w14:paraId="4284B6EF" w14:textId="77777777" w:rsidR="007172C3" w:rsidRPr="00C452EA" w:rsidRDefault="007172C3" w:rsidP="007172C3">
      <w:pPr>
        <w:jc w:val="both"/>
      </w:pPr>
      <w:r w:rsidRPr="00B65258">
        <w:rPr>
          <w:rFonts w:eastAsia="Calibri"/>
          <w:szCs w:val="22"/>
          <w:lang w:eastAsia="de-DE" w:bidi="de-DE"/>
        </w:rPr>
        <w:tab/>
      </w:r>
      <w:r w:rsidRPr="00B65258">
        <w:rPr>
          <w:rFonts w:eastAsia="Calibri"/>
          <w:b/>
          <w:szCs w:val="22"/>
          <w:lang w:eastAsia="de-DE" w:bidi="de-DE"/>
        </w:rPr>
        <w:t xml:space="preserve">I. </w:t>
      </w:r>
      <w:r w:rsidRPr="009A3E4C">
        <w:rPr>
          <w:rFonts w:eastAsia="Calibri"/>
          <w:szCs w:val="22"/>
          <w:lang w:eastAsia="de-DE" w:bidi="de-DE"/>
        </w:rPr>
        <w:t>[</w:t>
      </w:r>
      <w:r w:rsidRPr="002768CA">
        <w:rPr>
          <w:b/>
          <w:bCs/>
        </w:rPr>
        <w:t>In Artikel 95</w:t>
      </w:r>
      <w:r w:rsidRPr="002768CA">
        <w:rPr>
          <w:b/>
          <w:bCs/>
          <w:vertAlign w:val="superscript"/>
        </w:rPr>
        <w:t>2</w:t>
      </w:r>
      <w:r w:rsidRPr="002768CA">
        <w:rPr>
          <w:b/>
          <w:bCs/>
        </w:rPr>
        <w:t xml:space="preserve"> § 1 Absatz 3 Nr. 1 erwähnte Schuldner:</w:t>
      </w:r>
    </w:p>
    <w:p w14:paraId="786AB82D" w14:textId="77777777" w:rsidR="007172C3" w:rsidRPr="00C452EA" w:rsidRDefault="007172C3" w:rsidP="007172C3">
      <w:pPr>
        <w:jc w:val="both"/>
      </w:pPr>
    </w:p>
    <w:p w14:paraId="31288FE2" w14:textId="77777777" w:rsidR="007172C3" w:rsidRPr="00B65258" w:rsidRDefault="007172C3" w:rsidP="007172C3">
      <w:pPr>
        <w:jc w:val="both"/>
        <w:rPr>
          <w:rFonts w:eastAsia="Calibri"/>
          <w:szCs w:val="22"/>
          <w:lang w:eastAsia="de-DE" w:bidi="de-DE"/>
        </w:rPr>
      </w:pPr>
      <w:r w:rsidRPr="00C452EA">
        <w:tab/>
        <w:t>Diese Schuldner müssen eine namentliche Liste zur Verfügung der Verwaltung bereithalten, die für jeden Arbeitnehmer vollständige Identität, Anzahl Stunden Überarbeit, die gemäß Artikel 29 des Gesetzes vom 16. März 1971 über die Arbeit oder Artikel 7 des Königlichen Erlasses Nr. 213 vom 26. September 1983 über die Arbeitszeit in den Unternehmen, die der Paritätischen Kommission für das Bauwesen unterstehen, zu einer gesetzlichen Lohnzulage berechtigt, Berechnungsgrundlage für die Festlegung dieser Lohnzulage und Zeitraum des Jahres, in dem dieser Arbeitnehmer Überarbeit geleistet hat, enthält.</w:t>
      </w:r>
      <w:r>
        <w:rPr>
          <w:rFonts w:eastAsia="Calibri"/>
          <w:szCs w:val="22"/>
          <w:lang w:eastAsia="de-DE" w:bidi="de-DE"/>
        </w:rPr>
        <w:t>]</w:t>
      </w:r>
    </w:p>
    <w:p w14:paraId="7C249C8D" w14:textId="77777777" w:rsidR="007172C3" w:rsidRPr="00B65258" w:rsidRDefault="007172C3" w:rsidP="007172C3">
      <w:pPr>
        <w:jc w:val="both"/>
        <w:rPr>
          <w:rFonts w:eastAsia="Calibri"/>
          <w:szCs w:val="22"/>
          <w:lang w:eastAsia="de-DE" w:bidi="de-DE"/>
        </w:rPr>
      </w:pPr>
    </w:p>
    <w:p w14:paraId="2396CA0E" w14:textId="77777777" w:rsidR="007172C3" w:rsidRPr="00B65258" w:rsidRDefault="007172C3" w:rsidP="007172C3">
      <w:pPr>
        <w:jc w:val="both"/>
        <w:rPr>
          <w:rFonts w:eastAsia="Calibri"/>
          <w:b/>
          <w:szCs w:val="22"/>
          <w:lang w:eastAsia="de-DE" w:bidi="de-DE"/>
        </w:rPr>
      </w:pPr>
      <w:r w:rsidRPr="00B65258">
        <w:rPr>
          <w:rFonts w:eastAsia="Calibri"/>
          <w:szCs w:val="22"/>
          <w:lang w:eastAsia="de-DE" w:bidi="de-DE"/>
        </w:rPr>
        <w:tab/>
      </w:r>
      <w:r w:rsidRPr="00B65258">
        <w:rPr>
          <w:rFonts w:eastAsia="Calibri"/>
          <w:b/>
          <w:szCs w:val="22"/>
          <w:lang w:eastAsia="de-DE" w:bidi="de-DE"/>
        </w:rPr>
        <w:t xml:space="preserve">II. In </w:t>
      </w:r>
      <w:r w:rsidRPr="009A3E4C">
        <w:rPr>
          <w:rFonts w:eastAsia="Calibri"/>
          <w:szCs w:val="22"/>
          <w:lang w:eastAsia="de-DE" w:bidi="de-DE"/>
        </w:rPr>
        <w:t>[</w:t>
      </w:r>
      <w:r w:rsidRPr="00B65258">
        <w:rPr>
          <w:rFonts w:eastAsia="Calibri"/>
          <w:b/>
          <w:szCs w:val="22"/>
          <w:lang w:eastAsia="de-DE" w:bidi="de-DE"/>
        </w:rPr>
        <w:t>Artikel 95</w:t>
      </w:r>
      <w:r w:rsidRPr="00B65258">
        <w:rPr>
          <w:rFonts w:eastAsia="Calibri"/>
          <w:b/>
          <w:szCs w:val="22"/>
          <w:vertAlign w:val="superscript"/>
          <w:lang w:eastAsia="de-DE" w:bidi="de-DE"/>
        </w:rPr>
        <w:t>2</w:t>
      </w:r>
      <w:r w:rsidRPr="00B65258">
        <w:rPr>
          <w:rFonts w:eastAsia="Calibri"/>
          <w:b/>
          <w:szCs w:val="22"/>
          <w:lang w:eastAsia="de-DE" w:bidi="de-DE"/>
        </w:rPr>
        <w:t xml:space="preserve"> § 1 Absatz 3</w:t>
      </w:r>
      <w:r w:rsidRPr="009A3E4C">
        <w:rPr>
          <w:rFonts w:eastAsia="Calibri"/>
          <w:szCs w:val="22"/>
          <w:lang w:eastAsia="de-DE" w:bidi="de-DE"/>
        </w:rPr>
        <w:t>]</w:t>
      </w:r>
      <w:r w:rsidRPr="00B65258">
        <w:rPr>
          <w:rFonts w:eastAsia="Calibri"/>
          <w:b/>
          <w:szCs w:val="22"/>
          <w:lang w:eastAsia="de-DE" w:bidi="de-DE"/>
        </w:rPr>
        <w:t xml:space="preserve"> Nr. 2 erwähnte Schuldner:</w:t>
      </w:r>
    </w:p>
    <w:p w14:paraId="6AD2463D" w14:textId="77777777" w:rsidR="007172C3" w:rsidRPr="00B65258" w:rsidRDefault="007172C3" w:rsidP="007172C3">
      <w:pPr>
        <w:jc w:val="both"/>
        <w:rPr>
          <w:rFonts w:eastAsia="Calibri"/>
          <w:szCs w:val="22"/>
          <w:lang w:eastAsia="de-DE" w:bidi="de-DE"/>
        </w:rPr>
      </w:pPr>
    </w:p>
    <w:p w14:paraId="1FDD731F"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xml:space="preserve">Diese Schuldner müssen folgende Unterlagen zur Verfügung der Verwaltung bereithalten: </w:t>
      </w:r>
    </w:p>
    <w:p w14:paraId="0D96218A" w14:textId="77777777" w:rsidR="007172C3" w:rsidRPr="00B65258" w:rsidRDefault="007172C3" w:rsidP="007172C3">
      <w:pPr>
        <w:jc w:val="both"/>
        <w:rPr>
          <w:rFonts w:eastAsia="Calibri"/>
          <w:szCs w:val="22"/>
          <w:lang w:eastAsia="de-DE" w:bidi="de-DE"/>
        </w:rPr>
      </w:pPr>
    </w:p>
    <w:p w14:paraId="5391643A"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xml:space="preserve">1. für die in Belgien registrierten Schiffe: </w:t>
      </w:r>
    </w:p>
    <w:p w14:paraId="0BBEEEA6" w14:textId="77777777" w:rsidR="007172C3" w:rsidRPr="00B65258" w:rsidRDefault="007172C3" w:rsidP="007172C3">
      <w:pPr>
        <w:jc w:val="both"/>
        <w:rPr>
          <w:rFonts w:eastAsia="Calibri"/>
          <w:szCs w:val="22"/>
          <w:lang w:eastAsia="de-DE" w:bidi="de-DE"/>
        </w:rPr>
      </w:pPr>
    </w:p>
    <w:p w14:paraId="36D60729"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Abschrift des für jedes der betreffenden Schiffe ausgestellten Schiffszertifikats,</w:t>
      </w:r>
    </w:p>
    <w:p w14:paraId="4BDD73DB" w14:textId="77777777" w:rsidR="007172C3" w:rsidRPr="00B65258" w:rsidRDefault="007172C3" w:rsidP="007172C3">
      <w:pPr>
        <w:jc w:val="both"/>
        <w:rPr>
          <w:rFonts w:eastAsia="Calibri"/>
          <w:szCs w:val="22"/>
          <w:lang w:eastAsia="de-DE" w:bidi="de-DE"/>
        </w:rPr>
      </w:pPr>
    </w:p>
    <w:p w14:paraId="09B268BC"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namentliche Liste pro Schiff mit folgenden Angaben:</w:t>
      </w:r>
    </w:p>
    <w:p w14:paraId="1C68B569" w14:textId="77777777" w:rsidR="007172C3" w:rsidRPr="00B65258" w:rsidRDefault="007172C3" w:rsidP="007172C3">
      <w:pPr>
        <w:jc w:val="both"/>
        <w:rPr>
          <w:rFonts w:eastAsia="Calibri"/>
          <w:szCs w:val="22"/>
          <w:lang w:eastAsia="de-DE" w:bidi="de-DE"/>
        </w:rPr>
      </w:pPr>
    </w:p>
    <w:p w14:paraId="78045110"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1. vollständige Identität des Arbeitgebers mit Vermerk der nationalen Nummer oder der Referenznummer für Schuldner des Berufssteuervorabzugs,</w:t>
      </w:r>
    </w:p>
    <w:p w14:paraId="58A6BD6F" w14:textId="77777777" w:rsidR="007172C3" w:rsidRPr="00B65258" w:rsidRDefault="007172C3" w:rsidP="007172C3">
      <w:pPr>
        <w:jc w:val="both"/>
        <w:rPr>
          <w:rFonts w:eastAsia="Calibri"/>
          <w:szCs w:val="22"/>
          <w:lang w:eastAsia="de-DE" w:bidi="de-DE"/>
        </w:rPr>
      </w:pPr>
    </w:p>
    <w:p w14:paraId="0FBE3773"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2. für jeden der in Artikel 275</w:t>
      </w:r>
      <w:r w:rsidRPr="00B65258">
        <w:rPr>
          <w:rFonts w:eastAsia="Calibri"/>
          <w:szCs w:val="22"/>
          <w:vertAlign w:val="superscript"/>
          <w:lang w:eastAsia="de-DE" w:bidi="de-DE"/>
        </w:rPr>
        <w:t>2</w:t>
      </w:r>
      <w:r w:rsidRPr="00B65258">
        <w:rPr>
          <w:rFonts w:eastAsia="Calibri"/>
          <w:szCs w:val="22"/>
          <w:lang w:eastAsia="de-DE" w:bidi="de-DE"/>
        </w:rPr>
        <w:t xml:space="preserve"> § 2 des Einkommensteuergesetzbuches 1992 erwähnten Arbeitnehmer:</w:t>
      </w:r>
    </w:p>
    <w:p w14:paraId="0F61EE61" w14:textId="77777777" w:rsidR="007172C3" w:rsidRPr="00B65258" w:rsidRDefault="007172C3" w:rsidP="007172C3">
      <w:pPr>
        <w:jc w:val="both"/>
        <w:rPr>
          <w:rFonts w:eastAsia="Calibri"/>
          <w:szCs w:val="22"/>
          <w:lang w:eastAsia="de-DE" w:bidi="de-DE"/>
        </w:rPr>
      </w:pPr>
    </w:p>
    <w:p w14:paraId="3B02AA2C"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a)</w:t>
      </w:r>
      <w:r w:rsidRPr="00B65258">
        <w:rPr>
          <w:rFonts w:eastAsia="Calibri"/>
          <w:szCs w:val="22"/>
          <w:lang w:eastAsia="de-DE" w:bidi="de-DE"/>
        </w:rPr>
        <w:t xml:space="preserve"> vollständige Identität einschließlich vollständiger Adresse seines Wohnsitzes und gegebenenfalls nationale Nummer,</w:t>
      </w:r>
    </w:p>
    <w:p w14:paraId="704736E5" w14:textId="77777777" w:rsidR="007172C3" w:rsidRPr="00B65258" w:rsidRDefault="007172C3" w:rsidP="007172C3">
      <w:pPr>
        <w:jc w:val="both"/>
        <w:rPr>
          <w:rFonts w:eastAsia="Calibri"/>
          <w:szCs w:val="22"/>
          <w:lang w:eastAsia="de-DE" w:bidi="de-DE"/>
        </w:rPr>
      </w:pPr>
    </w:p>
    <w:p w14:paraId="7711D205"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b)</w:t>
      </w:r>
      <w:r w:rsidRPr="00B65258">
        <w:rPr>
          <w:rFonts w:eastAsia="Calibri"/>
          <w:szCs w:val="22"/>
          <w:lang w:eastAsia="de-DE" w:bidi="de-DE"/>
        </w:rPr>
        <w:t xml:space="preserve"> Funktion an Bord des Schiffes oder Beschreibung der an Bord ausgeübten Tätigkeiten,</w:t>
      </w:r>
    </w:p>
    <w:p w14:paraId="01B2FA23" w14:textId="77777777" w:rsidR="007172C3" w:rsidRPr="00B65258" w:rsidRDefault="007172C3" w:rsidP="007172C3">
      <w:pPr>
        <w:jc w:val="both"/>
        <w:rPr>
          <w:rFonts w:eastAsia="Calibri"/>
          <w:szCs w:val="22"/>
          <w:lang w:eastAsia="de-DE" w:bidi="de-DE"/>
        </w:rPr>
      </w:pPr>
    </w:p>
    <w:p w14:paraId="4A32CEFB"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c)</w:t>
      </w:r>
      <w:r w:rsidRPr="00B65258">
        <w:rPr>
          <w:rFonts w:eastAsia="Calibri"/>
          <w:szCs w:val="22"/>
          <w:lang w:eastAsia="de-DE" w:bidi="de-DE"/>
        </w:rPr>
        <w:t xml:space="preserve"> gegebenenfalls Datum der An- und Abheuerung,</w:t>
      </w:r>
    </w:p>
    <w:p w14:paraId="1A3B4ADB" w14:textId="77777777" w:rsidR="007172C3" w:rsidRPr="00B65258" w:rsidRDefault="007172C3" w:rsidP="007172C3">
      <w:pPr>
        <w:jc w:val="both"/>
        <w:rPr>
          <w:rFonts w:eastAsia="Calibri"/>
          <w:szCs w:val="22"/>
          <w:lang w:eastAsia="de-DE" w:bidi="de-DE"/>
        </w:rPr>
      </w:pPr>
    </w:p>
    <w:p w14:paraId="6FB36B9A"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d)</w:t>
      </w:r>
      <w:r w:rsidRPr="00B65258">
        <w:rPr>
          <w:rFonts w:eastAsia="Calibri"/>
          <w:szCs w:val="22"/>
          <w:lang w:eastAsia="de-DE" w:bidi="de-DE"/>
        </w:rPr>
        <w:t xml:space="preserve"> Betrag der gezahlten steuerpflichtigen Bruttoentlohnungen,</w:t>
      </w:r>
    </w:p>
    <w:p w14:paraId="5133EE0D" w14:textId="77777777" w:rsidR="007172C3" w:rsidRPr="00B65258" w:rsidRDefault="007172C3" w:rsidP="007172C3">
      <w:pPr>
        <w:jc w:val="both"/>
        <w:rPr>
          <w:rFonts w:eastAsia="Calibri"/>
          <w:szCs w:val="22"/>
          <w:lang w:eastAsia="de-DE" w:bidi="de-DE"/>
        </w:rPr>
      </w:pPr>
    </w:p>
    <w:p w14:paraId="50405358" w14:textId="77777777" w:rsidR="007172C3"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e)</w:t>
      </w:r>
      <w:r w:rsidRPr="00B65258">
        <w:rPr>
          <w:rFonts w:eastAsia="Calibri"/>
          <w:szCs w:val="22"/>
          <w:lang w:eastAsia="de-DE" w:bidi="de-DE"/>
        </w:rPr>
        <w:t xml:space="preserve"> Betrag des auf diese Entlohnungen einbehaltenen Berufssteuervorabzugs und detaillierte Berechnung dieses Berufssteuervorabzugs,</w:t>
      </w:r>
    </w:p>
    <w:p w14:paraId="4ECA4304" w14:textId="77777777" w:rsidR="007172C3" w:rsidRDefault="007172C3" w:rsidP="007172C3">
      <w:pPr>
        <w:jc w:val="both"/>
        <w:rPr>
          <w:rFonts w:eastAsia="Calibri"/>
          <w:szCs w:val="22"/>
          <w:lang w:eastAsia="de-DE" w:bidi="de-DE"/>
        </w:rPr>
      </w:pPr>
    </w:p>
    <w:p w14:paraId="4079C772" w14:textId="77777777" w:rsidR="007172C3" w:rsidRPr="00B65258" w:rsidRDefault="007172C3" w:rsidP="007172C3">
      <w:pPr>
        <w:jc w:val="both"/>
        <w:rPr>
          <w:rFonts w:eastAsia="Calibri"/>
          <w:szCs w:val="22"/>
          <w:lang w:eastAsia="de-DE" w:bidi="de-DE"/>
        </w:rPr>
      </w:pPr>
      <w:r>
        <w:rPr>
          <w:rFonts w:eastAsia="Calibri"/>
          <w:szCs w:val="22"/>
          <w:lang w:eastAsia="de-DE" w:bidi="de-DE"/>
        </w:rPr>
        <w:tab/>
        <w:t>[</w:t>
      </w:r>
      <w:r w:rsidRPr="00C452EA">
        <w:rPr>
          <w:i/>
        </w:rPr>
        <w:t>f)</w:t>
      </w:r>
      <w:r w:rsidRPr="00C452EA">
        <w:t xml:space="preserve"> gegebenenfalls Betrag des Berufssteuervorabzugs, der zusätzlich zu dem verordnungsgemäßen Mindestbetrag des Berufssteuervorabzugs einbehalten wird, der auf diese Entlohnungen geschuldet wird,</w:t>
      </w:r>
      <w:r>
        <w:rPr>
          <w:rFonts w:eastAsia="Calibri"/>
          <w:szCs w:val="22"/>
          <w:lang w:eastAsia="de-DE" w:bidi="de-DE"/>
        </w:rPr>
        <w:t>]</w:t>
      </w:r>
    </w:p>
    <w:p w14:paraId="1AE535D6" w14:textId="77777777" w:rsidR="007172C3" w:rsidRPr="00B65258" w:rsidRDefault="007172C3" w:rsidP="007172C3">
      <w:pPr>
        <w:jc w:val="both"/>
        <w:rPr>
          <w:rFonts w:eastAsia="Calibri"/>
          <w:szCs w:val="22"/>
          <w:lang w:eastAsia="de-DE" w:bidi="de-DE"/>
        </w:rPr>
      </w:pPr>
    </w:p>
    <w:p w14:paraId="664F08EA"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xml:space="preserve">3. </w:t>
      </w:r>
      <w:r>
        <w:rPr>
          <w:rFonts w:eastAsia="Calibri"/>
          <w:szCs w:val="22"/>
          <w:lang w:eastAsia="de-DE" w:bidi="de-DE"/>
        </w:rPr>
        <w:t>[</w:t>
      </w:r>
      <w:r w:rsidRPr="00C452EA">
        <w:t>für den Sektor der Baggerarbeiten oder der Schleppschifffahrt alle dienlichen Informationen, aus denen hervorgeht, dass der betreffende Arbeitnehmer während des Zeitraums, auf den sich die Erklärung zum Berufssteuervorabzug bezieht, auf einem in einem Mitgliedstaat des Europäischen Wirtschaftsraums registrierten seetüchtigen Boot oder Schiff mit Eigenantrieb, das zur Beförderung einer Ladung auf See oder zur Rettung auf See vorgesehen ist und im selben Zeitraum während mindestens 50 Prozent seiner Betriebszeit für die in Artikel 275</w:t>
      </w:r>
      <w:r w:rsidRPr="00C452EA">
        <w:rPr>
          <w:vertAlign w:val="superscript"/>
        </w:rPr>
        <w:t>2</w:t>
      </w:r>
      <w:r w:rsidRPr="00C452EA">
        <w:t xml:space="preserve"> § 4 Absatz 3 und 4 desselben Gesetzbuches erwähnten Tätigkeiten auf See eingesetzt war, beschäftigt war,</w:t>
      </w:r>
      <w:r>
        <w:rPr>
          <w:rFonts w:eastAsia="Calibri"/>
          <w:szCs w:val="22"/>
          <w:lang w:eastAsia="de-DE" w:bidi="de-DE"/>
        </w:rPr>
        <w:t>]</w:t>
      </w:r>
    </w:p>
    <w:p w14:paraId="0115DF5D" w14:textId="77777777" w:rsidR="007172C3" w:rsidRPr="00B65258" w:rsidRDefault="007172C3" w:rsidP="007172C3">
      <w:pPr>
        <w:jc w:val="both"/>
        <w:rPr>
          <w:rFonts w:eastAsia="Calibri"/>
          <w:szCs w:val="22"/>
          <w:lang w:eastAsia="de-DE" w:bidi="de-DE"/>
        </w:rPr>
      </w:pPr>
    </w:p>
    <w:p w14:paraId="3F26AAE8"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xml:space="preserve">4. </w:t>
      </w:r>
      <w:r>
        <w:rPr>
          <w:rFonts w:eastAsia="Calibri"/>
          <w:szCs w:val="22"/>
          <w:lang w:eastAsia="de-DE" w:bidi="de-DE"/>
        </w:rPr>
        <w:t>[...]</w:t>
      </w:r>
    </w:p>
    <w:p w14:paraId="497761FF" w14:textId="77777777" w:rsidR="007172C3" w:rsidRPr="00B65258" w:rsidRDefault="007172C3" w:rsidP="007172C3">
      <w:pPr>
        <w:jc w:val="both"/>
        <w:rPr>
          <w:rFonts w:eastAsia="Calibri"/>
          <w:szCs w:val="22"/>
          <w:lang w:eastAsia="de-DE" w:bidi="de-DE"/>
        </w:rPr>
      </w:pPr>
    </w:p>
    <w:p w14:paraId="03F73F2B"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5. Gesamtbetrag der Entlohnungen und des einbehaltenen Berufssteuervorabzugs,</w:t>
      </w:r>
    </w:p>
    <w:p w14:paraId="3F3F0BB2" w14:textId="77777777" w:rsidR="007172C3" w:rsidRPr="00B65258" w:rsidRDefault="007172C3" w:rsidP="007172C3">
      <w:pPr>
        <w:jc w:val="both"/>
        <w:rPr>
          <w:rFonts w:eastAsia="Calibri"/>
          <w:szCs w:val="22"/>
          <w:lang w:eastAsia="de-DE" w:bidi="de-DE"/>
        </w:rPr>
      </w:pPr>
    </w:p>
    <w:p w14:paraId="70B0728B"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2. für die in einem anderen Mitgliedstaat des Europäischen Wirtschaftsraums registrierten Schiffe:</w:t>
      </w:r>
    </w:p>
    <w:p w14:paraId="3C273841" w14:textId="77777777" w:rsidR="007172C3" w:rsidRPr="00B65258" w:rsidRDefault="007172C3" w:rsidP="007172C3">
      <w:pPr>
        <w:jc w:val="both"/>
        <w:rPr>
          <w:rFonts w:eastAsia="Calibri"/>
          <w:szCs w:val="22"/>
          <w:lang w:eastAsia="de-DE" w:bidi="de-DE"/>
        </w:rPr>
      </w:pPr>
    </w:p>
    <w:p w14:paraId="47A5F5E5"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Abschrift des für jedes der betreffenden Schiffe ausgestellten Schiffszertifikats oder eines mit diesem Schiffszertifikat vergleichbaren Dokuments, aus dem unwiderlegbar hervorgeht, dass das betreffende Schiff in einem Mitgliedstaat des Europäischen Wirtschaftsraums registriert ist,</w:t>
      </w:r>
    </w:p>
    <w:p w14:paraId="44D73BB1" w14:textId="77777777" w:rsidR="007172C3" w:rsidRPr="00B65258" w:rsidRDefault="007172C3" w:rsidP="007172C3">
      <w:pPr>
        <w:jc w:val="both"/>
        <w:rPr>
          <w:rFonts w:eastAsia="Calibri"/>
          <w:szCs w:val="22"/>
          <w:lang w:eastAsia="de-DE" w:bidi="de-DE"/>
        </w:rPr>
      </w:pPr>
    </w:p>
    <w:p w14:paraId="1019C58D"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xml:space="preserve">- namentliche Liste pro Schiff mit den Angaben wie in Nr. 1 zweiter Gedankenstrich erwähnt. </w:t>
      </w:r>
    </w:p>
    <w:p w14:paraId="47BC7A4E" w14:textId="77777777" w:rsidR="007172C3" w:rsidRPr="00B65258" w:rsidRDefault="007172C3" w:rsidP="007172C3">
      <w:pPr>
        <w:jc w:val="both"/>
        <w:rPr>
          <w:rFonts w:eastAsia="Calibri"/>
          <w:szCs w:val="22"/>
          <w:lang w:eastAsia="de-DE" w:bidi="de-DE"/>
        </w:rPr>
      </w:pPr>
    </w:p>
    <w:p w14:paraId="24ACD223" w14:textId="77777777" w:rsidR="007172C3" w:rsidRPr="00B65258" w:rsidRDefault="007172C3" w:rsidP="007172C3">
      <w:pPr>
        <w:jc w:val="both"/>
        <w:rPr>
          <w:rFonts w:eastAsia="Calibri"/>
          <w:b/>
          <w:szCs w:val="22"/>
          <w:lang w:eastAsia="de-DE" w:bidi="de-DE"/>
        </w:rPr>
      </w:pPr>
      <w:r w:rsidRPr="00B65258">
        <w:rPr>
          <w:rFonts w:eastAsia="Calibri"/>
          <w:szCs w:val="22"/>
          <w:lang w:eastAsia="de-DE" w:bidi="de-DE"/>
        </w:rPr>
        <w:tab/>
      </w:r>
      <w:r w:rsidRPr="00B65258">
        <w:rPr>
          <w:rFonts w:eastAsia="Calibri"/>
          <w:b/>
          <w:szCs w:val="22"/>
          <w:lang w:eastAsia="de-DE" w:bidi="de-DE"/>
        </w:rPr>
        <w:t xml:space="preserve">III. In </w:t>
      </w:r>
      <w:r w:rsidRPr="009A3E4C">
        <w:rPr>
          <w:rFonts w:eastAsia="Calibri"/>
          <w:szCs w:val="22"/>
          <w:lang w:eastAsia="de-DE" w:bidi="de-DE"/>
        </w:rPr>
        <w:t>[</w:t>
      </w:r>
      <w:r w:rsidRPr="00B65258">
        <w:rPr>
          <w:rFonts w:eastAsia="Calibri"/>
          <w:b/>
          <w:szCs w:val="22"/>
          <w:lang w:eastAsia="de-DE" w:bidi="de-DE"/>
        </w:rPr>
        <w:t>Artikel 95</w:t>
      </w:r>
      <w:r w:rsidRPr="00B65258">
        <w:rPr>
          <w:rFonts w:eastAsia="Calibri"/>
          <w:b/>
          <w:szCs w:val="22"/>
          <w:vertAlign w:val="superscript"/>
          <w:lang w:eastAsia="de-DE" w:bidi="de-DE"/>
        </w:rPr>
        <w:t>2</w:t>
      </w:r>
      <w:r w:rsidRPr="00B65258">
        <w:rPr>
          <w:rFonts w:eastAsia="Calibri"/>
          <w:b/>
          <w:szCs w:val="22"/>
          <w:lang w:eastAsia="de-DE" w:bidi="de-DE"/>
        </w:rPr>
        <w:t xml:space="preserve"> § 1 Absatz 3</w:t>
      </w:r>
      <w:r w:rsidRPr="009A3E4C">
        <w:rPr>
          <w:rFonts w:eastAsia="Calibri"/>
          <w:szCs w:val="22"/>
          <w:lang w:eastAsia="de-DE" w:bidi="de-DE"/>
        </w:rPr>
        <w:t>]</w:t>
      </w:r>
      <w:r w:rsidRPr="00B65258">
        <w:rPr>
          <w:rFonts w:eastAsia="Calibri"/>
          <w:b/>
          <w:szCs w:val="22"/>
          <w:lang w:eastAsia="de-DE" w:bidi="de-DE"/>
        </w:rPr>
        <w:t xml:space="preserve"> Nr. 3 erwähnte Schuldner:</w:t>
      </w:r>
    </w:p>
    <w:p w14:paraId="15064D5A" w14:textId="77777777" w:rsidR="007172C3" w:rsidRPr="00B65258" w:rsidRDefault="007172C3" w:rsidP="007172C3">
      <w:pPr>
        <w:jc w:val="both"/>
        <w:rPr>
          <w:rFonts w:eastAsia="Calibri"/>
          <w:szCs w:val="22"/>
          <w:lang w:eastAsia="de-DE" w:bidi="de-DE"/>
        </w:rPr>
      </w:pPr>
    </w:p>
    <w:p w14:paraId="2DD237DC"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Diese Schuldner müssen eine namentliche Liste mit folgenden Angaben zur Verfügung der Verwaltung bereithalten:</w:t>
      </w:r>
    </w:p>
    <w:p w14:paraId="74B5B54E" w14:textId="77777777" w:rsidR="007172C3" w:rsidRPr="00B65258" w:rsidRDefault="007172C3" w:rsidP="007172C3">
      <w:pPr>
        <w:jc w:val="both"/>
        <w:rPr>
          <w:rFonts w:eastAsia="Calibri"/>
          <w:szCs w:val="22"/>
          <w:lang w:eastAsia="de-DE" w:bidi="de-DE"/>
        </w:rPr>
      </w:pPr>
    </w:p>
    <w:p w14:paraId="79F96EFD"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a)</w:t>
      </w:r>
      <w:r w:rsidRPr="00B65258">
        <w:rPr>
          <w:rFonts w:eastAsia="Calibri"/>
          <w:szCs w:val="22"/>
          <w:lang w:eastAsia="de-DE" w:bidi="de-DE"/>
        </w:rPr>
        <w:t xml:space="preserve"> vollständige Identität des Arbeitgebers mit Vermerk der nationalen Nummer oder der Referenznummer für Schuldner des Berufssteuervorabzugs,</w:t>
      </w:r>
    </w:p>
    <w:p w14:paraId="7123D146" w14:textId="77777777" w:rsidR="007172C3" w:rsidRDefault="007172C3" w:rsidP="007172C3">
      <w:pPr>
        <w:jc w:val="both"/>
        <w:rPr>
          <w:rFonts w:eastAsia="Calibri"/>
          <w:szCs w:val="22"/>
          <w:lang w:eastAsia="de-DE" w:bidi="de-DE"/>
        </w:rPr>
      </w:pPr>
    </w:p>
    <w:p w14:paraId="062063E4" w14:textId="77777777" w:rsidR="007172C3" w:rsidRDefault="007172C3" w:rsidP="007172C3">
      <w:pPr>
        <w:jc w:val="both"/>
        <w:rPr>
          <w:rFonts w:eastAsia="Calibri"/>
          <w:szCs w:val="22"/>
          <w:lang w:eastAsia="de-DE" w:bidi="de-DE"/>
        </w:rPr>
      </w:pPr>
      <w:r>
        <w:rPr>
          <w:rFonts w:eastAsia="Calibri"/>
          <w:szCs w:val="22"/>
          <w:lang w:eastAsia="de-DE" w:bidi="de-DE"/>
        </w:rPr>
        <w:tab/>
        <w:t>[</w:t>
      </w:r>
      <w:r w:rsidRPr="004A2407">
        <w:rPr>
          <w:i/>
        </w:rPr>
        <w:t>a/1)</w:t>
      </w:r>
      <w:r w:rsidRPr="004A2407">
        <w:t> für die in Artikel 95</w:t>
      </w:r>
      <w:r w:rsidRPr="004A2407">
        <w:rPr>
          <w:vertAlign w:val="superscript"/>
        </w:rPr>
        <w:t>2</w:t>
      </w:r>
      <w:r w:rsidRPr="004A2407">
        <w:t xml:space="preserve"> § 1 Absatz 3 Nr. 3 Buchstabe </w:t>
      </w:r>
      <w:r w:rsidRPr="004A2407">
        <w:rPr>
          <w:i/>
        </w:rPr>
        <w:t>g)</w:t>
      </w:r>
      <w:r w:rsidRPr="004A2407">
        <w:t xml:space="preserve"> erwähnten Unternehmen Nachweis, dass sie aufgrund von </w:t>
      </w:r>
      <w:r>
        <w:t>[</w:t>
      </w:r>
      <w:r w:rsidRPr="00402AAD">
        <w:t>Artikel 1:24 §§ 1 bis 6 des Gesetzbuches der Gesellschaften und Vereinigungen</w:t>
      </w:r>
      <w:r>
        <w:t>]</w:t>
      </w:r>
      <w:r w:rsidRPr="004A2407">
        <w:t xml:space="preserve"> für das Steuerjahr, das sich auf den Besteuerungszeitraum bezieht, in dem die Entlohnungen gezahlt werden, als kleine Gesellschaften gelten können,</w:t>
      </w:r>
      <w:r>
        <w:rPr>
          <w:rFonts w:eastAsia="Calibri"/>
          <w:szCs w:val="22"/>
          <w:lang w:eastAsia="de-DE" w:bidi="de-DE"/>
        </w:rPr>
        <w:t>]</w:t>
      </w:r>
    </w:p>
    <w:p w14:paraId="23A4E63D" w14:textId="77777777" w:rsidR="007172C3" w:rsidRPr="00B65258" w:rsidRDefault="007172C3" w:rsidP="007172C3">
      <w:pPr>
        <w:jc w:val="both"/>
        <w:rPr>
          <w:rFonts w:eastAsia="Calibri"/>
          <w:szCs w:val="22"/>
          <w:lang w:eastAsia="de-DE" w:bidi="de-DE"/>
        </w:rPr>
      </w:pPr>
    </w:p>
    <w:p w14:paraId="082185C9"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b)</w:t>
      </w:r>
      <w:r w:rsidRPr="00B65258">
        <w:rPr>
          <w:rFonts w:eastAsia="Calibri"/>
          <w:szCs w:val="22"/>
          <w:lang w:eastAsia="de-DE" w:bidi="de-DE"/>
        </w:rPr>
        <w:t xml:space="preserve"> außerdem, für jeden in [Artikel 95</w:t>
      </w:r>
      <w:r w:rsidRPr="00B65258">
        <w:rPr>
          <w:rFonts w:eastAsia="Calibri"/>
          <w:szCs w:val="22"/>
          <w:vertAlign w:val="superscript"/>
          <w:lang w:eastAsia="de-DE" w:bidi="de-DE"/>
        </w:rPr>
        <w:t>2</w:t>
      </w:r>
      <w:r w:rsidRPr="00B65258">
        <w:rPr>
          <w:rFonts w:eastAsia="Calibri"/>
          <w:szCs w:val="22"/>
          <w:lang w:eastAsia="de-DE" w:bidi="de-DE"/>
        </w:rPr>
        <w:t xml:space="preserve"> § 1 Absatz 3] Nr. 3 erwähnten Arbeitnehmer:</w:t>
      </w:r>
    </w:p>
    <w:p w14:paraId="09161869" w14:textId="77777777" w:rsidR="007172C3" w:rsidRPr="00B65258" w:rsidRDefault="007172C3" w:rsidP="007172C3">
      <w:pPr>
        <w:jc w:val="both"/>
        <w:rPr>
          <w:rFonts w:eastAsia="Calibri"/>
          <w:szCs w:val="22"/>
          <w:lang w:eastAsia="de-DE" w:bidi="de-DE"/>
        </w:rPr>
      </w:pPr>
    </w:p>
    <w:p w14:paraId="2FB323F3"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vollständige Identität und gegebenenfalls nationale Nummer,</w:t>
      </w:r>
    </w:p>
    <w:p w14:paraId="0676F6C6" w14:textId="77777777" w:rsidR="007172C3" w:rsidRPr="00B65258" w:rsidRDefault="007172C3" w:rsidP="007172C3">
      <w:pPr>
        <w:jc w:val="both"/>
        <w:rPr>
          <w:rFonts w:eastAsia="Calibri"/>
          <w:szCs w:val="22"/>
          <w:lang w:eastAsia="de-DE" w:bidi="de-DE"/>
        </w:rPr>
      </w:pPr>
    </w:p>
    <w:p w14:paraId="1CE5C713"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gegebenenfalls Datum des Dienstantritts und -austritts wie in der unmittelbaren Beschäftigungsmeldung (DIMONA) angegeben,</w:t>
      </w:r>
    </w:p>
    <w:p w14:paraId="3612DFC5" w14:textId="77777777" w:rsidR="007172C3" w:rsidRPr="00B65258" w:rsidRDefault="007172C3" w:rsidP="007172C3">
      <w:pPr>
        <w:jc w:val="both"/>
        <w:rPr>
          <w:rFonts w:eastAsia="Calibri"/>
          <w:szCs w:val="22"/>
          <w:lang w:eastAsia="de-DE" w:bidi="de-DE"/>
        </w:rPr>
      </w:pPr>
    </w:p>
    <w:p w14:paraId="0D1F676E"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Bescheinigung, dass ein Arbeitsvertrag geschlossen worden ist oder ein Einstellungsbeschluss vorliegt,</w:t>
      </w:r>
    </w:p>
    <w:p w14:paraId="08CF98CB" w14:textId="77777777" w:rsidR="007172C3" w:rsidRPr="00B65258" w:rsidRDefault="007172C3" w:rsidP="007172C3">
      <w:pPr>
        <w:jc w:val="both"/>
        <w:rPr>
          <w:rFonts w:eastAsia="Calibri"/>
          <w:szCs w:val="22"/>
          <w:lang w:eastAsia="de-DE" w:bidi="de-DE"/>
        </w:rPr>
      </w:pPr>
    </w:p>
    <w:p w14:paraId="1F254F35"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Betrag der gezahlten steuerpflichtigen Bruttoentlohnungen,</w:t>
      </w:r>
    </w:p>
    <w:p w14:paraId="755C6537" w14:textId="77777777" w:rsidR="007172C3" w:rsidRPr="00B65258" w:rsidRDefault="007172C3" w:rsidP="007172C3">
      <w:pPr>
        <w:jc w:val="both"/>
        <w:rPr>
          <w:rFonts w:eastAsia="Calibri"/>
          <w:szCs w:val="22"/>
          <w:lang w:eastAsia="de-DE" w:bidi="de-DE"/>
        </w:rPr>
      </w:pPr>
    </w:p>
    <w:p w14:paraId="74A3DB53"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lastRenderedPageBreak/>
        <w:tab/>
        <w:t>- Betrag des auf diese Entlohnungen einbehaltenen Berufssteuervorabzugs und detaillierte Berechnung dieses Berufssteuervorabzugs,</w:t>
      </w:r>
    </w:p>
    <w:p w14:paraId="4D21F22B" w14:textId="77777777" w:rsidR="007172C3" w:rsidRPr="00B65258" w:rsidRDefault="007172C3" w:rsidP="007172C3">
      <w:pPr>
        <w:jc w:val="both"/>
        <w:rPr>
          <w:rFonts w:eastAsia="Calibri"/>
          <w:szCs w:val="22"/>
          <w:lang w:eastAsia="de-DE" w:bidi="de-DE"/>
        </w:rPr>
      </w:pPr>
    </w:p>
    <w:p w14:paraId="2A542E92"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c)</w:t>
      </w:r>
      <w:r w:rsidRPr="00B65258">
        <w:rPr>
          <w:rFonts w:eastAsia="Calibri"/>
          <w:szCs w:val="22"/>
          <w:lang w:eastAsia="de-DE" w:bidi="de-DE"/>
        </w:rPr>
        <w:t xml:space="preserve"> für jeden in [Artikel 95</w:t>
      </w:r>
      <w:r w:rsidRPr="00B65258">
        <w:rPr>
          <w:rFonts w:eastAsia="Calibri"/>
          <w:szCs w:val="22"/>
          <w:vertAlign w:val="superscript"/>
          <w:lang w:eastAsia="de-DE" w:bidi="de-DE"/>
        </w:rPr>
        <w:t xml:space="preserve">2 </w:t>
      </w:r>
      <w:r w:rsidRPr="00B65258">
        <w:rPr>
          <w:rFonts w:eastAsia="Calibri"/>
          <w:szCs w:val="22"/>
          <w:lang w:eastAsia="de-DE" w:bidi="de-DE"/>
        </w:rPr>
        <w:t>§ 1 Absatz 3] Nr. 3 Buchstabe </w:t>
      </w:r>
      <w:r w:rsidRPr="00B65258">
        <w:rPr>
          <w:rFonts w:eastAsia="Calibri"/>
          <w:i/>
          <w:szCs w:val="22"/>
          <w:lang w:eastAsia="de-DE" w:bidi="de-DE"/>
        </w:rPr>
        <w:t>a)</w:t>
      </w:r>
      <w:r w:rsidRPr="00B65258">
        <w:rPr>
          <w:rFonts w:eastAsia="Calibri"/>
          <w:szCs w:val="22"/>
          <w:lang w:eastAsia="de-DE" w:bidi="de-DE"/>
        </w:rPr>
        <w:t xml:space="preserve"> und </w:t>
      </w:r>
      <w:r w:rsidRPr="00B65258">
        <w:rPr>
          <w:rFonts w:eastAsia="Calibri"/>
          <w:i/>
          <w:szCs w:val="22"/>
          <w:lang w:eastAsia="de-DE" w:bidi="de-DE"/>
        </w:rPr>
        <w:t>b)</w:t>
      </w:r>
      <w:r w:rsidRPr="00B65258">
        <w:rPr>
          <w:rFonts w:eastAsia="Calibri"/>
          <w:szCs w:val="22"/>
          <w:lang w:eastAsia="de-DE" w:bidi="de-DE"/>
        </w:rPr>
        <w:t xml:space="preserve"> erwähnten Arbeitnehmer Nachweis, dass der betreffende Arbeitnehmer tatsächlich Assistent-Forscher beziehungsweise Postdoc-Forscher ist,</w:t>
      </w:r>
    </w:p>
    <w:p w14:paraId="7A8B4D6F" w14:textId="77777777" w:rsidR="007172C3" w:rsidRDefault="007172C3" w:rsidP="007172C3">
      <w:pPr>
        <w:jc w:val="both"/>
        <w:rPr>
          <w:rFonts w:eastAsia="Calibri"/>
          <w:szCs w:val="22"/>
          <w:lang w:eastAsia="de-DE" w:bidi="de-DE"/>
        </w:rPr>
      </w:pPr>
    </w:p>
    <w:p w14:paraId="4D269695"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d)</w:t>
      </w:r>
      <w:r w:rsidRPr="00B65258">
        <w:rPr>
          <w:rFonts w:eastAsia="Calibri"/>
          <w:szCs w:val="22"/>
          <w:lang w:eastAsia="de-DE" w:bidi="de-DE"/>
        </w:rPr>
        <w:t xml:space="preserve"> für jeden in [Artikel 95</w:t>
      </w:r>
      <w:r w:rsidRPr="00B65258">
        <w:rPr>
          <w:rFonts w:eastAsia="Calibri"/>
          <w:szCs w:val="22"/>
          <w:vertAlign w:val="superscript"/>
          <w:lang w:eastAsia="de-DE" w:bidi="de-DE"/>
        </w:rPr>
        <w:t>2</w:t>
      </w:r>
      <w:r w:rsidRPr="00B65258">
        <w:rPr>
          <w:rFonts w:eastAsia="Calibri"/>
          <w:szCs w:val="22"/>
          <w:lang w:eastAsia="de-DE" w:bidi="de-DE"/>
        </w:rPr>
        <w:t xml:space="preserve"> § 1 Absatz 3] Nr. 3 Buchstabe </w:t>
      </w:r>
      <w:r w:rsidRPr="00B65258">
        <w:rPr>
          <w:rFonts w:eastAsia="Calibri"/>
          <w:i/>
          <w:szCs w:val="22"/>
          <w:lang w:eastAsia="de-DE" w:bidi="de-DE"/>
        </w:rPr>
        <w:t>c)</w:t>
      </w:r>
      <w:r w:rsidRPr="00B65258">
        <w:rPr>
          <w:rFonts w:eastAsia="Calibri"/>
          <w:szCs w:val="22"/>
          <w:lang w:eastAsia="de-DE" w:bidi="de-DE"/>
        </w:rPr>
        <w:t xml:space="preserve"> erwähnten Arbeitnehmer Nachweis, dass der betreffende Arbeitnehmer tatsächlich als Forscher in einem Forschungsprojekt beschäftigt ist, </w:t>
      </w:r>
    </w:p>
    <w:p w14:paraId="5C6BA453" w14:textId="77777777" w:rsidR="007172C3" w:rsidRPr="00B65258" w:rsidRDefault="007172C3" w:rsidP="007172C3">
      <w:pPr>
        <w:jc w:val="both"/>
        <w:rPr>
          <w:rFonts w:eastAsia="Calibri"/>
          <w:szCs w:val="22"/>
          <w:lang w:eastAsia="de-DE" w:bidi="de-DE"/>
        </w:rPr>
      </w:pPr>
    </w:p>
    <w:p w14:paraId="288BE7F5"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e)</w:t>
      </w:r>
      <w:r w:rsidRPr="00B65258">
        <w:rPr>
          <w:rFonts w:eastAsia="Calibri"/>
          <w:szCs w:val="22"/>
          <w:lang w:eastAsia="de-DE" w:bidi="de-DE"/>
        </w:rPr>
        <w:t xml:space="preserve"> für jeden in [Artikel 95</w:t>
      </w:r>
      <w:r w:rsidRPr="00B65258">
        <w:rPr>
          <w:rFonts w:eastAsia="Calibri"/>
          <w:szCs w:val="22"/>
          <w:vertAlign w:val="superscript"/>
          <w:lang w:eastAsia="de-DE" w:bidi="de-DE"/>
        </w:rPr>
        <w:t>2</w:t>
      </w:r>
      <w:r w:rsidRPr="00B65258">
        <w:rPr>
          <w:rFonts w:eastAsia="Calibri"/>
          <w:szCs w:val="22"/>
          <w:lang w:eastAsia="de-DE" w:bidi="de-DE"/>
        </w:rPr>
        <w:t xml:space="preserve"> § 1 Absatz 3] Nr. 3 Buchstabe </w:t>
      </w:r>
      <w:r w:rsidRPr="00B65258">
        <w:rPr>
          <w:rFonts w:eastAsia="Calibri"/>
          <w:i/>
          <w:szCs w:val="22"/>
          <w:lang w:eastAsia="de-DE" w:bidi="de-DE"/>
        </w:rPr>
        <w:t>d)</w:t>
      </w:r>
      <w:r w:rsidRPr="00B65258">
        <w:rPr>
          <w:rFonts w:eastAsia="Calibri"/>
          <w:szCs w:val="22"/>
          <w:lang w:eastAsia="de-DE" w:bidi="de-DE"/>
        </w:rPr>
        <w:t xml:space="preserve"> erwähnten Arbeitnehmer Nachweis, dass der betreffende Arbeitnehmer tatsächlich Forscher, Forschungstechniker beziehungsweise Projektleiter im Bereich Forschung und Entwicklung ist.</w:t>
      </w:r>
    </w:p>
    <w:p w14:paraId="1A4E79BF" w14:textId="77777777" w:rsidR="007172C3" w:rsidRPr="00B65258" w:rsidRDefault="007172C3" w:rsidP="007172C3">
      <w:pPr>
        <w:jc w:val="both"/>
        <w:rPr>
          <w:rFonts w:eastAsia="Calibri"/>
          <w:szCs w:val="22"/>
          <w:lang w:eastAsia="de-DE" w:bidi="de-DE"/>
        </w:rPr>
      </w:pPr>
    </w:p>
    <w:p w14:paraId="4FA162C3"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xml:space="preserve">Unter Forschern versteht man Wissenschaftler oder Ingenieure, die an Entwicklung oder Schaffung neuer Kenntnisse, Produkte, Verfahren, Methoden oder Systeme arbeiten. Ingenieuren gleichgestellt sind Lohnempfänger, die diese Qualifikation innerhalb ihres Unternehmens erworben haben, ohne die Diplombedingungen zu erfüllen. </w:t>
      </w:r>
    </w:p>
    <w:p w14:paraId="7D56AC87" w14:textId="77777777" w:rsidR="007172C3" w:rsidRPr="00B65258" w:rsidRDefault="007172C3" w:rsidP="007172C3">
      <w:pPr>
        <w:jc w:val="both"/>
        <w:rPr>
          <w:rFonts w:eastAsia="Calibri"/>
          <w:szCs w:val="22"/>
          <w:lang w:eastAsia="de-DE" w:bidi="de-DE"/>
        </w:rPr>
      </w:pPr>
    </w:p>
    <w:p w14:paraId="0125A125"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Unter Forschungstechnikern versteht man Personen, die eng mit Forschern zusammenarbeiten, um die für Arbeiten im Bereich experimentelle Forschung und Entwicklung unerlässliche technische Unterstützung zu gewährleisten.</w:t>
      </w:r>
    </w:p>
    <w:p w14:paraId="1BA3C3B6" w14:textId="77777777" w:rsidR="007172C3" w:rsidRPr="00B65258" w:rsidRDefault="007172C3" w:rsidP="007172C3">
      <w:pPr>
        <w:jc w:val="both"/>
        <w:rPr>
          <w:rFonts w:eastAsia="Calibri"/>
          <w:szCs w:val="22"/>
          <w:lang w:eastAsia="de-DE" w:bidi="de-DE"/>
        </w:rPr>
      </w:pPr>
    </w:p>
    <w:p w14:paraId="7497EA97"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Unter Projektleitern im Bereich Forschung und Entwicklung versteht man Personen, die mit Organisation, Koordination und Planung des Projekts in verwaltungstechnischer, juristischer, finanzieller und technologischer Hinsicht beauftragt sind,</w:t>
      </w:r>
    </w:p>
    <w:p w14:paraId="030FA785" w14:textId="77777777" w:rsidR="007172C3" w:rsidRPr="00B65258" w:rsidRDefault="007172C3" w:rsidP="007172C3">
      <w:pPr>
        <w:jc w:val="both"/>
        <w:rPr>
          <w:rFonts w:eastAsia="Calibri"/>
          <w:szCs w:val="22"/>
          <w:lang w:eastAsia="de-DE" w:bidi="de-DE"/>
        </w:rPr>
      </w:pPr>
    </w:p>
    <w:p w14:paraId="0A9A508B"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f)</w:t>
      </w:r>
      <w:r w:rsidRPr="00B65258">
        <w:rPr>
          <w:rFonts w:eastAsia="Calibri"/>
          <w:szCs w:val="22"/>
          <w:lang w:eastAsia="de-DE" w:bidi="de-DE"/>
        </w:rPr>
        <w:t xml:space="preserve"> [für jeden in [Artikel 95</w:t>
      </w:r>
      <w:r w:rsidRPr="00B65258">
        <w:rPr>
          <w:rFonts w:eastAsia="Calibri"/>
          <w:szCs w:val="22"/>
          <w:vertAlign w:val="superscript"/>
          <w:lang w:eastAsia="de-DE" w:bidi="de-DE"/>
        </w:rPr>
        <w:t>2</w:t>
      </w:r>
      <w:r w:rsidRPr="00B65258">
        <w:rPr>
          <w:rFonts w:eastAsia="Calibri"/>
          <w:szCs w:val="22"/>
          <w:lang w:eastAsia="de-DE" w:bidi="de-DE"/>
        </w:rPr>
        <w:t xml:space="preserve"> § 1 Absatz 3] Nr. 3 Buchstabe </w:t>
      </w:r>
      <w:r w:rsidRPr="00B65258">
        <w:rPr>
          <w:rFonts w:eastAsia="Calibri"/>
          <w:i/>
          <w:szCs w:val="22"/>
          <w:lang w:eastAsia="de-DE" w:bidi="de-DE"/>
        </w:rPr>
        <w:t>e)</w:t>
      </w:r>
      <w:r w:rsidRPr="00B65258">
        <w:rPr>
          <w:rFonts w:eastAsia="Calibri"/>
          <w:szCs w:val="22"/>
          <w:lang w:eastAsia="de-DE" w:bidi="de-DE"/>
        </w:rPr>
        <w:t xml:space="preserve"> erwähnten Arbeitnehmer:</w:t>
      </w:r>
    </w:p>
    <w:p w14:paraId="5D1092F4" w14:textId="77777777" w:rsidR="007172C3" w:rsidRPr="00B65258" w:rsidRDefault="007172C3" w:rsidP="007172C3">
      <w:pPr>
        <w:jc w:val="both"/>
        <w:rPr>
          <w:rFonts w:eastAsia="Calibri"/>
          <w:szCs w:val="22"/>
          <w:lang w:eastAsia="de-DE" w:bidi="de-DE"/>
        </w:rPr>
      </w:pPr>
    </w:p>
    <w:p w14:paraId="5FE27CC9" w14:textId="77777777" w:rsidR="007172C3" w:rsidRPr="00B65258" w:rsidRDefault="007172C3" w:rsidP="007172C3">
      <w:pPr>
        <w:jc w:val="both"/>
        <w:rPr>
          <w:rFonts w:eastAsia="Calibri"/>
          <w:color w:val="FF0000"/>
          <w:szCs w:val="22"/>
          <w:lang w:eastAsia="de-DE" w:bidi="de-DE"/>
        </w:rPr>
      </w:pPr>
      <w:r w:rsidRPr="00B65258">
        <w:rPr>
          <w:rFonts w:eastAsia="Calibri"/>
          <w:szCs w:val="22"/>
          <w:lang w:eastAsia="de-DE" w:bidi="de-DE"/>
        </w:rPr>
        <w:tab/>
        <w:t>- Nachweis, dass der betreffende Arbeitnehmer Forscher mit einem in Artikel 275</w:t>
      </w:r>
      <w:r w:rsidRPr="00B65258">
        <w:rPr>
          <w:rFonts w:eastAsia="Calibri"/>
          <w:szCs w:val="22"/>
          <w:vertAlign w:val="superscript"/>
          <w:lang w:eastAsia="de-DE" w:bidi="de-DE"/>
        </w:rPr>
        <w:t>3</w:t>
      </w:r>
      <w:r w:rsidRPr="00B65258">
        <w:rPr>
          <w:rFonts w:eastAsia="Calibri"/>
          <w:szCs w:val="22"/>
          <w:lang w:eastAsia="de-DE" w:bidi="de-DE"/>
        </w:rPr>
        <w:t xml:space="preserve"> § 2 Nr. 1 oder 2 [des Einkommensteuergesetzbuches 1992] erwähnten Diplom ist,</w:t>
      </w:r>
    </w:p>
    <w:p w14:paraId="0EDA19FE" w14:textId="77777777" w:rsidR="007172C3" w:rsidRPr="00B65258" w:rsidRDefault="007172C3" w:rsidP="007172C3">
      <w:pPr>
        <w:jc w:val="both"/>
        <w:rPr>
          <w:rFonts w:eastAsia="Calibri"/>
          <w:szCs w:val="22"/>
          <w:lang w:eastAsia="de-DE" w:bidi="de-DE"/>
        </w:rPr>
      </w:pPr>
    </w:p>
    <w:p w14:paraId="6023D91F"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Nachweis, dass er in Forschungs- und Entwicklungsprojekten beschäftigt ist,]</w:t>
      </w:r>
    </w:p>
    <w:p w14:paraId="5A4D6EC6" w14:textId="77777777" w:rsidR="007172C3" w:rsidRDefault="007172C3" w:rsidP="007172C3">
      <w:pPr>
        <w:jc w:val="both"/>
        <w:rPr>
          <w:rFonts w:eastAsia="Calibri"/>
          <w:szCs w:val="22"/>
          <w:lang w:eastAsia="de-DE" w:bidi="de-DE"/>
        </w:rPr>
      </w:pPr>
    </w:p>
    <w:p w14:paraId="679F8D13" w14:textId="77777777" w:rsidR="007172C3" w:rsidRPr="004A2407" w:rsidRDefault="007172C3" w:rsidP="007172C3">
      <w:pPr>
        <w:jc w:val="both"/>
      </w:pPr>
      <w:r>
        <w:rPr>
          <w:rFonts w:eastAsia="Calibri"/>
          <w:szCs w:val="22"/>
          <w:lang w:eastAsia="de-DE" w:bidi="de-DE"/>
        </w:rPr>
        <w:tab/>
        <w:t>[</w:t>
      </w:r>
      <w:r w:rsidRPr="004A2407">
        <w:rPr>
          <w:i/>
        </w:rPr>
        <w:t>f/1)</w:t>
      </w:r>
      <w:r w:rsidRPr="004A2407">
        <w:t> für jeden in Artikel 95</w:t>
      </w:r>
      <w:r w:rsidRPr="004A2407">
        <w:rPr>
          <w:vertAlign w:val="superscript"/>
        </w:rPr>
        <w:t>2</w:t>
      </w:r>
      <w:r w:rsidRPr="004A2407">
        <w:t xml:space="preserve"> § 1 Absatz 3 Nr. 3 Buchstabe </w:t>
      </w:r>
      <w:r w:rsidRPr="004A2407">
        <w:rPr>
          <w:i/>
        </w:rPr>
        <w:t>f)</w:t>
      </w:r>
      <w:r w:rsidRPr="004A2407">
        <w:t xml:space="preserve"> erwähnten Arbeitnehmer:</w:t>
      </w:r>
    </w:p>
    <w:p w14:paraId="6EF4085D" w14:textId="77777777" w:rsidR="007172C3" w:rsidRPr="004A2407" w:rsidRDefault="007172C3" w:rsidP="007172C3">
      <w:pPr>
        <w:jc w:val="both"/>
      </w:pPr>
    </w:p>
    <w:p w14:paraId="22F1B84B" w14:textId="77777777" w:rsidR="007172C3" w:rsidRPr="004A2407" w:rsidRDefault="007172C3" w:rsidP="007172C3">
      <w:pPr>
        <w:jc w:val="both"/>
      </w:pPr>
      <w:r w:rsidRPr="004A2407">
        <w:tab/>
        <w:t>- Nachweis, dass der betreffende Arbeitnehmer Forscher mit einem in Artikel 275</w:t>
      </w:r>
      <w:r w:rsidRPr="004A2407">
        <w:rPr>
          <w:vertAlign w:val="superscript"/>
        </w:rPr>
        <w:t>3</w:t>
      </w:r>
      <w:r w:rsidRPr="004A2407">
        <w:t xml:space="preserve"> § 2 Nr. 3 oder 4 des Einkommensteuergesetzbuches 1992 erwähnten Diplom ist,</w:t>
      </w:r>
    </w:p>
    <w:p w14:paraId="2E37ED4A" w14:textId="77777777" w:rsidR="007172C3" w:rsidRPr="004A2407" w:rsidRDefault="007172C3" w:rsidP="007172C3">
      <w:pPr>
        <w:jc w:val="both"/>
      </w:pPr>
    </w:p>
    <w:p w14:paraId="3296F3C5" w14:textId="77777777" w:rsidR="007172C3" w:rsidRDefault="007172C3" w:rsidP="007172C3">
      <w:pPr>
        <w:jc w:val="both"/>
        <w:rPr>
          <w:rFonts w:eastAsia="Calibri"/>
          <w:szCs w:val="22"/>
          <w:lang w:eastAsia="de-DE" w:bidi="de-DE"/>
        </w:rPr>
      </w:pPr>
      <w:r w:rsidRPr="004A2407">
        <w:tab/>
        <w:t>- Nachweis, dass er in Forschungs- und Entwicklungsprojekten beschäftigt ist,</w:t>
      </w:r>
      <w:r>
        <w:rPr>
          <w:rFonts w:eastAsia="Calibri"/>
          <w:szCs w:val="22"/>
          <w:lang w:eastAsia="de-DE" w:bidi="de-DE"/>
        </w:rPr>
        <w:t>]</w:t>
      </w:r>
    </w:p>
    <w:p w14:paraId="641295C5" w14:textId="77777777" w:rsidR="007172C3" w:rsidRDefault="007172C3" w:rsidP="007172C3">
      <w:pPr>
        <w:jc w:val="both"/>
        <w:rPr>
          <w:rFonts w:eastAsia="Calibri"/>
          <w:szCs w:val="22"/>
          <w:lang w:eastAsia="de-DE" w:bidi="de-DE"/>
        </w:rPr>
      </w:pPr>
      <w:r>
        <w:rPr>
          <w:rFonts w:eastAsia="Calibri"/>
          <w:szCs w:val="22"/>
          <w:lang w:eastAsia="de-DE" w:bidi="de-DE"/>
        </w:rPr>
        <w:tab/>
      </w:r>
    </w:p>
    <w:p w14:paraId="3808922A" w14:textId="77777777" w:rsidR="007172C3" w:rsidRPr="004A2407" w:rsidRDefault="007172C3" w:rsidP="007172C3">
      <w:pPr>
        <w:jc w:val="both"/>
      </w:pPr>
      <w:r>
        <w:rPr>
          <w:rFonts w:eastAsia="Calibri"/>
          <w:szCs w:val="22"/>
          <w:lang w:eastAsia="de-DE" w:bidi="de-DE"/>
        </w:rPr>
        <w:tab/>
        <w:t>[</w:t>
      </w:r>
      <w:r w:rsidRPr="004A2407">
        <w:rPr>
          <w:i/>
        </w:rPr>
        <w:t>f/2)</w:t>
      </w:r>
      <w:r w:rsidRPr="004A2407">
        <w:t> für jeden in Artikel 95</w:t>
      </w:r>
      <w:r w:rsidRPr="004A2407">
        <w:rPr>
          <w:vertAlign w:val="superscript"/>
        </w:rPr>
        <w:t>2</w:t>
      </w:r>
      <w:r w:rsidRPr="004A2407">
        <w:t xml:space="preserve"> § 1 Absatz 3 Nr. 3 Buchstabe </w:t>
      </w:r>
      <w:r w:rsidRPr="004A2407">
        <w:rPr>
          <w:i/>
        </w:rPr>
        <w:t>g)</w:t>
      </w:r>
      <w:r w:rsidRPr="004A2407">
        <w:t xml:space="preserve"> erwähnten Arbeit</w:t>
      </w:r>
      <w:r w:rsidRPr="004A2407">
        <w:softHyphen/>
        <w:t>nehmer:</w:t>
      </w:r>
    </w:p>
    <w:p w14:paraId="3BDC28CE" w14:textId="77777777" w:rsidR="007172C3" w:rsidRPr="004A2407" w:rsidRDefault="007172C3" w:rsidP="007172C3">
      <w:pPr>
        <w:jc w:val="both"/>
      </w:pPr>
    </w:p>
    <w:p w14:paraId="08162E9F" w14:textId="77777777" w:rsidR="007172C3" w:rsidRPr="004A2407" w:rsidRDefault="007172C3" w:rsidP="007172C3">
      <w:pPr>
        <w:jc w:val="both"/>
      </w:pPr>
      <w:r w:rsidRPr="004A2407">
        <w:tab/>
        <w:t>- Nachweis, dass der betreffende Arbeitnehmer Forscher mit einem in Artikel 275</w:t>
      </w:r>
      <w:r w:rsidRPr="004A2407">
        <w:rPr>
          <w:vertAlign w:val="superscript"/>
        </w:rPr>
        <w:t>3</w:t>
      </w:r>
      <w:r w:rsidRPr="004A2407">
        <w:t xml:space="preserve"> § 2 Nr. 3 oder 4 des Einkommensteuergesetzbuches 1992 erwähnten Diplom ist,</w:t>
      </w:r>
    </w:p>
    <w:p w14:paraId="56073DB0" w14:textId="77777777" w:rsidR="007172C3" w:rsidRPr="004A2407" w:rsidRDefault="007172C3" w:rsidP="007172C3">
      <w:pPr>
        <w:jc w:val="both"/>
      </w:pPr>
    </w:p>
    <w:p w14:paraId="6ED65E0E" w14:textId="77777777" w:rsidR="007172C3" w:rsidRDefault="007172C3" w:rsidP="007172C3">
      <w:pPr>
        <w:jc w:val="both"/>
        <w:rPr>
          <w:rFonts w:eastAsia="Calibri"/>
          <w:szCs w:val="22"/>
          <w:lang w:eastAsia="de-DE" w:bidi="de-DE"/>
        </w:rPr>
      </w:pPr>
      <w:r w:rsidRPr="004A2407">
        <w:tab/>
        <w:t>- Nachweis, dass er in Forschungs- und Entwicklungsprojekten beschäftigt ist,</w:t>
      </w:r>
      <w:r>
        <w:rPr>
          <w:rFonts w:eastAsia="Calibri"/>
          <w:szCs w:val="22"/>
          <w:lang w:eastAsia="de-DE" w:bidi="de-DE"/>
        </w:rPr>
        <w:t>]</w:t>
      </w:r>
    </w:p>
    <w:p w14:paraId="30E3261D" w14:textId="77777777" w:rsidR="007172C3" w:rsidRDefault="007172C3" w:rsidP="007172C3">
      <w:pPr>
        <w:jc w:val="both"/>
        <w:rPr>
          <w:rFonts w:eastAsia="Calibri"/>
          <w:szCs w:val="22"/>
          <w:lang w:eastAsia="de-DE" w:bidi="de-DE"/>
        </w:rPr>
      </w:pPr>
    </w:p>
    <w:p w14:paraId="1539F716" w14:textId="77777777" w:rsidR="007172C3"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g)</w:t>
      </w:r>
      <w:r w:rsidRPr="00B65258">
        <w:rPr>
          <w:rFonts w:eastAsia="Calibri"/>
          <w:szCs w:val="22"/>
          <w:lang w:eastAsia="de-DE" w:bidi="de-DE"/>
        </w:rPr>
        <w:t xml:space="preserve"> Gesamtbetrag der Entlohnungen und des einbehaltenen Berufssteuervorabzugs,</w:t>
      </w:r>
    </w:p>
    <w:p w14:paraId="6BC8C495" w14:textId="77777777" w:rsidR="007172C3" w:rsidRDefault="007172C3" w:rsidP="007172C3">
      <w:pPr>
        <w:jc w:val="both"/>
        <w:rPr>
          <w:rFonts w:eastAsia="Calibri"/>
          <w:szCs w:val="22"/>
          <w:lang w:eastAsia="de-DE" w:bidi="de-DE"/>
        </w:rPr>
      </w:pPr>
    </w:p>
    <w:p w14:paraId="102A6DCF" w14:textId="77777777" w:rsidR="007172C3" w:rsidRPr="00B65258" w:rsidRDefault="007172C3" w:rsidP="007172C3">
      <w:pPr>
        <w:jc w:val="both"/>
        <w:rPr>
          <w:rFonts w:eastAsia="Calibri"/>
          <w:szCs w:val="22"/>
          <w:lang w:eastAsia="de-DE" w:bidi="de-DE"/>
        </w:rPr>
      </w:pPr>
      <w:r>
        <w:rPr>
          <w:rFonts w:eastAsia="Calibri"/>
          <w:szCs w:val="22"/>
          <w:lang w:eastAsia="de-DE" w:bidi="de-DE"/>
        </w:rPr>
        <w:tab/>
        <w:t>[</w:t>
      </w:r>
      <w:r w:rsidRPr="00C452EA">
        <w:rPr>
          <w:i/>
          <w:iCs/>
        </w:rPr>
        <w:t>g/1)</w:t>
      </w:r>
      <w:r w:rsidRPr="00C452EA">
        <w:t xml:space="preserve"> gegebenenfalls Betrag des Berufssteuervorabzugs, der zusätzlich zu dem verordnungsgemäßen Mindestbetrag des Berufssteuervorabzugs einbehalten wird, der auf diese Entlohnungen geschuldet wird,</w:t>
      </w:r>
      <w:r>
        <w:rPr>
          <w:rFonts w:eastAsia="Calibri"/>
          <w:szCs w:val="22"/>
          <w:lang w:eastAsia="de-DE" w:bidi="de-DE"/>
        </w:rPr>
        <w:t>]</w:t>
      </w:r>
    </w:p>
    <w:p w14:paraId="46C36468" w14:textId="77777777" w:rsidR="007172C3" w:rsidRPr="00B65258" w:rsidRDefault="007172C3" w:rsidP="007172C3">
      <w:pPr>
        <w:jc w:val="both"/>
        <w:rPr>
          <w:rFonts w:eastAsia="Calibri"/>
          <w:szCs w:val="22"/>
          <w:lang w:eastAsia="de-DE" w:bidi="de-DE"/>
        </w:rPr>
      </w:pPr>
    </w:p>
    <w:p w14:paraId="50EFCB30"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w:t>
      </w:r>
      <w:r w:rsidRPr="00B65258">
        <w:rPr>
          <w:rFonts w:eastAsia="Calibri"/>
          <w:i/>
          <w:szCs w:val="22"/>
          <w:lang w:eastAsia="de-DE" w:bidi="de-DE"/>
        </w:rPr>
        <w:t>h)</w:t>
      </w:r>
      <w:r w:rsidRPr="00B65258">
        <w:rPr>
          <w:rFonts w:eastAsia="Calibri"/>
          <w:szCs w:val="22"/>
          <w:lang w:eastAsia="de-DE" w:bidi="de-DE"/>
        </w:rPr>
        <w:t xml:space="preserve"> für jeden in Artikel 95</w:t>
      </w:r>
      <w:r w:rsidRPr="00B65258">
        <w:rPr>
          <w:rFonts w:eastAsia="Calibri"/>
          <w:szCs w:val="22"/>
          <w:vertAlign w:val="superscript"/>
          <w:lang w:eastAsia="de-DE" w:bidi="de-DE"/>
        </w:rPr>
        <w:t>2</w:t>
      </w:r>
      <w:r w:rsidRPr="00B65258">
        <w:rPr>
          <w:rFonts w:eastAsia="Calibri"/>
          <w:szCs w:val="22"/>
          <w:lang w:eastAsia="de-DE" w:bidi="de-DE"/>
        </w:rPr>
        <w:t xml:space="preserve"> § 1 Absatz 3 Nr. 3 Buchstabe </w:t>
      </w:r>
      <w:r w:rsidRPr="00B65258">
        <w:rPr>
          <w:rFonts w:eastAsia="Calibri"/>
          <w:i/>
          <w:szCs w:val="22"/>
          <w:lang w:eastAsia="de-DE" w:bidi="de-DE"/>
        </w:rPr>
        <w:t>c)</w:t>
      </w:r>
      <w:r w:rsidRPr="00B65258">
        <w:rPr>
          <w:rFonts w:eastAsia="Calibri"/>
          <w:szCs w:val="22"/>
          <w:lang w:eastAsia="de-DE" w:bidi="de-DE"/>
        </w:rPr>
        <w:t xml:space="preserve">, </w:t>
      </w:r>
      <w:r w:rsidRPr="00B65258">
        <w:rPr>
          <w:rFonts w:eastAsia="Calibri"/>
          <w:i/>
          <w:szCs w:val="22"/>
          <w:lang w:eastAsia="de-DE" w:bidi="de-DE"/>
        </w:rPr>
        <w:t>d)</w:t>
      </w:r>
      <w:r w:rsidRPr="00B65258">
        <w:rPr>
          <w:rFonts w:eastAsia="Calibri"/>
          <w:szCs w:val="22"/>
          <w:lang w:eastAsia="de-DE" w:bidi="de-DE"/>
        </w:rPr>
        <w:t xml:space="preserve"> und </w:t>
      </w:r>
      <w:r w:rsidRPr="00B65258">
        <w:rPr>
          <w:rFonts w:eastAsia="Calibri"/>
          <w:i/>
          <w:szCs w:val="22"/>
          <w:lang w:eastAsia="de-DE" w:bidi="de-DE"/>
        </w:rPr>
        <w:t>e)</w:t>
      </w:r>
      <w:r w:rsidRPr="00B65258">
        <w:rPr>
          <w:rFonts w:eastAsia="Calibri"/>
          <w:szCs w:val="22"/>
          <w:lang w:eastAsia="de-DE" w:bidi="de-DE"/>
        </w:rPr>
        <w:t xml:space="preserve"> erwähnten Schuldner Nachweis der Anmeldung der Projekte beziehungsweise Programme beim Föderalen Öffentlichen Programmierungsdienst Wissenschaftspolitik wie in Artikel 275</w:t>
      </w:r>
      <w:r w:rsidRPr="00B65258">
        <w:rPr>
          <w:rFonts w:eastAsia="Calibri"/>
          <w:szCs w:val="22"/>
          <w:vertAlign w:val="superscript"/>
          <w:lang w:eastAsia="de-DE" w:bidi="de-DE"/>
        </w:rPr>
        <w:t>3</w:t>
      </w:r>
      <w:r w:rsidRPr="00B65258">
        <w:rPr>
          <w:rFonts w:eastAsia="Calibri"/>
          <w:szCs w:val="22"/>
          <w:lang w:eastAsia="de-DE" w:bidi="de-DE"/>
        </w:rPr>
        <w:t xml:space="preserve"> § 3 Absatz 4 des Einkommensteuergesetzbuches 1992 vorgesehen.]</w:t>
      </w:r>
    </w:p>
    <w:p w14:paraId="1A52CF60" w14:textId="77777777" w:rsidR="007172C3" w:rsidRPr="00B65258" w:rsidRDefault="007172C3" w:rsidP="007172C3">
      <w:pPr>
        <w:jc w:val="both"/>
        <w:rPr>
          <w:rFonts w:eastAsia="Calibri"/>
          <w:szCs w:val="22"/>
          <w:lang w:eastAsia="de-DE" w:bidi="de-DE"/>
        </w:rPr>
      </w:pPr>
    </w:p>
    <w:p w14:paraId="75EA4EAB" w14:textId="77777777" w:rsidR="007172C3" w:rsidRPr="00B65258" w:rsidRDefault="007172C3" w:rsidP="007172C3">
      <w:pPr>
        <w:jc w:val="both"/>
        <w:rPr>
          <w:rFonts w:eastAsia="Calibri"/>
          <w:b/>
          <w:szCs w:val="22"/>
          <w:lang w:eastAsia="de-DE" w:bidi="de-DE"/>
        </w:rPr>
      </w:pPr>
      <w:r w:rsidRPr="00B65258">
        <w:rPr>
          <w:rFonts w:eastAsia="Calibri"/>
          <w:szCs w:val="22"/>
          <w:lang w:eastAsia="de-DE" w:bidi="de-DE"/>
        </w:rPr>
        <w:tab/>
      </w:r>
      <w:r w:rsidRPr="00B65258">
        <w:rPr>
          <w:rFonts w:eastAsia="Calibri"/>
          <w:b/>
          <w:szCs w:val="22"/>
          <w:lang w:eastAsia="de-DE" w:bidi="de-DE"/>
        </w:rPr>
        <w:t xml:space="preserve">IV. In </w:t>
      </w:r>
      <w:r w:rsidRPr="009A3E4C">
        <w:rPr>
          <w:rFonts w:eastAsia="Calibri"/>
          <w:szCs w:val="22"/>
          <w:lang w:eastAsia="de-DE" w:bidi="de-DE"/>
        </w:rPr>
        <w:t>[</w:t>
      </w:r>
      <w:r w:rsidRPr="00B65258">
        <w:rPr>
          <w:rFonts w:eastAsia="Calibri"/>
          <w:b/>
          <w:szCs w:val="22"/>
          <w:lang w:eastAsia="de-DE" w:bidi="de-DE"/>
        </w:rPr>
        <w:t>Artikel 95</w:t>
      </w:r>
      <w:r w:rsidRPr="00B65258">
        <w:rPr>
          <w:rFonts w:eastAsia="Calibri"/>
          <w:b/>
          <w:szCs w:val="22"/>
          <w:vertAlign w:val="superscript"/>
          <w:lang w:eastAsia="de-DE" w:bidi="de-DE"/>
        </w:rPr>
        <w:t>2</w:t>
      </w:r>
      <w:r w:rsidRPr="00B65258">
        <w:rPr>
          <w:rFonts w:eastAsia="Calibri"/>
          <w:b/>
          <w:szCs w:val="22"/>
          <w:lang w:eastAsia="de-DE" w:bidi="de-DE"/>
        </w:rPr>
        <w:t xml:space="preserve"> § 1 Absatz 3</w:t>
      </w:r>
      <w:r w:rsidRPr="009A3E4C">
        <w:rPr>
          <w:rFonts w:eastAsia="Calibri"/>
          <w:szCs w:val="22"/>
          <w:lang w:eastAsia="de-DE" w:bidi="de-DE"/>
        </w:rPr>
        <w:t>]</w:t>
      </w:r>
      <w:r w:rsidRPr="00B65258">
        <w:rPr>
          <w:rFonts w:eastAsia="Calibri"/>
          <w:b/>
          <w:szCs w:val="22"/>
          <w:lang w:eastAsia="de-DE" w:bidi="de-DE"/>
        </w:rPr>
        <w:t xml:space="preserve"> Nr. 4 erwähnte Schuldner:</w:t>
      </w:r>
    </w:p>
    <w:p w14:paraId="38D8EA30" w14:textId="77777777" w:rsidR="007172C3" w:rsidRPr="00B65258" w:rsidRDefault="007172C3" w:rsidP="007172C3">
      <w:pPr>
        <w:jc w:val="both"/>
        <w:rPr>
          <w:rFonts w:eastAsia="Calibri"/>
          <w:szCs w:val="22"/>
          <w:lang w:eastAsia="de-DE" w:bidi="de-DE"/>
        </w:rPr>
      </w:pPr>
    </w:p>
    <w:p w14:paraId="749CF4D9"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Diese Schuldner müssen folgende Unterlagen zur Verfügung der Verwaltung bereithalten:</w:t>
      </w:r>
    </w:p>
    <w:p w14:paraId="446A18A0" w14:textId="77777777" w:rsidR="007172C3" w:rsidRPr="00B65258" w:rsidRDefault="007172C3" w:rsidP="007172C3">
      <w:pPr>
        <w:jc w:val="both"/>
        <w:rPr>
          <w:rFonts w:eastAsia="Calibri"/>
          <w:szCs w:val="22"/>
          <w:lang w:eastAsia="de-DE" w:bidi="de-DE"/>
        </w:rPr>
      </w:pPr>
    </w:p>
    <w:p w14:paraId="353F8C44"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1. für die in Belgien registrierten Schiffe:</w:t>
      </w:r>
    </w:p>
    <w:p w14:paraId="61F4D3E2" w14:textId="77777777" w:rsidR="007172C3" w:rsidRPr="00B65258" w:rsidRDefault="007172C3" w:rsidP="007172C3">
      <w:pPr>
        <w:jc w:val="both"/>
        <w:rPr>
          <w:rFonts w:eastAsia="Calibri"/>
          <w:szCs w:val="22"/>
          <w:lang w:eastAsia="de-DE" w:bidi="de-DE"/>
        </w:rPr>
      </w:pPr>
    </w:p>
    <w:p w14:paraId="08717460"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bei der ersten Erklärung zum Berufssteuervorabzug, die in Ausführung dieser Bestimmungen eingereicht wird, eine Abschrift des für jedes der betreffenden Schiffe ausgestellten Schiffszertifikats,</w:t>
      </w:r>
    </w:p>
    <w:p w14:paraId="038A303D" w14:textId="77777777" w:rsidR="007172C3" w:rsidRPr="00B65258" w:rsidRDefault="007172C3" w:rsidP="007172C3">
      <w:pPr>
        <w:jc w:val="both"/>
        <w:rPr>
          <w:rFonts w:eastAsia="Calibri"/>
          <w:szCs w:val="22"/>
          <w:lang w:eastAsia="de-DE" w:bidi="de-DE"/>
        </w:rPr>
      </w:pPr>
    </w:p>
    <w:p w14:paraId="676951D3"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namentliche Liste pro Schiff mit folgenden Angaben:</w:t>
      </w:r>
    </w:p>
    <w:p w14:paraId="4E74F84C" w14:textId="77777777" w:rsidR="007172C3" w:rsidRPr="00B65258" w:rsidRDefault="007172C3" w:rsidP="007172C3">
      <w:pPr>
        <w:jc w:val="both"/>
        <w:rPr>
          <w:rFonts w:eastAsia="Calibri"/>
          <w:szCs w:val="22"/>
          <w:lang w:eastAsia="de-DE" w:bidi="de-DE"/>
        </w:rPr>
      </w:pPr>
    </w:p>
    <w:p w14:paraId="786663FB" w14:textId="77777777" w:rsidR="007172C3" w:rsidRDefault="007172C3" w:rsidP="007172C3">
      <w:pPr>
        <w:jc w:val="both"/>
        <w:rPr>
          <w:rFonts w:eastAsia="Calibri"/>
          <w:szCs w:val="22"/>
          <w:lang w:eastAsia="de-DE" w:bidi="de-DE"/>
        </w:rPr>
      </w:pPr>
      <w:r w:rsidRPr="00B65258">
        <w:rPr>
          <w:rFonts w:eastAsia="Calibri"/>
          <w:szCs w:val="22"/>
          <w:lang w:eastAsia="de-DE" w:bidi="de-DE"/>
        </w:rPr>
        <w:tab/>
        <w:t>1. vollständige Identität des Arbeitgebers mit Vermerk der nationalen Nummer oder der Referenznummer für Schuldner des Berufssteuervorabzugs,</w:t>
      </w:r>
    </w:p>
    <w:p w14:paraId="0B16955D" w14:textId="77777777" w:rsidR="007172C3" w:rsidRDefault="007172C3" w:rsidP="007172C3">
      <w:pPr>
        <w:jc w:val="both"/>
        <w:rPr>
          <w:rFonts w:eastAsia="Calibri"/>
          <w:szCs w:val="22"/>
          <w:lang w:eastAsia="de-DE" w:bidi="de-DE"/>
        </w:rPr>
      </w:pPr>
    </w:p>
    <w:p w14:paraId="7C6CC9F4"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2. für jeden der in Artikel 275</w:t>
      </w:r>
      <w:r w:rsidRPr="00B65258">
        <w:rPr>
          <w:rFonts w:eastAsia="Calibri"/>
          <w:szCs w:val="22"/>
          <w:vertAlign w:val="superscript"/>
          <w:lang w:eastAsia="de-DE" w:bidi="de-DE"/>
        </w:rPr>
        <w:t>4</w:t>
      </w:r>
      <w:r w:rsidRPr="00B65258">
        <w:rPr>
          <w:rFonts w:eastAsia="Calibri"/>
          <w:szCs w:val="22"/>
          <w:lang w:eastAsia="de-DE" w:bidi="de-DE"/>
        </w:rPr>
        <w:t xml:space="preserve"> Absatz 1 des Einkommensteuergesetzbuches 1992 erwähnten Arbeitnehmer:</w:t>
      </w:r>
    </w:p>
    <w:p w14:paraId="748C862E" w14:textId="77777777" w:rsidR="007172C3" w:rsidRPr="00B65258" w:rsidRDefault="007172C3" w:rsidP="007172C3">
      <w:pPr>
        <w:jc w:val="both"/>
        <w:rPr>
          <w:rFonts w:eastAsia="Calibri"/>
          <w:szCs w:val="22"/>
          <w:lang w:eastAsia="de-DE" w:bidi="de-DE"/>
        </w:rPr>
      </w:pPr>
    </w:p>
    <w:p w14:paraId="4E048C52"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a)</w:t>
      </w:r>
      <w:r w:rsidRPr="00B65258">
        <w:rPr>
          <w:rFonts w:eastAsia="Calibri"/>
          <w:szCs w:val="22"/>
          <w:lang w:eastAsia="de-DE" w:bidi="de-DE"/>
        </w:rPr>
        <w:t> vollständige Identität und gegebenenfalls nationale Nummer,</w:t>
      </w:r>
    </w:p>
    <w:p w14:paraId="1F87F823" w14:textId="77777777" w:rsidR="007172C3" w:rsidRPr="00B65258" w:rsidRDefault="007172C3" w:rsidP="007172C3">
      <w:pPr>
        <w:jc w:val="both"/>
        <w:rPr>
          <w:rFonts w:eastAsia="Calibri"/>
          <w:szCs w:val="22"/>
          <w:lang w:eastAsia="de-DE" w:bidi="de-DE"/>
        </w:rPr>
      </w:pPr>
    </w:p>
    <w:p w14:paraId="3E472218"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b)</w:t>
      </w:r>
      <w:r w:rsidRPr="00B65258">
        <w:rPr>
          <w:rFonts w:eastAsia="Calibri"/>
          <w:szCs w:val="22"/>
          <w:lang w:eastAsia="de-DE" w:bidi="de-DE"/>
        </w:rPr>
        <w:t xml:space="preserve"> Funktion an Bord des Schiffes oder Beschreibung der an Bord ausgeübten Tätigkeiten,</w:t>
      </w:r>
    </w:p>
    <w:p w14:paraId="49F3C238" w14:textId="77777777" w:rsidR="007172C3" w:rsidRPr="00B65258" w:rsidRDefault="007172C3" w:rsidP="007172C3">
      <w:pPr>
        <w:jc w:val="both"/>
        <w:rPr>
          <w:rFonts w:eastAsia="Calibri"/>
          <w:szCs w:val="22"/>
          <w:lang w:eastAsia="de-DE" w:bidi="de-DE"/>
        </w:rPr>
      </w:pPr>
    </w:p>
    <w:p w14:paraId="276EAD78"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c)</w:t>
      </w:r>
      <w:r w:rsidRPr="00B65258">
        <w:rPr>
          <w:rFonts w:eastAsia="Calibri"/>
          <w:szCs w:val="22"/>
          <w:lang w:eastAsia="de-DE" w:bidi="de-DE"/>
        </w:rPr>
        <w:t xml:space="preserve"> gegebenenfalls Datum des Dienstantritts und -austritts wie in der unmittelbaren Beschäftigungsmeldung (DIMONA) angegeben,</w:t>
      </w:r>
    </w:p>
    <w:p w14:paraId="5C01A73D" w14:textId="77777777" w:rsidR="007172C3" w:rsidRPr="00B65258" w:rsidRDefault="007172C3" w:rsidP="007172C3">
      <w:pPr>
        <w:jc w:val="both"/>
        <w:rPr>
          <w:rFonts w:eastAsia="Calibri"/>
          <w:szCs w:val="22"/>
          <w:lang w:eastAsia="de-DE" w:bidi="de-DE"/>
        </w:rPr>
      </w:pPr>
    </w:p>
    <w:p w14:paraId="4679B669"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d)</w:t>
      </w:r>
      <w:r w:rsidRPr="00B65258">
        <w:rPr>
          <w:rFonts w:eastAsia="Calibri"/>
          <w:szCs w:val="22"/>
          <w:lang w:eastAsia="de-DE" w:bidi="de-DE"/>
        </w:rPr>
        <w:t xml:space="preserve"> Betrag der gezahlten steuerpflichtigen Bruttoentlohnungen,</w:t>
      </w:r>
    </w:p>
    <w:p w14:paraId="4657BF86" w14:textId="77777777" w:rsidR="007172C3" w:rsidRPr="00B65258" w:rsidRDefault="007172C3" w:rsidP="007172C3">
      <w:pPr>
        <w:jc w:val="both"/>
        <w:rPr>
          <w:rFonts w:eastAsia="Calibri"/>
          <w:szCs w:val="22"/>
          <w:lang w:eastAsia="de-DE" w:bidi="de-DE"/>
        </w:rPr>
      </w:pPr>
    </w:p>
    <w:p w14:paraId="2F5B484E"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e)</w:t>
      </w:r>
      <w:r w:rsidRPr="00B65258">
        <w:rPr>
          <w:rFonts w:eastAsia="Calibri"/>
          <w:szCs w:val="22"/>
          <w:lang w:eastAsia="de-DE" w:bidi="de-DE"/>
        </w:rPr>
        <w:t xml:space="preserve"> Betrag des auf diese Entlohnungen einbehaltenen Berufssteuervorabzugs und detaillierte Berechnung dieses Berufssteuervorabzugs,</w:t>
      </w:r>
    </w:p>
    <w:p w14:paraId="5BF19CE5" w14:textId="77777777" w:rsidR="007172C3" w:rsidRPr="00B65258" w:rsidRDefault="007172C3" w:rsidP="007172C3">
      <w:pPr>
        <w:jc w:val="both"/>
        <w:rPr>
          <w:rFonts w:eastAsia="Calibri"/>
          <w:szCs w:val="22"/>
          <w:lang w:eastAsia="de-DE" w:bidi="de-DE"/>
        </w:rPr>
      </w:pPr>
    </w:p>
    <w:p w14:paraId="5F1CDEBF"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r>
      <w:r w:rsidRPr="00B65258">
        <w:rPr>
          <w:rFonts w:eastAsia="Calibri"/>
          <w:i/>
          <w:szCs w:val="22"/>
          <w:lang w:eastAsia="de-DE" w:bidi="de-DE"/>
        </w:rPr>
        <w:t>f)</w:t>
      </w:r>
      <w:r w:rsidRPr="00B65258">
        <w:rPr>
          <w:rFonts w:eastAsia="Calibri"/>
          <w:szCs w:val="22"/>
          <w:lang w:eastAsia="de-DE" w:bidi="de-DE"/>
        </w:rPr>
        <w:t xml:space="preserve"> detaillierte Berechnung des in Artikel 275</w:t>
      </w:r>
      <w:r w:rsidRPr="00B65258">
        <w:rPr>
          <w:rFonts w:eastAsia="Calibri"/>
          <w:szCs w:val="22"/>
          <w:vertAlign w:val="superscript"/>
          <w:lang w:eastAsia="de-DE" w:bidi="de-DE"/>
        </w:rPr>
        <w:t>4</w:t>
      </w:r>
      <w:r w:rsidRPr="00B65258">
        <w:rPr>
          <w:rFonts w:eastAsia="Calibri"/>
          <w:szCs w:val="22"/>
          <w:lang w:eastAsia="de-DE" w:bidi="de-DE"/>
        </w:rPr>
        <w:t xml:space="preserve"> Absatz </w:t>
      </w:r>
      <w:r w:rsidRPr="00B65258">
        <w:rPr>
          <w:rFonts w:eastAsia="Calibri"/>
          <w:sz w:val="28"/>
          <w:szCs w:val="28"/>
          <w:lang w:eastAsia="de-DE" w:bidi="de-DE"/>
        </w:rPr>
        <w:t xml:space="preserve">2 </w:t>
      </w:r>
      <w:r w:rsidRPr="00B65258">
        <w:rPr>
          <w:rFonts w:eastAsia="Calibri"/>
          <w:szCs w:val="22"/>
          <w:lang w:eastAsia="de-DE" w:bidi="de-DE"/>
        </w:rPr>
        <w:t>des vorerwähnten Gesetzbuches erwähnten fiktiven Berufssteuervorabzugs,</w:t>
      </w:r>
    </w:p>
    <w:p w14:paraId="719A3241" w14:textId="77777777" w:rsidR="007172C3" w:rsidRPr="00B65258" w:rsidRDefault="007172C3" w:rsidP="007172C3">
      <w:pPr>
        <w:jc w:val="both"/>
        <w:rPr>
          <w:rFonts w:eastAsia="Calibri"/>
          <w:szCs w:val="22"/>
          <w:lang w:eastAsia="de-DE" w:bidi="de-DE"/>
        </w:rPr>
      </w:pPr>
    </w:p>
    <w:p w14:paraId="4386E4E5"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3. Gesamtbetrag der Entlohnungen und des einbehaltenen Berufssteuervorabzugs,</w:t>
      </w:r>
    </w:p>
    <w:p w14:paraId="2907F3A5" w14:textId="77777777" w:rsidR="007172C3" w:rsidRPr="00B65258" w:rsidRDefault="007172C3" w:rsidP="007172C3">
      <w:pPr>
        <w:jc w:val="both"/>
        <w:rPr>
          <w:rFonts w:eastAsia="Calibri"/>
          <w:szCs w:val="22"/>
          <w:lang w:eastAsia="de-DE" w:bidi="de-DE"/>
        </w:rPr>
      </w:pPr>
    </w:p>
    <w:p w14:paraId="311ABB3D"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4. Gesamtbetrag der Pauschalentlohnungen und des fiktiven Berufssteuervorabzugs,</w:t>
      </w:r>
    </w:p>
    <w:p w14:paraId="698DD2C6" w14:textId="77777777" w:rsidR="007172C3" w:rsidRPr="00B65258" w:rsidRDefault="007172C3" w:rsidP="007172C3">
      <w:pPr>
        <w:jc w:val="both"/>
        <w:rPr>
          <w:rFonts w:eastAsia="Calibri"/>
          <w:szCs w:val="22"/>
          <w:lang w:eastAsia="de-DE" w:bidi="de-DE"/>
        </w:rPr>
      </w:pPr>
    </w:p>
    <w:p w14:paraId="00DBD7F1" w14:textId="77777777" w:rsidR="007172C3" w:rsidRDefault="007172C3" w:rsidP="007172C3">
      <w:pPr>
        <w:rPr>
          <w:rFonts w:eastAsia="Calibri"/>
          <w:szCs w:val="22"/>
          <w:lang w:eastAsia="de-DE" w:bidi="de-DE"/>
        </w:rPr>
      </w:pPr>
      <w:r>
        <w:rPr>
          <w:rFonts w:eastAsia="Calibri"/>
          <w:szCs w:val="22"/>
          <w:lang w:eastAsia="de-DE" w:bidi="de-DE"/>
        </w:rPr>
        <w:br w:type="page"/>
      </w:r>
    </w:p>
    <w:p w14:paraId="0CF7DC25"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lastRenderedPageBreak/>
        <w:tab/>
        <w:t>2. für die in einem anderen Mitgliedstaat der Europäischen Union registrierten Schiffe:</w:t>
      </w:r>
    </w:p>
    <w:p w14:paraId="1BC535A3" w14:textId="77777777" w:rsidR="007172C3" w:rsidRPr="00B65258" w:rsidRDefault="007172C3" w:rsidP="007172C3">
      <w:pPr>
        <w:jc w:val="both"/>
        <w:rPr>
          <w:rFonts w:eastAsia="Calibri"/>
          <w:szCs w:val="22"/>
          <w:lang w:eastAsia="de-DE" w:bidi="de-DE"/>
        </w:rPr>
      </w:pPr>
    </w:p>
    <w:p w14:paraId="77A7640C"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Abschrift des für jedes der betreffenden Schiffe ausgestellten Schiffszertifikats oder eines mit diesem Schiffszertifikat vergleichbaren Dokuments, aus dem unwiderlegbar hervorgeht, dass das betreffende Schiff in einem Mitgliedstaat der Europäischen Union registriert ist. Dieses Dokument ist stets beizufügen,</w:t>
      </w:r>
    </w:p>
    <w:p w14:paraId="6BB620E6" w14:textId="77777777" w:rsidR="007172C3" w:rsidRPr="00B65258" w:rsidRDefault="007172C3" w:rsidP="007172C3">
      <w:pPr>
        <w:jc w:val="both"/>
        <w:rPr>
          <w:rFonts w:eastAsia="Calibri"/>
          <w:szCs w:val="22"/>
          <w:lang w:eastAsia="de-DE" w:bidi="de-DE"/>
        </w:rPr>
      </w:pPr>
    </w:p>
    <w:p w14:paraId="4518F571" w14:textId="77777777" w:rsidR="007172C3" w:rsidRPr="00B65258" w:rsidRDefault="007172C3" w:rsidP="007172C3">
      <w:pPr>
        <w:jc w:val="both"/>
        <w:rPr>
          <w:rFonts w:eastAsia="Calibri"/>
          <w:szCs w:val="22"/>
          <w:lang w:eastAsia="de-DE" w:bidi="de-DE"/>
        </w:rPr>
      </w:pPr>
      <w:r w:rsidRPr="00B65258">
        <w:rPr>
          <w:rFonts w:eastAsia="Calibri"/>
          <w:szCs w:val="22"/>
          <w:lang w:eastAsia="de-DE" w:bidi="de-DE"/>
        </w:rPr>
        <w:tab/>
        <w:t>- namentliche Liste pro Schiff mit den in Nr. 1 zweiter Gedankenstrich weiter oben erwähnten Angaben.</w:t>
      </w:r>
    </w:p>
    <w:p w14:paraId="698CBA74" w14:textId="77777777" w:rsidR="007172C3" w:rsidRPr="00B65258" w:rsidRDefault="007172C3" w:rsidP="007172C3">
      <w:pPr>
        <w:jc w:val="both"/>
        <w:rPr>
          <w:rFonts w:eastAsia="Calibri"/>
          <w:szCs w:val="22"/>
          <w:lang w:eastAsia="de-DE" w:bidi="de-DE"/>
        </w:rPr>
      </w:pPr>
    </w:p>
    <w:p w14:paraId="393A7070" w14:textId="77777777" w:rsidR="00665252" w:rsidRPr="00370669" w:rsidRDefault="00665252" w:rsidP="00665252">
      <w:pPr>
        <w:jc w:val="both"/>
        <w:rPr>
          <w:b/>
          <w:bCs/>
        </w:rPr>
      </w:pPr>
      <w:r w:rsidRPr="00B65258">
        <w:rPr>
          <w:rFonts w:eastAsia="Calibri"/>
          <w:szCs w:val="22"/>
          <w:lang w:eastAsia="de-DE" w:bidi="de-DE"/>
        </w:rPr>
        <w:tab/>
      </w:r>
      <w:r w:rsidRPr="00B65258">
        <w:rPr>
          <w:rFonts w:eastAsia="Calibri"/>
          <w:b/>
          <w:szCs w:val="22"/>
          <w:lang w:eastAsia="de-DE" w:bidi="de-DE"/>
        </w:rPr>
        <w:t xml:space="preserve">V. </w:t>
      </w:r>
      <w:r w:rsidRPr="009A3E4C">
        <w:rPr>
          <w:rFonts w:eastAsia="Calibri"/>
          <w:szCs w:val="22"/>
          <w:lang w:eastAsia="de-DE" w:bidi="de-DE"/>
        </w:rPr>
        <w:t>[</w:t>
      </w:r>
      <w:r w:rsidRPr="00370669">
        <w:rPr>
          <w:b/>
          <w:bCs/>
        </w:rPr>
        <w:t>In Artikel 95</w:t>
      </w:r>
      <w:r w:rsidRPr="00370669">
        <w:rPr>
          <w:b/>
          <w:bCs/>
          <w:vertAlign w:val="superscript"/>
        </w:rPr>
        <w:t>2</w:t>
      </w:r>
      <w:r w:rsidRPr="00370669">
        <w:rPr>
          <w:b/>
          <w:bCs/>
        </w:rPr>
        <w:t xml:space="preserve"> § 1 Absatz 3 Nr. 5 Buchstabe </w:t>
      </w:r>
      <w:r w:rsidRPr="00370669">
        <w:rPr>
          <w:b/>
          <w:bCs/>
          <w:i/>
          <w:iCs/>
        </w:rPr>
        <w:t>a)</w:t>
      </w:r>
      <w:r w:rsidRPr="00370669">
        <w:rPr>
          <w:b/>
          <w:bCs/>
        </w:rPr>
        <w:t xml:space="preserve"> und </w:t>
      </w:r>
      <w:r w:rsidRPr="00370669">
        <w:rPr>
          <w:b/>
          <w:bCs/>
          <w:i/>
          <w:iCs/>
        </w:rPr>
        <w:t>c)</w:t>
      </w:r>
      <w:r w:rsidRPr="00370669">
        <w:rPr>
          <w:b/>
          <w:bCs/>
        </w:rPr>
        <w:t xml:space="preserve"> erwähnte Schuldner:</w:t>
      </w:r>
    </w:p>
    <w:p w14:paraId="11F84591" w14:textId="77777777" w:rsidR="00665252" w:rsidRPr="00370669" w:rsidRDefault="00665252" w:rsidP="00665252">
      <w:pPr>
        <w:jc w:val="both"/>
        <w:rPr>
          <w:b/>
          <w:bCs/>
        </w:rPr>
      </w:pPr>
    </w:p>
    <w:p w14:paraId="7C918D16" w14:textId="77777777" w:rsidR="00665252" w:rsidRPr="00C452EA" w:rsidRDefault="00665252" w:rsidP="00665252">
      <w:pPr>
        <w:jc w:val="both"/>
      </w:pPr>
      <w:r w:rsidRPr="00C452EA">
        <w:tab/>
        <w:t>Diese Schuldner müssen eine namentliche Liste zur Verfügung der Verwaltung bereithalten, die für jeden Arbeitnehmer, der Schichtarbeit geleistet hat, pro Monat folgende Angaben enthält:</w:t>
      </w:r>
    </w:p>
    <w:p w14:paraId="76DE74C8" w14:textId="77777777" w:rsidR="00665252" w:rsidRPr="00C452EA" w:rsidRDefault="00665252" w:rsidP="00665252">
      <w:pPr>
        <w:jc w:val="both"/>
      </w:pPr>
    </w:p>
    <w:p w14:paraId="4F331D28" w14:textId="77777777" w:rsidR="00665252" w:rsidRPr="00C452EA" w:rsidRDefault="00665252" w:rsidP="00665252">
      <w:pPr>
        <w:jc w:val="both"/>
      </w:pPr>
      <w:r w:rsidRPr="00C452EA">
        <w:tab/>
        <w:t>- vollständige Identität,</w:t>
      </w:r>
    </w:p>
    <w:p w14:paraId="76F27526" w14:textId="77777777" w:rsidR="00665252" w:rsidRPr="00C452EA" w:rsidRDefault="00665252" w:rsidP="00665252">
      <w:pPr>
        <w:jc w:val="both"/>
      </w:pPr>
    </w:p>
    <w:p w14:paraId="4E85290A" w14:textId="77777777" w:rsidR="00665252" w:rsidRPr="00C452EA" w:rsidRDefault="00665252" w:rsidP="00665252">
      <w:pPr>
        <w:jc w:val="both"/>
      </w:pPr>
      <w:r w:rsidRPr="00C452EA">
        <w:tab/>
        <w:t>- Anzahl tatsächlich geleisteter Arbeitsstunden in Schichtarbeit, für die der Arbeitnehmer auch eine Schichtzulage erhalten hat,</w:t>
      </w:r>
    </w:p>
    <w:p w14:paraId="658456BF" w14:textId="77777777" w:rsidR="00665252" w:rsidRPr="00C452EA" w:rsidRDefault="00665252" w:rsidP="00665252">
      <w:pPr>
        <w:jc w:val="both"/>
      </w:pPr>
    </w:p>
    <w:p w14:paraId="2100CFBB" w14:textId="77777777" w:rsidR="00665252" w:rsidRPr="00C452EA" w:rsidRDefault="00665252" w:rsidP="00665252">
      <w:pPr>
        <w:jc w:val="both"/>
      </w:pPr>
      <w:r w:rsidRPr="00C452EA">
        <w:tab/>
        <w:t>- gegebenenfalls Anzahl Stunden, für die die Erfüllung des Arbeitsvertrags ausgesetzt worden ist und der Lohn durch den Arbeitgeber fortgezahlt worden ist, wenn nachgewiesen werden kann, dass der betreffende Arbeitnehmer gemäß seiner Arbeitsregelung in Schichtarbeit gearbeitet hätte und hierfür auch eine Schichtzulage erhalten hätte,</w:t>
      </w:r>
    </w:p>
    <w:p w14:paraId="372DF374" w14:textId="77777777" w:rsidR="00665252" w:rsidRPr="00C452EA" w:rsidRDefault="00665252" w:rsidP="00665252">
      <w:pPr>
        <w:jc w:val="both"/>
      </w:pPr>
    </w:p>
    <w:p w14:paraId="78E17DA8" w14:textId="77777777" w:rsidR="00665252" w:rsidRPr="00C452EA" w:rsidRDefault="00665252" w:rsidP="00665252">
      <w:pPr>
        <w:jc w:val="both"/>
      </w:pPr>
      <w:r w:rsidRPr="00C452EA">
        <w:tab/>
        <w:t>- Gesamtanzahl tatsächlich geleisteter Arbeitsstunden,</w:t>
      </w:r>
    </w:p>
    <w:p w14:paraId="7D9E9209" w14:textId="77777777" w:rsidR="00665252" w:rsidRPr="00C452EA" w:rsidRDefault="00665252" w:rsidP="00665252">
      <w:pPr>
        <w:jc w:val="both"/>
      </w:pPr>
    </w:p>
    <w:p w14:paraId="475554C9" w14:textId="77777777" w:rsidR="00665252" w:rsidRPr="00C452EA" w:rsidRDefault="00665252" w:rsidP="00665252">
      <w:pPr>
        <w:jc w:val="both"/>
      </w:pPr>
      <w:r w:rsidRPr="00C452EA">
        <w:tab/>
        <w:t>- gegebenenfalls Gesamtanzahl Stunden, für die die Erfüllung des Arbeitsvertrags ausgesetzt worden ist, der Lohn jedoch fortgezahlt worden ist,</w:t>
      </w:r>
    </w:p>
    <w:p w14:paraId="2FA2840E" w14:textId="77777777" w:rsidR="00665252" w:rsidRPr="00C452EA" w:rsidRDefault="00665252" w:rsidP="00665252">
      <w:pPr>
        <w:jc w:val="both"/>
      </w:pPr>
    </w:p>
    <w:p w14:paraId="08B0C92F" w14:textId="77777777" w:rsidR="00665252" w:rsidRPr="00C452EA" w:rsidRDefault="00665252" w:rsidP="00665252">
      <w:pPr>
        <w:jc w:val="both"/>
      </w:pPr>
      <w:r w:rsidRPr="00C452EA">
        <w:tab/>
        <w:t>- dem Arbeitnehmer gezahlte oder zuerkannte steuerpflichtige Entlohnungen, die gemäß Artikel 31 Absatz 2 Nr. 1 und 2 des Einkommensteuergesetzbuches 1992 festgelegt werden, ohne doppeltes Urlaubsgeld, Jahresendprämie und ausstehende Entlohnungen,</w:t>
      </w:r>
    </w:p>
    <w:p w14:paraId="0122B71E" w14:textId="77777777" w:rsidR="00665252" w:rsidRPr="00C452EA" w:rsidRDefault="00665252" w:rsidP="00665252">
      <w:pPr>
        <w:jc w:val="both"/>
      </w:pPr>
    </w:p>
    <w:p w14:paraId="2BD79F5D" w14:textId="77777777" w:rsidR="00665252" w:rsidRPr="00C452EA" w:rsidRDefault="00665252" w:rsidP="00665252">
      <w:pPr>
        <w:jc w:val="both"/>
      </w:pPr>
      <w:r w:rsidRPr="00C452EA">
        <w:tab/>
        <w:t>- Betrag des auf diese Entlohnungen einbehaltenen Berufssteuervorabzugs,</w:t>
      </w:r>
    </w:p>
    <w:p w14:paraId="0A0985BC" w14:textId="77777777" w:rsidR="00665252" w:rsidRPr="00C452EA" w:rsidRDefault="00665252" w:rsidP="00665252">
      <w:pPr>
        <w:jc w:val="both"/>
      </w:pPr>
    </w:p>
    <w:p w14:paraId="2A5C3F33" w14:textId="77777777" w:rsidR="00665252" w:rsidRDefault="00665252" w:rsidP="00665252">
      <w:pPr>
        <w:jc w:val="both"/>
        <w:rPr>
          <w:rFonts w:eastAsia="Calibri"/>
          <w:szCs w:val="22"/>
          <w:lang w:eastAsia="de-DE" w:bidi="de-DE"/>
        </w:rPr>
      </w:pPr>
      <w:r w:rsidRPr="00C452EA">
        <w:tab/>
        <w:t>- Betrag der Schichtzulage, die für die in diesem Monat geleistete Arbeit gezahlt oder zuerkannt worden ist.</w:t>
      </w:r>
      <w:r w:rsidRPr="00B65258">
        <w:rPr>
          <w:rFonts w:eastAsia="Calibri"/>
          <w:szCs w:val="22"/>
          <w:lang w:eastAsia="de-DE" w:bidi="de-DE"/>
        </w:rPr>
        <w:t>]</w:t>
      </w:r>
    </w:p>
    <w:p w14:paraId="5FFA2DF3" w14:textId="77777777" w:rsidR="00777B2C" w:rsidRDefault="00777B2C" w:rsidP="00665252">
      <w:pPr>
        <w:jc w:val="both"/>
        <w:rPr>
          <w:rFonts w:eastAsia="Calibri"/>
          <w:szCs w:val="22"/>
          <w:lang w:eastAsia="de-DE" w:bidi="de-DE"/>
        </w:rPr>
      </w:pPr>
    </w:p>
    <w:p w14:paraId="6FEE7FF6" w14:textId="047CEC1C" w:rsidR="00777B2C" w:rsidRDefault="00777B2C" w:rsidP="00665252">
      <w:pPr>
        <w:jc w:val="both"/>
        <w:rPr>
          <w:rFonts w:eastAsia="Calibri"/>
          <w:szCs w:val="22"/>
          <w:lang w:eastAsia="de-DE" w:bidi="de-DE"/>
        </w:rPr>
      </w:pPr>
      <w:r>
        <w:rPr>
          <w:rFonts w:eastAsia="Calibri"/>
          <w:szCs w:val="22"/>
          <w:lang w:eastAsia="de-DE" w:bidi="de-DE"/>
        </w:rPr>
        <w:tab/>
        <w:t>[</w:t>
      </w:r>
      <w:r w:rsidRPr="00607A3E">
        <w:t>Ist der Schuldner ein für Leiharbeit zugelassenes Unternehmen, hält er die in Artikel 95</w:t>
      </w:r>
      <w:r w:rsidRPr="00607A3E">
        <w:rPr>
          <w:vertAlign w:val="superscript"/>
        </w:rPr>
        <w:t>4/2</w:t>
      </w:r>
      <w:r w:rsidRPr="00607A3E">
        <w:t xml:space="preserve"> Absatz 2 erwähnte Vereinbarung sowie die in Artikel 95</w:t>
      </w:r>
      <w:r w:rsidRPr="00607A3E">
        <w:rPr>
          <w:vertAlign w:val="superscript"/>
        </w:rPr>
        <w:t>4/2</w:t>
      </w:r>
      <w:r w:rsidRPr="00607A3E">
        <w:t xml:space="preserve"> Absatz 2 erster Gedankenstrich erwähnten Erklärungen zur Verfügung der Verwaltung bereit.</w:t>
      </w:r>
      <w:r>
        <w:t>]</w:t>
      </w:r>
    </w:p>
    <w:p w14:paraId="2FF144B5" w14:textId="77777777" w:rsidR="00665252" w:rsidRDefault="00665252" w:rsidP="00665252">
      <w:pPr>
        <w:jc w:val="both"/>
        <w:rPr>
          <w:rFonts w:eastAsia="Calibri"/>
          <w:szCs w:val="22"/>
          <w:lang w:eastAsia="de-DE" w:bidi="de-DE"/>
        </w:rPr>
      </w:pPr>
    </w:p>
    <w:p w14:paraId="474D46D4" w14:textId="77777777" w:rsidR="00777B2C" w:rsidRDefault="00777B2C">
      <w:pPr>
        <w:rPr>
          <w:rFonts w:eastAsia="Calibri"/>
          <w:szCs w:val="22"/>
          <w:lang w:eastAsia="de-DE" w:bidi="de-DE"/>
        </w:rPr>
      </w:pPr>
      <w:r>
        <w:rPr>
          <w:rFonts w:eastAsia="Calibri"/>
          <w:szCs w:val="22"/>
          <w:lang w:eastAsia="de-DE" w:bidi="de-DE"/>
        </w:rPr>
        <w:br w:type="page"/>
      </w:r>
    </w:p>
    <w:p w14:paraId="55E5A649" w14:textId="477AA65E" w:rsidR="00665252" w:rsidRPr="00C452EA" w:rsidRDefault="00665252" w:rsidP="00665252">
      <w:pPr>
        <w:jc w:val="both"/>
      </w:pPr>
      <w:r>
        <w:rPr>
          <w:rFonts w:eastAsia="Calibri"/>
          <w:szCs w:val="22"/>
          <w:lang w:eastAsia="de-DE" w:bidi="de-DE"/>
        </w:rPr>
        <w:lastRenderedPageBreak/>
        <w:tab/>
        <w:t>[</w:t>
      </w:r>
      <w:r w:rsidRPr="00594E7A">
        <w:rPr>
          <w:b/>
          <w:bCs/>
        </w:rPr>
        <w:t>V/1. In Artikel 95</w:t>
      </w:r>
      <w:r w:rsidRPr="00594E7A">
        <w:rPr>
          <w:b/>
          <w:bCs/>
          <w:vertAlign w:val="superscript"/>
        </w:rPr>
        <w:t>2</w:t>
      </w:r>
      <w:r w:rsidRPr="00594E7A">
        <w:rPr>
          <w:b/>
          <w:bCs/>
        </w:rPr>
        <w:t xml:space="preserve"> § 1 Absatz 3 Nr. 5 Buchstabe </w:t>
      </w:r>
      <w:r w:rsidRPr="00594E7A">
        <w:rPr>
          <w:b/>
          <w:bCs/>
          <w:i/>
          <w:iCs/>
        </w:rPr>
        <w:t>b)</w:t>
      </w:r>
      <w:r w:rsidRPr="00594E7A">
        <w:rPr>
          <w:b/>
          <w:bCs/>
        </w:rPr>
        <w:t xml:space="preserve"> erwähnte Schuldner:</w:t>
      </w:r>
    </w:p>
    <w:p w14:paraId="66292E7F" w14:textId="77777777" w:rsidR="00665252" w:rsidRPr="00C452EA" w:rsidRDefault="00665252" w:rsidP="00665252">
      <w:pPr>
        <w:jc w:val="both"/>
      </w:pPr>
    </w:p>
    <w:p w14:paraId="54E9BCEA" w14:textId="77777777" w:rsidR="00665252" w:rsidRPr="00C452EA" w:rsidRDefault="00665252" w:rsidP="00665252">
      <w:pPr>
        <w:jc w:val="both"/>
      </w:pPr>
      <w:r w:rsidRPr="00C452EA">
        <w:tab/>
        <w:t>Diese Schuldner müssen eine namentliche Liste zur Verfügung der Verwaltung bereithalten, die für jeden Arbeitnehmer, der Nachtarbeit geleistet hat, pro Monat folgende Angaben enthält:</w:t>
      </w:r>
    </w:p>
    <w:p w14:paraId="260143BD" w14:textId="77777777" w:rsidR="00665252" w:rsidRPr="00C452EA" w:rsidRDefault="00665252" w:rsidP="00665252">
      <w:pPr>
        <w:jc w:val="both"/>
      </w:pPr>
    </w:p>
    <w:p w14:paraId="19905E43" w14:textId="77777777" w:rsidR="00665252" w:rsidRPr="00C452EA" w:rsidRDefault="00665252" w:rsidP="00665252">
      <w:pPr>
        <w:jc w:val="both"/>
      </w:pPr>
      <w:r w:rsidRPr="00C452EA">
        <w:tab/>
        <w:t>- vollständige Identität,</w:t>
      </w:r>
    </w:p>
    <w:p w14:paraId="527CF772" w14:textId="77777777" w:rsidR="00665252" w:rsidRPr="00C452EA" w:rsidRDefault="00665252" w:rsidP="00665252">
      <w:pPr>
        <w:jc w:val="both"/>
      </w:pPr>
      <w:r w:rsidRPr="00C452EA">
        <w:tab/>
      </w:r>
    </w:p>
    <w:p w14:paraId="1F2DB8B7" w14:textId="77777777" w:rsidR="00665252" w:rsidRPr="00C452EA" w:rsidRDefault="00665252" w:rsidP="00665252">
      <w:pPr>
        <w:jc w:val="both"/>
      </w:pPr>
      <w:r w:rsidRPr="00C452EA">
        <w:tab/>
        <w:t>- Anzahl tatsächlich geleisteter Arbeitsstunden in Nachtarbeit, für die der Arbeitnehmer auch eine Nachtarbeitszulage erhalten hat,</w:t>
      </w:r>
    </w:p>
    <w:p w14:paraId="38141853" w14:textId="77777777" w:rsidR="00665252" w:rsidRPr="00C452EA" w:rsidRDefault="00665252" w:rsidP="00665252">
      <w:pPr>
        <w:jc w:val="both"/>
      </w:pPr>
    </w:p>
    <w:p w14:paraId="75F60BCE" w14:textId="77777777" w:rsidR="00665252" w:rsidRPr="00C452EA" w:rsidRDefault="00665252" w:rsidP="00665252">
      <w:pPr>
        <w:jc w:val="both"/>
      </w:pPr>
      <w:r w:rsidRPr="00C452EA">
        <w:tab/>
        <w:t>- Anzahl Stunden, für die die Erfüllung des Arbeitsvertrags ausgesetzt worden ist und der Lohn durch den Arbeitgeber fortgezahlt worden ist, wenn nachgewiesen werden kann, dass der betreffende Arbeitnehmer gemäß seiner Arbeitsregelung in Nachtarbeit gearbeitet hätte und hierfür auch eine Nachtarbeitszulage erhalten hätte,</w:t>
      </w:r>
    </w:p>
    <w:p w14:paraId="7B2FCE00" w14:textId="77777777" w:rsidR="00665252" w:rsidRPr="00C452EA" w:rsidRDefault="00665252" w:rsidP="00665252">
      <w:pPr>
        <w:jc w:val="both"/>
      </w:pPr>
    </w:p>
    <w:p w14:paraId="73FED30D" w14:textId="77777777" w:rsidR="00665252" w:rsidRPr="00C452EA" w:rsidRDefault="00665252" w:rsidP="00665252">
      <w:pPr>
        <w:jc w:val="both"/>
      </w:pPr>
      <w:r w:rsidRPr="00C452EA">
        <w:tab/>
        <w:t>- Gesamtanzahl tatsächlich geleisteter Arbeitsstunden,</w:t>
      </w:r>
    </w:p>
    <w:p w14:paraId="11F3A012" w14:textId="77777777" w:rsidR="00665252" w:rsidRPr="00C452EA" w:rsidRDefault="00665252" w:rsidP="00665252">
      <w:pPr>
        <w:jc w:val="both"/>
      </w:pPr>
    </w:p>
    <w:p w14:paraId="4A50A03D" w14:textId="77777777" w:rsidR="00665252" w:rsidRPr="00C452EA" w:rsidRDefault="00665252" w:rsidP="00665252">
      <w:pPr>
        <w:jc w:val="both"/>
      </w:pPr>
      <w:r w:rsidRPr="00C452EA">
        <w:tab/>
        <w:t>- Gesamtanzahl Stunden, für die die Erfüllung des Arbeitsvertrags ausgesetzt worden ist, der Lohn jedoch fortgezahlt worden ist,</w:t>
      </w:r>
    </w:p>
    <w:p w14:paraId="12202BDD" w14:textId="77777777" w:rsidR="00665252" w:rsidRPr="00C452EA" w:rsidRDefault="00665252" w:rsidP="00665252">
      <w:pPr>
        <w:jc w:val="both"/>
      </w:pPr>
      <w:r w:rsidRPr="00C452EA">
        <w:tab/>
      </w:r>
    </w:p>
    <w:p w14:paraId="773F7FBE" w14:textId="77777777" w:rsidR="00665252" w:rsidRPr="00C452EA" w:rsidRDefault="00665252" w:rsidP="00665252">
      <w:pPr>
        <w:jc w:val="both"/>
      </w:pPr>
      <w:r w:rsidRPr="00C452EA">
        <w:tab/>
        <w:t>- dem Arbeitnehmer gezahlte oder zuerkannte steuerpflichtige Entlohnungen, die gemäß Artikel 31 Absatz 2 Nr. 1 und 2 des Einkommensteuergesetzbuches 1992 festgelegt werden, ohne doppeltes Urlaubsgeld, Jahresendprämie und ausstehende Entlohnungen,</w:t>
      </w:r>
    </w:p>
    <w:p w14:paraId="5A14A0A5" w14:textId="77777777" w:rsidR="00665252" w:rsidRPr="00C452EA" w:rsidRDefault="00665252" w:rsidP="00665252">
      <w:pPr>
        <w:jc w:val="both"/>
      </w:pPr>
    </w:p>
    <w:p w14:paraId="6463C743" w14:textId="77777777" w:rsidR="00665252" w:rsidRPr="00C452EA" w:rsidRDefault="00665252" w:rsidP="00665252">
      <w:pPr>
        <w:jc w:val="both"/>
      </w:pPr>
      <w:r w:rsidRPr="00C452EA">
        <w:tab/>
        <w:t>- Betrag des auf diese Entlohnungen einbehaltenen Berufssteuervorabzugs,</w:t>
      </w:r>
    </w:p>
    <w:p w14:paraId="62E02FB4" w14:textId="77777777" w:rsidR="00665252" w:rsidRPr="00C452EA" w:rsidRDefault="00665252" w:rsidP="00665252">
      <w:pPr>
        <w:jc w:val="both"/>
      </w:pPr>
    </w:p>
    <w:p w14:paraId="4D92E87A" w14:textId="2CC4C254" w:rsidR="00665252" w:rsidRDefault="00665252" w:rsidP="00665252">
      <w:pPr>
        <w:jc w:val="both"/>
      </w:pPr>
      <w:r w:rsidRPr="00C452EA">
        <w:tab/>
        <w:t>- Betrag der Nachtarbeitszulage, die für die in diesem Monat geleistete Arbeit gezahlt oder zuerkannt worden ist.</w:t>
      </w:r>
      <w:r w:rsidR="00777B2C">
        <w:t>]</w:t>
      </w:r>
    </w:p>
    <w:p w14:paraId="5D75D09D" w14:textId="77777777" w:rsidR="00777B2C" w:rsidRDefault="00777B2C" w:rsidP="00665252">
      <w:pPr>
        <w:jc w:val="both"/>
      </w:pPr>
    </w:p>
    <w:p w14:paraId="6E9ADAA9" w14:textId="6A0646C2" w:rsidR="00777B2C" w:rsidRPr="00C452EA" w:rsidRDefault="00777B2C" w:rsidP="00665252">
      <w:pPr>
        <w:jc w:val="both"/>
      </w:pPr>
      <w:r>
        <w:tab/>
        <w:t>[</w:t>
      </w:r>
      <w:r w:rsidRPr="00607A3E">
        <w:t>Ist der Schuldner ein für Leiharbeit zugelassenes Unternehmen, hält er die in Artikel 95</w:t>
      </w:r>
      <w:r w:rsidRPr="00607A3E">
        <w:rPr>
          <w:vertAlign w:val="superscript"/>
        </w:rPr>
        <w:t>4/2</w:t>
      </w:r>
      <w:r w:rsidRPr="00607A3E">
        <w:t xml:space="preserve"> Absatz 2 erwähnte Vereinbarung sowie die in Artikel 95</w:t>
      </w:r>
      <w:r w:rsidRPr="00607A3E">
        <w:rPr>
          <w:vertAlign w:val="superscript"/>
        </w:rPr>
        <w:t>4/2</w:t>
      </w:r>
      <w:r w:rsidRPr="00607A3E">
        <w:t xml:space="preserve"> Absatz 2 erster Gedankenstrich erwähnten Erklärungen zur Verfügung der Verwaltung bereit.</w:t>
      </w:r>
      <w:r>
        <w:t>]</w:t>
      </w:r>
    </w:p>
    <w:p w14:paraId="17ED733A" w14:textId="77777777" w:rsidR="00665252" w:rsidRPr="00C452EA" w:rsidRDefault="00665252" w:rsidP="00665252">
      <w:pPr>
        <w:jc w:val="both"/>
      </w:pPr>
    </w:p>
    <w:p w14:paraId="0B6A48EC" w14:textId="135FD17B" w:rsidR="00665252" w:rsidRPr="00594E7A" w:rsidRDefault="00665252" w:rsidP="00665252">
      <w:pPr>
        <w:jc w:val="both"/>
        <w:rPr>
          <w:b/>
          <w:bCs/>
        </w:rPr>
      </w:pPr>
      <w:r w:rsidRPr="00C452EA">
        <w:tab/>
      </w:r>
      <w:r w:rsidR="00777B2C">
        <w:t>[</w:t>
      </w:r>
      <w:r w:rsidRPr="00594E7A">
        <w:rPr>
          <w:b/>
          <w:bCs/>
        </w:rPr>
        <w:t>V/2. In Artikel 95</w:t>
      </w:r>
      <w:r w:rsidRPr="00594E7A">
        <w:rPr>
          <w:b/>
          <w:bCs/>
          <w:vertAlign w:val="superscript"/>
        </w:rPr>
        <w:t>2</w:t>
      </w:r>
      <w:r w:rsidRPr="00594E7A">
        <w:rPr>
          <w:b/>
          <w:bCs/>
        </w:rPr>
        <w:t xml:space="preserve"> § 1 Absatz 3 Nr. 5 Buchstabe </w:t>
      </w:r>
      <w:r w:rsidRPr="00594E7A">
        <w:rPr>
          <w:b/>
          <w:bCs/>
          <w:i/>
        </w:rPr>
        <w:t>d)</w:t>
      </w:r>
      <w:r w:rsidRPr="00594E7A">
        <w:rPr>
          <w:b/>
          <w:bCs/>
        </w:rPr>
        <w:t xml:space="preserve"> erwähnte Schuldner:</w:t>
      </w:r>
    </w:p>
    <w:p w14:paraId="077C38D7" w14:textId="77777777" w:rsidR="00665252" w:rsidRPr="00C452EA" w:rsidRDefault="00665252" w:rsidP="00665252">
      <w:pPr>
        <w:jc w:val="both"/>
      </w:pPr>
    </w:p>
    <w:p w14:paraId="439D3EF0" w14:textId="77777777" w:rsidR="00665252" w:rsidRPr="00C452EA" w:rsidRDefault="00665252" w:rsidP="00665252">
      <w:pPr>
        <w:jc w:val="both"/>
      </w:pPr>
      <w:r w:rsidRPr="00C452EA">
        <w:tab/>
        <w:t>Diese Schuldner müssen eine namentliche Liste zur Verfügung der Verwaltung bereithalten, die für jeden Arbeitnehmer, der in der Systemschifffahrtsregelung beschäftigt ist, pro Monat folgende Angaben enthält:</w:t>
      </w:r>
    </w:p>
    <w:p w14:paraId="028444D3" w14:textId="77777777" w:rsidR="00665252" w:rsidRPr="00C452EA" w:rsidRDefault="00665252" w:rsidP="00665252">
      <w:pPr>
        <w:jc w:val="both"/>
      </w:pPr>
    </w:p>
    <w:p w14:paraId="2750F8A5" w14:textId="77777777" w:rsidR="00665252" w:rsidRPr="00C452EA" w:rsidRDefault="00665252" w:rsidP="00665252">
      <w:pPr>
        <w:jc w:val="both"/>
      </w:pPr>
      <w:r w:rsidRPr="00C452EA">
        <w:tab/>
        <w:t>- vollständige Identität,</w:t>
      </w:r>
    </w:p>
    <w:p w14:paraId="685F88F0" w14:textId="77777777" w:rsidR="00665252" w:rsidRPr="00C452EA" w:rsidRDefault="00665252" w:rsidP="00665252">
      <w:pPr>
        <w:jc w:val="both"/>
      </w:pPr>
    </w:p>
    <w:p w14:paraId="34155C78" w14:textId="77777777" w:rsidR="00665252" w:rsidRPr="00C452EA" w:rsidRDefault="00665252" w:rsidP="00665252">
      <w:pPr>
        <w:jc w:val="both"/>
      </w:pPr>
      <w:r w:rsidRPr="00C452EA">
        <w:tab/>
        <w:t>- Prozentsatz ihrer Arbeitszeit in der Systemschifffahrtsregelung,</w:t>
      </w:r>
    </w:p>
    <w:p w14:paraId="3289360B" w14:textId="77777777" w:rsidR="00665252" w:rsidRPr="00C452EA" w:rsidRDefault="00665252" w:rsidP="00665252">
      <w:pPr>
        <w:jc w:val="both"/>
      </w:pPr>
    </w:p>
    <w:p w14:paraId="54EB24A7" w14:textId="77777777" w:rsidR="00665252" w:rsidRPr="00C452EA" w:rsidRDefault="00665252" w:rsidP="00665252">
      <w:pPr>
        <w:jc w:val="both"/>
      </w:pPr>
      <w:r w:rsidRPr="00C452EA">
        <w:tab/>
        <w:t>- dem Arbeitnehmer gezahlte oder zuerkannte steuerpflichtige Entlohnungen, die gemäß Artikel 31 Absatz 2 Nr. 1 und 2 des Einkommensteuergesetzbuches 1992 festgelegt werden, ohne doppeltes Urlaubsgeld, Jahresendprämie und ausstehende Entlohnungen,</w:t>
      </w:r>
    </w:p>
    <w:p w14:paraId="5BEA00A5" w14:textId="77777777" w:rsidR="00665252" w:rsidRPr="00C452EA" w:rsidRDefault="00665252" w:rsidP="00665252">
      <w:pPr>
        <w:jc w:val="both"/>
      </w:pPr>
    </w:p>
    <w:p w14:paraId="3B279BF3" w14:textId="77777777" w:rsidR="00665252" w:rsidRPr="00C452EA" w:rsidRDefault="00665252" w:rsidP="00665252">
      <w:pPr>
        <w:jc w:val="both"/>
      </w:pPr>
      <w:r w:rsidRPr="00C452EA">
        <w:tab/>
        <w:t>- Betrag des auf diese Entlohnungen einbehaltenen Berufssteuervorabzugs,</w:t>
      </w:r>
    </w:p>
    <w:p w14:paraId="7996833A" w14:textId="77777777" w:rsidR="00665252" w:rsidRPr="00C452EA" w:rsidRDefault="00665252" w:rsidP="00665252">
      <w:pPr>
        <w:jc w:val="both"/>
      </w:pPr>
    </w:p>
    <w:p w14:paraId="1E3552FD" w14:textId="56100835" w:rsidR="00665252" w:rsidRDefault="00665252" w:rsidP="00665252">
      <w:pPr>
        <w:jc w:val="both"/>
      </w:pPr>
      <w:r w:rsidRPr="00C452EA">
        <w:lastRenderedPageBreak/>
        <w:tab/>
        <w:t>- Betrag der Systemschifffahrtzulage, die für die in diesem Monat geleistete Arbeit gezahlt oder zuerkannt worden ist.</w:t>
      </w:r>
      <w:r w:rsidR="00777B2C">
        <w:t>]</w:t>
      </w:r>
    </w:p>
    <w:p w14:paraId="4E60D6CD" w14:textId="77777777" w:rsidR="00777B2C" w:rsidRDefault="00777B2C" w:rsidP="00665252">
      <w:pPr>
        <w:jc w:val="both"/>
      </w:pPr>
    </w:p>
    <w:p w14:paraId="2639C0BC" w14:textId="4017B7E3" w:rsidR="00777B2C" w:rsidRPr="00C452EA" w:rsidRDefault="00777B2C" w:rsidP="00665252">
      <w:pPr>
        <w:jc w:val="both"/>
      </w:pPr>
      <w:r>
        <w:tab/>
        <w:t>[</w:t>
      </w:r>
      <w:r w:rsidRPr="00607A3E">
        <w:t>Ist der Schuldner ein für Leiharbeit zugelassenes Unternehmen, hält er die in Artikel 95</w:t>
      </w:r>
      <w:r w:rsidRPr="00607A3E">
        <w:rPr>
          <w:vertAlign w:val="superscript"/>
        </w:rPr>
        <w:t>4/2</w:t>
      </w:r>
      <w:r w:rsidRPr="00607A3E">
        <w:t xml:space="preserve"> Absatz 2 erwähnte Vereinbarung sowie die in Artikel 95</w:t>
      </w:r>
      <w:r w:rsidRPr="00607A3E">
        <w:rPr>
          <w:vertAlign w:val="superscript"/>
        </w:rPr>
        <w:t>4/2</w:t>
      </w:r>
      <w:r w:rsidRPr="00607A3E">
        <w:t xml:space="preserve"> Absatz 2 erster Gedankenstrich erwähnten Erklärungen zur Verfügung der Verwaltung bereit.</w:t>
      </w:r>
      <w:r>
        <w:t>]</w:t>
      </w:r>
    </w:p>
    <w:p w14:paraId="7EBD84C1" w14:textId="77777777" w:rsidR="00665252" w:rsidRPr="00C452EA" w:rsidRDefault="00665252" w:rsidP="00665252">
      <w:pPr>
        <w:jc w:val="both"/>
      </w:pPr>
    </w:p>
    <w:p w14:paraId="479ADFF1" w14:textId="68F6691D" w:rsidR="00665252" w:rsidRPr="00594E7A" w:rsidRDefault="00665252" w:rsidP="00665252">
      <w:pPr>
        <w:jc w:val="both"/>
        <w:rPr>
          <w:b/>
          <w:bCs/>
        </w:rPr>
      </w:pPr>
      <w:r w:rsidRPr="00C452EA">
        <w:tab/>
      </w:r>
      <w:r w:rsidR="00777B2C">
        <w:t>[</w:t>
      </w:r>
      <w:r w:rsidRPr="00594E7A">
        <w:rPr>
          <w:b/>
          <w:bCs/>
        </w:rPr>
        <w:t>V/3. In Artikel 95</w:t>
      </w:r>
      <w:r w:rsidRPr="00594E7A">
        <w:rPr>
          <w:b/>
          <w:bCs/>
          <w:vertAlign w:val="superscript"/>
        </w:rPr>
        <w:t>2</w:t>
      </w:r>
      <w:r w:rsidRPr="00594E7A">
        <w:rPr>
          <w:b/>
          <w:bCs/>
        </w:rPr>
        <w:t xml:space="preserve"> § 1 Absatz 3 Nr. 5 Buchstabe </w:t>
      </w:r>
      <w:r w:rsidRPr="00594E7A">
        <w:rPr>
          <w:b/>
          <w:bCs/>
          <w:i/>
        </w:rPr>
        <w:t>e)</w:t>
      </w:r>
      <w:r w:rsidRPr="00594E7A">
        <w:rPr>
          <w:b/>
          <w:bCs/>
        </w:rPr>
        <w:t xml:space="preserve"> erwähnte Schuldner:</w:t>
      </w:r>
    </w:p>
    <w:p w14:paraId="1B8DF5E6" w14:textId="77777777" w:rsidR="00665252" w:rsidRPr="00C452EA" w:rsidRDefault="00665252" w:rsidP="00665252">
      <w:pPr>
        <w:jc w:val="both"/>
      </w:pPr>
    </w:p>
    <w:p w14:paraId="301F27C3" w14:textId="77777777" w:rsidR="00665252" w:rsidRPr="00C452EA" w:rsidRDefault="00665252" w:rsidP="00665252">
      <w:pPr>
        <w:jc w:val="both"/>
      </w:pPr>
      <w:r w:rsidRPr="00C452EA">
        <w:tab/>
        <w:t>Diese Schuldner müssen eine namentliche Liste zur Verfügung der Verwaltung bereithalten, die für jeden Arbeitnehmer, der in Schichtarbeit Immobilienarbeiten an Ort und Stelle verrichtet, pro Monat folgende Angaben enthält:</w:t>
      </w:r>
    </w:p>
    <w:p w14:paraId="364527F3" w14:textId="77777777" w:rsidR="00665252" w:rsidRPr="00C452EA" w:rsidRDefault="00665252" w:rsidP="00665252">
      <w:pPr>
        <w:jc w:val="both"/>
      </w:pPr>
    </w:p>
    <w:p w14:paraId="161A7364" w14:textId="77777777" w:rsidR="00665252" w:rsidRPr="00C452EA" w:rsidRDefault="00665252" w:rsidP="00665252">
      <w:pPr>
        <w:jc w:val="both"/>
      </w:pPr>
      <w:r w:rsidRPr="00C452EA">
        <w:tab/>
        <w:t>- vollständige Identität,</w:t>
      </w:r>
    </w:p>
    <w:p w14:paraId="0FC97C34" w14:textId="77777777" w:rsidR="00665252" w:rsidRPr="00C452EA" w:rsidRDefault="00665252" w:rsidP="00665252">
      <w:pPr>
        <w:jc w:val="both"/>
      </w:pPr>
    </w:p>
    <w:p w14:paraId="3FAE8532" w14:textId="77777777" w:rsidR="00665252" w:rsidRPr="00C452EA" w:rsidRDefault="00665252" w:rsidP="00665252">
      <w:pPr>
        <w:jc w:val="both"/>
      </w:pPr>
      <w:r w:rsidRPr="00C452EA">
        <w:tab/>
        <w:t>- Anzahl tatsächlich geleisteter Arbeitsstunden in Schichtarbeit zur Verrichtung von Immobilienarbeiten an Ort und Stelle,</w:t>
      </w:r>
    </w:p>
    <w:p w14:paraId="2538B2BF" w14:textId="77777777" w:rsidR="00665252" w:rsidRPr="00C452EA" w:rsidRDefault="00665252" w:rsidP="00665252">
      <w:pPr>
        <w:jc w:val="both"/>
      </w:pPr>
    </w:p>
    <w:p w14:paraId="0B2E0C3A" w14:textId="77777777" w:rsidR="00665252" w:rsidRPr="00C452EA" w:rsidRDefault="00665252" w:rsidP="00665252">
      <w:pPr>
        <w:jc w:val="both"/>
      </w:pPr>
      <w:r w:rsidRPr="00C452EA">
        <w:tab/>
        <w:t>- gegebenenfalls Anzahl Stunden, für die die Erfüllung des Arbeitsvertrags ausgesetzt worden ist und der Lohn durch den Arbeitgeber fortgezahlt worden ist, wenn nachgewiesen werden kann, dass der betreffende Arbeitnehmer gemäß seiner Arbeitsregelung in Schichtarbeit Immobilienarbeiten an Ort und Stelle verrichtet hätte,</w:t>
      </w:r>
    </w:p>
    <w:p w14:paraId="0097C173" w14:textId="77777777" w:rsidR="00665252" w:rsidRPr="00C452EA" w:rsidRDefault="00665252" w:rsidP="00665252">
      <w:pPr>
        <w:jc w:val="both"/>
      </w:pPr>
    </w:p>
    <w:p w14:paraId="58E50AFA" w14:textId="77777777" w:rsidR="00665252" w:rsidRPr="00C452EA" w:rsidRDefault="00665252" w:rsidP="00665252">
      <w:pPr>
        <w:jc w:val="both"/>
      </w:pPr>
      <w:r w:rsidRPr="00C452EA">
        <w:tab/>
        <w:t>- Gesamtanzahl tatsächlich geleisteter Arbeitsstunden,</w:t>
      </w:r>
    </w:p>
    <w:p w14:paraId="65E30D7C" w14:textId="77777777" w:rsidR="00665252" w:rsidRPr="00C452EA" w:rsidRDefault="00665252" w:rsidP="00665252">
      <w:pPr>
        <w:jc w:val="both"/>
      </w:pPr>
    </w:p>
    <w:p w14:paraId="52892C3B" w14:textId="77777777" w:rsidR="00665252" w:rsidRPr="00C452EA" w:rsidRDefault="00665252" w:rsidP="00665252">
      <w:pPr>
        <w:jc w:val="both"/>
      </w:pPr>
      <w:r w:rsidRPr="00C452EA">
        <w:tab/>
        <w:t>- gegebenenfalls Gesamtanzahl Stunden, für die die Erfüllung des Arbeitsvertrags ausgesetzt worden ist, der Lohn jedoch fortgezahlt worden ist,</w:t>
      </w:r>
    </w:p>
    <w:p w14:paraId="7372B9A2" w14:textId="77777777" w:rsidR="00665252" w:rsidRPr="00C452EA" w:rsidRDefault="00665252" w:rsidP="00665252">
      <w:pPr>
        <w:jc w:val="both"/>
      </w:pPr>
    </w:p>
    <w:p w14:paraId="134872C4" w14:textId="77777777" w:rsidR="00665252" w:rsidRPr="00C452EA" w:rsidRDefault="00665252" w:rsidP="00665252">
      <w:pPr>
        <w:jc w:val="both"/>
      </w:pPr>
      <w:r w:rsidRPr="00C452EA">
        <w:tab/>
        <w:t>- Identifizierung des Ortes oder der Orte, an dem/denen der Arbeitnehmer in Schichtarbeit Immobilienarbeiten an Ort und Stelle verrichtet hat,</w:t>
      </w:r>
    </w:p>
    <w:p w14:paraId="5D6786DE" w14:textId="77777777" w:rsidR="00665252" w:rsidRPr="00C452EA" w:rsidRDefault="00665252" w:rsidP="00665252">
      <w:pPr>
        <w:jc w:val="both"/>
      </w:pPr>
    </w:p>
    <w:p w14:paraId="67ADDF4B" w14:textId="77777777" w:rsidR="00665252" w:rsidRPr="00C452EA" w:rsidRDefault="00665252" w:rsidP="00665252">
      <w:pPr>
        <w:jc w:val="both"/>
      </w:pPr>
      <w:r w:rsidRPr="00C452EA">
        <w:tab/>
        <w:t>- dem Arbeitnehmer gezahlte oder zuerkannte steuerpflichtige Entlohnungen, die gemäß Artikel 31 Absatz 2 Nr. 1 und 2 des Einkommensteuergesetzbuches 1992 festgelegt werden, ohne doppeltes Urlaubsgeld, Jahresendprämie und ausstehende Entlohnungen,</w:t>
      </w:r>
    </w:p>
    <w:p w14:paraId="145C28A0" w14:textId="77777777" w:rsidR="00665252" w:rsidRPr="00C452EA" w:rsidRDefault="00665252" w:rsidP="00665252">
      <w:pPr>
        <w:jc w:val="both"/>
      </w:pPr>
    </w:p>
    <w:p w14:paraId="2E8F3694" w14:textId="77777777" w:rsidR="00665252" w:rsidRPr="00C452EA" w:rsidRDefault="00665252" w:rsidP="00665252">
      <w:pPr>
        <w:jc w:val="both"/>
      </w:pPr>
      <w:r w:rsidRPr="00C452EA">
        <w:tab/>
        <w:t>- Betrag des auf diese Entlohnungen einbehaltenen Berufssteuervorabzugs,</w:t>
      </w:r>
    </w:p>
    <w:p w14:paraId="472D84F0" w14:textId="77777777" w:rsidR="00665252" w:rsidRPr="00C452EA" w:rsidRDefault="00665252" w:rsidP="00665252">
      <w:pPr>
        <w:jc w:val="both"/>
      </w:pPr>
    </w:p>
    <w:p w14:paraId="3851B55E" w14:textId="77777777" w:rsidR="00665252" w:rsidRPr="00C452EA" w:rsidRDefault="00665252" w:rsidP="00665252">
      <w:pPr>
        <w:jc w:val="both"/>
      </w:pPr>
      <w:r w:rsidRPr="00C452EA">
        <w:tab/>
        <w:t>- Betrag des gezahlten oder zuerkannten Bruttostundenlohns vor Einbehaltung der persönlichen Sozialversicherungsbeiträge.</w:t>
      </w:r>
    </w:p>
    <w:p w14:paraId="31A7AA3F" w14:textId="77777777" w:rsidR="00665252" w:rsidRPr="00C452EA" w:rsidRDefault="00665252" w:rsidP="00665252">
      <w:pPr>
        <w:jc w:val="both"/>
      </w:pPr>
    </w:p>
    <w:p w14:paraId="083AF73A" w14:textId="77777777" w:rsidR="00665252" w:rsidRPr="00C452EA" w:rsidRDefault="00665252" w:rsidP="00665252">
      <w:pPr>
        <w:jc w:val="both"/>
      </w:pPr>
      <w:r w:rsidRPr="00C452EA">
        <w:tab/>
        <w:t>Diese Schuldner halten der Verwaltung für jeden Ort, an dem in Schichtarbeit Immobilienarbeiten verrichtet werden, den Nachweis zur Verfügung bereit, dass:</w:t>
      </w:r>
    </w:p>
    <w:p w14:paraId="592B125C" w14:textId="77777777" w:rsidR="00665252" w:rsidRPr="00C452EA" w:rsidRDefault="00665252" w:rsidP="00665252">
      <w:pPr>
        <w:jc w:val="both"/>
      </w:pPr>
    </w:p>
    <w:p w14:paraId="646C264A" w14:textId="77777777" w:rsidR="00665252" w:rsidRPr="00C452EA" w:rsidRDefault="00665252" w:rsidP="00665252">
      <w:pPr>
        <w:jc w:val="both"/>
      </w:pPr>
      <w:r w:rsidRPr="00C452EA">
        <w:tab/>
        <w:t>- entweder die Erklärung beim Landesamt für soziale Sicherheit gemäß Artikel 30</w:t>
      </w:r>
      <w:r w:rsidRPr="00C452EA">
        <w:rPr>
          <w:i/>
        </w:rPr>
        <w:t>bis</w:t>
      </w:r>
      <w:r w:rsidRPr="00C452EA">
        <w:t xml:space="preserve"> des Gesetzes vom 27. Juni 1969 zur Revision des Erlassgesetzes vom 28. Dezember 1944 über die soziale Sicherheit der Arbeitnehmer eingereicht worden ist</w:t>
      </w:r>
    </w:p>
    <w:p w14:paraId="2405E10B" w14:textId="77777777" w:rsidR="00665252" w:rsidRPr="00C452EA" w:rsidRDefault="00665252" w:rsidP="00665252">
      <w:pPr>
        <w:jc w:val="both"/>
      </w:pPr>
    </w:p>
    <w:p w14:paraId="109715A7" w14:textId="77777777" w:rsidR="00665252" w:rsidRDefault="00665252" w:rsidP="00665252">
      <w:pPr>
        <w:jc w:val="both"/>
        <w:rPr>
          <w:rFonts w:eastAsia="Calibri"/>
          <w:szCs w:val="22"/>
          <w:lang w:eastAsia="de-DE" w:bidi="de-DE"/>
        </w:rPr>
      </w:pPr>
      <w:r w:rsidRPr="00C452EA">
        <w:tab/>
        <w:t>- oder aufgrund von Artikel 30</w:t>
      </w:r>
      <w:r w:rsidRPr="00C452EA">
        <w:rPr>
          <w:i/>
        </w:rPr>
        <w:t>bis</w:t>
      </w:r>
      <w:r w:rsidRPr="00C452EA">
        <w:t xml:space="preserve"> des vorerwähnten Gesetzes vom 27. Juni 1969 keine Erklärung erforderlich ist.</w:t>
      </w:r>
      <w:r>
        <w:rPr>
          <w:rFonts w:eastAsia="Calibri"/>
          <w:szCs w:val="22"/>
          <w:lang w:eastAsia="de-DE" w:bidi="de-DE"/>
        </w:rPr>
        <w:t>]</w:t>
      </w:r>
    </w:p>
    <w:p w14:paraId="2A6A880C" w14:textId="77777777" w:rsidR="00777B2C" w:rsidRDefault="00777B2C" w:rsidP="00665252">
      <w:pPr>
        <w:jc w:val="both"/>
        <w:rPr>
          <w:rFonts w:eastAsia="Calibri"/>
          <w:szCs w:val="22"/>
          <w:lang w:eastAsia="de-DE" w:bidi="de-DE"/>
        </w:rPr>
      </w:pPr>
    </w:p>
    <w:p w14:paraId="06B31C3D" w14:textId="786D1F42" w:rsidR="00777B2C" w:rsidRPr="00B65258" w:rsidRDefault="00777B2C" w:rsidP="00665252">
      <w:pPr>
        <w:jc w:val="both"/>
        <w:rPr>
          <w:rFonts w:eastAsia="Calibri"/>
          <w:szCs w:val="22"/>
          <w:lang w:eastAsia="de-DE" w:bidi="de-DE"/>
        </w:rPr>
      </w:pPr>
      <w:r>
        <w:rPr>
          <w:rFonts w:eastAsia="Calibri"/>
          <w:szCs w:val="22"/>
          <w:lang w:eastAsia="de-DE" w:bidi="de-DE"/>
        </w:rPr>
        <w:lastRenderedPageBreak/>
        <w:tab/>
        <w:t>[</w:t>
      </w:r>
      <w:r w:rsidRPr="00607A3E">
        <w:t>Ist der Schuldner ein für Leiharbeit zugelassenes Unternehmen, hält er die in Artikel 95</w:t>
      </w:r>
      <w:r w:rsidRPr="00607A3E">
        <w:rPr>
          <w:vertAlign w:val="superscript"/>
        </w:rPr>
        <w:t>4/2</w:t>
      </w:r>
      <w:r w:rsidRPr="00607A3E">
        <w:t xml:space="preserve"> Absatz 2 erwähnte Vereinbarung sowie die in Artikel 95</w:t>
      </w:r>
      <w:r w:rsidRPr="00607A3E">
        <w:rPr>
          <w:vertAlign w:val="superscript"/>
        </w:rPr>
        <w:t>4/2</w:t>
      </w:r>
      <w:r w:rsidRPr="00607A3E">
        <w:t xml:space="preserve"> Absatz 2 erster Gedankenstrich erwähnten Erklärungen zur Verfügung der Verwaltung bereit.</w:t>
      </w:r>
      <w:r>
        <w:t>]</w:t>
      </w:r>
    </w:p>
    <w:p w14:paraId="0F26530E" w14:textId="77777777" w:rsidR="00665252" w:rsidRPr="00B65258" w:rsidRDefault="00665252" w:rsidP="00665252">
      <w:pPr>
        <w:jc w:val="both"/>
        <w:rPr>
          <w:rFonts w:eastAsia="Calibri"/>
          <w:szCs w:val="22"/>
          <w:lang w:eastAsia="de-DE" w:bidi="de-DE"/>
        </w:rPr>
      </w:pPr>
    </w:p>
    <w:p w14:paraId="4C4CFA14" w14:textId="77777777" w:rsidR="00665252" w:rsidRPr="00B65258" w:rsidRDefault="00665252" w:rsidP="00665252">
      <w:pPr>
        <w:jc w:val="both"/>
        <w:rPr>
          <w:rFonts w:eastAsia="Calibri"/>
          <w:b/>
          <w:szCs w:val="22"/>
          <w:lang w:eastAsia="de-DE" w:bidi="de-DE"/>
        </w:rPr>
      </w:pPr>
      <w:r w:rsidRPr="00B65258">
        <w:rPr>
          <w:rFonts w:eastAsia="Calibri"/>
          <w:szCs w:val="22"/>
          <w:lang w:eastAsia="de-DE" w:bidi="de-DE"/>
        </w:rPr>
        <w:tab/>
      </w:r>
      <w:r w:rsidRPr="009A3E4C">
        <w:rPr>
          <w:rFonts w:eastAsia="Calibri"/>
          <w:szCs w:val="22"/>
          <w:lang w:eastAsia="de-DE" w:bidi="de-DE"/>
        </w:rPr>
        <w:t>[</w:t>
      </w:r>
      <w:r w:rsidRPr="00B65258">
        <w:rPr>
          <w:rFonts w:eastAsia="Calibri"/>
          <w:b/>
          <w:szCs w:val="22"/>
          <w:lang w:eastAsia="de-DE" w:bidi="de-DE"/>
        </w:rPr>
        <w:t xml:space="preserve">VI. In </w:t>
      </w:r>
      <w:r w:rsidRPr="009A3E4C">
        <w:rPr>
          <w:rFonts w:eastAsia="Calibri"/>
          <w:szCs w:val="22"/>
          <w:lang w:eastAsia="de-DE" w:bidi="de-DE"/>
        </w:rPr>
        <w:t>[</w:t>
      </w:r>
      <w:r w:rsidRPr="00B65258">
        <w:rPr>
          <w:rFonts w:eastAsia="Calibri"/>
          <w:b/>
          <w:szCs w:val="22"/>
          <w:lang w:eastAsia="de-DE" w:bidi="de-DE"/>
        </w:rPr>
        <w:t>Artikel 95</w:t>
      </w:r>
      <w:r w:rsidRPr="00B65258">
        <w:rPr>
          <w:rFonts w:eastAsia="Calibri"/>
          <w:b/>
          <w:szCs w:val="22"/>
          <w:vertAlign w:val="superscript"/>
          <w:lang w:eastAsia="de-DE" w:bidi="de-DE"/>
        </w:rPr>
        <w:t>2</w:t>
      </w:r>
      <w:r w:rsidRPr="00B65258">
        <w:rPr>
          <w:rFonts w:eastAsia="Calibri"/>
          <w:b/>
          <w:szCs w:val="22"/>
          <w:lang w:eastAsia="de-DE" w:bidi="de-DE"/>
        </w:rPr>
        <w:t xml:space="preserve"> § 1 Absatz 3</w:t>
      </w:r>
      <w:r w:rsidRPr="009A3E4C">
        <w:rPr>
          <w:rFonts w:eastAsia="Calibri"/>
          <w:szCs w:val="22"/>
          <w:lang w:eastAsia="de-DE" w:bidi="de-DE"/>
        </w:rPr>
        <w:t>]</w:t>
      </w:r>
      <w:r w:rsidRPr="00B65258">
        <w:rPr>
          <w:rFonts w:eastAsia="Calibri"/>
          <w:b/>
          <w:szCs w:val="22"/>
          <w:lang w:eastAsia="de-DE" w:bidi="de-DE"/>
        </w:rPr>
        <w:t xml:space="preserve"> Nr. 6 erwähnte Schuldner:</w:t>
      </w:r>
    </w:p>
    <w:p w14:paraId="4022C1BC" w14:textId="77777777" w:rsidR="00665252" w:rsidRPr="00B65258" w:rsidRDefault="00665252" w:rsidP="00665252">
      <w:pPr>
        <w:jc w:val="both"/>
        <w:rPr>
          <w:rFonts w:eastAsia="Calibri"/>
          <w:szCs w:val="22"/>
          <w:lang w:eastAsia="de-DE" w:bidi="de-DE"/>
        </w:rPr>
      </w:pPr>
    </w:p>
    <w:p w14:paraId="106F156D"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Diese Schuldner müssen folgende Unterlagen zur Verfügung der Verwaltung bereithalten:</w:t>
      </w:r>
    </w:p>
    <w:p w14:paraId="1095BF0E" w14:textId="77777777" w:rsidR="00665252" w:rsidRPr="00B65258" w:rsidRDefault="00665252" w:rsidP="00665252">
      <w:pPr>
        <w:jc w:val="both"/>
        <w:rPr>
          <w:rFonts w:eastAsia="Calibri"/>
          <w:szCs w:val="22"/>
          <w:lang w:eastAsia="de-DE" w:bidi="de-DE"/>
        </w:rPr>
      </w:pPr>
    </w:p>
    <w:p w14:paraId="5BCF485D"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1. für Sportler, die am 1. Januar des Jahres nach dem Jahr, in dem die Befreiung beantragt wird, keine 26 Jahre alt sind:</w:t>
      </w:r>
    </w:p>
    <w:p w14:paraId="3A17EE2E" w14:textId="77777777" w:rsidR="00665252" w:rsidRPr="00B65258" w:rsidRDefault="00665252" w:rsidP="00665252">
      <w:pPr>
        <w:jc w:val="both"/>
        <w:rPr>
          <w:rFonts w:eastAsia="Calibri"/>
          <w:szCs w:val="22"/>
          <w:lang w:eastAsia="de-DE" w:bidi="de-DE"/>
        </w:rPr>
      </w:pPr>
    </w:p>
    <w:p w14:paraId="43191EBF"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 xml:space="preserve">- vollständige Identität, </w:t>
      </w:r>
    </w:p>
    <w:p w14:paraId="35BD5C87" w14:textId="77777777" w:rsidR="00665252" w:rsidRPr="00B65258" w:rsidRDefault="00665252" w:rsidP="00665252">
      <w:pPr>
        <w:jc w:val="both"/>
        <w:rPr>
          <w:rFonts w:eastAsia="Calibri"/>
          <w:szCs w:val="22"/>
          <w:lang w:eastAsia="de-DE" w:bidi="de-DE"/>
        </w:rPr>
      </w:pPr>
    </w:p>
    <w:p w14:paraId="3C938A66"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 gegebenenfalls nationale Nummer,</w:t>
      </w:r>
    </w:p>
    <w:p w14:paraId="03313F5A" w14:textId="77777777" w:rsidR="00665252" w:rsidRPr="00B65258" w:rsidRDefault="00665252" w:rsidP="00665252">
      <w:pPr>
        <w:jc w:val="both"/>
        <w:rPr>
          <w:rFonts w:eastAsia="Calibri"/>
          <w:szCs w:val="22"/>
          <w:lang w:eastAsia="de-DE" w:bidi="de-DE"/>
        </w:rPr>
      </w:pPr>
    </w:p>
    <w:p w14:paraId="13582070"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 Betrag der gezahlten steuerpflichtigen Bruttoentlohnungen,</w:t>
      </w:r>
    </w:p>
    <w:p w14:paraId="36E119C5" w14:textId="77777777" w:rsidR="00665252" w:rsidRPr="00B65258" w:rsidRDefault="00665252" w:rsidP="00665252">
      <w:pPr>
        <w:jc w:val="both"/>
        <w:rPr>
          <w:rFonts w:eastAsia="Calibri"/>
          <w:szCs w:val="22"/>
          <w:lang w:eastAsia="de-DE" w:bidi="de-DE"/>
        </w:rPr>
      </w:pPr>
    </w:p>
    <w:p w14:paraId="74A66411" w14:textId="0235901A" w:rsidR="00665252" w:rsidRDefault="00665252" w:rsidP="00665252">
      <w:pPr>
        <w:jc w:val="both"/>
        <w:rPr>
          <w:rFonts w:eastAsia="Calibri"/>
          <w:szCs w:val="22"/>
          <w:lang w:eastAsia="de-DE" w:bidi="de-DE"/>
        </w:rPr>
      </w:pPr>
      <w:r w:rsidRPr="00B65258">
        <w:rPr>
          <w:rFonts w:eastAsia="Calibri"/>
          <w:szCs w:val="22"/>
          <w:lang w:eastAsia="de-DE" w:bidi="de-DE"/>
        </w:rPr>
        <w:tab/>
        <w:t>-</w:t>
      </w:r>
      <w:r w:rsidR="00F91150">
        <w:rPr>
          <w:rFonts w:eastAsia="Calibri"/>
          <w:szCs w:val="22"/>
          <w:lang w:eastAsia="de-DE" w:bidi="de-DE"/>
        </w:rPr>
        <w:t> </w:t>
      </w:r>
      <w:r w:rsidRPr="00B65258">
        <w:rPr>
          <w:rFonts w:eastAsia="Calibri"/>
          <w:szCs w:val="22"/>
          <w:lang w:eastAsia="de-DE" w:bidi="de-DE"/>
        </w:rPr>
        <w:t>Betrag des auf diese Entlohnungen einbehaltenen Berufssteuervorabzugs und detaillierte Berechnung dieses Berufssteuervorabzugs,</w:t>
      </w:r>
    </w:p>
    <w:p w14:paraId="2E59E7A6" w14:textId="77777777" w:rsidR="00665252" w:rsidRDefault="00665252" w:rsidP="00665252">
      <w:pPr>
        <w:jc w:val="both"/>
        <w:rPr>
          <w:rFonts w:eastAsia="Calibri"/>
          <w:szCs w:val="22"/>
          <w:lang w:eastAsia="de-DE" w:bidi="de-DE"/>
        </w:rPr>
      </w:pPr>
    </w:p>
    <w:p w14:paraId="4A188E5D" w14:textId="492B110B" w:rsidR="00665252" w:rsidRDefault="00665252" w:rsidP="00665252">
      <w:pPr>
        <w:jc w:val="both"/>
        <w:rPr>
          <w:rFonts w:eastAsia="Calibri"/>
          <w:szCs w:val="22"/>
          <w:lang w:eastAsia="de-DE" w:bidi="de-DE"/>
        </w:rPr>
      </w:pPr>
      <w:r>
        <w:rPr>
          <w:rFonts w:eastAsia="Calibri"/>
          <w:szCs w:val="22"/>
          <w:lang w:eastAsia="de-DE" w:bidi="de-DE"/>
        </w:rPr>
        <w:tab/>
        <w:t>[</w:t>
      </w:r>
      <w:r w:rsidRPr="001C4D66">
        <w:t>-</w:t>
      </w:r>
      <w:r w:rsidR="00F91150">
        <w:t> </w:t>
      </w:r>
      <w:r w:rsidRPr="001C4D66">
        <w:t>Nachweis, dass die Sportler, denen diese Entlohnungen gezahlt oder zuerkannt wurden, in dem Zeitraum, auf den die Befreiung sich bezieht, für den Schuldner des Berufssteuervorabzugs sportliche Leistungen erbracht haben,</w:t>
      </w:r>
      <w:r>
        <w:rPr>
          <w:rFonts w:eastAsia="Calibri"/>
          <w:szCs w:val="22"/>
          <w:lang w:eastAsia="de-DE" w:bidi="de-DE"/>
        </w:rPr>
        <w:t>]</w:t>
      </w:r>
    </w:p>
    <w:p w14:paraId="2B1A756E" w14:textId="77777777" w:rsidR="00665252" w:rsidRDefault="00665252" w:rsidP="00665252">
      <w:pPr>
        <w:jc w:val="both"/>
        <w:rPr>
          <w:rFonts w:eastAsia="Calibri"/>
          <w:szCs w:val="22"/>
          <w:lang w:eastAsia="de-DE" w:bidi="de-DE"/>
        </w:rPr>
      </w:pPr>
    </w:p>
    <w:p w14:paraId="3117C92A" w14:textId="19367A56" w:rsidR="00665252" w:rsidRPr="00B65258" w:rsidRDefault="00665252" w:rsidP="00665252">
      <w:pPr>
        <w:jc w:val="both"/>
        <w:rPr>
          <w:rFonts w:eastAsia="Calibri"/>
          <w:szCs w:val="22"/>
          <w:lang w:eastAsia="de-DE" w:bidi="de-DE"/>
        </w:rPr>
      </w:pPr>
      <w:r>
        <w:rPr>
          <w:rFonts w:eastAsia="Calibri"/>
          <w:szCs w:val="22"/>
          <w:lang w:eastAsia="de-DE" w:bidi="de-DE"/>
        </w:rPr>
        <w:tab/>
        <w:t>[</w:t>
      </w:r>
      <w:r w:rsidRPr="00C452EA">
        <w:t>-</w:t>
      </w:r>
      <w:r w:rsidR="00F91150">
        <w:t> </w:t>
      </w:r>
      <w:r w:rsidRPr="00C452EA">
        <w:t>gegebenenfalls Betrag des Berufssteuervorabzugs, der zusätzlich zu dem verordnungsgemäßen Mindestbetrag des Berufssteuervorabzugs einbehalten wird, der auf diese Entlohnungen geschuldet wird,</w:t>
      </w:r>
      <w:r>
        <w:rPr>
          <w:rFonts w:eastAsia="Calibri"/>
          <w:szCs w:val="22"/>
          <w:lang w:eastAsia="de-DE" w:bidi="de-DE"/>
        </w:rPr>
        <w:t>]</w:t>
      </w:r>
    </w:p>
    <w:p w14:paraId="788D1FAE" w14:textId="77777777" w:rsidR="00665252" w:rsidRPr="00B65258" w:rsidRDefault="00665252" w:rsidP="00665252">
      <w:pPr>
        <w:jc w:val="both"/>
        <w:rPr>
          <w:rFonts w:eastAsia="Calibri"/>
          <w:szCs w:val="22"/>
          <w:lang w:eastAsia="de-DE" w:bidi="de-DE"/>
        </w:rPr>
      </w:pPr>
    </w:p>
    <w:p w14:paraId="590544BB"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2. für nicht in Nr. 1 erwähnte Sportler:</w:t>
      </w:r>
    </w:p>
    <w:p w14:paraId="3A2A90C7" w14:textId="77777777" w:rsidR="00665252" w:rsidRPr="00B65258" w:rsidRDefault="00665252" w:rsidP="00665252">
      <w:pPr>
        <w:jc w:val="both"/>
        <w:rPr>
          <w:rFonts w:eastAsia="Calibri"/>
          <w:szCs w:val="22"/>
          <w:lang w:eastAsia="de-DE" w:bidi="de-DE"/>
        </w:rPr>
      </w:pPr>
    </w:p>
    <w:p w14:paraId="0E00E9C7"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 vollständige Identität,</w:t>
      </w:r>
    </w:p>
    <w:p w14:paraId="541535B5" w14:textId="77777777" w:rsidR="00665252" w:rsidRPr="00B65258" w:rsidRDefault="00665252" w:rsidP="00665252">
      <w:pPr>
        <w:jc w:val="both"/>
        <w:rPr>
          <w:rFonts w:eastAsia="Calibri"/>
          <w:szCs w:val="22"/>
          <w:lang w:eastAsia="de-DE" w:bidi="de-DE"/>
        </w:rPr>
      </w:pPr>
    </w:p>
    <w:p w14:paraId="4CBA465B"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 gegebenenfalls nationale Nummer,</w:t>
      </w:r>
    </w:p>
    <w:p w14:paraId="2129F697" w14:textId="77777777" w:rsidR="00665252" w:rsidRPr="00B65258" w:rsidRDefault="00665252" w:rsidP="00665252">
      <w:pPr>
        <w:jc w:val="both"/>
        <w:rPr>
          <w:rFonts w:eastAsia="Calibri"/>
          <w:szCs w:val="22"/>
          <w:lang w:eastAsia="de-DE" w:bidi="de-DE"/>
        </w:rPr>
      </w:pPr>
    </w:p>
    <w:p w14:paraId="61E5B70D"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 Betrag der gezahlten steuerpflichtigen Bruttoentlohnungen,</w:t>
      </w:r>
    </w:p>
    <w:p w14:paraId="44AC5067" w14:textId="77777777" w:rsidR="00665252" w:rsidRPr="00B65258" w:rsidRDefault="00665252" w:rsidP="00665252">
      <w:pPr>
        <w:jc w:val="both"/>
        <w:rPr>
          <w:rFonts w:eastAsia="Calibri"/>
          <w:szCs w:val="22"/>
          <w:lang w:eastAsia="de-DE" w:bidi="de-DE"/>
        </w:rPr>
      </w:pPr>
    </w:p>
    <w:p w14:paraId="219561BA" w14:textId="77777777" w:rsidR="00665252" w:rsidRDefault="00665252" w:rsidP="00665252">
      <w:pPr>
        <w:jc w:val="both"/>
        <w:rPr>
          <w:rFonts w:eastAsia="Calibri"/>
          <w:szCs w:val="22"/>
          <w:lang w:eastAsia="de-DE" w:bidi="de-DE"/>
        </w:rPr>
      </w:pPr>
      <w:r w:rsidRPr="00B65258">
        <w:rPr>
          <w:rFonts w:eastAsia="Calibri"/>
          <w:szCs w:val="22"/>
          <w:lang w:eastAsia="de-DE" w:bidi="de-DE"/>
        </w:rPr>
        <w:tab/>
        <w:t>- Betrag des auf diese Entlohnungen einbehaltenen Berufssteuervorabzugs und detaillierte Berechnung dieses Berufssteuervorabzugs,</w:t>
      </w:r>
    </w:p>
    <w:p w14:paraId="7AD2DC08" w14:textId="77777777" w:rsidR="00665252" w:rsidRDefault="00665252" w:rsidP="00665252">
      <w:pPr>
        <w:jc w:val="both"/>
        <w:rPr>
          <w:rFonts w:eastAsia="Calibri"/>
          <w:szCs w:val="22"/>
          <w:lang w:eastAsia="de-DE" w:bidi="de-DE"/>
        </w:rPr>
      </w:pPr>
    </w:p>
    <w:p w14:paraId="06501958" w14:textId="77777777" w:rsidR="00665252" w:rsidRPr="00B65258" w:rsidRDefault="00665252" w:rsidP="00665252">
      <w:pPr>
        <w:jc w:val="both"/>
        <w:rPr>
          <w:rFonts w:eastAsia="Calibri"/>
          <w:szCs w:val="22"/>
          <w:lang w:eastAsia="de-DE" w:bidi="de-DE"/>
        </w:rPr>
      </w:pPr>
      <w:r>
        <w:rPr>
          <w:rFonts w:eastAsia="Calibri"/>
          <w:szCs w:val="22"/>
          <w:lang w:eastAsia="de-DE" w:bidi="de-DE"/>
        </w:rPr>
        <w:tab/>
        <w:t>[</w:t>
      </w:r>
      <w:r w:rsidRPr="001C4D66">
        <w:t>- Nachweis, dass die Sportler, denen diese Entlohnungen gezahlt oder zuerkannt wurden, in dem Zeitraum, auf den die Befreiung sich bezieht, für den Schuldner des Berufssteuervorabzugs sportliche Leistungen erbracht haben,</w:t>
      </w:r>
      <w:r>
        <w:rPr>
          <w:rFonts w:eastAsia="Calibri"/>
          <w:szCs w:val="22"/>
          <w:lang w:eastAsia="de-DE" w:bidi="de-DE"/>
        </w:rPr>
        <w:t>]</w:t>
      </w:r>
    </w:p>
    <w:p w14:paraId="49E8F0F4" w14:textId="77777777" w:rsidR="00665252" w:rsidRPr="00B65258" w:rsidRDefault="00665252" w:rsidP="00665252">
      <w:pPr>
        <w:jc w:val="both"/>
        <w:rPr>
          <w:rFonts w:eastAsia="Calibri"/>
          <w:szCs w:val="22"/>
          <w:lang w:eastAsia="de-DE" w:bidi="de-DE"/>
        </w:rPr>
      </w:pPr>
    </w:p>
    <w:p w14:paraId="08708C06" w14:textId="77777777" w:rsidR="00665252" w:rsidRDefault="00665252" w:rsidP="00665252">
      <w:pPr>
        <w:jc w:val="both"/>
        <w:rPr>
          <w:rFonts w:eastAsia="Calibri"/>
          <w:szCs w:val="22"/>
          <w:lang w:eastAsia="de-DE" w:bidi="de-DE"/>
        </w:rPr>
      </w:pPr>
      <w:r w:rsidRPr="00B65258">
        <w:rPr>
          <w:rFonts w:eastAsia="Calibri"/>
          <w:szCs w:val="22"/>
          <w:lang w:eastAsia="de-DE" w:bidi="de-DE"/>
        </w:rPr>
        <w:tab/>
        <w:t xml:space="preserve">- Nachweis, dass </w:t>
      </w:r>
      <w:r>
        <w:rPr>
          <w:rFonts w:eastAsia="Calibri"/>
          <w:szCs w:val="22"/>
          <w:lang w:eastAsia="de-DE" w:bidi="de-DE"/>
        </w:rPr>
        <w:t>[55 Prozent]</w:t>
      </w:r>
      <w:r w:rsidRPr="00B65258">
        <w:rPr>
          <w:rFonts w:eastAsia="Calibri"/>
          <w:szCs w:val="22"/>
          <w:lang w:eastAsia="de-DE" w:bidi="de-DE"/>
        </w:rPr>
        <w:t xml:space="preserve"> des nicht zu entrichtenden Berufssteuervorabzugs für die Ausbildung junger Sportler </w:t>
      </w:r>
      <w:r>
        <w:rPr>
          <w:rFonts w:eastAsia="Calibri"/>
          <w:szCs w:val="22"/>
          <w:lang w:eastAsia="de-DE" w:bidi="de-DE"/>
        </w:rPr>
        <w:t>[</w:t>
      </w:r>
      <w:r w:rsidRPr="00B65258">
        <w:rPr>
          <w:rFonts w:eastAsia="Calibri"/>
          <w:szCs w:val="22"/>
          <w:lang w:eastAsia="de-DE" w:bidi="de-DE"/>
        </w:rPr>
        <w:t>verwendet wurde</w:t>
      </w:r>
      <w:r>
        <w:rPr>
          <w:rFonts w:eastAsia="Calibri"/>
          <w:szCs w:val="22"/>
          <w:lang w:eastAsia="de-DE" w:bidi="de-DE"/>
        </w:rPr>
        <w:t>n]</w:t>
      </w:r>
      <w:r w:rsidRPr="00B65258">
        <w:rPr>
          <w:rFonts w:eastAsia="Calibri"/>
          <w:szCs w:val="22"/>
          <w:lang w:eastAsia="de-DE" w:bidi="de-DE"/>
        </w:rPr>
        <w:t xml:space="preserve"> wie in Artikel 275</w:t>
      </w:r>
      <w:r w:rsidRPr="00B65258">
        <w:rPr>
          <w:rFonts w:eastAsia="Calibri"/>
          <w:szCs w:val="22"/>
          <w:vertAlign w:val="superscript"/>
          <w:lang w:eastAsia="de-DE" w:bidi="de-DE"/>
        </w:rPr>
        <w:t xml:space="preserve">6 </w:t>
      </w:r>
      <w:r w:rsidRPr="00B65258">
        <w:rPr>
          <w:rFonts w:eastAsia="Calibri"/>
          <w:szCs w:val="22"/>
          <w:lang w:eastAsia="de-DE" w:bidi="de-DE"/>
        </w:rPr>
        <w:t>Absatz 2 und 3 [des Einkommensteuergesetzbuches 1992] erwähnt.</w:t>
      </w:r>
      <w:r>
        <w:rPr>
          <w:rFonts w:eastAsia="Calibri"/>
          <w:szCs w:val="22"/>
          <w:lang w:eastAsia="de-DE" w:bidi="de-DE"/>
        </w:rPr>
        <w:t>,</w:t>
      </w:r>
      <w:r w:rsidRPr="00B65258">
        <w:rPr>
          <w:rFonts w:eastAsia="Calibri"/>
          <w:szCs w:val="22"/>
          <w:lang w:eastAsia="de-DE" w:bidi="de-DE"/>
        </w:rPr>
        <w:t>]</w:t>
      </w:r>
    </w:p>
    <w:p w14:paraId="60B86B50" w14:textId="77777777" w:rsidR="00665252" w:rsidRDefault="00665252" w:rsidP="00665252">
      <w:pPr>
        <w:jc w:val="both"/>
        <w:rPr>
          <w:rFonts w:eastAsia="Calibri"/>
          <w:szCs w:val="22"/>
          <w:lang w:eastAsia="de-DE" w:bidi="de-DE"/>
        </w:rPr>
      </w:pPr>
    </w:p>
    <w:p w14:paraId="1DF9D18D" w14:textId="77777777" w:rsidR="00665252" w:rsidRPr="00B65258" w:rsidRDefault="00665252" w:rsidP="00665252">
      <w:pPr>
        <w:jc w:val="both"/>
        <w:rPr>
          <w:rFonts w:eastAsia="Calibri"/>
          <w:szCs w:val="22"/>
          <w:lang w:eastAsia="de-DE" w:bidi="de-DE"/>
        </w:rPr>
      </w:pPr>
      <w:r>
        <w:rPr>
          <w:rFonts w:eastAsia="Calibri"/>
          <w:szCs w:val="22"/>
          <w:lang w:eastAsia="de-DE" w:bidi="de-DE"/>
        </w:rPr>
        <w:lastRenderedPageBreak/>
        <w:tab/>
        <w:t>[</w:t>
      </w:r>
      <w:r w:rsidRPr="00C452EA">
        <w:t>- gegebenenfalls Betrag des Berufssteuervorabzugs, der zusätzlich zu dem verordnungsgemäßen Mindestbetrag des Berufssteuervorabzugs einbehalten wird, der auf diese Entlohnungen geschuldet wird.</w:t>
      </w:r>
      <w:r>
        <w:rPr>
          <w:rFonts w:eastAsia="Calibri"/>
          <w:szCs w:val="22"/>
          <w:lang w:eastAsia="de-DE" w:bidi="de-DE"/>
        </w:rPr>
        <w:t>]</w:t>
      </w:r>
    </w:p>
    <w:p w14:paraId="13E8E0DF" w14:textId="77777777" w:rsidR="00665252" w:rsidRPr="00B65258" w:rsidRDefault="00665252" w:rsidP="00665252">
      <w:pPr>
        <w:jc w:val="both"/>
        <w:rPr>
          <w:rFonts w:eastAsia="Calibri"/>
          <w:szCs w:val="22"/>
          <w:lang w:eastAsia="de-DE" w:bidi="de-DE"/>
        </w:rPr>
      </w:pPr>
    </w:p>
    <w:p w14:paraId="68078BE6" w14:textId="77777777" w:rsidR="00665252" w:rsidRPr="00B65258" w:rsidRDefault="00665252" w:rsidP="00665252">
      <w:pPr>
        <w:jc w:val="both"/>
        <w:rPr>
          <w:rFonts w:eastAsia="Calibri"/>
          <w:b/>
          <w:szCs w:val="22"/>
          <w:lang w:eastAsia="de-DE" w:bidi="de-DE"/>
        </w:rPr>
      </w:pPr>
      <w:r w:rsidRPr="00B65258">
        <w:rPr>
          <w:rFonts w:eastAsia="Calibri"/>
          <w:szCs w:val="22"/>
          <w:lang w:eastAsia="de-DE" w:bidi="de-DE"/>
        </w:rPr>
        <w:tab/>
      </w:r>
      <w:r w:rsidRPr="00D13B71">
        <w:rPr>
          <w:rFonts w:eastAsia="Calibri"/>
          <w:szCs w:val="22"/>
          <w:lang w:eastAsia="de-DE" w:bidi="de-DE"/>
        </w:rPr>
        <w:t>[</w:t>
      </w:r>
      <w:r w:rsidRPr="00B65258">
        <w:rPr>
          <w:rFonts w:eastAsia="Calibri"/>
          <w:b/>
          <w:szCs w:val="22"/>
          <w:lang w:eastAsia="de-DE" w:bidi="de-DE"/>
        </w:rPr>
        <w:t xml:space="preserve">VII. In </w:t>
      </w:r>
      <w:r w:rsidRPr="00D13B71">
        <w:rPr>
          <w:rFonts w:eastAsia="Calibri"/>
          <w:szCs w:val="22"/>
          <w:lang w:eastAsia="de-DE" w:bidi="de-DE"/>
        </w:rPr>
        <w:t>[</w:t>
      </w:r>
      <w:r w:rsidRPr="00B65258">
        <w:rPr>
          <w:rFonts w:eastAsia="Calibri"/>
          <w:b/>
          <w:szCs w:val="22"/>
          <w:lang w:eastAsia="de-DE" w:bidi="de-DE"/>
        </w:rPr>
        <w:t>Artikel 95</w:t>
      </w:r>
      <w:r w:rsidRPr="00B65258">
        <w:rPr>
          <w:rFonts w:eastAsia="Calibri"/>
          <w:b/>
          <w:szCs w:val="22"/>
          <w:vertAlign w:val="superscript"/>
          <w:lang w:eastAsia="de-DE" w:bidi="de-DE"/>
        </w:rPr>
        <w:t>2</w:t>
      </w:r>
      <w:r w:rsidRPr="00B65258">
        <w:rPr>
          <w:rFonts w:eastAsia="Calibri"/>
          <w:b/>
          <w:szCs w:val="22"/>
          <w:lang w:eastAsia="de-DE" w:bidi="de-DE"/>
        </w:rPr>
        <w:t xml:space="preserve"> § 1 Absatz 3</w:t>
      </w:r>
      <w:r w:rsidRPr="00D13B71">
        <w:rPr>
          <w:rFonts w:eastAsia="Calibri"/>
          <w:szCs w:val="22"/>
          <w:lang w:eastAsia="de-DE" w:bidi="de-DE"/>
        </w:rPr>
        <w:t>]</w:t>
      </w:r>
      <w:r w:rsidRPr="00B65258">
        <w:rPr>
          <w:rFonts w:eastAsia="Calibri"/>
          <w:b/>
          <w:szCs w:val="22"/>
          <w:lang w:eastAsia="de-DE" w:bidi="de-DE"/>
        </w:rPr>
        <w:t xml:space="preserve"> Nr. 7 erwähnte Schuldner:</w:t>
      </w:r>
    </w:p>
    <w:p w14:paraId="048EDBF0" w14:textId="77777777" w:rsidR="00665252" w:rsidRPr="00B65258" w:rsidRDefault="00665252" w:rsidP="00665252">
      <w:pPr>
        <w:jc w:val="both"/>
        <w:rPr>
          <w:rFonts w:eastAsia="Calibri"/>
          <w:szCs w:val="22"/>
          <w:lang w:eastAsia="de-DE" w:bidi="de-DE"/>
        </w:rPr>
      </w:pPr>
    </w:p>
    <w:p w14:paraId="77983072"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[Diese Schuldner müssen eine namentliche Liste zur Verfügung der Verwaltung bereithalten, die für jeden Arbeitnehmer folgende Angaben enthält:</w:t>
      </w:r>
    </w:p>
    <w:p w14:paraId="24877057" w14:textId="77777777" w:rsidR="00665252" w:rsidRPr="00B65258" w:rsidRDefault="00665252" w:rsidP="00665252">
      <w:pPr>
        <w:jc w:val="both"/>
        <w:rPr>
          <w:rFonts w:eastAsia="Calibri"/>
          <w:szCs w:val="22"/>
          <w:lang w:eastAsia="de-DE" w:bidi="de-DE"/>
        </w:rPr>
      </w:pPr>
    </w:p>
    <w:p w14:paraId="7AED74DF"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 vollständige Identität,</w:t>
      </w:r>
    </w:p>
    <w:p w14:paraId="02A982DB" w14:textId="77777777" w:rsidR="00665252" w:rsidRPr="00B65258" w:rsidRDefault="00665252" w:rsidP="00665252">
      <w:pPr>
        <w:jc w:val="both"/>
        <w:rPr>
          <w:rFonts w:eastAsia="Calibri"/>
          <w:szCs w:val="22"/>
          <w:lang w:eastAsia="de-DE" w:bidi="de-DE"/>
        </w:rPr>
      </w:pPr>
    </w:p>
    <w:p w14:paraId="3C0DB824"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 nationale Nummer,</w:t>
      </w:r>
    </w:p>
    <w:p w14:paraId="755E19D7" w14:textId="77777777" w:rsidR="00665252" w:rsidRPr="00B65258" w:rsidRDefault="00665252" w:rsidP="00665252">
      <w:pPr>
        <w:jc w:val="both"/>
        <w:rPr>
          <w:rFonts w:eastAsia="Calibri"/>
          <w:szCs w:val="22"/>
          <w:lang w:eastAsia="de-DE" w:bidi="de-DE"/>
        </w:rPr>
      </w:pPr>
    </w:p>
    <w:p w14:paraId="36123901"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 Gesamtbetrag der Bruttoentlohnungen vor Einbehaltung der persönlichen Sozialversicherungsbeiträge, wenn diese Entlohnungen ganz oder teilweise der sozialen Sicherheit unterliegen,</w:t>
      </w:r>
    </w:p>
    <w:p w14:paraId="7421A46A" w14:textId="77777777" w:rsidR="00665252" w:rsidRPr="00B65258" w:rsidRDefault="00665252" w:rsidP="00665252">
      <w:pPr>
        <w:jc w:val="both"/>
        <w:rPr>
          <w:rFonts w:eastAsia="Calibri"/>
          <w:szCs w:val="22"/>
          <w:lang w:eastAsia="de-DE" w:bidi="de-DE"/>
        </w:rPr>
      </w:pPr>
    </w:p>
    <w:p w14:paraId="49AD7A88"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 Gesamtbetrag der steuerpflichtigen Bruttoentlohnungen, so wie sie für die Berechnung des Berufssteuervorabzugs berücksichtigt werden, wenn diese Entlohnungen nicht der sozialen Sicherheit unterliegen.]]</w:t>
      </w:r>
    </w:p>
    <w:p w14:paraId="1F428F58" w14:textId="77777777" w:rsidR="00665252" w:rsidRPr="00B65258" w:rsidRDefault="00665252" w:rsidP="00665252">
      <w:pPr>
        <w:jc w:val="both"/>
        <w:rPr>
          <w:rFonts w:eastAsia="Calibri"/>
          <w:szCs w:val="22"/>
          <w:lang w:eastAsia="de-DE" w:bidi="de-DE"/>
        </w:rPr>
      </w:pPr>
    </w:p>
    <w:p w14:paraId="5781F7F0" w14:textId="77777777" w:rsidR="00665252" w:rsidRPr="00B65258" w:rsidRDefault="00665252" w:rsidP="00665252">
      <w:pPr>
        <w:jc w:val="both"/>
        <w:rPr>
          <w:rFonts w:eastAsia="Calibri"/>
          <w:szCs w:val="22"/>
          <w:lang w:eastAsia="de-DE" w:bidi="de-DE"/>
        </w:rPr>
      </w:pPr>
      <w:r w:rsidRPr="00B65258">
        <w:rPr>
          <w:rFonts w:eastAsia="Calibri"/>
          <w:szCs w:val="22"/>
          <w:lang w:eastAsia="de-DE" w:bidi="de-DE"/>
        </w:rPr>
        <w:tab/>
        <w:t>[Gegebenenfalls müssen diese Schuldner die namentliche Liste in eine Liste mit den in Artikel 95</w:t>
      </w:r>
      <w:r w:rsidRPr="00B65258">
        <w:rPr>
          <w:rFonts w:eastAsia="Calibri"/>
          <w:i/>
          <w:szCs w:val="22"/>
          <w:vertAlign w:val="superscript"/>
          <w:lang w:eastAsia="de-DE" w:bidi="de-DE"/>
        </w:rPr>
        <w:t>2</w:t>
      </w:r>
      <w:r w:rsidRPr="00B65258">
        <w:rPr>
          <w:rFonts w:eastAsia="Calibri"/>
          <w:szCs w:val="22"/>
          <w:lang w:eastAsia="de-DE" w:bidi="de-DE"/>
        </w:rPr>
        <w:t xml:space="preserve"> § 1 Absatz 2 erwähnten Arbeitnehmern und eine Liste mit den anderen Arbeitnehmern aufspalten.] </w:t>
      </w:r>
    </w:p>
    <w:p w14:paraId="30118B47" w14:textId="77777777" w:rsidR="00665252" w:rsidRPr="00B65258" w:rsidRDefault="00665252" w:rsidP="00665252">
      <w:pPr>
        <w:jc w:val="both"/>
        <w:rPr>
          <w:rFonts w:eastAsia="Calibri"/>
          <w:szCs w:val="22"/>
          <w:lang w:eastAsia="de-DE" w:bidi="de-DE"/>
        </w:rPr>
      </w:pPr>
    </w:p>
    <w:p w14:paraId="2C18FB82" w14:textId="77777777" w:rsidR="00665252" w:rsidRPr="007E4FA8" w:rsidRDefault="00665252" w:rsidP="00665252">
      <w:pPr>
        <w:jc w:val="both"/>
      </w:pPr>
      <w:r w:rsidRPr="00B65258">
        <w:rPr>
          <w:rFonts w:eastAsia="Calibri"/>
          <w:szCs w:val="22"/>
          <w:lang w:eastAsia="de-DE" w:bidi="de-DE"/>
        </w:rPr>
        <w:tab/>
      </w:r>
      <w:r w:rsidRPr="00D13B71">
        <w:rPr>
          <w:rFonts w:eastAsia="Calibri"/>
          <w:szCs w:val="22"/>
          <w:lang w:eastAsia="de-DE" w:bidi="de-DE"/>
        </w:rPr>
        <w:t>[</w:t>
      </w:r>
      <w:r w:rsidRPr="00B65258">
        <w:rPr>
          <w:rFonts w:eastAsia="Calibri"/>
          <w:b/>
          <w:szCs w:val="22"/>
          <w:lang w:eastAsia="de-DE" w:bidi="de-DE"/>
        </w:rPr>
        <w:t xml:space="preserve">VIII. </w:t>
      </w:r>
      <w:r w:rsidRPr="00D13B71">
        <w:rPr>
          <w:rFonts w:eastAsia="Calibri"/>
          <w:szCs w:val="22"/>
          <w:lang w:eastAsia="de-DE" w:bidi="de-DE"/>
        </w:rPr>
        <w:t>[</w:t>
      </w:r>
      <w:r w:rsidRPr="007E4FA8">
        <w:t>In Artikel 95</w:t>
      </w:r>
      <w:r w:rsidRPr="007E4FA8">
        <w:rPr>
          <w:vertAlign w:val="superscript"/>
        </w:rPr>
        <w:t>2</w:t>
      </w:r>
      <w:r w:rsidRPr="007E4FA8">
        <w:t xml:space="preserve"> § 1 Absatz 3 Nr. 8 und 9 erwähnte Arbeitgeber, mit ihnen gleichgesetzte Gesellschaften und für Leiharbeit zugelassene Unternehmen:</w:t>
      </w:r>
    </w:p>
    <w:p w14:paraId="55758676" w14:textId="77777777" w:rsidR="00665252" w:rsidRPr="007E4FA8" w:rsidRDefault="00665252" w:rsidP="00665252">
      <w:pPr>
        <w:jc w:val="both"/>
      </w:pPr>
    </w:p>
    <w:p w14:paraId="18B44DB6" w14:textId="77777777" w:rsidR="00665252" w:rsidRPr="007E4FA8" w:rsidRDefault="00665252" w:rsidP="00665252">
      <w:pPr>
        <w:jc w:val="both"/>
      </w:pPr>
      <w:r w:rsidRPr="007E4FA8">
        <w:tab/>
        <w:t>Arbeitgeber, mit ihnen gleichgesetzte Gesellschaften und für Leiharbeit zugelassene Unternehmen, die anstelle des Arbeitgebers die zeitweilige Befreiung von der Zahlung des Berufssteuervorabzugs erhalten, halten für jede Investition, für die ein in Artikel 275</w:t>
      </w:r>
      <w:r w:rsidRPr="007E4FA8">
        <w:rPr>
          <w:vertAlign w:val="superscript"/>
        </w:rPr>
        <w:t>8</w:t>
      </w:r>
      <w:r w:rsidRPr="007E4FA8">
        <w:t xml:space="preserve"> § 5 des Einkommensteuergesetzbuches 1992 erwähntes Formular eingereicht worden ist, folgende Angaben und Unterlagen zur Verfügung der Verwaltung bereit:</w:t>
      </w:r>
    </w:p>
    <w:p w14:paraId="581607B9" w14:textId="77777777" w:rsidR="00665252" w:rsidRPr="007E4FA8" w:rsidRDefault="00665252" w:rsidP="00665252">
      <w:pPr>
        <w:jc w:val="both"/>
      </w:pPr>
    </w:p>
    <w:p w14:paraId="60331E6B" w14:textId="77777777" w:rsidR="00665252" w:rsidRPr="007E4FA8" w:rsidRDefault="00665252" w:rsidP="00665252">
      <w:pPr>
        <w:jc w:val="both"/>
      </w:pPr>
      <w:r w:rsidRPr="007E4FA8">
        <w:tab/>
      </w:r>
      <w:r w:rsidRPr="007E4FA8">
        <w:rPr>
          <w:i/>
        </w:rPr>
        <w:t>a)</w:t>
      </w:r>
      <w:r w:rsidRPr="007E4FA8">
        <w:t> vollständige Identität des Arbeitgebers oder gegebenenfalls der mit ihm gleichgesetzten Gesellschaft mit Vermerk der nationalen Nummer oder der Referenznummer für Schuldner des Berufssteuervorabzugs,</w:t>
      </w:r>
    </w:p>
    <w:p w14:paraId="2422E363" w14:textId="77777777" w:rsidR="00665252" w:rsidRPr="007E4FA8" w:rsidRDefault="00665252" w:rsidP="00665252">
      <w:pPr>
        <w:jc w:val="both"/>
      </w:pPr>
    </w:p>
    <w:p w14:paraId="697A11BF" w14:textId="77777777" w:rsidR="00665252" w:rsidRPr="007E4FA8" w:rsidRDefault="00665252" w:rsidP="00665252">
      <w:pPr>
        <w:jc w:val="both"/>
      </w:pPr>
      <w:r w:rsidRPr="007E4FA8">
        <w:tab/>
      </w:r>
      <w:r w:rsidRPr="007E4FA8">
        <w:rPr>
          <w:i/>
        </w:rPr>
        <w:t>b)</w:t>
      </w:r>
      <w:r w:rsidRPr="007E4FA8">
        <w:t> Abschrift des in Artikel 275</w:t>
      </w:r>
      <w:r w:rsidRPr="007E4FA8">
        <w:rPr>
          <w:vertAlign w:val="superscript"/>
        </w:rPr>
        <w:t>8</w:t>
      </w:r>
      <w:r w:rsidRPr="007E4FA8">
        <w:t xml:space="preserve"> § 5 desselben Gesetzbuches erwähnten, rechtsgültig vorgelegten Formulars,</w:t>
      </w:r>
    </w:p>
    <w:p w14:paraId="0B07C2DA" w14:textId="77777777" w:rsidR="00665252" w:rsidRPr="007E4FA8" w:rsidRDefault="00665252" w:rsidP="00665252">
      <w:pPr>
        <w:jc w:val="both"/>
      </w:pPr>
    </w:p>
    <w:p w14:paraId="43CADF57" w14:textId="77777777" w:rsidR="00665252" w:rsidRDefault="00665252" w:rsidP="00665252">
      <w:pPr>
        <w:jc w:val="both"/>
      </w:pPr>
      <w:r w:rsidRPr="007E4FA8">
        <w:tab/>
      </w:r>
      <w:r w:rsidRPr="007E4FA8">
        <w:rPr>
          <w:i/>
        </w:rPr>
        <w:t>c)</w:t>
      </w:r>
      <w:r w:rsidRPr="007E4FA8">
        <w:t> Übersicht der durchschnittlichen Zahl der Arbeitnehmer, ausgedrückt in Vollzeitgleichwerten, die in der Betriebsstätte, in der die Investition getätigt wird, beschäftigt werden, einschließlich der Leiharbeitnehmer, die in dieser Betriebsstätte von einem für Leiharbeit zugelassenen Unternehmen beschäftigt werden, für jeden Besteuerungszeitraum, der ab dem zwölften Monat vor Einreichung des in Artikel 275</w:t>
      </w:r>
      <w:r w:rsidRPr="007E4FA8">
        <w:rPr>
          <w:vertAlign w:val="superscript"/>
        </w:rPr>
        <w:t>8</w:t>
      </w:r>
      <w:r w:rsidRPr="007E4FA8">
        <w:t xml:space="preserve"> § 5 desselben Gesetzbuches erwähnten Formulars endet</w:t>
      </w:r>
      <w:r>
        <w:t>,</w:t>
      </w:r>
    </w:p>
    <w:p w14:paraId="58E6E4A5" w14:textId="77777777" w:rsidR="00665252" w:rsidRDefault="00665252" w:rsidP="00665252">
      <w:pPr>
        <w:jc w:val="both"/>
      </w:pPr>
    </w:p>
    <w:p w14:paraId="2CDE7831" w14:textId="77777777" w:rsidR="00665252" w:rsidRPr="00C452EA" w:rsidRDefault="00665252" w:rsidP="00665252">
      <w:pPr>
        <w:jc w:val="both"/>
      </w:pPr>
      <w:r>
        <w:tab/>
        <w:t>[</w:t>
      </w:r>
      <w:r w:rsidRPr="00C452EA">
        <w:rPr>
          <w:i/>
        </w:rPr>
        <w:t>d)</w:t>
      </w:r>
      <w:r w:rsidRPr="00C452EA">
        <w:t xml:space="preserve"> Betrag der in Artikel 275</w:t>
      </w:r>
      <w:r w:rsidRPr="00C452EA">
        <w:rPr>
          <w:vertAlign w:val="superscript"/>
        </w:rPr>
        <w:t>8</w:t>
      </w:r>
      <w:r w:rsidRPr="00C452EA">
        <w:t xml:space="preserve"> § 4 desselben Gesetzbuches erwähnten gezahlten oder zuerkannten steuerpflichtigen Bruttoentlohnungen,</w:t>
      </w:r>
    </w:p>
    <w:p w14:paraId="6DB5B901" w14:textId="77777777" w:rsidR="00665252" w:rsidRPr="00C452EA" w:rsidRDefault="00665252" w:rsidP="00665252">
      <w:pPr>
        <w:jc w:val="both"/>
      </w:pPr>
    </w:p>
    <w:p w14:paraId="6F8746F5" w14:textId="77777777" w:rsidR="00665252" w:rsidRPr="00C452EA" w:rsidRDefault="00665252" w:rsidP="00665252">
      <w:pPr>
        <w:jc w:val="both"/>
      </w:pPr>
      <w:r w:rsidRPr="00C452EA">
        <w:tab/>
      </w:r>
      <w:r w:rsidRPr="00C452EA">
        <w:rPr>
          <w:i/>
        </w:rPr>
        <w:t>e)</w:t>
      </w:r>
      <w:r w:rsidRPr="00C452EA">
        <w:t xml:space="preserve"> Betrag des auf diese Entlohnungen einbehaltenen Berufssteuervorabzugs,</w:t>
      </w:r>
    </w:p>
    <w:p w14:paraId="33BA1EEA" w14:textId="77777777" w:rsidR="00665252" w:rsidRPr="00C452EA" w:rsidRDefault="00665252" w:rsidP="00665252">
      <w:pPr>
        <w:jc w:val="both"/>
      </w:pPr>
    </w:p>
    <w:p w14:paraId="0640BEDE" w14:textId="77777777" w:rsidR="00665252" w:rsidRPr="007E4FA8" w:rsidRDefault="00665252" w:rsidP="00665252">
      <w:pPr>
        <w:jc w:val="both"/>
      </w:pPr>
      <w:r w:rsidRPr="00C452EA">
        <w:tab/>
      </w:r>
      <w:r w:rsidRPr="00C452EA">
        <w:rPr>
          <w:i/>
        </w:rPr>
        <w:t>f)</w:t>
      </w:r>
      <w:r w:rsidRPr="00C452EA">
        <w:t xml:space="preserve"> gegebenenfalls Betrag des Berufssteuervorabzugs, der zusätzlich zu dem verordnungsgemäßen Mindestbetrag des Berufssteuervorabzugs einbehalten wird, der auf diese Entlohnungen geschuldet wird.</w:t>
      </w:r>
      <w:r>
        <w:t>]</w:t>
      </w:r>
    </w:p>
    <w:p w14:paraId="7CE7058A" w14:textId="77777777" w:rsidR="00665252" w:rsidRPr="007E4FA8" w:rsidRDefault="00665252" w:rsidP="00665252">
      <w:pPr>
        <w:jc w:val="both"/>
      </w:pPr>
    </w:p>
    <w:p w14:paraId="45CC767E" w14:textId="77777777" w:rsidR="00665252" w:rsidRPr="007E4FA8" w:rsidRDefault="00665252" w:rsidP="00665252">
      <w:pPr>
        <w:jc w:val="both"/>
      </w:pPr>
      <w:r w:rsidRPr="007E4FA8">
        <w:tab/>
        <w:t>Arbeitgeber, mit ihnen gleichgesetzte Gesellschaften und für Leiharbeit zugelassene Unternehmen halten eine namentliche Liste zur Verfügung der Verwaltung bereit, die für jeden Arbeitnehmer, dem sie eine in Artikel 95</w:t>
      </w:r>
      <w:r w:rsidRPr="007E4FA8">
        <w:rPr>
          <w:vertAlign w:val="superscript"/>
        </w:rPr>
        <w:t>2</w:t>
      </w:r>
      <w:r w:rsidRPr="007E4FA8">
        <w:t xml:space="preserve"> § 1 Absatz 3 Nr. 8 und 9 erwähnte Entlohnung zahlen oder zuerkennen, folgende Angaben enthält:</w:t>
      </w:r>
    </w:p>
    <w:p w14:paraId="4FEAA740" w14:textId="77777777" w:rsidR="00665252" w:rsidRPr="007E4FA8" w:rsidRDefault="00665252" w:rsidP="00665252">
      <w:pPr>
        <w:jc w:val="both"/>
      </w:pPr>
    </w:p>
    <w:p w14:paraId="781F162B" w14:textId="77777777" w:rsidR="00665252" w:rsidRPr="007E4FA8" w:rsidRDefault="00665252" w:rsidP="00665252">
      <w:pPr>
        <w:jc w:val="both"/>
      </w:pPr>
      <w:r w:rsidRPr="007E4FA8">
        <w:tab/>
      </w:r>
      <w:r w:rsidRPr="007E4FA8">
        <w:rPr>
          <w:i/>
        </w:rPr>
        <w:t>a)</w:t>
      </w:r>
      <w:r w:rsidRPr="007E4FA8">
        <w:t> </w:t>
      </w:r>
      <w:r>
        <w:t>[...]</w:t>
      </w:r>
    </w:p>
    <w:p w14:paraId="5BA25A3E" w14:textId="77777777" w:rsidR="00665252" w:rsidRPr="007E4FA8" w:rsidRDefault="00665252" w:rsidP="00665252">
      <w:pPr>
        <w:jc w:val="both"/>
      </w:pPr>
    </w:p>
    <w:p w14:paraId="7E6CE8A4" w14:textId="77777777" w:rsidR="00665252" w:rsidRPr="007E4FA8" w:rsidRDefault="00665252" w:rsidP="00665252">
      <w:pPr>
        <w:jc w:val="both"/>
      </w:pPr>
      <w:r w:rsidRPr="007E4FA8">
        <w:tab/>
      </w:r>
      <w:r w:rsidRPr="007E4FA8">
        <w:rPr>
          <w:i/>
        </w:rPr>
        <w:t>b)</w:t>
      </w:r>
      <w:r w:rsidRPr="007E4FA8">
        <w:t> Datum des Dienstantritts und gegebenenfalls -austritts wie in der unmittelbaren Beschäftigungsmeldung (DIMONA) angegeben,</w:t>
      </w:r>
    </w:p>
    <w:p w14:paraId="3325DFE7" w14:textId="77777777" w:rsidR="00665252" w:rsidRPr="007E4FA8" w:rsidRDefault="00665252" w:rsidP="00665252">
      <w:pPr>
        <w:jc w:val="both"/>
      </w:pPr>
    </w:p>
    <w:p w14:paraId="4F0B725D" w14:textId="77777777" w:rsidR="00665252" w:rsidRPr="007E4FA8" w:rsidRDefault="00665252" w:rsidP="00665252">
      <w:pPr>
        <w:jc w:val="both"/>
      </w:pPr>
      <w:r w:rsidRPr="007E4FA8">
        <w:tab/>
      </w:r>
      <w:r w:rsidRPr="007E4FA8">
        <w:rPr>
          <w:i/>
        </w:rPr>
        <w:t>c)</w:t>
      </w:r>
      <w:r w:rsidRPr="007E4FA8">
        <w:t> Verweis auf einen der neuen Arbeitsplätze vermerkt in dem in Artikel 275</w:t>
      </w:r>
      <w:r w:rsidRPr="007E4FA8">
        <w:rPr>
          <w:vertAlign w:val="superscript"/>
        </w:rPr>
        <w:t>8</w:t>
      </w:r>
      <w:r w:rsidRPr="007E4FA8">
        <w:t xml:space="preserve"> § 5 desselben Gesetzbuches erwähnten, vom Arbeitgeber rechtsgültig vorgelegten Formular, den der betreffende Arbeitnehmer besetzt, und Datum der Erstbesetzung dieses Arbeitsplatzes.</w:t>
      </w:r>
    </w:p>
    <w:p w14:paraId="052F44A3" w14:textId="77777777" w:rsidR="00665252" w:rsidRPr="007E4FA8" w:rsidRDefault="00665252" w:rsidP="00665252">
      <w:pPr>
        <w:jc w:val="both"/>
      </w:pPr>
    </w:p>
    <w:p w14:paraId="0168D572" w14:textId="77777777" w:rsidR="00665252" w:rsidRPr="007E4FA8" w:rsidRDefault="00665252" w:rsidP="00665252">
      <w:pPr>
        <w:jc w:val="both"/>
      </w:pPr>
      <w:r w:rsidRPr="007E4FA8">
        <w:tab/>
        <w:t>Arbeitgeber, mit ihnen gleichgesetzte Gesellschaften und für Leiharbeit zugelassene Unternehmen halten für jeden Arbeitnehmer, dem sie eine in Artikel 95</w:t>
      </w:r>
      <w:r w:rsidRPr="007E4FA8">
        <w:rPr>
          <w:vertAlign w:val="superscript"/>
        </w:rPr>
        <w:t>2</w:t>
      </w:r>
      <w:r w:rsidRPr="007E4FA8">
        <w:t xml:space="preserve"> § 1 Absatz 3 Nr. 8 und 9 erwähnte Entlohnung zahlen oder zuerkennen, folgende Unterlagen zur Verfügung der Verwaltung bereit:</w:t>
      </w:r>
    </w:p>
    <w:p w14:paraId="2DD11AAE" w14:textId="77777777" w:rsidR="00665252" w:rsidRPr="007E4FA8" w:rsidRDefault="00665252" w:rsidP="00665252">
      <w:pPr>
        <w:jc w:val="both"/>
      </w:pPr>
    </w:p>
    <w:p w14:paraId="49F95BC1" w14:textId="77777777" w:rsidR="00665252" w:rsidRPr="007E4FA8" w:rsidRDefault="00665252" w:rsidP="00665252">
      <w:pPr>
        <w:jc w:val="both"/>
      </w:pPr>
      <w:r w:rsidRPr="007E4FA8">
        <w:tab/>
      </w:r>
      <w:r w:rsidRPr="007E4FA8">
        <w:rPr>
          <w:i/>
        </w:rPr>
        <w:t>a)</w:t>
      </w:r>
      <w:r w:rsidRPr="007E4FA8">
        <w:t> Übersicht der gezahlten oder zuerkannten steuerpflichtigen Bruttoentlohnungen und detaillierte Berechnung des auf diese Entlohnungen einbehaltenen Berufssteuervorabzugs,</w:t>
      </w:r>
    </w:p>
    <w:p w14:paraId="7E41D895" w14:textId="77777777" w:rsidR="00665252" w:rsidRPr="007E4FA8" w:rsidRDefault="00665252" w:rsidP="00665252">
      <w:pPr>
        <w:jc w:val="both"/>
      </w:pPr>
    </w:p>
    <w:p w14:paraId="3F1ED001" w14:textId="77777777" w:rsidR="00665252" w:rsidRPr="007E4FA8" w:rsidRDefault="00665252" w:rsidP="00665252">
      <w:pPr>
        <w:jc w:val="both"/>
      </w:pPr>
      <w:r w:rsidRPr="007E4FA8">
        <w:tab/>
      </w:r>
      <w:r w:rsidRPr="007E4FA8">
        <w:rPr>
          <w:i/>
        </w:rPr>
        <w:t>b)</w:t>
      </w:r>
      <w:r w:rsidRPr="007E4FA8">
        <w:t> Abschrift des Arbeitsvertrags, der zwischen diesem Arbeitnehmer und dem Arbeitgeber oder dem für Leiharbeit zugelassenen Unternehmen geschlossen worden ist,</w:t>
      </w:r>
    </w:p>
    <w:p w14:paraId="1C1E8437" w14:textId="77777777" w:rsidR="00665252" w:rsidRPr="007E4FA8" w:rsidRDefault="00665252" w:rsidP="00665252">
      <w:pPr>
        <w:jc w:val="both"/>
      </w:pPr>
    </w:p>
    <w:p w14:paraId="59C30141" w14:textId="77777777" w:rsidR="00665252" w:rsidRPr="007E4FA8" w:rsidRDefault="00665252" w:rsidP="00665252">
      <w:pPr>
        <w:jc w:val="both"/>
      </w:pPr>
      <w:r w:rsidRPr="007E4FA8">
        <w:tab/>
      </w:r>
      <w:r w:rsidRPr="007E4FA8">
        <w:rPr>
          <w:i/>
        </w:rPr>
        <w:t>c)</w:t>
      </w:r>
      <w:r w:rsidRPr="007E4FA8">
        <w:t> vom Arbeitnehmer unterzeichnete Aufgabenbeschreibung,</w:t>
      </w:r>
    </w:p>
    <w:p w14:paraId="2913FB33" w14:textId="77777777" w:rsidR="00665252" w:rsidRPr="007E4FA8" w:rsidRDefault="00665252" w:rsidP="00665252">
      <w:pPr>
        <w:jc w:val="both"/>
      </w:pPr>
    </w:p>
    <w:p w14:paraId="7E988C2B" w14:textId="77777777" w:rsidR="00665252" w:rsidRDefault="00665252" w:rsidP="00665252">
      <w:pPr>
        <w:jc w:val="both"/>
        <w:rPr>
          <w:rFonts w:eastAsia="Calibri"/>
          <w:szCs w:val="22"/>
          <w:lang w:eastAsia="de-DE" w:bidi="de-DE"/>
        </w:rPr>
      </w:pPr>
      <w:r w:rsidRPr="007E4FA8">
        <w:tab/>
      </w:r>
      <w:r w:rsidRPr="007E4FA8">
        <w:rPr>
          <w:i/>
        </w:rPr>
        <w:t>d)</w:t>
      </w:r>
      <w:r w:rsidRPr="007E4FA8">
        <w:t> Unterlage zusammen mit den nötigen Belegen, in der der Zusammenhang aufgezeigt wird zwischen der vom Arbeitgeber getätigten Investition, die in dem in Artikel 275</w:t>
      </w:r>
      <w:r w:rsidRPr="007E4FA8">
        <w:rPr>
          <w:vertAlign w:val="superscript"/>
        </w:rPr>
        <w:t>8</w:t>
      </w:r>
      <w:r w:rsidRPr="007E4FA8">
        <w:t xml:space="preserve"> § 5 desselben Gesetzbuches erwähnten Formular vermerkt ist, und dem infolge dieser Investition geschaffenen neuen Arbeitsplatz, den dieser Arbeitnehmer besetzt.</w:t>
      </w:r>
      <w:r w:rsidRPr="00D13B71">
        <w:rPr>
          <w:rFonts w:eastAsia="Calibri"/>
          <w:szCs w:val="22"/>
          <w:lang w:eastAsia="de-DE" w:bidi="de-DE"/>
        </w:rPr>
        <w:t>]]</w:t>
      </w:r>
    </w:p>
    <w:p w14:paraId="3D465A1D" w14:textId="77777777" w:rsidR="00665252" w:rsidRDefault="00665252" w:rsidP="00665252">
      <w:pPr>
        <w:jc w:val="both"/>
        <w:rPr>
          <w:rFonts w:eastAsia="Calibri"/>
          <w:szCs w:val="22"/>
          <w:lang w:eastAsia="de-DE" w:bidi="de-DE"/>
        </w:rPr>
      </w:pPr>
    </w:p>
    <w:p w14:paraId="4EFBD430" w14:textId="77777777" w:rsidR="00665252" w:rsidRPr="00C6182F" w:rsidRDefault="00665252" w:rsidP="00665252">
      <w:pPr>
        <w:jc w:val="both"/>
      </w:pPr>
      <w:r>
        <w:rPr>
          <w:rFonts w:eastAsia="Calibri"/>
          <w:szCs w:val="22"/>
          <w:lang w:eastAsia="de-DE" w:bidi="de-DE"/>
        </w:rPr>
        <w:tab/>
        <w:t>[</w:t>
      </w:r>
      <w:r w:rsidRPr="0063473E">
        <w:rPr>
          <w:b/>
        </w:rPr>
        <w:t>IX. In Artikel 95</w:t>
      </w:r>
      <w:r w:rsidRPr="0063473E">
        <w:rPr>
          <w:b/>
          <w:vertAlign w:val="superscript"/>
        </w:rPr>
        <w:t>2</w:t>
      </w:r>
      <w:r w:rsidRPr="0063473E">
        <w:rPr>
          <w:b/>
        </w:rPr>
        <w:t xml:space="preserve"> § 1 Absatz 3 Nr. 10 erwähnte Schuldner:</w:t>
      </w:r>
    </w:p>
    <w:p w14:paraId="2E08247C" w14:textId="77777777" w:rsidR="00665252" w:rsidRPr="00C6182F" w:rsidRDefault="00665252" w:rsidP="00665252">
      <w:pPr>
        <w:jc w:val="both"/>
      </w:pPr>
    </w:p>
    <w:p w14:paraId="096C63DF" w14:textId="77777777" w:rsidR="00665252" w:rsidRPr="00C6182F" w:rsidRDefault="00665252" w:rsidP="00665252">
      <w:pPr>
        <w:jc w:val="both"/>
      </w:pPr>
      <w:r w:rsidRPr="00C6182F">
        <w:tab/>
        <w:t>Diese Schuldner müssen eine namentliche Liste zur Verfügung der Verwaltung bereithalten, die für jeden Arbeitnehmer folgende Angaben enthält:</w:t>
      </w:r>
    </w:p>
    <w:p w14:paraId="1E4005AE" w14:textId="77777777" w:rsidR="00665252" w:rsidRPr="00C6182F" w:rsidRDefault="00665252" w:rsidP="00665252">
      <w:pPr>
        <w:jc w:val="both"/>
      </w:pPr>
    </w:p>
    <w:p w14:paraId="1926A95F" w14:textId="77777777" w:rsidR="00665252" w:rsidRPr="00C6182F" w:rsidRDefault="00665252" w:rsidP="00665252">
      <w:pPr>
        <w:jc w:val="both"/>
      </w:pPr>
      <w:r w:rsidRPr="00C6182F">
        <w:tab/>
        <w:t>- vollständige Identität,</w:t>
      </w:r>
    </w:p>
    <w:p w14:paraId="7B3C6E16" w14:textId="77777777" w:rsidR="00665252" w:rsidRPr="00C6182F" w:rsidRDefault="00665252" w:rsidP="00665252">
      <w:pPr>
        <w:jc w:val="both"/>
      </w:pPr>
    </w:p>
    <w:p w14:paraId="58583442" w14:textId="77777777" w:rsidR="00665252" w:rsidRPr="00C6182F" w:rsidRDefault="00665252" w:rsidP="00665252">
      <w:pPr>
        <w:jc w:val="both"/>
      </w:pPr>
      <w:r w:rsidRPr="00C6182F">
        <w:tab/>
        <w:t>- nationale Nummer,</w:t>
      </w:r>
    </w:p>
    <w:p w14:paraId="4AD9A1F7" w14:textId="77777777" w:rsidR="00665252" w:rsidRPr="00C6182F" w:rsidRDefault="00665252" w:rsidP="00665252">
      <w:pPr>
        <w:jc w:val="both"/>
      </w:pPr>
    </w:p>
    <w:p w14:paraId="1A276057" w14:textId="77777777" w:rsidR="00665252" w:rsidRPr="00C6182F" w:rsidRDefault="00665252" w:rsidP="00665252">
      <w:pPr>
        <w:jc w:val="both"/>
      </w:pPr>
      <w:r w:rsidRPr="00C6182F">
        <w:tab/>
        <w:t>- Betrag der gezahlten oder zuerkannten steuerpflichtigen Bruttoentlohnungen,</w:t>
      </w:r>
    </w:p>
    <w:p w14:paraId="73A7BAC0" w14:textId="77777777" w:rsidR="00665252" w:rsidRPr="00C6182F" w:rsidRDefault="00665252" w:rsidP="00665252">
      <w:pPr>
        <w:jc w:val="both"/>
      </w:pPr>
    </w:p>
    <w:p w14:paraId="04B44D17" w14:textId="77777777" w:rsidR="00665252" w:rsidRDefault="00665252" w:rsidP="00665252">
      <w:pPr>
        <w:jc w:val="both"/>
      </w:pPr>
      <w:r w:rsidRPr="00C6182F">
        <w:lastRenderedPageBreak/>
        <w:tab/>
        <w:t>- Betrag des auf diese Entlohnungen einbehaltenen Berufssteuervorabzugs und detaillierte Berechnung dieses Berufssteuervorabzugs</w:t>
      </w:r>
      <w:r>
        <w:t>,</w:t>
      </w:r>
    </w:p>
    <w:p w14:paraId="13FE3038" w14:textId="77777777" w:rsidR="00665252" w:rsidRDefault="00665252" w:rsidP="00665252">
      <w:pPr>
        <w:jc w:val="both"/>
      </w:pPr>
    </w:p>
    <w:p w14:paraId="198C850D" w14:textId="77777777" w:rsidR="00665252" w:rsidRPr="00C6182F" w:rsidRDefault="00665252" w:rsidP="00665252">
      <w:pPr>
        <w:jc w:val="both"/>
      </w:pPr>
      <w:r>
        <w:tab/>
        <w:t>[</w:t>
      </w:r>
      <w:r w:rsidRPr="00C452EA">
        <w:t>- gegebenenfalls Betrag des Berufssteuervorabzugs, der zusätzlich zu dem verordnungsgemäßen Mindestbetrag des Berufssteuervorabzugs einbehalten wird, der auf diese Entlohnungen geschuldet wird.</w:t>
      </w:r>
      <w:r>
        <w:t>]</w:t>
      </w:r>
    </w:p>
    <w:p w14:paraId="3ED8F9BF" w14:textId="77777777" w:rsidR="00665252" w:rsidRPr="00C6182F" w:rsidRDefault="00665252" w:rsidP="00665252">
      <w:pPr>
        <w:jc w:val="both"/>
      </w:pPr>
    </w:p>
    <w:p w14:paraId="24F1ECCE" w14:textId="77777777" w:rsidR="00665252" w:rsidRDefault="00665252" w:rsidP="00665252">
      <w:pPr>
        <w:jc w:val="both"/>
      </w:pPr>
      <w:r w:rsidRPr="00C6182F">
        <w:tab/>
        <w:t>Diese Schuldner müssen ebenfalls den Nachweis zur Verfügung der Verwaltung bereithalten, dass sie die in Artikel 275</w:t>
      </w:r>
      <w:r w:rsidRPr="00C6182F">
        <w:rPr>
          <w:vertAlign w:val="superscript"/>
        </w:rPr>
        <w:t>10</w:t>
      </w:r>
      <w:r w:rsidRPr="00C6182F">
        <w:t xml:space="preserve"> Absatz 2 und gegebenenfalls Absatz 4 des Einkommensteuergesetzbuches 1992 erwähnten Bedingungen erfüllen.</w:t>
      </w:r>
      <w:r>
        <w:t>]</w:t>
      </w:r>
    </w:p>
    <w:p w14:paraId="70165B32" w14:textId="77777777" w:rsidR="00665252" w:rsidRDefault="00665252" w:rsidP="00665252">
      <w:pPr>
        <w:jc w:val="both"/>
      </w:pPr>
    </w:p>
    <w:p w14:paraId="24B58E7E" w14:textId="77777777" w:rsidR="00665252" w:rsidRPr="007A6D4E" w:rsidRDefault="00665252" w:rsidP="00665252">
      <w:pPr>
        <w:jc w:val="both"/>
      </w:pPr>
      <w:r>
        <w:tab/>
        <w:t>[</w:t>
      </w:r>
      <w:r w:rsidRPr="00312718">
        <w:rPr>
          <w:b/>
        </w:rPr>
        <w:t>X. In Artikel 95</w:t>
      </w:r>
      <w:r w:rsidRPr="00312718">
        <w:rPr>
          <w:b/>
          <w:vertAlign w:val="superscript"/>
        </w:rPr>
        <w:t>2</w:t>
      </w:r>
      <w:r w:rsidRPr="00312718">
        <w:rPr>
          <w:b/>
        </w:rPr>
        <w:t xml:space="preserve"> § 1 Absatz 3 Nr. 11 erwähnte Schuldner:</w:t>
      </w:r>
    </w:p>
    <w:p w14:paraId="64283F07" w14:textId="77777777" w:rsidR="00665252" w:rsidRPr="007A6D4E" w:rsidRDefault="00665252" w:rsidP="00665252">
      <w:pPr>
        <w:jc w:val="both"/>
      </w:pPr>
    </w:p>
    <w:p w14:paraId="7706E5C7" w14:textId="77777777" w:rsidR="00665252" w:rsidRPr="007A6D4E" w:rsidRDefault="00665252" w:rsidP="00665252">
      <w:pPr>
        <w:jc w:val="both"/>
      </w:pPr>
      <w:r w:rsidRPr="007A6D4E">
        <w:tab/>
        <w:t>Diese Schuldner müssen eine namentliche Liste zur Verfügung der Verwaltung bereit</w:t>
      </w:r>
      <w:r w:rsidRPr="007A6D4E">
        <w:softHyphen/>
        <w:t>halten, die für jeden jungen Arbeitnehmer, dem ein Ausgleichszuschlag wie in Artikel 33</w:t>
      </w:r>
      <w:r w:rsidRPr="007A6D4E">
        <w:rPr>
          <w:i/>
        </w:rPr>
        <w:t>bis</w:t>
      </w:r>
      <w:r w:rsidRPr="007A6D4E">
        <w:t xml:space="preserve"> § 4 des Gesetzes vom 24. Dezember 1999 zur Förderung der Beschäftigung erwähnt gezahlt oder zuerkannt wird, folgende Angaben enthält:</w:t>
      </w:r>
    </w:p>
    <w:p w14:paraId="5EA9F542" w14:textId="77777777" w:rsidR="00665252" w:rsidRPr="007A6D4E" w:rsidRDefault="00665252" w:rsidP="00665252">
      <w:pPr>
        <w:jc w:val="both"/>
      </w:pPr>
    </w:p>
    <w:p w14:paraId="3932C975" w14:textId="77777777" w:rsidR="00665252" w:rsidRPr="007A6D4E" w:rsidRDefault="00665252" w:rsidP="00665252">
      <w:pPr>
        <w:jc w:val="both"/>
      </w:pPr>
      <w:r w:rsidRPr="007A6D4E">
        <w:tab/>
        <w:t>- vollständige Identität,</w:t>
      </w:r>
    </w:p>
    <w:p w14:paraId="6C67573B" w14:textId="77777777" w:rsidR="00665252" w:rsidRPr="007A6D4E" w:rsidRDefault="00665252" w:rsidP="00665252">
      <w:pPr>
        <w:jc w:val="both"/>
      </w:pPr>
    </w:p>
    <w:p w14:paraId="538A6872" w14:textId="77777777" w:rsidR="00665252" w:rsidRPr="007A6D4E" w:rsidRDefault="00665252" w:rsidP="00665252">
      <w:pPr>
        <w:jc w:val="both"/>
      </w:pPr>
      <w:r w:rsidRPr="007A6D4E">
        <w:tab/>
        <w:t>- nationale Nummer,</w:t>
      </w:r>
    </w:p>
    <w:p w14:paraId="7FD5BA8C" w14:textId="77777777" w:rsidR="00665252" w:rsidRPr="007A6D4E" w:rsidRDefault="00665252" w:rsidP="00665252">
      <w:pPr>
        <w:jc w:val="both"/>
      </w:pPr>
    </w:p>
    <w:p w14:paraId="45628498" w14:textId="77777777" w:rsidR="00665252" w:rsidRDefault="00665252" w:rsidP="00665252">
      <w:pPr>
        <w:jc w:val="both"/>
      </w:pPr>
      <w:r w:rsidRPr="007A6D4E">
        <w:tab/>
        <w:t>- Betrag des gezahlten oder zuerkannten Ausgleichszuschlags.</w:t>
      </w:r>
      <w:r>
        <w:t>]</w:t>
      </w:r>
    </w:p>
    <w:p w14:paraId="6F859F3F" w14:textId="77777777" w:rsidR="00665252" w:rsidRDefault="00665252" w:rsidP="00665252">
      <w:pPr>
        <w:jc w:val="both"/>
      </w:pPr>
    </w:p>
    <w:p w14:paraId="743B2088" w14:textId="77777777" w:rsidR="00665252" w:rsidRDefault="00665252" w:rsidP="00665252">
      <w:pPr>
        <w:jc w:val="both"/>
      </w:pPr>
      <w:r>
        <w:tab/>
        <w:t>[</w:t>
      </w:r>
      <w:r w:rsidRPr="0059379B">
        <w:rPr>
          <w:b/>
        </w:rPr>
        <w:t>XI. In Artikel 95</w:t>
      </w:r>
      <w:r w:rsidRPr="0059379B">
        <w:rPr>
          <w:b/>
          <w:vertAlign w:val="superscript"/>
        </w:rPr>
        <w:t>2</w:t>
      </w:r>
      <w:r w:rsidRPr="0059379B">
        <w:rPr>
          <w:b/>
        </w:rPr>
        <w:t xml:space="preserve"> § 1 Absatz 3 Nr. 12 erwähnte Schuldner:</w:t>
      </w:r>
    </w:p>
    <w:p w14:paraId="1B5BE9EF" w14:textId="77777777" w:rsidR="00665252" w:rsidRDefault="00665252" w:rsidP="00665252">
      <w:pPr>
        <w:jc w:val="both"/>
      </w:pPr>
    </w:p>
    <w:p w14:paraId="302A3849" w14:textId="77777777" w:rsidR="00665252" w:rsidRPr="00DE05A3" w:rsidRDefault="00665252" w:rsidP="00665252">
      <w:pPr>
        <w:jc w:val="both"/>
      </w:pPr>
      <w:r>
        <w:tab/>
      </w:r>
      <w:r w:rsidRPr="00DE05A3">
        <w:t>Diese Schuldner müssen eine namentliche Liste zur Verfügung der Verwaltung bereithalten, die für jeden betreffenden Arbeitnehmer folgende Angaben enthält:</w:t>
      </w:r>
    </w:p>
    <w:p w14:paraId="5EBE26C7" w14:textId="77777777" w:rsidR="00665252" w:rsidRPr="00DE05A3" w:rsidRDefault="00665252" w:rsidP="00665252">
      <w:pPr>
        <w:jc w:val="both"/>
      </w:pPr>
    </w:p>
    <w:p w14:paraId="3FE28D77" w14:textId="77777777" w:rsidR="00665252" w:rsidRPr="000C1B7D" w:rsidRDefault="00665252" w:rsidP="00665252">
      <w:pPr>
        <w:jc w:val="both"/>
      </w:pPr>
      <w:r w:rsidRPr="00DE05A3">
        <w:tab/>
      </w:r>
      <w:r w:rsidRPr="000C1B7D">
        <w:t>- </w:t>
      </w:r>
      <w:r w:rsidRPr="00DE05A3">
        <w:t>vollständige Identität</w:t>
      </w:r>
      <w:r w:rsidRPr="000C1B7D">
        <w:t>,</w:t>
      </w:r>
    </w:p>
    <w:p w14:paraId="7159DAA8" w14:textId="77777777" w:rsidR="00665252" w:rsidRPr="000C1B7D" w:rsidRDefault="00665252" w:rsidP="00665252">
      <w:pPr>
        <w:jc w:val="both"/>
      </w:pPr>
    </w:p>
    <w:p w14:paraId="1F26435D" w14:textId="77777777" w:rsidR="00665252" w:rsidRPr="00DE05A3" w:rsidRDefault="00665252" w:rsidP="00665252">
      <w:pPr>
        <w:jc w:val="both"/>
      </w:pPr>
      <w:r w:rsidRPr="000C1B7D">
        <w:tab/>
      </w:r>
      <w:r w:rsidRPr="00DE05A3">
        <w:t>- nationale Nummer,</w:t>
      </w:r>
    </w:p>
    <w:p w14:paraId="19F302A8" w14:textId="77777777" w:rsidR="00665252" w:rsidRPr="00DE05A3" w:rsidRDefault="00665252" w:rsidP="00665252">
      <w:pPr>
        <w:jc w:val="both"/>
      </w:pPr>
    </w:p>
    <w:p w14:paraId="1AB99F88" w14:textId="77777777" w:rsidR="00665252" w:rsidRPr="00DE05A3" w:rsidRDefault="00665252" w:rsidP="00665252">
      <w:pPr>
        <w:jc w:val="both"/>
      </w:pPr>
      <w:r w:rsidRPr="00DE05A3">
        <w:tab/>
        <w:t>- absolvierte Ausbildung,</w:t>
      </w:r>
    </w:p>
    <w:p w14:paraId="5E29D63B" w14:textId="77777777" w:rsidR="00665252" w:rsidRPr="00DE05A3" w:rsidRDefault="00665252" w:rsidP="00665252">
      <w:pPr>
        <w:jc w:val="both"/>
      </w:pPr>
    </w:p>
    <w:p w14:paraId="060C8D9F" w14:textId="77777777" w:rsidR="00665252" w:rsidRPr="00DE05A3" w:rsidRDefault="00665252" w:rsidP="00665252">
      <w:pPr>
        <w:jc w:val="both"/>
      </w:pPr>
      <w:r w:rsidRPr="00DE05A3">
        <w:tab/>
        <w:t>- Daten, an denen die Ausbildung absolviert wurde,</w:t>
      </w:r>
    </w:p>
    <w:p w14:paraId="2AA1CDBA" w14:textId="77777777" w:rsidR="00665252" w:rsidRPr="00DE05A3" w:rsidRDefault="00665252" w:rsidP="00665252">
      <w:pPr>
        <w:jc w:val="both"/>
      </w:pPr>
    </w:p>
    <w:p w14:paraId="1C5E1E8E" w14:textId="77777777" w:rsidR="00665252" w:rsidRPr="00DE05A3" w:rsidRDefault="00665252" w:rsidP="00665252">
      <w:pPr>
        <w:jc w:val="both"/>
      </w:pPr>
      <w:r w:rsidRPr="00DE05A3">
        <w:tab/>
        <w:t>- Betrag der gezahlten oder zuerkannten steuerpflichtigen Bruttoentlohnungen des Kalendermonats wie in Artikel 275</w:t>
      </w:r>
      <w:r w:rsidRPr="00DE05A3">
        <w:rPr>
          <w:vertAlign w:val="superscript"/>
        </w:rPr>
        <w:t>12</w:t>
      </w:r>
      <w:r w:rsidRPr="00DE05A3">
        <w:t xml:space="preserve"> § 4 erwähnt,</w:t>
      </w:r>
    </w:p>
    <w:p w14:paraId="61C6FA16" w14:textId="77777777" w:rsidR="00665252" w:rsidRPr="00DE05A3" w:rsidRDefault="00665252" w:rsidP="00665252">
      <w:pPr>
        <w:jc w:val="both"/>
      </w:pPr>
    </w:p>
    <w:p w14:paraId="2975094B" w14:textId="77777777" w:rsidR="00665252" w:rsidRDefault="00665252" w:rsidP="00665252">
      <w:pPr>
        <w:jc w:val="both"/>
      </w:pPr>
      <w:r w:rsidRPr="00DE05A3">
        <w:tab/>
        <w:t>- Betrag des auf diese Entlohnungen einbehaltenen Berufssteuervorabzugs und detaillierte Berechnung dieses Berufssteuervorabzugs.</w:t>
      </w:r>
      <w:r>
        <w:t>]</w:t>
      </w:r>
    </w:p>
    <w:p w14:paraId="3BAB38EF" w14:textId="77777777" w:rsidR="00E815DA" w:rsidRDefault="00E815DA" w:rsidP="00665252">
      <w:pPr>
        <w:jc w:val="both"/>
      </w:pPr>
    </w:p>
    <w:p w14:paraId="2BADAC84" w14:textId="77777777" w:rsidR="00E815DA" w:rsidRPr="00CB1FD8" w:rsidRDefault="00E815DA" w:rsidP="00E815DA">
      <w:pPr>
        <w:jc w:val="both"/>
      </w:pPr>
      <w:r>
        <w:tab/>
        <w:t>[</w:t>
      </w:r>
      <w:r w:rsidRPr="00E815DA">
        <w:rPr>
          <w:b/>
          <w:bCs/>
        </w:rPr>
        <w:t>XII. In Artikel 95</w:t>
      </w:r>
      <w:r w:rsidRPr="00E815DA">
        <w:rPr>
          <w:b/>
          <w:bCs/>
          <w:vertAlign w:val="superscript"/>
        </w:rPr>
        <w:t>2</w:t>
      </w:r>
      <w:r w:rsidRPr="00E815DA">
        <w:rPr>
          <w:b/>
          <w:bCs/>
        </w:rPr>
        <w:t xml:space="preserve"> § 1 Absatz 3 Nr. 13 erwähnte Schuldner:</w:t>
      </w:r>
    </w:p>
    <w:p w14:paraId="40C01DB8" w14:textId="77777777" w:rsidR="00E815DA" w:rsidRPr="00CB1FD8" w:rsidRDefault="00E815DA" w:rsidP="00E815DA">
      <w:pPr>
        <w:jc w:val="both"/>
      </w:pPr>
    </w:p>
    <w:p w14:paraId="2540E68D" w14:textId="77777777" w:rsidR="00E815DA" w:rsidRPr="00CB1FD8" w:rsidRDefault="00E815DA" w:rsidP="00E815DA">
      <w:pPr>
        <w:jc w:val="both"/>
      </w:pPr>
      <w:r w:rsidRPr="00CB1FD8">
        <w:tab/>
        <w:t>Diese Schuldner müssen folgende Unterlagen zur Verfügung der Verwaltung bereithalten:</w:t>
      </w:r>
    </w:p>
    <w:p w14:paraId="45D9665F" w14:textId="77777777" w:rsidR="00E815DA" w:rsidRPr="00CB1FD8" w:rsidRDefault="00E815DA" w:rsidP="00E815DA">
      <w:pPr>
        <w:jc w:val="both"/>
      </w:pPr>
    </w:p>
    <w:p w14:paraId="4039185D" w14:textId="77777777" w:rsidR="00E815DA" w:rsidRPr="00CB1FD8" w:rsidRDefault="00E815DA" w:rsidP="00E815DA">
      <w:pPr>
        <w:jc w:val="both"/>
      </w:pPr>
      <w:r w:rsidRPr="00CB1FD8">
        <w:tab/>
        <w:t>1. Unterlagen zum Nachweis, dass der Arbeitgeber der Paritätischen Kommission für Gartenbauunternehmen untersteht und seine Haupttätigkeit der Obst- oder Gemüsebau ist,</w:t>
      </w:r>
    </w:p>
    <w:p w14:paraId="6968770F" w14:textId="77777777" w:rsidR="00E815DA" w:rsidRPr="00CB1FD8" w:rsidRDefault="00E815DA" w:rsidP="00E815DA">
      <w:pPr>
        <w:jc w:val="both"/>
      </w:pPr>
    </w:p>
    <w:p w14:paraId="67AC5B08" w14:textId="77777777" w:rsidR="00E815DA" w:rsidRPr="00CB1FD8" w:rsidRDefault="00E815DA" w:rsidP="00E815DA">
      <w:pPr>
        <w:jc w:val="both"/>
      </w:pPr>
      <w:r w:rsidRPr="00CB1FD8">
        <w:tab/>
        <w:t>2. namentliche Liste, die pro Monat für jeden Gelegenheitsarbeitnehmer Folgendes enthält:</w:t>
      </w:r>
    </w:p>
    <w:p w14:paraId="5A2D20EA" w14:textId="77777777" w:rsidR="00E815DA" w:rsidRPr="00CB1FD8" w:rsidRDefault="00E815DA" w:rsidP="00E815DA">
      <w:pPr>
        <w:jc w:val="both"/>
      </w:pPr>
    </w:p>
    <w:p w14:paraId="10549723" w14:textId="77777777" w:rsidR="00E815DA" w:rsidRPr="00CB1FD8" w:rsidRDefault="00E815DA" w:rsidP="00E815DA">
      <w:pPr>
        <w:jc w:val="both"/>
      </w:pPr>
      <w:r w:rsidRPr="00CB1FD8">
        <w:tab/>
        <w:t>- vollständige Identität des Gelegenheitsarbeitnehmers und gegebenenfalls seine nationale Nummer oder seine von der Zentralen Datenbank der sozialen Sicherheit zugeteilte Bis-Erkennungsnummer,</w:t>
      </w:r>
    </w:p>
    <w:p w14:paraId="1836E34C" w14:textId="77777777" w:rsidR="00E815DA" w:rsidRPr="00CB1FD8" w:rsidRDefault="00E815DA" w:rsidP="00E815DA">
      <w:pPr>
        <w:jc w:val="both"/>
      </w:pPr>
    </w:p>
    <w:p w14:paraId="0CBA9C53" w14:textId="77777777" w:rsidR="00E815DA" w:rsidRPr="00CB1FD8" w:rsidRDefault="00E815DA" w:rsidP="00E815DA">
      <w:pPr>
        <w:jc w:val="both"/>
      </w:pPr>
      <w:r w:rsidRPr="00CB1FD8">
        <w:tab/>
        <w:t>- Betrag der dem Gelegenheitsarbeitnehmer gezahlten oder zuerkannten steuerpflichtigen Bruttoentlohnungen,</w:t>
      </w:r>
    </w:p>
    <w:p w14:paraId="6E0BDB17" w14:textId="77777777" w:rsidR="00E815DA" w:rsidRPr="00CB1FD8" w:rsidRDefault="00E815DA" w:rsidP="00E815DA">
      <w:pPr>
        <w:jc w:val="both"/>
      </w:pPr>
    </w:p>
    <w:p w14:paraId="57E0F15F" w14:textId="77777777" w:rsidR="00E815DA" w:rsidRPr="00CB1FD8" w:rsidRDefault="00E815DA" w:rsidP="00E815DA">
      <w:pPr>
        <w:jc w:val="both"/>
      </w:pPr>
      <w:r w:rsidRPr="00CB1FD8">
        <w:tab/>
        <w:t>- Betrag des auf diese Entlohnungen einbehaltenen Berufssteuervorabzugs,</w:t>
      </w:r>
    </w:p>
    <w:p w14:paraId="6B98B8A1" w14:textId="77777777" w:rsidR="00E815DA" w:rsidRPr="00CB1FD8" w:rsidRDefault="00E815DA" w:rsidP="00E815DA">
      <w:pPr>
        <w:jc w:val="both"/>
      </w:pPr>
    </w:p>
    <w:p w14:paraId="3DE2B06C" w14:textId="44E21BB8" w:rsidR="00E815DA" w:rsidRPr="00B65258" w:rsidRDefault="00E815DA" w:rsidP="00E815DA">
      <w:pPr>
        <w:jc w:val="both"/>
        <w:rPr>
          <w:rFonts w:eastAsia="Calibri"/>
          <w:szCs w:val="22"/>
          <w:lang w:eastAsia="de-DE" w:bidi="de-DE"/>
        </w:rPr>
      </w:pPr>
      <w:r w:rsidRPr="00CB1FD8">
        <w:tab/>
        <w:t>- Gesamtanzahl der als Gelegenheitsarbeitnehmer im Obst- oder Gemüsebau geleisteten Stunden, für die zum ersten Mal im betreffenden Monat Entlohnungen gezahlt oder zuerkannt werden.</w:t>
      </w:r>
      <w:r>
        <w:t>]</w:t>
      </w:r>
    </w:p>
    <w:p w14:paraId="09F239EC" w14:textId="77777777" w:rsidR="00665252" w:rsidRPr="00B65258" w:rsidRDefault="00665252" w:rsidP="00665252">
      <w:pPr>
        <w:jc w:val="both"/>
        <w:rPr>
          <w:rFonts w:eastAsia="Calibri"/>
          <w:szCs w:val="22"/>
          <w:lang w:eastAsia="de-DE" w:bidi="de-DE"/>
        </w:rPr>
      </w:pPr>
    </w:p>
    <w:p w14:paraId="48187A01" w14:textId="7C9376C9" w:rsidR="00665252" w:rsidRPr="00665252" w:rsidRDefault="00665252" w:rsidP="00665252">
      <w:pPr>
        <w:jc w:val="both"/>
        <w:rPr>
          <w:rFonts w:eastAsia="Calibri"/>
          <w:i/>
          <w:szCs w:val="22"/>
          <w:lang w:eastAsia="de-DE" w:bidi="de-DE"/>
        </w:rPr>
        <w:sectPr w:rsidR="00665252" w:rsidRPr="00665252" w:rsidSect="003426CA">
          <w:pgSz w:w="11906" w:h="16838"/>
          <w:pgMar w:top="1418" w:right="1418" w:bottom="1418" w:left="1418" w:header="709" w:footer="709" w:gutter="0"/>
          <w:cols w:space="708"/>
          <w:docGrid w:linePitch="360"/>
        </w:sectPr>
      </w:pPr>
      <w:r w:rsidRPr="00B65258">
        <w:rPr>
          <w:rFonts w:eastAsia="Calibri"/>
          <w:i/>
          <w:szCs w:val="22"/>
          <w:lang w:eastAsia="de-DE" w:bidi="de-DE"/>
        </w:rPr>
        <w:t>[Anlage 3ter eingefügt durch Art. 4 des K.E. vom 22. August 2006 (B.S. vom 28. August 2006); Überschrift von Anlage 3ter ersetzt durch Art. 23 Nr. 1 des K.E. vom 11. Dezember 2006 (B.S. vom 18. Dezember 2006); Punkt I abgeändert durch Art. 4 Nr. 1 des K.E. vom 31. Juli 2009 (I) (B.S. vom 7. August 2009)</w:t>
      </w:r>
      <w:r>
        <w:rPr>
          <w:rFonts w:eastAsia="Calibri"/>
          <w:i/>
          <w:szCs w:val="22"/>
          <w:lang w:eastAsia="de-DE" w:bidi="de-DE"/>
        </w:rPr>
        <w:t xml:space="preserve"> und Art. 3 Buchstabe a) des K.E. vom 19. Mai 2022 (B.S. vom 30. Mai 2022)</w:t>
      </w:r>
      <w:r w:rsidRPr="00B65258">
        <w:rPr>
          <w:rFonts w:eastAsia="Calibri"/>
          <w:i/>
          <w:szCs w:val="22"/>
          <w:lang w:eastAsia="de-DE" w:bidi="de-DE"/>
        </w:rPr>
        <w:t>; Punkt II abgeändert durch Art. 4 Nr. 1 des K.E. vom 31. Juli 2009 (I) (B.S. vom 7. August 2009)</w:t>
      </w:r>
      <w:r>
        <w:rPr>
          <w:rFonts w:eastAsia="Calibri"/>
          <w:i/>
          <w:szCs w:val="22"/>
          <w:lang w:eastAsia="de-DE" w:bidi="de-DE"/>
        </w:rPr>
        <w:t xml:space="preserve"> und Art. 3 Buchstabe b) bis d) des K.E. vom 19. Mai 2022 (B.S. vom 30. Mai 2022)</w:t>
      </w:r>
      <w:r w:rsidRPr="00B65258">
        <w:rPr>
          <w:rFonts w:eastAsia="Calibri"/>
          <w:i/>
          <w:szCs w:val="22"/>
          <w:lang w:eastAsia="de-DE" w:bidi="de-DE"/>
        </w:rPr>
        <w:t>; Punkt III abgeändert durch Art. 9 des K.E. vom 12. März 2007 (B.S. vom 20. März 2007), Art. 4 Nr. 1 und 2 des K.E. vom 31. Juli 20</w:t>
      </w:r>
      <w:r>
        <w:rPr>
          <w:rFonts w:eastAsia="Calibri"/>
          <w:i/>
          <w:szCs w:val="22"/>
          <w:lang w:eastAsia="de-DE" w:bidi="de-DE"/>
        </w:rPr>
        <w:t>09 (I) (B.S. vom 7. August 2009),</w:t>
      </w:r>
      <w:r w:rsidRPr="00B65258">
        <w:rPr>
          <w:rFonts w:eastAsia="Calibri"/>
          <w:i/>
          <w:szCs w:val="22"/>
          <w:lang w:eastAsia="de-DE" w:bidi="de-DE"/>
        </w:rPr>
        <w:t xml:space="preserve"> Art. 3 des K.E. vom 23. März 2014 (B.S. vom 31. März 2014)</w:t>
      </w:r>
      <w:r>
        <w:rPr>
          <w:rFonts w:eastAsia="Calibri"/>
          <w:i/>
          <w:szCs w:val="22"/>
          <w:lang w:eastAsia="de-DE" w:bidi="de-DE"/>
        </w:rPr>
        <w:t>, Art. 3 Nr. 1 bis 3 des K.E. vom 19. Juli 2018 (B.S. vom 25. Juli 2018), Art. 24 des K.E. vom 29. August 2019 (I) (B.S. vom 13. September 2019) und Art. 3 Buchstabe e) des K.E. vom 19. Mai 2022 (B.S. vom 30. Mai 2022)</w:t>
      </w:r>
      <w:r w:rsidRPr="00B65258">
        <w:rPr>
          <w:rFonts w:eastAsia="Calibri"/>
          <w:i/>
          <w:szCs w:val="22"/>
          <w:lang w:eastAsia="de-DE" w:bidi="de-DE"/>
        </w:rPr>
        <w:t>; Punkt IV abgeändert durch Art. 4 Nr. 1 des K.E. vom 31. Juli 2009 (I) (B.S. vom 7. August 2009); Punkt V ersetzt durch Art. </w:t>
      </w:r>
      <w:r>
        <w:rPr>
          <w:rFonts w:eastAsia="Calibri"/>
          <w:i/>
          <w:szCs w:val="22"/>
          <w:lang w:eastAsia="de-DE" w:bidi="de-DE"/>
        </w:rPr>
        <w:t>3 Buchstabe f)</w:t>
      </w:r>
      <w:r w:rsidRPr="00B007C1">
        <w:rPr>
          <w:rFonts w:eastAsia="Calibri"/>
          <w:i/>
          <w:szCs w:val="22"/>
          <w:lang w:eastAsia="de-DE" w:bidi="de-DE"/>
        </w:rPr>
        <w:t xml:space="preserve"> des K.E. vom 19. Mai 2022 (B.S. vom 30.</w:t>
      </w:r>
      <w:r w:rsidR="00F91150">
        <w:rPr>
          <w:rFonts w:eastAsia="Calibri"/>
          <w:i/>
          <w:szCs w:val="22"/>
          <w:lang w:eastAsia="de-DE" w:bidi="de-DE"/>
        </w:rPr>
        <w:t> </w:t>
      </w:r>
      <w:r w:rsidRPr="00B007C1">
        <w:rPr>
          <w:rFonts w:eastAsia="Calibri"/>
          <w:i/>
          <w:szCs w:val="22"/>
          <w:lang w:eastAsia="de-DE" w:bidi="de-DE"/>
        </w:rPr>
        <w:t>Mai</w:t>
      </w:r>
      <w:r w:rsidR="00F91150">
        <w:rPr>
          <w:rFonts w:eastAsia="Calibri"/>
          <w:i/>
          <w:szCs w:val="22"/>
          <w:lang w:eastAsia="de-DE" w:bidi="de-DE"/>
        </w:rPr>
        <w:t> </w:t>
      </w:r>
      <w:r w:rsidRPr="00B007C1">
        <w:rPr>
          <w:rFonts w:eastAsia="Calibri"/>
          <w:i/>
          <w:szCs w:val="22"/>
          <w:lang w:eastAsia="de-DE" w:bidi="de-DE"/>
        </w:rPr>
        <w:t>2022)</w:t>
      </w:r>
      <w:r w:rsidRPr="00B65258">
        <w:rPr>
          <w:rFonts w:eastAsia="Calibri"/>
          <w:i/>
          <w:szCs w:val="22"/>
          <w:lang w:eastAsia="de-DE" w:bidi="de-DE"/>
        </w:rPr>
        <w:t>;</w:t>
      </w:r>
      <w:r w:rsidR="00777B2C">
        <w:rPr>
          <w:rFonts w:eastAsia="Calibri"/>
          <w:i/>
          <w:szCs w:val="22"/>
          <w:lang w:eastAsia="de-DE" w:bidi="de-DE"/>
        </w:rPr>
        <w:t xml:space="preserve"> Punkt V Abs. 2 eingefügt durch Art. 3 Buchstabe a)</w:t>
      </w:r>
      <w:r w:rsidR="00777B2C" w:rsidRPr="00777B2C">
        <w:rPr>
          <w:rFonts w:eastAsia="Calibri"/>
          <w:i/>
          <w:iCs/>
          <w:szCs w:val="22"/>
          <w:lang w:eastAsia="de-DE" w:bidi="de-DE"/>
        </w:rPr>
        <w:t xml:space="preserve"> des K.E. vom 16. September 2024 (B.S. vom 23. September 2024)</w:t>
      </w:r>
      <w:r w:rsidR="00777B2C" w:rsidRPr="00777B2C">
        <w:rPr>
          <w:rFonts w:eastAsia="Calibri"/>
          <w:i/>
          <w:iCs/>
          <w:szCs w:val="22"/>
          <w:lang w:eastAsia="de-DE" w:bidi="de-DE"/>
        </w:rPr>
        <w:softHyphen/>
      </w:r>
      <w:r w:rsidR="00777B2C">
        <w:rPr>
          <w:rFonts w:eastAsia="Calibri"/>
          <w:i/>
          <w:iCs/>
          <w:szCs w:val="22"/>
          <w:lang w:eastAsia="de-DE" w:bidi="de-DE"/>
        </w:rPr>
        <w:t>;</w:t>
      </w:r>
      <w:r>
        <w:rPr>
          <w:rFonts w:eastAsia="Calibri"/>
          <w:i/>
          <w:szCs w:val="22"/>
          <w:lang w:eastAsia="de-DE" w:bidi="de-DE"/>
        </w:rPr>
        <w:t xml:space="preserve"> Punkt V/1 eingefügt durch Art. 3 Buchstabe g) des K.E. vom 19. Mai 2022 (B.S. vom 30. Mai 2022);</w:t>
      </w:r>
      <w:r w:rsidRPr="00B65258">
        <w:rPr>
          <w:rFonts w:eastAsia="Calibri"/>
          <w:i/>
          <w:szCs w:val="22"/>
          <w:lang w:eastAsia="de-DE" w:bidi="de-DE"/>
        </w:rPr>
        <w:t xml:space="preserve"> </w:t>
      </w:r>
      <w:r w:rsidR="00F91150">
        <w:rPr>
          <w:rFonts w:eastAsia="Calibri"/>
          <w:i/>
          <w:szCs w:val="22"/>
          <w:lang w:eastAsia="de-DE" w:bidi="de-DE"/>
        </w:rPr>
        <w:t xml:space="preserve">Punkt V/1 </w:t>
      </w:r>
      <w:r w:rsidR="00F91150" w:rsidRPr="00F91150">
        <w:rPr>
          <w:rFonts w:eastAsia="Calibri"/>
          <w:i/>
          <w:szCs w:val="22"/>
          <w:lang w:eastAsia="de-DE" w:bidi="de-DE"/>
        </w:rPr>
        <w:t>Abs. 2 eingefügt durch Art. 3 Buchstabe </w:t>
      </w:r>
      <w:r w:rsidR="00F91150">
        <w:rPr>
          <w:rFonts w:eastAsia="Calibri"/>
          <w:i/>
          <w:szCs w:val="22"/>
          <w:lang w:eastAsia="de-DE" w:bidi="de-DE"/>
        </w:rPr>
        <w:t>b</w:t>
      </w:r>
      <w:r w:rsidR="00F91150" w:rsidRPr="00F91150">
        <w:rPr>
          <w:rFonts w:eastAsia="Calibri"/>
          <w:i/>
          <w:szCs w:val="22"/>
          <w:lang w:eastAsia="de-DE" w:bidi="de-DE"/>
        </w:rPr>
        <w:t>)</w:t>
      </w:r>
      <w:r w:rsidR="00F91150" w:rsidRPr="00F91150">
        <w:rPr>
          <w:rFonts w:eastAsia="Calibri"/>
          <w:i/>
          <w:iCs/>
          <w:szCs w:val="22"/>
          <w:lang w:eastAsia="de-DE" w:bidi="de-DE"/>
        </w:rPr>
        <w:t xml:space="preserve"> des K.E. vom 16. September 2024 (B.S. vom 23. September 2024)</w:t>
      </w:r>
      <w:r w:rsidR="00F91150">
        <w:rPr>
          <w:rFonts w:eastAsia="Calibri"/>
          <w:i/>
          <w:iCs/>
          <w:szCs w:val="22"/>
          <w:lang w:eastAsia="de-DE" w:bidi="de-DE"/>
        </w:rPr>
        <w:t xml:space="preserve">; </w:t>
      </w:r>
      <w:r w:rsidR="00777B2C">
        <w:rPr>
          <w:rFonts w:eastAsia="Calibri"/>
          <w:i/>
          <w:szCs w:val="22"/>
          <w:lang w:eastAsia="de-DE" w:bidi="de-DE"/>
        </w:rPr>
        <w:t>Punkt V/</w:t>
      </w:r>
      <w:r w:rsidR="00F91150">
        <w:rPr>
          <w:rFonts w:eastAsia="Calibri"/>
          <w:i/>
          <w:szCs w:val="22"/>
          <w:lang w:eastAsia="de-DE" w:bidi="de-DE"/>
        </w:rPr>
        <w:t>2</w:t>
      </w:r>
      <w:r w:rsidR="00777B2C">
        <w:rPr>
          <w:rFonts w:eastAsia="Calibri"/>
          <w:i/>
          <w:szCs w:val="22"/>
          <w:lang w:eastAsia="de-DE" w:bidi="de-DE"/>
        </w:rPr>
        <w:t xml:space="preserve"> eingefügt durch Art. 3 Buchstabe g) des K.E. vom 19. Mai 2022 (B.S. vom 30. Mai 2022);</w:t>
      </w:r>
      <w:r w:rsidR="00F91150">
        <w:rPr>
          <w:rFonts w:eastAsia="Calibri"/>
          <w:i/>
          <w:szCs w:val="22"/>
          <w:lang w:eastAsia="de-DE" w:bidi="de-DE"/>
        </w:rPr>
        <w:t xml:space="preserve"> Punkt V/2 </w:t>
      </w:r>
      <w:r w:rsidR="00F91150" w:rsidRPr="00F91150">
        <w:rPr>
          <w:rFonts w:eastAsia="Calibri"/>
          <w:i/>
          <w:szCs w:val="22"/>
          <w:lang w:eastAsia="de-DE" w:bidi="de-DE"/>
        </w:rPr>
        <w:t>Abs. 2 eingefügt durch Art. 3 Buchstabe </w:t>
      </w:r>
      <w:r w:rsidR="00F91150">
        <w:rPr>
          <w:rFonts w:eastAsia="Calibri"/>
          <w:i/>
          <w:szCs w:val="22"/>
          <w:lang w:eastAsia="de-DE" w:bidi="de-DE"/>
        </w:rPr>
        <w:t>c</w:t>
      </w:r>
      <w:r w:rsidR="00F91150" w:rsidRPr="00F91150">
        <w:rPr>
          <w:rFonts w:eastAsia="Calibri"/>
          <w:i/>
          <w:szCs w:val="22"/>
          <w:lang w:eastAsia="de-DE" w:bidi="de-DE"/>
        </w:rPr>
        <w:t>)</w:t>
      </w:r>
      <w:r w:rsidR="00F91150" w:rsidRPr="00F91150">
        <w:rPr>
          <w:rFonts w:eastAsia="Calibri"/>
          <w:i/>
          <w:iCs/>
          <w:szCs w:val="22"/>
          <w:lang w:eastAsia="de-DE" w:bidi="de-DE"/>
        </w:rPr>
        <w:t xml:space="preserve"> des K.E. vom 16. September 2024 (B.S. vom 23. September 2024)</w:t>
      </w:r>
      <w:r w:rsidR="00F91150" w:rsidRPr="00F91150">
        <w:rPr>
          <w:rFonts w:eastAsia="Calibri"/>
          <w:i/>
          <w:iCs/>
          <w:szCs w:val="22"/>
          <w:lang w:eastAsia="de-DE" w:bidi="de-DE"/>
        </w:rPr>
        <w:softHyphen/>
      </w:r>
      <w:r w:rsidR="00F91150">
        <w:rPr>
          <w:rFonts w:eastAsia="Calibri"/>
          <w:i/>
          <w:iCs/>
          <w:szCs w:val="22"/>
          <w:lang w:eastAsia="de-DE" w:bidi="de-DE"/>
        </w:rPr>
        <w:t>;</w:t>
      </w:r>
      <w:r w:rsidR="00777B2C" w:rsidRPr="00B65258">
        <w:rPr>
          <w:rFonts w:eastAsia="Calibri"/>
          <w:i/>
          <w:szCs w:val="22"/>
          <w:lang w:eastAsia="de-DE" w:bidi="de-DE"/>
        </w:rPr>
        <w:t xml:space="preserve"> </w:t>
      </w:r>
      <w:r w:rsidR="00777B2C">
        <w:rPr>
          <w:rFonts w:eastAsia="Calibri"/>
          <w:i/>
          <w:szCs w:val="22"/>
          <w:lang w:eastAsia="de-DE" w:bidi="de-DE"/>
        </w:rPr>
        <w:t>Punkt V/3 eingefügt durch Art. 3 Buchstabe g) des K.E. vom 19. Mai 2022 (B.S. vom 30. Mai 2022);</w:t>
      </w:r>
      <w:r w:rsidR="00777B2C" w:rsidRPr="00B65258">
        <w:rPr>
          <w:rFonts w:eastAsia="Calibri"/>
          <w:i/>
          <w:szCs w:val="22"/>
          <w:lang w:eastAsia="de-DE" w:bidi="de-DE"/>
        </w:rPr>
        <w:t xml:space="preserve"> </w:t>
      </w:r>
      <w:r w:rsidR="00F91150">
        <w:rPr>
          <w:rFonts w:eastAsia="Calibri"/>
          <w:i/>
          <w:szCs w:val="22"/>
          <w:lang w:eastAsia="de-DE" w:bidi="de-DE"/>
        </w:rPr>
        <w:t xml:space="preserve">Punkt V/3 </w:t>
      </w:r>
      <w:r w:rsidR="00F91150" w:rsidRPr="00F91150">
        <w:rPr>
          <w:rFonts w:eastAsia="Calibri"/>
          <w:i/>
          <w:szCs w:val="22"/>
          <w:lang w:eastAsia="de-DE" w:bidi="de-DE"/>
        </w:rPr>
        <w:t>Abs. </w:t>
      </w:r>
      <w:r w:rsidR="00F91150">
        <w:rPr>
          <w:rFonts w:eastAsia="Calibri"/>
          <w:i/>
          <w:szCs w:val="22"/>
          <w:lang w:eastAsia="de-DE" w:bidi="de-DE"/>
        </w:rPr>
        <w:t>3</w:t>
      </w:r>
      <w:r w:rsidR="00F91150" w:rsidRPr="00F91150">
        <w:rPr>
          <w:rFonts w:eastAsia="Calibri"/>
          <w:i/>
          <w:szCs w:val="22"/>
          <w:lang w:eastAsia="de-DE" w:bidi="de-DE"/>
        </w:rPr>
        <w:t xml:space="preserve"> eingefügt durch Art. 3 Buchstabe </w:t>
      </w:r>
      <w:r w:rsidR="00F91150">
        <w:rPr>
          <w:rFonts w:eastAsia="Calibri"/>
          <w:i/>
          <w:szCs w:val="22"/>
          <w:lang w:eastAsia="de-DE" w:bidi="de-DE"/>
        </w:rPr>
        <w:t>d</w:t>
      </w:r>
      <w:r w:rsidR="00F91150" w:rsidRPr="00F91150">
        <w:rPr>
          <w:rFonts w:eastAsia="Calibri"/>
          <w:i/>
          <w:szCs w:val="22"/>
          <w:lang w:eastAsia="de-DE" w:bidi="de-DE"/>
        </w:rPr>
        <w:t>)</w:t>
      </w:r>
      <w:r w:rsidR="00F91150" w:rsidRPr="00F91150">
        <w:rPr>
          <w:rFonts w:eastAsia="Calibri"/>
          <w:i/>
          <w:iCs/>
          <w:szCs w:val="22"/>
          <w:lang w:eastAsia="de-DE" w:bidi="de-DE"/>
        </w:rPr>
        <w:t xml:space="preserve"> des K.E. vom 16. September 2024 (B.S. vom 23. September 2024)</w:t>
      </w:r>
      <w:r w:rsidR="00F91150">
        <w:rPr>
          <w:rFonts w:eastAsia="Calibri"/>
          <w:i/>
          <w:iCs/>
          <w:szCs w:val="22"/>
          <w:lang w:eastAsia="de-DE" w:bidi="de-DE"/>
        </w:rPr>
        <w:t xml:space="preserve">; </w:t>
      </w:r>
      <w:r w:rsidRPr="00B65258">
        <w:rPr>
          <w:rFonts w:eastAsia="Calibri"/>
          <w:i/>
          <w:szCs w:val="22"/>
          <w:lang w:eastAsia="de-DE" w:bidi="de-DE"/>
        </w:rPr>
        <w:t>Punkt VI eingefügt durch Art. 5 des K.E. vom 8. Juni 2007 (B.S. vom 19. Juni 2007) und abgeändert durch Art. 4 Nr. 1 und 2 des K.E. vom 31. Juli 2009 (I) (B.S. vom 7. August 2009)</w:t>
      </w:r>
      <w:r>
        <w:rPr>
          <w:rFonts w:eastAsia="Calibri"/>
          <w:i/>
          <w:szCs w:val="22"/>
          <w:lang w:eastAsia="de-DE" w:bidi="de-DE"/>
        </w:rPr>
        <w:t>, Art. 2 Buchstabe a) bis c) des K.E. vom 16. Februar 2022 (B.S. vom 11. März 2022) und Art. 3 Buchstabe h) und i) des K.E. vom 19. Mai 2022 (B.S. vom 30. Mai 2022)</w:t>
      </w:r>
      <w:r w:rsidRPr="00B65258">
        <w:rPr>
          <w:rFonts w:eastAsia="Calibri"/>
          <w:i/>
          <w:szCs w:val="22"/>
          <w:lang w:eastAsia="de-DE" w:bidi="de-DE"/>
        </w:rPr>
        <w:t>; Punkt VII eingefügt durch Art. 5 des K.E. vom 8. Juni 2007 (B.S. vom 19. Juni 2007) und abgeändert durch Art. 4 Nr. 1, 3 und 4 des K.E. vom 31. Juli 2009 (I) (B.S. vom 7. August 2009); Punkt VIII eingefügt durch Art. 5 des K.E. vom 8. Juni 2007 (B.S. vom 19. Juni 2007)</w:t>
      </w:r>
      <w:r>
        <w:rPr>
          <w:rFonts w:eastAsia="Calibri"/>
          <w:i/>
          <w:szCs w:val="22"/>
          <w:lang w:eastAsia="de-DE" w:bidi="de-DE"/>
        </w:rPr>
        <w:t>,</w:t>
      </w:r>
      <w:r w:rsidRPr="00B65258">
        <w:rPr>
          <w:rFonts w:eastAsia="Calibri"/>
          <w:i/>
          <w:szCs w:val="22"/>
          <w:lang w:eastAsia="de-DE" w:bidi="de-DE"/>
        </w:rPr>
        <w:t xml:space="preserve"> aufgehoben durch Art. 4 Nr. 5 des K.E. vom 31. Juli 2009 (I) (B.S. vom 7. August 2009)</w:t>
      </w:r>
      <w:r>
        <w:rPr>
          <w:rFonts w:eastAsia="Calibri"/>
          <w:i/>
          <w:szCs w:val="22"/>
          <w:lang w:eastAsia="de-DE" w:bidi="de-DE"/>
        </w:rPr>
        <w:t xml:space="preserve">, wieder aufgenommen durch Art. 4 des K.E. vom 28. April 2015 (B.S. vom 30. April 2015), ersetzt durch Art. 5 des K.E. vom 13. April 2019 (II) (B.S. vom 9. Mai 2019) und abgeändert durch Art. 3 Buchstabe j) und k) des K.E. vom 19. Mai 2022 (B.S. vom 30. Mai 2022); Punkt IX eingefügt durch Art. 3 des K.E. vom </w:t>
      </w:r>
      <w:r>
        <w:rPr>
          <w:rFonts w:eastAsia="Calibri"/>
          <w:i/>
          <w:szCs w:val="22"/>
          <w:lang w:eastAsia="de-DE" w:bidi="de-DE"/>
        </w:rPr>
        <w:lastRenderedPageBreak/>
        <w:t>23. August 2015 (B.S. vom 28. August 2015) und abgeändert durch Art. 3 Buchstabe l) des K.E. vom 19. Mai 2022 (B.S. vom 30. Mai 2022); Punkt X eingefügt durch Art. 3 des K.E. vom 13. April 2019 (I) (B.S. vom 3. Mai 2019); Punkt XI eingefügt durch Art. 3</w:t>
      </w:r>
      <w:r w:rsidRPr="0059379B">
        <w:rPr>
          <w:rFonts w:eastAsia="Calibri"/>
          <w:i/>
          <w:szCs w:val="22"/>
          <w:lang w:eastAsia="de-DE" w:bidi="de-DE"/>
        </w:rPr>
        <w:t xml:space="preserve"> </w:t>
      </w:r>
      <w:r>
        <w:rPr>
          <w:rFonts w:eastAsia="Calibri"/>
          <w:i/>
          <w:szCs w:val="22"/>
          <w:lang w:eastAsia="de-DE" w:bidi="de-DE"/>
        </w:rPr>
        <w:t>des K.E. vom 14. März 2021 (B.S. vom 18. März 2021)</w:t>
      </w:r>
      <w:r w:rsidR="009D6EC4">
        <w:rPr>
          <w:rFonts w:eastAsia="Calibri"/>
          <w:i/>
          <w:szCs w:val="22"/>
          <w:lang w:eastAsia="de-DE" w:bidi="de-DE"/>
        </w:rPr>
        <w:t>; Punkt XII eingefügt durch Art. 3 des K.E. vom 9. April 2024 (B.S. vom 17. April 2024)</w:t>
      </w:r>
      <w:r w:rsidRPr="00B65258">
        <w:rPr>
          <w:rFonts w:eastAsia="Calibri"/>
          <w:i/>
          <w:szCs w:val="22"/>
          <w:lang w:eastAsia="de-DE" w:bidi="de-DE"/>
        </w:rPr>
        <w:t>]</w:t>
      </w:r>
    </w:p>
    <w:p w14:paraId="5853DDE1" w14:textId="048AA38A" w:rsidR="0006371A" w:rsidRPr="00B65258" w:rsidRDefault="0006371A" w:rsidP="0056193B">
      <w:pPr>
        <w:jc w:val="center"/>
        <w:rPr>
          <w:rFonts w:eastAsia="Calibri"/>
          <w:b/>
          <w:i/>
          <w:lang w:eastAsia="de-DE" w:bidi="de-DE"/>
        </w:rPr>
      </w:pPr>
      <w:r w:rsidRPr="00B65258">
        <w:rPr>
          <w:rFonts w:eastAsia="Calibri"/>
          <w:lang w:eastAsia="de-DE" w:bidi="de-DE"/>
        </w:rPr>
        <w:lastRenderedPageBreak/>
        <w:t>[</w:t>
      </w:r>
      <w:r w:rsidRPr="00B65258">
        <w:rPr>
          <w:rFonts w:eastAsia="Calibri"/>
          <w:b/>
          <w:lang w:eastAsia="de-DE" w:bidi="de-DE"/>
        </w:rPr>
        <w:t>ANLAGE 3</w:t>
      </w:r>
      <w:r w:rsidRPr="00B65258">
        <w:rPr>
          <w:rFonts w:eastAsia="Calibri"/>
          <w:b/>
          <w:i/>
          <w:lang w:eastAsia="de-DE" w:bidi="de-DE"/>
        </w:rPr>
        <w:t>quater</w:t>
      </w:r>
    </w:p>
    <w:p w14:paraId="2473D75B" w14:textId="77777777" w:rsidR="0006371A" w:rsidRPr="00B65258" w:rsidRDefault="0006371A" w:rsidP="0006371A">
      <w:pPr>
        <w:rPr>
          <w:rFonts w:eastAsia="Calibri"/>
          <w:lang w:eastAsia="de-DE" w:bidi="de-DE"/>
        </w:rPr>
      </w:pPr>
    </w:p>
    <w:p w14:paraId="0B199701" w14:textId="77777777" w:rsidR="0006371A" w:rsidRPr="00B65258" w:rsidRDefault="0006371A" w:rsidP="0006371A">
      <w:pPr>
        <w:rPr>
          <w:rFonts w:eastAsia="Calibri"/>
          <w:lang w:eastAsia="de-DE" w:bidi="de-DE"/>
        </w:rPr>
      </w:pPr>
    </w:p>
    <w:p w14:paraId="6FC2A5C7" w14:textId="77777777" w:rsidR="0006371A" w:rsidRPr="00B65258" w:rsidRDefault="0006371A" w:rsidP="0006371A">
      <w:pPr>
        <w:jc w:val="center"/>
        <w:rPr>
          <w:rFonts w:eastAsia="Calibri"/>
          <w:b/>
          <w:lang w:eastAsia="de-DE" w:bidi="de-DE"/>
        </w:rPr>
      </w:pPr>
      <w:r w:rsidRPr="00B65258">
        <w:rPr>
          <w:rFonts w:eastAsia="Calibri"/>
          <w:b/>
          <w:lang w:eastAsia="de-DE" w:bidi="de-DE"/>
        </w:rPr>
        <w:t>Liste der zugelassenen wissenschaftlichen Einrichtungen</w:t>
      </w:r>
    </w:p>
    <w:p w14:paraId="195EA7C6" w14:textId="77777777" w:rsidR="0006371A" w:rsidRPr="00B65258" w:rsidRDefault="0006371A" w:rsidP="0006371A">
      <w:pPr>
        <w:jc w:val="center"/>
        <w:rPr>
          <w:rFonts w:eastAsia="Calibri"/>
          <w:lang w:eastAsia="de-DE" w:bidi="de-DE"/>
        </w:rPr>
      </w:pPr>
    </w:p>
    <w:p w14:paraId="5F5720BC" w14:textId="77777777" w:rsidR="0006371A" w:rsidRPr="00B65258" w:rsidRDefault="0006371A" w:rsidP="0006371A">
      <w:pPr>
        <w:jc w:val="center"/>
        <w:rPr>
          <w:rFonts w:eastAsia="Calibri"/>
          <w:lang w:eastAsia="de-DE" w:bidi="de-DE"/>
        </w:rPr>
      </w:pPr>
      <w:r w:rsidRPr="00B65258">
        <w:rPr>
          <w:rFonts w:eastAsia="Calibri"/>
          <w:lang w:eastAsia="de-DE" w:bidi="de-DE"/>
        </w:rPr>
        <w:t>(Art. 275</w:t>
      </w:r>
      <w:r w:rsidRPr="00B65258">
        <w:rPr>
          <w:rFonts w:eastAsia="Calibri"/>
          <w:vertAlign w:val="superscript"/>
          <w:lang w:eastAsia="de-DE" w:bidi="de-DE"/>
        </w:rPr>
        <w:t>3</w:t>
      </w:r>
      <w:r w:rsidRPr="00B65258">
        <w:rPr>
          <w:rFonts w:eastAsia="Calibri"/>
          <w:lang w:eastAsia="de-DE" w:bidi="de-DE"/>
        </w:rPr>
        <w:t xml:space="preserve"> Absatz 2 EStGB 92)</w:t>
      </w:r>
    </w:p>
    <w:p w14:paraId="2C8FA2EA" w14:textId="77777777" w:rsidR="0006371A" w:rsidRPr="00B65258" w:rsidRDefault="0006371A" w:rsidP="0006371A">
      <w:pPr>
        <w:jc w:val="both"/>
        <w:rPr>
          <w:rFonts w:eastAsia="Calibri"/>
          <w:lang w:eastAsia="de-DE" w:bidi="de-DE"/>
        </w:rPr>
      </w:pPr>
    </w:p>
    <w:p w14:paraId="1D69C3F3" w14:textId="77777777" w:rsidR="0006371A" w:rsidRPr="00B65258" w:rsidRDefault="0006371A" w:rsidP="0006371A">
      <w:pPr>
        <w:jc w:val="both"/>
        <w:rPr>
          <w:rFonts w:eastAsia="Calibri"/>
          <w:b/>
          <w:i/>
          <w:lang w:val="nl-NL" w:eastAsia="de-DE" w:bidi="de-DE"/>
        </w:rPr>
      </w:pPr>
      <w:r w:rsidRPr="00B65258">
        <w:rPr>
          <w:rFonts w:eastAsia="Calibri"/>
          <w:szCs w:val="22"/>
          <w:lang w:eastAsia="de-DE" w:bidi="de-DE"/>
        </w:rPr>
        <w:tab/>
      </w:r>
      <w:r w:rsidRPr="00B65258">
        <w:rPr>
          <w:rFonts w:eastAsia="Calibri"/>
          <w:b/>
          <w:i/>
          <w:lang w:eastAsia="de-DE" w:bidi="de-DE"/>
        </w:rPr>
        <w:t>Zulassung ab 1. </w:t>
      </w:r>
      <w:r w:rsidRPr="00D91DB0">
        <w:rPr>
          <w:rFonts w:eastAsia="Calibri"/>
          <w:b/>
          <w:i/>
          <w:lang w:val="nl-BE" w:eastAsia="de-DE" w:bidi="de-DE"/>
        </w:rPr>
        <w:t>Juli </w:t>
      </w:r>
      <w:r w:rsidRPr="00B65258">
        <w:rPr>
          <w:rFonts w:eastAsia="Calibri"/>
          <w:b/>
          <w:i/>
          <w:lang w:val="nl-NL" w:eastAsia="de-DE" w:bidi="de-DE"/>
        </w:rPr>
        <w:t>2004:</w:t>
      </w:r>
    </w:p>
    <w:p w14:paraId="7D8F0C0D" w14:textId="77777777" w:rsidR="0006371A" w:rsidRPr="00B65258" w:rsidRDefault="0006371A" w:rsidP="0006371A">
      <w:pPr>
        <w:jc w:val="both"/>
        <w:rPr>
          <w:rFonts w:eastAsia="Calibri"/>
          <w:lang w:val="nl-NL" w:eastAsia="de-DE" w:bidi="de-DE"/>
        </w:rPr>
      </w:pPr>
    </w:p>
    <w:p w14:paraId="73CE5990"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Afdeling Waterbouwkundig Laboratorium en Hydrologisch Onderzoek</w:t>
      </w:r>
    </w:p>
    <w:p w14:paraId="4E4ED97B" w14:textId="77777777" w:rsidR="0006371A" w:rsidRPr="00B65258" w:rsidRDefault="0006371A" w:rsidP="0006371A">
      <w:pPr>
        <w:jc w:val="both"/>
        <w:rPr>
          <w:rFonts w:eastAsia="Calibri"/>
          <w:lang w:val="nl-NL" w:eastAsia="de-DE" w:bidi="de-DE"/>
        </w:rPr>
      </w:pPr>
    </w:p>
    <w:p w14:paraId="41FA1A60" w14:textId="77777777" w:rsidR="0006371A" w:rsidRPr="00B65258" w:rsidRDefault="0006371A" w:rsidP="0006371A">
      <w:pPr>
        <w:jc w:val="both"/>
        <w:rPr>
          <w:rFonts w:eastAsia="Calibri"/>
          <w:lang w:eastAsia="de-DE" w:bidi="de-DE"/>
        </w:rPr>
      </w:pPr>
      <w:r w:rsidRPr="00B65258">
        <w:rPr>
          <w:rFonts w:eastAsia="Calibri"/>
          <w:szCs w:val="22"/>
          <w:lang w:val="nl-NL" w:eastAsia="de-DE" w:bidi="de-DE"/>
        </w:rPr>
        <w:tab/>
      </w:r>
      <w:r w:rsidRPr="00B65258">
        <w:rPr>
          <w:rFonts w:eastAsia="Calibri"/>
          <w:lang w:eastAsia="de-DE" w:bidi="de-DE"/>
        </w:rPr>
        <w:t>- Allgemeines Staatsarchiv und Staatsarchiv in den Provinzen</w:t>
      </w:r>
    </w:p>
    <w:p w14:paraId="32D2B4C9" w14:textId="77777777" w:rsidR="0006371A" w:rsidRPr="00B65258" w:rsidRDefault="0006371A" w:rsidP="0006371A">
      <w:pPr>
        <w:jc w:val="both"/>
        <w:rPr>
          <w:rFonts w:eastAsia="Calibri"/>
          <w:lang w:eastAsia="de-DE" w:bidi="de-DE"/>
        </w:rPr>
      </w:pPr>
    </w:p>
    <w:p w14:paraId="586E49AD" w14:textId="77777777" w:rsidR="0006371A" w:rsidRPr="00B65258" w:rsidRDefault="0006371A" w:rsidP="0006371A">
      <w:pPr>
        <w:jc w:val="both"/>
        <w:rPr>
          <w:rFonts w:eastAsia="Calibri"/>
          <w:lang w:val="fr-BE" w:eastAsia="de-DE" w:bidi="de-DE"/>
        </w:rPr>
      </w:pPr>
      <w:r w:rsidRPr="00B65258">
        <w:rPr>
          <w:rFonts w:eastAsia="Calibri"/>
          <w:szCs w:val="22"/>
          <w:lang w:eastAsia="de-DE" w:bidi="de-DE"/>
        </w:rPr>
        <w:tab/>
      </w:r>
      <w:r w:rsidRPr="00B65258">
        <w:rPr>
          <w:rFonts w:eastAsia="Calibri"/>
          <w:lang w:val="fr-BE" w:eastAsia="de-DE" w:bidi="de-DE"/>
        </w:rPr>
        <w:t>- Association pour la Recherche avancée en Microélectronique et Intégration de Systèmes</w:t>
      </w:r>
    </w:p>
    <w:p w14:paraId="1A0D56B4" w14:textId="77777777" w:rsidR="0006371A" w:rsidRPr="00B65258" w:rsidRDefault="0006371A" w:rsidP="0006371A">
      <w:pPr>
        <w:jc w:val="both"/>
        <w:rPr>
          <w:rFonts w:eastAsia="Calibri"/>
          <w:lang w:val="fr-BE" w:eastAsia="de-DE" w:bidi="de-DE"/>
        </w:rPr>
      </w:pPr>
      <w:r w:rsidRPr="00B65258">
        <w:rPr>
          <w:rFonts w:eastAsia="Calibri"/>
          <w:szCs w:val="22"/>
          <w:lang w:val="fr-BE" w:eastAsia="de-DE" w:bidi="de-DE"/>
        </w:rPr>
        <w:tab/>
      </w:r>
    </w:p>
    <w:p w14:paraId="0CC3FD9A" w14:textId="77777777" w:rsidR="0006371A" w:rsidRPr="00B65258" w:rsidRDefault="0006371A" w:rsidP="0006371A">
      <w:pPr>
        <w:jc w:val="both"/>
        <w:rPr>
          <w:rFonts w:eastAsia="Calibri"/>
          <w:lang w:val="en-US" w:eastAsia="de-DE" w:bidi="de-DE"/>
        </w:rPr>
      </w:pPr>
      <w:r w:rsidRPr="00B65258">
        <w:rPr>
          <w:rFonts w:eastAsia="Calibri"/>
          <w:szCs w:val="22"/>
          <w:lang w:val="fr-BE" w:eastAsia="de-DE" w:bidi="de-DE"/>
        </w:rPr>
        <w:tab/>
      </w:r>
      <w:r w:rsidRPr="00B65258">
        <w:rPr>
          <w:rFonts w:eastAsia="Calibri"/>
          <w:lang w:val="en-US" w:eastAsia="de-DE" w:bidi="de-DE"/>
        </w:rPr>
        <w:t>- Babbage Institute for Knowledge and Information Technology</w:t>
      </w:r>
    </w:p>
    <w:p w14:paraId="55E4B7FD" w14:textId="77777777" w:rsidR="0006371A" w:rsidRPr="00B65258" w:rsidRDefault="0006371A" w:rsidP="0006371A">
      <w:pPr>
        <w:jc w:val="both"/>
        <w:rPr>
          <w:rFonts w:eastAsia="Calibri"/>
          <w:lang w:val="en-US" w:eastAsia="de-DE" w:bidi="de-DE"/>
        </w:rPr>
      </w:pPr>
    </w:p>
    <w:p w14:paraId="427343D8" w14:textId="77777777" w:rsidR="0006371A" w:rsidRPr="00B65258" w:rsidRDefault="0006371A" w:rsidP="0006371A">
      <w:pPr>
        <w:jc w:val="both"/>
        <w:rPr>
          <w:rFonts w:eastAsia="Calibri"/>
          <w:lang w:eastAsia="de-DE" w:bidi="de-DE"/>
        </w:rPr>
      </w:pPr>
      <w:r w:rsidRPr="00B65258">
        <w:rPr>
          <w:rFonts w:eastAsia="Calibri"/>
          <w:szCs w:val="22"/>
          <w:lang w:val="en-US" w:eastAsia="de-DE" w:bidi="de-DE"/>
        </w:rPr>
        <w:tab/>
      </w:r>
      <w:r w:rsidRPr="00B65258">
        <w:rPr>
          <w:rFonts w:eastAsia="Calibri"/>
          <w:lang w:eastAsia="de-DE" w:bidi="de-DE"/>
        </w:rPr>
        <w:t>- Königliche Bibliothek von Belgien</w:t>
      </w:r>
    </w:p>
    <w:p w14:paraId="5AFE94A0" w14:textId="77777777" w:rsidR="0006371A" w:rsidRPr="00B65258" w:rsidRDefault="0006371A" w:rsidP="0006371A">
      <w:pPr>
        <w:jc w:val="both"/>
        <w:rPr>
          <w:rFonts w:eastAsia="Calibri"/>
          <w:lang w:eastAsia="de-DE" w:bidi="de-DE"/>
        </w:rPr>
      </w:pPr>
    </w:p>
    <w:p w14:paraId="7398B230"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Biomed</w:t>
      </w:r>
    </w:p>
    <w:p w14:paraId="43F8C323" w14:textId="77777777" w:rsidR="0006371A" w:rsidRPr="00B65258" w:rsidRDefault="0006371A" w:rsidP="0006371A">
      <w:pPr>
        <w:jc w:val="both"/>
        <w:rPr>
          <w:rFonts w:eastAsia="Calibri"/>
          <w:lang w:eastAsia="de-DE" w:bidi="de-DE"/>
        </w:rPr>
      </w:pPr>
    </w:p>
    <w:p w14:paraId="3962FE8A"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Born-Bunge-Stichting VoG</w:t>
      </w:r>
    </w:p>
    <w:p w14:paraId="25CBD265" w14:textId="77777777" w:rsidR="0006371A" w:rsidRPr="00B65258" w:rsidRDefault="0006371A" w:rsidP="0006371A">
      <w:pPr>
        <w:jc w:val="both"/>
        <w:rPr>
          <w:rFonts w:eastAsia="Calibri"/>
          <w:lang w:eastAsia="de-DE" w:bidi="de-DE"/>
        </w:rPr>
      </w:pPr>
    </w:p>
    <w:p w14:paraId="17533380"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Gemeinsame Forschungsstelle der EG</w:t>
      </w:r>
    </w:p>
    <w:p w14:paraId="6DEB81ED" w14:textId="77777777" w:rsidR="0006371A" w:rsidRPr="00B65258" w:rsidRDefault="0006371A" w:rsidP="0006371A">
      <w:pPr>
        <w:jc w:val="both"/>
        <w:rPr>
          <w:rFonts w:eastAsia="Calibri"/>
          <w:lang w:eastAsia="de-DE" w:bidi="de-DE"/>
        </w:rPr>
      </w:pPr>
    </w:p>
    <w:p w14:paraId="7EE4456C"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Zentrum für Agrarwirtschaft von Marloie</w:t>
      </w:r>
    </w:p>
    <w:p w14:paraId="164848D5" w14:textId="77777777" w:rsidR="0006371A" w:rsidRPr="00B65258" w:rsidRDefault="0006371A" w:rsidP="0006371A">
      <w:pPr>
        <w:jc w:val="both"/>
        <w:rPr>
          <w:rFonts w:eastAsia="Calibri"/>
          <w:lang w:eastAsia="de-DE" w:bidi="de-DE"/>
        </w:rPr>
      </w:pPr>
    </w:p>
    <w:p w14:paraId="6E1ECBF3" w14:textId="04349E30"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xml:space="preserve">- </w:t>
      </w:r>
      <w:r w:rsidR="00D352D2">
        <w:rPr>
          <w:rFonts w:eastAsia="Calibri"/>
          <w:lang w:eastAsia="de-DE" w:bidi="de-DE"/>
        </w:rPr>
        <w:t>[...]</w:t>
      </w:r>
    </w:p>
    <w:p w14:paraId="2E830870" w14:textId="77777777" w:rsidR="0006371A" w:rsidRPr="00B65258" w:rsidRDefault="0006371A" w:rsidP="0006371A">
      <w:pPr>
        <w:jc w:val="both"/>
        <w:rPr>
          <w:rFonts w:eastAsia="Calibri"/>
          <w:lang w:eastAsia="de-DE" w:bidi="de-DE"/>
        </w:rPr>
      </w:pPr>
    </w:p>
    <w:p w14:paraId="73E77E89"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Studien- und Dokumentationszentrum "Krieg und moderne Gesellschaft"</w:t>
      </w:r>
    </w:p>
    <w:p w14:paraId="12EE4369" w14:textId="77777777" w:rsidR="0006371A" w:rsidRPr="00B65258" w:rsidRDefault="0006371A" w:rsidP="0006371A">
      <w:pPr>
        <w:jc w:val="both"/>
        <w:rPr>
          <w:rFonts w:eastAsia="Calibri"/>
          <w:lang w:eastAsia="de-DE" w:bidi="de-DE"/>
        </w:rPr>
      </w:pPr>
    </w:p>
    <w:p w14:paraId="599CCD83"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Kernforschungszentrum -</w:t>
      </w:r>
      <w:r w:rsidRPr="00B65258">
        <w:rPr>
          <w:rFonts w:eastAsia="Calibri"/>
          <w:szCs w:val="22"/>
          <w:lang w:eastAsia="de-DE" w:bidi="de-DE"/>
        </w:rPr>
        <w:t xml:space="preserve"> </w:t>
      </w:r>
      <w:r w:rsidRPr="00B65258">
        <w:rPr>
          <w:rFonts w:eastAsia="Calibri"/>
          <w:lang w:eastAsia="de-DE" w:bidi="de-DE"/>
        </w:rPr>
        <w:t>Mol</w:t>
      </w:r>
    </w:p>
    <w:p w14:paraId="6F850788" w14:textId="77777777" w:rsidR="0006371A" w:rsidRPr="00B65258" w:rsidRDefault="0006371A" w:rsidP="0006371A">
      <w:pPr>
        <w:jc w:val="both"/>
        <w:rPr>
          <w:rFonts w:eastAsia="Calibri"/>
          <w:lang w:eastAsia="de-DE" w:bidi="de-DE"/>
        </w:rPr>
      </w:pPr>
    </w:p>
    <w:p w14:paraId="5D7EF0A7"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Zentrum für Agrarwissenschaftliche Forschung von Gembloux</w:t>
      </w:r>
    </w:p>
    <w:p w14:paraId="69E3276F" w14:textId="77777777" w:rsidR="0006371A" w:rsidRPr="00B65258" w:rsidRDefault="0006371A" w:rsidP="0006371A">
      <w:pPr>
        <w:jc w:val="both"/>
        <w:rPr>
          <w:rFonts w:eastAsia="Calibri"/>
          <w:lang w:eastAsia="de-DE" w:bidi="de-DE"/>
        </w:rPr>
      </w:pPr>
    </w:p>
    <w:p w14:paraId="4A6CB553"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xml:space="preserve">- Forschungszentrum der belgischen Keramikindustrie </w:t>
      </w:r>
    </w:p>
    <w:p w14:paraId="47750F7D" w14:textId="77777777" w:rsidR="0006371A" w:rsidRPr="00B65258" w:rsidRDefault="0006371A" w:rsidP="0006371A">
      <w:pPr>
        <w:jc w:val="both"/>
        <w:rPr>
          <w:rFonts w:eastAsia="Calibri"/>
          <w:lang w:eastAsia="de-DE" w:bidi="de-DE"/>
        </w:rPr>
      </w:pPr>
    </w:p>
    <w:p w14:paraId="70DFFC2F"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Straßenbauforschungszentrum</w:t>
      </w:r>
    </w:p>
    <w:p w14:paraId="5BDA85BE" w14:textId="77777777" w:rsidR="0006371A" w:rsidRPr="00B65258" w:rsidRDefault="0006371A" w:rsidP="0006371A">
      <w:pPr>
        <w:rPr>
          <w:rFonts w:eastAsia="Calibri"/>
          <w:lang w:eastAsia="de-DE" w:bidi="de-DE"/>
        </w:rPr>
      </w:pPr>
    </w:p>
    <w:p w14:paraId="6949AECD"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Wissenschaftlich-technisches Forschungszentrum der metallverarbeitenden Industrie</w:t>
      </w:r>
    </w:p>
    <w:p w14:paraId="4AC3D413" w14:textId="77777777" w:rsidR="0006371A" w:rsidRPr="00B65258" w:rsidRDefault="0006371A" w:rsidP="0006371A">
      <w:pPr>
        <w:jc w:val="both"/>
        <w:rPr>
          <w:rFonts w:eastAsia="Calibri"/>
          <w:lang w:eastAsia="de-DE" w:bidi="de-DE"/>
        </w:rPr>
      </w:pPr>
    </w:p>
    <w:p w14:paraId="55ABC26E"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Wissenschaftlich-technisches Forschungszentrum der Gerberei-, Schuh-, Pantoffel</w:t>
      </w:r>
      <w:r w:rsidRPr="00B65258">
        <w:rPr>
          <w:rFonts w:eastAsia="Calibri"/>
          <w:lang w:eastAsia="de-DE" w:bidi="de-DE"/>
        </w:rPr>
        <w:softHyphen/>
        <w:t>industrie und anderer lederverarbeitender Industriezweige</w:t>
      </w:r>
    </w:p>
    <w:p w14:paraId="394ED485" w14:textId="77777777" w:rsidR="0006371A" w:rsidRPr="00B65258" w:rsidRDefault="0006371A" w:rsidP="0006371A">
      <w:pPr>
        <w:jc w:val="both"/>
        <w:rPr>
          <w:rFonts w:eastAsia="Calibri"/>
          <w:lang w:eastAsia="de-DE" w:bidi="de-DE"/>
        </w:rPr>
      </w:pPr>
    </w:p>
    <w:p w14:paraId="203BD500"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Internationales Zentrum für das Studium mittelalterlicher Malerei im Schelde- und Maasbecken</w:t>
      </w:r>
    </w:p>
    <w:p w14:paraId="32671CF2" w14:textId="77777777" w:rsidR="0006371A" w:rsidRPr="00B65258" w:rsidRDefault="0006371A" w:rsidP="0006371A">
      <w:pPr>
        <w:rPr>
          <w:rFonts w:eastAsia="Calibri"/>
          <w:lang w:eastAsia="de-DE" w:bidi="de-DE"/>
        </w:rPr>
      </w:pPr>
      <w:r w:rsidRPr="00B65258">
        <w:rPr>
          <w:rFonts w:eastAsia="Calibri"/>
          <w:lang w:eastAsia="de-DE" w:bidi="de-DE"/>
        </w:rPr>
        <w:br w:type="page"/>
      </w:r>
    </w:p>
    <w:p w14:paraId="38CE2F61" w14:textId="77777777" w:rsidR="0006371A" w:rsidRPr="00B65258" w:rsidRDefault="0006371A" w:rsidP="0006371A">
      <w:pPr>
        <w:jc w:val="both"/>
        <w:rPr>
          <w:rFonts w:eastAsia="Calibri"/>
          <w:lang w:val="fr-BE" w:eastAsia="de-DE" w:bidi="de-DE"/>
        </w:rPr>
      </w:pPr>
      <w:r w:rsidRPr="00B65258">
        <w:rPr>
          <w:rFonts w:eastAsia="Calibri"/>
          <w:szCs w:val="22"/>
          <w:lang w:eastAsia="de-DE" w:bidi="de-DE"/>
        </w:rPr>
        <w:lastRenderedPageBreak/>
        <w:tab/>
      </w:r>
      <w:r w:rsidRPr="00B65258">
        <w:rPr>
          <w:rFonts w:eastAsia="Calibri"/>
          <w:lang w:val="fr-BE" w:eastAsia="de-DE" w:bidi="de-DE"/>
        </w:rPr>
        <w:t>- Centre international de Recherches et d'Information sur l'Economie publique, sociale et coopérative</w:t>
      </w:r>
    </w:p>
    <w:p w14:paraId="58FC704E" w14:textId="77777777" w:rsidR="0006371A" w:rsidRPr="00B65258" w:rsidRDefault="0006371A" w:rsidP="0006371A">
      <w:pPr>
        <w:jc w:val="both"/>
        <w:rPr>
          <w:rFonts w:eastAsia="Calibri"/>
          <w:lang w:val="fr-BE" w:eastAsia="de-DE" w:bidi="de-DE"/>
        </w:rPr>
      </w:pPr>
    </w:p>
    <w:p w14:paraId="676D58E5" w14:textId="77777777" w:rsidR="0006371A" w:rsidRPr="00B65258" w:rsidRDefault="0006371A" w:rsidP="0006371A">
      <w:pPr>
        <w:jc w:val="both"/>
        <w:rPr>
          <w:rFonts w:eastAsia="Calibri"/>
          <w:lang w:eastAsia="de-DE" w:bidi="de-DE"/>
        </w:rPr>
      </w:pPr>
      <w:r w:rsidRPr="00B65258">
        <w:rPr>
          <w:rFonts w:eastAsia="Calibri"/>
          <w:szCs w:val="22"/>
          <w:lang w:val="fr-BE" w:eastAsia="de-DE" w:bidi="de-DE"/>
        </w:rPr>
        <w:tab/>
      </w:r>
      <w:r w:rsidRPr="00B65258">
        <w:rPr>
          <w:rFonts w:eastAsia="Calibri"/>
          <w:lang w:eastAsia="de-DE" w:bidi="de-DE"/>
        </w:rPr>
        <w:t>- Nationales wissenschaftlich-technisches Forschungszentrum für die Zementindustrie</w:t>
      </w:r>
    </w:p>
    <w:p w14:paraId="68F82CFE" w14:textId="77777777" w:rsidR="0006371A" w:rsidRPr="00B65258" w:rsidRDefault="0006371A" w:rsidP="0006371A">
      <w:pPr>
        <w:jc w:val="both"/>
        <w:rPr>
          <w:rFonts w:eastAsia="Calibri"/>
          <w:lang w:eastAsia="de-DE" w:bidi="de-DE"/>
        </w:rPr>
      </w:pPr>
    </w:p>
    <w:p w14:paraId="13E30A61"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Centre provincial d'Essais industriels</w:t>
      </w:r>
    </w:p>
    <w:p w14:paraId="0811F99E" w14:textId="77777777" w:rsidR="0006371A" w:rsidRPr="00B65258" w:rsidRDefault="0006371A" w:rsidP="0006371A">
      <w:pPr>
        <w:jc w:val="both"/>
        <w:rPr>
          <w:rFonts w:eastAsia="Calibri"/>
          <w:lang w:eastAsia="de-DE" w:bidi="de-DE"/>
        </w:rPr>
      </w:pPr>
    </w:p>
    <w:p w14:paraId="34A1D5BA"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Wissenschaftlich-technisches Zentrum der Diamantenindustrie</w:t>
      </w:r>
    </w:p>
    <w:p w14:paraId="3F91044E" w14:textId="77777777" w:rsidR="0006371A" w:rsidRPr="00B65258" w:rsidRDefault="0006371A" w:rsidP="0006371A">
      <w:pPr>
        <w:jc w:val="both"/>
        <w:rPr>
          <w:rFonts w:eastAsia="Calibri"/>
          <w:lang w:eastAsia="de-DE" w:bidi="de-DE"/>
        </w:rPr>
      </w:pPr>
    </w:p>
    <w:p w14:paraId="395F05F8"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Wissenschaftlich-technisches Zentrum der belgischen Textilindustrie</w:t>
      </w:r>
    </w:p>
    <w:p w14:paraId="0D74C893" w14:textId="77777777" w:rsidR="0006371A" w:rsidRPr="00B65258" w:rsidRDefault="0006371A" w:rsidP="0006371A">
      <w:pPr>
        <w:jc w:val="both"/>
        <w:rPr>
          <w:rFonts w:eastAsia="Calibri"/>
          <w:lang w:eastAsia="de-DE" w:bidi="de-DE"/>
        </w:rPr>
      </w:pPr>
    </w:p>
    <w:p w14:paraId="543F5BD5"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Wissenschaftlich-technisches Zentrum des Baugewerbes</w:t>
      </w:r>
    </w:p>
    <w:p w14:paraId="1DB2EF92" w14:textId="77777777" w:rsidR="0006371A" w:rsidRPr="00B65258" w:rsidRDefault="0006371A" w:rsidP="0006371A">
      <w:pPr>
        <w:jc w:val="both"/>
        <w:rPr>
          <w:rFonts w:eastAsia="Calibri"/>
          <w:lang w:eastAsia="de-DE" w:bidi="de-DE"/>
        </w:rPr>
      </w:pPr>
    </w:p>
    <w:p w14:paraId="749D6ACF"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Wissenschaftlich-technisches Zentrum für Gemüsekonserven</w:t>
      </w:r>
    </w:p>
    <w:p w14:paraId="56177EEF" w14:textId="77777777" w:rsidR="0006371A" w:rsidRPr="00B65258" w:rsidRDefault="0006371A" w:rsidP="0006371A">
      <w:pPr>
        <w:jc w:val="both"/>
        <w:rPr>
          <w:rFonts w:eastAsia="Calibri"/>
          <w:lang w:eastAsia="de-DE" w:bidi="de-DE"/>
        </w:rPr>
      </w:pPr>
    </w:p>
    <w:p w14:paraId="5E6D7ADA"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xml:space="preserve">- Technisches Zentrum der Holzindustrie </w:t>
      </w:r>
    </w:p>
    <w:p w14:paraId="290EE9D8" w14:textId="77777777" w:rsidR="0006371A" w:rsidRPr="00B65258" w:rsidRDefault="0006371A" w:rsidP="0006371A">
      <w:pPr>
        <w:jc w:val="both"/>
        <w:rPr>
          <w:rFonts w:eastAsia="Calibri"/>
          <w:lang w:eastAsia="de-DE" w:bidi="de-DE"/>
        </w:rPr>
      </w:pPr>
    </w:p>
    <w:p w14:paraId="3C2DC57B"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Wissenschaftlich-technisches Zentrum für Brauerei, Mälzung und die damit verbundenen Industriezweige</w:t>
      </w:r>
    </w:p>
    <w:p w14:paraId="42FDDA7F" w14:textId="77777777" w:rsidR="0006371A" w:rsidRPr="00B65258" w:rsidRDefault="0006371A" w:rsidP="0006371A">
      <w:pPr>
        <w:jc w:val="both"/>
        <w:rPr>
          <w:rFonts w:eastAsia="Calibri"/>
          <w:lang w:eastAsia="de-DE" w:bidi="de-DE"/>
        </w:rPr>
      </w:pPr>
    </w:p>
    <w:p w14:paraId="1FB419AC" w14:textId="77777777" w:rsidR="0006371A" w:rsidRPr="00B65258" w:rsidRDefault="0006371A" w:rsidP="0006371A">
      <w:pPr>
        <w:jc w:val="both"/>
        <w:rPr>
          <w:rFonts w:eastAsia="Calibri"/>
          <w:lang w:val="nl-NL" w:eastAsia="de-DE" w:bidi="de-DE"/>
        </w:rPr>
      </w:pPr>
      <w:r w:rsidRPr="00B65258">
        <w:rPr>
          <w:rFonts w:eastAsia="Calibri"/>
          <w:szCs w:val="22"/>
          <w:lang w:eastAsia="de-DE" w:bidi="de-DE"/>
        </w:rPr>
        <w:tab/>
      </w:r>
      <w:r w:rsidRPr="00B65258">
        <w:rPr>
          <w:rFonts w:eastAsia="Calibri"/>
          <w:lang w:val="nl-NL" w:eastAsia="de-DE" w:bidi="de-DE"/>
        </w:rPr>
        <w:t>- Wissenschaftlich-technisches Zentrum der Sprengstoffindustrie</w:t>
      </w:r>
    </w:p>
    <w:p w14:paraId="5B49A5A9" w14:textId="77777777" w:rsidR="0006371A" w:rsidRPr="00B65258" w:rsidRDefault="0006371A" w:rsidP="0006371A">
      <w:pPr>
        <w:jc w:val="both"/>
        <w:rPr>
          <w:rFonts w:eastAsia="Calibri"/>
          <w:lang w:val="nl-NL" w:eastAsia="de-DE" w:bidi="de-DE"/>
        </w:rPr>
      </w:pPr>
    </w:p>
    <w:p w14:paraId="33653DDB"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Centrum voor Bevolkings- en Gezinsstudiën</w:t>
      </w:r>
    </w:p>
    <w:p w14:paraId="4E02BEE5" w14:textId="77777777" w:rsidR="0006371A" w:rsidRPr="00B65258" w:rsidRDefault="0006371A" w:rsidP="0006371A">
      <w:pPr>
        <w:jc w:val="both"/>
        <w:rPr>
          <w:rFonts w:eastAsia="Calibri"/>
          <w:lang w:val="nl-NL" w:eastAsia="de-DE" w:bidi="de-DE"/>
        </w:rPr>
      </w:pPr>
    </w:p>
    <w:p w14:paraId="5A6223D7" w14:textId="3BE99E5C" w:rsidR="0006371A"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xml:space="preserve">- </w:t>
      </w:r>
      <w:r w:rsidR="00CA0AB7">
        <w:rPr>
          <w:rFonts w:eastAsia="Calibri"/>
          <w:lang w:val="nl-NL" w:eastAsia="de-DE" w:bidi="de-DE"/>
        </w:rPr>
        <w:t>[</w:t>
      </w:r>
      <w:r w:rsidR="00CA0AB7" w:rsidRPr="00F5482B">
        <w:rPr>
          <w:lang w:val="nl-NL"/>
        </w:rPr>
        <w:t>Instituut voor landbouw en visserijonderzoek</w:t>
      </w:r>
      <w:r w:rsidR="00CA0AB7">
        <w:rPr>
          <w:rFonts w:eastAsia="Calibri"/>
          <w:lang w:val="nl-NL" w:eastAsia="de-DE" w:bidi="de-DE"/>
        </w:rPr>
        <w:t>]</w:t>
      </w:r>
    </w:p>
    <w:p w14:paraId="0C6D05AB" w14:textId="4D7F2738" w:rsidR="00CA0AB7" w:rsidRDefault="00CA0AB7" w:rsidP="0006371A">
      <w:pPr>
        <w:jc w:val="both"/>
        <w:rPr>
          <w:rFonts w:eastAsia="Calibri"/>
          <w:lang w:val="nl-NL" w:eastAsia="de-DE" w:bidi="de-DE"/>
        </w:rPr>
      </w:pPr>
    </w:p>
    <w:p w14:paraId="22106EBB" w14:textId="111A33A6" w:rsidR="00CA0AB7" w:rsidRPr="00B65258" w:rsidRDefault="00CA0AB7" w:rsidP="0006371A">
      <w:pPr>
        <w:jc w:val="both"/>
        <w:rPr>
          <w:rFonts w:eastAsia="Calibri"/>
          <w:lang w:val="nl-NL" w:eastAsia="de-DE" w:bidi="de-DE"/>
        </w:rPr>
      </w:pPr>
      <w:r>
        <w:rPr>
          <w:rFonts w:eastAsia="Calibri"/>
          <w:lang w:val="nl-NL" w:eastAsia="de-DE" w:bidi="de-DE"/>
        </w:rPr>
        <w:tab/>
        <w:t xml:space="preserve">[- </w:t>
      </w:r>
      <w:r w:rsidRPr="00F5482B">
        <w:rPr>
          <w:lang w:val="nl-NL"/>
        </w:rPr>
        <w:t>Eigen vermogen van het instituut voor landbouw en visserijonderzoek</w:t>
      </w:r>
      <w:r>
        <w:rPr>
          <w:lang w:val="nl-NL"/>
        </w:rPr>
        <w:t>]</w:t>
      </w:r>
    </w:p>
    <w:p w14:paraId="0205E858" w14:textId="77777777" w:rsidR="0006371A" w:rsidRPr="00B65258" w:rsidRDefault="0006371A" w:rsidP="0006371A">
      <w:pPr>
        <w:jc w:val="both"/>
        <w:rPr>
          <w:rFonts w:eastAsia="Calibri"/>
          <w:lang w:val="nl-NL" w:eastAsia="de-DE" w:bidi="de-DE"/>
        </w:rPr>
      </w:pPr>
    </w:p>
    <w:p w14:paraId="37AF2766" w14:textId="77777777" w:rsidR="0006371A" w:rsidRPr="00B65258" w:rsidRDefault="0006371A" w:rsidP="0006371A">
      <w:pPr>
        <w:jc w:val="both"/>
        <w:rPr>
          <w:rFonts w:eastAsia="Calibri"/>
          <w:color w:val="000000"/>
          <w:lang w:val="en-US" w:eastAsia="de-DE" w:bidi="de-DE"/>
        </w:rPr>
      </w:pPr>
      <w:r w:rsidRPr="00B65258">
        <w:rPr>
          <w:rFonts w:eastAsia="Calibri"/>
          <w:szCs w:val="22"/>
          <w:lang w:val="nl-NL" w:eastAsia="de-DE" w:bidi="de-DE"/>
        </w:rPr>
        <w:tab/>
      </w:r>
      <w:r w:rsidRPr="00B65258">
        <w:rPr>
          <w:rFonts w:eastAsia="Calibri"/>
          <w:color w:val="000000"/>
          <w:lang w:val="en-US" w:eastAsia="de-DE" w:bidi="de-DE"/>
        </w:rPr>
        <w:t xml:space="preserve">- [...] </w:t>
      </w:r>
    </w:p>
    <w:p w14:paraId="55874D12" w14:textId="77777777" w:rsidR="0006371A" w:rsidRPr="00B65258" w:rsidRDefault="0006371A" w:rsidP="0006371A">
      <w:pPr>
        <w:jc w:val="both"/>
        <w:rPr>
          <w:rFonts w:eastAsia="Calibri"/>
          <w:lang w:val="en-US" w:eastAsia="de-DE" w:bidi="de-DE"/>
        </w:rPr>
      </w:pPr>
    </w:p>
    <w:p w14:paraId="42A4944A" w14:textId="77777777" w:rsidR="0006371A" w:rsidRPr="00B65258" w:rsidRDefault="0006371A" w:rsidP="0006371A">
      <w:pPr>
        <w:jc w:val="both"/>
        <w:rPr>
          <w:rFonts w:eastAsia="Calibri"/>
          <w:lang w:val="en-US" w:eastAsia="de-DE" w:bidi="de-DE"/>
        </w:rPr>
      </w:pPr>
      <w:r w:rsidRPr="00B65258">
        <w:rPr>
          <w:rFonts w:eastAsia="Calibri"/>
          <w:szCs w:val="22"/>
          <w:lang w:val="en-US" w:eastAsia="de-DE" w:bidi="de-DE"/>
        </w:rPr>
        <w:tab/>
      </w:r>
      <w:r w:rsidRPr="00B65258">
        <w:rPr>
          <w:rFonts w:eastAsia="Calibri"/>
          <w:lang w:val="en-US" w:eastAsia="de-DE" w:bidi="de-DE"/>
        </w:rPr>
        <w:t>- European Organisation for Research and Treatment of Cancer</w:t>
      </w:r>
    </w:p>
    <w:p w14:paraId="3ED9B22D" w14:textId="77777777" w:rsidR="0006371A" w:rsidRPr="00B65258" w:rsidRDefault="0006371A" w:rsidP="0006371A">
      <w:pPr>
        <w:jc w:val="both"/>
        <w:rPr>
          <w:rFonts w:eastAsia="Calibri"/>
          <w:lang w:val="en-US" w:eastAsia="de-DE" w:bidi="de-DE"/>
        </w:rPr>
      </w:pPr>
    </w:p>
    <w:p w14:paraId="40953347" w14:textId="77777777" w:rsidR="0006371A" w:rsidRPr="00FA57C5" w:rsidRDefault="0006371A" w:rsidP="0006371A">
      <w:pPr>
        <w:jc w:val="both"/>
        <w:rPr>
          <w:rFonts w:eastAsia="Calibri"/>
          <w:lang w:eastAsia="de-DE" w:bidi="de-DE"/>
        </w:rPr>
      </w:pPr>
      <w:r w:rsidRPr="00B65258">
        <w:rPr>
          <w:rFonts w:eastAsia="Calibri"/>
          <w:szCs w:val="22"/>
          <w:lang w:val="en-US" w:eastAsia="de-DE" w:bidi="de-DE"/>
        </w:rPr>
        <w:tab/>
      </w:r>
      <w:r w:rsidRPr="00FA57C5">
        <w:rPr>
          <w:rFonts w:eastAsia="Calibri"/>
          <w:lang w:eastAsia="de-DE" w:bidi="de-DE"/>
        </w:rPr>
        <w:t>- Fondation universitaire luxembourgeoise</w:t>
      </w:r>
    </w:p>
    <w:p w14:paraId="36DCF6D9" w14:textId="77777777" w:rsidR="0006371A" w:rsidRPr="00FA57C5" w:rsidRDefault="0006371A" w:rsidP="0006371A">
      <w:pPr>
        <w:jc w:val="both"/>
        <w:rPr>
          <w:rFonts w:eastAsia="Calibri"/>
          <w:lang w:eastAsia="de-DE" w:bidi="de-DE"/>
        </w:rPr>
      </w:pPr>
    </w:p>
    <w:p w14:paraId="55F6A451" w14:textId="77777777" w:rsidR="0006371A" w:rsidRPr="00B65258" w:rsidRDefault="0006371A" w:rsidP="0006371A">
      <w:pPr>
        <w:jc w:val="both"/>
        <w:rPr>
          <w:rFonts w:eastAsia="Calibri"/>
          <w:color w:val="000000"/>
          <w:lang w:eastAsia="de-DE" w:bidi="de-DE"/>
        </w:rPr>
      </w:pPr>
      <w:r w:rsidRPr="00FA57C5">
        <w:rPr>
          <w:rFonts w:eastAsia="Calibri"/>
          <w:szCs w:val="22"/>
          <w:lang w:eastAsia="de-DE" w:bidi="de-DE"/>
        </w:rPr>
        <w:tab/>
      </w:r>
      <w:r w:rsidRPr="00B65258">
        <w:rPr>
          <w:rFonts w:eastAsia="Calibri"/>
          <w:color w:val="000000"/>
          <w:lang w:eastAsia="de-DE" w:bidi="de-DE"/>
        </w:rPr>
        <w:t>- [...]</w:t>
      </w:r>
    </w:p>
    <w:p w14:paraId="720AAE2F" w14:textId="77777777" w:rsidR="0006371A" w:rsidRPr="00B65258" w:rsidRDefault="0006371A" w:rsidP="0006371A">
      <w:pPr>
        <w:jc w:val="both"/>
        <w:rPr>
          <w:rFonts w:eastAsia="Calibri"/>
          <w:lang w:eastAsia="de-DE" w:bidi="de-DE"/>
        </w:rPr>
      </w:pPr>
    </w:p>
    <w:p w14:paraId="1EC93D75"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Afrikanisches Institut/Afrikanisches Studien- und Dokumentationszentrum</w:t>
      </w:r>
    </w:p>
    <w:p w14:paraId="29477910" w14:textId="77777777" w:rsidR="0006371A" w:rsidRPr="00B65258" w:rsidRDefault="0006371A" w:rsidP="0006371A">
      <w:pPr>
        <w:jc w:val="both"/>
        <w:rPr>
          <w:rFonts w:eastAsia="Calibri"/>
          <w:lang w:eastAsia="de-DE" w:bidi="de-DE"/>
        </w:rPr>
      </w:pPr>
    </w:p>
    <w:p w14:paraId="35FC2032"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Belgisches Institut für Raumaeronomie</w:t>
      </w:r>
    </w:p>
    <w:p w14:paraId="246BFFA6" w14:textId="77777777" w:rsidR="0006371A" w:rsidRPr="00B65258" w:rsidRDefault="0006371A" w:rsidP="0006371A">
      <w:pPr>
        <w:rPr>
          <w:rFonts w:eastAsia="Calibri"/>
          <w:lang w:eastAsia="de-DE" w:bidi="de-DE"/>
        </w:rPr>
      </w:pPr>
    </w:p>
    <w:p w14:paraId="5E3B42D8"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Europäisches Institut für Managementstudien</w:t>
      </w:r>
    </w:p>
    <w:p w14:paraId="22803382" w14:textId="77777777" w:rsidR="0006371A" w:rsidRPr="00B65258" w:rsidRDefault="0006371A" w:rsidP="0006371A">
      <w:pPr>
        <w:jc w:val="both"/>
        <w:rPr>
          <w:rFonts w:eastAsia="Calibri"/>
          <w:lang w:eastAsia="de-DE" w:bidi="de-DE"/>
        </w:rPr>
      </w:pPr>
    </w:p>
    <w:p w14:paraId="2B44D04E" w14:textId="77777777" w:rsidR="0006371A" w:rsidRPr="00B65258" w:rsidRDefault="0006371A" w:rsidP="0006371A">
      <w:pPr>
        <w:jc w:val="both"/>
        <w:rPr>
          <w:rFonts w:eastAsia="Calibri"/>
          <w:lang w:val="fr-BE" w:eastAsia="de-DE" w:bidi="de-DE"/>
        </w:rPr>
      </w:pPr>
      <w:r w:rsidRPr="00B65258">
        <w:rPr>
          <w:rFonts w:eastAsia="Calibri"/>
          <w:szCs w:val="22"/>
          <w:lang w:eastAsia="de-DE" w:bidi="de-DE"/>
        </w:rPr>
        <w:tab/>
      </w:r>
      <w:r w:rsidRPr="00B65258">
        <w:rPr>
          <w:rFonts w:eastAsia="Calibri"/>
          <w:lang w:val="fr-BE" w:eastAsia="de-DE" w:bidi="de-DE"/>
        </w:rPr>
        <w:t>- Nationales Geographisches Institut</w:t>
      </w:r>
    </w:p>
    <w:p w14:paraId="09F7FE28" w14:textId="77777777" w:rsidR="0006371A" w:rsidRPr="00B65258" w:rsidRDefault="0006371A" w:rsidP="0006371A">
      <w:pPr>
        <w:jc w:val="both"/>
        <w:rPr>
          <w:rFonts w:eastAsia="Calibri"/>
          <w:lang w:val="fr-BE" w:eastAsia="de-DE" w:bidi="de-DE"/>
        </w:rPr>
      </w:pPr>
    </w:p>
    <w:p w14:paraId="09DDF264" w14:textId="77777777" w:rsidR="0006371A" w:rsidRPr="00B65258" w:rsidRDefault="0006371A" w:rsidP="0006371A">
      <w:pPr>
        <w:jc w:val="both"/>
        <w:rPr>
          <w:rFonts w:eastAsia="Calibri"/>
          <w:lang w:val="fr-BE" w:eastAsia="de-DE" w:bidi="de-DE"/>
        </w:rPr>
      </w:pPr>
      <w:r w:rsidRPr="00B65258">
        <w:rPr>
          <w:rFonts w:eastAsia="Calibri"/>
          <w:szCs w:val="22"/>
          <w:lang w:val="fr-BE" w:eastAsia="de-DE" w:bidi="de-DE"/>
        </w:rPr>
        <w:tab/>
      </w:r>
      <w:r w:rsidRPr="00B65258">
        <w:rPr>
          <w:rFonts w:eastAsia="Calibri"/>
          <w:lang w:val="fr-BE" w:eastAsia="de-DE" w:bidi="de-DE"/>
        </w:rPr>
        <w:t>- Institut international de Chimie-Physique-Solvay</w:t>
      </w:r>
    </w:p>
    <w:p w14:paraId="22A8A01A" w14:textId="77777777" w:rsidR="0006371A" w:rsidRPr="00B65258" w:rsidRDefault="0006371A" w:rsidP="0006371A">
      <w:pPr>
        <w:jc w:val="both"/>
        <w:rPr>
          <w:rFonts w:eastAsia="Calibri"/>
          <w:lang w:val="fr-BE" w:eastAsia="de-DE" w:bidi="de-DE"/>
        </w:rPr>
      </w:pPr>
    </w:p>
    <w:p w14:paraId="3A12BAA5" w14:textId="77777777" w:rsidR="0006371A" w:rsidRPr="00B65258" w:rsidRDefault="0006371A" w:rsidP="0006371A">
      <w:pPr>
        <w:jc w:val="both"/>
        <w:rPr>
          <w:rFonts w:eastAsia="Calibri"/>
          <w:lang w:eastAsia="de-DE" w:bidi="de-DE"/>
        </w:rPr>
      </w:pPr>
      <w:r w:rsidRPr="00B65258">
        <w:rPr>
          <w:rFonts w:eastAsia="Calibri"/>
          <w:szCs w:val="22"/>
          <w:lang w:val="fr-BE" w:eastAsia="de-DE" w:bidi="de-DE"/>
        </w:rPr>
        <w:tab/>
      </w:r>
      <w:r w:rsidRPr="00B65258">
        <w:rPr>
          <w:rFonts w:eastAsia="Calibri"/>
          <w:lang w:eastAsia="de-DE" w:bidi="de-DE"/>
        </w:rPr>
        <w:t>- Ludwig-Institut für Krebsforschung</w:t>
      </w:r>
    </w:p>
    <w:p w14:paraId="7B8F246E" w14:textId="77777777" w:rsidR="0006371A" w:rsidRPr="00B65258" w:rsidRDefault="0006371A" w:rsidP="0006371A">
      <w:pPr>
        <w:jc w:val="both"/>
        <w:rPr>
          <w:rFonts w:eastAsia="Calibri"/>
          <w:lang w:eastAsia="de-DE" w:bidi="de-DE"/>
        </w:rPr>
      </w:pPr>
    </w:p>
    <w:p w14:paraId="3D757DA8"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Landesinstitut für Kriminalistik</w:t>
      </w:r>
    </w:p>
    <w:p w14:paraId="5F626CDF" w14:textId="77777777" w:rsidR="0006371A" w:rsidRPr="00B65258" w:rsidRDefault="0006371A" w:rsidP="0006371A">
      <w:pPr>
        <w:jc w:val="both"/>
        <w:rPr>
          <w:rFonts w:eastAsia="Calibri"/>
          <w:lang w:eastAsia="de-DE" w:bidi="de-DE"/>
        </w:rPr>
      </w:pPr>
    </w:p>
    <w:p w14:paraId="5DF794DB" w14:textId="77777777" w:rsidR="0006371A" w:rsidRPr="00B65258" w:rsidRDefault="0006371A" w:rsidP="0006371A">
      <w:pPr>
        <w:jc w:val="both"/>
        <w:rPr>
          <w:rFonts w:eastAsia="Calibri"/>
          <w:lang w:eastAsia="de-DE" w:bidi="de-DE"/>
        </w:rPr>
      </w:pPr>
      <w:r w:rsidRPr="00B65258">
        <w:rPr>
          <w:rFonts w:eastAsia="Calibri"/>
          <w:szCs w:val="22"/>
          <w:lang w:eastAsia="de-DE" w:bidi="de-DE"/>
        </w:rPr>
        <w:lastRenderedPageBreak/>
        <w:tab/>
      </w:r>
      <w:r w:rsidRPr="00B65258">
        <w:rPr>
          <w:rFonts w:eastAsia="Calibri"/>
          <w:lang w:eastAsia="de-DE" w:bidi="de-DE"/>
        </w:rPr>
        <w:t>- Landesinstitut für Radioelemente</w:t>
      </w:r>
    </w:p>
    <w:p w14:paraId="7E167A55" w14:textId="353C2858" w:rsidR="0006371A" w:rsidRPr="00B65258" w:rsidRDefault="0006371A" w:rsidP="0006371A">
      <w:pPr>
        <w:rPr>
          <w:rFonts w:eastAsia="Calibri"/>
          <w:lang w:eastAsia="de-DE" w:bidi="de-DE"/>
        </w:rPr>
      </w:pPr>
    </w:p>
    <w:p w14:paraId="3F601AD8"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Königliches Belgisches Institut für Naturwissenschaften</w:t>
      </w:r>
    </w:p>
    <w:p w14:paraId="64F2B5FF" w14:textId="77777777" w:rsidR="0006371A" w:rsidRPr="00B65258" w:rsidRDefault="0006371A" w:rsidP="0006371A">
      <w:pPr>
        <w:jc w:val="both"/>
        <w:rPr>
          <w:rFonts w:eastAsia="Calibri"/>
          <w:lang w:eastAsia="de-DE" w:bidi="de-DE"/>
        </w:rPr>
      </w:pPr>
    </w:p>
    <w:p w14:paraId="4E3CD632"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Königliches Institut für das Kunsterbe</w:t>
      </w:r>
    </w:p>
    <w:p w14:paraId="0EF21ED9" w14:textId="77777777" w:rsidR="0006371A" w:rsidRPr="00B65258" w:rsidRDefault="0006371A" w:rsidP="0006371A">
      <w:pPr>
        <w:jc w:val="both"/>
        <w:rPr>
          <w:rFonts w:eastAsia="Calibri"/>
          <w:lang w:eastAsia="de-DE" w:bidi="de-DE"/>
        </w:rPr>
      </w:pPr>
    </w:p>
    <w:p w14:paraId="799626C5"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Königliches Meteorologisches Institut von Belgien</w:t>
      </w:r>
    </w:p>
    <w:p w14:paraId="105A5FC3" w14:textId="77777777" w:rsidR="0006371A" w:rsidRPr="00B65258" w:rsidRDefault="0006371A" w:rsidP="0006371A">
      <w:pPr>
        <w:rPr>
          <w:rFonts w:eastAsia="Calibri"/>
          <w:lang w:eastAsia="de-DE" w:bidi="de-DE"/>
        </w:rPr>
      </w:pPr>
    </w:p>
    <w:p w14:paraId="7618699E" w14:textId="234C7FFB"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xml:space="preserve">- </w:t>
      </w:r>
      <w:r w:rsidR="00D352D2">
        <w:rPr>
          <w:rFonts w:eastAsia="Calibri"/>
          <w:lang w:eastAsia="de-DE" w:bidi="de-DE"/>
        </w:rPr>
        <w:t>[...]</w:t>
      </w:r>
    </w:p>
    <w:p w14:paraId="2198D1EE" w14:textId="77777777" w:rsidR="0006371A" w:rsidRPr="00B65258" w:rsidRDefault="0006371A" w:rsidP="0006371A">
      <w:pPr>
        <w:jc w:val="both"/>
        <w:rPr>
          <w:rFonts w:eastAsia="Calibri"/>
          <w:lang w:eastAsia="de-DE" w:bidi="de-DE"/>
        </w:rPr>
      </w:pPr>
    </w:p>
    <w:p w14:paraId="7EBA50ED" w14:textId="77777777" w:rsidR="0006371A" w:rsidRPr="00440C0E" w:rsidRDefault="0006371A" w:rsidP="0006371A">
      <w:pPr>
        <w:jc w:val="both"/>
        <w:rPr>
          <w:rFonts w:eastAsia="Calibri"/>
          <w:lang w:eastAsia="de-DE" w:bidi="de-DE"/>
        </w:rPr>
      </w:pPr>
      <w:r w:rsidRPr="00B65258">
        <w:rPr>
          <w:rFonts w:eastAsia="Calibri"/>
          <w:szCs w:val="22"/>
          <w:lang w:eastAsia="de-DE" w:bidi="de-DE"/>
        </w:rPr>
        <w:tab/>
      </w:r>
      <w:r w:rsidRPr="00440C0E">
        <w:rPr>
          <w:rFonts w:eastAsia="Calibri"/>
          <w:lang w:eastAsia="de-DE" w:bidi="de-DE"/>
        </w:rPr>
        <w:t>- Wissenschaftliches Institut öffentlichen Dienstes</w:t>
      </w:r>
    </w:p>
    <w:p w14:paraId="4CBFA083" w14:textId="77777777" w:rsidR="0006371A" w:rsidRPr="00440C0E" w:rsidRDefault="0006371A" w:rsidP="0006371A">
      <w:pPr>
        <w:jc w:val="both"/>
        <w:rPr>
          <w:rFonts w:eastAsia="Calibri"/>
          <w:lang w:eastAsia="de-DE" w:bidi="de-DE"/>
        </w:rPr>
      </w:pPr>
    </w:p>
    <w:p w14:paraId="6E7DAAB6" w14:textId="3ED94847" w:rsidR="0006371A" w:rsidRPr="00D352D2" w:rsidRDefault="0006371A" w:rsidP="0006371A">
      <w:pPr>
        <w:jc w:val="both"/>
        <w:rPr>
          <w:rFonts w:eastAsia="Calibri"/>
          <w:lang w:eastAsia="de-DE" w:bidi="de-DE"/>
        </w:rPr>
      </w:pPr>
      <w:r w:rsidRPr="00440C0E">
        <w:rPr>
          <w:rFonts w:eastAsia="Calibri"/>
          <w:szCs w:val="22"/>
          <w:lang w:eastAsia="de-DE" w:bidi="de-DE"/>
        </w:rPr>
        <w:tab/>
      </w:r>
      <w:r w:rsidRPr="00D352D2">
        <w:rPr>
          <w:rFonts w:eastAsia="Calibri"/>
          <w:lang w:eastAsia="de-DE" w:bidi="de-DE"/>
        </w:rPr>
        <w:t xml:space="preserve">- </w:t>
      </w:r>
      <w:r w:rsidR="00C92235" w:rsidRPr="00D352D2">
        <w:rPr>
          <w:rFonts w:eastAsia="Calibri"/>
          <w:lang w:eastAsia="de-DE" w:bidi="de-DE"/>
        </w:rPr>
        <w:t>[</w:t>
      </w:r>
      <w:r w:rsidR="00CA0AB7" w:rsidRPr="00D352D2">
        <w:t>Instituut voor Natuur- en Bosonderzoek</w:t>
      </w:r>
      <w:r w:rsidR="00C92235" w:rsidRPr="00D352D2">
        <w:rPr>
          <w:rFonts w:eastAsia="Calibri"/>
          <w:lang w:eastAsia="de-DE" w:bidi="de-DE"/>
        </w:rPr>
        <w:t>]</w:t>
      </w:r>
    </w:p>
    <w:p w14:paraId="660B0240" w14:textId="77777777" w:rsidR="0006371A" w:rsidRPr="00D352D2" w:rsidRDefault="0006371A" w:rsidP="0006371A">
      <w:pPr>
        <w:jc w:val="both"/>
        <w:rPr>
          <w:rFonts w:eastAsia="Calibri"/>
          <w:lang w:eastAsia="de-DE" w:bidi="de-DE"/>
        </w:rPr>
      </w:pPr>
    </w:p>
    <w:p w14:paraId="4F622E16" w14:textId="77777777" w:rsidR="0006371A" w:rsidRPr="00B65258" w:rsidRDefault="0006371A" w:rsidP="0006371A">
      <w:pPr>
        <w:jc w:val="both"/>
        <w:rPr>
          <w:rFonts w:eastAsia="Calibri"/>
          <w:color w:val="000000"/>
          <w:lang w:val="nl-NL" w:eastAsia="de-DE" w:bidi="de-DE"/>
        </w:rPr>
      </w:pPr>
      <w:r w:rsidRPr="00D352D2">
        <w:rPr>
          <w:rFonts w:eastAsia="Calibri"/>
          <w:szCs w:val="22"/>
          <w:lang w:eastAsia="de-DE" w:bidi="de-DE"/>
        </w:rPr>
        <w:tab/>
      </w:r>
      <w:r w:rsidRPr="00B65258">
        <w:rPr>
          <w:rFonts w:eastAsia="Calibri"/>
          <w:lang w:val="nl-NL" w:eastAsia="de-DE" w:bidi="de-DE"/>
        </w:rPr>
        <w:t>- [</w:t>
      </w:r>
      <w:r w:rsidRPr="00B65258">
        <w:rPr>
          <w:rFonts w:eastAsia="Calibri"/>
          <w:color w:val="000000"/>
          <w:lang w:val="nl-NL" w:eastAsia="de-DE" w:bidi="de-DE"/>
        </w:rPr>
        <w:t>…]</w:t>
      </w:r>
    </w:p>
    <w:p w14:paraId="048EDDDC" w14:textId="77777777" w:rsidR="0006371A" w:rsidRPr="00B65258" w:rsidRDefault="0006371A" w:rsidP="0006371A">
      <w:pPr>
        <w:jc w:val="both"/>
        <w:rPr>
          <w:rFonts w:eastAsia="Calibri"/>
          <w:lang w:val="nl-NL" w:eastAsia="de-DE" w:bidi="de-DE"/>
        </w:rPr>
      </w:pPr>
    </w:p>
    <w:p w14:paraId="77E1E88E" w14:textId="703F6FDE"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xml:space="preserve">- </w:t>
      </w:r>
      <w:r w:rsidR="00CA0AB7">
        <w:rPr>
          <w:rFonts w:eastAsia="Calibri"/>
          <w:lang w:val="nl-NL" w:eastAsia="de-DE" w:bidi="de-DE"/>
        </w:rPr>
        <w:t>[</w:t>
      </w:r>
      <w:r w:rsidR="00CA0AB7" w:rsidRPr="00F5482B">
        <w:rPr>
          <w:lang w:val="nl-NL"/>
        </w:rPr>
        <w:t>Eigen Vermogen van het Instituut voor Natuur- en Bosonderzoek</w:t>
      </w:r>
      <w:r w:rsidR="00CA0AB7">
        <w:rPr>
          <w:rFonts w:eastAsia="Calibri"/>
          <w:lang w:val="nl-NL" w:eastAsia="de-DE" w:bidi="de-DE"/>
        </w:rPr>
        <w:t>]</w:t>
      </w:r>
    </w:p>
    <w:p w14:paraId="30A39329" w14:textId="77777777" w:rsidR="0006371A" w:rsidRPr="00B65258" w:rsidRDefault="0006371A" w:rsidP="0006371A">
      <w:pPr>
        <w:jc w:val="both"/>
        <w:rPr>
          <w:rFonts w:eastAsia="Calibri"/>
          <w:lang w:val="nl-NL" w:eastAsia="de-DE" w:bidi="de-DE"/>
        </w:rPr>
      </w:pPr>
    </w:p>
    <w:p w14:paraId="0E51643D"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Instituut voor ontwikkelingsbeleid en -beheer</w:t>
      </w:r>
    </w:p>
    <w:p w14:paraId="637F318E" w14:textId="77777777" w:rsidR="0006371A" w:rsidRPr="00B65258" w:rsidRDefault="0006371A" w:rsidP="0006371A">
      <w:pPr>
        <w:jc w:val="both"/>
        <w:rPr>
          <w:rFonts w:eastAsia="Calibri"/>
          <w:lang w:val="nl-NL" w:eastAsia="de-DE" w:bidi="de-DE"/>
        </w:rPr>
      </w:pPr>
    </w:p>
    <w:p w14:paraId="219CF3AC" w14:textId="77777777" w:rsidR="0006371A" w:rsidRPr="00285271" w:rsidRDefault="0006371A" w:rsidP="0006371A">
      <w:pPr>
        <w:jc w:val="both"/>
        <w:rPr>
          <w:rFonts w:eastAsia="Calibri"/>
          <w:lang w:val="nl-BE" w:eastAsia="de-DE" w:bidi="de-DE"/>
        </w:rPr>
      </w:pPr>
      <w:r w:rsidRPr="00B65258">
        <w:rPr>
          <w:rFonts w:eastAsia="Calibri"/>
          <w:szCs w:val="22"/>
          <w:lang w:val="nl-NL" w:eastAsia="de-DE" w:bidi="de-DE"/>
        </w:rPr>
        <w:tab/>
      </w:r>
      <w:r w:rsidRPr="00285271">
        <w:rPr>
          <w:rFonts w:eastAsia="Calibri"/>
          <w:lang w:val="nl-BE" w:eastAsia="de-DE" w:bidi="de-DE"/>
        </w:rPr>
        <w:t>- International Institute of Cellular and Molecular Pathology-AIBS</w:t>
      </w:r>
    </w:p>
    <w:p w14:paraId="1D3CD438" w14:textId="77777777" w:rsidR="0006371A" w:rsidRPr="00285271" w:rsidRDefault="0006371A" w:rsidP="0006371A">
      <w:pPr>
        <w:jc w:val="both"/>
        <w:rPr>
          <w:rFonts w:eastAsia="Calibri"/>
          <w:lang w:val="nl-BE" w:eastAsia="de-DE" w:bidi="de-DE"/>
        </w:rPr>
      </w:pPr>
    </w:p>
    <w:p w14:paraId="41A62DCD" w14:textId="77777777" w:rsidR="0006371A" w:rsidRPr="00B65258" w:rsidRDefault="0006371A" w:rsidP="0006371A">
      <w:pPr>
        <w:jc w:val="both"/>
        <w:rPr>
          <w:rFonts w:eastAsia="Calibri"/>
          <w:lang w:val="nl-NL" w:eastAsia="de-DE" w:bidi="de-DE"/>
        </w:rPr>
      </w:pPr>
      <w:r w:rsidRPr="00285271">
        <w:rPr>
          <w:rFonts w:eastAsia="Calibri"/>
          <w:szCs w:val="22"/>
          <w:lang w:val="nl-BE" w:eastAsia="de-DE" w:bidi="de-DE"/>
        </w:rPr>
        <w:tab/>
      </w:r>
      <w:r w:rsidRPr="00B65258">
        <w:rPr>
          <w:rFonts w:eastAsia="Calibri"/>
          <w:lang w:val="nl-NL" w:eastAsia="de-DE" w:bidi="de-DE"/>
        </w:rPr>
        <w:t>- Interuniversitair Centrum voor Micro-Electronica</w:t>
      </w:r>
    </w:p>
    <w:p w14:paraId="1F37F9ED" w14:textId="77777777" w:rsidR="0006371A" w:rsidRPr="00B65258" w:rsidRDefault="0006371A" w:rsidP="0006371A">
      <w:pPr>
        <w:jc w:val="both"/>
        <w:rPr>
          <w:rFonts w:eastAsia="Calibri"/>
          <w:lang w:val="nl-NL" w:eastAsia="de-DE" w:bidi="de-DE"/>
        </w:rPr>
      </w:pPr>
    </w:p>
    <w:p w14:paraId="417BB484"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Nationaler botanischer Garten von Belgien</w:t>
      </w:r>
    </w:p>
    <w:p w14:paraId="41C9075E" w14:textId="77777777" w:rsidR="0006371A" w:rsidRPr="00B65258" w:rsidRDefault="0006371A" w:rsidP="0006371A">
      <w:pPr>
        <w:jc w:val="both"/>
        <w:rPr>
          <w:rFonts w:eastAsia="Calibri"/>
          <w:lang w:val="nl-NL" w:eastAsia="de-DE" w:bidi="de-DE"/>
        </w:rPr>
      </w:pPr>
    </w:p>
    <w:p w14:paraId="582C6BB3"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Koninklijk Museum voor Schone Kunsten Antwerpen</w:t>
      </w:r>
    </w:p>
    <w:p w14:paraId="3B2CA7F7" w14:textId="77777777" w:rsidR="0006371A" w:rsidRPr="00B65258" w:rsidRDefault="0006371A" w:rsidP="0006371A">
      <w:pPr>
        <w:jc w:val="both"/>
        <w:rPr>
          <w:rFonts w:eastAsia="Calibri"/>
          <w:lang w:val="nl-NL" w:eastAsia="de-DE" w:bidi="de-DE"/>
        </w:rPr>
      </w:pPr>
    </w:p>
    <w:p w14:paraId="3B3484D3"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Koninklijk Maatschappij voor Dierkunde</w:t>
      </w:r>
    </w:p>
    <w:p w14:paraId="68D8612D" w14:textId="77777777" w:rsidR="0006371A" w:rsidRPr="00B65258" w:rsidRDefault="0006371A" w:rsidP="0006371A">
      <w:pPr>
        <w:jc w:val="both"/>
        <w:rPr>
          <w:rFonts w:eastAsia="Calibri"/>
          <w:lang w:val="nl-NL" w:eastAsia="de-DE" w:bidi="de-DE"/>
        </w:rPr>
      </w:pPr>
    </w:p>
    <w:p w14:paraId="5014E2F9" w14:textId="77777777" w:rsidR="0006371A" w:rsidRPr="00FA57C5" w:rsidRDefault="0006371A" w:rsidP="0006371A">
      <w:pPr>
        <w:jc w:val="both"/>
        <w:rPr>
          <w:rFonts w:eastAsia="Calibri"/>
          <w:lang w:eastAsia="de-DE" w:bidi="de-DE"/>
        </w:rPr>
      </w:pPr>
      <w:r w:rsidRPr="00B65258">
        <w:rPr>
          <w:rFonts w:eastAsia="Calibri"/>
          <w:szCs w:val="22"/>
          <w:lang w:val="nl-NL" w:eastAsia="de-DE" w:bidi="de-DE"/>
        </w:rPr>
        <w:tab/>
      </w:r>
      <w:r w:rsidRPr="00FA57C5">
        <w:rPr>
          <w:rFonts w:eastAsia="Calibri"/>
          <w:lang w:eastAsia="de-DE" w:bidi="de-DE"/>
        </w:rPr>
        <w:t>- Langzaam Verkeer</w:t>
      </w:r>
    </w:p>
    <w:p w14:paraId="4C544C50" w14:textId="77777777" w:rsidR="0006371A" w:rsidRPr="00FA57C5" w:rsidRDefault="0006371A" w:rsidP="0006371A">
      <w:pPr>
        <w:jc w:val="both"/>
        <w:rPr>
          <w:rFonts w:eastAsia="Calibri"/>
          <w:lang w:eastAsia="de-DE" w:bidi="de-DE"/>
        </w:rPr>
      </w:pPr>
    </w:p>
    <w:p w14:paraId="59007B71" w14:textId="77777777" w:rsidR="0006371A" w:rsidRPr="00B65258" w:rsidRDefault="0006371A" w:rsidP="0006371A">
      <w:pPr>
        <w:jc w:val="both"/>
        <w:rPr>
          <w:rFonts w:eastAsia="Calibri"/>
          <w:lang w:eastAsia="de-DE" w:bidi="de-DE"/>
        </w:rPr>
      </w:pPr>
      <w:r w:rsidRPr="00FA57C5">
        <w:rPr>
          <w:rFonts w:eastAsia="Calibri"/>
          <w:szCs w:val="22"/>
          <w:lang w:eastAsia="de-DE" w:bidi="de-DE"/>
        </w:rPr>
        <w:tab/>
      </w:r>
      <w:r w:rsidRPr="00B65258">
        <w:rPr>
          <w:rFonts w:eastAsia="Calibri"/>
          <w:lang w:eastAsia="de-DE" w:bidi="de-DE"/>
        </w:rPr>
        <w:t>- Königliches Museum für Zentralafrika</w:t>
      </w:r>
    </w:p>
    <w:p w14:paraId="028C8ADA" w14:textId="77777777" w:rsidR="0006371A" w:rsidRPr="00B65258" w:rsidRDefault="0006371A" w:rsidP="0006371A">
      <w:pPr>
        <w:jc w:val="both"/>
        <w:rPr>
          <w:rFonts w:eastAsia="Calibri"/>
          <w:lang w:eastAsia="de-DE" w:bidi="de-DE"/>
        </w:rPr>
      </w:pPr>
    </w:p>
    <w:p w14:paraId="64B776C7"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Königliches Museum der Armee und der Kriegsgeschichte</w:t>
      </w:r>
    </w:p>
    <w:p w14:paraId="6D54A93A" w14:textId="77777777" w:rsidR="0006371A" w:rsidRPr="00B65258" w:rsidRDefault="0006371A" w:rsidP="0006371A">
      <w:pPr>
        <w:jc w:val="both"/>
        <w:rPr>
          <w:rFonts w:eastAsia="Calibri"/>
          <w:lang w:eastAsia="de-DE" w:bidi="de-DE"/>
        </w:rPr>
      </w:pPr>
    </w:p>
    <w:p w14:paraId="63ED0D5B"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Musée royal de Mariemont</w:t>
      </w:r>
    </w:p>
    <w:p w14:paraId="18263C7E" w14:textId="77777777" w:rsidR="0006371A" w:rsidRPr="00B65258" w:rsidRDefault="0006371A" w:rsidP="0006371A">
      <w:pPr>
        <w:jc w:val="both"/>
        <w:rPr>
          <w:rFonts w:eastAsia="Calibri"/>
          <w:lang w:eastAsia="de-DE" w:bidi="de-DE"/>
        </w:rPr>
      </w:pPr>
    </w:p>
    <w:p w14:paraId="0DEB7ED9"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Königliche Museen für Kunst und Geschichte</w:t>
      </w:r>
    </w:p>
    <w:p w14:paraId="1E6E12D7" w14:textId="77777777" w:rsidR="0006371A" w:rsidRPr="00B65258" w:rsidRDefault="0006371A" w:rsidP="0006371A">
      <w:pPr>
        <w:jc w:val="both"/>
        <w:rPr>
          <w:rFonts w:eastAsia="Calibri"/>
          <w:lang w:eastAsia="de-DE" w:bidi="de-DE"/>
        </w:rPr>
      </w:pPr>
    </w:p>
    <w:p w14:paraId="7FD58AEF"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Königliche Museen der Schönen Künste von Belgien</w:t>
      </w:r>
    </w:p>
    <w:p w14:paraId="3E3FE1F1" w14:textId="77777777" w:rsidR="0006371A" w:rsidRPr="00B65258" w:rsidRDefault="0006371A" w:rsidP="0006371A">
      <w:pPr>
        <w:jc w:val="both"/>
        <w:rPr>
          <w:rFonts w:eastAsia="Calibri"/>
          <w:lang w:eastAsia="de-DE" w:bidi="de-DE"/>
        </w:rPr>
      </w:pPr>
    </w:p>
    <w:p w14:paraId="33CBC2C7"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Königliches Observatorium von Belgien</w:t>
      </w:r>
    </w:p>
    <w:p w14:paraId="2AFC192C" w14:textId="77777777" w:rsidR="0006371A" w:rsidRPr="00B65258" w:rsidRDefault="0006371A" w:rsidP="0006371A">
      <w:pPr>
        <w:jc w:val="both"/>
        <w:rPr>
          <w:rFonts w:eastAsia="Calibri"/>
          <w:lang w:eastAsia="de-DE" w:bidi="de-DE"/>
        </w:rPr>
      </w:pPr>
    </w:p>
    <w:p w14:paraId="245E6E66"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Nationale Einrichtung für Radioaktive Abfälle und Angereicherte Spaltmaterialien</w:t>
      </w:r>
    </w:p>
    <w:p w14:paraId="55BE087C" w14:textId="77777777" w:rsidR="0006371A" w:rsidRPr="00B65258" w:rsidRDefault="0006371A" w:rsidP="0006371A">
      <w:pPr>
        <w:jc w:val="both"/>
        <w:rPr>
          <w:rFonts w:eastAsia="Calibri"/>
          <w:lang w:eastAsia="de-DE" w:bidi="de-DE"/>
        </w:rPr>
      </w:pPr>
    </w:p>
    <w:p w14:paraId="7658572F"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Prinz-Leopold-Institut für Tropenmedizin Antwerpen</w:t>
      </w:r>
    </w:p>
    <w:p w14:paraId="3615939F" w14:textId="77777777" w:rsidR="0006371A" w:rsidRPr="00B65258" w:rsidRDefault="0006371A" w:rsidP="0006371A">
      <w:pPr>
        <w:jc w:val="both"/>
        <w:rPr>
          <w:rFonts w:eastAsia="Calibri"/>
          <w:lang w:eastAsia="de-DE" w:bidi="de-DE"/>
        </w:rPr>
      </w:pPr>
    </w:p>
    <w:p w14:paraId="74CD03D0" w14:textId="77777777" w:rsidR="0006371A" w:rsidRPr="00B65258" w:rsidRDefault="0006371A" w:rsidP="0006371A">
      <w:pPr>
        <w:jc w:val="both"/>
        <w:rPr>
          <w:rFonts w:eastAsia="Calibri"/>
          <w:lang w:val="nl-NL" w:eastAsia="de-DE" w:bidi="de-DE"/>
        </w:rPr>
      </w:pPr>
      <w:r w:rsidRPr="00B65258">
        <w:rPr>
          <w:rFonts w:eastAsia="Calibri"/>
          <w:szCs w:val="22"/>
          <w:lang w:eastAsia="de-DE" w:bidi="de-DE"/>
        </w:rPr>
        <w:tab/>
      </w:r>
      <w:r w:rsidRPr="00B65258">
        <w:rPr>
          <w:rFonts w:eastAsia="Calibri"/>
          <w:lang w:val="nl-NL" w:eastAsia="de-DE" w:bidi="de-DE"/>
        </w:rPr>
        <w:t>- Provinciaal Centrum voor Opsporing van Metabole aandoeningen</w:t>
      </w:r>
    </w:p>
    <w:p w14:paraId="78184695" w14:textId="77777777" w:rsidR="0006371A" w:rsidRPr="00B65258" w:rsidRDefault="0006371A" w:rsidP="0006371A">
      <w:pPr>
        <w:jc w:val="both"/>
        <w:rPr>
          <w:rFonts w:eastAsia="Calibri"/>
          <w:lang w:val="nl-NL" w:eastAsia="de-DE" w:bidi="de-DE"/>
        </w:rPr>
      </w:pPr>
    </w:p>
    <w:p w14:paraId="5658C46E"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lastRenderedPageBreak/>
        <w:tab/>
      </w:r>
      <w:r w:rsidRPr="00B65258">
        <w:rPr>
          <w:rFonts w:eastAsia="Calibri"/>
          <w:lang w:val="nl-NL" w:eastAsia="de-DE" w:bidi="de-DE"/>
        </w:rPr>
        <w:t>- Provinciale Dienst voor Land- en Tuinbouw</w:t>
      </w:r>
    </w:p>
    <w:p w14:paraId="26748502" w14:textId="5FE484EB" w:rsidR="0006371A" w:rsidRPr="00B65258" w:rsidRDefault="0006371A" w:rsidP="0006371A">
      <w:pPr>
        <w:rPr>
          <w:rFonts w:eastAsia="Calibri"/>
          <w:lang w:val="nl-NL" w:eastAsia="de-DE" w:bidi="de-DE"/>
        </w:rPr>
      </w:pPr>
    </w:p>
    <w:p w14:paraId="5F1F576B"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xml:space="preserve">- Waldforschungsstation </w:t>
      </w:r>
    </w:p>
    <w:p w14:paraId="50699ED4" w14:textId="77777777" w:rsidR="0006371A" w:rsidRPr="00B65258" w:rsidRDefault="0006371A" w:rsidP="0006371A">
      <w:pPr>
        <w:jc w:val="both"/>
        <w:rPr>
          <w:rFonts w:eastAsia="Calibri"/>
          <w:lang w:val="nl-NL" w:eastAsia="de-DE" w:bidi="de-DE"/>
        </w:rPr>
      </w:pPr>
    </w:p>
    <w:p w14:paraId="7EFF07A0"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Stichting Technologie Vlaanderen</w:t>
      </w:r>
    </w:p>
    <w:p w14:paraId="18D47273" w14:textId="77777777" w:rsidR="0006371A" w:rsidRPr="00B65258" w:rsidRDefault="0006371A" w:rsidP="0006371A">
      <w:pPr>
        <w:jc w:val="both"/>
        <w:rPr>
          <w:rFonts w:eastAsia="Calibri"/>
          <w:lang w:val="nl-NL" w:eastAsia="de-DE" w:bidi="de-DE"/>
        </w:rPr>
      </w:pPr>
    </w:p>
    <w:p w14:paraId="293759DB"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Vlaams Interuniversitair Instituut voor Biotechnologie</w:t>
      </w:r>
    </w:p>
    <w:p w14:paraId="4B7EE340" w14:textId="77777777" w:rsidR="0006371A" w:rsidRPr="00B65258" w:rsidRDefault="0006371A" w:rsidP="0006371A">
      <w:pPr>
        <w:jc w:val="both"/>
        <w:rPr>
          <w:rFonts w:eastAsia="Calibri"/>
          <w:lang w:val="nl-NL" w:eastAsia="de-DE" w:bidi="de-DE"/>
        </w:rPr>
      </w:pPr>
    </w:p>
    <w:p w14:paraId="5DE0ED08"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Vlaamse Compostorganisatie</w:t>
      </w:r>
    </w:p>
    <w:p w14:paraId="18F2437F" w14:textId="77777777" w:rsidR="0006371A" w:rsidRPr="00B65258" w:rsidRDefault="0006371A" w:rsidP="0006371A">
      <w:pPr>
        <w:jc w:val="both"/>
        <w:rPr>
          <w:rFonts w:eastAsia="Calibri"/>
          <w:lang w:val="nl-NL" w:eastAsia="de-DE" w:bidi="de-DE"/>
        </w:rPr>
      </w:pPr>
    </w:p>
    <w:p w14:paraId="21140EB8"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Vlaamse Instelling voor Technologisch Onderzoek</w:t>
      </w:r>
    </w:p>
    <w:p w14:paraId="1985696F" w14:textId="77777777" w:rsidR="0006371A" w:rsidRPr="00B65258" w:rsidRDefault="0006371A" w:rsidP="0006371A">
      <w:pPr>
        <w:jc w:val="both"/>
        <w:rPr>
          <w:rFonts w:eastAsia="Calibri"/>
          <w:lang w:val="nl-NL" w:eastAsia="de-DE" w:bidi="de-DE"/>
        </w:rPr>
      </w:pPr>
    </w:p>
    <w:p w14:paraId="2E2A90D5" w14:textId="77777777" w:rsidR="0006371A" w:rsidRPr="00B65258" w:rsidRDefault="0006371A" w:rsidP="0006371A">
      <w:pPr>
        <w:jc w:val="both"/>
        <w:rPr>
          <w:rFonts w:eastAsia="Calibri"/>
          <w:lang w:eastAsia="de-DE" w:bidi="de-DE"/>
        </w:rPr>
      </w:pPr>
      <w:r w:rsidRPr="00B65258">
        <w:rPr>
          <w:rFonts w:eastAsia="Calibri"/>
          <w:szCs w:val="22"/>
          <w:lang w:val="nl-NL" w:eastAsia="de-DE" w:bidi="de-DE"/>
        </w:rPr>
        <w:tab/>
      </w:r>
      <w:r w:rsidRPr="00B65258">
        <w:rPr>
          <w:rFonts w:eastAsia="Calibri"/>
          <w:lang w:eastAsia="de-DE" w:bidi="de-DE"/>
        </w:rPr>
        <w:t>- Von Karman Institute for Fluid Dynamics</w:t>
      </w:r>
    </w:p>
    <w:p w14:paraId="3202F620" w14:textId="77777777" w:rsidR="0006371A" w:rsidRPr="00B65258" w:rsidRDefault="0006371A" w:rsidP="0006371A">
      <w:pPr>
        <w:jc w:val="both"/>
        <w:rPr>
          <w:rFonts w:eastAsia="Calibri"/>
          <w:lang w:eastAsia="de-DE" w:bidi="de-DE"/>
        </w:rPr>
      </w:pPr>
    </w:p>
    <w:p w14:paraId="36A8ECB0"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Zentrum für Metallforschung</w:t>
      </w:r>
    </w:p>
    <w:p w14:paraId="098CE539" w14:textId="77777777" w:rsidR="0006371A" w:rsidRPr="00B65258" w:rsidRDefault="0006371A" w:rsidP="0006371A">
      <w:pPr>
        <w:jc w:val="both"/>
        <w:rPr>
          <w:rFonts w:eastAsia="Calibri"/>
          <w:lang w:eastAsia="de-DE" w:bidi="de-DE"/>
        </w:rPr>
      </w:pPr>
    </w:p>
    <w:p w14:paraId="7D42618B"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Forschungszentrum für Beschichtungen, Farben und Tinten</w:t>
      </w:r>
    </w:p>
    <w:p w14:paraId="76A50748" w14:textId="77777777" w:rsidR="0006371A" w:rsidRPr="00B65258" w:rsidRDefault="0006371A" w:rsidP="0006371A">
      <w:pPr>
        <w:jc w:val="both"/>
        <w:rPr>
          <w:rFonts w:eastAsia="Calibri"/>
          <w:lang w:eastAsia="de-DE" w:bidi="de-DE"/>
        </w:rPr>
      </w:pPr>
    </w:p>
    <w:p w14:paraId="341543AD"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Belgisches Institut für Schweißtechnik</w:t>
      </w:r>
    </w:p>
    <w:p w14:paraId="2ED21AB1" w14:textId="77777777" w:rsidR="0006371A" w:rsidRPr="00B65258" w:rsidRDefault="0006371A" w:rsidP="0006371A">
      <w:pPr>
        <w:jc w:val="both"/>
        <w:rPr>
          <w:rFonts w:eastAsia="Calibri"/>
          <w:lang w:eastAsia="de-DE" w:bidi="de-DE"/>
        </w:rPr>
      </w:pPr>
    </w:p>
    <w:p w14:paraId="4D56BFC8"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Meurice R &amp; D VoG</w:t>
      </w:r>
    </w:p>
    <w:p w14:paraId="14084070" w14:textId="77777777" w:rsidR="0006371A" w:rsidRPr="00B65258" w:rsidRDefault="0006371A" w:rsidP="0006371A">
      <w:pPr>
        <w:jc w:val="both"/>
        <w:rPr>
          <w:rFonts w:eastAsia="Calibri"/>
          <w:lang w:eastAsia="de-DE" w:bidi="de-DE"/>
        </w:rPr>
      </w:pPr>
    </w:p>
    <w:p w14:paraId="1B9CC7EE" w14:textId="77777777" w:rsidR="0006371A" w:rsidRPr="00B65258" w:rsidRDefault="0006371A" w:rsidP="0006371A">
      <w:pPr>
        <w:jc w:val="both"/>
        <w:rPr>
          <w:rFonts w:eastAsia="Calibri"/>
          <w:b/>
          <w:i/>
          <w:lang w:eastAsia="de-DE" w:bidi="de-DE"/>
        </w:rPr>
      </w:pPr>
      <w:r w:rsidRPr="00B65258">
        <w:rPr>
          <w:rFonts w:eastAsia="Calibri"/>
          <w:szCs w:val="22"/>
          <w:lang w:eastAsia="de-DE" w:bidi="de-DE"/>
        </w:rPr>
        <w:tab/>
      </w:r>
      <w:r w:rsidRPr="00B65258">
        <w:rPr>
          <w:rFonts w:eastAsia="Calibri"/>
          <w:b/>
          <w:i/>
          <w:lang w:eastAsia="de-DE" w:bidi="de-DE"/>
        </w:rPr>
        <w:t>Zulassung ab 1. Januar 2006:</w:t>
      </w:r>
    </w:p>
    <w:p w14:paraId="68AEB4A0" w14:textId="77777777" w:rsidR="0006371A" w:rsidRPr="00B65258" w:rsidRDefault="0006371A" w:rsidP="0006371A">
      <w:pPr>
        <w:jc w:val="both"/>
        <w:rPr>
          <w:rFonts w:eastAsia="Calibri"/>
          <w:lang w:eastAsia="de-DE" w:bidi="de-DE"/>
        </w:rPr>
      </w:pPr>
    </w:p>
    <w:p w14:paraId="11543CB0"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Agro Food Valley</w:t>
      </w:r>
    </w:p>
    <w:p w14:paraId="67A8E841" w14:textId="77777777" w:rsidR="0006371A" w:rsidRPr="00B65258" w:rsidRDefault="0006371A" w:rsidP="0006371A">
      <w:pPr>
        <w:jc w:val="both"/>
        <w:rPr>
          <w:rFonts w:eastAsia="Calibri"/>
          <w:lang w:eastAsia="de-DE" w:bidi="de-DE"/>
        </w:rPr>
      </w:pPr>
    </w:p>
    <w:p w14:paraId="55E2E7EB"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Studien- und Dokumentationszentrum für Umwelt (CEBEDEAU)</w:t>
      </w:r>
    </w:p>
    <w:p w14:paraId="7CE80832" w14:textId="77777777" w:rsidR="0006371A" w:rsidRPr="00B65258" w:rsidRDefault="0006371A" w:rsidP="0006371A">
      <w:pPr>
        <w:jc w:val="both"/>
        <w:rPr>
          <w:rFonts w:eastAsia="Calibri"/>
          <w:lang w:eastAsia="de-DE" w:bidi="de-DE"/>
        </w:rPr>
      </w:pPr>
    </w:p>
    <w:p w14:paraId="6C8F6098"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Wallonisches Studienzentrum für Montage und Werkstoffprüfung (CEWAC)</w:t>
      </w:r>
    </w:p>
    <w:p w14:paraId="53799FED" w14:textId="77777777" w:rsidR="0006371A" w:rsidRPr="00B65258" w:rsidRDefault="0006371A" w:rsidP="0006371A">
      <w:pPr>
        <w:jc w:val="both"/>
        <w:rPr>
          <w:rFonts w:eastAsia="Calibri"/>
          <w:lang w:eastAsia="de-DE" w:bidi="de-DE"/>
        </w:rPr>
      </w:pPr>
    </w:p>
    <w:p w14:paraId="7BF938E9"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Exzellenzzentrum für Informations- und Kommunikationstechnologie (CETIC)</w:t>
      </w:r>
    </w:p>
    <w:p w14:paraId="23093F7A" w14:textId="77777777" w:rsidR="0006371A" w:rsidRPr="00B65258" w:rsidRDefault="0006371A" w:rsidP="0006371A">
      <w:pPr>
        <w:jc w:val="both"/>
        <w:rPr>
          <w:rFonts w:eastAsia="Calibri"/>
          <w:lang w:eastAsia="de-DE" w:bidi="de-DE"/>
        </w:rPr>
      </w:pPr>
    </w:p>
    <w:p w14:paraId="34D4F679"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Luftfahrtforschungszentrum (CENAERO)</w:t>
      </w:r>
    </w:p>
    <w:p w14:paraId="690060E9" w14:textId="77777777" w:rsidR="0006371A" w:rsidRPr="00B65258" w:rsidRDefault="0006371A" w:rsidP="0006371A">
      <w:pPr>
        <w:jc w:val="both"/>
        <w:rPr>
          <w:rFonts w:eastAsia="Calibri"/>
          <w:lang w:eastAsia="de-DE" w:bidi="de-DE"/>
        </w:rPr>
      </w:pPr>
    </w:p>
    <w:p w14:paraId="4E92CC7F"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Zentrum für Forschung im Bereich Schutz der Gesellschaft</w:t>
      </w:r>
    </w:p>
    <w:p w14:paraId="70BBF5A8" w14:textId="77777777" w:rsidR="0006371A" w:rsidRPr="00B65258" w:rsidRDefault="0006371A" w:rsidP="0006371A">
      <w:pPr>
        <w:jc w:val="both"/>
        <w:rPr>
          <w:rFonts w:eastAsia="Calibri"/>
          <w:lang w:eastAsia="de-DE" w:bidi="de-DE"/>
        </w:rPr>
      </w:pPr>
    </w:p>
    <w:p w14:paraId="75CC1FD8"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Zentrum für Forschung und Prüfung in den Bereichen Textilien, Umwelt, Lebensmitteltechnologie und Papiererzeugnisse (CELABOR)</w:t>
      </w:r>
    </w:p>
    <w:p w14:paraId="32EE9E60" w14:textId="77777777" w:rsidR="0006371A" w:rsidRPr="00B65258" w:rsidRDefault="0006371A" w:rsidP="0006371A">
      <w:pPr>
        <w:jc w:val="both"/>
        <w:rPr>
          <w:rFonts w:eastAsia="Calibri"/>
          <w:lang w:eastAsia="de-DE" w:bidi="de-DE"/>
        </w:rPr>
      </w:pPr>
    </w:p>
    <w:p w14:paraId="073E9AED"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Zentrum für technologische Ressourcen im Bereich Chemie (CERTECH)</w:t>
      </w:r>
    </w:p>
    <w:p w14:paraId="07CA259B" w14:textId="77777777" w:rsidR="0006371A" w:rsidRPr="00B65258" w:rsidRDefault="0006371A" w:rsidP="0006371A">
      <w:pPr>
        <w:jc w:val="both"/>
        <w:rPr>
          <w:rFonts w:eastAsia="Calibri"/>
          <w:lang w:eastAsia="de-DE" w:bidi="de-DE"/>
        </w:rPr>
      </w:pPr>
    </w:p>
    <w:p w14:paraId="711164ED"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Technologisches Zentrum für Boden und Stein</w:t>
      </w:r>
    </w:p>
    <w:p w14:paraId="4359CC16" w14:textId="77777777" w:rsidR="0006371A" w:rsidRPr="00B65258" w:rsidRDefault="0006371A" w:rsidP="0006371A">
      <w:pPr>
        <w:jc w:val="both"/>
        <w:rPr>
          <w:rFonts w:eastAsia="Calibri"/>
          <w:lang w:eastAsia="de-DE" w:bidi="de-DE"/>
        </w:rPr>
      </w:pPr>
    </w:p>
    <w:p w14:paraId="66F748B9" w14:textId="77777777" w:rsidR="0006371A" w:rsidRPr="00B65258" w:rsidRDefault="0006371A" w:rsidP="0006371A">
      <w:pPr>
        <w:jc w:val="both"/>
        <w:rPr>
          <w:rFonts w:eastAsia="Calibri"/>
          <w:lang w:val="en-US" w:eastAsia="de-DE" w:bidi="de-DE"/>
        </w:rPr>
      </w:pPr>
      <w:r w:rsidRPr="00B65258">
        <w:rPr>
          <w:rFonts w:eastAsia="Calibri"/>
          <w:szCs w:val="22"/>
          <w:lang w:eastAsia="de-DE" w:bidi="de-DE"/>
        </w:rPr>
        <w:tab/>
      </w:r>
      <w:r w:rsidRPr="00B65258">
        <w:rPr>
          <w:rFonts w:eastAsia="Calibri"/>
          <w:lang w:val="en-US" w:eastAsia="de-DE" w:bidi="de-DE"/>
        </w:rPr>
        <w:t>- College of Europe</w:t>
      </w:r>
    </w:p>
    <w:p w14:paraId="37ADCE27" w14:textId="77777777" w:rsidR="0006371A" w:rsidRPr="00B65258" w:rsidRDefault="0006371A" w:rsidP="0006371A">
      <w:pPr>
        <w:jc w:val="both"/>
        <w:rPr>
          <w:rFonts w:eastAsia="Calibri"/>
          <w:lang w:val="en-US" w:eastAsia="de-DE" w:bidi="de-DE"/>
        </w:rPr>
      </w:pPr>
    </w:p>
    <w:p w14:paraId="21CA8C0E" w14:textId="77777777" w:rsidR="0006371A" w:rsidRPr="00B65258" w:rsidRDefault="0006371A" w:rsidP="0006371A">
      <w:pPr>
        <w:jc w:val="both"/>
        <w:rPr>
          <w:rFonts w:eastAsia="Calibri"/>
          <w:lang w:val="en-US" w:eastAsia="de-DE" w:bidi="de-DE"/>
        </w:rPr>
      </w:pPr>
      <w:r w:rsidRPr="00B65258">
        <w:rPr>
          <w:rFonts w:eastAsia="Calibri"/>
          <w:szCs w:val="22"/>
          <w:lang w:val="en-US" w:eastAsia="de-DE" w:bidi="de-DE"/>
        </w:rPr>
        <w:tab/>
      </w:r>
      <w:r w:rsidRPr="00B65258">
        <w:rPr>
          <w:rFonts w:eastAsia="Calibri"/>
          <w:lang w:val="en-US" w:eastAsia="de-DE" w:bidi="de-DE"/>
        </w:rPr>
        <w:t>- D. Collen Research Foundation</w:t>
      </w:r>
    </w:p>
    <w:p w14:paraId="726BBF69" w14:textId="77777777" w:rsidR="0006371A" w:rsidRPr="00B65258" w:rsidRDefault="0006371A" w:rsidP="0006371A">
      <w:pPr>
        <w:jc w:val="both"/>
        <w:rPr>
          <w:rFonts w:eastAsia="Calibri"/>
          <w:lang w:val="en-US" w:eastAsia="de-DE" w:bidi="de-DE"/>
        </w:rPr>
      </w:pPr>
    </w:p>
    <w:p w14:paraId="2A9B268B" w14:textId="77777777" w:rsidR="0006371A" w:rsidRPr="009766DB" w:rsidRDefault="0006371A" w:rsidP="0006371A">
      <w:pPr>
        <w:jc w:val="both"/>
        <w:rPr>
          <w:rFonts w:eastAsia="Calibri"/>
          <w:lang w:val="en-US" w:eastAsia="de-DE" w:bidi="de-DE"/>
        </w:rPr>
      </w:pPr>
      <w:r w:rsidRPr="00B65258">
        <w:rPr>
          <w:rFonts w:eastAsia="Calibri"/>
          <w:szCs w:val="22"/>
          <w:lang w:val="en-US" w:eastAsia="de-DE" w:bidi="de-DE"/>
        </w:rPr>
        <w:tab/>
      </w:r>
      <w:r w:rsidRPr="009766DB">
        <w:rPr>
          <w:rFonts w:eastAsia="Calibri"/>
          <w:lang w:val="en-US" w:eastAsia="de-DE" w:bidi="de-DE"/>
        </w:rPr>
        <w:t>- Flanders Drive</w:t>
      </w:r>
    </w:p>
    <w:p w14:paraId="1D225EAA" w14:textId="77777777" w:rsidR="0006371A" w:rsidRPr="009766DB" w:rsidRDefault="0006371A" w:rsidP="0006371A">
      <w:pPr>
        <w:jc w:val="both"/>
        <w:rPr>
          <w:rFonts w:eastAsia="Calibri"/>
          <w:lang w:val="en-US" w:eastAsia="de-DE" w:bidi="de-DE"/>
        </w:rPr>
      </w:pPr>
    </w:p>
    <w:p w14:paraId="08F1DDB3" w14:textId="5CCC1A1D" w:rsidR="0006371A" w:rsidRPr="009766DB" w:rsidRDefault="0006371A" w:rsidP="00CA0AB7">
      <w:pPr>
        <w:jc w:val="both"/>
        <w:rPr>
          <w:rFonts w:eastAsia="Calibri"/>
          <w:lang w:val="en-US" w:eastAsia="de-DE" w:bidi="de-DE"/>
        </w:rPr>
      </w:pPr>
      <w:r w:rsidRPr="009766DB">
        <w:rPr>
          <w:rFonts w:eastAsia="Calibri"/>
          <w:szCs w:val="22"/>
          <w:lang w:val="en-US" w:eastAsia="de-DE" w:bidi="de-DE"/>
        </w:rPr>
        <w:tab/>
      </w:r>
      <w:r w:rsidRPr="009766DB">
        <w:rPr>
          <w:rFonts w:eastAsia="Calibri"/>
          <w:lang w:val="en-US" w:eastAsia="de-DE" w:bidi="de-DE"/>
        </w:rPr>
        <w:t>- Flanders Material Centre (Flamac)</w:t>
      </w:r>
      <w:r w:rsidRPr="009766DB">
        <w:rPr>
          <w:rFonts w:eastAsia="Calibri"/>
          <w:lang w:val="en-US" w:eastAsia="de-DE" w:bidi="de-DE"/>
        </w:rPr>
        <w:br w:type="page"/>
      </w:r>
    </w:p>
    <w:p w14:paraId="41D2C8FC" w14:textId="77777777" w:rsidR="0006371A" w:rsidRPr="009766DB" w:rsidRDefault="0006371A" w:rsidP="0006371A">
      <w:pPr>
        <w:jc w:val="both"/>
        <w:rPr>
          <w:rFonts w:eastAsia="Calibri"/>
          <w:lang w:val="en-US" w:eastAsia="de-DE" w:bidi="de-DE"/>
        </w:rPr>
      </w:pPr>
      <w:r w:rsidRPr="009766DB">
        <w:rPr>
          <w:rFonts w:eastAsia="Calibri"/>
          <w:szCs w:val="22"/>
          <w:lang w:val="en-US" w:eastAsia="de-DE" w:bidi="de-DE"/>
        </w:rPr>
        <w:lastRenderedPageBreak/>
        <w:tab/>
      </w:r>
      <w:r w:rsidRPr="009766DB">
        <w:rPr>
          <w:rFonts w:eastAsia="Calibri"/>
          <w:lang w:val="en-US" w:eastAsia="de-DE" w:bidi="de-DE"/>
        </w:rPr>
        <w:t>- Flanders' Mechatronics Technology Centre</w:t>
      </w:r>
    </w:p>
    <w:p w14:paraId="4E7544C9" w14:textId="77777777" w:rsidR="0006371A" w:rsidRPr="009766DB" w:rsidRDefault="0006371A" w:rsidP="0006371A">
      <w:pPr>
        <w:jc w:val="both"/>
        <w:rPr>
          <w:rFonts w:eastAsia="Calibri"/>
          <w:lang w:val="en-US" w:eastAsia="de-DE" w:bidi="de-DE"/>
        </w:rPr>
      </w:pPr>
    </w:p>
    <w:p w14:paraId="03DCB9AD" w14:textId="77777777" w:rsidR="0006371A" w:rsidRPr="009766DB" w:rsidRDefault="0006371A" w:rsidP="0006371A">
      <w:pPr>
        <w:jc w:val="both"/>
        <w:rPr>
          <w:rFonts w:eastAsia="Calibri"/>
          <w:lang w:val="en-US" w:eastAsia="de-DE" w:bidi="de-DE"/>
        </w:rPr>
      </w:pPr>
      <w:r w:rsidRPr="009766DB">
        <w:rPr>
          <w:rFonts w:eastAsia="Calibri"/>
          <w:szCs w:val="22"/>
          <w:lang w:val="en-US" w:eastAsia="de-DE" w:bidi="de-DE"/>
        </w:rPr>
        <w:tab/>
      </w:r>
      <w:r w:rsidRPr="009766DB">
        <w:rPr>
          <w:rFonts w:eastAsia="Calibri"/>
          <w:lang w:val="en-US" w:eastAsia="de-DE" w:bidi="de-DE"/>
        </w:rPr>
        <w:t>- Interuniversitair Instituut voor Breedbandtechnologie (IBBT)</w:t>
      </w:r>
    </w:p>
    <w:p w14:paraId="45CBCF7B" w14:textId="77777777" w:rsidR="0006371A" w:rsidRPr="009766DB" w:rsidRDefault="0006371A" w:rsidP="0006371A">
      <w:pPr>
        <w:jc w:val="both"/>
        <w:rPr>
          <w:rFonts w:eastAsia="Calibri"/>
          <w:lang w:val="en-US" w:eastAsia="de-DE" w:bidi="de-DE"/>
        </w:rPr>
      </w:pPr>
    </w:p>
    <w:p w14:paraId="36E36CEA" w14:textId="77777777" w:rsidR="0006371A" w:rsidRPr="00B65258" w:rsidRDefault="0006371A" w:rsidP="0006371A">
      <w:pPr>
        <w:jc w:val="both"/>
        <w:rPr>
          <w:rFonts w:eastAsia="Calibri"/>
          <w:lang w:val="fr-BE" w:eastAsia="de-DE" w:bidi="de-DE"/>
        </w:rPr>
      </w:pPr>
      <w:r w:rsidRPr="009766DB">
        <w:rPr>
          <w:rFonts w:eastAsia="Calibri"/>
          <w:szCs w:val="22"/>
          <w:lang w:val="en-US" w:eastAsia="de-DE" w:bidi="de-DE"/>
        </w:rPr>
        <w:tab/>
      </w:r>
      <w:r w:rsidRPr="00B65258">
        <w:rPr>
          <w:rFonts w:eastAsia="Calibri"/>
          <w:lang w:val="fr-BE" w:eastAsia="de-DE" w:bidi="de-DE"/>
        </w:rPr>
        <w:t>- Institut national interuniversitaire des Silicates, Sols et Matériaux (INISMa)</w:t>
      </w:r>
    </w:p>
    <w:p w14:paraId="4DD60E92" w14:textId="77777777" w:rsidR="0006371A" w:rsidRPr="00B65258" w:rsidRDefault="0006371A" w:rsidP="0006371A">
      <w:pPr>
        <w:jc w:val="both"/>
        <w:rPr>
          <w:rFonts w:eastAsia="Calibri"/>
          <w:lang w:val="fr-BE" w:eastAsia="de-DE" w:bidi="de-DE"/>
        </w:rPr>
      </w:pPr>
    </w:p>
    <w:p w14:paraId="27F9CE68" w14:textId="77777777" w:rsidR="0006371A" w:rsidRPr="00B65258" w:rsidRDefault="0006371A" w:rsidP="0006371A">
      <w:pPr>
        <w:jc w:val="both"/>
        <w:rPr>
          <w:rFonts w:eastAsia="Calibri"/>
          <w:lang w:eastAsia="de-DE" w:bidi="de-DE"/>
        </w:rPr>
      </w:pPr>
      <w:r w:rsidRPr="00B65258">
        <w:rPr>
          <w:rFonts w:eastAsia="Calibri"/>
          <w:szCs w:val="22"/>
          <w:lang w:val="fr-BE" w:eastAsia="de-DE" w:bidi="de-DE"/>
        </w:rPr>
        <w:tab/>
      </w:r>
      <w:r w:rsidRPr="00B65258">
        <w:rPr>
          <w:rFonts w:eastAsia="Calibri"/>
          <w:lang w:eastAsia="de-DE" w:bidi="de-DE"/>
        </w:rPr>
        <w:t>- Wallonisches Institut für Bewertung, Zukunftsforschung und Statistik (IWEPS)</w:t>
      </w:r>
    </w:p>
    <w:p w14:paraId="35703DAE" w14:textId="77777777" w:rsidR="0006371A" w:rsidRPr="00B65258" w:rsidRDefault="0006371A" w:rsidP="0006371A">
      <w:pPr>
        <w:jc w:val="both"/>
        <w:rPr>
          <w:rFonts w:eastAsia="Calibri"/>
          <w:lang w:eastAsia="de-DE" w:bidi="de-DE"/>
        </w:rPr>
      </w:pPr>
    </w:p>
    <w:p w14:paraId="2DFB0425" w14:textId="77777777" w:rsidR="0006371A" w:rsidRPr="009766DB" w:rsidRDefault="0006371A" w:rsidP="0006371A">
      <w:pPr>
        <w:jc w:val="both"/>
        <w:rPr>
          <w:rFonts w:eastAsia="Calibri"/>
          <w:lang w:val="fr-BE" w:eastAsia="de-DE" w:bidi="de-DE"/>
        </w:rPr>
      </w:pPr>
      <w:r w:rsidRPr="00B65258">
        <w:rPr>
          <w:rFonts w:eastAsia="Calibri"/>
          <w:szCs w:val="22"/>
          <w:lang w:eastAsia="de-DE" w:bidi="de-DE"/>
        </w:rPr>
        <w:tab/>
      </w:r>
      <w:r w:rsidRPr="009766DB">
        <w:rPr>
          <w:rFonts w:eastAsia="Calibri"/>
          <w:lang w:val="fr-BE" w:eastAsia="de-DE" w:bidi="de-DE"/>
        </w:rPr>
        <w:t>- International Bureau for Environmental Studies (IBES)</w:t>
      </w:r>
    </w:p>
    <w:p w14:paraId="11DAC14E" w14:textId="77777777" w:rsidR="0006371A" w:rsidRPr="009766DB" w:rsidRDefault="0006371A" w:rsidP="0006371A">
      <w:pPr>
        <w:jc w:val="both"/>
        <w:rPr>
          <w:rFonts w:eastAsia="Calibri"/>
          <w:lang w:val="fr-BE" w:eastAsia="de-DE" w:bidi="de-DE"/>
        </w:rPr>
      </w:pPr>
    </w:p>
    <w:p w14:paraId="10369A37" w14:textId="77777777" w:rsidR="0006371A" w:rsidRPr="00B65258" w:rsidRDefault="0006371A" w:rsidP="0006371A">
      <w:pPr>
        <w:jc w:val="both"/>
        <w:rPr>
          <w:rFonts w:eastAsia="Calibri"/>
          <w:lang w:eastAsia="de-DE" w:bidi="de-DE"/>
        </w:rPr>
      </w:pPr>
      <w:r w:rsidRPr="009766DB">
        <w:rPr>
          <w:rFonts w:eastAsia="Calibri"/>
          <w:szCs w:val="22"/>
          <w:lang w:val="fr-BE" w:eastAsia="de-DE" w:bidi="de-DE"/>
        </w:rPr>
        <w:tab/>
      </w:r>
      <w:r w:rsidRPr="00B65258">
        <w:rPr>
          <w:rFonts w:eastAsia="Calibri"/>
          <w:lang w:eastAsia="de-DE" w:bidi="de-DE"/>
        </w:rPr>
        <w:t>- Freunde des Pasteur-Instituts Brüssel</w:t>
      </w:r>
    </w:p>
    <w:p w14:paraId="19C6F165" w14:textId="77777777" w:rsidR="0006371A" w:rsidRPr="00B65258" w:rsidRDefault="0006371A" w:rsidP="0006371A">
      <w:pPr>
        <w:jc w:val="both"/>
        <w:rPr>
          <w:rFonts w:eastAsia="Calibri"/>
          <w:lang w:eastAsia="de-DE" w:bidi="de-DE"/>
        </w:rPr>
      </w:pPr>
    </w:p>
    <w:p w14:paraId="00277920" w14:textId="77777777" w:rsidR="0006371A" w:rsidRPr="00440C0E" w:rsidRDefault="0006371A" w:rsidP="0006371A">
      <w:pPr>
        <w:jc w:val="both"/>
        <w:rPr>
          <w:rFonts w:eastAsia="Calibri"/>
          <w:lang w:eastAsia="de-DE" w:bidi="de-DE"/>
        </w:rPr>
      </w:pPr>
      <w:r w:rsidRPr="00B65258">
        <w:rPr>
          <w:rFonts w:eastAsia="Calibri"/>
          <w:szCs w:val="22"/>
          <w:lang w:eastAsia="de-DE" w:bidi="de-DE"/>
        </w:rPr>
        <w:tab/>
      </w:r>
      <w:r w:rsidRPr="00440C0E">
        <w:rPr>
          <w:rFonts w:eastAsia="Calibri"/>
          <w:lang w:eastAsia="de-DE" w:bidi="de-DE"/>
        </w:rPr>
        <w:t>- Materia Nova</w:t>
      </w:r>
    </w:p>
    <w:p w14:paraId="055E7468" w14:textId="77777777" w:rsidR="0006371A" w:rsidRPr="00440C0E" w:rsidRDefault="0006371A" w:rsidP="0006371A">
      <w:pPr>
        <w:jc w:val="both"/>
        <w:rPr>
          <w:rFonts w:eastAsia="Calibri"/>
          <w:lang w:eastAsia="de-DE" w:bidi="de-DE"/>
        </w:rPr>
      </w:pPr>
    </w:p>
    <w:p w14:paraId="13A45A9B" w14:textId="77777777" w:rsidR="0006371A" w:rsidRPr="009766DB" w:rsidRDefault="0006371A" w:rsidP="0006371A">
      <w:pPr>
        <w:jc w:val="both"/>
        <w:rPr>
          <w:rFonts w:eastAsia="Calibri"/>
          <w:lang w:val="nl-BE" w:eastAsia="de-DE" w:bidi="de-DE"/>
        </w:rPr>
      </w:pPr>
      <w:r w:rsidRPr="00440C0E">
        <w:rPr>
          <w:rFonts w:eastAsia="Calibri"/>
          <w:szCs w:val="22"/>
          <w:lang w:eastAsia="de-DE" w:bidi="de-DE"/>
        </w:rPr>
        <w:tab/>
      </w:r>
      <w:r w:rsidRPr="009766DB">
        <w:rPr>
          <w:rFonts w:eastAsia="Calibri"/>
          <w:lang w:val="nl-BE" w:eastAsia="de-DE" w:bidi="de-DE"/>
        </w:rPr>
        <w:t>- Multitel</w:t>
      </w:r>
    </w:p>
    <w:p w14:paraId="23349D3A" w14:textId="77777777" w:rsidR="0006371A" w:rsidRPr="009766DB" w:rsidRDefault="0006371A" w:rsidP="0006371A">
      <w:pPr>
        <w:jc w:val="both"/>
        <w:rPr>
          <w:rFonts w:eastAsia="Calibri"/>
          <w:lang w:val="nl-BE" w:eastAsia="de-DE" w:bidi="de-DE"/>
        </w:rPr>
      </w:pPr>
    </w:p>
    <w:p w14:paraId="34806E1C" w14:textId="77777777" w:rsidR="0006371A" w:rsidRPr="009766DB" w:rsidRDefault="0006371A" w:rsidP="0006371A">
      <w:pPr>
        <w:jc w:val="both"/>
        <w:rPr>
          <w:rFonts w:eastAsia="Calibri"/>
          <w:lang w:val="nl-BE" w:eastAsia="de-DE" w:bidi="de-DE"/>
        </w:rPr>
      </w:pPr>
      <w:r w:rsidRPr="009766DB">
        <w:rPr>
          <w:rFonts w:eastAsia="Calibri"/>
          <w:szCs w:val="22"/>
          <w:lang w:val="nl-BE" w:eastAsia="de-DE" w:bidi="de-DE"/>
        </w:rPr>
        <w:tab/>
      </w:r>
      <w:r w:rsidRPr="009766DB">
        <w:rPr>
          <w:rFonts w:eastAsia="Calibri"/>
          <w:lang w:val="nl-BE" w:eastAsia="de-DE" w:bidi="de-DE"/>
        </w:rPr>
        <w:t>- Universitair Ziekenhuis Gent</w:t>
      </w:r>
    </w:p>
    <w:p w14:paraId="3E0CF490" w14:textId="77777777" w:rsidR="0006371A" w:rsidRPr="009766DB" w:rsidRDefault="0006371A" w:rsidP="0006371A">
      <w:pPr>
        <w:jc w:val="both"/>
        <w:rPr>
          <w:rFonts w:eastAsia="Calibri"/>
          <w:lang w:val="nl-BE" w:eastAsia="de-DE" w:bidi="de-DE"/>
        </w:rPr>
      </w:pPr>
    </w:p>
    <w:p w14:paraId="120F05FB" w14:textId="77777777" w:rsidR="0006371A" w:rsidRPr="009766DB" w:rsidRDefault="0006371A" w:rsidP="0006371A">
      <w:pPr>
        <w:jc w:val="both"/>
        <w:rPr>
          <w:rFonts w:eastAsia="Calibri"/>
          <w:lang w:val="nl-BE" w:eastAsia="de-DE" w:bidi="de-DE"/>
        </w:rPr>
      </w:pPr>
      <w:r w:rsidRPr="009766DB">
        <w:rPr>
          <w:rFonts w:eastAsia="Calibri"/>
          <w:szCs w:val="22"/>
          <w:lang w:val="nl-BE" w:eastAsia="de-DE" w:bidi="de-DE"/>
        </w:rPr>
        <w:tab/>
      </w:r>
      <w:r w:rsidRPr="009766DB">
        <w:rPr>
          <w:rFonts w:eastAsia="Calibri"/>
          <w:lang w:val="nl-BE" w:eastAsia="de-DE" w:bidi="de-DE"/>
        </w:rPr>
        <w:t>- Vlaams Instituut voor de Logistiek (VIL)</w:t>
      </w:r>
    </w:p>
    <w:p w14:paraId="656518E4" w14:textId="77777777" w:rsidR="0006371A" w:rsidRPr="009766DB" w:rsidRDefault="0006371A" w:rsidP="0006371A">
      <w:pPr>
        <w:jc w:val="both"/>
        <w:rPr>
          <w:rFonts w:eastAsia="Calibri"/>
          <w:lang w:val="nl-BE" w:eastAsia="de-DE" w:bidi="de-DE"/>
        </w:rPr>
      </w:pPr>
    </w:p>
    <w:p w14:paraId="7278D132" w14:textId="77777777" w:rsidR="0006371A" w:rsidRPr="00B65258" w:rsidRDefault="0006371A" w:rsidP="0006371A">
      <w:pPr>
        <w:jc w:val="both"/>
        <w:rPr>
          <w:rFonts w:eastAsia="Calibri"/>
          <w:lang w:val="nl-NL" w:eastAsia="de-DE" w:bidi="de-DE"/>
        </w:rPr>
      </w:pPr>
      <w:r w:rsidRPr="009766DB">
        <w:rPr>
          <w:rFonts w:eastAsia="Calibri"/>
          <w:szCs w:val="22"/>
          <w:lang w:val="nl-BE" w:eastAsia="de-DE" w:bidi="de-DE"/>
        </w:rPr>
        <w:tab/>
      </w:r>
      <w:r w:rsidRPr="00B65258">
        <w:rPr>
          <w:rFonts w:eastAsia="Calibri"/>
          <w:lang w:val="nl-NL" w:eastAsia="de-DE" w:bidi="de-DE"/>
        </w:rPr>
        <w:t>- Vlaams Instituut voor de Zee</w:t>
      </w:r>
    </w:p>
    <w:p w14:paraId="1FFE5A5C" w14:textId="77777777" w:rsidR="0006371A" w:rsidRPr="00B65258" w:rsidRDefault="0006371A" w:rsidP="0006371A">
      <w:pPr>
        <w:jc w:val="both"/>
        <w:rPr>
          <w:rFonts w:eastAsia="Calibri"/>
          <w:lang w:val="nl-NL" w:eastAsia="de-DE" w:bidi="de-DE"/>
        </w:rPr>
      </w:pPr>
    </w:p>
    <w:p w14:paraId="7BDD442D"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Vlaams Kunststof Centrum]</w:t>
      </w:r>
    </w:p>
    <w:p w14:paraId="728D5A7F" w14:textId="77777777" w:rsidR="0006371A" w:rsidRPr="00B65258" w:rsidRDefault="0006371A" w:rsidP="0006371A">
      <w:pPr>
        <w:jc w:val="both"/>
        <w:rPr>
          <w:rFonts w:eastAsia="Calibri"/>
          <w:lang w:val="nl-NL" w:eastAsia="de-DE" w:bidi="de-DE"/>
        </w:rPr>
      </w:pPr>
    </w:p>
    <w:p w14:paraId="33D5A68F" w14:textId="77777777" w:rsidR="0006371A" w:rsidRPr="003353A5" w:rsidRDefault="0006371A" w:rsidP="0006371A">
      <w:pPr>
        <w:jc w:val="both"/>
        <w:rPr>
          <w:rFonts w:eastAsia="Calibri"/>
          <w:lang w:eastAsia="de-DE" w:bidi="de-DE"/>
        </w:rPr>
      </w:pPr>
      <w:r w:rsidRPr="00B65258">
        <w:rPr>
          <w:rFonts w:eastAsia="Calibri"/>
          <w:szCs w:val="22"/>
          <w:lang w:val="nl-NL" w:eastAsia="de-DE" w:bidi="de-DE"/>
        </w:rPr>
        <w:tab/>
      </w:r>
      <w:r w:rsidRPr="003353A5">
        <w:rPr>
          <w:rFonts w:eastAsia="Calibri"/>
          <w:lang w:eastAsia="de-DE" w:bidi="de-DE"/>
        </w:rPr>
        <w:t>[</w:t>
      </w:r>
      <w:r w:rsidRPr="003353A5">
        <w:rPr>
          <w:rFonts w:eastAsia="Calibri"/>
          <w:b/>
          <w:i/>
          <w:lang w:eastAsia="de-DE" w:bidi="de-DE"/>
        </w:rPr>
        <w:t>Zulassung ab 1. April 2007:</w:t>
      </w:r>
    </w:p>
    <w:p w14:paraId="26638F7F" w14:textId="77777777" w:rsidR="0006371A" w:rsidRPr="003353A5" w:rsidRDefault="0006371A" w:rsidP="0006371A">
      <w:pPr>
        <w:jc w:val="both"/>
        <w:rPr>
          <w:rFonts w:eastAsia="Calibri"/>
          <w:lang w:eastAsia="de-DE" w:bidi="de-DE"/>
        </w:rPr>
      </w:pPr>
    </w:p>
    <w:p w14:paraId="5484C2EB" w14:textId="77777777" w:rsidR="0006371A" w:rsidRPr="003353A5" w:rsidRDefault="0006371A" w:rsidP="0006371A">
      <w:pPr>
        <w:jc w:val="both"/>
        <w:rPr>
          <w:rFonts w:eastAsia="Calibri"/>
          <w:lang w:eastAsia="de-DE" w:bidi="de-DE"/>
        </w:rPr>
      </w:pPr>
      <w:r w:rsidRPr="003353A5">
        <w:rPr>
          <w:rFonts w:eastAsia="Calibri"/>
          <w:szCs w:val="22"/>
          <w:lang w:eastAsia="de-DE" w:bidi="de-DE"/>
        </w:rPr>
        <w:tab/>
      </w:r>
      <w:r w:rsidRPr="003353A5">
        <w:rPr>
          <w:rFonts w:eastAsia="Calibri"/>
          <w:lang w:eastAsia="de-DE" w:bidi="de-DE"/>
        </w:rPr>
        <w:t>- Biovallée</w:t>
      </w:r>
    </w:p>
    <w:p w14:paraId="04368BAA" w14:textId="77777777" w:rsidR="0006371A" w:rsidRPr="003353A5" w:rsidRDefault="0006371A" w:rsidP="0006371A">
      <w:pPr>
        <w:jc w:val="both"/>
        <w:rPr>
          <w:rFonts w:eastAsia="Calibri"/>
          <w:lang w:eastAsia="de-DE" w:bidi="de-DE"/>
        </w:rPr>
      </w:pPr>
    </w:p>
    <w:p w14:paraId="3B98A783" w14:textId="77777777" w:rsidR="0006371A" w:rsidRPr="003353A5" w:rsidRDefault="0006371A" w:rsidP="0006371A">
      <w:pPr>
        <w:jc w:val="both"/>
        <w:rPr>
          <w:rFonts w:eastAsia="Calibri"/>
          <w:lang w:eastAsia="de-DE" w:bidi="de-DE"/>
        </w:rPr>
      </w:pPr>
      <w:r w:rsidRPr="003353A5">
        <w:rPr>
          <w:rFonts w:eastAsia="Calibri"/>
          <w:szCs w:val="22"/>
          <w:lang w:eastAsia="de-DE" w:bidi="de-DE"/>
        </w:rPr>
        <w:tab/>
      </w:r>
      <w:r w:rsidRPr="003353A5">
        <w:rPr>
          <w:rFonts w:eastAsia="Calibri"/>
          <w:lang w:eastAsia="de-DE" w:bidi="de-DE"/>
        </w:rPr>
        <w:t>- Föderales Planbüro</w:t>
      </w:r>
    </w:p>
    <w:p w14:paraId="6A5F339D" w14:textId="77777777" w:rsidR="0006371A" w:rsidRPr="003353A5" w:rsidRDefault="0006371A" w:rsidP="0006371A">
      <w:pPr>
        <w:jc w:val="both"/>
        <w:rPr>
          <w:rFonts w:eastAsia="Calibri"/>
          <w:lang w:eastAsia="de-DE" w:bidi="de-DE"/>
        </w:rPr>
      </w:pPr>
    </w:p>
    <w:p w14:paraId="614C04DF" w14:textId="77777777" w:rsidR="0006371A" w:rsidRPr="00B65258" w:rsidRDefault="0006371A" w:rsidP="0006371A">
      <w:pPr>
        <w:jc w:val="both"/>
        <w:rPr>
          <w:rFonts w:eastAsia="Calibri"/>
          <w:lang w:val="fr-BE" w:eastAsia="de-DE" w:bidi="de-DE"/>
        </w:rPr>
      </w:pPr>
      <w:r w:rsidRPr="003353A5">
        <w:rPr>
          <w:rFonts w:eastAsia="Calibri"/>
          <w:szCs w:val="22"/>
          <w:lang w:eastAsia="de-DE" w:bidi="de-DE"/>
        </w:rPr>
        <w:tab/>
      </w:r>
      <w:r w:rsidRPr="00B65258">
        <w:rPr>
          <w:rFonts w:eastAsia="Calibri"/>
          <w:lang w:val="fr-BE" w:eastAsia="de-DE" w:bidi="de-DE"/>
        </w:rPr>
        <w:t>- Centre de Recherche et d'Information socio-politiques (CRISP)</w:t>
      </w:r>
    </w:p>
    <w:p w14:paraId="3C63BC00" w14:textId="77777777" w:rsidR="0006371A" w:rsidRPr="00B65258" w:rsidRDefault="0006371A" w:rsidP="0006371A">
      <w:pPr>
        <w:jc w:val="both"/>
        <w:rPr>
          <w:rFonts w:eastAsia="Calibri"/>
          <w:lang w:val="fr-BE" w:eastAsia="de-DE" w:bidi="de-DE"/>
        </w:rPr>
      </w:pPr>
    </w:p>
    <w:p w14:paraId="59300F6F" w14:textId="77777777" w:rsidR="0006371A" w:rsidRPr="00B65258" w:rsidRDefault="0006371A" w:rsidP="0006371A">
      <w:pPr>
        <w:jc w:val="both"/>
        <w:rPr>
          <w:rFonts w:eastAsia="Calibri"/>
          <w:lang w:val="fr-BE" w:eastAsia="de-DE" w:bidi="de-DE"/>
        </w:rPr>
      </w:pPr>
      <w:r w:rsidRPr="00B65258">
        <w:rPr>
          <w:rFonts w:eastAsia="Calibri"/>
          <w:szCs w:val="22"/>
          <w:lang w:val="fr-BE" w:eastAsia="de-DE" w:bidi="de-DE"/>
        </w:rPr>
        <w:tab/>
      </w:r>
      <w:r w:rsidRPr="00B65258">
        <w:rPr>
          <w:rFonts w:eastAsia="Calibri"/>
          <w:lang w:val="fr-BE" w:eastAsia="de-DE" w:bidi="de-DE"/>
        </w:rPr>
        <w:t>- Centre de Recherche sur l'Enseignement des Mathématiques</w:t>
      </w:r>
    </w:p>
    <w:p w14:paraId="23CD0173" w14:textId="77777777" w:rsidR="0006371A" w:rsidRPr="00B65258" w:rsidRDefault="0006371A" w:rsidP="0006371A">
      <w:pPr>
        <w:jc w:val="both"/>
        <w:rPr>
          <w:rFonts w:eastAsia="Calibri"/>
          <w:lang w:val="fr-BE" w:eastAsia="de-DE" w:bidi="de-DE"/>
        </w:rPr>
      </w:pPr>
    </w:p>
    <w:p w14:paraId="0ABD5061" w14:textId="77777777" w:rsidR="0006371A" w:rsidRPr="00B65258" w:rsidRDefault="0006371A" w:rsidP="0006371A">
      <w:pPr>
        <w:jc w:val="both"/>
        <w:rPr>
          <w:rFonts w:eastAsia="Calibri"/>
          <w:lang w:eastAsia="de-DE" w:bidi="de-DE"/>
        </w:rPr>
      </w:pPr>
      <w:r w:rsidRPr="00B65258">
        <w:rPr>
          <w:rFonts w:eastAsia="Calibri"/>
          <w:szCs w:val="22"/>
          <w:lang w:val="fr-BE" w:eastAsia="de-DE" w:bidi="de-DE"/>
        </w:rPr>
        <w:tab/>
      </w:r>
      <w:r w:rsidRPr="00B65258">
        <w:rPr>
          <w:rFonts w:eastAsia="Calibri"/>
          <w:lang w:eastAsia="de-DE" w:bidi="de-DE"/>
        </w:rPr>
        <w:t>- Zentrum für Agrarwirtschaft</w:t>
      </w:r>
    </w:p>
    <w:p w14:paraId="1BC1442D" w14:textId="77777777" w:rsidR="0006371A" w:rsidRPr="00B65258" w:rsidRDefault="0006371A" w:rsidP="0006371A">
      <w:pPr>
        <w:jc w:val="both"/>
        <w:rPr>
          <w:rFonts w:eastAsia="Calibri"/>
          <w:lang w:eastAsia="de-DE" w:bidi="de-DE"/>
        </w:rPr>
      </w:pPr>
    </w:p>
    <w:p w14:paraId="606128E5"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Cluster van Staalplaatproducenten en Verwerkers (CLUSTA)</w:t>
      </w:r>
    </w:p>
    <w:p w14:paraId="0A6ABC07" w14:textId="77777777" w:rsidR="0006371A" w:rsidRPr="00B65258" w:rsidRDefault="0006371A" w:rsidP="0006371A">
      <w:pPr>
        <w:jc w:val="both"/>
        <w:rPr>
          <w:rFonts w:eastAsia="Calibri"/>
          <w:lang w:eastAsia="de-DE" w:bidi="de-DE"/>
        </w:rPr>
      </w:pPr>
    </w:p>
    <w:p w14:paraId="3BBBFC0F"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Flanders Food</w:t>
      </w:r>
    </w:p>
    <w:p w14:paraId="35C1A909" w14:textId="77777777" w:rsidR="0006371A" w:rsidRPr="00B65258" w:rsidRDefault="0006371A" w:rsidP="0006371A">
      <w:pPr>
        <w:jc w:val="both"/>
        <w:rPr>
          <w:rFonts w:eastAsia="Calibri"/>
          <w:lang w:eastAsia="de-DE" w:bidi="de-DE"/>
        </w:rPr>
      </w:pPr>
    </w:p>
    <w:p w14:paraId="617E9316"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xml:space="preserve">- Fraunhofer-Gesellschaft zur Förderung der angewandten Forschung e.V (Deutschland) </w:t>
      </w:r>
    </w:p>
    <w:p w14:paraId="4FDDA482" w14:textId="77777777" w:rsidR="0006371A" w:rsidRPr="00B65258" w:rsidRDefault="0006371A" w:rsidP="0006371A">
      <w:pPr>
        <w:jc w:val="both"/>
        <w:rPr>
          <w:rFonts w:eastAsia="Calibri"/>
          <w:lang w:eastAsia="de-DE" w:bidi="de-DE"/>
        </w:rPr>
      </w:pPr>
    </w:p>
    <w:p w14:paraId="04FCF030"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Incubatiepunt Geoinformatie (INCGEO)</w:t>
      </w:r>
    </w:p>
    <w:p w14:paraId="7697168F" w14:textId="77777777" w:rsidR="0006371A" w:rsidRPr="00B65258" w:rsidRDefault="0006371A" w:rsidP="0006371A">
      <w:pPr>
        <w:jc w:val="both"/>
        <w:rPr>
          <w:rFonts w:eastAsia="Calibri"/>
          <w:lang w:eastAsia="de-DE" w:bidi="de-DE"/>
        </w:rPr>
      </w:pPr>
    </w:p>
    <w:p w14:paraId="1D4963D6"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Belgisches Institut für Verkehrssicherheit</w:t>
      </w:r>
    </w:p>
    <w:p w14:paraId="2387D432" w14:textId="77777777" w:rsidR="0006371A" w:rsidRPr="00B65258" w:rsidRDefault="0006371A" w:rsidP="0006371A">
      <w:pPr>
        <w:jc w:val="both"/>
        <w:rPr>
          <w:rFonts w:eastAsia="Calibri"/>
          <w:lang w:eastAsia="de-DE" w:bidi="de-DE"/>
        </w:rPr>
      </w:pPr>
    </w:p>
    <w:p w14:paraId="2CE458A2"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Königliches Belgisches Institut für die Verbesserung der Zuckerrübe (IRBAB)</w:t>
      </w:r>
    </w:p>
    <w:p w14:paraId="4F2909DB" w14:textId="77777777" w:rsidR="0006371A" w:rsidRPr="00B65258" w:rsidRDefault="0006371A" w:rsidP="0006371A">
      <w:pPr>
        <w:rPr>
          <w:rFonts w:eastAsia="Calibri"/>
          <w:lang w:val="fr-BE" w:eastAsia="de-DE" w:bidi="de-DE"/>
        </w:rPr>
      </w:pPr>
      <w:r w:rsidRPr="00811447">
        <w:rPr>
          <w:rFonts w:eastAsia="Calibri"/>
          <w:lang w:val="fr-BE" w:eastAsia="de-DE" w:bidi="de-DE"/>
        </w:rPr>
        <w:br w:type="page"/>
      </w:r>
      <w:r w:rsidRPr="00811447">
        <w:rPr>
          <w:rFonts w:eastAsia="Calibri"/>
          <w:szCs w:val="22"/>
          <w:lang w:val="fr-BE" w:eastAsia="de-DE" w:bidi="de-DE"/>
        </w:rPr>
        <w:lastRenderedPageBreak/>
        <w:tab/>
      </w:r>
      <w:r w:rsidRPr="00B65258">
        <w:rPr>
          <w:rFonts w:eastAsia="Calibri"/>
          <w:lang w:val="fr-BE" w:eastAsia="de-DE" w:bidi="de-DE"/>
        </w:rPr>
        <w:t xml:space="preserve">- Kind en </w:t>
      </w:r>
      <w:proofErr w:type="spellStart"/>
      <w:r w:rsidRPr="00B65258">
        <w:rPr>
          <w:rFonts w:eastAsia="Calibri"/>
          <w:lang w:val="fr-BE" w:eastAsia="de-DE" w:bidi="de-DE"/>
        </w:rPr>
        <w:t>Samenleving</w:t>
      </w:r>
      <w:proofErr w:type="spellEnd"/>
    </w:p>
    <w:p w14:paraId="746BE994" w14:textId="77777777" w:rsidR="0006371A" w:rsidRPr="00B65258" w:rsidRDefault="0006371A" w:rsidP="0006371A">
      <w:pPr>
        <w:jc w:val="both"/>
        <w:rPr>
          <w:rFonts w:eastAsia="Calibri"/>
          <w:lang w:val="fr-BE" w:eastAsia="de-DE" w:bidi="de-DE"/>
        </w:rPr>
      </w:pPr>
    </w:p>
    <w:p w14:paraId="6AECB67E" w14:textId="77777777" w:rsidR="0006371A" w:rsidRPr="00B65258" w:rsidRDefault="0006371A" w:rsidP="0006371A">
      <w:pPr>
        <w:jc w:val="both"/>
        <w:rPr>
          <w:rFonts w:eastAsia="Calibri"/>
          <w:lang w:val="fr-BE" w:eastAsia="de-DE" w:bidi="de-DE"/>
        </w:rPr>
      </w:pPr>
      <w:r w:rsidRPr="00B65258">
        <w:rPr>
          <w:rFonts w:eastAsia="Calibri"/>
          <w:szCs w:val="22"/>
          <w:lang w:val="fr-BE" w:eastAsia="de-DE" w:bidi="de-DE"/>
        </w:rPr>
        <w:tab/>
      </w:r>
      <w:r w:rsidRPr="00B65258">
        <w:rPr>
          <w:rFonts w:eastAsia="Calibri"/>
          <w:lang w:val="fr-BE" w:eastAsia="de-DE" w:bidi="de-DE"/>
        </w:rPr>
        <w:t>- La Cambre (Inst. Supérieur d'Architecture)</w:t>
      </w:r>
    </w:p>
    <w:p w14:paraId="1621F6FD" w14:textId="77777777" w:rsidR="0006371A" w:rsidRPr="00B65258" w:rsidRDefault="0006371A" w:rsidP="0006371A">
      <w:pPr>
        <w:jc w:val="both"/>
        <w:rPr>
          <w:rFonts w:eastAsia="Calibri"/>
          <w:lang w:val="fr-BE" w:eastAsia="de-DE" w:bidi="de-DE"/>
        </w:rPr>
      </w:pPr>
    </w:p>
    <w:p w14:paraId="300CFB16" w14:textId="77777777" w:rsidR="0006371A" w:rsidRPr="00B65258" w:rsidRDefault="0006371A" w:rsidP="0006371A">
      <w:pPr>
        <w:jc w:val="both"/>
        <w:rPr>
          <w:rFonts w:eastAsia="Calibri"/>
          <w:lang w:val="nl-NL" w:eastAsia="de-DE" w:bidi="de-DE"/>
        </w:rPr>
      </w:pPr>
      <w:r w:rsidRPr="00B65258">
        <w:rPr>
          <w:rFonts w:eastAsia="Calibri"/>
          <w:szCs w:val="22"/>
          <w:lang w:val="fr-BE" w:eastAsia="de-DE" w:bidi="de-DE"/>
        </w:rPr>
        <w:tab/>
      </w:r>
      <w:r w:rsidRPr="00B65258">
        <w:rPr>
          <w:rFonts w:eastAsia="Calibri"/>
          <w:lang w:val="nl-NL" w:eastAsia="de-DE" w:bidi="de-DE"/>
        </w:rPr>
        <w:t>- Nederlandse organisatie voor toegepast natuurwetenschappelijk onderzoek - TNO (Niederlande)</w:t>
      </w:r>
    </w:p>
    <w:p w14:paraId="7D095727"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p>
    <w:p w14:paraId="6A615D0A" w14:textId="77777777" w:rsidR="0006371A" w:rsidRPr="00B65258" w:rsidRDefault="0006371A" w:rsidP="0006371A">
      <w:pPr>
        <w:jc w:val="both"/>
        <w:rPr>
          <w:rFonts w:eastAsia="Calibri"/>
          <w:lang w:val="en-US" w:eastAsia="de-DE" w:bidi="de-DE"/>
        </w:rPr>
      </w:pPr>
      <w:r w:rsidRPr="00B65258">
        <w:rPr>
          <w:rFonts w:eastAsia="Calibri"/>
          <w:szCs w:val="22"/>
          <w:lang w:val="nl-NL" w:eastAsia="de-DE" w:bidi="de-DE"/>
        </w:rPr>
        <w:tab/>
      </w:r>
      <w:r w:rsidRPr="00B65258">
        <w:rPr>
          <w:rFonts w:eastAsia="Calibri"/>
          <w:lang w:val="en-US" w:eastAsia="de-DE" w:bidi="de-DE"/>
        </w:rPr>
        <w:t>- PC Fruit</w:t>
      </w:r>
    </w:p>
    <w:p w14:paraId="343B3BCC" w14:textId="77777777" w:rsidR="0006371A" w:rsidRPr="00B65258" w:rsidRDefault="0006371A" w:rsidP="0006371A">
      <w:pPr>
        <w:jc w:val="both"/>
        <w:rPr>
          <w:rFonts w:eastAsia="Calibri"/>
          <w:lang w:val="en-US" w:eastAsia="de-DE" w:bidi="de-DE"/>
        </w:rPr>
      </w:pPr>
    </w:p>
    <w:p w14:paraId="5F71E1EA" w14:textId="77777777" w:rsidR="0006371A" w:rsidRPr="00B65258" w:rsidRDefault="0006371A" w:rsidP="0006371A">
      <w:pPr>
        <w:jc w:val="both"/>
        <w:rPr>
          <w:rFonts w:eastAsia="Calibri"/>
          <w:lang w:val="en-US" w:eastAsia="de-DE" w:bidi="de-DE"/>
        </w:rPr>
      </w:pPr>
      <w:r w:rsidRPr="00B65258">
        <w:rPr>
          <w:rFonts w:eastAsia="Calibri"/>
          <w:szCs w:val="22"/>
          <w:lang w:val="en-US" w:eastAsia="de-DE" w:bidi="de-DE"/>
        </w:rPr>
        <w:tab/>
      </w:r>
      <w:r w:rsidRPr="00B65258">
        <w:rPr>
          <w:rFonts w:eastAsia="Calibri"/>
          <w:lang w:val="en-US" w:eastAsia="de-DE" w:bidi="de-DE"/>
        </w:rPr>
        <w:t>- Research in Advanced medical Informatics and Telematics (Ramit)</w:t>
      </w:r>
    </w:p>
    <w:p w14:paraId="2EF4C1EC" w14:textId="77777777" w:rsidR="0006371A" w:rsidRPr="00B65258" w:rsidRDefault="0006371A" w:rsidP="0006371A">
      <w:pPr>
        <w:jc w:val="both"/>
        <w:rPr>
          <w:rFonts w:eastAsia="Calibri"/>
          <w:lang w:val="en-US" w:eastAsia="de-DE" w:bidi="de-DE"/>
        </w:rPr>
      </w:pPr>
    </w:p>
    <w:p w14:paraId="7EC0547F" w14:textId="77777777" w:rsidR="0006371A" w:rsidRPr="00B65258" w:rsidRDefault="0006371A" w:rsidP="0006371A">
      <w:pPr>
        <w:jc w:val="both"/>
        <w:rPr>
          <w:rFonts w:eastAsia="Calibri"/>
          <w:lang w:val="nl-NL" w:eastAsia="de-DE" w:bidi="de-DE"/>
        </w:rPr>
      </w:pPr>
      <w:r w:rsidRPr="00B65258">
        <w:rPr>
          <w:rFonts w:eastAsia="Calibri"/>
          <w:szCs w:val="22"/>
          <w:lang w:val="en-US" w:eastAsia="de-DE" w:bidi="de-DE"/>
        </w:rPr>
        <w:tab/>
      </w:r>
      <w:r w:rsidRPr="00B65258">
        <w:rPr>
          <w:rFonts w:eastAsia="Calibri"/>
          <w:lang w:val="nl-NL" w:eastAsia="de-DE" w:bidi="de-DE"/>
        </w:rPr>
        <w:t>- Vlaams Electro en Innovatiecentrum (VEI)</w:t>
      </w:r>
    </w:p>
    <w:p w14:paraId="33767D34" w14:textId="77777777" w:rsidR="0006371A" w:rsidRPr="00B65258" w:rsidRDefault="0006371A" w:rsidP="0006371A">
      <w:pPr>
        <w:jc w:val="both"/>
        <w:rPr>
          <w:rFonts w:eastAsia="Calibri"/>
          <w:lang w:val="nl-NL" w:eastAsia="de-DE" w:bidi="de-DE"/>
        </w:rPr>
      </w:pPr>
    </w:p>
    <w:p w14:paraId="63AE1179"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Vlaams Innovatiecentrum voor Grafische Communicatie (VIGC)</w:t>
      </w:r>
    </w:p>
    <w:p w14:paraId="27E14A24" w14:textId="77777777" w:rsidR="0006371A" w:rsidRPr="00B65258" w:rsidRDefault="0006371A" w:rsidP="0006371A">
      <w:pPr>
        <w:jc w:val="both"/>
        <w:rPr>
          <w:rFonts w:eastAsia="Calibri"/>
          <w:lang w:val="nl-NL" w:eastAsia="de-DE" w:bidi="de-DE"/>
        </w:rPr>
      </w:pPr>
    </w:p>
    <w:p w14:paraId="08E6123C"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Vlaams Instituut voor het Onroerend Erfgoed</w:t>
      </w:r>
    </w:p>
    <w:p w14:paraId="7D564263" w14:textId="77777777" w:rsidR="0006371A" w:rsidRPr="00B65258" w:rsidRDefault="0006371A" w:rsidP="0006371A">
      <w:pPr>
        <w:jc w:val="both"/>
        <w:rPr>
          <w:rFonts w:eastAsia="Calibri"/>
          <w:lang w:val="nl-NL" w:eastAsia="de-DE" w:bidi="de-DE"/>
        </w:rPr>
      </w:pPr>
    </w:p>
    <w:p w14:paraId="713DD1D0"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Universitair Ziekenhuis Antwerpen</w:t>
      </w:r>
    </w:p>
    <w:p w14:paraId="6BA71085" w14:textId="77777777" w:rsidR="0006371A" w:rsidRPr="00B65258" w:rsidRDefault="0006371A" w:rsidP="0006371A">
      <w:pPr>
        <w:jc w:val="both"/>
        <w:rPr>
          <w:rFonts w:eastAsia="Calibri"/>
          <w:lang w:val="nl-NL" w:eastAsia="de-DE" w:bidi="de-DE"/>
        </w:rPr>
      </w:pPr>
    </w:p>
    <w:p w14:paraId="0331B72E"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Anti-Persoonsmijnen Ontmijnende Productontwikkeling (APOPO)</w:t>
      </w:r>
    </w:p>
    <w:p w14:paraId="254D12BD" w14:textId="77777777" w:rsidR="0006371A" w:rsidRPr="00B65258" w:rsidRDefault="0006371A" w:rsidP="0006371A">
      <w:pPr>
        <w:jc w:val="both"/>
        <w:rPr>
          <w:rFonts w:eastAsia="Calibri"/>
          <w:lang w:val="nl-NL" w:eastAsia="de-DE" w:bidi="de-DE"/>
        </w:rPr>
      </w:pPr>
    </w:p>
    <w:p w14:paraId="18D4AAE4" w14:textId="77777777" w:rsidR="0006371A" w:rsidRPr="009766DB" w:rsidRDefault="0006371A" w:rsidP="0006371A">
      <w:pPr>
        <w:jc w:val="both"/>
        <w:rPr>
          <w:rFonts w:eastAsia="Calibri"/>
          <w:lang w:eastAsia="de-DE" w:bidi="de-DE"/>
        </w:rPr>
      </w:pPr>
      <w:r w:rsidRPr="00B65258">
        <w:rPr>
          <w:rFonts w:eastAsia="Calibri"/>
          <w:szCs w:val="22"/>
          <w:lang w:val="nl-NL" w:eastAsia="de-DE" w:bidi="de-DE"/>
        </w:rPr>
        <w:tab/>
      </w:r>
      <w:r w:rsidRPr="009766DB">
        <w:rPr>
          <w:rFonts w:eastAsia="Calibri"/>
          <w:lang w:eastAsia="de-DE" w:bidi="de-DE"/>
        </w:rPr>
        <w:t>- KaHo Sint-Lieven R&amp;D]</w:t>
      </w:r>
    </w:p>
    <w:p w14:paraId="31ACA939" w14:textId="77777777" w:rsidR="0006371A" w:rsidRPr="009766DB" w:rsidRDefault="0006371A" w:rsidP="0006371A">
      <w:pPr>
        <w:jc w:val="both"/>
        <w:rPr>
          <w:rFonts w:eastAsia="Calibri"/>
          <w:lang w:eastAsia="de-DE" w:bidi="de-DE"/>
        </w:rPr>
      </w:pPr>
    </w:p>
    <w:p w14:paraId="47E4B29E" w14:textId="77777777" w:rsidR="0006371A" w:rsidRPr="00B65258" w:rsidRDefault="0006371A" w:rsidP="0006371A">
      <w:pPr>
        <w:jc w:val="both"/>
        <w:rPr>
          <w:rFonts w:eastAsia="Calibri"/>
          <w:b/>
          <w:i/>
          <w:lang w:val="fr-BE" w:eastAsia="de-DE" w:bidi="de-DE"/>
        </w:rPr>
      </w:pPr>
      <w:r w:rsidRPr="009766DB">
        <w:rPr>
          <w:rFonts w:eastAsia="Calibri"/>
          <w:szCs w:val="22"/>
          <w:lang w:eastAsia="de-DE" w:bidi="de-DE"/>
        </w:rPr>
        <w:tab/>
      </w:r>
      <w:r w:rsidRPr="009766DB">
        <w:rPr>
          <w:rFonts w:eastAsia="Calibri"/>
          <w:lang w:eastAsia="de-DE" w:bidi="de-DE"/>
        </w:rPr>
        <w:t>[</w:t>
      </w:r>
      <w:r w:rsidRPr="009766DB">
        <w:rPr>
          <w:rFonts w:eastAsia="Calibri"/>
          <w:b/>
          <w:i/>
          <w:lang w:eastAsia="de-DE" w:bidi="de-DE"/>
        </w:rPr>
        <w:t>Zulassung ab 1. </w:t>
      </w:r>
      <w:r w:rsidRPr="00B65258">
        <w:rPr>
          <w:rFonts w:eastAsia="Calibri"/>
          <w:b/>
          <w:i/>
          <w:lang w:val="fr-BE" w:eastAsia="de-DE" w:bidi="de-DE"/>
        </w:rPr>
        <w:t>Juli 2008:</w:t>
      </w:r>
    </w:p>
    <w:p w14:paraId="2BA5391B" w14:textId="77777777" w:rsidR="0006371A" w:rsidRPr="00B65258" w:rsidRDefault="0006371A" w:rsidP="0006371A">
      <w:pPr>
        <w:jc w:val="both"/>
        <w:rPr>
          <w:rFonts w:eastAsia="Calibri"/>
          <w:lang w:val="fr-BE" w:eastAsia="de-DE" w:bidi="de-DE"/>
        </w:rPr>
      </w:pPr>
    </w:p>
    <w:p w14:paraId="7C8C9540" w14:textId="77777777" w:rsidR="0006371A" w:rsidRPr="00B65258" w:rsidRDefault="0006371A" w:rsidP="0006371A">
      <w:pPr>
        <w:jc w:val="both"/>
        <w:rPr>
          <w:rFonts w:eastAsia="Calibri"/>
          <w:lang w:val="fr-BE" w:eastAsia="de-DE" w:bidi="de-DE"/>
        </w:rPr>
      </w:pPr>
      <w:r w:rsidRPr="00B65258">
        <w:rPr>
          <w:rFonts w:eastAsia="Calibri"/>
          <w:szCs w:val="22"/>
          <w:lang w:val="fr-BE" w:eastAsia="de-DE" w:bidi="de-DE"/>
        </w:rPr>
        <w:tab/>
      </w:r>
      <w:r w:rsidRPr="00B65258">
        <w:rPr>
          <w:rFonts w:eastAsia="Calibri"/>
          <w:lang w:val="fr-BE" w:eastAsia="de-DE" w:bidi="de-DE"/>
        </w:rPr>
        <w:t>- Centre hospitalier universitaire de Liège</w:t>
      </w:r>
    </w:p>
    <w:p w14:paraId="3846AD4A" w14:textId="77777777" w:rsidR="0006371A" w:rsidRPr="00B65258" w:rsidRDefault="0006371A" w:rsidP="0006371A">
      <w:pPr>
        <w:jc w:val="both"/>
        <w:rPr>
          <w:rFonts w:eastAsia="Calibri"/>
          <w:lang w:val="fr-BE" w:eastAsia="de-DE" w:bidi="de-DE"/>
        </w:rPr>
      </w:pPr>
    </w:p>
    <w:p w14:paraId="0A72BF3C" w14:textId="77777777" w:rsidR="0006371A" w:rsidRPr="00B65258" w:rsidRDefault="0006371A" w:rsidP="0006371A">
      <w:pPr>
        <w:jc w:val="both"/>
        <w:rPr>
          <w:rFonts w:eastAsia="Calibri"/>
          <w:lang w:val="fr-BE" w:eastAsia="de-DE" w:bidi="de-DE"/>
        </w:rPr>
      </w:pPr>
      <w:r w:rsidRPr="00B65258">
        <w:rPr>
          <w:rFonts w:eastAsia="Calibri"/>
          <w:szCs w:val="22"/>
          <w:lang w:val="fr-BE" w:eastAsia="de-DE" w:bidi="de-DE"/>
        </w:rPr>
        <w:tab/>
      </w:r>
      <w:r w:rsidRPr="00B65258">
        <w:rPr>
          <w:rFonts w:eastAsia="Calibri"/>
          <w:lang w:val="fr-BE" w:eastAsia="de-DE" w:bidi="de-DE"/>
        </w:rPr>
        <w:t>- Cliniques universitaires Saint-Luc</w:t>
      </w:r>
    </w:p>
    <w:p w14:paraId="6F1F21FB" w14:textId="77777777" w:rsidR="0006371A" w:rsidRPr="00B65258" w:rsidRDefault="0006371A" w:rsidP="0006371A">
      <w:pPr>
        <w:jc w:val="both"/>
        <w:rPr>
          <w:rFonts w:eastAsia="Calibri"/>
          <w:lang w:val="fr-BE" w:eastAsia="de-DE" w:bidi="de-DE"/>
        </w:rPr>
      </w:pPr>
    </w:p>
    <w:p w14:paraId="18679B70" w14:textId="77777777" w:rsidR="0006371A" w:rsidRPr="008C767B" w:rsidRDefault="0006371A" w:rsidP="0006371A">
      <w:pPr>
        <w:jc w:val="both"/>
        <w:rPr>
          <w:rFonts w:eastAsia="Calibri"/>
          <w:lang w:val="fr-BE" w:eastAsia="de-DE" w:bidi="de-DE"/>
        </w:rPr>
      </w:pPr>
      <w:r w:rsidRPr="00B65258">
        <w:rPr>
          <w:rFonts w:eastAsia="Calibri"/>
          <w:szCs w:val="22"/>
          <w:lang w:val="fr-BE" w:eastAsia="de-DE" w:bidi="de-DE"/>
        </w:rPr>
        <w:tab/>
      </w:r>
      <w:r w:rsidRPr="008C767B">
        <w:rPr>
          <w:rFonts w:eastAsia="Calibri"/>
          <w:lang w:val="fr-BE" w:eastAsia="de-DE" w:bidi="de-DE"/>
        </w:rPr>
        <w:t>- Belgisches Jüdisches Museum</w:t>
      </w:r>
    </w:p>
    <w:p w14:paraId="59C2D7E6" w14:textId="77777777" w:rsidR="0006371A" w:rsidRPr="008C767B" w:rsidRDefault="0006371A" w:rsidP="0006371A">
      <w:pPr>
        <w:jc w:val="both"/>
        <w:rPr>
          <w:rFonts w:eastAsia="Calibri"/>
          <w:lang w:val="fr-BE" w:eastAsia="de-DE" w:bidi="de-DE"/>
        </w:rPr>
      </w:pPr>
    </w:p>
    <w:p w14:paraId="22E185F2" w14:textId="77777777" w:rsidR="0006371A" w:rsidRPr="008C767B" w:rsidRDefault="0006371A" w:rsidP="0006371A">
      <w:pPr>
        <w:jc w:val="both"/>
        <w:rPr>
          <w:rFonts w:eastAsia="Calibri"/>
          <w:lang w:val="fr-BE" w:eastAsia="de-DE" w:bidi="de-DE"/>
        </w:rPr>
      </w:pPr>
      <w:r w:rsidRPr="008C767B">
        <w:rPr>
          <w:rFonts w:eastAsia="Calibri"/>
          <w:szCs w:val="22"/>
          <w:lang w:val="fr-BE" w:eastAsia="de-DE" w:bidi="de-DE"/>
        </w:rPr>
        <w:tab/>
      </w:r>
      <w:r w:rsidRPr="008C767B">
        <w:rPr>
          <w:rFonts w:eastAsia="Calibri"/>
          <w:lang w:val="fr-BE" w:eastAsia="de-DE" w:bidi="de-DE"/>
        </w:rPr>
        <w:t xml:space="preserve">- Stiftung für zeitgenössische Erinnerung </w:t>
      </w:r>
    </w:p>
    <w:p w14:paraId="40DC6443" w14:textId="77777777" w:rsidR="0006371A" w:rsidRPr="008C767B" w:rsidRDefault="0006371A" w:rsidP="0006371A">
      <w:pPr>
        <w:jc w:val="both"/>
        <w:rPr>
          <w:rFonts w:eastAsia="Calibri"/>
          <w:lang w:val="fr-BE" w:eastAsia="de-DE" w:bidi="de-DE"/>
        </w:rPr>
      </w:pPr>
    </w:p>
    <w:p w14:paraId="61FF45E4" w14:textId="77777777" w:rsidR="0006371A" w:rsidRPr="00B65258" w:rsidRDefault="0006371A" w:rsidP="0006371A">
      <w:pPr>
        <w:jc w:val="both"/>
        <w:rPr>
          <w:rFonts w:eastAsia="Calibri"/>
          <w:lang w:val="fr-BE" w:eastAsia="de-DE" w:bidi="de-DE"/>
        </w:rPr>
      </w:pPr>
      <w:r w:rsidRPr="008C767B">
        <w:rPr>
          <w:rFonts w:eastAsia="Calibri"/>
          <w:szCs w:val="22"/>
          <w:lang w:val="fr-BE" w:eastAsia="de-DE" w:bidi="de-DE"/>
        </w:rPr>
        <w:tab/>
      </w:r>
      <w:r w:rsidRPr="00B65258">
        <w:rPr>
          <w:rFonts w:eastAsia="Calibri"/>
          <w:lang w:val="fr-BE" w:eastAsia="de-DE" w:bidi="de-DE"/>
        </w:rPr>
        <w:t>- Centre d'Etude, de Recherche et d'Action en Architecture - Saint-Luc de Bruxelles</w:t>
      </w:r>
    </w:p>
    <w:p w14:paraId="192916B8" w14:textId="77777777" w:rsidR="0006371A" w:rsidRPr="00B65258" w:rsidRDefault="0006371A" w:rsidP="0006371A">
      <w:pPr>
        <w:jc w:val="both"/>
        <w:rPr>
          <w:rFonts w:eastAsia="Calibri"/>
          <w:lang w:val="fr-BE" w:eastAsia="de-DE" w:bidi="de-DE"/>
        </w:rPr>
      </w:pPr>
    </w:p>
    <w:p w14:paraId="585950FB" w14:textId="77777777" w:rsidR="0006371A" w:rsidRPr="008C767B" w:rsidRDefault="0006371A" w:rsidP="0006371A">
      <w:pPr>
        <w:jc w:val="both"/>
        <w:rPr>
          <w:rFonts w:eastAsia="Calibri"/>
          <w:lang w:val="fr-BE" w:eastAsia="de-DE" w:bidi="de-DE"/>
        </w:rPr>
      </w:pPr>
      <w:r w:rsidRPr="00B65258">
        <w:rPr>
          <w:rFonts w:eastAsia="Calibri"/>
          <w:szCs w:val="22"/>
          <w:lang w:val="fr-BE" w:eastAsia="de-DE" w:bidi="de-DE"/>
        </w:rPr>
        <w:tab/>
      </w:r>
      <w:r w:rsidRPr="008C767B">
        <w:rPr>
          <w:rFonts w:eastAsia="Calibri"/>
          <w:lang w:val="fr-BE" w:eastAsia="de-DE" w:bidi="de-DE"/>
        </w:rPr>
        <w:t>- Proefcentrum voor Sierteelt</w:t>
      </w:r>
    </w:p>
    <w:p w14:paraId="7584999A" w14:textId="77777777" w:rsidR="0006371A" w:rsidRPr="008C767B" w:rsidRDefault="0006371A" w:rsidP="0006371A">
      <w:pPr>
        <w:jc w:val="both"/>
        <w:rPr>
          <w:rFonts w:eastAsia="Calibri"/>
          <w:lang w:val="fr-BE" w:eastAsia="de-DE" w:bidi="de-DE"/>
        </w:rPr>
      </w:pPr>
    </w:p>
    <w:p w14:paraId="7B05A2C7" w14:textId="77777777" w:rsidR="0006371A" w:rsidRPr="008C767B" w:rsidRDefault="0006371A" w:rsidP="0006371A">
      <w:pPr>
        <w:jc w:val="both"/>
        <w:rPr>
          <w:rFonts w:eastAsia="Calibri"/>
          <w:lang w:val="fr-BE" w:eastAsia="de-DE" w:bidi="de-DE"/>
        </w:rPr>
      </w:pPr>
      <w:r w:rsidRPr="008C767B">
        <w:rPr>
          <w:rFonts w:eastAsia="Calibri"/>
          <w:szCs w:val="22"/>
          <w:lang w:val="fr-BE" w:eastAsia="de-DE" w:bidi="de-DE"/>
        </w:rPr>
        <w:tab/>
      </w:r>
      <w:r w:rsidRPr="008C767B">
        <w:rPr>
          <w:rFonts w:eastAsia="Calibri"/>
          <w:lang w:val="fr-BE" w:eastAsia="de-DE" w:bidi="de-DE"/>
        </w:rPr>
        <w:t>- Proefstation voor de Groenteteelt</w:t>
      </w:r>
    </w:p>
    <w:p w14:paraId="2242939F" w14:textId="77777777" w:rsidR="0006371A" w:rsidRPr="008C767B" w:rsidRDefault="0006371A" w:rsidP="0006371A">
      <w:pPr>
        <w:jc w:val="both"/>
        <w:rPr>
          <w:rFonts w:eastAsia="Calibri"/>
          <w:lang w:val="fr-BE" w:eastAsia="de-DE" w:bidi="de-DE"/>
        </w:rPr>
      </w:pPr>
    </w:p>
    <w:p w14:paraId="6F2600D1" w14:textId="77777777" w:rsidR="0006371A" w:rsidRPr="00B65258" w:rsidRDefault="0006371A" w:rsidP="0006371A">
      <w:pPr>
        <w:jc w:val="both"/>
        <w:rPr>
          <w:rFonts w:eastAsia="Calibri"/>
          <w:lang w:eastAsia="de-DE" w:bidi="de-DE"/>
        </w:rPr>
      </w:pPr>
      <w:r w:rsidRPr="008C767B">
        <w:rPr>
          <w:rFonts w:eastAsia="Calibri"/>
          <w:szCs w:val="22"/>
          <w:lang w:val="fr-BE" w:eastAsia="de-DE" w:bidi="de-DE"/>
        </w:rPr>
        <w:tab/>
      </w:r>
      <w:r w:rsidRPr="00B65258">
        <w:rPr>
          <w:rFonts w:eastAsia="Calibri"/>
          <w:lang w:eastAsia="de-DE" w:bidi="de-DE"/>
        </w:rPr>
        <w:t>- Proefcentrum Hoogstraten</w:t>
      </w:r>
    </w:p>
    <w:p w14:paraId="1FFA4BC3" w14:textId="77777777" w:rsidR="0006371A" w:rsidRPr="00B65258" w:rsidRDefault="0006371A" w:rsidP="0006371A">
      <w:pPr>
        <w:jc w:val="both"/>
        <w:rPr>
          <w:rFonts w:eastAsia="Calibri"/>
          <w:lang w:eastAsia="de-DE" w:bidi="de-DE"/>
        </w:rPr>
      </w:pPr>
    </w:p>
    <w:p w14:paraId="603938CD"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 Beobachtungsstelle Kredit und Schuldenlast</w:t>
      </w:r>
    </w:p>
    <w:p w14:paraId="0E44FCD3" w14:textId="77777777" w:rsidR="0006371A" w:rsidRPr="00B65258" w:rsidRDefault="0006371A" w:rsidP="0006371A">
      <w:pPr>
        <w:jc w:val="both"/>
        <w:rPr>
          <w:rFonts w:eastAsia="Calibri"/>
          <w:lang w:eastAsia="de-DE" w:bidi="de-DE"/>
        </w:rPr>
      </w:pPr>
    </w:p>
    <w:p w14:paraId="07A3D0CB" w14:textId="77777777" w:rsidR="0006371A" w:rsidRPr="00B65258" w:rsidRDefault="0006371A" w:rsidP="0006371A">
      <w:pPr>
        <w:jc w:val="both"/>
        <w:rPr>
          <w:rFonts w:eastAsia="Calibri"/>
          <w:lang w:val="fr-BE" w:eastAsia="de-DE" w:bidi="de-DE"/>
        </w:rPr>
      </w:pPr>
      <w:r w:rsidRPr="00B65258">
        <w:rPr>
          <w:rFonts w:eastAsia="Calibri"/>
          <w:szCs w:val="22"/>
          <w:lang w:eastAsia="de-DE" w:bidi="de-DE"/>
        </w:rPr>
        <w:tab/>
      </w:r>
      <w:r w:rsidRPr="00B65258">
        <w:rPr>
          <w:rFonts w:eastAsia="Calibri"/>
          <w:lang w:val="fr-BE" w:eastAsia="de-DE" w:bidi="de-DE"/>
        </w:rPr>
        <w:t>- Institut für genetische Pathologie</w:t>
      </w:r>
    </w:p>
    <w:p w14:paraId="328DC0AE" w14:textId="77777777" w:rsidR="0006371A" w:rsidRPr="00B65258" w:rsidRDefault="0006371A" w:rsidP="0006371A">
      <w:pPr>
        <w:jc w:val="both"/>
        <w:rPr>
          <w:rFonts w:eastAsia="Calibri"/>
          <w:lang w:val="fr-BE" w:eastAsia="de-DE" w:bidi="de-DE"/>
        </w:rPr>
      </w:pPr>
    </w:p>
    <w:p w14:paraId="0325B140" w14:textId="77777777" w:rsidR="0006371A" w:rsidRPr="00B65258" w:rsidRDefault="0006371A" w:rsidP="0006371A">
      <w:pPr>
        <w:jc w:val="both"/>
        <w:rPr>
          <w:rFonts w:eastAsia="Calibri"/>
          <w:lang w:val="fr-BE" w:eastAsia="de-DE" w:bidi="de-DE"/>
        </w:rPr>
      </w:pPr>
      <w:r w:rsidRPr="00B65258">
        <w:rPr>
          <w:rFonts w:eastAsia="Calibri"/>
          <w:szCs w:val="22"/>
          <w:lang w:val="fr-BE" w:eastAsia="de-DE" w:bidi="de-DE"/>
        </w:rPr>
        <w:tab/>
      </w:r>
      <w:r w:rsidRPr="00B65258">
        <w:rPr>
          <w:rFonts w:eastAsia="Calibri"/>
          <w:lang w:val="fr-BE" w:eastAsia="de-DE" w:bidi="de-DE"/>
        </w:rPr>
        <w:t>- Institut de Recherche de l'Institut supérieur industriel de Bruxelles</w:t>
      </w:r>
    </w:p>
    <w:p w14:paraId="580D9627" w14:textId="77777777" w:rsidR="0006371A" w:rsidRPr="00B65258" w:rsidRDefault="0006371A" w:rsidP="0006371A">
      <w:pPr>
        <w:jc w:val="both"/>
        <w:rPr>
          <w:rFonts w:eastAsia="Calibri"/>
          <w:lang w:val="fr-BE" w:eastAsia="de-DE" w:bidi="de-DE"/>
        </w:rPr>
      </w:pPr>
    </w:p>
    <w:p w14:paraId="1C462EF6" w14:textId="77777777" w:rsidR="0006371A" w:rsidRPr="00B65258" w:rsidRDefault="0006371A" w:rsidP="0006371A">
      <w:pPr>
        <w:jc w:val="both"/>
        <w:rPr>
          <w:rFonts w:eastAsia="Calibri"/>
          <w:lang w:val="fr-BE" w:eastAsia="de-DE" w:bidi="de-DE"/>
        </w:rPr>
      </w:pPr>
      <w:r w:rsidRPr="00B65258">
        <w:rPr>
          <w:rFonts w:eastAsia="Calibri"/>
          <w:szCs w:val="22"/>
          <w:lang w:val="fr-BE" w:eastAsia="de-DE" w:bidi="de-DE"/>
        </w:rPr>
        <w:tab/>
      </w:r>
      <w:r w:rsidRPr="00B65258">
        <w:rPr>
          <w:rFonts w:eastAsia="Calibri"/>
          <w:lang w:val="fr-BE" w:eastAsia="de-DE" w:bidi="de-DE"/>
        </w:rPr>
        <w:t>- Centre de Recherche et de Développement de l'ECAM</w:t>
      </w:r>
    </w:p>
    <w:p w14:paraId="4B846736" w14:textId="77777777" w:rsidR="0006371A" w:rsidRPr="00B65258" w:rsidRDefault="0006371A" w:rsidP="0006371A">
      <w:pPr>
        <w:jc w:val="both"/>
        <w:rPr>
          <w:rFonts w:eastAsia="Calibri"/>
          <w:lang w:val="fr-BE" w:eastAsia="de-DE" w:bidi="de-DE"/>
        </w:rPr>
      </w:pPr>
    </w:p>
    <w:p w14:paraId="31786646" w14:textId="77777777" w:rsidR="0006371A" w:rsidRPr="00440C0E" w:rsidRDefault="0006371A" w:rsidP="0006371A">
      <w:pPr>
        <w:jc w:val="both"/>
        <w:rPr>
          <w:rFonts w:eastAsia="Calibri"/>
          <w:lang w:eastAsia="de-DE" w:bidi="de-DE"/>
        </w:rPr>
      </w:pPr>
      <w:r w:rsidRPr="00B65258">
        <w:rPr>
          <w:rFonts w:eastAsia="Calibri"/>
          <w:szCs w:val="22"/>
          <w:lang w:val="fr-BE" w:eastAsia="de-DE" w:bidi="de-DE"/>
        </w:rPr>
        <w:tab/>
      </w:r>
      <w:r w:rsidRPr="00440C0E">
        <w:rPr>
          <w:rFonts w:eastAsia="Calibri"/>
          <w:lang w:eastAsia="de-DE" w:bidi="de-DE"/>
        </w:rPr>
        <w:t>- Société des Bollandistes]</w:t>
      </w:r>
    </w:p>
    <w:p w14:paraId="72F8553B" w14:textId="77777777" w:rsidR="0006371A" w:rsidRPr="00B65258" w:rsidRDefault="0006371A" w:rsidP="0006371A">
      <w:pPr>
        <w:jc w:val="both"/>
        <w:rPr>
          <w:rFonts w:eastAsia="Calibri"/>
          <w:b/>
          <w:i/>
          <w:lang w:val="fr-BE" w:eastAsia="de-DE" w:bidi="de-DE"/>
        </w:rPr>
      </w:pPr>
      <w:r w:rsidRPr="00440C0E">
        <w:rPr>
          <w:rFonts w:eastAsia="Calibri"/>
          <w:lang w:eastAsia="de-DE" w:bidi="de-DE"/>
        </w:rPr>
        <w:br w:type="page"/>
      </w:r>
      <w:r w:rsidRPr="00440C0E">
        <w:rPr>
          <w:rFonts w:eastAsia="Calibri"/>
          <w:szCs w:val="22"/>
          <w:lang w:eastAsia="de-DE" w:bidi="de-DE"/>
        </w:rPr>
        <w:lastRenderedPageBreak/>
        <w:tab/>
      </w:r>
      <w:r w:rsidRPr="00440C0E">
        <w:rPr>
          <w:rFonts w:eastAsia="Calibri"/>
          <w:lang w:eastAsia="de-DE" w:bidi="de-DE"/>
        </w:rPr>
        <w:t>[</w:t>
      </w:r>
      <w:r w:rsidRPr="00440C0E">
        <w:rPr>
          <w:rFonts w:eastAsia="Calibri"/>
          <w:b/>
          <w:i/>
          <w:lang w:eastAsia="de-DE" w:bidi="de-DE"/>
        </w:rPr>
        <w:t>Zulassung ab 1. </w:t>
      </w:r>
      <w:r w:rsidRPr="00B65258">
        <w:rPr>
          <w:rFonts w:eastAsia="Calibri"/>
          <w:b/>
          <w:i/>
          <w:lang w:val="fr-BE" w:eastAsia="de-DE" w:bidi="de-DE"/>
        </w:rPr>
        <w:t>Januar 2009:</w:t>
      </w:r>
    </w:p>
    <w:p w14:paraId="3BEAB56A" w14:textId="77777777" w:rsidR="0006371A" w:rsidRPr="00B65258" w:rsidRDefault="0006371A" w:rsidP="0006371A">
      <w:pPr>
        <w:jc w:val="both"/>
        <w:rPr>
          <w:rFonts w:eastAsia="Calibri"/>
          <w:lang w:val="fr-BE" w:eastAsia="de-DE" w:bidi="de-DE"/>
        </w:rPr>
      </w:pPr>
    </w:p>
    <w:p w14:paraId="363E7C73" w14:textId="77777777" w:rsidR="0006371A" w:rsidRPr="00B65258" w:rsidRDefault="0006371A" w:rsidP="0006371A">
      <w:pPr>
        <w:jc w:val="both"/>
        <w:rPr>
          <w:rFonts w:eastAsia="Calibri"/>
          <w:lang w:val="fr-BE" w:eastAsia="de-DE" w:bidi="de-DE"/>
        </w:rPr>
      </w:pPr>
      <w:r w:rsidRPr="00B65258">
        <w:rPr>
          <w:rFonts w:eastAsia="Calibri"/>
          <w:szCs w:val="22"/>
          <w:lang w:val="fr-BE" w:eastAsia="de-DE" w:bidi="de-DE"/>
        </w:rPr>
        <w:tab/>
      </w:r>
      <w:r w:rsidRPr="00B65258">
        <w:rPr>
          <w:rFonts w:eastAsia="Calibri"/>
          <w:lang w:val="fr-BE" w:eastAsia="de-DE" w:bidi="de-DE"/>
        </w:rPr>
        <w:t>- Association hospitalière de Bruxelles et de Schaerbeek - Centre Hospitalier Universitaire Brugmann</w:t>
      </w:r>
    </w:p>
    <w:p w14:paraId="1639128F" w14:textId="77777777" w:rsidR="0006371A" w:rsidRPr="00B65258" w:rsidRDefault="0006371A" w:rsidP="0006371A">
      <w:pPr>
        <w:jc w:val="both"/>
        <w:rPr>
          <w:rFonts w:eastAsia="Calibri"/>
          <w:lang w:val="fr-BE" w:eastAsia="de-DE" w:bidi="de-DE"/>
        </w:rPr>
      </w:pPr>
    </w:p>
    <w:p w14:paraId="2689B611" w14:textId="77777777" w:rsidR="0006371A" w:rsidRPr="00B65258" w:rsidRDefault="0006371A" w:rsidP="0006371A">
      <w:pPr>
        <w:jc w:val="both"/>
        <w:rPr>
          <w:rFonts w:eastAsia="Calibri"/>
          <w:lang w:eastAsia="de-DE" w:bidi="de-DE"/>
        </w:rPr>
      </w:pPr>
      <w:r w:rsidRPr="00B65258">
        <w:rPr>
          <w:rFonts w:eastAsia="Calibri"/>
          <w:szCs w:val="22"/>
          <w:lang w:val="fr-BE" w:eastAsia="de-DE" w:bidi="de-DE"/>
        </w:rPr>
        <w:tab/>
      </w:r>
      <w:r w:rsidRPr="00B65258">
        <w:rPr>
          <w:rFonts w:eastAsia="Calibri"/>
          <w:lang w:eastAsia="de-DE" w:bidi="de-DE"/>
        </w:rPr>
        <w:t>- Christliche gegenseitige Solidarität VoG]</w:t>
      </w:r>
    </w:p>
    <w:p w14:paraId="0C1A73E9" w14:textId="77777777" w:rsidR="0006371A" w:rsidRPr="00B65258" w:rsidRDefault="0006371A" w:rsidP="0006371A">
      <w:pPr>
        <w:jc w:val="both"/>
        <w:rPr>
          <w:rFonts w:eastAsia="Calibri"/>
          <w:lang w:eastAsia="de-DE" w:bidi="de-DE"/>
        </w:rPr>
      </w:pPr>
    </w:p>
    <w:p w14:paraId="6DDD5AED" w14:textId="77777777" w:rsidR="0006371A" w:rsidRPr="00B65258" w:rsidRDefault="0006371A" w:rsidP="0006371A">
      <w:pPr>
        <w:jc w:val="both"/>
        <w:rPr>
          <w:rFonts w:eastAsia="Calibri"/>
          <w:lang w:val="fr-BE" w:eastAsia="de-DE" w:bidi="de-DE"/>
        </w:rPr>
      </w:pPr>
      <w:r w:rsidRPr="00B65258">
        <w:rPr>
          <w:rFonts w:eastAsia="Calibri"/>
          <w:szCs w:val="22"/>
          <w:lang w:eastAsia="de-DE" w:bidi="de-DE"/>
        </w:rPr>
        <w:tab/>
      </w:r>
      <w:r w:rsidRPr="00D13B71">
        <w:rPr>
          <w:rFonts w:eastAsia="Calibri"/>
          <w:lang w:eastAsia="de-DE" w:bidi="de-DE"/>
        </w:rPr>
        <w:t>[</w:t>
      </w:r>
      <w:r w:rsidRPr="00B65258">
        <w:rPr>
          <w:rFonts w:eastAsia="Calibri"/>
          <w:b/>
          <w:i/>
          <w:lang w:eastAsia="de-DE" w:bidi="de-DE"/>
        </w:rPr>
        <w:t>Zulassung ab 1. </w:t>
      </w:r>
      <w:r w:rsidRPr="00B65258">
        <w:rPr>
          <w:rFonts w:eastAsia="Calibri"/>
          <w:b/>
          <w:i/>
          <w:lang w:val="fr-BE" w:eastAsia="de-DE" w:bidi="de-DE"/>
        </w:rPr>
        <w:t>April 2010:</w:t>
      </w:r>
    </w:p>
    <w:p w14:paraId="5FF63985" w14:textId="77777777" w:rsidR="0006371A" w:rsidRPr="00B65258" w:rsidRDefault="0006371A" w:rsidP="0006371A">
      <w:pPr>
        <w:jc w:val="both"/>
        <w:rPr>
          <w:rFonts w:eastAsia="Calibri"/>
          <w:lang w:val="fr-BE" w:eastAsia="de-DE" w:bidi="de-DE"/>
        </w:rPr>
      </w:pPr>
    </w:p>
    <w:p w14:paraId="0409943D" w14:textId="77777777" w:rsidR="0006371A" w:rsidRPr="00B65258" w:rsidRDefault="0006371A" w:rsidP="0006371A">
      <w:pPr>
        <w:jc w:val="both"/>
        <w:rPr>
          <w:rFonts w:eastAsia="Calibri"/>
          <w:lang w:val="fr-BE" w:eastAsia="de-DE" w:bidi="de-DE"/>
        </w:rPr>
      </w:pPr>
      <w:r w:rsidRPr="00B65258">
        <w:rPr>
          <w:rFonts w:eastAsia="Calibri"/>
          <w:szCs w:val="22"/>
          <w:lang w:val="fr-BE" w:eastAsia="de-DE" w:bidi="de-DE"/>
        </w:rPr>
        <w:tab/>
      </w:r>
      <w:r w:rsidRPr="00B65258">
        <w:rPr>
          <w:rFonts w:eastAsia="Calibri"/>
          <w:lang w:val="fr-BE" w:eastAsia="de-DE" w:bidi="de-DE"/>
        </w:rPr>
        <w:t>- Centre d’expertise et de Ressources pour l’Enfance (CERE) VoG</w:t>
      </w:r>
    </w:p>
    <w:p w14:paraId="7E88915E" w14:textId="77777777" w:rsidR="0006371A" w:rsidRPr="00B65258" w:rsidRDefault="0006371A" w:rsidP="0006371A">
      <w:pPr>
        <w:jc w:val="both"/>
        <w:rPr>
          <w:rFonts w:eastAsia="Calibri"/>
          <w:lang w:val="fr-BE" w:eastAsia="de-DE" w:bidi="de-DE"/>
        </w:rPr>
      </w:pPr>
    </w:p>
    <w:p w14:paraId="583DBF9A" w14:textId="77777777" w:rsidR="0006371A" w:rsidRPr="00B65258" w:rsidRDefault="0006371A" w:rsidP="0006371A">
      <w:pPr>
        <w:jc w:val="both"/>
        <w:rPr>
          <w:rFonts w:eastAsia="Calibri"/>
          <w:lang w:val="nl-NL" w:eastAsia="de-DE" w:bidi="de-DE"/>
        </w:rPr>
      </w:pPr>
      <w:r w:rsidRPr="00B65258">
        <w:rPr>
          <w:rFonts w:eastAsia="Calibri"/>
          <w:szCs w:val="22"/>
          <w:lang w:val="fr-BE" w:eastAsia="de-DE" w:bidi="de-DE"/>
        </w:rPr>
        <w:tab/>
      </w:r>
      <w:r w:rsidRPr="00B65258">
        <w:rPr>
          <w:rFonts w:eastAsia="Calibri"/>
          <w:lang w:val="nl-NL" w:eastAsia="de-DE" w:bidi="de-DE"/>
        </w:rPr>
        <w:t>- Vormingscentrum voor de begeleiding van het jonge kind (VBJK) VoG</w:t>
      </w:r>
    </w:p>
    <w:p w14:paraId="53EC6BE8" w14:textId="77777777" w:rsidR="0006371A" w:rsidRPr="00B65258" w:rsidRDefault="0006371A" w:rsidP="0006371A">
      <w:pPr>
        <w:jc w:val="both"/>
        <w:rPr>
          <w:rFonts w:eastAsia="Calibri"/>
          <w:lang w:val="nl-NL" w:eastAsia="de-DE" w:bidi="de-DE"/>
        </w:rPr>
      </w:pPr>
    </w:p>
    <w:p w14:paraId="2FF491E0" w14:textId="77777777" w:rsidR="0006371A" w:rsidRPr="00B65258" w:rsidRDefault="0006371A" w:rsidP="0006371A">
      <w:pPr>
        <w:jc w:val="both"/>
        <w:rPr>
          <w:rFonts w:eastAsia="Calibri"/>
          <w:lang w:val="fr-BE" w:eastAsia="de-DE" w:bidi="de-DE"/>
        </w:rPr>
      </w:pPr>
      <w:r w:rsidRPr="00B65258">
        <w:rPr>
          <w:rFonts w:eastAsia="Calibri"/>
          <w:szCs w:val="22"/>
          <w:lang w:val="nl-NL" w:eastAsia="de-DE" w:bidi="de-DE"/>
        </w:rPr>
        <w:tab/>
      </w:r>
      <w:r w:rsidRPr="00B65258">
        <w:rPr>
          <w:rFonts w:eastAsia="Calibri"/>
          <w:lang w:val="fr-BE" w:eastAsia="de-DE" w:bidi="de-DE"/>
        </w:rPr>
        <w:t>- Association internationale de la Savonnerie, de la Détergence et des Produits d’Entretien (AISE) VoG</w:t>
      </w:r>
    </w:p>
    <w:p w14:paraId="548D1C1C" w14:textId="77777777" w:rsidR="0006371A" w:rsidRPr="00B65258" w:rsidRDefault="0006371A" w:rsidP="0006371A">
      <w:pPr>
        <w:jc w:val="both"/>
        <w:rPr>
          <w:rFonts w:eastAsia="Calibri"/>
          <w:lang w:val="fr-BE" w:eastAsia="de-DE" w:bidi="de-DE"/>
        </w:rPr>
      </w:pPr>
    </w:p>
    <w:p w14:paraId="447C40ED" w14:textId="77777777" w:rsidR="0006371A" w:rsidRPr="00B65258" w:rsidRDefault="0006371A" w:rsidP="0006371A">
      <w:pPr>
        <w:jc w:val="both"/>
        <w:rPr>
          <w:rFonts w:eastAsia="Calibri"/>
          <w:lang w:val="nl-NL" w:eastAsia="de-DE" w:bidi="de-DE"/>
        </w:rPr>
      </w:pPr>
      <w:r w:rsidRPr="00B65258">
        <w:rPr>
          <w:rFonts w:eastAsia="Calibri"/>
          <w:szCs w:val="22"/>
          <w:lang w:val="fr-BE" w:eastAsia="de-DE" w:bidi="de-DE"/>
        </w:rPr>
        <w:tab/>
      </w:r>
      <w:r w:rsidRPr="00B65258">
        <w:rPr>
          <w:rFonts w:eastAsia="Calibri"/>
          <w:lang w:val="nl-NL" w:eastAsia="de-DE" w:bidi="de-DE"/>
        </w:rPr>
        <w:t>- Centrum voor Innovatie en Stimulatie van Medicijnontwikkeling Leuven (CISTIM Leuven) VoG</w:t>
      </w:r>
    </w:p>
    <w:p w14:paraId="6DD3AD5F" w14:textId="77777777" w:rsidR="0006371A" w:rsidRPr="00B65258" w:rsidRDefault="0006371A" w:rsidP="0006371A">
      <w:pPr>
        <w:jc w:val="both"/>
        <w:rPr>
          <w:rFonts w:eastAsia="Calibri"/>
          <w:lang w:val="nl-NL" w:eastAsia="de-DE" w:bidi="de-DE"/>
        </w:rPr>
      </w:pPr>
    </w:p>
    <w:p w14:paraId="6CAEF737" w14:textId="77777777" w:rsidR="0006371A" w:rsidRPr="00B65258" w:rsidRDefault="0006371A" w:rsidP="0006371A">
      <w:pPr>
        <w:jc w:val="both"/>
        <w:rPr>
          <w:rFonts w:eastAsia="Calibri"/>
          <w:lang w:eastAsia="de-DE" w:bidi="de-DE"/>
        </w:rPr>
      </w:pPr>
      <w:r w:rsidRPr="00B65258">
        <w:rPr>
          <w:rFonts w:eastAsia="Calibri"/>
          <w:szCs w:val="22"/>
          <w:lang w:val="nl-NL" w:eastAsia="de-DE" w:bidi="de-DE"/>
        </w:rPr>
        <w:tab/>
      </w:r>
      <w:r w:rsidRPr="00B65258">
        <w:rPr>
          <w:rFonts w:eastAsia="Calibri"/>
          <w:lang w:eastAsia="de-DE" w:bidi="de-DE"/>
        </w:rPr>
        <w:t>- Belgischer Bodenkundlicher Dienst VoG]</w:t>
      </w:r>
    </w:p>
    <w:p w14:paraId="0F4EF3CB" w14:textId="77777777" w:rsidR="0006371A" w:rsidRPr="00B65258" w:rsidRDefault="0006371A" w:rsidP="0006371A">
      <w:pPr>
        <w:jc w:val="both"/>
        <w:rPr>
          <w:rFonts w:eastAsia="Calibri"/>
          <w:lang w:eastAsia="de-DE" w:bidi="de-DE"/>
        </w:rPr>
      </w:pPr>
    </w:p>
    <w:p w14:paraId="62EB5B21" w14:textId="77777777" w:rsidR="0006371A" w:rsidRPr="00B65258" w:rsidRDefault="0006371A" w:rsidP="0006371A">
      <w:pPr>
        <w:jc w:val="both"/>
        <w:rPr>
          <w:rFonts w:eastAsia="Calibri"/>
          <w:lang w:val="nl-NL" w:eastAsia="de-DE" w:bidi="de-DE"/>
        </w:rPr>
      </w:pPr>
      <w:r w:rsidRPr="00B65258">
        <w:rPr>
          <w:rFonts w:eastAsia="Calibri"/>
          <w:szCs w:val="22"/>
          <w:lang w:eastAsia="de-DE" w:bidi="de-DE"/>
        </w:rPr>
        <w:tab/>
      </w:r>
      <w:r w:rsidRPr="00D13B71">
        <w:rPr>
          <w:rFonts w:eastAsia="Calibri"/>
          <w:lang w:eastAsia="de-DE" w:bidi="de-DE"/>
        </w:rPr>
        <w:t>[</w:t>
      </w:r>
      <w:r w:rsidRPr="0006371A">
        <w:rPr>
          <w:rFonts w:eastAsia="Calibri"/>
          <w:b/>
          <w:i/>
          <w:lang w:eastAsia="de-DE" w:bidi="de-DE"/>
        </w:rPr>
        <w:t>Ab 1. </w:t>
      </w:r>
      <w:r w:rsidRPr="00B65258">
        <w:rPr>
          <w:rFonts w:eastAsia="Calibri"/>
          <w:b/>
          <w:i/>
          <w:lang w:val="nl-NL" w:eastAsia="de-DE" w:bidi="de-DE"/>
        </w:rPr>
        <w:t>Januar 2012:</w:t>
      </w:r>
    </w:p>
    <w:p w14:paraId="7A13FD84" w14:textId="77777777" w:rsidR="0006371A" w:rsidRPr="00B65258" w:rsidRDefault="0006371A" w:rsidP="0006371A">
      <w:pPr>
        <w:jc w:val="both"/>
        <w:rPr>
          <w:rFonts w:eastAsia="Calibri"/>
          <w:lang w:val="nl-NL" w:eastAsia="de-DE" w:bidi="de-DE"/>
        </w:rPr>
      </w:pPr>
    </w:p>
    <w:p w14:paraId="6BF1ACCF"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1) Nationale Proeftuin voor Witloof</w:t>
      </w:r>
    </w:p>
    <w:p w14:paraId="317F64C8" w14:textId="77777777" w:rsidR="0006371A" w:rsidRPr="00B65258" w:rsidRDefault="0006371A" w:rsidP="0006371A">
      <w:pPr>
        <w:jc w:val="both"/>
        <w:rPr>
          <w:rFonts w:eastAsia="Calibri"/>
          <w:lang w:val="nl-NL" w:eastAsia="de-DE" w:bidi="de-DE"/>
        </w:rPr>
      </w:pPr>
    </w:p>
    <w:p w14:paraId="7F4A0F90"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2) BB-consult</w:t>
      </w:r>
    </w:p>
    <w:p w14:paraId="57440F62" w14:textId="77777777" w:rsidR="0006371A" w:rsidRPr="00B65258" w:rsidRDefault="0006371A" w:rsidP="0006371A">
      <w:pPr>
        <w:jc w:val="both"/>
        <w:rPr>
          <w:rFonts w:eastAsia="Calibri"/>
          <w:lang w:val="nl-NL" w:eastAsia="de-DE" w:bidi="de-DE"/>
        </w:rPr>
      </w:pPr>
    </w:p>
    <w:p w14:paraId="690EF70B"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3) Provinciaal Proefcentrum voor de Groententeelt Oost-Vlaanderen</w:t>
      </w:r>
    </w:p>
    <w:p w14:paraId="7E285608" w14:textId="77777777" w:rsidR="0006371A" w:rsidRPr="00B65258" w:rsidRDefault="0006371A" w:rsidP="0006371A">
      <w:pPr>
        <w:jc w:val="both"/>
        <w:rPr>
          <w:rFonts w:eastAsia="Calibri"/>
          <w:lang w:val="nl-NL" w:eastAsia="de-DE" w:bidi="de-DE"/>
        </w:rPr>
      </w:pPr>
    </w:p>
    <w:p w14:paraId="6C796677"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4) Passiefhuis-Platform</w:t>
      </w:r>
    </w:p>
    <w:p w14:paraId="085CE349" w14:textId="77777777" w:rsidR="0006371A" w:rsidRPr="00B65258" w:rsidRDefault="0006371A" w:rsidP="0006371A">
      <w:pPr>
        <w:jc w:val="both"/>
        <w:rPr>
          <w:rFonts w:eastAsia="Calibri"/>
          <w:lang w:val="nl-NL" w:eastAsia="de-DE" w:bidi="de-DE"/>
        </w:rPr>
      </w:pPr>
    </w:p>
    <w:p w14:paraId="6E882B54"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b/>
          <w:i/>
          <w:lang w:val="nl-NL" w:eastAsia="de-DE" w:bidi="de-DE"/>
        </w:rPr>
        <w:t>Ab 1. Januar 2013:</w:t>
      </w:r>
    </w:p>
    <w:p w14:paraId="78F31E1D" w14:textId="77777777" w:rsidR="0006371A" w:rsidRPr="00B65258" w:rsidRDefault="0006371A" w:rsidP="0006371A">
      <w:pPr>
        <w:jc w:val="both"/>
        <w:rPr>
          <w:rFonts w:eastAsia="Calibri"/>
          <w:lang w:val="nl-NL" w:eastAsia="de-DE" w:bidi="de-DE"/>
        </w:rPr>
      </w:pPr>
    </w:p>
    <w:p w14:paraId="21D72E41"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xml:space="preserve">5) Natuurpunt Studie </w:t>
      </w:r>
    </w:p>
    <w:p w14:paraId="571646DC" w14:textId="77777777" w:rsidR="0006371A" w:rsidRPr="00B65258" w:rsidRDefault="0006371A" w:rsidP="0006371A">
      <w:pPr>
        <w:jc w:val="both"/>
        <w:rPr>
          <w:rFonts w:eastAsia="Calibri"/>
          <w:lang w:val="nl-NL" w:eastAsia="de-DE" w:bidi="de-DE"/>
        </w:rPr>
      </w:pPr>
    </w:p>
    <w:p w14:paraId="0CA93832"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6) Natagora</w:t>
      </w:r>
    </w:p>
    <w:p w14:paraId="52DD9A93" w14:textId="77777777" w:rsidR="0006371A" w:rsidRPr="00B65258" w:rsidRDefault="0006371A" w:rsidP="0006371A">
      <w:pPr>
        <w:jc w:val="both"/>
        <w:rPr>
          <w:rFonts w:eastAsia="Calibri"/>
          <w:lang w:val="nl-NL" w:eastAsia="de-DE" w:bidi="de-DE"/>
        </w:rPr>
      </w:pPr>
    </w:p>
    <w:p w14:paraId="1A7FCD06"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xml:space="preserve">7) Brussels Heart Center </w:t>
      </w:r>
    </w:p>
    <w:p w14:paraId="33E92DEE" w14:textId="77777777" w:rsidR="0006371A" w:rsidRPr="00B65258" w:rsidRDefault="0006371A" w:rsidP="0006371A">
      <w:pPr>
        <w:jc w:val="both"/>
        <w:rPr>
          <w:rFonts w:eastAsia="Calibri"/>
          <w:lang w:val="nl-NL" w:eastAsia="de-DE" w:bidi="de-DE"/>
        </w:rPr>
      </w:pPr>
    </w:p>
    <w:p w14:paraId="1393D9A2"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 xml:space="preserve">8) Dierengezondheidszorg Vlaanderen </w:t>
      </w:r>
    </w:p>
    <w:p w14:paraId="2A10CAFC" w14:textId="77777777" w:rsidR="0006371A" w:rsidRPr="00B65258" w:rsidRDefault="0006371A" w:rsidP="0006371A">
      <w:pPr>
        <w:jc w:val="both"/>
        <w:rPr>
          <w:rFonts w:eastAsia="Calibri"/>
          <w:lang w:val="nl-NL" w:eastAsia="de-DE" w:bidi="de-DE"/>
        </w:rPr>
      </w:pPr>
    </w:p>
    <w:p w14:paraId="6147E2B0"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9) Vlaams Centrum voor Bewaring van Tuinbouwproducten</w:t>
      </w:r>
    </w:p>
    <w:p w14:paraId="1DD05C2C" w14:textId="77777777" w:rsidR="0006371A" w:rsidRPr="00B65258" w:rsidRDefault="0006371A" w:rsidP="0006371A">
      <w:pPr>
        <w:jc w:val="both"/>
        <w:rPr>
          <w:rFonts w:eastAsia="Calibri"/>
          <w:lang w:val="nl-NL" w:eastAsia="de-DE" w:bidi="de-DE"/>
        </w:rPr>
      </w:pPr>
    </w:p>
    <w:p w14:paraId="5D6CBC7B"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10) Inagro</w:t>
      </w:r>
    </w:p>
    <w:p w14:paraId="2F8792E0" w14:textId="77777777" w:rsidR="0006371A" w:rsidRPr="00B65258" w:rsidRDefault="0006371A" w:rsidP="0006371A">
      <w:pPr>
        <w:jc w:val="both"/>
        <w:rPr>
          <w:rFonts w:eastAsia="Calibri"/>
          <w:lang w:val="nl-NL" w:eastAsia="de-DE" w:bidi="de-DE"/>
        </w:rPr>
      </w:pPr>
    </w:p>
    <w:p w14:paraId="7F1A6D31"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11) Vlaams Gebarentaalcentrum</w:t>
      </w:r>
    </w:p>
    <w:p w14:paraId="33DBFE7E" w14:textId="77777777" w:rsidR="0006371A" w:rsidRPr="00B65258" w:rsidRDefault="0006371A" w:rsidP="0006371A">
      <w:pPr>
        <w:jc w:val="both"/>
        <w:rPr>
          <w:rFonts w:eastAsia="Calibri"/>
          <w:lang w:val="nl-NL" w:eastAsia="de-DE" w:bidi="de-DE"/>
        </w:rPr>
      </w:pPr>
    </w:p>
    <w:p w14:paraId="19BEEDD6" w14:textId="77777777" w:rsidR="0006371A" w:rsidRPr="00B65258" w:rsidRDefault="0006371A" w:rsidP="0006371A">
      <w:pPr>
        <w:jc w:val="both"/>
        <w:rPr>
          <w:rFonts w:eastAsia="Calibri"/>
          <w:lang w:val="nl-NL" w:eastAsia="de-DE" w:bidi="de-DE"/>
        </w:rPr>
      </w:pPr>
      <w:r w:rsidRPr="00B65258">
        <w:rPr>
          <w:rFonts w:eastAsia="Calibri"/>
          <w:szCs w:val="22"/>
          <w:lang w:val="nl-NL" w:eastAsia="de-DE" w:bidi="de-DE"/>
        </w:rPr>
        <w:tab/>
      </w:r>
      <w:r w:rsidRPr="00B65258">
        <w:rPr>
          <w:rFonts w:eastAsia="Calibri"/>
          <w:lang w:val="nl-NL" w:eastAsia="de-DE" w:bidi="de-DE"/>
        </w:rPr>
        <w:t>12) Amsab - Instituut voor Sociale Geschiedenis</w:t>
      </w:r>
    </w:p>
    <w:p w14:paraId="4CB6D7D9" w14:textId="77777777" w:rsidR="0006371A" w:rsidRPr="00B65258" w:rsidRDefault="0006371A" w:rsidP="0006371A">
      <w:pPr>
        <w:rPr>
          <w:rFonts w:eastAsia="Calibri"/>
          <w:szCs w:val="22"/>
          <w:lang w:val="nl-NL" w:eastAsia="de-DE" w:bidi="de-DE"/>
        </w:rPr>
        <w:sectPr w:rsidR="0006371A" w:rsidRPr="00B65258" w:rsidSect="003426CA">
          <w:pgSz w:w="11906" w:h="16838" w:code="9"/>
          <w:pgMar w:top="1418" w:right="1418" w:bottom="1418" w:left="1418" w:header="709" w:footer="709" w:gutter="0"/>
          <w:cols w:space="708"/>
          <w:docGrid w:linePitch="360"/>
        </w:sectPr>
      </w:pPr>
    </w:p>
    <w:p w14:paraId="1D838703" w14:textId="77777777" w:rsidR="0006371A" w:rsidRPr="00B65258" w:rsidRDefault="0006371A" w:rsidP="0006371A">
      <w:pPr>
        <w:jc w:val="both"/>
        <w:rPr>
          <w:rFonts w:eastAsia="Calibri"/>
          <w:lang w:eastAsia="de-DE" w:bidi="de-DE"/>
        </w:rPr>
      </w:pPr>
      <w:r w:rsidRPr="00B65258">
        <w:rPr>
          <w:rFonts w:eastAsia="Calibri"/>
          <w:szCs w:val="22"/>
          <w:lang w:val="nl-NL" w:eastAsia="de-DE" w:bidi="de-DE"/>
        </w:rPr>
        <w:lastRenderedPageBreak/>
        <w:tab/>
      </w:r>
      <w:r w:rsidRPr="00B65258">
        <w:rPr>
          <w:rFonts w:eastAsia="Calibri"/>
          <w:lang w:eastAsia="de-DE" w:bidi="de-DE"/>
        </w:rPr>
        <w:t>13) Europäische Beobachtungsstelle für den Sozialbereich</w:t>
      </w:r>
    </w:p>
    <w:p w14:paraId="59DF3623" w14:textId="77777777" w:rsidR="0006371A" w:rsidRPr="00B65258" w:rsidRDefault="0006371A" w:rsidP="0006371A">
      <w:pPr>
        <w:jc w:val="both"/>
        <w:rPr>
          <w:rFonts w:eastAsia="Calibri"/>
          <w:lang w:eastAsia="de-DE" w:bidi="de-DE"/>
        </w:rPr>
      </w:pPr>
    </w:p>
    <w:p w14:paraId="632CB175"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14) Association pour le droit des Etrangers</w:t>
      </w:r>
    </w:p>
    <w:p w14:paraId="44A0C00D" w14:textId="77777777" w:rsidR="0006371A" w:rsidRPr="00B65258" w:rsidRDefault="0006371A" w:rsidP="0006371A">
      <w:pPr>
        <w:jc w:val="both"/>
        <w:rPr>
          <w:rFonts w:eastAsia="Calibri"/>
          <w:lang w:eastAsia="de-DE" w:bidi="de-DE"/>
        </w:rPr>
      </w:pPr>
    </w:p>
    <w:p w14:paraId="65F497CD" w14:textId="77777777" w:rsidR="0006371A" w:rsidRPr="00B65258" w:rsidRDefault="0006371A" w:rsidP="0006371A">
      <w:pPr>
        <w:jc w:val="both"/>
        <w:rPr>
          <w:rFonts w:eastAsia="Calibri"/>
          <w:lang w:eastAsia="de-DE" w:bidi="de-DE"/>
        </w:rPr>
      </w:pPr>
      <w:r w:rsidRPr="00B65258">
        <w:rPr>
          <w:rFonts w:eastAsia="Calibri"/>
          <w:szCs w:val="22"/>
          <w:lang w:eastAsia="de-DE" w:bidi="de-DE"/>
        </w:rPr>
        <w:tab/>
      </w:r>
      <w:r w:rsidRPr="00B65258">
        <w:rPr>
          <w:rFonts w:eastAsia="Calibri"/>
          <w:lang w:eastAsia="de-DE" w:bidi="de-DE"/>
        </w:rPr>
        <w:t>15) Belgisches Rotes Kreuz - Transfusion Research Center</w:t>
      </w:r>
    </w:p>
    <w:p w14:paraId="73706E95" w14:textId="77777777" w:rsidR="0006371A" w:rsidRPr="00B65258" w:rsidRDefault="0006371A" w:rsidP="0006371A">
      <w:pPr>
        <w:jc w:val="both"/>
        <w:rPr>
          <w:rFonts w:eastAsia="Calibri"/>
          <w:lang w:eastAsia="de-DE" w:bidi="de-DE"/>
        </w:rPr>
      </w:pPr>
    </w:p>
    <w:p w14:paraId="3B4F4589" w14:textId="77777777" w:rsidR="0006371A" w:rsidRPr="00056D91" w:rsidRDefault="0006371A" w:rsidP="0006371A">
      <w:pPr>
        <w:jc w:val="both"/>
        <w:rPr>
          <w:rFonts w:eastAsia="Calibri"/>
          <w:b/>
          <w:i/>
          <w:lang w:eastAsia="de-DE" w:bidi="de-DE"/>
        </w:rPr>
      </w:pPr>
      <w:r w:rsidRPr="00B65258">
        <w:rPr>
          <w:rFonts w:eastAsia="Calibri"/>
          <w:szCs w:val="22"/>
          <w:lang w:eastAsia="de-DE" w:bidi="de-DE"/>
        </w:rPr>
        <w:tab/>
      </w:r>
      <w:r w:rsidRPr="00B65258">
        <w:rPr>
          <w:rFonts w:eastAsia="Calibri"/>
          <w:b/>
          <w:i/>
          <w:lang w:eastAsia="de-DE" w:bidi="de-DE"/>
        </w:rPr>
        <w:t>Ab 1. </w:t>
      </w:r>
      <w:r>
        <w:rPr>
          <w:rFonts w:eastAsia="Calibri"/>
          <w:b/>
          <w:i/>
          <w:lang w:eastAsia="de-DE" w:bidi="de-DE"/>
        </w:rPr>
        <w:t>Mai</w:t>
      </w:r>
      <w:r w:rsidRPr="00056D91">
        <w:rPr>
          <w:rFonts w:eastAsia="Calibri"/>
          <w:b/>
          <w:i/>
          <w:lang w:eastAsia="de-DE" w:bidi="de-DE"/>
        </w:rPr>
        <w:t> 2013:</w:t>
      </w:r>
    </w:p>
    <w:p w14:paraId="6B2B78E6" w14:textId="77777777" w:rsidR="0006371A" w:rsidRPr="00056D91" w:rsidRDefault="0006371A" w:rsidP="0006371A">
      <w:pPr>
        <w:jc w:val="both"/>
        <w:rPr>
          <w:rFonts w:eastAsia="Calibri"/>
          <w:lang w:eastAsia="de-DE" w:bidi="de-DE"/>
        </w:rPr>
      </w:pPr>
    </w:p>
    <w:p w14:paraId="7DCA117A" w14:textId="77777777" w:rsidR="0006371A" w:rsidRPr="00056D91" w:rsidRDefault="0006371A" w:rsidP="0006371A">
      <w:pPr>
        <w:jc w:val="both"/>
        <w:rPr>
          <w:rFonts w:eastAsia="Calibri"/>
          <w:lang w:eastAsia="de-DE" w:bidi="de-DE"/>
        </w:rPr>
      </w:pPr>
      <w:r w:rsidRPr="00056D91">
        <w:rPr>
          <w:rFonts w:eastAsia="Calibri"/>
          <w:szCs w:val="22"/>
          <w:lang w:eastAsia="de-DE" w:bidi="de-DE"/>
        </w:rPr>
        <w:tab/>
      </w:r>
      <w:r w:rsidRPr="00056D91">
        <w:rPr>
          <w:rFonts w:eastAsia="Calibri"/>
          <w:lang w:eastAsia="de-DE" w:bidi="de-DE"/>
        </w:rPr>
        <w:t>16) Centre de Documentation et de Coordination Sociales - Centrum voor Maatschappelijke Documentatie en Coördinatie</w:t>
      </w:r>
    </w:p>
    <w:p w14:paraId="4C0D7453" w14:textId="77777777" w:rsidR="0006371A" w:rsidRPr="00056D91" w:rsidRDefault="0006371A" w:rsidP="0006371A">
      <w:pPr>
        <w:jc w:val="both"/>
        <w:rPr>
          <w:rFonts w:eastAsia="Calibri"/>
          <w:lang w:eastAsia="de-DE" w:bidi="de-DE"/>
        </w:rPr>
      </w:pPr>
    </w:p>
    <w:p w14:paraId="3B34697F" w14:textId="37D5C98A" w:rsidR="0006371A" w:rsidRDefault="0006371A" w:rsidP="0006371A">
      <w:pPr>
        <w:jc w:val="both"/>
        <w:rPr>
          <w:rFonts w:eastAsia="Calibri"/>
          <w:lang w:eastAsia="de-DE" w:bidi="de-DE"/>
        </w:rPr>
      </w:pPr>
      <w:r w:rsidRPr="00056D91">
        <w:rPr>
          <w:rFonts w:eastAsia="Calibri"/>
          <w:szCs w:val="22"/>
          <w:lang w:eastAsia="de-DE" w:bidi="de-DE"/>
        </w:rPr>
        <w:tab/>
      </w:r>
      <w:r w:rsidRPr="00056D91">
        <w:rPr>
          <w:rFonts w:eastAsia="Calibri"/>
          <w:lang w:eastAsia="de-DE" w:bidi="de-DE"/>
        </w:rPr>
        <w:t>17) Agrobeheercentrum Ecokwadraat]</w:t>
      </w:r>
    </w:p>
    <w:p w14:paraId="118AB693" w14:textId="77777777" w:rsidR="00D352D2" w:rsidRDefault="00D352D2" w:rsidP="0006371A">
      <w:pPr>
        <w:jc w:val="both"/>
        <w:rPr>
          <w:rFonts w:eastAsia="Calibri"/>
          <w:lang w:eastAsia="de-DE" w:bidi="de-DE"/>
        </w:rPr>
      </w:pPr>
    </w:p>
    <w:p w14:paraId="185B4E25" w14:textId="194436EB" w:rsidR="00D352D2" w:rsidRDefault="00D352D2" w:rsidP="0006371A">
      <w:pPr>
        <w:jc w:val="both"/>
        <w:rPr>
          <w:rFonts w:eastAsia="Calibri"/>
          <w:lang w:eastAsia="de-DE" w:bidi="de-DE"/>
        </w:rPr>
      </w:pPr>
      <w:r>
        <w:rPr>
          <w:rFonts w:eastAsia="Calibri"/>
          <w:lang w:eastAsia="de-DE" w:bidi="de-DE"/>
        </w:rPr>
        <w:tab/>
      </w:r>
      <w:r>
        <w:rPr>
          <w:rFonts w:eastAsia="Calibri"/>
          <w:b/>
          <w:bCs/>
          <w:i/>
          <w:iCs/>
          <w:lang w:eastAsia="de-DE" w:bidi="de-DE"/>
        </w:rPr>
        <w:t>Ab 1. April 2018</w:t>
      </w:r>
    </w:p>
    <w:p w14:paraId="194CCA00" w14:textId="77777777" w:rsidR="00D352D2" w:rsidRDefault="00D352D2" w:rsidP="0006371A">
      <w:pPr>
        <w:jc w:val="both"/>
        <w:rPr>
          <w:rFonts w:eastAsia="Calibri"/>
          <w:lang w:eastAsia="de-DE" w:bidi="de-DE"/>
        </w:rPr>
      </w:pPr>
    </w:p>
    <w:p w14:paraId="17E2A22A" w14:textId="019472F7" w:rsidR="00D352D2" w:rsidRPr="00D352D2" w:rsidRDefault="00D352D2" w:rsidP="0006371A">
      <w:pPr>
        <w:jc w:val="both"/>
        <w:rPr>
          <w:rFonts w:eastAsia="Calibri"/>
          <w:lang w:eastAsia="de-DE" w:bidi="de-DE"/>
        </w:rPr>
      </w:pPr>
      <w:r>
        <w:rPr>
          <w:rFonts w:eastAsia="Calibri"/>
          <w:lang w:eastAsia="de-DE" w:bidi="de-DE"/>
        </w:rPr>
        <w:tab/>
      </w:r>
      <w:r>
        <w:t>[Sciensano]</w:t>
      </w:r>
    </w:p>
    <w:p w14:paraId="64C002B4" w14:textId="77777777" w:rsidR="0006371A" w:rsidRPr="00056D91" w:rsidRDefault="0006371A" w:rsidP="0006371A">
      <w:pPr>
        <w:jc w:val="both"/>
        <w:rPr>
          <w:rFonts w:eastAsia="Calibri"/>
          <w:lang w:eastAsia="de-DE" w:bidi="de-DE"/>
        </w:rPr>
      </w:pPr>
    </w:p>
    <w:p w14:paraId="35349DDD" w14:textId="6B6070E1" w:rsidR="0006371A" w:rsidRPr="00B65258" w:rsidRDefault="0006371A" w:rsidP="0006371A">
      <w:pPr>
        <w:jc w:val="both"/>
        <w:rPr>
          <w:rFonts w:eastAsia="Calibri"/>
          <w:i/>
          <w:lang w:eastAsia="de-DE" w:bidi="de-DE"/>
        </w:rPr>
      </w:pPr>
      <w:r w:rsidRPr="00B65258">
        <w:rPr>
          <w:rFonts w:eastAsia="Calibri"/>
          <w:i/>
          <w:lang w:eastAsia="de-DE" w:bidi="de-DE"/>
        </w:rPr>
        <w:t>[Anlage 3quater eingefügt durch Art. 5 des K.E. vom 22. August 2006 (B.S. vom 28. August 2006) und abgeändert durch Art. 1 Nr. 1 und 2 des K.E. vom 9. April 2007 (II) (B.S. vom 14. Mai 2007, Err. vom 26. Oktober 2007), Art. 1 und 2 des K.E. vom 10. Dezember 2008 (B.S. vom 30. Dezember 2008), Art. 1 des K.E. vom 13. Mai 2009 (B.S. vom 2. Juni 2009), Art. 1 des K.E. vom 26. August 2010 (B.S. vom 10. September 2010)</w:t>
      </w:r>
      <w:r w:rsidR="00CA0AB7">
        <w:rPr>
          <w:rFonts w:eastAsia="Calibri"/>
          <w:i/>
          <w:lang w:eastAsia="de-DE" w:bidi="de-DE"/>
        </w:rPr>
        <w:t>,</w:t>
      </w:r>
      <w:r w:rsidRPr="00B65258">
        <w:rPr>
          <w:rFonts w:eastAsia="Calibri"/>
          <w:i/>
          <w:lang w:eastAsia="de-DE" w:bidi="de-DE"/>
        </w:rPr>
        <w:t xml:space="preserve"> Art. 1 des K.E. vom 25. April 2014 (III) (B.S. vom 2. Juni 2014)</w:t>
      </w:r>
      <w:r w:rsidR="00D352D2">
        <w:rPr>
          <w:rFonts w:eastAsia="Calibri"/>
          <w:i/>
          <w:lang w:eastAsia="de-DE" w:bidi="de-DE"/>
        </w:rPr>
        <w:t>, Art. 29 Nr. 1 und 2</w:t>
      </w:r>
      <w:r w:rsidR="00D352D2">
        <w:rPr>
          <w:i/>
        </w:rPr>
        <w:t xml:space="preserve"> des K.E. vom 28. März 2018 (B.S. vom 3. April 2018)</w:t>
      </w:r>
      <w:r w:rsidR="00CA0AB7">
        <w:rPr>
          <w:rFonts w:eastAsia="Calibri"/>
          <w:i/>
          <w:lang w:eastAsia="de-DE" w:bidi="de-DE"/>
        </w:rPr>
        <w:t xml:space="preserve"> und Art.</w:t>
      </w:r>
      <w:r w:rsidR="00D352D2">
        <w:rPr>
          <w:rFonts w:eastAsia="Calibri"/>
          <w:i/>
          <w:lang w:eastAsia="de-DE" w:bidi="de-DE"/>
        </w:rPr>
        <w:t> </w:t>
      </w:r>
      <w:r w:rsidR="00CA0AB7">
        <w:rPr>
          <w:rFonts w:eastAsia="Calibri"/>
          <w:i/>
          <w:lang w:eastAsia="de-DE" w:bidi="de-DE"/>
        </w:rPr>
        <w:t>1 des K.E. vom 10. Dezember 2020 (B.S. vom 16. Dezember 2020)</w:t>
      </w:r>
      <w:r w:rsidRPr="00B65258">
        <w:rPr>
          <w:rFonts w:eastAsia="Calibri"/>
          <w:i/>
          <w:lang w:eastAsia="de-DE" w:bidi="de-DE"/>
        </w:rPr>
        <w:t>]</w:t>
      </w:r>
    </w:p>
    <w:p w14:paraId="3E990565" w14:textId="77777777" w:rsidR="0006371A" w:rsidRPr="00B65258" w:rsidRDefault="0006371A" w:rsidP="0006371A">
      <w:pPr>
        <w:rPr>
          <w:rFonts w:eastAsia="Calibri"/>
          <w:szCs w:val="22"/>
          <w:lang w:eastAsia="de-DE" w:bidi="de-DE"/>
        </w:rPr>
      </w:pPr>
      <w:r w:rsidRPr="00B65258">
        <w:rPr>
          <w:rFonts w:eastAsia="Calibri"/>
          <w:szCs w:val="22"/>
          <w:lang w:eastAsia="de-DE" w:bidi="de-DE"/>
        </w:rPr>
        <w:br w:type="page"/>
      </w:r>
    </w:p>
    <w:p w14:paraId="0F70D2EE" w14:textId="77777777" w:rsidR="0006371A" w:rsidRPr="00B65258" w:rsidRDefault="0006371A" w:rsidP="0006371A">
      <w:pPr>
        <w:jc w:val="center"/>
        <w:rPr>
          <w:rFonts w:eastAsia="Calibri"/>
          <w:b/>
          <w:szCs w:val="22"/>
          <w:lang w:eastAsia="en-US"/>
        </w:rPr>
      </w:pPr>
      <w:r w:rsidRPr="00B65258">
        <w:rPr>
          <w:rFonts w:eastAsia="Calibri"/>
          <w:b/>
          <w:szCs w:val="22"/>
          <w:lang w:eastAsia="en-US"/>
        </w:rPr>
        <w:lastRenderedPageBreak/>
        <w:t>ANLAGE 4</w:t>
      </w:r>
    </w:p>
    <w:p w14:paraId="7658A2C3" w14:textId="77777777" w:rsidR="0006371A" w:rsidRPr="00B65258" w:rsidRDefault="0006371A" w:rsidP="0006371A">
      <w:pPr>
        <w:jc w:val="center"/>
        <w:rPr>
          <w:rFonts w:eastAsia="Calibri"/>
          <w:szCs w:val="22"/>
          <w:lang w:eastAsia="en-US"/>
        </w:rPr>
      </w:pPr>
    </w:p>
    <w:p w14:paraId="41691CC8" w14:textId="77777777" w:rsidR="0006371A" w:rsidRPr="00B65258" w:rsidRDefault="0006371A" w:rsidP="0006371A">
      <w:pPr>
        <w:jc w:val="center"/>
        <w:rPr>
          <w:rFonts w:eastAsia="Calibri"/>
          <w:szCs w:val="22"/>
          <w:lang w:eastAsia="en-US"/>
        </w:rPr>
      </w:pPr>
    </w:p>
    <w:p w14:paraId="78820DED" w14:textId="77777777" w:rsidR="0006371A" w:rsidRPr="00B65258" w:rsidRDefault="0006371A" w:rsidP="0006371A">
      <w:pPr>
        <w:jc w:val="center"/>
        <w:rPr>
          <w:rFonts w:eastAsia="Calibri"/>
          <w:szCs w:val="22"/>
          <w:lang w:eastAsia="en-US"/>
        </w:rPr>
      </w:pPr>
      <w:r w:rsidRPr="00B65258">
        <w:rPr>
          <w:rFonts w:eastAsia="Calibri"/>
          <w:szCs w:val="22"/>
          <w:lang w:eastAsia="en-US"/>
        </w:rPr>
        <w:t>[...]</w:t>
      </w:r>
    </w:p>
    <w:p w14:paraId="305D452B" w14:textId="77777777" w:rsidR="0006371A" w:rsidRPr="00B65258" w:rsidRDefault="0006371A" w:rsidP="0006371A">
      <w:pPr>
        <w:jc w:val="center"/>
        <w:rPr>
          <w:rFonts w:eastAsia="Calibri"/>
          <w:szCs w:val="22"/>
          <w:lang w:eastAsia="en-US"/>
        </w:rPr>
      </w:pPr>
    </w:p>
    <w:p w14:paraId="05335712" w14:textId="77777777" w:rsidR="0006371A" w:rsidRPr="00B65258" w:rsidRDefault="0006371A" w:rsidP="0006371A">
      <w:pPr>
        <w:jc w:val="both"/>
        <w:rPr>
          <w:rFonts w:eastAsia="Calibri"/>
          <w:i/>
          <w:szCs w:val="22"/>
          <w:lang w:eastAsia="en-US"/>
        </w:rPr>
      </w:pPr>
      <w:r w:rsidRPr="00B65258">
        <w:rPr>
          <w:rFonts w:eastAsia="Calibri"/>
          <w:i/>
          <w:szCs w:val="22"/>
          <w:lang w:eastAsia="en-US"/>
        </w:rPr>
        <w:t>[Anlage 4 aufgehoben durch Art. 24 des K.E. vom 11. Dezember 2006 (B.S. vom 18. Dezember 2006)]</w:t>
      </w:r>
    </w:p>
    <w:p w14:paraId="1D9FF5DA" w14:textId="77777777" w:rsidR="0006371A" w:rsidRPr="00B65258" w:rsidRDefault="0006371A" w:rsidP="0006371A">
      <w:pPr>
        <w:rPr>
          <w:rFonts w:eastAsia="Calibri"/>
          <w:szCs w:val="22"/>
          <w:lang w:eastAsia="de-DE" w:bidi="de-DE"/>
        </w:rPr>
      </w:pPr>
      <w:r w:rsidRPr="00B65258">
        <w:rPr>
          <w:rFonts w:eastAsia="Calibri"/>
          <w:szCs w:val="22"/>
          <w:lang w:eastAsia="de-DE" w:bidi="de-DE"/>
        </w:rPr>
        <w:br w:type="page"/>
      </w:r>
    </w:p>
    <w:p w14:paraId="1CA77B66" w14:textId="77777777" w:rsidR="0006371A" w:rsidRPr="00B65258" w:rsidRDefault="0006371A" w:rsidP="0006371A">
      <w:pPr>
        <w:jc w:val="center"/>
        <w:rPr>
          <w:rFonts w:eastAsia="Calibri"/>
          <w:b/>
          <w:szCs w:val="22"/>
          <w:lang w:eastAsia="en-US"/>
        </w:rPr>
      </w:pPr>
      <w:r w:rsidRPr="00B65258">
        <w:rPr>
          <w:rFonts w:eastAsia="Calibri"/>
          <w:b/>
          <w:szCs w:val="22"/>
          <w:lang w:eastAsia="en-US"/>
        </w:rPr>
        <w:lastRenderedPageBreak/>
        <w:t>ANLAGE 5</w:t>
      </w:r>
    </w:p>
    <w:p w14:paraId="6035AB4E" w14:textId="77777777" w:rsidR="0006371A" w:rsidRPr="00B65258" w:rsidRDefault="0006371A" w:rsidP="0006371A">
      <w:pPr>
        <w:jc w:val="center"/>
        <w:rPr>
          <w:rFonts w:eastAsia="Calibri"/>
          <w:szCs w:val="22"/>
          <w:lang w:eastAsia="en-US"/>
        </w:rPr>
      </w:pPr>
    </w:p>
    <w:p w14:paraId="05F9B278" w14:textId="77777777" w:rsidR="0006371A" w:rsidRPr="00B65258" w:rsidRDefault="0006371A" w:rsidP="0006371A">
      <w:pPr>
        <w:jc w:val="center"/>
        <w:rPr>
          <w:rFonts w:eastAsia="Calibri"/>
          <w:szCs w:val="22"/>
          <w:lang w:eastAsia="en-US"/>
        </w:rPr>
      </w:pPr>
    </w:p>
    <w:p w14:paraId="574064FB" w14:textId="77777777" w:rsidR="0006371A" w:rsidRPr="00B65258" w:rsidRDefault="0006371A" w:rsidP="0006371A">
      <w:pPr>
        <w:jc w:val="center"/>
        <w:rPr>
          <w:rFonts w:eastAsia="Calibri"/>
          <w:szCs w:val="22"/>
          <w:lang w:eastAsia="en-US"/>
        </w:rPr>
      </w:pPr>
      <w:r w:rsidRPr="00B65258">
        <w:rPr>
          <w:rFonts w:eastAsia="Calibri"/>
          <w:szCs w:val="22"/>
          <w:lang w:eastAsia="en-US"/>
        </w:rPr>
        <w:t>[...]</w:t>
      </w:r>
    </w:p>
    <w:p w14:paraId="5C6EE4A6" w14:textId="77777777" w:rsidR="0006371A" w:rsidRPr="00B65258" w:rsidRDefault="0006371A" w:rsidP="0006371A">
      <w:pPr>
        <w:jc w:val="center"/>
        <w:rPr>
          <w:rFonts w:eastAsia="Calibri"/>
          <w:szCs w:val="22"/>
          <w:lang w:eastAsia="en-US"/>
        </w:rPr>
      </w:pPr>
    </w:p>
    <w:p w14:paraId="25468AA0" w14:textId="77777777" w:rsidR="0006371A" w:rsidRPr="00B65258" w:rsidRDefault="0006371A" w:rsidP="0006371A">
      <w:pPr>
        <w:jc w:val="both"/>
        <w:rPr>
          <w:rFonts w:eastAsia="Calibri"/>
          <w:i/>
          <w:szCs w:val="22"/>
          <w:lang w:eastAsia="en-US"/>
        </w:rPr>
      </w:pPr>
      <w:r w:rsidRPr="00B65258">
        <w:rPr>
          <w:rFonts w:eastAsia="Calibri"/>
          <w:i/>
          <w:szCs w:val="22"/>
          <w:lang w:eastAsia="en-US"/>
        </w:rPr>
        <w:t>[Anlage 5 aufgehoben durch Art. 15 des K.E. vom 22. Oktober 1993 (B.S. vom 29. Oktober 1993)]</w:t>
      </w:r>
    </w:p>
    <w:p w14:paraId="1E40D932" w14:textId="77777777" w:rsidR="0006371A" w:rsidRPr="00B65258" w:rsidRDefault="0006371A" w:rsidP="0006371A">
      <w:pPr>
        <w:jc w:val="both"/>
        <w:rPr>
          <w:rFonts w:eastAsia="Calibri"/>
          <w:szCs w:val="22"/>
          <w:lang w:eastAsia="de-DE" w:bidi="de-DE"/>
        </w:rPr>
      </w:pPr>
    </w:p>
    <w:p w14:paraId="38D90810" w14:textId="77777777" w:rsidR="0006371A" w:rsidRPr="00CF1706" w:rsidRDefault="0006371A" w:rsidP="0006371A">
      <w:pPr>
        <w:jc w:val="center"/>
        <w:rPr>
          <w:color w:val="000000"/>
        </w:rPr>
      </w:pPr>
    </w:p>
    <w:p w14:paraId="791730CA" w14:textId="1250A8A9" w:rsidR="00806E25" w:rsidRPr="00D308A5" w:rsidRDefault="00806E25" w:rsidP="000F5F44">
      <w:pPr>
        <w:jc w:val="both"/>
      </w:pPr>
    </w:p>
    <w:sectPr w:rsidR="00806E25" w:rsidRPr="00D308A5" w:rsidSect="003426C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3BB1F" w14:textId="77777777" w:rsidR="00ED22BB" w:rsidRDefault="00ED22BB" w:rsidP="00902D1A">
      <w:r>
        <w:separator/>
      </w:r>
    </w:p>
  </w:endnote>
  <w:endnote w:type="continuationSeparator" w:id="0">
    <w:p w14:paraId="6964AF2F" w14:textId="77777777" w:rsidR="00ED22BB" w:rsidRDefault="00ED22BB" w:rsidP="00902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Palatino-Roman">
    <w:altName w:val="Palatino Linotype"/>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B84F9" w14:textId="77777777" w:rsidR="00ED22BB" w:rsidRDefault="00ED22BB" w:rsidP="00902D1A">
      <w:r>
        <w:separator/>
      </w:r>
    </w:p>
  </w:footnote>
  <w:footnote w:type="continuationSeparator" w:id="0">
    <w:p w14:paraId="1EB2BEFA" w14:textId="77777777" w:rsidR="00ED22BB" w:rsidRDefault="00ED22BB" w:rsidP="00902D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8A29E6"/>
    <w:multiLevelType w:val="singleLevel"/>
    <w:tmpl w:val="08CCEF50"/>
    <w:lvl w:ilvl="0">
      <w:start w:val="3"/>
      <w:numFmt w:val="lowerLetter"/>
      <w:lvlText w:val="%1)"/>
      <w:lvlJc w:val="left"/>
      <w:pPr>
        <w:tabs>
          <w:tab w:val="num" w:pos="870"/>
        </w:tabs>
        <w:ind w:left="870" w:hanging="360"/>
      </w:pPr>
      <w:rPr>
        <w:rFonts w:hint="default"/>
      </w:rPr>
    </w:lvl>
  </w:abstractNum>
  <w:abstractNum w:abstractNumId="2" w15:restartNumberingAfterBreak="0">
    <w:nsid w:val="0C0E2842"/>
    <w:multiLevelType w:val="singleLevel"/>
    <w:tmpl w:val="4D088C34"/>
    <w:lvl w:ilvl="0">
      <w:start w:val="2"/>
      <w:numFmt w:val="bullet"/>
      <w:lvlText w:val="-"/>
      <w:lvlJc w:val="left"/>
      <w:pPr>
        <w:tabs>
          <w:tab w:val="num" w:pos="780"/>
        </w:tabs>
        <w:ind w:left="780" w:hanging="360"/>
      </w:pPr>
      <w:rPr>
        <w:rFonts w:hint="default"/>
      </w:rPr>
    </w:lvl>
  </w:abstractNum>
  <w:abstractNum w:abstractNumId="3" w15:restartNumberingAfterBreak="0">
    <w:nsid w:val="17321A6E"/>
    <w:multiLevelType w:val="singleLevel"/>
    <w:tmpl w:val="BAB2D6FA"/>
    <w:lvl w:ilvl="0">
      <w:start w:val="2"/>
      <w:numFmt w:val="lowerLetter"/>
      <w:lvlText w:val="%1)"/>
      <w:lvlJc w:val="left"/>
      <w:pPr>
        <w:tabs>
          <w:tab w:val="num" w:pos="825"/>
        </w:tabs>
        <w:ind w:left="825" w:hanging="825"/>
      </w:pPr>
      <w:rPr>
        <w:rFonts w:hint="default"/>
      </w:rPr>
    </w:lvl>
  </w:abstractNum>
  <w:abstractNum w:abstractNumId="4" w15:restartNumberingAfterBreak="0">
    <w:nsid w:val="1A5E37E4"/>
    <w:multiLevelType w:val="hybridMultilevel"/>
    <w:tmpl w:val="977E2ABE"/>
    <w:lvl w:ilvl="0" w:tplc="D69A84D6">
      <w:start w:val="29"/>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4895224"/>
    <w:multiLevelType w:val="singleLevel"/>
    <w:tmpl w:val="FF5276C0"/>
    <w:lvl w:ilvl="0">
      <w:start w:val="2"/>
      <w:numFmt w:val="lowerLetter"/>
      <w:lvlText w:val="%1)"/>
      <w:lvlJc w:val="left"/>
      <w:pPr>
        <w:tabs>
          <w:tab w:val="num" w:pos="570"/>
        </w:tabs>
        <w:ind w:left="570" w:hanging="570"/>
      </w:pPr>
      <w:rPr>
        <w:rFonts w:hint="default"/>
      </w:rPr>
    </w:lvl>
  </w:abstractNum>
  <w:abstractNum w:abstractNumId="6" w15:restartNumberingAfterBreak="0">
    <w:nsid w:val="3DC1556B"/>
    <w:multiLevelType w:val="hybridMultilevel"/>
    <w:tmpl w:val="9E047D7E"/>
    <w:lvl w:ilvl="0" w:tplc="B510A732">
      <w:start w:val="23"/>
      <w:numFmt w:val="bullet"/>
      <w:lvlText w:val="-"/>
      <w:lvlJc w:val="left"/>
      <w:pPr>
        <w:ind w:left="720" w:hanging="360"/>
      </w:pPr>
      <w:rPr>
        <w:rFonts w:ascii="Times New Roman" w:eastAsia="Times New Roman" w:hAnsi="Times New Roman" w:cs="Times New Roman"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090177A"/>
    <w:multiLevelType w:val="hybridMultilevel"/>
    <w:tmpl w:val="D05298F4"/>
    <w:lvl w:ilvl="0" w:tplc="7F08D472">
      <w:start w:val="2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1B57B50"/>
    <w:multiLevelType w:val="singleLevel"/>
    <w:tmpl w:val="08E0B3CC"/>
    <w:lvl w:ilvl="0">
      <w:start w:val="2"/>
      <w:numFmt w:val="bullet"/>
      <w:lvlText w:val="-"/>
      <w:lvlJc w:val="left"/>
      <w:pPr>
        <w:tabs>
          <w:tab w:val="num" w:pos="1186"/>
        </w:tabs>
        <w:ind w:left="1186" w:hanging="360"/>
      </w:pPr>
      <w:rPr>
        <w:rFonts w:hint="default"/>
      </w:rPr>
    </w:lvl>
  </w:abstractNum>
  <w:abstractNum w:abstractNumId="9" w15:restartNumberingAfterBreak="0">
    <w:nsid w:val="41F804F0"/>
    <w:multiLevelType w:val="hybridMultilevel"/>
    <w:tmpl w:val="9C4A687C"/>
    <w:lvl w:ilvl="0" w:tplc="BD7A957E">
      <w:start w:val="2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cs="Wingdings" w:hint="default"/>
      </w:rPr>
    </w:lvl>
    <w:lvl w:ilvl="3" w:tplc="080C0001" w:tentative="1">
      <w:start w:val="1"/>
      <w:numFmt w:val="bullet"/>
      <w:lvlText w:val=""/>
      <w:lvlJc w:val="left"/>
      <w:pPr>
        <w:ind w:left="2880" w:hanging="360"/>
      </w:pPr>
      <w:rPr>
        <w:rFonts w:ascii="Symbol" w:hAnsi="Symbol" w:cs="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cs="Wingdings" w:hint="default"/>
      </w:rPr>
    </w:lvl>
    <w:lvl w:ilvl="6" w:tplc="080C0001" w:tentative="1">
      <w:start w:val="1"/>
      <w:numFmt w:val="bullet"/>
      <w:lvlText w:val=""/>
      <w:lvlJc w:val="left"/>
      <w:pPr>
        <w:ind w:left="5040" w:hanging="360"/>
      </w:pPr>
      <w:rPr>
        <w:rFonts w:ascii="Symbol" w:hAnsi="Symbol" w:cs="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49620A3C"/>
    <w:multiLevelType w:val="hybridMultilevel"/>
    <w:tmpl w:val="22F0D9AA"/>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1" w15:restartNumberingAfterBreak="0">
    <w:nsid w:val="56C87A61"/>
    <w:multiLevelType w:val="singleLevel"/>
    <w:tmpl w:val="71229098"/>
    <w:lvl w:ilvl="0">
      <w:start w:val="5"/>
      <w:numFmt w:val="lowerLetter"/>
      <w:lvlText w:val="%1)"/>
      <w:lvlJc w:val="left"/>
      <w:pPr>
        <w:tabs>
          <w:tab w:val="num" w:pos="786"/>
        </w:tabs>
        <w:ind w:left="786" w:hanging="360"/>
      </w:pPr>
      <w:rPr>
        <w:rFonts w:hint="default"/>
      </w:rPr>
    </w:lvl>
  </w:abstractNum>
  <w:abstractNum w:abstractNumId="12" w15:restartNumberingAfterBreak="0">
    <w:nsid w:val="5A885B00"/>
    <w:multiLevelType w:val="singleLevel"/>
    <w:tmpl w:val="BAB2D6FA"/>
    <w:lvl w:ilvl="0">
      <w:start w:val="2"/>
      <w:numFmt w:val="lowerLetter"/>
      <w:lvlText w:val="%1)"/>
      <w:lvlJc w:val="left"/>
      <w:pPr>
        <w:tabs>
          <w:tab w:val="num" w:pos="825"/>
        </w:tabs>
        <w:ind w:left="825" w:hanging="825"/>
      </w:pPr>
      <w:rPr>
        <w:rFonts w:hint="default"/>
      </w:rPr>
    </w:lvl>
  </w:abstractNum>
  <w:abstractNum w:abstractNumId="13" w15:restartNumberingAfterBreak="0">
    <w:nsid w:val="5B371943"/>
    <w:multiLevelType w:val="hybridMultilevel"/>
    <w:tmpl w:val="E56E554C"/>
    <w:lvl w:ilvl="0" w:tplc="3D6CB0C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A85260"/>
    <w:multiLevelType w:val="hybridMultilevel"/>
    <w:tmpl w:val="D810A036"/>
    <w:lvl w:ilvl="0" w:tplc="88C8DC9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3E0627"/>
    <w:multiLevelType w:val="hybridMultilevel"/>
    <w:tmpl w:val="8F0AF734"/>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6" w15:restartNumberingAfterBreak="0">
    <w:nsid w:val="678C32D5"/>
    <w:multiLevelType w:val="singleLevel"/>
    <w:tmpl w:val="A3044BF0"/>
    <w:lvl w:ilvl="0">
      <w:start w:val="5"/>
      <w:numFmt w:val="lowerLetter"/>
      <w:lvlText w:val="%1)"/>
      <w:lvlJc w:val="left"/>
      <w:pPr>
        <w:tabs>
          <w:tab w:val="num" w:pos="1186"/>
        </w:tabs>
        <w:ind w:left="1186" w:hanging="360"/>
      </w:pPr>
      <w:rPr>
        <w:rFonts w:hint="default"/>
      </w:rPr>
    </w:lvl>
  </w:abstractNum>
  <w:abstractNum w:abstractNumId="17" w15:restartNumberingAfterBreak="0">
    <w:nsid w:val="6937255B"/>
    <w:multiLevelType w:val="hybridMultilevel"/>
    <w:tmpl w:val="C8F4EB26"/>
    <w:lvl w:ilvl="0" w:tplc="B5E0E5BA">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49667EC"/>
    <w:multiLevelType w:val="hybridMultilevel"/>
    <w:tmpl w:val="48206E5A"/>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9" w15:restartNumberingAfterBreak="0">
    <w:nsid w:val="7C801AA5"/>
    <w:multiLevelType w:val="hybridMultilevel"/>
    <w:tmpl w:val="7B1C5762"/>
    <w:lvl w:ilvl="0" w:tplc="C6A67010">
      <w:start w:val="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762801103">
    <w:abstractNumId w:val="13"/>
  </w:num>
  <w:num w:numId="2" w16cid:durableId="825973364">
    <w:abstractNumId w:val="17"/>
  </w:num>
  <w:num w:numId="3" w16cid:durableId="1242834750">
    <w:abstractNumId w:val="14"/>
  </w:num>
  <w:num w:numId="4" w16cid:durableId="83889111">
    <w:abstractNumId w:val="16"/>
  </w:num>
  <w:num w:numId="5" w16cid:durableId="997464292">
    <w:abstractNumId w:val="12"/>
  </w:num>
  <w:num w:numId="6" w16cid:durableId="1078095770">
    <w:abstractNumId w:val="1"/>
  </w:num>
  <w:num w:numId="7" w16cid:durableId="265700264">
    <w:abstractNumId w:val="11"/>
  </w:num>
  <w:num w:numId="8" w16cid:durableId="1968395284">
    <w:abstractNumId w:val="8"/>
  </w:num>
  <w:num w:numId="9" w16cid:durableId="1277177647">
    <w:abstractNumId w:val="3"/>
  </w:num>
  <w:num w:numId="10" w16cid:durableId="1563177126">
    <w:abstractNumId w:val="5"/>
  </w:num>
  <w:num w:numId="11" w16cid:durableId="388655017">
    <w:abstractNumId w:val="2"/>
  </w:num>
  <w:num w:numId="12" w16cid:durableId="1360352420">
    <w:abstractNumId w:val="0"/>
    <w:lvlOverride w:ilvl="0">
      <w:lvl w:ilvl="0">
        <w:start w:val="1"/>
        <w:numFmt w:val="bullet"/>
        <w:lvlText w:val=""/>
        <w:legacy w:legacy="1" w:legacySpace="0" w:legacyIndent="567"/>
        <w:lvlJc w:val="left"/>
        <w:pPr>
          <w:ind w:left="1287" w:hanging="567"/>
        </w:pPr>
        <w:rPr>
          <w:rFonts w:ascii="Helvetica" w:hAnsi="Helvetica" w:hint="default"/>
        </w:rPr>
      </w:lvl>
    </w:lvlOverride>
  </w:num>
  <w:num w:numId="13" w16cid:durableId="160117725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14" w16cid:durableId="5600955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31376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44960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5216561">
    <w:abstractNumId w:val="6"/>
  </w:num>
  <w:num w:numId="18" w16cid:durableId="673532559">
    <w:abstractNumId w:val="7"/>
  </w:num>
  <w:num w:numId="19" w16cid:durableId="721947950">
    <w:abstractNumId w:val="9"/>
  </w:num>
  <w:num w:numId="20" w16cid:durableId="994259476">
    <w:abstractNumId w:val="19"/>
  </w:num>
  <w:num w:numId="21" w16cid:durableId="12336159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257F"/>
    <w:rsid w:val="000168B2"/>
    <w:rsid w:val="00017FD7"/>
    <w:rsid w:val="0002084C"/>
    <w:rsid w:val="00020C32"/>
    <w:rsid w:val="00021DA4"/>
    <w:rsid w:val="000240B3"/>
    <w:rsid w:val="0002535E"/>
    <w:rsid w:val="000266FD"/>
    <w:rsid w:val="00031766"/>
    <w:rsid w:val="00050DE7"/>
    <w:rsid w:val="00052E0A"/>
    <w:rsid w:val="000559D5"/>
    <w:rsid w:val="000614F9"/>
    <w:rsid w:val="0006348C"/>
    <w:rsid w:val="0006371A"/>
    <w:rsid w:val="000676B5"/>
    <w:rsid w:val="0006796B"/>
    <w:rsid w:val="00072E75"/>
    <w:rsid w:val="000741DE"/>
    <w:rsid w:val="00084E50"/>
    <w:rsid w:val="00092847"/>
    <w:rsid w:val="0009798C"/>
    <w:rsid w:val="000B04B1"/>
    <w:rsid w:val="000B74BB"/>
    <w:rsid w:val="000C006B"/>
    <w:rsid w:val="000C2D5D"/>
    <w:rsid w:val="000C49BB"/>
    <w:rsid w:val="000C5BE4"/>
    <w:rsid w:val="000C6F2A"/>
    <w:rsid w:val="000D0C7E"/>
    <w:rsid w:val="000D2584"/>
    <w:rsid w:val="000D3531"/>
    <w:rsid w:val="000D5C4D"/>
    <w:rsid w:val="000E175D"/>
    <w:rsid w:val="000E3E27"/>
    <w:rsid w:val="000E71A0"/>
    <w:rsid w:val="000E7A05"/>
    <w:rsid w:val="000F1CE4"/>
    <w:rsid w:val="000F42F3"/>
    <w:rsid w:val="000F5F44"/>
    <w:rsid w:val="00102973"/>
    <w:rsid w:val="001109F2"/>
    <w:rsid w:val="001118E4"/>
    <w:rsid w:val="0011292F"/>
    <w:rsid w:val="00114099"/>
    <w:rsid w:val="00120D52"/>
    <w:rsid w:val="00122670"/>
    <w:rsid w:val="001258A7"/>
    <w:rsid w:val="00132528"/>
    <w:rsid w:val="00133171"/>
    <w:rsid w:val="00133E77"/>
    <w:rsid w:val="00135175"/>
    <w:rsid w:val="00137616"/>
    <w:rsid w:val="00144C2F"/>
    <w:rsid w:val="001478EC"/>
    <w:rsid w:val="0015007B"/>
    <w:rsid w:val="001574B9"/>
    <w:rsid w:val="00162690"/>
    <w:rsid w:val="00162AD3"/>
    <w:rsid w:val="001630AF"/>
    <w:rsid w:val="0016348C"/>
    <w:rsid w:val="0017044A"/>
    <w:rsid w:val="0017246A"/>
    <w:rsid w:val="00172F6E"/>
    <w:rsid w:val="00174FB7"/>
    <w:rsid w:val="00177334"/>
    <w:rsid w:val="0018199D"/>
    <w:rsid w:val="00182043"/>
    <w:rsid w:val="001840E7"/>
    <w:rsid w:val="00190B92"/>
    <w:rsid w:val="00194676"/>
    <w:rsid w:val="001A486C"/>
    <w:rsid w:val="001A670A"/>
    <w:rsid w:val="001A6DCF"/>
    <w:rsid w:val="001A797A"/>
    <w:rsid w:val="001B4074"/>
    <w:rsid w:val="001B490F"/>
    <w:rsid w:val="001C0BE2"/>
    <w:rsid w:val="001C30DE"/>
    <w:rsid w:val="001C4541"/>
    <w:rsid w:val="001D1A6B"/>
    <w:rsid w:val="001D1DD7"/>
    <w:rsid w:val="001D5508"/>
    <w:rsid w:val="001E05E7"/>
    <w:rsid w:val="001E2521"/>
    <w:rsid w:val="001E53EC"/>
    <w:rsid w:val="001F020B"/>
    <w:rsid w:val="001F54BC"/>
    <w:rsid w:val="001F7921"/>
    <w:rsid w:val="00200662"/>
    <w:rsid w:val="00211FF1"/>
    <w:rsid w:val="00212CA2"/>
    <w:rsid w:val="0022022E"/>
    <w:rsid w:val="00227232"/>
    <w:rsid w:val="00231BE5"/>
    <w:rsid w:val="00231E53"/>
    <w:rsid w:val="0023453C"/>
    <w:rsid w:val="0023782D"/>
    <w:rsid w:val="002408C9"/>
    <w:rsid w:val="002411F0"/>
    <w:rsid w:val="00244B57"/>
    <w:rsid w:val="00250ACB"/>
    <w:rsid w:val="00250F77"/>
    <w:rsid w:val="00252CEF"/>
    <w:rsid w:val="00253009"/>
    <w:rsid w:val="002608BD"/>
    <w:rsid w:val="00262679"/>
    <w:rsid w:val="002661C9"/>
    <w:rsid w:val="00266D2A"/>
    <w:rsid w:val="002674EF"/>
    <w:rsid w:val="002724DA"/>
    <w:rsid w:val="0027698A"/>
    <w:rsid w:val="0028432A"/>
    <w:rsid w:val="002850B4"/>
    <w:rsid w:val="00285271"/>
    <w:rsid w:val="002853CE"/>
    <w:rsid w:val="002853EE"/>
    <w:rsid w:val="00290867"/>
    <w:rsid w:val="00292EC1"/>
    <w:rsid w:val="002949E6"/>
    <w:rsid w:val="00294B0B"/>
    <w:rsid w:val="0029637E"/>
    <w:rsid w:val="002A3CDD"/>
    <w:rsid w:val="002B2C96"/>
    <w:rsid w:val="002B3F5D"/>
    <w:rsid w:val="002B4633"/>
    <w:rsid w:val="002C0DFA"/>
    <w:rsid w:val="002C6888"/>
    <w:rsid w:val="002D0AA4"/>
    <w:rsid w:val="002D19A9"/>
    <w:rsid w:val="002D2FDB"/>
    <w:rsid w:val="002D3071"/>
    <w:rsid w:val="002D4CCA"/>
    <w:rsid w:val="002D7FDB"/>
    <w:rsid w:val="002E1059"/>
    <w:rsid w:val="002E4002"/>
    <w:rsid w:val="002E592D"/>
    <w:rsid w:val="00302575"/>
    <w:rsid w:val="00306504"/>
    <w:rsid w:val="003122A2"/>
    <w:rsid w:val="00312718"/>
    <w:rsid w:val="003230B6"/>
    <w:rsid w:val="00326E0B"/>
    <w:rsid w:val="003339BC"/>
    <w:rsid w:val="00333D34"/>
    <w:rsid w:val="003347FC"/>
    <w:rsid w:val="0033517D"/>
    <w:rsid w:val="003353A5"/>
    <w:rsid w:val="0034218B"/>
    <w:rsid w:val="003426CA"/>
    <w:rsid w:val="0034390F"/>
    <w:rsid w:val="00350674"/>
    <w:rsid w:val="00354F5B"/>
    <w:rsid w:val="00355424"/>
    <w:rsid w:val="00356AE5"/>
    <w:rsid w:val="003571F7"/>
    <w:rsid w:val="003617C5"/>
    <w:rsid w:val="00361F45"/>
    <w:rsid w:val="003657A9"/>
    <w:rsid w:val="003705DC"/>
    <w:rsid w:val="00387A73"/>
    <w:rsid w:val="003900E4"/>
    <w:rsid w:val="003903BC"/>
    <w:rsid w:val="00391FFF"/>
    <w:rsid w:val="00394466"/>
    <w:rsid w:val="00397119"/>
    <w:rsid w:val="003A3B97"/>
    <w:rsid w:val="003A597E"/>
    <w:rsid w:val="003B5C18"/>
    <w:rsid w:val="003C111D"/>
    <w:rsid w:val="003C2396"/>
    <w:rsid w:val="003D73DE"/>
    <w:rsid w:val="003F5F28"/>
    <w:rsid w:val="00403EAA"/>
    <w:rsid w:val="00405835"/>
    <w:rsid w:val="0041123D"/>
    <w:rsid w:val="004116A3"/>
    <w:rsid w:val="00420009"/>
    <w:rsid w:val="00427A3C"/>
    <w:rsid w:val="00427A88"/>
    <w:rsid w:val="0043031B"/>
    <w:rsid w:val="00436453"/>
    <w:rsid w:val="0043740D"/>
    <w:rsid w:val="00437CD0"/>
    <w:rsid w:val="00440BE3"/>
    <w:rsid w:val="00440C0E"/>
    <w:rsid w:val="00445AE4"/>
    <w:rsid w:val="0045525D"/>
    <w:rsid w:val="00456018"/>
    <w:rsid w:val="00457844"/>
    <w:rsid w:val="00461E58"/>
    <w:rsid w:val="004660EF"/>
    <w:rsid w:val="004703BA"/>
    <w:rsid w:val="004737B2"/>
    <w:rsid w:val="004818CC"/>
    <w:rsid w:val="00484A14"/>
    <w:rsid w:val="004879C2"/>
    <w:rsid w:val="00490660"/>
    <w:rsid w:val="00492F39"/>
    <w:rsid w:val="004A2100"/>
    <w:rsid w:val="004A331E"/>
    <w:rsid w:val="004B27F4"/>
    <w:rsid w:val="004B306B"/>
    <w:rsid w:val="004B435A"/>
    <w:rsid w:val="004B6333"/>
    <w:rsid w:val="004B65B3"/>
    <w:rsid w:val="004B7B3E"/>
    <w:rsid w:val="004C07C5"/>
    <w:rsid w:val="004C24ED"/>
    <w:rsid w:val="004C2C7D"/>
    <w:rsid w:val="004C4640"/>
    <w:rsid w:val="004C5992"/>
    <w:rsid w:val="004D1CC8"/>
    <w:rsid w:val="004E124B"/>
    <w:rsid w:val="004E3166"/>
    <w:rsid w:val="004E5BA7"/>
    <w:rsid w:val="004E7CDA"/>
    <w:rsid w:val="004F03F2"/>
    <w:rsid w:val="004F124A"/>
    <w:rsid w:val="004F12F8"/>
    <w:rsid w:val="004F526F"/>
    <w:rsid w:val="004F6726"/>
    <w:rsid w:val="004F73E9"/>
    <w:rsid w:val="004F7E47"/>
    <w:rsid w:val="005016E4"/>
    <w:rsid w:val="005024BD"/>
    <w:rsid w:val="005031CC"/>
    <w:rsid w:val="005057C4"/>
    <w:rsid w:val="005057EF"/>
    <w:rsid w:val="00505E54"/>
    <w:rsid w:val="005079B7"/>
    <w:rsid w:val="005130BD"/>
    <w:rsid w:val="0051470C"/>
    <w:rsid w:val="005150D6"/>
    <w:rsid w:val="00515F91"/>
    <w:rsid w:val="00516EF3"/>
    <w:rsid w:val="0052002B"/>
    <w:rsid w:val="00520950"/>
    <w:rsid w:val="00523528"/>
    <w:rsid w:val="0052421A"/>
    <w:rsid w:val="00524DE0"/>
    <w:rsid w:val="00527D5B"/>
    <w:rsid w:val="00535671"/>
    <w:rsid w:val="00535A04"/>
    <w:rsid w:val="0053660A"/>
    <w:rsid w:val="005430BB"/>
    <w:rsid w:val="00546DBB"/>
    <w:rsid w:val="00550A5A"/>
    <w:rsid w:val="005510CE"/>
    <w:rsid w:val="00551F63"/>
    <w:rsid w:val="005549ED"/>
    <w:rsid w:val="005611C2"/>
    <w:rsid w:val="0056193B"/>
    <w:rsid w:val="00573383"/>
    <w:rsid w:val="005753C8"/>
    <w:rsid w:val="005826E0"/>
    <w:rsid w:val="005879E4"/>
    <w:rsid w:val="0059379B"/>
    <w:rsid w:val="0059755A"/>
    <w:rsid w:val="005A1A7A"/>
    <w:rsid w:val="005A2D5D"/>
    <w:rsid w:val="005A5BD5"/>
    <w:rsid w:val="005B07BD"/>
    <w:rsid w:val="005B1B62"/>
    <w:rsid w:val="005B3C4E"/>
    <w:rsid w:val="005B447F"/>
    <w:rsid w:val="005C043D"/>
    <w:rsid w:val="005D0DC8"/>
    <w:rsid w:val="005D3282"/>
    <w:rsid w:val="005D3E82"/>
    <w:rsid w:val="005D45D1"/>
    <w:rsid w:val="005D7FA9"/>
    <w:rsid w:val="005E2CDD"/>
    <w:rsid w:val="005E509B"/>
    <w:rsid w:val="005E6DF5"/>
    <w:rsid w:val="005E701D"/>
    <w:rsid w:val="005F1C2E"/>
    <w:rsid w:val="005F29C4"/>
    <w:rsid w:val="005F7E51"/>
    <w:rsid w:val="0060225B"/>
    <w:rsid w:val="00610E00"/>
    <w:rsid w:val="00612DF9"/>
    <w:rsid w:val="006142D2"/>
    <w:rsid w:val="0061575E"/>
    <w:rsid w:val="00615E86"/>
    <w:rsid w:val="00620746"/>
    <w:rsid w:val="00620FDA"/>
    <w:rsid w:val="006273A7"/>
    <w:rsid w:val="00630178"/>
    <w:rsid w:val="00633455"/>
    <w:rsid w:val="0063473E"/>
    <w:rsid w:val="00641C4E"/>
    <w:rsid w:val="00650D22"/>
    <w:rsid w:val="0065212C"/>
    <w:rsid w:val="0065243A"/>
    <w:rsid w:val="00656FAB"/>
    <w:rsid w:val="00665252"/>
    <w:rsid w:val="00665441"/>
    <w:rsid w:val="00673592"/>
    <w:rsid w:val="0068024F"/>
    <w:rsid w:val="00683C1D"/>
    <w:rsid w:val="006879E0"/>
    <w:rsid w:val="006904D4"/>
    <w:rsid w:val="0069101B"/>
    <w:rsid w:val="0069101E"/>
    <w:rsid w:val="006A0C39"/>
    <w:rsid w:val="006B06FE"/>
    <w:rsid w:val="006B721E"/>
    <w:rsid w:val="006C7575"/>
    <w:rsid w:val="006D134F"/>
    <w:rsid w:val="006D21D2"/>
    <w:rsid w:val="006E0D53"/>
    <w:rsid w:val="006E0DCC"/>
    <w:rsid w:val="006E2521"/>
    <w:rsid w:val="006E74AB"/>
    <w:rsid w:val="006F08C4"/>
    <w:rsid w:val="006F3CD4"/>
    <w:rsid w:val="006F44A8"/>
    <w:rsid w:val="00700C39"/>
    <w:rsid w:val="00701B70"/>
    <w:rsid w:val="00701F45"/>
    <w:rsid w:val="00704E65"/>
    <w:rsid w:val="00710D82"/>
    <w:rsid w:val="007130CE"/>
    <w:rsid w:val="0071555C"/>
    <w:rsid w:val="007172C3"/>
    <w:rsid w:val="007320E8"/>
    <w:rsid w:val="00744EA9"/>
    <w:rsid w:val="00760FD5"/>
    <w:rsid w:val="00777B2C"/>
    <w:rsid w:val="0078059C"/>
    <w:rsid w:val="007811C7"/>
    <w:rsid w:val="0078601F"/>
    <w:rsid w:val="00790998"/>
    <w:rsid w:val="00792BC5"/>
    <w:rsid w:val="0079785B"/>
    <w:rsid w:val="007A4232"/>
    <w:rsid w:val="007A4517"/>
    <w:rsid w:val="007A5656"/>
    <w:rsid w:val="007A7C37"/>
    <w:rsid w:val="007B5642"/>
    <w:rsid w:val="007B7951"/>
    <w:rsid w:val="007C20CA"/>
    <w:rsid w:val="007C3E1A"/>
    <w:rsid w:val="007C4292"/>
    <w:rsid w:val="007C7ACD"/>
    <w:rsid w:val="007D116F"/>
    <w:rsid w:val="007D4A9A"/>
    <w:rsid w:val="007D52CA"/>
    <w:rsid w:val="007D5F55"/>
    <w:rsid w:val="007E0DD6"/>
    <w:rsid w:val="007E10FD"/>
    <w:rsid w:val="007E1C5E"/>
    <w:rsid w:val="007E40FA"/>
    <w:rsid w:val="007E48FE"/>
    <w:rsid w:val="007E565E"/>
    <w:rsid w:val="007E5973"/>
    <w:rsid w:val="007E74E4"/>
    <w:rsid w:val="007F1A32"/>
    <w:rsid w:val="007F25C5"/>
    <w:rsid w:val="00805D28"/>
    <w:rsid w:val="00806E25"/>
    <w:rsid w:val="00811447"/>
    <w:rsid w:val="00815A8E"/>
    <w:rsid w:val="00817112"/>
    <w:rsid w:val="008248EB"/>
    <w:rsid w:val="00830FA5"/>
    <w:rsid w:val="0083222B"/>
    <w:rsid w:val="00833FD4"/>
    <w:rsid w:val="0083683B"/>
    <w:rsid w:val="0083719F"/>
    <w:rsid w:val="008372A4"/>
    <w:rsid w:val="00841371"/>
    <w:rsid w:val="00842BDA"/>
    <w:rsid w:val="00852D5F"/>
    <w:rsid w:val="00853035"/>
    <w:rsid w:val="008535C1"/>
    <w:rsid w:val="00855372"/>
    <w:rsid w:val="0085756E"/>
    <w:rsid w:val="008575B8"/>
    <w:rsid w:val="008627F0"/>
    <w:rsid w:val="00864B10"/>
    <w:rsid w:val="008653A6"/>
    <w:rsid w:val="00865C4C"/>
    <w:rsid w:val="00866321"/>
    <w:rsid w:val="0086766B"/>
    <w:rsid w:val="00871DCD"/>
    <w:rsid w:val="00873CEF"/>
    <w:rsid w:val="00877E3E"/>
    <w:rsid w:val="00887AA4"/>
    <w:rsid w:val="0089121C"/>
    <w:rsid w:val="00891B3D"/>
    <w:rsid w:val="008A3843"/>
    <w:rsid w:val="008A6392"/>
    <w:rsid w:val="008B48AE"/>
    <w:rsid w:val="008B6FD9"/>
    <w:rsid w:val="008C14CF"/>
    <w:rsid w:val="008C1A3B"/>
    <w:rsid w:val="008C3D75"/>
    <w:rsid w:val="008C7583"/>
    <w:rsid w:val="008C767B"/>
    <w:rsid w:val="008D1388"/>
    <w:rsid w:val="008D44E1"/>
    <w:rsid w:val="008E123B"/>
    <w:rsid w:val="008E4A36"/>
    <w:rsid w:val="008F1739"/>
    <w:rsid w:val="008F62B2"/>
    <w:rsid w:val="008F6D51"/>
    <w:rsid w:val="00902D1A"/>
    <w:rsid w:val="009038FD"/>
    <w:rsid w:val="0090665B"/>
    <w:rsid w:val="00914FBF"/>
    <w:rsid w:val="00916261"/>
    <w:rsid w:val="00916CD7"/>
    <w:rsid w:val="00917768"/>
    <w:rsid w:val="00924788"/>
    <w:rsid w:val="009251F9"/>
    <w:rsid w:val="00926288"/>
    <w:rsid w:val="00927BC1"/>
    <w:rsid w:val="00932B52"/>
    <w:rsid w:val="0093588F"/>
    <w:rsid w:val="00940754"/>
    <w:rsid w:val="00942C29"/>
    <w:rsid w:val="0094417E"/>
    <w:rsid w:val="009450BB"/>
    <w:rsid w:val="00946C40"/>
    <w:rsid w:val="0095299A"/>
    <w:rsid w:val="00956058"/>
    <w:rsid w:val="00960344"/>
    <w:rsid w:val="0096255F"/>
    <w:rsid w:val="00962EB7"/>
    <w:rsid w:val="009649D7"/>
    <w:rsid w:val="00970A9E"/>
    <w:rsid w:val="00970B24"/>
    <w:rsid w:val="00972E19"/>
    <w:rsid w:val="00973CC6"/>
    <w:rsid w:val="00975265"/>
    <w:rsid w:val="009766DB"/>
    <w:rsid w:val="009808BC"/>
    <w:rsid w:val="00984F9B"/>
    <w:rsid w:val="00987AAF"/>
    <w:rsid w:val="00992AD6"/>
    <w:rsid w:val="0099308D"/>
    <w:rsid w:val="00993315"/>
    <w:rsid w:val="0099653B"/>
    <w:rsid w:val="009971A3"/>
    <w:rsid w:val="009A3E4C"/>
    <w:rsid w:val="009A45BD"/>
    <w:rsid w:val="009A518D"/>
    <w:rsid w:val="009A59DB"/>
    <w:rsid w:val="009A607C"/>
    <w:rsid w:val="009B3128"/>
    <w:rsid w:val="009B6E1B"/>
    <w:rsid w:val="009C0099"/>
    <w:rsid w:val="009C06D0"/>
    <w:rsid w:val="009C3F3F"/>
    <w:rsid w:val="009C467A"/>
    <w:rsid w:val="009C4699"/>
    <w:rsid w:val="009C54A7"/>
    <w:rsid w:val="009C59B6"/>
    <w:rsid w:val="009D6EC4"/>
    <w:rsid w:val="009E1FF1"/>
    <w:rsid w:val="009F4A15"/>
    <w:rsid w:val="00A17206"/>
    <w:rsid w:val="00A21DE4"/>
    <w:rsid w:val="00A34A12"/>
    <w:rsid w:val="00A34B45"/>
    <w:rsid w:val="00A367E2"/>
    <w:rsid w:val="00A400F5"/>
    <w:rsid w:val="00A453CB"/>
    <w:rsid w:val="00A45818"/>
    <w:rsid w:val="00A51C22"/>
    <w:rsid w:val="00A55479"/>
    <w:rsid w:val="00A57082"/>
    <w:rsid w:val="00A74DCF"/>
    <w:rsid w:val="00A77305"/>
    <w:rsid w:val="00A81426"/>
    <w:rsid w:val="00A911A2"/>
    <w:rsid w:val="00A95C24"/>
    <w:rsid w:val="00A96CDC"/>
    <w:rsid w:val="00AA04BB"/>
    <w:rsid w:val="00AA0D19"/>
    <w:rsid w:val="00AA46C1"/>
    <w:rsid w:val="00AA6324"/>
    <w:rsid w:val="00AA7787"/>
    <w:rsid w:val="00AC0F23"/>
    <w:rsid w:val="00AC3B5E"/>
    <w:rsid w:val="00AC73D9"/>
    <w:rsid w:val="00AD004A"/>
    <w:rsid w:val="00AD4D61"/>
    <w:rsid w:val="00AD5D01"/>
    <w:rsid w:val="00AE1F0F"/>
    <w:rsid w:val="00AE2144"/>
    <w:rsid w:val="00AE5CEC"/>
    <w:rsid w:val="00AF2BE3"/>
    <w:rsid w:val="00AF3938"/>
    <w:rsid w:val="00AF3BAB"/>
    <w:rsid w:val="00AF559A"/>
    <w:rsid w:val="00B00339"/>
    <w:rsid w:val="00B057AC"/>
    <w:rsid w:val="00B06A3D"/>
    <w:rsid w:val="00B07DD5"/>
    <w:rsid w:val="00B10B2F"/>
    <w:rsid w:val="00B20E83"/>
    <w:rsid w:val="00B235B0"/>
    <w:rsid w:val="00B27F11"/>
    <w:rsid w:val="00B32B74"/>
    <w:rsid w:val="00B34D8F"/>
    <w:rsid w:val="00B458A5"/>
    <w:rsid w:val="00B51E3E"/>
    <w:rsid w:val="00B53590"/>
    <w:rsid w:val="00B54198"/>
    <w:rsid w:val="00B564C3"/>
    <w:rsid w:val="00B62BC0"/>
    <w:rsid w:val="00B66D1D"/>
    <w:rsid w:val="00B677D4"/>
    <w:rsid w:val="00B67B4A"/>
    <w:rsid w:val="00B7418B"/>
    <w:rsid w:val="00B80727"/>
    <w:rsid w:val="00B80B6E"/>
    <w:rsid w:val="00B86FD1"/>
    <w:rsid w:val="00B90BCB"/>
    <w:rsid w:val="00B9238C"/>
    <w:rsid w:val="00B92863"/>
    <w:rsid w:val="00B93450"/>
    <w:rsid w:val="00B94F3F"/>
    <w:rsid w:val="00B96F99"/>
    <w:rsid w:val="00BA229B"/>
    <w:rsid w:val="00BB0109"/>
    <w:rsid w:val="00BB32CA"/>
    <w:rsid w:val="00BB442C"/>
    <w:rsid w:val="00BC1844"/>
    <w:rsid w:val="00BC4D7B"/>
    <w:rsid w:val="00BC6B54"/>
    <w:rsid w:val="00BC7031"/>
    <w:rsid w:val="00BE2D14"/>
    <w:rsid w:val="00BE45D3"/>
    <w:rsid w:val="00BF0D65"/>
    <w:rsid w:val="00BF1C11"/>
    <w:rsid w:val="00BF6C30"/>
    <w:rsid w:val="00C0148B"/>
    <w:rsid w:val="00C05723"/>
    <w:rsid w:val="00C05FF4"/>
    <w:rsid w:val="00C11570"/>
    <w:rsid w:val="00C17845"/>
    <w:rsid w:val="00C23267"/>
    <w:rsid w:val="00C258F6"/>
    <w:rsid w:val="00C31083"/>
    <w:rsid w:val="00C32D1B"/>
    <w:rsid w:val="00C4287A"/>
    <w:rsid w:val="00C43814"/>
    <w:rsid w:val="00C44E01"/>
    <w:rsid w:val="00C4516E"/>
    <w:rsid w:val="00C62441"/>
    <w:rsid w:val="00C62552"/>
    <w:rsid w:val="00C640CC"/>
    <w:rsid w:val="00C65B50"/>
    <w:rsid w:val="00C71A98"/>
    <w:rsid w:val="00C7204C"/>
    <w:rsid w:val="00C72264"/>
    <w:rsid w:val="00C735CE"/>
    <w:rsid w:val="00C73606"/>
    <w:rsid w:val="00C82818"/>
    <w:rsid w:val="00C92235"/>
    <w:rsid w:val="00C92453"/>
    <w:rsid w:val="00C930F5"/>
    <w:rsid w:val="00C93ECE"/>
    <w:rsid w:val="00C949AA"/>
    <w:rsid w:val="00C96FFE"/>
    <w:rsid w:val="00CA0347"/>
    <w:rsid w:val="00CA0AB7"/>
    <w:rsid w:val="00CA3519"/>
    <w:rsid w:val="00CA5E13"/>
    <w:rsid w:val="00CA6563"/>
    <w:rsid w:val="00CB686F"/>
    <w:rsid w:val="00CB6F05"/>
    <w:rsid w:val="00CC25F8"/>
    <w:rsid w:val="00CC4F83"/>
    <w:rsid w:val="00CD12D3"/>
    <w:rsid w:val="00CD2CEF"/>
    <w:rsid w:val="00CD6062"/>
    <w:rsid w:val="00CD714B"/>
    <w:rsid w:val="00CF1051"/>
    <w:rsid w:val="00CF2BB7"/>
    <w:rsid w:val="00CF47FF"/>
    <w:rsid w:val="00CF5F58"/>
    <w:rsid w:val="00D051B9"/>
    <w:rsid w:val="00D06199"/>
    <w:rsid w:val="00D0706A"/>
    <w:rsid w:val="00D07BB7"/>
    <w:rsid w:val="00D13B71"/>
    <w:rsid w:val="00D13DD1"/>
    <w:rsid w:val="00D1679A"/>
    <w:rsid w:val="00D17E27"/>
    <w:rsid w:val="00D21DD8"/>
    <w:rsid w:val="00D22132"/>
    <w:rsid w:val="00D23EF4"/>
    <w:rsid w:val="00D2511D"/>
    <w:rsid w:val="00D303CC"/>
    <w:rsid w:val="00D308A5"/>
    <w:rsid w:val="00D30FE1"/>
    <w:rsid w:val="00D352D2"/>
    <w:rsid w:val="00D4642F"/>
    <w:rsid w:val="00D46CF2"/>
    <w:rsid w:val="00D53C50"/>
    <w:rsid w:val="00D66A89"/>
    <w:rsid w:val="00D6750D"/>
    <w:rsid w:val="00D70031"/>
    <w:rsid w:val="00D73EBA"/>
    <w:rsid w:val="00D759AF"/>
    <w:rsid w:val="00D83DA9"/>
    <w:rsid w:val="00D86CA4"/>
    <w:rsid w:val="00D86FA8"/>
    <w:rsid w:val="00D870AD"/>
    <w:rsid w:val="00D91DB0"/>
    <w:rsid w:val="00D92DD9"/>
    <w:rsid w:val="00D95A77"/>
    <w:rsid w:val="00D95DFD"/>
    <w:rsid w:val="00D97CDB"/>
    <w:rsid w:val="00DA0A20"/>
    <w:rsid w:val="00DA1639"/>
    <w:rsid w:val="00DA4A14"/>
    <w:rsid w:val="00DA7FA9"/>
    <w:rsid w:val="00DB13BA"/>
    <w:rsid w:val="00DB1765"/>
    <w:rsid w:val="00DB48D7"/>
    <w:rsid w:val="00DB5A62"/>
    <w:rsid w:val="00DC1548"/>
    <w:rsid w:val="00DC5B4E"/>
    <w:rsid w:val="00DC6E8E"/>
    <w:rsid w:val="00DD0E14"/>
    <w:rsid w:val="00DD31E8"/>
    <w:rsid w:val="00DD3207"/>
    <w:rsid w:val="00DD342D"/>
    <w:rsid w:val="00DD4323"/>
    <w:rsid w:val="00DD6178"/>
    <w:rsid w:val="00DE1915"/>
    <w:rsid w:val="00DE2BC0"/>
    <w:rsid w:val="00DE52CE"/>
    <w:rsid w:val="00DE6852"/>
    <w:rsid w:val="00DE7162"/>
    <w:rsid w:val="00DF2D73"/>
    <w:rsid w:val="00DF6019"/>
    <w:rsid w:val="00E0064C"/>
    <w:rsid w:val="00E05B2A"/>
    <w:rsid w:val="00E176BE"/>
    <w:rsid w:val="00E216AB"/>
    <w:rsid w:val="00E26B5F"/>
    <w:rsid w:val="00E26C3E"/>
    <w:rsid w:val="00E30FB0"/>
    <w:rsid w:val="00E31BF7"/>
    <w:rsid w:val="00E31E91"/>
    <w:rsid w:val="00E323F1"/>
    <w:rsid w:val="00E3507A"/>
    <w:rsid w:val="00E379B4"/>
    <w:rsid w:val="00E4096D"/>
    <w:rsid w:val="00E40F3C"/>
    <w:rsid w:val="00E41791"/>
    <w:rsid w:val="00E448DD"/>
    <w:rsid w:val="00E50420"/>
    <w:rsid w:val="00E51F16"/>
    <w:rsid w:val="00E54B0C"/>
    <w:rsid w:val="00E56F21"/>
    <w:rsid w:val="00E57A46"/>
    <w:rsid w:val="00E61552"/>
    <w:rsid w:val="00E6179F"/>
    <w:rsid w:val="00E6184A"/>
    <w:rsid w:val="00E61F2A"/>
    <w:rsid w:val="00E63936"/>
    <w:rsid w:val="00E67394"/>
    <w:rsid w:val="00E71CB3"/>
    <w:rsid w:val="00E761DC"/>
    <w:rsid w:val="00E8088B"/>
    <w:rsid w:val="00E815DA"/>
    <w:rsid w:val="00E8450D"/>
    <w:rsid w:val="00E85F51"/>
    <w:rsid w:val="00E902B4"/>
    <w:rsid w:val="00E92B11"/>
    <w:rsid w:val="00EA3FFE"/>
    <w:rsid w:val="00EB03E9"/>
    <w:rsid w:val="00EB30E6"/>
    <w:rsid w:val="00EB697A"/>
    <w:rsid w:val="00EB6B8F"/>
    <w:rsid w:val="00EC4554"/>
    <w:rsid w:val="00EC7991"/>
    <w:rsid w:val="00ED22BB"/>
    <w:rsid w:val="00ED28A5"/>
    <w:rsid w:val="00ED5A3B"/>
    <w:rsid w:val="00ED5A78"/>
    <w:rsid w:val="00ED7D68"/>
    <w:rsid w:val="00EE13DE"/>
    <w:rsid w:val="00EE1CF6"/>
    <w:rsid w:val="00EE2A49"/>
    <w:rsid w:val="00EF7871"/>
    <w:rsid w:val="00EF7C91"/>
    <w:rsid w:val="00F057F1"/>
    <w:rsid w:val="00F07BF7"/>
    <w:rsid w:val="00F1286E"/>
    <w:rsid w:val="00F14AB7"/>
    <w:rsid w:val="00F158A2"/>
    <w:rsid w:val="00F2049B"/>
    <w:rsid w:val="00F24CD9"/>
    <w:rsid w:val="00F25077"/>
    <w:rsid w:val="00F35554"/>
    <w:rsid w:val="00F371AA"/>
    <w:rsid w:val="00F4031B"/>
    <w:rsid w:val="00F404FB"/>
    <w:rsid w:val="00F52AC4"/>
    <w:rsid w:val="00F52BDC"/>
    <w:rsid w:val="00F5530B"/>
    <w:rsid w:val="00F563A1"/>
    <w:rsid w:val="00F61BE0"/>
    <w:rsid w:val="00F738D5"/>
    <w:rsid w:val="00F76A2A"/>
    <w:rsid w:val="00F8170E"/>
    <w:rsid w:val="00F81EF0"/>
    <w:rsid w:val="00F83372"/>
    <w:rsid w:val="00F85B78"/>
    <w:rsid w:val="00F87A8B"/>
    <w:rsid w:val="00F87B57"/>
    <w:rsid w:val="00F91150"/>
    <w:rsid w:val="00F95571"/>
    <w:rsid w:val="00FA57C5"/>
    <w:rsid w:val="00FA5F5E"/>
    <w:rsid w:val="00FB3E9E"/>
    <w:rsid w:val="00FB5481"/>
    <w:rsid w:val="00FB6FEE"/>
    <w:rsid w:val="00FC280D"/>
    <w:rsid w:val="00FC4434"/>
    <w:rsid w:val="00FC67DA"/>
    <w:rsid w:val="00FC7152"/>
    <w:rsid w:val="00FC7240"/>
    <w:rsid w:val="00FD0522"/>
    <w:rsid w:val="00FD4C04"/>
    <w:rsid w:val="00FE63BF"/>
    <w:rsid w:val="00FF0502"/>
    <w:rsid w:val="00FF2373"/>
    <w:rsid w:val="00FF3D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7070A7"/>
  <w15:docId w15:val="{FFEB17A4-E21C-4F4C-9417-9A15859C9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4ED"/>
    <w:rPr>
      <w:sz w:val="24"/>
      <w:szCs w:val="24"/>
      <w:lang w:val="de-DE"/>
    </w:rPr>
  </w:style>
  <w:style w:type="paragraph" w:styleId="Titre1">
    <w:name w:val="heading 1"/>
    <w:basedOn w:val="Normal"/>
    <w:next w:val="Normal"/>
    <w:link w:val="Titre1Car"/>
    <w:qFormat/>
    <w:rsid w:val="005A5BD5"/>
    <w:pPr>
      <w:keepNext/>
      <w:spacing w:before="240" w:after="60"/>
      <w:outlineLvl w:val="0"/>
    </w:pPr>
    <w:rPr>
      <w:rFonts w:ascii="Arial" w:hAnsi="Arial" w:cs="Arial"/>
      <w:b/>
      <w:bCs/>
      <w:kern w:val="32"/>
      <w:sz w:val="32"/>
      <w:szCs w:val="32"/>
      <w:lang w:eastAsia="de-DE" w:bidi="de-DE"/>
    </w:rPr>
  </w:style>
  <w:style w:type="paragraph" w:styleId="Titre2">
    <w:name w:val="heading 2"/>
    <w:basedOn w:val="Normal"/>
    <w:next w:val="Normal"/>
    <w:link w:val="Titre2Car"/>
    <w:qFormat/>
    <w:rsid w:val="005A5BD5"/>
    <w:pPr>
      <w:tabs>
        <w:tab w:val="left" w:pos="567"/>
        <w:tab w:val="left" w:pos="1134"/>
        <w:tab w:val="left" w:pos="1701"/>
        <w:tab w:val="left" w:pos="2268"/>
        <w:tab w:val="left" w:pos="2835"/>
        <w:tab w:val="left" w:pos="3402"/>
        <w:tab w:val="left" w:pos="3969"/>
      </w:tabs>
      <w:spacing w:after="240"/>
      <w:jc w:val="center"/>
      <w:outlineLvl w:val="1"/>
    </w:pPr>
    <w:rPr>
      <w:b/>
      <w:szCs w:val="20"/>
      <w:lang w:val="nl-BE"/>
    </w:rPr>
  </w:style>
  <w:style w:type="paragraph" w:styleId="Titre3">
    <w:name w:val="heading 3"/>
    <w:basedOn w:val="Normal"/>
    <w:next w:val="Normal"/>
    <w:link w:val="Titre3Car"/>
    <w:qFormat/>
    <w:rsid w:val="005A5BD5"/>
    <w:pPr>
      <w:tabs>
        <w:tab w:val="left" w:pos="567"/>
        <w:tab w:val="left" w:pos="1134"/>
        <w:tab w:val="left" w:pos="1701"/>
        <w:tab w:val="left" w:pos="2268"/>
        <w:tab w:val="left" w:pos="2835"/>
        <w:tab w:val="left" w:pos="3402"/>
        <w:tab w:val="left" w:pos="3969"/>
      </w:tabs>
      <w:spacing w:before="240" w:after="240"/>
      <w:jc w:val="center"/>
      <w:outlineLvl w:val="2"/>
    </w:pPr>
    <w:rPr>
      <w:sz w:val="22"/>
      <w:szCs w:val="20"/>
      <w:u w:val="single"/>
      <w:lang w:val="nl-BE"/>
    </w:rPr>
  </w:style>
  <w:style w:type="paragraph" w:styleId="Titre4">
    <w:name w:val="heading 4"/>
    <w:basedOn w:val="Normal"/>
    <w:next w:val="Normal"/>
    <w:link w:val="Titre4Car"/>
    <w:qFormat/>
    <w:rsid w:val="005A5BD5"/>
    <w:pPr>
      <w:tabs>
        <w:tab w:val="left" w:pos="567"/>
        <w:tab w:val="left" w:pos="1134"/>
        <w:tab w:val="left" w:pos="1701"/>
        <w:tab w:val="left" w:pos="2268"/>
        <w:tab w:val="left" w:pos="2835"/>
        <w:tab w:val="left" w:pos="3402"/>
        <w:tab w:val="left" w:pos="3969"/>
      </w:tabs>
      <w:spacing w:before="240" w:after="180"/>
      <w:jc w:val="center"/>
      <w:outlineLvl w:val="3"/>
    </w:pPr>
    <w:rPr>
      <w:b/>
      <w:noProof/>
      <w:sz w:val="22"/>
      <w:szCs w:val="20"/>
      <w:lang w:val="nl-NL"/>
    </w:rPr>
  </w:style>
  <w:style w:type="paragraph" w:styleId="Titre5">
    <w:name w:val="heading 5"/>
    <w:basedOn w:val="Normal"/>
    <w:next w:val="Normal"/>
    <w:link w:val="Titre5Car"/>
    <w:qFormat/>
    <w:rsid w:val="005A5BD5"/>
    <w:pPr>
      <w:tabs>
        <w:tab w:val="left" w:pos="567"/>
        <w:tab w:val="left" w:pos="1134"/>
        <w:tab w:val="left" w:pos="1701"/>
        <w:tab w:val="left" w:pos="2268"/>
        <w:tab w:val="left" w:pos="2835"/>
        <w:tab w:val="left" w:pos="3402"/>
        <w:tab w:val="left" w:pos="3969"/>
      </w:tabs>
      <w:spacing w:before="240" w:after="60"/>
      <w:jc w:val="both"/>
      <w:outlineLvl w:val="4"/>
    </w:pPr>
    <w:rPr>
      <w:sz w:val="22"/>
      <w:szCs w:val="20"/>
      <w:lang w:val="nl-NL"/>
    </w:rPr>
  </w:style>
  <w:style w:type="paragraph" w:styleId="Titre6">
    <w:name w:val="heading 6"/>
    <w:basedOn w:val="Normal"/>
    <w:next w:val="Normal"/>
    <w:link w:val="Titre6Car"/>
    <w:qFormat/>
    <w:rsid w:val="005A5BD5"/>
    <w:pPr>
      <w:tabs>
        <w:tab w:val="left" w:pos="567"/>
        <w:tab w:val="left" w:pos="1134"/>
        <w:tab w:val="left" w:pos="1701"/>
        <w:tab w:val="left" w:pos="2268"/>
        <w:tab w:val="left" w:pos="2835"/>
        <w:tab w:val="left" w:pos="3402"/>
        <w:tab w:val="left" w:pos="3969"/>
      </w:tabs>
      <w:spacing w:before="240" w:after="60"/>
      <w:jc w:val="both"/>
      <w:outlineLvl w:val="5"/>
    </w:pPr>
    <w:rPr>
      <w:i/>
      <w:sz w:val="22"/>
      <w:szCs w:val="20"/>
      <w:lang w:val="nl-NL"/>
    </w:rPr>
  </w:style>
  <w:style w:type="paragraph" w:styleId="Titre7">
    <w:name w:val="heading 7"/>
    <w:basedOn w:val="Normal"/>
    <w:next w:val="Normal"/>
    <w:link w:val="Titre7Car"/>
    <w:qFormat/>
    <w:rsid w:val="005A5BD5"/>
    <w:pPr>
      <w:tabs>
        <w:tab w:val="left" w:pos="567"/>
        <w:tab w:val="left" w:pos="1134"/>
        <w:tab w:val="left" w:pos="1701"/>
        <w:tab w:val="left" w:pos="2268"/>
        <w:tab w:val="left" w:pos="2835"/>
        <w:tab w:val="left" w:pos="3402"/>
        <w:tab w:val="left" w:pos="3969"/>
      </w:tabs>
      <w:spacing w:before="240" w:after="60"/>
      <w:jc w:val="both"/>
      <w:outlineLvl w:val="6"/>
    </w:pPr>
    <w:rPr>
      <w:rFonts w:ascii="Arial" w:hAnsi="Arial"/>
      <w:sz w:val="20"/>
      <w:szCs w:val="20"/>
      <w:lang w:val="nl-NL"/>
    </w:rPr>
  </w:style>
  <w:style w:type="paragraph" w:styleId="Titre8">
    <w:name w:val="heading 8"/>
    <w:basedOn w:val="Normal"/>
    <w:next w:val="Normal"/>
    <w:link w:val="Titre8Car"/>
    <w:qFormat/>
    <w:rsid w:val="005A5BD5"/>
    <w:pPr>
      <w:tabs>
        <w:tab w:val="left" w:pos="567"/>
        <w:tab w:val="left" w:pos="1134"/>
        <w:tab w:val="left" w:pos="1701"/>
        <w:tab w:val="left" w:pos="2268"/>
        <w:tab w:val="left" w:pos="2835"/>
        <w:tab w:val="left" w:pos="3402"/>
        <w:tab w:val="left" w:pos="3969"/>
      </w:tabs>
      <w:spacing w:before="240" w:after="60"/>
      <w:jc w:val="both"/>
      <w:outlineLvl w:val="7"/>
    </w:pPr>
    <w:rPr>
      <w:rFonts w:ascii="Arial" w:hAnsi="Arial"/>
      <w:i/>
      <w:sz w:val="20"/>
      <w:szCs w:val="20"/>
      <w:lang w:val="nl-NL"/>
    </w:rPr>
  </w:style>
  <w:style w:type="paragraph" w:styleId="Titre9">
    <w:name w:val="heading 9"/>
    <w:basedOn w:val="Normal"/>
    <w:next w:val="Normal"/>
    <w:link w:val="Titre9Car"/>
    <w:qFormat/>
    <w:rsid w:val="005A5BD5"/>
    <w:pPr>
      <w:tabs>
        <w:tab w:val="left" w:pos="567"/>
        <w:tab w:val="left" w:pos="1134"/>
        <w:tab w:val="left" w:pos="1701"/>
        <w:tab w:val="left" w:pos="2268"/>
        <w:tab w:val="left" w:pos="2835"/>
        <w:tab w:val="left" w:pos="3402"/>
        <w:tab w:val="left" w:pos="3969"/>
      </w:tabs>
      <w:spacing w:before="240" w:after="60"/>
      <w:jc w:val="both"/>
      <w:outlineLvl w:val="8"/>
    </w:pPr>
    <w:rPr>
      <w:rFonts w:ascii="Arial" w:hAnsi="Arial"/>
      <w:b/>
      <w:i/>
      <w:sz w:val="18"/>
      <w:szCs w:val="20"/>
      <w:lang w:val="nl-N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A5BD5"/>
    <w:rPr>
      <w:rFonts w:ascii="Arial" w:hAnsi="Arial" w:cs="Arial"/>
      <w:b/>
      <w:bCs/>
      <w:kern w:val="32"/>
      <w:sz w:val="32"/>
      <w:szCs w:val="32"/>
      <w:lang w:val="de-DE" w:eastAsia="de-DE" w:bidi="de-DE"/>
    </w:rPr>
  </w:style>
  <w:style w:type="character" w:customStyle="1" w:styleId="Titre2Car">
    <w:name w:val="Titre 2 Car"/>
    <w:basedOn w:val="Policepardfaut"/>
    <w:link w:val="Titre2"/>
    <w:rsid w:val="005A5BD5"/>
    <w:rPr>
      <w:b/>
      <w:sz w:val="24"/>
      <w:szCs w:val="20"/>
      <w:lang w:val="nl-BE"/>
    </w:rPr>
  </w:style>
  <w:style w:type="character" w:customStyle="1" w:styleId="Titre3Car">
    <w:name w:val="Titre 3 Car"/>
    <w:basedOn w:val="Policepardfaut"/>
    <w:link w:val="Titre3"/>
    <w:rsid w:val="005A5BD5"/>
    <w:rPr>
      <w:szCs w:val="20"/>
      <w:u w:val="single"/>
      <w:lang w:val="nl-BE"/>
    </w:rPr>
  </w:style>
  <w:style w:type="character" w:customStyle="1" w:styleId="Titre4Car">
    <w:name w:val="Titre 4 Car"/>
    <w:basedOn w:val="Policepardfaut"/>
    <w:link w:val="Titre4"/>
    <w:rsid w:val="005A5BD5"/>
    <w:rPr>
      <w:b/>
      <w:noProof/>
      <w:szCs w:val="20"/>
      <w:lang w:val="nl-NL"/>
    </w:rPr>
  </w:style>
  <w:style w:type="character" w:customStyle="1" w:styleId="Titre5Car">
    <w:name w:val="Titre 5 Car"/>
    <w:basedOn w:val="Policepardfaut"/>
    <w:link w:val="Titre5"/>
    <w:rsid w:val="005A5BD5"/>
    <w:rPr>
      <w:szCs w:val="20"/>
      <w:lang w:val="nl-NL"/>
    </w:rPr>
  </w:style>
  <w:style w:type="character" w:customStyle="1" w:styleId="Titre6Car">
    <w:name w:val="Titre 6 Car"/>
    <w:basedOn w:val="Policepardfaut"/>
    <w:link w:val="Titre6"/>
    <w:rsid w:val="005A5BD5"/>
    <w:rPr>
      <w:i/>
      <w:szCs w:val="20"/>
      <w:lang w:val="nl-NL"/>
    </w:rPr>
  </w:style>
  <w:style w:type="character" w:customStyle="1" w:styleId="Titre7Car">
    <w:name w:val="Titre 7 Car"/>
    <w:basedOn w:val="Policepardfaut"/>
    <w:link w:val="Titre7"/>
    <w:rsid w:val="005A5BD5"/>
    <w:rPr>
      <w:rFonts w:ascii="Arial" w:hAnsi="Arial"/>
      <w:sz w:val="20"/>
      <w:szCs w:val="20"/>
      <w:lang w:val="nl-NL"/>
    </w:rPr>
  </w:style>
  <w:style w:type="character" w:customStyle="1" w:styleId="Titre8Car">
    <w:name w:val="Titre 8 Car"/>
    <w:basedOn w:val="Policepardfaut"/>
    <w:link w:val="Titre8"/>
    <w:rsid w:val="005A5BD5"/>
    <w:rPr>
      <w:rFonts w:ascii="Arial" w:hAnsi="Arial"/>
      <w:i/>
      <w:sz w:val="20"/>
      <w:szCs w:val="20"/>
      <w:lang w:val="nl-NL"/>
    </w:rPr>
  </w:style>
  <w:style w:type="character" w:customStyle="1" w:styleId="Titre9Car">
    <w:name w:val="Titre 9 Car"/>
    <w:basedOn w:val="Policepardfaut"/>
    <w:link w:val="Titre9"/>
    <w:rsid w:val="005A5BD5"/>
    <w:rPr>
      <w:rFonts w:ascii="Arial" w:hAnsi="Arial"/>
      <w:b/>
      <w:i/>
      <w:sz w:val="18"/>
      <w:szCs w:val="20"/>
      <w:lang w:val="nl-NL"/>
    </w:rPr>
  </w:style>
  <w:style w:type="table" w:styleId="Grilledutableau">
    <w:name w:val="Table Grid"/>
    <w:basedOn w:val="TableauNormal"/>
    <w:uiPriority w:val="39"/>
    <w:rsid w:val="005A5BD5"/>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rsid w:val="005A5BD5"/>
    <w:rPr>
      <w:color w:val="0000FF"/>
      <w:u w:val="single"/>
    </w:rPr>
  </w:style>
  <w:style w:type="paragraph" w:styleId="Textedebulles">
    <w:name w:val="Balloon Text"/>
    <w:basedOn w:val="Normal"/>
    <w:link w:val="TextedebullesCar"/>
    <w:uiPriority w:val="99"/>
    <w:rsid w:val="005A5BD5"/>
    <w:rPr>
      <w:rFonts w:ascii="Tahoma" w:hAnsi="Tahoma" w:cs="Tahoma"/>
      <w:sz w:val="16"/>
      <w:szCs w:val="16"/>
    </w:rPr>
  </w:style>
  <w:style w:type="character" w:customStyle="1" w:styleId="TextedebullesCar">
    <w:name w:val="Texte de bulles Car"/>
    <w:basedOn w:val="Policepardfaut"/>
    <w:link w:val="Textedebulles"/>
    <w:uiPriority w:val="99"/>
    <w:rsid w:val="005A5BD5"/>
    <w:rPr>
      <w:rFonts w:ascii="Tahoma" w:hAnsi="Tahoma" w:cs="Tahoma"/>
      <w:sz w:val="16"/>
      <w:szCs w:val="16"/>
    </w:rPr>
  </w:style>
  <w:style w:type="character" w:styleId="Marquedecommentaire">
    <w:name w:val="annotation reference"/>
    <w:rsid w:val="005A5BD5"/>
    <w:rPr>
      <w:sz w:val="16"/>
      <w:szCs w:val="16"/>
    </w:rPr>
  </w:style>
  <w:style w:type="paragraph" w:styleId="Commentaire">
    <w:name w:val="annotation text"/>
    <w:basedOn w:val="Normal"/>
    <w:link w:val="CommentaireCar"/>
    <w:rsid w:val="005A5BD5"/>
    <w:rPr>
      <w:sz w:val="20"/>
      <w:szCs w:val="20"/>
    </w:rPr>
  </w:style>
  <w:style w:type="character" w:customStyle="1" w:styleId="CommentaireCar">
    <w:name w:val="Commentaire Car"/>
    <w:basedOn w:val="Policepardfaut"/>
    <w:link w:val="Commentaire"/>
    <w:rsid w:val="005A5BD5"/>
    <w:rPr>
      <w:sz w:val="20"/>
      <w:szCs w:val="20"/>
    </w:rPr>
  </w:style>
  <w:style w:type="paragraph" w:styleId="Objetducommentaire">
    <w:name w:val="annotation subject"/>
    <w:basedOn w:val="Commentaire"/>
    <w:next w:val="Commentaire"/>
    <w:link w:val="ObjetducommentaireCar"/>
    <w:rsid w:val="005A5BD5"/>
    <w:rPr>
      <w:b/>
      <w:bCs/>
    </w:rPr>
  </w:style>
  <w:style w:type="character" w:customStyle="1" w:styleId="ObjetducommentaireCar">
    <w:name w:val="Objet du commentaire Car"/>
    <w:basedOn w:val="CommentaireCar"/>
    <w:link w:val="Objetducommentaire"/>
    <w:rsid w:val="005A5BD5"/>
    <w:rPr>
      <w:b/>
      <w:bCs/>
      <w:sz w:val="20"/>
      <w:szCs w:val="20"/>
    </w:rPr>
  </w:style>
  <w:style w:type="numbering" w:customStyle="1" w:styleId="Aucuneliste1">
    <w:name w:val="Aucune liste1"/>
    <w:next w:val="Aucuneliste"/>
    <w:semiHidden/>
    <w:unhideWhenUsed/>
    <w:rsid w:val="005A5BD5"/>
  </w:style>
  <w:style w:type="table" w:customStyle="1" w:styleId="Grilledutableau1">
    <w:name w:val="Grille du tableau1"/>
    <w:basedOn w:val="TableauNormal"/>
    <w:next w:val="Grilledutableau"/>
    <w:uiPriority w:val="59"/>
    <w:rsid w:val="005A5BD5"/>
    <w:rPr>
      <w:rFonts w:eastAsia="Calibri"/>
      <w:sz w:val="24"/>
      <w:lang w:val="fr-BE" w:eastAsia="fr-B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A5BD5"/>
    <w:pPr>
      <w:spacing w:before="100" w:beforeAutospacing="1" w:after="100" w:afterAutospacing="1"/>
    </w:pPr>
    <w:rPr>
      <w:lang w:eastAsia="de-DE" w:bidi="de-DE"/>
    </w:rPr>
  </w:style>
  <w:style w:type="paragraph" w:styleId="En-tte">
    <w:name w:val="header"/>
    <w:basedOn w:val="Normal"/>
    <w:link w:val="En-tteCar"/>
    <w:rsid w:val="005A5BD5"/>
    <w:pPr>
      <w:tabs>
        <w:tab w:val="center" w:pos="4536"/>
        <w:tab w:val="right" w:pos="9072"/>
      </w:tabs>
      <w:spacing w:after="240"/>
      <w:jc w:val="both"/>
    </w:pPr>
    <w:rPr>
      <w:sz w:val="22"/>
      <w:szCs w:val="20"/>
      <w:lang w:eastAsia="de-DE" w:bidi="de-DE"/>
    </w:rPr>
  </w:style>
  <w:style w:type="character" w:customStyle="1" w:styleId="En-tteCar">
    <w:name w:val="En-tête Car"/>
    <w:basedOn w:val="Policepardfaut"/>
    <w:link w:val="En-tte"/>
    <w:rsid w:val="005A5BD5"/>
    <w:rPr>
      <w:szCs w:val="20"/>
      <w:lang w:val="de-DE" w:eastAsia="de-DE" w:bidi="de-DE"/>
    </w:rPr>
  </w:style>
  <w:style w:type="numbering" w:customStyle="1" w:styleId="Aucuneliste11">
    <w:name w:val="Aucune liste11"/>
    <w:next w:val="Aucuneliste"/>
    <w:uiPriority w:val="99"/>
    <w:semiHidden/>
    <w:unhideWhenUsed/>
    <w:rsid w:val="005A5BD5"/>
  </w:style>
  <w:style w:type="paragraph" w:styleId="Corpsdetexte">
    <w:name w:val="Body Text"/>
    <w:basedOn w:val="Normal"/>
    <w:link w:val="CorpsdetexteCar"/>
    <w:rsid w:val="005A5BD5"/>
    <w:pPr>
      <w:tabs>
        <w:tab w:val="left" w:pos="-720"/>
        <w:tab w:val="left" w:pos="567"/>
        <w:tab w:val="left" w:pos="1134"/>
        <w:tab w:val="left" w:pos="1701"/>
        <w:tab w:val="left" w:pos="2268"/>
        <w:tab w:val="left" w:pos="2835"/>
        <w:tab w:val="left" w:pos="3402"/>
        <w:tab w:val="left" w:pos="3969"/>
        <w:tab w:val="left" w:pos="4536"/>
      </w:tabs>
      <w:suppressAutoHyphens/>
      <w:spacing w:after="240" w:line="218" w:lineRule="auto"/>
      <w:jc w:val="both"/>
    </w:pPr>
    <w:rPr>
      <w:spacing w:val="-3"/>
      <w:sz w:val="22"/>
      <w:szCs w:val="20"/>
      <w:lang w:eastAsia="de-DE" w:bidi="de-DE"/>
    </w:rPr>
  </w:style>
  <w:style w:type="character" w:customStyle="1" w:styleId="CorpsdetexteCar">
    <w:name w:val="Corps de texte Car"/>
    <w:basedOn w:val="Policepardfaut"/>
    <w:link w:val="Corpsdetexte"/>
    <w:rsid w:val="005A5BD5"/>
    <w:rPr>
      <w:spacing w:val="-3"/>
      <w:szCs w:val="20"/>
      <w:lang w:val="de-DE" w:eastAsia="de-DE" w:bidi="de-DE"/>
    </w:rPr>
  </w:style>
  <w:style w:type="character" w:styleId="lev">
    <w:name w:val="Strong"/>
    <w:uiPriority w:val="22"/>
    <w:qFormat/>
    <w:rsid w:val="005A5BD5"/>
    <w:rPr>
      <w:b/>
      <w:bCs/>
    </w:rPr>
  </w:style>
  <w:style w:type="numbering" w:customStyle="1" w:styleId="Aucuneliste2">
    <w:name w:val="Aucune liste2"/>
    <w:next w:val="Aucuneliste"/>
    <w:uiPriority w:val="99"/>
    <w:semiHidden/>
    <w:unhideWhenUsed/>
    <w:rsid w:val="005A5BD5"/>
  </w:style>
  <w:style w:type="table" w:customStyle="1" w:styleId="Grilledutableau2">
    <w:name w:val="Grille du tableau2"/>
    <w:basedOn w:val="TableauNormal"/>
    <w:next w:val="Grilledutableau"/>
    <w:uiPriority w:val="59"/>
    <w:rsid w:val="005A5BD5"/>
    <w:rPr>
      <w:rFonts w:eastAsia="Calibri"/>
      <w:sz w:val="24"/>
      <w:lang w:val="fr-BE" w:eastAsia="fr-B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2">
    <w:name w:val="Aucune liste12"/>
    <w:next w:val="Aucuneliste"/>
    <w:uiPriority w:val="99"/>
    <w:semiHidden/>
    <w:unhideWhenUsed/>
    <w:rsid w:val="005A5BD5"/>
  </w:style>
  <w:style w:type="numbering" w:customStyle="1" w:styleId="Aucuneliste3">
    <w:name w:val="Aucune liste3"/>
    <w:next w:val="Aucuneliste"/>
    <w:uiPriority w:val="99"/>
    <w:semiHidden/>
    <w:unhideWhenUsed/>
    <w:rsid w:val="005A5BD5"/>
  </w:style>
  <w:style w:type="numbering" w:customStyle="1" w:styleId="Aucuneliste13">
    <w:name w:val="Aucune liste13"/>
    <w:next w:val="Aucuneliste"/>
    <w:uiPriority w:val="99"/>
    <w:semiHidden/>
    <w:unhideWhenUsed/>
    <w:rsid w:val="005A5BD5"/>
  </w:style>
  <w:style w:type="table" w:customStyle="1" w:styleId="Grilledutableau3">
    <w:name w:val="Grille du tableau3"/>
    <w:basedOn w:val="TableauNormal"/>
    <w:next w:val="Grilledutableau"/>
    <w:uiPriority w:val="59"/>
    <w:rsid w:val="005A5BD5"/>
    <w:rPr>
      <w:rFonts w:eastAsia="Calibri"/>
      <w:sz w:val="24"/>
      <w:lang w:val="fr-BE" w:eastAsia="fr-B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1">
    <w:name w:val="Aucune liste111"/>
    <w:next w:val="Aucuneliste"/>
    <w:uiPriority w:val="99"/>
    <w:semiHidden/>
    <w:unhideWhenUsed/>
    <w:rsid w:val="005A5BD5"/>
  </w:style>
  <w:style w:type="numbering" w:customStyle="1" w:styleId="Aucuneliste4">
    <w:name w:val="Aucune liste4"/>
    <w:next w:val="Aucuneliste"/>
    <w:uiPriority w:val="99"/>
    <w:semiHidden/>
    <w:unhideWhenUsed/>
    <w:rsid w:val="005A5BD5"/>
  </w:style>
  <w:style w:type="paragraph" w:customStyle="1" w:styleId="Titre1fr">
    <w:name w:val="Titre 1 fr"/>
    <w:basedOn w:val="Titre1"/>
    <w:rsid w:val="005A5BD5"/>
    <w:pPr>
      <w:keepNext w:val="0"/>
      <w:spacing w:before="0" w:after="360"/>
      <w:jc w:val="center"/>
    </w:pPr>
    <w:rPr>
      <w:rFonts w:ascii="Times New Roman" w:hAnsi="Times New Roman" w:cs="Times New Roman"/>
      <w:bCs w:val="0"/>
      <w:kern w:val="28"/>
      <w:sz w:val="28"/>
      <w:szCs w:val="20"/>
      <w:lang w:val="nl-NL" w:eastAsia="fr-FR" w:bidi="ar-SA"/>
    </w:rPr>
  </w:style>
  <w:style w:type="paragraph" w:customStyle="1" w:styleId="Titre2fr">
    <w:name w:val="Titre 2 fr"/>
    <w:basedOn w:val="Titre2"/>
    <w:rsid w:val="005A5BD5"/>
    <w:rPr>
      <w:lang w:val="fr-BE"/>
    </w:rPr>
  </w:style>
  <w:style w:type="paragraph" w:customStyle="1" w:styleId="Titre3fr">
    <w:name w:val="Titre 3 fr"/>
    <w:basedOn w:val="Titre3"/>
    <w:rsid w:val="005A5BD5"/>
    <w:rPr>
      <w:lang w:val="fr-BE"/>
    </w:rPr>
  </w:style>
  <w:style w:type="paragraph" w:customStyle="1" w:styleId="retrait">
    <w:name w:val="retrait"/>
    <w:basedOn w:val="Normal"/>
    <w:rsid w:val="005A5BD5"/>
    <w:pPr>
      <w:tabs>
        <w:tab w:val="left" w:pos="567"/>
        <w:tab w:val="left" w:pos="1134"/>
        <w:tab w:val="left" w:pos="1701"/>
        <w:tab w:val="left" w:pos="2268"/>
        <w:tab w:val="left" w:pos="2835"/>
        <w:tab w:val="left" w:pos="3402"/>
        <w:tab w:val="left" w:pos="3969"/>
      </w:tabs>
      <w:spacing w:after="240"/>
      <w:ind w:left="567" w:hanging="567"/>
      <w:jc w:val="both"/>
    </w:pPr>
    <w:rPr>
      <w:sz w:val="22"/>
      <w:szCs w:val="20"/>
      <w:lang w:val="nl-NL"/>
    </w:rPr>
  </w:style>
  <w:style w:type="paragraph" w:customStyle="1" w:styleId="retrait2">
    <w:name w:val="retrait 2"/>
    <w:basedOn w:val="Normal"/>
    <w:rsid w:val="005A5BD5"/>
    <w:pPr>
      <w:tabs>
        <w:tab w:val="left" w:pos="567"/>
        <w:tab w:val="left" w:pos="1134"/>
        <w:tab w:val="left" w:pos="1701"/>
        <w:tab w:val="left" w:pos="2268"/>
        <w:tab w:val="left" w:pos="2835"/>
        <w:tab w:val="left" w:pos="3402"/>
        <w:tab w:val="left" w:pos="3969"/>
      </w:tabs>
      <w:spacing w:after="240"/>
      <w:ind w:left="1134" w:hanging="1134"/>
      <w:jc w:val="both"/>
    </w:pPr>
    <w:rPr>
      <w:sz w:val="22"/>
      <w:szCs w:val="20"/>
      <w:lang w:val="nl-NL"/>
    </w:rPr>
  </w:style>
  <w:style w:type="paragraph" w:customStyle="1" w:styleId="Retrait3">
    <w:name w:val="Retrait 3"/>
    <w:basedOn w:val="Normal"/>
    <w:rsid w:val="005A5BD5"/>
    <w:pPr>
      <w:tabs>
        <w:tab w:val="left" w:pos="567"/>
        <w:tab w:val="left" w:pos="1134"/>
        <w:tab w:val="left" w:pos="1701"/>
        <w:tab w:val="left" w:pos="2268"/>
        <w:tab w:val="left" w:pos="2835"/>
        <w:tab w:val="left" w:pos="3402"/>
        <w:tab w:val="left" w:pos="3969"/>
      </w:tabs>
      <w:spacing w:after="240"/>
      <w:ind w:left="1701" w:hanging="1701"/>
      <w:jc w:val="both"/>
    </w:pPr>
    <w:rPr>
      <w:sz w:val="22"/>
      <w:szCs w:val="20"/>
      <w:lang w:val="nl-NL"/>
    </w:rPr>
  </w:style>
  <w:style w:type="paragraph" w:styleId="Pieddepage">
    <w:name w:val="footer"/>
    <w:basedOn w:val="Normal"/>
    <w:link w:val="PieddepageCar"/>
    <w:rsid w:val="005A5BD5"/>
    <w:pPr>
      <w:tabs>
        <w:tab w:val="center" w:pos="4536"/>
        <w:tab w:val="right" w:pos="9072"/>
      </w:tabs>
      <w:spacing w:after="240"/>
      <w:jc w:val="both"/>
    </w:pPr>
    <w:rPr>
      <w:sz w:val="22"/>
      <w:szCs w:val="20"/>
      <w:lang w:val="nl-NL"/>
    </w:rPr>
  </w:style>
  <w:style w:type="character" w:customStyle="1" w:styleId="PieddepageCar">
    <w:name w:val="Pied de page Car"/>
    <w:basedOn w:val="Policepardfaut"/>
    <w:link w:val="Pieddepage"/>
    <w:rsid w:val="005A5BD5"/>
    <w:rPr>
      <w:szCs w:val="20"/>
      <w:lang w:val="nl-NL"/>
    </w:rPr>
  </w:style>
  <w:style w:type="paragraph" w:styleId="TM1">
    <w:name w:val="toc 1"/>
    <w:basedOn w:val="Normal"/>
    <w:next w:val="Normal"/>
    <w:rsid w:val="005A5BD5"/>
    <w:pPr>
      <w:spacing w:before="120"/>
    </w:pPr>
    <w:rPr>
      <w:b/>
      <w:i/>
      <w:szCs w:val="20"/>
      <w:lang w:val="nl-NL"/>
    </w:rPr>
  </w:style>
  <w:style w:type="character" w:styleId="Numrodepage">
    <w:name w:val="page number"/>
    <w:rsid w:val="005A5BD5"/>
  </w:style>
  <w:style w:type="paragraph" w:styleId="Corpsdetexte3">
    <w:name w:val="Body Text 3"/>
    <w:basedOn w:val="Normal"/>
    <w:link w:val="Corpsdetexte3Car"/>
    <w:rsid w:val="005A5BD5"/>
    <w:pPr>
      <w:tabs>
        <w:tab w:val="left" w:pos="567"/>
        <w:tab w:val="left" w:pos="1134"/>
        <w:tab w:val="left" w:pos="1701"/>
        <w:tab w:val="left" w:pos="2268"/>
        <w:tab w:val="left" w:pos="2835"/>
        <w:tab w:val="left" w:pos="3402"/>
        <w:tab w:val="left" w:pos="3969"/>
      </w:tabs>
      <w:spacing w:after="240"/>
      <w:jc w:val="both"/>
    </w:pPr>
    <w:rPr>
      <w:b/>
      <w:sz w:val="22"/>
      <w:szCs w:val="20"/>
      <w:lang w:val="nl-NL"/>
    </w:rPr>
  </w:style>
  <w:style w:type="character" w:customStyle="1" w:styleId="Corpsdetexte3Car">
    <w:name w:val="Corps de texte 3 Car"/>
    <w:basedOn w:val="Policepardfaut"/>
    <w:link w:val="Corpsdetexte3"/>
    <w:rsid w:val="005A5BD5"/>
    <w:rPr>
      <w:b/>
      <w:szCs w:val="20"/>
      <w:lang w:val="nl-NL"/>
    </w:rPr>
  </w:style>
  <w:style w:type="paragraph" w:styleId="Corpsdetexte2">
    <w:name w:val="Body Text 2"/>
    <w:basedOn w:val="Normal"/>
    <w:link w:val="Corpsdetexte2Car"/>
    <w:rsid w:val="005A5BD5"/>
    <w:pPr>
      <w:jc w:val="both"/>
    </w:pPr>
    <w:rPr>
      <w:szCs w:val="20"/>
      <w:lang w:val="nl-BE"/>
    </w:rPr>
  </w:style>
  <w:style w:type="character" w:customStyle="1" w:styleId="Corpsdetexte2Car">
    <w:name w:val="Corps de texte 2 Car"/>
    <w:basedOn w:val="Policepardfaut"/>
    <w:link w:val="Corpsdetexte2"/>
    <w:rsid w:val="005A5BD5"/>
    <w:rPr>
      <w:sz w:val="24"/>
      <w:szCs w:val="20"/>
      <w:lang w:val="nl-BE"/>
    </w:rPr>
  </w:style>
  <w:style w:type="character" w:customStyle="1" w:styleId="TextedebullesCar1">
    <w:name w:val="Texte de bulles Car1"/>
    <w:uiPriority w:val="99"/>
    <w:semiHidden/>
    <w:rsid w:val="005A5BD5"/>
    <w:rPr>
      <w:rFonts w:ascii="Tahoma" w:hAnsi="Tahoma" w:cs="Tahoma"/>
      <w:sz w:val="16"/>
      <w:szCs w:val="16"/>
    </w:rPr>
  </w:style>
  <w:style w:type="character" w:styleId="Lienhypertextesuivivisit">
    <w:name w:val="FollowedHyperlink"/>
    <w:uiPriority w:val="99"/>
    <w:semiHidden/>
    <w:unhideWhenUsed/>
    <w:rsid w:val="005A5BD5"/>
    <w:rPr>
      <w:color w:val="800080"/>
      <w:u w:val="single"/>
    </w:rPr>
  </w:style>
  <w:style w:type="table" w:customStyle="1" w:styleId="Grilledutableau11">
    <w:name w:val="Grille du tableau11"/>
    <w:basedOn w:val="TableauNormal"/>
    <w:next w:val="Grilledutableau"/>
    <w:uiPriority w:val="59"/>
    <w:rsid w:val="007D52CA"/>
    <w:rPr>
      <w:rFonts w:eastAsia="Calibri"/>
      <w:sz w:val="24"/>
      <w:lang w:val="fr-BE" w:eastAsia="fr-B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brut">
    <w:name w:val="Plain Text"/>
    <w:basedOn w:val="Normal"/>
    <w:link w:val="TextebrutCar"/>
    <w:uiPriority w:val="99"/>
    <w:rsid w:val="007D52CA"/>
    <w:rPr>
      <w:rFonts w:ascii="Consolas" w:hAnsi="Consolas"/>
      <w:sz w:val="21"/>
      <w:szCs w:val="21"/>
      <w:lang w:val="nl-BE" w:eastAsia="en-US"/>
    </w:rPr>
  </w:style>
  <w:style w:type="character" w:customStyle="1" w:styleId="TextebrutCar">
    <w:name w:val="Texte brut Car"/>
    <w:basedOn w:val="Policepardfaut"/>
    <w:link w:val="Textebrut"/>
    <w:uiPriority w:val="99"/>
    <w:rsid w:val="007D52CA"/>
    <w:rPr>
      <w:rFonts w:ascii="Consolas" w:hAnsi="Consolas"/>
      <w:sz w:val="21"/>
      <w:szCs w:val="21"/>
      <w:lang w:val="nl-BE" w:eastAsia="en-US"/>
    </w:rPr>
  </w:style>
  <w:style w:type="table" w:customStyle="1" w:styleId="Grilledutableau12">
    <w:name w:val="Grille du tableau12"/>
    <w:basedOn w:val="TableauNormal"/>
    <w:next w:val="Grilledutableau"/>
    <w:uiPriority w:val="59"/>
    <w:rsid w:val="007D52CA"/>
    <w:rPr>
      <w:rFonts w:eastAsia="Calibri"/>
      <w:sz w:val="24"/>
      <w:lang w:val="fr-BE" w:eastAsia="fr-B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3426CA"/>
  </w:style>
  <w:style w:type="numbering" w:customStyle="1" w:styleId="Aucuneliste14">
    <w:name w:val="Aucune liste14"/>
    <w:next w:val="Aucuneliste"/>
    <w:uiPriority w:val="99"/>
    <w:semiHidden/>
    <w:unhideWhenUsed/>
    <w:rsid w:val="003426CA"/>
  </w:style>
  <w:style w:type="paragraph" w:customStyle="1" w:styleId="Level1">
    <w:name w:val="Level 1"/>
    <w:basedOn w:val="Normal"/>
    <w:uiPriority w:val="99"/>
    <w:rsid w:val="009A45BD"/>
    <w:pPr>
      <w:widowControl w:val="0"/>
      <w:autoSpaceDE w:val="0"/>
      <w:autoSpaceDN w:val="0"/>
      <w:adjustRightInd w:val="0"/>
      <w:ind w:left="340" w:hanging="340"/>
    </w:pPr>
    <w:rPr>
      <w:rFonts w:ascii="Courier" w:hAnsi="Courier"/>
      <w:lang w:val="en-US"/>
    </w:rPr>
  </w:style>
  <w:style w:type="table" w:customStyle="1" w:styleId="Grilledutableau4">
    <w:name w:val="Grille du tableau4"/>
    <w:basedOn w:val="TableauNormal"/>
    <w:next w:val="Grilledutableau"/>
    <w:locked/>
    <w:rsid w:val="009A45BD"/>
    <w:rPr>
      <w:rFonts w:eastAsia="Calibri"/>
      <w:sz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11">
    <w:name w:val="Aucune liste1111"/>
    <w:next w:val="Aucuneliste"/>
    <w:uiPriority w:val="99"/>
    <w:semiHidden/>
    <w:unhideWhenUsed/>
    <w:rsid w:val="009A45BD"/>
  </w:style>
  <w:style w:type="paragraph" w:styleId="Paragraphedeliste">
    <w:name w:val="List Paragraph"/>
    <w:basedOn w:val="Normal"/>
    <w:uiPriority w:val="34"/>
    <w:qFormat/>
    <w:rsid w:val="006B06FE"/>
    <w:pPr>
      <w:ind w:left="720"/>
      <w:contextualSpacing/>
    </w:pPr>
    <w:rPr>
      <w:rFonts w:eastAsiaTheme="minorHAnsi" w:cstheme="minorBidi"/>
      <w:szCs w:val="22"/>
      <w:lang w:eastAsia="en-US"/>
    </w:rPr>
  </w:style>
  <w:style w:type="paragraph" w:styleId="Notedebasdepage">
    <w:name w:val="footnote text"/>
    <w:basedOn w:val="Normal"/>
    <w:link w:val="NotedebasdepageCar"/>
    <w:uiPriority w:val="99"/>
    <w:semiHidden/>
    <w:unhideWhenUsed/>
    <w:rsid w:val="00902D1A"/>
    <w:rPr>
      <w:sz w:val="20"/>
      <w:szCs w:val="20"/>
    </w:rPr>
  </w:style>
  <w:style w:type="character" w:customStyle="1" w:styleId="NotedebasdepageCar">
    <w:name w:val="Note de bas de page Car"/>
    <w:basedOn w:val="Policepardfaut"/>
    <w:link w:val="Notedebasdepage"/>
    <w:uiPriority w:val="99"/>
    <w:semiHidden/>
    <w:rsid w:val="00902D1A"/>
    <w:rPr>
      <w:sz w:val="20"/>
      <w:szCs w:val="20"/>
      <w:lang w:val="de-DE"/>
    </w:rPr>
  </w:style>
  <w:style w:type="character" w:styleId="Appelnotedebasdep">
    <w:name w:val="footnote reference"/>
    <w:basedOn w:val="Policepardfaut"/>
    <w:uiPriority w:val="99"/>
    <w:semiHidden/>
    <w:unhideWhenUsed/>
    <w:rsid w:val="00902D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8291">
      <w:bodyDiv w:val="1"/>
      <w:marLeft w:val="0"/>
      <w:marRight w:val="0"/>
      <w:marTop w:val="0"/>
      <w:marBottom w:val="0"/>
      <w:divBdr>
        <w:top w:val="none" w:sz="0" w:space="0" w:color="auto"/>
        <w:left w:val="none" w:sz="0" w:space="0" w:color="auto"/>
        <w:bottom w:val="none" w:sz="0" w:space="0" w:color="auto"/>
        <w:right w:val="none" w:sz="0" w:space="0" w:color="auto"/>
      </w:divBdr>
    </w:div>
    <w:div w:id="63529862">
      <w:bodyDiv w:val="1"/>
      <w:marLeft w:val="0"/>
      <w:marRight w:val="0"/>
      <w:marTop w:val="0"/>
      <w:marBottom w:val="0"/>
      <w:divBdr>
        <w:top w:val="none" w:sz="0" w:space="0" w:color="auto"/>
        <w:left w:val="none" w:sz="0" w:space="0" w:color="auto"/>
        <w:bottom w:val="none" w:sz="0" w:space="0" w:color="auto"/>
        <w:right w:val="none" w:sz="0" w:space="0" w:color="auto"/>
      </w:divBdr>
    </w:div>
    <w:div w:id="68382045">
      <w:bodyDiv w:val="1"/>
      <w:marLeft w:val="0"/>
      <w:marRight w:val="0"/>
      <w:marTop w:val="0"/>
      <w:marBottom w:val="0"/>
      <w:divBdr>
        <w:top w:val="none" w:sz="0" w:space="0" w:color="auto"/>
        <w:left w:val="none" w:sz="0" w:space="0" w:color="auto"/>
        <w:bottom w:val="none" w:sz="0" w:space="0" w:color="auto"/>
        <w:right w:val="none" w:sz="0" w:space="0" w:color="auto"/>
      </w:divBdr>
    </w:div>
    <w:div w:id="94907605">
      <w:bodyDiv w:val="1"/>
      <w:marLeft w:val="0"/>
      <w:marRight w:val="0"/>
      <w:marTop w:val="0"/>
      <w:marBottom w:val="0"/>
      <w:divBdr>
        <w:top w:val="none" w:sz="0" w:space="0" w:color="auto"/>
        <w:left w:val="none" w:sz="0" w:space="0" w:color="auto"/>
        <w:bottom w:val="none" w:sz="0" w:space="0" w:color="auto"/>
        <w:right w:val="none" w:sz="0" w:space="0" w:color="auto"/>
      </w:divBdr>
    </w:div>
    <w:div w:id="98185957">
      <w:bodyDiv w:val="1"/>
      <w:marLeft w:val="0"/>
      <w:marRight w:val="0"/>
      <w:marTop w:val="0"/>
      <w:marBottom w:val="0"/>
      <w:divBdr>
        <w:top w:val="none" w:sz="0" w:space="0" w:color="auto"/>
        <w:left w:val="none" w:sz="0" w:space="0" w:color="auto"/>
        <w:bottom w:val="none" w:sz="0" w:space="0" w:color="auto"/>
        <w:right w:val="none" w:sz="0" w:space="0" w:color="auto"/>
      </w:divBdr>
    </w:div>
    <w:div w:id="127748748">
      <w:bodyDiv w:val="1"/>
      <w:marLeft w:val="0"/>
      <w:marRight w:val="0"/>
      <w:marTop w:val="0"/>
      <w:marBottom w:val="0"/>
      <w:divBdr>
        <w:top w:val="none" w:sz="0" w:space="0" w:color="auto"/>
        <w:left w:val="none" w:sz="0" w:space="0" w:color="auto"/>
        <w:bottom w:val="none" w:sz="0" w:space="0" w:color="auto"/>
        <w:right w:val="none" w:sz="0" w:space="0" w:color="auto"/>
      </w:divBdr>
    </w:div>
    <w:div w:id="131287834">
      <w:bodyDiv w:val="1"/>
      <w:marLeft w:val="0"/>
      <w:marRight w:val="0"/>
      <w:marTop w:val="0"/>
      <w:marBottom w:val="0"/>
      <w:divBdr>
        <w:top w:val="none" w:sz="0" w:space="0" w:color="auto"/>
        <w:left w:val="none" w:sz="0" w:space="0" w:color="auto"/>
        <w:bottom w:val="none" w:sz="0" w:space="0" w:color="auto"/>
        <w:right w:val="none" w:sz="0" w:space="0" w:color="auto"/>
      </w:divBdr>
    </w:div>
    <w:div w:id="159977236">
      <w:bodyDiv w:val="1"/>
      <w:marLeft w:val="0"/>
      <w:marRight w:val="0"/>
      <w:marTop w:val="0"/>
      <w:marBottom w:val="0"/>
      <w:divBdr>
        <w:top w:val="none" w:sz="0" w:space="0" w:color="auto"/>
        <w:left w:val="none" w:sz="0" w:space="0" w:color="auto"/>
        <w:bottom w:val="none" w:sz="0" w:space="0" w:color="auto"/>
        <w:right w:val="none" w:sz="0" w:space="0" w:color="auto"/>
      </w:divBdr>
    </w:div>
    <w:div w:id="165563848">
      <w:bodyDiv w:val="1"/>
      <w:marLeft w:val="0"/>
      <w:marRight w:val="0"/>
      <w:marTop w:val="0"/>
      <w:marBottom w:val="0"/>
      <w:divBdr>
        <w:top w:val="none" w:sz="0" w:space="0" w:color="auto"/>
        <w:left w:val="none" w:sz="0" w:space="0" w:color="auto"/>
        <w:bottom w:val="none" w:sz="0" w:space="0" w:color="auto"/>
        <w:right w:val="none" w:sz="0" w:space="0" w:color="auto"/>
      </w:divBdr>
    </w:div>
    <w:div w:id="166484692">
      <w:bodyDiv w:val="1"/>
      <w:marLeft w:val="0"/>
      <w:marRight w:val="0"/>
      <w:marTop w:val="0"/>
      <w:marBottom w:val="0"/>
      <w:divBdr>
        <w:top w:val="none" w:sz="0" w:space="0" w:color="auto"/>
        <w:left w:val="none" w:sz="0" w:space="0" w:color="auto"/>
        <w:bottom w:val="none" w:sz="0" w:space="0" w:color="auto"/>
        <w:right w:val="none" w:sz="0" w:space="0" w:color="auto"/>
      </w:divBdr>
    </w:div>
    <w:div w:id="172453823">
      <w:bodyDiv w:val="1"/>
      <w:marLeft w:val="0"/>
      <w:marRight w:val="0"/>
      <w:marTop w:val="0"/>
      <w:marBottom w:val="0"/>
      <w:divBdr>
        <w:top w:val="none" w:sz="0" w:space="0" w:color="auto"/>
        <w:left w:val="none" w:sz="0" w:space="0" w:color="auto"/>
        <w:bottom w:val="none" w:sz="0" w:space="0" w:color="auto"/>
        <w:right w:val="none" w:sz="0" w:space="0" w:color="auto"/>
      </w:divBdr>
    </w:div>
    <w:div w:id="193887854">
      <w:bodyDiv w:val="1"/>
      <w:marLeft w:val="0"/>
      <w:marRight w:val="0"/>
      <w:marTop w:val="0"/>
      <w:marBottom w:val="0"/>
      <w:divBdr>
        <w:top w:val="none" w:sz="0" w:space="0" w:color="auto"/>
        <w:left w:val="none" w:sz="0" w:space="0" w:color="auto"/>
        <w:bottom w:val="none" w:sz="0" w:space="0" w:color="auto"/>
        <w:right w:val="none" w:sz="0" w:space="0" w:color="auto"/>
      </w:divBdr>
    </w:div>
    <w:div w:id="219681968">
      <w:bodyDiv w:val="1"/>
      <w:marLeft w:val="0"/>
      <w:marRight w:val="0"/>
      <w:marTop w:val="0"/>
      <w:marBottom w:val="0"/>
      <w:divBdr>
        <w:top w:val="none" w:sz="0" w:space="0" w:color="auto"/>
        <w:left w:val="none" w:sz="0" w:space="0" w:color="auto"/>
        <w:bottom w:val="none" w:sz="0" w:space="0" w:color="auto"/>
        <w:right w:val="none" w:sz="0" w:space="0" w:color="auto"/>
      </w:divBdr>
    </w:div>
    <w:div w:id="229971568">
      <w:bodyDiv w:val="1"/>
      <w:marLeft w:val="0"/>
      <w:marRight w:val="0"/>
      <w:marTop w:val="0"/>
      <w:marBottom w:val="0"/>
      <w:divBdr>
        <w:top w:val="none" w:sz="0" w:space="0" w:color="auto"/>
        <w:left w:val="none" w:sz="0" w:space="0" w:color="auto"/>
        <w:bottom w:val="none" w:sz="0" w:space="0" w:color="auto"/>
        <w:right w:val="none" w:sz="0" w:space="0" w:color="auto"/>
      </w:divBdr>
    </w:div>
    <w:div w:id="293491989">
      <w:bodyDiv w:val="1"/>
      <w:marLeft w:val="0"/>
      <w:marRight w:val="0"/>
      <w:marTop w:val="0"/>
      <w:marBottom w:val="0"/>
      <w:divBdr>
        <w:top w:val="none" w:sz="0" w:space="0" w:color="auto"/>
        <w:left w:val="none" w:sz="0" w:space="0" w:color="auto"/>
        <w:bottom w:val="none" w:sz="0" w:space="0" w:color="auto"/>
        <w:right w:val="none" w:sz="0" w:space="0" w:color="auto"/>
      </w:divBdr>
    </w:div>
    <w:div w:id="338430633">
      <w:bodyDiv w:val="1"/>
      <w:marLeft w:val="0"/>
      <w:marRight w:val="0"/>
      <w:marTop w:val="0"/>
      <w:marBottom w:val="0"/>
      <w:divBdr>
        <w:top w:val="none" w:sz="0" w:space="0" w:color="auto"/>
        <w:left w:val="none" w:sz="0" w:space="0" w:color="auto"/>
        <w:bottom w:val="none" w:sz="0" w:space="0" w:color="auto"/>
        <w:right w:val="none" w:sz="0" w:space="0" w:color="auto"/>
      </w:divBdr>
    </w:div>
    <w:div w:id="354621628">
      <w:bodyDiv w:val="1"/>
      <w:marLeft w:val="0"/>
      <w:marRight w:val="0"/>
      <w:marTop w:val="0"/>
      <w:marBottom w:val="0"/>
      <w:divBdr>
        <w:top w:val="none" w:sz="0" w:space="0" w:color="auto"/>
        <w:left w:val="none" w:sz="0" w:space="0" w:color="auto"/>
        <w:bottom w:val="none" w:sz="0" w:space="0" w:color="auto"/>
        <w:right w:val="none" w:sz="0" w:space="0" w:color="auto"/>
      </w:divBdr>
    </w:div>
    <w:div w:id="367144446">
      <w:bodyDiv w:val="1"/>
      <w:marLeft w:val="0"/>
      <w:marRight w:val="0"/>
      <w:marTop w:val="0"/>
      <w:marBottom w:val="0"/>
      <w:divBdr>
        <w:top w:val="none" w:sz="0" w:space="0" w:color="auto"/>
        <w:left w:val="none" w:sz="0" w:space="0" w:color="auto"/>
        <w:bottom w:val="none" w:sz="0" w:space="0" w:color="auto"/>
        <w:right w:val="none" w:sz="0" w:space="0" w:color="auto"/>
      </w:divBdr>
    </w:div>
    <w:div w:id="375088470">
      <w:bodyDiv w:val="1"/>
      <w:marLeft w:val="0"/>
      <w:marRight w:val="0"/>
      <w:marTop w:val="0"/>
      <w:marBottom w:val="0"/>
      <w:divBdr>
        <w:top w:val="none" w:sz="0" w:space="0" w:color="auto"/>
        <w:left w:val="none" w:sz="0" w:space="0" w:color="auto"/>
        <w:bottom w:val="none" w:sz="0" w:space="0" w:color="auto"/>
        <w:right w:val="none" w:sz="0" w:space="0" w:color="auto"/>
      </w:divBdr>
    </w:div>
    <w:div w:id="387808071">
      <w:bodyDiv w:val="1"/>
      <w:marLeft w:val="0"/>
      <w:marRight w:val="0"/>
      <w:marTop w:val="0"/>
      <w:marBottom w:val="0"/>
      <w:divBdr>
        <w:top w:val="none" w:sz="0" w:space="0" w:color="auto"/>
        <w:left w:val="none" w:sz="0" w:space="0" w:color="auto"/>
        <w:bottom w:val="none" w:sz="0" w:space="0" w:color="auto"/>
        <w:right w:val="none" w:sz="0" w:space="0" w:color="auto"/>
      </w:divBdr>
    </w:div>
    <w:div w:id="425274192">
      <w:bodyDiv w:val="1"/>
      <w:marLeft w:val="0"/>
      <w:marRight w:val="0"/>
      <w:marTop w:val="0"/>
      <w:marBottom w:val="0"/>
      <w:divBdr>
        <w:top w:val="none" w:sz="0" w:space="0" w:color="auto"/>
        <w:left w:val="none" w:sz="0" w:space="0" w:color="auto"/>
        <w:bottom w:val="none" w:sz="0" w:space="0" w:color="auto"/>
        <w:right w:val="none" w:sz="0" w:space="0" w:color="auto"/>
      </w:divBdr>
    </w:div>
    <w:div w:id="442386181">
      <w:bodyDiv w:val="1"/>
      <w:marLeft w:val="0"/>
      <w:marRight w:val="0"/>
      <w:marTop w:val="0"/>
      <w:marBottom w:val="0"/>
      <w:divBdr>
        <w:top w:val="none" w:sz="0" w:space="0" w:color="auto"/>
        <w:left w:val="none" w:sz="0" w:space="0" w:color="auto"/>
        <w:bottom w:val="none" w:sz="0" w:space="0" w:color="auto"/>
        <w:right w:val="none" w:sz="0" w:space="0" w:color="auto"/>
      </w:divBdr>
    </w:div>
    <w:div w:id="472867502">
      <w:bodyDiv w:val="1"/>
      <w:marLeft w:val="0"/>
      <w:marRight w:val="0"/>
      <w:marTop w:val="0"/>
      <w:marBottom w:val="0"/>
      <w:divBdr>
        <w:top w:val="none" w:sz="0" w:space="0" w:color="auto"/>
        <w:left w:val="none" w:sz="0" w:space="0" w:color="auto"/>
        <w:bottom w:val="none" w:sz="0" w:space="0" w:color="auto"/>
        <w:right w:val="none" w:sz="0" w:space="0" w:color="auto"/>
      </w:divBdr>
    </w:div>
    <w:div w:id="473571824">
      <w:bodyDiv w:val="1"/>
      <w:marLeft w:val="0"/>
      <w:marRight w:val="0"/>
      <w:marTop w:val="0"/>
      <w:marBottom w:val="0"/>
      <w:divBdr>
        <w:top w:val="none" w:sz="0" w:space="0" w:color="auto"/>
        <w:left w:val="none" w:sz="0" w:space="0" w:color="auto"/>
        <w:bottom w:val="none" w:sz="0" w:space="0" w:color="auto"/>
        <w:right w:val="none" w:sz="0" w:space="0" w:color="auto"/>
      </w:divBdr>
    </w:div>
    <w:div w:id="507990064">
      <w:bodyDiv w:val="1"/>
      <w:marLeft w:val="0"/>
      <w:marRight w:val="0"/>
      <w:marTop w:val="0"/>
      <w:marBottom w:val="0"/>
      <w:divBdr>
        <w:top w:val="none" w:sz="0" w:space="0" w:color="auto"/>
        <w:left w:val="none" w:sz="0" w:space="0" w:color="auto"/>
        <w:bottom w:val="none" w:sz="0" w:space="0" w:color="auto"/>
        <w:right w:val="none" w:sz="0" w:space="0" w:color="auto"/>
      </w:divBdr>
    </w:div>
    <w:div w:id="519441847">
      <w:bodyDiv w:val="1"/>
      <w:marLeft w:val="0"/>
      <w:marRight w:val="0"/>
      <w:marTop w:val="0"/>
      <w:marBottom w:val="0"/>
      <w:divBdr>
        <w:top w:val="none" w:sz="0" w:space="0" w:color="auto"/>
        <w:left w:val="none" w:sz="0" w:space="0" w:color="auto"/>
        <w:bottom w:val="none" w:sz="0" w:space="0" w:color="auto"/>
        <w:right w:val="none" w:sz="0" w:space="0" w:color="auto"/>
      </w:divBdr>
    </w:div>
    <w:div w:id="535581006">
      <w:bodyDiv w:val="1"/>
      <w:marLeft w:val="0"/>
      <w:marRight w:val="0"/>
      <w:marTop w:val="0"/>
      <w:marBottom w:val="0"/>
      <w:divBdr>
        <w:top w:val="none" w:sz="0" w:space="0" w:color="auto"/>
        <w:left w:val="none" w:sz="0" w:space="0" w:color="auto"/>
        <w:bottom w:val="none" w:sz="0" w:space="0" w:color="auto"/>
        <w:right w:val="none" w:sz="0" w:space="0" w:color="auto"/>
      </w:divBdr>
    </w:div>
    <w:div w:id="581184042">
      <w:bodyDiv w:val="1"/>
      <w:marLeft w:val="0"/>
      <w:marRight w:val="0"/>
      <w:marTop w:val="0"/>
      <w:marBottom w:val="0"/>
      <w:divBdr>
        <w:top w:val="none" w:sz="0" w:space="0" w:color="auto"/>
        <w:left w:val="none" w:sz="0" w:space="0" w:color="auto"/>
        <w:bottom w:val="none" w:sz="0" w:space="0" w:color="auto"/>
        <w:right w:val="none" w:sz="0" w:space="0" w:color="auto"/>
      </w:divBdr>
    </w:div>
    <w:div w:id="595331316">
      <w:bodyDiv w:val="1"/>
      <w:marLeft w:val="0"/>
      <w:marRight w:val="0"/>
      <w:marTop w:val="0"/>
      <w:marBottom w:val="0"/>
      <w:divBdr>
        <w:top w:val="none" w:sz="0" w:space="0" w:color="auto"/>
        <w:left w:val="none" w:sz="0" w:space="0" w:color="auto"/>
        <w:bottom w:val="none" w:sz="0" w:space="0" w:color="auto"/>
        <w:right w:val="none" w:sz="0" w:space="0" w:color="auto"/>
      </w:divBdr>
    </w:div>
    <w:div w:id="605314198">
      <w:bodyDiv w:val="1"/>
      <w:marLeft w:val="0"/>
      <w:marRight w:val="0"/>
      <w:marTop w:val="0"/>
      <w:marBottom w:val="0"/>
      <w:divBdr>
        <w:top w:val="none" w:sz="0" w:space="0" w:color="auto"/>
        <w:left w:val="none" w:sz="0" w:space="0" w:color="auto"/>
        <w:bottom w:val="none" w:sz="0" w:space="0" w:color="auto"/>
        <w:right w:val="none" w:sz="0" w:space="0" w:color="auto"/>
      </w:divBdr>
    </w:div>
    <w:div w:id="614406094">
      <w:bodyDiv w:val="1"/>
      <w:marLeft w:val="0"/>
      <w:marRight w:val="0"/>
      <w:marTop w:val="0"/>
      <w:marBottom w:val="0"/>
      <w:divBdr>
        <w:top w:val="none" w:sz="0" w:space="0" w:color="auto"/>
        <w:left w:val="none" w:sz="0" w:space="0" w:color="auto"/>
        <w:bottom w:val="none" w:sz="0" w:space="0" w:color="auto"/>
        <w:right w:val="none" w:sz="0" w:space="0" w:color="auto"/>
      </w:divBdr>
    </w:div>
    <w:div w:id="616570813">
      <w:bodyDiv w:val="1"/>
      <w:marLeft w:val="0"/>
      <w:marRight w:val="0"/>
      <w:marTop w:val="0"/>
      <w:marBottom w:val="0"/>
      <w:divBdr>
        <w:top w:val="none" w:sz="0" w:space="0" w:color="auto"/>
        <w:left w:val="none" w:sz="0" w:space="0" w:color="auto"/>
        <w:bottom w:val="none" w:sz="0" w:space="0" w:color="auto"/>
        <w:right w:val="none" w:sz="0" w:space="0" w:color="auto"/>
      </w:divBdr>
    </w:div>
    <w:div w:id="643051305">
      <w:bodyDiv w:val="1"/>
      <w:marLeft w:val="0"/>
      <w:marRight w:val="0"/>
      <w:marTop w:val="0"/>
      <w:marBottom w:val="0"/>
      <w:divBdr>
        <w:top w:val="none" w:sz="0" w:space="0" w:color="auto"/>
        <w:left w:val="none" w:sz="0" w:space="0" w:color="auto"/>
        <w:bottom w:val="none" w:sz="0" w:space="0" w:color="auto"/>
        <w:right w:val="none" w:sz="0" w:space="0" w:color="auto"/>
      </w:divBdr>
    </w:div>
    <w:div w:id="676929938">
      <w:bodyDiv w:val="1"/>
      <w:marLeft w:val="0"/>
      <w:marRight w:val="0"/>
      <w:marTop w:val="0"/>
      <w:marBottom w:val="0"/>
      <w:divBdr>
        <w:top w:val="none" w:sz="0" w:space="0" w:color="auto"/>
        <w:left w:val="none" w:sz="0" w:space="0" w:color="auto"/>
        <w:bottom w:val="none" w:sz="0" w:space="0" w:color="auto"/>
        <w:right w:val="none" w:sz="0" w:space="0" w:color="auto"/>
      </w:divBdr>
    </w:div>
    <w:div w:id="689722318">
      <w:bodyDiv w:val="1"/>
      <w:marLeft w:val="0"/>
      <w:marRight w:val="0"/>
      <w:marTop w:val="0"/>
      <w:marBottom w:val="0"/>
      <w:divBdr>
        <w:top w:val="none" w:sz="0" w:space="0" w:color="auto"/>
        <w:left w:val="none" w:sz="0" w:space="0" w:color="auto"/>
        <w:bottom w:val="none" w:sz="0" w:space="0" w:color="auto"/>
        <w:right w:val="none" w:sz="0" w:space="0" w:color="auto"/>
      </w:divBdr>
    </w:div>
    <w:div w:id="749470448">
      <w:bodyDiv w:val="1"/>
      <w:marLeft w:val="0"/>
      <w:marRight w:val="0"/>
      <w:marTop w:val="0"/>
      <w:marBottom w:val="0"/>
      <w:divBdr>
        <w:top w:val="none" w:sz="0" w:space="0" w:color="auto"/>
        <w:left w:val="none" w:sz="0" w:space="0" w:color="auto"/>
        <w:bottom w:val="none" w:sz="0" w:space="0" w:color="auto"/>
        <w:right w:val="none" w:sz="0" w:space="0" w:color="auto"/>
      </w:divBdr>
    </w:div>
    <w:div w:id="815490036">
      <w:bodyDiv w:val="1"/>
      <w:marLeft w:val="0"/>
      <w:marRight w:val="0"/>
      <w:marTop w:val="0"/>
      <w:marBottom w:val="0"/>
      <w:divBdr>
        <w:top w:val="none" w:sz="0" w:space="0" w:color="auto"/>
        <w:left w:val="none" w:sz="0" w:space="0" w:color="auto"/>
        <w:bottom w:val="none" w:sz="0" w:space="0" w:color="auto"/>
        <w:right w:val="none" w:sz="0" w:space="0" w:color="auto"/>
      </w:divBdr>
    </w:div>
    <w:div w:id="847985737">
      <w:bodyDiv w:val="1"/>
      <w:marLeft w:val="0"/>
      <w:marRight w:val="0"/>
      <w:marTop w:val="0"/>
      <w:marBottom w:val="0"/>
      <w:divBdr>
        <w:top w:val="none" w:sz="0" w:space="0" w:color="auto"/>
        <w:left w:val="none" w:sz="0" w:space="0" w:color="auto"/>
        <w:bottom w:val="none" w:sz="0" w:space="0" w:color="auto"/>
        <w:right w:val="none" w:sz="0" w:space="0" w:color="auto"/>
      </w:divBdr>
    </w:div>
    <w:div w:id="863595128">
      <w:bodyDiv w:val="1"/>
      <w:marLeft w:val="0"/>
      <w:marRight w:val="0"/>
      <w:marTop w:val="0"/>
      <w:marBottom w:val="0"/>
      <w:divBdr>
        <w:top w:val="none" w:sz="0" w:space="0" w:color="auto"/>
        <w:left w:val="none" w:sz="0" w:space="0" w:color="auto"/>
        <w:bottom w:val="none" w:sz="0" w:space="0" w:color="auto"/>
        <w:right w:val="none" w:sz="0" w:space="0" w:color="auto"/>
      </w:divBdr>
    </w:div>
    <w:div w:id="865367340">
      <w:bodyDiv w:val="1"/>
      <w:marLeft w:val="0"/>
      <w:marRight w:val="0"/>
      <w:marTop w:val="0"/>
      <w:marBottom w:val="0"/>
      <w:divBdr>
        <w:top w:val="none" w:sz="0" w:space="0" w:color="auto"/>
        <w:left w:val="none" w:sz="0" w:space="0" w:color="auto"/>
        <w:bottom w:val="none" w:sz="0" w:space="0" w:color="auto"/>
        <w:right w:val="none" w:sz="0" w:space="0" w:color="auto"/>
      </w:divBdr>
    </w:div>
    <w:div w:id="880556988">
      <w:bodyDiv w:val="1"/>
      <w:marLeft w:val="0"/>
      <w:marRight w:val="0"/>
      <w:marTop w:val="0"/>
      <w:marBottom w:val="0"/>
      <w:divBdr>
        <w:top w:val="none" w:sz="0" w:space="0" w:color="auto"/>
        <w:left w:val="none" w:sz="0" w:space="0" w:color="auto"/>
        <w:bottom w:val="none" w:sz="0" w:space="0" w:color="auto"/>
        <w:right w:val="none" w:sz="0" w:space="0" w:color="auto"/>
      </w:divBdr>
    </w:div>
    <w:div w:id="896478444">
      <w:bodyDiv w:val="1"/>
      <w:marLeft w:val="0"/>
      <w:marRight w:val="0"/>
      <w:marTop w:val="0"/>
      <w:marBottom w:val="0"/>
      <w:divBdr>
        <w:top w:val="none" w:sz="0" w:space="0" w:color="auto"/>
        <w:left w:val="none" w:sz="0" w:space="0" w:color="auto"/>
        <w:bottom w:val="none" w:sz="0" w:space="0" w:color="auto"/>
        <w:right w:val="none" w:sz="0" w:space="0" w:color="auto"/>
      </w:divBdr>
    </w:div>
    <w:div w:id="911768092">
      <w:bodyDiv w:val="1"/>
      <w:marLeft w:val="0"/>
      <w:marRight w:val="0"/>
      <w:marTop w:val="0"/>
      <w:marBottom w:val="0"/>
      <w:divBdr>
        <w:top w:val="none" w:sz="0" w:space="0" w:color="auto"/>
        <w:left w:val="none" w:sz="0" w:space="0" w:color="auto"/>
        <w:bottom w:val="none" w:sz="0" w:space="0" w:color="auto"/>
        <w:right w:val="none" w:sz="0" w:space="0" w:color="auto"/>
      </w:divBdr>
    </w:div>
    <w:div w:id="945700667">
      <w:bodyDiv w:val="1"/>
      <w:marLeft w:val="0"/>
      <w:marRight w:val="0"/>
      <w:marTop w:val="0"/>
      <w:marBottom w:val="0"/>
      <w:divBdr>
        <w:top w:val="none" w:sz="0" w:space="0" w:color="auto"/>
        <w:left w:val="none" w:sz="0" w:space="0" w:color="auto"/>
        <w:bottom w:val="none" w:sz="0" w:space="0" w:color="auto"/>
        <w:right w:val="none" w:sz="0" w:space="0" w:color="auto"/>
      </w:divBdr>
    </w:div>
    <w:div w:id="948126630">
      <w:bodyDiv w:val="1"/>
      <w:marLeft w:val="0"/>
      <w:marRight w:val="0"/>
      <w:marTop w:val="0"/>
      <w:marBottom w:val="0"/>
      <w:divBdr>
        <w:top w:val="none" w:sz="0" w:space="0" w:color="auto"/>
        <w:left w:val="none" w:sz="0" w:space="0" w:color="auto"/>
        <w:bottom w:val="none" w:sz="0" w:space="0" w:color="auto"/>
        <w:right w:val="none" w:sz="0" w:space="0" w:color="auto"/>
      </w:divBdr>
    </w:div>
    <w:div w:id="959069191">
      <w:bodyDiv w:val="1"/>
      <w:marLeft w:val="0"/>
      <w:marRight w:val="0"/>
      <w:marTop w:val="0"/>
      <w:marBottom w:val="0"/>
      <w:divBdr>
        <w:top w:val="none" w:sz="0" w:space="0" w:color="auto"/>
        <w:left w:val="none" w:sz="0" w:space="0" w:color="auto"/>
        <w:bottom w:val="none" w:sz="0" w:space="0" w:color="auto"/>
        <w:right w:val="none" w:sz="0" w:space="0" w:color="auto"/>
      </w:divBdr>
    </w:div>
    <w:div w:id="968127564">
      <w:bodyDiv w:val="1"/>
      <w:marLeft w:val="0"/>
      <w:marRight w:val="0"/>
      <w:marTop w:val="0"/>
      <w:marBottom w:val="0"/>
      <w:divBdr>
        <w:top w:val="none" w:sz="0" w:space="0" w:color="auto"/>
        <w:left w:val="none" w:sz="0" w:space="0" w:color="auto"/>
        <w:bottom w:val="none" w:sz="0" w:space="0" w:color="auto"/>
        <w:right w:val="none" w:sz="0" w:space="0" w:color="auto"/>
      </w:divBdr>
    </w:div>
    <w:div w:id="999970082">
      <w:bodyDiv w:val="1"/>
      <w:marLeft w:val="0"/>
      <w:marRight w:val="0"/>
      <w:marTop w:val="0"/>
      <w:marBottom w:val="0"/>
      <w:divBdr>
        <w:top w:val="none" w:sz="0" w:space="0" w:color="auto"/>
        <w:left w:val="none" w:sz="0" w:space="0" w:color="auto"/>
        <w:bottom w:val="none" w:sz="0" w:space="0" w:color="auto"/>
        <w:right w:val="none" w:sz="0" w:space="0" w:color="auto"/>
      </w:divBdr>
    </w:div>
    <w:div w:id="1011565148">
      <w:bodyDiv w:val="1"/>
      <w:marLeft w:val="0"/>
      <w:marRight w:val="0"/>
      <w:marTop w:val="0"/>
      <w:marBottom w:val="0"/>
      <w:divBdr>
        <w:top w:val="none" w:sz="0" w:space="0" w:color="auto"/>
        <w:left w:val="none" w:sz="0" w:space="0" w:color="auto"/>
        <w:bottom w:val="none" w:sz="0" w:space="0" w:color="auto"/>
        <w:right w:val="none" w:sz="0" w:space="0" w:color="auto"/>
      </w:divBdr>
    </w:div>
    <w:div w:id="1024136050">
      <w:bodyDiv w:val="1"/>
      <w:marLeft w:val="0"/>
      <w:marRight w:val="0"/>
      <w:marTop w:val="0"/>
      <w:marBottom w:val="0"/>
      <w:divBdr>
        <w:top w:val="none" w:sz="0" w:space="0" w:color="auto"/>
        <w:left w:val="none" w:sz="0" w:space="0" w:color="auto"/>
        <w:bottom w:val="none" w:sz="0" w:space="0" w:color="auto"/>
        <w:right w:val="none" w:sz="0" w:space="0" w:color="auto"/>
      </w:divBdr>
    </w:div>
    <w:div w:id="1026253061">
      <w:bodyDiv w:val="1"/>
      <w:marLeft w:val="0"/>
      <w:marRight w:val="0"/>
      <w:marTop w:val="0"/>
      <w:marBottom w:val="0"/>
      <w:divBdr>
        <w:top w:val="none" w:sz="0" w:space="0" w:color="auto"/>
        <w:left w:val="none" w:sz="0" w:space="0" w:color="auto"/>
        <w:bottom w:val="none" w:sz="0" w:space="0" w:color="auto"/>
        <w:right w:val="none" w:sz="0" w:space="0" w:color="auto"/>
      </w:divBdr>
    </w:div>
    <w:div w:id="1076627327">
      <w:bodyDiv w:val="1"/>
      <w:marLeft w:val="0"/>
      <w:marRight w:val="0"/>
      <w:marTop w:val="0"/>
      <w:marBottom w:val="0"/>
      <w:divBdr>
        <w:top w:val="none" w:sz="0" w:space="0" w:color="auto"/>
        <w:left w:val="none" w:sz="0" w:space="0" w:color="auto"/>
        <w:bottom w:val="none" w:sz="0" w:space="0" w:color="auto"/>
        <w:right w:val="none" w:sz="0" w:space="0" w:color="auto"/>
      </w:divBdr>
    </w:div>
    <w:div w:id="1157577248">
      <w:bodyDiv w:val="1"/>
      <w:marLeft w:val="0"/>
      <w:marRight w:val="0"/>
      <w:marTop w:val="0"/>
      <w:marBottom w:val="0"/>
      <w:divBdr>
        <w:top w:val="none" w:sz="0" w:space="0" w:color="auto"/>
        <w:left w:val="none" w:sz="0" w:space="0" w:color="auto"/>
        <w:bottom w:val="none" w:sz="0" w:space="0" w:color="auto"/>
        <w:right w:val="none" w:sz="0" w:space="0" w:color="auto"/>
      </w:divBdr>
    </w:div>
    <w:div w:id="1165779138">
      <w:bodyDiv w:val="1"/>
      <w:marLeft w:val="0"/>
      <w:marRight w:val="0"/>
      <w:marTop w:val="0"/>
      <w:marBottom w:val="0"/>
      <w:divBdr>
        <w:top w:val="none" w:sz="0" w:space="0" w:color="auto"/>
        <w:left w:val="none" w:sz="0" w:space="0" w:color="auto"/>
        <w:bottom w:val="none" w:sz="0" w:space="0" w:color="auto"/>
        <w:right w:val="none" w:sz="0" w:space="0" w:color="auto"/>
      </w:divBdr>
    </w:div>
    <w:div w:id="1182473359">
      <w:bodyDiv w:val="1"/>
      <w:marLeft w:val="0"/>
      <w:marRight w:val="0"/>
      <w:marTop w:val="0"/>
      <w:marBottom w:val="0"/>
      <w:divBdr>
        <w:top w:val="none" w:sz="0" w:space="0" w:color="auto"/>
        <w:left w:val="none" w:sz="0" w:space="0" w:color="auto"/>
        <w:bottom w:val="none" w:sz="0" w:space="0" w:color="auto"/>
        <w:right w:val="none" w:sz="0" w:space="0" w:color="auto"/>
      </w:divBdr>
    </w:div>
    <w:div w:id="1189028114">
      <w:bodyDiv w:val="1"/>
      <w:marLeft w:val="0"/>
      <w:marRight w:val="0"/>
      <w:marTop w:val="0"/>
      <w:marBottom w:val="0"/>
      <w:divBdr>
        <w:top w:val="none" w:sz="0" w:space="0" w:color="auto"/>
        <w:left w:val="none" w:sz="0" w:space="0" w:color="auto"/>
        <w:bottom w:val="none" w:sz="0" w:space="0" w:color="auto"/>
        <w:right w:val="none" w:sz="0" w:space="0" w:color="auto"/>
      </w:divBdr>
    </w:div>
    <w:div w:id="1207374724">
      <w:bodyDiv w:val="1"/>
      <w:marLeft w:val="0"/>
      <w:marRight w:val="0"/>
      <w:marTop w:val="0"/>
      <w:marBottom w:val="0"/>
      <w:divBdr>
        <w:top w:val="none" w:sz="0" w:space="0" w:color="auto"/>
        <w:left w:val="none" w:sz="0" w:space="0" w:color="auto"/>
        <w:bottom w:val="none" w:sz="0" w:space="0" w:color="auto"/>
        <w:right w:val="none" w:sz="0" w:space="0" w:color="auto"/>
      </w:divBdr>
    </w:div>
    <w:div w:id="1245069960">
      <w:bodyDiv w:val="1"/>
      <w:marLeft w:val="0"/>
      <w:marRight w:val="0"/>
      <w:marTop w:val="0"/>
      <w:marBottom w:val="0"/>
      <w:divBdr>
        <w:top w:val="none" w:sz="0" w:space="0" w:color="auto"/>
        <w:left w:val="none" w:sz="0" w:space="0" w:color="auto"/>
        <w:bottom w:val="none" w:sz="0" w:space="0" w:color="auto"/>
        <w:right w:val="none" w:sz="0" w:space="0" w:color="auto"/>
      </w:divBdr>
    </w:div>
    <w:div w:id="1245722842">
      <w:bodyDiv w:val="1"/>
      <w:marLeft w:val="0"/>
      <w:marRight w:val="0"/>
      <w:marTop w:val="0"/>
      <w:marBottom w:val="0"/>
      <w:divBdr>
        <w:top w:val="none" w:sz="0" w:space="0" w:color="auto"/>
        <w:left w:val="none" w:sz="0" w:space="0" w:color="auto"/>
        <w:bottom w:val="none" w:sz="0" w:space="0" w:color="auto"/>
        <w:right w:val="none" w:sz="0" w:space="0" w:color="auto"/>
      </w:divBdr>
    </w:div>
    <w:div w:id="1409842506">
      <w:bodyDiv w:val="1"/>
      <w:marLeft w:val="0"/>
      <w:marRight w:val="0"/>
      <w:marTop w:val="0"/>
      <w:marBottom w:val="0"/>
      <w:divBdr>
        <w:top w:val="none" w:sz="0" w:space="0" w:color="auto"/>
        <w:left w:val="none" w:sz="0" w:space="0" w:color="auto"/>
        <w:bottom w:val="none" w:sz="0" w:space="0" w:color="auto"/>
        <w:right w:val="none" w:sz="0" w:space="0" w:color="auto"/>
      </w:divBdr>
    </w:div>
    <w:div w:id="1439910714">
      <w:bodyDiv w:val="1"/>
      <w:marLeft w:val="0"/>
      <w:marRight w:val="0"/>
      <w:marTop w:val="0"/>
      <w:marBottom w:val="0"/>
      <w:divBdr>
        <w:top w:val="none" w:sz="0" w:space="0" w:color="auto"/>
        <w:left w:val="none" w:sz="0" w:space="0" w:color="auto"/>
        <w:bottom w:val="none" w:sz="0" w:space="0" w:color="auto"/>
        <w:right w:val="none" w:sz="0" w:space="0" w:color="auto"/>
      </w:divBdr>
    </w:div>
    <w:div w:id="1450469082">
      <w:bodyDiv w:val="1"/>
      <w:marLeft w:val="0"/>
      <w:marRight w:val="0"/>
      <w:marTop w:val="0"/>
      <w:marBottom w:val="0"/>
      <w:divBdr>
        <w:top w:val="none" w:sz="0" w:space="0" w:color="auto"/>
        <w:left w:val="none" w:sz="0" w:space="0" w:color="auto"/>
        <w:bottom w:val="none" w:sz="0" w:space="0" w:color="auto"/>
        <w:right w:val="none" w:sz="0" w:space="0" w:color="auto"/>
      </w:divBdr>
    </w:div>
    <w:div w:id="1451128991">
      <w:bodyDiv w:val="1"/>
      <w:marLeft w:val="0"/>
      <w:marRight w:val="0"/>
      <w:marTop w:val="0"/>
      <w:marBottom w:val="0"/>
      <w:divBdr>
        <w:top w:val="none" w:sz="0" w:space="0" w:color="auto"/>
        <w:left w:val="none" w:sz="0" w:space="0" w:color="auto"/>
        <w:bottom w:val="none" w:sz="0" w:space="0" w:color="auto"/>
        <w:right w:val="none" w:sz="0" w:space="0" w:color="auto"/>
      </w:divBdr>
    </w:div>
    <w:div w:id="1482769449">
      <w:bodyDiv w:val="1"/>
      <w:marLeft w:val="0"/>
      <w:marRight w:val="0"/>
      <w:marTop w:val="0"/>
      <w:marBottom w:val="0"/>
      <w:divBdr>
        <w:top w:val="none" w:sz="0" w:space="0" w:color="auto"/>
        <w:left w:val="none" w:sz="0" w:space="0" w:color="auto"/>
        <w:bottom w:val="none" w:sz="0" w:space="0" w:color="auto"/>
        <w:right w:val="none" w:sz="0" w:space="0" w:color="auto"/>
      </w:divBdr>
    </w:div>
    <w:div w:id="1486968510">
      <w:bodyDiv w:val="1"/>
      <w:marLeft w:val="0"/>
      <w:marRight w:val="0"/>
      <w:marTop w:val="0"/>
      <w:marBottom w:val="0"/>
      <w:divBdr>
        <w:top w:val="none" w:sz="0" w:space="0" w:color="auto"/>
        <w:left w:val="none" w:sz="0" w:space="0" w:color="auto"/>
        <w:bottom w:val="none" w:sz="0" w:space="0" w:color="auto"/>
        <w:right w:val="none" w:sz="0" w:space="0" w:color="auto"/>
      </w:divBdr>
    </w:div>
    <w:div w:id="1572495633">
      <w:bodyDiv w:val="1"/>
      <w:marLeft w:val="0"/>
      <w:marRight w:val="0"/>
      <w:marTop w:val="0"/>
      <w:marBottom w:val="0"/>
      <w:divBdr>
        <w:top w:val="none" w:sz="0" w:space="0" w:color="auto"/>
        <w:left w:val="none" w:sz="0" w:space="0" w:color="auto"/>
        <w:bottom w:val="none" w:sz="0" w:space="0" w:color="auto"/>
        <w:right w:val="none" w:sz="0" w:space="0" w:color="auto"/>
      </w:divBdr>
    </w:div>
    <w:div w:id="1629385945">
      <w:bodyDiv w:val="1"/>
      <w:marLeft w:val="0"/>
      <w:marRight w:val="0"/>
      <w:marTop w:val="0"/>
      <w:marBottom w:val="0"/>
      <w:divBdr>
        <w:top w:val="none" w:sz="0" w:space="0" w:color="auto"/>
        <w:left w:val="none" w:sz="0" w:space="0" w:color="auto"/>
        <w:bottom w:val="none" w:sz="0" w:space="0" w:color="auto"/>
        <w:right w:val="none" w:sz="0" w:space="0" w:color="auto"/>
      </w:divBdr>
    </w:div>
    <w:div w:id="1641031296">
      <w:bodyDiv w:val="1"/>
      <w:marLeft w:val="0"/>
      <w:marRight w:val="0"/>
      <w:marTop w:val="0"/>
      <w:marBottom w:val="0"/>
      <w:divBdr>
        <w:top w:val="none" w:sz="0" w:space="0" w:color="auto"/>
        <w:left w:val="none" w:sz="0" w:space="0" w:color="auto"/>
        <w:bottom w:val="none" w:sz="0" w:space="0" w:color="auto"/>
        <w:right w:val="none" w:sz="0" w:space="0" w:color="auto"/>
      </w:divBdr>
    </w:div>
    <w:div w:id="1669359938">
      <w:bodyDiv w:val="1"/>
      <w:marLeft w:val="0"/>
      <w:marRight w:val="0"/>
      <w:marTop w:val="0"/>
      <w:marBottom w:val="0"/>
      <w:divBdr>
        <w:top w:val="none" w:sz="0" w:space="0" w:color="auto"/>
        <w:left w:val="none" w:sz="0" w:space="0" w:color="auto"/>
        <w:bottom w:val="none" w:sz="0" w:space="0" w:color="auto"/>
        <w:right w:val="none" w:sz="0" w:space="0" w:color="auto"/>
      </w:divBdr>
    </w:div>
    <w:div w:id="1674454609">
      <w:bodyDiv w:val="1"/>
      <w:marLeft w:val="0"/>
      <w:marRight w:val="0"/>
      <w:marTop w:val="0"/>
      <w:marBottom w:val="0"/>
      <w:divBdr>
        <w:top w:val="none" w:sz="0" w:space="0" w:color="auto"/>
        <w:left w:val="none" w:sz="0" w:space="0" w:color="auto"/>
        <w:bottom w:val="none" w:sz="0" w:space="0" w:color="auto"/>
        <w:right w:val="none" w:sz="0" w:space="0" w:color="auto"/>
      </w:divBdr>
    </w:div>
    <w:div w:id="1715543974">
      <w:bodyDiv w:val="1"/>
      <w:marLeft w:val="0"/>
      <w:marRight w:val="0"/>
      <w:marTop w:val="0"/>
      <w:marBottom w:val="0"/>
      <w:divBdr>
        <w:top w:val="none" w:sz="0" w:space="0" w:color="auto"/>
        <w:left w:val="none" w:sz="0" w:space="0" w:color="auto"/>
        <w:bottom w:val="none" w:sz="0" w:space="0" w:color="auto"/>
        <w:right w:val="none" w:sz="0" w:space="0" w:color="auto"/>
      </w:divBdr>
    </w:div>
    <w:div w:id="1721855245">
      <w:bodyDiv w:val="1"/>
      <w:marLeft w:val="0"/>
      <w:marRight w:val="0"/>
      <w:marTop w:val="0"/>
      <w:marBottom w:val="0"/>
      <w:divBdr>
        <w:top w:val="none" w:sz="0" w:space="0" w:color="auto"/>
        <w:left w:val="none" w:sz="0" w:space="0" w:color="auto"/>
        <w:bottom w:val="none" w:sz="0" w:space="0" w:color="auto"/>
        <w:right w:val="none" w:sz="0" w:space="0" w:color="auto"/>
      </w:divBdr>
    </w:div>
    <w:div w:id="1727725782">
      <w:bodyDiv w:val="1"/>
      <w:marLeft w:val="0"/>
      <w:marRight w:val="0"/>
      <w:marTop w:val="0"/>
      <w:marBottom w:val="0"/>
      <w:divBdr>
        <w:top w:val="none" w:sz="0" w:space="0" w:color="auto"/>
        <w:left w:val="none" w:sz="0" w:space="0" w:color="auto"/>
        <w:bottom w:val="none" w:sz="0" w:space="0" w:color="auto"/>
        <w:right w:val="none" w:sz="0" w:space="0" w:color="auto"/>
      </w:divBdr>
    </w:div>
    <w:div w:id="1817603332">
      <w:bodyDiv w:val="1"/>
      <w:marLeft w:val="0"/>
      <w:marRight w:val="0"/>
      <w:marTop w:val="0"/>
      <w:marBottom w:val="0"/>
      <w:divBdr>
        <w:top w:val="none" w:sz="0" w:space="0" w:color="auto"/>
        <w:left w:val="none" w:sz="0" w:space="0" w:color="auto"/>
        <w:bottom w:val="none" w:sz="0" w:space="0" w:color="auto"/>
        <w:right w:val="none" w:sz="0" w:space="0" w:color="auto"/>
      </w:divBdr>
    </w:div>
    <w:div w:id="1831678362">
      <w:bodyDiv w:val="1"/>
      <w:marLeft w:val="0"/>
      <w:marRight w:val="0"/>
      <w:marTop w:val="0"/>
      <w:marBottom w:val="0"/>
      <w:divBdr>
        <w:top w:val="none" w:sz="0" w:space="0" w:color="auto"/>
        <w:left w:val="none" w:sz="0" w:space="0" w:color="auto"/>
        <w:bottom w:val="none" w:sz="0" w:space="0" w:color="auto"/>
        <w:right w:val="none" w:sz="0" w:space="0" w:color="auto"/>
      </w:divBdr>
    </w:div>
    <w:div w:id="1919250496">
      <w:bodyDiv w:val="1"/>
      <w:marLeft w:val="0"/>
      <w:marRight w:val="0"/>
      <w:marTop w:val="0"/>
      <w:marBottom w:val="0"/>
      <w:divBdr>
        <w:top w:val="none" w:sz="0" w:space="0" w:color="auto"/>
        <w:left w:val="none" w:sz="0" w:space="0" w:color="auto"/>
        <w:bottom w:val="none" w:sz="0" w:space="0" w:color="auto"/>
        <w:right w:val="none" w:sz="0" w:space="0" w:color="auto"/>
      </w:divBdr>
    </w:div>
    <w:div w:id="1958874614">
      <w:bodyDiv w:val="1"/>
      <w:marLeft w:val="0"/>
      <w:marRight w:val="0"/>
      <w:marTop w:val="0"/>
      <w:marBottom w:val="0"/>
      <w:divBdr>
        <w:top w:val="none" w:sz="0" w:space="0" w:color="auto"/>
        <w:left w:val="none" w:sz="0" w:space="0" w:color="auto"/>
        <w:bottom w:val="none" w:sz="0" w:space="0" w:color="auto"/>
        <w:right w:val="none" w:sz="0" w:space="0" w:color="auto"/>
      </w:divBdr>
    </w:div>
    <w:div w:id="2005283868">
      <w:bodyDiv w:val="1"/>
      <w:marLeft w:val="0"/>
      <w:marRight w:val="0"/>
      <w:marTop w:val="0"/>
      <w:marBottom w:val="0"/>
      <w:divBdr>
        <w:top w:val="none" w:sz="0" w:space="0" w:color="auto"/>
        <w:left w:val="none" w:sz="0" w:space="0" w:color="auto"/>
        <w:bottom w:val="none" w:sz="0" w:space="0" w:color="auto"/>
        <w:right w:val="none" w:sz="0" w:space="0" w:color="auto"/>
      </w:divBdr>
    </w:div>
    <w:div w:id="2006590318">
      <w:bodyDiv w:val="1"/>
      <w:marLeft w:val="0"/>
      <w:marRight w:val="0"/>
      <w:marTop w:val="0"/>
      <w:marBottom w:val="0"/>
      <w:divBdr>
        <w:top w:val="none" w:sz="0" w:space="0" w:color="auto"/>
        <w:left w:val="none" w:sz="0" w:space="0" w:color="auto"/>
        <w:bottom w:val="none" w:sz="0" w:space="0" w:color="auto"/>
        <w:right w:val="none" w:sz="0" w:space="0" w:color="auto"/>
      </w:divBdr>
    </w:div>
    <w:div w:id="2023118682">
      <w:bodyDiv w:val="1"/>
      <w:marLeft w:val="0"/>
      <w:marRight w:val="0"/>
      <w:marTop w:val="0"/>
      <w:marBottom w:val="0"/>
      <w:divBdr>
        <w:top w:val="none" w:sz="0" w:space="0" w:color="auto"/>
        <w:left w:val="none" w:sz="0" w:space="0" w:color="auto"/>
        <w:bottom w:val="none" w:sz="0" w:space="0" w:color="auto"/>
        <w:right w:val="none" w:sz="0" w:space="0" w:color="auto"/>
      </w:divBdr>
      <w:divsChild>
        <w:div w:id="890187674">
          <w:marLeft w:val="0"/>
          <w:marRight w:val="0"/>
          <w:marTop w:val="0"/>
          <w:marBottom w:val="0"/>
          <w:divBdr>
            <w:top w:val="none" w:sz="0" w:space="0" w:color="auto"/>
            <w:left w:val="none" w:sz="0" w:space="0" w:color="auto"/>
            <w:bottom w:val="none" w:sz="0" w:space="0" w:color="auto"/>
            <w:right w:val="none" w:sz="0" w:space="0" w:color="auto"/>
          </w:divBdr>
          <w:divsChild>
            <w:div w:id="2103911728">
              <w:marLeft w:val="0"/>
              <w:marRight w:val="0"/>
              <w:marTop w:val="0"/>
              <w:marBottom w:val="0"/>
              <w:divBdr>
                <w:top w:val="none" w:sz="0" w:space="0" w:color="auto"/>
                <w:left w:val="none" w:sz="0" w:space="0" w:color="auto"/>
                <w:bottom w:val="none" w:sz="0" w:space="0" w:color="auto"/>
                <w:right w:val="none" w:sz="0" w:space="0" w:color="auto"/>
              </w:divBdr>
              <w:divsChild>
                <w:div w:id="704719448">
                  <w:marLeft w:val="0"/>
                  <w:marRight w:val="0"/>
                  <w:marTop w:val="225"/>
                  <w:marBottom w:val="0"/>
                  <w:divBdr>
                    <w:top w:val="none" w:sz="0" w:space="0" w:color="auto"/>
                    <w:left w:val="none" w:sz="0" w:space="0" w:color="auto"/>
                    <w:bottom w:val="none" w:sz="0" w:space="0" w:color="auto"/>
                    <w:right w:val="none" w:sz="0" w:space="0" w:color="auto"/>
                  </w:divBdr>
                  <w:divsChild>
                    <w:div w:id="185677295">
                      <w:marLeft w:val="0"/>
                      <w:marRight w:val="0"/>
                      <w:marTop w:val="0"/>
                      <w:marBottom w:val="0"/>
                      <w:divBdr>
                        <w:top w:val="none" w:sz="0" w:space="0" w:color="auto"/>
                        <w:left w:val="none" w:sz="0" w:space="0" w:color="auto"/>
                        <w:bottom w:val="none" w:sz="0" w:space="0" w:color="auto"/>
                        <w:right w:val="none" w:sz="0" w:space="0" w:color="auto"/>
                      </w:divBdr>
                      <w:divsChild>
                        <w:div w:id="1102605049">
                          <w:marLeft w:val="0"/>
                          <w:marRight w:val="0"/>
                          <w:marTop w:val="0"/>
                          <w:marBottom w:val="0"/>
                          <w:divBdr>
                            <w:top w:val="none" w:sz="0" w:space="0" w:color="auto"/>
                            <w:left w:val="none" w:sz="0" w:space="0" w:color="auto"/>
                            <w:bottom w:val="none" w:sz="0" w:space="0" w:color="auto"/>
                            <w:right w:val="none" w:sz="0" w:space="0" w:color="auto"/>
                          </w:divBdr>
                          <w:divsChild>
                            <w:div w:id="1098713534">
                              <w:marLeft w:val="0"/>
                              <w:marRight w:val="0"/>
                              <w:marTop w:val="0"/>
                              <w:marBottom w:val="0"/>
                              <w:divBdr>
                                <w:top w:val="none" w:sz="0" w:space="0" w:color="auto"/>
                                <w:left w:val="none" w:sz="0" w:space="0" w:color="auto"/>
                                <w:bottom w:val="none" w:sz="0" w:space="0" w:color="auto"/>
                                <w:right w:val="none" w:sz="0" w:space="0" w:color="auto"/>
                              </w:divBdr>
                              <w:divsChild>
                                <w:div w:id="67600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950925">
          <w:marLeft w:val="0"/>
          <w:marRight w:val="0"/>
          <w:marTop w:val="8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1CF80-D22B-4312-AB23-45F732FD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443</Pages>
  <Words>158163</Words>
  <Characters>869899</Characters>
  <Application>Microsoft Office Word</Application>
  <DocSecurity>0</DocSecurity>
  <Lines>7249</Lines>
  <Paragraphs>2052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1026010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MSE</dc:creator>
  <cp:keywords/>
  <dc:description/>
  <cp:lastModifiedBy>Mireille Servais</cp:lastModifiedBy>
  <cp:revision>4</cp:revision>
  <cp:lastPrinted>2026-06-08T13:55:00Z</cp:lastPrinted>
  <dcterms:created xsi:type="dcterms:W3CDTF">2026-06-08T13:21:00Z</dcterms:created>
  <dcterms:modified xsi:type="dcterms:W3CDTF">2026-06-18T09:00:00Z</dcterms:modified>
</cp:coreProperties>
</file>